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A25C75" w:rsidRPr="00573761" w14:paraId="22794867" w14:textId="77777777" w:rsidTr="00AD33C8">
        <w:tc>
          <w:tcPr>
            <w:tcW w:w="2448" w:type="dxa"/>
          </w:tcPr>
          <w:p w14:paraId="792E84CA" w14:textId="3557C702" w:rsidR="00A25C75" w:rsidRPr="00C0451E" w:rsidRDefault="00A25C75" w:rsidP="00AD33C8">
            <w:pPr>
              <w:pStyle w:val="Heading3"/>
              <w:rPr>
                <w:rFonts w:ascii="Times New Roman" w:hAnsi="Times New Roman" w:cs="Times New Roman"/>
              </w:rPr>
            </w:pPr>
          </w:p>
        </w:tc>
        <w:tc>
          <w:tcPr>
            <w:tcW w:w="5130" w:type="dxa"/>
          </w:tcPr>
          <w:p w14:paraId="08A92343" w14:textId="77777777" w:rsidR="00A25C75" w:rsidRPr="00573761" w:rsidRDefault="00A25C75" w:rsidP="00AD33C8">
            <w:pPr>
              <w:jc w:val="center"/>
              <w:rPr>
                <w:b/>
                <w:sz w:val="26"/>
                <w:szCs w:val="26"/>
              </w:rPr>
            </w:pPr>
            <w:r w:rsidRPr="00573761">
              <w:rPr>
                <w:b/>
                <w:sz w:val="26"/>
                <w:szCs w:val="26"/>
              </w:rPr>
              <w:t>PENNSYLVANIA</w:t>
            </w:r>
          </w:p>
          <w:p w14:paraId="5BBA67C7" w14:textId="77777777" w:rsidR="00A25C75" w:rsidRPr="00573761" w:rsidRDefault="00A25C75" w:rsidP="00AD33C8">
            <w:pPr>
              <w:jc w:val="center"/>
              <w:rPr>
                <w:b/>
                <w:sz w:val="26"/>
                <w:szCs w:val="26"/>
              </w:rPr>
            </w:pPr>
            <w:r w:rsidRPr="00573761">
              <w:rPr>
                <w:b/>
                <w:sz w:val="26"/>
                <w:szCs w:val="26"/>
              </w:rPr>
              <w:t>PUBLIC UTILITY COMMISSION</w:t>
            </w:r>
          </w:p>
          <w:p w14:paraId="192C1E1A" w14:textId="77777777" w:rsidR="00A25C75" w:rsidRPr="00573761" w:rsidRDefault="00A25C75" w:rsidP="00AD33C8">
            <w:pPr>
              <w:pStyle w:val="StyleCentered"/>
              <w:rPr>
                <w:b/>
                <w:sz w:val="26"/>
                <w:szCs w:val="26"/>
              </w:rPr>
            </w:pPr>
            <w:r w:rsidRPr="00573761">
              <w:rPr>
                <w:b/>
                <w:sz w:val="26"/>
                <w:szCs w:val="26"/>
              </w:rPr>
              <w:t>Harrisburg, PA  17105-3265</w:t>
            </w:r>
          </w:p>
        </w:tc>
        <w:tc>
          <w:tcPr>
            <w:tcW w:w="2700" w:type="dxa"/>
          </w:tcPr>
          <w:p w14:paraId="4C8B98FF" w14:textId="77777777" w:rsidR="00A25C75" w:rsidRPr="00573761" w:rsidRDefault="00A25C75" w:rsidP="00AD33C8">
            <w:pPr>
              <w:rPr>
                <w:sz w:val="26"/>
                <w:szCs w:val="26"/>
              </w:rPr>
            </w:pPr>
          </w:p>
        </w:tc>
      </w:tr>
    </w:tbl>
    <w:p w14:paraId="2D3ABAA7" w14:textId="6154CD07" w:rsidR="00A25C75" w:rsidRPr="00573761" w:rsidRDefault="00A25C75" w:rsidP="00D23B41">
      <w:pPr>
        <w:tabs>
          <w:tab w:val="left" w:pos="-1440"/>
          <w:tab w:val="left" w:pos="-720"/>
          <w:tab w:val="left" w:pos="0"/>
          <w:tab w:val="left" w:pos="432"/>
          <w:tab w:val="left" w:pos="576"/>
          <w:tab w:val="left" w:pos="1440"/>
          <w:tab w:val="left" w:pos="2086"/>
          <w:tab w:val="left" w:pos="2880"/>
        </w:tabs>
        <w:suppressAutoHyphens/>
        <w:jc w:val="center"/>
        <w:rPr>
          <w:b/>
          <w:sz w:val="26"/>
          <w:szCs w:val="26"/>
        </w:rPr>
      </w:pPr>
    </w:p>
    <w:tbl>
      <w:tblPr>
        <w:tblW w:w="0" w:type="auto"/>
        <w:tblLayout w:type="fixed"/>
        <w:tblLook w:val="0000" w:firstRow="0" w:lastRow="0" w:firstColumn="0" w:lastColumn="0" w:noHBand="0" w:noVBand="0"/>
      </w:tblPr>
      <w:tblGrid>
        <w:gridCol w:w="5148"/>
        <w:gridCol w:w="5148"/>
      </w:tblGrid>
      <w:tr w:rsidR="00A25C75" w:rsidRPr="00573761" w14:paraId="37048483" w14:textId="77777777" w:rsidTr="00AD33C8">
        <w:tc>
          <w:tcPr>
            <w:tcW w:w="5148" w:type="dxa"/>
          </w:tcPr>
          <w:p w14:paraId="234AEFCA" w14:textId="77777777" w:rsidR="00A25C75" w:rsidRPr="00573761" w:rsidRDefault="00A25C75" w:rsidP="00AD33C8">
            <w:pPr>
              <w:rPr>
                <w:sz w:val="26"/>
                <w:szCs w:val="26"/>
              </w:rPr>
            </w:pPr>
          </w:p>
        </w:tc>
        <w:tc>
          <w:tcPr>
            <w:tcW w:w="5148" w:type="dxa"/>
          </w:tcPr>
          <w:p w14:paraId="0CDDE0C4" w14:textId="45936799" w:rsidR="00A25C75" w:rsidRPr="00573761" w:rsidRDefault="00A25C75" w:rsidP="00AD33C8">
            <w:pPr>
              <w:ind w:firstLine="612"/>
              <w:rPr>
                <w:sz w:val="26"/>
                <w:szCs w:val="26"/>
              </w:rPr>
            </w:pPr>
            <w:r w:rsidRPr="00573761">
              <w:rPr>
                <w:sz w:val="26"/>
                <w:szCs w:val="26"/>
              </w:rPr>
              <w:t xml:space="preserve">Public Meeting held </w:t>
            </w:r>
            <w:r w:rsidR="00C639FE" w:rsidRPr="00573761">
              <w:rPr>
                <w:sz w:val="26"/>
                <w:szCs w:val="26"/>
              </w:rPr>
              <w:t>July 11</w:t>
            </w:r>
            <w:r w:rsidRPr="00573761">
              <w:rPr>
                <w:sz w:val="26"/>
                <w:szCs w:val="26"/>
              </w:rPr>
              <w:t>, 2019</w:t>
            </w:r>
          </w:p>
        </w:tc>
      </w:tr>
      <w:tr w:rsidR="00A25C75" w:rsidRPr="00573761" w14:paraId="2137F942" w14:textId="77777777" w:rsidTr="00AD33C8">
        <w:tc>
          <w:tcPr>
            <w:tcW w:w="5148" w:type="dxa"/>
          </w:tcPr>
          <w:p w14:paraId="435C701A" w14:textId="77777777" w:rsidR="00A25C75" w:rsidRPr="00573761" w:rsidRDefault="00A25C75" w:rsidP="00AD33C8">
            <w:pPr>
              <w:rPr>
                <w:sz w:val="26"/>
                <w:szCs w:val="26"/>
              </w:rPr>
            </w:pPr>
            <w:r w:rsidRPr="00573761">
              <w:rPr>
                <w:sz w:val="26"/>
                <w:szCs w:val="26"/>
              </w:rPr>
              <w:t>Commissioners Present:</w:t>
            </w:r>
          </w:p>
        </w:tc>
        <w:tc>
          <w:tcPr>
            <w:tcW w:w="5148" w:type="dxa"/>
          </w:tcPr>
          <w:p w14:paraId="4C457F78" w14:textId="77777777" w:rsidR="00A25C75" w:rsidRPr="00573761" w:rsidRDefault="00A25C75" w:rsidP="00AD33C8">
            <w:pPr>
              <w:rPr>
                <w:sz w:val="26"/>
                <w:szCs w:val="26"/>
              </w:rPr>
            </w:pPr>
          </w:p>
        </w:tc>
      </w:tr>
    </w:tbl>
    <w:p w14:paraId="402D0D28" w14:textId="5854B52C" w:rsidR="00A25C75" w:rsidRPr="00573761" w:rsidRDefault="00A25C75" w:rsidP="00D23B41">
      <w:pPr>
        <w:tabs>
          <w:tab w:val="left" w:pos="-1440"/>
          <w:tab w:val="left" w:pos="-720"/>
          <w:tab w:val="left" w:pos="0"/>
          <w:tab w:val="left" w:pos="432"/>
          <w:tab w:val="left" w:pos="576"/>
          <w:tab w:val="left" w:pos="1440"/>
          <w:tab w:val="left" w:pos="2086"/>
          <w:tab w:val="left" w:pos="2880"/>
        </w:tabs>
        <w:suppressAutoHyphens/>
        <w:jc w:val="center"/>
        <w:rPr>
          <w:b/>
          <w:sz w:val="26"/>
          <w:szCs w:val="26"/>
        </w:rPr>
      </w:pPr>
    </w:p>
    <w:tbl>
      <w:tblPr>
        <w:tblW w:w="10296" w:type="dxa"/>
        <w:tblLayout w:type="fixed"/>
        <w:tblLook w:val="0000" w:firstRow="0" w:lastRow="0" w:firstColumn="0" w:lastColumn="0" w:noHBand="0" w:noVBand="0"/>
      </w:tblPr>
      <w:tblGrid>
        <w:gridCol w:w="5958"/>
        <w:gridCol w:w="4320"/>
        <w:gridCol w:w="18"/>
      </w:tblGrid>
      <w:tr w:rsidR="00A25C75" w:rsidRPr="00573761" w14:paraId="5C0165D6" w14:textId="77777777" w:rsidTr="00AD33C8">
        <w:tc>
          <w:tcPr>
            <w:tcW w:w="10296" w:type="dxa"/>
            <w:gridSpan w:val="3"/>
          </w:tcPr>
          <w:p w14:paraId="6C358377" w14:textId="364102FC" w:rsidR="00A25C75" w:rsidRPr="00573761" w:rsidRDefault="00A25C75" w:rsidP="00AD33C8">
            <w:pPr>
              <w:tabs>
                <w:tab w:val="left" w:pos="720"/>
              </w:tabs>
              <w:rPr>
                <w:sz w:val="26"/>
                <w:szCs w:val="26"/>
              </w:rPr>
            </w:pPr>
            <w:r w:rsidRPr="00573761">
              <w:rPr>
                <w:sz w:val="26"/>
                <w:szCs w:val="26"/>
              </w:rPr>
              <w:tab/>
              <w:t>Gladys Brown Dutrieuille, Chairman</w:t>
            </w:r>
            <w:r w:rsidR="00CE0FE2">
              <w:rPr>
                <w:sz w:val="26"/>
                <w:szCs w:val="26"/>
              </w:rPr>
              <w:t xml:space="preserve">, </w:t>
            </w:r>
            <w:r w:rsidR="00D760AE">
              <w:rPr>
                <w:sz w:val="26"/>
                <w:szCs w:val="26"/>
              </w:rPr>
              <w:t>Statement</w:t>
            </w:r>
            <w:r w:rsidR="000C7F92">
              <w:rPr>
                <w:sz w:val="26"/>
                <w:szCs w:val="26"/>
              </w:rPr>
              <w:t>, Dissenting</w:t>
            </w:r>
            <w:bookmarkStart w:id="0" w:name="_GoBack"/>
            <w:bookmarkEnd w:id="0"/>
          </w:p>
        </w:tc>
      </w:tr>
      <w:tr w:rsidR="00A25C75" w:rsidRPr="00573761" w14:paraId="49A01C85" w14:textId="77777777" w:rsidTr="00AD33C8">
        <w:tc>
          <w:tcPr>
            <w:tcW w:w="10296" w:type="dxa"/>
            <w:gridSpan w:val="3"/>
          </w:tcPr>
          <w:p w14:paraId="3CACBB74" w14:textId="77777777" w:rsidR="00A25C75" w:rsidRPr="00573761" w:rsidRDefault="00A25C75" w:rsidP="00AD33C8">
            <w:pPr>
              <w:tabs>
                <w:tab w:val="left" w:pos="720"/>
              </w:tabs>
              <w:rPr>
                <w:sz w:val="26"/>
                <w:szCs w:val="26"/>
              </w:rPr>
            </w:pPr>
            <w:r w:rsidRPr="00573761">
              <w:rPr>
                <w:sz w:val="26"/>
                <w:szCs w:val="26"/>
              </w:rPr>
              <w:tab/>
              <w:t>David W. Sweet, Vice Chairman</w:t>
            </w:r>
          </w:p>
        </w:tc>
      </w:tr>
      <w:tr w:rsidR="00A25C75" w:rsidRPr="00573761" w14:paraId="3980C60D" w14:textId="77777777" w:rsidTr="00AD33C8">
        <w:trPr>
          <w:gridAfter w:val="1"/>
          <w:wAfter w:w="18" w:type="dxa"/>
        </w:trPr>
        <w:tc>
          <w:tcPr>
            <w:tcW w:w="10278" w:type="dxa"/>
            <w:gridSpan w:val="2"/>
          </w:tcPr>
          <w:p w14:paraId="1E72E9D1" w14:textId="77777777" w:rsidR="00A25C75" w:rsidRPr="00573761" w:rsidRDefault="00A25C75" w:rsidP="00AD33C8">
            <w:pPr>
              <w:tabs>
                <w:tab w:val="left" w:pos="720"/>
              </w:tabs>
              <w:rPr>
                <w:sz w:val="26"/>
                <w:szCs w:val="26"/>
              </w:rPr>
            </w:pPr>
            <w:r w:rsidRPr="00573761">
              <w:rPr>
                <w:sz w:val="26"/>
                <w:szCs w:val="26"/>
              </w:rPr>
              <w:tab/>
              <w:t>Norman J. Kennard</w:t>
            </w:r>
          </w:p>
        </w:tc>
      </w:tr>
      <w:tr w:rsidR="00A25C75" w:rsidRPr="00573761" w14:paraId="13000467" w14:textId="77777777" w:rsidTr="00AD33C8">
        <w:trPr>
          <w:gridAfter w:val="1"/>
          <w:wAfter w:w="18" w:type="dxa"/>
        </w:trPr>
        <w:tc>
          <w:tcPr>
            <w:tcW w:w="10278" w:type="dxa"/>
            <w:gridSpan w:val="2"/>
          </w:tcPr>
          <w:p w14:paraId="1C3AB35F" w14:textId="614D89CF" w:rsidR="00A25C75" w:rsidRPr="00573761" w:rsidRDefault="00A25C75" w:rsidP="00AD33C8">
            <w:pPr>
              <w:tabs>
                <w:tab w:val="left" w:pos="720"/>
              </w:tabs>
              <w:rPr>
                <w:sz w:val="26"/>
                <w:szCs w:val="26"/>
              </w:rPr>
            </w:pPr>
            <w:r w:rsidRPr="00573761">
              <w:rPr>
                <w:sz w:val="26"/>
                <w:szCs w:val="26"/>
              </w:rPr>
              <w:tab/>
              <w:t>Andrew G. Place</w:t>
            </w:r>
            <w:r w:rsidR="00D760AE">
              <w:rPr>
                <w:sz w:val="26"/>
                <w:szCs w:val="26"/>
              </w:rPr>
              <w:t>, Statement, Dissenting</w:t>
            </w:r>
          </w:p>
        </w:tc>
      </w:tr>
      <w:tr w:rsidR="00A25C75" w:rsidRPr="00573761" w14:paraId="0D254CF3" w14:textId="77777777" w:rsidTr="00AD33C8">
        <w:trPr>
          <w:gridAfter w:val="1"/>
          <w:wAfter w:w="18" w:type="dxa"/>
        </w:trPr>
        <w:tc>
          <w:tcPr>
            <w:tcW w:w="10278" w:type="dxa"/>
            <w:gridSpan w:val="2"/>
          </w:tcPr>
          <w:p w14:paraId="02B5A270" w14:textId="77777777" w:rsidR="00A25C75" w:rsidRPr="00573761" w:rsidRDefault="00A25C75" w:rsidP="00AD33C8">
            <w:pPr>
              <w:tabs>
                <w:tab w:val="left" w:pos="720"/>
              </w:tabs>
              <w:rPr>
                <w:sz w:val="26"/>
                <w:szCs w:val="26"/>
              </w:rPr>
            </w:pPr>
            <w:r w:rsidRPr="00573761">
              <w:rPr>
                <w:sz w:val="26"/>
                <w:szCs w:val="26"/>
              </w:rPr>
              <w:tab/>
              <w:t>John F. Coleman, Jr.</w:t>
            </w:r>
          </w:p>
        </w:tc>
      </w:tr>
      <w:tr w:rsidR="00A25C75" w:rsidRPr="00573761" w14:paraId="2D9E4DD7" w14:textId="77777777" w:rsidTr="00AD33C8">
        <w:trPr>
          <w:gridAfter w:val="1"/>
          <w:wAfter w:w="18" w:type="dxa"/>
        </w:trPr>
        <w:tc>
          <w:tcPr>
            <w:tcW w:w="5958" w:type="dxa"/>
          </w:tcPr>
          <w:p w14:paraId="6B05CAD6" w14:textId="77777777" w:rsidR="00A25C75" w:rsidRPr="00573761" w:rsidRDefault="00A25C75" w:rsidP="00AD33C8">
            <w:pPr>
              <w:ind w:right="342"/>
              <w:rPr>
                <w:sz w:val="26"/>
                <w:szCs w:val="26"/>
              </w:rPr>
            </w:pPr>
          </w:p>
        </w:tc>
        <w:tc>
          <w:tcPr>
            <w:tcW w:w="4320" w:type="dxa"/>
          </w:tcPr>
          <w:p w14:paraId="58436C4B" w14:textId="77777777" w:rsidR="00A25C75" w:rsidRPr="00573761" w:rsidRDefault="00A25C75" w:rsidP="00AD33C8">
            <w:pPr>
              <w:jc w:val="center"/>
              <w:rPr>
                <w:sz w:val="26"/>
                <w:szCs w:val="26"/>
              </w:rPr>
            </w:pPr>
          </w:p>
        </w:tc>
      </w:tr>
      <w:tr w:rsidR="00A25C75" w:rsidRPr="00573761" w14:paraId="07721CD7" w14:textId="77777777" w:rsidTr="00AD33C8">
        <w:trPr>
          <w:gridAfter w:val="1"/>
          <w:wAfter w:w="18" w:type="dxa"/>
        </w:trPr>
        <w:tc>
          <w:tcPr>
            <w:tcW w:w="5958" w:type="dxa"/>
          </w:tcPr>
          <w:p w14:paraId="2D1D0DB8" w14:textId="2BDFE9DE" w:rsidR="00A25C75" w:rsidRPr="00573761" w:rsidRDefault="00A25C75" w:rsidP="00AD33C8">
            <w:pPr>
              <w:ind w:right="342"/>
              <w:rPr>
                <w:sz w:val="26"/>
                <w:szCs w:val="26"/>
              </w:rPr>
            </w:pPr>
            <w:r w:rsidRPr="00573761">
              <w:rPr>
                <w:sz w:val="26"/>
                <w:szCs w:val="26"/>
              </w:rPr>
              <w:t>Policy Statement Regarding the Reporting of Intrastate Operating Revenues for Section 510 Assessment Purposes by Jurisdictional Telecommunications Carriers Offering Special Access and Other Similar Jurisdictionally-Mixed Telecommunications Services</w:t>
            </w:r>
          </w:p>
        </w:tc>
        <w:tc>
          <w:tcPr>
            <w:tcW w:w="4320" w:type="dxa"/>
          </w:tcPr>
          <w:p w14:paraId="4EA412CD" w14:textId="5F4A0C5D" w:rsidR="00A25C75" w:rsidRPr="00573761" w:rsidRDefault="00A25C75" w:rsidP="00AD33C8">
            <w:pPr>
              <w:jc w:val="center"/>
              <w:rPr>
                <w:sz w:val="26"/>
                <w:szCs w:val="26"/>
              </w:rPr>
            </w:pPr>
            <w:bookmarkStart w:id="1" w:name="_Hlk528054673"/>
            <w:r w:rsidRPr="00573761">
              <w:rPr>
                <w:sz w:val="26"/>
                <w:szCs w:val="26"/>
              </w:rPr>
              <w:t>M-2018-3004578</w:t>
            </w:r>
            <w:bookmarkEnd w:id="1"/>
          </w:p>
        </w:tc>
      </w:tr>
    </w:tbl>
    <w:p w14:paraId="29857275" w14:textId="77777777" w:rsidR="00A25C75" w:rsidRPr="00573761" w:rsidRDefault="00A25C75" w:rsidP="00D23B41">
      <w:pPr>
        <w:tabs>
          <w:tab w:val="left" w:pos="-1440"/>
          <w:tab w:val="left" w:pos="-720"/>
          <w:tab w:val="left" w:pos="0"/>
          <w:tab w:val="left" w:pos="432"/>
          <w:tab w:val="left" w:pos="576"/>
          <w:tab w:val="left" w:pos="1440"/>
          <w:tab w:val="left" w:pos="2086"/>
          <w:tab w:val="left" w:pos="2880"/>
        </w:tabs>
        <w:suppressAutoHyphens/>
        <w:jc w:val="center"/>
        <w:rPr>
          <w:b/>
          <w:sz w:val="26"/>
          <w:szCs w:val="26"/>
        </w:rPr>
      </w:pPr>
    </w:p>
    <w:p w14:paraId="571ACDF9" w14:textId="57F13B36" w:rsidR="008040D2" w:rsidRPr="00573761" w:rsidRDefault="001D7D54" w:rsidP="000E1912">
      <w:pPr>
        <w:jc w:val="center"/>
        <w:rPr>
          <w:b/>
          <w:sz w:val="26"/>
          <w:szCs w:val="26"/>
        </w:rPr>
      </w:pPr>
      <w:r w:rsidRPr="00573761">
        <w:rPr>
          <w:b/>
          <w:sz w:val="26"/>
          <w:szCs w:val="26"/>
        </w:rPr>
        <w:t xml:space="preserve">FINAL </w:t>
      </w:r>
      <w:r w:rsidR="007768AF" w:rsidRPr="00573761">
        <w:rPr>
          <w:b/>
          <w:sz w:val="26"/>
          <w:szCs w:val="26"/>
        </w:rPr>
        <w:t>POLICY STATEMENT</w:t>
      </w:r>
      <w:r w:rsidR="00992080" w:rsidRPr="00573761">
        <w:rPr>
          <w:b/>
          <w:sz w:val="26"/>
          <w:szCs w:val="26"/>
        </w:rPr>
        <w:t xml:space="preserve"> ORDER</w:t>
      </w:r>
    </w:p>
    <w:p w14:paraId="3A5CBDBF" w14:textId="77777777" w:rsidR="0046479C" w:rsidRPr="00573761" w:rsidRDefault="0046479C" w:rsidP="000E1912">
      <w:pPr>
        <w:jc w:val="center"/>
        <w:rPr>
          <w:b/>
          <w:sz w:val="26"/>
          <w:szCs w:val="26"/>
        </w:rPr>
      </w:pPr>
    </w:p>
    <w:p w14:paraId="6DEBE2F3" w14:textId="77777777" w:rsidR="000C2E24" w:rsidRPr="00573761" w:rsidRDefault="008040D2" w:rsidP="000E1912">
      <w:pPr>
        <w:spacing w:line="360" w:lineRule="auto"/>
        <w:rPr>
          <w:b/>
          <w:sz w:val="26"/>
          <w:szCs w:val="26"/>
        </w:rPr>
      </w:pPr>
      <w:r w:rsidRPr="00573761">
        <w:rPr>
          <w:b/>
          <w:sz w:val="26"/>
          <w:szCs w:val="26"/>
        </w:rPr>
        <w:t>BY THE COMMISSION:</w:t>
      </w:r>
    </w:p>
    <w:p w14:paraId="199AD083" w14:textId="46957BBF" w:rsidR="00DB0E89" w:rsidRPr="00573761" w:rsidRDefault="00627BB0" w:rsidP="00B6089A">
      <w:pPr>
        <w:spacing w:line="360" w:lineRule="auto"/>
        <w:ind w:firstLine="720"/>
        <w:rPr>
          <w:sz w:val="26"/>
          <w:szCs w:val="20"/>
        </w:rPr>
      </w:pPr>
      <w:bookmarkStart w:id="2" w:name="_Hlk525048052"/>
      <w:r w:rsidRPr="00573761">
        <w:rPr>
          <w:sz w:val="26"/>
          <w:szCs w:val="26"/>
        </w:rPr>
        <w:t>On November 8, 201</w:t>
      </w:r>
      <w:r w:rsidR="00EE5291" w:rsidRPr="00573761">
        <w:rPr>
          <w:sz w:val="26"/>
          <w:szCs w:val="26"/>
        </w:rPr>
        <w:t>8</w:t>
      </w:r>
      <w:r w:rsidRPr="00573761">
        <w:rPr>
          <w:sz w:val="26"/>
          <w:szCs w:val="26"/>
        </w:rPr>
        <w:t>, the</w:t>
      </w:r>
      <w:r w:rsidR="001D7D54" w:rsidRPr="00573761">
        <w:rPr>
          <w:sz w:val="26"/>
          <w:szCs w:val="26"/>
        </w:rPr>
        <w:t xml:space="preserve"> Commission issued a</w:t>
      </w:r>
      <w:r w:rsidR="00992080" w:rsidRPr="00573761">
        <w:rPr>
          <w:sz w:val="26"/>
          <w:szCs w:val="26"/>
        </w:rPr>
        <w:t>n Order</w:t>
      </w:r>
      <w:r w:rsidR="00043784" w:rsidRPr="00573761">
        <w:rPr>
          <w:rStyle w:val="FootnoteReference"/>
          <w:bCs/>
          <w:sz w:val="26"/>
          <w:szCs w:val="26"/>
        </w:rPr>
        <w:footnoteReference w:id="1"/>
      </w:r>
      <w:r w:rsidR="001D7D54" w:rsidRPr="00573761">
        <w:rPr>
          <w:sz w:val="26"/>
          <w:szCs w:val="26"/>
        </w:rPr>
        <w:t xml:space="preserve"> </w:t>
      </w:r>
      <w:bookmarkStart w:id="3" w:name="_Hlk528051956"/>
      <w:r w:rsidR="00B429D8" w:rsidRPr="00573761">
        <w:rPr>
          <w:sz w:val="26"/>
          <w:szCs w:val="26"/>
        </w:rPr>
        <w:t xml:space="preserve">proposing </w:t>
      </w:r>
      <w:r w:rsidR="005E0711" w:rsidRPr="00573761">
        <w:rPr>
          <w:sz w:val="26"/>
          <w:szCs w:val="26"/>
        </w:rPr>
        <w:t xml:space="preserve">to </w:t>
      </w:r>
      <w:r w:rsidR="005E0711" w:rsidRPr="00573761">
        <w:rPr>
          <w:sz w:val="26"/>
          <w:szCs w:val="20"/>
        </w:rPr>
        <w:t xml:space="preserve">amend 52 Pa. Code Chapter 69 of its regulations </w:t>
      </w:r>
      <w:r w:rsidR="00B429D8" w:rsidRPr="00573761">
        <w:rPr>
          <w:sz w:val="26"/>
          <w:szCs w:val="20"/>
        </w:rPr>
        <w:t>by</w:t>
      </w:r>
      <w:r w:rsidR="005E0711" w:rsidRPr="00573761">
        <w:rPr>
          <w:sz w:val="26"/>
          <w:szCs w:val="20"/>
        </w:rPr>
        <w:t xml:space="preserve"> </w:t>
      </w:r>
      <w:r w:rsidR="00B429D8" w:rsidRPr="00573761">
        <w:rPr>
          <w:sz w:val="26"/>
          <w:szCs w:val="20"/>
        </w:rPr>
        <w:t xml:space="preserve">adding </w:t>
      </w:r>
      <w:r w:rsidR="00252948" w:rsidRPr="00573761">
        <w:rPr>
          <w:sz w:val="26"/>
          <w:szCs w:val="20"/>
        </w:rPr>
        <w:t xml:space="preserve">a </w:t>
      </w:r>
      <w:r w:rsidR="00992080" w:rsidRPr="00573761">
        <w:rPr>
          <w:i/>
          <w:sz w:val="26"/>
          <w:szCs w:val="20"/>
        </w:rPr>
        <w:t>Proposed Policy Statement</w:t>
      </w:r>
      <w:r w:rsidR="00B429D8" w:rsidRPr="00573761">
        <w:rPr>
          <w:sz w:val="26"/>
          <w:szCs w:val="20"/>
        </w:rPr>
        <w:t xml:space="preserve"> </w:t>
      </w:r>
      <w:r w:rsidR="00252948" w:rsidRPr="00573761">
        <w:rPr>
          <w:sz w:val="26"/>
          <w:szCs w:val="20"/>
        </w:rPr>
        <w:t xml:space="preserve">codified at </w:t>
      </w:r>
      <w:r w:rsidR="005E0711" w:rsidRPr="00573761">
        <w:rPr>
          <w:sz w:val="26"/>
          <w:szCs w:val="20"/>
        </w:rPr>
        <w:t xml:space="preserve">Section 69.3701 </w:t>
      </w:r>
      <w:r w:rsidR="008F3994" w:rsidRPr="00573761">
        <w:rPr>
          <w:sz w:val="26"/>
          <w:szCs w:val="20"/>
        </w:rPr>
        <w:t xml:space="preserve">to provide guidance to jurisdictional telecommunications public utilities in Pennsylvania </w:t>
      </w:r>
      <w:r w:rsidR="00B6089A" w:rsidRPr="00573761">
        <w:rPr>
          <w:sz w:val="26"/>
          <w:szCs w:val="20"/>
        </w:rPr>
        <w:t xml:space="preserve">that </w:t>
      </w:r>
      <w:r w:rsidR="00221F58" w:rsidRPr="00573761">
        <w:rPr>
          <w:sz w:val="26"/>
          <w:szCs w:val="20"/>
        </w:rPr>
        <w:t xml:space="preserve">they must report </w:t>
      </w:r>
      <w:r w:rsidR="00E51A02" w:rsidRPr="00573761">
        <w:rPr>
          <w:sz w:val="26"/>
          <w:szCs w:val="20"/>
        </w:rPr>
        <w:t>all</w:t>
      </w:r>
      <w:r w:rsidR="00221F58" w:rsidRPr="00573761">
        <w:rPr>
          <w:sz w:val="26"/>
          <w:szCs w:val="20"/>
        </w:rPr>
        <w:t xml:space="preserve"> gross intrastate </w:t>
      </w:r>
      <w:r w:rsidR="00E51A02" w:rsidRPr="00573761">
        <w:rPr>
          <w:sz w:val="26"/>
          <w:szCs w:val="20"/>
        </w:rPr>
        <w:t xml:space="preserve">operating </w:t>
      </w:r>
      <w:r w:rsidR="00221F58" w:rsidRPr="00573761">
        <w:rPr>
          <w:sz w:val="26"/>
          <w:szCs w:val="20"/>
        </w:rPr>
        <w:t>revenues</w:t>
      </w:r>
      <w:r w:rsidR="00E51A02" w:rsidRPr="00573761">
        <w:rPr>
          <w:sz w:val="26"/>
          <w:szCs w:val="20"/>
        </w:rPr>
        <w:t>, including</w:t>
      </w:r>
      <w:r w:rsidR="00221F58" w:rsidRPr="00573761">
        <w:rPr>
          <w:sz w:val="26"/>
          <w:szCs w:val="20"/>
        </w:rPr>
        <w:t xml:space="preserve"> on all special access or other similar jurisdictionally-mixed telecommunications services</w:t>
      </w:r>
      <w:r w:rsidR="00E51A02" w:rsidRPr="00573761">
        <w:rPr>
          <w:sz w:val="26"/>
          <w:szCs w:val="20"/>
        </w:rPr>
        <w:t>,</w:t>
      </w:r>
      <w:r w:rsidR="00221F58" w:rsidRPr="00573761">
        <w:rPr>
          <w:sz w:val="26"/>
          <w:szCs w:val="20"/>
        </w:rPr>
        <w:t xml:space="preserve"> for Section 510 assessment purposes.  </w:t>
      </w:r>
      <w:r w:rsidR="008F3994" w:rsidRPr="00573761">
        <w:rPr>
          <w:sz w:val="26"/>
          <w:szCs w:val="20"/>
        </w:rPr>
        <w:t xml:space="preserve">Specifically, the Commission proposed </w:t>
      </w:r>
      <w:bookmarkStart w:id="4" w:name="_Hlk528051683"/>
      <w:r w:rsidR="00B6089A" w:rsidRPr="00573761">
        <w:rPr>
          <w:sz w:val="26"/>
          <w:szCs w:val="20"/>
        </w:rPr>
        <w:t xml:space="preserve">that jurisdictional telecommunications carriers </w:t>
      </w:r>
      <w:r w:rsidR="008F3994" w:rsidRPr="00573761">
        <w:rPr>
          <w:sz w:val="26"/>
          <w:szCs w:val="20"/>
        </w:rPr>
        <w:t xml:space="preserve">that offer </w:t>
      </w:r>
      <w:r w:rsidR="008F3994" w:rsidRPr="00573761">
        <w:rPr>
          <w:bCs/>
          <w:sz w:val="26"/>
          <w:szCs w:val="20"/>
        </w:rPr>
        <w:t>special access or other similar jurisdictionally-mixed telecommunications services but report zero gross intrastate revenues</w:t>
      </w:r>
      <w:bookmarkEnd w:id="4"/>
      <w:r w:rsidR="005E0711" w:rsidRPr="00573761">
        <w:rPr>
          <w:sz w:val="26"/>
          <w:szCs w:val="20"/>
        </w:rPr>
        <w:t xml:space="preserve"> </w:t>
      </w:r>
      <w:r w:rsidR="00DB0E89" w:rsidRPr="00573761">
        <w:rPr>
          <w:sz w:val="26"/>
          <w:szCs w:val="20"/>
        </w:rPr>
        <w:t xml:space="preserve">on those services </w:t>
      </w:r>
      <w:r w:rsidR="00221F58" w:rsidRPr="00573761">
        <w:rPr>
          <w:sz w:val="26"/>
          <w:szCs w:val="20"/>
        </w:rPr>
        <w:t xml:space="preserve">due to the Federal Communications Commission’s </w:t>
      </w:r>
      <w:r w:rsidR="003C263A" w:rsidRPr="00573761">
        <w:rPr>
          <w:sz w:val="26"/>
          <w:szCs w:val="20"/>
        </w:rPr>
        <w:t xml:space="preserve">(FCC) </w:t>
      </w:r>
      <w:r w:rsidR="00221F58" w:rsidRPr="00573761">
        <w:rPr>
          <w:sz w:val="26"/>
          <w:szCs w:val="20"/>
        </w:rPr>
        <w:t>ten percent contamination rule</w:t>
      </w:r>
      <w:r w:rsidR="00310D9B">
        <w:rPr>
          <w:sz w:val="26"/>
          <w:szCs w:val="20"/>
        </w:rPr>
        <w:t xml:space="preserve"> </w:t>
      </w:r>
      <w:r w:rsidR="00310D9B" w:rsidRPr="00573761">
        <w:rPr>
          <w:sz w:val="26"/>
          <w:szCs w:val="20"/>
        </w:rPr>
        <w:t xml:space="preserve">(ten percent rule) </w:t>
      </w:r>
      <w:r w:rsidR="00B6089A" w:rsidRPr="00573761">
        <w:rPr>
          <w:sz w:val="26"/>
          <w:szCs w:val="20"/>
        </w:rPr>
        <w:t xml:space="preserve">are </w:t>
      </w:r>
      <w:r w:rsidR="005E0711" w:rsidRPr="00573761">
        <w:rPr>
          <w:sz w:val="26"/>
          <w:szCs w:val="20"/>
        </w:rPr>
        <w:t>obligated</w:t>
      </w:r>
      <w:r w:rsidRPr="00573761">
        <w:rPr>
          <w:sz w:val="26"/>
          <w:szCs w:val="20"/>
        </w:rPr>
        <w:t>, for assessment purposes,</w:t>
      </w:r>
      <w:r w:rsidR="005E0711" w:rsidRPr="00573761">
        <w:rPr>
          <w:sz w:val="26"/>
          <w:szCs w:val="20"/>
        </w:rPr>
        <w:t xml:space="preserve"> to </w:t>
      </w:r>
      <w:r w:rsidR="005E0711" w:rsidRPr="00573761">
        <w:rPr>
          <w:bCs/>
          <w:sz w:val="26"/>
          <w:szCs w:val="20"/>
        </w:rPr>
        <w:lastRenderedPageBreak/>
        <w:t xml:space="preserve">report </w:t>
      </w:r>
      <w:r w:rsidR="005E0711" w:rsidRPr="00573761">
        <w:rPr>
          <w:sz w:val="26"/>
          <w:szCs w:val="20"/>
        </w:rPr>
        <w:t xml:space="preserve">their </w:t>
      </w:r>
      <w:r w:rsidR="005E0711" w:rsidRPr="00573761">
        <w:rPr>
          <w:i/>
          <w:sz w:val="26"/>
          <w:szCs w:val="20"/>
        </w:rPr>
        <w:t>de facto</w:t>
      </w:r>
      <w:r w:rsidR="005E0711" w:rsidRPr="00573761">
        <w:rPr>
          <w:sz w:val="26"/>
          <w:szCs w:val="20"/>
        </w:rPr>
        <w:t xml:space="preserve"> gross intrastate operating revenues </w:t>
      </w:r>
      <w:r w:rsidR="003C263A" w:rsidRPr="00573761">
        <w:rPr>
          <w:sz w:val="26"/>
          <w:szCs w:val="20"/>
        </w:rPr>
        <w:t xml:space="preserve">on such telecommunications services </w:t>
      </w:r>
      <w:r w:rsidR="005E0711" w:rsidRPr="00573761">
        <w:rPr>
          <w:sz w:val="26"/>
          <w:szCs w:val="20"/>
        </w:rPr>
        <w:t>with the Commission on March 31</w:t>
      </w:r>
      <w:r w:rsidR="005E0711" w:rsidRPr="00573761">
        <w:rPr>
          <w:sz w:val="26"/>
          <w:szCs w:val="20"/>
          <w:vertAlign w:val="superscript"/>
        </w:rPr>
        <w:t>st</w:t>
      </w:r>
      <w:r w:rsidR="005E0711" w:rsidRPr="00573761">
        <w:rPr>
          <w:sz w:val="26"/>
          <w:szCs w:val="20"/>
        </w:rPr>
        <w:t xml:space="preserve"> of each year, </w:t>
      </w:r>
      <w:r w:rsidR="00EC2209">
        <w:rPr>
          <w:sz w:val="26"/>
          <w:szCs w:val="20"/>
        </w:rPr>
        <w:t>as a part of their overall statutory obligation</w:t>
      </w:r>
      <w:r w:rsidR="005E0711" w:rsidRPr="00573761">
        <w:rPr>
          <w:sz w:val="26"/>
          <w:szCs w:val="20"/>
        </w:rPr>
        <w:t xml:space="preserve"> to pay a reasonable share of the costs of administering the Public Utility Code</w:t>
      </w:r>
      <w:r w:rsidR="00310D9B">
        <w:rPr>
          <w:sz w:val="26"/>
          <w:szCs w:val="20"/>
        </w:rPr>
        <w:t xml:space="preserve"> </w:t>
      </w:r>
      <w:r w:rsidR="00310D9B" w:rsidRPr="00573761">
        <w:rPr>
          <w:sz w:val="26"/>
          <w:szCs w:val="20"/>
        </w:rPr>
        <w:t>(Code)</w:t>
      </w:r>
      <w:r w:rsidR="00CE7E3A" w:rsidRPr="00573761">
        <w:rPr>
          <w:sz w:val="26"/>
          <w:szCs w:val="20"/>
        </w:rPr>
        <w:t>,</w:t>
      </w:r>
      <w:r w:rsidR="00CE7E3A" w:rsidRPr="00573761">
        <w:rPr>
          <w:bCs/>
          <w:color w:val="000000"/>
          <w:sz w:val="26"/>
          <w:szCs w:val="26"/>
        </w:rPr>
        <w:t xml:space="preserve"> 66 Pa. C.S. §§ 101</w:t>
      </w:r>
      <w:r w:rsidR="00CE7E3A" w:rsidRPr="00573761">
        <w:rPr>
          <w:color w:val="000000"/>
          <w:sz w:val="26"/>
          <w:szCs w:val="26"/>
        </w:rPr>
        <w:t>–</w:t>
      </w:r>
      <w:r w:rsidR="00CE7E3A" w:rsidRPr="00573761">
        <w:rPr>
          <w:bCs/>
          <w:color w:val="000000"/>
          <w:sz w:val="26"/>
          <w:szCs w:val="26"/>
        </w:rPr>
        <w:t>3316</w:t>
      </w:r>
      <w:r w:rsidR="005E0711" w:rsidRPr="00573761">
        <w:rPr>
          <w:sz w:val="26"/>
          <w:szCs w:val="20"/>
        </w:rPr>
        <w:t xml:space="preserve">.  </w:t>
      </w:r>
    </w:p>
    <w:p w14:paraId="623B6B2E" w14:textId="77777777" w:rsidR="00DB0E89" w:rsidRPr="00573761" w:rsidRDefault="00DB0E89" w:rsidP="005E0711">
      <w:pPr>
        <w:spacing w:line="360" w:lineRule="auto"/>
        <w:ind w:firstLine="720"/>
        <w:rPr>
          <w:sz w:val="26"/>
          <w:szCs w:val="26"/>
        </w:rPr>
      </w:pPr>
    </w:p>
    <w:p w14:paraId="229C121B" w14:textId="3128AF39" w:rsidR="00B6089A" w:rsidRPr="00573761" w:rsidRDefault="005E0711" w:rsidP="005E0711">
      <w:pPr>
        <w:spacing w:line="360" w:lineRule="auto"/>
        <w:ind w:firstLine="720"/>
        <w:rPr>
          <w:sz w:val="26"/>
          <w:szCs w:val="26"/>
        </w:rPr>
      </w:pPr>
      <w:r w:rsidRPr="00573761">
        <w:rPr>
          <w:sz w:val="26"/>
          <w:szCs w:val="26"/>
        </w:rPr>
        <w:t xml:space="preserve">The Commission requested interested parties to file comments and replies </w:t>
      </w:r>
      <w:r w:rsidR="00B6089A" w:rsidRPr="00573761">
        <w:rPr>
          <w:sz w:val="26"/>
          <w:szCs w:val="26"/>
        </w:rPr>
        <w:t xml:space="preserve">to the </w:t>
      </w:r>
      <w:r w:rsidR="00946D60" w:rsidRPr="00573761">
        <w:rPr>
          <w:sz w:val="26"/>
          <w:szCs w:val="26"/>
        </w:rPr>
        <w:t xml:space="preserve">Order </w:t>
      </w:r>
      <w:r w:rsidR="00B6089A" w:rsidRPr="00573761">
        <w:rPr>
          <w:sz w:val="26"/>
          <w:szCs w:val="26"/>
        </w:rPr>
        <w:t xml:space="preserve">and </w:t>
      </w:r>
      <w:r w:rsidR="00A4171D" w:rsidRPr="00573761">
        <w:rPr>
          <w:sz w:val="26"/>
          <w:szCs w:val="26"/>
        </w:rPr>
        <w:t xml:space="preserve">the </w:t>
      </w:r>
      <w:r w:rsidR="00B6089A" w:rsidRPr="00573761">
        <w:rPr>
          <w:sz w:val="26"/>
          <w:szCs w:val="26"/>
        </w:rPr>
        <w:t xml:space="preserve">attached </w:t>
      </w:r>
      <w:r w:rsidRPr="00573761">
        <w:rPr>
          <w:sz w:val="26"/>
          <w:szCs w:val="26"/>
        </w:rPr>
        <w:t>A</w:t>
      </w:r>
      <w:r w:rsidR="00B6089A" w:rsidRPr="00573761">
        <w:rPr>
          <w:sz w:val="26"/>
          <w:szCs w:val="26"/>
        </w:rPr>
        <w:t xml:space="preserve">nnex </w:t>
      </w:r>
      <w:r w:rsidR="008F7387" w:rsidRPr="00573761">
        <w:rPr>
          <w:sz w:val="26"/>
          <w:szCs w:val="26"/>
        </w:rPr>
        <w:t xml:space="preserve">A </w:t>
      </w:r>
      <w:r w:rsidR="00B6089A" w:rsidRPr="00573761">
        <w:rPr>
          <w:sz w:val="26"/>
          <w:szCs w:val="26"/>
        </w:rPr>
        <w:t xml:space="preserve">that set forth </w:t>
      </w:r>
      <w:r w:rsidR="00252948" w:rsidRPr="00573761">
        <w:rPr>
          <w:sz w:val="26"/>
          <w:szCs w:val="26"/>
        </w:rPr>
        <w:t xml:space="preserve">the </w:t>
      </w:r>
      <w:r w:rsidR="00252948" w:rsidRPr="00D15CDE">
        <w:rPr>
          <w:i/>
          <w:sz w:val="26"/>
          <w:szCs w:val="26"/>
        </w:rPr>
        <w:t>Proposed Policy Statement</w:t>
      </w:r>
      <w:r w:rsidR="00252948" w:rsidRPr="00573761">
        <w:rPr>
          <w:i/>
          <w:iCs/>
          <w:sz w:val="26"/>
          <w:szCs w:val="26"/>
        </w:rPr>
        <w:t xml:space="preserve"> </w:t>
      </w:r>
      <w:r w:rsidR="00252948" w:rsidRPr="00573761">
        <w:rPr>
          <w:sz w:val="26"/>
          <w:szCs w:val="26"/>
        </w:rPr>
        <w:t>at</w:t>
      </w:r>
      <w:r w:rsidR="00252948" w:rsidRPr="00573761">
        <w:rPr>
          <w:i/>
          <w:iCs/>
          <w:sz w:val="26"/>
          <w:szCs w:val="26"/>
        </w:rPr>
        <w:t xml:space="preserve"> </w:t>
      </w:r>
      <w:r w:rsidR="00B6089A" w:rsidRPr="00573761">
        <w:rPr>
          <w:sz w:val="26"/>
          <w:szCs w:val="26"/>
        </w:rPr>
        <w:t xml:space="preserve">Section 69.3701.  </w:t>
      </w:r>
      <w:r w:rsidR="00676F73" w:rsidRPr="00573761">
        <w:rPr>
          <w:sz w:val="26"/>
          <w:szCs w:val="26"/>
        </w:rPr>
        <w:t xml:space="preserve">The </w:t>
      </w:r>
      <w:r w:rsidR="00946D60" w:rsidRPr="00573761">
        <w:rPr>
          <w:sz w:val="26"/>
          <w:szCs w:val="26"/>
        </w:rPr>
        <w:t>Order and</w:t>
      </w:r>
      <w:r w:rsidR="00A4171D" w:rsidRPr="00573761">
        <w:rPr>
          <w:sz w:val="26"/>
          <w:szCs w:val="26"/>
        </w:rPr>
        <w:t xml:space="preserve"> </w:t>
      </w:r>
      <w:r w:rsidR="00B6089A" w:rsidRPr="00573761">
        <w:rPr>
          <w:sz w:val="26"/>
          <w:szCs w:val="26"/>
        </w:rPr>
        <w:t xml:space="preserve">Annex </w:t>
      </w:r>
      <w:r w:rsidR="008F7387" w:rsidRPr="00573761">
        <w:rPr>
          <w:sz w:val="26"/>
          <w:szCs w:val="26"/>
        </w:rPr>
        <w:t xml:space="preserve">A </w:t>
      </w:r>
      <w:r w:rsidR="00E51D50" w:rsidRPr="00573761">
        <w:rPr>
          <w:sz w:val="26"/>
          <w:szCs w:val="26"/>
        </w:rPr>
        <w:t>w</w:t>
      </w:r>
      <w:r w:rsidR="00A4171D" w:rsidRPr="00573761">
        <w:rPr>
          <w:sz w:val="26"/>
          <w:szCs w:val="26"/>
        </w:rPr>
        <w:t>ere</w:t>
      </w:r>
      <w:r w:rsidR="00E51D50" w:rsidRPr="00573761">
        <w:rPr>
          <w:sz w:val="26"/>
          <w:szCs w:val="26"/>
        </w:rPr>
        <w:t xml:space="preserve"> published in the </w:t>
      </w:r>
      <w:r w:rsidR="00E51D50" w:rsidRPr="00573761">
        <w:rPr>
          <w:i/>
          <w:iCs/>
          <w:sz w:val="26"/>
          <w:szCs w:val="26"/>
        </w:rPr>
        <w:t>Pennsylvania Bulletin</w:t>
      </w:r>
      <w:r w:rsidR="00676F73" w:rsidRPr="00573761">
        <w:rPr>
          <w:sz w:val="26"/>
          <w:szCs w:val="26"/>
        </w:rPr>
        <w:t xml:space="preserve"> on March</w:t>
      </w:r>
      <w:r w:rsidR="00044447" w:rsidRPr="00573761">
        <w:rPr>
          <w:sz w:val="26"/>
          <w:szCs w:val="26"/>
        </w:rPr>
        <w:t> </w:t>
      </w:r>
      <w:r w:rsidR="00676F73" w:rsidRPr="00573761">
        <w:rPr>
          <w:sz w:val="26"/>
          <w:szCs w:val="26"/>
        </w:rPr>
        <w:t>2, 2019</w:t>
      </w:r>
      <w:r w:rsidR="00E51D50" w:rsidRPr="00573761">
        <w:rPr>
          <w:sz w:val="26"/>
          <w:szCs w:val="26"/>
        </w:rPr>
        <w:t>.</w:t>
      </w:r>
      <w:r w:rsidR="00E51D50" w:rsidRPr="00573761">
        <w:rPr>
          <w:rStyle w:val="FootnoteReference"/>
          <w:sz w:val="26"/>
          <w:szCs w:val="26"/>
        </w:rPr>
        <w:footnoteReference w:id="2"/>
      </w:r>
      <w:r w:rsidR="00676F73" w:rsidRPr="00573761">
        <w:rPr>
          <w:sz w:val="26"/>
          <w:szCs w:val="26"/>
        </w:rPr>
        <w:t xml:space="preserve">  Comments and replies were submitted by interested parties.  </w:t>
      </w:r>
    </w:p>
    <w:p w14:paraId="4520F03A" w14:textId="77777777" w:rsidR="00B6089A" w:rsidRPr="00573761" w:rsidRDefault="00B6089A" w:rsidP="005E0711">
      <w:pPr>
        <w:spacing w:line="360" w:lineRule="auto"/>
        <w:ind w:firstLine="720"/>
        <w:rPr>
          <w:sz w:val="26"/>
          <w:szCs w:val="26"/>
        </w:rPr>
      </w:pPr>
    </w:p>
    <w:p w14:paraId="0CF19BB3" w14:textId="0BF5F441" w:rsidR="00676F73" w:rsidRPr="00573761" w:rsidRDefault="00165AC4" w:rsidP="005E0711">
      <w:pPr>
        <w:spacing w:line="360" w:lineRule="auto"/>
        <w:ind w:firstLine="720"/>
        <w:rPr>
          <w:sz w:val="26"/>
          <w:szCs w:val="26"/>
        </w:rPr>
      </w:pPr>
      <w:r w:rsidRPr="00573761">
        <w:rPr>
          <w:sz w:val="26"/>
          <w:szCs w:val="26"/>
        </w:rPr>
        <w:t xml:space="preserve">After reviewing </w:t>
      </w:r>
      <w:r w:rsidR="00676F73" w:rsidRPr="00573761">
        <w:rPr>
          <w:sz w:val="26"/>
          <w:szCs w:val="26"/>
        </w:rPr>
        <w:t>the</w:t>
      </w:r>
      <w:r w:rsidRPr="00573761">
        <w:rPr>
          <w:sz w:val="26"/>
          <w:szCs w:val="26"/>
        </w:rPr>
        <w:t xml:space="preserve"> filed</w:t>
      </w:r>
      <w:r w:rsidR="00676F73" w:rsidRPr="00573761">
        <w:rPr>
          <w:sz w:val="26"/>
          <w:szCs w:val="26"/>
        </w:rPr>
        <w:t xml:space="preserve"> comments and replies thereto, t</w:t>
      </w:r>
      <w:r w:rsidR="00676F73" w:rsidRPr="00573761">
        <w:rPr>
          <w:bCs/>
          <w:sz w:val="26"/>
          <w:szCs w:val="26"/>
        </w:rPr>
        <w:t xml:space="preserve">his </w:t>
      </w:r>
      <w:r w:rsidR="00946D60" w:rsidRPr="00573761">
        <w:rPr>
          <w:bCs/>
          <w:sz w:val="26"/>
          <w:szCs w:val="26"/>
        </w:rPr>
        <w:t>O</w:t>
      </w:r>
      <w:r w:rsidR="00676F73" w:rsidRPr="00573761">
        <w:rPr>
          <w:bCs/>
          <w:sz w:val="26"/>
          <w:szCs w:val="26"/>
        </w:rPr>
        <w:t xml:space="preserve">rder </w:t>
      </w:r>
      <w:r w:rsidR="00AC25ED" w:rsidRPr="00573761">
        <w:rPr>
          <w:bCs/>
          <w:sz w:val="26"/>
          <w:szCs w:val="26"/>
        </w:rPr>
        <w:t xml:space="preserve">establishes </w:t>
      </w:r>
      <w:r w:rsidR="00676F73" w:rsidRPr="00573761">
        <w:rPr>
          <w:bCs/>
          <w:sz w:val="26"/>
          <w:szCs w:val="26"/>
        </w:rPr>
        <w:t xml:space="preserve">a </w:t>
      </w:r>
      <w:r w:rsidR="0006488D" w:rsidRPr="00573761">
        <w:rPr>
          <w:bCs/>
          <w:sz w:val="26"/>
          <w:szCs w:val="26"/>
        </w:rPr>
        <w:t>F</w:t>
      </w:r>
      <w:r w:rsidR="00676F73" w:rsidRPr="00573761">
        <w:rPr>
          <w:bCs/>
          <w:sz w:val="26"/>
          <w:szCs w:val="26"/>
        </w:rPr>
        <w:t xml:space="preserve">inal </w:t>
      </w:r>
      <w:r w:rsidR="0006488D" w:rsidRPr="00573761">
        <w:rPr>
          <w:bCs/>
          <w:sz w:val="26"/>
          <w:szCs w:val="26"/>
        </w:rPr>
        <w:t>P</w:t>
      </w:r>
      <w:r w:rsidR="00676F73" w:rsidRPr="00573761">
        <w:rPr>
          <w:bCs/>
          <w:sz w:val="26"/>
          <w:szCs w:val="26"/>
        </w:rPr>
        <w:t xml:space="preserve">olicy </w:t>
      </w:r>
      <w:r w:rsidR="0006488D" w:rsidRPr="00573761">
        <w:rPr>
          <w:bCs/>
          <w:sz w:val="26"/>
          <w:szCs w:val="26"/>
        </w:rPr>
        <w:t>S</w:t>
      </w:r>
      <w:r w:rsidR="00676F73" w:rsidRPr="00573761">
        <w:rPr>
          <w:bCs/>
          <w:sz w:val="26"/>
          <w:szCs w:val="26"/>
        </w:rPr>
        <w:t xml:space="preserve">tatement </w:t>
      </w:r>
      <w:r w:rsidR="00252948" w:rsidRPr="00573761">
        <w:rPr>
          <w:bCs/>
          <w:sz w:val="26"/>
          <w:szCs w:val="26"/>
        </w:rPr>
        <w:t xml:space="preserve">set forth in attached Annex A </w:t>
      </w:r>
      <w:r w:rsidR="00AC25ED" w:rsidRPr="00573761">
        <w:rPr>
          <w:bCs/>
          <w:sz w:val="26"/>
          <w:szCs w:val="26"/>
        </w:rPr>
        <w:t xml:space="preserve">that amends Chapter 69 </w:t>
      </w:r>
      <w:r w:rsidR="000634FF" w:rsidRPr="00573761">
        <w:rPr>
          <w:bCs/>
          <w:sz w:val="26"/>
          <w:szCs w:val="26"/>
        </w:rPr>
        <w:t xml:space="preserve">of </w:t>
      </w:r>
      <w:r w:rsidR="00AC25ED" w:rsidRPr="00573761">
        <w:rPr>
          <w:bCs/>
          <w:sz w:val="26"/>
          <w:szCs w:val="26"/>
        </w:rPr>
        <w:t xml:space="preserve">our regulations.  The Final Policy Statement provides guidance to </w:t>
      </w:r>
      <w:r w:rsidRPr="00573761">
        <w:rPr>
          <w:bCs/>
          <w:sz w:val="26"/>
          <w:szCs w:val="26"/>
        </w:rPr>
        <w:t>all j</w:t>
      </w:r>
      <w:r w:rsidR="00676F73" w:rsidRPr="00573761">
        <w:rPr>
          <w:bCs/>
          <w:sz w:val="26"/>
          <w:szCs w:val="26"/>
        </w:rPr>
        <w:t xml:space="preserve">urisdictional </w:t>
      </w:r>
      <w:r w:rsidRPr="00573761">
        <w:rPr>
          <w:bCs/>
          <w:sz w:val="26"/>
          <w:szCs w:val="26"/>
        </w:rPr>
        <w:t>telecommunication</w:t>
      </w:r>
      <w:r w:rsidR="0000115E" w:rsidRPr="00573761">
        <w:rPr>
          <w:bCs/>
          <w:sz w:val="26"/>
          <w:szCs w:val="26"/>
        </w:rPr>
        <w:t>s</w:t>
      </w:r>
      <w:r w:rsidRPr="00573761">
        <w:rPr>
          <w:bCs/>
          <w:sz w:val="26"/>
          <w:szCs w:val="26"/>
        </w:rPr>
        <w:t xml:space="preserve"> services </w:t>
      </w:r>
      <w:r w:rsidR="00676F73" w:rsidRPr="00573761">
        <w:rPr>
          <w:bCs/>
          <w:sz w:val="26"/>
          <w:szCs w:val="26"/>
        </w:rPr>
        <w:t xml:space="preserve">providers </w:t>
      </w:r>
      <w:r w:rsidR="00AC25ED" w:rsidRPr="00573761">
        <w:rPr>
          <w:bCs/>
          <w:sz w:val="26"/>
          <w:szCs w:val="26"/>
        </w:rPr>
        <w:t xml:space="preserve">that they </w:t>
      </w:r>
      <w:r w:rsidRPr="00573761">
        <w:rPr>
          <w:bCs/>
          <w:sz w:val="26"/>
          <w:szCs w:val="26"/>
        </w:rPr>
        <w:t>are legally obligated to report</w:t>
      </w:r>
      <w:r w:rsidR="00627BB0" w:rsidRPr="00573761">
        <w:rPr>
          <w:bCs/>
          <w:sz w:val="26"/>
          <w:szCs w:val="26"/>
        </w:rPr>
        <w:t>, for assessment purposes,</w:t>
      </w:r>
      <w:r w:rsidRPr="00573761">
        <w:rPr>
          <w:bCs/>
          <w:sz w:val="26"/>
          <w:szCs w:val="26"/>
        </w:rPr>
        <w:t xml:space="preserve"> their </w:t>
      </w:r>
      <w:r w:rsidRPr="00573761">
        <w:rPr>
          <w:bCs/>
          <w:i/>
          <w:sz w:val="26"/>
          <w:szCs w:val="26"/>
        </w:rPr>
        <w:t>de facto</w:t>
      </w:r>
      <w:r w:rsidRPr="00573761">
        <w:rPr>
          <w:bCs/>
          <w:sz w:val="26"/>
          <w:szCs w:val="26"/>
        </w:rPr>
        <w:t xml:space="preserve"> gross intrastate operating revenues for </w:t>
      </w:r>
      <w:r w:rsidR="00676F73" w:rsidRPr="00573761">
        <w:rPr>
          <w:bCs/>
          <w:sz w:val="26"/>
          <w:szCs w:val="26"/>
        </w:rPr>
        <w:t xml:space="preserve">special access </w:t>
      </w:r>
      <w:r w:rsidRPr="00573761">
        <w:rPr>
          <w:bCs/>
          <w:sz w:val="26"/>
          <w:szCs w:val="26"/>
        </w:rPr>
        <w:t xml:space="preserve">services and </w:t>
      </w:r>
      <w:r w:rsidR="00676F73" w:rsidRPr="00573761">
        <w:rPr>
          <w:bCs/>
          <w:sz w:val="26"/>
          <w:szCs w:val="26"/>
        </w:rPr>
        <w:t>other similar jurisdictionally-mixed telecommunications services with the Commission on March 31</w:t>
      </w:r>
      <w:r w:rsidR="00676F73" w:rsidRPr="00573761">
        <w:rPr>
          <w:bCs/>
          <w:sz w:val="26"/>
          <w:szCs w:val="26"/>
          <w:vertAlign w:val="superscript"/>
        </w:rPr>
        <w:t>st</w:t>
      </w:r>
      <w:r w:rsidR="00676F73" w:rsidRPr="00573761">
        <w:rPr>
          <w:bCs/>
          <w:sz w:val="26"/>
          <w:szCs w:val="26"/>
        </w:rPr>
        <w:t xml:space="preserve"> of each year </w:t>
      </w:r>
      <w:r w:rsidRPr="00573761">
        <w:rPr>
          <w:bCs/>
          <w:sz w:val="26"/>
          <w:szCs w:val="26"/>
        </w:rPr>
        <w:t xml:space="preserve">in order </w:t>
      </w:r>
      <w:r w:rsidR="005E0711" w:rsidRPr="00573761">
        <w:rPr>
          <w:bCs/>
          <w:sz w:val="26"/>
          <w:szCs w:val="26"/>
        </w:rPr>
        <w:t xml:space="preserve">to recover the </w:t>
      </w:r>
      <w:r w:rsidR="005E0711" w:rsidRPr="00573761">
        <w:rPr>
          <w:sz w:val="26"/>
          <w:szCs w:val="20"/>
        </w:rPr>
        <w:t xml:space="preserve">reasonable share of the costs of administering the </w:t>
      </w:r>
      <w:r w:rsidRPr="00573761">
        <w:rPr>
          <w:sz w:val="26"/>
          <w:szCs w:val="20"/>
        </w:rPr>
        <w:t>Code</w:t>
      </w:r>
      <w:r w:rsidR="00676F73" w:rsidRPr="00573761">
        <w:rPr>
          <w:bCs/>
          <w:sz w:val="26"/>
          <w:szCs w:val="26"/>
        </w:rPr>
        <w:t xml:space="preserve">.  </w:t>
      </w:r>
    </w:p>
    <w:p w14:paraId="5FF6043E" w14:textId="047297E1" w:rsidR="00E51D50" w:rsidRPr="00573761" w:rsidRDefault="00E51D50" w:rsidP="00E51D50">
      <w:pPr>
        <w:spacing w:line="360" w:lineRule="auto"/>
        <w:rPr>
          <w:sz w:val="26"/>
          <w:szCs w:val="26"/>
        </w:rPr>
      </w:pPr>
    </w:p>
    <w:bookmarkEnd w:id="2"/>
    <w:bookmarkEnd w:id="3"/>
    <w:p w14:paraId="3239D5FF" w14:textId="49D4D893" w:rsidR="005E0711" w:rsidRPr="00573761" w:rsidRDefault="00A25C75" w:rsidP="00A25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sz w:val="26"/>
          <w:szCs w:val="20"/>
        </w:rPr>
      </w:pPr>
      <w:r w:rsidRPr="00573761">
        <w:rPr>
          <w:b/>
          <w:bCs/>
          <w:sz w:val="26"/>
          <w:szCs w:val="20"/>
        </w:rPr>
        <w:t>BACKGROUND</w:t>
      </w:r>
    </w:p>
    <w:p w14:paraId="02FFC020" w14:textId="34CD7DD3" w:rsidR="00700BFC" w:rsidRPr="00573761" w:rsidRDefault="00B6089A" w:rsidP="003D0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0"/>
        </w:rPr>
      </w:pPr>
      <w:r w:rsidRPr="00573761">
        <w:rPr>
          <w:bCs/>
          <w:color w:val="000000"/>
          <w:sz w:val="26"/>
          <w:szCs w:val="26"/>
        </w:rPr>
        <w:tab/>
        <w:t xml:space="preserve">Pursuant to the Code, the Commission has regulatory authority over all public utilities and certain licensed entities operating and providing service to the public in Pennsylvania.  This </w:t>
      </w:r>
      <w:r w:rsidR="00DB0E89" w:rsidRPr="00573761">
        <w:rPr>
          <w:bCs/>
          <w:color w:val="000000"/>
          <w:sz w:val="26"/>
          <w:szCs w:val="26"/>
        </w:rPr>
        <w:t xml:space="preserve">plenary </w:t>
      </w:r>
      <w:r w:rsidRPr="00573761">
        <w:rPr>
          <w:bCs/>
          <w:color w:val="000000"/>
          <w:sz w:val="26"/>
          <w:szCs w:val="26"/>
        </w:rPr>
        <w:t xml:space="preserve">regulatory authority grants the Commission the authority to </w:t>
      </w:r>
      <w:r w:rsidR="008F3994" w:rsidRPr="00573761">
        <w:rPr>
          <w:sz w:val="26"/>
          <w:szCs w:val="20"/>
        </w:rPr>
        <w:t xml:space="preserve">impose </w:t>
      </w:r>
      <w:r w:rsidR="00165AC4" w:rsidRPr="00573761">
        <w:rPr>
          <w:sz w:val="26"/>
          <w:szCs w:val="20"/>
        </w:rPr>
        <w:t xml:space="preserve">annual fiscal </w:t>
      </w:r>
      <w:r w:rsidR="008F3994" w:rsidRPr="00573761">
        <w:rPr>
          <w:sz w:val="26"/>
          <w:szCs w:val="20"/>
        </w:rPr>
        <w:t xml:space="preserve">assessments upon </w:t>
      </w:r>
      <w:r w:rsidRPr="00573761">
        <w:rPr>
          <w:sz w:val="26"/>
          <w:szCs w:val="20"/>
        </w:rPr>
        <w:t xml:space="preserve">jurisdictional telecommunications </w:t>
      </w:r>
      <w:r w:rsidR="008F3994" w:rsidRPr="00573761">
        <w:rPr>
          <w:sz w:val="26"/>
          <w:szCs w:val="20"/>
        </w:rPr>
        <w:t xml:space="preserve">carriers </w:t>
      </w:r>
      <w:r w:rsidR="00E51A02" w:rsidRPr="00573761">
        <w:rPr>
          <w:sz w:val="26"/>
          <w:szCs w:val="20"/>
        </w:rPr>
        <w:t xml:space="preserve">in order for the Commission </w:t>
      </w:r>
      <w:r w:rsidR="008F3994" w:rsidRPr="00573761">
        <w:rPr>
          <w:sz w:val="26"/>
          <w:szCs w:val="20"/>
        </w:rPr>
        <w:t xml:space="preserve">to </w:t>
      </w:r>
      <w:r w:rsidR="00165AC4" w:rsidRPr="00573761">
        <w:rPr>
          <w:sz w:val="26"/>
          <w:szCs w:val="20"/>
        </w:rPr>
        <w:t>re</w:t>
      </w:r>
      <w:r w:rsidR="008F3994" w:rsidRPr="00573761">
        <w:rPr>
          <w:sz w:val="26"/>
          <w:szCs w:val="20"/>
        </w:rPr>
        <w:t>cover the</w:t>
      </w:r>
      <w:r w:rsidR="00E51A02" w:rsidRPr="00573761">
        <w:rPr>
          <w:sz w:val="26"/>
          <w:szCs w:val="20"/>
        </w:rPr>
        <w:t>se carriers’</w:t>
      </w:r>
      <w:r w:rsidR="008F3994" w:rsidRPr="00573761">
        <w:rPr>
          <w:sz w:val="26"/>
          <w:szCs w:val="20"/>
        </w:rPr>
        <w:t xml:space="preserve"> “reasonable share” of the costs of administering the Code.  </w:t>
      </w:r>
      <w:r w:rsidR="008F3994" w:rsidRPr="00573761">
        <w:rPr>
          <w:i/>
          <w:iCs/>
          <w:sz w:val="26"/>
          <w:szCs w:val="20"/>
        </w:rPr>
        <w:t>See</w:t>
      </w:r>
      <w:r w:rsidR="008F3994" w:rsidRPr="00573761">
        <w:rPr>
          <w:sz w:val="26"/>
          <w:szCs w:val="20"/>
        </w:rPr>
        <w:t xml:space="preserve"> 66 Pa. C.S. § 510.  However, o</w:t>
      </w:r>
      <w:r w:rsidR="005E0711" w:rsidRPr="00573761">
        <w:rPr>
          <w:sz w:val="26"/>
          <w:szCs w:val="20"/>
        </w:rPr>
        <w:t>ver time, the Commission’s Fiscal Office</w:t>
      </w:r>
      <w:r w:rsidR="00E51A02" w:rsidRPr="00573761">
        <w:rPr>
          <w:sz w:val="26"/>
          <w:szCs w:val="20"/>
        </w:rPr>
        <w:t xml:space="preserve"> and</w:t>
      </w:r>
      <w:r w:rsidR="005E0711" w:rsidRPr="00573761">
        <w:rPr>
          <w:sz w:val="26"/>
          <w:szCs w:val="20"/>
        </w:rPr>
        <w:t xml:space="preserve"> the Bureaus of Technical Utility Services, Investigation &amp; </w:t>
      </w:r>
      <w:r w:rsidR="005E0711" w:rsidRPr="00573761">
        <w:rPr>
          <w:sz w:val="26"/>
          <w:szCs w:val="20"/>
        </w:rPr>
        <w:lastRenderedPageBreak/>
        <w:t xml:space="preserve">Enforcement, Audits, and Law (Staff) identified some telecommunications carriers certificated as </w:t>
      </w:r>
      <w:r w:rsidR="00946D60" w:rsidRPr="00573761">
        <w:rPr>
          <w:sz w:val="26"/>
          <w:szCs w:val="20"/>
        </w:rPr>
        <w:t>Competitive Access Providers (</w:t>
      </w:r>
      <w:r w:rsidR="005E0711" w:rsidRPr="00573761">
        <w:rPr>
          <w:sz w:val="26"/>
          <w:szCs w:val="20"/>
        </w:rPr>
        <w:t>CAPs</w:t>
      </w:r>
      <w:r w:rsidR="00946D60" w:rsidRPr="00573761">
        <w:rPr>
          <w:sz w:val="26"/>
          <w:szCs w:val="20"/>
        </w:rPr>
        <w:t>)</w:t>
      </w:r>
      <w:r w:rsidR="005E0711" w:rsidRPr="00573761">
        <w:rPr>
          <w:sz w:val="26"/>
          <w:szCs w:val="20"/>
        </w:rPr>
        <w:t xml:space="preserve"> who </w:t>
      </w:r>
      <w:r w:rsidR="00684651" w:rsidRPr="00573761">
        <w:rPr>
          <w:sz w:val="26"/>
          <w:szCs w:val="20"/>
        </w:rPr>
        <w:t xml:space="preserve">have </w:t>
      </w:r>
      <w:r w:rsidR="005E0711" w:rsidRPr="00573761">
        <w:rPr>
          <w:sz w:val="26"/>
          <w:szCs w:val="20"/>
        </w:rPr>
        <w:t>reported revenues inconsistently or repeatedly reported zero intrastate revenues.</w:t>
      </w:r>
      <w:r w:rsidR="00684651" w:rsidRPr="00573761">
        <w:rPr>
          <w:sz w:val="26"/>
          <w:szCs w:val="20"/>
        </w:rPr>
        <w:t xml:space="preserve">  </w:t>
      </w:r>
      <w:r w:rsidR="00700BFC" w:rsidRPr="00573761">
        <w:rPr>
          <w:sz w:val="26"/>
          <w:szCs w:val="20"/>
        </w:rPr>
        <w:t>T</w:t>
      </w:r>
      <w:r w:rsidR="005E0711" w:rsidRPr="00573761">
        <w:rPr>
          <w:sz w:val="26"/>
          <w:szCs w:val="20"/>
        </w:rPr>
        <w:t>he</w:t>
      </w:r>
      <w:r w:rsidR="005E0711" w:rsidRPr="00573761">
        <w:rPr>
          <w:sz w:val="26"/>
          <w:szCs w:val="20"/>
          <w:lang w:val="en"/>
        </w:rPr>
        <w:t xml:space="preserve"> Commission requested </w:t>
      </w:r>
      <w:r w:rsidR="005E0711" w:rsidRPr="00573761">
        <w:rPr>
          <w:sz w:val="26"/>
          <w:szCs w:val="20"/>
        </w:rPr>
        <w:t xml:space="preserve">Staff to undertake an inquiry to examine the carriers’ claims of zero intrastate revenues.  </w:t>
      </w:r>
    </w:p>
    <w:p w14:paraId="77321ED4" w14:textId="77777777" w:rsidR="00700BFC" w:rsidRPr="00573761" w:rsidRDefault="00700BFC" w:rsidP="005E0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0"/>
        </w:rPr>
      </w:pPr>
    </w:p>
    <w:p w14:paraId="41082739" w14:textId="4A60D8A6" w:rsidR="005E0711" w:rsidRPr="00573761" w:rsidRDefault="00700BFC" w:rsidP="005E0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0"/>
        </w:rPr>
      </w:pPr>
      <w:r w:rsidRPr="00573761">
        <w:rPr>
          <w:sz w:val="26"/>
          <w:szCs w:val="20"/>
        </w:rPr>
        <w:tab/>
      </w:r>
      <w:r w:rsidR="005E0711" w:rsidRPr="00573761">
        <w:rPr>
          <w:sz w:val="26"/>
          <w:szCs w:val="20"/>
        </w:rPr>
        <w:t xml:space="preserve">As part of this inquiry, on September 7, 2018, Staff issued </w:t>
      </w:r>
      <w:r w:rsidR="00A97FEB" w:rsidRPr="00573761">
        <w:rPr>
          <w:sz w:val="26"/>
          <w:szCs w:val="20"/>
        </w:rPr>
        <w:t xml:space="preserve">a Secretarial Letter </w:t>
      </w:r>
      <w:r w:rsidR="005E0711" w:rsidRPr="00573761">
        <w:rPr>
          <w:sz w:val="26"/>
          <w:szCs w:val="20"/>
        </w:rPr>
        <w:t xml:space="preserve">to all carriers who reported zero intrastate revenues setting forth a comprehensive set of inquiries examining the basis for some carriers’ claims of zero intrastate revenues.  Specifically, Staff sought information necessary to examine the factual </w:t>
      </w:r>
      <w:r w:rsidR="00717F26" w:rsidRPr="00573761">
        <w:rPr>
          <w:sz w:val="26"/>
          <w:szCs w:val="20"/>
        </w:rPr>
        <w:t>bas</w:t>
      </w:r>
      <w:r w:rsidR="00E51A02" w:rsidRPr="00573761">
        <w:rPr>
          <w:sz w:val="26"/>
          <w:szCs w:val="20"/>
        </w:rPr>
        <w:t>e</w:t>
      </w:r>
      <w:r w:rsidR="00717F26" w:rsidRPr="00573761">
        <w:rPr>
          <w:sz w:val="26"/>
          <w:szCs w:val="20"/>
        </w:rPr>
        <w:t xml:space="preserve">s </w:t>
      </w:r>
      <w:r w:rsidR="005E0711" w:rsidRPr="00573761">
        <w:rPr>
          <w:sz w:val="26"/>
          <w:szCs w:val="20"/>
        </w:rPr>
        <w:t>and analyze the legal theories underlying the carriers’ claims of zero reportable intrastate revenue.  As their legal basis, a majority of the zero reporters referred to the FCC’s ten percent contamination rule (discussed in more detail below) as their rationale and justification for reporting zero intrastate revenues to the Commission.</w:t>
      </w:r>
    </w:p>
    <w:p w14:paraId="70D58A00" w14:textId="77777777" w:rsidR="005E0711" w:rsidRPr="00573761" w:rsidRDefault="005E0711" w:rsidP="005E0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6"/>
          <w:szCs w:val="20"/>
        </w:rPr>
      </w:pPr>
    </w:p>
    <w:p w14:paraId="2DEE5FB0" w14:textId="619ECCF2" w:rsidR="00195879" w:rsidRPr="00573761" w:rsidRDefault="008F3994" w:rsidP="004C4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0"/>
        </w:rPr>
      </w:pPr>
      <w:r w:rsidRPr="00573761">
        <w:rPr>
          <w:sz w:val="26"/>
          <w:szCs w:val="20"/>
        </w:rPr>
        <w:tab/>
      </w:r>
      <w:r w:rsidR="00195879" w:rsidRPr="00573761">
        <w:rPr>
          <w:sz w:val="26"/>
          <w:szCs w:val="20"/>
        </w:rPr>
        <w:t>The Commission issued a</w:t>
      </w:r>
      <w:r w:rsidR="00252948" w:rsidRPr="00573761">
        <w:rPr>
          <w:sz w:val="26"/>
          <w:szCs w:val="20"/>
        </w:rPr>
        <w:t xml:space="preserve">n Order to </w:t>
      </w:r>
      <w:r w:rsidR="00E57F4A" w:rsidRPr="00573761">
        <w:rPr>
          <w:sz w:val="26"/>
          <w:szCs w:val="20"/>
        </w:rPr>
        <w:t xml:space="preserve">establish </w:t>
      </w:r>
      <w:r w:rsidR="00252948" w:rsidRPr="00573761">
        <w:rPr>
          <w:sz w:val="26"/>
          <w:szCs w:val="20"/>
        </w:rPr>
        <w:t xml:space="preserve">a </w:t>
      </w:r>
      <w:r w:rsidR="00D15CDE">
        <w:rPr>
          <w:i/>
          <w:sz w:val="26"/>
          <w:szCs w:val="20"/>
        </w:rPr>
        <w:t>P</w:t>
      </w:r>
      <w:r w:rsidR="00252948" w:rsidRPr="00D15CDE">
        <w:rPr>
          <w:i/>
          <w:sz w:val="26"/>
          <w:szCs w:val="20"/>
        </w:rPr>
        <w:t xml:space="preserve">roposed </w:t>
      </w:r>
      <w:r w:rsidR="00D15CDE">
        <w:rPr>
          <w:i/>
          <w:sz w:val="26"/>
          <w:szCs w:val="20"/>
        </w:rPr>
        <w:t>P</w:t>
      </w:r>
      <w:r w:rsidR="00252948" w:rsidRPr="00D15CDE">
        <w:rPr>
          <w:i/>
          <w:sz w:val="26"/>
          <w:szCs w:val="20"/>
        </w:rPr>
        <w:t xml:space="preserve">olicy </w:t>
      </w:r>
      <w:r w:rsidR="00D15CDE">
        <w:rPr>
          <w:i/>
          <w:sz w:val="26"/>
          <w:szCs w:val="20"/>
        </w:rPr>
        <w:t>S</w:t>
      </w:r>
      <w:r w:rsidR="00252948" w:rsidRPr="00D15CDE">
        <w:rPr>
          <w:i/>
          <w:sz w:val="26"/>
          <w:szCs w:val="20"/>
        </w:rPr>
        <w:t>tatement</w:t>
      </w:r>
      <w:r w:rsidR="00252948" w:rsidRPr="00573761">
        <w:rPr>
          <w:i/>
          <w:iCs/>
          <w:sz w:val="26"/>
          <w:szCs w:val="20"/>
        </w:rPr>
        <w:t xml:space="preserve"> </w:t>
      </w:r>
      <w:r w:rsidR="00195879" w:rsidRPr="00573761">
        <w:rPr>
          <w:sz w:val="26"/>
          <w:szCs w:val="20"/>
        </w:rPr>
        <w:t>on the reporting of gross intrastate operating revenues for purposes of calculating assessments under 66 Pa. C.S. §</w:t>
      </w:r>
      <w:r w:rsidR="00C63784" w:rsidRPr="00573761">
        <w:rPr>
          <w:sz w:val="26"/>
          <w:szCs w:val="20"/>
        </w:rPr>
        <w:t> </w:t>
      </w:r>
      <w:r w:rsidR="00195879" w:rsidRPr="00573761">
        <w:rPr>
          <w:sz w:val="26"/>
          <w:szCs w:val="20"/>
        </w:rPr>
        <w:t>510 by regulated telecommunications carriers in Pennsylvania that offer special access or other</w:t>
      </w:r>
      <w:r w:rsidR="00E055A1" w:rsidRPr="00573761">
        <w:rPr>
          <w:sz w:val="26"/>
          <w:szCs w:val="20"/>
        </w:rPr>
        <w:t xml:space="preserve"> services the Commission terms “jurisdictionally-mixed.”</w:t>
      </w:r>
      <w:r w:rsidR="00195879" w:rsidRPr="00573761">
        <w:rPr>
          <w:sz w:val="26"/>
          <w:szCs w:val="20"/>
        </w:rPr>
        <w:t xml:space="preserve"> </w:t>
      </w:r>
      <w:r w:rsidR="00A97FEB" w:rsidRPr="00573761">
        <w:rPr>
          <w:sz w:val="26"/>
          <w:szCs w:val="20"/>
        </w:rPr>
        <w:t xml:space="preserve"> </w:t>
      </w:r>
      <w:r w:rsidR="00195879" w:rsidRPr="00573761">
        <w:rPr>
          <w:sz w:val="26"/>
          <w:szCs w:val="20"/>
        </w:rPr>
        <w:t xml:space="preserve">Specifically, the </w:t>
      </w:r>
      <w:r w:rsidR="00E57F4A" w:rsidRPr="00573761">
        <w:rPr>
          <w:sz w:val="26"/>
          <w:szCs w:val="20"/>
        </w:rPr>
        <w:t xml:space="preserve">Order </w:t>
      </w:r>
      <w:r w:rsidR="00195879" w:rsidRPr="00573761">
        <w:rPr>
          <w:sz w:val="26"/>
          <w:szCs w:val="20"/>
        </w:rPr>
        <w:t xml:space="preserve">set forth the Commission’s determination that pursuant to Section 510 of the Code, 66 Pa. C.S. § 510, jurisdictional providers of special access services or other similar jurisdictionally-mixed telecommunications services have an obligation to report their </w:t>
      </w:r>
      <w:r w:rsidR="00195879" w:rsidRPr="00573761">
        <w:rPr>
          <w:i/>
          <w:sz w:val="26"/>
          <w:szCs w:val="20"/>
        </w:rPr>
        <w:t>de facto</w:t>
      </w:r>
      <w:r w:rsidR="00195879" w:rsidRPr="00573761">
        <w:rPr>
          <w:sz w:val="26"/>
          <w:szCs w:val="20"/>
        </w:rPr>
        <w:t xml:space="preserve"> gross intrastate operating revenues on these telecommunications services, as part of their gross intrastate operating revenues, in order to pay their reasonable share of the costs of administering the Code.  Further, </w:t>
      </w:r>
      <w:r w:rsidR="00E57F4A" w:rsidRPr="00573761">
        <w:rPr>
          <w:sz w:val="26"/>
          <w:szCs w:val="20"/>
        </w:rPr>
        <w:t xml:space="preserve">in the Order, </w:t>
      </w:r>
      <w:r w:rsidR="00195879" w:rsidRPr="00573761">
        <w:rPr>
          <w:sz w:val="26"/>
          <w:szCs w:val="20"/>
        </w:rPr>
        <w:t>the Commission determined that the FCC’s ten percent contamination rule does not preempt or otherwise preclude jurisdictional carriers from reporting gross intrastate operating revenues on all telecommunications services, including special access or other similar jurisdictionally-mixed telecommunications services.</w:t>
      </w:r>
    </w:p>
    <w:p w14:paraId="3AB2DEA7" w14:textId="20ECCFB5" w:rsidR="004C4D15" w:rsidRPr="00573761" w:rsidRDefault="004C4D15" w:rsidP="004C4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0"/>
        </w:rPr>
      </w:pPr>
      <w:r w:rsidRPr="00573761">
        <w:rPr>
          <w:sz w:val="26"/>
          <w:szCs w:val="20"/>
        </w:rPr>
        <w:lastRenderedPageBreak/>
        <w:tab/>
      </w:r>
      <w:r w:rsidR="00E57F4A" w:rsidRPr="00573761">
        <w:rPr>
          <w:sz w:val="26"/>
          <w:szCs w:val="20"/>
        </w:rPr>
        <w:t xml:space="preserve">Attached to the Order in Annex A was a </w:t>
      </w:r>
      <w:r w:rsidR="00195879" w:rsidRPr="00D15CDE">
        <w:rPr>
          <w:i/>
          <w:sz w:val="26"/>
          <w:szCs w:val="20"/>
        </w:rPr>
        <w:t>Proposed Policy Statement</w:t>
      </w:r>
      <w:r w:rsidR="00252948" w:rsidRPr="00573761">
        <w:rPr>
          <w:sz w:val="26"/>
          <w:szCs w:val="20"/>
        </w:rPr>
        <w:t xml:space="preserve"> </w:t>
      </w:r>
      <w:r w:rsidR="00E57F4A" w:rsidRPr="00573761">
        <w:rPr>
          <w:sz w:val="26"/>
          <w:szCs w:val="20"/>
        </w:rPr>
        <w:t xml:space="preserve">that </w:t>
      </w:r>
      <w:r w:rsidR="00946D60" w:rsidRPr="00573761">
        <w:rPr>
          <w:sz w:val="26"/>
          <w:szCs w:val="20"/>
        </w:rPr>
        <w:t>amend</w:t>
      </w:r>
      <w:r w:rsidR="00252948" w:rsidRPr="00573761">
        <w:rPr>
          <w:sz w:val="26"/>
          <w:szCs w:val="20"/>
        </w:rPr>
        <w:t>ed</w:t>
      </w:r>
      <w:r w:rsidR="00DB0E89" w:rsidRPr="00573761">
        <w:rPr>
          <w:sz w:val="26"/>
          <w:szCs w:val="20"/>
        </w:rPr>
        <w:t xml:space="preserve"> Chapter 69 of its regulation</w:t>
      </w:r>
      <w:r w:rsidR="00946D60" w:rsidRPr="00573761">
        <w:rPr>
          <w:sz w:val="26"/>
          <w:szCs w:val="20"/>
        </w:rPr>
        <w:t>s</w:t>
      </w:r>
      <w:r w:rsidR="00195879" w:rsidRPr="00573761">
        <w:rPr>
          <w:sz w:val="26"/>
          <w:szCs w:val="20"/>
        </w:rPr>
        <w:t xml:space="preserve"> </w:t>
      </w:r>
      <w:r w:rsidR="00946D60" w:rsidRPr="00573761">
        <w:rPr>
          <w:sz w:val="26"/>
          <w:szCs w:val="20"/>
        </w:rPr>
        <w:t>by adding</w:t>
      </w:r>
      <w:r w:rsidR="00DB0E89" w:rsidRPr="00573761">
        <w:rPr>
          <w:sz w:val="26"/>
          <w:szCs w:val="20"/>
        </w:rPr>
        <w:t xml:space="preserve"> Section 69.3701</w:t>
      </w:r>
      <w:r w:rsidR="00E51A02" w:rsidRPr="00573761">
        <w:rPr>
          <w:sz w:val="26"/>
          <w:szCs w:val="20"/>
        </w:rPr>
        <w:t xml:space="preserve">. The goal of the proposal was </w:t>
      </w:r>
      <w:r w:rsidR="00DB0E89" w:rsidRPr="00573761">
        <w:rPr>
          <w:sz w:val="26"/>
          <w:szCs w:val="20"/>
        </w:rPr>
        <w:t xml:space="preserve">to provide guidance to those jurisdictional carriers who </w:t>
      </w:r>
      <w:r w:rsidR="00221F58" w:rsidRPr="00573761">
        <w:rPr>
          <w:sz w:val="26"/>
          <w:szCs w:val="20"/>
        </w:rPr>
        <w:t>may not be reporting such revenues from special access or other similar jurisdictionally-mixed telecommunications services</w:t>
      </w:r>
      <w:r w:rsidRPr="00573761">
        <w:rPr>
          <w:sz w:val="26"/>
          <w:szCs w:val="20"/>
        </w:rPr>
        <w:t xml:space="preserve"> due to their reliance on the ten percent rule.  </w:t>
      </w:r>
    </w:p>
    <w:p w14:paraId="106E65FD" w14:textId="48E2CF3E" w:rsidR="00067632" w:rsidRPr="00573761" w:rsidRDefault="00067632" w:rsidP="00700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0"/>
        </w:rPr>
      </w:pPr>
    </w:p>
    <w:p w14:paraId="43B58FA3" w14:textId="39DB508D" w:rsidR="00F8330F" w:rsidRPr="00573761" w:rsidRDefault="004C4D15" w:rsidP="00F83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color w:val="000000"/>
          <w:sz w:val="26"/>
          <w:szCs w:val="26"/>
        </w:rPr>
      </w:pPr>
      <w:r w:rsidRPr="00573761">
        <w:rPr>
          <w:color w:val="000000"/>
          <w:sz w:val="26"/>
          <w:szCs w:val="26"/>
        </w:rPr>
        <w:tab/>
        <w:t>T</w:t>
      </w:r>
      <w:r w:rsidR="00700BFC" w:rsidRPr="00573761">
        <w:rPr>
          <w:color w:val="000000"/>
          <w:sz w:val="26"/>
          <w:szCs w:val="26"/>
        </w:rPr>
        <w:t>he Commission</w:t>
      </w:r>
      <w:r w:rsidRPr="00573761">
        <w:rPr>
          <w:color w:val="000000"/>
          <w:sz w:val="26"/>
          <w:szCs w:val="26"/>
        </w:rPr>
        <w:t xml:space="preserve"> </w:t>
      </w:r>
      <w:r w:rsidR="00700BFC" w:rsidRPr="00573761">
        <w:rPr>
          <w:color w:val="000000"/>
          <w:sz w:val="26"/>
          <w:szCs w:val="26"/>
        </w:rPr>
        <w:t xml:space="preserve">requested interested parties to file comments and replies </w:t>
      </w:r>
      <w:r w:rsidRPr="00573761">
        <w:rPr>
          <w:color w:val="000000"/>
          <w:sz w:val="26"/>
          <w:szCs w:val="26"/>
        </w:rPr>
        <w:t xml:space="preserve">to the </w:t>
      </w:r>
      <w:r w:rsidR="00A97FEB" w:rsidRPr="00573761">
        <w:rPr>
          <w:color w:val="000000"/>
          <w:sz w:val="26"/>
          <w:szCs w:val="26"/>
        </w:rPr>
        <w:t>O</w:t>
      </w:r>
      <w:r w:rsidR="00946D60" w:rsidRPr="00573761">
        <w:rPr>
          <w:color w:val="000000"/>
          <w:sz w:val="26"/>
          <w:szCs w:val="26"/>
        </w:rPr>
        <w:t xml:space="preserve">rder </w:t>
      </w:r>
      <w:r w:rsidRPr="00573761">
        <w:rPr>
          <w:color w:val="000000"/>
          <w:sz w:val="26"/>
          <w:szCs w:val="26"/>
        </w:rPr>
        <w:t>and Annex</w:t>
      </w:r>
      <w:r w:rsidR="00A97FEB" w:rsidRPr="00573761">
        <w:rPr>
          <w:color w:val="000000"/>
          <w:sz w:val="26"/>
          <w:szCs w:val="26"/>
        </w:rPr>
        <w:t xml:space="preserve"> A</w:t>
      </w:r>
      <w:r w:rsidR="00700BFC" w:rsidRPr="00573761">
        <w:rPr>
          <w:color w:val="000000"/>
          <w:sz w:val="26"/>
          <w:szCs w:val="26"/>
        </w:rPr>
        <w:t xml:space="preserve">.  Comments were filed by the Broadband Cable Association of Pennsylvania, Inc. (BCAP), </w:t>
      </w:r>
      <w:r w:rsidR="00F46AD8" w:rsidRPr="00573761">
        <w:rPr>
          <w:color w:val="000000"/>
          <w:sz w:val="26"/>
          <w:szCs w:val="26"/>
        </w:rPr>
        <w:t xml:space="preserve">the Pennsylvania Telephone Association (PTA), </w:t>
      </w:r>
      <w:r w:rsidR="00700BFC" w:rsidRPr="00573761">
        <w:rPr>
          <w:color w:val="000000"/>
          <w:sz w:val="26"/>
          <w:szCs w:val="26"/>
        </w:rPr>
        <w:t xml:space="preserve">Verizon </w:t>
      </w:r>
      <w:r w:rsidR="005308C3" w:rsidRPr="00573761">
        <w:rPr>
          <w:color w:val="000000"/>
          <w:sz w:val="26"/>
          <w:szCs w:val="26"/>
        </w:rPr>
        <w:t>Companies</w:t>
      </w:r>
      <w:r w:rsidR="005308C3" w:rsidRPr="00573761">
        <w:rPr>
          <w:rStyle w:val="FootnoteReference"/>
          <w:color w:val="000000"/>
          <w:sz w:val="26"/>
          <w:szCs w:val="26"/>
        </w:rPr>
        <w:footnoteReference w:id="3"/>
      </w:r>
      <w:r w:rsidR="005308C3" w:rsidRPr="00573761">
        <w:rPr>
          <w:color w:val="000000"/>
          <w:sz w:val="26"/>
          <w:szCs w:val="26"/>
        </w:rPr>
        <w:t xml:space="preserve"> (Verizon), Crown Castle Fiber LLC (Crown Castle)</w:t>
      </w:r>
      <w:r w:rsidR="00F46AD8" w:rsidRPr="00573761">
        <w:rPr>
          <w:color w:val="000000"/>
          <w:sz w:val="26"/>
          <w:szCs w:val="26"/>
        </w:rPr>
        <w:t xml:space="preserve">, </w:t>
      </w:r>
      <w:r w:rsidR="005308C3" w:rsidRPr="00573761">
        <w:rPr>
          <w:color w:val="000000"/>
          <w:sz w:val="26"/>
          <w:szCs w:val="26"/>
        </w:rPr>
        <w:t>Frontier Communications</w:t>
      </w:r>
      <w:r w:rsidR="005308C3" w:rsidRPr="00573761">
        <w:rPr>
          <w:rStyle w:val="FootnoteReference"/>
          <w:color w:val="000000"/>
          <w:sz w:val="26"/>
          <w:szCs w:val="26"/>
        </w:rPr>
        <w:footnoteReference w:id="4"/>
      </w:r>
      <w:r w:rsidR="005308C3" w:rsidRPr="00573761">
        <w:rPr>
          <w:color w:val="000000"/>
          <w:sz w:val="26"/>
          <w:szCs w:val="26"/>
        </w:rPr>
        <w:t xml:space="preserve"> (Frontier)</w:t>
      </w:r>
      <w:r w:rsidR="00F46AD8" w:rsidRPr="00573761">
        <w:rPr>
          <w:color w:val="000000"/>
          <w:sz w:val="26"/>
          <w:szCs w:val="26"/>
        </w:rPr>
        <w:t xml:space="preserve"> and the Pennsylvania Office of Consumer Advocate (OCA)</w:t>
      </w:r>
      <w:r w:rsidR="005308C3" w:rsidRPr="00573761">
        <w:rPr>
          <w:color w:val="000000"/>
          <w:sz w:val="26"/>
          <w:szCs w:val="26"/>
        </w:rPr>
        <w:t>.</w:t>
      </w:r>
      <w:r w:rsidR="00EF233D" w:rsidRPr="00573761">
        <w:rPr>
          <w:color w:val="000000"/>
          <w:sz w:val="26"/>
          <w:szCs w:val="26"/>
        </w:rPr>
        <w:t xml:space="preserve">  The OCA </w:t>
      </w:r>
      <w:r w:rsidRPr="00573761">
        <w:rPr>
          <w:color w:val="000000"/>
          <w:sz w:val="26"/>
          <w:szCs w:val="26"/>
        </w:rPr>
        <w:t xml:space="preserve">also </w:t>
      </w:r>
      <w:r w:rsidR="00EF233D" w:rsidRPr="00573761">
        <w:rPr>
          <w:color w:val="000000"/>
          <w:sz w:val="26"/>
          <w:szCs w:val="26"/>
        </w:rPr>
        <w:t xml:space="preserve">filed </w:t>
      </w:r>
      <w:r w:rsidR="00890F82" w:rsidRPr="00573761">
        <w:rPr>
          <w:color w:val="000000"/>
          <w:sz w:val="26"/>
          <w:szCs w:val="26"/>
        </w:rPr>
        <w:t>R</w:t>
      </w:r>
      <w:r w:rsidR="00EF233D" w:rsidRPr="00573761">
        <w:rPr>
          <w:color w:val="000000"/>
          <w:sz w:val="26"/>
          <w:szCs w:val="26"/>
        </w:rPr>
        <w:t xml:space="preserve">eply </w:t>
      </w:r>
      <w:r w:rsidR="00890F82" w:rsidRPr="00573761">
        <w:rPr>
          <w:color w:val="000000"/>
          <w:sz w:val="26"/>
          <w:szCs w:val="26"/>
        </w:rPr>
        <w:t>C</w:t>
      </w:r>
      <w:r w:rsidR="00EF233D" w:rsidRPr="00573761">
        <w:rPr>
          <w:color w:val="000000"/>
          <w:sz w:val="26"/>
          <w:szCs w:val="26"/>
        </w:rPr>
        <w:t xml:space="preserve">omments.  </w:t>
      </w:r>
      <w:r w:rsidR="00D0451C" w:rsidRPr="00573761">
        <w:rPr>
          <w:color w:val="000000"/>
          <w:sz w:val="26"/>
          <w:szCs w:val="26"/>
        </w:rPr>
        <w:t xml:space="preserve">The Commission provides a summary of the </w:t>
      </w:r>
      <w:r w:rsidR="00F8330F" w:rsidRPr="00573761">
        <w:rPr>
          <w:color w:val="000000"/>
          <w:sz w:val="26"/>
          <w:szCs w:val="26"/>
        </w:rPr>
        <w:t xml:space="preserve">filed </w:t>
      </w:r>
      <w:r w:rsidR="00D0451C" w:rsidRPr="00573761">
        <w:rPr>
          <w:color w:val="000000"/>
          <w:sz w:val="26"/>
          <w:szCs w:val="26"/>
        </w:rPr>
        <w:t xml:space="preserve">Comments and </w:t>
      </w:r>
      <w:r w:rsidRPr="00573761">
        <w:rPr>
          <w:color w:val="000000"/>
          <w:sz w:val="26"/>
          <w:szCs w:val="26"/>
        </w:rPr>
        <w:t xml:space="preserve">OCA’s </w:t>
      </w:r>
      <w:r w:rsidR="00890F82" w:rsidRPr="00573761">
        <w:rPr>
          <w:color w:val="000000"/>
          <w:sz w:val="26"/>
          <w:szCs w:val="26"/>
        </w:rPr>
        <w:t>R</w:t>
      </w:r>
      <w:r w:rsidR="00D0451C" w:rsidRPr="00573761">
        <w:rPr>
          <w:color w:val="000000"/>
          <w:sz w:val="26"/>
          <w:szCs w:val="26"/>
        </w:rPr>
        <w:t xml:space="preserve">eply </w:t>
      </w:r>
      <w:r w:rsidR="00890F82" w:rsidRPr="00573761">
        <w:rPr>
          <w:color w:val="000000"/>
          <w:sz w:val="26"/>
          <w:szCs w:val="26"/>
        </w:rPr>
        <w:t>C</w:t>
      </w:r>
      <w:r w:rsidR="00D0451C" w:rsidRPr="00573761">
        <w:rPr>
          <w:color w:val="000000"/>
          <w:sz w:val="26"/>
          <w:szCs w:val="26"/>
        </w:rPr>
        <w:t>omments.</w:t>
      </w:r>
      <w:r w:rsidR="00F8330F" w:rsidRPr="00573761">
        <w:rPr>
          <w:b/>
          <w:bCs/>
          <w:color w:val="000000"/>
          <w:sz w:val="26"/>
          <w:szCs w:val="26"/>
        </w:rPr>
        <w:t xml:space="preserve"> </w:t>
      </w:r>
    </w:p>
    <w:p w14:paraId="0A909B03" w14:textId="68978885" w:rsidR="003D0607" w:rsidRPr="00573761" w:rsidRDefault="003D0607" w:rsidP="00F83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color w:val="000000"/>
          <w:sz w:val="26"/>
          <w:szCs w:val="26"/>
        </w:rPr>
      </w:pPr>
    </w:p>
    <w:p w14:paraId="185D4CA2" w14:textId="643BC0BD" w:rsidR="003D0607" w:rsidRPr="00573761" w:rsidRDefault="00C63784" w:rsidP="00C6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color w:val="000000"/>
          <w:sz w:val="26"/>
          <w:szCs w:val="26"/>
        </w:rPr>
      </w:pPr>
      <w:r w:rsidRPr="00573761">
        <w:rPr>
          <w:b/>
          <w:bCs/>
          <w:color w:val="000000"/>
          <w:sz w:val="26"/>
          <w:szCs w:val="26"/>
        </w:rPr>
        <w:t>COMMENTS</w:t>
      </w:r>
    </w:p>
    <w:p w14:paraId="28D0A63B" w14:textId="6A6CE22F" w:rsidR="005308C3" w:rsidRPr="00573761" w:rsidRDefault="005308C3" w:rsidP="00C63784">
      <w:pPr>
        <w:pStyle w:val="ListParagraph"/>
        <w:numPr>
          <w:ilvl w:val="0"/>
          <w:numId w:val="2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Times New Roman" w:hAnsi="Times New Roman"/>
          <w:b/>
          <w:bCs/>
          <w:color w:val="000000"/>
          <w:sz w:val="26"/>
          <w:szCs w:val="26"/>
        </w:rPr>
      </w:pPr>
      <w:r w:rsidRPr="00573761">
        <w:rPr>
          <w:rFonts w:ascii="Times New Roman" w:hAnsi="Times New Roman"/>
          <w:b/>
          <w:bCs/>
          <w:color w:val="000000"/>
          <w:sz w:val="26"/>
          <w:szCs w:val="26"/>
        </w:rPr>
        <w:t>BCAP</w:t>
      </w:r>
    </w:p>
    <w:p w14:paraId="51850267" w14:textId="3DCEF323" w:rsidR="00176FE0" w:rsidRPr="00573761" w:rsidRDefault="00F8330F" w:rsidP="00F83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r w:rsidR="00EF233D" w:rsidRPr="00573761">
        <w:rPr>
          <w:color w:val="000000"/>
          <w:sz w:val="26"/>
          <w:szCs w:val="26"/>
        </w:rPr>
        <w:t xml:space="preserve">In its Comments, BCAP </w:t>
      </w:r>
      <w:r w:rsidR="00176FE0" w:rsidRPr="00573761">
        <w:rPr>
          <w:color w:val="000000"/>
          <w:sz w:val="26"/>
          <w:szCs w:val="26"/>
        </w:rPr>
        <w:t xml:space="preserve">urges the Commission to withdraw its Proposed </w:t>
      </w:r>
    </w:p>
    <w:p w14:paraId="01CB2167" w14:textId="186A970E" w:rsidR="00B036D8" w:rsidRPr="00573761" w:rsidRDefault="00176FE0" w:rsidP="00B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 xml:space="preserve">Policy Statement for various reasons.  In summary fashion, BCAP states that </w:t>
      </w:r>
      <w:r w:rsidR="00EF233D" w:rsidRPr="00573761">
        <w:rPr>
          <w:color w:val="000000"/>
          <w:sz w:val="26"/>
          <w:szCs w:val="26"/>
        </w:rPr>
        <w:t xml:space="preserve">the Commission’s policy determination that jurisdictional telecommunications carriers that offer and provide special access or other similar jurisdictionally-mixed telecommunications services are obligated to ascertain and report their </w:t>
      </w:r>
      <w:r w:rsidR="00EF233D" w:rsidRPr="00573761">
        <w:rPr>
          <w:i/>
          <w:iCs/>
          <w:color w:val="000000"/>
          <w:sz w:val="26"/>
          <w:szCs w:val="26"/>
        </w:rPr>
        <w:t xml:space="preserve">de facto </w:t>
      </w:r>
      <w:r w:rsidR="00EF233D" w:rsidRPr="00573761">
        <w:rPr>
          <w:color w:val="000000"/>
          <w:sz w:val="26"/>
          <w:szCs w:val="26"/>
        </w:rPr>
        <w:t xml:space="preserve">gross intrastate revenues from providing these telecommunications services in Pennsylvania </w:t>
      </w:r>
      <w:r w:rsidR="00EF233D" w:rsidRPr="00573761">
        <w:rPr>
          <w:color w:val="000000"/>
          <w:sz w:val="26"/>
          <w:szCs w:val="26"/>
        </w:rPr>
        <w:lastRenderedPageBreak/>
        <w:t>and to</w:t>
      </w:r>
      <w:r w:rsidR="00B036D8" w:rsidRPr="00573761">
        <w:rPr>
          <w:color w:val="000000"/>
          <w:sz w:val="26"/>
          <w:szCs w:val="26"/>
        </w:rPr>
        <w:t xml:space="preserve"> </w:t>
      </w:r>
      <w:r w:rsidR="00EF233D" w:rsidRPr="00573761">
        <w:rPr>
          <w:color w:val="000000"/>
          <w:sz w:val="26"/>
          <w:szCs w:val="26"/>
        </w:rPr>
        <w:t>pay additional intrastate regulatory fees based on such reported revenues would be inconsistent with federal and state law and would pose significant practical hurdles.  BCAP Comments at 1</w:t>
      </w:r>
      <w:r w:rsidR="002417E5" w:rsidRPr="00573761">
        <w:rPr>
          <w:color w:val="000000"/>
          <w:sz w:val="26"/>
          <w:szCs w:val="26"/>
        </w:rPr>
        <w:t>–</w:t>
      </w:r>
      <w:r w:rsidR="00EF233D" w:rsidRPr="00573761">
        <w:rPr>
          <w:color w:val="000000"/>
          <w:sz w:val="26"/>
          <w:szCs w:val="26"/>
        </w:rPr>
        <w:t xml:space="preserve">2.  </w:t>
      </w:r>
    </w:p>
    <w:p w14:paraId="63BF1A67" w14:textId="77777777" w:rsidR="00B036D8" w:rsidRPr="00573761" w:rsidRDefault="00B036D8" w:rsidP="00B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p>
    <w:p w14:paraId="0F6DFD0A" w14:textId="42E4FDA3" w:rsidR="00B036D8" w:rsidRPr="00573761" w:rsidRDefault="00B036D8" w:rsidP="00B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Specifically, BCAP asserts that the Commission’s core premise</w:t>
      </w:r>
      <w:r w:rsidR="00890F82" w:rsidRPr="00573761">
        <w:rPr>
          <w:color w:val="000000"/>
          <w:sz w:val="26"/>
          <w:szCs w:val="26"/>
        </w:rPr>
        <w:t>, that</w:t>
      </w:r>
      <w:r w:rsidRPr="00573761">
        <w:rPr>
          <w:color w:val="000000"/>
          <w:sz w:val="26"/>
          <w:szCs w:val="26"/>
        </w:rPr>
        <w:t xml:space="preserve"> the FCC’s ten percent contamination rule does not preempt</w:t>
      </w:r>
      <w:r w:rsidR="00E055A1" w:rsidRPr="00573761">
        <w:rPr>
          <w:color w:val="000000"/>
          <w:sz w:val="26"/>
          <w:szCs w:val="26"/>
        </w:rPr>
        <w:t xml:space="preserve"> or otherwise preclude carriers’</w:t>
      </w:r>
      <w:r w:rsidRPr="00573761">
        <w:rPr>
          <w:color w:val="000000"/>
          <w:sz w:val="26"/>
          <w:szCs w:val="26"/>
        </w:rPr>
        <w:t xml:space="preserve"> obligation</w:t>
      </w:r>
      <w:r w:rsidR="00CE7E3A" w:rsidRPr="00573761">
        <w:rPr>
          <w:color w:val="000000"/>
          <w:sz w:val="26"/>
          <w:szCs w:val="26"/>
        </w:rPr>
        <w:t>s</w:t>
      </w:r>
      <w:r w:rsidRPr="00573761">
        <w:rPr>
          <w:color w:val="000000"/>
          <w:sz w:val="26"/>
          <w:szCs w:val="26"/>
        </w:rPr>
        <w:t xml:space="preserve"> to report their </w:t>
      </w:r>
      <w:r w:rsidRPr="00573761">
        <w:rPr>
          <w:i/>
          <w:iCs/>
          <w:color w:val="000000"/>
          <w:sz w:val="26"/>
          <w:szCs w:val="26"/>
        </w:rPr>
        <w:t xml:space="preserve">de facto </w:t>
      </w:r>
      <w:r w:rsidRPr="00573761">
        <w:rPr>
          <w:color w:val="000000"/>
          <w:sz w:val="26"/>
          <w:szCs w:val="26"/>
        </w:rPr>
        <w:t>gross intrastate operating revenues from special access</w:t>
      </w:r>
    </w:p>
    <w:p w14:paraId="292EAE18" w14:textId="20427958" w:rsidR="005308C3" w:rsidRPr="00573761" w:rsidRDefault="00B036D8" w:rsidP="00B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or similar services</w:t>
      </w:r>
      <w:r w:rsidR="00890F82" w:rsidRPr="00573761">
        <w:rPr>
          <w:color w:val="000000"/>
          <w:sz w:val="26"/>
          <w:szCs w:val="26"/>
        </w:rPr>
        <w:t>,</w:t>
      </w:r>
      <w:r w:rsidRPr="00573761">
        <w:rPr>
          <w:color w:val="000000"/>
          <w:sz w:val="26"/>
          <w:szCs w:val="26"/>
        </w:rPr>
        <w:t xml:space="preserve"> is based on an incomplete and ultimately inaccurate understanding of federal precedent.  </w:t>
      </w:r>
      <w:r w:rsidRPr="00573761">
        <w:rPr>
          <w:i/>
          <w:iCs/>
          <w:color w:val="000000"/>
          <w:sz w:val="26"/>
          <w:szCs w:val="26"/>
        </w:rPr>
        <w:t>Id</w:t>
      </w:r>
      <w:r w:rsidRPr="00573761">
        <w:rPr>
          <w:color w:val="000000"/>
          <w:sz w:val="26"/>
          <w:szCs w:val="26"/>
        </w:rPr>
        <w:t>. at 2.  Further,</w:t>
      </w:r>
      <w:r w:rsidR="00E055A1" w:rsidRPr="00573761">
        <w:rPr>
          <w:color w:val="000000"/>
          <w:sz w:val="26"/>
          <w:szCs w:val="26"/>
        </w:rPr>
        <w:t xml:space="preserve"> BCAP asserts that the </w:t>
      </w:r>
      <w:r w:rsidR="00890F82" w:rsidRPr="00D15CDE">
        <w:rPr>
          <w:i/>
          <w:color w:val="000000"/>
          <w:sz w:val="26"/>
          <w:szCs w:val="26"/>
        </w:rPr>
        <w:t>Proposed Policy Statement</w:t>
      </w:r>
      <w:r w:rsidR="00E055A1" w:rsidRPr="00573761">
        <w:rPr>
          <w:color w:val="000000"/>
          <w:sz w:val="26"/>
          <w:szCs w:val="26"/>
        </w:rPr>
        <w:t>’</w:t>
      </w:r>
      <w:r w:rsidRPr="00573761">
        <w:rPr>
          <w:color w:val="000000"/>
          <w:sz w:val="26"/>
          <w:szCs w:val="26"/>
        </w:rPr>
        <w:t xml:space="preserve">s central claim that the ten percent rule is </w:t>
      </w:r>
      <w:r w:rsidR="00E055A1" w:rsidRPr="00573761">
        <w:rPr>
          <w:color w:val="000000"/>
          <w:sz w:val="26"/>
          <w:szCs w:val="26"/>
        </w:rPr>
        <w:t>“</w:t>
      </w:r>
      <w:r w:rsidRPr="00573761">
        <w:rPr>
          <w:color w:val="000000"/>
          <w:sz w:val="26"/>
          <w:szCs w:val="26"/>
        </w:rPr>
        <w:t xml:space="preserve">designed to allocate </w:t>
      </w:r>
      <w:r w:rsidRPr="00573761">
        <w:rPr>
          <w:i/>
          <w:iCs/>
          <w:color w:val="000000"/>
          <w:sz w:val="26"/>
          <w:szCs w:val="26"/>
        </w:rPr>
        <w:t>costs only and regulatory authority over ratemaking</w:t>
      </w:r>
      <w:r w:rsidRPr="00573761">
        <w:rPr>
          <w:iCs/>
          <w:color w:val="000000"/>
          <w:sz w:val="26"/>
          <w:szCs w:val="26"/>
        </w:rPr>
        <w:t>,</w:t>
      </w:r>
      <w:r w:rsidR="00E055A1" w:rsidRPr="00573761">
        <w:rPr>
          <w:iCs/>
          <w:color w:val="000000"/>
          <w:sz w:val="26"/>
          <w:szCs w:val="26"/>
        </w:rPr>
        <w:t>”</w:t>
      </w:r>
      <w:r w:rsidRPr="00573761">
        <w:rPr>
          <w:i/>
          <w:iCs/>
          <w:color w:val="000000"/>
          <w:sz w:val="26"/>
          <w:szCs w:val="26"/>
        </w:rPr>
        <w:t xml:space="preserve"> </w:t>
      </w:r>
      <w:r w:rsidRPr="00573761">
        <w:rPr>
          <w:color w:val="000000"/>
          <w:sz w:val="26"/>
          <w:szCs w:val="26"/>
        </w:rPr>
        <w:t>and thus does not extend to revenue</w:t>
      </w:r>
      <w:r w:rsidRPr="00573761">
        <w:rPr>
          <w:i/>
          <w:iCs/>
          <w:color w:val="000000"/>
          <w:sz w:val="26"/>
          <w:szCs w:val="26"/>
        </w:rPr>
        <w:t xml:space="preserve"> </w:t>
      </w:r>
      <w:r w:rsidRPr="00573761">
        <w:rPr>
          <w:color w:val="000000"/>
          <w:sz w:val="26"/>
          <w:szCs w:val="26"/>
        </w:rPr>
        <w:t xml:space="preserve">allocations for purposes of assessing state regulatory fees, does not hold up to scrutiny.  </w:t>
      </w:r>
      <w:r w:rsidRPr="00573761">
        <w:rPr>
          <w:i/>
          <w:iCs/>
          <w:color w:val="000000"/>
          <w:sz w:val="26"/>
          <w:szCs w:val="26"/>
        </w:rPr>
        <w:t>Id</w:t>
      </w:r>
      <w:r w:rsidRPr="00573761">
        <w:rPr>
          <w:color w:val="000000"/>
          <w:sz w:val="26"/>
          <w:szCs w:val="26"/>
        </w:rPr>
        <w:t xml:space="preserve">. </w:t>
      </w:r>
      <w:r w:rsidR="00E11E54">
        <w:rPr>
          <w:color w:val="000000"/>
          <w:sz w:val="26"/>
          <w:szCs w:val="26"/>
        </w:rPr>
        <w:t xml:space="preserve"> </w:t>
      </w:r>
      <w:r w:rsidR="00890F82" w:rsidRPr="00573761">
        <w:rPr>
          <w:color w:val="000000"/>
          <w:sz w:val="26"/>
          <w:szCs w:val="26"/>
        </w:rPr>
        <w:t>(</w:t>
      </w:r>
      <w:r w:rsidR="00F80D6B" w:rsidRPr="00573761">
        <w:rPr>
          <w:color w:val="000000"/>
          <w:sz w:val="26"/>
          <w:szCs w:val="26"/>
        </w:rPr>
        <w:t>E</w:t>
      </w:r>
      <w:r w:rsidR="00890F82" w:rsidRPr="00573761">
        <w:rPr>
          <w:color w:val="000000"/>
          <w:sz w:val="26"/>
          <w:szCs w:val="26"/>
        </w:rPr>
        <w:t>mphasis in original</w:t>
      </w:r>
      <w:r w:rsidR="00E11E54">
        <w:rPr>
          <w:color w:val="000000"/>
          <w:sz w:val="26"/>
          <w:szCs w:val="26"/>
        </w:rPr>
        <w:t>)</w:t>
      </w:r>
      <w:r w:rsidR="00F80D6B" w:rsidRPr="00573761">
        <w:rPr>
          <w:color w:val="000000"/>
          <w:sz w:val="26"/>
          <w:szCs w:val="26"/>
        </w:rPr>
        <w:t>.</w:t>
      </w:r>
      <w:r w:rsidRPr="00573761">
        <w:rPr>
          <w:color w:val="000000"/>
          <w:sz w:val="26"/>
          <w:szCs w:val="26"/>
        </w:rPr>
        <w:t xml:space="preserve"> </w:t>
      </w:r>
      <w:r w:rsidR="00E11E54">
        <w:rPr>
          <w:color w:val="000000"/>
          <w:sz w:val="26"/>
          <w:szCs w:val="26"/>
        </w:rPr>
        <w:t xml:space="preserve"> </w:t>
      </w:r>
      <w:r w:rsidRPr="00573761">
        <w:rPr>
          <w:color w:val="000000"/>
          <w:sz w:val="26"/>
          <w:szCs w:val="26"/>
        </w:rPr>
        <w:t xml:space="preserve">BCAP states that the Commission overlooks subsequent FCC precedent extending the ten percent rule to revenue allocation and acknowledging its impact on regulatory fee assessments.  </w:t>
      </w:r>
      <w:r w:rsidRPr="00573761">
        <w:rPr>
          <w:i/>
          <w:iCs/>
          <w:color w:val="000000"/>
          <w:sz w:val="26"/>
          <w:szCs w:val="26"/>
        </w:rPr>
        <w:t>Id</w:t>
      </w:r>
      <w:r w:rsidRPr="00573761">
        <w:rPr>
          <w:color w:val="000000"/>
          <w:sz w:val="26"/>
          <w:szCs w:val="26"/>
        </w:rPr>
        <w:t xml:space="preserve">. at 3.  </w:t>
      </w:r>
    </w:p>
    <w:p w14:paraId="577B741D" w14:textId="77777777" w:rsidR="003C7ABA" w:rsidRPr="00573761" w:rsidRDefault="003C7ABA" w:rsidP="008A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4BAA8243" w14:textId="37B2ACBF" w:rsidR="00F46AD8" w:rsidRPr="00573761" w:rsidRDefault="008A7183" w:rsidP="008A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BCAP states that in its </w:t>
      </w:r>
      <w:r w:rsidR="00B036D8" w:rsidRPr="00573761">
        <w:rPr>
          <w:color w:val="000000"/>
          <w:sz w:val="26"/>
          <w:szCs w:val="26"/>
        </w:rPr>
        <w:t xml:space="preserve">1997 </w:t>
      </w:r>
      <w:r w:rsidRPr="00573761">
        <w:rPr>
          <w:color w:val="000000"/>
          <w:sz w:val="26"/>
          <w:szCs w:val="26"/>
        </w:rPr>
        <w:t>o</w:t>
      </w:r>
      <w:r w:rsidR="00B036D8" w:rsidRPr="00573761">
        <w:rPr>
          <w:color w:val="000000"/>
          <w:sz w:val="26"/>
          <w:szCs w:val="26"/>
        </w:rPr>
        <w:t>rder establishing the rules governing the federal universal service program, the FCC made clear that the ten percent rule applies to revenue</w:t>
      </w:r>
      <w:r w:rsidR="00B036D8" w:rsidRPr="00573761">
        <w:rPr>
          <w:i/>
          <w:iCs/>
          <w:color w:val="000000"/>
          <w:sz w:val="26"/>
          <w:szCs w:val="26"/>
        </w:rPr>
        <w:t xml:space="preserve"> </w:t>
      </w:r>
      <w:r w:rsidR="00B036D8" w:rsidRPr="00573761">
        <w:rPr>
          <w:color w:val="000000"/>
          <w:sz w:val="26"/>
          <w:szCs w:val="26"/>
        </w:rPr>
        <w:t>allocation just as it does to cost allocation.</w:t>
      </w:r>
      <w:r w:rsidR="00165AC4" w:rsidRPr="00573761">
        <w:rPr>
          <w:rStyle w:val="FootnoteReference"/>
          <w:color w:val="000000"/>
          <w:sz w:val="26"/>
          <w:szCs w:val="26"/>
        </w:rPr>
        <w:footnoteReference w:id="5"/>
      </w:r>
      <w:r w:rsidR="00B036D8" w:rsidRPr="00573761">
        <w:rPr>
          <w:color w:val="000000"/>
          <w:sz w:val="26"/>
          <w:szCs w:val="26"/>
        </w:rPr>
        <w:t xml:space="preserve"> </w:t>
      </w:r>
      <w:r w:rsidRPr="00573761">
        <w:rPr>
          <w:color w:val="000000"/>
          <w:sz w:val="26"/>
          <w:szCs w:val="26"/>
        </w:rPr>
        <w:t xml:space="preserve"> </w:t>
      </w:r>
      <w:r w:rsidR="00DD4B1B" w:rsidRPr="00573761">
        <w:rPr>
          <w:i/>
          <w:iCs/>
          <w:color w:val="000000"/>
          <w:sz w:val="26"/>
          <w:szCs w:val="26"/>
        </w:rPr>
        <w:t>Id</w:t>
      </w:r>
      <w:r w:rsidR="00DD4B1B" w:rsidRPr="00573761">
        <w:rPr>
          <w:color w:val="000000"/>
          <w:sz w:val="26"/>
          <w:szCs w:val="26"/>
        </w:rPr>
        <w:t>.</w:t>
      </w:r>
      <w:r w:rsidRPr="00573761">
        <w:rPr>
          <w:color w:val="000000"/>
          <w:sz w:val="26"/>
          <w:szCs w:val="26"/>
        </w:rPr>
        <w:t xml:space="preserve">  BCAP states that </w:t>
      </w:r>
      <w:r w:rsidR="00890F82" w:rsidRPr="00573761">
        <w:rPr>
          <w:color w:val="000000"/>
          <w:sz w:val="26"/>
          <w:szCs w:val="26"/>
        </w:rPr>
        <w:t>since</w:t>
      </w:r>
      <w:r w:rsidRPr="00573761">
        <w:rPr>
          <w:color w:val="000000"/>
          <w:sz w:val="26"/>
          <w:szCs w:val="26"/>
        </w:rPr>
        <w:t xml:space="preserve"> </w:t>
      </w:r>
      <w:r w:rsidR="00890F82" w:rsidRPr="00573761">
        <w:rPr>
          <w:color w:val="000000"/>
          <w:sz w:val="26"/>
          <w:szCs w:val="26"/>
        </w:rPr>
        <w:t xml:space="preserve">its </w:t>
      </w:r>
      <w:r w:rsidR="00B036D8" w:rsidRPr="00573761">
        <w:rPr>
          <w:color w:val="000000"/>
          <w:sz w:val="26"/>
          <w:szCs w:val="26"/>
        </w:rPr>
        <w:t>determination</w:t>
      </w:r>
      <w:r w:rsidR="00890F82" w:rsidRPr="00573761">
        <w:rPr>
          <w:color w:val="000000"/>
          <w:sz w:val="26"/>
          <w:szCs w:val="26"/>
        </w:rPr>
        <w:t xml:space="preserve"> in</w:t>
      </w:r>
      <w:r w:rsidR="00B036D8" w:rsidRPr="00573761">
        <w:rPr>
          <w:color w:val="000000"/>
          <w:sz w:val="26"/>
          <w:szCs w:val="26"/>
        </w:rPr>
        <w:t xml:space="preserve"> 1997, the FCC</w:t>
      </w:r>
      <w:r w:rsidR="00946D60" w:rsidRPr="00573761">
        <w:rPr>
          <w:color w:val="000000"/>
          <w:sz w:val="26"/>
          <w:szCs w:val="26"/>
        </w:rPr>
        <w:t>’</w:t>
      </w:r>
      <w:r w:rsidR="00B036D8" w:rsidRPr="00573761">
        <w:rPr>
          <w:color w:val="000000"/>
          <w:sz w:val="26"/>
          <w:szCs w:val="26"/>
        </w:rPr>
        <w:t>s Form 499-A has required telecommunications providers to allocate these revenues in accordance with the ten percent rule.</w:t>
      </w:r>
      <w:r w:rsidRPr="00573761">
        <w:rPr>
          <w:color w:val="000000"/>
          <w:sz w:val="26"/>
          <w:szCs w:val="26"/>
        </w:rPr>
        <w:t xml:space="preserve">  </w:t>
      </w:r>
      <w:r w:rsidRPr="00573761">
        <w:rPr>
          <w:i/>
          <w:iCs/>
          <w:color w:val="000000"/>
          <w:sz w:val="26"/>
          <w:szCs w:val="26"/>
        </w:rPr>
        <w:t>Id</w:t>
      </w:r>
      <w:r w:rsidRPr="00573761">
        <w:rPr>
          <w:color w:val="000000"/>
          <w:sz w:val="26"/>
          <w:szCs w:val="26"/>
        </w:rPr>
        <w:t xml:space="preserve">.  </w:t>
      </w:r>
    </w:p>
    <w:p w14:paraId="21F6D24C" w14:textId="77777777" w:rsidR="00F46AD8" w:rsidRPr="00573761" w:rsidRDefault="00F46AD8" w:rsidP="008A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69D81872" w14:textId="4ECF4CDB" w:rsidR="00B036D8" w:rsidRPr="00573761" w:rsidRDefault="00F46AD8" w:rsidP="00F0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r w:rsidR="008A7183" w:rsidRPr="00573761">
        <w:rPr>
          <w:color w:val="000000"/>
          <w:sz w:val="26"/>
          <w:szCs w:val="26"/>
        </w:rPr>
        <w:t>Furthermore, BCAP states that t</w:t>
      </w:r>
      <w:r w:rsidR="00B036D8" w:rsidRPr="00573761">
        <w:rPr>
          <w:color w:val="000000"/>
          <w:sz w:val="26"/>
          <w:szCs w:val="26"/>
        </w:rPr>
        <w:t xml:space="preserve">he FCC reaffirmed the application of the ten percent rule to revenue allocation in a 2017 order, responding to a series of requests to review determinations made by the Universal Service Administrative Company (USAC) on whether revenues associated with mixed-use special access lines qualify as interstate </w:t>
      </w:r>
      <w:r w:rsidR="00B036D8" w:rsidRPr="00573761">
        <w:rPr>
          <w:color w:val="000000"/>
          <w:sz w:val="26"/>
          <w:szCs w:val="26"/>
        </w:rPr>
        <w:lastRenderedPageBreak/>
        <w:t xml:space="preserve">when assessing contributions to the federal </w:t>
      </w:r>
      <w:r w:rsidR="00CE7E3A" w:rsidRPr="00573761">
        <w:rPr>
          <w:color w:val="000000"/>
          <w:sz w:val="26"/>
          <w:szCs w:val="26"/>
        </w:rPr>
        <w:t>U</w:t>
      </w:r>
      <w:r w:rsidR="00B036D8" w:rsidRPr="00573761">
        <w:rPr>
          <w:color w:val="000000"/>
          <w:sz w:val="26"/>
          <w:szCs w:val="26"/>
        </w:rPr>
        <w:t xml:space="preserve">niversal </w:t>
      </w:r>
      <w:r w:rsidR="00CE7E3A" w:rsidRPr="00573761">
        <w:rPr>
          <w:color w:val="000000"/>
          <w:sz w:val="26"/>
          <w:szCs w:val="26"/>
        </w:rPr>
        <w:t>S</w:t>
      </w:r>
      <w:r w:rsidR="00B036D8" w:rsidRPr="00573761">
        <w:rPr>
          <w:color w:val="000000"/>
          <w:sz w:val="26"/>
          <w:szCs w:val="26"/>
        </w:rPr>
        <w:t xml:space="preserve">ervice </w:t>
      </w:r>
      <w:r w:rsidR="00CE7E3A" w:rsidRPr="00573761">
        <w:rPr>
          <w:color w:val="000000"/>
          <w:sz w:val="26"/>
          <w:szCs w:val="26"/>
        </w:rPr>
        <w:t>F</w:t>
      </w:r>
      <w:r w:rsidR="00B036D8" w:rsidRPr="00573761">
        <w:rPr>
          <w:color w:val="000000"/>
          <w:sz w:val="26"/>
          <w:szCs w:val="26"/>
        </w:rPr>
        <w:t>und</w:t>
      </w:r>
      <w:r w:rsidR="00CE7E3A" w:rsidRPr="00573761">
        <w:rPr>
          <w:color w:val="000000"/>
          <w:sz w:val="26"/>
          <w:szCs w:val="26"/>
        </w:rPr>
        <w:t xml:space="preserve"> (FUSF)</w:t>
      </w:r>
      <w:r w:rsidR="00B036D8" w:rsidRPr="00573761">
        <w:rPr>
          <w:color w:val="000000"/>
          <w:sz w:val="26"/>
          <w:szCs w:val="26"/>
        </w:rPr>
        <w:t>.</w:t>
      </w:r>
      <w:r w:rsidR="00B02F84" w:rsidRPr="00573761">
        <w:rPr>
          <w:rStyle w:val="FootnoteReference"/>
          <w:color w:val="000000"/>
          <w:sz w:val="26"/>
          <w:szCs w:val="26"/>
        </w:rPr>
        <w:footnoteReference w:id="6"/>
      </w:r>
      <w:r w:rsidR="008A7183" w:rsidRPr="00573761">
        <w:rPr>
          <w:color w:val="000000"/>
          <w:sz w:val="26"/>
          <w:szCs w:val="26"/>
        </w:rPr>
        <w:t xml:space="preserve">  </w:t>
      </w:r>
      <w:r w:rsidR="00DD4B1B" w:rsidRPr="00573761">
        <w:rPr>
          <w:i/>
          <w:iCs/>
          <w:color w:val="000000"/>
          <w:sz w:val="26"/>
          <w:szCs w:val="26"/>
        </w:rPr>
        <w:t>Id</w:t>
      </w:r>
      <w:r w:rsidR="008A7183" w:rsidRPr="00573761">
        <w:rPr>
          <w:i/>
          <w:iCs/>
          <w:color w:val="000000"/>
          <w:sz w:val="26"/>
          <w:szCs w:val="26"/>
        </w:rPr>
        <w:t>.</w:t>
      </w:r>
      <w:r w:rsidR="008C2A25" w:rsidRPr="00573761">
        <w:rPr>
          <w:i/>
          <w:iCs/>
          <w:color w:val="000000"/>
          <w:sz w:val="26"/>
          <w:szCs w:val="26"/>
        </w:rPr>
        <w:t xml:space="preserve">  </w:t>
      </w:r>
      <w:r w:rsidR="008C2A25" w:rsidRPr="00573761">
        <w:rPr>
          <w:color w:val="000000"/>
          <w:sz w:val="26"/>
          <w:szCs w:val="26"/>
        </w:rPr>
        <w:t>BCAP states that</w:t>
      </w:r>
      <w:r w:rsidR="008C2A25" w:rsidRPr="00573761">
        <w:rPr>
          <w:i/>
          <w:iCs/>
          <w:color w:val="000000"/>
          <w:sz w:val="26"/>
          <w:szCs w:val="26"/>
        </w:rPr>
        <w:t xml:space="preserve"> </w:t>
      </w:r>
      <w:r w:rsidR="00B036D8" w:rsidRPr="00573761">
        <w:rPr>
          <w:color w:val="000000"/>
          <w:sz w:val="26"/>
          <w:szCs w:val="26"/>
        </w:rPr>
        <w:t xml:space="preserve">the FCC </w:t>
      </w:r>
      <w:r w:rsidR="008C2A25" w:rsidRPr="00573761">
        <w:rPr>
          <w:color w:val="000000"/>
          <w:sz w:val="26"/>
          <w:szCs w:val="26"/>
        </w:rPr>
        <w:t xml:space="preserve">had </w:t>
      </w:r>
      <w:r w:rsidR="00B036D8" w:rsidRPr="00573761">
        <w:rPr>
          <w:color w:val="000000"/>
          <w:sz w:val="26"/>
          <w:szCs w:val="26"/>
        </w:rPr>
        <w:t xml:space="preserve">rejected the </w:t>
      </w:r>
      <w:r w:rsidR="008C2A25" w:rsidRPr="00573761">
        <w:rPr>
          <w:color w:val="000000"/>
          <w:sz w:val="26"/>
          <w:szCs w:val="26"/>
        </w:rPr>
        <w:t xml:space="preserve">position of certain petitioners who argued that the ten percent rule </w:t>
      </w:r>
      <w:r w:rsidR="00E055A1" w:rsidRPr="00573761">
        <w:rPr>
          <w:color w:val="000000"/>
          <w:sz w:val="26"/>
          <w:szCs w:val="26"/>
        </w:rPr>
        <w:t>“</w:t>
      </w:r>
      <w:r w:rsidR="008C2A25" w:rsidRPr="00573761">
        <w:rPr>
          <w:color w:val="000000"/>
          <w:sz w:val="26"/>
          <w:szCs w:val="26"/>
        </w:rPr>
        <w:t>does not apply to revenues</w:t>
      </w:r>
      <w:r w:rsidR="00E055A1" w:rsidRPr="00573761">
        <w:rPr>
          <w:color w:val="000000"/>
          <w:sz w:val="26"/>
          <w:szCs w:val="26"/>
        </w:rPr>
        <w:t>”</w:t>
      </w:r>
      <w:r w:rsidR="008C2A25" w:rsidRPr="00573761">
        <w:rPr>
          <w:color w:val="000000"/>
          <w:sz w:val="26"/>
          <w:szCs w:val="26"/>
        </w:rPr>
        <w:t xml:space="preserve"> but rather only to </w:t>
      </w:r>
      <w:r w:rsidR="00E055A1" w:rsidRPr="00573761">
        <w:rPr>
          <w:color w:val="000000"/>
          <w:sz w:val="26"/>
          <w:szCs w:val="26"/>
        </w:rPr>
        <w:t>“</w:t>
      </w:r>
      <w:r w:rsidR="008C2A25" w:rsidRPr="00573761">
        <w:rPr>
          <w:color w:val="000000"/>
          <w:sz w:val="26"/>
          <w:szCs w:val="26"/>
        </w:rPr>
        <w:t xml:space="preserve">cost allocation,” which it believes to be the same view espoused by the Commission in </w:t>
      </w:r>
      <w:r w:rsidR="00F07253" w:rsidRPr="00573761">
        <w:rPr>
          <w:color w:val="000000"/>
          <w:sz w:val="26"/>
          <w:szCs w:val="26"/>
        </w:rPr>
        <w:t xml:space="preserve">its </w:t>
      </w:r>
      <w:r w:rsidR="008C2A25" w:rsidRPr="00D15CDE">
        <w:rPr>
          <w:i/>
          <w:color w:val="000000"/>
          <w:sz w:val="26"/>
          <w:szCs w:val="26"/>
        </w:rPr>
        <w:t>Proposed Policy Statement</w:t>
      </w:r>
      <w:r w:rsidR="008C2A25" w:rsidRPr="00573761">
        <w:rPr>
          <w:color w:val="000000"/>
          <w:sz w:val="26"/>
          <w:szCs w:val="26"/>
        </w:rPr>
        <w:t>.</w:t>
      </w:r>
      <w:r w:rsidR="00F07253" w:rsidRPr="00573761">
        <w:rPr>
          <w:color w:val="000000"/>
          <w:sz w:val="26"/>
          <w:szCs w:val="26"/>
        </w:rPr>
        <w:t xml:space="preserve">  </w:t>
      </w:r>
      <w:r w:rsidR="00946D60" w:rsidRPr="00573761">
        <w:rPr>
          <w:i/>
          <w:iCs/>
          <w:color w:val="000000"/>
          <w:sz w:val="26"/>
          <w:szCs w:val="26"/>
        </w:rPr>
        <w:t>Id.</w:t>
      </w:r>
      <w:r w:rsidR="00946D60" w:rsidRPr="00573761">
        <w:rPr>
          <w:color w:val="000000"/>
          <w:sz w:val="26"/>
          <w:szCs w:val="26"/>
        </w:rPr>
        <w:t xml:space="preserve"> at 3</w:t>
      </w:r>
      <w:r w:rsidR="002417E5" w:rsidRPr="00573761">
        <w:rPr>
          <w:color w:val="000000"/>
          <w:sz w:val="26"/>
          <w:szCs w:val="26"/>
        </w:rPr>
        <w:t>–</w:t>
      </w:r>
      <w:r w:rsidR="00946D60" w:rsidRPr="00573761">
        <w:rPr>
          <w:color w:val="000000"/>
          <w:sz w:val="26"/>
          <w:szCs w:val="26"/>
        </w:rPr>
        <w:t xml:space="preserve">4.  </w:t>
      </w:r>
      <w:r w:rsidR="00F07253" w:rsidRPr="00573761">
        <w:rPr>
          <w:color w:val="000000"/>
          <w:sz w:val="26"/>
          <w:szCs w:val="26"/>
        </w:rPr>
        <w:t xml:space="preserve">BCAP states that the </w:t>
      </w:r>
      <w:r w:rsidR="00B036D8" w:rsidRPr="00573761">
        <w:rPr>
          <w:color w:val="000000"/>
          <w:sz w:val="26"/>
          <w:szCs w:val="26"/>
        </w:rPr>
        <w:t xml:space="preserve">FCC went on to explain that </w:t>
      </w:r>
      <w:r w:rsidR="00E055A1" w:rsidRPr="00573761">
        <w:rPr>
          <w:color w:val="000000"/>
          <w:sz w:val="26"/>
          <w:szCs w:val="26"/>
        </w:rPr>
        <w:t>“</w:t>
      </w:r>
      <w:r w:rsidR="00B036D8" w:rsidRPr="00573761">
        <w:rPr>
          <w:color w:val="000000"/>
          <w:sz w:val="26"/>
          <w:szCs w:val="26"/>
        </w:rPr>
        <w:t>prior decisions have clearly incorporated the [ten percent rule] into the Commission</w:t>
      </w:r>
      <w:r w:rsidR="00946D60" w:rsidRPr="00573761">
        <w:rPr>
          <w:color w:val="000000"/>
          <w:sz w:val="26"/>
          <w:szCs w:val="26"/>
        </w:rPr>
        <w:t>’</w:t>
      </w:r>
      <w:r w:rsidR="00B036D8" w:rsidRPr="00573761">
        <w:rPr>
          <w:color w:val="000000"/>
          <w:sz w:val="26"/>
          <w:szCs w:val="26"/>
        </w:rPr>
        <w:t>s framework</w:t>
      </w:r>
      <w:r w:rsidR="00E055A1" w:rsidRPr="00573761">
        <w:rPr>
          <w:color w:val="000000"/>
          <w:sz w:val="26"/>
          <w:szCs w:val="26"/>
        </w:rPr>
        <w:t>”</w:t>
      </w:r>
      <w:r w:rsidR="00B036D8" w:rsidRPr="00573761">
        <w:rPr>
          <w:color w:val="000000"/>
          <w:sz w:val="26"/>
          <w:szCs w:val="26"/>
        </w:rPr>
        <w:t xml:space="preserve"> for revenue allocation, and that the time for challenging that well-established determination </w:t>
      </w:r>
      <w:r w:rsidR="00E055A1" w:rsidRPr="00573761">
        <w:rPr>
          <w:color w:val="000000"/>
          <w:sz w:val="26"/>
          <w:szCs w:val="26"/>
        </w:rPr>
        <w:t>“</w:t>
      </w:r>
      <w:r w:rsidR="00B036D8" w:rsidRPr="00573761">
        <w:rPr>
          <w:color w:val="000000"/>
          <w:sz w:val="26"/>
          <w:szCs w:val="26"/>
        </w:rPr>
        <w:t>has long since passed.</w:t>
      </w:r>
      <w:r w:rsidR="00E055A1" w:rsidRPr="00573761">
        <w:rPr>
          <w:color w:val="000000"/>
          <w:sz w:val="26"/>
          <w:szCs w:val="26"/>
        </w:rPr>
        <w:t>”</w:t>
      </w:r>
      <w:r w:rsidR="00F07253" w:rsidRPr="00573761">
        <w:rPr>
          <w:color w:val="000000"/>
          <w:sz w:val="26"/>
          <w:szCs w:val="26"/>
        </w:rPr>
        <w:t xml:space="preserve">  </w:t>
      </w:r>
      <w:r w:rsidR="00946D60" w:rsidRPr="00573761">
        <w:rPr>
          <w:i/>
          <w:iCs/>
          <w:color w:val="000000"/>
          <w:sz w:val="26"/>
          <w:szCs w:val="26"/>
        </w:rPr>
        <w:t>Id.</w:t>
      </w:r>
      <w:r w:rsidR="00946D60" w:rsidRPr="00573761">
        <w:rPr>
          <w:color w:val="000000"/>
          <w:sz w:val="26"/>
          <w:szCs w:val="26"/>
        </w:rPr>
        <w:t xml:space="preserve"> at 4.  </w:t>
      </w:r>
      <w:r w:rsidR="00F07253" w:rsidRPr="00573761">
        <w:rPr>
          <w:color w:val="000000"/>
          <w:sz w:val="26"/>
          <w:szCs w:val="26"/>
        </w:rPr>
        <w:t xml:space="preserve">Thus, USAC had appropriately applied the ten percent rule to </w:t>
      </w:r>
      <w:r w:rsidR="00E055A1" w:rsidRPr="00573761">
        <w:rPr>
          <w:color w:val="000000"/>
          <w:sz w:val="26"/>
          <w:szCs w:val="26"/>
        </w:rPr>
        <w:t>“</w:t>
      </w:r>
      <w:r w:rsidR="00F07253" w:rsidRPr="00573761">
        <w:rPr>
          <w:color w:val="000000"/>
          <w:sz w:val="26"/>
          <w:szCs w:val="26"/>
        </w:rPr>
        <w:t xml:space="preserve">determine whether private line </w:t>
      </w:r>
      <w:r w:rsidR="00F07253" w:rsidRPr="00573761">
        <w:rPr>
          <w:i/>
          <w:iCs/>
          <w:color w:val="000000"/>
          <w:sz w:val="26"/>
          <w:szCs w:val="26"/>
        </w:rPr>
        <w:t xml:space="preserve">revenues </w:t>
      </w:r>
      <w:r w:rsidR="00F07253" w:rsidRPr="00573761">
        <w:rPr>
          <w:color w:val="000000"/>
          <w:sz w:val="26"/>
          <w:szCs w:val="26"/>
        </w:rPr>
        <w:t>should be assigned to the interstate jurisdiction.</w:t>
      </w:r>
      <w:r w:rsidR="00E055A1" w:rsidRPr="00573761">
        <w:rPr>
          <w:color w:val="000000"/>
          <w:sz w:val="26"/>
          <w:szCs w:val="26"/>
        </w:rPr>
        <w:t>”</w:t>
      </w:r>
      <w:r w:rsidR="00946D60" w:rsidRPr="00573761">
        <w:rPr>
          <w:rStyle w:val="FootnoteReference"/>
          <w:color w:val="000000"/>
          <w:sz w:val="26"/>
          <w:szCs w:val="26"/>
        </w:rPr>
        <w:footnoteReference w:id="7"/>
      </w:r>
      <w:r w:rsidR="00F07253" w:rsidRPr="00573761">
        <w:rPr>
          <w:color w:val="000000"/>
          <w:sz w:val="26"/>
          <w:szCs w:val="26"/>
        </w:rPr>
        <w:t xml:space="preserve"> </w:t>
      </w:r>
      <w:r w:rsidR="00A71916">
        <w:rPr>
          <w:color w:val="000000"/>
          <w:sz w:val="26"/>
          <w:szCs w:val="26"/>
        </w:rPr>
        <w:t xml:space="preserve"> </w:t>
      </w:r>
      <w:r w:rsidR="00946D60" w:rsidRPr="00573761">
        <w:rPr>
          <w:i/>
          <w:iCs/>
          <w:color w:val="000000"/>
          <w:sz w:val="26"/>
          <w:szCs w:val="26"/>
        </w:rPr>
        <w:t>Id.</w:t>
      </w:r>
      <w:r w:rsidR="00946D60" w:rsidRPr="00573761">
        <w:rPr>
          <w:color w:val="000000"/>
          <w:sz w:val="26"/>
          <w:szCs w:val="26"/>
        </w:rPr>
        <w:t xml:space="preserve">  </w:t>
      </w:r>
      <w:r w:rsidR="00F07253" w:rsidRPr="00573761">
        <w:rPr>
          <w:color w:val="000000"/>
          <w:sz w:val="26"/>
          <w:szCs w:val="26"/>
        </w:rPr>
        <w:t xml:space="preserve"> </w:t>
      </w:r>
    </w:p>
    <w:p w14:paraId="41C339D8" w14:textId="77777777" w:rsidR="00E33708" w:rsidRPr="00573761" w:rsidRDefault="00E33708" w:rsidP="001416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007B4282" w14:textId="7304B6F7" w:rsidR="00141604" w:rsidRPr="00573761" w:rsidRDefault="00141604" w:rsidP="001416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BCAP states that last year, the FCC specifically acknowledged that its jurisdictional separations procedures, including the ten percent rule, govern revenue allocations in the regulatory fee context.  </w:t>
      </w:r>
      <w:r w:rsidR="00DD4B1B" w:rsidRPr="00573761">
        <w:rPr>
          <w:i/>
          <w:iCs/>
          <w:color w:val="000000"/>
          <w:sz w:val="26"/>
          <w:szCs w:val="26"/>
        </w:rPr>
        <w:t>Id.</w:t>
      </w:r>
      <w:r w:rsidR="00742281" w:rsidRPr="00573761">
        <w:rPr>
          <w:i/>
          <w:iCs/>
          <w:color w:val="000000"/>
          <w:sz w:val="26"/>
          <w:szCs w:val="26"/>
        </w:rPr>
        <w:t xml:space="preserve">  </w:t>
      </w:r>
      <w:r w:rsidRPr="00573761">
        <w:rPr>
          <w:color w:val="000000"/>
          <w:sz w:val="26"/>
          <w:szCs w:val="26"/>
        </w:rPr>
        <w:t xml:space="preserve">BCAP states that in a notice of proposed rulemaking on reforms to its jurisdictional separations approach, the FCC explained that states </w:t>
      </w:r>
      <w:r w:rsidR="00E055A1" w:rsidRPr="00573761">
        <w:rPr>
          <w:color w:val="000000"/>
          <w:sz w:val="26"/>
          <w:szCs w:val="26"/>
        </w:rPr>
        <w:t>“</w:t>
      </w:r>
      <w:r w:rsidRPr="00573761">
        <w:rPr>
          <w:color w:val="000000"/>
          <w:sz w:val="26"/>
          <w:szCs w:val="26"/>
        </w:rPr>
        <w:t>use separations results to determine the amount of intrastate universal service support and to calculate regulatory fees.</w:t>
      </w:r>
      <w:r w:rsidR="00E055A1" w:rsidRPr="00573761">
        <w:rPr>
          <w:color w:val="000000"/>
          <w:sz w:val="26"/>
          <w:szCs w:val="26"/>
        </w:rPr>
        <w:t>”</w:t>
      </w:r>
      <w:r w:rsidR="00C71CED" w:rsidRPr="00573761">
        <w:rPr>
          <w:rStyle w:val="FootnoteReference"/>
          <w:color w:val="000000"/>
          <w:sz w:val="26"/>
          <w:szCs w:val="26"/>
        </w:rPr>
        <w:footnoteReference w:id="8"/>
      </w:r>
      <w:r w:rsidR="00C71CED" w:rsidRPr="00573761">
        <w:rPr>
          <w:i/>
          <w:iCs/>
          <w:color w:val="000000"/>
          <w:sz w:val="26"/>
          <w:szCs w:val="26"/>
        </w:rPr>
        <w:t xml:space="preserve"> </w:t>
      </w:r>
      <w:r w:rsidR="00742281" w:rsidRPr="00573761">
        <w:rPr>
          <w:i/>
          <w:iCs/>
          <w:color w:val="000000"/>
          <w:sz w:val="26"/>
          <w:szCs w:val="26"/>
        </w:rPr>
        <w:t xml:space="preserve"> Id. </w:t>
      </w:r>
      <w:r w:rsidR="00C71CED" w:rsidRPr="00573761">
        <w:rPr>
          <w:i/>
          <w:iCs/>
          <w:color w:val="000000"/>
          <w:sz w:val="26"/>
          <w:szCs w:val="26"/>
        </w:rPr>
        <w:t xml:space="preserve"> </w:t>
      </w:r>
      <w:r w:rsidR="0009502D" w:rsidRPr="00573761">
        <w:rPr>
          <w:color w:val="000000"/>
          <w:sz w:val="26"/>
          <w:szCs w:val="26"/>
        </w:rPr>
        <w:t>BCAP asserts that by</w:t>
      </w:r>
      <w:r w:rsidR="0009502D" w:rsidRPr="00573761">
        <w:rPr>
          <w:i/>
          <w:iCs/>
          <w:color w:val="000000"/>
          <w:sz w:val="26"/>
          <w:szCs w:val="26"/>
        </w:rPr>
        <w:t xml:space="preserve"> </w:t>
      </w:r>
      <w:r w:rsidRPr="00573761">
        <w:rPr>
          <w:color w:val="000000"/>
          <w:sz w:val="26"/>
          <w:szCs w:val="26"/>
        </w:rPr>
        <w:t>overlooking this explicit and recent acknowledgment by the FCC, as well as the FCC</w:t>
      </w:r>
      <w:r w:rsidR="00E055A1" w:rsidRPr="00573761">
        <w:rPr>
          <w:color w:val="000000"/>
          <w:sz w:val="26"/>
          <w:szCs w:val="26"/>
        </w:rPr>
        <w:t>’</w:t>
      </w:r>
      <w:r w:rsidRPr="00573761">
        <w:rPr>
          <w:color w:val="000000"/>
          <w:sz w:val="26"/>
          <w:szCs w:val="26"/>
        </w:rPr>
        <w:t xml:space="preserve">s repeated rulings applying the ten percent rule to revenue allocations, the </w:t>
      </w:r>
      <w:r w:rsidR="00742281" w:rsidRPr="00573761">
        <w:rPr>
          <w:color w:val="000000"/>
          <w:sz w:val="26"/>
          <w:szCs w:val="26"/>
        </w:rPr>
        <w:t>p</w:t>
      </w:r>
      <w:r w:rsidRPr="00573761">
        <w:rPr>
          <w:color w:val="000000"/>
          <w:sz w:val="26"/>
          <w:szCs w:val="26"/>
        </w:rPr>
        <w:t>roposal arrives at an overly narrow understanding of the scope and preemptive effect of the ten percent rule.</w:t>
      </w:r>
      <w:r w:rsidR="0009502D" w:rsidRPr="00573761">
        <w:rPr>
          <w:color w:val="000000"/>
          <w:sz w:val="26"/>
          <w:szCs w:val="26"/>
        </w:rPr>
        <w:t xml:space="preserve">  </w:t>
      </w:r>
      <w:r w:rsidR="00742281" w:rsidRPr="00573761">
        <w:rPr>
          <w:i/>
          <w:iCs/>
          <w:color w:val="000000"/>
          <w:sz w:val="26"/>
          <w:szCs w:val="26"/>
        </w:rPr>
        <w:t xml:space="preserve">Id.  </w:t>
      </w:r>
    </w:p>
    <w:p w14:paraId="78F4B3AC" w14:textId="5E9DB436" w:rsidR="00B036D8" w:rsidRPr="00573761" w:rsidRDefault="00B036D8" w:rsidP="00B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p>
    <w:p w14:paraId="257FCF3C" w14:textId="267B00C0" w:rsidR="00700BFC" w:rsidRPr="00573761" w:rsidRDefault="00882139" w:rsidP="008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Additionally, BCAP states that the Eighth Circuit</w:t>
      </w:r>
      <w:r w:rsidR="00E055A1" w:rsidRPr="00573761">
        <w:rPr>
          <w:color w:val="000000"/>
          <w:sz w:val="26"/>
          <w:szCs w:val="26"/>
        </w:rPr>
        <w:t>’</w:t>
      </w:r>
      <w:r w:rsidRPr="00573761">
        <w:rPr>
          <w:color w:val="000000"/>
          <w:sz w:val="26"/>
          <w:szCs w:val="26"/>
        </w:rPr>
        <w:t xml:space="preserve">s decision in </w:t>
      </w:r>
      <w:r w:rsidR="002F1E89" w:rsidRPr="00573761">
        <w:rPr>
          <w:i/>
          <w:iCs/>
          <w:color w:val="000000"/>
          <w:sz w:val="26"/>
          <w:szCs w:val="26"/>
        </w:rPr>
        <w:t>Scott</w:t>
      </w:r>
      <w:r w:rsidR="002F1E89" w:rsidRPr="00573761">
        <w:rPr>
          <w:rStyle w:val="FootnoteReference"/>
          <w:iCs/>
          <w:color w:val="000000"/>
          <w:sz w:val="26"/>
          <w:szCs w:val="26"/>
        </w:rPr>
        <w:footnoteReference w:id="9"/>
      </w:r>
      <w:r w:rsidR="002F1E89" w:rsidRPr="00573761">
        <w:rPr>
          <w:color w:val="000000"/>
          <w:sz w:val="26"/>
          <w:szCs w:val="26"/>
        </w:rPr>
        <w:t xml:space="preserve"> </w:t>
      </w:r>
      <w:r w:rsidRPr="00573761">
        <w:rPr>
          <w:color w:val="000000"/>
          <w:sz w:val="26"/>
          <w:szCs w:val="26"/>
        </w:rPr>
        <w:t xml:space="preserve">does not compel a different conclusion.  </w:t>
      </w:r>
      <w:r w:rsidR="00DD4B1B" w:rsidRPr="00573761">
        <w:rPr>
          <w:i/>
          <w:iCs/>
          <w:color w:val="000000"/>
          <w:sz w:val="26"/>
          <w:szCs w:val="26"/>
        </w:rPr>
        <w:t>Id.</w:t>
      </w:r>
      <w:r w:rsidR="00742281" w:rsidRPr="00573761">
        <w:rPr>
          <w:color w:val="000000"/>
          <w:sz w:val="26"/>
          <w:szCs w:val="26"/>
        </w:rPr>
        <w:t xml:space="preserve">  </w:t>
      </w:r>
      <w:r w:rsidRPr="00573761">
        <w:rPr>
          <w:color w:val="000000"/>
          <w:sz w:val="26"/>
          <w:szCs w:val="26"/>
        </w:rPr>
        <w:t xml:space="preserve">BCAP asserts that the </w:t>
      </w:r>
      <w:r w:rsidRPr="00573761">
        <w:rPr>
          <w:i/>
          <w:iCs/>
          <w:color w:val="000000"/>
          <w:sz w:val="26"/>
          <w:szCs w:val="26"/>
        </w:rPr>
        <w:t>Scott</w:t>
      </w:r>
      <w:r w:rsidRPr="00573761">
        <w:rPr>
          <w:color w:val="000000"/>
          <w:sz w:val="26"/>
          <w:szCs w:val="26"/>
        </w:rPr>
        <w:t xml:space="preserve"> court concluded that the FCC</w:t>
      </w:r>
      <w:r w:rsidR="00742281" w:rsidRPr="00573761">
        <w:rPr>
          <w:color w:val="000000"/>
          <w:sz w:val="26"/>
          <w:szCs w:val="26"/>
        </w:rPr>
        <w:t>’</w:t>
      </w:r>
      <w:r w:rsidRPr="00573761">
        <w:rPr>
          <w:color w:val="000000"/>
          <w:sz w:val="26"/>
          <w:szCs w:val="26"/>
        </w:rPr>
        <w:t xml:space="preserve">s ten percent rule did not </w:t>
      </w:r>
      <w:r w:rsidR="00E055A1" w:rsidRPr="00573761">
        <w:rPr>
          <w:color w:val="000000"/>
          <w:sz w:val="26"/>
          <w:szCs w:val="26"/>
        </w:rPr>
        <w:t>“</w:t>
      </w:r>
      <w:r w:rsidRPr="00573761">
        <w:rPr>
          <w:color w:val="000000"/>
          <w:sz w:val="26"/>
          <w:szCs w:val="26"/>
        </w:rPr>
        <w:t>preclude all state regulation</w:t>
      </w:r>
      <w:r w:rsidR="00E055A1" w:rsidRPr="00573761">
        <w:rPr>
          <w:color w:val="000000"/>
          <w:sz w:val="26"/>
          <w:szCs w:val="26"/>
        </w:rPr>
        <w:t>”</w:t>
      </w:r>
      <w:r w:rsidRPr="00573761">
        <w:rPr>
          <w:color w:val="000000"/>
          <w:sz w:val="26"/>
          <w:szCs w:val="26"/>
        </w:rPr>
        <w:t xml:space="preserve"> of special access services, </w:t>
      </w:r>
      <w:r w:rsidRPr="00573761">
        <w:rPr>
          <w:color w:val="000000"/>
          <w:sz w:val="26"/>
          <w:szCs w:val="26"/>
        </w:rPr>
        <w:lastRenderedPageBreak/>
        <w:t>and that performance reporting was entirely distinct from the types of allocation questions addressed by the ten percent rule.</w:t>
      </w:r>
      <w:r w:rsidR="00742281" w:rsidRPr="00573761">
        <w:rPr>
          <w:rStyle w:val="FootnoteReference"/>
          <w:color w:val="000000"/>
          <w:sz w:val="26"/>
          <w:szCs w:val="26"/>
        </w:rPr>
        <w:footnoteReference w:id="10"/>
      </w:r>
      <w:r w:rsidR="003D2BA1" w:rsidRPr="00573761">
        <w:rPr>
          <w:color w:val="000000"/>
          <w:sz w:val="26"/>
          <w:szCs w:val="26"/>
        </w:rPr>
        <w:t xml:space="preserve"> </w:t>
      </w:r>
      <w:r w:rsidR="00742281" w:rsidRPr="00573761">
        <w:rPr>
          <w:color w:val="000000"/>
          <w:sz w:val="26"/>
          <w:szCs w:val="26"/>
        </w:rPr>
        <w:t xml:space="preserve"> </w:t>
      </w:r>
      <w:r w:rsidR="00742281" w:rsidRPr="00573761">
        <w:rPr>
          <w:i/>
          <w:iCs/>
          <w:color w:val="000000"/>
          <w:sz w:val="26"/>
          <w:szCs w:val="26"/>
        </w:rPr>
        <w:t>Id.</w:t>
      </w:r>
      <w:r w:rsidR="00742281" w:rsidRPr="00573761">
        <w:rPr>
          <w:color w:val="000000"/>
          <w:sz w:val="26"/>
          <w:szCs w:val="26"/>
        </w:rPr>
        <w:t xml:space="preserve"> </w:t>
      </w:r>
      <w:r w:rsidR="00675A35" w:rsidRPr="00573761">
        <w:rPr>
          <w:color w:val="000000"/>
          <w:sz w:val="26"/>
          <w:szCs w:val="26"/>
        </w:rPr>
        <w:t xml:space="preserve">at 5.  </w:t>
      </w:r>
      <w:r w:rsidR="003D2BA1" w:rsidRPr="00573761">
        <w:rPr>
          <w:color w:val="000000"/>
          <w:sz w:val="26"/>
          <w:szCs w:val="26"/>
        </w:rPr>
        <w:t>BCAP argues that</w:t>
      </w:r>
      <w:r w:rsidR="00627BB0" w:rsidRPr="00573761">
        <w:rPr>
          <w:color w:val="000000"/>
          <w:sz w:val="26"/>
          <w:szCs w:val="26"/>
        </w:rPr>
        <w:t>,</w:t>
      </w:r>
      <w:r w:rsidR="003D2BA1" w:rsidRPr="00573761">
        <w:rPr>
          <w:color w:val="000000"/>
          <w:sz w:val="26"/>
          <w:szCs w:val="26"/>
        </w:rPr>
        <w:t xml:space="preserve"> </w:t>
      </w:r>
      <w:r w:rsidRPr="00573761">
        <w:rPr>
          <w:color w:val="000000"/>
          <w:sz w:val="26"/>
          <w:szCs w:val="26"/>
        </w:rPr>
        <w:t xml:space="preserve">by contrast, the Commission’s </w:t>
      </w:r>
      <w:r w:rsidR="0006488D" w:rsidRPr="00D15CDE">
        <w:rPr>
          <w:i/>
          <w:color w:val="000000"/>
          <w:sz w:val="26"/>
          <w:szCs w:val="26"/>
        </w:rPr>
        <w:t>P</w:t>
      </w:r>
      <w:r w:rsidRPr="00D15CDE">
        <w:rPr>
          <w:i/>
          <w:color w:val="000000"/>
          <w:sz w:val="26"/>
          <w:szCs w:val="26"/>
        </w:rPr>
        <w:t xml:space="preserve">roposed </w:t>
      </w:r>
      <w:r w:rsidR="0006488D" w:rsidRPr="00D15CDE">
        <w:rPr>
          <w:i/>
          <w:color w:val="000000"/>
          <w:sz w:val="26"/>
          <w:szCs w:val="26"/>
        </w:rPr>
        <w:t>P</w:t>
      </w:r>
      <w:r w:rsidRPr="00D15CDE">
        <w:rPr>
          <w:i/>
          <w:color w:val="000000"/>
          <w:sz w:val="26"/>
          <w:szCs w:val="26"/>
        </w:rPr>
        <w:t xml:space="preserve">olicy </w:t>
      </w:r>
      <w:r w:rsidR="0006488D" w:rsidRPr="00D15CDE">
        <w:rPr>
          <w:i/>
          <w:color w:val="000000"/>
          <w:sz w:val="26"/>
          <w:szCs w:val="26"/>
        </w:rPr>
        <w:t>S</w:t>
      </w:r>
      <w:r w:rsidRPr="00D15CDE">
        <w:rPr>
          <w:i/>
          <w:color w:val="000000"/>
          <w:sz w:val="26"/>
          <w:szCs w:val="26"/>
        </w:rPr>
        <w:t>tatement</w:t>
      </w:r>
      <w:r w:rsidRPr="00573761">
        <w:rPr>
          <w:color w:val="000000"/>
          <w:sz w:val="26"/>
          <w:szCs w:val="26"/>
        </w:rPr>
        <w:t xml:space="preserve"> directly</w:t>
      </w:r>
      <w:r w:rsidRPr="00573761">
        <w:rPr>
          <w:i/>
          <w:iCs/>
          <w:color w:val="000000"/>
          <w:sz w:val="26"/>
          <w:szCs w:val="26"/>
        </w:rPr>
        <w:t xml:space="preserve"> </w:t>
      </w:r>
      <w:r w:rsidRPr="00573761">
        <w:rPr>
          <w:color w:val="000000"/>
          <w:sz w:val="26"/>
          <w:szCs w:val="26"/>
        </w:rPr>
        <w:t xml:space="preserve">implicates the allocation questions addressed by the ten percent rule.  </w:t>
      </w:r>
      <w:r w:rsidR="00107534" w:rsidRPr="00573761">
        <w:rPr>
          <w:i/>
          <w:iCs/>
          <w:color w:val="000000"/>
          <w:sz w:val="26"/>
          <w:szCs w:val="26"/>
        </w:rPr>
        <w:t xml:space="preserve">Id.  </w:t>
      </w:r>
      <w:r w:rsidRPr="00573761">
        <w:rPr>
          <w:color w:val="000000"/>
          <w:sz w:val="26"/>
          <w:szCs w:val="26"/>
        </w:rPr>
        <w:t xml:space="preserve">BCAP argues that the </w:t>
      </w:r>
      <w:r w:rsidRPr="00573761">
        <w:rPr>
          <w:i/>
          <w:iCs/>
          <w:color w:val="000000"/>
          <w:sz w:val="26"/>
          <w:szCs w:val="26"/>
        </w:rPr>
        <w:t xml:space="preserve">Scott </w:t>
      </w:r>
      <w:r w:rsidRPr="00573761">
        <w:rPr>
          <w:color w:val="000000"/>
          <w:sz w:val="26"/>
          <w:szCs w:val="26"/>
        </w:rPr>
        <w:t xml:space="preserve">court specifically recognizes that the ten percent rule applies to the allocation not only of </w:t>
      </w:r>
      <w:r w:rsidR="00E055A1" w:rsidRPr="00573761">
        <w:rPr>
          <w:color w:val="000000"/>
          <w:sz w:val="26"/>
          <w:szCs w:val="26"/>
        </w:rPr>
        <w:t>“</w:t>
      </w:r>
      <w:r w:rsidRPr="00573761">
        <w:rPr>
          <w:color w:val="000000"/>
          <w:sz w:val="26"/>
          <w:szCs w:val="26"/>
        </w:rPr>
        <w:t>costs</w:t>
      </w:r>
      <w:r w:rsidR="00E055A1" w:rsidRPr="00573761">
        <w:rPr>
          <w:color w:val="000000"/>
          <w:sz w:val="26"/>
          <w:szCs w:val="26"/>
        </w:rPr>
        <w:t>”</w:t>
      </w:r>
      <w:r w:rsidRPr="00573761">
        <w:rPr>
          <w:color w:val="000000"/>
          <w:sz w:val="26"/>
          <w:szCs w:val="26"/>
        </w:rPr>
        <w:t xml:space="preserve"> but also of </w:t>
      </w:r>
      <w:r w:rsidR="00E055A1" w:rsidRPr="00573761">
        <w:rPr>
          <w:color w:val="000000"/>
          <w:sz w:val="26"/>
          <w:szCs w:val="26"/>
        </w:rPr>
        <w:t>“</w:t>
      </w:r>
      <w:r w:rsidRPr="00573761">
        <w:rPr>
          <w:color w:val="000000"/>
          <w:sz w:val="26"/>
          <w:szCs w:val="26"/>
        </w:rPr>
        <w:t>revenues, expenses, taxes and reserves between state and</w:t>
      </w:r>
      <w:r w:rsidR="003D2BA1" w:rsidRPr="00573761">
        <w:rPr>
          <w:color w:val="000000"/>
          <w:sz w:val="26"/>
          <w:szCs w:val="26"/>
        </w:rPr>
        <w:t xml:space="preserve"> </w:t>
      </w:r>
      <w:r w:rsidRPr="00573761">
        <w:rPr>
          <w:color w:val="000000"/>
          <w:sz w:val="26"/>
          <w:szCs w:val="26"/>
        </w:rPr>
        <w:t>interstate jurisdictions</w:t>
      </w:r>
      <w:r w:rsidR="00742281" w:rsidRPr="00573761">
        <w:rPr>
          <w:color w:val="000000"/>
          <w:sz w:val="26"/>
          <w:szCs w:val="26"/>
        </w:rPr>
        <w:t>.</w:t>
      </w:r>
      <w:r w:rsidR="00E055A1" w:rsidRPr="00573761">
        <w:rPr>
          <w:color w:val="000000"/>
          <w:sz w:val="26"/>
          <w:szCs w:val="26"/>
        </w:rPr>
        <w:t>”</w:t>
      </w:r>
      <w:r w:rsidR="00742281" w:rsidRPr="00573761">
        <w:rPr>
          <w:rStyle w:val="FootnoteReference"/>
          <w:color w:val="000000"/>
          <w:sz w:val="26"/>
          <w:szCs w:val="26"/>
        </w:rPr>
        <w:footnoteReference w:id="11"/>
      </w:r>
      <w:r w:rsidR="003D2BA1" w:rsidRPr="00573761">
        <w:rPr>
          <w:color w:val="000000"/>
          <w:sz w:val="26"/>
          <w:szCs w:val="26"/>
        </w:rPr>
        <w:t xml:space="preserve">  </w:t>
      </w:r>
      <w:r w:rsidR="00675A35" w:rsidRPr="00573761">
        <w:rPr>
          <w:i/>
          <w:iCs/>
          <w:color w:val="000000"/>
          <w:sz w:val="26"/>
          <w:szCs w:val="26"/>
        </w:rPr>
        <w:t>Id</w:t>
      </w:r>
      <w:r w:rsidR="00675A35" w:rsidRPr="00573761">
        <w:rPr>
          <w:color w:val="000000"/>
          <w:sz w:val="26"/>
          <w:szCs w:val="26"/>
        </w:rPr>
        <w:t xml:space="preserve">.  </w:t>
      </w:r>
      <w:r w:rsidR="003D2BA1" w:rsidRPr="00573761">
        <w:rPr>
          <w:color w:val="000000"/>
          <w:sz w:val="26"/>
          <w:szCs w:val="26"/>
        </w:rPr>
        <w:t xml:space="preserve">BCAP states that this </w:t>
      </w:r>
      <w:r w:rsidRPr="00573761">
        <w:rPr>
          <w:color w:val="000000"/>
          <w:sz w:val="26"/>
          <w:szCs w:val="26"/>
        </w:rPr>
        <w:t xml:space="preserve">undermines rather than supports the </w:t>
      </w:r>
      <w:r w:rsidR="003D2BA1" w:rsidRPr="00573761">
        <w:rPr>
          <w:color w:val="000000"/>
          <w:sz w:val="26"/>
          <w:szCs w:val="26"/>
        </w:rPr>
        <w:t>Commission’</w:t>
      </w:r>
      <w:r w:rsidRPr="00573761">
        <w:rPr>
          <w:color w:val="000000"/>
          <w:sz w:val="26"/>
          <w:szCs w:val="26"/>
        </w:rPr>
        <w:t>s</w:t>
      </w:r>
      <w:r w:rsidR="003D2BA1" w:rsidRPr="00573761">
        <w:rPr>
          <w:color w:val="000000"/>
          <w:sz w:val="26"/>
          <w:szCs w:val="26"/>
        </w:rPr>
        <w:t xml:space="preserve"> expressed </w:t>
      </w:r>
      <w:r w:rsidRPr="00573761">
        <w:rPr>
          <w:color w:val="000000"/>
          <w:sz w:val="26"/>
          <w:szCs w:val="26"/>
        </w:rPr>
        <w:t>view of</w:t>
      </w:r>
      <w:r w:rsidR="003D2BA1" w:rsidRPr="00573761">
        <w:rPr>
          <w:color w:val="000000"/>
          <w:sz w:val="26"/>
          <w:szCs w:val="26"/>
        </w:rPr>
        <w:t xml:space="preserve"> </w:t>
      </w:r>
      <w:r w:rsidRPr="00573761">
        <w:rPr>
          <w:color w:val="000000"/>
          <w:sz w:val="26"/>
          <w:szCs w:val="26"/>
        </w:rPr>
        <w:t xml:space="preserve">the </w:t>
      </w:r>
      <w:r w:rsidR="003D2BA1" w:rsidRPr="00573761">
        <w:rPr>
          <w:color w:val="000000"/>
          <w:sz w:val="26"/>
          <w:szCs w:val="26"/>
        </w:rPr>
        <w:t xml:space="preserve">ten percent </w:t>
      </w:r>
      <w:r w:rsidRPr="00573761">
        <w:rPr>
          <w:color w:val="000000"/>
          <w:sz w:val="26"/>
          <w:szCs w:val="26"/>
        </w:rPr>
        <w:t>rule.</w:t>
      </w:r>
      <w:r w:rsidR="00675A35" w:rsidRPr="00573761">
        <w:rPr>
          <w:color w:val="000000"/>
          <w:sz w:val="26"/>
          <w:szCs w:val="26"/>
        </w:rPr>
        <w:t xml:space="preserve">  </w:t>
      </w:r>
      <w:r w:rsidR="00675A35" w:rsidRPr="00573761">
        <w:rPr>
          <w:i/>
          <w:iCs/>
          <w:color w:val="000000"/>
          <w:sz w:val="26"/>
          <w:szCs w:val="26"/>
        </w:rPr>
        <w:t>Id.</w:t>
      </w:r>
      <w:r w:rsidR="00C63784" w:rsidRPr="00573761">
        <w:rPr>
          <w:i/>
          <w:iCs/>
          <w:color w:val="000000"/>
          <w:sz w:val="26"/>
          <w:szCs w:val="26"/>
        </w:rPr>
        <w:t xml:space="preserve">  </w:t>
      </w:r>
    </w:p>
    <w:p w14:paraId="379B24EB" w14:textId="55E42CB4" w:rsidR="001B144F" w:rsidRPr="00573761" w:rsidRDefault="001B144F" w:rsidP="008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3E1313D7" w14:textId="7CCA1C78" w:rsidR="00882139" w:rsidRPr="00573761" w:rsidRDefault="001B144F" w:rsidP="001B1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Additionally, BCAP states that the Commission’s </w:t>
      </w:r>
      <w:r w:rsidRPr="00D15CDE">
        <w:rPr>
          <w:i/>
          <w:color w:val="000000"/>
          <w:sz w:val="26"/>
          <w:szCs w:val="26"/>
        </w:rPr>
        <w:t>Proposed Policy Statement</w:t>
      </w:r>
      <w:r w:rsidRPr="00573761">
        <w:rPr>
          <w:color w:val="000000"/>
          <w:sz w:val="26"/>
          <w:szCs w:val="26"/>
        </w:rPr>
        <w:t xml:space="preserve"> also overlooks impediments to its suggested approach under state law.  </w:t>
      </w:r>
      <w:r w:rsidR="00E70EC8" w:rsidRPr="00573761">
        <w:rPr>
          <w:i/>
          <w:iCs/>
          <w:color w:val="000000"/>
          <w:sz w:val="26"/>
          <w:szCs w:val="26"/>
        </w:rPr>
        <w:t>Id</w:t>
      </w:r>
      <w:r w:rsidR="00E70EC8" w:rsidRPr="00573761">
        <w:rPr>
          <w:color w:val="000000"/>
          <w:sz w:val="26"/>
          <w:szCs w:val="26"/>
        </w:rPr>
        <w:t xml:space="preserve">.  </w:t>
      </w:r>
      <w:r w:rsidRPr="00573761">
        <w:rPr>
          <w:color w:val="000000"/>
          <w:sz w:val="26"/>
          <w:szCs w:val="26"/>
        </w:rPr>
        <w:t>BCAP notes that many special access services and other jurisdictionally</w:t>
      </w:r>
      <w:r w:rsidR="00A1679D">
        <w:rPr>
          <w:color w:val="000000"/>
          <w:sz w:val="26"/>
          <w:szCs w:val="26"/>
        </w:rPr>
        <w:t>-</w:t>
      </w:r>
      <w:r w:rsidRPr="00573761">
        <w:rPr>
          <w:color w:val="000000"/>
          <w:sz w:val="26"/>
          <w:szCs w:val="26"/>
        </w:rPr>
        <w:t>mixed services offered by its members are provided using Internet Protocol (IP) technology.</w:t>
      </w:r>
      <w:r w:rsidR="00534DEF" w:rsidRPr="00573761">
        <w:rPr>
          <w:rStyle w:val="FootnoteReference"/>
          <w:color w:val="000000"/>
          <w:sz w:val="26"/>
          <w:szCs w:val="26"/>
        </w:rPr>
        <w:footnoteReference w:id="12"/>
      </w:r>
      <w:r w:rsidRPr="00573761">
        <w:rPr>
          <w:color w:val="000000"/>
          <w:sz w:val="26"/>
          <w:szCs w:val="26"/>
        </w:rPr>
        <w:t xml:space="preserve">  </w:t>
      </w:r>
      <w:r w:rsidR="00E70EC8" w:rsidRPr="00573761">
        <w:rPr>
          <w:i/>
          <w:iCs/>
          <w:color w:val="000000"/>
          <w:sz w:val="26"/>
          <w:szCs w:val="26"/>
        </w:rPr>
        <w:t>Id</w:t>
      </w:r>
      <w:r w:rsidR="00E70EC8" w:rsidRPr="00573761">
        <w:rPr>
          <w:color w:val="000000"/>
          <w:sz w:val="26"/>
          <w:szCs w:val="26"/>
        </w:rPr>
        <w:t xml:space="preserve">.  </w:t>
      </w:r>
      <w:r w:rsidRPr="00573761">
        <w:rPr>
          <w:color w:val="000000"/>
          <w:sz w:val="26"/>
          <w:szCs w:val="26"/>
        </w:rPr>
        <w:t xml:space="preserve">BCAP states that Pennsylvania law prevents the Commission from </w:t>
      </w:r>
      <w:r w:rsidR="00E055A1" w:rsidRPr="00573761">
        <w:rPr>
          <w:color w:val="000000"/>
          <w:sz w:val="26"/>
          <w:szCs w:val="26"/>
        </w:rPr>
        <w:t>“</w:t>
      </w:r>
      <w:r w:rsidRPr="00573761">
        <w:rPr>
          <w:color w:val="000000"/>
          <w:sz w:val="26"/>
          <w:szCs w:val="26"/>
        </w:rPr>
        <w:t>enact[ing] or enforc[ing], either directly or indirectly, any law, rule, regulation, standard, order or other provision having the force or effect of law that regulates, or has the effect of regulating, the rates, terms and conditions of VoIP service or IP-enabled service.</w:t>
      </w:r>
      <w:r w:rsidR="00E055A1" w:rsidRPr="00573761">
        <w:rPr>
          <w:color w:val="000000"/>
          <w:sz w:val="26"/>
          <w:szCs w:val="26"/>
        </w:rPr>
        <w:t>”</w:t>
      </w:r>
      <w:r w:rsidR="00107534" w:rsidRPr="00573761">
        <w:rPr>
          <w:rStyle w:val="FootnoteReference"/>
          <w:color w:val="000000"/>
          <w:sz w:val="26"/>
          <w:szCs w:val="26"/>
        </w:rPr>
        <w:footnoteReference w:id="13"/>
      </w:r>
      <w:r w:rsidR="00534DEF" w:rsidRPr="00573761">
        <w:rPr>
          <w:color w:val="000000"/>
          <w:sz w:val="26"/>
          <w:szCs w:val="26"/>
        </w:rPr>
        <w:t xml:space="preserve"> </w:t>
      </w:r>
      <w:r w:rsidR="00DD4B1B" w:rsidRPr="00573761">
        <w:rPr>
          <w:color w:val="000000"/>
          <w:sz w:val="26"/>
          <w:szCs w:val="26"/>
        </w:rPr>
        <w:t xml:space="preserve"> </w:t>
      </w:r>
      <w:r w:rsidR="00E70EC8" w:rsidRPr="00573761">
        <w:rPr>
          <w:i/>
          <w:iCs/>
          <w:color w:val="000000"/>
          <w:sz w:val="26"/>
          <w:szCs w:val="26"/>
        </w:rPr>
        <w:t>Id</w:t>
      </w:r>
      <w:r w:rsidR="00E70EC8" w:rsidRPr="00573761">
        <w:rPr>
          <w:color w:val="000000"/>
          <w:sz w:val="26"/>
          <w:szCs w:val="26"/>
        </w:rPr>
        <w:t xml:space="preserve">.  </w:t>
      </w:r>
      <w:r w:rsidR="00534DEF" w:rsidRPr="00573761">
        <w:rPr>
          <w:color w:val="000000"/>
          <w:sz w:val="26"/>
          <w:szCs w:val="26"/>
        </w:rPr>
        <w:t xml:space="preserve">BCAP asserts that this </w:t>
      </w:r>
      <w:r w:rsidRPr="00573761">
        <w:rPr>
          <w:color w:val="000000"/>
          <w:sz w:val="26"/>
          <w:szCs w:val="26"/>
        </w:rPr>
        <w:t>statute makes clear that this prohibition should be construed broadly</w:t>
      </w:r>
      <w:r w:rsidR="00534DEF" w:rsidRPr="00573761">
        <w:rPr>
          <w:color w:val="000000"/>
          <w:sz w:val="26"/>
          <w:szCs w:val="26"/>
        </w:rPr>
        <w:t xml:space="preserve"> and </w:t>
      </w:r>
      <w:r w:rsidRPr="00573761">
        <w:rPr>
          <w:color w:val="000000"/>
          <w:sz w:val="26"/>
          <w:szCs w:val="26"/>
        </w:rPr>
        <w:t>contains no such specific carve-out that would justify this expansion of state regulatory fees.</w:t>
      </w:r>
      <w:r w:rsidR="00107534" w:rsidRPr="00573761">
        <w:rPr>
          <w:rStyle w:val="FootnoteReference"/>
          <w:color w:val="000000"/>
          <w:sz w:val="26"/>
          <w:szCs w:val="26"/>
        </w:rPr>
        <w:footnoteReference w:id="14"/>
      </w:r>
      <w:r w:rsidR="00534DEF" w:rsidRPr="00573761">
        <w:rPr>
          <w:color w:val="000000"/>
          <w:sz w:val="26"/>
          <w:szCs w:val="26"/>
        </w:rPr>
        <w:t xml:space="preserve">  </w:t>
      </w:r>
      <w:r w:rsidR="00DD4B1B" w:rsidRPr="00573761">
        <w:rPr>
          <w:i/>
          <w:iCs/>
          <w:color w:val="000000"/>
          <w:sz w:val="26"/>
          <w:szCs w:val="26"/>
        </w:rPr>
        <w:t>Id.</w:t>
      </w:r>
      <w:r w:rsidR="00E70EC8" w:rsidRPr="00573761">
        <w:rPr>
          <w:color w:val="000000"/>
          <w:sz w:val="26"/>
          <w:szCs w:val="26"/>
        </w:rPr>
        <w:t xml:space="preserve"> at 6.</w:t>
      </w:r>
      <w:r w:rsidR="00C63784" w:rsidRPr="00573761">
        <w:rPr>
          <w:color w:val="000000"/>
          <w:sz w:val="26"/>
          <w:szCs w:val="26"/>
        </w:rPr>
        <w:t xml:space="preserve">  </w:t>
      </w:r>
    </w:p>
    <w:p w14:paraId="4062EEC1" w14:textId="1D39659B" w:rsidR="00534DEF" w:rsidRPr="00573761" w:rsidRDefault="00534DEF" w:rsidP="001B1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5CDF19B6" w14:textId="03AE0E4C" w:rsidR="004C380C" w:rsidRPr="00573761" w:rsidRDefault="0011140E" w:rsidP="00AD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lastRenderedPageBreak/>
        <w:tab/>
        <w:t>Lastly, BCAP asserts that as a practical matter BCAP</w:t>
      </w:r>
      <w:r w:rsidR="00E055A1" w:rsidRPr="00573761">
        <w:rPr>
          <w:color w:val="000000"/>
          <w:sz w:val="26"/>
          <w:szCs w:val="26"/>
        </w:rPr>
        <w:t>’</w:t>
      </w:r>
      <w:r w:rsidRPr="00573761">
        <w:rPr>
          <w:color w:val="000000"/>
          <w:sz w:val="26"/>
          <w:szCs w:val="26"/>
        </w:rPr>
        <w:t xml:space="preserve">s members would face significant hurdles in complying with an obligation to ascertain and report </w:t>
      </w:r>
      <w:r w:rsidR="00E055A1" w:rsidRPr="00573761">
        <w:rPr>
          <w:iCs/>
          <w:color w:val="000000"/>
          <w:sz w:val="26"/>
          <w:szCs w:val="26"/>
        </w:rPr>
        <w:t>“</w:t>
      </w:r>
      <w:r w:rsidRPr="00573761">
        <w:rPr>
          <w:i/>
          <w:iCs/>
          <w:color w:val="000000"/>
          <w:sz w:val="26"/>
          <w:szCs w:val="26"/>
        </w:rPr>
        <w:t>de facto</w:t>
      </w:r>
      <w:r w:rsidR="00E055A1" w:rsidRPr="00573761">
        <w:rPr>
          <w:iCs/>
          <w:color w:val="000000"/>
          <w:sz w:val="26"/>
          <w:szCs w:val="26"/>
        </w:rPr>
        <w:t>”</w:t>
      </w:r>
      <w:r w:rsidRPr="00573761">
        <w:rPr>
          <w:i/>
          <w:iCs/>
          <w:color w:val="000000"/>
          <w:sz w:val="26"/>
          <w:szCs w:val="26"/>
        </w:rPr>
        <w:t xml:space="preserve"> </w:t>
      </w:r>
      <w:r w:rsidRPr="00573761">
        <w:rPr>
          <w:color w:val="000000"/>
          <w:sz w:val="26"/>
          <w:szCs w:val="26"/>
        </w:rPr>
        <w:t>intrastate revenues attributable to special access, transport, or similar jurisdictionally</w:t>
      </w:r>
      <w:r w:rsidR="00B80A05" w:rsidRPr="00573761">
        <w:rPr>
          <w:color w:val="000000"/>
          <w:sz w:val="26"/>
          <w:szCs w:val="26"/>
        </w:rPr>
        <w:t xml:space="preserve"> </w:t>
      </w:r>
      <w:r w:rsidRPr="00573761">
        <w:rPr>
          <w:color w:val="000000"/>
          <w:sz w:val="26"/>
          <w:szCs w:val="26"/>
        </w:rPr>
        <w:t>mixed</w:t>
      </w:r>
      <w:r w:rsidR="00B80A05" w:rsidRPr="00573761">
        <w:rPr>
          <w:color w:val="000000"/>
          <w:sz w:val="26"/>
          <w:szCs w:val="26"/>
        </w:rPr>
        <w:t>-use</w:t>
      </w:r>
      <w:r w:rsidRPr="00573761">
        <w:rPr>
          <w:color w:val="000000"/>
          <w:sz w:val="26"/>
          <w:szCs w:val="26"/>
        </w:rPr>
        <w:t xml:space="preserve"> services. </w:t>
      </w:r>
      <w:r w:rsidR="004C380C" w:rsidRPr="00573761">
        <w:rPr>
          <w:color w:val="000000"/>
          <w:sz w:val="26"/>
          <w:szCs w:val="26"/>
        </w:rPr>
        <w:t xml:space="preserve"> </w:t>
      </w:r>
      <w:r w:rsidR="00AD6AC8" w:rsidRPr="00573761">
        <w:rPr>
          <w:i/>
          <w:iCs/>
          <w:color w:val="000000"/>
          <w:sz w:val="26"/>
          <w:szCs w:val="26"/>
        </w:rPr>
        <w:t>Id</w:t>
      </w:r>
      <w:r w:rsidR="00AD6AC8" w:rsidRPr="00573761">
        <w:rPr>
          <w:color w:val="000000"/>
          <w:sz w:val="26"/>
          <w:szCs w:val="26"/>
        </w:rPr>
        <w:t>.  BCAP states that the FCC has acknowledged that the best method to verify and ascertain the jurisdictional status of the traffic that traverses a special access private line for purposes of complying with regulatory obligations is through customer</w:t>
      </w:r>
      <w:r w:rsidR="00324372" w:rsidRPr="00573761">
        <w:rPr>
          <w:color w:val="000000"/>
          <w:sz w:val="26"/>
          <w:szCs w:val="26"/>
        </w:rPr>
        <w:t xml:space="preserve"> </w:t>
      </w:r>
      <w:r w:rsidR="00AD6AC8" w:rsidRPr="00573761">
        <w:rPr>
          <w:color w:val="000000"/>
          <w:sz w:val="26"/>
          <w:szCs w:val="26"/>
        </w:rPr>
        <w:t>certifications.</w:t>
      </w:r>
      <w:r w:rsidR="00AD6AC8" w:rsidRPr="00573761">
        <w:rPr>
          <w:rStyle w:val="FootnoteReference"/>
          <w:color w:val="000000"/>
          <w:sz w:val="26"/>
          <w:szCs w:val="26"/>
        </w:rPr>
        <w:footnoteReference w:id="15"/>
      </w:r>
      <w:r w:rsidR="00AD6AC8" w:rsidRPr="00573761">
        <w:rPr>
          <w:color w:val="000000"/>
          <w:sz w:val="26"/>
          <w:szCs w:val="26"/>
        </w:rPr>
        <w:t xml:space="preserve">  </w:t>
      </w:r>
      <w:r w:rsidR="00AD6AC8" w:rsidRPr="00573761">
        <w:rPr>
          <w:i/>
          <w:iCs/>
          <w:color w:val="000000"/>
          <w:sz w:val="26"/>
          <w:szCs w:val="26"/>
        </w:rPr>
        <w:t>Id</w:t>
      </w:r>
      <w:r w:rsidR="00AD6AC8" w:rsidRPr="00573761">
        <w:rPr>
          <w:color w:val="000000"/>
          <w:sz w:val="26"/>
          <w:szCs w:val="26"/>
        </w:rPr>
        <w:t xml:space="preserve">.  </w:t>
      </w:r>
      <w:r w:rsidR="004C380C" w:rsidRPr="00573761">
        <w:rPr>
          <w:color w:val="000000"/>
          <w:sz w:val="26"/>
          <w:szCs w:val="26"/>
        </w:rPr>
        <w:t xml:space="preserve">BCAP states that its member companies rely on customer certifications to determine whether a particular special access, transport, or similar line is </w:t>
      </w:r>
      <w:r w:rsidR="00AD6AC8" w:rsidRPr="00573761">
        <w:rPr>
          <w:color w:val="000000"/>
          <w:sz w:val="26"/>
          <w:szCs w:val="26"/>
        </w:rPr>
        <w:t xml:space="preserve">carrying </w:t>
      </w:r>
      <w:r w:rsidR="004C380C" w:rsidRPr="00573761">
        <w:rPr>
          <w:color w:val="000000"/>
          <w:sz w:val="26"/>
          <w:szCs w:val="26"/>
        </w:rPr>
        <w:t xml:space="preserve">intrastate or interstate </w:t>
      </w:r>
      <w:r w:rsidR="00AD6AC8" w:rsidRPr="00573761">
        <w:rPr>
          <w:color w:val="000000"/>
          <w:sz w:val="26"/>
          <w:szCs w:val="26"/>
        </w:rPr>
        <w:t xml:space="preserve">traffic that is above or below </w:t>
      </w:r>
      <w:r w:rsidR="004C380C" w:rsidRPr="00573761">
        <w:rPr>
          <w:color w:val="000000"/>
          <w:sz w:val="26"/>
          <w:szCs w:val="26"/>
        </w:rPr>
        <w:t>the ten percent rule.</w:t>
      </w:r>
      <w:r w:rsidR="00AD6AC8" w:rsidRPr="00573761">
        <w:rPr>
          <w:color w:val="000000"/>
          <w:sz w:val="26"/>
          <w:szCs w:val="26"/>
        </w:rPr>
        <w:t xml:space="preserve">  </w:t>
      </w:r>
      <w:r w:rsidR="00AD6AC8" w:rsidRPr="00573761">
        <w:rPr>
          <w:i/>
          <w:iCs/>
          <w:color w:val="000000"/>
          <w:sz w:val="26"/>
          <w:szCs w:val="26"/>
        </w:rPr>
        <w:t>Id.</w:t>
      </w:r>
      <w:r w:rsidR="00AD6AC8" w:rsidRPr="00573761">
        <w:rPr>
          <w:color w:val="000000"/>
          <w:sz w:val="26"/>
          <w:szCs w:val="26"/>
        </w:rPr>
        <w:t xml:space="preserve">  BCAP asserts that if the </w:t>
      </w:r>
      <w:r w:rsidR="00AD6AC8" w:rsidRPr="00D15CDE">
        <w:rPr>
          <w:i/>
          <w:color w:val="000000"/>
          <w:sz w:val="26"/>
          <w:szCs w:val="26"/>
        </w:rPr>
        <w:t>Proposed Policy Statement</w:t>
      </w:r>
      <w:r w:rsidR="00AD6AC8" w:rsidRPr="00573761">
        <w:rPr>
          <w:color w:val="000000"/>
          <w:sz w:val="26"/>
          <w:szCs w:val="26"/>
        </w:rPr>
        <w:t xml:space="preserve"> is adopted, its member companies would not be able to ascertain the endpoints of any particular transmission passing over these lines since they do not currently monitor usage on these facilities.  </w:t>
      </w:r>
      <w:r w:rsidR="00DD4B1B" w:rsidRPr="00573761">
        <w:rPr>
          <w:i/>
          <w:iCs/>
          <w:color w:val="000000"/>
          <w:sz w:val="26"/>
          <w:szCs w:val="26"/>
        </w:rPr>
        <w:t xml:space="preserve">Id. </w:t>
      </w:r>
      <w:r w:rsidR="00AD6AC8" w:rsidRPr="00573761">
        <w:rPr>
          <w:color w:val="000000"/>
          <w:sz w:val="26"/>
          <w:szCs w:val="26"/>
        </w:rPr>
        <w:t xml:space="preserve">at 7.  In short, BCAP </w:t>
      </w:r>
      <w:r w:rsidR="003C7ABA" w:rsidRPr="00573761">
        <w:rPr>
          <w:color w:val="000000"/>
          <w:sz w:val="26"/>
          <w:szCs w:val="26"/>
        </w:rPr>
        <w:t xml:space="preserve">asserts </w:t>
      </w:r>
      <w:r w:rsidR="00324372" w:rsidRPr="00573761">
        <w:rPr>
          <w:color w:val="000000"/>
          <w:sz w:val="26"/>
          <w:szCs w:val="26"/>
        </w:rPr>
        <w:t xml:space="preserve">that </w:t>
      </w:r>
      <w:r w:rsidR="003C7ABA" w:rsidRPr="00573761">
        <w:rPr>
          <w:color w:val="000000"/>
          <w:sz w:val="26"/>
          <w:szCs w:val="26"/>
        </w:rPr>
        <w:t xml:space="preserve">its </w:t>
      </w:r>
      <w:r w:rsidR="00AD6AC8" w:rsidRPr="00573761">
        <w:rPr>
          <w:color w:val="000000"/>
          <w:sz w:val="26"/>
          <w:szCs w:val="26"/>
        </w:rPr>
        <w:t xml:space="preserve">members lack a reliable mechanism to ascertain the </w:t>
      </w:r>
      <w:r w:rsidR="00E055A1" w:rsidRPr="00573761">
        <w:rPr>
          <w:iCs/>
          <w:color w:val="000000"/>
          <w:sz w:val="26"/>
          <w:szCs w:val="26"/>
        </w:rPr>
        <w:t>“</w:t>
      </w:r>
      <w:r w:rsidR="00AD6AC8" w:rsidRPr="00573761">
        <w:rPr>
          <w:i/>
          <w:iCs/>
          <w:color w:val="000000"/>
          <w:sz w:val="26"/>
          <w:szCs w:val="26"/>
        </w:rPr>
        <w:t>de facto</w:t>
      </w:r>
      <w:r w:rsidR="004F1536" w:rsidRPr="00573761">
        <w:rPr>
          <w:iCs/>
          <w:color w:val="000000"/>
          <w:sz w:val="26"/>
          <w:szCs w:val="26"/>
        </w:rPr>
        <w:t>”</w:t>
      </w:r>
      <w:r w:rsidR="00AD6AC8" w:rsidRPr="00573761">
        <w:rPr>
          <w:i/>
          <w:iCs/>
          <w:color w:val="000000"/>
          <w:sz w:val="26"/>
          <w:szCs w:val="26"/>
        </w:rPr>
        <w:t xml:space="preserve"> </w:t>
      </w:r>
      <w:r w:rsidR="00AD6AC8" w:rsidRPr="00573761">
        <w:rPr>
          <w:color w:val="000000"/>
          <w:sz w:val="26"/>
          <w:szCs w:val="26"/>
        </w:rPr>
        <w:t>intrastate revenues attributable to special access or similar services.</w:t>
      </w:r>
      <w:r w:rsidR="003C7ABA" w:rsidRPr="00573761">
        <w:rPr>
          <w:color w:val="000000"/>
          <w:sz w:val="26"/>
          <w:szCs w:val="26"/>
        </w:rPr>
        <w:t xml:space="preserve">  </w:t>
      </w:r>
      <w:r w:rsidR="003C7ABA" w:rsidRPr="00573761">
        <w:rPr>
          <w:i/>
          <w:iCs/>
          <w:color w:val="000000"/>
          <w:sz w:val="26"/>
          <w:szCs w:val="26"/>
        </w:rPr>
        <w:t>Id</w:t>
      </w:r>
      <w:r w:rsidR="003C7ABA" w:rsidRPr="00573761">
        <w:rPr>
          <w:color w:val="000000"/>
          <w:sz w:val="26"/>
          <w:szCs w:val="26"/>
        </w:rPr>
        <w:t>.</w:t>
      </w:r>
      <w:r w:rsidR="00C63784" w:rsidRPr="00573761">
        <w:rPr>
          <w:color w:val="000000"/>
          <w:sz w:val="26"/>
          <w:szCs w:val="26"/>
        </w:rPr>
        <w:t xml:space="preserve">  </w:t>
      </w:r>
    </w:p>
    <w:p w14:paraId="789E5D37" w14:textId="77777777" w:rsidR="00025913" w:rsidRPr="00573761" w:rsidRDefault="00025913" w:rsidP="00AD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1F6B4B75" w14:textId="2B62229D" w:rsidR="00025913" w:rsidRPr="00573761" w:rsidRDefault="00025913" w:rsidP="00C63784">
      <w:pPr>
        <w:pStyle w:val="ListParagraph"/>
        <w:numPr>
          <w:ilvl w:val="0"/>
          <w:numId w:val="2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Times New Roman" w:hAnsi="Times New Roman"/>
          <w:b/>
          <w:bCs/>
          <w:color w:val="000000"/>
          <w:sz w:val="26"/>
          <w:szCs w:val="26"/>
        </w:rPr>
      </w:pPr>
      <w:r w:rsidRPr="00573761">
        <w:rPr>
          <w:rFonts w:ascii="Times New Roman" w:hAnsi="Times New Roman"/>
          <w:b/>
          <w:bCs/>
          <w:color w:val="000000"/>
          <w:sz w:val="26"/>
          <w:szCs w:val="26"/>
        </w:rPr>
        <w:t>Pennsylvania Telephone Association</w:t>
      </w:r>
    </w:p>
    <w:p w14:paraId="604F8466" w14:textId="500E0620" w:rsidR="00D0451C" w:rsidRPr="00573761" w:rsidRDefault="00D0451C" w:rsidP="00D04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r w:rsidR="00FF74A8" w:rsidRPr="00573761">
        <w:rPr>
          <w:color w:val="000000"/>
          <w:sz w:val="26"/>
          <w:szCs w:val="26"/>
        </w:rPr>
        <w:t xml:space="preserve">In its Comments, the PTA recommends that the Commission wait to </w:t>
      </w:r>
    </w:p>
    <w:p w14:paraId="137D5F95" w14:textId="74966544" w:rsidR="001D33B3" w:rsidRPr="00573761" w:rsidRDefault="00D0451C" w:rsidP="00FF7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 xml:space="preserve">implement </w:t>
      </w:r>
      <w:r w:rsidR="00FF74A8" w:rsidRPr="00573761">
        <w:rPr>
          <w:color w:val="000000"/>
          <w:sz w:val="26"/>
          <w:szCs w:val="26"/>
        </w:rPr>
        <w:t xml:space="preserve">the </w:t>
      </w:r>
      <w:r w:rsidR="00FF74A8" w:rsidRPr="00D15CDE">
        <w:rPr>
          <w:i/>
          <w:color w:val="000000"/>
          <w:sz w:val="26"/>
          <w:szCs w:val="26"/>
        </w:rPr>
        <w:t>Proposed Policy Statement</w:t>
      </w:r>
      <w:r w:rsidR="00FF74A8" w:rsidRPr="00573761">
        <w:rPr>
          <w:color w:val="000000"/>
          <w:sz w:val="26"/>
          <w:szCs w:val="26"/>
        </w:rPr>
        <w:t xml:space="preserve"> until it has conducted a collaborative process with interested stakeholders to examine the complex issues underlying and implicated by its policy determinations regarding the FCC’s ten percent rule.  PTA Comments at 2.  </w:t>
      </w:r>
      <w:r w:rsidR="007B2DD1" w:rsidRPr="00573761">
        <w:rPr>
          <w:color w:val="000000"/>
          <w:sz w:val="26"/>
          <w:szCs w:val="26"/>
        </w:rPr>
        <w:t xml:space="preserve">The </w:t>
      </w:r>
      <w:r w:rsidR="00FF74A8" w:rsidRPr="00573761">
        <w:rPr>
          <w:color w:val="000000"/>
          <w:sz w:val="26"/>
          <w:szCs w:val="26"/>
        </w:rPr>
        <w:t xml:space="preserve">PTA asserts that the convergence of technologies and prevalence of data-based traffic has significantly complicated issues with attempting to determine whether services are intrastate or interstate for jurisdictional purposes.  </w:t>
      </w:r>
      <w:r w:rsidR="00FF74A8" w:rsidRPr="00573761">
        <w:rPr>
          <w:i/>
          <w:iCs/>
          <w:color w:val="000000"/>
          <w:sz w:val="26"/>
          <w:szCs w:val="26"/>
        </w:rPr>
        <w:t>Id</w:t>
      </w:r>
      <w:r w:rsidR="00FF74A8" w:rsidRPr="00573761">
        <w:rPr>
          <w:color w:val="000000"/>
          <w:sz w:val="26"/>
          <w:szCs w:val="26"/>
        </w:rPr>
        <w:t xml:space="preserve">.  The PTA notes that when a special access circuit is purchased, the customer, not the carrier, makes the inter/intra distinction at the time of sale.  </w:t>
      </w:r>
      <w:r w:rsidR="00FF74A8" w:rsidRPr="00573761">
        <w:rPr>
          <w:i/>
          <w:iCs/>
          <w:color w:val="000000"/>
          <w:sz w:val="26"/>
          <w:szCs w:val="26"/>
        </w:rPr>
        <w:t>Id</w:t>
      </w:r>
      <w:r w:rsidR="00FF74A8" w:rsidRPr="00573761">
        <w:rPr>
          <w:color w:val="000000"/>
          <w:sz w:val="26"/>
          <w:szCs w:val="26"/>
        </w:rPr>
        <w:t xml:space="preserve">.  Further, the PTA states that carriers do not inspect each data packet to determine jurisdiction.  </w:t>
      </w:r>
      <w:r w:rsidR="00FF74A8" w:rsidRPr="00573761">
        <w:rPr>
          <w:i/>
          <w:iCs/>
          <w:color w:val="000000"/>
          <w:sz w:val="26"/>
          <w:szCs w:val="26"/>
        </w:rPr>
        <w:t>Id</w:t>
      </w:r>
      <w:r w:rsidR="00FF74A8" w:rsidRPr="00573761">
        <w:rPr>
          <w:color w:val="000000"/>
          <w:sz w:val="26"/>
          <w:szCs w:val="26"/>
        </w:rPr>
        <w:t xml:space="preserve">.  </w:t>
      </w:r>
      <w:r w:rsidR="000466E9" w:rsidRPr="00573761">
        <w:rPr>
          <w:color w:val="000000"/>
          <w:sz w:val="26"/>
          <w:szCs w:val="26"/>
        </w:rPr>
        <w:t xml:space="preserve">The PTA asserts that to require a carrier </w:t>
      </w:r>
      <w:r w:rsidR="000466E9" w:rsidRPr="00573761">
        <w:rPr>
          <w:color w:val="000000"/>
          <w:sz w:val="26"/>
          <w:szCs w:val="26"/>
        </w:rPr>
        <w:lastRenderedPageBreak/>
        <w:t xml:space="preserve">to somehow apportion the intrastate pieces of traffic traversing a special access circuit would cause security and privacy issues and this action would violate federal policies and the underlying reason for the ten percent rule.  </w:t>
      </w:r>
      <w:r w:rsidR="000466E9" w:rsidRPr="00573761">
        <w:rPr>
          <w:i/>
          <w:iCs/>
          <w:color w:val="000000"/>
          <w:sz w:val="26"/>
          <w:szCs w:val="26"/>
        </w:rPr>
        <w:t>Id</w:t>
      </w:r>
      <w:r w:rsidR="000466E9" w:rsidRPr="00573761">
        <w:rPr>
          <w:color w:val="000000"/>
          <w:sz w:val="26"/>
          <w:szCs w:val="26"/>
        </w:rPr>
        <w:t xml:space="preserve">.  </w:t>
      </w:r>
    </w:p>
    <w:p w14:paraId="48B7E966" w14:textId="77777777" w:rsidR="008858EB" w:rsidRPr="00573761" w:rsidRDefault="008858EB" w:rsidP="00FF7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3EE393AC" w14:textId="4319AD6C" w:rsidR="00E33708" w:rsidRPr="00573761" w:rsidRDefault="001D33B3" w:rsidP="00FF7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r w:rsidR="00E33708" w:rsidRPr="00573761">
        <w:rPr>
          <w:color w:val="000000"/>
          <w:sz w:val="26"/>
          <w:szCs w:val="26"/>
        </w:rPr>
        <w:t>T</w:t>
      </w:r>
      <w:r w:rsidR="000466E9" w:rsidRPr="00573761">
        <w:rPr>
          <w:color w:val="000000"/>
          <w:sz w:val="26"/>
          <w:szCs w:val="26"/>
        </w:rPr>
        <w:t>he PTA states that special access services and other similarly mixed jurisdictional services are overwhelmingly interstate in nature as the FCC has concluded that broadband Internet access service (BIAS) is considered interstate for regulatory purposes.</w:t>
      </w:r>
      <w:r w:rsidR="000466E9" w:rsidRPr="00573761">
        <w:rPr>
          <w:rStyle w:val="FootnoteReference"/>
          <w:color w:val="000000"/>
          <w:sz w:val="26"/>
          <w:szCs w:val="26"/>
        </w:rPr>
        <w:footnoteReference w:id="16"/>
      </w:r>
      <w:r w:rsidRPr="00573761">
        <w:rPr>
          <w:color w:val="000000"/>
          <w:sz w:val="26"/>
          <w:szCs w:val="26"/>
        </w:rPr>
        <w:t xml:space="preserve">  </w:t>
      </w:r>
      <w:r w:rsidR="00DD4B1B" w:rsidRPr="00573761">
        <w:rPr>
          <w:i/>
          <w:iCs/>
          <w:color w:val="000000"/>
          <w:sz w:val="26"/>
          <w:szCs w:val="26"/>
        </w:rPr>
        <w:t>Id</w:t>
      </w:r>
      <w:r w:rsidR="00DD4B1B" w:rsidRPr="00573761">
        <w:rPr>
          <w:color w:val="000000"/>
          <w:sz w:val="26"/>
          <w:szCs w:val="26"/>
        </w:rPr>
        <w:t xml:space="preserve">. </w:t>
      </w:r>
      <w:r w:rsidRPr="00573761">
        <w:rPr>
          <w:color w:val="000000"/>
          <w:sz w:val="26"/>
          <w:szCs w:val="26"/>
        </w:rPr>
        <w:t xml:space="preserve">at 3.  </w:t>
      </w:r>
    </w:p>
    <w:p w14:paraId="449E1242" w14:textId="77777777" w:rsidR="00E33708" w:rsidRPr="00573761" w:rsidRDefault="00E33708" w:rsidP="00FF7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7B0CB30A" w14:textId="05634958" w:rsidR="00025913" w:rsidRPr="00573761" w:rsidRDefault="00E33708" w:rsidP="00FF7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Lastly, the PTA expresses concern that adoption of the </w:t>
      </w:r>
      <w:r w:rsidRPr="00D15CDE">
        <w:rPr>
          <w:i/>
          <w:color w:val="000000"/>
          <w:sz w:val="26"/>
          <w:szCs w:val="26"/>
        </w:rPr>
        <w:t>Proposed Policy Statement</w:t>
      </w:r>
      <w:r w:rsidRPr="00573761">
        <w:rPr>
          <w:color w:val="000000"/>
          <w:sz w:val="26"/>
          <w:szCs w:val="26"/>
        </w:rPr>
        <w:t xml:space="preserve"> would impose new reporting and record-keeping burdens on its rural local exchange carrier (RLEC) members. </w:t>
      </w:r>
      <w:r w:rsidR="00DD4B1B" w:rsidRPr="00573761">
        <w:rPr>
          <w:i/>
          <w:iCs/>
          <w:color w:val="000000"/>
          <w:sz w:val="26"/>
          <w:szCs w:val="26"/>
        </w:rPr>
        <w:t>Id</w:t>
      </w:r>
      <w:r w:rsidR="00DD4B1B" w:rsidRPr="00573761">
        <w:rPr>
          <w:color w:val="000000"/>
          <w:sz w:val="26"/>
          <w:szCs w:val="26"/>
        </w:rPr>
        <w:t xml:space="preserve">. </w:t>
      </w:r>
      <w:r w:rsidR="00FB0862" w:rsidRPr="00573761">
        <w:rPr>
          <w:color w:val="000000"/>
          <w:sz w:val="26"/>
          <w:szCs w:val="26"/>
        </w:rPr>
        <w:t xml:space="preserve">at </w:t>
      </w:r>
      <w:r w:rsidRPr="00573761">
        <w:rPr>
          <w:color w:val="000000"/>
          <w:sz w:val="26"/>
          <w:szCs w:val="26"/>
        </w:rPr>
        <w:t xml:space="preserve">4.  </w:t>
      </w:r>
      <w:r w:rsidR="001D33B3" w:rsidRPr="00573761">
        <w:rPr>
          <w:color w:val="000000"/>
          <w:sz w:val="26"/>
          <w:szCs w:val="26"/>
        </w:rPr>
        <w:t>Therefore, the PTA support</w:t>
      </w:r>
      <w:r w:rsidRPr="00573761">
        <w:rPr>
          <w:color w:val="000000"/>
          <w:sz w:val="26"/>
          <w:szCs w:val="26"/>
        </w:rPr>
        <w:t>s</w:t>
      </w:r>
      <w:r w:rsidR="001D33B3" w:rsidRPr="00573761">
        <w:rPr>
          <w:color w:val="000000"/>
          <w:sz w:val="26"/>
          <w:szCs w:val="26"/>
        </w:rPr>
        <w:t xml:space="preserve"> a collaborative approach that can facilitate the exchange of information regarding the challenges and potential benefits of the </w:t>
      </w:r>
      <w:r w:rsidR="001D33B3" w:rsidRPr="00D15CDE">
        <w:rPr>
          <w:i/>
          <w:color w:val="000000"/>
          <w:sz w:val="26"/>
          <w:szCs w:val="26"/>
        </w:rPr>
        <w:t>Proposed Policy Statement</w:t>
      </w:r>
      <w:r w:rsidR="00F54CE9" w:rsidRPr="00573761">
        <w:rPr>
          <w:color w:val="000000"/>
          <w:sz w:val="26"/>
          <w:szCs w:val="26"/>
        </w:rPr>
        <w:t>,</w:t>
      </w:r>
      <w:r w:rsidR="00D320A1" w:rsidRPr="00573761">
        <w:rPr>
          <w:i/>
          <w:iCs/>
          <w:color w:val="000000"/>
          <w:sz w:val="26"/>
          <w:szCs w:val="26"/>
        </w:rPr>
        <w:t xml:space="preserve"> </w:t>
      </w:r>
      <w:r w:rsidR="00D320A1" w:rsidRPr="00573761">
        <w:rPr>
          <w:color w:val="000000"/>
          <w:sz w:val="26"/>
          <w:szCs w:val="26"/>
        </w:rPr>
        <w:t>such as how to determine which revenues</w:t>
      </w:r>
      <w:r w:rsidR="00F54CE9" w:rsidRPr="00573761">
        <w:rPr>
          <w:color w:val="000000"/>
          <w:sz w:val="26"/>
          <w:szCs w:val="26"/>
        </w:rPr>
        <w:t>’</w:t>
      </w:r>
      <w:r w:rsidR="00D320A1" w:rsidRPr="00573761">
        <w:rPr>
          <w:color w:val="000000"/>
          <w:sz w:val="26"/>
          <w:szCs w:val="26"/>
        </w:rPr>
        <w:t xml:space="preserve"> services would fall within the ambit of the concept of “</w:t>
      </w:r>
      <w:r w:rsidR="00D320A1" w:rsidRPr="00573761">
        <w:rPr>
          <w:i/>
          <w:iCs/>
          <w:color w:val="000000"/>
          <w:sz w:val="26"/>
          <w:szCs w:val="26"/>
        </w:rPr>
        <w:t>de facto</w:t>
      </w:r>
      <w:r w:rsidR="00D320A1" w:rsidRPr="00573761">
        <w:rPr>
          <w:color w:val="000000"/>
          <w:sz w:val="26"/>
          <w:szCs w:val="26"/>
        </w:rPr>
        <w:t xml:space="preserve"> gross intrastate operating revenues” and what specific services fall within the ambit of the phrase “or other similar jurisdictionally-mixed telecommunications services</w:t>
      </w:r>
      <w:r w:rsidR="00943329" w:rsidRPr="00573761">
        <w:rPr>
          <w:color w:val="000000"/>
          <w:sz w:val="26"/>
          <w:szCs w:val="26"/>
        </w:rPr>
        <w:t>.</w:t>
      </w:r>
      <w:r w:rsidR="00D320A1" w:rsidRPr="00573761">
        <w:rPr>
          <w:color w:val="000000"/>
          <w:sz w:val="26"/>
          <w:szCs w:val="26"/>
        </w:rPr>
        <w:t xml:space="preserve">”  </w:t>
      </w:r>
      <w:r w:rsidR="00DD4B1B" w:rsidRPr="00573761">
        <w:rPr>
          <w:i/>
          <w:iCs/>
          <w:color w:val="000000"/>
          <w:sz w:val="26"/>
          <w:szCs w:val="26"/>
        </w:rPr>
        <w:t>Id</w:t>
      </w:r>
      <w:r w:rsidR="00DD4B1B" w:rsidRPr="00573761">
        <w:rPr>
          <w:color w:val="000000"/>
          <w:sz w:val="26"/>
          <w:szCs w:val="26"/>
        </w:rPr>
        <w:t xml:space="preserve">. </w:t>
      </w:r>
      <w:r w:rsidR="00D320A1" w:rsidRPr="00573761">
        <w:rPr>
          <w:color w:val="000000"/>
          <w:sz w:val="26"/>
          <w:szCs w:val="26"/>
        </w:rPr>
        <w:t>at 3</w:t>
      </w:r>
      <w:r w:rsidR="002417E5" w:rsidRPr="00573761">
        <w:rPr>
          <w:color w:val="000000"/>
          <w:sz w:val="26"/>
          <w:szCs w:val="26"/>
        </w:rPr>
        <w:t>–</w:t>
      </w:r>
      <w:r w:rsidR="00D320A1" w:rsidRPr="00573761">
        <w:rPr>
          <w:color w:val="000000"/>
          <w:sz w:val="26"/>
          <w:szCs w:val="26"/>
        </w:rPr>
        <w:t>4</w:t>
      </w:r>
      <w:r w:rsidR="001D33B3" w:rsidRPr="00573761">
        <w:rPr>
          <w:i/>
          <w:iCs/>
          <w:color w:val="000000"/>
          <w:sz w:val="26"/>
          <w:szCs w:val="26"/>
        </w:rPr>
        <w:t>.</w:t>
      </w:r>
    </w:p>
    <w:p w14:paraId="1B5883E4" w14:textId="7478C244" w:rsidR="00025913" w:rsidRPr="00573761" w:rsidRDefault="00025913" w:rsidP="00025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color w:val="000000"/>
          <w:sz w:val="26"/>
          <w:szCs w:val="26"/>
        </w:rPr>
      </w:pPr>
      <w:r w:rsidRPr="00573761">
        <w:rPr>
          <w:b/>
          <w:bCs/>
          <w:color w:val="000000"/>
          <w:sz w:val="26"/>
          <w:szCs w:val="26"/>
        </w:rPr>
        <w:tab/>
      </w:r>
    </w:p>
    <w:p w14:paraId="57C1A283" w14:textId="0B50EA09" w:rsidR="00D0451C" w:rsidRPr="00573761" w:rsidRDefault="00D0451C" w:rsidP="00CC7A44">
      <w:pPr>
        <w:pStyle w:val="ListParagraph"/>
        <w:numPr>
          <w:ilvl w:val="0"/>
          <w:numId w:val="2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Times New Roman" w:hAnsi="Times New Roman"/>
          <w:b/>
          <w:bCs/>
          <w:color w:val="000000"/>
          <w:sz w:val="26"/>
          <w:szCs w:val="26"/>
        </w:rPr>
      </w:pPr>
      <w:r w:rsidRPr="00573761">
        <w:rPr>
          <w:rFonts w:ascii="Times New Roman" w:hAnsi="Times New Roman"/>
          <w:b/>
          <w:bCs/>
          <w:color w:val="000000"/>
          <w:sz w:val="26"/>
          <w:szCs w:val="26"/>
        </w:rPr>
        <w:t>Verizon</w:t>
      </w:r>
    </w:p>
    <w:p w14:paraId="4E540484" w14:textId="10D2DD35" w:rsidR="00D0451C" w:rsidRPr="00573761" w:rsidRDefault="00D0451C" w:rsidP="00D0451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In its Comments, Verizon suggests that the Commission should not issue </w:t>
      </w:r>
    </w:p>
    <w:p w14:paraId="78150D50" w14:textId="11F90CB5" w:rsidR="00D0451C" w:rsidRPr="00573761" w:rsidRDefault="00D0451C" w:rsidP="00D0451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iCs/>
          <w:color w:val="000000"/>
          <w:sz w:val="26"/>
          <w:szCs w:val="26"/>
        </w:rPr>
      </w:pPr>
      <w:r w:rsidRPr="00573761">
        <w:rPr>
          <w:color w:val="000000"/>
          <w:sz w:val="26"/>
          <w:szCs w:val="26"/>
        </w:rPr>
        <w:t xml:space="preserve">the </w:t>
      </w:r>
      <w:r w:rsidRPr="00D15CDE">
        <w:rPr>
          <w:i/>
          <w:color w:val="000000"/>
          <w:sz w:val="26"/>
          <w:szCs w:val="26"/>
        </w:rPr>
        <w:t>Proposed Policy Statement</w:t>
      </w:r>
      <w:r w:rsidRPr="00573761">
        <w:rPr>
          <w:color w:val="000000"/>
          <w:sz w:val="26"/>
          <w:szCs w:val="26"/>
        </w:rPr>
        <w:t xml:space="preserve"> and decline to attempt to assess any portion of the revenue from services that are classified as interstate under the ten percent rule.  </w:t>
      </w:r>
      <w:r w:rsidR="00FB0862" w:rsidRPr="00573761">
        <w:rPr>
          <w:color w:val="000000"/>
          <w:sz w:val="26"/>
          <w:szCs w:val="26"/>
        </w:rPr>
        <w:t xml:space="preserve">Verizon Comments at 11.  </w:t>
      </w:r>
      <w:r w:rsidRPr="00573761">
        <w:rPr>
          <w:color w:val="000000"/>
          <w:sz w:val="26"/>
          <w:szCs w:val="26"/>
        </w:rPr>
        <w:t xml:space="preserve">Verizon recommends that the Commission </w:t>
      </w:r>
      <w:r w:rsidR="00A70595" w:rsidRPr="00573761">
        <w:rPr>
          <w:color w:val="000000"/>
          <w:sz w:val="26"/>
          <w:szCs w:val="26"/>
        </w:rPr>
        <w:t>should rather explore other alternatives to recover the costs from providers that it determines are expending excessive administrative resources without paying a</w:t>
      </w:r>
      <w:r w:rsidR="00C07C24" w:rsidRPr="00573761">
        <w:rPr>
          <w:color w:val="000000"/>
          <w:sz w:val="26"/>
          <w:szCs w:val="26"/>
        </w:rPr>
        <w:t>n</w:t>
      </w:r>
      <w:r w:rsidR="00A70595" w:rsidRPr="00573761">
        <w:rPr>
          <w:color w:val="000000"/>
          <w:sz w:val="26"/>
          <w:szCs w:val="26"/>
        </w:rPr>
        <w:t xml:space="preserve"> assessment.  </w:t>
      </w:r>
      <w:r w:rsidR="00FB0862" w:rsidRPr="00573761">
        <w:rPr>
          <w:i/>
          <w:iCs/>
          <w:color w:val="000000"/>
          <w:sz w:val="26"/>
          <w:szCs w:val="26"/>
        </w:rPr>
        <w:t>Id.</w:t>
      </w:r>
    </w:p>
    <w:p w14:paraId="2695B195" w14:textId="15A807F3" w:rsidR="008B75BB" w:rsidRPr="00573761" w:rsidRDefault="008B75BB" w:rsidP="00D0451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p>
    <w:p w14:paraId="0A3AF92B" w14:textId="3AF0E2D7" w:rsidR="00B50A1E" w:rsidRPr="00573761" w:rsidRDefault="008B75BB" w:rsidP="008C13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lastRenderedPageBreak/>
        <w:tab/>
      </w:r>
      <w:r w:rsidR="00F11D76" w:rsidRPr="00573761">
        <w:rPr>
          <w:color w:val="000000"/>
          <w:sz w:val="26"/>
          <w:szCs w:val="26"/>
        </w:rPr>
        <w:t xml:space="preserve">Verizon asserts that the </w:t>
      </w:r>
      <w:r w:rsidR="00F11D76" w:rsidRPr="00D15CDE">
        <w:rPr>
          <w:i/>
          <w:color w:val="000000"/>
          <w:sz w:val="26"/>
          <w:szCs w:val="26"/>
        </w:rPr>
        <w:t>Proposed Policy Statement</w:t>
      </w:r>
      <w:r w:rsidR="00F11D76" w:rsidRPr="00573761">
        <w:rPr>
          <w:color w:val="000000"/>
          <w:sz w:val="26"/>
          <w:szCs w:val="26"/>
        </w:rPr>
        <w:t xml:space="preserve"> would result in administrative burden and infeasibility </w:t>
      </w:r>
      <w:r w:rsidR="00B50A1E" w:rsidRPr="00573761">
        <w:rPr>
          <w:color w:val="000000"/>
          <w:sz w:val="26"/>
          <w:szCs w:val="26"/>
        </w:rPr>
        <w:t xml:space="preserve">regarding the identification of the portion of the “intrastate” traffic traversing over a private line.  </w:t>
      </w:r>
      <w:r w:rsidR="00DD4B1B" w:rsidRPr="00573761">
        <w:rPr>
          <w:i/>
          <w:iCs/>
          <w:color w:val="000000"/>
          <w:sz w:val="26"/>
          <w:szCs w:val="26"/>
        </w:rPr>
        <w:t>Id</w:t>
      </w:r>
      <w:r w:rsidR="00DD4B1B" w:rsidRPr="00573761">
        <w:rPr>
          <w:color w:val="000000"/>
          <w:sz w:val="26"/>
          <w:szCs w:val="26"/>
        </w:rPr>
        <w:t xml:space="preserve">. </w:t>
      </w:r>
      <w:r w:rsidR="00B50A1E" w:rsidRPr="00573761">
        <w:rPr>
          <w:color w:val="000000"/>
          <w:sz w:val="26"/>
          <w:szCs w:val="26"/>
        </w:rPr>
        <w:t>at 9</w:t>
      </w:r>
      <w:r w:rsidR="002417E5" w:rsidRPr="00573761">
        <w:rPr>
          <w:color w:val="000000"/>
          <w:sz w:val="26"/>
          <w:szCs w:val="26"/>
        </w:rPr>
        <w:t>–</w:t>
      </w:r>
      <w:r w:rsidR="00B50A1E" w:rsidRPr="00573761">
        <w:rPr>
          <w:color w:val="000000"/>
          <w:sz w:val="26"/>
          <w:szCs w:val="26"/>
        </w:rPr>
        <w:t xml:space="preserve">10.  </w:t>
      </w:r>
      <w:r w:rsidRPr="00573761">
        <w:rPr>
          <w:color w:val="000000"/>
          <w:sz w:val="26"/>
          <w:szCs w:val="26"/>
        </w:rPr>
        <w:t xml:space="preserve">In particular, Verizon states </w:t>
      </w:r>
      <w:r w:rsidR="009D1A18" w:rsidRPr="00573761">
        <w:rPr>
          <w:color w:val="000000"/>
          <w:sz w:val="26"/>
          <w:szCs w:val="26"/>
        </w:rPr>
        <w:t xml:space="preserve">in enforcing the </w:t>
      </w:r>
      <w:r w:rsidRPr="00573761">
        <w:rPr>
          <w:color w:val="000000"/>
          <w:sz w:val="26"/>
          <w:szCs w:val="26"/>
        </w:rPr>
        <w:t>ten percent rule</w:t>
      </w:r>
      <w:r w:rsidR="00E82182" w:rsidRPr="00573761">
        <w:rPr>
          <w:color w:val="000000"/>
          <w:sz w:val="26"/>
          <w:szCs w:val="26"/>
        </w:rPr>
        <w:t>,</w:t>
      </w:r>
      <w:r w:rsidRPr="00573761">
        <w:rPr>
          <w:rStyle w:val="FootnoteReference"/>
          <w:color w:val="000000"/>
          <w:sz w:val="26"/>
          <w:szCs w:val="26"/>
        </w:rPr>
        <w:footnoteReference w:id="17"/>
      </w:r>
      <w:r w:rsidRPr="00573761">
        <w:rPr>
          <w:color w:val="000000"/>
          <w:sz w:val="26"/>
          <w:szCs w:val="26"/>
        </w:rPr>
        <w:t xml:space="preserve"> the FCC </w:t>
      </w:r>
      <w:r w:rsidR="009D1A18" w:rsidRPr="00573761">
        <w:rPr>
          <w:color w:val="000000"/>
          <w:sz w:val="26"/>
          <w:szCs w:val="26"/>
        </w:rPr>
        <w:t>adopted a process relying on customer certifications and specifically rejected proposals to base the interstate/intrastate classification of mixed-use special access lines on traffic studies or usage-based allocation factors.</w:t>
      </w:r>
      <w:r w:rsidR="009D1A18" w:rsidRPr="00573761">
        <w:rPr>
          <w:rStyle w:val="FootnoteReference"/>
          <w:color w:val="000000"/>
          <w:sz w:val="26"/>
          <w:szCs w:val="26"/>
        </w:rPr>
        <w:footnoteReference w:id="18"/>
      </w:r>
      <w:r w:rsidR="000C3A49" w:rsidRPr="00573761">
        <w:rPr>
          <w:color w:val="000000"/>
          <w:sz w:val="26"/>
          <w:szCs w:val="26"/>
        </w:rPr>
        <w:t xml:space="preserve">  </w:t>
      </w:r>
      <w:r w:rsidR="00B50A1E" w:rsidRPr="00573761">
        <w:rPr>
          <w:i/>
          <w:iCs/>
          <w:color w:val="000000"/>
          <w:sz w:val="26"/>
          <w:szCs w:val="26"/>
        </w:rPr>
        <w:t>Id</w:t>
      </w:r>
      <w:r w:rsidR="00B50A1E" w:rsidRPr="00573761">
        <w:rPr>
          <w:color w:val="000000"/>
          <w:sz w:val="26"/>
          <w:szCs w:val="26"/>
        </w:rPr>
        <w:t xml:space="preserve">. </w:t>
      </w:r>
      <w:r w:rsidR="000C3A49" w:rsidRPr="00573761">
        <w:rPr>
          <w:color w:val="000000"/>
          <w:sz w:val="26"/>
          <w:szCs w:val="26"/>
        </w:rPr>
        <w:t>at 4</w:t>
      </w:r>
      <w:r w:rsidR="00B50A1E" w:rsidRPr="00573761">
        <w:rPr>
          <w:color w:val="000000"/>
          <w:sz w:val="26"/>
          <w:szCs w:val="26"/>
        </w:rPr>
        <w:t>, 9</w:t>
      </w:r>
      <w:r w:rsidR="002417E5" w:rsidRPr="00573761">
        <w:rPr>
          <w:color w:val="000000"/>
          <w:sz w:val="26"/>
          <w:szCs w:val="26"/>
        </w:rPr>
        <w:t>–</w:t>
      </w:r>
      <w:r w:rsidR="00B50A1E" w:rsidRPr="00573761">
        <w:rPr>
          <w:color w:val="000000"/>
          <w:sz w:val="26"/>
          <w:szCs w:val="26"/>
        </w:rPr>
        <w:t>10</w:t>
      </w:r>
      <w:r w:rsidR="000C3A49" w:rsidRPr="00573761">
        <w:rPr>
          <w:color w:val="000000"/>
          <w:sz w:val="26"/>
          <w:szCs w:val="26"/>
        </w:rPr>
        <w:t xml:space="preserve">.  </w:t>
      </w:r>
    </w:p>
    <w:p w14:paraId="230CD297" w14:textId="77777777" w:rsidR="00B50A1E" w:rsidRPr="00573761" w:rsidRDefault="00B50A1E" w:rsidP="008C13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38B340AE" w14:textId="688763C5" w:rsidR="009D1A18" w:rsidRPr="00573761" w:rsidRDefault="00B50A1E" w:rsidP="008C13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r w:rsidR="009C4A7D" w:rsidRPr="00573761">
        <w:rPr>
          <w:color w:val="000000"/>
          <w:sz w:val="26"/>
          <w:szCs w:val="26"/>
        </w:rPr>
        <w:t xml:space="preserve">Additionally, </w:t>
      </w:r>
      <w:r w:rsidRPr="00573761">
        <w:rPr>
          <w:color w:val="000000"/>
          <w:sz w:val="26"/>
          <w:szCs w:val="26"/>
        </w:rPr>
        <w:t xml:space="preserve">Verizon asserts that the </w:t>
      </w:r>
      <w:r w:rsidRPr="00D15CDE">
        <w:rPr>
          <w:i/>
          <w:color w:val="000000"/>
          <w:sz w:val="26"/>
          <w:szCs w:val="26"/>
        </w:rPr>
        <w:t>Proposed Policy Statement</w:t>
      </w:r>
      <w:r w:rsidRPr="00573761">
        <w:rPr>
          <w:color w:val="000000"/>
          <w:sz w:val="26"/>
          <w:szCs w:val="26"/>
        </w:rPr>
        <w:t xml:space="preserve"> would result in double taxation.  </w:t>
      </w:r>
      <w:r w:rsidRPr="00573761">
        <w:rPr>
          <w:i/>
          <w:iCs/>
          <w:color w:val="000000"/>
          <w:sz w:val="26"/>
          <w:szCs w:val="26"/>
        </w:rPr>
        <w:t>Id</w:t>
      </w:r>
      <w:r w:rsidRPr="00573761">
        <w:rPr>
          <w:color w:val="000000"/>
          <w:sz w:val="26"/>
          <w:szCs w:val="26"/>
        </w:rPr>
        <w:t xml:space="preserve">. at 8.  </w:t>
      </w:r>
      <w:r w:rsidR="009C4A7D" w:rsidRPr="00573761">
        <w:rPr>
          <w:color w:val="000000"/>
          <w:sz w:val="26"/>
          <w:szCs w:val="26"/>
        </w:rPr>
        <w:t xml:space="preserve">Verizon states that the FCC repurposed the jurisdictional separations ten percent rule in its </w:t>
      </w:r>
      <w:r w:rsidR="009C4A7D" w:rsidRPr="00573761">
        <w:rPr>
          <w:i/>
          <w:iCs/>
          <w:color w:val="000000"/>
          <w:sz w:val="26"/>
          <w:szCs w:val="26"/>
        </w:rPr>
        <w:t>1997</w:t>
      </w:r>
      <w:r w:rsidR="009C4A7D" w:rsidRPr="00573761">
        <w:rPr>
          <w:color w:val="000000"/>
          <w:sz w:val="26"/>
          <w:szCs w:val="26"/>
        </w:rPr>
        <w:t xml:space="preserve"> </w:t>
      </w:r>
      <w:r w:rsidR="009C4A7D" w:rsidRPr="00573761">
        <w:rPr>
          <w:i/>
          <w:iCs/>
          <w:color w:val="000000"/>
          <w:sz w:val="26"/>
          <w:szCs w:val="26"/>
        </w:rPr>
        <w:t>Universal Service Report and Order</w:t>
      </w:r>
      <w:r w:rsidR="009C4A7D" w:rsidRPr="00573761">
        <w:rPr>
          <w:rStyle w:val="FootnoteReference"/>
          <w:color w:val="000000"/>
          <w:sz w:val="26"/>
          <w:szCs w:val="26"/>
        </w:rPr>
        <w:footnoteReference w:id="19"/>
      </w:r>
      <w:r w:rsidR="009D1A18" w:rsidRPr="00573761">
        <w:rPr>
          <w:color w:val="000000"/>
          <w:sz w:val="26"/>
          <w:szCs w:val="26"/>
        </w:rPr>
        <w:t xml:space="preserve"> </w:t>
      </w:r>
      <w:r w:rsidR="009C4A7D" w:rsidRPr="00573761">
        <w:rPr>
          <w:color w:val="000000"/>
          <w:sz w:val="26"/>
          <w:szCs w:val="26"/>
        </w:rPr>
        <w:t>so that not only the costs are classified as interstate, but also the revenues generated by the entire line are classified as interstate.</w:t>
      </w:r>
      <w:r w:rsidR="009C4A7D" w:rsidRPr="00573761">
        <w:rPr>
          <w:rStyle w:val="FootnoteReference"/>
          <w:color w:val="000000"/>
          <w:sz w:val="26"/>
          <w:szCs w:val="26"/>
        </w:rPr>
        <w:footnoteReference w:id="20"/>
      </w:r>
      <w:r w:rsidR="009C4A7D" w:rsidRPr="00573761">
        <w:rPr>
          <w:color w:val="000000"/>
          <w:sz w:val="26"/>
          <w:szCs w:val="26"/>
        </w:rPr>
        <w:t xml:space="preserve">  </w:t>
      </w:r>
      <w:r w:rsidR="00DD4B1B" w:rsidRPr="00573761">
        <w:rPr>
          <w:i/>
          <w:iCs/>
          <w:color w:val="000000"/>
          <w:sz w:val="26"/>
          <w:szCs w:val="26"/>
        </w:rPr>
        <w:t>Id</w:t>
      </w:r>
      <w:r w:rsidR="00DD4B1B" w:rsidRPr="00573761">
        <w:rPr>
          <w:color w:val="000000"/>
          <w:sz w:val="26"/>
          <w:szCs w:val="26"/>
        </w:rPr>
        <w:t xml:space="preserve">. </w:t>
      </w:r>
      <w:r w:rsidR="009C4A7D" w:rsidRPr="00573761">
        <w:rPr>
          <w:color w:val="000000"/>
          <w:sz w:val="26"/>
          <w:szCs w:val="26"/>
        </w:rPr>
        <w:t>at 5.  Verizon states that since that time</w:t>
      </w:r>
      <w:r w:rsidR="00FC14A9" w:rsidRPr="00573761">
        <w:rPr>
          <w:color w:val="000000"/>
          <w:sz w:val="26"/>
          <w:szCs w:val="26"/>
        </w:rPr>
        <w:t>, if the special access line carries more than ten percent interstate traffic</w:t>
      </w:r>
      <w:r w:rsidR="009C4A7D" w:rsidRPr="00573761">
        <w:rPr>
          <w:color w:val="000000"/>
          <w:sz w:val="26"/>
          <w:szCs w:val="26"/>
        </w:rPr>
        <w:t xml:space="preserve">, providers have been required to report all </w:t>
      </w:r>
      <w:r w:rsidR="008C1338" w:rsidRPr="00573761">
        <w:rPr>
          <w:color w:val="000000"/>
          <w:sz w:val="26"/>
          <w:szCs w:val="26"/>
        </w:rPr>
        <w:t xml:space="preserve">of the </w:t>
      </w:r>
      <w:r w:rsidR="009C4A7D" w:rsidRPr="00573761">
        <w:rPr>
          <w:color w:val="000000"/>
          <w:sz w:val="26"/>
          <w:szCs w:val="26"/>
        </w:rPr>
        <w:t xml:space="preserve">revenue </w:t>
      </w:r>
      <w:r w:rsidR="00FC14A9" w:rsidRPr="00573761">
        <w:rPr>
          <w:color w:val="000000"/>
          <w:sz w:val="26"/>
          <w:szCs w:val="26"/>
        </w:rPr>
        <w:t>and costs from that line as interstate</w:t>
      </w:r>
      <w:r w:rsidR="008C1338" w:rsidRPr="00573761">
        <w:rPr>
          <w:color w:val="000000"/>
          <w:sz w:val="26"/>
          <w:szCs w:val="26"/>
        </w:rPr>
        <w:t xml:space="preserve"> </w:t>
      </w:r>
      <w:r w:rsidR="00FC14A9" w:rsidRPr="00573761">
        <w:rPr>
          <w:color w:val="000000"/>
          <w:sz w:val="26"/>
          <w:szCs w:val="26"/>
        </w:rPr>
        <w:t xml:space="preserve">on FCC Form 499-A and then have </w:t>
      </w:r>
      <w:r w:rsidR="008C1338" w:rsidRPr="00573761">
        <w:rPr>
          <w:color w:val="000000"/>
          <w:sz w:val="26"/>
          <w:szCs w:val="26"/>
        </w:rPr>
        <w:t xml:space="preserve">been </w:t>
      </w:r>
      <w:r w:rsidR="009C4A7D" w:rsidRPr="00573761">
        <w:rPr>
          <w:color w:val="000000"/>
          <w:sz w:val="26"/>
          <w:szCs w:val="26"/>
        </w:rPr>
        <w:t xml:space="preserve">assessed for various federal fees based on that revenue.  </w:t>
      </w:r>
      <w:r w:rsidR="008C1338" w:rsidRPr="00573761">
        <w:rPr>
          <w:i/>
          <w:iCs/>
          <w:color w:val="000000"/>
          <w:sz w:val="26"/>
          <w:szCs w:val="26"/>
        </w:rPr>
        <w:t>Id</w:t>
      </w:r>
      <w:r w:rsidR="009C4A7D" w:rsidRPr="00573761">
        <w:rPr>
          <w:color w:val="000000"/>
          <w:sz w:val="26"/>
          <w:szCs w:val="26"/>
        </w:rPr>
        <w:t>.</w:t>
      </w:r>
      <w:r w:rsidR="00941E2F" w:rsidRPr="00573761">
        <w:rPr>
          <w:color w:val="000000"/>
          <w:sz w:val="26"/>
          <w:szCs w:val="26"/>
        </w:rPr>
        <w:t xml:space="preserve"> at 5</w:t>
      </w:r>
      <w:r w:rsidR="002417E5" w:rsidRPr="00573761">
        <w:rPr>
          <w:color w:val="000000"/>
          <w:sz w:val="26"/>
          <w:szCs w:val="26"/>
        </w:rPr>
        <w:t>–</w:t>
      </w:r>
      <w:r w:rsidR="00941E2F" w:rsidRPr="00573761">
        <w:rPr>
          <w:color w:val="000000"/>
          <w:sz w:val="26"/>
          <w:szCs w:val="26"/>
        </w:rPr>
        <w:t>6.</w:t>
      </w:r>
    </w:p>
    <w:p w14:paraId="2F82DD1B" w14:textId="4A691AF1" w:rsidR="00941E2F" w:rsidRPr="00573761" w:rsidRDefault="00941E2F" w:rsidP="008C13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19AE54E3" w14:textId="20C24928" w:rsidR="00361A77" w:rsidRPr="00573761" w:rsidRDefault="00941E2F" w:rsidP="00B50A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color w:val="000000"/>
          <w:sz w:val="26"/>
          <w:szCs w:val="26"/>
        </w:rPr>
        <w:tab/>
        <w:t xml:space="preserve">Verizon </w:t>
      </w:r>
      <w:r w:rsidR="00361A77" w:rsidRPr="00573761">
        <w:rPr>
          <w:color w:val="000000"/>
          <w:sz w:val="26"/>
          <w:szCs w:val="26"/>
        </w:rPr>
        <w:t xml:space="preserve">also </w:t>
      </w:r>
      <w:r w:rsidRPr="00573761">
        <w:rPr>
          <w:color w:val="000000"/>
          <w:sz w:val="26"/>
          <w:szCs w:val="26"/>
        </w:rPr>
        <w:t>states that in 2017</w:t>
      </w:r>
      <w:r w:rsidR="00F11D76" w:rsidRPr="00573761">
        <w:rPr>
          <w:color w:val="000000"/>
          <w:sz w:val="26"/>
          <w:szCs w:val="26"/>
        </w:rPr>
        <w:t xml:space="preserve">, </w:t>
      </w:r>
      <w:r w:rsidRPr="00573761">
        <w:rPr>
          <w:color w:val="000000"/>
          <w:sz w:val="26"/>
          <w:szCs w:val="26"/>
        </w:rPr>
        <w:t>the FCC again discussed this issue extensively in an order addressing several requests for review of audit findings related to whether certain revenues associated with specific mixed-use special access lines should be considered interstate for the purpose of assessing contributions to the FUSF.</w:t>
      </w:r>
      <w:r w:rsidR="00F11D76" w:rsidRPr="00573761">
        <w:rPr>
          <w:rStyle w:val="FootnoteReference"/>
          <w:color w:val="000000"/>
          <w:sz w:val="26"/>
          <w:szCs w:val="26"/>
        </w:rPr>
        <w:footnoteReference w:id="21"/>
      </w:r>
      <w:r w:rsidRPr="00573761">
        <w:rPr>
          <w:color w:val="000000"/>
          <w:sz w:val="26"/>
          <w:szCs w:val="26"/>
        </w:rPr>
        <w:t xml:space="preserve">  </w:t>
      </w:r>
      <w:r w:rsidR="005C1E64" w:rsidRPr="00573761">
        <w:rPr>
          <w:i/>
          <w:iCs/>
          <w:color w:val="000000"/>
          <w:sz w:val="26"/>
          <w:szCs w:val="26"/>
        </w:rPr>
        <w:t>Id</w:t>
      </w:r>
      <w:r w:rsidR="005C1E64" w:rsidRPr="00573761">
        <w:rPr>
          <w:color w:val="000000"/>
          <w:sz w:val="26"/>
          <w:szCs w:val="26"/>
        </w:rPr>
        <w:t xml:space="preserve">. at 6.  </w:t>
      </w:r>
      <w:r w:rsidR="00F11D76" w:rsidRPr="00573761">
        <w:rPr>
          <w:color w:val="000000"/>
          <w:sz w:val="26"/>
          <w:szCs w:val="26"/>
        </w:rPr>
        <w:t>Verizon asserts that in th</w:t>
      </w:r>
      <w:r w:rsidR="007F4F4B" w:rsidRPr="00573761">
        <w:rPr>
          <w:color w:val="000000"/>
          <w:sz w:val="26"/>
          <w:szCs w:val="26"/>
        </w:rPr>
        <w:t xml:space="preserve">e </w:t>
      </w:r>
      <w:r w:rsidR="007F4F4B" w:rsidRPr="00573761">
        <w:rPr>
          <w:i/>
          <w:iCs/>
          <w:color w:val="000000"/>
          <w:sz w:val="26"/>
          <w:szCs w:val="26"/>
        </w:rPr>
        <w:t>2017</w:t>
      </w:r>
      <w:r w:rsidR="007F4F4B" w:rsidRPr="00573761">
        <w:rPr>
          <w:color w:val="000000"/>
          <w:sz w:val="26"/>
          <w:szCs w:val="26"/>
        </w:rPr>
        <w:t xml:space="preserve"> </w:t>
      </w:r>
      <w:r w:rsidR="00F11D76" w:rsidRPr="00573761">
        <w:rPr>
          <w:i/>
          <w:iCs/>
          <w:color w:val="000000"/>
          <w:sz w:val="26"/>
          <w:szCs w:val="26"/>
        </w:rPr>
        <w:t>Ten Percent Audit Order</w:t>
      </w:r>
      <w:r w:rsidR="00F11D76" w:rsidRPr="00573761">
        <w:rPr>
          <w:color w:val="000000"/>
          <w:sz w:val="26"/>
          <w:szCs w:val="26"/>
        </w:rPr>
        <w:t>, the FCC stated that “</w:t>
      </w:r>
      <w:r w:rsidRPr="00573761">
        <w:rPr>
          <w:color w:val="000000"/>
          <w:sz w:val="26"/>
          <w:szCs w:val="26"/>
        </w:rPr>
        <w:t xml:space="preserve">there was sufficient notice for all carriers that the ten percent rule would provide the basis for </w:t>
      </w:r>
      <w:r w:rsidRPr="00573761">
        <w:rPr>
          <w:color w:val="000000"/>
          <w:sz w:val="26"/>
          <w:szCs w:val="26"/>
        </w:rPr>
        <w:lastRenderedPageBreak/>
        <w:t>determining whether a mixed</w:t>
      </w:r>
      <w:r w:rsidR="00A1679D">
        <w:rPr>
          <w:color w:val="000000"/>
          <w:sz w:val="26"/>
          <w:szCs w:val="26"/>
        </w:rPr>
        <w:t>-</w:t>
      </w:r>
      <w:r w:rsidRPr="00573761">
        <w:rPr>
          <w:color w:val="000000"/>
          <w:sz w:val="26"/>
          <w:szCs w:val="26"/>
        </w:rPr>
        <w:t>use special access line would be considered interstate or intrastate in nature for contributions purposes,</w:t>
      </w:r>
      <w:r w:rsidR="004F1536" w:rsidRPr="00573761">
        <w:rPr>
          <w:color w:val="000000"/>
          <w:sz w:val="26"/>
          <w:szCs w:val="26"/>
        </w:rPr>
        <w:t>”</w:t>
      </w:r>
      <w:r w:rsidRPr="00573761">
        <w:rPr>
          <w:color w:val="000000"/>
          <w:sz w:val="26"/>
          <w:szCs w:val="26"/>
        </w:rPr>
        <w:t xml:space="preserve"> and </w:t>
      </w:r>
      <w:r w:rsidR="004F1536" w:rsidRPr="00573761">
        <w:rPr>
          <w:color w:val="000000"/>
          <w:sz w:val="26"/>
          <w:szCs w:val="26"/>
        </w:rPr>
        <w:t>“</w:t>
      </w:r>
      <w:r w:rsidRPr="00573761">
        <w:rPr>
          <w:color w:val="000000"/>
          <w:sz w:val="26"/>
          <w:szCs w:val="26"/>
        </w:rPr>
        <w:t xml:space="preserve">given that the [FCC] incorporated the ten percent rule into its contributions requirements in the </w:t>
      </w:r>
      <w:r w:rsidRPr="00573761">
        <w:rPr>
          <w:i/>
          <w:color w:val="000000"/>
          <w:sz w:val="26"/>
          <w:szCs w:val="26"/>
        </w:rPr>
        <w:t>Universal Service First Report and Order</w:t>
      </w:r>
      <w:r w:rsidRPr="00573761">
        <w:rPr>
          <w:iCs/>
          <w:color w:val="000000"/>
          <w:sz w:val="26"/>
          <w:szCs w:val="26"/>
        </w:rPr>
        <w:t>,</w:t>
      </w:r>
      <w:r w:rsidR="00F11D76" w:rsidRPr="00573761">
        <w:rPr>
          <w:iCs/>
          <w:color w:val="000000"/>
          <w:sz w:val="26"/>
          <w:szCs w:val="26"/>
        </w:rPr>
        <w:t xml:space="preserve"> we conclude that the Commission intended to extend the ten percent rule to contributions without modification.</w:t>
      </w:r>
      <w:r w:rsidR="004F1536" w:rsidRPr="00573761">
        <w:rPr>
          <w:iCs/>
          <w:color w:val="000000"/>
          <w:sz w:val="26"/>
          <w:szCs w:val="26"/>
        </w:rPr>
        <w:t>”</w:t>
      </w:r>
      <w:r w:rsidR="00F11D76" w:rsidRPr="00573761">
        <w:rPr>
          <w:rStyle w:val="FootnoteReference"/>
          <w:iCs/>
          <w:color w:val="000000"/>
          <w:sz w:val="26"/>
          <w:szCs w:val="26"/>
        </w:rPr>
        <w:footnoteReference w:id="22"/>
      </w:r>
      <w:r w:rsidR="00C6203D" w:rsidRPr="00573761">
        <w:rPr>
          <w:iCs/>
          <w:color w:val="000000"/>
          <w:sz w:val="26"/>
          <w:szCs w:val="26"/>
        </w:rPr>
        <w:t xml:space="preserve">  </w:t>
      </w:r>
      <w:r w:rsidR="005C1E64" w:rsidRPr="00573761">
        <w:rPr>
          <w:i/>
          <w:iCs/>
          <w:color w:val="000000"/>
          <w:sz w:val="26"/>
          <w:szCs w:val="26"/>
        </w:rPr>
        <w:t>Id</w:t>
      </w:r>
      <w:r w:rsidR="005C1E64" w:rsidRPr="00573761">
        <w:rPr>
          <w:color w:val="000000"/>
          <w:sz w:val="26"/>
          <w:szCs w:val="26"/>
        </w:rPr>
        <w:t>. at</w:t>
      </w:r>
      <w:r w:rsidR="00D304A4" w:rsidRPr="00573761">
        <w:rPr>
          <w:color w:val="000000"/>
          <w:sz w:val="26"/>
          <w:szCs w:val="26"/>
        </w:rPr>
        <w:t xml:space="preserve"> </w:t>
      </w:r>
      <w:r w:rsidR="005C1E64" w:rsidRPr="00573761">
        <w:rPr>
          <w:color w:val="000000"/>
          <w:sz w:val="26"/>
          <w:szCs w:val="26"/>
        </w:rPr>
        <w:t>6</w:t>
      </w:r>
      <w:r w:rsidR="002417E5" w:rsidRPr="00573761">
        <w:rPr>
          <w:color w:val="000000"/>
          <w:sz w:val="26"/>
          <w:szCs w:val="26"/>
        </w:rPr>
        <w:t>–</w:t>
      </w:r>
      <w:r w:rsidR="005C1E64" w:rsidRPr="00573761">
        <w:rPr>
          <w:color w:val="000000"/>
          <w:sz w:val="26"/>
          <w:szCs w:val="26"/>
        </w:rPr>
        <w:t xml:space="preserve">7. </w:t>
      </w:r>
      <w:r w:rsidR="00A30E38">
        <w:rPr>
          <w:color w:val="000000"/>
          <w:sz w:val="26"/>
          <w:szCs w:val="26"/>
        </w:rPr>
        <w:t xml:space="preserve"> </w:t>
      </w:r>
    </w:p>
    <w:p w14:paraId="7639E712" w14:textId="77777777" w:rsidR="00361A77" w:rsidRPr="00573761" w:rsidRDefault="00361A77" w:rsidP="00B50A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p>
    <w:p w14:paraId="3C3F4045" w14:textId="3F2FA77F" w:rsidR="00B50A1E" w:rsidRPr="00573761" w:rsidRDefault="00361A77" w:rsidP="00B50A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tab/>
      </w:r>
      <w:r w:rsidR="00B50A1E" w:rsidRPr="00573761">
        <w:rPr>
          <w:iCs/>
          <w:color w:val="000000"/>
          <w:sz w:val="26"/>
          <w:szCs w:val="26"/>
        </w:rPr>
        <w:t xml:space="preserve">Verizon asserts that attempting to reclassify as intrastate the same revenue that the FCC considers interstate </w:t>
      </w:r>
      <w:r w:rsidRPr="00573761">
        <w:rPr>
          <w:iCs/>
          <w:color w:val="000000"/>
          <w:sz w:val="26"/>
          <w:szCs w:val="26"/>
        </w:rPr>
        <w:t xml:space="preserve">under the ten percent rule </w:t>
      </w:r>
      <w:r w:rsidR="00B50A1E" w:rsidRPr="00573761">
        <w:rPr>
          <w:iCs/>
          <w:color w:val="000000"/>
          <w:sz w:val="26"/>
          <w:szCs w:val="26"/>
        </w:rPr>
        <w:t>would frustrate the FCC</w:t>
      </w:r>
      <w:r w:rsidR="00E82182" w:rsidRPr="00573761">
        <w:rPr>
          <w:iCs/>
          <w:color w:val="000000"/>
          <w:sz w:val="26"/>
          <w:szCs w:val="26"/>
        </w:rPr>
        <w:t>’</w:t>
      </w:r>
      <w:r w:rsidR="00B50A1E" w:rsidRPr="00573761">
        <w:rPr>
          <w:iCs/>
          <w:color w:val="000000"/>
          <w:sz w:val="26"/>
          <w:szCs w:val="26"/>
        </w:rPr>
        <w:t xml:space="preserve">s purpose in funding its own assessment.  </w:t>
      </w:r>
      <w:r w:rsidR="005C1E64" w:rsidRPr="00573761">
        <w:rPr>
          <w:i/>
          <w:iCs/>
          <w:color w:val="000000"/>
          <w:sz w:val="26"/>
          <w:szCs w:val="26"/>
        </w:rPr>
        <w:t>Id</w:t>
      </w:r>
      <w:r w:rsidR="005C1E64" w:rsidRPr="00573761">
        <w:rPr>
          <w:color w:val="000000"/>
          <w:sz w:val="26"/>
          <w:szCs w:val="26"/>
        </w:rPr>
        <w:t xml:space="preserve">. </w:t>
      </w:r>
      <w:r w:rsidR="00B50A1E" w:rsidRPr="00573761">
        <w:rPr>
          <w:iCs/>
          <w:color w:val="000000"/>
          <w:sz w:val="26"/>
          <w:szCs w:val="26"/>
        </w:rPr>
        <w:t xml:space="preserve">at 9.  </w:t>
      </w:r>
      <w:r w:rsidRPr="00573761">
        <w:rPr>
          <w:iCs/>
          <w:color w:val="000000"/>
          <w:sz w:val="26"/>
          <w:szCs w:val="26"/>
        </w:rPr>
        <w:t xml:space="preserve">Therefore, </w:t>
      </w:r>
      <w:r w:rsidR="00B50A1E" w:rsidRPr="00573761">
        <w:rPr>
          <w:iCs/>
          <w:color w:val="000000"/>
          <w:sz w:val="26"/>
          <w:szCs w:val="26"/>
        </w:rPr>
        <w:t xml:space="preserve">Verizon asserts that the Commission’s policy determination conflicts with federal law and </w:t>
      </w:r>
      <w:r w:rsidRPr="00573761">
        <w:rPr>
          <w:iCs/>
          <w:color w:val="000000"/>
          <w:sz w:val="26"/>
          <w:szCs w:val="26"/>
        </w:rPr>
        <w:t xml:space="preserve">thus it </w:t>
      </w:r>
      <w:r w:rsidR="00B50A1E" w:rsidRPr="00573761">
        <w:rPr>
          <w:iCs/>
          <w:color w:val="000000"/>
          <w:sz w:val="26"/>
          <w:szCs w:val="26"/>
        </w:rPr>
        <w:t>is preempted from attempting to assess revenue from special access services that are interstate</w:t>
      </w:r>
      <w:r w:rsidR="005C1E64" w:rsidRPr="00573761">
        <w:rPr>
          <w:iCs/>
          <w:color w:val="000000"/>
          <w:sz w:val="26"/>
          <w:szCs w:val="26"/>
        </w:rPr>
        <w:t>,</w:t>
      </w:r>
      <w:r w:rsidR="00B50A1E" w:rsidRPr="00573761">
        <w:rPr>
          <w:iCs/>
          <w:color w:val="000000"/>
          <w:sz w:val="26"/>
          <w:szCs w:val="26"/>
        </w:rPr>
        <w:t xml:space="preserve"> since the FCC already assesses those revenues to support its own funds and operations and has ruled that they are interstate revenues for contribution purposes.  </w:t>
      </w:r>
      <w:r w:rsidR="00B50A1E" w:rsidRPr="00573761">
        <w:rPr>
          <w:i/>
          <w:color w:val="000000"/>
          <w:sz w:val="26"/>
          <w:szCs w:val="26"/>
        </w:rPr>
        <w:t>Id</w:t>
      </w:r>
      <w:r w:rsidR="00B50A1E" w:rsidRPr="00573761">
        <w:rPr>
          <w:iCs/>
          <w:color w:val="000000"/>
          <w:sz w:val="26"/>
          <w:szCs w:val="26"/>
        </w:rPr>
        <w:t xml:space="preserve">. at 9.  </w:t>
      </w:r>
    </w:p>
    <w:p w14:paraId="046382C5" w14:textId="77D5C876" w:rsidR="00361A77" w:rsidRPr="00573761" w:rsidRDefault="00361A77" w:rsidP="00B50A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tab/>
      </w:r>
    </w:p>
    <w:p w14:paraId="5F78483B" w14:textId="74B21CE5" w:rsidR="00361A77" w:rsidRDefault="00361A77" w:rsidP="00B50A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tab/>
        <w:t xml:space="preserve">Lastly, Verizon suggests that the best solution </w:t>
      </w:r>
      <w:r w:rsidR="00CC7A44" w:rsidRPr="00573761">
        <w:rPr>
          <w:iCs/>
          <w:color w:val="000000"/>
          <w:sz w:val="26"/>
          <w:szCs w:val="26"/>
        </w:rPr>
        <w:t>for the</w:t>
      </w:r>
      <w:r w:rsidRPr="00573761">
        <w:rPr>
          <w:iCs/>
          <w:color w:val="000000"/>
          <w:sz w:val="26"/>
          <w:szCs w:val="26"/>
        </w:rPr>
        <w:t xml:space="preserve"> Commission to recover actual costs from telecommunications providers that report zero or </w:t>
      </w:r>
      <w:r w:rsidRPr="00573761">
        <w:rPr>
          <w:i/>
          <w:iCs/>
          <w:color w:val="000000"/>
          <w:sz w:val="26"/>
          <w:szCs w:val="26"/>
        </w:rPr>
        <w:t xml:space="preserve">de minimis </w:t>
      </w:r>
      <w:r w:rsidRPr="00573761">
        <w:rPr>
          <w:iCs/>
          <w:color w:val="000000"/>
          <w:sz w:val="26"/>
          <w:szCs w:val="26"/>
        </w:rPr>
        <w:t xml:space="preserve">intrastate gross operating revenues is to seek a statutory change to account for time and resources expended by the Commission on issues related to jurisdictional carriers that do not report intrastate revenue.  </w:t>
      </w:r>
      <w:r w:rsidR="005C1E64" w:rsidRPr="00573761">
        <w:rPr>
          <w:i/>
          <w:iCs/>
          <w:color w:val="000000"/>
          <w:sz w:val="26"/>
          <w:szCs w:val="26"/>
        </w:rPr>
        <w:t>Id</w:t>
      </w:r>
      <w:r w:rsidR="005C1E64" w:rsidRPr="00573761">
        <w:rPr>
          <w:color w:val="000000"/>
          <w:sz w:val="26"/>
          <w:szCs w:val="26"/>
        </w:rPr>
        <w:t xml:space="preserve">. at 10.  </w:t>
      </w:r>
      <w:r w:rsidRPr="00573761">
        <w:rPr>
          <w:iCs/>
          <w:color w:val="000000"/>
          <w:sz w:val="26"/>
          <w:szCs w:val="26"/>
        </w:rPr>
        <w:t xml:space="preserve">As an example, Verizon notes that in Delaware, telecommunications providers no longer pay an assessment based on a percentage of intrastate revenue, but the state commission has authority to charge providers to recover its costs of specific investigations or proceedings involving that provider.  </w:t>
      </w:r>
      <w:r w:rsidRPr="00573761">
        <w:rPr>
          <w:i/>
          <w:color w:val="000000"/>
          <w:sz w:val="26"/>
          <w:szCs w:val="26"/>
        </w:rPr>
        <w:t>Id</w:t>
      </w:r>
      <w:r w:rsidRPr="00573761">
        <w:rPr>
          <w:iCs/>
          <w:color w:val="000000"/>
          <w:sz w:val="26"/>
          <w:szCs w:val="26"/>
        </w:rPr>
        <w:t xml:space="preserve">. </w:t>
      </w:r>
      <w:r w:rsidR="00CC7A44" w:rsidRPr="00573761">
        <w:rPr>
          <w:iCs/>
          <w:color w:val="000000"/>
          <w:sz w:val="26"/>
          <w:szCs w:val="26"/>
        </w:rPr>
        <w:t xml:space="preserve">  </w:t>
      </w:r>
    </w:p>
    <w:p w14:paraId="700B7DFE" w14:textId="77777777" w:rsidR="00A30E38" w:rsidRPr="00573761" w:rsidRDefault="00A30E38" w:rsidP="00B50A1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p>
    <w:p w14:paraId="5C2A5FEF" w14:textId="1FC6FC3B" w:rsidR="005869C2" w:rsidRPr="00573761" w:rsidRDefault="005869C2" w:rsidP="00CC7A44">
      <w:pPr>
        <w:pStyle w:val="ListParagraph"/>
        <w:numPr>
          <w:ilvl w:val="0"/>
          <w:numId w:val="2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Times New Roman" w:hAnsi="Times New Roman"/>
          <w:b/>
          <w:bCs/>
          <w:iCs/>
          <w:color w:val="000000"/>
          <w:sz w:val="26"/>
          <w:szCs w:val="26"/>
        </w:rPr>
      </w:pPr>
      <w:r w:rsidRPr="00573761">
        <w:rPr>
          <w:rFonts w:ascii="Times New Roman" w:hAnsi="Times New Roman"/>
          <w:b/>
          <w:bCs/>
          <w:iCs/>
          <w:color w:val="000000"/>
          <w:sz w:val="26"/>
          <w:szCs w:val="26"/>
        </w:rPr>
        <w:t>Crown Castle</w:t>
      </w:r>
    </w:p>
    <w:p w14:paraId="62F94CC4" w14:textId="77777777" w:rsidR="00D304A4" w:rsidRPr="00573761" w:rsidRDefault="005869C2" w:rsidP="009A5D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tab/>
        <w:t xml:space="preserve">In its Comments, Crown Castle </w:t>
      </w:r>
      <w:r w:rsidR="00F11D76" w:rsidRPr="00573761">
        <w:rPr>
          <w:iCs/>
          <w:color w:val="000000"/>
          <w:sz w:val="26"/>
          <w:szCs w:val="26"/>
        </w:rPr>
        <w:t xml:space="preserve">asserts that the Commission is seeking to assess as </w:t>
      </w:r>
      <w:r w:rsidR="004F1536" w:rsidRPr="00573761">
        <w:rPr>
          <w:iCs/>
          <w:color w:val="000000"/>
          <w:sz w:val="26"/>
          <w:szCs w:val="26"/>
        </w:rPr>
        <w:t>“</w:t>
      </w:r>
      <w:r w:rsidR="00F11D76" w:rsidRPr="00573761">
        <w:rPr>
          <w:i/>
          <w:color w:val="000000"/>
          <w:sz w:val="26"/>
          <w:szCs w:val="26"/>
        </w:rPr>
        <w:t>de facto</w:t>
      </w:r>
      <w:r w:rsidR="00F11D76" w:rsidRPr="00573761">
        <w:rPr>
          <w:iCs/>
          <w:color w:val="000000"/>
          <w:sz w:val="26"/>
          <w:szCs w:val="26"/>
        </w:rPr>
        <w:t xml:space="preserve"> intrastate operating revenue</w:t>
      </w:r>
      <w:r w:rsidRPr="00573761">
        <w:rPr>
          <w:iCs/>
          <w:color w:val="000000"/>
          <w:sz w:val="26"/>
          <w:szCs w:val="26"/>
        </w:rPr>
        <w:t xml:space="preserve">” </w:t>
      </w:r>
      <w:r w:rsidR="00F11D76" w:rsidRPr="00573761">
        <w:rPr>
          <w:iCs/>
          <w:color w:val="000000"/>
          <w:sz w:val="26"/>
          <w:szCs w:val="26"/>
        </w:rPr>
        <w:t>the same revenue</w:t>
      </w:r>
      <w:r w:rsidR="006C46A5" w:rsidRPr="00573761">
        <w:rPr>
          <w:iCs/>
          <w:color w:val="000000"/>
          <w:sz w:val="26"/>
          <w:szCs w:val="26"/>
        </w:rPr>
        <w:t>s</w:t>
      </w:r>
      <w:r w:rsidR="00F11D76" w:rsidRPr="00573761">
        <w:rPr>
          <w:iCs/>
          <w:color w:val="000000"/>
          <w:sz w:val="26"/>
          <w:szCs w:val="26"/>
        </w:rPr>
        <w:t xml:space="preserve"> that </w:t>
      </w:r>
      <w:r w:rsidR="006C46A5" w:rsidRPr="00573761">
        <w:rPr>
          <w:iCs/>
          <w:color w:val="000000"/>
          <w:sz w:val="26"/>
          <w:szCs w:val="26"/>
        </w:rPr>
        <w:t>are</w:t>
      </w:r>
      <w:r w:rsidR="00F11D76" w:rsidRPr="00573761">
        <w:rPr>
          <w:iCs/>
          <w:color w:val="000000"/>
          <w:sz w:val="26"/>
          <w:szCs w:val="26"/>
        </w:rPr>
        <w:t xml:space="preserve"> considered interstate revenue by the FCC</w:t>
      </w:r>
      <w:r w:rsidR="006C46A5" w:rsidRPr="00573761">
        <w:rPr>
          <w:iCs/>
          <w:color w:val="000000"/>
          <w:sz w:val="26"/>
          <w:szCs w:val="26"/>
        </w:rPr>
        <w:t xml:space="preserve"> and could subject it and other similarly situated entities to double </w:t>
      </w:r>
      <w:r w:rsidR="006C46A5" w:rsidRPr="00573761">
        <w:rPr>
          <w:iCs/>
          <w:color w:val="000000"/>
          <w:sz w:val="26"/>
          <w:szCs w:val="26"/>
        </w:rPr>
        <w:lastRenderedPageBreak/>
        <w:t>assessments of regulatory expenses</w:t>
      </w:r>
      <w:r w:rsidR="00F11D76" w:rsidRPr="00573761">
        <w:rPr>
          <w:iCs/>
          <w:color w:val="000000"/>
          <w:sz w:val="26"/>
          <w:szCs w:val="26"/>
        </w:rPr>
        <w:t>.</w:t>
      </w:r>
      <w:r w:rsidR="006C46A5" w:rsidRPr="00573761">
        <w:rPr>
          <w:iCs/>
          <w:color w:val="000000"/>
          <w:sz w:val="26"/>
          <w:szCs w:val="26"/>
        </w:rPr>
        <w:t xml:space="preserve">  Crown Castle Comments at 2.  Crown Castle </w:t>
      </w:r>
      <w:r w:rsidR="0040658D" w:rsidRPr="00573761">
        <w:rPr>
          <w:iCs/>
          <w:color w:val="000000"/>
          <w:sz w:val="26"/>
          <w:szCs w:val="26"/>
        </w:rPr>
        <w:t xml:space="preserve">urges the Commission to decline to adopt the </w:t>
      </w:r>
      <w:r w:rsidR="0040658D" w:rsidRPr="00D15CDE">
        <w:rPr>
          <w:i/>
          <w:iCs/>
          <w:color w:val="000000"/>
          <w:sz w:val="26"/>
          <w:szCs w:val="26"/>
        </w:rPr>
        <w:t>Proposed Policy Statement</w:t>
      </w:r>
      <w:r w:rsidR="00AC25ED" w:rsidRPr="00573761">
        <w:rPr>
          <w:i/>
          <w:color w:val="000000"/>
          <w:sz w:val="26"/>
          <w:szCs w:val="26"/>
        </w:rPr>
        <w:t xml:space="preserve"> </w:t>
      </w:r>
      <w:r w:rsidR="00AC25ED" w:rsidRPr="00573761">
        <w:rPr>
          <w:iCs/>
          <w:color w:val="000000"/>
          <w:sz w:val="26"/>
          <w:szCs w:val="26"/>
        </w:rPr>
        <w:t>entirely</w:t>
      </w:r>
      <w:r w:rsidR="0040658D" w:rsidRPr="00573761">
        <w:rPr>
          <w:iCs/>
          <w:color w:val="000000"/>
          <w:sz w:val="26"/>
          <w:szCs w:val="26"/>
        </w:rPr>
        <w:t xml:space="preserve">, or, in the alternative, to </w:t>
      </w:r>
      <w:r w:rsidR="005C1E64" w:rsidRPr="00573761">
        <w:rPr>
          <w:iCs/>
          <w:color w:val="000000"/>
          <w:sz w:val="26"/>
          <w:szCs w:val="26"/>
        </w:rPr>
        <w:t>modify</w:t>
      </w:r>
      <w:r w:rsidR="00231D7D" w:rsidRPr="00573761">
        <w:rPr>
          <w:iCs/>
          <w:color w:val="000000"/>
          <w:sz w:val="26"/>
          <w:szCs w:val="26"/>
        </w:rPr>
        <w:t xml:space="preserve"> </w:t>
      </w:r>
      <w:r w:rsidR="0040658D" w:rsidRPr="00573761">
        <w:rPr>
          <w:iCs/>
          <w:color w:val="000000"/>
          <w:sz w:val="26"/>
          <w:szCs w:val="26"/>
        </w:rPr>
        <w:t xml:space="preserve">the language in Section 69.3701 so as to clarify that only those entities who currently report zero intrastate operating revenues for jurisdictionally-mixed services and that report no other intrastate operating revenues are subject to report their </w:t>
      </w:r>
      <w:r w:rsidR="006C46A5" w:rsidRPr="00573761">
        <w:rPr>
          <w:iCs/>
          <w:color w:val="000000"/>
          <w:sz w:val="26"/>
          <w:szCs w:val="26"/>
        </w:rPr>
        <w:t>“</w:t>
      </w:r>
      <w:r w:rsidR="006C46A5" w:rsidRPr="00573761">
        <w:rPr>
          <w:i/>
          <w:color w:val="000000"/>
          <w:sz w:val="26"/>
          <w:szCs w:val="26"/>
        </w:rPr>
        <w:t>de facto</w:t>
      </w:r>
      <w:r w:rsidR="006C46A5" w:rsidRPr="00573761">
        <w:rPr>
          <w:iCs/>
          <w:color w:val="000000"/>
          <w:sz w:val="26"/>
          <w:szCs w:val="26"/>
        </w:rPr>
        <w:t xml:space="preserve"> intrastate operating revenues” as defined in proposed Section 69.3701</w:t>
      </w:r>
      <w:r w:rsidR="00712C44" w:rsidRPr="00573761">
        <w:rPr>
          <w:iCs/>
          <w:color w:val="000000"/>
          <w:sz w:val="26"/>
          <w:szCs w:val="26"/>
        </w:rPr>
        <w:t xml:space="preserve">.  </w:t>
      </w:r>
      <w:r w:rsidR="00524550" w:rsidRPr="00573761">
        <w:rPr>
          <w:i/>
          <w:color w:val="000000"/>
          <w:sz w:val="26"/>
          <w:szCs w:val="26"/>
        </w:rPr>
        <w:t xml:space="preserve">Id. </w:t>
      </w:r>
      <w:r w:rsidR="005623B7" w:rsidRPr="00573761">
        <w:rPr>
          <w:iCs/>
          <w:color w:val="000000"/>
          <w:sz w:val="26"/>
          <w:szCs w:val="26"/>
        </w:rPr>
        <w:t xml:space="preserve">at </w:t>
      </w:r>
    </w:p>
    <w:p w14:paraId="14EAF3B9" w14:textId="030B48ED" w:rsidR="0040658D" w:rsidRPr="00573761" w:rsidRDefault="005623B7" w:rsidP="009A5D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t>2</w:t>
      </w:r>
      <w:r w:rsidR="002417E5" w:rsidRPr="00573761">
        <w:rPr>
          <w:color w:val="000000"/>
          <w:sz w:val="26"/>
          <w:szCs w:val="26"/>
        </w:rPr>
        <w:t>–</w:t>
      </w:r>
      <w:r w:rsidRPr="00573761">
        <w:rPr>
          <w:iCs/>
          <w:color w:val="000000"/>
          <w:sz w:val="26"/>
          <w:szCs w:val="26"/>
        </w:rPr>
        <w:t>3.  Crown Castle also states that</w:t>
      </w:r>
      <w:r w:rsidR="009A5D8D" w:rsidRPr="00573761">
        <w:rPr>
          <w:iCs/>
          <w:color w:val="000000"/>
          <w:sz w:val="26"/>
          <w:szCs w:val="26"/>
        </w:rPr>
        <w:t xml:space="preserve">, </w:t>
      </w:r>
      <w:r w:rsidRPr="00573761">
        <w:rPr>
          <w:iCs/>
          <w:color w:val="000000"/>
          <w:sz w:val="26"/>
          <w:szCs w:val="26"/>
        </w:rPr>
        <w:t xml:space="preserve">at a minimum, the Commission </w:t>
      </w:r>
      <w:r w:rsidR="009A5D8D" w:rsidRPr="00573761">
        <w:rPr>
          <w:iCs/>
          <w:color w:val="000000"/>
          <w:sz w:val="26"/>
          <w:szCs w:val="26"/>
        </w:rPr>
        <w:t xml:space="preserve">should initiate a formal collaborative process with Staff and interested parties to clarify the </w:t>
      </w:r>
      <w:r w:rsidR="009A5D8D" w:rsidRPr="00D15CDE">
        <w:rPr>
          <w:i/>
          <w:iCs/>
          <w:color w:val="000000"/>
          <w:sz w:val="26"/>
          <w:szCs w:val="26"/>
        </w:rPr>
        <w:t>Proposed Policy Statement</w:t>
      </w:r>
      <w:r w:rsidR="009A5D8D" w:rsidRPr="00573761">
        <w:rPr>
          <w:iCs/>
          <w:color w:val="000000"/>
          <w:sz w:val="26"/>
          <w:szCs w:val="26"/>
        </w:rPr>
        <w:t xml:space="preserve"> and address issues associated with the proposed change in reporting requirements for the purpose of establishing assessments. </w:t>
      </w:r>
      <w:r w:rsidR="00524550" w:rsidRPr="00573761">
        <w:rPr>
          <w:iCs/>
          <w:color w:val="000000"/>
          <w:sz w:val="26"/>
          <w:szCs w:val="26"/>
        </w:rPr>
        <w:t xml:space="preserve"> </w:t>
      </w:r>
      <w:r w:rsidR="00524550" w:rsidRPr="00573761">
        <w:rPr>
          <w:i/>
          <w:color w:val="000000"/>
          <w:sz w:val="26"/>
          <w:szCs w:val="26"/>
        </w:rPr>
        <w:t>Id.</w:t>
      </w:r>
      <w:r w:rsidR="00524550" w:rsidRPr="00573761">
        <w:rPr>
          <w:iCs/>
          <w:color w:val="000000"/>
          <w:sz w:val="26"/>
          <w:szCs w:val="26"/>
        </w:rPr>
        <w:t xml:space="preserve"> at 3. </w:t>
      </w:r>
      <w:r w:rsidR="003E3BC0" w:rsidRPr="00573761">
        <w:rPr>
          <w:iCs/>
          <w:color w:val="000000"/>
          <w:sz w:val="26"/>
          <w:szCs w:val="26"/>
        </w:rPr>
        <w:t xml:space="preserve"> </w:t>
      </w:r>
      <w:r w:rsidR="009A5D8D" w:rsidRPr="00573761">
        <w:rPr>
          <w:iCs/>
          <w:color w:val="000000"/>
          <w:sz w:val="26"/>
          <w:szCs w:val="26"/>
        </w:rPr>
        <w:t>Such a collaborative will avoid uncertainties and unintended consequences.</w:t>
      </w:r>
      <w:r w:rsidR="005C765A" w:rsidRPr="00573761">
        <w:rPr>
          <w:iCs/>
          <w:color w:val="000000"/>
          <w:sz w:val="26"/>
          <w:szCs w:val="26"/>
        </w:rPr>
        <w:t xml:space="preserve">  </w:t>
      </w:r>
      <w:r w:rsidR="005C765A" w:rsidRPr="00573761">
        <w:rPr>
          <w:i/>
          <w:color w:val="000000"/>
          <w:sz w:val="26"/>
          <w:szCs w:val="26"/>
        </w:rPr>
        <w:t>Id.</w:t>
      </w:r>
      <w:r w:rsidR="005C765A" w:rsidRPr="00573761">
        <w:rPr>
          <w:iCs/>
          <w:color w:val="000000"/>
          <w:sz w:val="26"/>
          <w:szCs w:val="26"/>
        </w:rPr>
        <w:t xml:space="preserve"> </w:t>
      </w:r>
    </w:p>
    <w:p w14:paraId="1494BB41" w14:textId="77777777" w:rsidR="0040658D" w:rsidRPr="00573761" w:rsidRDefault="0040658D" w:rsidP="004065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p>
    <w:p w14:paraId="77E7B58E" w14:textId="38D3EAD4" w:rsidR="00941E2F" w:rsidRPr="00573761" w:rsidRDefault="0040658D" w:rsidP="00941E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tab/>
      </w:r>
      <w:r w:rsidR="00712C44" w:rsidRPr="00573761">
        <w:rPr>
          <w:iCs/>
          <w:color w:val="000000"/>
          <w:sz w:val="26"/>
          <w:szCs w:val="26"/>
        </w:rPr>
        <w:t xml:space="preserve">Crown Castle gives the following reasons for these suggestions: 1) the Commission’s </w:t>
      </w:r>
      <w:r w:rsidR="00712C44" w:rsidRPr="00D15CDE">
        <w:rPr>
          <w:i/>
          <w:iCs/>
          <w:color w:val="000000"/>
          <w:sz w:val="26"/>
          <w:szCs w:val="26"/>
        </w:rPr>
        <w:t>Proposed Policy Statement</w:t>
      </w:r>
      <w:r w:rsidR="00712C44" w:rsidRPr="00573761">
        <w:rPr>
          <w:iCs/>
          <w:color w:val="000000"/>
          <w:sz w:val="26"/>
          <w:szCs w:val="26"/>
        </w:rPr>
        <w:t xml:space="preserve"> </w:t>
      </w:r>
      <w:r w:rsidR="00524550" w:rsidRPr="00573761">
        <w:rPr>
          <w:iCs/>
          <w:color w:val="000000"/>
          <w:sz w:val="26"/>
          <w:szCs w:val="26"/>
        </w:rPr>
        <w:t>is</w:t>
      </w:r>
      <w:r w:rsidR="00712C44" w:rsidRPr="00573761">
        <w:rPr>
          <w:iCs/>
          <w:color w:val="000000"/>
          <w:sz w:val="26"/>
          <w:szCs w:val="26"/>
        </w:rPr>
        <w:t xml:space="preserve"> ambiguous; 2) the </w:t>
      </w:r>
      <w:r w:rsidR="00712C44" w:rsidRPr="00D15CDE">
        <w:rPr>
          <w:i/>
          <w:iCs/>
          <w:color w:val="000000"/>
          <w:sz w:val="26"/>
          <w:szCs w:val="26"/>
        </w:rPr>
        <w:t>Proposed Policy Statement</w:t>
      </w:r>
      <w:r w:rsidR="00712C44" w:rsidRPr="00573761">
        <w:rPr>
          <w:iCs/>
          <w:color w:val="000000"/>
          <w:sz w:val="26"/>
          <w:szCs w:val="26"/>
        </w:rPr>
        <w:t xml:space="preserve"> </w:t>
      </w:r>
      <w:r w:rsidR="00524550" w:rsidRPr="00573761">
        <w:rPr>
          <w:iCs/>
          <w:color w:val="000000"/>
          <w:sz w:val="26"/>
          <w:szCs w:val="26"/>
        </w:rPr>
        <w:t>is</w:t>
      </w:r>
      <w:r w:rsidR="00712C44" w:rsidRPr="00573761">
        <w:rPr>
          <w:iCs/>
          <w:color w:val="000000"/>
          <w:sz w:val="26"/>
          <w:szCs w:val="26"/>
        </w:rPr>
        <w:t xml:space="preserve"> inconsistent with the plain language of Section 510 of the Public Utility Code</w:t>
      </w:r>
      <w:r w:rsidR="00163E9F" w:rsidRPr="00573761">
        <w:rPr>
          <w:iCs/>
          <w:color w:val="000000"/>
          <w:sz w:val="26"/>
          <w:szCs w:val="26"/>
        </w:rPr>
        <w:t>; 3)</w:t>
      </w:r>
      <w:r w:rsidR="00712C44" w:rsidRPr="00573761">
        <w:rPr>
          <w:iCs/>
          <w:color w:val="000000"/>
          <w:sz w:val="26"/>
          <w:szCs w:val="26"/>
        </w:rPr>
        <w:t xml:space="preserve"> the </w:t>
      </w:r>
      <w:r w:rsidR="00712C44" w:rsidRPr="00D15CDE">
        <w:rPr>
          <w:i/>
          <w:iCs/>
          <w:color w:val="000000"/>
          <w:sz w:val="26"/>
          <w:szCs w:val="26"/>
        </w:rPr>
        <w:t>Proposed Policy Statement</w:t>
      </w:r>
      <w:r w:rsidR="00712C44" w:rsidRPr="00573761">
        <w:rPr>
          <w:iCs/>
          <w:color w:val="000000"/>
          <w:sz w:val="26"/>
          <w:szCs w:val="26"/>
        </w:rPr>
        <w:t xml:space="preserve"> </w:t>
      </w:r>
      <w:r w:rsidR="00524550" w:rsidRPr="00573761">
        <w:rPr>
          <w:iCs/>
          <w:color w:val="000000"/>
          <w:sz w:val="26"/>
          <w:szCs w:val="26"/>
        </w:rPr>
        <w:t>is</w:t>
      </w:r>
      <w:r w:rsidR="00712C44" w:rsidRPr="00573761">
        <w:rPr>
          <w:iCs/>
          <w:color w:val="000000"/>
          <w:sz w:val="26"/>
          <w:szCs w:val="26"/>
        </w:rPr>
        <w:t xml:space="preserve"> potentially</w:t>
      </w:r>
      <w:r w:rsidR="00163E9F" w:rsidRPr="00573761">
        <w:rPr>
          <w:iCs/>
          <w:color w:val="000000"/>
          <w:sz w:val="26"/>
          <w:szCs w:val="26"/>
        </w:rPr>
        <w:t xml:space="preserve"> </w:t>
      </w:r>
      <w:r w:rsidR="00712C44" w:rsidRPr="00573761">
        <w:rPr>
          <w:iCs/>
          <w:color w:val="000000"/>
          <w:sz w:val="26"/>
          <w:szCs w:val="26"/>
        </w:rPr>
        <w:t xml:space="preserve">discriminatory because </w:t>
      </w:r>
      <w:r w:rsidR="00524550" w:rsidRPr="00573761">
        <w:rPr>
          <w:iCs/>
          <w:color w:val="000000"/>
          <w:sz w:val="26"/>
          <w:szCs w:val="26"/>
        </w:rPr>
        <w:t>it does</w:t>
      </w:r>
      <w:r w:rsidR="00712C44" w:rsidRPr="00573761">
        <w:rPr>
          <w:iCs/>
          <w:color w:val="000000"/>
          <w:sz w:val="26"/>
          <w:szCs w:val="26"/>
        </w:rPr>
        <w:t xml:space="preserve"> not apply to local exchange carriers and unfairly impact</w:t>
      </w:r>
      <w:r w:rsidR="00C6203D" w:rsidRPr="00573761">
        <w:rPr>
          <w:iCs/>
          <w:color w:val="000000"/>
          <w:sz w:val="26"/>
          <w:szCs w:val="26"/>
        </w:rPr>
        <w:t>s</w:t>
      </w:r>
      <w:r w:rsidR="00163E9F" w:rsidRPr="00573761">
        <w:rPr>
          <w:iCs/>
          <w:color w:val="000000"/>
          <w:sz w:val="26"/>
          <w:szCs w:val="26"/>
        </w:rPr>
        <w:t xml:space="preserve"> </w:t>
      </w:r>
      <w:r w:rsidR="00712C44" w:rsidRPr="00573761">
        <w:rPr>
          <w:iCs/>
          <w:color w:val="000000"/>
          <w:sz w:val="26"/>
          <w:szCs w:val="26"/>
        </w:rPr>
        <w:t>deregulated entities</w:t>
      </w:r>
      <w:r w:rsidR="00EA497C" w:rsidRPr="00573761">
        <w:rPr>
          <w:iCs/>
          <w:color w:val="000000"/>
          <w:sz w:val="26"/>
          <w:szCs w:val="26"/>
        </w:rPr>
        <w:t xml:space="preserve">; 4) the </w:t>
      </w:r>
      <w:r w:rsidR="00712C44" w:rsidRPr="00D15CDE">
        <w:rPr>
          <w:i/>
          <w:iCs/>
          <w:color w:val="000000"/>
          <w:sz w:val="26"/>
          <w:szCs w:val="26"/>
        </w:rPr>
        <w:t>Proposed Policy</w:t>
      </w:r>
      <w:r w:rsidR="00EA497C" w:rsidRPr="00D15CDE">
        <w:rPr>
          <w:i/>
          <w:iCs/>
          <w:color w:val="000000"/>
          <w:sz w:val="26"/>
          <w:szCs w:val="26"/>
        </w:rPr>
        <w:t xml:space="preserve"> </w:t>
      </w:r>
      <w:r w:rsidR="00712C44" w:rsidRPr="00D15CDE">
        <w:rPr>
          <w:i/>
          <w:iCs/>
          <w:color w:val="000000"/>
          <w:sz w:val="26"/>
          <w:szCs w:val="26"/>
        </w:rPr>
        <w:t>Statement</w:t>
      </w:r>
      <w:r w:rsidR="00712C44" w:rsidRPr="00573761">
        <w:rPr>
          <w:iCs/>
          <w:color w:val="000000"/>
          <w:sz w:val="26"/>
          <w:szCs w:val="26"/>
        </w:rPr>
        <w:t xml:space="preserve"> ha</w:t>
      </w:r>
      <w:r w:rsidR="00524550" w:rsidRPr="00573761">
        <w:rPr>
          <w:iCs/>
          <w:color w:val="000000"/>
          <w:sz w:val="26"/>
          <w:szCs w:val="26"/>
        </w:rPr>
        <w:t>s</w:t>
      </w:r>
      <w:r w:rsidR="00712C44" w:rsidRPr="00573761">
        <w:rPr>
          <w:iCs/>
          <w:color w:val="000000"/>
          <w:sz w:val="26"/>
          <w:szCs w:val="26"/>
        </w:rPr>
        <w:t xml:space="preserve"> the potential to violate Section 253 of the Communications Act by effectively</w:t>
      </w:r>
      <w:r w:rsidR="00EA497C" w:rsidRPr="00573761">
        <w:rPr>
          <w:iCs/>
          <w:color w:val="000000"/>
          <w:sz w:val="26"/>
          <w:szCs w:val="26"/>
        </w:rPr>
        <w:t xml:space="preserve"> </w:t>
      </w:r>
      <w:r w:rsidR="00712C44" w:rsidRPr="00573761">
        <w:rPr>
          <w:iCs/>
          <w:color w:val="000000"/>
          <w:sz w:val="26"/>
          <w:szCs w:val="26"/>
        </w:rPr>
        <w:t>prohibiting the provision of wireless services</w:t>
      </w:r>
      <w:r w:rsidR="00044447" w:rsidRPr="00573761">
        <w:rPr>
          <w:iCs/>
          <w:color w:val="000000"/>
          <w:sz w:val="26"/>
          <w:szCs w:val="26"/>
        </w:rPr>
        <w:t>;</w:t>
      </w:r>
      <w:r w:rsidR="00EA497C" w:rsidRPr="00573761">
        <w:rPr>
          <w:iCs/>
          <w:color w:val="000000"/>
          <w:sz w:val="26"/>
          <w:szCs w:val="26"/>
        </w:rPr>
        <w:t xml:space="preserve"> and 5)</w:t>
      </w:r>
      <w:r w:rsidR="00D304A4" w:rsidRPr="00573761">
        <w:rPr>
          <w:iCs/>
          <w:color w:val="000000"/>
          <w:sz w:val="26"/>
          <w:szCs w:val="26"/>
        </w:rPr>
        <w:t> </w:t>
      </w:r>
      <w:r w:rsidR="00712C44" w:rsidRPr="00573761">
        <w:rPr>
          <w:iCs/>
          <w:color w:val="000000"/>
          <w:sz w:val="26"/>
          <w:szCs w:val="26"/>
        </w:rPr>
        <w:t xml:space="preserve">the </w:t>
      </w:r>
      <w:r w:rsidR="00712C44" w:rsidRPr="00D15CDE">
        <w:rPr>
          <w:i/>
          <w:iCs/>
          <w:color w:val="000000"/>
          <w:sz w:val="26"/>
          <w:szCs w:val="26"/>
        </w:rPr>
        <w:t>Proposed Policy Statement</w:t>
      </w:r>
      <w:r w:rsidR="00712C44" w:rsidRPr="00573761">
        <w:rPr>
          <w:iCs/>
          <w:color w:val="000000"/>
          <w:sz w:val="26"/>
          <w:szCs w:val="26"/>
        </w:rPr>
        <w:t xml:space="preserve"> incorrectly disregards the import of jurisdictional separations principles.</w:t>
      </w:r>
      <w:r w:rsidR="000B7491" w:rsidRPr="00573761">
        <w:rPr>
          <w:iCs/>
          <w:color w:val="000000"/>
          <w:sz w:val="26"/>
          <w:szCs w:val="26"/>
        </w:rPr>
        <w:t xml:space="preserve">  </w:t>
      </w:r>
      <w:r w:rsidR="000B7491" w:rsidRPr="00573761">
        <w:rPr>
          <w:i/>
          <w:color w:val="000000"/>
          <w:sz w:val="26"/>
          <w:szCs w:val="26"/>
        </w:rPr>
        <w:t>Id</w:t>
      </w:r>
      <w:r w:rsidR="000B7491" w:rsidRPr="00573761">
        <w:rPr>
          <w:iCs/>
          <w:color w:val="000000"/>
          <w:sz w:val="26"/>
          <w:szCs w:val="26"/>
        </w:rPr>
        <w:t>. at 4</w:t>
      </w:r>
      <w:r w:rsidR="002417E5" w:rsidRPr="00573761">
        <w:rPr>
          <w:color w:val="000000"/>
          <w:sz w:val="26"/>
          <w:szCs w:val="26"/>
        </w:rPr>
        <w:t>–</w:t>
      </w:r>
      <w:r w:rsidR="000B7491" w:rsidRPr="00573761">
        <w:rPr>
          <w:iCs/>
          <w:color w:val="000000"/>
          <w:sz w:val="26"/>
          <w:szCs w:val="26"/>
        </w:rPr>
        <w:t>5</w:t>
      </w:r>
      <w:r w:rsidR="003E3BC0" w:rsidRPr="00573761">
        <w:rPr>
          <w:iCs/>
          <w:color w:val="000000"/>
          <w:sz w:val="26"/>
          <w:szCs w:val="26"/>
        </w:rPr>
        <w:t>.</w:t>
      </w:r>
    </w:p>
    <w:p w14:paraId="7E1083E3" w14:textId="5AA09F30" w:rsidR="000B7491" w:rsidRPr="00573761" w:rsidRDefault="000B7491" w:rsidP="00941E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p>
    <w:p w14:paraId="0E7D3E97" w14:textId="5F70CD7D" w:rsidR="00883B32" w:rsidRPr="00573761" w:rsidRDefault="000B7491" w:rsidP="0035523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tab/>
        <w:t xml:space="preserve">In particular, Crown Castle </w:t>
      </w:r>
      <w:r w:rsidR="00627BB0" w:rsidRPr="00573761">
        <w:rPr>
          <w:iCs/>
          <w:color w:val="000000"/>
          <w:sz w:val="26"/>
          <w:szCs w:val="26"/>
        </w:rPr>
        <w:t xml:space="preserve">argues </w:t>
      </w:r>
      <w:r w:rsidRPr="00573761">
        <w:rPr>
          <w:iCs/>
          <w:color w:val="000000"/>
          <w:sz w:val="26"/>
          <w:szCs w:val="26"/>
        </w:rPr>
        <w:t xml:space="preserve">that the </w:t>
      </w:r>
      <w:r w:rsidR="003D291D" w:rsidRPr="00573761">
        <w:rPr>
          <w:iCs/>
          <w:color w:val="000000"/>
          <w:sz w:val="26"/>
          <w:szCs w:val="26"/>
        </w:rPr>
        <w:t xml:space="preserve">Order </w:t>
      </w:r>
      <w:r w:rsidRPr="00573761">
        <w:rPr>
          <w:iCs/>
          <w:color w:val="000000"/>
          <w:sz w:val="26"/>
          <w:szCs w:val="26"/>
        </w:rPr>
        <w:t>is ambiguous because the requirement of reporting “</w:t>
      </w:r>
      <w:r w:rsidRPr="00573761">
        <w:rPr>
          <w:i/>
          <w:color w:val="000000"/>
          <w:sz w:val="26"/>
          <w:szCs w:val="26"/>
        </w:rPr>
        <w:t>de facto</w:t>
      </w:r>
      <w:r w:rsidRPr="00573761">
        <w:rPr>
          <w:iCs/>
          <w:color w:val="000000"/>
          <w:sz w:val="26"/>
          <w:szCs w:val="26"/>
        </w:rPr>
        <w:t xml:space="preserve"> gross intrastate operating revenues” applies </w:t>
      </w:r>
      <w:r w:rsidRPr="00573761">
        <w:rPr>
          <w:i/>
          <w:iCs/>
          <w:color w:val="000000"/>
          <w:sz w:val="26"/>
          <w:szCs w:val="26"/>
        </w:rPr>
        <w:t xml:space="preserve">only </w:t>
      </w:r>
      <w:r w:rsidRPr="00573761">
        <w:rPr>
          <w:iCs/>
          <w:color w:val="000000"/>
          <w:sz w:val="26"/>
          <w:szCs w:val="26"/>
        </w:rPr>
        <w:t>to telecommunications entities that otherwise “report zero gross intrastate revenues.”</w:t>
      </w:r>
      <w:r w:rsidRPr="00573761">
        <w:rPr>
          <w:rStyle w:val="FootnoteReference"/>
          <w:iCs/>
          <w:color w:val="000000"/>
          <w:sz w:val="26"/>
          <w:szCs w:val="26"/>
        </w:rPr>
        <w:footnoteReference w:id="23"/>
      </w:r>
      <w:r w:rsidRPr="00573761">
        <w:rPr>
          <w:iCs/>
          <w:color w:val="000000"/>
          <w:sz w:val="26"/>
          <w:szCs w:val="26"/>
        </w:rPr>
        <w:t xml:space="preserve">  </w:t>
      </w:r>
      <w:r w:rsidR="003D291D" w:rsidRPr="00573761">
        <w:rPr>
          <w:i/>
          <w:color w:val="000000"/>
          <w:sz w:val="26"/>
          <w:szCs w:val="26"/>
        </w:rPr>
        <w:t>Id</w:t>
      </w:r>
      <w:r w:rsidR="003D291D" w:rsidRPr="00573761">
        <w:rPr>
          <w:iCs/>
          <w:color w:val="000000"/>
          <w:sz w:val="26"/>
          <w:szCs w:val="26"/>
        </w:rPr>
        <w:t xml:space="preserve">. at 6.  </w:t>
      </w:r>
      <w:r w:rsidRPr="00573761">
        <w:rPr>
          <w:iCs/>
          <w:color w:val="000000"/>
          <w:sz w:val="26"/>
          <w:szCs w:val="26"/>
        </w:rPr>
        <w:t xml:space="preserve">However, Crown Castle states the language in proposed Section 69.3701 is different.  </w:t>
      </w:r>
      <w:r w:rsidRPr="00573761">
        <w:rPr>
          <w:i/>
          <w:color w:val="000000"/>
          <w:sz w:val="26"/>
          <w:szCs w:val="26"/>
        </w:rPr>
        <w:t>Id</w:t>
      </w:r>
      <w:r w:rsidRPr="00573761">
        <w:rPr>
          <w:iCs/>
          <w:color w:val="000000"/>
          <w:sz w:val="26"/>
          <w:szCs w:val="26"/>
        </w:rPr>
        <w:t xml:space="preserve">.  </w:t>
      </w:r>
    </w:p>
    <w:p w14:paraId="55982123" w14:textId="79E4B988" w:rsidR="00883B32" w:rsidRPr="00573761" w:rsidRDefault="00883B32" w:rsidP="0035523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lastRenderedPageBreak/>
        <w:tab/>
      </w:r>
      <w:r w:rsidR="00355230" w:rsidRPr="00573761">
        <w:rPr>
          <w:iCs/>
          <w:color w:val="000000"/>
          <w:sz w:val="26"/>
          <w:szCs w:val="26"/>
        </w:rPr>
        <w:t>Crown Castle asserts that u</w:t>
      </w:r>
      <w:r w:rsidR="000B7491" w:rsidRPr="00573761">
        <w:rPr>
          <w:iCs/>
          <w:color w:val="000000"/>
          <w:sz w:val="26"/>
          <w:szCs w:val="26"/>
        </w:rPr>
        <w:t xml:space="preserve">nlike the </w:t>
      </w:r>
      <w:r w:rsidR="003D291D" w:rsidRPr="00573761">
        <w:rPr>
          <w:iCs/>
          <w:color w:val="000000"/>
          <w:sz w:val="26"/>
          <w:szCs w:val="26"/>
        </w:rPr>
        <w:t>Order</w:t>
      </w:r>
      <w:r w:rsidR="000B7491" w:rsidRPr="00573761">
        <w:rPr>
          <w:iCs/>
          <w:color w:val="000000"/>
          <w:sz w:val="26"/>
          <w:szCs w:val="26"/>
        </w:rPr>
        <w:t>, th</w:t>
      </w:r>
      <w:r w:rsidR="00355230" w:rsidRPr="00573761">
        <w:rPr>
          <w:iCs/>
          <w:color w:val="000000"/>
          <w:sz w:val="26"/>
          <w:szCs w:val="26"/>
        </w:rPr>
        <w:t>e</w:t>
      </w:r>
      <w:r w:rsidR="000B7491" w:rsidRPr="00573761">
        <w:rPr>
          <w:iCs/>
          <w:color w:val="000000"/>
          <w:sz w:val="26"/>
          <w:szCs w:val="26"/>
        </w:rPr>
        <w:t xml:space="preserve"> language </w:t>
      </w:r>
      <w:r w:rsidR="00355230" w:rsidRPr="00573761">
        <w:rPr>
          <w:iCs/>
          <w:color w:val="000000"/>
          <w:sz w:val="26"/>
          <w:szCs w:val="26"/>
        </w:rPr>
        <w:t xml:space="preserve">of </w:t>
      </w:r>
      <w:r w:rsidR="006F62CC" w:rsidRPr="00573761">
        <w:rPr>
          <w:iCs/>
          <w:color w:val="000000"/>
          <w:sz w:val="26"/>
          <w:szCs w:val="26"/>
        </w:rPr>
        <w:t xml:space="preserve">the </w:t>
      </w:r>
      <w:r w:rsidR="00E57F4A" w:rsidRPr="00D15CDE">
        <w:rPr>
          <w:i/>
          <w:iCs/>
          <w:color w:val="000000"/>
          <w:sz w:val="26"/>
          <w:szCs w:val="26"/>
        </w:rPr>
        <w:t>P</w:t>
      </w:r>
      <w:r w:rsidR="00355230" w:rsidRPr="00D15CDE">
        <w:rPr>
          <w:i/>
          <w:iCs/>
          <w:color w:val="000000"/>
          <w:sz w:val="26"/>
          <w:szCs w:val="26"/>
        </w:rPr>
        <w:t xml:space="preserve">roposed </w:t>
      </w:r>
      <w:r w:rsidR="00E57F4A" w:rsidRPr="00D15CDE">
        <w:rPr>
          <w:i/>
          <w:iCs/>
          <w:color w:val="000000"/>
          <w:sz w:val="26"/>
          <w:szCs w:val="26"/>
        </w:rPr>
        <w:t>P</w:t>
      </w:r>
      <w:r w:rsidR="00252948" w:rsidRPr="00D15CDE">
        <w:rPr>
          <w:i/>
          <w:iCs/>
          <w:color w:val="000000"/>
          <w:sz w:val="26"/>
          <w:szCs w:val="26"/>
        </w:rPr>
        <w:t xml:space="preserve">olicy </w:t>
      </w:r>
      <w:r w:rsidR="00E57F4A" w:rsidRPr="00D15CDE">
        <w:rPr>
          <w:i/>
          <w:iCs/>
          <w:color w:val="000000"/>
          <w:sz w:val="26"/>
          <w:szCs w:val="26"/>
        </w:rPr>
        <w:t>S</w:t>
      </w:r>
      <w:r w:rsidR="00252948" w:rsidRPr="00D15CDE">
        <w:rPr>
          <w:i/>
          <w:iCs/>
          <w:color w:val="000000"/>
          <w:sz w:val="26"/>
          <w:szCs w:val="26"/>
        </w:rPr>
        <w:t>tatement</w:t>
      </w:r>
      <w:r w:rsidR="00252948" w:rsidRPr="00573761">
        <w:rPr>
          <w:iCs/>
          <w:color w:val="000000"/>
          <w:sz w:val="26"/>
          <w:szCs w:val="26"/>
        </w:rPr>
        <w:t xml:space="preserve"> at </w:t>
      </w:r>
      <w:r w:rsidR="00355230" w:rsidRPr="00573761">
        <w:rPr>
          <w:iCs/>
          <w:color w:val="000000"/>
          <w:sz w:val="26"/>
          <w:szCs w:val="26"/>
        </w:rPr>
        <w:t xml:space="preserve">Section 69.7301 </w:t>
      </w:r>
      <w:r w:rsidR="000B7491" w:rsidRPr="00573761">
        <w:rPr>
          <w:iCs/>
          <w:color w:val="000000"/>
          <w:sz w:val="26"/>
          <w:szCs w:val="26"/>
        </w:rPr>
        <w:t>does not appear to limit the reporting of “</w:t>
      </w:r>
      <w:r w:rsidR="000B7491" w:rsidRPr="00573761">
        <w:rPr>
          <w:i/>
          <w:color w:val="000000"/>
          <w:sz w:val="26"/>
          <w:szCs w:val="26"/>
        </w:rPr>
        <w:t>de facto</w:t>
      </w:r>
      <w:r w:rsidR="000B7491" w:rsidRPr="00573761">
        <w:rPr>
          <w:iCs/>
          <w:color w:val="000000"/>
          <w:sz w:val="26"/>
          <w:szCs w:val="26"/>
        </w:rPr>
        <w:t xml:space="preserve"> gross intrastate operating revenues” only to those entities that currently report zero gross intrastate revenues for jurisdictionally-mixed services.</w:t>
      </w:r>
      <w:r w:rsidRPr="00573761">
        <w:rPr>
          <w:iCs/>
          <w:color w:val="000000"/>
          <w:sz w:val="26"/>
          <w:szCs w:val="26"/>
        </w:rPr>
        <w:t xml:space="preserve">  </w:t>
      </w:r>
      <w:r w:rsidRPr="00573761">
        <w:rPr>
          <w:i/>
          <w:color w:val="000000"/>
          <w:sz w:val="26"/>
          <w:szCs w:val="26"/>
        </w:rPr>
        <w:t>Id</w:t>
      </w:r>
      <w:r w:rsidRPr="00573761">
        <w:rPr>
          <w:iCs/>
          <w:color w:val="000000"/>
          <w:sz w:val="26"/>
          <w:szCs w:val="26"/>
        </w:rPr>
        <w:t xml:space="preserve">.  </w:t>
      </w:r>
      <w:r w:rsidR="000B7491" w:rsidRPr="00573761">
        <w:rPr>
          <w:iCs/>
          <w:color w:val="000000"/>
          <w:sz w:val="26"/>
          <w:szCs w:val="26"/>
        </w:rPr>
        <w:t>Instead, it appears to apply this new</w:t>
      </w:r>
      <w:r w:rsidR="00355230" w:rsidRPr="00573761">
        <w:rPr>
          <w:iCs/>
          <w:color w:val="000000"/>
          <w:sz w:val="26"/>
          <w:szCs w:val="26"/>
        </w:rPr>
        <w:t xml:space="preserve"> requirement to </w:t>
      </w:r>
      <w:r w:rsidR="00355230" w:rsidRPr="00573761">
        <w:rPr>
          <w:color w:val="000000"/>
          <w:sz w:val="26"/>
          <w:szCs w:val="26"/>
        </w:rPr>
        <w:t>all</w:t>
      </w:r>
      <w:r w:rsidR="00355230" w:rsidRPr="00573761">
        <w:rPr>
          <w:i/>
          <w:iCs/>
          <w:color w:val="000000"/>
          <w:sz w:val="26"/>
          <w:szCs w:val="26"/>
        </w:rPr>
        <w:t xml:space="preserve"> </w:t>
      </w:r>
      <w:r w:rsidR="00355230" w:rsidRPr="00573761">
        <w:rPr>
          <w:iCs/>
          <w:color w:val="000000"/>
          <w:sz w:val="26"/>
          <w:szCs w:val="26"/>
        </w:rPr>
        <w:t>telecommunications public utilit</w:t>
      </w:r>
      <w:r w:rsidR="003D291D" w:rsidRPr="00573761">
        <w:rPr>
          <w:iCs/>
          <w:color w:val="000000"/>
          <w:sz w:val="26"/>
          <w:szCs w:val="26"/>
        </w:rPr>
        <w:t>ies</w:t>
      </w:r>
      <w:r w:rsidR="00355230" w:rsidRPr="00573761">
        <w:rPr>
          <w:iCs/>
          <w:color w:val="000000"/>
          <w:sz w:val="26"/>
          <w:szCs w:val="26"/>
        </w:rPr>
        <w:t xml:space="preserve"> in the Commonwealth that hold a certificate of public convenience </w:t>
      </w:r>
      <w:r w:rsidR="006F62CC" w:rsidRPr="00573761">
        <w:rPr>
          <w:iCs/>
          <w:color w:val="000000"/>
          <w:sz w:val="26"/>
          <w:szCs w:val="26"/>
        </w:rPr>
        <w:t xml:space="preserve">(CPC) </w:t>
      </w:r>
      <w:r w:rsidR="00355230" w:rsidRPr="00573761">
        <w:rPr>
          <w:iCs/>
          <w:color w:val="000000"/>
          <w:sz w:val="26"/>
          <w:szCs w:val="26"/>
        </w:rPr>
        <w:t>and provide jurisdictionally</w:t>
      </w:r>
      <w:r w:rsidR="00AC25ED" w:rsidRPr="00573761">
        <w:rPr>
          <w:iCs/>
          <w:color w:val="000000"/>
          <w:sz w:val="26"/>
          <w:szCs w:val="26"/>
        </w:rPr>
        <w:t xml:space="preserve"> </w:t>
      </w:r>
      <w:r w:rsidR="00355230" w:rsidRPr="00573761">
        <w:rPr>
          <w:iCs/>
          <w:color w:val="000000"/>
          <w:sz w:val="26"/>
          <w:szCs w:val="26"/>
        </w:rPr>
        <w:t>mixed</w:t>
      </w:r>
      <w:r w:rsidR="00AC25ED" w:rsidRPr="00573761">
        <w:rPr>
          <w:iCs/>
          <w:color w:val="000000"/>
          <w:sz w:val="26"/>
          <w:szCs w:val="26"/>
        </w:rPr>
        <w:t>-use</w:t>
      </w:r>
      <w:r w:rsidR="00355230" w:rsidRPr="00573761">
        <w:rPr>
          <w:iCs/>
          <w:color w:val="000000"/>
          <w:sz w:val="26"/>
          <w:szCs w:val="26"/>
        </w:rPr>
        <w:t xml:space="preserve"> services.  </w:t>
      </w:r>
      <w:r w:rsidR="00355230" w:rsidRPr="00573761">
        <w:rPr>
          <w:i/>
          <w:color w:val="000000"/>
          <w:sz w:val="26"/>
          <w:szCs w:val="26"/>
        </w:rPr>
        <w:t>Id</w:t>
      </w:r>
      <w:r w:rsidR="00355230" w:rsidRPr="00573761">
        <w:rPr>
          <w:iCs/>
          <w:color w:val="000000"/>
          <w:sz w:val="26"/>
          <w:szCs w:val="26"/>
        </w:rPr>
        <w:t xml:space="preserve">. </w:t>
      </w:r>
      <w:r w:rsidR="00A743DB" w:rsidRPr="00573761">
        <w:rPr>
          <w:iCs/>
          <w:color w:val="000000"/>
          <w:sz w:val="26"/>
          <w:szCs w:val="26"/>
        </w:rPr>
        <w:t>at 6</w:t>
      </w:r>
      <w:r w:rsidR="002417E5" w:rsidRPr="00573761">
        <w:rPr>
          <w:color w:val="000000"/>
          <w:sz w:val="26"/>
          <w:szCs w:val="26"/>
        </w:rPr>
        <w:t>–</w:t>
      </w:r>
      <w:r w:rsidR="00A743DB" w:rsidRPr="00573761">
        <w:rPr>
          <w:iCs/>
          <w:color w:val="000000"/>
          <w:sz w:val="26"/>
          <w:szCs w:val="26"/>
        </w:rPr>
        <w:t>7.</w:t>
      </w:r>
      <w:r w:rsidR="00355230" w:rsidRPr="00573761">
        <w:rPr>
          <w:iCs/>
          <w:color w:val="000000"/>
          <w:sz w:val="26"/>
          <w:szCs w:val="26"/>
        </w:rPr>
        <w:t xml:space="preserve"> </w:t>
      </w:r>
    </w:p>
    <w:p w14:paraId="3E00F67E" w14:textId="77777777" w:rsidR="008B74AC" w:rsidRPr="00573761" w:rsidRDefault="008B74AC" w:rsidP="0035523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p>
    <w:p w14:paraId="7E75EB8A" w14:textId="79F83606" w:rsidR="00355230" w:rsidRPr="00573761" w:rsidRDefault="00883B32" w:rsidP="0035523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tab/>
      </w:r>
      <w:r w:rsidR="00355230" w:rsidRPr="00573761">
        <w:rPr>
          <w:iCs/>
          <w:color w:val="000000"/>
          <w:sz w:val="26"/>
          <w:szCs w:val="26"/>
        </w:rPr>
        <w:t>Crown Castle states it is unclear how entities that are reporting intrastate gross operating revenues separate from services other than those jurisdictionally-mixed services that qualify as interstate under the ten percent rule would be treated under Section 510(b)(3)</w:t>
      </w:r>
      <w:r w:rsidR="00C6203D" w:rsidRPr="00573761">
        <w:rPr>
          <w:color w:val="000000"/>
          <w:sz w:val="26"/>
          <w:szCs w:val="26"/>
        </w:rPr>
        <w:t>–</w:t>
      </w:r>
      <w:r w:rsidR="00355230" w:rsidRPr="00573761">
        <w:rPr>
          <w:iCs/>
          <w:color w:val="000000"/>
          <w:sz w:val="26"/>
          <w:szCs w:val="26"/>
        </w:rPr>
        <w:t>(4) in light of the broad applicability of proposed Section 69.3701.</w:t>
      </w:r>
      <w:r w:rsidRPr="00573761">
        <w:rPr>
          <w:iCs/>
          <w:color w:val="000000"/>
          <w:sz w:val="26"/>
          <w:szCs w:val="26"/>
        </w:rPr>
        <w:t xml:space="preserve">  </w:t>
      </w:r>
      <w:r w:rsidRPr="00573761">
        <w:rPr>
          <w:i/>
          <w:color w:val="000000"/>
          <w:sz w:val="26"/>
          <w:szCs w:val="26"/>
        </w:rPr>
        <w:t>Id</w:t>
      </w:r>
      <w:r w:rsidRPr="00573761">
        <w:rPr>
          <w:iCs/>
          <w:color w:val="000000"/>
          <w:sz w:val="26"/>
          <w:szCs w:val="26"/>
        </w:rPr>
        <w:t>.</w:t>
      </w:r>
      <w:r w:rsidR="00AA0D2B" w:rsidRPr="00573761">
        <w:rPr>
          <w:iCs/>
          <w:color w:val="000000"/>
          <w:sz w:val="26"/>
          <w:szCs w:val="26"/>
        </w:rPr>
        <w:t> </w:t>
      </w:r>
      <w:r w:rsidRPr="00573761">
        <w:rPr>
          <w:iCs/>
          <w:color w:val="000000"/>
          <w:sz w:val="26"/>
          <w:szCs w:val="26"/>
        </w:rPr>
        <w:t xml:space="preserve">at 7.  </w:t>
      </w:r>
      <w:r w:rsidR="00355230" w:rsidRPr="00573761">
        <w:rPr>
          <w:iCs/>
          <w:color w:val="000000"/>
          <w:sz w:val="26"/>
          <w:szCs w:val="26"/>
        </w:rPr>
        <w:t>Crown Castle asserts that the proposed Section 69.3701 appears to potentially discriminate in favor of certain telecommunications entities depending on whether they provide services whose revenues are treated as jurisdictionally</w:t>
      </w:r>
      <w:r w:rsidR="00E51A02" w:rsidRPr="00573761">
        <w:rPr>
          <w:iCs/>
          <w:color w:val="000000"/>
          <w:sz w:val="26"/>
          <w:szCs w:val="26"/>
        </w:rPr>
        <w:t>-</w:t>
      </w:r>
      <w:r w:rsidR="00355230" w:rsidRPr="00573761">
        <w:rPr>
          <w:iCs/>
          <w:color w:val="000000"/>
          <w:sz w:val="26"/>
          <w:szCs w:val="26"/>
        </w:rPr>
        <w:t xml:space="preserve">mixed.  </w:t>
      </w:r>
      <w:r w:rsidRPr="00573761">
        <w:rPr>
          <w:i/>
          <w:color w:val="000000"/>
          <w:sz w:val="26"/>
          <w:szCs w:val="26"/>
        </w:rPr>
        <w:t>Id</w:t>
      </w:r>
      <w:r w:rsidRPr="00573761">
        <w:rPr>
          <w:iCs/>
          <w:color w:val="000000"/>
          <w:sz w:val="26"/>
          <w:szCs w:val="26"/>
        </w:rPr>
        <w:t>.  Accordingly, Crown Castle states that th</w:t>
      </w:r>
      <w:r w:rsidR="00355230" w:rsidRPr="00573761">
        <w:rPr>
          <w:iCs/>
          <w:color w:val="000000"/>
          <w:sz w:val="26"/>
          <w:szCs w:val="26"/>
        </w:rPr>
        <w:t xml:space="preserve">e </w:t>
      </w:r>
      <w:r w:rsidRPr="00573761">
        <w:rPr>
          <w:iCs/>
          <w:color w:val="000000"/>
          <w:sz w:val="26"/>
          <w:szCs w:val="26"/>
        </w:rPr>
        <w:t xml:space="preserve">Commission </w:t>
      </w:r>
      <w:r w:rsidR="00355230" w:rsidRPr="00573761">
        <w:rPr>
          <w:iCs/>
          <w:color w:val="000000"/>
          <w:sz w:val="26"/>
          <w:szCs w:val="26"/>
        </w:rPr>
        <w:t xml:space="preserve">should modify the language </w:t>
      </w:r>
      <w:r w:rsidRPr="00573761">
        <w:rPr>
          <w:iCs/>
          <w:color w:val="000000"/>
          <w:sz w:val="26"/>
          <w:szCs w:val="26"/>
        </w:rPr>
        <w:t xml:space="preserve">of proposed Section 69.3701 </w:t>
      </w:r>
      <w:r w:rsidR="00355230" w:rsidRPr="00573761">
        <w:rPr>
          <w:iCs/>
          <w:color w:val="000000"/>
          <w:sz w:val="26"/>
          <w:szCs w:val="26"/>
        </w:rPr>
        <w:t xml:space="preserve">to be consistent with the </w:t>
      </w:r>
      <w:r w:rsidR="00A17E95" w:rsidRPr="00573761">
        <w:rPr>
          <w:iCs/>
          <w:color w:val="000000"/>
          <w:sz w:val="26"/>
          <w:szCs w:val="26"/>
        </w:rPr>
        <w:t>Order</w:t>
      </w:r>
      <w:r w:rsidR="00355230" w:rsidRPr="00573761">
        <w:rPr>
          <w:iCs/>
          <w:color w:val="000000"/>
          <w:sz w:val="26"/>
          <w:szCs w:val="26"/>
        </w:rPr>
        <w:t xml:space="preserve"> and make clear that the section </w:t>
      </w:r>
      <w:r w:rsidR="00355230" w:rsidRPr="00573761">
        <w:rPr>
          <w:color w:val="000000"/>
          <w:sz w:val="26"/>
          <w:szCs w:val="26"/>
        </w:rPr>
        <w:t>only</w:t>
      </w:r>
      <w:r w:rsidR="00355230" w:rsidRPr="00573761">
        <w:rPr>
          <w:i/>
          <w:iCs/>
          <w:color w:val="000000"/>
          <w:sz w:val="26"/>
          <w:szCs w:val="26"/>
        </w:rPr>
        <w:t xml:space="preserve"> </w:t>
      </w:r>
      <w:r w:rsidR="00355230" w:rsidRPr="00573761">
        <w:rPr>
          <w:iCs/>
          <w:color w:val="000000"/>
          <w:sz w:val="26"/>
          <w:szCs w:val="26"/>
        </w:rPr>
        <w:t>applies to entities that otherwise report zero gross intrastate operating revenues.</w:t>
      </w:r>
      <w:r w:rsidRPr="00573761">
        <w:rPr>
          <w:iCs/>
          <w:color w:val="000000"/>
          <w:sz w:val="26"/>
          <w:szCs w:val="26"/>
        </w:rPr>
        <w:t xml:space="preserve">  </w:t>
      </w:r>
      <w:r w:rsidRPr="00573761">
        <w:rPr>
          <w:i/>
          <w:color w:val="000000"/>
          <w:sz w:val="26"/>
          <w:szCs w:val="26"/>
        </w:rPr>
        <w:t>Id</w:t>
      </w:r>
      <w:r w:rsidRPr="00573761">
        <w:rPr>
          <w:iCs/>
          <w:color w:val="000000"/>
          <w:sz w:val="26"/>
          <w:szCs w:val="26"/>
        </w:rPr>
        <w:t>.</w:t>
      </w:r>
      <w:r w:rsidR="00CC7A44" w:rsidRPr="00573761">
        <w:rPr>
          <w:iCs/>
          <w:color w:val="000000"/>
          <w:sz w:val="26"/>
          <w:szCs w:val="26"/>
        </w:rPr>
        <w:t xml:space="preserve">  </w:t>
      </w:r>
    </w:p>
    <w:p w14:paraId="4572BAA3" w14:textId="77777777" w:rsidR="00355230" w:rsidRPr="00573761" w:rsidRDefault="00355230" w:rsidP="0035523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p>
    <w:p w14:paraId="707A3451" w14:textId="00F785E4" w:rsidR="00355230" w:rsidRPr="00573761" w:rsidRDefault="00355230" w:rsidP="0035523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r w:rsidRPr="00573761">
        <w:rPr>
          <w:iCs/>
          <w:color w:val="000000"/>
          <w:sz w:val="26"/>
          <w:szCs w:val="26"/>
        </w:rPr>
        <w:tab/>
      </w:r>
      <w:r w:rsidR="00883B32" w:rsidRPr="00573761">
        <w:rPr>
          <w:iCs/>
          <w:color w:val="000000"/>
          <w:sz w:val="26"/>
          <w:szCs w:val="26"/>
        </w:rPr>
        <w:t xml:space="preserve">Crown Castle further asserts that </w:t>
      </w:r>
      <w:r w:rsidRPr="00573761">
        <w:rPr>
          <w:iCs/>
          <w:color w:val="000000"/>
          <w:sz w:val="26"/>
          <w:szCs w:val="26"/>
        </w:rPr>
        <w:t>the language in Section 69.3701 requiring the submission of “traffic studies, tax returns, jurisdictional allocations formulas and factors, books of account, [and] reports” appears to conflict with the definition of “</w:t>
      </w:r>
      <w:r w:rsidRPr="00573761">
        <w:rPr>
          <w:i/>
          <w:color w:val="000000"/>
          <w:sz w:val="26"/>
          <w:szCs w:val="26"/>
        </w:rPr>
        <w:t>de facto</w:t>
      </w:r>
      <w:r w:rsidRPr="00573761">
        <w:rPr>
          <w:iCs/>
          <w:color w:val="000000"/>
          <w:sz w:val="26"/>
          <w:szCs w:val="26"/>
        </w:rPr>
        <w:t xml:space="preserve"> gross intrastate operating revenues” provided in the Section and</w:t>
      </w:r>
      <w:r w:rsidR="00485B0F" w:rsidRPr="00573761">
        <w:rPr>
          <w:iCs/>
          <w:color w:val="000000"/>
          <w:sz w:val="26"/>
          <w:szCs w:val="26"/>
        </w:rPr>
        <w:t>,</w:t>
      </w:r>
      <w:r w:rsidRPr="00573761">
        <w:rPr>
          <w:iCs/>
          <w:color w:val="000000"/>
          <w:sz w:val="26"/>
          <w:szCs w:val="26"/>
        </w:rPr>
        <w:t xml:space="preserve"> therefore, presents further ambiguity and uncertainty. </w:t>
      </w:r>
      <w:r w:rsidR="00883B32" w:rsidRPr="00573761">
        <w:rPr>
          <w:iCs/>
          <w:color w:val="000000"/>
          <w:sz w:val="26"/>
          <w:szCs w:val="26"/>
        </w:rPr>
        <w:t xml:space="preserve"> </w:t>
      </w:r>
      <w:r w:rsidR="00883B32" w:rsidRPr="00573761">
        <w:rPr>
          <w:i/>
          <w:color w:val="000000"/>
          <w:sz w:val="26"/>
          <w:szCs w:val="26"/>
        </w:rPr>
        <w:t>Id</w:t>
      </w:r>
      <w:r w:rsidR="00883B32" w:rsidRPr="00573761">
        <w:rPr>
          <w:iCs/>
          <w:color w:val="000000"/>
          <w:sz w:val="26"/>
          <w:szCs w:val="26"/>
        </w:rPr>
        <w:t>.  Crown Castle notes that p</w:t>
      </w:r>
      <w:r w:rsidRPr="00573761">
        <w:rPr>
          <w:iCs/>
          <w:color w:val="000000"/>
          <w:sz w:val="26"/>
          <w:szCs w:val="26"/>
        </w:rPr>
        <w:t>roposed Section 69.3701 defines this revenue as “operating revenues that are billed, charged, or otherwise due for all telecommunications services and traffic between points that are both located within the Commonwealth of Pennsylvania.”</w:t>
      </w:r>
      <w:r w:rsidR="00883B32" w:rsidRPr="00573761">
        <w:rPr>
          <w:rStyle w:val="FootnoteReference"/>
          <w:iCs/>
          <w:color w:val="000000"/>
          <w:sz w:val="26"/>
          <w:szCs w:val="26"/>
        </w:rPr>
        <w:footnoteReference w:id="24"/>
      </w:r>
      <w:r w:rsidR="008B6546" w:rsidRPr="00573761">
        <w:rPr>
          <w:iCs/>
          <w:color w:val="000000"/>
          <w:sz w:val="26"/>
          <w:szCs w:val="26"/>
        </w:rPr>
        <w:t xml:space="preserve">  </w:t>
      </w:r>
      <w:r w:rsidR="00485B0F" w:rsidRPr="00573761">
        <w:rPr>
          <w:i/>
          <w:color w:val="000000"/>
          <w:sz w:val="26"/>
          <w:szCs w:val="26"/>
        </w:rPr>
        <w:t>Id</w:t>
      </w:r>
      <w:r w:rsidR="00485B0F" w:rsidRPr="00573761">
        <w:rPr>
          <w:iCs/>
          <w:color w:val="000000"/>
          <w:sz w:val="26"/>
          <w:szCs w:val="26"/>
        </w:rPr>
        <w:t>. at 7</w:t>
      </w:r>
      <w:r w:rsidR="002417E5" w:rsidRPr="00573761">
        <w:rPr>
          <w:color w:val="000000"/>
          <w:sz w:val="26"/>
          <w:szCs w:val="26"/>
        </w:rPr>
        <w:t>–</w:t>
      </w:r>
      <w:r w:rsidR="00485B0F" w:rsidRPr="00573761">
        <w:rPr>
          <w:iCs/>
          <w:color w:val="000000"/>
          <w:sz w:val="26"/>
          <w:szCs w:val="26"/>
        </w:rPr>
        <w:t xml:space="preserve">8.  </w:t>
      </w:r>
      <w:r w:rsidR="008B6546" w:rsidRPr="00573761">
        <w:rPr>
          <w:iCs/>
          <w:color w:val="000000"/>
          <w:sz w:val="26"/>
          <w:szCs w:val="26"/>
        </w:rPr>
        <w:t>Crown Castle states that t</w:t>
      </w:r>
      <w:r w:rsidRPr="00573761">
        <w:rPr>
          <w:iCs/>
          <w:color w:val="000000"/>
          <w:sz w:val="26"/>
          <w:szCs w:val="26"/>
        </w:rPr>
        <w:t xml:space="preserve">his </w:t>
      </w:r>
      <w:r w:rsidRPr="00573761">
        <w:rPr>
          <w:iCs/>
          <w:color w:val="000000"/>
          <w:sz w:val="26"/>
          <w:szCs w:val="26"/>
        </w:rPr>
        <w:lastRenderedPageBreak/>
        <w:t>language makes it appear that the “</w:t>
      </w:r>
      <w:r w:rsidRPr="00573761">
        <w:rPr>
          <w:i/>
          <w:color w:val="000000"/>
          <w:sz w:val="26"/>
          <w:szCs w:val="26"/>
        </w:rPr>
        <w:t>de facto</w:t>
      </w:r>
      <w:r w:rsidRPr="00573761">
        <w:rPr>
          <w:iCs/>
          <w:color w:val="000000"/>
          <w:sz w:val="26"/>
          <w:szCs w:val="26"/>
        </w:rPr>
        <w:t>” intrastate revenue include</w:t>
      </w:r>
      <w:r w:rsidR="00C6203D" w:rsidRPr="00573761">
        <w:rPr>
          <w:iCs/>
          <w:color w:val="000000"/>
          <w:sz w:val="26"/>
          <w:szCs w:val="26"/>
        </w:rPr>
        <w:t>s</w:t>
      </w:r>
      <w:r w:rsidRPr="00573761">
        <w:rPr>
          <w:iCs/>
          <w:color w:val="000000"/>
          <w:sz w:val="26"/>
          <w:szCs w:val="26"/>
        </w:rPr>
        <w:t xml:space="preserve"> </w:t>
      </w:r>
      <w:r w:rsidRPr="00573761">
        <w:rPr>
          <w:i/>
          <w:iCs/>
          <w:color w:val="000000"/>
          <w:sz w:val="26"/>
          <w:szCs w:val="26"/>
        </w:rPr>
        <w:t xml:space="preserve">any </w:t>
      </w:r>
      <w:r w:rsidRPr="00573761">
        <w:rPr>
          <w:iCs/>
          <w:color w:val="000000"/>
          <w:sz w:val="26"/>
          <w:szCs w:val="26"/>
        </w:rPr>
        <w:t>revenue derived from any services with endpoints within the Commonwealth, without regard for jurisdictional allocation, traffic studies, or similar methods traditionally used in jurisdictional separations analysis.</w:t>
      </w:r>
      <w:r w:rsidR="008B6546" w:rsidRPr="00573761">
        <w:rPr>
          <w:rStyle w:val="FootnoteReference"/>
          <w:iCs/>
          <w:color w:val="000000"/>
          <w:sz w:val="26"/>
          <w:szCs w:val="26"/>
        </w:rPr>
        <w:footnoteReference w:id="25"/>
      </w:r>
      <w:r w:rsidR="00006C7F" w:rsidRPr="00573761">
        <w:rPr>
          <w:iCs/>
          <w:color w:val="000000"/>
          <w:sz w:val="26"/>
          <w:szCs w:val="26"/>
        </w:rPr>
        <w:t xml:space="preserve">  </w:t>
      </w:r>
      <w:r w:rsidR="00006C7F" w:rsidRPr="00573761">
        <w:rPr>
          <w:i/>
          <w:color w:val="000000"/>
          <w:sz w:val="26"/>
          <w:szCs w:val="26"/>
        </w:rPr>
        <w:t>Id</w:t>
      </w:r>
      <w:r w:rsidR="00006C7F" w:rsidRPr="00573761">
        <w:rPr>
          <w:iCs/>
          <w:color w:val="000000"/>
          <w:sz w:val="26"/>
          <w:szCs w:val="26"/>
        </w:rPr>
        <w:t xml:space="preserve">. at 8.  </w:t>
      </w:r>
      <w:r w:rsidRPr="00573761">
        <w:rPr>
          <w:iCs/>
          <w:color w:val="000000"/>
          <w:sz w:val="26"/>
          <w:szCs w:val="26"/>
        </w:rPr>
        <w:t xml:space="preserve">Accordingly, </w:t>
      </w:r>
      <w:r w:rsidR="008B6546" w:rsidRPr="00573761">
        <w:rPr>
          <w:iCs/>
          <w:color w:val="000000"/>
          <w:sz w:val="26"/>
          <w:szCs w:val="26"/>
        </w:rPr>
        <w:t xml:space="preserve">Crown Castle states that </w:t>
      </w:r>
      <w:r w:rsidRPr="00573761">
        <w:rPr>
          <w:iCs/>
          <w:color w:val="000000"/>
          <w:sz w:val="26"/>
          <w:szCs w:val="26"/>
        </w:rPr>
        <w:t>the reference to</w:t>
      </w:r>
      <w:r w:rsidR="008B6546" w:rsidRPr="00573761">
        <w:rPr>
          <w:iCs/>
          <w:color w:val="000000"/>
          <w:sz w:val="26"/>
          <w:szCs w:val="26"/>
        </w:rPr>
        <w:t xml:space="preserve"> </w:t>
      </w:r>
      <w:r w:rsidRPr="00573761">
        <w:rPr>
          <w:iCs/>
          <w:color w:val="000000"/>
          <w:sz w:val="26"/>
          <w:szCs w:val="26"/>
        </w:rPr>
        <w:t>matters such as jurisdictional allocation formulas and traffic studies creates uncertainty regarding what is intended.</w:t>
      </w:r>
      <w:r w:rsidR="008B6546" w:rsidRPr="00573761">
        <w:rPr>
          <w:iCs/>
          <w:color w:val="000000"/>
          <w:sz w:val="26"/>
          <w:szCs w:val="26"/>
        </w:rPr>
        <w:t xml:space="preserve">  </w:t>
      </w:r>
      <w:r w:rsidR="008B6546" w:rsidRPr="00573761">
        <w:rPr>
          <w:i/>
          <w:color w:val="000000"/>
          <w:sz w:val="26"/>
          <w:szCs w:val="26"/>
        </w:rPr>
        <w:t>Id</w:t>
      </w:r>
      <w:r w:rsidR="008B6546" w:rsidRPr="00573761">
        <w:rPr>
          <w:iCs/>
          <w:color w:val="000000"/>
          <w:sz w:val="26"/>
          <w:szCs w:val="26"/>
        </w:rPr>
        <w:t>.</w:t>
      </w:r>
      <w:r w:rsidR="00CC7A44" w:rsidRPr="00573761">
        <w:rPr>
          <w:iCs/>
          <w:color w:val="000000"/>
          <w:sz w:val="26"/>
          <w:szCs w:val="26"/>
        </w:rPr>
        <w:t xml:space="preserve">  </w:t>
      </w:r>
    </w:p>
    <w:p w14:paraId="533118BA" w14:textId="77777777" w:rsidR="00355230" w:rsidRPr="00573761" w:rsidRDefault="00355230" w:rsidP="0035523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Cs/>
          <w:color w:val="000000"/>
          <w:sz w:val="26"/>
          <w:szCs w:val="26"/>
        </w:rPr>
      </w:pPr>
    </w:p>
    <w:p w14:paraId="6C6EEFE2" w14:textId="2D84168A" w:rsidR="00355230" w:rsidRPr="00573761" w:rsidRDefault="00355230" w:rsidP="0035523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iCs/>
          <w:color w:val="000000"/>
          <w:sz w:val="26"/>
          <w:szCs w:val="26"/>
        </w:rPr>
        <w:tab/>
      </w:r>
      <w:r w:rsidR="008B6546" w:rsidRPr="00573761">
        <w:rPr>
          <w:iCs/>
          <w:color w:val="000000"/>
          <w:sz w:val="26"/>
          <w:szCs w:val="26"/>
        </w:rPr>
        <w:t xml:space="preserve">Crown Castle also asserts that </w:t>
      </w:r>
      <w:r w:rsidRPr="00573761">
        <w:rPr>
          <w:iCs/>
          <w:color w:val="000000"/>
          <w:sz w:val="26"/>
          <w:szCs w:val="26"/>
        </w:rPr>
        <w:t>the term “</w:t>
      </w:r>
      <w:r w:rsidRPr="00573761">
        <w:rPr>
          <w:i/>
          <w:color w:val="000000"/>
          <w:sz w:val="26"/>
          <w:szCs w:val="26"/>
        </w:rPr>
        <w:t>de facto</w:t>
      </w:r>
      <w:r w:rsidRPr="00573761">
        <w:rPr>
          <w:iCs/>
          <w:color w:val="000000"/>
          <w:sz w:val="26"/>
          <w:szCs w:val="26"/>
        </w:rPr>
        <w:t xml:space="preserve"> gross operating revenues” </w:t>
      </w:r>
      <w:r w:rsidR="008B6546" w:rsidRPr="00573761">
        <w:rPr>
          <w:iCs/>
          <w:color w:val="000000"/>
          <w:sz w:val="26"/>
          <w:szCs w:val="26"/>
        </w:rPr>
        <w:t xml:space="preserve">as defined </w:t>
      </w:r>
      <w:r w:rsidRPr="00573761">
        <w:rPr>
          <w:iCs/>
          <w:color w:val="000000"/>
          <w:sz w:val="26"/>
          <w:szCs w:val="26"/>
        </w:rPr>
        <w:t xml:space="preserve">is also ambiguous and </w:t>
      </w:r>
      <w:r w:rsidR="00485B0F" w:rsidRPr="00573761">
        <w:rPr>
          <w:iCs/>
          <w:color w:val="000000"/>
          <w:sz w:val="26"/>
          <w:szCs w:val="26"/>
        </w:rPr>
        <w:t>“</w:t>
      </w:r>
      <w:r w:rsidRPr="00573761">
        <w:rPr>
          <w:iCs/>
          <w:color w:val="000000"/>
          <w:sz w:val="26"/>
          <w:szCs w:val="26"/>
        </w:rPr>
        <w:t>potentially radically overbroad.</w:t>
      </w:r>
      <w:r w:rsidR="00485B0F" w:rsidRPr="00573761">
        <w:rPr>
          <w:iCs/>
          <w:color w:val="000000"/>
          <w:sz w:val="26"/>
          <w:szCs w:val="26"/>
        </w:rPr>
        <w:t>”</w:t>
      </w:r>
      <w:r w:rsidR="008B6546" w:rsidRPr="00573761">
        <w:rPr>
          <w:iCs/>
          <w:color w:val="000000"/>
          <w:sz w:val="26"/>
          <w:szCs w:val="26"/>
        </w:rPr>
        <w:t xml:space="preserve">  </w:t>
      </w:r>
      <w:r w:rsidR="008B6546" w:rsidRPr="00573761">
        <w:rPr>
          <w:i/>
          <w:color w:val="000000"/>
          <w:sz w:val="26"/>
          <w:szCs w:val="26"/>
        </w:rPr>
        <w:t>Id</w:t>
      </w:r>
      <w:r w:rsidR="008B6546" w:rsidRPr="00573761">
        <w:rPr>
          <w:iCs/>
          <w:color w:val="000000"/>
          <w:sz w:val="26"/>
          <w:szCs w:val="26"/>
        </w:rPr>
        <w:t>.</w:t>
      </w:r>
      <w:r w:rsidR="00006C7F" w:rsidRPr="00573761">
        <w:rPr>
          <w:iCs/>
          <w:color w:val="000000"/>
          <w:sz w:val="26"/>
          <w:szCs w:val="26"/>
        </w:rPr>
        <w:t xml:space="preserve">  Crown Castle notes that p</w:t>
      </w:r>
      <w:r w:rsidRPr="00573761">
        <w:rPr>
          <w:iCs/>
          <w:color w:val="000000"/>
          <w:sz w:val="26"/>
          <w:szCs w:val="26"/>
        </w:rPr>
        <w:t xml:space="preserve">roposed Section 69.3701 purports to include “revenues that are </w:t>
      </w:r>
      <w:r w:rsidRPr="00573761">
        <w:rPr>
          <w:color w:val="000000"/>
          <w:sz w:val="26"/>
          <w:szCs w:val="26"/>
        </w:rPr>
        <w:t>billed, charged or otherwise due</w:t>
      </w:r>
      <w:r w:rsidRPr="00573761">
        <w:rPr>
          <w:iCs/>
          <w:color w:val="000000"/>
          <w:sz w:val="26"/>
          <w:szCs w:val="26"/>
        </w:rPr>
        <w:t>.”</w:t>
      </w:r>
      <w:r w:rsidR="00006C7F" w:rsidRPr="00573761">
        <w:rPr>
          <w:rStyle w:val="FootnoteReference"/>
          <w:iCs/>
          <w:color w:val="000000"/>
          <w:sz w:val="26"/>
          <w:szCs w:val="26"/>
        </w:rPr>
        <w:footnoteReference w:id="26"/>
      </w:r>
      <w:r w:rsidR="00006C7F" w:rsidRPr="00573761">
        <w:rPr>
          <w:iCs/>
          <w:color w:val="000000"/>
          <w:sz w:val="26"/>
          <w:szCs w:val="26"/>
        </w:rPr>
        <w:t xml:space="preserve"> </w:t>
      </w:r>
      <w:r w:rsidR="00485B0F" w:rsidRPr="00573761">
        <w:rPr>
          <w:iCs/>
          <w:color w:val="000000"/>
          <w:sz w:val="26"/>
          <w:szCs w:val="26"/>
        </w:rPr>
        <w:t xml:space="preserve"> </w:t>
      </w:r>
      <w:r w:rsidR="00485B0F" w:rsidRPr="00573761">
        <w:rPr>
          <w:i/>
          <w:color w:val="000000"/>
          <w:sz w:val="26"/>
          <w:szCs w:val="26"/>
        </w:rPr>
        <w:t>Id</w:t>
      </w:r>
      <w:r w:rsidR="00485B0F" w:rsidRPr="00573761">
        <w:rPr>
          <w:iCs/>
          <w:color w:val="000000"/>
          <w:sz w:val="26"/>
          <w:szCs w:val="26"/>
        </w:rPr>
        <w:t xml:space="preserve">. </w:t>
      </w:r>
      <w:r w:rsidR="00006C7F" w:rsidRPr="00573761">
        <w:rPr>
          <w:iCs/>
          <w:color w:val="000000"/>
          <w:sz w:val="26"/>
          <w:szCs w:val="26"/>
        </w:rPr>
        <w:t xml:space="preserve"> Crown Castle asserts that t</w:t>
      </w:r>
      <w:r w:rsidRPr="00573761">
        <w:rPr>
          <w:iCs/>
          <w:color w:val="000000"/>
          <w:sz w:val="26"/>
          <w:szCs w:val="26"/>
        </w:rPr>
        <w:t xml:space="preserve">his definition is </w:t>
      </w:r>
      <w:r w:rsidR="00485B0F" w:rsidRPr="00573761">
        <w:rPr>
          <w:iCs/>
          <w:color w:val="000000"/>
          <w:sz w:val="26"/>
          <w:szCs w:val="26"/>
        </w:rPr>
        <w:t>“</w:t>
      </w:r>
      <w:r w:rsidRPr="00573761">
        <w:rPr>
          <w:iCs/>
          <w:color w:val="000000"/>
          <w:sz w:val="26"/>
          <w:szCs w:val="26"/>
        </w:rPr>
        <w:t xml:space="preserve">so broad as to essentially encompass all of </w:t>
      </w:r>
      <w:r w:rsidR="00006C7F" w:rsidRPr="00573761">
        <w:rPr>
          <w:iCs/>
          <w:color w:val="000000"/>
          <w:sz w:val="26"/>
          <w:szCs w:val="26"/>
        </w:rPr>
        <w:t xml:space="preserve">its </w:t>
      </w:r>
      <w:r w:rsidRPr="00573761">
        <w:rPr>
          <w:iCs/>
          <w:color w:val="000000"/>
          <w:sz w:val="26"/>
          <w:szCs w:val="26"/>
        </w:rPr>
        <w:t>accounts receivable for intrastate services, regardless of whether the revenue is ever actually realized by Crown Castle.</w:t>
      </w:r>
      <w:r w:rsidR="00485B0F" w:rsidRPr="00573761">
        <w:rPr>
          <w:iCs/>
          <w:color w:val="000000"/>
          <w:sz w:val="26"/>
          <w:szCs w:val="26"/>
        </w:rPr>
        <w:t>”</w:t>
      </w:r>
      <w:r w:rsidR="00006C7F" w:rsidRPr="00573761">
        <w:rPr>
          <w:iCs/>
          <w:color w:val="000000"/>
          <w:sz w:val="26"/>
          <w:szCs w:val="26"/>
        </w:rPr>
        <w:t xml:space="preserve">  </w:t>
      </w:r>
      <w:r w:rsidR="00006C7F" w:rsidRPr="00573761">
        <w:rPr>
          <w:i/>
          <w:color w:val="000000"/>
          <w:sz w:val="26"/>
          <w:szCs w:val="26"/>
        </w:rPr>
        <w:t>Id</w:t>
      </w:r>
      <w:r w:rsidR="00006C7F" w:rsidRPr="00573761">
        <w:rPr>
          <w:iCs/>
          <w:color w:val="000000"/>
          <w:sz w:val="26"/>
          <w:szCs w:val="26"/>
        </w:rPr>
        <w:t xml:space="preserve">.  Crown Castle notes that </w:t>
      </w:r>
      <w:r w:rsidRPr="00573761">
        <w:rPr>
          <w:iCs/>
          <w:color w:val="000000"/>
          <w:sz w:val="26"/>
          <w:szCs w:val="26"/>
        </w:rPr>
        <w:t xml:space="preserve">neither the Pennsylvania Administrative Code nor the Public Utility Code define the term revenue in related sections, </w:t>
      </w:r>
      <w:r w:rsidR="00627BB0" w:rsidRPr="00573761">
        <w:rPr>
          <w:iCs/>
          <w:color w:val="000000"/>
          <w:sz w:val="26"/>
          <w:szCs w:val="26"/>
        </w:rPr>
        <w:t xml:space="preserve">and that </w:t>
      </w:r>
      <w:r w:rsidRPr="00573761">
        <w:rPr>
          <w:iCs/>
          <w:color w:val="000000"/>
          <w:sz w:val="26"/>
          <w:szCs w:val="26"/>
        </w:rPr>
        <w:t>Black’s Law Dictionary defines revenue as “income from any and all sources.”</w:t>
      </w:r>
      <w:r w:rsidR="00006C7F" w:rsidRPr="00573761">
        <w:rPr>
          <w:rStyle w:val="FootnoteReference"/>
          <w:iCs/>
          <w:color w:val="000000"/>
          <w:sz w:val="26"/>
          <w:szCs w:val="26"/>
        </w:rPr>
        <w:footnoteReference w:id="27"/>
      </w:r>
      <w:r w:rsidR="00006C7F" w:rsidRPr="00573761">
        <w:rPr>
          <w:iCs/>
          <w:color w:val="000000"/>
          <w:sz w:val="26"/>
          <w:szCs w:val="26"/>
        </w:rPr>
        <w:t xml:space="preserve">  </w:t>
      </w:r>
      <w:r w:rsidR="00DF13C8" w:rsidRPr="00573761">
        <w:rPr>
          <w:i/>
          <w:color w:val="000000"/>
          <w:sz w:val="26"/>
          <w:szCs w:val="26"/>
        </w:rPr>
        <w:t>Id</w:t>
      </w:r>
      <w:r w:rsidR="00DF13C8" w:rsidRPr="00573761">
        <w:rPr>
          <w:iCs/>
          <w:color w:val="000000"/>
          <w:sz w:val="26"/>
          <w:szCs w:val="26"/>
        </w:rPr>
        <w:t>.  Crown Castle states that i</w:t>
      </w:r>
      <w:r w:rsidR="00627BB0" w:rsidRPr="00573761">
        <w:rPr>
          <w:iCs/>
          <w:color w:val="000000"/>
          <w:sz w:val="26"/>
          <w:szCs w:val="26"/>
        </w:rPr>
        <w:t>t</w:t>
      </w:r>
      <w:r w:rsidR="00DF13C8" w:rsidRPr="00573761">
        <w:rPr>
          <w:iCs/>
          <w:color w:val="000000"/>
          <w:sz w:val="26"/>
          <w:szCs w:val="26"/>
        </w:rPr>
        <w:t xml:space="preserve"> also </w:t>
      </w:r>
      <w:r w:rsidRPr="00573761">
        <w:rPr>
          <w:iCs/>
          <w:color w:val="000000"/>
          <w:sz w:val="26"/>
          <w:szCs w:val="26"/>
        </w:rPr>
        <w:t xml:space="preserve">further defines “income” as “money or other form of payment </w:t>
      </w:r>
      <w:r w:rsidRPr="00573761">
        <w:rPr>
          <w:color w:val="000000"/>
          <w:sz w:val="26"/>
          <w:szCs w:val="26"/>
        </w:rPr>
        <w:t>that one receives</w:t>
      </w:r>
      <w:r w:rsidRPr="00573761">
        <w:rPr>
          <w:i/>
          <w:iCs/>
          <w:color w:val="000000"/>
          <w:sz w:val="26"/>
          <w:szCs w:val="26"/>
        </w:rPr>
        <w:t>.</w:t>
      </w:r>
      <w:r w:rsidRPr="00573761">
        <w:rPr>
          <w:iCs/>
          <w:color w:val="000000"/>
          <w:sz w:val="26"/>
          <w:szCs w:val="26"/>
        </w:rPr>
        <w:t>”</w:t>
      </w:r>
      <w:r w:rsidR="00DF13C8" w:rsidRPr="00573761">
        <w:rPr>
          <w:rStyle w:val="FootnoteReference"/>
          <w:iCs/>
          <w:color w:val="000000"/>
          <w:sz w:val="26"/>
          <w:szCs w:val="26"/>
        </w:rPr>
        <w:footnoteReference w:id="28"/>
      </w:r>
      <w:r w:rsidR="00DF13C8" w:rsidRPr="00573761">
        <w:rPr>
          <w:iCs/>
          <w:color w:val="000000"/>
          <w:sz w:val="26"/>
          <w:szCs w:val="26"/>
        </w:rPr>
        <w:t xml:space="preserve">  </w:t>
      </w:r>
      <w:r w:rsidR="00DF13C8" w:rsidRPr="00573761">
        <w:rPr>
          <w:i/>
          <w:color w:val="000000"/>
          <w:sz w:val="26"/>
          <w:szCs w:val="26"/>
        </w:rPr>
        <w:t>Id</w:t>
      </w:r>
      <w:r w:rsidR="00DF13C8" w:rsidRPr="00573761">
        <w:rPr>
          <w:iCs/>
          <w:color w:val="000000"/>
          <w:sz w:val="26"/>
          <w:szCs w:val="26"/>
        </w:rPr>
        <w:t>.  Crown Castle assert</w:t>
      </w:r>
      <w:r w:rsidR="001273FE" w:rsidRPr="00573761">
        <w:rPr>
          <w:iCs/>
          <w:color w:val="000000"/>
          <w:sz w:val="26"/>
          <w:szCs w:val="26"/>
        </w:rPr>
        <w:t>s</w:t>
      </w:r>
      <w:r w:rsidR="00DF13C8" w:rsidRPr="00573761">
        <w:rPr>
          <w:iCs/>
          <w:color w:val="000000"/>
          <w:sz w:val="26"/>
          <w:szCs w:val="26"/>
        </w:rPr>
        <w:t xml:space="preserve"> that, </w:t>
      </w:r>
      <w:r w:rsidRPr="00573761">
        <w:rPr>
          <w:iCs/>
          <w:color w:val="000000"/>
          <w:sz w:val="26"/>
          <w:szCs w:val="26"/>
        </w:rPr>
        <w:t>in the interest of fairness and all other issues aside, the definition of “</w:t>
      </w:r>
      <w:r w:rsidRPr="00573761">
        <w:rPr>
          <w:i/>
          <w:color w:val="000000"/>
          <w:sz w:val="26"/>
          <w:szCs w:val="26"/>
        </w:rPr>
        <w:t>de facto</w:t>
      </w:r>
      <w:r w:rsidRPr="00573761">
        <w:rPr>
          <w:iCs/>
          <w:color w:val="000000"/>
          <w:sz w:val="26"/>
          <w:szCs w:val="26"/>
        </w:rPr>
        <w:t xml:space="preserve"> gross operating revenues” should be revised to only apply to revenues actually received, rather than amounts “charged” or “otherwise due.”</w:t>
      </w:r>
      <w:r w:rsidR="00DF13C8" w:rsidRPr="00573761">
        <w:rPr>
          <w:iCs/>
          <w:color w:val="000000"/>
          <w:sz w:val="26"/>
          <w:szCs w:val="26"/>
        </w:rPr>
        <w:t xml:space="preserve">  </w:t>
      </w:r>
      <w:r w:rsidR="00DF13C8" w:rsidRPr="00573761">
        <w:rPr>
          <w:i/>
          <w:color w:val="000000"/>
          <w:sz w:val="26"/>
          <w:szCs w:val="26"/>
        </w:rPr>
        <w:t>Id</w:t>
      </w:r>
      <w:r w:rsidR="00DF13C8" w:rsidRPr="00573761">
        <w:rPr>
          <w:iCs/>
          <w:color w:val="000000"/>
          <w:sz w:val="26"/>
          <w:szCs w:val="26"/>
        </w:rPr>
        <w:t>.</w:t>
      </w:r>
      <w:r w:rsidR="00A30E38">
        <w:rPr>
          <w:iCs/>
          <w:color w:val="000000"/>
          <w:sz w:val="26"/>
          <w:szCs w:val="26"/>
        </w:rPr>
        <w:t xml:space="preserve">  </w:t>
      </w:r>
    </w:p>
    <w:p w14:paraId="2A002E9F" w14:textId="315BCA84" w:rsidR="00882139" w:rsidRPr="00573761" w:rsidRDefault="00882139" w:rsidP="00700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2974FC87" w14:textId="1E42DD83" w:rsidR="00DF13C8" w:rsidRPr="00573761" w:rsidRDefault="00DF13C8" w:rsidP="00DF1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Next, Crown Castle asserts that the </w:t>
      </w:r>
      <w:r w:rsidRPr="00D15CDE">
        <w:rPr>
          <w:i/>
          <w:color w:val="000000"/>
          <w:sz w:val="26"/>
          <w:szCs w:val="26"/>
        </w:rPr>
        <w:t>Proposed Policy Statement</w:t>
      </w:r>
      <w:r w:rsidRPr="00573761">
        <w:rPr>
          <w:color w:val="000000"/>
          <w:sz w:val="26"/>
          <w:szCs w:val="26"/>
        </w:rPr>
        <w:t xml:space="preserve"> </w:t>
      </w:r>
      <w:r w:rsidR="007F4E67" w:rsidRPr="00573761">
        <w:rPr>
          <w:color w:val="000000"/>
          <w:sz w:val="26"/>
          <w:szCs w:val="26"/>
        </w:rPr>
        <w:t xml:space="preserve">is </w:t>
      </w:r>
      <w:r w:rsidRPr="00573761">
        <w:rPr>
          <w:color w:val="000000"/>
          <w:sz w:val="26"/>
          <w:szCs w:val="26"/>
        </w:rPr>
        <w:t xml:space="preserve">inconsistent with </w:t>
      </w:r>
      <w:r w:rsidR="00AF6AB1" w:rsidRPr="00573761">
        <w:rPr>
          <w:color w:val="000000"/>
          <w:sz w:val="26"/>
          <w:szCs w:val="26"/>
        </w:rPr>
        <w:t>the Code</w:t>
      </w:r>
      <w:r w:rsidR="002A7F23" w:rsidRPr="00573761">
        <w:rPr>
          <w:color w:val="000000"/>
          <w:sz w:val="26"/>
          <w:szCs w:val="26"/>
        </w:rPr>
        <w:t xml:space="preserve"> and </w:t>
      </w:r>
      <w:r w:rsidR="007F4E67" w:rsidRPr="00573761">
        <w:rPr>
          <w:color w:val="000000"/>
          <w:sz w:val="26"/>
          <w:szCs w:val="26"/>
        </w:rPr>
        <w:t>the Commission</w:t>
      </w:r>
      <w:r w:rsidR="002A7F23" w:rsidRPr="00573761">
        <w:rPr>
          <w:color w:val="000000"/>
          <w:sz w:val="26"/>
          <w:szCs w:val="26"/>
        </w:rPr>
        <w:t xml:space="preserve"> lacks the power to modify Section 510 of the Code</w:t>
      </w:r>
      <w:r w:rsidR="002A7F23" w:rsidRPr="00573761">
        <w:rPr>
          <w:i/>
          <w:iCs/>
          <w:color w:val="000000"/>
          <w:sz w:val="26"/>
          <w:szCs w:val="26"/>
        </w:rPr>
        <w:t xml:space="preserve">.  </w:t>
      </w:r>
      <w:r w:rsidRPr="00573761">
        <w:rPr>
          <w:i/>
          <w:iCs/>
          <w:color w:val="000000"/>
          <w:sz w:val="26"/>
          <w:szCs w:val="26"/>
        </w:rPr>
        <w:t>Id</w:t>
      </w:r>
      <w:r w:rsidRPr="00573761">
        <w:rPr>
          <w:color w:val="000000"/>
          <w:sz w:val="26"/>
          <w:szCs w:val="26"/>
        </w:rPr>
        <w:t xml:space="preserve">. at 9.  </w:t>
      </w:r>
      <w:r w:rsidR="00AF6AB1" w:rsidRPr="00573761">
        <w:rPr>
          <w:color w:val="000000"/>
          <w:sz w:val="26"/>
          <w:szCs w:val="26"/>
        </w:rPr>
        <w:t xml:space="preserve">Crown Castle asserts that proposed Section 69.3701 essentially </w:t>
      </w:r>
      <w:r w:rsidR="00AF6AB1" w:rsidRPr="00573761">
        <w:rPr>
          <w:i/>
          <w:iCs/>
          <w:color w:val="000000"/>
          <w:sz w:val="26"/>
          <w:szCs w:val="26"/>
        </w:rPr>
        <w:t xml:space="preserve">sua sponte </w:t>
      </w:r>
      <w:r w:rsidR="00AF6AB1" w:rsidRPr="00573761">
        <w:rPr>
          <w:color w:val="000000"/>
          <w:sz w:val="26"/>
          <w:szCs w:val="26"/>
        </w:rPr>
        <w:t>modifies Section 510 of the Code by creating the new category of “</w:t>
      </w:r>
      <w:r w:rsidR="00AF6AB1" w:rsidRPr="00573761">
        <w:rPr>
          <w:i/>
          <w:iCs/>
          <w:color w:val="000000"/>
          <w:sz w:val="26"/>
          <w:szCs w:val="26"/>
        </w:rPr>
        <w:t>de facto</w:t>
      </w:r>
      <w:r w:rsidR="00AF6AB1" w:rsidRPr="00573761">
        <w:rPr>
          <w:color w:val="000000"/>
          <w:sz w:val="26"/>
          <w:szCs w:val="26"/>
        </w:rPr>
        <w:t xml:space="preserve">” gross operating revenues.  </w:t>
      </w:r>
      <w:r w:rsidR="00AF6AB1" w:rsidRPr="00573761">
        <w:rPr>
          <w:i/>
          <w:iCs/>
          <w:color w:val="000000"/>
          <w:sz w:val="26"/>
          <w:szCs w:val="26"/>
        </w:rPr>
        <w:t>Id</w:t>
      </w:r>
      <w:r w:rsidR="00AF6AB1" w:rsidRPr="00573761">
        <w:rPr>
          <w:color w:val="000000"/>
          <w:sz w:val="26"/>
          <w:szCs w:val="26"/>
        </w:rPr>
        <w:t xml:space="preserve">.  </w:t>
      </w:r>
      <w:r w:rsidR="002A7F23" w:rsidRPr="00573761">
        <w:rPr>
          <w:color w:val="000000"/>
          <w:sz w:val="26"/>
          <w:szCs w:val="26"/>
        </w:rPr>
        <w:t>Crown Castle asserts that adopting proposed Section 69.3701 constitute</w:t>
      </w:r>
      <w:r w:rsidR="004F2C42" w:rsidRPr="00573761">
        <w:rPr>
          <w:color w:val="000000"/>
          <w:sz w:val="26"/>
          <w:szCs w:val="26"/>
        </w:rPr>
        <w:t>s</w:t>
      </w:r>
      <w:r w:rsidR="002A7F23" w:rsidRPr="00573761">
        <w:rPr>
          <w:color w:val="000000"/>
          <w:sz w:val="26"/>
          <w:szCs w:val="26"/>
        </w:rPr>
        <w:t xml:space="preserve"> </w:t>
      </w:r>
      <w:r w:rsidR="002A7F23" w:rsidRPr="00573761">
        <w:rPr>
          <w:color w:val="000000"/>
          <w:sz w:val="26"/>
          <w:szCs w:val="26"/>
        </w:rPr>
        <w:lastRenderedPageBreak/>
        <w:t xml:space="preserve">legislative action and would modify the legislative policy and rules contained in Section 510 of the Code.  </w:t>
      </w:r>
      <w:r w:rsidR="002A7F23" w:rsidRPr="00573761">
        <w:rPr>
          <w:i/>
          <w:iCs/>
          <w:color w:val="000000"/>
          <w:sz w:val="26"/>
          <w:szCs w:val="26"/>
        </w:rPr>
        <w:t xml:space="preserve">Id.  </w:t>
      </w:r>
      <w:r w:rsidR="00985980" w:rsidRPr="00573761">
        <w:rPr>
          <w:color w:val="000000"/>
          <w:sz w:val="26"/>
          <w:szCs w:val="26"/>
        </w:rPr>
        <w:t xml:space="preserve">Accordingly, Crown Castle asserts that by implementing the proposed Section 69.3701, the Commission is </w:t>
      </w:r>
      <w:r w:rsidR="002A7F23" w:rsidRPr="00573761">
        <w:rPr>
          <w:color w:val="000000"/>
          <w:sz w:val="26"/>
          <w:szCs w:val="26"/>
        </w:rPr>
        <w:t xml:space="preserve">acting beyond its statutory authority by </w:t>
      </w:r>
      <w:r w:rsidR="00985980" w:rsidRPr="00573761">
        <w:rPr>
          <w:color w:val="000000"/>
          <w:sz w:val="26"/>
          <w:szCs w:val="26"/>
        </w:rPr>
        <w:t>attempting to unilaterally modify Section 510 of the Code</w:t>
      </w:r>
      <w:r w:rsidR="002A7F23" w:rsidRPr="00573761">
        <w:rPr>
          <w:color w:val="000000"/>
          <w:sz w:val="26"/>
          <w:szCs w:val="26"/>
        </w:rPr>
        <w:t xml:space="preserve">.  </w:t>
      </w:r>
      <w:r w:rsidR="002A7F23" w:rsidRPr="00573761">
        <w:rPr>
          <w:i/>
          <w:iCs/>
          <w:color w:val="000000"/>
          <w:sz w:val="26"/>
          <w:szCs w:val="26"/>
        </w:rPr>
        <w:t>Id.</w:t>
      </w:r>
      <w:r w:rsidR="002A7F23" w:rsidRPr="00573761">
        <w:rPr>
          <w:color w:val="000000"/>
          <w:sz w:val="26"/>
          <w:szCs w:val="26"/>
        </w:rPr>
        <w:t xml:space="preserve"> at 10</w:t>
      </w:r>
      <w:r w:rsidR="00985980" w:rsidRPr="00573761">
        <w:rPr>
          <w:color w:val="000000"/>
          <w:sz w:val="26"/>
          <w:szCs w:val="26"/>
        </w:rPr>
        <w:t xml:space="preserve">.  </w:t>
      </w:r>
    </w:p>
    <w:p w14:paraId="5018AC6D" w14:textId="5D9BBA92" w:rsidR="0043696E" w:rsidRPr="00573761" w:rsidRDefault="0043696E" w:rsidP="00DF1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3A515F3C" w14:textId="6A274DB2" w:rsidR="0043696E" w:rsidRPr="00573761" w:rsidRDefault="0043696E" w:rsidP="00436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Crown Castle states that it is also concerned that the </w:t>
      </w:r>
      <w:r w:rsidRPr="00D15CDE">
        <w:rPr>
          <w:i/>
          <w:color w:val="000000"/>
          <w:sz w:val="26"/>
          <w:szCs w:val="26"/>
        </w:rPr>
        <w:t>Proposed Policy Statement</w:t>
      </w:r>
      <w:r w:rsidRPr="00573761">
        <w:rPr>
          <w:color w:val="000000"/>
          <w:sz w:val="26"/>
          <w:szCs w:val="26"/>
        </w:rPr>
        <w:t xml:space="preserve"> </w:t>
      </w:r>
      <w:r w:rsidR="00B66479" w:rsidRPr="00573761">
        <w:rPr>
          <w:color w:val="000000"/>
          <w:sz w:val="26"/>
          <w:szCs w:val="26"/>
        </w:rPr>
        <w:t>is</w:t>
      </w:r>
      <w:r w:rsidRPr="00573761">
        <w:rPr>
          <w:color w:val="000000"/>
          <w:sz w:val="26"/>
          <w:szCs w:val="26"/>
        </w:rPr>
        <w:t xml:space="preserve"> potentially discriminatory to the extent </w:t>
      </w:r>
      <w:r w:rsidR="00B66479" w:rsidRPr="00573761">
        <w:rPr>
          <w:color w:val="000000"/>
          <w:sz w:val="26"/>
          <w:szCs w:val="26"/>
        </w:rPr>
        <w:t xml:space="preserve">it </w:t>
      </w:r>
      <w:r w:rsidRPr="00573761">
        <w:rPr>
          <w:color w:val="000000"/>
          <w:sz w:val="26"/>
          <w:szCs w:val="26"/>
        </w:rPr>
        <w:t>seek</w:t>
      </w:r>
      <w:r w:rsidR="00B66479" w:rsidRPr="00573761">
        <w:rPr>
          <w:color w:val="000000"/>
          <w:sz w:val="26"/>
          <w:szCs w:val="26"/>
        </w:rPr>
        <w:t>s</w:t>
      </w:r>
      <w:r w:rsidRPr="00573761">
        <w:rPr>
          <w:color w:val="000000"/>
          <w:sz w:val="26"/>
          <w:szCs w:val="26"/>
        </w:rPr>
        <w:t xml:space="preserve"> to impose additional burdens only on certain ill-defined telecommunications entities to the exclusion of others.  </w:t>
      </w:r>
      <w:r w:rsidRPr="00573761">
        <w:rPr>
          <w:i/>
          <w:iCs/>
          <w:color w:val="000000"/>
          <w:sz w:val="26"/>
          <w:szCs w:val="26"/>
        </w:rPr>
        <w:t>Id</w:t>
      </w:r>
      <w:r w:rsidRPr="00573761">
        <w:rPr>
          <w:color w:val="000000"/>
          <w:sz w:val="26"/>
          <w:szCs w:val="26"/>
        </w:rPr>
        <w:t>.  Crown Castle states that proposed Section 69.3701 attempts to modify Section 510 of the Code’s requirements only as to CAPs and “other telecommunication public utilities holding Commission-issued” Certificates of Public Convenience.</w:t>
      </w:r>
      <w:r w:rsidRPr="00573761">
        <w:rPr>
          <w:rStyle w:val="FootnoteReference"/>
          <w:color w:val="000000"/>
          <w:sz w:val="26"/>
          <w:szCs w:val="26"/>
        </w:rPr>
        <w:footnoteReference w:id="29"/>
      </w:r>
      <w:r w:rsidRPr="00573761">
        <w:rPr>
          <w:color w:val="000000"/>
          <w:sz w:val="26"/>
          <w:szCs w:val="26"/>
        </w:rPr>
        <w:t xml:space="preserve"> </w:t>
      </w:r>
      <w:r w:rsidR="00B66479" w:rsidRPr="00573761">
        <w:rPr>
          <w:color w:val="000000"/>
          <w:sz w:val="26"/>
          <w:szCs w:val="26"/>
        </w:rPr>
        <w:t xml:space="preserve"> </w:t>
      </w:r>
      <w:r w:rsidR="00B66479" w:rsidRPr="00573761">
        <w:rPr>
          <w:i/>
          <w:iCs/>
          <w:color w:val="000000"/>
          <w:sz w:val="26"/>
          <w:szCs w:val="26"/>
        </w:rPr>
        <w:t xml:space="preserve">Id. </w:t>
      </w:r>
      <w:r w:rsidRPr="00573761">
        <w:rPr>
          <w:color w:val="000000"/>
          <w:sz w:val="26"/>
          <w:szCs w:val="26"/>
        </w:rPr>
        <w:t xml:space="preserve"> Crown Castle states that neither the </w:t>
      </w:r>
      <w:r w:rsidR="00B66479" w:rsidRPr="00573761">
        <w:rPr>
          <w:color w:val="000000"/>
          <w:sz w:val="26"/>
          <w:szCs w:val="26"/>
        </w:rPr>
        <w:t xml:space="preserve">Order </w:t>
      </w:r>
      <w:r w:rsidRPr="00573761">
        <w:rPr>
          <w:color w:val="000000"/>
          <w:sz w:val="26"/>
          <w:szCs w:val="26"/>
        </w:rPr>
        <w:t>nor proposed Section 69.3701 define the term “other telecommunications public</w:t>
      </w:r>
      <w:r w:rsidR="00ED5E4A" w:rsidRPr="00573761">
        <w:rPr>
          <w:color w:val="000000"/>
          <w:sz w:val="26"/>
          <w:szCs w:val="26"/>
        </w:rPr>
        <w:t xml:space="preserve"> </w:t>
      </w:r>
      <w:r w:rsidRPr="00573761">
        <w:rPr>
          <w:color w:val="000000"/>
          <w:sz w:val="26"/>
          <w:szCs w:val="26"/>
        </w:rPr>
        <w:t>utilities” as used therein.</w:t>
      </w:r>
      <w:r w:rsidR="00ED5E4A" w:rsidRPr="00573761">
        <w:rPr>
          <w:color w:val="000000"/>
          <w:sz w:val="26"/>
          <w:szCs w:val="26"/>
        </w:rPr>
        <w:t xml:space="preserve">  </w:t>
      </w:r>
      <w:r w:rsidR="00ED5E4A" w:rsidRPr="00573761">
        <w:rPr>
          <w:i/>
          <w:iCs/>
          <w:color w:val="000000"/>
          <w:sz w:val="26"/>
          <w:szCs w:val="26"/>
        </w:rPr>
        <w:t>Id</w:t>
      </w:r>
      <w:r w:rsidR="00ED5E4A" w:rsidRPr="00573761">
        <w:rPr>
          <w:color w:val="000000"/>
          <w:sz w:val="26"/>
          <w:szCs w:val="26"/>
        </w:rPr>
        <w:t>.  Crown Castle asserts that i</w:t>
      </w:r>
      <w:r w:rsidRPr="00573761">
        <w:rPr>
          <w:color w:val="000000"/>
          <w:sz w:val="26"/>
          <w:szCs w:val="26"/>
        </w:rPr>
        <w:t>f proposed Section 69.3701 does not include local exchange carriers</w:t>
      </w:r>
      <w:r w:rsidR="00ED5E4A" w:rsidRPr="00573761">
        <w:rPr>
          <w:color w:val="000000"/>
          <w:sz w:val="26"/>
          <w:szCs w:val="26"/>
        </w:rPr>
        <w:t xml:space="preserve"> </w:t>
      </w:r>
      <w:r w:rsidRPr="00573761">
        <w:rPr>
          <w:color w:val="000000"/>
          <w:sz w:val="26"/>
          <w:szCs w:val="26"/>
        </w:rPr>
        <w:t>(LECs)—specifically incumbent local exchange carriers (ILECs)—it is discriminatory</w:t>
      </w:r>
      <w:r w:rsidR="00ED5E4A" w:rsidRPr="00573761">
        <w:rPr>
          <w:color w:val="000000"/>
          <w:sz w:val="26"/>
          <w:szCs w:val="26"/>
        </w:rPr>
        <w:t xml:space="preserve"> </w:t>
      </w:r>
      <w:r w:rsidRPr="00573761">
        <w:rPr>
          <w:color w:val="000000"/>
          <w:sz w:val="26"/>
          <w:szCs w:val="26"/>
        </w:rPr>
        <w:t>because it would allow LECs to report their intrastate revenues as defined by the</w:t>
      </w:r>
      <w:r w:rsidR="00ED5E4A" w:rsidRPr="00573761">
        <w:rPr>
          <w:color w:val="000000"/>
          <w:sz w:val="26"/>
          <w:szCs w:val="26"/>
        </w:rPr>
        <w:t xml:space="preserve"> </w:t>
      </w:r>
      <w:r w:rsidRPr="00573761">
        <w:rPr>
          <w:color w:val="000000"/>
          <w:sz w:val="26"/>
          <w:szCs w:val="26"/>
        </w:rPr>
        <w:t>federal jurisdictional separations process, while avoiding these new reporting requirements.</w:t>
      </w:r>
      <w:r w:rsidR="00ED5E4A" w:rsidRPr="00573761">
        <w:rPr>
          <w:color w:val="000000"/>
          <w:sz w:val="26"/>
          <w:szCs w:val="26"/>
        </w:rPr>
        <w:t xml:space="preserve">  </w:t>
      </w:r>
      <w:r w:rsidR="00ED5E4A" w:rsidRPr="00573761">
        <w:rPr>
          <w:i/>
          <w:iCs/>
          <w:color w:val="000000"/>
          <w:sz w:val="26"/>
          <w:szCs w:val="26"/>
        </w:rPr>
        <w:t>Id</w:t>
      </w:r>
      <w:r w:rsidR="00ED5E4A" w:rsidRPr="00573761">
        <w:rPr>
          <w:color w:val="000000"/>
          <w:sz w:val="26"/>
          <w:szCs w:val="26"/>
        </w:rPr>
        <w:t xml:space="preserve">.  </w:t>
      </w:r>
      <w:r w:rsidR="003C156F" w:rsidRPr="00573761">
        <w:rPr>
          <w:color w:val="000000"/>
          <w:sz w:val="26"/>
          <w:szCs w:val="26"/>
        </w:rPr>
        <w:t>Crown Castle argues that t</w:t>
      </w:r>
      <w:r w:rsidRPr="00573761">
        <w:rPr>
          <w:color w:val="000000"/>
          <w:sz w:val="26"/>
          <w:szCs w:val="26"/>
        </w:rPr>
        <w:t>he</w:t>
      </w:r>
      <w:r w:rsidR="003C156F" w:rsidRPr="00573761">
        <w:rPr>
          <w:color w:val="000000"/>
          <w:sz w:val="26"/>
          <w:szCs w:val="26"/>
        </w:rPr>
        <w:t xml:space="preserve"> </w:t>
      </w:r>
      <w:r w:rsidRPr="00573761">
        <w:rPr>
          <w:color w:val="000000"/>
          <w:sz w:val="26"/>
          <w:szCs w:val="26"/>
        </w:rPr>
        <w:t>Commission cannot allow the LECs to continue defining their intrastate revenues</w:t>
      </w:r>
      <w:r w:rsidR="003C156F" w:rsidRPr="00573761">
        <w:rPr>
          <w:color w:val="000000"/>
          <w:sz w:val="26"/>
          <w:szCs w:val="26"/>
        </w:rPr>
        <w:t xml:space="preserve"> </w:t>
      </w:r>
      <w:r w:rsidRPr="00573761">
        <w:rPr>
          <w:color w:val="000000"/>
          <w:sz w:val="26"/>
          <w:szCs w:val="26"/>
        </w:rPr>
        <w:t xml:space="preserve">under the </w:t>
      </w:r>
      <w:r w:rsidR="00D124C5" w:rsidRPr="00573761">
        <w:rPr>
          <w:color w:val="000000"/>
          <w:sz w:val="26"/>
          <w:szCs w:val="26"/>
        </w:rPr>
        <w:t>widely-accepted</w:t>
      </w:r>
      <w:r w:rsidRPr="00573761">
        <w:rPr>
          <w:color w:val="000000"/>
          <w:sz w:val="26"/>
          <w:szCs w:val="26"/>
        </w:rPr>
        <w:t xml:space="preserve"> ten percent rule while explicitly disallowing CAPs from doing the</w:t>
      </w:r>
      <w:r w:rsidR="003C156F" w:rsidRPr="00573761">
        <w:rPr>
          <w:color w:val="000000"/>
          <w:sz w:val="26"/>
          <w:szCs w:val="26"/>
        </w:rPr>
        <w:t xml:space="preserve"> </w:t>
      </w:r>
      <w:r w:rsidRPr="00573761">
        <w:rPr>
          <w:color w:val="000000"/>
          <w:sz w:val="26"/>
          <w:szCs w:val="26"/>
        </w:rPr>
        <w:t>same.</w:t>
      </w:r>
      <w:r w:rsidR="003C156F" w:rsidRPr="00573761">
        <w:rPr>
          <w:color w:val="000000"/>
          <w:sz w:val="26"/>
          <w:szCs w:val="26"/>
        </w:rPr>
        <w:t xml:space="preserve">  </w:t>
      </w:r>
      <w:r w:rsidR="003C156F" w:rsidRPr="00573761">
        <w:rPr>
          <w:i/>
          <w:iCs/>
          <w:color w:val="000000"/>
          <w:sz w:val="26"/>
          <w:szCs w:val="26"/>
        </w:rPr>
        <w:t>Id</w:t>
      </w:r>
      <w:r w:rsidR="003C156F" w:rsidRPr="00573761">
        <w:rPr>
          <w:color w:val="000000"/>
          <w:sz w:val="26"/>
          <w:szCs w:val="26"/>
        </w:rPr>
        <w:t>.</w:t>
      </w:r>
    </w:p>
    <w:p w14:paraId="3AF22570" w14:textId="77777777" w:rsidR="00775B9D" w:rsidRPr="00573761" w:rsidRDefault="003C156F" w:rsidP="003C1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p>
    <w:p w14:paraId="6AF6108C" w14:textId="67745BB5" w:rsidR="003C156F" w:rsidRPr="00573761" w:rsidRDefault="00775B9D" w:rsidP="003C1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r w:rsidR="003C156F" w:rsidRPr="00573761">
        <w:rPr>
          <w:color w:val="000000"/>
          <w:sz w:val="26"/>
          <w:szCs w:val="26"/>
        </w:rPr>
        <w:t xml:space="preserve">Crown Castle further asserts that the </w:t>
      </w:r>
      <w:r w:rsidR="003C156F" w:rsidRPr="00D15CDE">
        <w:rPr>
          <w:i/>
          <w:color w:val="000000"/>
          <w:sz w:val="26"/>
          <w:szCs w:val="26"/>
        </w:rPr>
        <w:t>Proposed Policy Statement</w:t>
      </w:r>
      <w:r w:rsidR="003C156F" w:rsidRPr="00573761">
        <w:rPr>
          <w:color w:val="000000"/>
          <w:sz w:val="26"/>
          <w:szCs w:val="26"/>
        </w:rPr>
        <w:t xml:space="preserve"> unfairly impact</w:t>
      </w:r>
      <w:r w:rsidR="001C50DE" w:rsidRPr="00573761">
        <w:rPr>
          <w:color w:val="000000"/>
          <w:sz w:val="26"/>
          <w:szCs w:val="26"/>
        </w:rPr>
        <w:t>s</w:t>
      </w:r>
      <w:r w:rsidR="003C156F" w:rsidRPr="00573761">
        <w:rPr>
          <w:color w:val="000000"/>
          <w:sz w:val="26"/>
          <w:szCs w:val="26"/>
        </w:rPr>
        <w:t xml:space="preserve"> deregulated entities like itself in conflict with Section 510(f) of the Code.</w:t>
      </w:r>
      <w:r w:rsidR="003C156F" w:rsidRPr="00573761">
        <w:rPr>
          <w:rStyle w:val="FootnoteReference"/>
          <w:color w:val="000000"/>
          <w:sz w:val="26"/>
          <w:szCs w:val="26"/>
        </w:rPr>
        <w:footnoteReference w:id="30"/>
      </w:r>
      <w:r w:rsidR="003C156F" w:rsidRPr="00573761">
        <w:rPr>
          <w:color w:val="000000"/>
          <w:sz w:val="26"/>
          <w:szCs w:val="26"/>
        </w:rPr>
        <w:t xml:space="preserve">  </w:t>
      </w:r>
      <w:r w:rsidR="003C156F" w:rsidRPr="00573761">
        <w:rPr>
          <w:i/>
          <w:iCs/>
          <w:color w:val="000000"/>
          <w:sz w:val="26"/>
          <w:szCs w:val="26"/>
        </w:rPr>
        <w:t>Id</w:t>
      </w:r>
      <w:r w:rsidR="003C156F" w:rsidRPr="00573761">
        <w:rPr>
          <w:color w:val="000000"/>
          <w:sz w:val="26"/>
          <w:szCs w:val="26"/>
        </w:rPr>
        <w:t xml:space="preserve">. at 11.  </w:t>
      </w:r>
      <w:r w:rsidR="00E437B4" w:rsidRPr="00573761">
        <w:rPr>
          <w:color w:val="000000"/>
          <w:sz w:val="26"/>
          <w:szCs w:val="26"/>
        </w:rPr>
        <w:t>Crown Castle notes that</w:t>
      </w:r>
      <w:r w:rsidR="001C50DE" w:rsidRPr="00573761">
        <w:rPr>
          <w:color w:val="000000"/>
          <w:sz w:val="26"/>
          <w:szCs w:val="26"/>
        </w:rPr>
        <w:t>,</w:t>
      </w:r>
      <w:r w:rsidR="00E437B4" w:rsidRPr="00573761">
        <w:rPr>
          <w:color w:val="000000"/>
          <w:sz w:val="26"/>
          <w:szCs w:val="26"/>
        </w:rPr>
        <w:t xml:space="preserve"> u</w:t>
      </w:r>
      <w:r w:rsidR="003C156F" w:rsidRPr="00573761">
        <w:rPr>
          <w:color w:val="000000"/>
          <w:sz w:val="26"/>
          <w:szCs w:val="26"/>
        </w:rPr>
        <w:t>nlike the ILECs, deregulated CAPs are subject to “alternative forms of regulation” as defined in the Code.</w:t>
      </w:r>
      <w:r w:rsidR="00E437B4" w:rsidRPr="00573761">
        <w:rPr>
          <w:rStyle w:val="FootnoteReference"/>
          <w:color w:val="000000"/>
          <w:sz w:val="26"/>
          <w:szCs w:val="26"/>
        </w:rPr>
        <w:footnoteReference w:id="31"/>
      </w:r>
      <w:r w:rsidR="00847CAA" w:rsidRPr="00573761">
        <w:rPr>
          <w:color w:val="000000"/>
          <w:sz w:val="26"/>
          <w:szCs w:val="26"/>
        </w:rPr>
        <w:t xml:space="preserve">  </w:t>
      </w:r>
      <w:r w:rsidR="001C50DE" w:rsidRPr="00573761">
        <w:rPr>
          <w:i/>
          <w:iCs/>
          <w:color w:val="000000"/>
          <w:sz w:val="26"/>
          <w:szCs w:val="26"/>
        </w:rPr>
        <w:t>Id</w:t>
      </w:r>
      <w:r w:rsidR="001C50DE" w:rsidRPr="00573761">
        <w:rPr>
          <w:color w:val="000000"/>
          <w:sz w:val="26"/>
          <w:szCs w:val="26"/>
        </w:rPr>
        <w:t xml:space="preserve">.  </w:t>
      </w:r>
      <w:r w:rsidR="00847CAA" w:rsidRPr="00573761">
        <w:rPr>
          <w:color w:val="000000"/>
          <w:sz w:val="26"/>
          <w:szCs w:val="26"/>
        </w:rPr>
        <w:t xml:space="preserve">Crown Castle asserts CAPs, as largely </w:t>
      </w:r>
      <w:r w:rsidR="00847CAA" w:rsidRPr="00573761">
        <w:rPr>
          <w:color w:val="000000"/>
          <w:sz w:val="26"/>
          <w:szCs w:val="26"/>
        </w:rPr>
        <w:lastRenderedPageBreak/>
        <w:t xml:space="preserve">deregulated entities, impose little or in some cases no year-over-year regulatory burdens or costs on the Commission, particularly when compared with regulatory oversight required of ILECs.  </w:t>
      </w:r>
      <w:r w:rsidR="001C50DE" w:rsidRPr="00573761">
        <w:rPr>
          <w:i/>
          <w:iCs/>
          <w:color w:val="000000"/>
          <w:sz w:val="26"/>
          <w:szCs w:val="26"/>
        </w:rPr>
        <w:t>Id</w:t>
      </w:r>
      <w:r w:rsidR="001C50DE" w:rsidRPr="00573761">
        <w:rPr>
          <w:color w:val="000000"/>
          <w:sz w:val="26"/>
          <w:szCs w:val="26"/>
        </w:rPr>
        <w:t xml:space="preserve">.  </w:t>
      </w:r>
      <w:r w:rsidR="00847CAA" w:rsidRPr="00573761">
        <w:rPr>
          <w:color w:val="000000"/>
          <w:sz w:val="26"/>
          <w:szCs w:val="26"/>
        </w:rPr>
        <w:t>Crown Castle argues that i</w:t>
      </w:r>
      <w:r w:rsidR="003C156F" w:rsidRPr="00573761">
        <w:rPr>
          <w:color w:val="000000"/>
          <w:sz w:val="26"/>
          <w:szCs w:val="26"/>
        </w:rPr>
        <w:t xml:space="preserve">mposing </w:t>
      </w:r>
      <w:r w:rsidR="00847CAA" w:rsidRPr="00573761">
        <w:rPr>
          <w:color w:val="000000"/>
          <w:sz w:val="26"/>
          <w:szCs w:val="26"/>
        </w:rPr>
        <w:t xml:space="preserve">on deregulated CAPs </w:t>
      </w:r>
      <w:r w:rsidR="003C156F" w:rsidRPr="00573761">
        <w:rPr>
          <w:color w:val="000000"/>
          <w:sz w:val="26"/>
          <w:szCs w:val="26"/>
        </w:rPr>
        <w:t>the same regulatory assessment percentage imposed on highly-regulated ILECs</w:t>
      </w:r>
      <w:r w:rsidR="00847CAA" w:rsidRPr="00573761">
        <w:rPr>
          <w:color w:val="000000"/>
          <w:sz w:val="26"/>
          <w:szCs w:val="26"/>
        </w:rPr>
        <w:t xml:space="preserve">, which </w:t>
      </w:r>
      <w:r w:rsidR="003C156F" w:rsidRPr="00573761">
        <w:rPr>
          <w:color w:val="000000"/>
          <w:sz w:val="26"/>
          <w:szCs w:val="26"/>
        </w:rPr>
        <w:t>by their very nature inflict much higher regulatory costs on the Commission, does not lead to each party paying its reasonable share of the cost of administering this part</w:t>
      </w:r>
      <w:r w:rsidR="00847CAA" w:rsidRPr="00573761">
        <w:rPr>
          <w:color w:val="000000"/>
          <w:sz w:val="26"/>
          <w:szCs w:val="26"/>
        </w:rPr>
        <w:t xml:space="preserve">.  </w:t>
      </w:r>
      <w:r w:rsidR="00847CAA" w:rsidRPr="00573761">
        <w:rPr>
          <w:i/>
          <w:iCs/>
          <w:color w:val="000000"/>
          <w:sz w:val="26"/>
          <w:szCs w:val="26"/>
        </w:rPr>
        <w:t>Id</w:t>
      </w:r>
      <w:r w:rsidR="00847CAA" w:rsidRPr="00573761">
        <w:rPr>
          <w:color w:val="000000"/>
          <w:sz w:val="26"/>
          <w:szCs w:val="26"/>
        </w:rPr>
        <w:t>.  Accordingly, Crown Castle asserts that i</w:t>
      </w:r>
      <w:r w:rsidR="003C156F" w:rsidRPr="00573761">
        <w:rPr>
          <w:color w:val="000000"/>
          <w:sz w:val="26"/>
          <w:szCs w:val="26"/>
        </w:rPr>
        <w:t xml:space="preserve">t would be </w:t>
      </w:r>
      <w:r w:rsidR="00471AF8" w:rsidRPr="00573761">
        <w:rPr>
          <w:color w:val="000000"/>
          <w:sz w:val="26"/>
          <w:szCs w:val="26"/>
        </w:rPr>
        <w:t>“</w:t>
      </w:r>
      <w:r w:rsidR="003C156F" w:rsidRPr="00573761">
        <w:rPr>
          <w:color w:val="000000"/>
          <w:sz w:val="26"/>
          <w:szCs w:val="26"/>
        </w:rPr>
        <w:t>manifestly unjust—and directly contra to Section 510’s explicitly stated intent—to impose this extra burden on telecommunications entities like Crown Castle</w:t>
      </w:r>
      <w:r w:rsidR="00A37184" w:rsidRPr="00573761">
        <w:rPr>
          <w:color w:val="000000"/>
          <w:sz w:val="26"/>
          <w:szCs w:val="26"/>
        </w:rPr>
        <w:t xml:space="preserve"> </w:t>
      </w:r>
      <w:r w:rsidR="003C156F" w:rsidRPr="00573761">
        <w:rPr>
          <w:color w:val="000000"/>
          <w:sz w:val="26"/>
          <w:szCs w:val="26"/>
        </w:rPr>
        <w:t>whose services are largely deregulated.</w:t>
      </w:r>
      <w:r w:rsidR="00471AF8" w:rsidRPr="00573761">
        <w:rPr>
          <w:color w:val="000000"/>
          <w:sz w:val="26"/>
          <w:szCs w:val="26"/>
        </w:rPr>
        <w:t>”</w:t>
      </w:r>
      <w:r w:rsidR="00847CAA" w:rsidRPr="00573761">
        <w:rPr>
          <w:color w:val="000000"/>
          <w:sz w:val="26"/>
          <w:szCs w:val="26"/>
        </w:rPr>
        <w:t xml:space="preserve">  </w:t>
      </w:r>
      <w:r w:rsidR="00847CAA" w:rsidRPr="00573761">
        <w:rPr>
          <w:i/>
          <w:iCs/>
          <w:color w:val="000000"/>
          <w:sz w:val="26"/>
          <w:szCs w:val="26"/>
        </w:rPr>
        <w:t>Id</w:t>
      </w:r>
      <w:r w:rsidR="00847CAA" w:rsidRPr="00573761">
        <w:rPr>
          <w:color w:val="000000"/>
          <w:sz w:val="26"/>
          <w:szCs w:val="26"/>
        </w:rPr>
        <w:t>.</w:t>
      </w:r>
    </w:p>
    <w:p w14:paraId="120BABD8" w14:textId="77777777" w:rsidR="003C156F" w:rsidRPr="00573761" w:rsidRDefault="003C156F" w:rsidP="00700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36DE9975" w14:textId="2A9E74E2" w:rsidR="006F3188" w:rsidRPr="00573761" w:rsidRDefault="006F3188" w:rsidP="00D81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Crown Castle next asserts that the </w:t>
      </w:r>
      <w:r w:rsidRPr="00D15CDE">
        <w:rPr>
          <w:i/>
          <w:color w:val="000000"/>
          <w:sz w:val="26"/>
          <w:szCs w:val="26"/>
        </w:rPr>
        <w:t>Proposed Policy Statement</w:t>
      </w:r>
      <w:r w:rsidRPr="00573761">
        <w:rPr>
          <w:color w:val="000000"/>
          <w:sz w:val="26"/>
          <w:szCs w:val="26"/>
        </w:rPr>
        <w:t xml:space="preserve"> </w:t>
      </w:r>
      <w:r w:rsidR="00A14B74" w:rsidRPr="00573761">
        <w:rPr>
          <w:color w:val="000000"/>
          <w:sz w:val="26"/>
          <w:szCs w:val="26"/>
        </w:rPr>
        <w:t>has</w:t>
      </w:r>
      <w:r w:rsidRPr="00573761">
        <w:rPr>
          <w:color w:val="000000"/>
          <w:sz w:val="26"/>
          <w:szCs w:val="26"/>
        </w:rPr>
        <w:t xml:space="preserve"> the potential to effectively prohibit the provision of service in violation of 47 U.S.C. § 253.  </w:t>
      </w:r>
      <w:r w:rsidRPr="00573761">
        <w:rPr>
          <w:i/>
          <w:iCs/>
          <w:color w:val="000000"/>
          <w:sz w:val="26"/>
          <w:szCs w:val="26"/>
        </w:rPr>
        <w:t>Id</w:t>
      </w:r>
      <w:r w:rsidRPr="00573761">
        <w:rPr>
          <w:color w:val="000000"/>
          <w:sz w:val="26"/>
          <w:szCs w:val="26"/>
        </w:rPr>
        <w:t xml:space="preserve">.  Crown Castle states that the FCC in its </w:t>
      </w:r>
      <w:r w:rsidRPr="00573761">
        <w:rPr>
          <w:i/>
          <w:iCs/>
          <w:color w:val="000000"/>
          <w:sz w:val="26"/>
          <w:szCs w:val="26"/>
        </w:rPr>
        <w:t>Declaratory Ruling</w:t>
      </w:r>
      <w:r w:rsidRPr="00573761">
        <w:rPr>
          <w:rStyle w:val="FootnoteReference"/>
          <w:i/>
          <w:iCs/>
          <w:color w:val="000000"/>
          <w:sz w:val="26"/>
          <w:szCs w:val="26"/>
        </w:rPr>
        <w:footnoteReference w:id="32"/>
      </w:r>
      <w:r w:rsidRPr="00573761">
        <w:rPr>
          <w:color w:val="000000"/>
          <w:sz w:val="26"/>
          <w:szCs w:val="26"/>
        </w:rPr>
        <w:t xml:space="preserve"> sought to clarify “the types of fees that run afoul of Congress’s limits in</w:t>
      </w:r>
      <w:r w:rsidR="00BF2F9D" w:rsidRPr="00573761">
        <w:rPr>
          <w:color w:val="000000"/>
          <w:sz w:val="26"/>
          <w:szCs w:val="26"/>
        </w:rPr>
        <w:t xml:space="preserve"> Section 253” of the Communications Act.</w:t>
      </w:r>
      <w:r w:rsidR="00BF2F9D" w:rsidRPr="00573761">
        <w:rPr>
          <w:rStyle w:val="FootnoteReference"/>
          <w:color w:val="000000"/>
          <w:sz w:val="26"/>
          <w:szCs w:val="26"/>
        </w:rPr>
        <w:footnoteReference w:id="33"/>
      </w:r>
      <w:r w:rsidR="00D81CDF" w:rsidRPr="00573761">
        <w:rPr>
          <w:color w:val="000000"/>
          <w:sz w:val="26"/>
          <w:szCs w:val="26"/>
        </w:rPr>
        <w:t xml:space="preserve">  </w:t>
      </w:r>
      <w:r w:rsidR="00142F39" w:rsidRPr="00573761">
        <w:rPr>
          <w:i/>
          <w:iCs/>
          <w:color w:val="000000"/>
          <w:sz w:val="26"/>
          <w:szCs w:val="26"/>
        </w:rPr>
        <w:t>Id</w:t>
      </w:r>
      <w:r w:rsidR="00142F39" w:rsidRPr="00573761">
        <w:rPr>
          <w:color w:val="000000"/>
          <w:sz w:val="26"/>
          <w:szCs w:val="26"/>
        </w:rPr>
        <w:t xml:space="preserve">. at </w:t>
      </w:r>
      <w:r w:rsidR="00A14B74" w:rsidRPr="00573761">
        <w:rPr>
          <w:color w:val="000000"/>
          <w:sz w:val="26"/>
          <w:szCs w:val="26"/>
        </w:rPr>
        <w:t>11</w:t>
      </w:r>
      <w:r w:rsidR="002417E5" w:rsidRPr="00573761">
        <w:rPr>
          <w:color w:val="000000"/>
          <w:sz w:val="26"/>
          <w:szCs w:val="26"/>
        </w:rPr>
        <w:t>–</w:t>
      </w:r>
      <w:r w:rsidR="00142F39" w:rsidRPr="00573761">
        <w:rPr>
          <w:color w:val="000000"/>
          <w:sz w:val="26"/>
          <w:szCs w:val="26"/>
        </w:rPr>
        <w:t xml:space="preserve">12.  </w:t>
      </w:r>
      <w:r w:rsidR="00D81CDF" w:rsidRPr="00573761">
        <w:rPr>
          <w:color w:val="000000"/>
          <w:sz w:val="26"/>
          <w:szCs w:val="26"/>
        </w:rPr>
        <w:t xml:space="preserve">Crown Castle states that the FCC specifically stated that “fees are only permitted </w:t>
      </w:r>
      <w:r w:rsidR="00D81CDF" w:rsidRPr="00573761">
        <w:rPr>
          <w:i/>
          <w:iCs/>
          <w:color w:val="000000"/>
          <w:sz w:val="26"/>
          <w:szCs w:val="26"/>
        </w:rPr>
        <w:t>to the extent that they represent a reasonable approximation of the local government’s objectively reasonable costs</w:t>
      </w:r>
      <w:r w:rsidR="00D81CDF" w:rsidRPr="00573761">
        <w:rPr>
          <w:color w:val="000000"/>
          <w:sz w:val="26"/>
          <w:szCs w:val="26"/>
        </w:rPr>
        <w:t xml:space="preserve"> and are non-discriminatory.”</w:t>
      </w:r>
      <w:r w:rsidR="00D81CDF" w:rsidRPr="00573761">
        <w:rPr>
          <w:rStyle w:val="FootnoteReference"/>
          <w:color w:val="000000"/>
          <w:sz w:val="26"/>
          <w:szCs w:val="26"/>
        </w:rPr>
        <w:footnoteReference w:id="34"/>
      </w:r>
      <w:r w:rsidR="00D81CDF" w:rsidRPr="00573761">
        <w:rPr>
          <w:color w:val="000000"/>
          <w:sz w:val="26"/>
          <w:szCs w:val="26"/>
        </w:rPr>
        <w:t xml:space="preserve">  </w:t>
      </w:r>
      <w:r w:rsidR="00142F39" w:rsidRPr="00573761">
        <w:rPr>
          <w:i/>
          <w:iCs/>
          <w:color w:val="000000"/>
          <w:sz w:val="26"/>
          <w:szCs w:val="26"/>
        </w:rPr>
        <w:t>Id</w:t>
      </w:r>
      <w:r w:rsidR="00142F39" w:rsidRPr="00573761">
        <w:rPr>
          <w:color w:val="000000"/>
          <w:sz w:val="26"/>
          <w:szCs w:val="26"/>
        </w:rPr>
        <w:t xml:space="preserve">.  </w:t>
      </w:r>
      <w:r w:rsidR="00D81CDF" w:rsidRPr="00573761">
        <w:rPr>
          <w:color w:val="000000"/>
          <w:sz w:val="26"/>
          <w:szCs w:val="26"/>
        </w:rPr>
        <w:t xml:space="preserve">Crown Castle further states that in the </w:t>
      </w:r>
      <w:r w:rsidR="00D81CDF" w:rsidRPr="00573761">
        <w:rPr>
          <w:i/>
          <w:iCs/>
          <w:color w:val="000000"/>
          <w:sz w:val="26"/>
          <w:szCs w:val="26"/>
        </w:rPr>
        <w:t>Declaratory Ruling</w:t>
      </w:r>
      <w:r w:rsidR="003C7920" w:rsidRPr="00573761">
        <w:rPr>
          <w:i/>
          <w:iCs/>
          <w:color w:val="000000"/>
          <w:sz w:val="26"/>
          <w:szCs w:val="26"/>
        </w:rPr>
        <w:t>,</w:t>
      </w:r>
      <w:r w:rsidR="00D81CDF" w:rsidRPr="00573761">
        <w:rPr>
          <w:i/>
          <w:iCs/>
          <w:color w:val="000000"/>
          <w:sz w:val="26"/>
          <w:szCs w:val="26"/>
        </w:rPr>
        <w:t xml:space="preserve"> </w:t>
      </w:r>
      <w:r w:rsidR="00D81CDF" w:rsidRPr="00573761">
        <w:rPr>
          <w:color w:val="000000"/>
          <w:sz w:val="26"/>
          <w:szCs w:val="26"/>
        </w:rPr>
        <w:t xml:space="preserve">the FCC </w:t>
      </w:r>
      <w:r w:rsidR="00430C6A" w:rsidRPr="00573761">
        <w:rPr>
          <w:color w:val="000000"/>
          <w:sz w:val="26"/>
          <w:szCs w:val="26"/>
        </w:rPr>
        <w:t>noted</w:t>
      </w:r>
      <w:r w:rsidR="00D81CDF" w:rsidRPr="00573761">
        <w:rPr>
          <w:color w:val="000000"/>
          <w:sz w:val="26"/>
          <w:szCs w:val="26"/>
        </w:rPr>
        <w:t xml:space="preserve"> that while Section 253(c) only expressly governed fees for use of rights-of-way, the same analysis applies to all fees that affect the deployment of small cell technology because they all “drain limited capital resources that otherwise could be used for deployment.”</w:t>
      </w:r>
      <w:r w:rsidR="003C7920" w:rsidRPr="00573761">
        <w:rPr>
          <w:rStyle w:val="FootnoteReference"/>
          <w:color w:val="000000"/>
          <w:sz w:val="26"/>
          <w:szCs w:val="26"/>
        </w:rPr>
        <w:footnoteReference w:id="35"/>
      </w:r>
      <w:r w:rsidR="00142F39" w:rsidRPr="00573761">
        <w:rPr>
          <w:color w:val="000000"/>
          <w:sz w:val="26"/>
          <w:szCs w:val="26"/>
        </w:rPr>
        <w:t xml:space="preserve">  </w:t>
      </w:r>
      <w:r w:rsidR="00142F39" w:rsidRPr="00573761">
        <w:rPr>
          <w:i/>
          <w:iCs/>
          <w:color w:val="000000"/>
          <w:sz w:val="26"/>
          <w:szCs w:val="26"/>
        </w:rPr>
        <w:t>Id</w:t>
      </w:r>
      <w:r w:rsidR="00142F39" w:rsidRPr="00573761">
        <w:rPr>
          <w:color w:val="000000"/>
          <w:sz w:val="26"/>
          <w:szCs w:val="26"/>
        </w:rPr>
        <w:t>.</w:t>
      </w:r>
    </w:p>
    <w:p w14:paraId="0BDAAC17" w14:textId="64509A30" w:rsidR="006F3188" w:rsidRPr="00573761" w:rsidRDefault="006F3188" w:rsidP="00700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033819C1" w14:textId="2CFF70B5" w:rsidR="00142F39" w:rsidRPr="00573761" w:rsidRDefault="00142F39" w:rsidP="007B7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lastRenderedPageBreak/>
        <w:tab/>
        <w:t xml:space="preserve">Crown Castle argues </w:t>
      </w:r>
      <w:r w:rsidR="000958AC" w:rsidRPr="00573761">
        <w:rPr>
          <w:color w:val="000000"/>
          <w:sz w:val="26"/>
          <w:szCs w:val="26"/>
        </w:rPr>
        <w:t xml:space="preserve">that </w:t>
      </w:r>
      <w:r w:rsidRPr="00573761">
        <w:rPr>
          <w:color w:val="000000"/>
          <w:sz w:val="26"/>
          <w:szCs w:val="26"/>
        </w:rPr>
        <w:t xml:space="preserve">while the FCC was speaking in the context </w:t>
      </w:r>
      <w:r w:rsidR="00430C6A" w:rsidRPr="00573761">
        <w:rPr>
          <w:color w:val="000000"/>
          <w:sz w:val="26"/>
          <w:szCs w:val="26"/>
        </w:rPr>
        <w:t xml:space="preserve">of </w:t>
      </w:r>
      <w:r w:rsidR="007B70BB" w:rsidRPr="00573761">
        <w:rPr>
          <w:color w:val="000000"/>
          <w:sz w:val="26"/>
          <w:szCs w:val="26"/>
        </w:rPr>
        <w:t>Section 253 and its impact on the ability of states and localities to only</w:t>
      </w:r>
      <w:r w:rsidR="007B70BB" w:rsidRPr="00573761">
        <w:rPr>
          <w:i/>
          <w:iCs/>
          <w:color w:val="000000"/>
          <w:sz w:val="26"/>
          <w:szCs w:val="26"/>
        </w:rPr>
        <w:t xml:space="preserve"> </w:t>
      </w:r>
      <w:r w:rsidR="007B70BB" w:rsidRPr="00573761">
        <w:rPr>
          <w:color w:val="000000"/>
          <w:sz w:val="26"/>
          <w:szCs w:val="26"/>
        </w:rPr>
        <w:t xml:space="preserve">recoup costs of entry from </w:t>
      </w:r>
      <w:r w:rsidRPr="00573761">
        <w:rPr>
          <w:color w:val="000000"/>
          <w:sz w:val="26"/>
          <w:szCs w:val="26"/>
        </w:rPr>
        <w:t xml:space="preserve">permissible government fees specific to “deployment,” the </w:t>
      </w:r>
      <w:r w:rsidRPr="00573761">
        <w:rPr>
          <w:i/>
          <w:iCs/>
          <w:color w:val="000000"/>
          <w:sz w:val="26"/>
          <w:szCs w:val="26"/>
        </w:rPr>
        <w:t xml:space="preserve">Declaratory Ruling </w:t>
      </w:r>
      <w:r w:rsidRPr="00573761">
        <w:rPr>
          <w:color w:val="000000"/>
          <w:sz w:val="26"/>
          <w:szCs w:val="26"/>
        </w:rPr>
        <w:t xml:space="preserve">endorses the same policy outlined in Section 510(f) </w:t>
      </w:r>
      <w:r w:rsidR="00430C6A" w:rsidRPr="00573761">
        <w:rPr>
          <w:color w:val="000000"/>
          <w:sz w:val="26"/>
          <w:szCs w:val="26"/>
        </w:rPr>
        <w:t xml:space="preserve">of the Code </w:t>
      </w:r>
      <w:r w:rsidRPr="00573761">
        <w:rPr>
          <w:color w:val="000000"/>
          <w:sz w:val="26"/>
          <w:szCs w:val="26"/>
        </w:rPr>
        <w:t xml:space="preserve">that the government’s fees must reflect the costs caused by the particular entity subject to the fee.  </w:t>
      </w:r>
      <w:r w:rsidRPr="00573761">
        <w:rPr>
          <w:i/>
          <w:iCs/>
          <w:color w:val="000000"/>
          <w:sz w:val="26"/>
          <w:szCs w:val="26"/>
        </w:rPr>
        <w:t>Id</w:t>
      </w:r>
      <w:r w:rsidRPr="00573761">
        <w:rPr>
          <w:color w:val="000000"/>
          <w:sz w:val="26"/>
          <w:szCs w:val="26"/>
        </w:rPr>
        <w:t xml:space="preserve">. at 13.  </w:t>
      </w:r>
    </w:p>
    <w:p w14:paraId="29C08DA0" w14:textId="77777777" w:rsidR="002776F9" w:rsidRPr="00573761" w:rsidRDefault="002776F9" w:rsidP="007B7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65386525" w14:textId="40E3DFC3" w:rsidR="007B70BB" w:rsidRPr="00573761" w:rsidRDefault="007B70BB" w:rsidP="007B7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Lastly, Crown Castle asserts that the </w:t>
      </w:r>
      <w:r w:rsidRPr="00D15CDE">
        <w:rPr>
          <w:i/>
          <w:color w:val="000000"/>
          <w:sz w:val="26"/>
          <w:szCs w:val="26"/>
        </w:rPr>
        <w:t>Proposed Policy Statement</w:t>
      </w:r>
      <w:r w:rsidRPr="00573761">
        <w:rPr>
          <w:color w:val="000000"/>
          <w:sz w:val="26"/>
          <w:szCs w:val="26"/>
        </w:rPr>
        <w:t xml:space="preserve"> disregards the importance of jurisdictional separations principles and misreads and takes too narrow a view </w:t>
      </w:r>
      <w:r w:rsidR="00A07477" w:rsidRPr="00573761">
        <w:rPr>
          <w:color w:val="000000"/>
          <w:sz w:val="26"/>
          <w:szCs w:val="26"/>
        </w:rPr>
        <w:t xml:space="preserve">of </w:t>
      </w:r>
      <w:r w:rsidRPr="00573761">
        <w:rPr>
          <w:color w:val="000000"/>
          <w:sz w:val="26"/>
          <w:szCs w:val="26"/>
        </w:rPr>
        <w:t xml:space="preserve">the federal cases, </w:t>
      </w:r>
      <w:r w:rsidRPr="00573761">
        <w:rPr>
          <w:i/>
          <w:iCs/>
          <w:color w:val="000000"/>
          <w:sz w:val="26"/>
          <w:szCs w:val="26"/>
        </w:rPr>
        <w:t>Illinois Bell</w:t>
      </w:r>
      <w:r w:rsidRPr="00573761">
        <w:rPr>
          <w:rStyle w:val="FootnoteReference"/>
          <w:iCs/>
          <w:color w:val="000000"/>
          <w:sz w:val="26"/>
          <w:szCs w:val="26"/>
        </w:rPr>
        <w:footnoteReference w:id="36"/>
      </w:r>
      <w:r w:rsidR="00F80D6B" w:rsidRPr="00573761">
        <w:rPr>
          <w:i/>
          <w:iCs/>
          <w:color w:val="000000"/>
          <w:sz w:val="26"/>
          <w:szCs w:val="26"/>
        </w:rPr>
        <w:t xml:space="preserve"> </w:t>
      </w:r>
      <w:r w:rsidRPr="00573761">
        <w:rPr>
          <w:color w:val="000000"/>
          <w:sz w:val="26"/>
          <w:szCs w:val="26"/>
        </w:rPr>
        <w:t>and</w:t>
      </w:r>
      <w:r w:rsidRPr="00573761">
        <w:rPr>
          <w:i/>
          <w:iCs/>
          <w:color w:val="000000"/>
          <w:sz w:val="26"/>
          <w:szCs w:val="26"/>
        </w:rPr>
        <w:t xml:space="preserve"> Scott</w:t>
      </w:r>
      <w:r w:rsidRPr="00573761">
        <w:rPr>
          <w:color w:val="000000"/>
          <w:sz w:val="26"/>
          <w:szCs w:val="26"/>
        </w:rPr>
        <w:t xml:space="preserve">.  </w:t>
      </w:r>
      <w:r w:rsidRPr="00573761">
        <w:rPr>
          <w:i/>
          <w:iCs/>
          <w:color w:val="000000"/>
          <w:sz w:val="26"/>
          <w:szCs w:val="26"/>
        </w:rPr>
        <w:t>Id</w:t>
      </w:r>
      <w:r w:rsidRPr="00573761">
        <w:rPr>
          <w:color w:val="000000"/>
          <w:sz w:val="26"/>
          <w:szCs w:val="26"/>
        </w:rPr>
        <w:t xml:space="preserve">. at 14.  </w:t>
      </w:r>
      <w:bookmarkStart w:id="5" w:name="_Hlk13497069"/>
      <w:r w:rsidRPr="00573761">
        <w:rPr>
          <w:color w:val="000000"/>
          <w:sz w:val="26"/>
          <w:szCs w:val="26"/>
        </w:rPr>
        <w:t>Crown Castle argues that the Commission</w:t>
      </w:r>
      <w:r w:rsidR="000958AC" w:rsidRPr="00573761">
        <w:rPr>
          <w:color w:val="000000"/>
          <w:sz w:val="26"/>
          <w:szCs w:val="26"/>
        </w:rPr>
        <w:t>’s</w:t>
      </w:r>
      <w:r w:rsidRPr="00573761">
        <w:rPr>
          <w:color w:val="000000"/>
          <w:sz w:val="26"/>
          <w:szCs w:val="26"/>
        </w:rPr>
        <w:t xml:space="preserve"> reliance on </w:t>
      </w:r>
      <w:r w:rsidRPr="00573761">
        <w:rPr>
          <w:i/>
          <w:iCs/>
          <w:color w:val="000000"/>
          <w:sz w:val="26"/>
          <w:szCs w:val="26"/>
        </w:rPr>
        <w:t>Illinois Bell</w:t>
      </w:r>
      <w:r w:rsidRPr="00573761">
        <w:rPr>
          <w:color w:val="000000"/>
          <w:sz w:val="26"/>
          <w:szCs w:val="26"/>
        </w:rPr>
        <w:t xml:space="preserve"> and </w:t>
      </w:r>
      <w:r w:rsidRPr="00573761">
        <w:rPr>
          <w:i/>
          <w:iCs/>
          <w:color w:val="000000"/>
          <w:sz w:val="26"/>
          <w:szCs w:val="26"/>
        </w:rPr>
        <w:t>Scott</w:t>
      </w:r>
      <w:r w:rsidRPr="00573761">
        <w:rPr>
          <w:color w:val="000000"/>
          <w:sz w:val="26"/>
          <w:szCs w:val="26"/>
        </w:rPr>
        <w:t xml:space="preserve"> is misplaced as each of those cases involved regulation of services, whereas the present issue involves the appropriate treatment of revenues, an action that falls squarely within the rubric that the jurisdictional separations doctrine is designed to address.  </w:t>
      </w:r>
      <w:r w:rsidRPr="00573761">
        <w:rPr>
          <w:i/>
          <w:iCs/>
          <w:color w:val="000000"/>
          <w:sz w:val="26"/>
          <w:szCs w:val="26"/>
        </w:rPr>
        <w:t>Id.</w:t>
      </w:r>
      <w:bookmarkEnd w:id="5"/>
    </w:p>
    <w:p w14:paraId="2E7BBE66" w14:textId="5AC96355" w:rsidR="007B70BB" w:rsidRPr="00573761" w:rsidRDefault="007B70BB" w:rsidP="007B7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7AF493EF" w14:textId="61A07C0E" w:rsidR="00DB5353" w:rsidRPr="00573761" w:rsidRDefault="00144E6C" w:rsidP="00243E68">
      <w:pPr>
        <w:pStyle w:val="ListParagraph"/>
        <w:numPr>
          <w:ilvl w:val="0"/>
          <w:numId w:val="2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rFonts w:ascii="Times New Roman" w:hAnsi="Times New Roman"/>
          <w:b/>
          <w:bCs/>
          <w:color w:val="000000"/>
          <w:sz w:val="26"/>
          <w:szCs w:val="26"/>
        </w:rPr>
      </w:pPr>
      <w:r w:rsidRPr="00573761">
        <w:rPr>
          <w:rFonts w:ascii="Times New Roman" w:hAnsi="Times New Roman"/>
          <w:b/>
          <w:bCs/>
          <w:color w:val="000000"/>
          <w:sz w:val="26"/>
          <w:szCs w:val="26"/>
        </w:rPr>
        <w:t>Office of Consumer Advocate</w:t>
      </w:r>
    </w:p>
    <w:p w14:paraId="24675019" w14:textId="77777777" w:rsidR="00144E6C" w:rsidRPr="00573761" w:rsidRDefault="00144E6C" w:rsidP="00144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color w:val="000000"/>
          <w:sz w:val="26"/>
          <w:szCs w:val="26"/>
        </w:rPr>
      </w:pPr>
      <w:r w:rsidRPr="00573761">
        <w:rPr>
          <w:color w:val="000000"/>
          <w:sz w:val="26"/>
          <w:szCs w:val="26"/>
        </w:rPr>
        <w:t xml:space="preserve">In its Comments, the OCA states that it supports the general premise of the </w:t>
      </w:r>
    </w:p>
    <w:p w14:paraId="10072A1B" w14:textId="543A37E8" w:rsidR="002776F9" w:rsidRPr="00573761" w:rsidRDefault="00144E6C" w:rsidP="00144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color w:val="000000"/>
          <w:sz w:val="26"/>
          <w:szCs w:val="26"/>
        </w:rPr>
        <w:t>Commission</w:t>
      </w:r>
      <w:r w:rsidR="000958AC" w:rsidRPr="00573761">
        <w:rPr>
          <w:color w:val="000000"/>
          <w:sz w:val="26"/>
          <w:szCs w:val="26"/>
        </w:rPr>
        <w:t>’</w:t>
      </w:r>
      <w:r w:rsidRPr="00573761">
        <w:rPr>
          <w:color w:val="000000"/>
          <w:sz w:val="26"/>
          <w:szCs w:val="26"/>
        </w:rPr>
        <w:t xml:space="preserve">s </w:t>
      </w:r>
      <w:r w:rsidRPr="00D15CDE">
        <w:rPr>
          <w:i/>
          <w:color w:val="000000"/>
          <w:sz w:val="26"/>
          <w:szCs w:val="26"/>
        </w:rPr>
        <w:t>Proposed Policy Statement</w:t>
      </w:r>
      <w:r w:rsidRPr="00573761">
        <w:rPr>
          <w:color w:val="000000"/>
          <w:sz w:val="26"/>
          <w:szCs w:val="26"/>
        </w:rPr>
        <w:t xml:space="preserve">.  OCA Comments at 2.  </w:t>
      </w:r>
      <w:r w:rsidRPr="00573761">
        <w:rPr>
          <w:bCs/>
          <w:color w:val="000000"/>
          <w:sz w:val="26"/>
          <w:szCs w:val="26"/>
        </w:rPr>
        <w:t>The OCA agrees that the Commission</w:t>
      </w:r>
      <w:r w:rsidR="000958AC" w:rsidRPr="00573761">
        <w:rPr>
          <w:bCs/>
          <w:color w:val="000000"/>
          <w:sz w:val="26"/>
          <w:szCs w:val="26"/>
        </w:rPr>
        <w:t>’</w:t>
      </w:r>
      <w:r w:rsidRPr="00573761">
        <w:rPr>
          <w:bCs/>
          <w:color w:val="000000"/>
          <w:sz w:val="26"/>
          <w:szCs w:val="26"/>
        </w:rPr>
        <w:t xml:space="preserve">s authority to assess intrastate operating revenues for Section 510 assessment purposes has not been preempted by federal law.  </w:t>
      </w:r>
      <w:r w:rsidR="00472327" w:rsidRPr="00573761">
        <w:rPr>
          <w:bCs/>
          <w:i/>
          <w:iCs/>
          <w:color w:val="000000"/>
          <w:sz w:val="26"/>
          <w:szCs w:val="26"/>
        </w:rPr>
        <w:t>Id.</w:t>
      </w:r>
      <w:r w:rsidRPr="00573761">
        <w:rPr>
          <w:bCs/>
          <w:color w:val="000000"/>
          <w:sz w:val="26"/>
          <w:szCs w:val="26"/>
        </w:rPr>
        <w:t xml:space="preserve"> at 4.  Section 510 of</w:t>
      </w:r>
      <w:r w:rsidR="000958AC" w:rsidRPr="00573761">
        <w:rPr>
          <w:bCs/>
          <w:color w:val="000000"/>
          <w:sz w:val="26"/>
          <w:szCs w:val="26"/>
        </w:rPr>
        <w:t xml:space="preserve"> the</w:t>
      </w:r>
      <w:r w:rsidRPr="00573761">
        <w:rPr>
          <w:bCs/>
          <w:color w:val="000000"/>
          <w:sz w:val="26"/>
          <w:szCs w:val="26"/>
        </w:rPr>
        <w:t xml:space="preserve"> Code provides the legal framework for the Commission to assess the gross intrastate operating revenues of public utilities under the Commission</w:t>
      </w:r>
      <w:r w:rsidR="000958AC" w:rsidRPr="00573761">
        <w:rPr>
          <w:bCs/>
          <w:color w:val="000000"/>
          <w:sz w:val="26"/>
          <w:szCs w:val="26"/>
        </w:rPr>
        <w:t>’</w:t>
      </w:r>
      <w:r w:rsidRPr="00573761">
        <w:rPr>
          <w:bCs/>
          <w:color w:val="000000"/>
          <w:sz w:val="26"/>
          <w:szCs w:val="26"/>
        </w:rPr>
        <w:t>s jurisdiction to provide funds for the Commission</w:t>
      </w:r>
      <w:r w:rsidR="000958AC" w:rsidRPr="00573761">
        <w:rPr>
          <w:bCs/>
          <w:color w:val="000000"/>
          <w:sz w:val="26"/>
          <w:szCs w:val="26"/>
        </w:rPr>
        <w:t>’</w:t>
      </w:r>
      <w:r w:rsidRPr="00573761">
        <w:rPr>
          <w:bCs/>
          <w:color w:val="000000"/>
          <w:sz w:val="26"/>
          <w:szCs w:val="26"/>
        </w:rPr>
        <w:t>s annual operating budget.</w:t>
      </w:r>
      <w:r w:rsidRPr="00573761">
        <w:rPr>
          <w:rStyle w:val="FootnoteReference"/>
          <w:bCs/>
          <w:color w:val="000000"/>
          <w:sz w:val="26"/>
          <w:szCs w:val="26"/>
        </w:rPr>
        <w:footnoteReference w:id="37"/>
      </w:r>
      <w:r w:rsidRPr="00573761">
        <w:rPr>
          <w:bCs/>
          <w:color w:val="000000"/>
          <w:sz w:val="26"/>
          <w:szCs w:val="26"/>
        </w:rPr>
        <w:t xml:space="preserve">  </w:t>
      </w:r>
      <w:r w:rsidR="00472327" w:rsidRPr="00573761">
        <w:rPr>
          <w:bCs/>
          <w:i/>
          <w:iCs/>
          <w:color w:val="000000"/>
          <w:sz w:val="26"/>
          <w:szCs w:val="26"/>
        </w:rPr>
        <w:t>Id.</w:t>
      </w:r>
      <w:r w:rsidR="00472327" w:rsidRPr="00573761">
        <w:rPr>
          <w:bCs/>
          <w:color w:val="000000"/>
          <w:sz w:val="26"/>
          <w:szCs w:val="26"/>
        </w:rPr>
        <w:t xml:space="preserve"> at 1.</w:t>
      </w:r>
    </w:p>
    <w:p w14:paraId="2F74AA6E" w14:textId="77777777" w:rsidR="000958AC" w:rsidRPr="00573761" w:rsidRDefault="000958AC" w:rsidP="00144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73294CA7" w14:textId="1DEDD98A" w:rsidR="00144E6C" w:rsidRPr="00573761" w:rsidRDefault="002776F9" w:rsidP="00144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144E6C" w:rsidRPr="00573761">
        <w:rPr>
          <w:bCs/>
          <w:color w:val="000000"/>
          <w:sz w:val="26"/>
          <w:szCs w:val="26"/>
        </w:rPr>
        <w:t xml:space="preserve">The OCA cited to </w:t>
      </w:r>
      <w:r w:rsidR="00144E6C" w:rsidRPr="00573761">
        <w:rPr>
          <w:bCs/>
          <w:i/>
          <w:iCs/>
          <w:color w:val="000000"/>
          <w:sz w:val="26"/>
          <w:szCs w:val="26"/>
        </w:rPr>
        <w:t>Regency</w:t>
      </w:r>
      <w:r w:rsidR="00CF22E8" w:rsidRPr="00573761">
        <w:rPr>
          <w:rStyle w:val="FootnoteReference"/>
          <w:bCs/>
          <w:iCs/>
          <w:color w:val="000000"/>
          <w:sz w:val="26"/>
          <w:szCs w:val="26"/>
        </w:rPr>
        <w:footnoteReference w:id="38"/>
      </w:r>
      <w:r w:rsidR="00144E6C" w:rsidRPr="00573761">
        <w:rPr>
          <w:bCs/>
          <w:color w:val="000000"/>
          <w:sz w:val="26"/>
          <w:szCs w:val="26"/>
        </w:rPr>
        <w:t xml:space="preserve"> for the proposition that Congress does know how to preempt explicitly or constrain the Commission</w:t>
      </w:r>
      <w:r w:rsidR="000958AC" w:rsidRPr="00573761">
        <w:rPr>
          <w:bCs/>
          <w:color w:val="000000"/>
          <w:sz w:val="26"/>
          <w:szCs w:val="26"/>
        </w:rPr>
        <w:t>’</w:t>
      </w:r>
      <w:r w:rsidR="00144E6C" w:rsidRPr="00573761">
        <w:rPr>
          <w:bCs/>
          <w:color w:val="000000"/>
          <w:sz w:val="26"/>
          <w:szCs w:val="26"/>
        </w:rPr>
        <w:t xml:space="preserve">s authority to assess the operating revenues of public utilities which provide both interstate and intrastate services.  OCA </w:t>
      </w:r>
      <w:r w:rsidR="00144E6C" w:rsidRPr="00573761">
        <w:rPr>
          <w:bCs/>
          <w:color w:val="000000"/>
          <w:sz w:val="26"/>
          <w:szCs w:val="26"/>
        </w:rPr>
        <w:lastRenderedPageBreak/>
        <w:t xml:space="preserve">Comments at 5.  </w:t>
      </w:r>
      <w:r w:rsidR="00E70202" w:rsidRPr="00573761">
        <w:rPr>
          <w:bCs/>
          <w:color w:val="000000"/>
          <w:sz w:val="26"/>
          <w:szCs w:val="26"/>
        </w:rPr>
        <w:t xml:space="preserve">In </w:t>
      </w:r>
      <w:r w:rsidR="00CF22E8" w:rsidRPr="00573761">
        <w:rPr>
          <w:bCs/>
          <w:i/>
          <w:iCs/>
          <w:color w:val="000000"/>
          <w:sz w:val="26"/>
          <w:szCs w:val="26"/>
        </w:rPr>
        <w:t>Regency</w:t>
      </w:r>
      <w:r w:rsidR="00E70202" w:rsidRPr="00573761">
        <w:rPr>
          <w:bCs/>
          <w:color w:val="000000"/>
          <w:sz w:val="26"/>
          <w:szCs w:val="26"/>
        </w:rPr>
        <w:t xml:space="preserve">, the Court was asked to consider whether the </w:t>
      </w:r>
      <w:r w:rsidR="00144E6C" w:rsidRPr="00573761">
        <w:rPr>
          <w:bCs/>
          <w:color w:val="000000"/>
          <w:sz w:val="26"/>
          <w:szCs w:val="26"/>
        </w:rPr>
        <w:t>Commission</w:t>
      </w:r>
      <w:r w:rsidR="000958AC" w:rsidRPr="00573761">
        <w:rPr>
          <w:bCs/>
          <w:color w:val="000000"/>
          <w:sz w:val="26"/>
          <w:szCs w:val="26"/>
        </w:rPr>
        <w:t>’</w:t>
      </w:r>
      <w:r w:rsidR="00144E6C" w:rsidRPr="00573761">
        <w:rPr>
          <w:bCs/>
          <w:color w:val="000000"/>
          <w:sz w:val="26"/>
          <w:szCs w:val="26"/>
        </w:rPr>
        <w:t>s assessment of a public transportation carrier that claimed its operations were interstate and not subject to Section 510 assessment.</w:t>
      </w:r>
      <w:r w:rsidR="00E70202" w:rsidRPr="00573761">
        <w:rPr>
          <w:bCs/>
          <w:color w:val="000000"/>
          <w:sz w:val="26"/>
          <w:szCs w:val="26"/>
        </w:rPr>
        <w:t xml:space="preserve">  </w:t>
      </w:r>
      <w:r w:rsidR="00FB2F0E" w:rsidRPr="00573761">
        <w:rPr>
          <w:bCs/>
          <w:i/>
          <w:iCs/>
          <w:color w:val="000000"/>
          <w:sz w:val="26"/>
          <w:szCs w:val="26"/>
        </w:rPr>
        <w:t>Id.</w:t>
      </w:r>
      <w:r w:rsidR="00FB2F0E" w:rsidRPr="00573761">
        <w:rPr>
          <w:bCs/>
          <w:color w:val="000000"/>
          <w:sz w:val="26"/>
          <w:szCs w:val="26"/>
        </w:rPr>
        <w:t xml:space="preserve">  </w:t>
      </w:r>
      <w:r w:rsidR="00E70202" w:rsidRPr="00573761">
        <w:rPr>
          <w:bCs/>
          <w:color w:val="000000"/>
          <w:sz w:val="26"/>
          <w:szCs w:val="26"/>
        </w:rPr>
        <w:t>It was noted that t</w:t>
      </w:r>
      <w:r w:rsidR="00144E6C" w:rsidRPr="00573761">
        <w:rPr>
          <w:bCs/>
          <w:color w:val="000000"/>
          <w:sz w:val="26"/>
          <w:szCs w:val="26"/>
        </w:rPr>
        <w:t>he federal Unified Carrier Registration Act</w:t>
      </w:r>
      <w:r w:rsidR="00E70202" w:rsidRPr="00573761">
        <w:rPr>
          <w:bCs/>
          <w:color w:val="000000"/>
          <w:sz w:val="26"/>
          <w:szCs w:val="26"/>
        </w:rPr>
        <w:t xml:space="preserve">, 49 U.S.C. § 14504a(a)(3), (c), </w:t>
      </w:r>
      <w:r w:rsidR="00144E6C" w:rsidRPr="00573761">
        <w:rPr>
          <w:bCs/>
          <w:color w:val="000000"/>
          <w:sz w:val="26"/>
          <w:szCs w:val="26"/>
        </w:rPr>
        <w:t>prohibit</w:t>
      </w:r>
      <w:r w:rsidR="00E70202" w:rsidRPr="00573761">
        <w:rPr>
          <w:bCs/>
          <w:color w:val="000000"/>
          <w:sz w:val="26"/>
          <w:szCs w:val="26"/>
        </w:rPr>
        <w:t>ed</w:t>
      </w:r>
      <w:r w:rsidR="00144E6C" w:rsidRPr="00573761">
        <w:rPr>
          <w:bCs/>
          <w:color w:val="000000"/>
          <w:sz w:val="26"/>
          <w:szCs w:val="26"/>
        </w:rPr>
        <w:t xml:space="preserve"> state imposition of fees, including assessments, on certain interstate motor carriers as an undue burden on interstate commerce.</w:t>
      </w:r>
      <w:r w:rsidR="00E70202" w:rsidRPr="00573761">
        <w:rPr>
          <w:bCs/>
          <w:color w:val="000000"/>
          <w:sz w:val="26"/>
          <w:szCs w:val="26"/>
        </w:rPr>
        <w:t xml:space="preserve">  </w:t>
      </w:r>
      <w:r w:rsidR="005F2105" w:rsidRPr="00573761">
        <w:rPr>
          <w:bCs/>
          <w:i/>
          <w:iCs/>
          <w:color w:val="000000"/>
          <w:sz w:val="26"/>
          <w:szCs w:val="26"/>
        </w:rPr>
        <w:t>Id.</w:t>
      </w:r>
      <w:r w:rsidR="005F2105" w:rsidRPr="00573761">
        <w:rPr>
          <w:bCs/>
          <w:color w:val="000000"/>
          <w:sz w:val="26"/>
          <w:szCs w:val="26"/>
        </w:rPr>
        <w:t xml:space="preserve">  </w:t>
      </w:r>
      <w:r w:rsidR="00E70202" w:rsidRPr="00573761">
        <w:rPr>
          <w:bCs/>
          <w:color w:val="000000"/>
          <w:sz w:val="26"/>
          <w:szCs w:val="26"/>
        </w:rPr>
        <w:t>However, the Court acknowledged that a</w:t>
      </w:r>
      <w:r w:rsidR="00144E6C" w:rsidRPr="00573761">
        <w:rPr>
          <w:bCs/>
          <w:color w:val="000000"/>
          <w:sz w:val="26"/>
          <w:szCs w:val="26"/>
        </w:rPr>
        <w:t xml:space="preserve"> 2008 amendment </w:t>
      </w:r>
      <w:r w:rsidR="00E70202" w:rsidRPr="00573761">
        <w:rPr>
          <w:bCs/>
          <w:color w:val="000000"/>
          <w:sz w:val="26"/>
          <w:szCs w:val="26"/>
        </w:rPr>
        <w:t xml:space="preserve">to the statute </w:t>
      </w:r>
      <w:r w:rsidR="00144E6C" w:rsidRPr="00573761">
        <w:rPr>
          <w:bCs/>
          <w:color w:val="000000"/>
          <w:sz w:val="26"/>
          <w:szCs w:val="26"/>
        </w:rPr>
        <w:t>permitted states to assess the intrastate operations of interstate carriers, equivalent to assessment of purely intrastate carriers.</w:t>
      </w:r>
      <w:r w:rsidR="000958AC" w:rsidRPr="00573761">
        <w:rPr>
          <w:rStyle w:val="FootnoteReference"/>
          <w:bCs/>
          <w:color w:val="000000"/>
          <w:sz w:val="26"/>
          <w:szCs w:val="26"/>
        </w:rPr>
        <w:footnoteReference w:id="39"/>
      </w:r>
      <w:r w:rsidR="00144E6C" w:rsidRPr="00573761">
        <w:rPr>
          <w:bCs/>
          <w:color w:val="000000"/>
          <w:sz w:val="26"/>
          <w:szCs w:val="26"/>
        </w:rPr>
        <w:t xml:space="preserve"> </w:t>
      </w:r>
      <w:r w:rsidR="00243E68" w:rsidRPr="00573761">
        <w:rPr>
          <w:bCs/>
          <w:color w:val="000000"/>
          <w:sz w:val="26"/>
          <w:szCs w:val="26"/>
        </w:rPr>
        <w:t xml:space="preserve"> </w:t>
      </w:r>
      <w:r w:rsidR="00144E6C" w:rsidRPr="00573761">
        <w:rPr>
          <w:bCs/>
          <w:i/>
          <w:iCs/>
          <w:color w:val="000000"/>
          <w:sz w:val="26"/>
          <w:szCs w:val="26"/>
        </w:rPr>
        <w:t>Id</w:t>
      </w:r>
      <w:r w:rsidR="00144E6C" w:rsidRPr="00573761">
        <w:rPr>
          <w:bCs/>
          <w:color w:val="000000"/>
          <w:sz w:val="26"/>
          <w:szCs w:val="26"/>
        </w:rPr>
        <w:t xml:space="preserve">. </w:t>
      </w:r>
      <w:r w:rsidR="00E70202" w:rsidRPr="00573761">
        <w:rPr>
          <w:bCs/>
          <w:color w:val="000000"/>
          <w:sz w:val="26"/>
          <w:szCs w:val="26"/>
        </w:rPr>
        <w:t xml:space="preserve"> Consequently, t</w:t>
      </w:r>
      <w:r w:rsidR="00144E6C" w:rsidRPr="00573761">
        <w:rPr>
          <w:bCs/>
          <w:color w:val="000000"/>
          <w:sz w:val="26"/>
          <w:szCs w:val="26"/>
        </w:rPr>
        <w:t>he OCA agrees with the Commission that the FCC</w:t>
      </w:r>
      <w:r w:rsidR="000958AC" w:rsidRPr="00573761">
        <w:rPr>
          <w:bCs/>
          <w:color w:val="000000"/>
          <w:sz w:val="26"/>
          <w:szCs w:val="26"/>
        </w:rPr>
        <w:t>’</w:t>
      </w:r>
      <w:r w:rsidR="00144E6C" w:rsidRPr="00573761">
        <w:rPr>
          <w:bCs/>
          <w:color w:val="000000"/>
          <w:sz w:val="26"/>
          <w:szCs w:val="26"/>
        </w:rPr>
        <w:t>s jurisdictional separations rules do not preempt the Commission or limit the Commission</w:t>
      </w:r>
      <w:r w:rsidR="000958AC" w:rsidRPr="00573761">
        <w:rPr>
          <w:bCs/>
          <w:color w:val="000000"/>
          <w:sz w:val="26"/>
          <w:szCs w:val="26"/>
        </w:rPr>
        <w:t>’</w:t>
      </w:r>
      <w:r w:rsidR="00144E6C" w:rsidRPr="00573761">
        <w:rPr>
          <w:bCs/>
          <w:color w:val="000000"/>
          <w:sz w:val="26"/>
          <w:szCs w:val="26"/>
        </w:rPr>
        <w:t xml:space="preserve">s assessment of gross operating intrastate revenues to those revenues which remain after application of the </w:t>
      </w:r>
      <w:r w:rsidR="004F1536" w:rsidRPr="00573761">
        <w:rPr>
          <w:bCs/>
          <w:color w:val="000000"/>
          <w:sz w:val="26"/>
          <w:szCs w:val="26"/>
        </w:rPr>
        <w:t>“</w:t>
      </w:r>
      <w:r w:rsidR="00144E6C" w:rsidRPr="00573761">
        <w:rPr>
          <w:bCs/>
          <w:color w:val="000000"/>
          <w:sz w:val="26"/>
          <w:szCs w:val="26"/>
        </w:rPr>
        <w:t>10 percent contamination rule.</w:t>
      </w:r>
      <w:r w:rsidR="004F1536" w:rsidRPr="00573761">
        <w:rPr>
          <w:bCs/>
          <w:color w:val="000000"/>
          <w:sz w:val="26"/>
          <w:szCs w:val="26"/>
        </w:rPr>
        <w:t xml:space="preserve">” </w:t>
      </w:r>
      <w:r w:rsidR="00E70202" w:rsidRPr="00573761">
        <w:rPr>
          <w:bCs/>
          <w:color w:val="000000"/>
          <w:sz w:val="26"/>
          <w:szCs w:val="26"/>
        </w:rPr>
        <w:t xml:space="preserve"> </w:t>
      </w:r>
      <w:r w:rsidR="005F2105" w:rsidRPr="00573761">
        <w:rPr>
          <w:bCs/>
          <w:i/>
          <w:iCs/>
          <w:color w:val="000000"/>
          <w:sz w:val="26"/>
          <w:szCs w:val="26"/>
        </w:rPr>
        <w:t>Id</w:t>
      </w:r>
      <w:r w:rsidR="005F2105" w:rsidRPr="00573761">
        <w:rPr>
          <w:bCs/>
          <w:color w:val="000000"/>
          <w:sz w:val="26"/>
          <w:szCs w:val="26"/>
        </w:rPr>
        <w:t>.</w:t>
      </w:r>
    </w:p>
    <w:p w14:paraId="69A62FFE" w14:textId="77777777" w:rsidR="00560755" w:rsidRPr="00573761" w:rsidRDefault="00560755" w:rsidP="0034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112801D6" w14:textId="63AAA479" w:rsidR="003431D1" w:rsidRPr="00573761" w:rsidRDefault="003B0F75" w:rsidP="0034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890BF9" w:rsidRPr="00573761">
        <w:rPr>
          <w:bCs/>
          <w:color w:val="000000"/>
          <w:sz w:val="26"/>
          <w:szCs w:val="26"/>
        </w:rPr>
        <w:t>T</w:t>
      </w:r>
      <w:r w:rsidRPr="00573761">
        <w:rPr>
          <w:bCs/>
          <w:color w:val="000000"/>
          <w:sz w:val="26"/>
          <w:szCs w:val="26"/>
        </w:rPr>
        <w:t xml:space="preserve">he OCA also proposes some slight modifications to </w:t>
      </w:r>
      <w:r w:rsidR="003431D1" w:rsidRPr="00573761">
        <w:rPr>
          <w:bCs/>
          <w:color w:val="000000"/>
          <w:sz w:val="26"/>
          <w:szCs w:val="26"/>
        </w:rPr>
        <w:t xml:space="preserve">the phrasing and content </w:t>
      </w:r>
      <w:r w:rsidR="00A4171D" w:rsidRPr="00573761">
        <w:rPr>
          <w:bCs/>
          <w:color w:val="000000"/>
          <w:sz w:val="26"/>
          <w:szCs w:val="26"/>
        </w:rPr>
        <w:t xml:space="preserve">of </w:t>
      </w:r>
      <w:r w:rsidRPr="00573761">
        <w:rPr>
          <w:bCs/>
          <w:color w:val="000000"/>
          <w:sz w:val="26"/>
          <w:szCs w:val="26"/>
        </w:rPr>
        <w:t>proposed Section 69.3701</w:t>
      </w:r>
      <w:r w:rsidR="00870C03" w:rsidRPr="00573761">
        <w:rPr>
          <w:bCs/>
          <w:color w:val="000000"/>
          <w:sz w:val="26"/>
          <w:szCs w:val="26"/>
        </w:rPr>
        <w:t>.</w:t>
      </w:r>
      <w:r w:rsidRPr="00573761">
        <w:rPr>
          <w:bCs/>
          <w:color w:val="000000"/>
          <w:sz w:val="26"/>
          <w:szCs w:val="26"/>
        </w:rPr>
        <w:t xml:space="preserve">  </w:t>
      </w:r>
      <w:r w:rsidR="003431D1" w:rsidRPr="00573761">
        <w:rPr>
          <w:bCs/>
          <w:color w:val="000000"/>
          <w:sz w:val="26"/>
          <w:szCs w:val="26"/>
        </w:rPr>
        <w:t>First, the OCA states that a declaration of the Commission</w:t>
      </w:r>
      <w:r w:rsidR="000958AC" w:rsidRPr="00573761">
        <w:rPr>
          <w:bCs/>
          <w:color w:val="000000"/>
          <w:sz w:val="26"/>
          <w:szCs w:val="26"/>
        </w:rPr>
        <w:t>’</w:t>
      </w:r>
      <w:r w:rsidR="003431D1" w:rsidRPr="00573761">
        <w:rPr>
          <w:bCs/>
          <w:color w:val="000000"/>
          <w:sz w:val="26"/>
          <w:szCs w:val="26"/>
        </w:rPr>
        <w:t>s intent to provide guidance, so that going forward each certificated telecommunications public utilit</w:t>
      </w:r>
      <w:r w:rsidR="000958AC" w:rsidRPr="00573761">
        <w:rPr>
          <w:bCs/>
          <w:color w:val="000000"/>
          <w:sz w:val="26"/>
          <w:szCs w:val="26"/>
        </w:rPr>
        <w:t>y</w:t>
      </w:r>
      <w:r w:rsidR="003431D1" w:rsidRPr="00573761">
        <w:rPr>
          <w:bCs/>
          <w:color w:val="000000"/>
          <w:sz w:val="26"/>
          <w:szCs w:val="26"/>
        </w:rPr>
        <w:t xml:space="preserve"> will know to report for assessment purposes its </w:t>
      </w:r>
      <w:r w:rsidR="003431D1" w:rsidRPr="00573761">
        <w:rPr>
          <w:bCs/>
          <w:i/>
          <w:color w:val="000000"/>
          <w:sz w:val="26"/>
          <w:szCs w:val="26"/>
        </w:rPr>
        <w:t xml:space="preserve">de facto </w:t>
      </w:r>
      <w:r w:rsidR="003431D1" w:rsidRPr="00573761">
        <w:rPr>
          <w:bCs/>
          <w:color w:val="000000"/>
          <w:sz w:val="26"/>
          <w:szCs w:val="26"/>
        </w:rPr>
        <w:t>gross intrastate operating revenues</w:t>
      </w:r>
      <w:r w:rsidR="00C6203D" w:rsidRPr="00573761">
        <w:rPr>
          <w:bCs/>
          <w:color w:val="000000"/>
          <w:sz w:val="26"/>
          <w:szCs w:val="26"/>
        </w:rPr>
        <w:t>,</w:t>
      </w:r>
      <w:r w:rsidR="003431D1" w:rsidRPr="00573761">
        <w:rPr>
          <w:bCs/>
          <w:color w:val="000000"/>
          <w:sz w:val="26"/>
          <w:szCs w:val="26"/>
        </w:rPr>
        <w:t xml:space="preserve"> is</w:t>
      </w:r>
      <w:r w:rsidR="00870C03" w:rsidRPr="00573761">
        <w:rPr>
          <w:bCs/>
          <w:color w:val="000000"/>
          <w:sz w:val="26"/>
          <w:szCs w:val="26"/>
        </w:rPr>
        <w:t xml:space="preserve"> </w:t>
      </w:r>
      <w:r w:rsidR="003431D1" w:rsidRPr="00573761">
        <w:rPr>
          <w:bCs/>
          <w:color w:val="000000"/>
          <w:sz w:val="26"/>
          <w:szCs w:val="26"/>
        </w:rPr>
        <w:t xml:space="preserve">absent from the proposed Section 69.3701.  </w:t>
      </w:r>
      <w:r w:rsidR="00870C03" w:rsidRPr="00573761">
        <w:rPr>
          <w:bCs/>
          <w:i/>
          <w:iCs/>
          <w:color w:val="000000"/>
          <w:sz w:val="26"/>
          <w:szCs w:val="26"/>
        </w:rPr>
        <w:t>Id</w:t>
      </w:r>
      <w:r w:rsidR="00870C03" w:rsidRPr="00573761">
        <w:rPr>
          <w:bCs/>
          <w:color w:val="000000"/>
          <w:sz w:val="26"/>
          <w:szCs w:val="26"/>
        </w:rPr>
        <w:t xml:space="preserve">.  </w:t>
      </w:r>
      <w:r w:rsidR="003431D1" w:rsidRPr="00573761">
        <w:rPr>
          <w:bCs/>
          <w:color w:val="000000"/>
          <w:sz w:val="26"/>
          <w:szCs w:val="26"/>
        </w:rPr>
        <w:t xml:space="preserve">The OCA notes that the </w:t>
      </w:r>
      <w:r w:rsidR="00870C03" w:rsidRPr="00573761">
        <w:rPr>
          <w:bCs/>
          <w:color w:val="000000"/>
          <w:sz w:val="26"/>
          <w:szCs w:val="26"/>
        </w:rPr>
        <w:t xml:space="preserve">Order </w:t>
      </w:r>
      <w:r w:rsidR="003431D1" w:rsidRPr="00573761">
        <w:rPr>
          <w:bCs/>
          <w:color w:val="000000"/>
          <w:sz w:val="26"/>
          <w:szCs w:val="26"/>
        </w:rPr>
        <w:t>explains th</w:t>
      </w:r>
      <w:r w:rsidR="00F27C1B" w:rsidRPr="00573761">
        <w:rPr>
          <w:bCs/>
          <w:color w:val="000000"/>
          <w:sz w:val="26"/>
          <w:szCs w:val="26"/>
        </w:rPr>
        <w:t xml:space="preserve">at the proposed </w:t>
      </w:r>
      <w:r w:rsidR="00870C03" w:rsidRPr="00573761">
        <w:rPr>
          <w:bCs/>
          <w:color w:val="000000"/>
          <w:sz w:val="26"/>
          <w:szCs w:val="26"/>
        </w:rPr>
        <w:t xml:space="preserve">Section </w:t>
      </w:r>
      <w:r w:rsidR="00F27C1B" w:rsidRPr="00573761">
        <w:rPr>
          <w:bCs/>
          <w:color w:val="000000"/>
          <w:sz w:val="26"/>
          <w:szCs w:val="26"/>
        </w:rPr>
        <w:t>69.3701 i</w:t>
      </w:r>
      <w:r w:rsidR="003431D1" w:rsidRPr="00573761">
        <w:rPr>
          <w:bCs/>
          <w:color w:val="000000"/>
          <w:sz w:val="26"/>
          <w:szCs w:val="26"/>
        </w:rPr>
        <w:t xml:space="preserve">s designed </w:t>
      </w:r>
      <w:r w:rsidR="004F1536" w:rsidRPr="00573761">
        <w:rPr>
          <w:bCs/>
          <w:color w:val="000000"/>
          <w:sz w:val="26"/>
          <w:szCs w:val="26"/>
        </w:rPr>
        <w:t>“</w:t>
      </w:r>
      <w:r w:rsidR="003431D1" w:rsidRPr="00573761">
        <w:rPr>
          <w:bCs/>
          <w:color w:val="000000"/>
          <w:sz w:val="26"/>
          <w:szCs w:val="26"/>
        </w:rPr>
        <w:t>to assist these carriers in complying with their statutory</w:t>
      </w:r>
      <w:r w:rsidR="003431D1" w:rsidRPr="00573761">
        <w:rPr>
          <w:color w:val="000000"/>
          <w:szCs w:val="22"/>
        </w:rPr>
        <w:t xml:space="preserve"> </w:t>
      </w:r>
      <w:r w:rsidR="003431D1" w:rsidRPr="00573761">
        <w:rPr>
          <w:bCs/>
          <w:color w:val="000000"/>
          <w:sz w:val="26"/>
          <w:szCs w:val="26"/>
        </w:rPr>
        <w:t>obligations to file their Section 510 revenues report and to pay a reasonable share of the Commission</w:t>
      </w:r>
      <w:r w:rsidR="006F7847" w:rsidRPr="00573761">
        <w:rPr>
          <w:bCs/>
          <w:color w:val="000000"/>
          <w:sz w:val="26"/>
          <w:szCs w:val="26"/>
        </w:rPr>
        <w:t>’</w:t>
      </w:r>
      <w:r w:rsidR="003431D1" w:rsidRPr="00573761">
        <w:rPr>
          <w:bCs/>
          <w:color w:val="000000"/>
          <w:sz w:val="26"/>
          <w:szCs w:val="26"/>
        </w:rPr>
        <w:t>s costs of administering the Public Utility Code.</w:t>
      </w:r>
      <w:r w:rsidR="004F1536" w:rsidRPr="00573761">
        <w:rPr>
          <w:bCs/>
          <w:color w:val="000000"/>
          <w:sz w:val="26"/>
          <w:szCs w:val="26"/>
        </w:rPr>
        <w:t>”</w:t>
      </w:r>
      <w:r w:rsidR="00F27C1B" w:rsidRPr="00573761">
        <w:rPr>
          <w:rStyle w:val="FootnoteReference"/>
          <w:bCs/>
          <w:color w:val="000000"/>
          <w:sz w:val="26"/>
          <w:szCs w:val="26"/>
        </w:rPr>
        <w:footnoteReference w:id="40"/>
      </w:r>
      <w:r w:rsidR="00F27C1B" w:rsidRPr="00573761">
        <w:rPr>
          <w:bCs/>
          <w:color w:val="000000"/>
          <w:sz w:val="26"/>
          <w:szCs w:val="26"/>
        </w:rPr>
        <w:t xml:space="preserve">  OCA Comments at 5</w:t>
      </w:r>
      <w:r w:rsidR="002417E5" w:rsidRPr="00573761">
        <w:rPr>
          <w:color w:val="000000"/>
          <w:sz w:val="26"/>
          <w:szCs w:val="26"/>
        </w:rPr>
        <w:t>–</w:t>
      </w:r>
      <w:r w:rsidR="00F27C1B" w:rsidRPr="00573761">
        <w:rPr>
          <w:bCs/>
          <w:color w:val="000000"/>
          <w:sz w:val="26"/>
          <w:szCs w:val="26"/>
        </w:rPr>
        <w:t xml:space="preserve">6.  </w:t>
      </w:r>
      <w:r w:rsidR="003431D1" w:rsidRPr="00573761">
        <w:rPr>
          <w:bCs/>
          <w:color w:val="000000"/>
          <w:sz w:val="26"/>
          <w:szCs w:val="26"/>
        </w:rPr>
        <w:t xml:space="preserve"> </w:t>
      </w:r>
    </w:p>
    <w:p w14:paraId="2A71B511" w14:textId="77777777" w:rsidR="00F27C1B" w:rsidRPr="00573761" w:rsidRDefault="00F27C1B" w:rsidP="0034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614C1E0A" w14:textId="502E1D1F" w:rsidR="003431D1" w:rsidRPr="00573761" w:rsidRDefault="00F27C1B" w:rsidP="0034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Next, t</w:t>
      </w:r>
      <w:r w:rsidR="003431D1" w:rsidRPr="00573761">
        <w:rPr>
          <w:bCs/>
          <w:color w:val="000000"/>
          <w:sz w:val="26"/>
          <w:szCs w:val="26"/>
        </w:rPr>
        <w:t xml:space="preserve">he </w:t>
      </w:r>
      <w:r w:rsidRPr="00573761">
        <w:rPr>
          <w:bCs/>
          <w:color w:val="000000"/>
          <w:sz w:val="26"/>
          <w:szCs w:val="26"/>
        </w:rPr>
        <w:t xml:space="preserve">OCA states that the proposed Section 69.3701 </w:t>
      </w:r>
      <w:r w:rsidR="003431D1" w:rsidRPr="00573761">
        <w:rPr>
          <w:bCs/>
          <w:color w:val="000000"/>
          <w:sz w:val="26"/>
          <w:szCs w:val="26"/>
        </w:rPr>
        <w:t xml:space="preserve">refers twice to Distributed Antenna Systems </w:t>
      </w:r>
      <w:r w:rsidRPr="00573761">
        <w:rPr>
          <w:bCs/>
          <w:color w:val="000000"/>
          <w:sz w:val="26"/>
          <w:szCs w:val="26"/>
        </w:rPr>
        <w:t xml:space="preserve">(DAS) </w:t>
      </w:r>
      <w:r w:rsidR="003431D1" w:rsidRPr="00573761">
        <w:rPr>
          <w:bCs/>
          <w:color w:val="000000"/>
          <w:sz w:val="26"/>
          <w:szCs w:val="26"/>
        </w:rPr>
        <w:t>operators.</w:t>
      </w:r>
      <w:r w:rsidRPr="00573761">
        <w:rPr>
          <w:rStyle w:val="FootnoteReference"/>
          <w:bCs/>
          <w:color w:val="000000"/>
          <w:sz w:val="26"/>
          <w:szCs w:val="26"/>
        </w:rPr>
        <w:footnoteReference w:id="41"/>
      </w:r>
      <w:r w:rsidRPr="00573761">
        <w:rPr>
          <w:bCs/>
          <w:color w:val="000000"/>
          <w:sz w:val="26"/>
          <w:szCs w:val="26"/>
        </w:rPr>
        <w:t xml:space="preserve">  </w:t>
      </w:r>
      <w:r w:rsidR="00870C03" w:rsidRPr="00573761">
        <w:rPr>
          <w:bCs/>
          <w:i/>
          <w:iCs/>
          <w:color w:val="000000"/>
          <w:sz w:val="26"/>
          <w:szCs w:val="26"/>
        </w:rPr>
        <w:t>Id.</w:t>
      </w:r>
      <w:r w:rsidR="00870C03" w:rsidRPr="00573761">
        <w:rPr>
          <w:bCs/>
          <w:color w:val="000000"/>
          <w:sz w:val="26"/>
          <w:szCs w:val="26"/>
        </w:rPr>
        <w:t xml:space="preserve"> at 6.  </w:t>
      </w:r>
      <w:r w:rsidR="003431D1" w:rsidRPr="00573761">
        <w:rPr>
          <w:bCs/>
          <w:color w:val="000000"/>
          <w:sz w:val="26"/>
          <w:szCs w:val="26"/>
        </w:rPr>
        <w:t xml:space="preserve">The OCA recommends that the Commission consider whether these references are necessary and will be informative in </w:t>
      </w:r>
      <w:r w:rsidR="003431D1" w:rsidRPr="00573761">
        <w:rPr>
          <w:bCs/>
          <w:color w:val="000000"/>
          <w:sz w:val="26"/>
          <w:szCs w:val="26"/>
        </w:rPr>
        <w:lastRenderedPageBreak/>
        <w:t>many years to come</w:t>
      </w:r>
      <w:r w:rsidRPr="00573761">
        <w:rPr>
          <w:bCs/>
          <w:color w:val="000000"/>
          <w:sz w:val="26"/>
          <w:szCs w:val="26"/>
        </w:rPr>
        <w:t xml:space="preserve"> as t</w:t>
      </w:r>
      <w:r w:rsidR="003431D1" w:rsidRPr="00573761">
        <w:rPr>
          <w:bCs/>
          <w:color w:val="000000"/>
          <w:sz w:val="26"/>
          <w:szCs w:val="26"/>
        </w:rPr>
        <w:t>oday</w:t>
      </w:r>
      <w:r w:rsidR="006F7847" w:rsidRPr="00573761">
        <w:rPr>
          <w:bCs/>
          <w:color w:val="000000"/>
          <w:sz w:val="26"/>
          <w:szCs w:val="26"/>
        </w:rPr>
        <w:t>’</w:t>
      </w:r>
      <w:r w:rsidR="003431D1" w:rsidRPr="00573761">
        <w:rPr>
          <w:bCs/>
          <w:color w:val="000000"/>
          <w:sz w:val="26"/>
          <w:szCs w:val="26"/>
        </w:rPr>
        <w:t xml:space="preserve">s </w:t>
      </w:r>
      <w:r w:rsidR="004F1536" w:rsidRPr="00573761">
        <w:rPr>
          <w:bCs/>
          <w:color w:val="000000"/>
          <w:sz w:val="26"/>
          <w:szCs w:val="26"/>
        </w:rPr>
        <w:t>“</w:t>
      </w:r>
      <w:r w:rsidR="003431D1" w:rsidRPr="00573761">
        <w:rPr>
          <w:bCs/>
          <w:color w:val="000000"/>
          <w:sz w:val="26"/>
          <w:szCs w:val="26"/>
        </w:rPr>
        <w:t>DAS</w:t>
      </w:r>
      <w:r w:rsidR="004F1536" w:rsidRPr="00573761">
        <w:rPr>
          <w:bCs/>
          <w:color w:val="000000"/>
          <w:sz w:val="26"/>
          <w:szCs w:val="26"/>
        </w:rPr>
        <w:t>”</w:t>
      </w:r>
      <w:r w:rsidR="003431D1" w:rsidRPr="00573761">
        <w:rPr>
          <w:bCs/>
          <w:color w:val="000000"/>
          <w:sz w:val="26"/>
          <w:szCs w:val="26"/>
        </w:rPr>
        <w:t xml:space="preserve"> may be replaced in the future by some other equipment or technology.</w:t>
      </w:r>
      <w:r w:rsidRPr="00573761">
        <w:rPr>
          <w:bCs/>
          <w:color w:val="000000"/>
          <w:sz w:val="26"/>
          <w:szCs w:val="26"/>
        </w:rPr>
        <w:t xml:space="preserve">  </w:t>
      </w:r>
      <w:r w:rsidR="00870C03" w:rsidRPr="00573761">
        <w:rPr>
          <w:bCs/>
          <w:i/>
          <w:iCs/>
          <w:color w:val="000000"/>
          <w:sz w:val="26"/>
          <w:szCs w:val="26"/>
        </w:rPr>
        <w:t>Id.</w:t>
      </w:r>
      <w:r w:rsidR="00870C03" w:rsidRPr="00573761">
        <w:rPr>
          <w:bCs/>
          <w:color w:val="000000"/>
          <w:sz w:val="26"/>
          <w:szCs w:val="26"/>
        </w:rPr>
        <w:t xml:space="preserve"> </w:t>
      </w:r>
      <w:r w:rsidR="00D4381B" w:rsidRPr="00573761">
        <w:rPr>
          <w:bCs/>
          <w:color w:val="000000"/>
          <w:sz w:val="26"/>
          <w:szCs w:val="26"/>
        </w:rPr>
        <w:t xml:space="preserve"> </w:t>
      </w:r>
      <w:r w:rsidRPr="00573761">
        <w:rPr>
          <w:bCs/>
          <w:color w:val="000000"/>
          <w:sz w:val="26"/>
          <w:szCs w:val="26"/>
        </w:rPr>
        <w:t>Also, i</w:t>
      </w:r>
      <w:r w:rsidR="003431D1" w:rsidRPr="00573761">
        <w:rPr>
          <w:bCs/>
          <w:color w:val="000000"/>
          <w:sz w:val="26"/>
          <w:szCs w:val="26"/>
        </w:rPr>
        <w:t xml:space="preserve">n several places, the </w:t>
      </w:r>
      <w:r w:rsidRPr="00573761">
        <w:rPr>
          <w:bCs/>
          <w:color w:val="000000"/>
          <w:sz w:val="26"/>
          <w:szCs w:val="26"/>
        </w:rPr>
        <w:t xml:space="preserve">proposed </w:t>
      </w:r>
      <w:r w:rsidR="00870C03" w:rsidRPr="00573761">
        <w:rPr>
          <w:bCs/>
          <w:color w:val="000000"/>
          <w:sz w:val="26"/>
          <w:szCs w:val="26"/>
        </w:rPr>
        <w:t xml:space="preserve">Section </w:t>
      </w:r>
      <w:r w:rsidRPr="00573761">
        <w:rPr>
          <w:bCs/>
          <w:color w:val="000000"/>
          <w:sz w:val="26"/>
          <w:szCs w:val="26"/>
        </w:rPr>
        <w:t xml:space="preserve">69.3701 </w:t>
      </w:r>
      <w:r w:rsidR="003431D1" w:rsidRPr="00573761">
        <w:rPr>
          <w:bCs/>
          <w:color w:val="000000"/>
          <w:sz w:val="26"/>
          <w:szCs w:val="26"/>
        </w:rPr>
        <w:t xml:space="preserve">refers one or more times to the reporting of </w:t>
      </w:r>
      <w:r w:rsidR="004F1536" w:rsidRPr="00573761">
        <w:rPr>
          <w:bCs/>
          <w:color w:val="000000"/>
          <w:sz w:val="26"/>
          <w:szCs w:val="26"/>
        </w:rPr>
        <w:t>“</w:t>
      </w:r>
      <w:r w:rsidR="003431D1" w:rsidRPr="00573761">
        <w:rPr>
          <w:bCs/>
          <w:color w:val="000000"/>
          <w:sz w:val="26"/>
          <w:szCs w:val="26"/>
        </w:rPr>
        <w:t>gross intrastate revenues.</w:t>
      </w:r>
      <w:r w:rsidR="004F1536" w:rsidRPr="00573761">
        <w:rPr>
          <w:bCs/>
          <w:color w:val="000000"/>
          <w:sz w:val="26"/>
          <w:szCs w:val="26"/>
        </w:rPr>
        <w:t>”</w:t>
      </w:r>
      <w:r w:rsidRPr="00573761">
        <w:rPr>
          <w:rStyle w:val="FootnoteReference"/>
          <w:bCs/>
          <w:color w:val="000000"/>
          <w:sz w:val="26"/>
          <w:szCs w:val="26"/>
        </w:rPr>
        <w:footnoteReference w:id="42"/>
      </w:r>
      <w:r w:rsidRPr="00573761">
        <w:rPr>
          <w:bCs/>
          <w:color w:val="000000"/>
          <w:sz w:val="26"/>
          <w:szCs w:val="26"/>
        </w:rPr>
        <w:t xml:space="preserve">  </w:t>
      </w:r>
      <w:r w:rsidR="00870C03" w:rsidRPr="00573761">
        <w:rPr>
          <w:bCs/>
          <w:i/>
          <w:iCs/>
          <w:color w:val="000000"/>
          <w:sz w:val="26"/>
          <w:szCs w:val="26"/>
        </w:rPr>
        <w:t>Id.</w:t>
      </w:r>
      <w:r w:rsidR="00870C03" w:rsidRPr="00573761">
        <w:rPr>
          <w:bCs/>
          <w:color w:val="000000"/>
          <w:sz w:val="26"/>
          <w:szCs w:val="26"/>
        </w:rPr>
        <w:t xml:space="preserve">  </w:t>
      </w:r>
      <w:r w:rsidRPr="00573761">
        <w:rPr>
          <w:bCs/>
          <w:color w:val="000000"/>
          <w:sz w:val="26"/>
          <w:szCs w:val="26"/>
        </w:rPr>
        <w:t>The OCA recommends that t</w:t>
      </w:r>
      <w:r w:rsidR="003431D1" w:rsidRPr="00573761">
        <w:rPr>
          <w:bCs/>
          <w:color w:val="000000"/>
          <w:sz w:val="26"/>
          <w:szCs w:val="26"/>
        </w:rPr>
        <w:t>o be consistent with the wording of Section 510</w:t>
      </w:r>
      <w:r w:rsidRPr="00573761">
        <w:rPr>
          <w:bCs/>
          <w:color w:val="000000"/>
          <w:sz w:val="26"/>
          <w:szCs w:val="26"/>
        </w:rPr>
        <w:t xml:space="preserve"> of the Code</w:t>
      </w:r>
      <w:r w:rsidR="003431D1" w:rsidRPr="00573761">
        <w:rPr>
          <w:bCs/>
          <w:color w:val="000000"/>
          <w:sz w:val="26"/>
          <w:szCs w:val="26"/>
        </w:rPr>
        <w:t xml:space="preserve">, the word </w:t>
      </w:r>
      <w:r w:rsidR="004F1536" w:rsidRPr="00573761">
        <w:rPr>
          <w:bCs/>
          <w:color w:val="000000"/>
          <w:sz w:val="26"/>
          <w:szCs w:val="26"/>
        </w:rPr>
        <w:t>“</w:t>
      </w:r>
      <w:r w:rsidR="003431D1" w:rsidRPr="00573761">
        <w:rPr>
          <w:bCs/>
          <w:color w:val="000000"/>
          <w:sz w:val="26"/>
          <w:szCs w:val="26"/>
        </w:rPr>
        <w:t>operating</w:t>
      </w:r>
      <w:r w:rsidR="004F1536" w:rsidRPr="00573761">
        <w:rPr>
          <w:bCs/>
          <w:color w:val="000000"/>
          <w:sz w:val="26"/>
          <w:szCs w:val="26"/>
        </w:rPr>
        <w:t>”</w:t>
      </w:r>
      <w:r w:rsidR="003431D1" w:rsidRPr="00573761">
        <w:rPr>
          <w:bCs/>
          <w:color w:val="000000"/>
          <w:sz w:val="26"/>
          <w:szCs w:val="26"/>
        </w:rPr>
        <w:t xml:space="preserve"> be included to read </w:t>
      </w:r>
      <w:r w:rsidR="004F1536" w:rsidRPr="00573761">
        <w:rPr>
          <w:bCs/>
          <w:color w:val="000000"/>
          <w:sz w:val="26"/>
          <w:szCs w:val="26"/>
        </w:rPr>
        <w:t>“</w:t>
      </w:r>
      <w:r w:rsidR="003431D1" w:rsidRPr="00573761">
        <w:rPr>
          <w:bCs/>
          <w:color w:val="000000"/>
          <w:sz w:val="26"/>
          <w:szCs w:val="26"/>
        </w:rPr>
        <w:t>gross intrastate operating revenues.</w:t>
      </w:r>
      <w:r w:rsidR="004F1536" w:rsidRPr="00573761">
        <w:rPr>
          <w:bCs/>
          <w:color w:val="000000"/>
          <w:sz w:val="26"/>
          <w:szCs w:val="26"/>
        </w:rPr>
        <w:t>”</w:t>
      </w:r>
      <w:r w:rsidRPr="00573761">
        <w:rPr>
          <w:bCs/>
          <w:color w:val="000000"/>
          <w:sz w:val="26"/>
          <w:szCs w:val="26"/>
        </w:rPr>
        <w:t xml:space="preserve">  </w:t>
      </w:r>
      <w:r w:rsidRPr="00573761">
        <w:rPr>
          <w:bCs/>
          <w:i/>
          <w:iCs/>
          <w:color w:val="000000"/>
          <w:sz w:val="26"/>
          <w:szCs w:val="26"/>
        </w:rPr>
        <w:t>Id</w:t>
      </w:r>
      <w:r w:rsidRPr="00573761">
        <w:rPr>
          <w:bCs/>
          <w:color w:val="000000"/>
          <w:sz w:val="26"/>
          <w:szCs w:val="26"/>
        </w:rPr>
        <w:t>.</w:t>
      </w:r>
      <w:r w:rsidR="00243E68" w:rsidRPr="00573761">
        <w:rPr>
          <w:bCs/>
          <w:color w:val="000000"/>
          <w:sz w:val="26"/>
          <w:szCs w:val="26"/>
        </w:rPr>
        <w:t xml:space="preserve">  </w:t>
      </w:r>
    </w:p>
    <w:p w14:paraId="4176FA1C" w14:textId="77777777" w:rsidR="00F27C1B" w:rsidRPr="00573761" w:rsidRDefault="00F27C1B" w:rsidP="0034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45F0745C" w14:textId="70E2A28E" w:rsidR="00F27C1B" w:rsidRDefault="00F27C1B" w:rsidP="00F2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i/>
          <w:iCs/>
          <w:color w:val="000000"/>
          <w:sz w:val="26"/>
          <w:szCs w:val="26"/>
        </w:rPr>
      </w:pPr>
      <w:r w:rsidRPr="00573761">
        <w:rPr>
          <w:bCs/>
          <w:color w:val="000000"/>
          <w:sz w:val="26"/>
          <w:szCs w:val="26"/>
        </w:rPr>
        <w:tab/>
        <w:t xml:space="preserve">The OCA notes that proposed </w:t>
      </w:r>
      <w:r w:rsidR="00243E68" w:rsidRPr="00573761">
        <w:rPr>
          <w:bCs/>
          <w:color w:val="000000"/>
          <w:sz w:val="26"/>
          <w:szCs w:val="26"/>
        </w:rPr>
        <w:t xml:space="preserve">Section </w:t>
      </w:r>
      <w:r w:rsidRPr="00573761">
        <w:rPr>
          <w:bCs/>
          <w:color w:val="000000"/>
          <w:sz w:val="26"/>
          <w:szCs w:val="26"/>
        </w:rPr>
        <w:t xml:space="preserve">69.3701 </w:t>
      </w:r>
      <w:r w:rsidR="003431D1" w:rsidRPr="00573761">
        <w:rPr>
          <w:bCs/>
          <w:color w:val="000000"/>
          <w:sz w:val="26"/>
          <w:szCs w:val="26"/>
        </w:rPr>
        <w:t>refers to the FCC</w:t>
      </w:r>
      <w:r w:rsidR="004F1536" w:rsidRPr="00573761">
        <w:rPr>
          <w:bCs/>
          <w:color w:val="000000"/>
          <w:sz w:val="26"/>
          <w:szCs w:val="26"/>
        </w:rPr>
        <w:t>’</w:t>
      </w:r>
      <w:r w:rsidR="003431D1" w:rsidRPr="00573761">
        <w:rPr>
          <w:bCs/>
          <w:color w:val="000000"/>
          <w:sz w:val="26"/>
          <w:szCs w:val="26"/>
        </w:rPr>
        <w:t xml:space="preserve">s </w:t>
      </w:r>
      <w:r w:rsidR="00250423" w:rsidRPr="00573761">
        <w:rPr>
          <w:bCs/>
          <w:color w:val="000000"/>
          <w:sz w:val="26"/>
          <w:szCs w:val="26"/>
        </w:rPr>
        <w:t>“</w:t>
      </w:r>
      <w:r w:rsidR="003431D1" w:rsidRPr="00573761">
        <w:rPr>
          <w:bCs/>
          <w:color w:val="000000"/>
          <w:sz w:val="26"/>
          <w:szCs w:val="26"/>
        </w:rPr>
        <w:t>ten percent contamination rule</w:t>
      </w:r>
      <w:r w:rsidR="00250423" w:rsidRPr="00573761">
        <w:rPr>
          <w:bCs/>
          <w:color w:val="000000"/>
          <w:sz w:val="26"/>
          <w:szCs w:val="26"/>
        </w:rPr>
        <w:t>”</w:t>
      </w:r>
      <w:r w:rsidR="003431D1" w:rsidRPr="00573761">
        <w:rPr>
          <w:bCs/>
          <w:color w:val="000000"/>
          <w:sz w:val="26"/>
          <w:szCs w:val="26"/>
        </w:rPr>
        <w:t xml:space="preserve"> in Subparts (5) and (9) but does not provide a citation to either a case or the FCC</w:t>
      </w:r>
      <w:r w:rsidR="00250423" w:rsidRPr="00573761">
        <w:rPr>
          <w:bCs/>
          <w:color w:val="000000"/>
          <w:sz w:val="26"/>
          <w:szCs w:val="26"/>
        </w:rPr>
        <w:t>’</w:t>
      </w:r>
      <w:r w:rsidR="003431D1" w:rsidRPr="00573761">
        <w:rPr>
          <w:bCs/>
          <w:color w:val="000000"/>
          <w:sz w:val="26"/>
          <w:szCs w:val="26"/>
        </w:rPr>
        <w:t>s Section 36.154 regulation.</w:t>
      </w:r>
      <w:r w:rsidRPr="00573761">
        <w:rPr>
          <w:bCs/>
          <w:color w:val="000000"/>
          <w:sz w:val="26"/>
          <w:szCs w:val="26"/>
        </w:rPr>
        <w:t xml:space="preserve">  </w:t>
      </w:r>
      <w:r w:rsidR="00870C03" w:rsidRPr="00573761">
        <w:rPr>
          <w:bCs/>
          <w:i/>
          <w:iCs/>
          <w:color w:val="000000"/>
          <w:sz w:val="26"/>
          <w:szCs w:val="26"/>
        </w:rPr>
        <w:t>Id.</w:t>
      </w:r>
      <w:r w:rsidR="00870C03" w:rsidRPr="00573761">
        <w:rPr>
          <w:bCs/>
          <w:color w:val="000000"/>
          <w:sz w:val="26"/>
          <w:szCs w:val="26"/>
        </w:rPr>
        <w:t xml:space="preserve">  </w:t>
      </w:r>
      <w:r w:rsidR="003431D1" w:rsidRPr="00573761">
        <w:rPr>
          <w:bCs/>
          <w:color w:val="000000"/>
          <w:sz w:val="26"/>
          <w:szCs w:val="26"/>
        </w:rPr>
        <w:t>Additionally, Subpart</w:t>
      </w:r>
      <w:r w:rsidR="00870C03" w:rsidRPr="00573761">
        <w:rPr>
          <w:bCs/>
          <w:color w:val="000000"/>
          <w:sz w:val="26"/>
          <w:szCs w:val="26"/>
        </w:rPr>
        <w:t>s</w:t>
      </w:r>
      <w:r w:rsidR="003431D1" w:rsidRPr="00573761">
        <w:rPr>
          <w:bCs/>
          <w:color w:val="000000"/>
          <w:sz w:val="26"/>
          <w:szCs w:val="26"/>
        </w:rPr>
        <w:t xml:space="preserve"> (5) and (9) repeatedly describe the ten percent rule</w:t>
      </w:r>
      <w:r w:rsidRPr="00573761">
        <w:rPr>
          <w:bCs/>
          <w:color w:val="000000"/>
          <w:sz w:val="26"/>
          <w:szCs w:val="26"/>
        </w:rPr>
        <w:t xml:space="preserve"> as </w:t>
      </w:r>
      <w:r w:rsidR="003431D1" w:rsidRPr="00573761">
        <w:rPr>
          <w:bCs/>
          <w:color w:val="000000"/>
          <w:sz w:val="26"/>
          <w:szCs w:val="26"/>
        </w:rPr>
        <w:t xml:space="preserve">an </w:t>
      </w:r>
      <w:r w:rsidRPr="00573761">
        <w:rPr>
          <w:bCs/>
          <w:color w:val="000000"/>
          <w:sz w:val="26"/>
          <w:szCs w:val="26"/>
        </w:rPr>
        <w:t>“</w:t>
      </w:r>
      <w:r w:rsidR="003431D1" w:rsidRPr="00573761">
        <w:rPr>
          <w:bCs/>
          <w:color w:val="000000"/>
          <w:sz w:val="26"/>
          <w:szCs w:val="26"/>
        </w:rPr>
        <w:t>administrative jurisdictional cost allocation rule</w:t>
      </w:r>
      <w:r w:rsidRPr="00573761">
        <w:rPr>
          <w:bCs/>
          <w:color w:val="000000"/>
          <w:sz w:val="26"/>
          <w:szCs w:val="26"/>
        </w:rPr>
        <w:t>.</w:t>
      </w:r>
      <w:r w:rsidR="00250423" w:rsidRPr="00573761">
        <w:rPr>
          <w:bCs/>
          <w:color w:val="000000"/>
          <w:sz w:val="26"/>
          <w:szCs w:val="26"/>
        </w:rPr>
        <w:t>”</w:t>
      </w:r>
      <w:r w:rsidRPr="00573761">
        <w:rPr>
          <w:bCs/>
          <w:color w:val="000000"/>
          <w:sz w:val="26"/>
          <w:szCs w:val="26"/>
        </w:rPr>
        <w:t xml:space="preserve">  </w:t>
      </w:r>
      <w:r w:rsidR="00870C03" w:rsidRPr="00573761">
        <w:rPr>
          <w:bCs/>
          <w:i/>
          <w:iCs/>
          <w:color w:val="000000"/>
          <w:sz w:val="26"/>
          <w:szCs w:val="26"/>
        </w:rPr>
        <w:t>Id.</w:t>
      </w:r>
      <w:r w:rsidR="00870C03" w:rsidRPr="00573761">
        <w:rPr>
          <w:bCs/>
          <w:color w:val="000000"/>
          <w:sz w:val="26"/>
          <w:szCs w:val="26"/>
        </w:rPr>
        <w:t xml:space="preserve">  </w:t>
      </w:r>
      <w:r w:rsidRPr="00573761">
        <w:rPr>
          <w:bCs/>
          <w:color w:val="000000"/>
          <w:sz w:val="26"/>
          <w:szCs w:val="26"/>
        </w:rPr>
        <w:t>The OCA recommends that one short summary description of the FCC</w:t>
      </w:r>
      <w:r w:rsidR="00250423" w:rsidRPr="00573761">
        <w:rPr>
          <w:bCs/>
          <w:color w:val="000000"/>
          <w:sz w:val="26"/>
          <w:szCs w:val="26"/>
        </w:rPr>
        <w:t>’</w:t>
      </w:r>
      <w:r w:rsidRPr="00573761">
        <w:rPr>
          <w:bCs/>
          <w:color w:val="000000"/>
          <w:sz w:val="26"/>
          <w:szCs w:val="26"/>
        </w:rPr>
        <w:t xml:space="preserve">s ten percent rule and its purpose as a federal cost allocation rule for ratemaking and other purposes, with a citation, would improve the proposed </w:t>
      </w:r>
      <w:r w:rsidR="00243E68" w:rsidRPr="00573761">
        <w:rPr>
          <w:bCs/>
          <w:color w:val="000000"/>
          <w:sz w:val="26"/>
          <w:szCs w:val="26"/>
        </w:rPr>
        <w:t xml:space="preserve">Section </w:t>
      </w:r>
      <w:r w:rsidRPr="00573761">
        <w:rPr>
          <w:bCs/>
          <w:color w:val="000000"/>
          <w:sz w:val="26"/>
          <w:szCs w:val="26"/>
        </w:rPr>
        <w:t xml:space="preserve">69.3701. </w:t>
      </w:r>
      <w:r w:rsidR="00870C03" w:rsidRPr="00573761">
        <w:rPr>
          <w:bCs/>
          <w:color w:val="000000"/>
          <w:sz w:val="26"/>
          <w:szCs w:val="26"/>
        </w:rPr>
        <w:t xml:space="preserve"> </w:t>
      </w:r>
      <w:r w:rsidR="00870C03" w:rsidRPr="00573761">
        <w:rPr>
          <w:bCs/>
          <w:i/>
          <w:iCs/>
          <w:color w:val="000000"/>
          <w:sz w:val="26"/>
          <w:szCs w:val="26"/>
        </w:rPr>
        <w:t>Id.</w:t>
      </w:r>
      <w:r w:rsidR="00870C03" w:rsidRPr="00573761">
        <w:rPr>
          <w:bCs/>
          <w:color w:val="000000"/>
          <w:sz w:val="26"/>
          <w:szCs w:val="26"/>
        </w:rPr>
        <w:t xml:space="preserve"> at 7.</w:t>
      </w:r>
      <w:r w:rsidRPr="00573761">
        <w:rPr>
          <w:bCs/>
          <w:color w:val="000000"/>
          <w:sz w:val="26"/>
          <w:szCs w:val="26"/>
        </w:rPr>
        <w:t xml:space="preserve"> </w:t>
      </w:r>
      <w:r w:rsidR="00870C03" w:rsidRPr="00573761">
        <w:rPr>
          <w:bCs/>
          <w:color w:val="000000"/>
          <w:sz w:val="26"/>
          <w:szCs w:val="26"/>
        </w:rPr>
        <w:t xml:space="preserve"> </w:t>
      </w:r>
      <w:r w:rsidRPr="00573761">
        <w:rPr>
          <w:bCs/>
          <w:color w:val="000000"/>
          <w:sz w:val="26"/>
          <w:szCs w:val="26"/>
        </w:rPr>
        <w:t>Lastly, the OCA suggest</w:t>
      </w:r>
      <w:r w:rsidR="006F7847" w:rsidRPr="00573761">
        <w:rPr>
          <w:bCs/>
          <w:color w:val="000000"/>
          <w:sz w:val="26"/>
          <w:szCs w:val="26"/>
        </w:rPr>
        <w:t>s</w:t>
      </w:r>
      <w:r w:rsidRPr="00573761">
        <w:rPr>
          <w:bCs/>
          <w:color w:val="000000"/>
          <w:sz w:val="26"/>
          <w:szCs w:val="26"/>
        </w:rPr>
        <w:t xml:space="preserve"> a rephrasing of </w:t>
      </w:r>
      <w:r w:rsidR="00244E81" w:rsidRPr="00573761">
        <w:rPr>
          <w:bCs/>
          <w:color w:val="000000"/>
          <w:sz w:val="26"/>
          <w:szCs w:val="26"/>
        </w:rPr>
        <w:t>S</w:t>
      </w:r>
      <w:r w:rsidRPr="00573761">
        <w:rPr>
          <w:bCs/>
          <w:color w:val="000000"/>
          <w:sz w:val="26"/>
          <w:szCs w:val="26"/>
        </w:rPr>
        <w:t xml:space="preserve">ubpart (9) regarding the lack of preemption to make it more of an affirmative statement, appropriate to a </w:t>
      </w:r>
      <w:r w:rsidR="006F7847" w:rsidRPr="00573761">
        <w:rPr>
          <w:bCs/>
          <w:color w:val="000000"/>
          <w:sz w:val="26"/>
          <w:szCs w:val="26"/>
        </w:rPr>
        <w:t>p</w:t>
      </w:r>
      <w:r w:rsidRPr="00573761">
        <w:rPr>
          <w:bCs/>
          <w:color w:val="000000"/>
          <w:sz w:val="26"/>
          <w:szCs w:val="26"/>
        </w:rPr>
        <w:t xml:space="preserve">olicy </w:t>
      </w:r>
      <w:r w:rsidR="006F7847" w:rsidRPr="00573761">
        <w:rPr>
          <w:bCs/>
          <w:color w:val="000000"/>
          <w:sz w:val="26"/>
          <w:szCs w:val="26"/>
        </w:rPr>
        <w:t>s</w:t>
      </w:r>
      <w:r w:rsidRPr="00573761">
        <w:rPr>
          <w:bCs/>
          <w:color w:val="000000"/>
          <w:sz w:val="26"/>
          <w:szCs w:val="26"/>
        </w:rPr>
        <w:t>tatement adopted after public comment and close review of the legal underpinnings of the Commission</w:t>
      </w:r>
      <w:r w:rsidR="006F7847" w:rsidRPr="00573761">
        <w:rPr>
          <w:bCs/>
          <w:color w:val="000000"/>
          <w:sz w:val="26"/>
          <w:szCs w:val="26"/>
        </w:rPr>
        <w:t>’</w:t>
      </w:r>
      <w:r w:rsidRPr="00573761">
        <w:rPr>
          <w:bCs/>
          <w:color w:val="000000"/>
          <w:sz w:val="26"/>
          <w:szCs w:val="26"/>
        </w:rPr>
        <w:t xml:space="preserve">s </w:t>
      </w:r>
      <w:r w:rsidRPr="00310D9B">
        <w:rPr>
          <w:bCs/>
          <w:i/>
          <w:color w:val="000000"/>
          <w:sz w:val="26"/>
          <w:szCs w:val="26"/>
        </w:rPr>
        <w:t>Proposed Policy Statement</w:t>
      </w:r>
      <w:r w:rsidRPr="00573761">
        <w:rPr>
          <w:bCs/>
          <w:color w:val="000000"/>
          <w:sz w:val="26"/>
          <w:szCs w:val="26"/>
        </w:rPr>
        <w:t xml:space="preserve">. </w:t>
      </w:r>
      <w:r w:rsidR="00870C03" w:rsidRPr="00573761">
        <w:rPr>
          <w:bCs/>
          <w:color w:val="000000"/>
          <w:sz w:val="26"/>
          <w:szCs w:val="26"/>
        </w:rPr>
        <w:t xml:space="preserve"> </w:t>
      </w:r>
      <w:r w:rsidR="00870C03" w:rsidRPr="00573761">
        <w:rPr>
          <w:bCs/>
          <w:i/>
          <w:iCs/>
          <w:color w:val="000000"/>
          <w:sz w:val="26"/>
          <w:szCs w:val="26"/>
        </w:rPr>
        <w:t>Id.</w:t>
      </w:r>
    </w:p>
    <w:p w14:paraId="4183228A" w14:textId="77777777" w:rsidR="00A30E38" w:rsidRPr="00A30E38" w:rsidRDefault="00A30E38" w:rsidP="00F2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3D28C5ED" w14:textId="27A87ACD" w:rsidR="00F27C1B" w:rsidRPr="00573761" w:rsidRDefault="00205C0A" w:rsidP="00D43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00000"/>
          <w:sz w:val="26"/>
          <w:szCs w:val="26"/>
        </w:rPr>
      </w:pPr>
      <w:r w:rsidRPr="00573761">
        <w:rPr>
          <w:b/>
          <w:color w:val="000000"/>
          <w:sz w:val="26"/>
          <w:szCs w:val="26"/>
        </w:rPr>
        <w:t>REPLY COMMENTS</w:t>
      </w:r>
    </w:p>
    <w:p w14:paraId="17621E8B" w14:textId="011D0514" w:rsidR="00205C0A" w:rsidRPr="00573761" w:rsidRDefault="003D0607" w:rsidP="00D43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
          <w:color w:val="000000"/>
          <w:sz w:val="26"/>
          <w:szCs w:val="26"/>
        </w:rPr>
        <w:tab/>
      </w:r>
      <w:r w:rsidRPr="00573761">
        <w:rPr>
          <w:bCs/>
          <w:color w:val="000000"/>
          <w:sz w:val="26"/>
          <w:szCs w:val="26"/>
        </w:rPr>
        <w:t>The OCA filed Reply Comments</w:t>
      </w:r>
      <w:r w:rsidR="007D567E" w:rsidRPr="00573761">
        <w:rPr>
          <w:bCs/>
          <w:color w:val="000000"/>
          <w:sz w:val="26"/>
          <w:szCs w:val="26"/>
        </w:rPr>
        <w:t xml:space="preserve"> in response to </w:t>
      </w:r>
      <w:r w:rsidR="00832E69" w:rsidRPr="00573761">
        <w:rPr>
          <w:bCs/>
          <w:color w:val="000000"/>
          <w:sz w:val="26"/>
          <w:szCs w:val="26"/>
        </w:rPr>
        <w:t xml:space="preserve">the initial </w:t>
      </w:r>
      <w:r w:rsidR="007D567E" w:rsidRPr="00573761">
        <w:rPr>
          <w:bCs/>
          <w:color w:val="000000"/>
          <w:sz w:val="26"/>
          <w:szCs w:val="26"/>
        </w:rPr>
        <w:t xml:space="preserve">comments filed by BCAP, Crown Castle, the PTA </w:t>
      </w:r>
      <w:r w:rsidR="00FB2895" w:rsidRPr="00573761">
        <w:rPr>
          <w:bCs/>
          <w:color w:val="000000"/>
          <w:sz w:val="26"/>
          <w:szCs w:val="26"/>
        </w:rPr>
        <w:t>(</w:t>
      </w:r>
      <w:r w:rsidR="007D567E" w:rsidRPr="00573761">
        <w:rPr>
          <w:bCs/>
          <w:color w:val="000000"/>
          <w:sz w:val="26"/>
          <w:szCs w:val="26"/>
        </w:rPr>
        <w:t>joined by the Frontier Companies</w:t>
      </w:r>
      <w:r w:rsidR="00FB2895" w:rsidRPr="00573761">
        <w:rPr>
          <w:bCs/>
          <w:color w:val="000000"/>
          <w:sz w:val="26"/>
          <w:szCs w:val="26"/>
        </w:rPr>
        <w:t>)</w:t>
      </w:r>
      <w:r w:rsidR="007D567E" w:rsidRPr="00573761">
        <w:rPr>
          <w:bCs/>
          <w:color w:val="000000"/>
          <w:sz w:val="26"/>
          <w:szCs w:val="26"/>
        </w:rPr>
        <w:t>, and Verizon</w:t>
      </w:r>
      <w:r w:rsidR="007D567E" w:rsidRPr="00573761">
        <w:rPr>
          <w:color w:val="000000"/>
          <w:sz w:val="26"/>
          <w:szCs w:val="26"/>
        </w:rPr>
        <w:t>.</w:t>
      </w:r>
      <w:r w:rsidR="00832E69" w:rsidRPr="00573761">
        <w:rPr>
          <w:color w:val="000000"/>
          <w:sz w:val="26"/>
          <w:szCs w:val="26"/>
        </w:rPr>
        <w:t xml:space="preserve">  </w:t>
      </w:r>
      <w:r w:rsidR="00E81413" w:rsidRPr="00573761">
        <w:rPr>
          <w:color w:val="000000"/>
          <w:sz w:val="26"/>
          <w:szCs w:val="26"/>
        </w:rPr>
        <w:t xml:space="preserve">The OCA states that these parties have not shown that the Commission is preempted or legally barred </w:t>
      </w:r>
      <w:r w:rsidR="00E81413" w:rsidRPr="00573761">
        <w:rPr>
          <w:bCs/>
          <w:color w:val="000000"/>
          <w:sz w:val="26"/>
          <w:szCs w:val="26"/>
        </w:rPr>
        <w:t xml:space="preserve">by federal or state law from clarifying that the </w:t>
      </w:r>
      <w:r w:rsidR="00250423" w:rsidRPr="00573761">
        <w:rPr>
          <w:bCs/>
          <w:color w:val="000000"/>
          <w:sz w:val="26"/>
          <w:szCs w:val="26"/>
        </w:rPr>
        <w:t>“</w:t>
      </w:r>
      <w:r w:rsidR="00E81413" w:rsidRPr="00573761">
        <w:rPr>
          <w:bCs/>
          <w:color w:val="000000"/>
          <w:sz w:val="26"/>
          <w:szCs w:val="26"/>
        </w:rPr>
        <w:t>gross intrastate operating revenues</w:t>
      </w:r>
      <w:r w:rsidR="00250423" w:rsidRPr="00573761">
        <w:rPr>
          <w:bCs/>
          <w:color w:val="000000"/>
          <w:sz w:val="26"/>
          <w:szCs w:val="26"/>
        </w:rPr>
        <w:t>”</w:t>
      </w:r>
      <w:r w:rsidR="00E81413" w:rsidRPr="00573761">
        <w:rPr>
          <w:bCs/>
          <w:color w:val="000000"/>
          <w:sz w:val="26"/>
          <w:szCs w:val="26"/>
        </w:rPr>
        <w:t xml:space="preserve"> concept embodied in Section 510 refers to </w:t>
      </w:r>
      <w:r w:rsidR="00250423" w:rsidRPr="00573761">
        <w:rPr>
          <w:bCs/>
          <w:color w:val="000000"/>
          <w:sz w:val="26"/>
          <w:szCs w:val="26"/>
        </w:rPr>
        <w:t>“</w:t>
      </w:r>
      <w:r w:rsidR="00E81413" w:rsidRPr="00573761">
        <w:rPr>
          <w:bCs/>
          <w:i/>
          <w:color w:val="000000"/>
          <w:sz w:val="26"/>
          <w:szCs w:val="26"/>
        </w:rPr>
        <w:t xml:space="preserve">de facto </w:t>
      </w:r>
      <w:r w:rsidR="00E81413" w:rsidRPr="00573761">
        <w:rPr>
          <w:bCs/>
          <w:color w:val="000000"/>
          <w:sz w:val="26"/>
          <w:szCs w:val="26"/>
        </w:rPr>
        <w:t>gross intrastate operating revenues</w:t>
      </w:r>
      <w:r w:rsidR="00250423" w:rsidRPr="00573761">
        <w:rPr>
          <w:bCs/>
          <w:color w:val="000000"/>
          <w:sz w:val="26"/>
          <w:szCs w:val="26"/>
        </w:rPr>
        <w:t>”</w:t>
      </w:r>
      <w:r w:rsidR="00E81413" w:rsidRPr="00573761">
        <w:rPr>
          <w:bCs/>
          <w:color w:val="000000"/>
          <w:sz w:val="26"/>
          <w:szCs w:val="26"/>
        </w:rPr>
        <w:t xml:space="preserve"> for assessment purposes.  </w:t>
      </w:r>
      <w:r w:rsidR="00FB2895" w:rsidRPr="00573761">
        <w:rPr>
          <w:bCs/>
          <w:color w:val="000000"/>
          <w:sz w:val="26"/>
          <w:szCs w:val="26"/>
        </w:rPr>
        <w:t>OCA Reply Comments at 2.</w:t>
      </w:r>
    </w:p>
    <w:p w14:paraId="6043DF3C" w14:textId="77777777" w:rsidR="00205C0A" w:rsidRPr="00573761" w:rsidRDefault="00205C0A" w:rsidP="00D43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62C141CB" w14:textId="65E47FA8" w:rsidR="001F1510" w:rsidRPr="00573761" w:rsidRDefault="00E81413" w:rsidP="00E81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lastRenderedPageBreak/>
        <w:tab/>
        <w:t xml:space="preserve">In particular, the OCA states that it disagrees with Crown Castle’s contention that the </w:t>
      </w:r>
      <w:r w:rsidRPr="00310D9B">
        <w:rPr>
          <w:bCs/>
          <w:i/>
          <w:color w:val="000000"/>
          <w:sz w:val="26"/>
          <w:szCs w:val="26"/>
        </w:rPr>
        <w:t>Proposed Policy Statement</w:t>
      </w:r>
      <w:r w:rsidRPr="00573761">
        <w:rPr>
          <w:bCs/>
          <w:color w:val="000000"/>
          <w:sz w:val="26"/>
          <w:szCs w:val="26"/>
        </w:rPr>
        <w:t xml:space="preserve"> </w:t>
      </w:r>
      <w:r w:rsidR="00F005ED" w:rsidRPr="00573761">
        <w:rPr>
          <w:bCs/>
          <w:color w:val="000000"/>
          <w:sz w:val="26"/>
          <w:szCs w:val="26"/>
        </w:rPr>
        <w:t>is</w:t>
      </w:r>
      <w:r w:rsidRPr="00573761">
        <w:rPr>
          <w:bCs/>
          <w:color w:val="000000"/>
          <w:sz w:val="26"/>
          <w:szCs w:val="26"/>
        </w:rPr>
        <w:t xml:space="preserve"> unfair and discriminatory.  </w:t>
      </w:r>
      <w:r w:rsidR="0053722D" w:rsidRPr="00573761">
        <w:rPr>
          <w:bCs/>
          <w:i/>
          <w:iCs/>
          <w:color w:val="000000"/>
          <w:sz w:val="26"/>
          <w:szCs w:val="26"/>
        </w:rPr>
        <w:t>Id</w:t>
      </w:r>
      <w:r w:rsidR="00E33708" w:rsidRPr="00573761">
        <w:rPr>
          <w:bCs/>
          <w:color w:val="000000"/>
          <w:sz w:val="26"/>
          <w:szCs w:val="26"/>
        </w:rPr>
        <w:t xml:space="preserve">.  </w:t>
      </w:r>
      <w:r w:rsidRPr="00573761">
        <w:rPr>
          <w:bCs/>
          <w:color w:val="000000"/>
          <w:sz w:val="26"/>
          <w:szCs w:val="26"/>
        </w:rPr>
        <w:t>The OCA notes that the Section 510 assessment process</w:t>
      </w:r>
      <w:r w:rsidR="006F7847" w:rsidRPr="00573761">
        <w:rPr>
          <w:bCs/>
          <w:color w:val="000000"/>
          <w:sz w:val="26"/>
          <w:szCs w:val="26"/>
        </w:rPr>
        <w:t>,</w:t>
      </w:r>
      <w:r w:rsidRPr="00573761">
        <w:rPr>
          <w:bCs/>
          <w:color w:val="000000"/>
          <w:sz w:val="26"/>
          <w:szCs w:val="26"/>
        </w:rPr>
        <w:t xml:space="preserve"> based upon the gross intrastate operating revenues of each public utility</w:t>
      </w:r>
      <w:r w:rsidR="006F7847" w:rsidRPr="00573761">
        <w:rPr>
          <w:bCs/>
          <w:color w:val="000000"/>
          <w:sz w:val="26"/>
          <w:szCs w:val="26"/>
        </w:rPr>
        <w:t>,</w:t>
      </w:r>
      <w:r w:rsidRPr="00573761">
        <w:rPr>
          <w:bCs/>
          <w:color w:val="000000"/>
          <w:sz w:val="26"/>
          <w:szCs w:val="26"/>
        </w:rPr>
        <w:t xml:space="preserve"> is a fair and reasonable approach.</w:t>
      </w:r>
      <w:r w:rsidR="00E33708" w:rsidRPr="00573761">
        <w:rPr>
          <w:bCs/>
          <w:color w:val="000000"/>
          <w:sz w:val="26"/>
          <w:szCs w:val="26"/>
        </w:rPr>
        <w:t xml:space="preserve">  </w:t>
      </w:r>
      <w:r w:rsidR="00E33708" w:rsidRPr="00573761">
        <w:rPr>
          <w:bCs/>
          <w:i/>
          <w:iCs/>
          <w:color w:val="000000"/>
          <w:sz w:val="26"/>
          <w:szCs w:val="26"/>
        </w:rPr>
        <w:t>Id</w:t>
      </w:r>
      <w:r w:rsidR="00E33708" w:rsidRPr="00573761">
        <w:rPr>
          <w:bCs/>
          <w:color w:val="000000"/>
          <w:sz w:val="26"/>
          <w:szCs w:val="26"/>
        </w:rPr>
        <w:t xml:space="preserve">.  </w:t>
      </w:r>
    </w:p>
    <w:p w14:paraId="1D4AF53A" w14:textId="77777777" w:rsidR="001F1510" w:rsidRPr="00573761" w:rsidRDefault="001F1510" w:rsidP="00E81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7423E3A6" w14:textId="22AABBF6" w:rsidR="00E81413" w:rsidRPr="00573761" w:rsidRDefault="001F1510" w:rsidP="001F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E33708" w:rsidRPr="00573761">
        <w:rPr>
          <w:bCs/>
          <w:color w:val="000000"/>
          <w:sz w:val="26"/>
          <w:szCs w:val="26"/>
        </w:rPr>
        <w:t xml:space="preserve">Further, the OCA </w:t>
      </w:r>
      <w:r w:rsidR="00560755" w:rsidRPr="00573761">
        <w:rPr>
          <w:bCs/>
          <w:color w:val="000000"/>
          <w:sz w:val="26"/>
          <w:szCs w:val="26"/>
        </w:rPr>
        <w:t>pushes back on Verizon’s and Crown Castle’s contention that clarifying that assessable revenues from jurisdictional telecommunication</w:t>
      </w:r>
      <w:r w:rsidR="0000115E" w:rsidRPr="00573761">
        <w:rPr>
          <w:bCs/>
          <w:color w:val="000000"/>
          <w:sz w:val="26"/>
          <w:szCs w:val="26"/>
        </w:rPr>
        <w:t>s</w:t>
      </w:r>
      <w:r w:rsidR="00560755" w:rsidRPr="00573761">
        <w:rPr>
          <w:bCs/>
          <w:color w:val="000000"/>
          <w:sz w:val="26"/>
          <w:szCs w:val="26"/>
        </w:rPr>
        <w:t xml:space="preserve"> carriers encompasses </w:t>
      </w:r>
      <w:r w:rsidR="00560755" w:rsidRPr="00573761">
        <w:rPr>
          <w:bCs/>
          <w:i/>
          <w:iCs/>
          <w:color w:val="000000"/>
          <w:sz w:val="26"/>
          <w:szCs w:val="26"/>
        </w:rPr>
        <w:t>de facto operating revenues</w:t>
      </w:r>
      <w:r w:rsidR="00560755" w:rsidRPr="00573761">
        <w:rPr>
          <w:bCs/>
          <w:color w:val="000000"/>
          <w:sz w:val="26"/>
          <w:szCs w:val="26"/>
        </w:rPr>
        <w:t xml:space="preserve"> from </w:t>
      </w:r>
      <w:r w:rsidRPr="00573761">
        <w:rPr>
          <w:bCs/>
          <w:color w:val="000000"/>
          <w:sz w:val="26"/>
          <w:szCs w:val="26"/>
        </w:rPr>
        <w:t xml:space="preserve">all telecommunications services without a statutory amendment of Section 510 of the Code exceeds </w:t>
      </w:r>
      <w:r w:rsidR="006F7847" w:rsidRPr="00573761">
        <w:rPr>
          <w:bCs/>
          <w:color w:val="000000"/>
          <w:sz w:val="26"/>
          <w:szCs w:val="26"/>
        </w:rPr>
        <w:t>the Commission’s</w:t>
      </w:r>
      <w:r w:rsidRPr="00573761">
        <w:rPr>
          <w:bCs/>
          <w:color w:val="000000"/>
          <w:sz w:val="26"/>
          <w:szCs w:val="26"/>
        </w:rPr>
        <w:t xml:space="preserve"> legislatively granted powers.  </w:t>
      </w:r>
      <w:r w:rsidRPr="00573761">
        <w:rPr>
          <w:bCs/>
          <w:i/>
          <w:iCs/>
          <w:color w:val="000000"/>
          <w:sz w:val="26"/>
          <w:szCs w:val="26"/>
        </w:rPr>
        <w:t>Id</w:t>
      </w:r>
      <w:r w:rsidRPr="00573761">
        <w:rPr>
          <w:bCs/>
          <w:color w:val="000000"/>
          <w:sz w:val="26"/>
          <w:szCs w:val="26"/>
        </w:rPr>
        <w:t xml:space="preserve">. at 4.  The OCA states </w:t>
      </w:r>
      <w:r w:rsidR="00E33708" w:rsidRPr="00573761">
        <w:rPr>
          <w:bCs/>
          <w:color w:val="000000"/>
          <w:sz w:val="26"/>
          <w:szCs w:val="26"/>
        </w:rPr>
        <w:t xml:space="preserve">that the Commission has the authority to clarify what constitutes gross intrastate operating revenues under Section 510(f) of the Code.  </w:t>
      </w:r>
      <w:r w:rsidRPr="00573761">
        <w:rPr>
          <w:bCs/>
          <w:i/>
          <w:iCs/>
          <w:color w:val="000000"/>
          <w:sz w:val="26"/>
          <w:szCs w:val="26"/>
        </w:rPr>
        <w:t>Id</w:t>
      </w:r>
      <w:r w:rsidRPr="00573761">
        <w:rPr>
          <w:bCs/>
          <w:color w:val="000000"/>
          <w:sz w:val="26"/>
          <w:szCs w:val="26"/>
        </w:rPr>
        <w:t>.</w:t>
      </w:r>
    </w:p>
    <w:p w14:paraId="0614E383" w14:textId="77777777" w:rsidR="001F1510" w:rsidRPr="00573761" w:rsidRDefault="001F1510" w:rsidP="00144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710F550A" w14:textId="07074077" w:rsidR="00E20059" w:rsidRPr="00573761" w:rsidRDefault="001F1510" w:rsidP="00144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The OCA </w:t>
      </w:r>
      <w:r w:rsidR="00F005ED" w:rsidRPr="00573761">
        <w:rPr>
          <w:bCs/>
          <w:color w:val="000000"/>
          <w:sz w:val="26"/>
          <w:szCs w:val="26"/>
        </w:rPr>
        <w:t>notes</w:t>
      </w:r>
      <w:r w:rsidRPr="00573761">
        <w:rPr>
          <w:bCs/>
          <w:color w:val="000000"/>
          <w:sz w:val="26"/>
          <w:szCs w:val="26"/>
        </w:rPr>
        <w:t xml:space="preserve"> the PTA’s concern that adoption of the </w:t>
      </w:r>
      <w:r w:rsidRPr="00310D9B">
        <w:rPr>
          <w:bCs/>
          <w:i/>
          <w:color w:val="000000"/>
          <w:sz w:val="26"/>
          <w:szCs w:val="26"/>
        </w:rPr>
        <w:t>Proposed Policy Statement</w:t>
      </w:r>
      <w:r w:rsidRPr="00573761">
        <w:rPr>
          <w:bCs/>
          <w:color w:val="000000"/>
          <w:sz w:val="26"/>
          <w:szCs w:val="26"/>
        </w:rPr>
        <w:t xml:space="preserve"> would impose new reporting and record-keeping burdens on its rural local exchange carrier (RLEC) members.  </w:t>
      </w:r>
      <w:r w:rsidR="00F005ED" w:rsidRPr="00573761">
        <w:rPr>
          <w:bCs/>
          <w:i/>
          <w:iCs/>
          <w:color w:val="000000"/>
          <w:sz w:val="26"/>
          <w:szCs w:val="26"/>
        </w:rPr>
        <w:t>Id.</w:t>
      </w:r>
      <w:r w:rsidRPr="00573761">
        <w:rPr>
          <w:bCs/>
          <w:color w:val="000000"/>
          <w:sz w:val="26"/>
          <w:szCs w:val="26"/>
        </w:rPr>
        <w:t xml:space="preserve"> at 5.  However, the OCA states that </w:t>
      </w:r>
      <w:r w:rsidR="00F005ED" w:rsidRPr="00573761">
        <w:rPr>
          <w:bCs/>
          <w:color w:val="000000"/>
          <w:sz w:val="26"/>
          <w:szCs w:val="26"/>
        </w:rPr>
        <w:t xml:space="preserve">the </w:t>
      </w:r>
      <w:r w:rsidRPr="00573761">
        <w:rPr>
          <w:bCs/>
          <w:color w:val="000000"/>
          <w:sz w:val="26"/>
          <w:szCs w:val="26"/>
        </w:rPr>
        <w:t xml:space="preserve">Commission has the authority to require ILECs and other jurisdictional telecommunications carriers to provide information in support of their reported gross intrastate operating revenues.  </w:t>
      </w:r>
      <w:r w:rsidRPr="00573761">
        <w:rPr>
          <w:bCs/>
          <w:i/>
          <w:iCs/>
          <w:color w:val="000000"/>
          <w:sz w:val="26"/>
          <w:szCs w:val="26"/>
        </w:rPr>
        <w:t>Id</w:t>
      </w:r>
      <w:r w:rsidRPr="00573761">
        <w:rPr>
          <w:bCs/>
          <w:color w:val="000000"/>
          <w:sz w:val="26"/>
          <w:szCs w:val="26"/>
        </w:rPr>
        <w:t>.</w:t>
      </w:r>
      <w:r w:rsidR="0039044A" w:rsidRPr="00573761">
        <w:rPr>
          <w:bCs/>
          <w:color w:val="000000"/>
          <w:sz w:val="26"/>
          <w:szCs w:val="26"/>
        </w:rPr>
        <w:t xml:space="preserve">  Nevertheless, the OCA states that </w:t>
      </w:r>
      <w:r w:rsidR="00E20059" w:rsidRPr="00573761">
        <w:rPr>
          <w:bCs/>
          <w:color w:val="000000"/>
          <w:sz w:val="26"/>
          <w:szCs w:val="26"/>
        </w:rPr>
        <w:t xml:space="preserve">even </w:t>
      </w:r>
      <w:r w:rsidR="0039044A" w:rsidRPr="00573761">
        <w:rPr>
          <w:bCs/>
          <w:color w:val="000000"/>
          <w:sz w:val="26"/>
          <w:szCs w:val="26"/>
        </w:rPr>
        <w:t xml:space="preserve">ILECs operating under an amended network modernization plan </w:t>
      </w:r>
      <w:r w:rsidR="00E20059" w:rsidRPr="00573761">
        <w:rPr>
          <w:bCs/>
          <w:color w:val="000000"/>
          <w:sz w:val="26"/>
          <w:szCs w:val="26"/>
        </w:rPr>
        <w:t xml:space="preserve">or </w:t>
      </w:r>
      <w:r w:rsidR="0039044A" w:rsidRPr="00573761">
        <w:rPr>
          <w:bCs/>
          <w:color w:val="000000"/>
          <w:sz w:val="26"/>
          <w:szCs w:val="26"/>
        </w:rPr>
        <w:t xml:space="preserve">Chapter 30 Plan are still subject to certain Commission </w:t>
      </w:r>
      <w:r w:rsidR="00250423" w:rsidRPr="00573761">
        <w:rPr>
          <w:bCs/>
          <w:color w:val="000000"/>
          <w:sz w:val="26"/>
          <w:szCs w:val="26"/>
        </w:rPr>
        <w:t>“</w:t>
      </w:r>
      <w:r w:rsidR="0039044A" w:rsidRPr="00573761">
        <w:rPr>
          <w:bCs/>
          <w:color w:val="000000"/>
          <w:sz w:val="26"/>
          <w:szCs w:val="26"/>
        </w:rPr>
        <w:t>filing and audit requirements</w:t>
      </w:r>
      <w:r w:rsidR="00250423" w:rsidRPr="00573761">
        <w:rPr>
          <w:bCs/>
          <w:color w:val="000000"/>
          <w:sz w:val="26"/>
          <w:szCs w:val="26"/>
        </w:rPr>
        <w:t>.”</w:t>
      </w:r>
      <w:r w:rsidR="00E20059" w:rsidRPr="00573761">
        <w:rPr>
          <w:rStyle w:val="FootnoteReference"/>
          <w:bCs/>
          <w:color w:val="000000"/>
          <w:sz w:val="26"/>
          <w:szCs w:val="26"/>
        </w:rPr>
        <w:footnoteReference w:id="43"/>
      </w:r>
      <w:r w:rsidR="00E20059" w:rsidRPr="00573761">
        <w:rPr>
          <w:bCs/>
          <w:color w:val="000000"/>
          <w:sz w:val="26"/>
          <w:szCs w:val="26"/>
        </w:rPr>
        <w:t xml:space="preserve">  </w:t>
      </w:r>
      <w:r w:rsidR="00E20059" w:rsidRPr="00573761">
        <w:rPr>
          <w:bCs/>
          <w:i/>
          <w:iCs/>
          <w:color w:val="000000"/>
          <w:sz w:val="26"/>
          <w:szCs w:val="26"/>
        </w:rPr>
        <w:t>Id</w:t>
      </w:r>
      <w:r w:rsidR="00E20059" w:rsidRPr="00573761">
        <w:rPr>
          <w:bCs/>
          <w:color w:val="000000"/>
          <w:sz w:val="26"/>
          <w:szCs w:val="26"/>
        </w:rPr>
        <w:t xml:space="preserve">.  </w:t>
      </w:r>
    </w:p>
    <w:p w14:paraId="13EB5366" w14:textId="77777777" w:rsidR="00E20059" w:rsidRPr="00573761" w:rsidRDefault="00E20059" w:rsidP="00144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64C418B3" w14:textId="30EB6ECB" w:rsidR="00144E6C" w:rsidRPr="00573761" w:rsidRDefault="00205C0A" w:rsidP="007E46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00000"/>
          <w:sz w:val="26"/>
          <w:szCs w:val="26"/>
        </w:rPr>
      </w:pPr>
      <w:r w:rsidRPr="00573761">
        <w:rPr>
          <w:b/>
          <w:color w:val="000000"/>
          <w:sz w:val="26"/>
          <w:szCs w:val="26"/>
        </w:rPr>
        <w:t>DISCUSSION</w:t>
      </w:r>
    </w:p>
    <w:p w14:paraId="1D71075C" w14:textId="35EFC8D5" w:rsidR="0066782C" w:rsidRPr="00573761" w:rsidRDefault="00684651" w:rsidP="007E46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5B3259" w:rsidRPr="00573761">
        <w:rPr>
          <w:bCs/>
          <w:color w:val="000000"/>
          <w:sz w:val="26"/>
          <w:szCs w:val="26"/>
        </w:rPr>
        <w:t xml:space="preserve">As indicated above, </w:t>
      </w:r>
      <w:r w:rsidR="0066782C" w:rsidRPr="00573761">
        <w:rPr>
          <w:bCs/>
          <w:color w:val="000000"/>
          <w:sz w:val="26"/>
          <w:szCs w:val="26"/>
        </w:rPr>
        <w:t xml:space="preserve">some of the commentators </w:t>
      </w:r>
      <w:r w:rsidR="005B3259" w:rsidRPr="00573761">
        <w:rPr>
          <w:bCs/>
          <w:color w:val="000000"/>
          <w:sz w:val="26"/>
          <w:szCs w:val="26"/>
        </w:rPr>
        <w:t xml:space="preserve">have expressed opposition </w:t>
      </w:r>
      <w:r w:rsidR="0066782C" w:rsidRPr="00573761">
        <w:rPr>
          <w:bCs/>
          <w:color w:val="000000"/>
          <w:sz w:val="26"/>
          <w:szCs w:val="26"/>
        </w:rPr>
        <w:t xml:space="preserve">to the </w:t>
      </w:r>
      <w:r w:rsidR="005B3259" w:rsidRPr="00573761">
        <w:rPr>
          <w:bCs/>
          <w:color w:val="000000"/>
          <w:sz w:val="26"/>
          <w:szCs w:val="26"/>
        </w:rPr>
        <w:t xml:space="preserve">Commission’s determinations underpinning the </w:t>
      </w:r>
      <w:r w:rsidR="00252948" w:rsidRPr="00573761">
        <w:rPr>
          <w:bCs/>
          <w:color w:val="000000"/>
          <w:sz w:val="26"/>
          <w:szCs w:val="26"/>
        </w:rPr>
        <w:t xml:space="preserve">Order and attached </w:t>
      </w:r>
      <w:r w:rsidR="0066782C" w:rsidRPr="00310D9B">
        <w:rPr>
          <w:bCs/>
          <w:i/>
          <w:color w:val="000000"/>
          <w:sz w:val="26"/>
          <w:szCs w:val="26"/>
        </w:rPr>
        <w:t>Proposed Policy Statement</w:t>
      </w:r>
      <w:r w:rsidR="005B3259" w:rsidRPr="00573761">
        <w:rPr>
          <w:bCs/>
          <w:color w:val="000000"/>
          <w:sz w:val="26"/>
          <w:szCs w:val="26"/>
        </w:rPr>
        <w:t xml:space="preserve">.  These commentators </w:t>
      </w:r>
      <w:r w:rsidR="0066782C" w:rsidRPr="00573761">
        <w:rPr>
          <w:bCs/>
          <w:color w:val="000000"/>
          <w:sz w:val="26"/>
          <w:szCs w:val="26"/>
        </w:rPr>
        <w:t xml:space="preserve">suggest that the Commission may not assess the </w:t>
      </w:r>
      <w:r w:rsidR="00627BB0" w:rsidRPr="00573761">
        <w:rPr>
          <w:bCs/>
          <w:color w:val="000000"/>
          <w:sz w:val="26"/>
          <w:szCs w:val="26"/>
        </w:rPr>
        <w:t xml:space="preserve">intrastate </w:t>
      </w:r>
      <w:r w:rsidR="0066782C" w:rsidRPr="00573761">
        <w:rPr>
          <w:bCs/>
          <w:color w:val="000000"/>
          <w:sz w:val="26"/>
          <w:szCs w:val="26"/>
        </w:rPr>
        <w:t xml:space="preserve">revenues </w:t>
      </w:r>
      <w:r w:rsidR="00627BB0" w:rsidRPr="00573761">
        <w:rPr>
          <w:bCs/>
          <w:color w:val="000000"/>
          <w:sz w:val="26"/>
          <w:szCs w:val="26"/>
        </w:rPr>
        <w:t>derived from the provision of</w:t>
      </w:r>
      <w:r w:rsidR="0066782C" w:rsidRPr="00573761">
        <w:rPr>
          <w:bCs/>
          <w:color w:val="000000"/>
          <w:sz w:val="26"/>
          <w:szCs w:val="26"/>
        </w:rPr>
        <w:t xml:space="preserve"> special access services and other </w:t>
      </w:r>
      <w:r w:rsidR="0066782C" w:rsidRPr="00573761">
        <w:rPr>
          <w:bCs/>
          <w:color w:val="000000"/>
          <w:sz w:val="26"/>
          <w:szCs w:val="26"/>
        </w:rPr>
        <w:lastRenderedPageBreak/>
        <w:t>jurisdictionally mixed-use telecommunications services in order to recover the administrative expenses</w:t>
      </w:r>
      <w:r w:rsidR="00627BB0" w:rsidRPr="00573761">
        <w:rPr>
          <w:bCs/>
          <w:color w:val="000000"/>
          <w:sz w:val="26"/>
          <w:szCs w:val="26"/>
        </w:rPr>
        <w:t xml:space="preserve"> incurred by the Commission in its administration</w:t>
      </w:r>
      <w:r w:rsidR="0066782C" w:rsidRPr="00573761">
        <w:rPr>
          <w:bCs/>
          <w:color w:val="000000"/>
          <w:sz w:val="26"/>
          <w:szCs w:val="26"/>
        </w:rPr>
        <w:t xml:space="preserve"> of </w:t>
      </w:r>
      <w:r w:rsidR="00627BB0" w:rsidRPr="00573761">
        <w:rPr>
          <w:bCs/>
          <w:color w:val="000000"/>
          <w:sz w:val="26"/>
          <w:szCs w:val="26"/>
        </w:rPr>
        <w:t xml:space="preserve">the Public Utility </w:t>
      </w:r>
      <w:r w:rsidR="0066782C" w:rsidRPr="00573761">
        <w:rPr>
          <w:bCs/>
          <w:color w:val="000000"/>
          <w:sz w:val="26"/>
          <w:szCs w:val="26"/>
        </w:rPr>
        <w:t>Code</w:t>
      </w:r>
      <w:r w:rsidR="00627BB0" w:rsidRPr="00573761">
        <w:rPr>
          <w:bCs/>
          <w:color w:val="000000"/>
          <w:sz w:val="26"/>
          <w:szCs w:val="26"/>
        </w:rPr>
        <w:t xml:space="preserve"> and, in particular, the expenses incurred by the Commission with respect to telecommunications public utilities</w:t>
      </w:r>
      <w:r w:rsidR="0066782C" w:rsidRPr="00573761">
        <w:rPr>
          <w:bCs/>
          <w:color w:val="000000"/>
          <w:sz w:val="26"/>
          <w:szCs w:val="26"/>
        </w:rPr>
        <w:t xml:space="preserve">.  </w:t>
      </w:r>
      <w:r w:rsidR="005B3259" w:rsidRPr="00573761">
        <w:rPr>
          <w:bCs/>
          <w:color w:val="000000"/>
          <w:sz w:val="26"/>
          <w:szCs w:val="26"/>
        </w:rPr>
        <w:t>However, w</w:t>
      </w:r>
      <w:r w:rsidR="0066782C" w:rsidRPr="00573761">
        <w:rPr>
          <w:bCs/>
          <w:color w:val="000000"/>
          <w:sz w:val="26"/>
          <w:szCs w:val="26"/>
        </w:rPr>
        <w:t xml:space="preserve">e disagree with their positions. </w:t>
      </w:r>
    </w:p>
    <w:p w14:paraId="2CB2421F" w14:textId="77777777" w:rsidR="0066782C" w:rsidRPr="00573761" w:rsidRDefault="0066782C" w:rsidP="007B7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63897E48" w14:textId="3FA9F533" w:rsidR="00A0788B" w:rsidRPr="00573761" w:rsidRDefault="0066782C" w:rsidP="00A07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E12BCE" w:rsidRPr="00573761">
        <w:rPr>
          <w:bCs/>
          <w:color w:val="000000"/>
          <w:sz w:val="26"/>
          <w:szCs w:val="26"/>
        </w:rPr>
        <w:t xml:space="preserve">The Public Utility Code demonstrates without question that the </w:t>
      </w:r>
      <w:r w:rsidR="00CE7E3A" w:rsidRPr="00573761">
        <w:rPr>
          <w:bCs/>
          <w:color w:val="000000"/>
          <w:sz w:val="26"/>
          <w:szCs w:val="26"/>
        </w:rPr>
        <w:t xml:space="preserve">General Assembly </w:t>
      </w:r>
      <w:r w:rsidR="00E12BCE" w:rsidRPr="00573761">
        <w:rPr>
          <w:bCs/>
          <w:color w:val="000000"/>
          <w:sz w:val="26"/>
          <w:szCs w:val="26"/>
        </w:rPr>
        <w:t xml:space="preserve">of the Commonwealth of Pennsylvania has therein expressed its policy to commit the regulation of </w:t>
      </w:r>
      <w:r w:rsidR="00A0788B" w:rsidRPr="00573761">
        <w:rPr>
          <w:bCs/>
          <w:color w:val="000000"/>
          <w:sz w:val="26"/>
          <w:szCs w:val="26"/>
        </w:rPr>
        <w:t xml:space="preserve">jurisdictional public </w:t>
      </w:r>
      <w:r w:rsidR="00E12BCE" w:rsidRPr="00573761">
        <w:rPr>
          <w:bCs/>
          <w:color w:val="000000"/>
          <w:sz w:val="26"/>
          <w:szCs w:val="26"/>
        </w:rPr>
        <w:t>utilities to the Commission.</w:t>
      </w:r>
      <w:r w:rsidR="006F7847" w:rsidRPr="00573761">
        <w:rPr>
          <w:rStyle w:val="FootnoteReference"/>
          <w:bCs/>
          <w:color w:val="000000"/>
          <w:sz w:val="26"/>
          <w:szCs w:val="26"/>
        </w:rPr>
        <w:footnoteReference w:id="44"/>
      </w:r>
      <w:r w:rsidR="00E12BCE" w:rsidRPr="00573761">
        <w:rPr>
          <w:bCs/>
          <w:color w:val="000000"/>
          <w:sz w:val="26"/>
          <w:szCs w:val="26"/>
        </w:rPr>
        <w:t xml:space="preserve">  </w:t>
      </w:r>
      <w:r w:rsidR="00A0788B" w:rsidRPr="00573761">
        <w:rPr>
          <w:bCs/>
          <w:color w:val="000000"/>
          <w:sz w:val="26"/>
          <w:szCs w:val="26"/>
        </w:rPr>
        <w:t>The Code</w:t>
      </w:r>
      <w:r w:rsidR="00DF479E" w:rsidRPr="00573761">
        <w:rPr>
          <w:bCs/>
          <w:color w:val="000000"/>
          <w:sz w:val="26"/>
          <w:szCs w:val="26"/>
        </w:rPr>
        <w:t>’</w:t>
      </w:r>
      <w:r w:rsidR="00A0788B" w:rsidRPr="00573761">
        <w:rPr>
          <w:bCs/>
          <w:color w:val="000000"/>
          <w:sz w:val="26"/>
          <w:szCs w:val="26"/>
        </w:rPr>
        <w:t xml:space="preserve">s definition of jurisdictional </w:t>
      </w:r>
      <w:r w:rsidR="003836D5" w:rsidRPr="00573761">
        <w:rPr>
          <w:bCs/>
          <w:color w:val="000000"/>
          <w:sz w:val="26"/>
          <w:szCs w:val="26"/>
        </w:rPr>
        <w:t>“</w:t>
      </w:r>
      <w:r w:rsidR="00A0788B" w:rsidRPr="00573761">
        <w:rPr>
          <w:bCs/>
          <w:color w:val="000000"/>
          <w:sz w:val="26"/>
          <w:szCs w:val="26"/>
        </w:rPr>
        <w:t>public utility</w:t>
      </w:r>
      <w:r w:rsidR="003836D5" w:rsidRPr="00573761">
        <w:rPr>
          <w:bCs/>
          <w:color w:val="000000"/>
          <w:sz w:val="26"/>
          <w:szCs w:val="26"/>
        </w:rPr>
        <w:t>”</w:t>
      </w:r>
      <w:r w:rsidR="00A0788B" w:rsidRPr="00573761">
        <w:rPr>
          <w:bCs/>
          <w:color w:val="000000"/>
          <w:sz w:val="26"/>
          <w:szCs w:val="26"/>
        </w:rPr>
        <w:t xml:space="preserve"> includes those entities that “convey or transmit messages or communications… by telephone or telegraph …for the public for compensation</w:t>
      </w:r>
      <w:r w:rsidR="006F7847" w:rsidRPr="00573761">
        <w:rPr>
          <w:bCs/>
          <w:color w:val="000000"/>
          <w:sz w:val="26"/>
          <w:szCs w:val="26"/>
        </w:rPr>
        <w:t>.</w:t>
      </w:r>
      <w:r w:rsidR="00A0788B" w:rsidRPr="00573761">
        <w:rPr>
          <w:bCs/>
          <w:color w:val="000000"/>
          <w:sz w:val="26"/>
          <w:szCs w:val="26"/>
        </w:rPr>
        <w:t xml:space="preserve">”  </w:t>
      </w:r>
      <w:r w:rsidR="00A0788B" w:rsidRPr="00573761">
        <w:rPr>
          <w:bCs/>
          <w:i/>
          <w:iCs/>
          <w:color w:val="000000"/>
          <w:sz w:val="26"/>
          <w:szCs w:val="26"/>
        </w:rPr>
        <w:t>See</w:t>
      </w:r>
      <w:r w:rsidR="00A0788B" w:rsidRPr="00573761">
        <w:rPr>
          <w:bCs/>
          <w:color w:val="000000"/>
          <w:sz w:val="26"/>
          <w:szCs w:val="26"/>
        </w:rPr>
        <w:t xml:space="preserve"> 66</w:t>
      </w:r>
      <w:r w:rsidR="002417E5" w:rsidRPr="00573761">
        <w:rPr>
          <w:bCs/>
          <w:color w:val="000000"/>
          <w:sz w:val="26"/>
          <w:szCs w:val="26"/>
        </w:rPr>
        <w:t> </w:t>
      </w:r>
      <w:r w:rsidR="00A0788B" w:rsidRPr="00573761">
        <w:rPr>
          <w:bCs/>
          <w:color w:val="000000"/>
          <w:sz w:val="26"/>
          <w:szCs w:val="26"/>
        </w:rPr>
        <w:t xml:space="preserve">Pa. C.S. </w:t>
      </w:r>
      <w:r w:rsidR="00DF41B8" w:rsidRPr="00573761">
        <w:rPr>
          <w:bCs/>
          <w:sz w:val="26"/>
          <w:szCs w:val="26"/>
        </w:rPr>
        <w:t>§</w:t>
      </w:r>
      <w:r w:rsidR="00DF41B8" w:rsidRPr="00573761">
        <w:rPr>
          <w:bCs/>
          <w:sz w:val="22"/>
          <w:szCs w:val="22"/>
        </w:rPr>
        <w:t xml:space="preserve"> </w:t>
      </w:r>
      <w:r w:rsidR="00A0788B" w:rsidRPr="00573761">
        <w:rPr>
          <w:bCs/>
          <w:color w:val="000000"/>
          <w:sz w:val="26"/>
          <w:szCs w:val="26"/>
        </w:rPr>
        <w:t>102(1)(vi).  Thus, the Commission has exclusive authority to regulate jurisdictional telecommunications carriers offering intrastate telecommunications services, whether it is on a retail or wholesale basis.</w:t>
      </w:r>
      <w:r w:rsidR="00A0788B" w:rsidRPr="00573761">
        <w:rPr>
          <w:bCs/>
          <w:color w:val="000000"/>
          <w:sz w:val="26"/>
          <w:szCs w:val="26"/>
          <w:vertAlign w:val="superscript"/>
        </w:rPr>
        <w:footnoteReference w:id="45"/>
      </w:r>
      <w:r w:rsidR="00A0788B" w:rsidRPr="00573761">
        <w:rPr>
          <w:bCs/>
          <w:color w:val="000000"/>
          <w:sz w:val="26"/>
          <w:szCs w:val="26"/>
        </w:rPr>
        <w:t xml:space="preserve">  </w:t>
      </w:r>
    </w:p>
    <w:p w14:paraId="74AFF54F" w14:textId="3CA5C436" w:rsidR="00A0788B" w:rsidRPr="00573761" w:rsidRDefault="00A0788B" w:rsidP="00A07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67D63C7E" w14:textId="3E340394" w:rsidR="00B654BB" w:rsidRPr="00573761" w:rsidRDefault="00A0788B" w:rsidP="007B7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D8489C" w:rsidRPr="00573761">
        <w:rPr>
          <w:bCs/>
          <w:color w:val="000000"/>
          <w:sz w:val="26"/>
          <w:szCs w:val="26"/>
        </w:rPr>
        <w:t>Section 501 of the Code, 66 Pa. C.S. § 501, sets forth the Commission</w:t>
      </w:r>
      <w:r w:rsidR="00DF41B8" w:rsidRPr="00573761">
        <w:rPr>
          <w:bCs/>
          <w:color w:val="000000"/>
          <w:sz w:val="26"/>
          <w:szCs w:val="26"/>
        </w:rPr>
        <w:t>’</w:t>
      </w:r>
      <w:r w:rsidR="00D8489C" w:rsidRPr="00573761">
        <w:rPr>
          <w:bCs/>
          <w:color w:val="000000"/>
          <w:sz w:val="26"/>
          <w:szCs w:val="26"/>
        </w:rPr>
        <w:t xml:space="preserve">s general </w:t>
      </w:r>
      <w:r w:rsidR="00627BB0" w:rsidRPr="00573761">
        <w:rPr>
          <w:bCs/>
          <w:color w:val="000000"/>
          <w:sz w:val="26"/>
          <w:szCs w:val="26"/>
        </w:rPr>
        <w:t xml:space="preserve">police </w:t>
      </w:r>
      <w:r w:rsidR="00D8489C" w:rsidRPr="00573761">
        <w:rPr>
          <w:bCs/>
          <w:color w:val="000000"/>
          <w:sz w:val="26"/>
          <w:szCs w:val="26"/>
        </w:rPr>
        <w:t xml:space="preserve">powers to, </w:t>
      </w:r>
      <w:r w:rsidR="00D8489C" w:rsidRPr="00573761">
        <w:rPr>
          <w:bCs/>
          <w:i/>
          <w:iCs/>
          <w:color w:val="000000"/>
          <w:sz w:val="26"/>
          <w:szCs w:val="26"/>
        </w:rPr>
        <w:t>inter alia</w:t>
      </w:r>
      <w:r w:rsidR="00D8489C" w:rsidRPr="00573761">
        <w:rPr>
          <w:bCs/>
          <w:color w:val="000000"/>
          <w:sz w:val="26"/>
          <w:szCs w:val="26"/>
        </w:rPr>
        <w:t xml:space="preserve">, supervise and regulate all </w:t>
      </w:r>
      <w:r w:rsidRPr="00573761">
        <w:rPr>
          <w:bCs/>
          <w:color w:val="000000"/>
          <w:sz w:val="26"/>
          <w:szCs w:val="26"/>
        </w:rPr>
        <w:t xml:space="preserve">jurisdictional </w:t>
      </w:r>
      <w:r w:rsidR="00D8489C" w:rsidRPr="00573761">
        <w:rPr>
          <w:bCs/>
          <w:color w:val="000000"/>
          <w:sz w:val="26"/>
          <w:szCs w:val="26"/>
        </w:rPr>
        <w:t xml:space="preserve">public utilities in the Commonwealth.  </w:t>
      </w:r>
      <w:r w:rsidR="00202663" w:rsidRPr="00573761">
        <w:rPr>
          <w:bCs/>
          <w:color w:val="000000"/>
          <w:sz w:val="26"/>
          <w:szCs w:val="26"/>
        </w:rPr>
        <w:t xml:space="preserve">With this plenary authority, </w:t>
      </w:r>
      <w:r w:rsidRPr="00573761">
        <w:rPr>
          <w:bCs/>
          <w:color w:val="000000"/>
          <w:sz w:val="26"/>
          <w:szCs w:val="26"/>
        </w:rPr>
        <w:t xml:space="preserve">the General Assembly </w:t>
      </w:r>
      <w:r w:rsidR="00AF21FE" w:rsidRPr="00573761">
        <w:rPr>
          <w:bCs/>
          <w:color w:val="000000"/>
          <w:sz w:val="26"/>
          <w:szCs w:val="26"/>
        </w:rPr>
        <w:t xml:space="preserve">granted the Commission the authority to </w:t>
      </w:r>
      <w:r w:rsidR="00DA432E" w:rsidRPr="00573761">
        <w:rPr>
          <w:bCs/>
          <w:color w:val="000000"/>
          <w:sz w:val="26"/>
          <w:szCs w:val="26"/>
        </w:rPr>
        <w:t xml:space="preserve">impose </w:t>
      </w:r>
      <w:r w:rsidR="00F534C2" w:rsidRPr="00573761">
        <w:rPr>
          <w:bCs/>
          <w:color w:val="000000"/>
          <w:sz w:val="26"/>
          <w:szCs w:val="26"/>
        </w:rPr>
        <w:t xml:space="preserve">annual fiscal </w:t>
      </w:r>
      <w:r w:rsidR="00DA432E" w:rsidRPr="00573761">
        <w:rPr>
          <w:bCs/>
          <w:color w:val="000000"/>
          <w:sz w:val="26"/>
          <w:szCs w:val="26"/>
        </w:rPr>
        <w:t xml:space="preserve">assessments upon jurisdictional public utilities in order to cover their “reasonable share” of the costs of administering the Code.  </w:t>
      </w:r>
      <w:r w:rsidR="00DA432E" w:rsidRPr="00573761">
        <w:rPr>
          <w:bCs/>
          <w:i/>
          <w:iCs/>
          <w:color w:val="000000"/>
          <w:sz w:val="26"/>
          <w:szCs w:val="26"/>
        </w:rPr>
        <w:t>See</w:t>
      </w:r>
      <w:r w:rsidR="00DA432E" w:rsidRPr="00573761">
        <w:rPr>
          <w:bCs/>
          <w:color w:val="000000"/>
          <w:sz w:val="26"/>
          <w:szCs w:val="26"/>
        </w:rPr>
        <w:t xml:space="preserve"> 66 Pa. C.S. § 510.  </w:t>
      </w:r>
      <w:r w:rsidR="0000001E" w:rsidRPr="00573761">
        <w:rPr>
          <w:bCs/>
          <w:color w:val="000000"/>
          <w:sz w:val="26"/>
          <w:szCs w:val="26"/>
        </w:rPr>
        <w:t xml:space="preserve">According to </w:t>
      </w:r>
      <w:r w:rsidR="004A48C9" w:rsidRPr="00573761">
        <w:rPr>
          <w:bCs/>
          <w:color w:val="000000"/>
          <w:sz w:val="26"/>
          <w:szCs w:val="26"/>
        </w:rPr>
        <w:t>S</w:t>
      </w:r>
      <w:r w:rsidR="0000001E" w:rsidRPr="00573761">
        <w:rPr>
          <w:bCs/>
          <w:color w:val="000000"/>
          <w:sz w:val="26"/>
          <w:szCs w:val="26"/>
        </w:rPr>
        <w:t>ection 510 of the Code, the Commission calculates the amount owed by each public utility based on the utility</w:t>
      </w:r>
      <w:r w:rsidR="003836D5" w:rsidRPr="00573761">
        <w:rPr>
          <w:bCs/>
          <w:color w:val="000000"/>
          <w:sz w:val="26"/>
          <w:szCs w:val="26"/>
        </w:rPr>
        <w:t>’</w:t>
      </w:r>
      <w:r w:rsidR="0000001E" w:rsidRPr="00573761">
        <w:rPr>
          <w:bCs/>
          <w:color w:val="000000"/>
          <w:sz w:val="26"/>
          <w:szCs w:val="26"/>
        </w:rPr>
        <w:t xml:space="preserve">s yearly </w:t>
      </w:r>
      <w:r w:rsidR="00F534C2" w:rsidRPr="00573761">
        <w:rPr>
          <w:bCs/>
          <w:color w:val="000000"/>
          <w:sz w:val="26"/>
          <w:szCs w:val="26"/>
        </w:rPr>
        <w:t xml:space="preserve">gross </w:t>
      </w:r>
      <w:r w:rsidR="0000001E" w:rsidRPr="00573761">
        <w:rPr>
          <w:bCs/>
          <w:color w:val="000000"/>
          <w:sz w:val="26"/>
          <w:szCs w:val="26"/>
        </w:rPr>
        <w:t>intrastate operating revenues and the Commission</w:t>
      </w:r>
      <w:r w:rsidR="003836D5" w:rsidRPr="00573761">
        <w:rPr>
          <w:bCs/>
          <w:color w:val="000000"/>
          <w:sz w:val="26"/>
          <w:szCs w:val="26"/>
        </w:rPr>
        <w:t>’</w:t>
      </w:r>
      <w:r w:rsidR="0000001E" w:rsidRPr="00573761">
        <w:rPr>
          <w:bCs/>
          <w:color w:val="000000"/>
          <w:sz w:val="26"/>
          <w:szCs w:val="26"/>
        </w:rPr>
        <w:t xml:space="preserve">s yearly expenses.  </w:t>
      </w:r>
      <w:r w:rsidR="00F005ED" w:rsidRPr="00573761">
        <w:rPr>
          <w:bCs/>
          <w:i/>
          <w:iCs/>
          <w:color w:val="000000"/>
          <w:sz w:val="26"/>
          <w:szCs w:val="26"/>
        </w:rPr>
        <w:t>Id.</w:t>
      </w:r>
      <w:r w:rsidR="00F005ED" w:rsidRPr="00573761">
        <w:rPr>
          <w:bCs/>
          <w:color w:val="000000"/>
          <w:sz w:val="26"/>
          <w:szCs w:val="26"/>
        </w:rPr>
        <w:t xml:space="preserve">  </w:t>
      </w:r>
      <w:r w:rsidR="00091FA5" w:rsidRPr="00573761">
        <w:rPr>
          <w:bCs/>
          <w:color w:val="000000"/>
          <w:sz w:val="26"/>
          <w:szCs w:val="26"/>
        </w:rPr>
        <w:t xml:space="preserve">To that end, the Commission </w:t>
      </w:r>
      <w:r w:rsidR="0093704F" w:rsidRPr="00573761">
        <w:rPr>
          <w:bCs/>
          <w:color w:val="000000"/>
          <w:sz w:val="26"/>
          <w:szCs w:val="26"/>
        </w:rPr>
        <w:t xml:space="preserve">has determined that it </w:t>
      </w:r>
      <w:r w:rsidR="00091FA5" w:rsidRPr="00573761">
        <w:rPr>
          <w:bCs/>
          <w:color w:val="000000"/>
          <w:sz w:val="26"/>
          <w:szCs w:val="26"/>
        </w:rPr>
        <w:t xml:space="preserve">has </w:t>
      </w:r>
      <w:r w:rsidR="0093704F" w:rsidRPr="00573761">
        <w:rPr>
          <w:bCs/>
          <w:color w:val="000000"/>
          <w:sz w:val="26"/>
          <w:szCs w:val="26"/>
        </w:rPr>
        <w:t xml:space="preserve">the authority and </w:t>
      </w:r>
      <w:r w:rsidR="00091FA5" w:rsidRPr="00573761">
        <w:rPr>
          <w:bCs/>
          <w:color w:val="000000"/>
          <w:sz w:val="26"/>
          <w:szCs w:val="26"/>
        </w:rPr>
        <w:t xml:space="preserve">discretion to apply the requirements of </w:t>
      </w:r>
      <w:r w:rsidR="0093704F" w:rsidRPr="00573761">
        <w:rPr>
          <w:bCs/>
          <w:color w:val="000000"/>
          <w:sz w:val="26"/>
          <w:szCs w:val="26"/>
        </w:rPr>
        <w:t xml:space="preserve">Section 510 of the Code </w:t>
      </w:r>
      <w:r w:rsidR="00091FA5" w:rsidRPr="00573761">
        <w:rPr>
          <w:bCs/>
          <w:color w:val="000000"/>
          <w:sz w:val="26"/>
          <w:szCs w:val="26"/>
        </w:rPr>
        <w:t>to</w:t>
      </w:r>
      <w:r w:rsidR="0093704F" w:rsidRPr="00573761">
        <w:rPr>
          <w:bCs/>
          <w:color w:val="000000"/>
          <w:sz w:val="26"/>
          <w:szCs w:val="26"/>
        </w:rPr>
        <w:t xml:space="preserve"> </w:t>
      </w:r>
      <w:r w:rsidR="004C63A3" w:rsidRPr="00573761">
        <w:rPr>
          <w:b/>
          <w:i/>
          <w:iCs/>
          <w:color w:val="000000"/>
          <w:sz w:val="26"/>
          <w:szCs w:val="26"/>
        </w:rPr>
        <w:t>all</w:t>
      </w:r>
      <w:r w:rsidR="004C63A3" w:rsidRPr="00573761">
        <w:rPr>
          <w:bCs/>
          <w:color w:val="000000"/>
          <w:sz w:val="26"/>
          <w:szCs w:val="26"/>
        </w:rPr>
        <w:t xml:space="preserve"> </w:t>
      </w:r>
      <w:r w:rsidR="0093704F" w:rsidRPr="00573761">
        <w:rPr>
          <w:bCs/>
          <w:color w:val="000000"/>
          <w:sz w:val="26"/>
          <w:szCs w:val="26"/>
        </w:rPr>
        <w:t>jurisdictional telecommunications carriers</w:t>
      </w:r>
      <w:r w:rsidR="008F3CE9" w:rsidRPr="00573761">
        <w:rPr>
          <w:bCs/>
          <w:color w:val="000000"/>
          <w:sz w:val="26"/>
          <w:szCs w:val="26"/>
        </w:rPr>
        <w:t xml:space="preserve">, including those </w:t>
      </w:r>
      <w:r w:rsidR="0093704F" w:rsidRPr="00573761">
        <w:rPr>
          <w:bCs/>
          <w:color w:val="000000"/>
          <w:sz w:val="26"/>
          <w:szCs w:val="26"/>
        </w:rPr>
        <w:t xml:space="preserve">that offer jurisdictionally mixed-use telecommunications services.  </w:t>
      </w:r>
    </w:p>
    <w:p w14:paraId="7C417463" w14:textId="0D8F50D7" w:rsidR="00195879" w:rsidRPr="00573761" w:rsidRDefault="00B654BB" w:rsidP="00195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lastRenderedPageBreak/>
        <w:tab/>
      </w:r>
      <w:r w:rsidR="00AF21FE" w:rsidRPr="00573761">
        <w:rPr>
          <w:bCs/>
          <w:color w:val="000000"/>
          <w:sz w:val="26"/>
          <w:szCs w:val="26"/>
        </w:rPr>
        <w:t xml:space="preserve">In </w:t>
      </w:r>
      <w:r w:rsidRPr="00573761">
        <w:rPr>
          <w:bCs/>
          <w:color w:val="000000"/>
          <w:sz w:val="26"/>
          <w:szCs w:val="26"/>
        </w:rPr>
        <w:t xml:space="preserve">the </w:t>
      </w:r>
      <w:r w:rsidR="00AF21FE" w:rsidRPr="00573761">
        <w:rPr>
          <w:bCs/>
          <w:i/>
          <w:iCs/>
          <w:color w:val="000000"/>
          <w:sz w:val="26"/>
          <w:szCs w:val="26"/>
        </w:rPr>
        <w:t>Proposed Policy Statement</w:t>
      </w:r>
      <w:r w:rsidR="00AF21FE" w:rsidRPr="00573761">
        <w:rPr>
          <w:bCs/>
          <w:color w:val="000000"/>
          <w:sz w:val="26"/>
          <w:szCs w:val="26"/>
        </w:rPr>
        <w:t xml:space="preserve">, the Commission </w:t>
      </w:r>
      <w:r w:rsidR="00195879" w:rsidRPr="00573761">
        <w:rPr>
          <w:bCs/>
          <w:color w:val="000000"/>
          <w:sz w:val="26"/>
          <w:szCs w:val="26"/>
        </w:rPr>
        <w:t xml:space="preserve">provides guidance </w:t>
      </w:r>
      <w:r w:rsidR="00195879" w:rsidRPr="00573761">
        <w:rPr>
          <w:sz w:val="26"/>
          <w:szCs w:val="20"/>
        </w:rPr>
        <w:t xml:space="preserve">to </w:t>
      </w:r>
      <w:r w:rsidR="001E71D8" w:rsidRPr="00573761">
        <w:rPr>
          <w:sz w:val="26"/>
          <w:szCs w:val="20"/>
        </w:rPr>
        <w:t xml:space="preserve">all </w:t>
      </w:r>
      <w:r w:rsidR="00195879" w:rsidRPr="00573761">
        <w:rPr>
          <w:sz w:val="26"/>
          <w:szCs w:val="20"/>
        </w:rPr>
        <w:t>jurisdictional telecommunications providers</w:t>
      </w:r>
      <w:r w:rsidR="002762F8" w:rsidRPr="00573761">
        <w:rPr>
          <w:sz w:val="26"/>
          <w:szCs w:val="20"/>
        </w:rPr>
        <w:t xml:space="preserve"> holding Commission-issued CPCs</w:t>
      </w:r>
      <w:r w:rsidR="00195879" w:rsidRPr="00573761">
        <w:rPr>
          <w:sz w:val="26"/>
          <w:szCs w:val="20"/>
        </w:rPr>
        <w:t xml:space="preserve"> </w:t>
      </w:r>
      <w:r w:rsidR="008E1D42" w:rsidRPr="00573761">
        <w:rPr>
          <w:sz w:val="26"/>
          <w:szCs w:val="20"/>
        </w:rPr>
        <w:t xml:space="preserve">that may have </w:t>
      </w:r>
      <w:r w:rsidR="008E1D42" w:rsidRPr="00573761">
        <w:rPr>
          <w:bCs/>
          <w:sz w:val="26"/>
          <w:szCs w:val="20"/>
        </w:rPr>
        <w:t>reported zero gross intrastate revenues</w:t>
      </w:r>
      <w:r w:rsidR="002762F8" w:rsidRPr="00573761">
        <w:rPr>
          <w:bCs/>
          <w:sz w:val="26"/>
          <w:szCs w:val="20"/>
        </w:rPr>
        <w:t xml:space="preserve"> in the past</w:t>
      </w:r>
      <w:r w:rsidR="006C6172" w:rsidRPr="00573761">
        <w:rPr>
          <w:bCs/>
          <w:sz w:val="26"/>
          <w:szCs w:val="20"/>
        </w:rPr>
        <w:t xml:space="preserve"> in regards to their jurisdictionally mixed-use private lines</w:t>
      </w:r>
      <w:r w:rsidR="00DF41B8" w:rsidRPr="00573761">
        <w:rPr>
          <w:bCs/>
          <w:sz w:val="26"/>
          <w:szCs w:val="20"/>
        </w:rPr>
        <w:t xml:space="preserve">.  </w:t>
      </w:r>
      <w:r w:rsidR="00F005ED" w:rsidRPr="00573761">
        <w:rPr>
          <w:sz w:val="26"/>
          <w:szCs w:val="20"/>
        </w:rPr>
        <w:t>For Section 510 assessment purposes,</w:t>
      </w:r>
      <w:r w:rsidR="00F005ED" w:rsidRPr="00573761">
        <w:rPr>
          <w:bCs/>
          <w:sz w:val="26"/>
          <w:szCs w:val="20"/>
        </w:rPr>
        <w:t xml:space="preserve"> t</w:t>
      </w:r>
      <w:r w:rsidR="00DF41B8" w:rsidRPr="00573761">
        <w:rPr>
          <w:bCs/>
          <w:sz w:val="26"/>
          <w:szCs w:val="20"/>
        </w:rPr>
        <w:t>hese providers</w:t>
      </w:r>
      <w:r w:rsidR="008E1D42" w:rsidRPr="00573761">
        <w:rPr>
          <w:bCs/>
          <w:sz w:val="26"/>
          <w:szCs w:val="20"/>
        </w:rPr>
        <w:t xml:space="preserve"> have an obligation </w:t>
      </w:r>
      <w:r w:rsidR="00195879" w:rsidRPr="00573761">
        <w:rPr>
          <w:sz w:val="26"/>
          <w:szCs w:val="20"/>
        </w:rPr>
        <w:t>to report</w:t>
      </w:r>
      <w:r w:rsidR="00627BB0" w:rsidRPr="00573761">
        <w:rPr>
          <w:sz w:val="26"/>
          <w:szCs w:val="20"/>
        </w:rPr>
        <w:t xml:space="preserve"> their</w:t>
      </w:r>
      <w:r w:rsidR="00195879" w:rsidRPr="00573761">
        <w:rPr>
          <w:sz w:val="26"/>
          <w:szCs w:val="20"/>
        </w:rPr>
        <w:t xml:space="preserve"> </w:t>
      </w:r>
      <w:r w:rsidR="003836D5" w:rsidRPr="00573761">
        <w:rPr>
          <w:sz w:val="26"/>
          <w:szCs w:val="20"/>
        </w:rPr>
        <w:t>“</w:t>
      </w:r>
      <w:r w:rsidR="00195879" w:rsidRPr="00573761">
        <w:rPr>
          <w:i/>
          <w:iCs/>
          <w:sz w:val="26"/>
          <w:szCs w:val="20"/>
        </w:rPr>
        <w:t>de facto</w:t>
      </w:r>
      <w:r w:rsidR="00195879" w:rsidRPr="00573761">
        <w:rPr>
          <w:sz w:val="26"/>
          <w:szCs w:val="20"/>
        </w:rPr>
        <w:t xml:space="preserve"> intrastate operating revenue</w:t>
      </w:r>
      <w:r w:rsidR="003836D5" w:rsidRPr="00573761">
        <w:rPr>
          <w:sz w:val="26"/>
          <w:szCs w:val="20"/>
        </w:rPr>
        <w:t>”</w:t>
      </w:r>
      <w:r w:rsidR="00195879" w:rsidRPr="00573761">
        <w:rPr>
          <w:sz w:val="26"/>
          <w:szCs w:val="20"/>
        </w:rPr>
        <w:t xml:space="preserve"> earned from </w:t>
      </w:r>
      <w:r w:rsidR="008E1D42" w:rsidRPr="00573761">
        <w:rPr>
          <w:sz w:val="26"/>
          <w:szCs w:val="20"/>
        </w:rPr>
        <w:t xml:space="preserve">their </w:t>
      </w:r>
      <w:r w:rsidR="00C76E83" w:rsidRPr="00573761">
        <w:rPr>
          <w:sz w:val="26"/>
          <w:szCs w:val="20"/>
        </w:rPr>
        <w:t>jurisdictionally-mixed</w:t>
      </w:r>
      <w:r w:rsidR="00195879" w:rsidRPr="00573761">
        <w:rPr>
          <w:sz w:val="26"/>
          <w:szCs w:val="20"/>
        </w:rPr>
        <w:t xml:space="preserve"> services</w:t>
      </w:r>
      <w:r w:rsidR="00F005ED" w:rsidRPr="00573761">
        <w:rPr>
          <w:sz w:val="26"/>
          <w:szCs w:val="20"/>
        </w:rPr>
        <w:t>,</w:t>
      </w:r>
      <w:r w:rsidR="00195879" w:rsidRPr="00573761">
        <w:rPr>
          <w:sz w:val="26"/>
          <w:szCs w:val="20"/>
        </w:rPr>
        <w:t xml:space="preserve"> </w:t>
      </w:r>
      <w:r w:rsidR="008E1D42" w:rsidRPr="00573761">
        <w:rPr>
          <w:sz w:val="26"/>
          <w:szCs w:val="20"/>
        </w:rPr>
        <w:t xml:space="preserve">even if traffic traversing the </w:t>
      </w:r>
      <w:r w:rsidR="00E51A02" w:rsidRPr="00573761">
        <w:rPr>
          <w:sz w:val="26"/>
          <w:szCs w:val="20"/>
        </w:rPr>
        <w:t>carrier’s</w:t>
      </w:r>
      <w:r w:rsidR="008E1D42" w:rsidRPr="00573761">
        <w:rPr>
          <w:sz w:val="26"/>
          <w:szCs w:val="20"/>
        </w:rPr>
        <w:t xml:space="preserve"> access line</w:t>
      </w:r>
      <w:r w:rsidR="00E51A02" w:rsidRPr="00573761">
        <w:rPr>
          <w:sz w:val="26"/>
          <w:szCs w:val="20"/>
        </w:rPr>
        <w:t>s</w:t>
      </w:r>
      <w:r w:rsidR="008E1D42" w:rsidRPr="00573761">
        <w:rPr>
          <w:sz w:val="26"/>
          <w:szCs w:val="20"/>
        </w:rPr>
        <w:t xml:space="preserve"> </w:t>
      </w:r>
      <w:r w:rsidR="00195879" w:rsidRPr="00573761">
        <w:rPr>
          <w:sz w:val="26"/>
          <w:szCs w:val="20"/>
        </w:rPr>
        <w:t>would be classified by the FCC as interstate services</w:t>
      </w:r>
      <w:r w:rsidR="002762F8" w:rsidRPr="00573761">
        <w:rPr>
          <w:sz w:val="26"/>
          <w:szCs w:val="20"/>
        </w:rPr>
        <w:t xml:space="preserve"> for other purposes</w:t>
      </w:r>
      <w:r w:rsidR="00195879" w:rsidRPr="00573761">
        <w:rPr>
          <w:sz w:val="26"/>
          <w:szCs w:val="20"/>
        </w:rPr>
        <w:t xml:space="preserve"> because more than ten percent of the traffic </w:t>
      </w:r>
      <w:r w:rsidR="008E1D42" w:rsidRPr="00573761">
        <w:rPr>
          <w:sz w:val="26"/>
          <w:szCs w:val="20"/>
        </w:rPr>
        <w:t>over the access line</w:t>
      </w:r>
      <w:r w:rsidR="00E51A02" w:rsidRPr="00573761">
        <w:rPr>
          <w:sz w:val="26"/>
          <w:szCs w:val="20"/>
        </w:rPr>
        <w:t>s</w:t>
      </w:r>
      <w:r w:rsidR="008E1D42" w:rsidRPr="00573761">
        <w:rPr>
          <w:sz w:val="26"/>
          <w:szCs w:val="20"/>
        </w:rPr>
        <w:t xml:space="preserve"> </w:t>
      </w:r>
      <w:r w:rsidR="00195879" w:rsidRPr="00573761">
        <w:rPr>
          <w:sz w:val="26"/>
          <w:szCs w:val="20"/>
        </w:rPr>
        <w:t xml:space="preserve">is </w:t>
      </w:r>
      <w:r w:rsidR="002762F8" w:rsidRPr="00573761">
        <w:rPr>
          <w:i/>
          <w:iCs/>
          <w:sz w:val="26"/>
          <w:szCs w:val="20"/>
        </w:rPr>
        <w:t>deemed</w:t>
      </w:r>
      <w:r w:rsidR="002762F8" w:rsidRPr="00573761">
        <w:rPr>
          <w:sz w:val="26"/>
          <w:szCs w:val="20"/>
        </w:rPr>
        <w:t xml:space="preserve"> to be</w:t>
      </w:r>
      <w:r w:rsidR="00195879" w:rsidRPr="00573761">
        <w:rPr>
          <w:sz w:val="26"/>
          <w:szCs w:val="20"/>
        </w:rPr>
        <w:t xml:space="preserve"> interstate.</w:t>
      </w:r>
    </w:p>
    <w:p w14:paraId="761B04E1" w14:textId="77777777" w:rsidR="00195879" w:rsidRPr="00573761" w:rsidRDefault="00195879" w:rsidP="00195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4898A189" w14:textId="3965DBFE" w:rsidR="00CB5562" w:rsidRPr="00573761" w:rsidRDefault="00195879" w:rsidP="0013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B654BB" w:rsidRPr="00573761">
        <w:rPr>
          <w:bCs/>
          <w:color w:val="000000"/>
          <w:sz w:val="26"/>
          <w:szCs w:val="26"/>
        </w:rPr>
        <w:t>BCAP</w:t>
      </w:r>
      <w:r w:rsidR="001E71D8" w:rsidRPr="00573761">
        <w:rPr>
          <w:bCs/>
          <w:color w:val="000000"/>
          <w:sz w:val="26"/>
          <w:szCs w:val="26"/>
        </w:rPr>
        <w:t xml:space="preserve">, </w:t>
      </w:r>
      <w:r w:rsidR="00D845B0" w:rsidRPr="00573761">
        <w:rPr>
          <w:bCs/>
          <w:color w:val="000000"/>
          <w:sz w:val="26"/>
          <w:szCs w:val="26"/>
        </w:rPr>
        <w:t xml:space="preserve">Verizon </w:t>
      </w:r>
      <w:r w:rsidR="001E71D8" w:rsidRPr="00573761">
        <w:rPr>
          <w:bCs/>
          <w:color w:val="000000"/>
          <w:sz w:val="26"/>
          <w:szCs w:val="26"/>
        </w:rPr>
        <w:t xml:space="preserve">and Crown Castle all </w:t>
      </w:r>
      <w:r w:rsidR="00B654BB" w:rsidRPr="00573761">
        <w:rPr>
          <w:bCs/>
          <w:color w:val="000000"/>
          <w:sz w:val="26"/>
          <w:szCs w:val="26"/>
        </w:rPr>
        <w:t xml:space="preserve">assert that the </w:t>
      </w:r>
      <w:r w:rsidR="009F2C6E" w:rsidRPr="00573761">
        <w:rPr>
          <w:bCs/>
          <w:color w:val="000000"/>
          <w:sz w:val="26"/>
          <w:szCs w:val="26"/>
        </w:rPr>
        <w:t xml:space="preserve">Commission is misguided in its </w:t>
      </w:r>
      <w:r w:rsidRPr="00573761">
        <w:rPr>
          <w:bCs/>
          <w:color w:val="000000"/>
          <w:sz w:val="26"/>
          <w:szCs w:val="26"/>
        </w:rPr>
        <w:t xml:space="preserve">determination </w:t>
      </w:r>
      <w:r w:rsidR="00B654BB" w:rsidRPr="00573761">
        <w:rPr>
          <w:bCs/>
          <w:color w:val="000000"/>
          <w:sz w:val="26"/>
          <w:szCs w:val="26"/>
        </w:rPr>
        <w:t>that the FCC</w:t>
      </w:r>
      <w:r w:rsidR="003836D5" w:rsidRPr="00573761">
        <w:rPr>
          <w:bCs/>
          <w:color w:val="000000"/>
          <w:sz w:val="26"/>
          <w:szCs w:val="26"/>
        </w:rPr>
        <w:t>’</w:t>
      </w:r>
      <w:r w:rsidR="00B654BB" w:rsidRPr="00573761">
        <w:rPr>
          <w:bCs/>
          <w:color w:val="000000"/>
          <w:sz w:val="26"/>
          <w:szCs w:val="26"/>
        </w:rPr>
        <w:t xml:space="preserve">s ten percent rule does not </w:t>
      </w:r>
      <w:r w:rsidR="008707CB" w:rsidRPr="00573761">
        <w:rPr>
          <w:bCs/>
          <w:color w:val="000000"/>
          <w:sz w:val="26"/>
          <w:szCs w:val="26"/>
        </w:rPr>
        <w:t xml:space="preserve">preempt or </w:t>
      </w:r>
      <w:r w:rsidR="00B654BB" w:rsidRPr="00573761">
        <w:rPr>
          <w:bCs/>
          <w:color w:val="000000"/>
          <w:sz w:val="26"/>
          <w:szCs w:val="26"/>
        </w:rPr>
        <w:t xml:space="preserve">apply to </w:t>
      </w:r>
      <w:r w:rsidR="008707CB" w:rsidRPr="00573761">
        <w:rPr>
          <w:bCs/>
          <w:color w:val="000000"/>
          <w:sz w:val="26"/>
          <w:szCs w:val="26"/>
        </w:rPr>
        <w:t xml:space="preserve">its annual fiscal </w:t>
      </w:r>
      <w:r w:rsidR="00B654BB" w:rsidRPr="00573761">
        <w:rPr>
          <w:bCs/>
          <w:color w:val="000000"/>
          <w:sz w:val="26"/>
          <w:szCs w:val="26"/>
        </w:rPr>
        <w:t xml:space="preserve">assessment framework under </w:t>
      </w:r>
      <w:r w:rsidR="002762F8" w:rsidRPr="00573761">
        <w:rPr>
          <w:bCs/>
          <w:color w:val="000000"/>
          <w:sz w:val="26"/>
          <w:szCs w:val="26"/>
        </w:rPr>
        <w:t>Section 510</w:t>
      </w:r>
      <w:r w:rsidR="00B654BB" w:rsidRPr="00573761">
        <w:rPr>
          <w:bCs/>
          <w:color w:val="000000"/>
          <w:sz w:val="26"/>
          <w:szCs w:val="26"/>
        </w:rPr>
        <w:t>.</w:t>
      </w:r>
      <w:r w:rsidR="00D845B0" w:rsidRPr="00573761">
        <w:rPr>
          <w:bCs/>
          <w:color w:val="000000"/>
          <w:sz w:val="26"/>
          <w:szCs w:val="26"/>
        </w:rPr>
        <w:t xml:space="preserve">  </w:t>
      </w:r>
      <w:r w:rsidR="00C76E83" w:rsidRPr="00573761">
        <w:rPr>
          <w:bCs/>
          <w:color w:val="000000"/>
          <w:sz w:val="26"/>
          <w:szCs w:val="26"/>
        </w:rPr>
        <w:t xml:space="preserve">These commenters </w:t>
      </w:r>
      <w:r w:rsidR="00D845B0" w:rsidRPr="00573761">
        <w:rPr>
          <w:bCs/>
          <w:color w:val="000000"/>
          <w:sz w:val="26"/>
          <w:szCs w:val="26"/>
        </w:rPr>
        <w:t xml:space="preserve">claim that </w:t>
      </w:r>
      <w:r w:rsidR="00D845B0" w:rsidRPr="00573761">
        <w:rPr>
          <w:color w:val="000000"/>
          <w:sz w:val="26"/>
          <w:szCs w:val="26"/>
        </w:rPr>
        <w:t xml:space="preserve">all of the revenue the Commission proposes to reclassify as </w:t>
      </w:r>
      <w:r w:rsidR="003836D5" w:rsidRPr="00573761">
        <w:rPr>
          <w:color w:val="000000"/>
          <w:sz w:val="26"/>
          <w:szCs w:val="26"/>
        </w:rPr>
        <w:t>“</w:t>
      </w:r>
      <w:r w:rsidR="00D845B0" w:rsidRPr="00573761">
        <w:rPr>
          <w:i/>
          <w:iCs/>
          <w:color w:val="000000"/>
          <w:sz w:val="26"/>
          <w:szCs w:val="26"/>
        </w:rPr>
        <w:t>de facto</w:t>
      </w:r>
      <w:r w:rsidR="00D845B0" w:rsidRPr="00573761">
        <w:rPr>
          <w:color w:val="000000"/>
          <w:sz w:val="26"/>
          <w:szCs w:val="26"/>
        </w:rPr>
        <w:t xml:space="preserve"> intrastate operating revenue</w:t>
      </w:r>
      <w:r w:rsidR="003836D5" w:rsidRPr="00573761">
        <w:rPr>
          <w:color w:val="000000"/>
          <w:sz w:val="26"/>
          <w:szCs w:val="26"/>
        </w:rPr>
        <w:t>”</w:t>
      </w:r>
      <w:r w:rsidR="00D845B0" w:rsidRPr="00573761">
        <w:rPr>
          <w:color w:val="000000"/>
          <w:sz w:val="26"/>
          <w:szCs w:val="26"/>
        </w:rPr>
        <w:t xml:space="preserve"> is expressly classified as interstate by the FCC and is required to be reported </w:t>
      </w:r>
      <w:r w:rsidR="00D65F63" w:rsidRPr="00573761">
        <w:rPr>
          <w:color w:val="000000"/>
          <w:sz w:val="26"/>
          <w:szCs w:val="26"/>
        </w:rPr>
        <w:t xml:space="preserve">as such </w:t>
      </w:r>
      <w:r w:rsidR="00D845B0" w:rsidRPr="00573761">
        <w:rPr>
          <w:color w:val="000000"/>
          <w:sz w:val="26"/>
          <w:szCs w:val="26"/>
        </w:rPr>
        <w:t>for purposes of federal assessments</w:t>
      </w:r>
      <w:r w:rsidR="008F1183" w:rsidRPr="00573761">
        <w:rPr>
          <w:color w:val="000000"/>
          <w:sz w:val="26"/>
          <w:szCs w:val="26"/>
        </w:rPr>
        <w:t>,</w:t>
      </w:r>
      <w:r w:rsidR="008F1183" w:rsidRPr="00573761">
        <w:rPr>
          <w:bCs/>
          <w:color w:val="000000"/>
          <w:sz w:val="26"/>
          <w:szCs w:val="26"/>
        </w:rPr>
        <w:t xml:space="preserve"> b</w:t>
      </w:r>
      <w:r w:rsidR="008F1183" w:rsidRPr="00573761">
        <w:rPr>
          <w:color w:val="000000"/>
          <w:sz w:val="26"/>
          <w:szCs w:val="26"/>
        </w:rPr>
        <w:t xml:space="preserve">ased on the </w:t>
      </w:r>
      <w:r w:rsidR="008F1183" w:rsidRPr="00573761">
        <w:rPr>
          <w:i/>
          <w:iCs/>
          <w:color w:val="000000"/>
          <w:sz w:val="26"/>
          <w:szCs w:val="26"/>
        </w:rPr>
        <w:t>1997</w:t>
      </w:r>
      <w:r w:rsidR="008F1183" w:rsidRPr="00573761">
        <w:rPr>
          <w:color w:val="000000"/>
          <w:sz w:val="26"/>
          <w:szCs w:val="26"/>
        </w:rPr>
        <w:t xml:space="preserve"> </w:t>
      </w:r>
      <w:r w:rsidR="008F1183" w:rsidRPr="00573761">
        <w:rPr>
          <w:i/>
          <w:color w:val="000000"/>
          <w:sz w:val="26"/>
          <w:szCs w:val="26"/>
        </w:rPr>
        <w:t xml:space="preserve">Universal Service First Report and Order, </w:t>
      </w:r>
      <w:r w:rsidR="008F1183" w:rsidRPr="00573761">
        <w:rPr>
          <w:color w:val="000000"/>
          <w:sz w:val="26"/>
          <w:szCs w:val="26"/>
        </w:rPr>
        <w:t xml:space="preserve">the instructions to FCC Form 499-A, and the </w:t>
      </w:r>
      <w:r w:rsidR="008F1183" w:rsidRPr="00573761">
        <w:rPr>
          <w:i/>
          <w:iCs/>
          <w:color w:val="000000"/>
          <w:sz w:val="26"/>
          <w:szCs w:val="26"/>
        </w:rPr>
        <w:t>2017</w:t>
      </w:r>
      <w:r w:rsidR="008F1183" w:rsidRPr="00573761">
        <w:rPr>
          <w:color w:val="000000"/>
          <w:sz w:val="26"/>
          <w:szCs w:val="26"/>
        </w:rPr>
        <w:t xml:space="preserve"> </w:t>
      </w:r>
      <w:r w:rsidR="008F1183" w:rsidRPr="00573761">
        <w:rPr>
          <w:i/>
          <w:color w:val="000000"/>
          <w:sz w:val="26"/>
          <w:szCs w:val="26"/>
        </w:rPr>
        <w:t>Ten Percent Rule Audit Order</w:t>
      </w:r>
      <w:r w:rsidR="00D845B0" w:rsidRPr="00573761">
        <w:rPr>
          <w:color w:val="000000"/>
          <w:sz w:val="26"/>
          <w:szCs w:val="26"/>
        </w:rPr>
        <w:t>.</w:t>
      </w:r>
      <w:r w:rsidR="00135557" w:rsidRPr="00573761">
        <w:rPr>
          <w:bCs/>
          <w:color w:val="000000"/>
          <w:sz w:val="26"/>
          <w:szCs w:val="26"/>
        </w:rPr>
        <w:t xml:space="preserve">  </w:t>
      </w:r>
    </w:p>
    <w:p w14:paraId="36BA2B3A" w14:textId="77777777" w:rsidR="00CB5562" w:rsidRPr="00573761" w:rsidRDefault="00CB5562" w:rsidP="0013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086D5AF6" w14:textId="13B5778B" w:rsidR="00073612" w:rsidRPr="00573761" w:rsidRDefault="00CB5562" w:rsidP="0007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Many telecommunications carriers use their networks and other resources to provide both interstate and intrastate services.  Over thirty years ago, in the </w:t>
      </w:r>
      <w:r w:rsidR="00073612" w:rsidRPr="00573761">
        <w:rPr>
          <w:bCs/>
          <w:i/>
          <w:iCs/>
          <w:color w:val="000000"/>
          <w:sz w:val="26"/>
          <w:szCs w:val="26"/>
        </w:rPr>
        <w:t>Ten Percent Rule Order</w:t>
      </w:r>
      <w:r w:rsidR="00073612" w:rsidRPr="00573761">
        <w:rPr>
          <w:bCs/>
          <w:color w:val="000000"/>
          <w:sz w:val="26"/>
          <w:szCs w:val="26"/>
        </w:rPr>
        <w:t xml:space="preserve">, </w:t>
      </w:r>
      <w:r w:rsidRPr="00573761">
        <w:rPr>
          <w:bCs/>
          <w:color w:val="000000"/>
          <w:sz w:val="26"/>
          <w:szCs w:val="26"/>
        </w:rPr>
        <w:t>the FCC established “jurisdictional separations” rules in order to help telecommunications carriers apportion the costs of their regulated services between the interstate or intrastate jurisdictions in a manner that reflects the relative use of their networks to provide interstate or intrastate services.</w:t>
      </w:r>
      <w:r w:rsidR="00073612" w:rsidRPr="00573761">
        <w:rPr>
          <w:rStyle w:val="FootnoteReference"/>
          <w:bCs/>
          <w:color w:val="000000"/>
          <w:sz w:val="26"/>
          <w:szCs w:val="26"/>
        </w:rPr>
        <w:footnoteReference w:id="46"/>
      </w:r>
      <w:r w:rsidRPr="00573761">
        <w:rPr>
          <w:bCs/>
          <w:color w:val="000000"/>
          <w:sz w:val="26"/>
          <w:szCs w:val="26"/>
        </w:rPr>
        <w:t xml:space="preserve">  The Commission acknowledges that under the FCC’s ten percent rule, </w:t>
      </w:r>
      <w:r w:rsidR="006B4C1A" w:rsidRPr="00573761">
        <w:rPr>
          <w:bCs/>
          <w:color w:val="000000"/>
          <w:sz w:val="26"/>
          <w:szCs w:val="26"/>
        </w:rPr>
        <w:t xml:space="preserve">for federal purposes, </w:t>
      </w:r>
      <w:r w:rsidRPr="00573761">
        <w:rPr>
          <w:bCs/>
          <w:color w:val="000000"/>
          <w:sz w:val="26"/>
          <w:szCs w:val="26"/>
        </w:rPr>
        <w:t xml:space="preserve">if the interstate traffic over a mixed-use access line is claimed to exceed ten percent, the costs of that private line </w:t>
      </w:r>
      <w:r w:rsidR="00F80D6B" w:rsidRPr="00573761">
        <w:rPr>
          <w:bCs/>
          <w:color w:val="000000"/>
          <w:sz w:val="26"/>
          <w:szCs w:val="26"/>
        </w:rPr>
        <w:t xml:space="preserve">are </w:t>
      </w:r>
      <w:r w:rsidRPr="00573761">
        <w:rPr>
          <w:bCs/>
          <w:color w:val="000000"/>
          <w:sz w:val="26"/>
          <w:szCs w:val="26"/>
        </w:rPr>
        <w:t>apportioned to interstate jurisdiction.</w:t>
      </w:r>
      <w:r w:rsidR="00073612" w:rsidRPr="00573761">
        <w:rPr>
          <w:rStyle w:val="FootnoteReference"/>
          <w:bCs/>
          <w:color w:val="000000"/>
          <w:sz w:val="26"/>
          <w:szCs w:val="26"/>
        </w:rPr>
        <w:footnoteReference w:id="47"/>
      </w:r>
      <w:r w:rsidRPr="00573761">
        <w:rPr>
          <w:bCs/>
          <w:color w:val="000000"/>
          <w:sz w:val="26"/>
          <w:szCs w:val="26"/>
        </w:rPr>
        <w:t xml:space="preserve">  </w:t>
      </w:r>
    </w:p>
    <w:p w14:paraId="53282695" w14:textId="77777777" w:rsidR="00073612" w:rsidRPr="00573761" w:rsidRDefault="00073612" w:rsidP="00CB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45135F50" w14:textId="02AD1261" w:rsidR="000F369C" w:rsidRPr="00573761" w:rsidRDefault="000F369C" w:rsidP="000F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lang w:val="en"/>
        </w:rPr>
      </w:pPr>
      <w:r w:rsidRPr="00573761">
        <w:rPr>
          <w:bCs/>
          <w:color w:val="000000"/>
          <w:sz w:val="26"/>
          <w:szCs w:val="26"/>
        </w:rPr>
        <w:lastRenderedPageBreak/>
        <w:tab/>
        <w:t xml:space="preserve">The Commission also acknowledges that subsequently the FCC repurposed the ten percent rule in its 1997 </w:t>
      </w:r>
      <w:r w:rsidRPr="00573761">
        <w:rPr>
          <w:bCs/>
          <w:i/>
          <w:iCs/>
          <w:color w:val="000000"/>
          <w:sz w:val="26"/>
          <w:szCs w:val="26"/>
        </w:rPr>
        <w:t>Universal Service First Report and Order</w:t>
      </w:r>
      <w:r w:rsidRPr="00573761">
        <w:rPr>
          <w:bCs/>
          <w:color w:val="000000"/>
          <w:sz w:val="26"/>
          <w:szCs w:val="26"/>
        </w:rPr>
        <w:t xml:space="preserve">, so that not only are costs identifiable as interstate in those instances where over ten percent of the traffic carried by a private or WATS line is interstate but also the </w:t>
      </w:r>
      <w:r w:rsidRPr="00573761">
        <w:rPr>
          <w:bCs/>
          <w:i/>
          <w:iCs/>
          <w:color w:val="000000"/>
          <w:sz w:val="26"/>
          <w:szCs w:val="26"/>
        </w:rPr>
        <w:t xml:space="preserve">revenues </w:t>
      </w:r>
      <w:r w:rsidRPr="00573761">
        <w:rPr>
          <w:bCs/>
          <w:color w:val="000000"/>
          <w:sz w:val="26"/>
          <w:szCs w:val="26"/>
        </w:rPr>
        <w:t>generated by the entire line are also classified as interstate if the ten percent rule is implicated.</w:t>
      </w:r>
      <w:r w:rsidRPr="00573761">
        <w:rPr>
          <w:rStyle w:val="FootnoteReference"/>
          <w:bCs/>
          <w:color w:val="000000"/>
          <w:sz w:val="26"/>
          <w:szCs w:val="26"/>
        </w:rPr>
        <w:footnoteReference w:id="48"/>
      </w:r>
      <w:r w:rsidRPr="00573761">
        <w:rPr>
          <w:bCs/>
          <w:color w:val="000000"/>
          <w:sz w:val="26"/>
          <w:szCs w:val="26"/>
        </w:rPr>
        <w:t xml:space="preserve">  The FCC was under a statutory mandate to establish support mechanisms to ensure the delivery of affordable telecommunications service to all Americans, including low-income consumers, eligible schools and libraries, and rural health care providers.</w:t>
      </w:r>
      <w:r w:rsidRPr="00573761">
        <w:rPr>
          <w:rStyle w:val="FootnoteReference"/>
          <w:bCs/>
          <w:color w:val="000000"/>
          <w:sz w:val="26"/>
          <w:szCs w:val="26"/>
        </w:rPr>
        <w:footnoteReference w:id="49"/>
      </w:r>
      <w:r w:rsidRPr="00573761">
        <w:rPr>
          <w:bCs/>
          <w:color w:val="000000"/>
          <w:sz w:val="26"/>
          <w:szCs w:val="26"/>
        </w:rPr>
        <w:t xml:space="preserve">  Since this new universal </w:t>
      </w:r>
      <w:r w:rsidRPr="00573761">
        <w:rPr>
          <w:bCs/>
          <w:color w:val="000000"/>
          <w:sz w:val="26"/>
          <w:szCs w:val="26"/>
          <w:lang w:val="en"/>
        </w:rPr>
        <w:t>service mechanism was to</w:t>
      </w:r>
      <w:r w:rsidR="00A1679D">
        <w:rPr>
          <w:bCs/>
          <w:color w:val="000000"/>
          <w:sz w:val="26"/>
          <w:szCs w:val="26"/>
          <w:lang w:val="en"/>
        </w:rPr>
        <w:t xml:space="preserve"> be</w:t>
      </w:r>
      <w:r w:rsidRPr="00573761">
        <w:rPr>
          <w:bCs/>
          <w:color w:val="000000"/>
          <w:sz w:val="26"/>
          <w:szCs w:val="26"/>
          <w:lang w:val="en"/>
        </w:rPr>
        <w:t xml:space="preserve"> paid for by contributions from telecommunications carriers based o</w:t>
      </w:r>
      <w:r w:rsidR="00A1679D">
        <w:rPr>
          <w:bCs/>
          <w:color w:val="000000"/>
          <w:sz w:val="26"/>
          <w:szCs w:val="26"/>
          <w:lang w:val="en"/>
        </w:rPr>
        <w:t>n</w:t>
      </w:r>
      <w:r w:rsidRPr="00573761">
        <w:rPr>
          <w:bCs/>
          <w:color w:val="000000"/>
          <w:sz w:val="26"/>
          <w:szCs w:val="26"/>
          <w:lang w:val="en"/>
        </w:rPr>
        <w:t xml:space="preserve"> an assessment on their interstate end-user revenues</w:t>
      </w:r>
      <w:r w:rsidR="00AE047D" w:rsidRPr="00573761">
        <w:rPr>
          <w:bCs/>
          <w:color w:val="000000"/>
          <w:sz w:val="26"/>
          <w:szCs w:val="26"/>
          <w:lang w:val="en"/>
        </w:rPr>
        <w:t>,</w:t>
      </w:r>
      <w:r w:rsidRPr="00573761">
        <w:rPr>
          <w:rStyle w:val="FootnoteReference"/>
          <w:bCs/>
          <w:color w:val="000000"/>
          <w:sz w:val="26"/>
          <w:szCs w:val="26"/>
          <w:lang w:val="en"/>
        </w:rPr>
        <w:footnoteReference w:id="50"/>
      </w:r>
      <w:r w:rsidR="00AE047D" w:rsidRPr="00573761">
        <w:rPr>
          <w:bCs/>
          <w:color w:val="000000"/>
          <w:sz w:val="26"/>
          <w:szCs w:val="26"/>
          <w:lang w:val="en"/>
        </w:rPr>
        <w:t xml:space="preserve"> </w:t>
      </w:r>
      <w:r w:rsidRPr="00573761">
        <w:rPr>
          <w:bCs/>
          <w:color w:val="000000"/>
          <w:sz w:val="26"/>
          <w:szCs w:val="26"/>
          <w:lang w:val="en"/>
        </w:rPr>
        <w:t xml:space="preserve">the </w:t>
      </w:r>
      <w:r w:rsidRPr="00573761">
        <w:rPr>
          <w:bCs/>
          <w:color w:val="000000"/>
          <w:sz w:val="26"/>
          <w:szCs w:val="26"/>
        </w:rPr>
        <w:t xml:space="preserve">FCC decided to utilize the ten percent rule in order to help telecommunications carriers identify their interstate revenues in order to assist them in calculating their appropriate </w:t>
      </w:r>
      <w:r w:rsidRPr="00573761">
        <w:rPr>
          <w:bCs/>
          <w:color w:val="000000"/>
          <w:sz w:val="26"/>
          <w:szCs w:val="26"/>
          <w:lang w:val="en"/>
        </w:rPr>
        <w:t>contributions under the new universal service framework.</w:t>
      </w:r>
      <w:r w:rsidRPr="00573761">
        <w:rPr>
          <w:rStyle w:val="FootnoteReference"/>
          <w:bCs/>
          <w:color w:val="000000"/>
          <w:sz w:val="26"/>
          <w:szCs w:val="26"/>
          <w:lang w:val="en"/>
        </w:rPr>
        <w:footnoteReference w:id="51"/>
      </w:r>
      <w:r w:rsidRPr="00573761">
        <w:rPr>
          <w:bCs/>
          <w:color w:val="000000"/>
          <w:sz w:val="26"/>
          <w:szCs w:val="26"/>
          <w:lang w:val="en"/>
        </w:rPr>
        <w:t xml:space="preserve">  </w:t>
      </w:r>
    </w:p>
    <w:p w14:paraId="543C5933" w14:textId="7E8E792B" w:rsidR="000F369C" w:rsidRPr="00573761" w:rsidRDefault="000F369C" w:rsidP="000F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Accordingly, the ten percent rule</w:t>
      </w:r>
      <w:r w:rsidR="00A1679D">
        <w:rPr>
          <w:bCs/>
          <w:color w:val="000000"/>
          <w:sz w:val="26"/>
          <w:szCs w:val="26"/>
        </w:rPr>
        <w:t xml:space="preserve"> is a jurisdictional separations rule that</w:t>
      </w:r>
      <w:r w:rsidRPr="00573761">
        <w:rPr>
          <w:bCs/>
          <w:color w:val="000000"/>
          <w:sz w:val="26"/>
          <w:szCs w:val="26"/>
        </w:rPr>
        <w:t xml:space="preserve"> assists telecommunication carriers to accurately apportion the costs that </w:t>
      </w:r>
      <w:r w:rsidRPr="00573761">
        <w:rPr>
          <w:bCs/>
          <w:color w:val="000000"/>
          <w:sz w:val="26"/>
          <w:szCs w:val="26"/>
          <w:lang w:val="en"/>
        </w:rPr>
        <w:t xml:space="preserve">shall be recovered from all subscribers </w:t>
      </w:r>
      <w:r w:rsidRPr="00573761">
        <w:rPr>
          <w:bCs/>
          <w:color w:val="000000"/>
          <w:sz w:val="26"/>
          <w:szCs w:val="26"/>
        </w:rPr>
        <w:t xml:space="preserve">of the jurisdictionally mixed-use private lines and also to identify the appropriate interstate revenue on that same jurisdictionally mixed-use private line in order to help them calculate their </w:t>
      </w:r>
      <w:r w:rsidR="00F80D6B" w:rsidRPr="00573761">
        <w:rPr>
          <w:bCs/>
          <w:color w:val="000000"/>
          <w:sz w:val="26"/>
          <w:szCs w:val="26"/>
        </w:rPr>
        <w:t xml:space="preserve">FUSF </w:t>
      </w:r>
      <w:r w:rsidRPr="00573761">
        <w:rPr>
          <w:bCs/>
          <w:color w:val="000000"/>
          <w:sz w:val="26"/>
          <w:szCs w:val="26"/>
        </w:rPr>
        <w:t xml:space="preserve">contributions.  </w:t>
      </w:r>
    </w:p>
    <w:p w14:paraId="138E57E0" w14:textId="77777777" w:rsidR="000F369C" w:rsidRPr="00573761" w:rsidRDefault="000F369C" w:rsidP="000F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0E34DA60" w14:textId="3CD2C6A9" w:rsidR="000F369C" w:rsidRPr="00573761" w:rsidRDefault="000F369C" w:rsidP="000F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Since then, it should be noted that the ten percent rule has been specifically utilized to assist telecommunications carriers </w:t>
      </w:r>
      <w:r w:rsidR="00AE047D" w:rsidRPr="00573761">
        <w:rPr>
          <w:bCs/>
          <w:color w:val="000000"/>
          <w:sz w:val="26"/>
          <w:szCs w:val="26"/>
        </w:rPr>
        <w:t xml:space="preserve">to </w:t>
      </w:r>
      <w:r w:rsidR="00E644B0">
        <w:rPr>
          <w:bCs/>
          <w:color w:val="000000"/>
          <w:sz w:val="26"/>
          <w:szCs w:val="26"/>
        </w:rPr>
        <w:t xml:space="preserve">also </w:t>
      </w:r>
      <w:r w:rsidRPr="00573761">
        <w:rPr>
          <w:bCs/>
          <w:color w:val="000000"/>
          <w:sz w:val="26"/>
          <w:szCs w:val="26"/>
        </w:rPr>
        <w:t xml:space="preserve">identify their interstate revenues from </w:t>
      </w:r>
      <w:r w:rsidR="00AE047D" w:rsidRPr="00573761">
        <w:rPr>
          <w:bCs/>
          <w:color w:val="000000"/>
          <w:sz w:val="26"/>
          <w:szCs w:val="26"/>
        </w:rPr>
        <w:t>j</w:t>
      </w:r>
      <w:r w:rsidRPr="00573761">
        <w:rPr>
          <w:bCs/>
          <w:color w:val="000000"/>
          <w:sz w:val="26"/>
          <w:szCs w:val="26"/>
        </w:rPr>
        <w:t>urisdictionally mixed-use private line</w:t>
      </w:r>
      <w:r w:rsidR="00AE047D" w:rsidRPr="00573761">
        <w:rPr>
          <w:bCs/>
          <w:color w:val="000000"/>
          <w:sz w:val="26"/>
          <w:szCs w:val="26"/>
        </w:rPr>
        <w:t>s</w:t>
      </w:r>
      <w:r w:rsidRPr="00573761">
        <w:rPr>
          <w:bCs/>
          <w:color w:val="000000"/>
          <w:sz w:val="26"/>
          <w:szCs w:val="26"/>
        </w:rPr>
        <w:t xml:space="preserve"> so that they can calculate their contributions, which are a percentage of that interstate end-user revenue, to </w:t>
      </w:r>
      <w:r w:rsidR="00F80D6B" w:rsidRPr="00573761">
        <w:rPr>
          <w:bCs/>
          <w:color w:val="000000"/>
          <w:sz w:val="26"/>
          <w:szCs w:val="26"/>
        </w:rPr>
        <w:t>additional</w:t>
      </w:r>
      <w:r w:rsidR="00C76E83" w:rsidRPr="00573761">
        <w:rPr>
          <w:bCs/>
          <w:color w:val="000000"/>
          <w:sz w:val="26"/>
          <w:szCs w:val="26"/>
        </w:rPr>
        <w:t xml:space="preserve"> </w:t>
      </w:r>
      <w:r w:rsidR="00F80D6B" w:rsidRPr="00573761">
        <w:rPr>
          <w:bCs/>
          <w:color w:val="000000"/>
          <w:sz w:val="26"/>
          <w:szCs w:val="26"/>
        </w:rPr>
        <w:t xml:space="preserve">specific </w:t>
      </w:r>
      <w:r w:rsidRPr="00573761">
        <w:rPr>
          <w:bCs/>
          <w:color w:val="000000"/>
          <w:sz w:val="26"/>
          <w:szCs w:val="26"/>
        </w:rPr>
        <w:t>federal programs such as the federal Telecommunications Relay Services Fund (TRS) 47 C.F.R. §</w:t>
      </w:r>
      <w:r w:rsidR="00E644B0">
        <w:rPr>
          <w:bCs/>
          <w:color w:val="000000"/>
          <w:sz w:val="26"/>
          <w:szCs w:val="26"/>
        </w:rPr>
        <w:t> </w:t>
      </w:r>
      <w:r w:rsidRPr="00573761">
        <w:rPr>
          <w:bCs/>
          <w:color w:val="000000"/>
          <w:sz w:val="26"/>
          <w:szCs w:val="26"/>
        </w:rPr>
        <w:t xml:space="preserve">64.604(c)(5)(i)-(iii); the administration of the North American Numbering Plan (NANPA) 47 C.F.R. § 52.17; the shared costs of local number portability administration </w:t>
      </w:r>
      <w:r w:rsidRPr="00573761">
        <w:rPr>
          <w:bCs/>
          <w:color w:val="000000"/>
          <w:sz w:val="26"/>
          <w:szCs w:val="26"/>
        </w:rPr>
        <w:lastRenderedPageBreak/>
        <w:t>(LNPA) 47 C.F.R. §</w:t>
      </w:r>
      <w:r w:rsidR="00E644B0">
        <w:rPr>
          <w:bCs/>
          <w:color w:val="000000"/>
          <w:sz w:val="26"/>
          <w:szCs w:val="26"/>
        </w:rPr>
        <w:t xml:space="preserve"> </w:t>
      </w:r>
      <w:r w:rsidRPr="00573761">
        <w:rPr>
          <w:bCs/>
          <w:color w:val="000000"/>
          <w:sz w:val="26"/>
          <w:szCs w:val="26"/>
        </w:rPr>
        <w:t>52.32; and assessments of Interstate Telecommunications Service Provider (ITSP) regulatory fees</w:t>
      </w:r>
      <w:r w:rsidRPr="00573761">
        <w:rPr>
          <w:bCs/>
          <w:color w:val="000000"/>
          <w:sz w:val="26"/>
          <w:szCs w:val="26"/>
          <w:lang w:val="en"/>
        </w:rPr>
        <w:t xml:space="preserve"> 47 U.S.C. §</w:t>
      </w:r>
      <w:r w:rsidR="00E644B0">
        <w:rPr>
          <w:bCs/>
          <w:color w:val="000000"/>
          <w:sz w:val="26"/>
          <w:szCs w:val="26"/>
          <w:lang w:val="en"/>
        </w:rPr>
        <w:t xml:space="preserve"> </w:t>
      </w:r>
      <w:r w:rsidRPr="00573761">
        <w:rPr>
          <w:bCs/>
          <w:color w:val="000000"/>
          <w:sz w:val="26"/>
          <w:szCs w:val="26"/>
          <w:lang w:val="en"/>
        </w:rPr>
        <w:t>159(b)(1)(B)</w:t>
      </w:r>
      <w:r w:rsidRPr="00573761">
        <w:rPr>
          <w:bCs/>
          <w:color w:val="000000"/>
          <w:sz w:val="26"/>
          <w:szCs w:val="26"/>
        </w:rPr>
        <w:t xml:space="preserve">. </w:t>
      </w:r>
    </w:p>
    <w:p w14:paraId="15A1140C" w14:textId="66AB6EC3" w:rsidR="00CB5562" w:rsidRPr="00573761" w:rsidRDefault="00073612" w:rsidP="000F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p>
    <w:p w14:paraId="2474025C" w14:textId="3B7DC9E4" w:rsidR="00CB5562" w:rsidRPr="00573761" w:rsidRDefault="00CB5562" w:rsidP="00CB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0F369C" w:rsidRPr="00573761">
        <w:rPr>
          <w:bCs/>
          <w:color w:val="000000"/>
          <w:sz w:val="26"/>
          <w:szCs w:val="26"/>
        </w:rPr>
        <w:t>However, t</w:t>
      </w:r>
      <w:r w:rsidRPr="00573761">
        <w:rPr>
          <w:bCs/>
          <w:color w:val="000000"/>
          <w:sz w:val="26"/>
          <w:szCs w:val="26"/>
        </w:rPr>
        <w:t xml:space="preserve">he federal jurisdictional separations rule does not create an exemption to </w:t>
      </w:r>
      <w:r w:rsidR="006B4C1A" w:rsidRPr="00573761">
        <w:rPr>
          <w:bCs/>
          <w:color w:val="000000"/>
          <w:sz w:val="26"/>
          <w:szCs w:val="26"/>
        </w:rPr>
        <w:t xml:space="preserve">66 Pa. C.S. § 510 for </w:t>
      </w:r>
      <w:r w:rsidRPr="00573761">
        <w:rPr>
          <w:bCs/>
          <w:color w:val="000000"/>
          <w:sz w:val="26"/>
          <w:szCs w:val="26"/>
        </w:rPr>
        <w:t xml:space="preserve">the reporting of intrastate revenue associated with a jurisdictionally mixed-use private line where interstate traffic exceeds ten percent.  Even when interstate traffic is claimed to exceed ten percent on a private access line and the ten percent rule is implicated, a jurisdictional telecommunications carrier cannot rely on the federal jurisdictional separations rules as a means to refuse to report its </w:t>
      </w:r>
      <w:r w:rsidRPr="00573761">
        <w:rPr>
          <w:bCs/>
          <w:i/>
          <w:iCs/>
          <w:color w:val="000000"/>
          <w:sz w:val="26"/>
          <w:szCs w:val="26"/>
        </w:rPr>
        <w:t>de facto</w:t>
      </w:r>
      <w:r w:rsidRPr="00573761">
        <w:rPr>
          <w:bCs/>
          <w:color w:val="000000"/>
          <w:sz w:val="26"/>
          <w:szCs w:val="26"/>
        </w:rPr>
        <w:t xml:space="preserve"> or actual intrastate revenue associated with a jurisdictionally mixed-use access line.  Some percentage of the total revenue associated with that particular private line must be </w:t>
      </w:r>
      <w:r w:rsidRPr="00573761">
        <w:rPr>
          <w:bCs/>
          <w:i/>
          <w:iCs/>
          <w:color w:val="000000"/>
          <w:sz w:val="26"/>
          <w:szCs w:val="26"/>
        </w:rPr>
        <w:t>de facto</w:t>
      </w:r>
      <w:r w:rsidRPr="00573761">
        <w:rPr>
          <w:bCs/>
          <w:color w:val="000000"/>
          <w:sz w:val="26"/>
          <w:szCs w:val="26"/>
        </w:rPr>
        <w:t xml:space="preserve"> intrastate revenue that should be reported as a part of the overall gross intrastate operating revenues set forth in the Section 510 assessment report filed with the Commission’s Fiscal Office if the carrier holds a state CPC. </w:t>
      </w:r>
    </w:p>
    <w:p w14:paraId="1762E44A" w14:textId="77777777" w:rsidR="00073612" w:rsidRPr="00573761" w:rsidRDefault="00073612" w:rsidP="00CB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25DFA3D5" w14:textId="0E3D713B" w:rsidR="008F1183" w:rsidRPr="00573761" w:rsidRDefault="00CB5562" w:rsidP="00CB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Moreover, </w:t>
      </w:r>
      <w:r w:rsidR="00C76E83" w:rsidRPr="00573761">
        <w:rPr>
          <w:sz w:val="26"/>
          <w:szCs w:val="26"/>
          <w:lang w:val="en"/>
        </w:rPr>
        <w:t xml:space="preserve">the </w:t>
      </w:r>
      <w:r w:rsidR="00C76E83" w:rsidRPr="00573761">
        <w:rPr>
          <w:sz w:val="26"/>
          <w:szCs w:val="26"/>
        </w:rPr>
        <w:t xml:space="preserve">ten percent contamination rule </w:t>
      </w:r>
      <w:r w:rsidR="00C76E83" w:rsidRPr="00573761">
        <w:rPr>
          <w:sz w:val="26"/>
          <w:szCs w:val="26"/>
          <w:lang w:val="en"/>
        </w:rPr>
        <w:t>does not preempt or otherwise preclude</w:t>
      </w:r>
      <w:r w:rsidR="00C76E83" w:rsidRPr="00573761">
        <w:rPr>
          <w:sz w:val="26"/>
          <w:szCs w:val="26"/>
        </w:rPr>
        <w:t xml:space="preserve"> the Commission from imposing annual fiscal assessments to cover its costs related to the regulation of </w:t>
      </w:r>
      <w:r w:rsidR="00F80D6B" w:rsidRPr="00573761">
        <w:rPr>
          <w:sz w:val="26"/>
          <w:szCs w:val="26"/>
        </w:rPr>
        <w:t xml:space="preserve">state certificated </w:t>
      </w:r>
      <w:r w:rsidR="00C76E83" w:rsidRPr="00573761">
        <w:rPr>
          <w:sz w:val="26"/>
          <w:szCs w:val="26"/>
        </w:rPr>
        <w:t>telecommunications public utilities in Pennsylvania.</w:t>
      </w:r>
      <w:r w:rsidR="00C76E83" w:rsidRPr="00573761">
        <w:t xml:space="preserve">  </w:t>
      </w:r>
      <w:r w:rsidR="00C76E83" w:rsidRPr="00573761">
        <w:rPr>
          <w:bCs/>
          <w:color w:val="000000"/>
          <w:sz w:val="26"/>
          <w:szCs w:val="26"/>
        </w:rPr>
        <w:t>T</w:t>
      </w:r>
      <w:r w:rsidR="00135557" w:rsidRPr="00573761">
        <w:rPr>
          <w:bCs/>
          <w:color w:val="000000"/>
          <w:sz w:val="26"/>
          <w:szCs w:val="26"/>
        </w:rPr>
        <w:t>he preemptive effect</w:t>
      </w:r>
      <w:r w:rsidR="00E51A02" w:rsidRPr="00573761">
        <w:rPr>
          <w:bCs/>
          <w:color w:val="000000"/>
          <w:sz w:val="26"/>
          <w:szCs w:val="26"/>
        </w:rPr>
        <w:t>s</w:t>
      </w:r>
      <w:r w:rsidR="00135557" w:rsidRPr="00573761">
        <w:rPr>
          <w:bCs/>
          <w:color w:val="000000"/>
          <w:sz w:val="26"/>
          <w:szCs w:val="26"/>
        </w:rPr>
        <w:t xml:space="preserve"> of the Supremacy Clause</w:t>
      </w:r>
      <w:r w:rsidR="00106E0C" w:rsidRPr="00573761">
        <w:rPr>
          <w:rStyle w:val="FootnoteReference"/>
          <w:bCs/>
          <w:color w:val="000000"/>
          <w:sz w:val="26"/>
          <w:szCs w:val="26"/>
        </w:rPr>
        <w:footnoteReference w:id="52"/>
      </w:r>
      <w:r w:rsidR="00135557" w:rsidRPr="00573761">
        <w:rPr>
          <w:bCs/>
          <w:color w:val="000000"/>
          <w:sz w:val="26"/>
          <w:szCs w:val="26"/>
        </w:rPr>
        <w:t xml:space="preserve"> and the restraint of the Commerce Clause</w:t>
      </w:r>
      <w:r w:rsidR="00106E0C" w:rsidRPr="00573761">
        <w:rPr>
          <w:rStyle w:val="FootnoteReference"/>
          <w:bCs/>
          <w:color w:val="000000"/>
          <w:sz w:val="26"/>
          <w:szCs w:val="26"/>
        </w:rPr>
        <w:footnoteReference w:id="53"/>
      </w:r>
      <w:r w:rsidR="00135557" w:rsidRPr="00573761">
        <w:rPr>
          <w:bCs/>
          <w:color w:val="000000"/>
          <w:sz w:val="26"/>
          <w:szCs w:val="26"/>
        </w:rPr>
        <w:t xml:space="preserve"> </w:t>
      </w:r>
      <w:r w:rsidRPr="00573761">
        <w:rPr>
          <w:bCs/>
          <w:color w:val="000000"/>
          <w:sz w:val="26"/>
          <w:szCs w:val="26"/>
        </w:rPr>
        <w:t xml:space="preserve">do not </w:t>
      </w:r>
      <w:r w:rsidR="00135557" w:rsidRPr="00573761">
        <w:rPr>
          <w:bCs/>
          <w:color w:val="000000"/>
          <w:sz w:val="26"/>
          <w:szCs w:val="26"/>
        </w:rPr>
        <w:t xml:space="preserve">prevent a state regulatory agency from </w:t>
      </w:r>
      <w:r w:rsidR="006B4C1A" w:rsidRPr="00573761">
        <w:rPr>
          <w:bCs/>
          <w:color w:val="000000"/>
          <w:sz w:val="26"/>
          <w:szCs w:val="26"/>
        </w:rPr>
        <w:t>applying a uniform methodology to develop an</w:t>
      </w:r>
      <w:r w:rsidR="002762F8" w:rsidRPr="00573761">
        <w:rPr>
          <w:bCs/>
          <w:color w:val="000000"/>
          <w:sz w:val="26"/>
          <w:szCs w:val="26"/>
        </w:rPr>
        <w:t xml:space="preserve"> </w:t>
      </w:r>
      <w:r w:rsidR="00135557" w:rsidRPr="00573761">
        <w:rPr>
          <w:bCs/>
          <w:color w:val="000000"/>
          <w:sz w:val="26"/>
          <w:szCs w:val="26"/>
        </w:rPr>
        <w:t xml:space="preserve">annual fiscal assessment </w:t>
      </w:r>
      <w:r w:rsidR="000707E0" w:rsidRPr="00573761">
        <w:rPr>
          <w:bCs/>
          <w:color w:val="000000"/>
          <w:sz w:val="26"/>
          <w:szCs w:val="26"/>
        </w:rPr>
        <w:t xml:space="preserve">to recover </w:t>
      </w:r>
      <w:r w:rsidR="006B4C1A" w:rsidRPr="00573761">
        <w:rPr>
          <w:bCs/>
          <w:color w:val="000000"/>
          <w:sz w:val="26"/>
          <w:szCs w:val="26"/>
        </w:rPr>
        <w:t xml:space="preserve">regulatory costs </w:t>
      </w:r>
      <w:r w:rsidR="00FD1150" w:rsidRPr="00573761">
        <w:rPr>
          <w:bCs/>
          <w:color w:val="000000"/>
          <w:sz w:val="26"/>
          <w:szCs w:val="26"/>
        </w:rPr>
        <w:t xml:space="preserve">caused by </w:t>
      </w:r>
      <w:r w:rsidR="000707E0" w:rsidRPr="00573761">
        <w:rPr>
          <w:bCs/>
          <w:color w:val="000000"/>
          <w:sz w:val="26"/>
          <w:szCs w:val="26"/>
        </w:rPr>
        <w:t>telecommunications carrier</w:t>
      </w:r>
      <w:r w:rsidR="002762F8" w:rsidRPr="00573761">
        <w:rPr>
          <w:bCs/>
          <w:color w:val="000000"/>
          <w:sz w:val="26"/>
          <w:szCs w:val="26"/>
        </w:rPr>
        <w:t>s</w:t>
      </w:r>
      <w:r w:rsidR="000707E0" w:rsidRPr="00573761">
        <w:rPr>
          <w:bCs/>
          <w:color w:val="000000"/>
          <w:sz w:val="26"/>
          <w:szCs w:val="26"/>
        </w:rPr>
        <w:t xml:space="preserve"> </w:t>
      </w:r>
      <w:r w:rsidR="00CE7E3A" w:rsidRPr="00573761">
        <w:rPr>
          <w:bCs/>
          <w:color w:val="000000"/>
          <w:sz w:val="26"/>
          <w:szCs w:val="26"/>
        </w:rPr>
        <w:t>who invoke this Commission’s jurisdiction by applying for</w:t>
      </w:r>
      <w:r w:rsidR="00FD1150" w:rsidRPr="00573761">
        <w:rPr>
          <w:bCs/>
          <w:color w:val="000000"/>
          <w:sz w:val="26"/>
          <w:szCs w:val="26"/>
        </w:rPr>
        <w:t>,</w:t>
      </w:r>
      <w:r w:rsidR="00CE7E3A" w:rsidRPr="00573761">
        <w:rPr>
          <w:bCs/>
          <w:color w:val="000000"/>
          <w:sz w:val="26"/>
          <w:szCs w:val="26"/>
        </w:rPr>
        <w:t xml:space="preserve"> </w:t>
      </w:r>
      <w:r w:rsidR="00E51A02" w:rsidRPr="00573761">
        <w:rPr>
          <w:bCs/>
          <w:color w:val="000000"/>
          <w:sz w:val="26"/>
          <w:szCs w:val="26"/>
        </w:rPr>
        <w:t>receiving</w:t>
      </w:r>
      <w:r w:rsidR="00FD1150" w:rsidRPr="00573761">
        <w:rPr>
          <w:bCs/>
          <w:color w:val="000000"/>
          <w:sz w:val="26"/>
          <w:szCs w:val="26"/>
        </w:rPr>
        <w:t xml:space="preserve">, and subsequently operating under a </w:t>
      </w:r>
      <w:r w:rsidR="00CE7E3A" w:rsidRPr="00573761">
        <w:rPr>
          <w:bCs/>
          <w:color w:val="000000"/>
          <w:sz w:val="26"/>
          <w:szCs w:val="26"/>
        </w:rPr>
        <w:t>state</w:t>
      </w:r>
      <w:r w:rsidR="00FD1150" w:rsidRPr="00573761">
        <w:rPr>
          <w:bCs/>
          <w:color w:val="000000"/>
          <w:sz w:val="26"/>
          <w:szCs w:val="26"/>
        </w:rPr>
        <w:t>-issued</w:t>
      </w:r>
      <w:r w:rsidR="00CE7E3A" w:rsidRPr="00573761">
        <w:rPr>
          <w:bCs/>
          <w:color w:val="000000"/>
          <w:sz w:val="26"/>
          <w:szCs w:val="26"/>
        </w:rPr>
        <w:t xml:space="preserve"> CPC</w:t>
      </w:r>
      <w:r w:rsidR="00FD1150" w:rsidRPr="00573761">
        <w:rPr>
          <w:bCs/>
          <w:color w:val="000000"/>
          <w:sz w:val="26"/>
          <w:szCs w:val="26"/>
        </w:rPr>
        <w:t>.</w:t>
      </w:r>
      <w:r w:rsidR="00CE7E3A" w:rsidRPr="00573761">
        <w:rPr>
          <w:bCs/>
          <w:color w:val="000000"/>
          <w:sz w:val="26"/>
          <w:szCs w:val="26"/>
        </w:rPr>
        <w:t xml:space="preserve"> </w:t>
      </w:r>
      <w:r w:rsidR="00FD1150" w:rsidRPr="00573761">
        <w:rPr>
          <w:bCs/>
          <w:color w:val="000000"/>
          <w:sz w:val="26"/>
          <w:szCs w:val="26"/>
        </w:rPr>
        <w:t xml:space="preserve">  </w:t>
      </w:r>
    </w:p>
    <w:p w14:paraId="75CEF04C" w14:textId="77777777" w:rsidR="008F1183" w:rsidRPr="00573761" w:rsidRDefault="008F1183" w:rsidP="0013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5D88100D" w14:textId="35CA7AAB" w:rsidR="00073612" w:rsidRPr="00573761" w:rsidRDefault="00073612" w:rsidP="0007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It is generally accepted that the Supremacy Clause invalidates all state laws that conflict or interfere with an act of Congress.  </w:t>
      </w:r>
      <w:r w:rsidRPr="00573761">
        <w:rPr>
          <w:bCs/>
          <w:i/>
          <w:iCs/>
          <w:color w:val="000000"/>
          <w:sz w:val="26"/>
          <w:szCs w:val="26"/>
        </w:rPr>
        <w:t>Rose v. Arkansas State Police</w:t>
      </w:r>
      <w:r w:rsidRPr="00573761">
        <w:rPr>
          <w:bCs/>
          <w:color w:val="000000"/>
          <w:sz w:val="26"/>
          <w:szCs w:val="26"/>
        </w:rPr>
        <w:t xml:space="preserve">, 479 U.S. 1, 3 (1986).  Administrative regulations promulgated pursuant to Congressional authorization </w:t>
      </w:r>
      <w:r w:rsidRPr="00573761">
        <w:rPr>
          <w:bCs/>
          <w:color w:val="000000"/>
          <w:sz w:val="26"/>
          <w:szCs w:val="26"/>
        </w:rPr>
        <w:lastRenderedPageBreak/>
        <w:t xml:space="preserve">have the same preemptive effect as federal statutes.  </w:t>
      </w:r>
      <w:r w:rsidRPr="00573761">
        <w:rPr>
          <w:bCs/>
          <w:i/>
          <w:iCs/>
          <w:color w:val="000000"/>
          <w:sz w:val="26"/>
          <w:szCs w:val="26"/>
        </w:rPr>
        <w:t>Capital Cities Cable, Inc. v. Crisp</w:t>
      </w:r>
      <w:r w:rsidRPr="00573761">
        <w:rPr>
          <w:bCs/>
          <w:color w:val="000000"/>
          <w:sz w:val="26"/>
          <w:szCs w:val="26"/>
        </w:rPr>
        <w:t xml:space="preserve">, 467 U.S. 691, 699 (1984).  </w:t>
      </w:r>
      <w:r w:rsidR="00362810" w:rsidRPr="00573761">
        <w:rPr>
          <w:bCs/>
          <w:color w:val="000000"/>
          <w:sz w:val="26"/>
          <w:szCs w:val="26"/>
        </w:rPr>
        <w:t xml:space="preserve">The FCC’s jurisdictional separations rules do not preempt the Commission or limit the Commission’s authority to provide guidance so that the </w:t>
      </w:r>
      <w:r w:rsidR="00362810" w:rsidRPr="00573761">
        <w:rPr>
          <w:bCs/>
          <w:i/>
          <w:iCs/>
          <w:color w:val="000000"/>
          <w:sz w:val="26"/>
          <w:szCs w:val="26"/>
        </w:rPr>
        <w:t>de facto</w:t>
      </w:r>
      <w:r w:rsidR="00362810" w:rsidRPr="00573761">
        <w:rPr>
          <w:bCs/>
          <w:color w:val="000000"/>
          <w:sz w:val="26"/>
          <w:szCs w:val="26"/>
        </w:rPr>
        <w:t xml:space="preserve"> gross operating intrastate revenues from special access revenues deemed interstate after application of the ten percent rule are reported to the Commission’s Fiscal Office for assessment purposes.</w:t>
      </w:r>
    </w:p>
    <w:p w14:paraId="0167F4AE" w14:textId="77777777" w:rsidR="00A01FB8" w:rsidRPr="00573761" w:rsidRDefault="00A01FB8" w:rsidP="0007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3B6990C1" w14:textId="776EBAF6" w:rsidR="00073612" w:rsidRPr="00573761" w:rsidRDefault="00073612" w:rsidP="0007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Under the Supremacy Clause, federal law may preempt state law in any of three ways.  When enacting federal law, Congress can explicitly define the extent to which it intends to preempt state law.  Or, in the absence of express preemptive language, Congress can indicate an intent to occupy an entire field of regulation and by leaving no room for states to supplement the federal law.  Also, federal law can preempt state law when compliance with both state and federal law is impossible or when state law stands as an obstacle to the accomplishment and execution of the full purposes and objectives of Congress. </w:t>
      </w:r>
      <w:r w:rsidRPr="00573761">
        <w:rPr>
          <w:bCs/>
          <w:i/>
          <w:iCs/>
          <w:color w:val="000000"/>
          <w:sz w:val="26"/>
          <w:szCs w:val="26"/>
        </w:rPr>
        <w:t>Michigan Canners and Freezers Association, Inc. v. Agricultural Marketing and Bargaining Board</w:t>
      </w:r>
      <w:r w:rsidRPr="00573761">
        <w:rPr>
          <w:bCs/>
          <w:color w:val="000000"/>
          <w:sz w:val="26"/>
          <w:szCs w:val="26"/>
        </w:rPr>
        <w:t xml:space="preserve">, 467 U.S. 461, 469 (1984); </w:t>
      </w:r>
      <w:r w:rsidRPr="00573761">
        <w:rPr>
          <w:bCs/>
          <w:i/>
          <w:iCs/>
          <w:color w:val="000000"/>
          <w:sz w:val="26"/>
          <w:szCs w:val="26"/>
        </w:rPr>
        <w:t xml:space="preserve">Crisp, </w:t>
      </w:r>
      <w:r w:rsidRPr="00573761">
        <w:rPr>
          <w:bCs/>
          <w:color w:val="000000"/>
          <w:sz w:val="26"/>
          <w:szCs w:val="26"/>
        </w:rPr>
        <w:t>467 U.S. at 699</w:t>
      </w:r>
      <w:r w:rsidRPr="00573761">
        <w:rPr>
          <w:bCs/>
          <w:i/>
          <w:iCs/>
          <w:color w:val="000000"/>
          <w:sz w:val="26"/>
          <w:szCs w:val="26"/>
        </w:rPr>
        <w:t>.</w:t>
      </w:r>
    </w:p>
    <w:p w14:paraId="0446AFE4" w14:textId="77777777" w:rsidR="00073612" w:rsidRPr="00573761" w:rsidRDefault="00073612" w:rsidP="0013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46BFF5B5" w14:textId="13F1860E" w:rsidR="0019385C" w:rsidRPr="00573761" w:rsidRDefault="008F1183" w:rsidP="00193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19385C" w:rsidRPr="00573761">
        <w:rPr>
          <w:bCs/>
          <w:color w:val="000000"/>
          <w:sz w:val="26"/>
          <w:szCs w:val="26"/>
        </w:rPr>
        <w:t xml:space="preserve">The FCC’s jurisdictional separations rules do not expressly preempt the Commission’s annual assessment and do </w:t>
      </w:r>
      <w:r w:rsidR="0092560F" w:rsidRPr="00573761">
        <w:rPr>
          <w:bCs/>
          <w:color w:val="000000"/>
          <w:sz w:val="26"/>
          <w:szCs w:val="26"/>
        </w:rPr>
        <w:t xml:space="preserve">not </w:t>
      </w:r>
      <w:r w:rsidR="0019385C" w:rsidRPr="00573761">
        <w:rPr>
          <w:bCs/>
          <w:color w:val="000000"/>
          <w:sz w:val="26"/>
          <w:szCs w:val="26"/>
        </w:rPr>
        <w:t xml:space="preserve">comprehensively govern the field of utility regulation, including state annual fiscal assessments.  Indeed, the federal interest in this area cannot be classified as dominant, given the historical right of the states to exercise police power over utilities.  Pursuant to the Code, the Commission is an independent administrative agency responsible for regulating jurisdictional telecommunications utilities, including imposing fiscal assessments under Section 510 of the Code to recover the costs of administering the Code.  Like the </w:t>
      </w:r>
      <w:r w:rsidR="0019385C" w:rsidRPr="00573761">
        <w:rPr>
          <w:bCs/>
          <w:i/>
          <w:color w:val="000000"/>
          <w:sz w:val="26"/>
          <w:szCs w:val="26"/>
        </w:rPr>
        <w:t>Scott</w:t>
      </w:r>
      <w:r w:rsidR="0019385C" w:rsidRPr="00573761">
        <w:rPr>
          <w:bCs/>
          <w:color w:val="000000"/>
          <w:sz w:val="26"/>
          <w:szCs w:val="26"/>
        </w:rPr>
        <w:t xml:space="preserve"> court determined, the FCC’s expressed intent to preempt state regulation on jurisdictionally-mixed services does not extend to performance measurements and standards.  </w:t>
      </w:r>
      <w:r w:rsidR="00F84BD7" w:rsidRPr="00573761">
        <w:rPr>
          <w:bCs/>
          <w:color w:val="000000"/>
          <w:sz w:val="26"/>
          <w:szCs w:val="26"/>
        </w:rPr>
        <w:t xml:space="preserve">As previously discussed, the ten percent rule has been specifically utilized to assist telecommunications carriers to identify their interstate revenues from jurisdictionally mixed-use private lines so that they can </w:t>
      </w:r>
      <w:r w:rsidR="00F84BD7" w:rsidRPr="00573761">
        <w:rPr>
          <w:bCs/>
          <w:color w:val="000000"/>
          <w:sz w:val="26"/>
          <w:szCs w:val="26"/>
        </w:rPr>
        <w:lastRenderedPageBreak/>
        <w:t xml:space="preserve">calculate their contributions to various federal programs.  </w:t>
      </w:r>
      <w:r w:rsidR="009208FF" w:rsidRPr="00573761">
        <w:rPr>
          <w:bCs/>
          <w:color w:val="000000"/>
          <w:sz w:val="26"/>
          <w:szCs w:val="26"/>
        </w:rPr>
        <w:t>A</w:t>
      </w:r>
      <w:r w:rsidR="009208FF" w:rsidRPr="00573761">
        <w:rPr>
          <w:spacing w:val="-3"/>
          <w:sz w:val="26"/>
          <w:szCs w:val="26"/>
        </w:rPr>
        <w:t xml:space="preserve">ny intent to preempt state regulation is limited to </w:t>
      </w:r>
      <w:r w:rsidR="00F84BD7" w:rsidRPr="00573761">
        <w:rPr>
          <w:spacing w:val="-3"/>
          <w:sz w:val="26"/>
          <w:szCs w:val="26"/>
        </w:rPr>
        <w:t>these specific areas</w:t>
      </w:r>
      <w:r w:rsidR="009208FF" w:rsidRPr="00573761">
        <w:rPr>
          <w:spacing w:val="-3"/>
          <w:sz w:val="26"/>
          <w:szCs w:val="26"/>
        </w:rPr>
        <w:t xml:space="preserve"> </w:t>
      </w:r>
      <w:r w:rsidR="00357D1B" w:rsidRPr="00573761">
        <w:rPr>
          <w:spacing w:val="-3"/>
          <w:sz w:val="26"/>
          <w:szCs w:val="26"/>
        </w:rPr>
        <w:t xml:space="preserve">and </w:t>
      </w:r>
      <w:r w:rsidR="009208FF" w:rsidRPr="00573761">
        <w:rPr>
          <w:spacing w:val="-3"/>
          <w:sz w:val="26"/>
          <w:szCs w:val="26"/>
        </w:rPr>
        <w:t>has not extended to the Commission’s annual fiscal assessment.</w:t>
      </w:r>
      <w:r w:rsidR="009208FF" w:rsidRPr="00573761">
        <w:rPr>
          <w:bCs/>
          <w:color w:val="000000"/>
          <w:sz w:val="26"/>
          <w:szCs w:val="26"/>
        </w:rPr>
        <w:t xml:space="preserve">  </w:t>
      </w:r>
      <w:r w:rsidR="0019385C" w:rsidRPr="00573761">
        <w:rPr>
          <w:bCs/>
          <w:color w:val="000000"/>
          <w:sz w:val="26"/>
          <w:szCs w:val="26"/>
        </w:rPr>
        <w:t>Section 510 operate</w:t>
      </w:r>
      <w:r w:rsidR="00F84BD7" w:rsidRPr="00573761">
        <w:rPr>
          <w:bCs/>
          <w:color w:val="000000"/>
          <w:sz w:val="26"/>
          <w:szCs w:val="26"/>
        </w:rPr>
        <w:t>s</w:t>
      </w:r>
      <w:r w:rsidR="0019385C" w:rsidRPr="00573761">
        <w:rPr>
          <w:bCs/>
          <w:color w:val="000000"/>
          <w:sz w:val="26"/>
          <w:szCs w:val="26"/>
        </w:rPr>
        <w:t xml:space="preserve"> only in an area which Congress has not preempted but, to the contrary, has expressly reserved to state control.  Thus, we disagree with BCAP’s and other parties’ characterizations that our </w:t>
      </w:r>
      <w:r w:rsidR="0019385C" w:rsidRPr="00310D9B">
        <w:rPr>
          <w:bCs/>
          <w:i/>
          <w:color w:val="000000"/>
          <w:sz w:val="26"/>
          <w:szCs w:val="26"/>
        </w:rPr>
        <w:t>Proposed Policy Statement</w:t>
      </w:r>
      <w:r w:rsidR="0019385C" w:rsidRPr="00573761">
        <w:rPr>
          <w:bCs/>
          <w:color w:val="000000"/>
          <w:sz w:val="26"/>
          <w:szCs w:val="26"/>
        </w:rPr>
        <w:t xml:space="preserve"> directly</w:t>
      </w:r>
      <w:r w:rsidR="0019385C" w:rsidRPr="00573761">
        <w:rPr>
          <w:bCs/>
          <w:i/>
          <w:iCs/>
          <w:color w:val="000000"/>
          <w:sz w:val="26"/>
          <w:szCs w:val="26"/>
        </w:rPr>
        <w:t xml:space="preserve"> </w:t>
      </w:r>
      <w:r w:rsidR="0019385C" w:rsidRPr="00573761">
        <w:rPr>
          <w:bCs/>
          <w:color w:val="000000"/>
          <w:sz w:val="26"/>
          <w:szCs w:val="26"/>
        </w:rPr>
        <w:t>implicates the allocation questions addressed by the ten percent rule.</w:t>
      </w:r>
    </w:p>
    <w:p w14:paraId="3910A1EB" w14:textId="4E2073C3" w:rsidR="00F12A22" w:rsidRPr="00573761" w:rsidRDefault="00F12A22" w:rsidP="00193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7E319B13" w14:textId="4AF2C9B2" w:rsidR="00F12A22" w:rsidRPr="00573761" w:rsidRDefault="00F12A22" w:rsidP="00F12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Pr="00573761">
        <w:rPr>
          <w:rFonts w:eastAsia="Calibri"/>
          <w:sz w:val="26"/>
          <w:szCs w:val="26"/>
        </w:rPr>
        <w:t xml:space="preserve">Similarly, the Commission’s Section 510 annual assessment process does not make compliance with the ten percent contamination rule impossible and does not frustrate the purpose and objective of the rule.  </w:t>
      </w:r>
      <w:r w:rsidRPr="00573761">
        <w:rPr>
          <w:bCs/>
          <w:color w:val="000000"/>
          <w:sz w:val="26"/>
          <w:szCs w:val="26"/>
        </w:rPr>
        <w:t xml:space="preserve">Proposed Section 69.3701 makes it clear that </w:t>
      </w:r>
      <w:r w:rsidRPr="00573761">
        <w:rPr>
          <w:b/>
          <w:i/>
          <w:iCs/>
          <w:color w:val="000000"/>
          <w:sz w:val="26"/>
          <w:szCs w:val="26"/>
        </w:rPr>
        <w:t>all</w:t>
      </w:r>
      <w:r w:rsidRPr="00573761">
        <w:rPr>
          <w:bCs/>
          <w:color w:val="000000"/>
          <w:sz w:val="26"/>
          <w:szCs w:val="26"/>
        </w:rPr>
        <w:t xml:space="preserve"> jurisdictional telecommunications carriers have an obligation to report this </w:t>
      </w:r>
      <w:r w:rsidRPr="00573761">
        <w:rPr>
          <w:bCs/>
          <w:i/>
          <w:iCs/>
          <w:color w:val="000000"/>
          <w:sz w:val="26"/>
          <w:szCs w:val="26"/>
        </w:rPr>
        <w:t>de facto</w:t>
      </w:r>
      <w:r w:rsidRPr="00573761">
        <w:rPr>
          <w:bCs/>
          <w:color w:val="000000"/>
          <w:sz w:val="26"/>
          <w:szCs w:val="26"/>
        </w:rPr>
        <w:t xml:space="preserve"> gross revenue to the Commission so that the annual fiscal assessment under Section 510 of the Code can be calculated to capture the costs of administering the Code.  The claim by BCAP, Verizon and Crown Castle that the </w:t>
      </w:r>
      <w:r w:rsidRPr="00310D9B">
        <w:rPr>
          <w:bCs/>
          <w:i/>
          <w:color w:val="000000"/>
          <w:sz w:val="26"/>
          <w:szCs w:val="26"/>
        </w:rPr>
        <w:t>Proposed Policy Statement</w:t>
      </w:r>
      <w:r w:rsidRPr="00573761">
        <w:rPr>
          <w:bCs/>
          <w:color w:val="000000"/>
          <w:sz w:val="26"/>
          <w:szCs w:val="26"/>
        </w:rPr>
        <w:t xml:space="preserve"> results in double taxation of the same revenues is erroneous and </w:t>
      </w:r>
      <w:r w:rsidR="00F84BD7" w:rsidRPr="00573761">
        <w:rPr>
          <w:bCs/>
          <w:color w:val="000000"/>
          <w:sz w:val="26"/>
          <w:szCs w:val="26"/>
        </w:rPr>
        <w:t>conflates</w:t>
      </w:r>
      <w:r w:rsidRPr="00573761">
        <w:rPr>
          <w:bCs/>
          <w:color w:val="000000"/>
          <w:sz w:val="26"/>
          <w:szCs w:val="26"/>
        </w:rPr>
        <w:t xml:space="preserve"> federal annual regulatory assessments and state fiscal assessments related to recovering the actual costs of administering the Code from all jurisdictional telecommunications carriers providing jurisdictionally mixed-use services.  </w:t>
      </w:r>
    </w:p>
    <w:p w14:paraId="5F308EE0" w14:textId="64E5FFB7" w:rsidR="00C742C9" w:rsidRPr="00573761" w:rsidRDefault="00C742C9" w:rsidP="00F12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668FEF3D" w14:textId="5A99A24F" w:rsidR="00C742C9" w:rsidRPr="00573761" w:rsidRDefault="00C742C9" w:rsidP="00554FA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Additionally, we note that carriers are required to calculate the amount of their contributions to the FUSF based on </w:t>
      </w:r>
      <w:r w:rsidRPr="00573761">
        <w:rPr>
          <w:bCs/>
          <w:i/>
          <w:color w:val="000000"/>
          <w:sz w:val="26"/>
          <w:szCs w:val="26"/>
        </w:rPr>
        <w:t xml:space="preserve">retail </w:t>
      </w:r>
      <w:r w:rsidR="004F06B0">
        <w:rPr>
          <w:bCs/>
          <w:color w:val="000000"/>
          <w:sz w:val="26"/>
          <w:szCs w:val="26"/>
        </w:rPr>
        <w:t xml:space="preserve">end-user </w:t>
      </w:r>
      <w:r w:rsidRPr="00573761">
        <w:rPr>
          <w:bCs/>
          <w:color w:val="000000"/>
          <w:sz w:val="26"/>
          <w:szCs w:val="26"/>
        </w:rPr>
        <w:t xml:space="preserve">interstate revenue.  However, certain carriers only offer </w:t>
      </w:r>
      <w:r w:rsidR="009A3A48" w:rsidRPr="00573761">
        <w:rPr>
          <w:bCs/>
          <w:color w:val="000000"/>
          <w:sz w:val="26"/>
          <w:szCs w:val="26"/>
        </w:rPr>
        <w:t xml:space="preserve">interstate </w:t>
      </w:r>
      <w:r w:rsidRPr="00573761">
        <w:rPr>
          <w:bCs/>
          <w:color w:val="000000"/>
          <w:sz w:val="26"/>
          <w:szCs w:val="26"/>
        </w:rPr>
        <w:t xml:space="preserve">telecommunications services on a </w:t>
      </w:r>
      <w:r w:rsidRPr="00573761">
        <w:rPr>
          <w:bCs/>
          <w:i/>
          <w:color w:val="000000"/>
          <w:sz w:val="26"/>
          <w:szCs w:val="26"/>
        </w:rPr>
        <w:t xml:space="preserve">wholesale </w:t>
      </w:r>
      <w:r w:rsidRPr="00573761">
        <w:rPr>
          <w:bCs/>
          <w:color w:val="000000"/>
          <w:sz w:val="26"/>
          <w:szCs w:val="26"/>
        </w:rPr>
        <w:t xml:space="preserve">basis.  As such, we do not find any merit in the argument that </w:t>
      </w:r>
      <w:r w:rsidRPr="00573761">
        <w:rPr>
          <w:iCs/>
          <w:color w:val="000000"/>
          <w:sz w:val="26"/>
          <w:szCs w:val="26"/>
        </w:rPr>
        <w:t xml:space="preserve">seeking to assess </w:t>
      </w:r>
      <w:r w:rsidRPr="00573761">
        <w:rPr>
          <w:i/>
          <w:color w:val="000000"/>
          <w:sz w:val="26"/>
          <w:szCs w:val="26"/>
        </w:rPr>
        <w:t>de facto</w:t>
      </w:r>
      <w:r w:rsidRPr="00573761">
        <w:rPr>
          <w:iCs/>
          <w:color w:val="000000"/>
          <w:sz w:val="26"/>
          <w:szCs w:val="26"/>
        </w:rPr>
        <w:t xml:space="preserve"> intrastate operating revenue would result in double assessments of regulatory expenses </w:t>
      </w:r>
      <w:r w:rsidR="009A3A48" w:rsidRPr="00573761">
        <w:rPr>
          <w:iCs/>
          <w:color w:val="000000"/>
          <w:sz w:val="26"/>
          <w:szCs w:val="26"/>
        </w:rPr>
        <w:t>of these carriers’ interstate revenues</w:t>
      </w:r>
      <w:r w:rsidR="004F06B0">
        <w:rPr>
          <w:iCs/>
          <w:color w:val="000000"/>
          <w:sz w:val="26"/>
          <w:szCs w:val="26"/>
        </w:rPr>
        <w:t>.</w:t>
      </w:r>
      <w:r w:rsidR="004F06B0">
        <w:rPr>
          <w:rStyle w:val="FootnoteReference"/>
          <w:iCs/>
          <w:color w:val="000000"/>
          <w:sz w:val="26"/>
          <w:szCs w:val="26"/>
        </w:rPr>
        <w:footnoteReference w:id="54"/>
      </w:r>
    </w:p>
    <w:p w14:paraId="50172987" w14:textId="77777777" w:rsidR="00F12A22" w:rsidRPr="00573761" w:rsidRDefault="00F12A22" w:rsidP="00F12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730394BC" w14:textId="74C77E67" w:rsidR="00F12A22" w:rsidRPr="00573761" w:rsidRDefault="00F12A22" w:rsidP="00F12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lastRenderedPageBreak/>
        <w:tab/>
        <w:t xml:space="preserve">Section 510 of the Code does not expressly conflict with the FCC’s jurisdictional separations rules because </w:t>
      </w:r>
      <w:r w:rsidR="00C472B3">
        <w:rPr>
          <w:bCs/>
          <w:color w:val="000000"/>
          <w:sz w:val="26"/>
          <w:szCs w:val="26"/>
        </w:rPr>
        <w:t xml:space="preserve">the </w:t>
      </w:r>
      <w:r w:rsidR="00A16A3F" w:rsidRPr="00573761">
        <w:rPr>
          <w:rFonts w:eastAsia="Calibri"/>
          <w:sz w:val="26"/>
          <w:szCs w:val="26"/>
        </w:rPr>
        <w:t xml:space="preserve">Commission is not seeking to impose an annual assessment on interstate revenue for any purposes for which the FCC assesses interstate revenue.  </w:t>
      </w:r>
      <w:r w:rsidR="00A16A3F" w:rsidRPr="00573761">
        <w:rPr>
          <w:bCs/>
          <w:color w:val="000000"/>
          <w:sz w:val="26"/>
          <w:szCs w:val="26"/>
        </w:rPr>
        <w:t>T</w:t>
      </w:r>
      <w:r w:rsidRPr="00573761">
        <w:rPr>
          <w:bCs/>
          <w:color w:val="000000"/>
          <w:sz w:val="26"/>
          <w:szCs w:val="26"/>
        </w:rPr>
        <w:t xml:space="preserve">he Commission is not seeking to impose an annual fiscal assessment on interstate revenue or seeking to assess interstate revenues from jurisdictionally mixed-use private lines for the purposes of its state universal service fund or for any </w:t>
      </w:r>
      <w:r w:rsidR="004F06B0">
        <w:rPr>
          <w:bCs/>
          <w:color w:val="000000"/>
          <w:sz w:val="26"/>
          <w:szCs w:val="26"/>
        </w:rPr>
        <w:t xml:space="preserve">of the </w:t>
      </w:r>
      <w:r w:rsidRPr="00573761">
        <w:rPr>
          <w:bCs/>
          <w:color w:val="000000"/>
          <w:sz w:val="26"/>
          <w:szCs w:val="26"/>
        </w:rPr>
        <w:t xml:space="preserve">other purposes the FCC assesses </w:t>
      </w:r>
      <w:r w:rsidR="00F80D6B" w:rsidRPr="00573761">
        <w:rPr>
          <w:bCs/>
          <w:color w:val="000000"/>
          <w:sz w:val="26"/>
          <w:szCs w:val="26"/>
        </w:rPr>
        <w:t xml:space="preserve">jurisdictionally-mixed </w:t>
      </w:r>
      <w:r w:rsidRPr="00573761">
        <w:rPr>
          <w:bCs/>
          <w:color w:val="000000"/>
          <w:sz w:val="26"/>
          <w:szCs w:val="26"/>
        </w:rPr>
        <w:t>revenue</w:t>
      </w:r>
      <w:r w:rsidR="00F80D6B" w:rsidRPr="00573761">
        <w:rPr>
          <w:bCs/>
          <w:color w:val="000000"/>
          <w:sz w:val="26"/>
          <w:szCs w:val="26"/>
        </w:rPr>
        <w:t>s</w:t>
      </w:r>
      <w:r w:rsidR="004F06B0">
        <w:rPr>
          <w:bCs/>
          <w:color w:val="000000"/>
          <w:sz w:val="26"/>
          <w:szCs w:val="26"/>
        </w:rPr>
        <w:t xml:space="preserve"> implicated by the ten percent rule</w:t>
      </w:r>
      <w:r w:rsidRPr="00573761">
        <w:rPr>
          <w:bCs/>
          <w:color w:val="000000"/>
          <w:sz w:val="26"/>
          <w:szCs w:val="26"/>
        </w:rPr>
        <w:t>.</w:t>
      </w:r>
      <w:r w:rsidR="003E58C6" w:rsidRPr="00573761">
        <w:rPr>
          <w:bCs/>
          <w:color w:val="000000"/>
          <w:sz w:val="26"/>
          <w:szCs w:val="26"/>
        </w:rPr>
        <w:t xml:space="preserve">  </w:t>
      </w:r>
      <w:r w:rsidRPr="00573761">
        <w:rPr>
          <w:bCs/>
          <w:color w:val="000000"/>
          <w:sz w:val="26"/>
          <w:szCs w:val="26"/>
        </w:rPr>
        <w:t>There is no conflict between the workings of the FCC’s ten percent contamination rule and the authority granted to the Commission under Section 510 to impose annual fiscal assessments to capture the proper costs of administering the Code from jurisdictional telecommunications utilities providing mixed-use telecommunications services.  Thus, there is no physical impossibility, and no double taxation, in complying with both the federal and the state regulations.</w:t>
      </w:r>
    </w:p>
    <w:p w14:paraId="78E9775C" w14:textId="77777777" w:rsidR="0019385C" w:rsidRPr="00573761" w:rsidRDefault="0019385C" w:rsidP="0013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114D58FA" w14:textId="5734D0CD" w:rsidR="00A01FB8" w:rsidRPr="00573761" w:rsidRDefault="0019385C" w:rsidP="0013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135557" w:rsidRPr="00573761">
        <w:rPr>
          <w:bCs/>
          <w:color w:val="000000"/>
          <w:sz w:val="26"/>
          <w:szCs w:val="26"/>
        </w:rPr>
        <w:t xml:space="preserve">The Commission </w:t>
      </w:r>
      <w:r w:rsidR="00CE7E3A" w:rsidRPr="00573761">
        <w:rPr>
          <w:bCs/>
          <w:color w:val="000000"/>
          <w:sz w:val="26"/>
          <w:szCs w:val="26"/>
        </w:rPr>
        <w:t>concludes</w:t>
      </w:r>
      <w:r w:rsidR="00135557" w:rsidRPr="00573761">
        <w:rPr>
          <w:bCs/>
          <w:color w:val="000000"/>
          <w:sz w:val="26"/>
          <w:szCs w:val="26"/>
        </w:rPr>
        <w:t xml:space="preserve"> that it</w:t>
      </w:r>
      <w:r w:rsidR="002762F8" w:rsidRPr="00573761">
        <w:rPr>
          <w:bCs/>
          <w:color w:val="000000"/>
          <w:sz w:val="26"/>
          <w:szCs w:val="26"/>
        </w:rPr>
        <w:t>s Section 510 assessment process</w:t>
      </w:r>
      <w:r w:rsidR="00135557" w:rsidRPr="00573761">
        <w:rPr>
          <w:bCs/>
          <w:color w:val="000000"/>
          <w:sz w:val="26"/>
          <w:szCs w:val="26"/>
        </w:rPr>
        <w:t xml:space="preserve"> is not preempted by federal law and that its determination in the </w:t>
      </w:r>
      <w:r w:rsidR="00135557" w:rsidRPr="00573761">
        <w:rPr>
          <w:bCs/>
          <w:i/>
          <w:iCs/>
          <w:color w:val="000000"/>
          <w:sz w:val="26"/>
          <w:szCs w:val="26"/>
        </w:rPr>
        <w:t>Proposed Policy Statement</w:t>
      </w:r>
      <w:r w:rsidR="00135557" w:rsidRPr="00573761">
        <w:rPr>
          <w:bCs/>
          <w:color w:val="000000"/>
          <w:sz w:val="26"/>
          <w:szCs w:val="26"/>
        </w:rPr>
        <w:t xml:space="preserve"> is proper.</w:t>
      </w:r>
      <w:r w:rsidR="00175FE3" w:rsidRPr="00573761">
        <w:rPr>
          <w:bCs/>
          <w:color w:val="000000"/>
          <w:sz w:val="26"/>
          <w:szCs w:val="26"/>
        </w:rPr>
        <w:t xml:space="preserve">  </w:t>
      </w:r>
      <w:r w:rsidR="001D5C43" w:rsidRPr="00573761">
        <w:rPr>
          <w:bCs/>
          <w:color w:val="000000"/>
          <w:sz w:val="26"/>
          <w:szCs w:val="26"/>
        </w:rPr>
        <w:t xml:space="preserve">Crown Castle’s assertion that the </w:t>
      </w:r>
      <w:r w:rsidR="001D5C43" w:rsidRPr="00573761">
        <w:rPr>
          <w:bCs/>
          <w:i/>
          <w:iCs/>
          <w:color w:val="000000"/>
          <w:sz w:val="26"/>
          <w:szCs w:val="26"/>
        </w:rPr>
        <w:t>Proposed Policy Statement</w:t>
      </w:r>
      <w:r w:rsidR="001D5C43" w:rsidRPr="00573761">
        <w:rPr>
          <w:bCs/>
          <w:color w:val="000000"/>
          <w:sz w:val="26"/>
          <w:szCs w:val="26"/>
        </w:rPr>
        <w:t xml:space="preserve"> disregards the importance of jurisdictional separations principles misreads and takes too narrow a view of the federal cases </w:t>
      </w:r>
      <w:r w:rsidR="001D5C43" w:rsidRPr="00573761">
        <w:rPr>
          <w:bCs/>
          <w:i/>
          <w:iCs/>
          <w:color w:val="000000"/>
          <w:sz w:val="26"/>
          <w:szCs w:val="26"/>
        </w:rPr>
        <w:t>Illinois Bell</w:t>
      </w:r>
      <w:r w:rsidR="001D5C43" w:rsidRPr="00573761">
        <w:rPr>
          <w:bCs/>
          <w:color w:val="000000"/>
          <w:sz w:val="26"/>
          <w:szCs w:val="26"/>
        </w:rPr>
        <w:t xml:space="preserve"> and</w:t>
      </w:r>
      <w:r w:rsidR="001D5C43" w:rsidRPr="00573761">
        <w:rPr>
          <w:bCs/>
          <w:i/>
          <w:iCs/>
          <w:color w:val="000000"/>
          <w:sz w:val="26"/>
          <w:szCs w:val="26"/>
        </w:rPr>
        <w:t xml:space="preserve"> Scott</w:t>
      </w:r>
      <w:r w:rsidR="001D5C43" w:rsidRPr="00573761">
        <w:rPr>
          <w:bCs/>
          <w:color w:val="000000"/>
          <w:sz w:val="26"/>
          <w:szCs w:val="26"/>
        </w:rPr>
        <w:t xml:space="preserve">.  </w:t>
      </w:r>
      <w:r w:rsidR="00A01FB8" w:rsidRPr="00573761">
        <w:rPr>
          <w:bCs/>
          <w:color w:val="000000"/>
          <w:sz w:val="26"/>
          <w:szCs w:val="26"/>
        </w:rPr>
        <w:t>These cases stand for the proposition that where it is not possible to separate the interstate and the intrastate components of the FCC regulation involved, the Communications Act sanctions federal regulation of the entire subject matter, which may include preemption of inconsistent state regulation, if necessary</w:t>
      </w:r>
      <w:r w:rsidR="00A8331D" w:rsidRPr="00573761">
        <w:rPr>
          <w:bCs/>
          <w:color w:val="000000"/>
          <w:sz w:val="26"/>
          <w:szCs w:val="26"/>
        </w:rPr>
        <w:t>,</w:t>
      </w:r>
      <w:r w:rsidR="00A01FB8" w:rsidRPr="00573761">
        <w:rPr>
          <w:bCs/>
          <w:color w:val="000000"/>
          <w:sz w:val="26"/>
          <w:szCs w:val="26"/>
        </w:rPr>
        <w:t xml:space="preserve"> to fulfill a valid federal regulatory objective.  Thus, the Communications Act permits FCC preemption of a state's authority over intrastate telephone service when the states' exercise of that authority negates the exercise by the FCC of its own lawful authority over interstate communications.</w:t>
      </w:r>
    </w:p>
    <w:p w14:paraId="474AE341" w14:textId="77777777" w:rsidR="00A01FB8" w:rsidRPr="00573761" w:rsidRDefault="00A01FB8" w:rsidP="0013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7BDCB192" w14:textId="610DD78A" w:rsidR="00073612" w:rsidRDefault="00A01FB8" w:rsidP="0013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Notwithstanding, </w:t>
      </w:r>
      <w:r w:rsidR="00175FE3" w:rsidRPr="00573761">
        <w:rPr>
          <w:bCs/>
          <w:color w:val="000000"/>
          <w:sz w:val="26"/>
          <w:szCs w:val="26"/>
        </w:rPr>
        <w:t>we see no authority for the remarkable proposition that telecommunications carrier</w:t>
      </w:r>
      <w:r w:rsidR="00B760DA" w:rsidRPr="00573761">
        <w:rPr>
          <w:bCs/>
          <w:color w:val="000000"/>
          <w:sz w:val="26"/>
          <w:szCs w:val="26"/>
        </w:rPr>
        <w:t>s</w:t>
      </w:r>
      <w:r w:rsidR="00175FE3" w:rsidRPr="00573761">
        <w:rPr>
          <w:bCs/>
          <w:color w:val="000000"/>
          <w:sz w:val="26"/>
          <w:szCs w:val="26"/>
        </w:rPr>
        <w:t xml:space="preserve"> </w:t>
      </w:r>
      <w:r w:rsidR="00A8331D" w:rsidRPr="00573761">
        <w:rPr>
          <w:bCs/>
          <w:color w:val="000000"/>
          <w:sz w:val="26"/>
          <w:szCs w:val="26"/>
        </w:rPr>
        <w:t xml:space="preserve">who operate under </w:t>
      </w:r>
      <w:r w:rsidR="00175FE3" w:rsidRPr="00573761">
        <w:rPr>
          <w:bCs/>
          <w:color w:val="000000"/>
          <w:sz w:val="26"/>
          <w:szCs w:val="26"/>
        </w:rPr>
        <w:t>Commission</w:t>
      </w:r>
      <w:r w:rsidR="0085018F" w:rsidRPr="00573761">
        <w:rPr>
          <w:bCs/>
          <w:color w:val="000000"/>
          <w:sz w:val="26"/>
          <w:szCs w:val="26"/>
        </w:rPr>
        <w:t>­</w:t>
      </w:r>
      <w:r w:rsidR="00175FE3" w:rsidRPr="00573761">
        <w:rPr>
          <w:bCs/>
          <w:color w:val="000000"/>
          <w:sz w:val="26"/>
          <w:szCs w:val="26"/>
        </w:rPr>
        <w:t xml:space="preserve">issued CPCs to provide </w:t>
      </w:r>
      <w:r w:rsidR="009F2C6E" w:rsidRPr="00573761">
        <w:rPr>
          <w:bCs/>
          <w:color w:val="000000"/>
          <w:sz w:val="26"/>
          <w:szCs w:val="26"/>
        </w:rPr>
        <w:lastRenderedPageBreak/>
        <w:t xml:space="preserve">intrastate </w:t>
      </w:r>
      <w:r w:rsidR="00175FE3" w:rsidRPr="00573761">
        <w:rPr>
          <w:bCs/>
          <w:color w:val="000000"/>
          <w:sz w:val="26"/>
          <w:szCs w:val="26"/>
        </w:rPr>
        <w:t xml:space="preserve">service are exempt from </w:t>
      </w:r>
      <w:r w:rsidR="00E51A02" w:rsidRPr="00573761">
        <w:rPr>
          <w:bCs/>
          <w:color w:val="000000"/>
          <w:sz w:val="26"/>
          <w:szCs w:val="26"/>
        </w:rPr>
        <w:t xml:space="preserve">the </w:t>
      </w:r>
      <w:r w:rsidR="00A8331D" w:rsidRPr="00573761">
        <w:rPr>
          <w:bCs/>
          <w:color w:val="000000"/>
          <w:sz w:val="26"/>
          <w:szCs w:val="26"/>
        </w:rPr>
        <w:t xml:space="preserve">uniform application </w:t>
      </w:r>
      <w:r w:rsidR="00E51A02" w:rsidRPr="00573761">
        <w:rPr>
          <w:bCs/>
          <w:color w:val="000000"/>
          <w:sz w:val="26"/>
          <w:szCs w:val="26"/>
        </w:rPr>
        <w:t xml:space="preserve">of </w:t>
      </w:r>
      <w:r w:rsidR="00175FE3" w:rsidRPr="00573761">
        <w:rPr>
          <w:bCs/>
          <w:color w:val="000000"/>
          <w:sz w:val="26"/>
          <w:szCs w:val="26"/>
        </w:rPr>
        <w:t xml:space="preserve">reasonable state </w:t>
      </w:r>
      <w:r w:rsidR="00E51A02" w:rsidRPr="00573761">
        <w:rPr>
          <w:bCs/>
          <w:color w:val="000000"/>
          <w:sz w:val="26"/>
          <w:szCs w:val="26"/>
        </w:rPr>
        <w:t>administrati</w:t>
      </w:r>
      <w:r w:rsidR="00A8331D" w:rsidRPr="00573761">
        <w:rPr>
          <w:bCs/>
          <w:color w:val="000000"/>
          <w:sz w:val="26"/>
          <w:szCs w:val="26"/>
        </w:rPr>
        <w:t>ve</w:t>
      </w:r>
      <w:r w:rsidR="00E51A02" w:rsidRPr="00573761">
        <w:rPr>
          <w:bCs/>
          <w:color w:val="000000"/>
          <w:sz w:val="26"/>
          <w:szCs w:val="26"/>
        </w:rPr>
        <w:t xml:space="preserve"> </w:t>
      </w:r>
      <w:r w:rsidR="00175FE3" w:rsidRPr="00573761">
        <w:rPr>
          <w:bCs/>
          <w:color w:val="000000"/>
          <w:sz w:val="26"/>
          <w:szCs w:val="26"/>
        </w:rPr>
        <w:t xml:space="preserve">fees related to their </w:t>
      </w:r>
      <w:r w:rsidR="00A8331D" w:rsidRPr="00573761">
        <w:rPr>
          <w:bCs/>
          <w:color w:val="000000"/>
          <w:sz w:val="26"/>
          <w:szCs w:val="26"/>
        </w:rPr>
        <w:t xml:space="preserve">Pennsylvania </w:t>
      </w:r>
      <w:r w:rsidR="00175FE3" w:rsidRPr="00573761">
        <w:rPr>
          <w:bCs/>
          <w:color w:val="000000"/>
          <w:sz w:val="26"/>
          <w:szCs w:val="26"/>
        </w:rPr>
        <w:t xml:space="preserve">operations. </w:t>
      </w:r>
      <w:r w:rsidR="00135557" w:rsidRPr="00573761">
        <w:rPr>
          <w:bCs/>
          <w:color w:val="000000"/>
          <w:sz w:val="26"/>
          <w:szCs w:val="26"/>
        </w:rPr>
        <w:t xml:space="preserve"> </w:t>
      </w:r>
      <w:r w:rsidR="00F12A22" w:rsidRPr="00573761">
        <w:rPr>
          <w:bCs/>
          <w:color w:val="000000"/>
          <w:sz w:val="26"/>
          <w:szCs w:val="26"/>
        </w:rPr>
        <w:t xml:space="preserve">Carriers who report zero intrastate revenues for mixed-used telecommunications services based on the ten percent contamination rule at 47 C.F.R. § 36.154 cannot have it both ways; a carrier cannot claim state jurisdictional rights and simultaneously disclaim </w:t>
      </w:r>
      <w:r w:rsidR="00F80D6B" w:rsidRPr="00573761">
        <w:rPr>
          <w:bCs/>
          <w:color w:val="000000"/>
          <w:sz w:val="26"/>
          <w:szCs w:val="26"/>
        </w:rPr>
        <w:t xml:space="preserve">all </w:t>
      </w:r>
      <w:r w:rsidR="00F12A22" w:rsidRPr="00573761">
        <w:rPr>
          <w:bCs/>
          <w:color w:val="000000"/>
          <w:sz w:val="26"/>
          <w:szCs w:val="26"/>
        </w:rPr>
        <w:t>state jurisdictional responsibilities</w:t>
      </w:r>
      <w:r w:rsidR="00F80D6B" w:rsidRPr="00573761">
        <w:rPr>
          <w:bCs/>
          <w:color w:val="000000"/>
          <w:sz w:val="26"/>
          <w:szCs w:val="26"/>
        </w:rPr>
        <w:t xml:space="preserve"> where such broad preemption claims are not supported</w:t>
      </w:r>
      <w:r w:rsidR="00F12A22" w:rsidRPr="00573761">
        <w:rPr>
          <w:bCs/>
          <w:color w:val="000000"/>
          <w:sz w:val="26"/>
          <w:szCs w:val="26"/>
        </w:rPr>
        <w:t xml:space="preserve">.  </w:t>
      </w:r>
      <w:r w:rsidR="007E46F6" w:rsidRPr="00573761">
        <w:rPr>
          <w:bCs/>
          <w:color w:val="000000"/>
          <w:sz w:val="26"/>
          <w:szCs w:val="26"/>
        </w:rPr>
        <w:t xml:space="preserve">Nor have the comments in opposition to the </w:t>
      </w:r>
      <w:r w:rsidR="00EE50FB" w:rsidRPr="00310D9B">
        <w:rPr>
          <w:bCs/>
          <w:i/>
          <w:color w:val="000000"/>
          <w:sz w:val="26"/>
          <w:szCs w:val="26"/>
        </w:rPr>
        <w:t>P</w:t>
      </w:r>
      <w:r w:rsidR="007E46F6" w:rsidRPr="00310D9B">
        <w:rPr>
          <w:bCs/>
          <w:i/>
          <w:color w:val="000000"/>
          <w:sz w:val="26"/>
          <w:szCs w:val="26"/>
        </w:rPr>
        <w:t xml:space="preserve">roposed </w:t>
      </w:r>
      <w:r w:rsidR="00EE50FB" w:rsidRPr="00310D9B">
        <w:rPr>
          <w:bCs/>
          <w:i/>
          <w:color w:val="000000"/>
          <w:sz w:val="26"/>
          <w:szCs w:val="26"/>
        </w:rPr>
        <w:t>P</w:t>
      </w:r>
      <w:r w:rsidR="007E46F6" w:rsidRPr="00310D9B">
        <w:rPr>
          <w:bCs/>
          <w:i/>
          <w:color w:val="000000"/>
          <w:sz w:val="26"/>
          <w:szCs w:val="26"/>
        </w:rPr>
        <w:t xml:space="preserve">olicy </w:t>
      </w:r>
      <w:r w:rsidR="00EE50FB" w:rsidRPr="00310D9B">
        <w:rPr>
          <w:bCs/>
          <w:i/>
          <w:color w:val="000000"/>
          <w:sz w:val="26"/>
          <w:szCs w:val="26"/>
        </w:rPr>
        <w:t>S</w:t>
      </w:r>
      <w:r w:rsidR="007E46F6" w:rsidRPr="00310D9B">
        <w:rPr>
          <w:bCs/>
          <w:i/>
          <w:color w:val="000000"/>
          <w:sz w:val="26"/>
          <w:szCs w:val="26"/>
        </w:rPr>
        <w:t>tatement</w:t>
      </w:r>
      <w:r w:rsidR="007E46F6" w:rsidRPr="00573761">
        <w:rPr>
          <w:bCs/>
          <w:color w:val="000000"/>
          <w:sz w:val="26"/>
          <w:szCs w:val="26"/>
        </w:rPr>
        <w:t xml:space="preserve"> justified the position that, of all the various accounting metrics by which the Commission’s cost of operations related to telecommunications public utilities can be reasonably allocated (equal shares, relative assets, net income, number of employees, direct hours, annual fees, etc.), the use of gross intrastate operating revenues as the metric is unlawful and unconstitutional.</w:t>
      </w:r>
      <w:r w:rsidR="0019385C" w:rsidRPr="00573761">
        <w:rPr>
          <w:bCs/>
          <w:color w:val="000000"/>
          <w:sz w:val="26"/>
          <w:szCs w:val="26"/>
        </w:rPr>
        <w:t xml:space="preserve">  </w:t>
      </w:r>
    </w:p>
    <w:p w14:paraId="6B12BDCC" w14:textId="77777777" w:rsidR="00A30E38" w:rsidRPr="00573761" w:rsidRDefault="00A30E38" w:rsidP="0013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5CD728A1" w14:textId="04737EFE" w:rsidR="00362810" w:rsidRPr="00573761" w:rsidRDefault="00362810" w:rsidP="00362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The commentators opposing the </w:t>
      </w:r>
      <w:r w:rsidRPr="00573761">
        <w:rPr>
          <w:bCs/>
          <w:i/>
          <w:iCs/>
          <w:color w:val="000000"/>
          <w:sz w:val="26"/>
          <w:szCs w:val="26"/>
        </w:rPr>
        <w:t>Proposed Policy Statement</w:t>
      </w:r>
      <w:r w:rsidRPr="00573761">
        <w:rPr>
          <w:bCs/>
          <w:color w:val="000000"/>
          <w:sz w:val="26"/>
          <w:szCs w:val="26"/>
        </w:rPr>
        <w:t xml:space="preserve"> have not proven or shown that a state commission </w:t>
      </w:r>
      <w:r w:rsidR="00964953" w:rsidRPr="00573761">
        <w:rPr>
          <w:bCs/>
          <w:color w:val="000000"/>
          <w:sz w:val="26"/>
          <w:szCs w:val="26"/>
        </w:rPr>
        <w:t xml:space="preserve">is violating the Supremacy Clause or the Commerce Clause by </w:t>
      </w:r>
      <w:r w:rsidRPr="00573761">
        <w:rPr>
          <w:bCs/>
          <w:color w:val="000000"/>
          <w:sz w:val="26"/>
          <w:szCs w:val="26"/>
        </w:rPr>
        <w:t xml:space="preserve">imposing a fiscal assessment </w:t>
      </w:r>
      <w:r w:rsidR="00964953" w:rsidRPr="00573761">
        <w:rPr>
          <w:bCs/>
          <w:color w:val="000000"/>
          <w:sz w:val="26"/>
          <w:szCs w:val="26"/>
        </w:rPr>
        <w:t xml:space="preserve">only </w:t>
      </w:r>
      <w:r w:rsidRPr="00573761">
        <w:rPr>
          <w:bCs/>
          <w:color w:val="000000"/>
          <w:sz w:val="26"/>
          <w:szCs w:val="26"/>
        </w:rPr>
        <w:t xml:space="preserve">on the </w:t>
      </w:r>
      <w:r w:rsidR="00964953" w:rsidRPr="00573761">
        <w:rPr>
          <w:bCs/>
          <w:i/>
          <w:iCs/>
          <w:color w:val="000000"/>
          <w:sz w:val="26"/>
          <w:szCs w:val="26"/>
        </w:rPr>
        <w:t>de facto</w:t>
      </w:r>
      <w:r w:rsidR="00964953" w:rsidRPr="00573761">
        <w:rPr>
          <w:bCs/>
          <w:color w:val="000000"/>
          <w:sz w:val="26"/>
          <w:szCs w:val="26"/>
        </w:rPr>
        <w:t xml:space="preserve"> intrastate </w:t>
      </w:r>
      <w:r w:rsidRPr="00573761">
        <w:rPr>
          <w:bCs/>
          <w:color w:val="000000"/>
          <w:sz w:val="26"/>
          <w:szCs w:val="26"/>
        </w:rPr>
        <w:t xml:space="preserve">revenues </w:t>
      </w:r>
      <w:r w:rsidR="00964953" w:rsidRPr="00573761">
        <w:rPr>
          <w:bCs/>
          <w:color w:val="000000"/>
          <w:sz w:val="26"/>
          <w:szCs w:val="26"/>
        </w:rPr>
        <w:t xml:space="preserve">associated with a </w:t>
      </w:r>
      <w:r w:rsidRPr="00573761">
        <w:rPr>
          <w:bCs/>
          <w:color w:val="000000"/>
          <w:sz w:val="26"/>
          <w:szCs w:val="26"/>
        </w:rPr>
        <w:t xml:space="preserve">jurisdictionally mixed-use </w:t>
      </w:r>
      <w:r w:rsidR="00964953" w:rsidRPr="00573761">
        <w:rPr>
          <w:bCs/>
          <w:color w:val="000000"/>
          <w:sz w:val="26"/>
          <w:szCs w:val="26"/>
        </w:rPr>
        <w:t xml:space="preserve">that has interstate traffic that exceeds ten percent and which is </w:t>
      </w:r>
      <w:r w:rsidRPr="00573761">
        <w:rPr>
          <w:bCs/>
          <w:color w:val="000000"/>
          <w:sz w:val="26"/>
          <w:szCs w:val="26"/>
        </w:rPr>
        <w:t xml:space="preserve">deemed interstate </w:t>
      </w:r>
      <w:r w:rsidR="00964953" w:rsidRPr="00573761">
        <w:rPr>
          <w:bCs/>
          <w:color w:val="000000"/>
          <w:sz w:val="26"/>
          <w:szCs w:val="26"/>
        </w:rPr>
        <w:t xml:space="preserve">revenue </w:t>
      </w:r>
      <w:r w:rsidRPr="00573761">
        <w:rPr>
          <w:bCs/>
          <w:color w:val="000000"/>
          <w:sz w:val="26"/>
          <w:szCs w:val="26"/>
        </w:rPr>
        <w:t xml:space="preserve">for the purposes of the FCC’s allocation rules.  </w:t>
      </w:r>
      <w:r w:rsidR="00964953" w:rsidRPr="00573761">
        <w:rPr>
          <w:bCs/>
          <w:color w:val="000000"/>
          <w:sz w:val="26"/>
          <w:szCs w:val="26"/>
        </w:rPr>
        <w:t xml:space="preserve">The ten percent rule is nothing more than a jurisdictional separations procedure designed primarily </w:t>
      </w:r>
      <w:r w:rsidR="00C14A17" w:rsidRPr="00573761">
        <w:rPr>
          <w:bCs/>
          <w:color w:val="000000"/>
          <w:sz w:val="26"/>
          <w:szCs w:val="26"/>
        </w:rPr>
        <w:t xml:space="preserve">to identify the </w:t>
      </w:r>
      <w:r w:rsidR="00964953" w:rsidRPr="00573761">
        <w:rPr>
          <w:bCs/>
          <w:color w:val="000000"/>
          <w:sz w:val="26"/>
          <w:szCs w:val="26"/>
        </w:rPr>
        <w:t xml:space="preserve">appropriate costs and revenues </w:t>
      </w:r>
      <w:r w:rsidR="00C14A17" w:rsidRPr="00573761">
        <w:rPr>
          <w:bCs/>
          <w:color w:val="000000"/>
          <w:sz w:val="26"/>
          <w:szCs w:val="26"/>
        </w:rPr>
        <w:t xml:space="preserve">to be allocated </w:t>
      </w:r>
      <w:r w:rsidR="00964953" w:rsidRPr="00573761">
        <w:rPr>
          <w:bCs/>
          <w:color w:val="000000"/>
          <w:sz w:val="26"/>
          <w:szCs w:val="26"/>
        </w:rPr>
        <w:t xml:space="preserve">between state and interstate jurisdictions.  47 C.F.R. § 36.154(a) and (b).  </w:t>
      </w:r>
      <w:r w:rsidR="000F369C" w:rsidRPr="00573761">
        <w:rPr>
          <w:bCs/>
          <w:color w:val="000000"/>
          <w:sz w:val="26"/>
          <w:szCs w:val="26"/>
        </w:rPr>
        <w:t xml:space="preserve">The ten percent rule exists to </w:t>
      </w:r>
      <w:r w:rsidR="00C14A17" w:rsidRPr="00573761">
        <w:rPr>
          <w:bCs/>
          <w:color w:val="000000"/>
          <w:sz w:val="26"/>
          <w:szCs w:val="26"/>
        </w:rPr>
        <w:t xml:space="preserve">assist telecommunication carriers </w:t>
      </w:r>
      <w:r w:rsidR="000F369C" w:rsidRPr="00573761">
        <w:rPr>
          <w:bCs/>
          <w:color w:val="000000"/>
          <w:sz w:val="26"/>
          <w:szCs w:val="26"/>
        </w:rPr>
        <w:t xml:space="preserve">the interstate revenue from a jurisdictionally mixed-use private line so that the carrier can </w:t>
      </w:r>
      <w:r w:rsidRPr="00573761">
        <w:rPr>
          <w:bCs/>
          <w:color w:val="000000"/>
          <w:sz w:val="26"/>
          <w:szCs w:val="26"/>
        </w:rPr>
        <w:t>calculat</w:t>
      </w:r>
      <w:r w:rsidR="000F369C" w:rsidRPr="00573761">
        <w:rPr>
          <w:bCs/>
          <w:color w:val="000000"/>
          <w:sz w:val="26"/>
          <w:szCs w:val="26"/>
        </w:rPr>
        <w:t>e</w:t>
      </w:r>
      <w:r w:rsidRPr="00573761">
        <w:rPr>
          <w:bCs/>
          <w:color w:val="000000"/>
          <w:sz w:val="26"/>
          <w:szCs w:val="26"/>
        </w:rPr>
        <w:t xml:space="preserve"> the </w:t>
      </w:r>
      <w:r w:rsidR="00C14A17" w:rsidRPr="00573761">
        <w:rPr>
          <w:bCs/>
          <w:color w:val="000000"/>
          <w:sz w:val="26"/>
          <w:szCs w:val="26"/>
        </w:rPr>
        <w:t xml:space="preserve">amount of their contributions based on </w:t>
      </w:r>
      <w:r w:rsidR="000F369C" w:rsidRPr="00573761">
        <w:rPr>
          <w:bCs/>
          <w:color w:val="000000"/>
          <w:sz w:val="26"/>
          <w:szCs w:val="26"/>
        </w:rPr>
        <w:t xml:space="preserve">that </w:t>
      </w:r>
      <w:r w:rsidR="00C14A17" w:rsidRPr="00573761">
        <w:rPr>
          <w:bCs/>
          <w:color w:val="000000"/>
          <w:sz w:val="26"/>
          <w:szCs w:val="26"/>
        </w:rPr>
        <w:t xml:space="preserve">interstate revenue </w:t>
      </w:r>
      <w:r w:rsidR="000F369C" w:rsidRPr="00573761">
        <w:rPr>
          <w:bCs/>
          <w:color w:val="000000"/>
          <w:sz w:val="26"/>
          <w:szCs w:val="26"/>
        </w:rPr>
        <w:t xml:space="preserve">that it is required to submit </w:t>
      </w:r>
      <w:r w:rsidR="00C14A17" w:rsidRPr="00573761">
        <w:rPr>
          <w:bCs/>
          <w:color w:val="000000"/>
          <w:sz w:val="26"/>
          <w:szCs w:val="26"/>
        </w:rPr>
        <w:t xml:space="preserve">to </w:t>
      </w:r>
      <w:r w:rsidRPr="00573761">
        <w:rPr>
          <w:bCs/>
          <w:color w:val="000000"/>
          <w:sz w:val="26"/>
          <w:szCs w:val="26"/>
        </w:rPr>
        <w:t xml:space="preserve">the FUSF, </w:t>
      </w:r>
      <w:r w:rsidR="00C14A17" w:rsidRPr="00573761">
        <w:rPr>
          <w:bCs/>
          <w:color w:val="000000"/>
          <w:sz w:val="26"/>
          <w:szCs w:val="26"/>
        </w:rPr>
        <w:t xml:space="preserve">the </w:t>
      </w:r>
      <w:r w:rsidRPr="00573761">
        <w:rPr>
          <w:bCs/>
          <w:color w:val="000000"/>
          <w:sz w:val="26"/>
          <w:szCs w:val="26"/>
        </w:rPr>
        <w:t xml:space="preserve">interstate telecommunications relay services (TRS), the administration of the </w:t>
      </w:r>
      <w:r w:rsidR="00C14A17" w:rsidRPr="00573761">
        <w:rPr>
          <w:bCs/>
          <w:color w:val="000000"/>
          <w:sz w:val="26"/>
          <w:szCs w:val="26"/>
        </w:rPr>
        <w:t>NANP</w:t>
      </w:r>
      <w:r w:rsidRPr="00573761">
        <w:rPr>
          <w:bCs/>
          <w:color w:val="000000"/>
          <w:sz w:val="26"/>
          <w:szCs w:val="26"/>
        </w:rPr>
        <w:t>, the shared costs of local number portability administration</w:t>
      </w:r>
      <w:r w:rsidR="00C14A17" w:rsidRPr="00573761">
        <w:rPr>
          <w:bCs/>
          <w:color w:val="000000"/>
          <w:sz w:val="26"/>
          <w:szCs w:val="26"/>
        </w:rPr>
        <w:t xml:space="preserve"> and to </w:t>
      </w:r>
      <w:r w:rsidR="000F369C" w:rsidRPr="00573761">
        <w:rPr>
          <w:bCs/>
          <w:color w:val="000000"/>
          <w:sz w:val="26"/>
          <w:szCs w:val="26"/>
        </w:rPr>
        <w:t xml:space="preserve">the FCC in the form of </w:t>
      </w:r>
      <w:r w:rsidR="00C14A17" w:rsidRPr="00573761">
        <w:rPr>
          <w:bCs/>
          <w:color w:val="000000"/>
          <w:sz w:val="26"/>
          <w:szCs w:val="26"/>
        </w:rPr>
        <w:t>regulatory fees under 47 U.S.C. § 159(b)(1)(B).</w:t>
      </w:r>
      <w:r w:rsidR="000F369C" w:rsidRPr="00573761">
        <w:rPr>
          <w:rStyle w:val="FootnoteReference"/>
          <w:bCs/>
          <w:color w:val="000000"/>
          <w:sz w:val="26"/>
          <w:szCs w:val="26"/>
        </w:rPr>
        <w:footnoteReference w:id="55"/>
      </w:r>
      <w:r w:rsidR="00C14A17" w:rsidRPr="00573761">
        <w:rPr>
          <w:bCs/>
          <w:color w:val="000000"/>
          <w:sz w:val="26"/>
          <w:szCs w:val="26"/>
        </w:rPr>
        <w:t xml:space="preserve">  </w:t>
      </w:r>
      <w:r w:rsidRPr="00573761">
        <w:rPr>
          <w:bCs/>
          <w:color w:val="000000"/>
          <w:sz w:val="26"/>
          <w:szCs w:val="26"/>
        </w:rPr>
        <w:t xml:space="preserve">The FCC did not establish the ten percent contamination rule to, by implication, enact a wholesale preemption of state fees </w:t>
      </w:r>
      <w:r w:rsidRPr="00573761">
        <w:rPr>
          <w:bCs/>
          <w:color w:val="000000"/>
          <w:sz w:val="26"/>
          <w:szCs w:val="26"/>
        </w:rPr>
        <w:lastRenderedPageBreak/>
        <w:t xml:space="preserve">associated with licenses to provide </w:t>
      </w:r>
      <w:r w:rsidRPr="00573761">
        <w:rPr>
          <w:bCs/>
          <w:i/>
          <w:iCs/>
          <w:color w:val="000000"/>
          <w:sz w:val="26"/>
          <w:szCs w:val="26"/>
        </w:rPr>
        <w:t>intrastate</w:t>
      </w:r>
      <w:r w:rsidRPr="00573761">
        <w:rPr>
          <w:bCs/>
          <w:color w:val="000000"/>
          <w:sz w:val="26"/>
          <w:szCs w:val="26"/>
        </w:rPr>
        <w:t xml:space="preserve"> service whether based on flat annual fees, in-state assets, in-state employees or, as with Section 510, based on in-state revenues.  </w:t>
      </w:r>
    </w:p>
    <w:p w14:paraId="453E943C" w14:textId="77777777" w:rsidR="00362810" w:rsidRPr="00573761" w:rsidRDefault="00362810" w:rsidP="00362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0CC9A348" w14:textId="3F7BD709" w:rsidR="00362810" w:rsidRPr="00573761" w:rsidRDefault="00362810" w:rsidP="00362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C14A17" w:rsidRPr="00573761">
        <w:rPr>
          <w:bCs/>
          <w:color w:val="000000"/>
          <w:sz w:val="26"/>
          <w:szCs w:val="26"/>
        </w:rPr>
        <w:t>The Commission concludes that p</w:t>
      </w:r>
      <w:r w:rsidRPr="00573761">
        <w:rPr>
          <w:bCs/>
          <w:color w:val="000000"/>
          <w:sz w:val="26"/>
          <w:szCs w:val="26"/>
        </w:rPr>
        <w:t xml:space="preserve">reemption cannot be inferred from this overall jurisdictional separations scheme.  The FCC’s regulations establishing the ten percent rule and the related federal assessments do not limit or impede the state’s police power or the Commission’s authority under Section 510 to require the reporting of </w:t>
      </w:r>
      <w:r w:rsidRPr="00573761">
        <w:rPr>
          <w:bCs/>
          <w:i/>
          <w:iCs/>
          <w:color w:val="000000"/>
          <w:sz w:val="26"/>
          <w:szCs w:val="26"/>
        </w:rPr>
        <w:t>de facto</w:t>
      </w:r>
      <w:r w:rsidRPr="00573761">
        <w:rPr>
          <w:bCs/>
          <w:color w:val="000000"/>
          <w:sz w:val="26"/>
          <w:szCs w:val="26"/>
        </w:rPr>
        <w:t xml:space="preserve"> intrastate operating revenue for the purpose of allocating and assessing, on a fair and reasonable basis, the costs incurred by the Commission with respect to telecommunications carriers holding Commission-issued CPCs.  Moreover, under Section 510, gross intrastate operating revenue is merely the </w:t>
      </w:r>
      <w:r w:rsidRPr="00573761">
        <w:rPr>
          <w:bCs/>
          <w:i/>
          <w:iCs/>
          <w:color w:val="000000"/>
          <w:sz w:val="26"/>
          <w:szCs w:val="26"/>
        </w:rPr>
        <w:t>metric</w:t>
      </w:r>
      <w:r w:rsidRPr="00573761">
        <w:rPr>
          <w:bCs/>
          <w:color w:val="000000"/>
          <w:sz w:val="26"/>
          <w:szCs w:val="26"/>
        </w:rPr>
        <w:t xml:space="preserve"> by which the Commission’s costs are allocated among telecommunications carriers holding Commission-issued CPCs.  It controls neither the nature and scope of regulation associated with services that give rise to such revenues nor the overall amount of the Commission’s operating costs.  </w:t>
      </w:r>
    </w:p>
    <w:p w14:paraId="2E89C0B2" w14:textId="77777777" w:rsidR="00362810" w:rsidRPr="00573761" w:rsidRDefault="00362810" w:rsidP="00362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377B0F65" w14:textId="1165DFA0" w:rsidR="00CE7E3A" w:rsidRPr="00573761" w:rsidRDefault="00362810" w:rsidP="00CE7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BC394A" w:rsidRPr="00573761">
        <w:rPr>
          <w:bCs/>
          <w:color w:val="000000"/>
          <w:sz w:val="26"/>
          <w:szCs w:val="26"/>
        </w:rPr>
        <w:t xml:space="preserve">Accordingly, the Commission issued the </w:t>
      </w:r>
      <w:r w:rsidR="00BC394A" w:rsidRPr="00573761">
        <w:rPr>
          <w:bCs/>
          <w:i/>
          <w:iCs/>
          <w:color w:val="000000"/>
          <w:sz w:val="26"/>
          <w:szCs w:val="26"/>
        </w:rPr>
        <w:t>Proposed Policy Statement</w:t>
      </w:r>
      <w:r w:rsidR="00BC394A" w:rsidRPr="00573761">
        <w:rPr>
          <w:bCs/>
          <w:color w:val="000000"/>
          <w:sz w:val="26"/>
          <w:szCs w:val="26"/>
        </w:rPr>
        <w:t xml:space="preserve"> specifically to provide guidance to telecommunications carriers holding Commission-issued CPCs so that, going forward, they would understand the state law obligation to report de facto intrastate revenue associated with jurisdictionally-mixed </w:t>
      </w:r>
      <w:r w:rsidR="00E51A02" w:rsidRPr="00573761">
        <w:rPr>
          <w:bCs/>
          <w:color w:val="000000"/>
          <w:sz w:val="26"/>
          <w:szCs w:val="26"/>
        </w:rPr>
        <w:t>services</w:t>
      </w:r>
      <w:r w:rsidR="00BC394A" w:rsidRPr="00573761">
        <w:rPr>
          <w:bCs/>
          <w:color w:val="000000"/>
          <w:sz w:val="26"/>
          <w:szCs w:val="26"/>
        </w:rPr>
        <w:t xml:space="preserve"> for fiscal assessment purposes under Section 510 of the Code.  </w:t>
      </w:r>
      <w:r w:rsidR="00541E17" w:rsidRPr="00573761">
        <w:rPr>
          <w:bCs/>
          <w:color w:val="000000"/>
          <w:sz w:val="26"/>
          <w:szCs w:val="26"/>
        </w:rPr>
        <w:t xml:space="preserve">Alternatively, telecommunications carriers that </w:t>
      </w:r>
      <w:r w:rsidR="009F2C6E" w:rsidRPr="00573761">
        <w:rPr>
          <w:bCs/>
          <w:color w:val="000000"/>
          <w:sz w:val="26"/>
          <w:szCs w:val="26"/>
        </w:rPr>
        <w:t xml:space="preserve">report </w:t>
      </w:r>
      <w:r w:rsidR="00541E17" w:rsidRPr="00573761">
        <w:rPr>
          <w:bCs/>
          <w:color w:val="000000"/>
          <w:sz w:val="26"/>
          <w:szCs w:val="26"/>
        </w:rPr>
        <w:t>no revenue from intrastate services for several years may be viewed as no longer providing service to the public for compensation in Pennsylvania and, accordingly, no longer qualified to hold a Commission-issue</w:t>
      </w:r>
      <w:r w:rsidR="00205C0A" w:rsidRPr="00573761">
        <w:rPr>
          <w:bCs/>
          <w:color w:val="000000"/>
          <w:sz w:val="26"/>
          <w:szCs w:val="26"/>
        </w:rPr>
        <w:t>d</w:t>
      </w:r>
      <w:r w:rsidR="00541E17" w:rsidRPr="00573761">
        <w:rPr>
          <w:bCs/>
          <w:color w:val="000000"/>
          <w:sz w:val="26"/>
          <w:szCs w:val="26"/>
        </w:rPr>
        <w:t xml:space="preserve"> CPC.  </w:t>
      </w:r>
      <w:r w:rsidR="00CE7E3A" w:rsidRPr="00573761">
        <w:rPr>
          <w:bCs/>
          <w:color w:val="000000"/>
          <w:sz w:val="26"/>
          <w:szCs w:val="26"/>
        </w:rPr>
        <w:t xml:space="preserve">In other words, if there are no intrastate transactions from which revenues are derived, these telecommunications carriers should not invoke intrastate jurisdiction </w:t>
      </w:r>
      <w:r w:rsidR="00E51A02" w:rsidRPr="00573761">
        <w:rPr>
          <w:bCs/>
          <w:color w:val="000000"/>
          <w:sz w:val="26"/>
          <w:szCs w:val="26"/>
        </w:rPr>
        <w:t>or continue to hold intrastate certification that comes with</w:t>
      </w:r>
      <w:r w:rsidR="00CE7E3A" w:rsidRPr="00573761">
        <w:rPr>
          <w:bCs/>
          <w:color w:val="000000"/>
          <w:sz w:val="26"/>
          <w:szCs w:val="26"/>
        </w:rPr>
        <w:t xml:space="preserve"> obtaining a Pennsylvania CPC.</w:t>
      </w:r>
    </w:p>
    <w:p w14:paraId="49BDB9DD" w14:textId="77777777" w:rsidR="0019385C" w:rsidRPr="00573761" w:rsidRDefault="0019385C" w:rsidP="00EA5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7B791849" w14:textId="14616428" w:rsidR="008145D2" w:rsidRPr="00573761" w:rsidRDefault="004C4BD0" w:rsidP="00814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8145D2" w:rsidRPr="00573761">
        <w:rPr>
          <w:bCs/>
          <w:color w:val="000000"/>
          <w:sz w:val="26"/>
          <w:szCs w:val="26"/>
        </w:rPr>
        <w:t xml:space="preserve">Moreover, the commentators opposing the </w:t>
      </w:r>
      <w:r w:rsidR="008145D2" w:rsidRPr="00573761">
        <w:rPr>
          <w:bCs/>
          <w:i/>
          <w:iCs/>
          <w:color w:val="000000"/>
          <w:sz w:val="26"/>
          <w:szCs w:val="26"/>
        </w:rPr>
        <w:t>Proposed Policy Statement</w:t>
      </w:r>
      <w:r w:rsidR="008145D2" w:rsidRPr="00573761">
        <w:rPr>
          <w:bCs/>
          <w:color w:val="000000"/>
          <w:sz w:val="26"/>
          <w:szCs w:val="26"/>
        </w:rPr>
        <w:t xml:space="preserve"> have failed to present any FCC decision that expressly sets forth that states are precluded from </w:t>
      </w:r>
      <w:r w:rsidR="008145D2" w:rsidRPr="00573761">
        <w:rPr>
          <w:bCs/>
          <w:color w:val="000000"/>
          <w:sz w:val="26"/>
          <w:szCs w:val="26"/>
        </w:rPr>
        <w:lastRenderedPageBreak/>
        <w:t>exercising regulatory authority and imposing annual fiscal assessments on the revenue of mixed-use telecommunications services for Section 510 assessment-type purposes</w:t>
      </w:r>
      <w:r w:rsidR="00A80194" w:rsidRPr="00573761">
        <w:rPr>
          <w:bCs/>
          <w:color w:val="000000"/>
          <w:sz w:val="26"/>
          <w:szCs w:val="26"/>
        </w:rPr>
        <w:t xml:space="preserve"> as the method to recover the Commission’s regulatory costs related to telecommunications public utilities operating in Pennsylvania</w:t>
      </w:r>
      <w:r w:rsidR="008145D2" w:rsidRPr="00573761">
        <w:rPr>
          <w:bCs/>
          <w:color w:val="000000"/>
          <w:sz w:val="26"/>
          <w:szCs w:val="26"/>
        </w:rPr>
        <w:t xml:space="preserve">. </w:t>
      </w:r>
    </w:p>
    <w:p w14:paraId="5F5E5307" w14:textId="77777777" w:rsidR="00D27106" w:rsidRPr="00573761" w:rsidRDefault="00B104F8" w:rsidP="00B10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p>
    <w:p w14:paraId="1AE39977" w14:textId="3E77A220" w:rsidR="00B104F8" w:rsidRPr="00573761" w:rsidRDefault="00D27106" w:rsidP="00B10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lang w:val="en"/>
        </w:rPr>
      </w:pPr>
      <w:r w:rsidRPr="00573761">
        <w:rPr>
          <w:bCs/>
          <w:color w:val="000000"/>
          <w:sz w:val="26"/>
          <w:szCs w:val="26"/>
        </w:rPr>
        <w:tab/>
      </w:r>
      <w:r w:rsidR="00B104F8" w:rsidRPr="00573761">
        <w:rPr>
          <w:bCs/>
          <w:color w:val="000000"/>
          <w:sz w:val="26"/>
          <w:szCs w:val="26"/>
        </w:rPr>
        <w:t xml:space="preserve">As we previously determined in the </w:t>
      </w:r>
      <w:r w:rsidR="0059184C" w:rsidRPr="00573761">
        <w:rPr>
          <w:bCs/>
          <w:color w:val="000000"/>
          <w:sz w:val="26"/>
          <w:szCs w:val="26"/>
        </w:rPr>
        <w:t xml:space="preserve">Order </w:t>
      </w:r>
      <w:r w:rsidR="00B104F8" w:rsidRPr="00573761">
        <w:rPr>
          <w:bCs/>
          <w:color w:val="000000"/>
          <w:sz w:val="26"/>
          <w:szCs w:val="26"/>
        </w:rPr>
        <w:t xml:space="preserve">and now reaffirm after review of the filed comments, </w:t>
      </w:r>
      <w:r w:rsidR="00B104F8" w:rsidRPr="00573761">
        <w:rPr>
          <w:bCs/>
          <w:color w:val="000000"/>
          <w:sz w:val="26"/>
          <w:szCs w:val="26"/>
          <w:lang w:val="en"/>
        </w:rPr>
        <w:t xml:space="preserve">the FCC has not </w:t>
      </w:r>
      <w:r w:rsidR="002844C4" w:rsidRPr="00573761">
        <w:rPr>
          <w:bCs/>
          <w:color w:val="000000"/>
          <w:sz w:val="26"/>
          <w:szCs w:val="26"/>
          <w:lang w:val="en"/>
        </w:rPr>
        <w:t xml:space="preserve">expressly </w:t>
      </w:r>
      <w:r w:rsidR="00B104F8" w:rsidRPr="00573761">
        <w:rPr>
          <w:bCs/>
          <w:color w:val="000000"/>
          <w:sz w:val="26"/>
          <w:szCs w:val="26"/>
          <w:lang w:val="en"/>
        </w:rPr>
        <w:t xml:space="preserve">preempted state regulation </w:t>
      </w:r>
      <w:r w:rsidR="00503C85" w:rsidRPr="00573761">
        <w:rPr>
          <w:bCs/>
          <w:color w:val="000000"/>
          <w:sz w:val="26"/>
          <w:szCs w:val="26"/>
          <w:lang w:val="en"/>
        </w:rPr>
        <w:t xml:space="preserve">for </w:t>
      </w:r>
      <w:r w:rsidR="00B104F8" w:rsidRPr="00573761">
        <w:rPr>
          <w:bCs/>
          <w:color w:val="000000"/>
          <w:sz w:val="26"/>
          <w:szCs w:val="26"/>
          <w:lang w:val="en"/>
        </w:rPr>
        <w:t>jurisdictionally</w:t>
      </w:r>
      <w:r w:rsidR="00503C85" w:rsidRPr="00573761">
        <w:rPr>
          <w:bCs/>
          <w:color w:val="000000"/>
          <w:sz w:val="26"/>
          <w:szCs w:val="26"/>
          <w:lang w:val="en"/>
        </w:rPr>
        <w:t xml:space="preserve"> </w:t>
      </w:r>
      <w:r w:rsidR="00B104F8" w:rsidRPr="00573761">
        <w:rPr>
          <w:bCs/>
          <w:color w:val="000000"/>
          <w:sz w:val="26"/>
          <w:szCs w:val="26"/>
          <w:lang w:val="en"/>
        </w:rPr>
        <w:t>mixed</w:t>
      </w:r>
      <w:r w:rsidR="00503C85" w:rsidRPr="00573761">
        <w:rPr>
          <w:bCs/>
          <w:color w:val="000000"/>
          <w:sz w:val="26"/>
          <w:szCs w:val="26"/>
          <w:lang w:val="en"/>
        </w:rPr>
        <w:t>-use</w:t>
      </w:r>
      <w:r w:rsidR="00B104F8" w:rsidRPr="00573761">
        <w:rPr>
          <w:bCs/>
          <w:color w:val="000000"/>
          <w:sz w:val="26"/>
          <w:szCs w:val="26"/>
          <w:lang w:val="en"/>
        </w:rPr>
        <w:t xml:space="preserve"> </w:t>
      </w:r>
      <w:r w:rsidR="00503C85" w:rsidRPr="00573761">
        <w:rPr>
          <w:bCs/>
          <w:color w:val="000000"/>
          <w:sz w:val="26"/>
          <w:szCs w:val="26"/>
          <w:lang w:val="en"/>
        </w:rPr>
        <w:t xml:space="preserve">services </w:t>
      </w:r>
      <w:r w:rsidR="00B104F8" w:rsidRPr="00573761">
        <w:rPr>
          <w:bCs/>
          <w:color w:val="000000"/>
          <w:sz w:val="26"/>
          <w:szCs w:val="26"/>
          <w:lang w:val="en"/>
        </w:rPr>
        <w:t xml:space="preserve">and the state action does not frustrate any important federal interest.  </w:t>
      </w:r>
      <w:r w:rsidR="00B104F8" w:rsidRPr="00573761">
        <w:rPr>
          <w:bCs/>
          <w:i/>
          <w:color w:val="000000"/>
          <w:sz w:val="26"/>
          <w:szCs w:val="26"/>
        </w:rPr>
        <w:t>See Louisiana PSC</w:t>
      </w:r>
      <w:r w:rsidR="00B104F8" w:rsidRPr="00573761">
        <w:rPr>
          <w:bCs/>
          <w:color w:val="000000"/>
          <w:sz w:val="26"/>
          <w:szCs w:val="26"/>
        </w:rPr>
        <w:t xml:space="preserve">, 476 U.S. at 375; </w:t>
      </w:r>
      <w:r w:rsidR="00B104F8" w:rsidRPr="00573761">
        <w:rPr>
          <w:bCs/>
          <w:i/>
          <w:color w:val="000000"/>
          <w:sz w:val="26"/>
          <w:szCs w:val="26"/>
          <w:lang w:val="en"/>
        </w:rPr>
        <w:t>Diamond Int’l Corp. v. FCC</w:t>
      </w:r>
      <w:r w:rsidR="00B104F8" w:rsidRPr="00573761">
        <w:rPr>
          <w:bCs/>
          <w:color w:val="000000"/>
          <w:sz w:val="26"/>
          <w:szCs w:val="26"/>
          <w:lang w:val="en"/>
        </w:rPr>
        <w:t>, 627 F.2d 489, 493 (D.C. Cir. 1980) (permitting state regulation of mixed-use service within FCC’s authority</w:t>
      </w:r>
      <w:bookmarkStart w:id="6" w:name="_Hlk525130417"/>
      <w:r w:rsidR="00B104F8" w:rsidRPr="00573761">
        <w:rPr>
          <w:bCs/>
          <w:color w:val="000000"/>
          <w:sz w:val="26"/>
          <w:szCs w:val="26"/>
          <w:lang w:val="en"/>
        </w:rPr>
        <w:t xml:space="preserve">); </w:t>
      </w:r>
      <w:r w:rsidR="00B104F8" w:rsidRPr="00573761">
        <w:rPr>
          <w:bCs/>
          <w:i/>
          <w:color w:val="000000"/>
          <w:sz w:val="26"/>
          <w:szCs w:val="26"/>
          <w:lang w:val="en"/>
        </w:rPr>
        <w:t>In the Matter of Filing and Review of Open Network Architecture Plans</w:t>
      </w:r>
      <w:r w:rsidR="00B104F8" w:rsidRPr="00573761">
        <w:rPr>
          <w:bCs/>
          <w:color w:val="000000"/>
          <w:sz w:val="26"/>
          <w:szCs w:val="26"/>
          <w:lang w:val="en"/>
        </w:rPr>
        <w:t>, 4 F.C.C.R. 1 ¶¶ 276, 277 (1988) (deciding to allow continuation of state tariffing of Complementary Network Services) (</w:t>
      </w:r>
      <w:r w:rsidR="00B104F8" w:rsidRPr="00573761">
        <w:rPr>
          <w:bCs/>
          <w:i/>
          <w:color w:val="000000"/>
          <w:sz w:val="26"/>
          <w:szCs w:val="26"/>
          <w:lang w:val="en"/>
        </w:rPr>
        <w:t>Open Network Order</w:t>
      </w:r>
      <w:r w:rsidR="00B104F8" w:rsidRPr="00573761">
        <w:rPr>
          <w:bCs/>
          <w:color w:val="000000"/>
          <w:sz w:val="26"/>
          <w:szCs w:val="26"/>
          <w:lang w:val="en"/>
        </w:rPr>
        <w:t>).</w:t>
      </w:r>
      <w:bookmarkEnd w:id="6"/>
      <w:r w:rsidR="002844C4" w:rsidRPr="00573761">
        <w:rPr>
          <w:bCs/>
          <w:color w:val="000000"/>
          <w:sz w:val="26"/>
          <w:szCs w:val="26"/>
          <w:lang w:val="en"/>
        </w:rPr>
        <w:t xml:space="preserve">  Accordingly, a</w:t>
      </w:r>
      <w:r w:rsidR="00B104F8" w:rsidRPr="00573761">
        <w:rPr>
          <w:bCs/>
          <w:color w:val="000000"/>
          <w:sz w:val="26"/>
          <w:szCs w:val="26"/>
          <w:lang w:val="en"/>
        </w:rPr>
        <w:t xml:space="preserve"> state commission is no</w:t>
      </w:r>
      <w:r w:rsidR="00CE7E3A" w:rsidRPr="00573761">
        <w:rPr>
          <w:bCs/>
          <w:color w:val="000000"/>
          <w:sz w:val="26"/>
          <w:szCs w:val="26"/>
          <w:lang w:val="en"/>
        </w:rPr>
        <w:t xml:space="preserve"> more</w:t>
      </w:r>
      <w:r w:rsidR="00B104F8" w:rsidRPr="00573761">
        <w:rPr>
          <w:bCs/>
          <w:color w:val="000000"/>
          <w:sz w:val="26"/>
          <w:szCs w:val="26"/>
          <w:lang w:val="en"/>
        </w:rPr>
        <w:t xml:space="preserve"> preempted from imposing </w:t>
      </w:r>
      <w:r w:rsidR="000F64F7" w:rsidRPr="00573761">
        <w:rPr>
          <w:bCs/>
          <w:color w:val="000000"/>
          <w:sz w:val="26"/>
          <w:szCs w:val="26"/>
          <w:lang w:val="en"/>
        </w:rPr>
        <w:t xml:space="preserve">an </w:t>
      </w:r>
      <w:r w:rsidR="00B104F8" w:rsidRPr="00573761">
        <w:rPr>
          <w:bCs/>
          <w:color w:val="000000"/>
          <w:sz w:val="26"/>
          <w:szCs w:val="26"/>
          <w:lang w:val="en"/>
        </w:rPr>
        <w:t>annual fiscal assessment</w:t>
      </w:r>
      <w:r w:rsidR="00A80194" w:rsidRPr="00573761">
        <w:rPr>
          <w:bCs/>
          <w:color w:val="000000"/>
          <w:sz w:val="26"/>
          <w:szCs w:val="26"/>
          <w:lang w:val="en"/>
        </w:rPr>
        <w:t xml:space="preserve"> or other form of state fee</w:t>
      </w:r>
      <w:r w:rsidR="00B104F8" w:rsidRPr="00573761">
        <w:rPr>
          <w:bCs/>
          <w:color w:val="000000"/>
          <w:sz w:val="26"/>
          <w:szCs w:val="26"/>
          <w:lang w:val="en"/>
        </w:rPr>
        <w:t xml:space="preserve"> on a jurisdictional telecommunications public utility to cover the reasonable and allocated operating costs of the state commission </w:t>
      </w:r>
      <w:r w:rsidR="00CE7E3A" w:rsidRPr="00573761">
        <w:rPr>
          <w:bCs/>
          <w:color w:val="000000"/>
          <w:sz w:val="26"/>
          <w:szCs w:val="26"/>
          <w:lang w:val="en"/>
        </w:rPr>
        <w:t xml:space="preserve">than it is </w:t>
      </w:r>
      <w:r w:rsidR="00940DD8" w:rsidRPr="00573761">
        <w:rPr>
          <w:bCs/>
          <w:color w:val="000000"/>
          <w:sz w:val="26"/>
          <w:szCs w:val="26"/>
          <w:lang w:val="en"/>
        </w:rPr>
        <w:t xml:space="preserve">from granting a </w:t>
      </w:r>
      <w:r w:rsidR="00B104F8" w:rsidRPr="00573761">
        <w:rPr>
          <w:bCs/>
          <w:color w:val="000000"/>
          <w:sz w:val="26"/>
          <w:szCs w:val="26"/>
          <w:lang w:val="en"/>
        </w:rPr>
        <w:t xml:space="preserve">CPC or license </w:t>
      </w:r>
      <w:r w:rsidR="004E3E87" w:rsidRPr="00573761">
        <w:rPr>
          <w:bCs/>
          <w:color w:val="000000"/>
          <w:sz w:val="26"/>
          <w:szCs w:val="26"/>
          <w:lang w:val="en"/>
        </w:rPr>
        <w:t>to provide jurisdictionally</w:t>
      </w:r>
      <w:r w:rsidR="00940DD8" w:rsidRPr="00573761">
        <w:rPr>
          <w:bCs/>
          <w:color w:val="000000"/>
          <w:sz w:val="26"/>
          <w:szCs w:val="26"/>
          <w:lang w:val="en"/>
        </w:rPr>
        <w:t>-mixed</w:t>
      </w:r>
      <w:r w:rsidR="004E3E87" w:rsidRPr="00573761">
        <w:rPr>
          <w:bCs/>
          <w:color w:val="000000"/>
          <w:sz w:val="26"/>
          <w:szCs w:val="26"/>
          <w:lang w:val="en"/>
        </w:rPr>
        <w:t xml:space="preserve"> service with the Commonwealth.</w:t>
      </w:r>
      <w:r w:rsidR="00CE7E3A" w:rsidRPr="00573761">
        <w:rPr>
          <w:bCs/>
          <w:color w:val="000000"/>
          <w:sz w:val="26"/>
          <w:szCs w:val="26"/>
          <w:lang w:val="en"/>
        </w:rPr>
        <w:t xml:space="preserve"> </w:t>
      </w:r>
    </w:p>
    <w:p w14:paraId="0E938ADB" w14:textId="4D42B63F" w:rsidR="00F12A22" w:rsidRPr="00573761" w:rsidRDefault="00F12A22" w:rsidP="00B10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lang w:val="en"/>
        </w:rPr>
      </w:pPr>
    </w:p>
    <w:p w14:paraId="73084FBE" w14:textId="39FE2C8F" w:rsidR="00F12A22" w:rsidRDefault="00F12A22" w:rsidP="00F12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Even in the absence of preemptive legislation, the Commerce Clause bars state regulation that unduly burdens interstate commerce. The Commerce Clause acts as an implied restraint on state regulatory powers, which must give way to the superior authority of Congress to legislate on, or leave unregulated, matters involving interstate commerce.  </w:t>
      </w:r>
      <w:r w:rsidRPr="00573761">
        <w:rPr>
          <w:bCs/>
          <w:i/>
          <w:iCs/>
          <w:color w:val="000000"/>
          <w:sz w:val="26"/>
          <w:szCs w:val="26"/>
        </w:rPr>
        <w:t>United Building and Construction Trades Council of Camden County and Vicinity v. Mayor and Council of City of Camden</w:t>
      </w:r>
      <w:r w:rsidRPr="00573761">
        <w:rPr>
          <w:bCs/>
          <w:color w:val="000000"/>
          <w:sz w:val="26"/>
          <w:szCs w:val="26"/>
        </w:rPr>
        <w:t xml:space="preserve">, 465 U.S. 208, 220 (1984).  However, the Commission also determines that imposing fiscal assessments on revenues subject to the ten percent rule is not in violation of the Commerce Clause because the effect the Commission’s uniform methodology under 66 Pa. C.S. § 510 is incidental.  A fiscal assessment will not detrimentally impact the flow of interstate commerce in light of the legitimate state interest that all jurisdictional telecommunications carriers report gross </w:t>
      </w:r>
      <w:r w:rsidRPr="00573761">
        <w:rPr>
          <w:bCs/>
          <w:color w:val="000000"/>
          <w:sz w:val="26"/>
          <w:szCs w:val="26"/>
        </w:rPr>
        <w:lastRenderedPageBreak/>
        <w:t>intrastate operating revenues so as to provide the requisite funds for the Commission’s annual operating budget.</w:t>
      </w:r>
    </w:p>
    <w:p w14:paraId="6700443C" w14:textId="77777777" w:rsidR="00A71916" w:rsidRPr="00573761" w:rsidRDefault="00A71916" w:rsidP="00F12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505F62F8" w14:textId="430C66CC" w:rsidR="00B654BB" w:rsidRPr="00573761" w:rsidRDefault="00D53C30" w:rsidP="00B6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B104F8" w:rsidRPr="00573761">
        <w:rPr>
          <w:bCs/>
          <w:color w:val="000000"/>
          <w:sz w:val="26"/>
          <w:szCs w:val="26"/>
        </w:rPr>
        <w:t xml:space="preserve">Next, </w:t>
      </w:r>
      <w:r w:rsidR="00B654BB" w:rsidRPr="00573761">
        <w:rPr>
          <w:bCs/>
          <w:color w:val="000000"/>
          <w:sz w:val="26"/>
          <w:szCs w:val="26"/>
        </w:rPr>
        <w:t xml:space="preserve">Verizon questions whether the Commission may clarify that assessable revenues from telecommunications service are </w:t>
      </w:r>
      <w:r w:rsidR="0085018F" w:rsidRPr="00573761">
        <w:rPr>
          <w:bCs/>
          <w:color w:val="000000"/>
          <w:sz w:val="26"/>
          <w:szCs w:val="26"/>
        </w:rPr>
        <w:t>“</w:t>
      </w:r>
      <w:r w:rsidR="00B654BB" w:rsidRPr="00573761">
        <w:rPr>
          <w:bCs/>
          <w:i/>
          <w:color w:val="000000"/>
          <w:sz w:val="26"/>
          <w:szCs w:val="26"/>
        </w:rPr>
        <w:t xml:space="preserve">de facto </w:t>
      </w:r>
      <w:r w:rsidR="00B654BB" w:rsidRPr="00573761">
        <w:rPr>
          <w:bCs/>
          <w:color w:val="000000"/>
          <w:sz w:val="26"/>
          <w:szCs w:val="26"/>
        </w:rPr>
        <w:t>gross operating revenues</w:t>
      </w:r>
      <w:r w:rsidR="0085018F" w:rsidRPr="00573761">
        <w:rPr>
          <w:bCs/>
          <w:color w:val="000000"/>
          <w:sz w:val="26"/>
          <w:szCs w:val="26"/>
        </w:rPr>
        <w:t>”</w:t>
      </w:r>
      <w:r w:rsidR="00B654BB" w:rsidRPr="00573761">
        <w:rPr>
          <w:bCs/>
          <w:color w:val="000000"/>
          <w:sz w:val="26"/>
          <w:szCs w:val="26"/>
        </w:rPr>
        <w:t xml:space="preserve"> without statutory amendment of Section 510.  </w:t>
      </w:r>
      <w:r w:rsidR="00992459" w:rsidRPr="00573761">
        <w:rPr>
          <w:bCs/>
          <w:color w:val="000000"/>
          <w:sz w:val="26"/>
          <w:szCs w:val="26"/>
        </w:rPr>
        <w:t xml:space="preserve">We disagree </w:t>
      </w:r>
      <w:r w:rsidR="00B654BB" w:rsidRPr="00573761">
        <w:rPr>
          <w:bCs/>
          <w:color w:val="000000"/>
          <w:sz w:val="26"/>
          <w:szCs w:val="26"/>
        </w:rPr>
        <w:t>with th</w:t>
      </w:r>
      <w:r w:rsidR="008E2595" w:rsidRPr="00573761">
        <w:rPr>
          <w:bCs/>
          <w:color w:val="000000"/>
          <w:sz w:val="26"/>
          <w:szCs w:val="26"/>
        </w:rPr>
        <w:t xml:space="preserve">is </w:t>
      </w:r>
      <w:r w:rsidR="00992459" w:rsidRPr="00573761">
        <w:rPr>
          <w:bCs/>
          <w:color w:val="000000"/>
          <w:sz w:val="26"/>
          <w:szCs w:val="26"/>
        </w:rPr>
        <w:t>position</w:t>
      </w:r>
      <w:r w:rsidR="00F427B4" w:rsidRPr="00573761">
        <w:rPr>
          <w:bCs/>
          <w:color w:val="000000"/>
          <w:sz w:val="26"/>
          <w:szCs w:val="26"/>
        </w:rPr>
        <w:t xml:space="preserve"> and also note that the argument acknowledges state authority to assess revenues as </w:t>
      </w:r>
      <w:r w:rsidR="00F427B4" w:rsidRPr="00573761">
        <w:rPr>
          <w:bCs/>
          <w:i/>
          <w:color w:val="000000"/>
          <w:sz w:val="26"/>
          <w:szCs w:val="26"/>
        </w:rPr>
        <w:t xml:space="preserve">de facto </w:t>
      </w:r>
      <w:r w:rsidR="00F427B4" w:rsidRPr="00573761">
        <w:rPr>
          <w:bCs/>
          <w:color w:val="000000"/>
          <w:sz w:val="26"/>
          <w:szCs w:val="26"/>
        </w:rPr>
        <w:t>gross intrastate operating revenues</w:t>
      </w:r>
      <w:r w:rsidR="00B654BB" w:rsidRPr="00573761">
        <w:rPr>
          <w:bCs/>
          <w:color w:val="000000"/>
          <w:sz w:val="26"/>
          <w:szCs w:val="26"/>
        </w:rPr>
        <w:t>.</w:t>
      </w:r>
    </w:p>
    <w:p w14:paraId="183553FB" w14:textId="77777777" w:rsidR="000A16DC" w:rsidRPr="00573761" w:rsidRDefault="000A16DC" w:rsidP="000A16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4BCDEB39" w14:textId="2A4ABB7D" w:rsidR="00800D23" w:rsidRPr="00573761" w:rsidRDefault="000A16DC" w:rsidP="00F42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color w:val="000000"/>
          <w:sz w:val="26"/>
          <w:szCs w:val="26"/>
        </w:rPr>
      </w:pPr>
      <w:r w:rsidRPr="00573761">
        <w:rPr>
          <w:bCs/>
          <w:color w:val="000000"/>
          <w:sz w:val="26"/>
          <w:szCs w:val="26"/>
        </w:rPr>
        <w:tab/>
      </w:r>
      <w:r w:rsidR="00800D23" w:rsidRPr="00573761">
        <w:rPr>
          <w:bCs/>
          <w:color w:val="000000"/>
          <w:sz w:val="26"/>
          <w:szCs w:val="26"/>
        </w:rPr>
        <w:t xml:space="preserve">The Commission has the authority to clarify what constitutes </w:t>
      </w:r>
      <w:r w:rsidR="0085018F" w:rsidRPr="00573761">
        <w:rPr>
          <w:bCs/>
          <w:color w:val="000000"/>
          <w:sz w:val="26"/>
          <w:szCs w:val="26"/>
        </w:rPr>
        <w:t>“</w:t>
      </w:r>
      <w:r w:rsidR="00800D23" w:rsidRPr="00573761">
        <w:rPr>
          <w:bCs/>
          <w:color w:val="000000"/>
          <w:sz w:val="26"/>
          <w:szCs w:val="26"/>
        </w:rPr>
        <w:t>gross intrastate operating revenues</w:t>
      </w:r>
      <w:r w:rsidR="0085018F" w:rsidRPr="00573761">
        <w:rPr>
          <w:bCs/>
          <w:color w:val="000000"/>
          <w:sz w:val="26"/>
          <w:szCs w:val="26"/>
        </w:rPr>
        <w:t>”</w:t>
      </w:r>
      <w:r w:rsidR="00800D23" w:rsidRPr="00573761">
        <w:rPr>
          <w:bCs/>
          <w:color w:val="000000"/>
          <w:sz w:val="26"/>
          <w:szCs w:val="26"/>
        </w:rPr>
        <w:t xml:space="preserve"> so that </w:t>
      </w:r>
      <w:r w:rsidR="00CE7E3A" w:rsidRPr="00573761">
        <w:rPr>
          <w:bCs/>
          <w:color w:val="000000"/>
          <w:sz w:val="26"/>
          <w:szCs w:val="26"/>
        </w:rPr>
        <w:t xml:space="preserve">telecommunications </w:t>
      </w:r>
      <w:r w:rsidR="00800D23" w:rsidRPr="00573761">
        <w:rPr>
          <w:bCs/>
          <w:color w:val="000000"/>
          <w:sz w:val="26"/>
          <w:szCs w:val="26"/>
        </w:rPr>
        <w:t xml:space="preserve">public utilities </w:t>
      </w:r>
      <w:r w:rsidR="00CE7E3A" w:rsidRPr="00573761">
        <w:rPr>
          <w:bCs/>
          <w:color w:val="000000"/>
          <w:sz w:val="26"/>
          <w:szCs w:val="26"/>
        </w:rPr>
        <w:t xml:space="preserve">are responsible for covering </w:t>
      </w:r>
      <w:r w:rsidR="00800D23" w:rsidRPr="00573761">
        <w:rPr>
          <w:bCs/>
          <w:color w:val="000000"/>
          <w:sz w:val="26"/>
          <w:szCs w:val="26"/>
        </w:rPr>
        <w:t xml:space="preserve">their reasonable share </w:t>
      </w:r>
      <w:r w:rsidR="00CE7E3A" w:rsidRPr="00573761">
        <w:rPr>
          <w:bCs/>
          <w:color w:val="000000"/>
          <w:sz w:val="26"/>
          <w:szCs w:val="26"/>
        </w:rPr>
        <w:t xml:space="preserve">of costs related to the Commission’s </w:t>
      </w:r>
      <w:r w:rsidR="00800D23" w:rsidRPr="00573761">
        <w:rPr>
          <w:bCs/>
          <w:color w:val="000000"/>
          <w:sz w:val="26"/>
          <w:szCs w:val="26"/>
        </w:rPr>
        <w:t>administ</w:t>
      </w:r>
      <w:r w:rsidR="00CE7E3A" w:rsidRPr="00573761">
        <w:rPr>
          <w:bCs/>
          <w:color w:val="000000"/>
          <w:sz w:val="26"/>
          <w:szCs w:val="26"/>
        </w:rPr>
        <w:t>ration</w:t>
      </w:r>
      <w:r w:rsidR="00800D23" w:rsidRPr="00573761">
        <w:rPr>
          <w:bCs/>
          <w:color w:val="000000"/>
          <w:sz w:val="26"/>
          <w:szCs w:val="26"/>
        </w:rPr>
        <w:t xml:space="preserve"> of the Code.  </w:t>
      </w:r>
      <w:r w:rsidRPr="00573761">
        <w:rPr>
          <w:bCs/>
          <w:color w:val="000000"/>
          <w:sz w:val="26"/>
          <w:szCs w:val="26"/>
        </w:rPr>
        <w:t xml:space="preserve">Section 510(f) declares, </w:t>
      </w:r>
      <w:r w:rsidR="0085018F" w:rsidRPr="00573761">
        <w:rPr>
          <w:bCs/>
          <w:color w:val="000000"/>
          <w:sz w:val="26"/>
          <w:szCs w:val="26"/>
        </w:rPr>
        <w:t>“</w:t>
      </w:r>
      <w:r w:rsidRPr="00573761">
        <w:rPr>
          <w:bCs/>
          <w:color w:val="000000"/>
          <w:sz w:val="26"/>
          <w:szCs w:val="26"/>
        </w:rPr>
        <w:t>[i]t is the intent and purpose of this section that each public utility subject to this part shall advance to the commission its reasonable share of the cost of administering this part.</w:t>
      </w:r>
      <w:r w:rsidR="0085018F" w:rsidRPr="00573761">
        <w:rPr>
          <w:bCs/>
          <w:color w:val="000000"/>
          <w:sz w:val="26"/>
          <w:szCs w:val="26"/>
        </w:rPr>
        <w:t>”</w:t>
      </w:r>
      <w:r w:rsidRPr="00573761">
        <w:rPr>
          <w:bCs/>
          <w:color w:val="000000"/>
          <w:sz w:val="26"/>
          <w:szCs w:val="26"/>
        </w:rPr>
        <w:t xml:space="preserve"> </w:t>
      </w:r>
      <w:r w:rsidR="00D4381B" w:rsidRPr="00573761">
        <w:rPr>
          <w:bCs/>
          <w:color w:val="000000"/>
          <w:sz w:val="26"/>
          <w:szCs w:val="26"/>
        </w:rPr>
        <w:t xml:space="preserve"> </w:t>
      </w:r>
      <w:r w:rsidRPr="00573761">
        <w:rPr>
          <w:bCs/>
          <w:color w:val="000000"/>
          <w:sz w:val="26"/>
          <w:szCs w:val="26"/>
        </w:rPr>
        <w:t>66 Pa. C.S. §</w:t>
      </w:r>
      <w:r w:rsidR="00F427B4" w:rsidRPr="00573761">
        <w:rPr>
          <w:bCs/>
          <w:color w:val="000000"/>
          <w:sz w:val="26"/>
          <w:szCs w:val="26"/>
        </w:rPr>
        <w:t> </w:t>
      </w:r>
      <w:r w:rsidRPr="00573761">
        <w:rPr>
          <w:bCs/>
          <w:color w:val="000000"/>
          <w:sz w:val="26"/>
          <w:szCs w:val="26"/>
        </w:rPr>
        <w:t xml:space="preserve">510(f).  </w:t>
      </w:r>
    </w:p>
    <w:p w14:paraId="16EE9FC6" w14:textId="77777777" w:rsidR="00A01FB8" w:rsidRPr="00573761" w:rsidRDefault="00800D23" w:rsidP="00535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p>
    <w:p w14:paraId="7069E0C7" w14:textId="71AE0FBF" w:rsidR="00535D3C" w:rsidRPr="00573761" w:rsidRDefault="005B6656" w:rsidP="00535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Under Section 501 of the Code, the Commission has the full power and authority to carry out by regulations, orders, or otherwise, the provisions of the Public Utility Code, including Section 510.  </w:t>
      </w:r>
      <w:r w:rsidR="00535D3C" w:rsidRPr="00573761">
        <w:rPr>
          <w:bCs/>
          <w:color w:val="000000"/>
          <w:sz w:val="26"/>
          <w:szCs w:val="26"/>
        </w:rPr>
        <w:t>Section 501 of the Code provides in pertinent part:</w:t>
      </w:r>
    </w:p>
    <w:p w14:paraId="10DAD587" w14:textId="77777777" w:rsidR="00AC25ED" w:rsidRPr="00573761" w:rsidRDefault="00AC25ED" w:rsidP="00535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28E12A41" w14:textId="7DBA2C06" w:rsidR="00535D3C" w:rsidRPr="00573761" w:rsidRDefault="00535D3C" w:rsidP="00F427B4">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Cs/>
          <w:color w:val="000000"/>
          <w:sz w:val="26"/>
          <w:szCs w:val="26"/>
        </w:rPr>
      </w:pPr>
      <w:r w:rsidRPr="00573761">
        <w:rPr>
          <w:rFonts w:ascii="Times New Roman" w:hAnsi="Times New Roman"/>
          <w:bCs/>
          <w:i/>
          <w:iCs/>
          <w:color w:val="000000"/>
          <w:sz w:val="26"/>
          <w:szCs w:val="26"/>
        </w:rPr>
        <w:t>Enforcement of provisions of part</w:t>
      </w:r>
      <w:r w:rsidRPr="00573761">
        <w:rPr>
          <w:rFonts w:ascii="Times New Roman" w:hAnsi="Times New Roman"/>
          <w:bCs/>
          <w:color w:val="000000"/>
          <w:sz w:val="26"/>
          <w:szCs w:val="26"/>
        </w:rPr>
        <w:t xml:space="preserve">. </w:t>
      </w:r>
      <w:r w:rsidR="00AD33C8" w:rsidRPr="00573761">
        <w:rPr>
          <w:rFonts w:ascii="Times New Roman" w:hAnsi="Times New Roman"/>
          <w:bCs/>
          <w:color w:val="000000"/>
          <w:sz w:val="26"/>
          <w:szCs w:val="26"/>
        </w:rPr>
        <w:t>—</w:t>
      </w:r>
      <w:r w:rsidRPr="00573761">
        <w:rPr>
          <w:rFonts w:ascii="Times New Roman" w:hAnsi="Times New Roman"/>
          <w:bCs/>
          <w:color w:val="000000"/>
          <w:sz w:val="26"/>
          <w:szCs w:val="26"/>
        </w:rPr>
        <w:t>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and shall have the power to rescind or modify any such regulations or orders. The express enumeration of the powers of the commission in this part shall not exclude any power which the commission would otherwise have under any of the provisions of this part.</w:t>
      </w:r>
    </w:p>
    <w:p w14:paraId="6F4BCBED" w14:textId="77777777" w:rsidR="00535D3C" w:rsidRPr="00573761" w:rsidRDefault="00535D3C" w:rsidP="00F427B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rPr>
          <w:rFonts w:ascii="Times New Roman" w:hAnsi="Times New Roman"/>
          <w:bCs/>
          <w:color w:val="000000"/>
          <w:sz w:val="26"/>
          <w:szCs w:val="26"/>
        </w:rPr>
      </w:pPr>
    </w:p>
    <w:p w14:paraId="611ED21C" w14:textId="6A37E72D" w:rsidR="00535D3C" w:rsidRPr="00573761" w:rsidRDefault="00535D3C" w:rsidP="00F427B4">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Cs/>
          <w:color w:val="000000"/>
          <w:sz w:val="26"/>
          <w:szCs w:val="26"/>
        </w:rPr>
      </w:pPr>
      <w:r w:rsidRPr="00573761">
        <w:rPr>
          <w:rFonts w:ascii="Times New Roman" w:hAnsi="Times New Roman"/>
          <w:bCs/>
          <w:i/>
          <w:iCs/>
          <w:color w:val="000000"/>
          <w:sz w:val="26"/>
          <w:szCs w:val="26"/>
        </w:rPr>
        <w:t>Administrative authority and regulations</w:t>
      </w:r>
      <w:r w:rsidRPr="00573761">
        <w:rPr>
          <w:rFonts w:ascii="Times New Roman" w:hAnsi="Times New Roman"/>
          <w:bCs/>
          <w:color w:val="000000"/>
          <w:sz w:val="26"/>
          <w:szCs w:val="26"/>
        </w:rPr>
        <w:t xml:space="preserve">. </w:t>
      </w:r>
      <w:r w:rsidR="00AD33C8" w:rsidRPr="00573761">
        <w:rPr>
          <w:rFonts w:ascii="Times New Roman" w:hAnsi="Times New Roman"/>
          <w:bCs/>
          <w:color w:val="000000"/>
          <w:sz w:val="26"/>
          <w:szCs w:val="26"/>
        </w:rPr>
        <w:t>—</w:t>
      </w:r>
      <w:r w:rsidRPr="00573761">
        <w:rPr>
          <w:rFonts w:ascii="Times New Roman" w:hAnsi="Times New Roman"/>
          <w:bCs/>
          <w:color w:val="000000"/>
          <w:sz w:val="26"/>
          <w:szCs w:val="26"/>
        </w:rPr>
        <w:t xml:space="preserve">The commission shall have general administrative power and authority to supervise and regulate all public utilities doing business within this Commonwealth. The </w:t>
      </w:r>
      <w:r w:rsidRPr="00573761">
        <w:rPr>
          <w:rFonts w:ascii="Times New Roman" w:hAnsi="Times New Roman"/>
          <w:bCs/>
          <w:color w:val="000000"/>
          <w:sz w:val="26"/>
          <w:szCs w:val="26"/>
        </w:rPr>
        <w:lastRenderedPageBreak/>
        <w:t>commission may make such regulations, not inconsistent with law, as may be necessary or proper in the exercise of its powers or for the performance of its duties.</w:t>
      </w:r>
    </w:p>
    <w:p w14:paraId="23E1E8B6" w14:textId="77777777" w:rsidR="00535D3C" w:rsidRPr="00573761" w:rsidRDefault="00535D3C" w:rsidP="00F427B4">
      <w:pPr>
        <w:pStyle w:val="ListParagraph"/>
        <w:ind w:right="720"/>
        <w:rPr>
          <w:rFonts w:ascii="Times New Roman" w:hAnsi="Times New Roman"/>
          <w:bCs/>
          <w:color w:val="000000"/>
          <w:sz w:val="26"/>
          <w:szCs w:val="26"/>
        </w:rPr>
      </w:pPr>
    </w:p>
    <w:p w14:paraId="766F557C" w14:textId="7DAC9311" w:rsidR="00535D3C" w:rsidRPr="00573761" w:rsidRDefault="00535D3C" w:rsidP="00F427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360"/>
        <w:rPr>
          <w:bCs/>
          <w:color w:val="000000"/>
          <w:sz w:val="26"/>
          <w:szCs w:val="26"/>
        </w:rPr>
      </w:pPr>
      <w:r w:rsidRPr="00573761">
        <w:rPr>
          <w:bCs/>
          <w:color w:val="000000"/>
          <w:sz w:val="26"/>
          <w:szCs w:val="26"/>
        </w:rPr>
        <w:t xml:space="preserve">(c) </w:t>
      </w:r>
      <w:r w:rsidRPr="00573761">
        <w:rPr>
          <w:bCs/>
          <w:i/>
          <w:iCs/>
          <w:color w:val="000000"/>
          <w:sz w:val="26"/>
          <w:szCs w:val="26"/>
        </w:rPr>
        <w:t>Compliance</w:t>
      </w:r>
      <w:r w:rsidRPr="00573761">
        <w:rPr>
          <w:bCs/>
          <w:color w:val="000000"/>
          <w:sz w:val="26"/>
          <w:szCs w:val="26"/>
        </w:rPr>
        <w:t xml:space="preserve">. </w:t>
      </w:r>
      <w:r w:rsidR="00AD33C8" w:rsidRPr="00573761">
        <w:rPr>
          <w:bCs/>
          <w:color w:val="000000"/>
          <w:sz w:val="26"/>
          <w:szCs w:val="26"/>
        </w:rPr>
        <w:t>—</w:t>
      </w:r>
      <w:r w:rsidRPr="00573761">
        <w:rPr>
          <w:bCs/>
          <w:color w:val="000000"/>
          <w:sz w:val="26"/>
          <w:szCs w:val="26"/>
        </w:rPr>
        <w:t>Every public utility, its officers, agents, and employees, and every other person or corporation subject to the provisions of this part, affected by or subject to any regulations or orders of the commission or of any court, made, issued, or entered under the provisions of this part, shall observe, obey, and comply with such regulations or orders, and the terms and conditions thereof.</w:t>
      </w:r>
    </w:p>
    <w:p w14:paraId="5EFAEA7F" w14:textId="059B9967" w:rsidR="00535D3C" w:rsidRPr="00573761" w:rsidRDefault="00535D3C" w:rsidP="00535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5C08DF62" w14:textId="44BA07E8" w:rsidR="00535D3C" w:rsidRPr="00573761" w:rsidRDefault="00535D3C" w:rsidP="00535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66 Pa. C.S. §</w:t>
      </w:r>
      <w:r w:rsidR="00CE7E3A" w:rsidRPr="00573761">
        <w:rPr>
          <w:bCs/>
          <w:color w:val="000000"/>
          <w:sz w:val="26"/>
          <w:szCs w:val="26"/>
        </w:rPr>
        <w:t>§</w:t>
      </w:r>
      <w:r w:rsidRPr="00573761">
        <w:rPr>
          <w:bCs/>
          <w:color w:val="000000"/>
          <w:sz w:val="26"/>
          <w:szCs w:val="26"/>
        </w:rPr>
        <w:t xml:space="preserve"> 501 (a), (b) and (c).</w:t>
      </w:r>
    </w:p>
    <w:p w14:paraId="141EDEA9" w14:textId="77777777" w:rsidR="00535D3C" w:rsidRPr="00573761" w:rsidRDefault="00535D3C" w:rsidP="00535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0C020A54" w14:textId="6092FEB1" w:rsidR="00535D3C" w:rsidRPr="00573761" w:rsidRDefault="00535D3C" w:rsidP="00535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Clarifying that </w:t>
      </w:r>
      <w:r w:rsidR="0085018F" w:rsidRPr="00573761">
        <w:rPr>
          <w:bCs/>
          <w:color w:val="000000"/>
          <w:sz w:val="26"/>
          <w:szCs w:val="26"/>
        </w:rPr>
        <w:t>“</w:t>
      </w:r>
      <w:r w:rsidRPr="00573761">
        <w:rPr>
          <w:bCs/>
          <w:i/>
          <w:color w:val="000000"/>
          <w:sz w:val="26"/>
          <w:szCs w:val="26"/>
        </w:rPr>
        <w:t xml:space="preserve">de facto </w:t>
      </w:r>
      <w:r w:rsidRPr="00573761">
        <w:rPr>
          <w:bCs/>
          <w:color w:val="000000"/>
          <w:sz w:val="26"/>
          <w:szCs w:val="26"/>
        </w:rPr>
        <w:t>gross operating revenues</w:t>
      </w:r>
      <w:r w:rsidR="0085018F" w:rsidRPr="00573761">
        <w:rPr>
          <w:bCs/>
          <w:color w:val="000000"/>
          <w:sz w:val="26"/>
          <w:szCs w:val="26"/>
        </w:rPr>
        <w:t>”</w:t>
      </w:r>
      <w:r w:rsidRPr="00573761">
        <w:rPr>
          <w:bCs/>
          <w:color w:val="000000"/>
          <w:sz w:val="26"/>
          <w:szCs w:val="26"/>
        </w:rPr>
        <w:t xml:space="preserve"> from jurisdictionally mixed</w:t>
      </w:r>
      <w:r w:rsidR="0085018F" w:rsidRPr="00573761">
        <w:rPr>
          <w:bCs/>
          <w:color w:val="000000"/>
          <w:sz w:val="26"/>
          <w:szCs w:val="26"/>
        </w:rPr>
        <w:t>­</w:t>
      </w:r>
      <w:r w:rsidRPr="00573761">
        <w:rPr>
          <w:bCs/>
          <w:color w:val="000000"/>
          <w:sz w:val="26"/>
          <w:szCs w:val="26"/>
        </w:rPr>
        <w:t xml:space="preserve">use </w:t>
      </w:r>
      <w:r w:rsidR="0059184C" w:rsidRPr="00573761">
        <w:rPr>
          <w:bCs/>
          <w:color w:val="000000"/>
          <w:sz w:val="26"/>
          <w:szCs w:val="26"/>
        </w:rPr>
        <w:t xml:space="preserve">services </w:t>
      </w:r>
      <w:r w:rsidRPr="00573761">
        <w:rPr>
          <w:bCs/>
          <w:color w:val="000000"/>
          <w:sz w:val="26"/>
          <w:szCs w:val="26"/>
        </w:rPr>
        <w:t xml:space="preserve">should be reported to the Commission </w:t>
      </w:r>
      <w:r w:rsidR="000A16DC" w:rsidRPr="00573761">
        <w:rPr>
          <w:bCs/>
          <w:color w:val="000000"/>
          <w:sz w:val="26"/>
          <w:szCs w:val="26"/>
        </w:rPr>
        <w:t xml:space="preserve">by jurisdictional telecommunications carriers </w:t>
      </w:r>
      <w:r w:rsidRPr="00573761">
        <w:rPr>
          <w:bCs/>
          <w:color w:val="000000"/>
          <w:sz w:val="26"/>
          <w:szCs w:val="26"/>
        </w:rPr>
        <w:t>for annual fiscal assessments is squarely within the Commission</w:t>
      </w:r>
      <w:r w:rsidR="0085018F" w:rsidRPr="00573761">
        <w:rPr>
          <w:bCs/>
          <w:color w:val="000000"/>
          <w:sz w:val="26"/>
          <w:szCs w:val="26"/>
        </w:rPr>
        <w:t>’</w:t>
      </w:r>
      <w:r w:rsidRPr="00573761">
        <w:rPr>
          <w:bCs/>
          <w:color w:val="000000"/>
          <w:sz w:val="26"/>
          <w:szCs w:val="26"/>
        </w:rPr>
        <w:t xml:space="preserve">s Section 501 general powers </w:t>
      </w:r>
      <w:r w:rsidR="0085018F" w:rsidRPr="00573761">
        <w:rPr>
          <w:bCs/>
          <w:color w:val="000000"/>
          <w:sz w:val="26"/>
          <w:szCs w:val="26"/>
        </w:rPr>
        <w:t>“</w:t>
      </w:r>
      <w:r w:rsidRPr="00573761">
        <w:rPr>
          <w:bCs/>
          <w:color w:val="000000"/>
          <w:sz w:val="26"/>
          <w:szCs w:val="26"/>
        </w:rPr>
        <w:t>to enforce, execute and carry out</w:t>
      </w:r>
      <w:r w:rsidR="0085018F" w:rsidRPr="00573761">
        <w:rPr>
          <w:bCs/>
          <w:color w:val="000000"/>
          <w:sz w:val="26"/>
          <w:szCs w:val="26"/>
        </w:rPr>
        <w:t>”</w:t>
      </w:r>
      <w:r w:rsidRPr="00573761">
        <w:rPr>
          <w:bCs/>
          <w:color w:val="000000"/>
          <w:sz w:val="26"/>
          <w:szCs w:val="26"/>
        </w:rPr>
        <w:t xml:space="preserve"> the purpose under Section 510 of the Code.  66 Pa.</w:t>
      </w:r>
      <w:r w:rsidR="005F3233" w:rsidRPr="00573761">
        <w:rPr>
          <w:bCs/>
          <w:color w:val="000000"/>
          <w:sz w:val="26"/>
          <w:szCs w:val="26"/>
        </w:rPr>
        <w:t xml:space="preserve"> </w:t>
      </w:r>
      <w:r w:rsidRPr="00573761">
        <w:rPr>
          <w:bCs/>
          <w:color w:val="000000"/>
          <w:sz w:val="26"/>
          <w:szCs w:val="26"/>
        </w:rPr>
        <w:t>C.S</w:t>
      </w:r>
      <w:r w:rsidR="0059184C" w:rsidRPr="00573761">
        <w:rPr>
          <w:bCs/>
          <w:color w:val="000000"/>
          <w:sz w:val="26"/>
          <w:szCs w:val="26"/>
        </w:rPr>
        <w:t>.</w:t>
      </w:r>
      <w:r w:rsidRPr="00573761">
        <w:rPr>
          <w:bCs/>
          <w:color w:val="000000"/>
          <w:sz w:val="26"/>
          <w:szCs w:val="26"/>
        </w:rPr>
        <w:t xml:space="preserve"> § 501(a)</w:t>
      </w:r>
      <w:r w:rsidR="000A16DC" w:rsidRPr="00573761">
        <w:rPr>
          <w:bCs/>
          <w:color w:val="000000"/>
          <w:sz w:val="26"/>
          <w:szCs w:val="26"/>
        </w:rPr>
        <w:t xml:space="preserve"> and</w:t>
      </w:r>
      <w:r w:rsidRPr="00573761">
        <w:rPr>
          <w:bCs/>
          <w:color w:val="000000"/>
          <w:sz w:val="26"/>
          <w:szCs w:val="26"/>
        </w:rPr>
        <w:t xml:space="preserve"> (b).</w:t>
      </w:r>
    </w:p>
    <w:p w14:paraId="5E59FE9E" w14:textId="77777777" w:rsidR="00535D3C" w:rsidRPr="00573761" w:rsidRDefault="00535D3C" w:rsidP="00B6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54239876" w14:textId="4C825EE4" w:rsidR="005B3259" w:rsidRPr="00573761" w:rsidRDefault="00800D23" w:rsidP="0080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5B3259" w:rsidRPr="00573761">
        <w:rPr>
          <w:bCs/>
          <w:color w:val="000000"/>
          <w:sz w:val="26"/>
          <w:szCs w:val="26"/>
        </w:rPr>
        <w:t xml:space="preserve">Furthermore, </w:t>
      </w:r>
      <w:r w:rsidRPr="00573761">
        <w:rPr>
          <w:bCs/>
          <w:color w:val="000000"/>
          <w:sz w:val="26"/>
          <w:szCs w:val="26"/>
        </w:rPr>
        <w:t xml:space="preserve">Section 502 of the Code gives the Commission the authority to </w:t>
      </w:r>
      <w:r w:rsidR="005B6656" w:rsidRPr="00573761">
        <w:rPr>
          <w:bCs/>
          <w:color w:val="000000"/>
          <w:sz w:val="26"/>
          <w:szCs w:val="26"/>
        </w:rPr>
        <w:t xml:space="preserve">initiate appropriate legal proceedings to </w:t>
      </w:r>
      <w:r w:rsidRPr="00573761">
        <w:rPr>
          <w:bCs/>
          <w:color w:val="000000"/>
          <w:sz w:val="26"/>
          <w:szCs w:val="26"/>
        </w:rPr>
        <w:t xml:space="preserve">enforce the statutory provisions of the Code.  </w:t>
      </w:r>
      <w:r w:rsidR="005B3259" w:rsidRPr="00573761">
        <w:rPr>
          <w:bCs/>
          <w:color w:val="000000"/>
          <w:sz w:val="26"/>
          <w:szCs w:val="26"/>
        </w:rPr>
        <w:t xml:space="preserve">66 Pa. C.S. § 502.  </w:t>
      </w:r>
      <w:r w:rsidR="00894942" w:rsidRPr="00573761">
        <w:rPr>
          <w:bCs/>
          <w:color w:val="000000"/>
          <w:sz w:val="26"/>
          <w:szCs w:val="26"/>
        </w:rPr>
        <w:t>T</w:t>
      </w:r>
      <w:r w:rsidRPr="00573761">
        <w:rPr>
          <w:bCs/>
          <w:color w:val="000000"/>
          <w:sz w:val="26"/>
          <w:szCs w:val="26"/>
        </w:rPr>
        <w:t xml:space="preserve">he plain language of </w:t>
      </w:r>
      <w:r w:rsidR="00AD33C8" w:rsidRPr="00573761">
        <w:rPr>
          <w:bCs/>
          <w:color w:val="000000"/>
          <w:sz w:val="26"/>
          <w:szCs w:val="26"/>
        </w:rPr>
        <w:t xml:space="preserve">the </w:t>
      </w:r>
      <w:r w:rsidRPr="00573761">
        <w:rPr>
          <w:bCs/>
          <w:color w:val="000000"/>
          <w:sz w:val="26"/>
          <w:szCs w:val="26"/>
        </w:rPr>
        <w:t>Code gives the Commission the authority to assess jurisdictional telecommunications carriers providing telecommunications services</w:t>
      </w:r>
      <w:r w:rsidR="005B3259" w:rsidRPr="00573761">
        <w:rPr>
          <w:bCs/>
          <w:color w:val="000000"/>
          <w:sz w:val="26"/>
          <w:szCs w:val="26"/>
        </w:rPr>
        <w:t xml:space="preserve"> and the duty to enforce this statutory provision</w:t>
      </w:r>
      <w:r w:rsidR="00894942" w:rsidRPr="00573761">
        <w:rPr>
          <w:bCs/>
          <w:color w:val="000000"/>
          <w:sz w:val="26"/>
          <w:szCs w:val="26"/>
        </w:rPr>
        <w:t xml:space="preserve">. </w:t>
      </w:r>
      <w:r w:rsidR="005B3259" w:rsidRPr="00573761">
        <w:rPr>
          <w:bCs/>
          <w:color w:val="000000"/>
          <w:sz w:val="26"/>
          <w:szCs w:val="26"/>
        </w:rPr>
        <w:t xml:space="preserve"> </w:t>
      </w:r>
      <w:r w:rsidR="00894942" w:rsidRPr="00573761">
        <w:rPr>
          <w:bCs/>
          <w:color w:val="000000"/>
          <w:sz w:val="26"/>
          <w:szCs w:val="26"/>
        </w:rPr>
        <w:t xml:space="preserve">Thus, </w:t>
      </w:r>
      <w:r w:rsidR="005B3259" w:rsidRPr="00573761">
        <w:rPr>
          <w:bCs/>
          <w:color w:val="000000"/>
          <w:sz w:val="26"/>
          <w:szCs w:val="26"/>
        </w:rPr>
        <w:t xml:space="preserve">the Commission </w:t>
      </w:r>
      <w:r w:rsidR="00E51A02" w:rsidRPr="00573761">
        <w:rPr>
          <w:bCs/>
          <w:color w:val="000000"/>
          <w:sz w:val="26"/>
          <w:szCs w:val="26"/>
        </w:rPr>
        <w:t xml:space="preserve">may </w:t>
      </w:r>
      <w:r w:rsidR="005B3259" w:rsidRPr="00573761">
        <w:rPr>
          <w:bCs/>
          <w:color w:val="000000"/>
          <w:sz w:val="26"/>
          <w:szCs w:val="26"/>
        </w:rPr>
        <w:t xml:space="preserve">issue a policy statement that provides guidance to jurisdictional telecommunications that they should report the </w:t>
      </w:r>
      <w:r w:rsidR="005B3259" w:rsidRPr="00573761">
        <w:rPr>
          <w:bCs/>
          <w:i/>
          <w:iCs/>
          <w:color w:val="000000"/>
          <w:sz w:val="26"/>
          <w:szCs w:val="26"/>
        </w:rPr>
        <w:t>de facto</w:t>
      </w:r>
      <w:r w:rsidR="005B3259" w:rsidRPr="00573761">
        <w:rPr>
          <w:bCs/>
          <w:color w:val="000000"/>
          <w:sz w:val="26"/>
          <w:szCs w:val="26"/>
        </w:rPr>
        <w:t xml:space="preserve"> gross </w:t>
      </w:r>
      <w:r w:rsidR="004C4BD0" w:rsidRPr="00573761">
        <w:rPr>
          <w:bCs/>
          <w:color w:val="000000"/>
          <w:sz w:val="26"/>
          <w:szCs w:val="26"/>
        </w:rPr>
        <w:t xml:space="preserve">intrastate </w:t>
      </w:r>
      <w:r w:rsidR="005B3259" w:rsidRPr="00573761">
        <w:rPr>
          <w:bCs/>
          <w:color w:val="000000"/>
          <w:sz w:val="26"/>
          <w:szCs w:val="26"/>
        </w:rPr>
        <w:t xml:space="preserve">operating revenue on all </w:t>
      </w:r>
      <w:r w:rsidR="004C4BD0" w:rsidRPr="00573761">
        <w:rPr>
          <w:bCs/>
          <w:color w:val="000000"/>
          <w:sz w:val="26"/>
          <w:szCs w:val="26"/>
        </w:rPr>
        <w:t xml:space="preserve">revenue from </w:t>
      </w:r>
      <w:r w:rsidR="005B3259" w:rsidRPr="00573761">
        <w:rPr>
          <w:bCs/>
          <w:color w:val="000000"/>
          <w:sz w:val="26"/>
          <w:szCs w:val="26"/>
        </w:rPr>
        <w:t>jurisdictionally mixed-use services</w:t>
      </w:r>
      <w:r w:rsidR="004C4BD0" w:rsidRPr="00573761">
        <w:rPr>
          <w:bCs/>
          <w:color w:val="000000"/>
          <w:sz w:val="26"/>
          <w:szCs w:val="26"/>
        </w:rPr>
        <w:t xml:space="preserve"> implicated by the ten percent rule.</w:t>
      </w:r>
    </w:p>
    <w:p w14:paraId="3B54E00A" w14:textId="20787F4C" w:rsidR="005B3259" w:rsidRPr="00573761" w:rsidRDefault="005B3259" w:rsidP="0080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5C8DE096" w14:textId="133115D2" w:rsidR="00750F77" w:rsidRPr="00573761" w:rsidRDefault="001453B7" w:rsidP="0023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The PTA expresses concern that adoption of the </w:t>
      </w:r>
      <w:r w:rsidRPr="00573761">
        <w:rPr>
          <w:bCs/>
          <w:i/>
          <w:iCs/>
          <w:color w:val="000000"/>
          <w:sz w:val="26"/>
          <w:szCs w:val="26"/>
        </w:rPr>
        <w:t>Proposed Policy Statement</w:t>
      </w:r>
      <w:r w:rsidRPr="00573761">
        <w:rPr>
          <w:bCs/>
          <w:color w:val="000000"/>
          <w:sz w:val="26"/>
          <w:szCs w:val="26"/>
        </w:rPr>
        <w:t xml:space="preserve"> would impose new reporting and record-keeping burdens on its RLEC members.  </w:t>
      </w:r>
      <w:r w:rsidR="00230F49" w:rsidRPr="00573761">
        <w:rPr>
          <w:bCs/>
          <w:color w:val="000000"/>
          <w:sz w:val="26"/>
          <w:szCs w:val="26"/>
        </w:rPr>
        <w:t xml:space="preserve">All LECs are subject to Section 510 and to adequately fulfill the purposes of this statutory provision, telecommunications carriers are required to submit all pertinent information and reports </w:t>
      </w:r>
      <w:r w:rsidR="00230F49" w:rsidRPr="00573761">
        <w:rPr>
          <w:bCs/>
          <w:color w:val="000000"/>
          <w:sz w:val="26"/>
          <w:szCs w:val="26"/>
        </w:rPr>
        <w:lastRenderedPageBreak/>
        <w:t xml:space="preserve">necessary for purposes of calculating </w:t>
      </w:r>
      <w:r w:rsidR="00750F77" w:rsidRPr="00573761">
        <w:rPr>
          <w:bCs/>
          <w:color w:val="000000"/>
          <w:sz w:val="26"/>
          <w:szCs w:val="26"/>
        </w:rPr>
        <w:t xml:space="preserve">their annual fiscal </w:t>
      </w:r>
      <w:r w:rsidR="00230F49" w:rsidRPr="00573761">
        <w:rPr>
          <w:bCs/>
          <w:color w:val="000000"/>
          <w:sz w:val="26"/>
          <w:szCs w:val="26"/>
        </w:rPr>
        <w:t xml:space="preserve">assessment.  </w:t>
      </w:r>
      <w:r w:rsidR="00750F77" w:rsidRPr="00573761">
        <w:rPr>
          <w:bCs/>
          <w:color w:val="000000"/>
          <w:sz w:val="26"/>
          <w:szCs w:val="26"/>
        </w:rPr>
        <w:t xml:space="preserve">This filing requirement has not been repealed or eliminated.  Additionally, Sections 309, 504, and 505 </w:t>
      </w:r>
      <w:r w:rsidR="005B6656" w:rsidRPr="00573761">
        <w:rPr>
          <w:bCs/>
          <w:color w:val="000000"/>
          <w:sz w:val="26"/>
          <w:szCs w:val="26"/>
        </w:rPr>
        <w:t xml:space="preserve">of the Code </w:t>
      </w:r>
      <w:r w:rsidR="00750F77" w:rsidRPr="00573761">
        <w:rPr>
          <w:bCs/>
          <w:color w:val="000000"/>
          <w:sz w:val="26"/>
          <w:szCs w:val="26"/>
        </w:rPr>
        <w:t xml:space="preserve">provide the Commission with the plenary authority to compel the production of information and to require public utilities to furnish such records, documents, and information as may be necessary.  </w:t>
      </w:r>
    </w:p>
    <w:p w14:paraId="033B5081" w14:textId="77777777" w:rsidR="00BC394A" w:rsidRPr="00573761" w:rsidRDefault="00750F77" w:rsidP="00145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p>
    <w:p w14:paraId="3FA81D91" w14:textId="2FCE3B41" w:rsidR="001453B7" w:rsidRPr="00573761" w:rsidRDefault="00BC394A" w:rsidP="00145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230F49" w:rsidRPr="00573761">
        <w:rPr>
          <w:bCs/>
          <w:color w:val="000000"/>
          <w:sz w:val="26"/>
          <w:szCs w:val="26"/>
        </w:rPr>
        <w:t>While t</w:t>
      </w:r>
      <w:r w:rsidR="001453B7" w:rsidRPr="00573761">
        <w:rPr>
          <w:bCs/>
          <w:color w:val="000000"/>
          <w:sz w:val="26"/>
          <w:szCs w:val="26"/>
        </w:rPr>
        <w:t xml:space="preserve">he Commission acknowledges </w:t>
      </w:r>
      <w:r w:rsidR="00F427B4" w:rsidRPr="00573761">
        <w:rPr>
          <w:bCs/>
          <w:color w:val="000000"/>
          <w:sz w:val="26"/>
          <w:szCs w:val="26"/>
        </w:rPr>
        <w:t>the</w:t>
      </w:r>
      <w:r w:rsidR="001453B7" w:rsidRPr="00573761">
        <w:rPr>
          <w:bCs/>
          <w:color w:val="000000"/>
          <w:sz w:val="26"/>
          <w:szCs w:val="26"/>
        </w:rPr>
        <w:t xml:space="preserve"> streamlined reporting obligations for ILECs</w:t>
      </w:r>
      <w:r w:rsidR="00230F49" w:rsidRPr="00573761">
        <w:rPr>
          <w:bCs/>
          <w:color w:val="000000"/>
          <w:sz w:val="26"/>
          <w:szCs w:val="26"/>
        </w:rPr>
        <w:t>,</w:t>
      </w:r>
      <w:r w:rsidR="001453B7" w:rsidRPr="00573761">
        <w:rPr>
          <w:bCs/>
          <w:color w:val="000000"/>
          <w:sz w:val="26"/>
          <w:szCs w:val="26"/>
        </w:rPr>
        <w:t xml:space="preserve"> </w:t>
      </w:r>
      <w:r w:rsidR="00230F49" w:rsidRPr="00573761">
        <w:rPr>
          <w:bCs/>
          <w:color w:val="000000"/>
          <w:sz w:val="26"/>
          <w:szCs w:val="26"/>
        </w:rPr>
        <w:t>similar to the OCA, we note that pursuant to Section 3015(e)(7), ILECs operating under a</w:t>
      </w:r>
      <w:r w:rsidR="00750F77" w:rsidRPr="00573761">
        <w:rPr>
          <w:bCs/>
          <w:color w:val="000000"/>
          <w:sz w:val="26"/>
          <w:szCs w:val="26"/>
        </w:rPr>
        <w:t xml:space="preserve"> </w:t>
      </w:r>
      <w:r w:rsidR="00230F49" w:rsidRPr="00573761">
        <w:rPr>
          <w:bCs/>
          <w:color w:val="000000"/>
          <w:sz w:val="26"/>
          <w:szCs w:val="26"/>
        </w:rPr>
        <w:t xml:space="preserve">Chapter 30 Plan are </w:t>
      </w:r>
      <w:r w:rsidR="00F427B4" w:rsidRPr="00573761">
        <w:rPr>
          <w:bCs/>
          <w:color w:val="000000"/>
          <w:sz w:val="26"/>
          <w:szCs w:val="26"/>
        </w:rPr>
        <w:t xml:space="preserve">required to file an </w:t>
      </w:r>
      <w:r w:rsidR="00230F49" w:rsidRPr="00573761">
        <w:rPr>
          <w:bCs/>
          <w:color w:val="000000"/>
          <w:sz w:val="26"/>
          <w:szCs w:val="26"/>
        </w:rPr>
        <w:t xml:space="preserve">annual statement of gross intrastate operating revenues for purposes of calculating assessments for regulatory expense. </w:t>
      </w:r>
      <w:r w:rsidR="00E6270A" w:rsidRPr="00573761">
        <w:rPr>
          <w:bCs/>
          <w:color w:val="000000"/>
          <w:sz w:val="26"/>
          <w:szCs w:val="26"/>
        </w:rPr>
        <w:t xml:space="preserve"> </w:t>
      </w:r>
      <w:r w:rsidR="00230F49" w:rsidRPr="00573761">
        <w:rPr>
          <w:bCs/>
          <w:color w:val="000000"/>
          <w:sz w:val="26"/>
          <w:szCs w:val="26"/>
        </w:rPr>
        <w:t>66</w:t>
      </w:r>
      <w:r w:rsidR="009B5019" w:rsidRPr="00573761">
        <w:rPr>
          <w:bCs/>
          <w:color w:val="000000"/>
          <w:sz w:val="26"/>
          <w:szCs w:val="26"/>
        </w:rPr>
        <w:t> </w:t>
      </w:r>
      <w:r w:rsidR="00230F49" w:rsidRPr="00573761">
        <w:rPr>
          <w:bCs/>
          <w:color w:val="000000"/>
          <w:sz w:val="26"/>
          <w:szCs w:val="26"/>
        </w:rPr>
        <w:t>Pa.</w:t>
      </w:r>
      <w:r w:rsidR="00750F77" w:rsidRPr="00573761">
        <w:rPr>
          <w:bCs/>
          <w:color w:val="000000"/>
          <w:sz w:val="26"/>
          <w:szCs w:val="26"/>
        </w:rPr>
        <w:t xml:space="preserve"> </w:t>
      </w:r>
      <w:r w:rsidR="00230F49" w:rsidRPr="00573761">
        <w:rPr>
          <w:bCs/>
          <w:color w:val="000000"/>
          <w:sz w:val="26"/>
          <w:szCs w:val="26"/>
        </w:rPr>
        <w:t>C.S. § 3015(e)(7).</w:t>
      </w:r>
      <w:r w:rsidR="00750F77" w:rsidRPr="00573761">
        <w:rPr>
          <w:bCs/>
          <w:color w:val="000000"/>
          <w:sz w:val="26"/>
          <w:szCs w:val="26"/>
        </w:rPr>
        <w:t xml:space="preserve">  </w:t>
      </w:r>
      <w:r w:rsidR="00F427B4" w:rsidRPr="00573761">
        <w:rPr>
          <w:bCs/>
          <w:color w:val="000000"/>
          <w:sz w:val="26"/>
          <w:szCs w:val="26"/>
        </w:rPr>
        <w:t xml:space="preserve">Also, pursuant to 66 Pa. C.S. § 3017(f)(2), streamlined reporting does not impede the ability of the Commission to request explanation of the report mandated by Section </w:t>
      </w:r>
      <w:r w:rsidR="00390991" w:rsidRPr="00573761">
        <w:rPr>
          <w:bCs/>
          <w:color w:val="000000"/>
          <w:sz w:val="26"/>
          <w:szCs w:val="26"/>
        </w:rPr>
        <w:t xml:space="preserve">3015(e)(7). </w:t>
      </w:r>
      <w:r w:rsidR="00F427B4" w:rsidRPr="00573761">
        <w:rPr>
          <w:bCs/>
          <w:color w:val="000000"/>
          <w:sz w:val="26"/>
          <w:szCs w:val="26"/>
        </w:rPr>
        <w:t xml:space="preserve"> </w:t>
      </w:r>
      <w:r w:rsidR="00750F77" w:rsidRPr="00573761">
        <w:rPr>
          <w:bCs/>
          <w:color w:val="000000"/>
          <w:sz w:val="26"/>
          <w:szCs w:val="26"/>
        </w:rPr>
        <w:t>Proposed Section 69.3701(7)</w:t>
      </w:r>
      <w:r w:rsidR="00A0510C" w:rsidRPr="00573761">
        <w:rPr>
          <w:bCs/>
          <w:color w:val="000000"/>
          <w:sz w:val="26"/>
          <w:szCs w:val="26"/>
        </w:rPr>
        <w:t xml:space="preserve"> </w:t>
      </w:r>
      <w:r w:rsidR="00750F77" w:rsidRPr="00573761">
        <w:rPr>
          <w:bCs/>
          <w:color w:val="000000"/>
          <w:sz w:val="26"/>
          <w:szCs w:val="26"/>
        </w:rPr>
        <w:t xml:space="preserve">only clarifies that supporting information </w:t>
      </w:r>
      <w:r w:rsidR="0085018F" w:rsidRPr="00573761">
        <w:rPr>
          <w:bCs/>
          <w:color w:val="000000"/>
          <w:sz w:val="26"/>
          <w:szCs w:val="26"/>
        </w:rPr>
        <w:t>“</w:t>
      </w:r>
      <w:r w:rsidR="00750F77" w:rsidRPr="00573761">
        <w:rPr>
          <w:bCs/>
          <w:color w:val="000000"/>
          <w:sz w:val="26"/>
          <w:szCs w:val="26"/>
        </w:rPr>
        <w:t>such as traffic studies, tax returns, jurisdictional allocation formulas and factors, books of accounts, reports, etc.</w:t>
      </w:r>
      <w:r w:rsidR="0085018F" w:rsidRPr="00573761">
        <w:rPr>
          <w:bCs/>
          <w:color w:val="000000"/>
          <w:sz w:val="26"/>
          <w:szCs w:val="26"/>
        </w:rPr>
        <w:t>”</w:t>
      </w:r>
      <w:r w:rsidR="00750F77" w:rsidRPr="00573761">
        <w:rPr>
          <w:bCs/>
          <w:color w:val="000000"/>
          <w:sz w:val="26"/>
          <w:szCs w:val="26"/>
        </w:rPr>
        <w:t xml:space="preserve"> may be considered when reporting proper gross intrastate revenue for fiscal assessment purposes.</w:t>
      </w:r>
      <w:r w:rsidR="00616481" w:rsidRPr="00573761">
        <w:rPr>
          <w:rStyle w:val="FootnoteReference"/>
          <w:bCs/>
          <w:color w:val="000000"/>
          <w:sz w:val="26"/>
          <w:szCs w:val="26"/>
        </w:rPr>
        <w:footnoteReference w:id="56"/>
      </w:r>
      <w:r w:rsidR="00750F77" w:rsidRPr="00573761">
        <w:rPr>
          <w:bCs/>
          <w:color w:val="000000"/>
          <w:sz w:val="26"/>
          <w:szCs w:val="26"/>
        </w:rPr>
        <w:t xml:space="preserve">  Thus, t</w:t>
      </w:r>
      <w:r w:rsidR="00230F49" w:rsidRPr="00573761">
        <w:rPr>
          <w:bCs/>
          <w:color w:val="000000"/>
          <w:sz w:val="26"/>
          <w:szCs w:val="26"/>
        </w:rPr>
        <w:t xml:space="preserve">he </w:t>
      </w:r>
      <w:r w:rsidR="00230F49" w:rsidRPr="00573761">
        <w:rPr>
          <w:bCs/>
          <w:i/>
          <w:iCs/>
          <w:color w:val="000000"/>
          <w:sz w:val="26"/>
          <w:szCs w:val="26"/>
        </w:rPr>
        <w:t>Proposed Policy Statement</w:t>
      </w:r>
      <w:r w:rsidR="00750F77" w:rsidRPr="00573761">
        <w:rPr>
          <w:bCs/>
          <w:color w:val="000000"/>
          <w:sz w:val="26"/>
          <w:szCs w:val="26"/>
        </w:rPr>
        <w:t xml:space="preserve"> does </w:t>
      </w:r>
      <w:r w:rsidR="00230F49" w:rsidRPr="00573761">
        <w:rPr>
          <w:bCs/>
          <w:color w:val="000000"/>
          <w:sz w:val="26"/>
          <w:szCs w:val="26"/>
        </w:rPr>
        <w:t xml:space="preserve">not subject </w:t>
      </w:r>
      <w:r w:rsidR="00A0510C" w:rsidRPr="00573761">
        <w:rPr>
          <w:bCs/>
          <w:color w:val="000000"/>
          <w:sz w:val="26"/>
          <w:szCs w:val="26"/>
        </w:rPr>
        <w:t xml:space="preserve">any jurisdictional telecommunications carriers, including </w:t>
      </w:r>
      <w:r w:rsidR="00230F49" w:rsidRPr="00573761">
        <w:rPr>
          <w:bCs/>
          <w:color w:val="000000"/>
          <w:sz w:val="26"/>
          <w:szCs w:val="26"/>
        </w:rPr>
        <w:t>Chapter 30 Plan ILECs</w:t>
      </w:r>
      <w:r w:rsidR="00A0510C" w:rsidRPr="00573761">
        <w:rPr>
          <w:bCs/>
          <w:color w:val="000000"/>
          <w:sz w:val="26"/>
          <w:szCs w:val="26"/>
        </w:rPr>
        <w:t xml:space="preserve">, </w:t>
      </w:r>
      <w:r w:rsidR="00230F49" w:rsidRPr="00573761">
        <w:rPr>
          <w:bCs/>
          <w:color w:val="000000"/>
          <w:sz w:val="26"/>
          <w:szCs w:val="26"/>
        </w:rPr>
        <w:t>to any new audit and filing requirements</w:t>
      </w:r>
      <w:r w:rsidR="002927AE" w:rsidRPr="00573761">
        <w:rPr>
          <w:bCs/>
          <w:color w:val="000000"/>
          <w:sz w:val="26"/>
          <w:szCs w:val="26"/>
        </w:rPr>
        <w:t>.  It</w:t>
      </w:r>
      <w:r w:rsidR="00750F77" w:rsidRPr="00573761">
        <w:rPr>
          <w:bCs/>
          <w:color w:val="000000"/>
          <w:sz w:val="26"/>
          <w:szCs w:val="26"/>
        </w:rPr>
        <w:t xml:space="preserve"> only describes the possible scope of information which</w:t>
      </w:r>
      <w:r w:rsidR="00A0510C" w:rsidRPr="00573761">
        <w:rPr>
          <w:bCs/>
          <w:color w:val="000000"/>
          <w:sz w:val="26"/>
          <w:szCs w:val="26"/>
        </w:rPr>
        <w:t xml:space="preserve"> </w:t>
      </w:r>
      <w:r w:rsidR="001453B7" w:rsidRPr="00573761">
        <w:rPr>
          <w:bCs/>
          <w:color w:val="000000"/>
          <w:sz w:val="26"/>
          <w:szCs w:val="26"/>
        </w:rPr>
        <w:t xml:space="preserve">may be </w:t>
      </w:r>
      <w:r w:rsidR="00A0510C" w:rsidRPr="00573761">
        <w:rPr>
          <w:bCs/>
          <w:color w:val="000000"/>
          <w:sz w:val="26"/>
          <w:szCs w:val="26"/>
        </w:rPr>
        <w:t>necessary to be file</w:t>
      </w:r>
      <w:r w:rsidR="00390991" w:rsidRPr="00573761">
        <w:rPr>
          <w:bCs/>
          <w:color w:val="000000"/>
          <w:sz w:val="26"/>
          <w:szCs w:val="26"/>
        </w:rPr>
        <w:t>d</w:t>
      </w:r>
      <w:r w:rsidR="00A0510C" w:rsidRPr="00573761">
        <w:rPr>
          <w:bCs/>
          <w:color w:val="000000"/>
          <w:sz w:val="26"/>
          <w:szCs w:val="26"/>
        </w:rPr>
        <w:t xml:space="preserve"> and </w:t>
      </w:r>
      <w:r w:rsidR="001453B7" w:rsidRPr="00573761">
        <w:rPr>
          <w:bCs/>
          <w:color w:val="000000"/>
          <w:sz w:val="26"/>
          <w:szCs w:val="26"/>
        </w:rPr>
        <w:t>considered as support</w:t>
      </w:r>
      <w:r w:rsidR="00A0510C" w:rsidRPr="00573761">
        <w:rPr>
          <w:bCs/>
          <w:color w:val="000000"/>
          <w:sz w:val="26"/>
          <w:szCs w:val="26"/>
        </w:rPr>
        <w:t xml:space="preserve"> for calculating the proper fiscal assessment</w:t>
      </w:r>
      <w:r w:rsidR="001453B7" w:rsidRPr="00573761">
        <w:rPr>
          <w:bCs/>
          <w:color w:val="000000"/>
          <w:sz w:val="26"/>
          <w:szCs w:val="26"/>
        </w:rPr>
        <w:t>.</w:t>
      </w:r>
    </w:p>
    <w:p w14:paraId="1FBFAF79" w14:textId="77777777" w:rsidR="00A01FB8" w:rsidRPr="00573761" w:rsidRDefault="00A01FB8" w:rsidP="00145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387D5484" w14:textId="171387CF" w:rsidR="00A0510C" w:rsidRPr="00573761" w:rsidRDefault="00A0510C" w:rsidP="004C4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4C4BD0" w:rsidRPr="00573761">
        <w:rPr>
          <w:bCs/>
          <w:color w:val="000000"/>
          <w:sz w:val="26"/>
          <w:szCs w:val="26"/>
        </w:rPr>
        <w:t>BCAP</w:t>
      </w:r>
      <w:r w:rsidR="006E551F" w:rsidRPr="00573761">
        <w:rPr>
          <w:bCs/>
          <w:color w:val="000000"/>
          <w:sz w:val="26"/>
          <w:szCs w:val="26"/>
        </w:rPr>
        <w:t xml:space="preserve">, </w:t>
      </w:r>
      <w:r w:rsidR="004C4BD0" w:rsidRPr="00573761">
        <w:rPr>
          <w:bCs/>
          <w:color w:val="000000"/>
          <w:sz w:val="26"/>
          <w:szCs w:val="26"/>
        </w:rPr>
        <w:t xml:space="preserve">PTA </w:t>
      </w:r>
      <w:r w:rsidR="006E551F" w:rsidRPr="00573761">
        <w:rPr>
          <w:bCs/>
          <w:color w:val="000000"/>
          <w:sz w:val="26"/>
          <w:szCs w:val="26"/>
        </w:rPr>
        <w:t xml:space="preserve">and Verizon all </w:t>
      </w:r>
      <w:r w:rsidR="004C4BD0" w:rsidRPr="00573761">
        <w:rPr>
          <w:bCs/>
          <w:color w:val="000000"/>
          <w:sz w:val="26"/>
          <w:szCs w:val="26"/>
        </w:rPr>
        <w:t xml:space="preserve">assert that it would be technically infeasible to comply with the obligation to ascertain and report </w:t>
      </w:r>
      <w:r w:rsidR="0085018F" w:rsidRPr="00573761">
        <w:rPr>
          <w:bCs/>
          <w:iCs/>
          <w:color w:val="000000"/>
          <w:sz w:val="26"/>
          <w:szCs w:val="26"/>
        </w:rPr>
        <w:t>“</w:t>
      </w:r>
      <w:r w:rsidR="004C4BD0" w:rsidRPr="00573761">
        <w:rPr>
          <w:bCs/>
          <w:i/>
          <w:iCs/>
          <w:color w:val="000000"/>
          <w:sz w:val="26"/>
          <w:szCs w:val="26"/>
        </w:rPr>
        <w:t>de facto</w:t>
      </w:r>
      <w:r w:rsidR="0085018F" w:rsidRPr="00573761">
        <w:rPr>
          <w:bCs/>
          <w:iCs/>
          <w:color w:val="000000"/>
          <w:sz w:val="26"/>
          <w:szCs w:val="26"/>
        </w:rPr>
        <w:t>”</w:t>
      </w:r>
      <w:r w:rsidR="004C4BD0" w:rsidRPr="00573761">
        <w:rPr>
          <w:bCs/>
          <w:i/>
          <w:iCs/>
          <w:color w:val="000000"/>
          <w:sz w:val="26"/>
          <w:szCs w:val="26"/>
        </w:rPr>
        <w:t xml:space="preserve"> </w:t>
      </w:r>
      <w:r w:rsidR="004C4BD0" w:rsidRPr="00573761">
        <w:rPr>
          <w:bCs/>
          <w:color w:val="000000"/>
          <w:sz w:val="26"/>
          <w:szCs w:val="26"/>
        </w:rPr>
        <w:t>intrastate revenues attributable to special access, transport, or similar jurisdictionally</w:t>
      </w:r>
      <w:r w:rsidR="002844C4" w:rsidRPr="00573761">
        <w:rPr>
          <w:bCs/>
          <w:color w:val="000000"/>
          <w:sz w:val="26"/>
          <w:szCs w:val="26"/>
        </w:rPr>
        <w:t xml:space="preserve"> </w:t>
      </w:r>
      <w:r w:rsidR="004C4BD0" w:rsidRPr="00573761">
        <w:rPr>
          <w:bCs/>
          <w:color w:val="000000"/>
          <w:sz w:val="26"/>
          <w:szCs w:val="26"/>
        </w:rPr>
        <w:t>mixed</w:t>
      </w:r>
      <w:r w:rsidR="002844C4" w:rsidRPr="00573761">
        <w:rPr>
          <w:bCs/>
          <w:color w:val="000000"/>
          <w:sz w:val="26"/>
          <w:szCs w:val="26"/>
        </w:rPr>
        <w:t>-use</w:t>
      </w:r>
      <w:r w:rsidR="004C4BD0" w:rsidRPr="00573761">
        <w:rPr>
          <w:bCs/>
          <w:color w:val="000000"/>
          <w:sz w:val="26"/>
          <w:szCs w:val="26"/>
        </w:rPr>
        <w:t xml:space="preserve"> services.  The</w:t>
      </w:r>
      <w:r w:rsidR="005B6656" w:rsidRPr="00573761">
        <w:rPr>
          <w:bCs/>
          <w:color w:val="000000"/>
          <w:sz w:val="26"/>
          <w:szCs w:val="26"/>
        </w:rPr>
        <w:t>se commenters</w:t>
      </w:r>
      <w:r w:rsidR="004C4BD0" w:rsidRPr="00573761">
        <w:rPr>
          <w:bCs/>
          <w:color w:val="000000"/>
          <w:sz w:val="26"/>
          <w:szCs w:val="26"/>
        </w:rPr>
        <w:t xml:space="preserve"> </w:t>
      </w:r>
      <w:r w:rsidR="00C01878" w:rsidRPr="00573761">
        <w:rPr>
          <w:bCs/>
          <w:color w:val="000000"/>
          <w:sz w:val="26"/>
          <w:szCs w:val="26"/>
        </w:rPr>
        <w:t xml:space="preserve">all </w:t>
      </w:r>
      <w:r w:rsidR="004C4BD0" w:rsidRPr="00573761">
        <w:rPr>
          <w:bCs/>
          <w:color w:val="000000"/>
          <w:sz w:val="26"/>
          <w:szCs w:val="26"/>
        </w:rPr>
        <w:t xml:space="preserve">state that the FCC has acknowledged that the best method to verify and ascertain the jurisdictional status of the traffic that traverses a special access private line for purposes of complying with regulatory obligations is through customer </w:t>
      </w:r>
      <w:r w:rsidR="004C4BD0" w:rsidRPr="00573761">
        <w:rPr>
          <w:bCs/>
          <w:color w:val="000000"/>
          <w:sz w:val="26"/>
          <w:szCs w:val="26"/>
        </w:rPr>
        <w:lastRenderedPageBreak/>
        <w:t xml:space="preserve">certifications.  This begs the question of how </w:t>
      </w:r>
      <w:r w:rsidR="00930641" w:rsidRPr="00573761">
        <w:rPr>
          <w:bCs/>
          <w:color w:val="000000"/>
          <w:sz w:val="26"/>
          <w:szCs w:val="26"/>
        </w:rPr>
        <w:t>carriers</w:t>
      </w:r>
      <w:r w:rsidR="000A506E" w:rsidRPr="00573761">
        <w:rPr>
          <w:bCs/>
          <w:color w:val="000000"/>
          <w:sz w:val="26"/>
          <w:szCs w:val="26"/>
        </w:rPr>
        <w:t xml:space="preserve"> have been able to </w:t>
      </w:r>
      <w:r w:rsidR="00930641" w:rsidRPr="00573761">
        <w:rPr>
          <w:bCs/>
          <w:color w:val="000000"/>
          <w:sz w:val="26"/>
          <w:szCs w:val="26"/>
        </w:rPr>
        <w:t xml:space="preserve">accurately </w:t>
      </w:r>
      <w:r w:rsidR="000A506E" w:rsidRPr="00573761">
        <w:rPr>
          <w:bCs/>
          <w:color w:val="000000"/>
          <w:sz w:val="26"/>
          <w:szCs w:val="26"/>
        </w:rPr>
        <w:t xml:space="preserve">report what special access </w:t>
      </w:r>
      <w:r w:rsidR="00930641" w:rsidRPr="00573761">
        <w:rPr>
          <w:bCs/>
          <w:color w:val="000000"/>
          <w:sz w:val="26"/>
          <w:szCs w:val="26"/>
        </w:rPr>
        <w:t xml:space="preserve">revenues in past assessment forms </w:t>
      </w:r>
      <w:r w:rsidR="00C472B3">
        <w:rPr>
          <w:bCs/>
          <w:color w:val="000000"/>
          <w:sz w:val="26"/>
          <w:szCs w:val="26"/>
        </w:rPr>
        <w:t>f</w:t>
      </w:r>
      <w:r w:rsidR="00930641" w:rsidRPr="00573761">
        <w:rPr>
          <w:bCs/>
          <w:color w:val="000000"/>
          <w:sz w:val="26"/>
          <w:szCs w:val="26"/>
        </w:rPr>
        <w:t>all under</w:t>
      </w:r>
      <w:r w:rsidR="000A506E" w:rsidRPr="00573761">
        <w:rPr>
          <w:bCs/>
          <w:color w:val="000000"/>
          <w:sz w:val="26"/>
          <w:szCs w:val="26"/>
        </w:rPr>
        <w:t xml:space="preserve"> the ten percent rule since they simply </w:t>
      </w:r>
      <w:r w:rsidR="004C4BD0" w:rsidRPr="00573761">
        <w:rPr>
          <w:bCs/>
          <w:color w:val="000000"/>
          <w:sz w:val="26"/>
          <w:szCs w:val="26"/>
        </w:rPr>
        <w:t>rely on customer certifications to determine whether a particular special access, transport, or similar line is carrying intrastate or interstate traffic that is above or below the ten percent rule.</w:t>
      </w:r>
      <w:r w:rsidR="000A506E" w:rsidRPr="00573761">
        <w:rPr>
          <w:bCs/>
          <w:color w:val="000000"/>
          <w:sz w:val="26"/>
          <w:szCs w:val="26"/>
        </w:rPr>
        <w:t xml:space="preserve">  Nevertheless, in order to ensure full compliance with the requirements of Section 510 of the Code, the Commission believes it is appropriate</w:t>
      </w:r>
      <w:r w:rsidR="000F64F7" w:rsidRPr="00573761">
        <w:rPr>
          <w:bCs/>
          <w:color w:val="000000"/>
          <w:sz w:val="26"/>
          <w:szCs w:val="26"/>
        </w:rPr>
        <w:t xml:space="preserve"> and the statutory responsibility of</w:t>
      </w:r>
      <w:r w:rsidR="000A506E" w:rsidRPr="00573761">
        <w:rPr>
          <w:bCs/>
          <w:color w:val="000000"/>
          <w:sz w:val="26"/>
          <w:szCs w:val="26"/>
        </w:rPr>
        <w:t xml:space="preserve"> all jurisdictional </w:t>
      </w:r>
      <w:r w:rsidR="00930641" w:rsidRPr="00573761">
        <w:rPr>
          <w:bCs/>
          <w:color w:val="000000"/>
          <w:sz w:val="26"/>
          <w:szCs w:val="26"/>
        </w:rPr>
        <w:t xml:space="preserve">carriers </w:t>
      </w:r>
      <w:r w:rsidR="007E3FE9" w:rsidRPr="00573761">
        <w:rPr>
          <w:bCs/>
          <w:color w:val="000000"/>
          <w:sz w:val="26"/>
          <w:szCs w:val="26"/>
        </w:rPr>
        <w:t>holding Commission-issued CPCs</w:t>
      </w:r>
      <w:r w:rsidR="000A506E" w:rsidRPr="00573761">
        <w:rPr>
          <w:bCs/>
          <w:color w:val="000000"/>
          <w:sz w:val="26"/>
          <w:szCs w:val="26"/>
        </w:rPr>
        <w:t xml:space="preserve"> to file the requisite evidence </w:t>
      </w:r>
      <w:r w:rsidR="004C4BD0" w:rsidRPr="00573761">
        <w:rPr>
          <w:bCs/>
          <w:color w:val="000000"/>
          <w:sz w:val="26"/>
          <w:szCs w:val="26"/>
        </w:rPr>
        <w:t xml:space="preserve">to ascertain the </w:t>
      </w:r>
      <w:r w:rsidR="0085018F" w:rsidRPr="00573761">
        <w:rPr>
          <w:bCs/>
          <w:iCs/>
          <w:color w:val="000000"/>
          <w:sz w:val="26"/>
          <w:szCs w:val="26"/>
        </w:rPr>
        <w:t>“</w:t>
      </w:r>
      <w:r w:rsidR="004C4BD0" w:rsidRPr="00573761">
        <w:rPr>
          <w:bCs/>
          <w:i/>
          <w:iCs/>
          <w:color w:val="000000"/>
          <w:sz w:val="26"/>
          <w:szCs w:val="26"/>
        </w:rPr>
        <w:t>de facto</w:t>
      </w:r>
      <w:r w:rsidR="0085018F" w:rsidRPr="00573761">
        <w:rPr>
          <w:bCs/>
          <w:iCs/>
          <w:color w:val="000000"/>
          <w:sz w:val="26"/>
          <w:szCs w:val="26"/>
        </w:rPr>
        <w:t>”</w:t>
      </w:r>
      <w:r w:rsidR="004C4BD0" w:rsidRPr="00573761">
        <w:rPr>
          <w:bCs/>
          <w:i/>
          <w:iCs/>
          <w:color w:val="000000"/>
          <w:sz w:val="26"/>
          <w:szCs w:val="26"/>
        </w:rPr>
        <w:t xml:space="preserve"> </w:t>
      </w:r>
      <w:r w:rsidR="004C4BD0" w:rsidRPr="00573761">
        <w:rPr>
          <w:bCs/>
          <w:color w:val="000000"/>
          <w:sz w:val="26"/>
          <w:szCs w:val="26"/>
        </w:rPr>
        <w:t xml:space="preserve">intrastate revenues attributable to </w:t>
      </w:r>
      <w:r w:rsidR="002F7B2B" w:rsidRPr="00573761">
        <w:rPr>
          <w:bCs/>
          <w:color w:val="000000"/>
          <w:sz w:val="26"/>
          <w:szCs w:val="26"/>
        </w:rPr>
        <w:t>jurisdictionally-mixed</w:t>
      </w:r>
      <w:r w:rsidR="004C4BD0" w:rsidRPr="00573761">
        <w:rPr>
          <w:bCs/>
          <w:color w:val="000000"/>
          <w:sz w:val="26"/>
          <w:szCs w:val="26"/>
        </w:rPr>
        <w:t xml:space="preserve"> services.  </w:t>
      </w:r>
    </w:p>
    <w:p w14:paraId="765F2C16" w14:textId="3C2B42CD" w:rsidR="00D268C4" w:rsidRPr="00573761" w:rsidRDefault="00D268C4" w:rsidP="004C4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5BA03DE0" w14:textId="3098137E" w:rsidR="00D268C4" w:rsidRPr="00573761" w:rsidRDefault="00D268C4" w:rsidP="00554FAE">
      <w:pPr>
        <w:spacing w:line="360" w:lineRule="auto"/>
        <w:ind w:firstLine="720"/>
        <w:rPr>
          <w:sz w:val="26"/>
          <w:szCs w:val="26"/>
        </w:rPr>
      </w:pPr>
      <w:r w:rsidRPr="00573761">
        <w:rPr>
          <w:sz w:val="26"/>
          <w:szCs w:val="26"/>
        </w:rPr>
        <w:t xml:space="preserve">If a jurisdictional carrier believes that obtaining customer certifications is unduly burdensome, the Commission would be willing to entertain a determination of the point of origination and termination on the carrier’s network, rather than the point of origination and termination of the underlying communication.  So that, for example, if a </w:t>
      </w:r>
      <w:r w:rsidR="008C4E96">
        <w:rPr>
          <w:sz w:val="26"/>
          <w:szCs w:val="26"/>
        </w:rPr>
        <w:t xml:space="preserve">jurisdictional telecommunications </w:t>
      </w:r>
      <w:r w:rsidRPr="00573761">
        <w:rPr>
          <w:sz w:val="26"/>
          <w:szCs w:val="26"/>
        </w:rPr>
        <w:t xml:space="preserve">carrier </w:t>
      </w:r>
      <w:r w:rsidR="008C4E96">
        <w:rPr>
          <w:sz w:val="26"/>
          <w:szCs w:val="26"/>
        </w:rPr>
        <w:t>provides wireline transport of communications entirely within the state,</w:t>
      </w:r>
      <w:r w:rsidRPr="00573761">
        <w:rPr>
          <w:sz w:val="26"/>
          <w:szCs w:val="26"/>
        </w:rPr>
        <w:t xml:space="preserve"> then the call would be classified as intrastate, regardless of the jurisdiction of the underlying call. If one of those points were located outside of Pennsylvania, then the underlying revenue would be interstate.  The routing on the jurisdictional carrier’s network cannot be circuitous or designed to avoid the assessment process set forth in this </w:t>
      </w:r>
      <w:r w:rsidR="0092560F" w:rsidRPr="00573761">
        <w:rPr>
          <w:sz w:val="26"/>
          <w:szCs w:val="26"/>
        </w:rPr>
        <w:t>Policy Statement</w:t>
      </w:r>
      <w:r w:rsidRPr="00573761">
        <w:rPr>
          <w:sz w:val="26"/>
          <w:szCs w:val="26"/>
        </w:rPr>
        <w:t>.  If a jurisdictional carrier prefers to explore this type of traffic study, we would consider it upon a request</w:t>
      </w:r>
      <w:r w:rsidR="0092560F" w:rsidRPr="00573761">
        <w:rPr>
          <w:sz w:val="26"/>
          <w:szCs w:val="26"/>
        </w:rPr>
        <w:t>, with underlying support,</w:t>
      </w:r>
      <w:r w:rsidRPr="00573761">
        <w:rPr>
          <w:sz w:val="26"/>
          <w:szCs w:val="26"/>
        </w:rPr>
        <w:t xml:space="preserve"> to do so.</w:t>
      </w:r>
    </w:p>
    <w:p w14:paraId="62AE8138" w14:textId="77777777" w:rsidR="00D268C4" w:rsidRPr="00573761" w:rsidRDefault="00D268C4" w:rsidP="00D2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02EB0E98" w14:textId="67409639" w:rsidR="00F80D6B" w:rsidRPr="00573761" w:rsidRDefault="00800D23" w:rsidP="002F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810C17" w:rsidRPr="00573761">
        <w:rPr>
          <w:bCs/>
          <w:color w:val="000000"/>
          <w:sz w:val="26"/>
          <w:szCs w:val="26"/>
        </w:rPr>
        <w:t xml:space="preserve">Crown Castle asserts that the </w:t>
      </w:r>
      <w:r w:rsidR="00810C17" w:rsidRPr="00310D9B">
        <w:rPr>
          <w:bCs/>
          <w:i/>
          <w:color w:val="000000"/>
          <w:sz w:val="26"/>
          <w:szCs w:val="26"/>
        </w:rPr>
        <w:t>Proposed Policy Statement</w:t>
      </w:r>
      <w:r w:rsidR="00810C17" w:rsidRPr="00573761">
        <w:rPr>
          <w:bCs/>
          <w:color w:val="000000"/>
          <w:sz w:val="26"/>
          <w:szCs w:val="26"/>
        </w:rPr>
        <w:t xml:space="preserve"> is discriminatory </w:t>
      </w:r>
      <w:r w:rsidR="00ED15BA" w:rsidRPr="00573761">
        <w:rPr>
          <w:bCs/>
          <w:color w:val="000000"/>
          <w:sz w:val="26"/>
          <w:szCs w:val="26"/>
        </w:rPr>
        <w:t>and unfair.</w:t>
      </w:r>
      <w:r w:rsidR="00536DFE" w:rsidRPr="00573761">
        <w:rPr>
          <w:bCs/>
          <w:color w:val="000000"/>
          <w:sz w:val="26"/>
          <w:szCs w:val="26"/>
        </w:rPr>
        <w:t xml:space="preserve">  </w:t>
      </w:r>
      <w:r w:rsidR="003A70EE" w:rsidRPr="00573761">
        <w:rPr>
          <w:bCs/>
          <w:color w:val="000000"/>
          <w:sz w:val="26"/>
          <w:szCs w:val="26"/>
        </w:rPr>
        <w:t xml:space="preserve">This argument is misguided and has no basis whatsoever.  </w:t>
      </w:r>
      <w:r w:rsidR="00536DFE" w:rsidRPr="00573761">
        <w:rPr>
          <w:bCs/>
          <w:color w:val="000000"/>
          <w:sz w:val="26"/>
          <w:szCs w:val="26"/>
        </w:rPr>
        <w:t>Crown Castle refers to itself and other CAPs as “deregulated” as a means to infer that since they are subject</w:t>
      </w:r>
      <w:r w:rsidR="00F80D6B" w:rsidRPr="00573761">
        <w:rPr>
          <w:bCs/>
          <w:color w:val="000000"/>
          <w:sz w:val="26"/>
          <w:szCs w:val="26"/>
        </w:rPr>
        <w:t>, as they claim,</w:t>
      </w:r>
      <w:r w:rsidR="00536DFE" w:rsidRPr="00573761">
        <w:rPr>
          <w:bCs/>
          <w:color w:val="000000"/>
          <w:sz w:val="26"/>
          <w:szCs w:val="26"/>
        </w:rPr>
        <w:t xml:space="preserve"> to “alternative forms of regulation” as defined in the Public Utility Code the costs to administer the Code as related to them is low.  </w:t>
      </w:r>
      <w:r w:rsidR="00F80D6B" w:rsidRPr="00573761">
        <w:rPr>
          <w:bCs/>
          <w:color w:val="000000"/>
          <w:sz w:val="26"/>
          <w:szCs w:val="26"/>
        </w:rPr>
        <w:t>That argument is based upon an erroneous legal interpretation of Chapter 30, however.</w:t>
      </w:r>
    </w:p>
    <w:p w14:paraId="2035E4E1" w14:textId="60851A90" w:rsidR="007C5BE4" w:rsidRPr="00573761" w:rsidRDefault="00F80D6B" w:rsidP="002F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lastRenderedPageBreak/>
        <w:tab/>
      </w:r>
      <w:r w:rsidR="003A70EE" w:rsidRPr="00573761">
        <w:rPr>
          <w:bCs/>
          <w:color w:val="000000"/>
          <w:sz w:val="26"/>
          <w:szCs w:val="26"/>
        </w:rPr>
        <w:t>There is a difference</w:t>
      </w:r>
      <w:r w:rsidR="00DF2687" w:rsidRPr="00573761">
        <w:rPr>
          <w:bCs/>
          <w:color w:val="000000"/>
          <w:sz w:val="26"/>
          <w:szCs w:val="26"/>
        </w:rPr>
        <w:t xml:space="preserve"> </w:t>
      </w:r>
      <w:r w:rsidR="003A70EE" w:rsidRPr="00573761">
        <w:rPr>
          <w:bCs/>
          <w:color w:val="000000"/>
          <w:sz w:val="26"/>
          <w:szCs w:val="26"/>
        </w:rPr>
        <w:t>between a competitive carrier</w:t>
      </w:r>
      <w:r w:rsidRPr="00573761">
        <w:rPr>
          <w:bCs/>
          <w:color w:val="000000"/>
          <w:sz w:val="26"/>
          <w:szCs w:val="26"/>
        </w:rPr>
        <w:t xml:space="preserve"> which is certificated and regulated,</w:t>
      </w:r>
      <w:r w:rsidR="003A70EE" w:rsidRPr="00573761">
        <w:rPr>
          <w:bCs/>
          <w:color w:val="000000"/>
          <w:sz w:val="26"/>
          <w:szCs w:val="26"/>
        </w:rPr>
        <w:t xml:space="preserve"> and a deregulated carrier</w:t>
      </w:r>
      <w:r w:rsidR="005B6656" w:rsidRPr="00573761">
        <w:rPr>
          <w:bCs/>
          <w:color w:val="000000"/>
          <w:sz w:val="26"/>
          <w:szCs w:val="26"/>
        </w:rPr>
        <w:t>,</w:t>
      </w:r>
      <w:r w:rsidRPr="00573761">
        <w:rPr>
          <w:bCs/>
          <w:color w:val="000000"/>
          <w:sz w:val="26"/>
          <w:szCs w:val="26"/>
        </w:rPr>
        <w:t xml:space="preserve"> which is neither certificated nor regulated. U</w:t>
      </w:r>
      <w:r w:rsidR="0028556F" w:rsidRPr="00573761">
        <w:rPr>
          <w:bCs/>
          <w:color w:val="000000"/>
          <w:sz w:val="26"/>
          <w:szCs w:val="26"/>
        </w:rPr>
        <w:t xml:space="preserve">nder </w:t>
      </w:r>
      <w:r w:rsidR="005B6656" w:rsidRPr="00573761">
        <w:rPr>
          <w:bCs/>
          <w:color w:val="000000"/>
          <w:sz w:val="26"/>
          <w:szCs w:val="26"/>
        </w:rPr>
        <w:t>Chapter 30</w:t>
      </w:r>
      <w:r w:rsidR="0028556F" w:rsidRPr="00573761">
        <w:rPr>
          <w:bCs/>
          <w:color w:val="000000"/>
          <w:sz w:val="26"/>
          <w:szCs w:val="26"/>
        </w:rPr>
        <w:t xml:space="preserve">, </w:t>
      </w:r>
      <w:r w:rsidRPr="00573761">
        <w:rPr>
          <w:bCs/>
          <w:color w:val="000000"/>
          <w:sz w:val="26"/>
          <w:szCs w:val="26"/>
        </w:rPr>
        <w:t xml:space="preserve">neither </w:t>
      </w:r>
      <w:r w:rsidR="0028556F" w:rsidRPr="00573761">
        <w:rPr>
          <w:bCs/>
          <w:color w:val="000000"/>
          <w:sz w:val="26"/>
          <w:szCs w:val="26"/>
        </w:rPr>
        <w:t>Crown Castle</w:t>
      </w:r>
      <w:r w:rsidRPr="00573761">
        <w:rPr>
          <w:bCs/>
          <w:color w:val="000000"/>
          <w:sz w:val="26"/>
          <w:szCs w:val="26"/>
        </w:rPr>
        <w:t xml:space="preserve"> </w:t>
      </w:r>
      <w:r w:rsidR="00C472B3">
        <w:rPr>
          <w:bCs/>
          <w:color w:val="000000"/>
          <w:sz w:val="26"/>
          <w:szCs w:val="26"/>
        </w:rPr>
        <w:t xml:space="preserve">individually </w:t>
      </w:r>
      <w:r w:rsidRPr="00573761">
        <w:rPr>
          <w:bCs/>
          <w:color w:val="000000"/>
          <w:sz w:val="26"/>
          <w:szCs w:val="26"/>
        </w:rPr>
        <w:t xml:space="preserve">nor CAPs </w:t>
      </w:r>
      <w:r w:rsidR="00C472B3">
        <w:rPr>
          <w:bCs/>
          <w:color w:val="000000"/>
          <w:sz w:val="26"/>
          <w:szCs w:val="26"/>
        </w:rPr>
        <w:t>as</w:t>
      </w:r>
      <w:r w:rsidRPr="00573761">
        <w:rPr>
          <w:bCs/>
          <w:color w:val="000000"/>
          <w:sz w:val="26"/>
          <w:szCs w:val="26"/>
        </w:rPr>
        <w:t xml:space="preserve"> a class</w:t>
      </w:r>
      <w:r w:rsidR="0028556F" w:rsidRPr="00573761">
        <w:rPr>
          <w:bCs/>
          <w:color w:val="000000"/>
          <w:sz w:val="26"/>
          <w:szCs w:val="26"/>
        </w:rPr>
        <w:t xml:space="preserve"> </w:t>
      </w:r>
      <w:r w:rsidR="00C472B3">
        <w:rPr>
          <w:bCs/>
          <w:color w:val="000000"/>
          <w:sz w:val="26"/>
          <w:szCs w:val="26"/>
        </w:rPr>
        <w:t>are</w:t>
      </w:r>
      <w:r w:rsidR="0028556F" w:rsidRPr="00573761">
        <w:rPr>
          <w:bCs/>
          <w:color w:val="000000"/>
          <w:sz w:val="26"/>
          <w:szCs w:val="26"/>
        </w:rPr>
        <w:t xml:space="preserve"> deregulated</w:t>
      </w:r>
      <w:r w:rsidR="003A70EE" w:rsidRPr="00573761">
        <w:rPr>
          <w:bCs/>
          <w:color w:val="000000"/>
          <w:sz w:val="26"/>
          <w:szCs w:val="26"/>
        </w:rPr>
        <w:t xml:space="preserve">.  </w:t>
      </w:r>
      <w:r w:rsidR="00DF2687" w:rsidRPr="00573761">
        <w:rPr>
          <w:bCs/>
          <w:color w:val="000000"/>
          <w:sz w:val="26"/>
          <w:szCs w:val="26"/>
        </w:rPr>
        <w:t>Consequently</w:t>
      </w:r>
      <w:r w:rsidR="00536DFE" w:rsidRPr="00573761">
        <w:rPr>
          <w:bCs/>
          <w:color w:val="000000"/>
          <w:sz w:val="26"/>
          <w:szCs w:val="26"/>
        </w:rPr>
        <w:t xml:space="preserve">, </w:t>
      </w:r>
      <w:r w:rsidR="007C5BE4" w:rsidRPr="00573761">
        <w:rPr>
          <w:bCs/>
          <w:color w:val="000000"/>
          <w:sz w:val="26"/>
          <w:szCs w:val="26"/>
        </w:rPr>
        <w:t>w</w:t>
      </w:r>
      <w:r w:rsidR="00536DFE" w:rsidRPr="00573761">
        <w:rPr>
          <w:bCs/>
          <w:color w:val="000000"/>
          <w:sz w:val="26"/>
          <w:szCs w:val="26"/>
        </w:rPr>
        <w:t xml:space="preserve">e reject Crown Castle’s argument that the Commission’s policy determination detrimentally impacts them more because we are imposing </w:t>
      </w:r>
      <w:r w:rsidRPr="00573761">
        <w:rPr>
          <w:bCs/>
          <w:color w:val="000000"/>
          <w:sz w:val="26"/>
          <w:szCs w:val="26"/>
        </w:rPr>
        <w:t xml:space="preserve">a uniform </w:t>
      </w:r>
      <w:r w:rsidR="00536DFE" w:rsidRPr="00573761">
        <w:rPr>
          <w:bCs/>
          <w:color w:val="000000"/>
          <w:sz w:val="26"/>
          <w:szCs w:val="26"/>
        </w:rPr>
        <w:t xml:space="preserve">regulatory assessment </w:t>
      </w:r>
      <w:r w:rsidRPr="00573761">
        <w:rPr>
          <w:bCs/>
          <w:color w:val="000000"/>
          <w:sz w:val="26"/>
          <w:szCs w:val="26"/>
        </w:rPr>
        <w:t xml:space="preserve">as we do </w:t>
      </w:r>
      <w:r w:rsidR="00536DFE" w:rsidRPr="00573761">
        <w:rPr>
          <w:bCs/>
          <w:color w:val="000000"/>
          <w:sz w:val="26"/>
          <w:szCs w:val="26"/>
        </w:rPr>
        <w:t xml:space="preserve">on ILECs that </w:t>
      </w:r>
      <w:r w:rsidRPr="00573761">
        <w:rPr>
          <w:bCs/>
          <w:color w:val="000000"/>
          <w:sz w:val="26"/>
          <w:szCs w:val="26"/>
        </w:rPr>
        <w:t xml:space="preserve">Crown Castle avers without support </w:t>
      </w:r>
      <w:r w:rsidR="00536DFE" w:rsidRPr="00573761">
        <w:rPr>
          <w:bCs/>
          <w:color w:val="000000"/>
          <w:sz w:val="26"/>
          <w:szCs w:val="26"/>
        </w:rPr>
        <w:t xml:space="preserve">inflict higher regulatory costs on the Commission.  </w:t>
      </w:r>
    </w:p>
    <w:p w14:paraId="10E7B697" w14:textId="77777777" w:rsidR="007C5BE4" w:rsidRPr="00573761" w:rsidRDefault="007C5BE4" w:rsidP="002F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77104171" w14:textId="0529831C" w:rsidR="007C5BE4" w:rsidRPr="00573761" w:rsidRDefault="007C5BE4" w:rsidP="007C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 xml:space="preserve">Under Chapter 30, the “alternative form of regulation” </w:t>
      </w:r>
      <w:r w:rsidR="00F80D6B" w:rsidRPr="00573761">
        <w:rPr>
          <w:bCs/>
          <w:color w:val="000000"/>
          <w:sz w:val="26"/>
          <w:szCs w:val="26"/>
        </w:rPr>
        <w:t xml:space="preserve">Crown Castle invokes </w:t>
      </w:r>
      <w:r w:rsidRPr="00573761">
        <w:rPr>
          <w:bCs/>
          <w:color w:val="000000"/>
          <w:sz w:val="26"/>
          <w:szCs w:val="26"/>
        </w:rPr>
        <w:t xml:space="preserve">applies only to ILECs (defined as local exchange telecom companies under the act).  </w:t>
      </w:r>
      <w:r w:rsidR="00F80D6B" w:rsidRPr="00573761">
        <w:rPr>
          <w:bCs/>
          <w:color w:val="000000"/>
          <w:sz w:val="26"/>
          <w:szCs w:val="26"/>
        </w:rPr>
        <w:t xml:space="preserve">Under Chapter 30, it is the ILECs, not competitive providers, who were provided statutory authority to convert to a less burdensome alternative form regulation, modifying their regulatory ratemaking construct from the traditionally more highly regulated rate base/rate of return base rate case methodology to a less burdensome alternative form of ratemaking in exchange for a ubiquitous broadband deployment commitment.  </w:t>
      </w:r>
      <w:r w:rsidRPr="00573761">
        <w:rPr>
          <w:bCs/>
          <w:color w:val="000000"/>
          <w:sz w:val="26"/>
          <w:szCs w:val="26"/>
        </w:rPr>
        <w:t>Section 3015 of the Code, 66 Pa. C.S. §</w:t>
      </w:r>
      <w:r w:rsidR="00F80D6B" w:rsidRPr="00573761">
        <w:rPr>
          <w:bCs/>
          <w:color w:val="000000"/>
          <w:sz w:val="26"/>
          <w:szCs w:val="26"/>
        </w:rPr>
        <w:t> </w:t>
      </w:r>
      <w:r w:rsidRPr="00573761">
        <w:rPr>
          <w:bCs/>
          <w:color w:val="000000"/>
          <w:sz w:val="26"/>
          <w:szCs w:val="26"/>
        </w:rPr>
        <w:t xml:space="preserve">3015, relied on by Crown Castle, is not even applicable to Crown Castle.  This statutory provision applies only to ILECs.  Non-ILECs </w:t>
      </w:r>
      <w:r w:rsidR="003A70EE" w:rsidRPr="00573761">
        <w:rPr>
          <w:bCs/>
          <w:color w:val="000000"/>
          <w:sz w:val="26"/>
          <w:szCs w:val="26"/>
        </w:rPr>
        <w:t xml:space="preserve">such as </w:t>
      </w:r>
      <w:r w:rsidR="0028556F" w:rsidRPr="00573761">
        <w:rPr>
          <w:bCs/>
          <w:color w:val="000000"/>
          <w:sz w:val="26"/>
          <w:szCs w:val="26"/>
        </w:rPr>
        <w:t>Competitive Local Exchange Carriers (</w:t>
      </w:r>
      <w:r w:rsidR="003A70EE" w:rsidRPr="00573761">
        <w:rPr>
          <w:bCs/>
          <w:color w:val="000000"/>
          <w:sz w:val="26"/>
          <w:szCs w:val="26"/>
        </w:rPr>
        <w:t>CLECs</w:t>
      </w:r>
      <w:r w:rsidR="0028556F" w:rsidRPr="00573761">
        <w:rPr>
          <w:bCs/>
          <w:color w:val="000000"/>
          <w:sz w:val="26"/>
          <w:szCs w:val="26"/>
        </w:rPr>
        <w:t>)</w:t>
      </w:r>
      <w:r w:rsidR="003A70EE" w:rsidRPr="00573761">
        <w:rPr>
          <w:bCs/>
          <w:color w:val="000000"/>
          <w:sz w:val="26"/>
          <w:szCs w:val="26"/>
        </w:rPr>
        <w:t xml:space="preserve">, CAPs and interexchange carriers </w:t>
      </w:r>
      <w:r w:rsidR="002F7B2B" w:rsidRPr="00573761">
        <w:rPr>
          <w:bCs/>
          <w:color w:val="000000"/>
          <w:sz w:val="26"/>
          <w:szCs w:val="26"/>
        </w:rPr>
        <w:t xml:space="preserve">(IXCs) </w:t>
      </w:r>
      <w:r w:rsidRPr="00573761">
        <w:rPr>
          <w:bCs/>
          <w:color w:val="000000"/>
          <w:sz w:val="26"/>
          <w:szCs w:val="26"/>
        </w:rPr>
        <w:t>are classified as “alternat</w:t>
      </w:r>
      <w:r w:rsidR="00573761">
        <w:rPr>
          <w:bCs/>
          <w:color w:val="000000"/>
          <w:sz w:val="26"/>
          <w:szCs w:val="26"/>
        </w:rPr>
        <w:t>ive</w:t>
      </w:r>
      <w:r w:rsidRPr="00573761">
        <w:rPr>
          <w:bCs/>
          <w:color w:val="000000"/>
          <w:sz w:val="26"/>
          <w:szCs w:val="26"/>
        </w:rPr>
        <w:t xml:space="preserve"> service providers” that </w:t>
      </w:r>
      <w:r w:rsidR="00F80D6B" w:rsidRPr="00573761">
        <w:rPr>
          <w:bCs/>
          <w:color w:val="000000"/>
          <w:sz w:val="26"/>
          <w:szCs w:val="26"/>
        </w:rPr>
        <w:t xml:space="preserve">are competitive under Chapter 30 and </w:t>
      </w:r>
      <w:r w:rsidRPr="00573761">
        <w:rPr>
          <w:bCs/>
          <w:color w:val="000000"/>
          <w:sz w:val="26"/>
          <w:szCs w:val="26"/>
        </w:rPr>
        <w:t xml:space="preserve">provide services in competition with ILECs.  </w:t>
      </w:r>
      <w:r w:rsidR="00F80D6B" w:rsidRPr="00573761">
        <w:rPr>
          <w:bCs/>
          <w:color w:val="000000"/>
          <w:sz w:val="26"/>
          <w:szCs w:val="26"/>
        </w:rPr>
        <w:t>T</w:t>
      </w:r>
      <w:r w:rsidR="003A70EE" w:rsidRPr="00573761">
        <w:rPr>
          <w:bCs/>
          <w:color w:val="000000"/>
          <w:sz w:val="26"/>
          <w:szCs w:val="26"/>
        </w:rPr>
        <w:t xml:space="preserve">hey certainly are not </w:t>
      </w:r>
      <w:r w:rsidRPr="00573761">
        <w:rPr>
          <w:bCs/>
          <w:color w:val="000000"/>
          <w:sz w:val="26"/>
          <w:szCs w:val="26"/>
        </w:rPr>
        <w:t xml:space="preserve">“deregulated” in any fashion.  </w:t>
      </w:r>
    </w:p>
    <w:p w14:paraId="45AB83B6" w14:textId="77777777" w:rsidR="007C5BE4" w:rsidRPr="00573761" w:rsidRDefault="007C5BE4" w:rsidP="007C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571C5EFA" w14:textId="29B12FB8" w:rsidR="007C5BE4" w:rsidRDefault="003A70EE" w:rsidP="007C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t>Moreover, Crown Castle’s assertion that</w:t>
      </w:r>
      <w:r w:rsidR="0028556F" w:rsidRPr="00573761">
        <w:rPr>
          <w:bCs/>
          <w:color w:val="000000"/>
          <w:sz w:val="26"/>
          <w:szCs w:val="26"/>
        </w:rPr>
        <w:t xml:space="preserve">, as a competitive carrier, </w:t>
      </w:r>
      <w:r w:rsidRPr="00573761">
        <w:rPr>
          <w:bCs/>
          <w:color w:val="000000"/>
          <w:sz w:val="26"/>
          <w:szCs w:val="26"/>
        </w:rPr>
        <w:t xml:space="preserve">it is not a highly regulated entity </w:t>
      </w:r>
      <w:r w:rsidR="007C5BE4" w:rsidRPr="00573761">
        <w:rPr>
          <w:bCs/>
          <w:color w:val="000000"/>
          <w:sz w:val="26"/>
          <w:szCs w:val="26"/>
        </w:rPr>
        <w:t xml:space="preserve">is of no consequence under Section 510.  </w:t>
      </w:r>
      <w:r w:rsidRPr="00573761">
        <w:rPr>
          <w:bCs/>
          <w:color w:val="000000"/>
          <w:sz w:val="26"/>
          <w:szCs w:val="26"/>
        </w:rPr>
        <w:t xml:space="preserve">Section 510 applies to all </w:t>
      </w:r>
      <w:r w:rsidR="00F80D6B" w:rsidRPr="00573761">
        <w:rPr>
          <w:bCs/>
          <w:color w:val="000000"/>
          <w:sz w:val="26"/>
          <w:szCs w:val="26"/>
        </w:rPr>
        <w:t xml:space="preserve">certificated </w:t>
      </w:r>
      <w:r w:rsidR="0028556F" w:rsidRPr="00573761">
        <w:rPr>
          <w:bCs/>
          <w:color w:val="000000"/>
          <w:sz w:val="26"/>
          <w:szCs w:val="26"/>
        </w:rPr>
        <w:t xml:space="preserve">jurisdictional public utilities and hence, all </w:t>
      </w:r>
      <w:r w:rsidRPr="00573761">
        <w:rPr>
          <w:bCs/>
          <w:color w:val="000000"/>
          <w:sz w:val="26"/>
          <w:szCs w:val="26"/>
        </w:rPr>
        <w:t xml:space="preserve">jurisdictional telecommunications carriers– competitive or otherwise.  </w:t>
      </w:r>
      <w:r w:rsidR="007C5BE4" w:rsidRPr="00573761">
        <w:rPr>
          <w:bCs/>
          <w:color w:val="000000"/>
          <w:sz w:val="26"/>
          <w:szCs w:val="26"/>
        </w:rPr>
        <w:t xml:space="preserve">Section 510 of the Code makes no distinction or exemption for </w:t>
      </w:r>
      <w:r w:rsidR="0028556F" w:rsidRPr="00573761">
        <w:rPr>
          <w:bCs/>
          <w:color w:val="000000"/>
          <w:sz w:val="26"/>
          <w:szCs w:val="26"/>
        </w:rPr>
        <w:t>CAPs</w:t>
      </w:r>
      <w:r w:rsidR="00F80D6B" w:rsidRPr="00573761">
        <w:rPr>
          <w:bCs/>
          <w:color w:val="000000"/>
          <w:sz w:val="26"/>
          <w:szCs w:val="26"/>
        </w:rPr>
        <w:t xml:space="preserve"> or any other certificated carriers</w:t>
      </w:r>
      <w:r w:rsidR="007C5BE4" w:rsidRPr="00573761">
        <w:rPr>
          <w:bCs/>
          <w:color w:val="000000"/>
          <w:sz w:val="26"/>
          <w:szCs w:val="26"/>
        </w:rPr>
        <w:t xml:space="preserve">.  Section 510 does not authorize one </w:t>
      </w:r>
      <w:r w:rsidR="00F80D6B" w:rsidRPr="00573761">
        <w:rPr>
          <w:bCs/>
          <w:color w:val="000000"/>
          <w:sz w:val="26"/>
          <w:szCs w:val="26"/>
        </w:rPr>
        <w:t xml:space="preserve">assessment </w:t>
      </w:r>
      <w:r w:rsidR="007C5BE4" w:rsidRPr="00573761">
        <w:rPr>
          <w:bCs/>
          <w:color w:val="000000"/>
          <w:sz w:val="26"/>
          <w:szCs w:val="26"/>
        </w:rPr>
        <w:t xml:space="preserve">obligation for </w:t>
      </w:r>
      <w:r w:rsidR="00F80D6B" w:rsidRPr="00573761">
        <w:rPr>
          <w:bCs/>
          <w:color w:val="000000"/>
          <w:sz w:val="26"/>
          <w:szCs w:val="26"/>
        </w:rPr>
        <w:t xml:space="preserve">certificated jurisdictional carriers that are </w:t>
      </w:r>
      <w:r w:rsidR="007C5BE4" w:rsidRPr="00573761">
        <w:rPr>
          <w:bCs/>
          <w:color w:val="000000"/>
          <w:sz w:val="26"/>
          <w:szCs w:val="26"/>
        </w:rPr>
        <w:t xml:space="preserve">“highly-regulated” and a different </w:t>
      </w:r>
      <w:r w:rsidR="00F80D6B" w:rsidRPr="00573761">
        <w:rPr>
          <w:bCs/>
          <w:color w:val="000000"/>
          <w:sz w:val="26"/>
          <w:szCs w:val="26"/>
        </w:rPr>
        <w:t xml:space="preserve">assessment </w:t>
      </w:r>
      <w:r w:rsidR="007C5BE4" w:rsidRPr="00573761">
        <w:rPr>
          <w:bCs/>
          <w:color w:val="000000"/>
          <w:sz w:val="26"/>
          <w:szCs w:val="26"/>
        </w:rPr>
        <w:t xml:space="preserve">obligation for </w:t>
      </w:r>
      <w:r w:rsidR="00F80D6B" w:rsidRPr="00573761">
        <w:rPr>
          <w:bCs/>
          <w:color w:val="000000"/>
          <w:sz w:val="26"/>
          <w:szCs w:val="26"/>
        </w:rPr>
        <w:t>competitive carriers</w:t>
      </w:r>
      <w:r w:rsidR="007C5BE4" w:rsidRPr="00573761">
        <w:rPr>
          <w:bCs/>
          <w:color w:val="000000"/>
          <w:sz w:val="26"/>
          <w:szCs w:val="26"/>
        </w:rPr>
        <w:t xml:space="preserve">.  </w:t>
      </w:r>
      <w:r w:rsidR="00F80D6B" w:rsidRPr="00573761">
        <w:rPr>
          <w:bCs/>
          <w:color w:val="000000"/>
          <w:sz w:val="26"/>
          <w:szCs w:val="26"/>
        </w:rPr>
        <w:t xml:space="preserve">All </w:t>
      </w:r>
      <w:r w:rsidRPr="00573761">
        <w:rPr>
          <w:bCs/>
          <w:color w:val="000000"/>
          <w:sz w:val="26"/>
          <w:szCs w:val="26"/>
        </w:rPr>
        <w:lastRenderedPageBreak/>
        <w:t xml:space="preserve">jurisdictional telecommunications </w:t>
      </w:r>
      <w:r w:rsidR="007C5BE4" w:rsidRPr="00573761">
        <w:rPr>
          <w:bCs/>
          <w:color w:val="000000"/>
          <w:sz w:val="26"/>
          <w:szCs w:val="26"/>
        </w:rPr>
        <w:t>carrier</w:t>
      </w:r>
      <w:r w:rsidR="00F80D6B" w:rsidRPr="00573761">
        <w:rPr>
          <w:bCs/>
          <w:color w:val="000000"/>
          <w:sz w:val="26"/>
          <w:szCs w:val="26"/>
        </w:rPr>
        <w:t>s</w:t>
      </w:r>
      <w:r w:rsidR="007C5BE4" w:rsidRPr="00573761">
        <w:rPr>
          <w:bCs/>
          <w:color w:val="000000"/>
          <w:sz w:val="26"/>
          <w:szCs w:val="26"/>
        </w:rPr>
        <w:t xml:space="preserve"> </w:t>
      </w:r>
      <w:r w:rsidR="00F80D6B" w:rsidRPr="00573761">
        <w:rPr>
          <w:bCs/>
          <w:color w:val="000000"/>
          <w:sz w:val="26"/>
          <w:szCs w:val="26"/>
        </w:rPr>
        <w:t>holding a Pennsylvania</w:t>
      </w:r>
      <w:r w:rsidR="007C5BE4" w:rsidRPr="00573761">
        <w:rPr>
          <w:bCs/>
          <w:color w:val="000000"/>
          <w:sz w:val="26"/>
          <w:szCs w:val="26"/>
        </w:rPr>
        <w:t xml:space="preserve"> CPC are subject to </w:t>
      </w:r>
      <w:r w:rsidR="00F80D6B" w:rsidRPr="00573761">
        <w:rPr>
          <w:bCs/>
          <w:color w:val="000000"/>
          <w:sz w:val="26"/>
          <w:szCs w:val="26"/>
        </w:rPr>
        <w:t xml:space="preserve">Section </w:t>
      </w:r>
      <w:r w:rsidR="007C5BE4" w:rsidRPr="00573761">
        <w:rPr>
          <w:bCs/>
          <w:color w:val="000000"/>
          <w:sz w:val="26"/>
          <w:szCs w:val="26"/>
        </w:rPr>
        <w:t>510.</w:t>
      </w:r>
      <w:r w:rsidR="00A71916">
        <w:rPr>
          <w:bCs/>
          <w:color w:val="000000"/>
          <w:sz w:val="26"/>
          <w:szCs w:val="26"/>
        </w:rPr>
        <w:t xml:space="preserve"> </w:t>
      </w:r>
    </w:p>
    <w:p w14:paraId="0D80799E" w14:textId="77777777" w:rsidR="00A71916" w:rsidRPr="00573761" w:rsidRDefault="00A71916" w:rsidP="007C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0C2BB9F5" w14:textId="3E3534A6" w:rsidR="00154561" w:rsidRDefault="003A70EE" w:rsidP="002F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154561" w:rsidRPr="00573761">
        <w:rPr>
          <w:bCs/>
          <w:color w:val="000000"/>
          <w:sz w:val="26"/>
          <w:szCs w:val="26"/>
        </w:rPr>
        <w:t xml:space="preserve">Moreover, contrary to Crown Castle’s, the </w:t>
      </w:r>
      <w:r w:rsidR="00154561" w:rsidRPr="00573761">
        <w:rPr>
          <w:bCs/>
          <w:i/>
          <w:iCs/>
          <w:color w:val="000000"/>
          <w:sz w:val="26"/>
          <w:szCs w:val="26"/>
        </w:rPr>
        <w:t>Proposed Policy Statement</w:t>
      </w:r>
      <w:r w:rsidR="00154561" w:rsidRPr="00573761">
        <w:rPr>
          <w:bCs/>
          <w:color w:val="000000"/>
          <w:sz w:val="26"/>
          <w:szCs w:val="26"/>
        </w:rPr>
        <w:t xml:space="preserve"> does not effectively prohibit the provision of service in violation of 47 U.S.C. § 253.  Rather, it conforms to the criteria set forth in the FCC’s </w:t>
      </w:r>
      <w:r w:rsidR="00154561" w:rsidRPr="00573761">
        <w:rPr>
          <w:bCs/>
          <w:i/>
          <w:iCs/>
          <w:color w:val="000000"/>
          <w:sz w:val="26"/>
          <w:szCs w:val="26"/>
        </w:rPr>
        <w:t>Declaratory Ruling Order</w:t>
      </w:r>
      <w:r w:rsidR="00033346" w:rsidRPr="00573761">
        <w:rPr>
          <w:bCs/>
          <w:i/>
          <w:iCs/>
          <w:color w:val="000000"/>
          <w:sz w:val="26"/>
          <w:szCs w:val="26"/>
        </w:rPr>
        <w:t xml:space="preserve"> </w:t>
      </w:r>
      <w:r w:rsidR="00033346" w:rsidRPr="00573761">
        <w:rPr>
          <w:bCs/>
          <w:color w:val="000000"/>
          <w:sz w:val="26"/>
          <w:szCs w:val="26"/>
        </w:rPr>
        <w:t>regarding regulatory fees in</w:t>
      </w:r>
      <w:r w:rsidR="00033346" w:rsidRPr="00573761">
        <w:rPr>
          <w:bCs/>
          <w:i/>
          <w:iCs/>
          <w:color w:val="000000"/>
          <w:sz w:val="26"/>
          <w:szCs w:val="26"/>
        </w:rPr>
        <w:t xml:space="preserve"> </w:t>
      </w:r>
      <w:r w:rsidR="00154561" w:rsidRPr="00573761">
        <w:rPr>
          <w:bCs/>
          <w:color w:val="000000"/>
          <w:sz w:val="26"/>
          <w:szCs w:val="26"/>
        </w:rPr>
        <w:t>that the fee</w:t>
      </w:r>
      <w:r w:rsidR="00033346" w:rsidRPr="00573761">
        <w:rPr>
          <w:bCs/>
          <w:color w:val="000000"/>
          <w:sz w:val="26"/>
          <w:szCs w:val="26"/>
        </w:rPr>
        <w:t>s</w:t>
      </w:r>
      <w:r w:rsidR="00154561" w:rsidRPr="00573761">
        <w:rPr>
          <w:bCs/>
          <w:color w:val="000000"/>
          <w:sz w:val="26"/>
          <w:szCs w:val="26"/>
        </w:rPr>
        <w:t xml:space="preserve"> will be permitted “</w:t>
      </w:r>
      <w:r w:rsidR="00154561" w:rsidRPr="00573761">
        <w:rPr>
          <w:bCs/>
          <w:i/>
          <w:iCs/>
          <w:color w:val="000000"/>
          <w:sz w:val="26"/>
          <w:szCs w:val="26"/>
        </w:rPr>
        <w:t>to the extent that they represent a reasonable approximation of the local government’s objectively reasonable costs</w:t>
      </w:r>
      <w:r w:rsidR="00154561" w:rsidRPr="00573761">
        <w:rPr>
          <w:bCs/>
          <w:color w:val="000000"/>
          <w:sz w:val="26"/>
          <w:szCs w:val="26"/>
        </w:rPr>
        <w:t xml:space="preserve"> and are non-discriminatory.”</w:t>
      </w:r>
      <w:r w:rsidR="00154561" w:rsidRPr="00E11E54">
        <w:rPr>
          <w:bCs/>
          <w:iCs/>
          <w:color w:val="000000"/>
          <w:sz w:val="26"/>
          <w:szCs w:val="26"/>
          <w:vertAlign w:val="superscript"/>
        </w:rPr>
        <w:footnoteReference w:id="57"/>
      </w:r>
      <w:r w:rsidR="00E11E54">
        <w:rPr>
          <w:bCs/>
          <w:color w:val="000000"/>
          <w:sz w:val="26"/>
          <w:szCs w:val="26"/>
        </w:rPr>
        <w:t xml:space="preserve">  </w:t>
      </w:r>
      <w:r w:rsidR="00154561" w:rsidRPr="00573761">
        <w:rPr>
          <w:bCs/>
          <w:color w:val="000000"/>
          <w:sz w:val="26"/>
          <w:szCs w:val="26"/>
        </w:rPr>
        <w:t>T</w:t>
      </w:r>
      <w:r w:rsidRPr="00573761">
        <w:rPr>
          <w:bCs/>
          <w:color w:val="000000"/>
          <w:sz w:val="26"/>
          <w:szCs w:val="26"/>
        </w:rPr>
        <w:t xml:space="preserve">he statutory Section 510 assessment process is a reasonable and fair approach </w:t>
      </w:r>
      <w:r w:rsidR="00154561" w:rsidRPr="00573761">
        <w:rPr>
          <w:bCs/>
          <w:color w:val="000000"/>
          <w:sz w:val="26"/>
          <w:szCs w:val="26"/>
        </w:rPr>
        <w:t xml:space="preserve">as it </w:t>
      </w:r>
      <w:r w:rsidRPr="00573761">
        <w:rPr>
          <w:bCs/>
          <w:color w:val="000000"/>
          <w:sz w:val="26"/>
          <w:szCs w:val="26"/>
        </w:rPr>
        <w:t>impose</w:t>
      </w:r>
      <w:r w:rsidR="00154561" w:rsidRPr="00573761">
        <w:rPr>
          <w:bCs/>
          <w:color w:val="000000"/>
          <w:sz w:val="26"/>
          <w:szCs w:val="26"/>
        </w:rPr>
        <w:t>s</w:t>
      </w:r>
      <w:r w:rsidRPr="00573761">
        <w:rPr>
          <w:bCs/>
          <w:color w:val="000000"/>
          <w:sz w:val="26"/>
          <w:szCs w:val="26"/>
        </w:rPr>
        <w:t xml:space="preserve"> </w:t>
      </w:r>
      <w:r w:rsidR="00154561" w:rsidRPr="00573761">
        <w:rPr>
          <w:bCs/>
          <w:color w:val="000000"/>
          <w:sz w:val="26"/>
          <w:szCs w:val="26"/>
        </w:rPr>
        <w:t xml:space="preserve">a </w:t>
      </w:r>
      <w:r w:rsidRPr="00573761">
        <w:rPr>
          <w:bCs/>
          <w:color w:val="000000"/>
          <w:sz w:val="26"/>
          <w:szCs w:val="26"/>
        </w:rPr>
        <w:t>fiscal assessment</w:t>
      </w:r>
      <w:r w:rsidR="00154561" w:rsidRPr="00573761">
        <w:rPr>
          <w:bCs/>
          <w:color w:val="000000"/>
          <w:sz w:val="26"/>
          <w:szCs w:val="26"/>
        </w:rPr>
        <w:t xml:space="preserve"> on a jurisdictional telecommunications carrier that is </w:t>
      </w:r>
      <w:r w:rsidRPr="00573761">
        <w:rPr>
          <w:bCs/>
          <w:color w:val="000000"/>
          <w:sz w:val="26"/>
          <w:szCs w:val="26"/>
        </w:rPr>
        <w:t xml:space="preserve">it is based upon both the direct hours incurred by Commission staff in each utility sector and the </w:t>
      </w:r>
      <w:r w:rsidR="00033346" w:rsidRPr="00573761">
        <w:rPr>
          <w:bCs/>
          <w:color w:val="000000"/>
          <w:sz w:val="26"/>
          <w:szCs w:val="26"/>
        </w:rPr>
        <w:t xml:space="preserve">particular </w:t>
      </w:r>
      <w:r w:rsidRPr="00573761">
        <w:rPr>
          <w:bCs/>
          <w:color w:val="000000"/>
          <w:sz w:val="26"/>
          <w:szCs w:val="26"/>
        </w:rPr>
        <w:t xml:space="preserve">gross intrastate operating revenues of </w:t>
      </w:r>
      <w:r w:rsidR="00154561" w:rsidRPr="00573761">
        <w:rPr>
          <w:bCs/>
          <w:color w:val="000000"/>
          <w:sz w:val="26"/>
          <w:szCs w:val="26"/>
        </w:rPr>
        <w:t xml:space="preserve">that </w:t>
      </w:r>
      <w:r w:rsidRPr="00573761">
        <w:rPr>
          <w:bCs/>
          <w:color w:val="000000"/>
          <w:sz w:val="26"/>
          <w:szCs w:val="26"/>
        </w:rPr>
        <w:t>public utility.  All jurisdictional telecommunications carriers, whether they be ILECs, CLECs, CAPs, or IXCs are classified as a common utility group and all are subject to Section 510’s use of gross intrastate operating revenues as the basis to calculate their individual annual fiscal assessment.</w:t>
      </w:r>
      <w:r w:rsidR="00033346" w:rsidRPr="00573761">
        <w:rPr>
          <w:bCs/>
          <w:color w:val="000000"/>
          <w:sz w:val="26"/>
          <w:szCs w:val="26"/>
        </w:rPr>
        <w:t xml:space="preserve">  This is a fair, equitable and nondiscriminatory to determine fiscal assessment under Section 510 of the Code.</w:t>
      </w:r>
    </w:p>
    <w:p w14:paraId="1A31AB09" w14:textId="77777777" w:rsidR="00A30E38" w:rsidRPr="00573761" w:rsidRDefault="00A30E38" w:rsidP="002F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5399DEB4" w14:textId="42BA2E30" w:rsidR="003A70EE" w:rsidRPr="00573761" w:rsidRDefault="00154561" w:rsidP="002F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r w:rsidR="003A70EE" w:rsidRPr="00573761">
        <w:rPr>
          <w:bCs/>
          <w:color w:val="000000"/>
          <w:sz w:val="26"/>
          <w:szCs w:val="26"/>
        </w:rPr>
        <w:t xml:space="preserve">The Commission receives necessary data relating to each public utility’s gross intrastate operating revenue in Pennsylvania from the utilities by way of the assessment report.  Based on this submitted data, each certificated telecommunications carrier in the telephone public utility group is allocated and required to advance to the Commission its reasonable share of the cost of administering the Code.  66 Pa. C.S. §§ 510(b) and (f).  Thus, Crown Castle’s position that the </w:t>
      </w:r>
      <w:r w:rsidR="003A70EE" w:rsidRPr="00573761">
        <w:rPr>
          <w:bCs/>
          <w:i/>
          <w:iCs/>
          <w:color w:val="000000"/>
          <w:sz w:val="26"/>
          <w:szCs w:val="26"/>
        </w:rPr>
        <w:t>Proposed Policy Statement</w:t>
      </w:r>
      <w:r w:rsidR="003A70EE" w:rsidRPr="00573761">
        <w:rPr>
          <w:bCs/>
          <w:color w:val="000000"/>
          <w:sz w:val="26"/>
          <w:szCs w:val="26"/>
        </w:rPr>
        <w:t xml:space="preserve"> somehow disrupts this equitable approach is erroneous and without merit.</w:t>
      </w:r>
    </w:p>
    <w:p w14:paraId="40949E1B" w14:textId="77777777" w:rsidR="003A70EE" w:rsidRPr="00573761" w:rsidRDefault="003A70EE" w:rsidP="002F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6FA3C049" w14:textId="1A8F254E" w:rsidR="002F38BB" w:rsidRPr="00573761" w:rsidRDefault="007C5BE4" w:rsidP="002F3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lang w:val="en"/>
        </w:rPr>
      </w:pPr>
      <w:r w:rsidRPr="00573761">
        <w:rPr>
          <w:bCs/>
          <w:color w:val="000000"/>
          <w:sz w:val="26"/>
          <w:szCs w:val="26"/>
        </w:rPr>
        <w:lastRenderedPageBreak/>
        <w:tab/>
        <w:t xml:space="preserve">Also, </w:t>
      </w:r>
      <w:r w:rsidR="002F38BB" w:rsidRPr="00573761">
        <w:rPr>
          <w:bCs/>
          <w:color w:val="000000"/>
          <w:sz w:val="26"/>
          <w:szCs w:val="26"/>
        </w:rPr>
        <w:t xml:space="preserve">Crown Castle  </w:t>
      </w:r>
      <w:r w:rsidR="002F7B2B" w:rsidRPr="00573761">
        <w:rPr>
          <w:bCs/>
          <w:color w:val="000000"/>
          <w:sz w:val="26"/>
          <w:szCs w:val="26"/>
        </w:rPr>
        <w:t xml:space="preserve">argues </w:t>
      </w:r>
      <w:r w:rsidR="003A70EE" w:rsidRPr="00573761">
        <w:rPr>
          <w:bCs/>
          <w:color w:val="000000"/>
          <w:sz w:val="26"/>
          <w:szCs w:val="26"/>
        </w:rPr>
        <w:t xml:space="preserve">that the </w:t>
      </w:r>
      <w:r w:rsidR="003A70EE" w:rsidRPr="00573761">
        <w:rPr>
          <w:bCs/>
          <w:i/>
          <w:iCs/>
          <w:color w:val="000000"/>
          <w:sz w:val="26"/>
          <w:szCs w:val="26"/>
        </w:rPr>
        <w:t>Proposed Policy Statement</w:t>
      </w:r>
      <w:r w:rsidR="003A70EE" w:rsidRPr="00573761">
        <w:rPr>
          <w:bCs/>
          <w:color w:val="000000"/>
          <w:sz w:val="26"/>
          <w:szCs w:val="26"/>
        </w:rPr>
        <w:t xml:space="preserve"> is unfair because it </w:t>
      </w:r>
      <w:r w:rsidR="002F7B2B" w:rsidRPr="00573761">
        <w:rPr>
          <w:bCs/>
          <w:color w:val="000000"/>
          <w:sz w:val="26"/>
          <w:szCs w:val="26"/>
        </w:rPr>
        <w:t>does not apply to ILECs</w:t>
      </w:r>
      <w:r w:rsidR="002F38BB" w:rsidRPr="00573761">
        <w:rPr>
          <w:bCs/>
          <w:color w:val="000000"/>
          <w:sz w:val="26"/>
          <w:szCs w:val="26"/>
        </w:rPr>
        <w:t xml:space="preserve">.  </w:t>
      </w:r>
      <w:r w:rsidR="00F80D6B" w:rsidRPr="00573761">
        <w:rPr>
          <w:bCs/>
          <w:color w:val="000000"/>
          <w:sz w:val="26"/>
          <w:szCs w:val="26"/>
        </w:rPr>
        <w:t>This is an erroneous interpretation.  T</w:t>
      </w:r>
      <w:r w:rsidR="002F38BB" w:rsidRPr="00573761">
        <w:rPr>
          <w:bCs/>
          <w:color w:val="000000"/>
          <w:sz w:val="26"/>
          <w:szCs w:val="26"/>
        </w:rPr>
        <w:t xml:space="preserve">he </w:t>
      </w:r>
      <w:r w:rsidR="002F38BB" w:rsidRPr="00573761">
        <w:rPr>
          <w:bCs/>
          <w:i/>
          <w:iCs/>
          <w:color w:val="000000"/>
          <w:sz w:val="26"/>
          <w:szCs w:val="26"/>
        </w:rPr>
        <w:t>Proposed Policy Statement</w:t>
      </w:r>
      <w:r w:rsidR="002F38BB" w:rsidRPr="00573761">
        <w:rPr>
          <w:bCs/>
          <w:color w:val="000000"/>
          <w:sz w:val="26"/>
          <w:szCs w:val="26"/>
        </w:rPr>
        <w:t xml:space="preserve"> provides guidance to </w:t>
      </w:r>
      <w:r w:rsidR="002F38BB" w:rsidRPr="00573761">
        <w:rPr>
          <w:bCs/>
          <w:i/>
          <w:iCs/>
          <w:color w:val="000000"/>
          <w:sz w:val="26"/>
          <w:szCs w:val="26"/>
        </w:rPr>
        <w:t>all</w:t>
      </w:r>
      <w:r w:rsidR="002F38BB" w:rsidRPr="00573761">
        <w:rPr>
          <w:bCs/>
          <w:color w:val="000000"/>
          <w:sz w:val="26"/>
          <w:szCs w:val="26"/>
        </w:rPr>
        <w:t xml:space="preserve"> jurisdictional telecommunications carriers that they have an obligation to report the </w:t>
      </w:r>
      <w:r w:rsidR="002F38BB" w:rsidRPr="00573761">
        <w:rPr>
          <w:bCs/>
          <w:i/>
          <w:iCs/>
          <w:color w:val="000000"/>
          <w:sz w:val="26"/>
          <w:szCs w:val="26"/>
        </w:rPr>
        <w:t>de facto</w:t>
      </w:r>
      <w:r w:rsidR="002F38BB" w:rsidRPr="00573761">
        <w:rPr>
          <w:bCs/>
          <w:color w:val="000000"/>
          <w:sz w:val="26"/>
          <w:szCs w:val="26"/>
        </w:rPr>
        <w:t xml:space="preserve"> and actual intrastate revenue associated with jurisdictionally mixed-use private lines as a part of their total gross intrastate operating revenues reported to the Fiscal Office.  </w:t>
      </w:r>
      <w:r w:rsidR="003A70EE" w:rsidRPr="00573761">
        <w:rPr>
          <w:bCs/>
          <w:color w:val="000000"/>
          <w:sz w:val="26"/>
          <w:szCs w:val="26"/>
          <w:lang w:val="en"/>
        </w:rPr>
        <w:t>I</w:t>
      </w:r>
      <w:r w:rsidR="002F38BB" w:rsidRPr="00573761">
        <w:rPr>
          <w:bCs/>
          <w:color w:val="000000"/>
          <w:sz w:val="26"/>
          <w:szCs w:val="26"/>
          <w:lang w:val="en"/>
        </w:rPr>
        <w:t>f a telecommunications carrier seeks to invoke this Commission’s jurisdiction to provide intrastate services, then it is obliged to report gross revenues received from those services.</w:t>
      </w:r>
      <w:r w:rsidR="003A70EE" w:rsidRPr="00573761">
        <w:rPr>
          <w:bCs/>
          <w:color w:val="000000"/>
          <w:sz w:val="26"/>
          <w:szCs w:val="26"/>
          <w:lang w:val="en"/>
        </w:rPr>
        <w:t xml:space="preserve">  </w:t>
      </w:r>
      <w:r w:rsidR="002F38BB" w:rsidRPr="00573761">
        <w:rPr>
          <w:bCs/>
          <w:color w:val="000000"/>
          <w:sz w:val="26"/>
          <w:szCs w:val="26"/>
          <w:lang w:val="en"/>
        </w:rPr>
        <w:t>If no intrastate services are provided</w:t>
      </w:r>
      <w:r w:rsidR="002F38BB" w:rsidRPr="00573761">
        <w:rPr>
          <w:bCs/>
          <w:color w:val="000000"/>
          <w:sz w:val="26"/>
          <w:szCs w:val="26"/>
        </w:rPr>
        <w:t xml:space="preserve"> and the carrier reports zero intrastate revenues, its right to a CPC is not clear and, after requisite due process, the carrier may be required </w:t>
      </w:r>
      <w:r w:rsidR="002F38BB" w:rsidRPr="00573761">
        <w:rPr>
          <w:bCs/>
          <w:color w:val="000000"/>
          <w:sz w:val="26"/>
          <w:szCs w:val="26"/>
          <w:lang w:val="en"/>
        </w:rPr>
        <w:t>to relinquish its CPC.</w:t>
      </w:r>
      <w:r w:rsidR="00F80D6B" w:rsidRPr="00573761">
        <w:rPr>
          <w:bCs/>
          <w:color w:val="000000"/>
          <w:sz w:val="26"/>
          <w:szCs w:val="26"/>
          <w:lang w:val="en"/>
        </w:rPr>
        <w:t xml:space="preserve">  We note, however, that in order to make this abundantly clear, we have </w:t>
      </w:r>
      <w:r w:rsidR="00F80D6B" w:rsidRPr="00573761">
        <w:rPr>
          <w:color w:val="000000"/>
          <w:sz w:val="26"/>
          <w:szCs w:val="26"/>
        </w:rPr>
        <w:t>removed references to any specific class of certificated providers, such as CAPs, because the policy statement is intended to and will apply with equal force to all jurisdictional telecommunications public utilities.</w:t>
      </w:r>
    </w:p>
    <w:p w14:paraId="06BFE1C1" w14:textId="05C0BD29" w:rsidR="002F38BB" w:rsidRPr="00573761" w:rsidRDefault="002F38BB" w:rsidP="00ED1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p>
    <w:p w14:paraId="203822CE" w14:textId="2F3FC8BA" w:rsidR="00B11EAB" w:rsidRPr="00573761" w:rsidRDefault="008E2595" w:rsidP="00B11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color w:val="000000"/>
          <w:sz w:val="26"/>
          <w:szCs w:val="26"/>
        </w:rPr>
        <w:tab/>
      </w:r>
      <w:r w:rsidRPr="00573761">
        <w:rPr>
          <w:bCs/>
          <w:color w:val="000000"/>
          <w:sz w:val="26"/>
          <w:szCs w:val="26"/>
        </w:rPr>
        <w:t>Additionally, Crown Castle states that the Commission</w:t>
      </w:r>
      <w:r w:rsidR="00AD33C8" w:rsidRPr="00573761">
        <w:rPr>
          <w:bCs/>
          <w:color w:val="000000"/>
          <w:sz w:val="26"/>
          <w:szCs w:val="26"/>
        </w:rPr>
        <w:t>’</w:t>
      </w:r>
      <w:r w:rsidRPr="00573761">
        <w:rPr>
          <w:bCs/>
          <w:color w:val="000000"/>
          <w:sz w:val="26"/>
          <w:szCs w:val="26"/>
        </w:rPr>
        <w:t xml:space="preserve">s </w:t>
      </w:r>
      <w:r w:rsidRPr="00573761">
        <w:rPr>
          <w:bCs/>
          <w:i/>
          <w:iCs/>
          <w:color w:val="000000"/>
          <w:sz w:val="26"/>
          <w:szCs w:val="26"/>
        </w:rPr>
        <w:t>Proposed Policy Statement</w:t>
      </w:r>
      <w:r w:rsidRPr="00573761">
        <w:rPr>
          <w:bCs/>
          <w:color w:val="000000"/>
          <w:sz w:val="26"/>
          <w:szCs w:val="26"/>
        </w:rPr>
        <w:t xml:space="preserve"> exceeds its legislatively granted powers.  </w:t>
      </w:r>
      <w:r w:rsidR="00B17E43" w:rsidRPr="00573761">
        <w:rPr>
          <w:bCs/>
          <w:color w:val="000000"/>
          <w:sz w:val="26"/>
          <w:szCs w:val="26"/>
        </w:rPr>
        <w:t>However, t</w:t>
      </w:r>
      <w:r w:rsidRPr="00573761">
        <w:rPr>
          <w:bCs/>
          <w:color w:val="000000"/>
          <w:sz w:val="26"/>
          <w:szCs w:val="26"/>
        </w:rPr>
        <w:t xml:space="preserve">he </w:t>
      </w:r>
      <w:r w:rsidRPr="00573761">
        <w:rPr>
          <w:i/>
          <w:iCs/>
          <w:color w:val="000000"/>
          <w:sz w:val="26"/>
          <w:szCs w:val="26"/>
        </w:rPr>
        <w:t>Proposed Policy Statement</w:t>
      </w:r>
      <w:r w:rsidRPr="00573761">
        <w:rPr>
          <w:color w:val="000000"/>
          <w:sz w:val="26"/>
          <w:szCs w:val="26"/>
        </w:rPr>
        <w:t xml:space="preserve"> </w:t>
      </w:r>
      <w:r w:rsidR="00E57F4A" w:rsidRPr="00573761">
        <w:rPr>
          <w:color w:val="000000"/>
          <w:sz w:val="26"/>
          <w:szCs w:val="26"/>
        </w:rPr>
        <w:t xml:space="preserve">simply </w:t>
      </w:r>
      <w:r w:rsidRPr="00573761">
        <w:rPr>
          <w:color w:val="000000"/>
          <w:sz w:val="26"/>
          <w:szCs w:val="26"/>
        </w:rPr>
        <w:t>provide</w:t>
      </w:r>
      <w:r w:rsidR="005F6397" w:rsidRPr="00573761">
        <w:rPr>
          <w:color w:val="000000"/>
          <w:sz w:val="26"/>
          <w:szCs w:val="26"/>
        </w:rPr>
        <w:t>s</w:t>
      </w:r>
      <w:r w:rsidRPr="00573761">
        <w:rPr>
          <w:color w:val="000000"/>
          <w:sz w:val="26"/>
          <w:szCs w:val="26"/>
        </w:rPr>
        <w:t xml:space="preserve"> guidance regarding </w:t>
      </w:r>
      <w:r w:rsidR="00B17E43" w:rsidRPr="00573761">
        <w:rPr>
          <w:color w:val="000000"/>
          <w:sz w:val="26"/>
          <w:szCs w:val="26"/>
        </w:rPr>
        <w:t xml:space="preserve">how jurisdictional telecommunications carriers must report the </w:t>
      </w:r>
      <w:r w:rsidR="00B17E43" w:rsidRPr="00573761">
        <w:rPr>
          <w:i/>
          <w:iCs/>
          <w:color w:val="000000"/>
          <w:sz w:val="26"/>
          <w:szCs w:val="26"/>
        </w:rPr>
        <w:t>de facto</w:t>
      </w:r>
      <w:r w:rsidR="00B17E43" w:rsidRPr="00573761">
        <w:rPr>
          <w:color w:val="000000"/>
          <w:sz w:val="26"/>
          <w:szCs w:val="26"/>
        </w:rPr>
        <w:t xml:space="preserve"> </w:t>
      </w:r>
      <w:r w:rsidR="00B17E43" w:rsidRPr="00573761">
        <w:rPr>
          <w:bCs/>
          <w:color w:val="000000"/>
          <w:sz w:val="26"/>
          <w:szCs w:val="26"/>
        </w:rPr>
        <w:t xml:space="preserve">intrastate revenues on jurisdictionally-mixed telecommunications services as a part of the total </w:t>
      </w:r>
      <w:r w:rsidRPr="00573761">
        <w:rPr>
          <w:color w:val="000000"/>
          <w:sz w:val="26"/>
          <w:szCs w:val="26"/>
        </w:rPr>
        <w:t xml:space="preserve">gross intrastate operating revenues </w:t>
      </w:r>
      <w:r w:rsidR="00B17E43" w:rsidRPr="00573761">
        <w:rPr>
          <w:color w:val="000000"/>
          <w:sz w:val="26"/>
          <w:szCs w:val="26"/>
        </w:rPr>
        <w:t xml:space="preserve">reported for Section 510 </w:t>
      </w:r>
      <w:r w:rsidRPr="00573761">
        <w:rPr>
          <w:color w:val="000000"/>
          <w:sz w:val="26"/>
          <w:szCs w:val="26"/>
        </w:rPr>
        <w:t xml:space="preserve">assessment purposes.  </w:t>
      </w:r>
      <w:r w:rsidR="00B17E43" w:rsidRPr="00573761">
        <w:rPr>
          <w:color w:val="000000"/>
          <w:sz w:val="26"/>
          <w:szCs w:val="26"/>
        </w:rPr>
        <w:t xml:space="preserve">Specifically, </w:t>
      </w:r>
      <w:r w:rsidR="00B17E43" w:rsidRPr="00573761">
        <w:rPr>
          <w:bCs/>
          <w:color w:val="000000"/>
          <w:sz w:val="26"/>
          <w:szCs w:val="26"/>
        </w:rPr>
        <w:t xml:space="preserve">in reporting their total gross intrastate operating revenues in their Section 510 assessment report, jurisdictional telecommunications carriers may not rely on the FCC’s ten percent rule as </w:t>
      </w:r>
      <w:r w:rsidR="005F6397" w:rsidRPr="00573761">
        <w:rPr>
          <w:bCs/>
          <w:color w:val="000000"/>
          <w:sz w:val="26"/>
          <w:szCs w:val="26"/>
        </w:rPr>
        <w:t xml:space="preserve">their basis for not reporting </w:t>
      </w:r>
      <w:r w:rsidR="00B17E43" w:rsidRPr="00573761">
        <w:rPr>
          <w:bCs/>
          <w:color w:val="000000"/>
          <w:sz w:val="26"/>
          <w:szCs w:val="26"/>
        </w:rPr>
        <w:t xml:space="preserve">the </w:t>
      </w:r>
      <w:r w:rsidR="00B17E43" w:rsidRPr="00573761">
        <w:rPr>
          <w:bCs/>
          <w:i/>
          <w:iCs/>
          <w:color w:val="000000"/>
          <w:sz w:val="26"/>
          <w:szCs w:val="26"/>
        </w:rPr>
        <w:t>de facto</w:t>
      </w:r>
      <w:r w:rsidR="00B17E43" w:rsidRPr="00573761">
        <w:rPr>
          <w:bCs/>
          <w:color w:val="000000"/>
          <w:sz w:val="26"/>
          <w:szCs w:val="26"/>
        </w:rPr>
        <w:t xml:space="preserve"> intrastate revenue on all jurisdictionally-mixed telecommunications services.</w:t>
      </w:r>
    </w:p>
    <w:p w14:paraId="27C6E827" w14:textId="77777777" w:rsidR="001D5C43" w:rsidRPr="00573761" w:rsidRDefault="00B11EAB" w:rsidP="008E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Cs/>
          <w:color w:val="000000"/>
          <w:sz w:val="26"/>
          <w:szCs w:val="26"/>
        </w:rPr>
      </w:pPr>
      <w:r w:rsidRPr="00573761">
        <w:rPr>
          <w:bCs/>
          <w:color w:val="000000"/>
          <w:sz w:val="26"/>
          <w:szCs w:val="26"/>
        </w:rPr>
        <w:tab/>
      </w:r>
    </w:p>
    <w:p w14:paraId="66517908" w14:textId="7A7C4BA5" w:rsidR="008E2595" w:rsidRPr="00573761" w:rsidRDefault="001D5C43" w:rsidP="008E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bCs/>
          <w:color w:val="000000"/>
          <w:sz w:val="26"/>
          <w:szCs w:val="26"/>
        </w:rPr>
        <w:tab/>
      </w:r>
      <w:r w:rsidR="005F6397" w:rsidRPr="00573761">
        <w:rPr>
          <w:bCs/>
          <w:color w:val="000000"/>
          <w:sz w:val="26"/>
          <w:szCs w:val="26"/>
        </w:rPr>
        <w:t xml:space="preserve">It should be noted that the </w:t>
      </w:r>
      <w:r w:rsidR="005F6397" w:rsidRPr="00573761">
        <w:rPr>
          <w:bCs/>
          <w:i/>
          <w:iCs/>
          <w:color w:val="000000"/>
          <w:sz w:val="26"/>
          <w:szCs w:val="26"/>
        </w:rPr>
        <w:t>Proposed Policy Statement</w:t>
      </w:r>
      <w:r w:rsidR="005F6397" w:rsidRPr="00573761">
        <w:rPr>
          <w:bCs/>
          <w:color w:val="000000"/>
          <w:sz w:val="26"/>
          <w:szCs w:val="26"/>
        </w:rPr>
        <w:t xml:space="preserve"> does not calculate any specific amount for fiscal assessments</w:t>
      </w:r>
      <w:r w:rsidR="00E51A02" w:rsidRPr="00573761">
        <w:rPr>
          <w:bCs/>
          <w:color w:val="000000"/>
          <w:sz w:val="26"/>
          <w:szCs w:val="26"/>
        </w:rPr>
        <w:t xml:space="preserve"> and takes no individual action against any individual carrier or group of carriers at this time. The </w:t>
      </w:r>
      <w:r w:rsidR="00E51A02" w:rsidRPr="00573761">
        <w:rPr>
          <w:bCs/>
          <w:i/>
          <w:iCs/>
          <w:color w:val="000000"/>
          <w:sz w:val="26"/>
          <w:szCs w:val="26"/>
        </w:rPr>
        <w:t>Proposed Policy Statement</w:t>
      </w:r>
      <w:r w:rsidR="00E51A02" w:rsidRPr="00573761">
        <w:rPr>
          <w:bCs/>
          <w:color w:val="000000"/>
          <w:sz w:val="26"/>
          <w:szCs w:val="26"/>
        </w:rPr>
        <w:t xml:space="preserve"> </w:t>
      </w:r>
      <w:r w:rsidR="005F6397" w:rsidRPr="00573761">
        <w:rPr>
          <w:bCs/>
          <w:color w:val="000000"/>
          <w:sz w:val="26"/>
          <w:szCs w:val="26"/>
        </w:rPr>
        <w:t xml:space="preserve">only </w:t>
      </w:r>
      <w:r w:rsidR="005F6397" w:rsidRPr="00573761">
        <w:rPr>
          <w:bCs/>
          <w:color w:val="000000"/>
          <w:sz w:val="26"/>
          <w:szCs w:val="26"/>
        </w:rPr>
        <w:lastRenderedPageBreak/>
        <w:t>provides the manner in which the total gross intrastate operating revenues on all jurisdictional telecommunications services</w:t>
      </w:r>
      <w:r w:rsidR="00E11E54">
        <w:rPr>
          <w:bCs/>
          <w:color w:val="000000"/>
          <w:sz w:val="26"/>
          <w:szCs w:val="26"/>
        </w:rPr>
        <w:t xml:space="preserve">, including </w:t>
      </w:r>
      <w:r w:rsidR="005F6397" w:rsidRPr="00573761">
        <w:rPr>
          <w:bCs/>
          <w:color w:val="000000"/>
          <w:sz w:val="26"/>
          <w:szCs w:val="26"/>
        </w:rPr>
        <w:t xml:space="preserve">jurisdictionally-mixed telecommunications services are to be reported in Section 510 assessment reports.  After submitting its Section 510 assessment report to the Commission, the fiscal </w:t>
      </w:r>
      <w:r w:rsidR="007E3FE9" w:rsidRPr="00573761">
        <w:rPr>
          <w:bCs/>
          <w:color w:val="000000"/>
          <w:sz w:val="26"/>
          <w:szCs w:val="26"/>
        </w:rPr>
        <w:t xml:space="preserve">assessment is </w:t>
      </w:r>
      <w:r w:rsidR="00B17E43" w:rsidRPr="00573761">
        <w:rPr>
          <w:bCs/>
          <w:color w:val="000000"/>
          <w:sz w:val="26"/>
          <w:szCs w:val="26"/>
        </w:rPr>
        <w:t>calculated by the Fiscal Office</w:t>
      </w:r>
      <w:r w:rsidR="005F6397" w:rsidRPr="00573761">
        <w:rPr>
          <w:bCs/>
          <w:color w:val="000000"/>
          <w:sz w:val="26"/>
          <w:szCs w:val="26"/>
        </w:rPr>
        <w:t xml:space="preserve"> and </w:t>
      </w:r>
      <w:r w:rsidR="007E3FE9" w:rsidRPr="00573761">
        <w:rPr>
          <w:bCs/>
          <w:color w:val="000000"/>
          <w:sz w:val="26"/>
          <w:szCs w:val="26"/>
        </w:rPr>
        <w:t xml:space="preserve">must be paid within 30 days of receipt of its notice of assessment.  </w:t>
      </w:r>
      <w:r w:rsidR="005F6397" w:rsidRPr="00573761">
        <w:rPr>
          <w:bCs/>
          <w:color w:val="000000"/>
          <w:sz w:val="26"/>
          <w:szCs w:val="26"/>
        </w:rPr>
        <w:t>T</w:t>
      </w:r>
      <w:r w:rsidR="007E3FE9" w:rsidRPr="00573761">
        <w:rPr>
          <w:bCs/>
          <w:color w:val="000000"/>
          <w:sz w:val="26"/>
          <w:szCs w:val="26"/>
        </w:rPr>
        <w:t>he statutory scheme provides for objections to and adjudication of any contested assessment</w:t>
      </w:r>
      <w:r w:rsidR="00612003" w:rsidRPr="00573761">
        <w:rPr>
          <w:bCs/>
          <w:color w:val="000000"/>
          <w:sz w:val="26"/>
          <w:szCs w:val="26"/>
        </w:rPr>
        <w:t xml:space="preserve"> amount</w:t>
      </w:r>
      <w:r w:rsidR="007E3FE9" w:rsidRPr="00573761">
        <w:rPr>
          <w:bCs/>
          <w:color w:val="000000"/>
          <w:sz w:val="26"/>
          <w:szCs w:val="26"/>
        </w:rPr>
        <w:t xml:space="preserve">.  In particular, Section 510(c) provides that a public utility may file, within 15 days, an objection to the assessment “setting out in detail </w:t>
      </w:r>
      <w:r w:rsidR="00612003" w:rsidRPr="00573761">
        <w:rPr>
          <w:bCs/>
          <w:color w:val="000000"/>
          <w:sz w:val="26"/>
          <w:szCs w:val="26"/>
        </w:rPr>
        <w:t>the</w:t>
      </w:r>
      <w:r w:rsidR="007E3FE9" w:rsidRPr="00573761">
        <w:rPr>
          <w:bCs/>
          <w:color w:val="000000"/>
          <w:sz w:val="26"/>
          <w:szCs w:val="26"/>
        </w:rPr>
        <w:t xml:space="preserve"> grounds upon which the </w:t>
      </w:r>
      <w:r w:rsidR="00612003" w:rsidRPr="00573761">
        <w:rPr>
          <w:bCs/>
          <w:color w:val="000000"/>
          <w:sz w:val="26"/>
          <w:szCs w:val="26"/>
        </w:rPr>
        <w:t>objector</w:t>
      </w:r>
      <w:r w:rsidR="007E3FE9" w:rsidRPr="00573761">
        <w:rPr>
          <w:bCs/>
          <w:color w:val="000000"/>
          <w:sz w:val="26"/>
          <w:szCs w:val="26"/>
        </w:rPr>
        <w:t xml:space="preserve"> reg</w:t>
      </w:r>
      <w:r w:rsidR="00612003" w:rsidRPr="00573761">
        <w:rPr>
          <w:bCs/>
          <w:color w:val="000000"/>
          <w:sz w:val="26"/>
          <w:szCs w:val="26"/>
        </w:rPr>
        <w:t>ards</w:t>
      </w:r>
      <w:r w:rsidR="007E3FE9" w:rsidRPr="00573761">
        <w:rPr>
          <w:bCs/>
          <w:color w:val="000000"/>
          <w:sz w:val="26"/>
          <w:szCs w:val="26"/>
        </w:rPr>
        <w:t xml:space="preserve"> such </w:t>
      </w:r>
      <w:r w:rsidR="00612003" w:rsidRPr="00573761">
        <w:rPr>
          <w:bCs/>
          <w:color w:val="000000"/>
          <w:sz w:val="26"/>
          <w:szCs w:val="26"/>
        </w:rPr>
        <w:t>assessment</w:t>
      </w:r>
      <w:r w:rsidR="007E3FE9" w:rsidRPr="00573761">
        <w:rPr>
          <w:bCs/>
          <w:color w:val="000000"/>
          <w:sz w:val="26"/>
          <w:szCs w:val="26"/>
        </w:rPr>
        <w:t xml:space="preserve"> to be </w:t>
      </w:r>
      <w:r w:rsidR="00612003" w:rsidRPr="00573761">
        <w:rPr>
          <w:bCs/>
          <w:color w:val="000000"/>
          <w:sz w:val="26"/>
          <w:szCs w:val="26"/>
        </w:rPr>
        <w:t>excessive</w:t>
      </w:r>
      <w:r w:rsidR="007E3FE9" w:rsidRPr="00573761">
        <w:rPr>
          <w:bCs/>
          <w:color w:val="000000"/>
          <w:sz w:val="26"/>
          <w:szCs w:val="26"/>
        </w:rPr>
        <w:t xml:space="preserve">, </w:t>
      </w:r>
      <w:r w:rsidR="00612003" w:rsidRPr="00573761">
        <w:rPr>
          <w:bCs/>
          <w:color w:val="000000"/>
          <w:sz w:val="26"/>
          <w:szCs w:val="26"/>
        </w:rPr>
        <w:t>erroneous</w:t>
      </w:r>
      <w:r w:rsidR="007E3FE9" w:rsidRPr="00573761">
        <w:rPr>
          <w:bCs/>
          <w:color w:val="000000"/>
          <w:sz w:val="26"/>
          <w:szCs w:val="26"/>
        </w:rPr>
        <w:t xml:space="preserve">, </w:t>
      </w:r>
      <w:r w:rsidR="00612003" w:rsidRPr="00573761">
        <w:rPr>
          <w:bCs/>
          <w:color w:val="000000"/>
          <w:sz w:val="26"/>
          <w:szCs w:val="26"/>
        </w:rPr>
        <w:t>unlawful</w:t>
      </w:r>
      <w:r w:rsidR="007E3FE9" w:rsidRPr="00573761">
        <w:rPr>
          <w:bCs/>
          <w:color w:val="000000"/>
          <w:sz w:val="26"/>
          <w:szCs w:val="26"/>
        </w:rPr>
        <w:t xml:space="preserve"> or invalid.”  </w:t>
      </w:r>
      <w:r w:rsidR="00612003" w:rsidRPr="00573761">
        <w:rPr>
          <w:bCs/>
          <w:color w:val="000000"/>
          <w:sz w:val="26"/>
          <w:szCs w:val="26"/>
        </w:rPr>
        <w:t>66 Pa. C.S. §</w:t>
      </w:r>
      <w:r w:rsidR="00390991" w:rsidRPr="00573761">
        <w:rPr>
          <w:bCs/>
          <w:color w:val="000000"/>
          <w:sz w:val="26"/>
          <w:szCs w:val="26"/>
        </w:rPr>
        <w:t> </w:t>
      </w:r>
      <w:r w:rsidR="00612003" w:rsidRPr="00573761">
        <w:rPr>
          <w:bCs/>
          <w:color w:val="000000"/>
          <w:sz w:val="26"/>
          <w:szCs w:val="26"/>
        </w:rPr>
        <w:t xml:space="preserve">510(c).  </w:t>
      </w:r>
      <w:r w:rsidR="007E3FE9" w:rsidRPr="00573761">
        <w:rPr>
          <w:bCs/>
          <w:color w:val="000000"/>
          <w:sz w:val="26"/>
          <w:szCs w:val="26"/>
        </w:rPr>
        <w:t xml:space="preserve">Any such objection </w:t>
      </w:r>
      <w:r w:rsidR="00E51A02" w:rsidRPr="00573761">
        <w:rPr>
          <w:bCs/>
          <w:color w:val="000000"/>
          <w:sz w:val="26"/>
          <w:szCs w:val="26"/>
        </w:rPr>
        <w:t xml:space="preserve">will be </w:t>
      </w:r>
      <w:r w:rsidR="00612003" w:rsidRPr="00573761">
        <w:rPr>
          <w:bCs/>
          <w:color w:val="000000"/>
          <w:sz w:val="26"/>
          <w:szCs w:val="26"/>
        </w:rPr>
        <w:t>assigned</w:t>
      </w:r>
      <w:r w:rsidR="007E3FE9" w:rsidRPr="00573761">
        <w:rPr>
          <w:bCs/>
          <w:color w:val="000000"/>
          <w:sz w:val="26"/>
          <w:szCs w:val="26"/>
        </w:rPr>
        <w:t xml:space="preserve"> to the Office of </w:t>
      </w:r>
      <w:r w:rsidR="00612003" w:rsidRPr="00573761">
        <w:rPr>
          <w:bCs/>
          <w:color w:val="000000"/>
          <w:sz w:val="26"/>
          <w:szCs w:val="26"/>
        </w:rPr>
        <w:t>Administrative</w:t>
      </w:r>
      <w:r w:rsidR="007E3FE9" w:rsidRPr="00573761">
        <w:rPr>
          <w:bCs/>
          <w:color w:val="000000"/>
          <w:sz w:val="26"/>
          <w:szCs w:val="26"/>
        </w:rPr>
        <w:t xml:space="preserve"> Law Judge for hearing and decision.  </w:t>
      </w:r>
      <w:r w:rsidR="00E51A02" w:rsidRPr="00573761">
        <w:rPr>
          <w:bCs/>
          <w:color w:val="000000"/>
          <w:sz w:val="26"/>
          <w:szCs w:val="26"/>
        </w:rPr>
        <w:t>Thus, t</w:t>
      </w:r>
      <w:r w:rsidR="005F6397" w:rsidRPr="00573761">
        <w:rPr>
          <w:bCs/>
          <w:color w:val="000000"/>
          <w:sz w:val="26"/>
          <w:szCs w:val="26"/>
        </w:rPr>
        <w:t xml:space="preserve">he </w:t>
      </w:r>
      <w:r w:rsidR="005F6397" w:rsidRPr="00573761">
        <w:rPr>
          <w:bCs/>
          <w:i/>
          <w:iCs/>
          <w:color w:val="000000"/>
          <w:sz w:val="26"/>
          <w:szCs w:val="26"/>
        </w:rPr>
        <w:t>Proposed Policy Statement</w:t>
      </w:r>
      <w:r w:rsidR="005F6397" w:rsidRPr="00573761">
        <w:rPr>
          <w:bCs/>
          <w:color w:val="000000"/>
          <w:sz w:val="26"/>
          <w:szCs w:val="26"/>
        </w:rPr>
        <w:t xml:space="preserve"> does not prohibit a jurisdictional telecommunications carrier from challenging </w:t>
      </w:r>
      <w:r w:rsidR="00E51A02" w:rsidRPr="00573761">
        <w:rPr>
          <w:bCs/>
          <w:color w:val="000000"/>
          <w:sz w:val="26"/>
          <w:szCs w:val="26"/>
        </w:rPr>
        <w:t>any</w:t>
      </w:r>
      <w:r w:rsidR="005F6397" w:rsidRPr="00573761">
        <w:rPr>
          <w:bCs/>
          <w:color w:val="000000"/>
          <w:sz w:val="26"/>
          <w:szCs w:val="26"/>
        </w:rPr>
        <w:t xml:space="preserve"> calculated fiscal assessment</w:t>
      </w:r>
      <w:r w:rsidR="00E51A02" w:rsidRPr="00573761">
        <w:rPr>
          <w:bCs/>
          <w:color w:val="000000"/>
          <w:sz w:val="26"/>
          <w:szCs w:val="26"/>
        </w:rPr>
        <w:t xml:space="preserve"> that the carrier may deem unsupported or inappropriate</w:t>
      </w:r>
      <w:r w:rsidR="005F6397" w:rsidRPr="00573761">
        <w:rPr>
          <w:bCs/>
          <w:color w:val="000000"/>
          <w:sz w:val="26"/>
          <w:szCs w:val="26"/>
        </w:rPr>
        <w:t>.  It simply provides guidance on the manner it should report its total intrastate operating revenues.</w:t>
      </w:r>
    </w:p>
    <w:p w14:paraId="6942CF3B" w14:textId="77777777" w:rsidR="00612003" w:rsidRPr="00573761" w:rsidRDefault="00612003" w:rsidP="008E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44C5D57B" w14:textId="1F3B37F5" w:rsidR="00E31EB8" w:rsidRPr="00573761" w:rsidRDefault="00873633" w:rsidP="00E31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Lastly, the Commission will adopt certain editorial suggestions </w:t>
      </w:r>
      <w:r w:rsidR="00580CAA" w:rsidRPr="00573761">
        <w:rPr>
          <w:color w:val="000000"/>
          <w:sz w:val="26"/>
          <w:szCs w:val="26"/>
        </w:rPr>
        <w:t xml:space="preserve">of the OCA and others </w:t>
      </w:r>
      <w:r w:rsidRPr="00573761">
        <w:rPr>
          <w:color w:val="000000"/>
          <w:sz w:val="26"/>
          <w:szCs w:val="26"/>
        </w:rPr>
        <w:t xml:space="preserve">to </w:t>
      </w:r>
      <w:r w:rsidR="0092591F" w:rsidRPr="00573761">
        <w:rPr>
          <w:color w:val="000000"/>
          <w:sz w:val="26"/>
          <w:szCs w:val="26"/>
        </w:rPr>
        <w:t>amend p</w:t>
      </w:r>
      <w:r w:rsidRPr="00573761">
        <w:rPr>
          <w:color w:val="000000"/>
          <w:sz w:val="26"/>
          <w:szCs w:val="26"/>
        </w:rPr>
        <w:t>roposed</w:t>
      </w:r>
      <w:r w:rsidRPr="00573761">
        <w:rPr>
          <w:i/>
          <w:iCs/>
          <w:color w:val="000000"/>
          <w:sz w:val="26"/>
          <w:szCs w:val="26"/>
        </w:rPr>
        <w:t xml:space="preserve"> </w:t>
      </w:r>
      <w:r w:rsidR="0092591F" w:rsidRPr="00573761">
        <w:rPr>
          <w:color w:val="000000"/>
          <w:sz w:val="26"/>
          <w:szCs w:val="26"/>
        </w:rPr>
        <w:t>Section</w:t>
      </w:r>
      <w:r w:rsidR="0092591F" w:rsidRPr="00573761">
        <w:rPr>
          <w:i/>
          <w:iCs/>
          <w:color w:val="000000"/>
          <w:sz w:val="26"/>
          <w:szCs w:val="26"/>
        </w:rPr>
        <w:t xml:space="preserve"> </w:t>
      </w:r>
      <w:r w:rsidR="0092591F" w:rsidRPr="00573761">
        <w:rPr>
          <w:color w:val="000000"/>
          <w:sz w:val="26"/>
          <w:szCs w:val="26"/>
        </w:rPr>
        <w:t xml:space="preserve">69.3701 to eliminate any ambiguity as to whether the </w:t>
      </w:r>
      <w:r w:rsidR="002F39A0" w:rsidRPr="00573761">
        <w:rPr>
          <w:color w:val="000000"/>
          <w:sz w:val="26"/>
          <w:szCs w:val="26"/>
        </w:rPr>
        <w:t>“</w:t>
      </w:r>
      <w:r w:rsidR="0092591F" w:rsidRPr="00573761">
        <w:rPr>
          <w:i/>
          <w:iCs/>
          <w:color w:val="000000"/>
          <w:sz w:val="26"/>
          <w:szCs w:val="26"/>
        </w:rPr>
        <w:t>de facto</w:t>
      </w:r>
      <w:r w:rsidR="0092591F" w:rsidRPr="00573761">
        <w:rPr>
          <w:color w:val="000000"/>
          <w:sz w:val="26"/>
          <w:szCs w:val="26"/>
        </w:rPr>
        <w:t xml:space="preserve"> gross intrastate operating revenues</w:t>
      </w:r>
      <w:r w:rsidR="002F39A0" w:rsidRPr="00573761">
        <w:rPr>
          <w:color w:val="000000"/>
          <w:sz w:val="26"/>
          <w:szCs w:val="26"/>
        </w:rPr>
        <w:t>”</w:t>
      </w:r>
      <w:r w:rsidR="0092591F" w:rsidRPr="00573761">
        <w:rPr>
          <w:color w:val="000000"/>
          <w:sz w:val="26"/>
          <w:szCs w:val="26"/>
        </w:rPr>
        <w:t xml:space="preserve"> standard would apply only to a telephone public utility which reported zero intrastate revenues in the prior year or to all telephone public utilities.  </w:t>
      </w:r>
      <w:r w:rsidR="00E31EB8" w:rsidRPr="00573761">
        <w:rPr>
          <w:color w:val="000000"/>
          <w:sz w:val="26"/>
          <w:szCs w:val="26"/>
        </w:rPr>
        <w:t xml:space="preserve">The Commission will </w:t>
      </w:r>
      <w:r w:rsidR="005D1424" w:rsidRPr="00573761">
        <w:rPr>
          <w:color w:val="000000"/>
          <w:sz w:val="26"/>
          <w:szCs w:val="26"/>
        </w:rPr>
        <w:t xml:space="preserve">also </w:t>
      </w:r>
      <w:r w:rsidR="00E31EB8" w:rsidRPr="00573761">
        <w:rPr>
          <w:color w:val="000000"/>
          <w:sz w:val="26"/>
          <w:szCs w:val="26"/>
        </w:rPr>
        <w:t>incorporate a declaration into proposed Section 69.3701 that the policy statement exists to assist these carriers in complying with their statutory obligations to file their Section 510 revenues report and to pay a reasonable share of the Commission</w:t>
      </w:r>
      <w:r w:rsidR="002F39A0" w:rsidRPr="00573761">
        <w:rPr>
          <w:color w:val="000000"/>
          <w:sz w:val="26"/>
          <w:szCs w:val="26"/>
        </w:rPr>
        <w:t>’</w:t>
      </w:r>
      <w:r w:rsidR="00E31EB8" w:rsidRPr="00573761">
        <w:rPr>
          <w:color w:val="000000"/>
          <w:sz w:val="26"/>
          <w:szCs w:val="26"/>
        </w:rPr>
        <w:t xml:space="preserve">s costs of administering the Public Utility Code.  </w:t>
      </w:r>
      <w:r w:rsidR="00F80D6B" w:rsidRPr="00573761">
        <w:rPr>
          <w:color w:val="000000"/>
          <w:sz w:val="26"/>
          <w:szCs w:val="26"/>
        </w:rPr>
        <w:t>As we have with CAPs, t</w:t>
      </w:r>
      <w:r w:rsidR="00E31EB8" w:rsidRPr="00573761">
        <w:rPr>
          <w:color w:val="000000"/>
          <w:sz w:val="26"/>
          <w:szCs w:val="26"/>
        </w:rPr>
        <w:t xml:space="preserve">he Commission will eliminate the explicit references to </w:t>
      </w:r>
      <w:r w:rsidR="005D1424" w:rsidRPr="00573761">
        <w:rPr>
          <w:color w:val="000000"/>
          <w:sz w:val="26"/>
          <w:szCs w:val="26"/>
        </w:rPr>
        <w:t xml:space="preserve">DAS network </w:t>
      </w:r>
      <w:r w:rsidR="00E31EB8" w:rsidRPr="00573761">
        <w:rPr>
          <w:color w:val="000000"/>
          <w:sz w:val="26"/>
          <w:szCs w:val="26"/>
        </w:rPr>
        <w:t xml:space="preserve">operators in </w:t>
      </w:r>
      <w:r w:rsidR="009B5019" w:rsidRPr="00573761">
        <w:rPr>
          <w:color w:val="000000"/>
          <w:sz w:val="26"/>
          <w:szCs w:val="26"/>
        </w:rPr>
        <w:t>p</w:t>
      </w:r>
      <w:r w:rsidR="00E31EB8" w:rsidRPr="00573761">
        <w:rPr>
          <w:color w:val="000000"/>
          <w:sz w:val="26"/>
          <w:szCs w:val="26"/>
        </w:rPr>
        <w:t>roposed Section 69.3701(4) and (5).  We agree with the OCA that these references are unnecessary</w:t>
      </w:r>
      <w:r w:rsidR="006D654F" w:rsidRPr="00573761">
        <w:rPr>
          <w:color w:val="000000"/>
          <w:sz w:val="26"/>
          <w:szCs w:val="26"/>
        </w:rPr>
        <w:t xml:space="preserve"> because the intent of the policy statement is to provide </w:t>
      </w:r>
      <w:r w:rsidR="006D654F" w:rsidRPr="00573761">
        <w:rPr>
          <w:color w:val="000000"/>
          <w:sz w:val="26"/>
          <w:szCs w:val="26"/>
        </w:rPr>
        <w:lastRenderedPageBreak/>
        <w:t>guidance to jurisdictional local exchanges that provide jurisdictionally mixed-use telecommunications services</w:t>
      </w:r>
      <w:r w:rsidR="00E31EB8" w:rsidRPr="00573761">
        <w:rPr>
          <w:color w:val="000000"/>
          <w:sz w:val="26"/>
          <w:szCs w:val="26"/>
        </w:rPr>
        <w:t>.</w:t>
      </w:r>
      <w:r w:rsidR="006D654F" w:rsidRPr="00573761">
        <w:rPr>
          <w:rStyle w:val="FootnoteReference"/>
          <w:color w:val="000000"/>
          <w:sz w:val="26"/>
          <w:szCs w:val="26"/>
        </w:rPr>
        <w:footnoteReference w:id="58"/>
      </w:r>
      <w:r w:rsidR="00E31EB8" w:rsidRPr="00573761">
        <w:rPr>
          <w:color w:val="000000"/>
          <w:sz w:val="26"/>
          <w:szCs w:val="26"/>
        </w:rPr>
        <w:t xml:space="preserve"> </w:t>
      </w:r>
    </w:p>
    <w:p w14:paraId="19C6E02F" w14:textId="77777777" w:rsidR="00C87FCF" w:rsidRPr="00573761" w:rsidRDefault="00C87FCF" w:rsidP="00E31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749BB369" w14:textId="1AD5DBBD" w:rsidR="00E31EB8" w:rsidRPr="00573761" w:rsidRDefault="00C87FCF" w:rsidP="00E31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 xml:space="preserve">The OCA </w:t>
      </w:r>
      <w:r w:rsidR="000F71CF" w:rsidRPr="00573761">
        <w:rPr>
          <w:color w:val="000000"/>
          <w:sz w:val="26"/>
          <w:szCs w:val="26"/>
        </w:rPr>
        <w:t xml:space="preserve">also </w:t>
      </w:r>
      <w:r w:rsidRPr="00573761">
        <w:rPr>
          <w:color w:val="000000"/>
          <w:sz w:val="26"/>
          <w:szCs w:val="26"/>
        </w:rPr>
        <w:t>noted that i</w:t>
      </w:r>
      <w:r w:rsidR="00E31EB8" w:rsidRPr="00573761">
        <w:rPr>
          <w:color w:val="000000"/>
          <w:sz w:val="26"/>
          <w:szCs w:val="26"/>
        </w:rPr>
        <w:t xml:space="preserve">n several places, </w:t>
      </w:r>
      <w:r w:rsidR="000F71CF" w:rsidRPr="00573761">
        <w:rPr>
          <w:color w:val="000000"/>
          <w:sz w:val="26"/>
          <w:szCs w:val="26"/>
        </w:rPr>
        <w:t>proposed Section 69.3701</w:t>
      </w:r>
      <w:r w:rsidR="000F71CF" w:rsidRPr="00573761">
        <w:rPr>
          <w:i/>
          <w:iCs/>
          <w:color w:val="000000"/>
          <w:sz w:val="26"/>
          <w:szCs w:val="26"/>
        </w:rPr>
        <w:t xml:space="preserve"> </w:t>
      </w:r>
      <w:r w:rsidR="00E31EB8" w:rsidRPr="00573761">
        <w:rPr>
          <w:color w:val="000000"/>
          <w:sz w:val="26"/>
          <w:szCs w:val="26"/>
        </w:rPr>
        <w:t xml:space="preserve">refers one or more times to the reporting of </w:t>
      </w:r>
      <w:r w:rsidR="002F39A0" w:rsidRPr="00573761">
        <w:rPr>
          <w:color w:val="000000"/>
          <w:sz w:val="26"/>
          <w:szCs w:val="26"/>
        </w:rPr>
        <w:t>“</w:t>
      </w:r>
      <w:r w:rsidR="00E31EB8" w:rsidRPr="00573761">
        <w:rPr>
          <w:color w:val="000000"/>
          <w:sz w:val="26"/>
          <w:szCs w:val="26"/>
        </w:rPr>
        <w:t>gross intrastate revenues.</w:t>
      </w:r>
      <w:r w:rsidR="002F39A0" w:rsidRPr="00573761">
        <w:rPr>
          <w:color w:val="000000"/>
          <w:sz w:val="26"/>
          <w:szCs w:val="26"/>
        </w:rPr>
        <w:t>”</w:t>
      </w:r>
      <w:r w:rsidRPr="00573761">
        <w:rPr>
          <w:color w:val="000000"/>
          <w:sz w:val="26"/>
          <w:szCs w:val="26"/>
        </w:rPr>
        <w:t xml:space="preserve">  We agree with the OCA that in order to </w:t>
      </w:r>
      <w:r w:rsidR="00E31EB8" w:rsidRPr="00573761">
        <w:rPr>
          <w:color w:val="000000"/>
          <w:sz w:val="26"/>
          <w:szCs w:val="26"/>
        </w:rPr>
        <w:t>be consistent with the wording of Section 510</w:t>
      </w:r>
      <w:r w:rsidRPr="00573761">
        <w:rPr>
          <w:color w:val="000000"/>
          <w:sz w:val="26"/>
          <w:szCs w:val="26"/>
        </w:rPr>
        <w:t xml:space="preserve"> of the Code, we should use the language of the statutory provision and use </w:t>
      </w:r>
      <w:r w:rsidR="00E31EB8" w:rsidRPr="00573761">
        <w:rPr>
          <w:color w:val="000000"/>
          <w:sz w:val="26"/>
          <w:szCs w:val="26"/>
        </w:rPr>
        <w:t xml:space="preserve">the word </w:t>
      </w:r>
      <w:r w:rsidR="002F39A0" w:rsidRPr="00573761">
        <w:rPr>
          <w:color w:val="000000"/>
          <w:sz w:val="26"/>
          <w:szCs w:val="26"/>
        </w:rPr>
        <w:t>“</w:t>
      </w:r>
      <w:r w:rsidR="00E31EB8" w:rsidRPr="00573761">
        <w:rPr>
          <w:color w:val="000000"/>
          <w:sz w:val="26"/>
          <w:szCs w:val="26"/>
        </w:rPr>
        <w:t>operating</w:t>
      </w:r>
      <w:r w:rsidR="002F39A0" w:rsidRPr="00573761">
        <w:rPr>
          <w:color w:val="000000"/>
          <w:sz w:val="26"/>
          <w:szCs w:val="26"/>
        </w:rPr>
        <w:t>”</w:t>
      </w:r>
      <w:r w:rsidR="00E31EB8" w:rsidRPr="00573761">
        <w:rPr>
          <w:color w:val="000000"/>
          <w:sz w:val="26"/>
          <w:szCs w:val="26"/>
        </w:rPr>
        <w:t xml:space="preserve"> </w:t>
      </w:r>
      <w:r w:rsidRPr="00573761">
        <w:rPr>
          <w:color w:val="000000"/>
          <w:sz w:val="26"/>
          <w:szCs w:val="26"/>
        </w:rPr>
        <w:t>so the proposed Section 69.3701</w:t>
      </w:r>
      <w:r w:rsidR="00266E83" w:rsidRPr="00573761">
        <w:rPr>
          <w:color w:val="000000"/>
          <w:sz w:val="26"/>
          <w:szCs w:val="26"/>
        </w:rPr>
        <w:t>(3), (5), (6) and (7) will</w:t>
      </w:r>
      <w:r w:rsidR="00E31EB8" w:rsidRPr="00573761">
        <w:rPr>
          <w:color w:val="000000"/>
          <w:sz w:val="26"/>
          <w:szCs w:val="26"/>
        </w:rPr>
        <w:t xml:space="preserve"> read </w:t>
      </w:r>
      <w:r w:rsidR="00266E83" w:rsidRPr="00573761">
        <w:rPr>
          <w:color w:val="000000"/>
          <w:sz w:val="26"/>
          <w:szCs w:val="26"/>
        </w:rPr>
        <w:t xml:space="preserve">as </w:t>
      </w:r>
      <w:r w:rsidR="002F39A0" w:rsidRPr="00573761">
        <w:rPr>
          <w:color w:val="000000"/>
          <w:sz w:val="26"/>
          <w:szCs w:val="26"/>
        </w:rPr>
        <w:t>“</w:t>
      </w:r>
      <w:r w:rsidR="00E31EB8" w:rsidRPr="00573761">
        <w:rPr>
          <w:color w:val="000000"/>
          <w:sz w:val="26"/>
          <w:szCs w:val="26"/>
        </w:rPr>
        <w:t>gross intrastate operating revenues.</w:t>
      </w:r>
      <w:r w:rsidR="002F39A0" w:rsidRPr="00573761">
        <w:rPr>
          <w:color w:val="000000"/>
          <w:sz w:val="26"/>
          <w:szCs w:val="26"/>
        </w:rPr>
        <w:t>”</w:t>
      </w:r>
      <w:r w:rsidR="00616481" w:rsidRPr="00573761">
        <w:rPr>
          <w:rStyle w:val="FootnoteReference"/>
          <w:color w:val="000000"/>
          <w:sz w:val="26"/>
          <w:szCs w:val="26"/>
        </w:rPr>
        <w:footnoteReference w:id="59"/>
      </w:r>
    </w:p>
    <w:p w14:paraId="26633734" w14:textId="77777777" w:rsidR="00AF238A" w:rsidRPr="00573761" w:rsidRDefault="00266E83" w:rsidP="00E31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p>
    <w:p w14:paraId="1F0B418C" w14:textId="26F388B1" w:rsidR="00E31EB8" w:rsidRPr="00573761" w:rsidRDefault="00AF238A" w:rsidP="00E31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r>
      <w:r w:rsidR="00266E83" w:rsidRPr="00573761">
        <w:rPr>
          <w:color w:val="000000"/>
          <w:sz w:val="26"/>
          <w:szCs w:val="26"/>
        </w:rPr>
        <w:t xml:space="preserve">We </w:t>
      </w:r>
      <w:r w:rsidR="005D1424" w:rsidRPr="00573761">
        <w:rPr>
          <w:color w:val="000000"/>
          <w:sz w:val="26"/>
          <w:szCs w:val="26"/>
        </w:rPr>
        <w:t xml:space="preserve">also </w:t>
      </w:r>
      <w:r w:rsidR="00266E83" w:rsidRPr="00573761">
        <w:rPr>
          <w:color w:val="000000"/>
          <w:sz w:val="26"/>
          <w:szCs w:val="26"/>
        </w:rPr>
        <w:t xml:space="preserve">take the OCA’s editorial suggestion that Subparts (5) and (9) of proposed Section 69.3701 </w:t>
      </w:r>
      <w:r w:rsidR="00E31EB8" w:rsidRPr="00573761">
        <w:rPr>
          <w:color w:val="000000"/>
          <w:sz w:val="26"/>
          <w:szCs w:val="26"/>
        </w:rPr>
        <w:t>refer to the FCC</w:t>
      </w:r>
      <w:r w:rsidR="00AD33C8" w:rsidRPr="00573761">
        <w:rPr>
          <w:color w:val="000000"/>
          <w:sz w:val="26"/>
          <w:szCs w:val="26"/>
        </w:rPr>
        <w:t>’</w:t>
      </w:r>
      <w:r w:rsidR="00E31EB8" w:rsidRPr="00573761">
        <w:rPr>
          <w:color w:val="000000"/>
          <w:sz w:val="26"/>
          <w:szCs w:val="26"/>
        </w:rPr>
        <w:t xml:space="preserve">s </w:t>
      </w:r>
      <w:r w:rsidR="002F39A0" w:rsidRPr="00573761">
        <w:rPr>
          <w:color w:val="000000"/>
          <w:sz w:val="26"/>
          <w:szCs w:val="26"/>
        </w:rPr>
        <w:t>“</w:t>
      </w:r>
      <w:r w:rsidR="00E31EB8" w:rsidRPr="00573761">
        <w:rPr>
          <w:color w:val="000000"/>
          <w:sz w:val="26"/>
          <w:szCs w:val="26"/>
        </w:rPr>
        <w:t>ten percent contamination rule</w:t>
      </w:r>
      <w:r w:rsidR="002F39A0" w:rsidRPr="00573761">
        <w:rPr>
          <w:color w:val="000000"/>
          <w:sz w:val="26"/>
          <w:szCs w:val="26"/>
        </w:rPr>
        <w:t>”</w:t>
      </w:r>
      <w:r w:rsidR="0023372D" w:rsidRPr="00573761">
        <w:rPr>
          <w:color w:val="000000"/>
          <w:sz w:val="26"/>
          <w:szCs w:val="26"/>
        </w:rPr>
        <w:t xml:space="preserve"> without the requisite </w:t>
      </w:r>
      <w:r w:rsidR="00E31EB8" w:rsidRPr="00573761">
        <w:rPr>
          <w:color w:val="000000"/>
          <w:sz w:val="26"/>
          <w:szCs w:val="26"/>
        </w:rPr>
        <w:t xml:space="preserve">citation </w:t>
      </w:r>
      <w:r w:rsidR="0023372D" w:rsidRPr="00573761">
        <w:rPr>
          <w:color w:val="000000"/>
          <w:sz w:val="26"/>
          <w:szCs w:val="26"/>
        </w:rPr>
        <w:t xml:space="preserve">to 47 C.F.R. </w:t>
      </w:r>
      <w:r w:rsidR="00AD33C8" w:rsidRPr="00573761">
        <w:rPr>
          <w:color w:val="000000"/>
          <w:sz w:val="26"/>
          <w:szCs w:val="26"/>
        </w:rPr>
        <w:t>§ </w:t>
      </w:r>
      <w:r w:rsidR="00E31EB8" w:rsidRPr="00573761">
        <w:rPr>
          <w:color w:val="000000"/>
          <w:sz w:val="26"/>
          <w:szCs w:val="26"/>
        </w:rPr>
        <w:t xml:space="preserve">36.154. </w:t>
      </w:r>
      <w:r w:rsidR="0023372D" w:rsidRPr="00573761">
        <w:rPr>
          <w:color w:val="000000"/>
          <w:sz w:val="26"/>
          <w:szCs w:val="26"/>
        </w:rPr>
        <w:t xml:space="preserve"> </w:t>
      </w:r>
      <w:r w:rsidR="00E31EB8" w:rsidRPr="00573761">
        <w:rPr>
          <w:color w:val="000000"/>
          <w:sz w:val="26"/>
          <w:szCs w:val="26"/>
        </w:rPr>
        <w:t xml:space="preserve">Additionally, </w:t>
      </w:r>
      <w:r w:rsidR="0023372D" w:rsidRPr="00573761">
        <w:rPr>
          <w:color w:val="000000"/>
          <w:sz w:val="26"/>
          <w:szCs w:val="26"/>
        </w:rPr>
        <w:t xml:space="preserve">the OCA states that </w:t>
      </w:r>
      <w:r w:rsidR="00E31EB8" w:rsidRPr="00573761">
        <w:rPr>
          <w:color w:val="000000"/>
          <w:sz w:val="26"/>
          <w:szCs w:val="26"/>
        </w:rPr>
        <w:t>Subpart</w:t>
      </w:r>
      <w:r w:rsidR="00E54BE3" w:rsidRPr="00573761">
        <w:rPr>
          <w:color w:val="000000"/>
          <w:sz w:val="26"/>
          <w:szCs w:val="26"/>
        </w:rPr>
        <w:t>s</w:t>
      </w:r>
      <w:r w:rsidR="00E31EB8" w:rsidRPr="00573761">
        <w:rPr>
          <w:color w:val="000000"/>
          <w:sz w:val="26"/>
          <w:szCs w:val="26"/>
        </w:rPr>
        <w:t xml:space="preserve"> (5) and (9) </w:t>
      </w:r>
      <w:r w:rsidR="0023372D" w:rsidRPr="00573761">
        <w:rPr>
          <w:color w:val="000000"/>
          <w:sz w:val="26"/>
          <w:szCs w:val="26"/>
        </w:rPr>
        <w:t xml:space="preserve">of proposed Section 69.3701 </w:t>
      </w:r>
      <w:r w:rsidR="00E54BE3" w:rsidRPr="00573761">
        <w:rPr>
          <w:color w:val="000000"/>
          <w:sz w:val="26"/>
          <w:szCs w:val="26"/>
        </w:rPr>
        <w:t>are</w:t>
      </w:r>
      <w:r w:rsidR="0023372D" w:rsidRPr="00573761">
        <w:rPr>
          <w:color w:val="000000"/>
          <w:sz w:val="26"/>
          <w:szCs w:val="26"/>
        </w:rPr>
        <w:t xml:space="preserve"> redundant and repetitive in </w:t>
      </w:r>
      <w:r w:rsidR="00E54BE3" w:rsidRPr="00573761">
        <w:rPr>
          <w:color w:val="000000"/>
          <w:sz w:val="26"/>
          <w:szCs w:val="26"/>
        </w:rPr>
        <w:t>the</w:t>
      </w:r>
      <w:r w:rsidR="0023372D" w:rsidRPr="00573761">
        <w:rPr>
          <w:color w:val="000000"/>
          <w:sz w:val="26"/>
          <w:szCs w:val="26"/>
        </w:rPr>
        <w:t xml:space="preserve"> description of </w:t>
      </w:r>
      <w:r w:rsidR="00E31EB8" w:rsidRPr="00573761">
        <w:rPr>
          <w:color w:val="000000"/>
          <w:sz w:val="26"/>
          <w:szCs w:val="26"/>
        </w:rPr>
        <w:t>the ten percent rule</w:t>
      </w:r>
      <w:r w:rsidR="0023372D" w:rsidRPr="00573761">
        <w:rPr>
          <w:color w:val="000000"/>
          <w:sz w:val="26"/>
          <w:szCs w:val="26"/>
        </w:rPr>
        <w:t>.  The Commission agrees with the OCA that o</w:t>
      </w:r>
      <w:r w:rsidR="00E31EB8" w:rsidRPr="00573761">
        <w:rPr>
          <w:color w:val="000000"/>
          <w:sz w:val="26"/>
          <w:szCs w:val="26"/>
        </w:rPr>
        <w:t>ne short summary description of the FCC</w:t>
      </w:r>
      <w:r w:rsidR="005604C6" w:rsidRPr="00573761">
        <w:rPr>
          <w:color w:val="000000"/>
          <w:sz w:val="26"/>
          <w:szCs w:val="26"/>
        </w:rPr>
        <w:t>’</w:t>
      </w:r>
      <w:r w:rsidR="00E31EB8" w:rsidRPr="00573761">
        <w:rPr>
          <w:color w:val="000000"/>
          <w:sz w:val="26"/>
          <w:szCs w:val="26"/>
        </w:rPr>
        <w:t xml:space="preserve">s ten percent rule and its purpose as a federal cost allocation rule for ratemaking and other purposes, with a citation, </w:t>
      </w:r>
      <w:r w:rsidR="0023372D" w:rsidRPr="00573761">
        <w:rPr>
          <w:color w:val="000000"/>
          <w:sz w:val="26"/>
          <w:szCs w:val="26"/>
        </w:rPr>
        <w:t>is all that is necessary</w:t>
      </w:r>
      <w:r w:rsidR="00E31EB8" w:rsidRPr="00573761">
        <w:rPr>
          <w:color w:val="000000"/>
          <w:sz w:val="26"/>
          <w:szCs w:val="26"/>
        </w:rPr>
        <w:t xml:space="preserve">. </w:t>
      </w:r>
      <w:r w:rsidR="0023372D" w:rsidRPr="00573761">
        <w:rPr>
          <w:color w:val="000000"/>
          <w:sz w:val="26"/>
          <w:szCs w:val="26"/>
        </w:rPr>
        <w:t xml:space="preserve"> </w:t>
      </w:r>
      <w:r w:rsidR="001B338C" w:rsidRPr="00573761">
        <w:rPr>
          <w:color w:val="000000"/>
          <w:sz w:val="26"/>
          <w:szCs w:val="26"/>
        </w:rPr>
        <w:t>Finally, t</w:t>
      </w:r>
      <w:r w:rsidR="0023372D" w:rsidRPr="00573761">
        <w:rPr>
          <w:color w:val="000000"/>
          <w:sz w:val="26"/>
          <w:szCs w:val="26"/>
        </w:rPr>
        <w:t>he OCA also suggests that t</w:t>
      </w:r>
      <w:r w:rsidR="00E31EB8" w:rsidRPr="00573761">
        <w:rPr>
          <w:color w:val="000000"/>
          <w:sz w:val="26"/>
          <w:szCs w:val="26"/>
        </w:rPr>
        <w:t xml:space="preserve">he other part of </w:t>
      </w:r>
      <w:r w:rsidR="005604C6" w:rsidRPr="00573761">
        <w:rPr>
          <w:color w:val="000000"/>
          <w:sz w:val="26"/>
          <w:szCs w:val="26"/>
        </w:rPr>
        <w:t>S</w:t>
      </w:r>
      <w:r w:rsidR="00E31EB8" w:rsidRPr="00573761">
        <w:rPr>
          <w:color w:val="000000"/>
          <w:sz w:val="26"/>
          <w:szCs w:val="26"/>
        </w:rPr>
        <w:t xml:space="preserve">ubpart (9) regarding the lack of preemption </w:t>
      </w:r>
      <w:r w:rsidR="0023372D" w:rsidRPr="00573761">
        <w:rPr>
          <w:color w:val="000000"/>
          <w:sz w:val="26"/>
          <w:szCs w:val="26"/>
        </w:rPr>
        <w:t xml:space="preserve">should </w:t>
      </w:r>
      <w:r w:rsidR="00E31EB8" w:rsidRPr="00573761">
        <w:rPr>
          <w:color w:val="000000"/>
          <w:sz w:val="26"/>
          <w:szCs w:val="26"/>
        </w:rPr>
        <w:t xml:space="preserve">be rephrased in a more affirmative manner, appropriate to a </w:t>
      </w:r>
      <w:r w:rsidR="00EE50FB" w:rsidRPr="00573761">
        <w:rPr>
          <w:color w:val="000000"/>
          <w:sz w:val="26"/>
          <w:szCs w:val="26"/>
        </w:rPr>
        <w:t>p</w:t>
      </w:r>
      <w:r w:rsidR="00E31EB8" w:rsidRPr="00573761">
        <w:rPr>
          <w:color w:val="000000"/>
          <w:sz w:val="26"/>
          <w:szCs w:val="26"/>
        </w:rPr>
        <w:t xml:space="preserve">olicy </w:t>
      </w:r>
      <w:r w:rsidR="00EE50FB" w:rsidRPr="00573761">
        <w:rPr>
          <w:color w:val="000000"/>
          <w:sz w:val="26"/>
          <w:szCs w:val="26"/>
        </w:rPr>
        <w:t>s</w:t>
      </w:r>
      <w:r w:rsidR="00E31EB8" w:rsidRPr="00573761">
        <w:rPr>
          <w:color w:val="000000"/>
          <w:sz w:val="26"/>
          <w:szCs w:val="26"/>
        </w:rPr>
        <w:t>tatement adopted after public comment and close review of the legal underpinnings of the Commission</w:t>
      </w:r>
      <w:r w:rsidR="005604C6" w:rsidRPr="00573761">
        <w:rPr>
          <w:color w:val="000000"/>
          <w:sz w:val="26"/>
          <w:szCs w:val="26"/>
        </w:rPr>
        <w:t>’</w:t>
      </w:r>
      <w:r w:rsidR="00E31EB8" w:rsidRPr="00573761">
        <w:rPr>
          <w:color w:val="000000"/>
          <w:sz w:val="26"/>
          <w:szCs w:val="26"/>
        </w:rPr>
        <w:t xml:space="preserve">s </w:t>
      </w:r>
      <w:r w:rsidR="00E31EB8" w:rsidRPr="00D15CDE">
        <w:rPr>
          <w:i/>
          <w:color w:val="000000"/>
          <w:sz w:val="26"/>
          <w:szCs w:val="26"/>
        </w:rPr>
        <w:t>Proposed Policy Statement</w:t>
      </w:r>
      <w:r w:rsidR="0023372D" w:rsidRPr="00573761">
        <w:rPr>
          <w:color w:val="000000"/>
          <w:sz w:val="26"/>
          <w:szCs w:val="26"/>
        </w:rPr>
        <w:t>.</w:t>
      </w:r>
      <w:r w:rsidR="00616481" w:rsidRPr="00573761">
        <w:rPr>
          <w:rStyle w:val="FootnoteReference"/>
          <w:color w:val="000000"/>
          <w:sz w:val="26"/>
          <w:szCs w:val="26"/>
        </w:rPr>
        <w:footnoteReference w:id="60"/>
      </w:r>
      <w:r w:rsidR="0023372D" w:rsidRPr="00573761">
        <w:rPr>
          <w:color w:val="000000"/>
          <w:sz w:val="26"/>
          <w:szCs w:val="26"/>
        </w:rPr>
        <w:t xml:space="preserve">  We agree. </w:t>
      </w:r>
    </w:p>
    <w:p w14:paraId="263EB9EC" w14:textId="77777777" w:rsidR="00E31EB8" w:rsidRPr="00573761" w:rsidRDefault="00E31EB8" w:rsidP="00925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559784C1" w14:textId="1FF1F84A" w:rsidR="00D94CE7" w:rsidRPr="00573761" w:rsidRDefault="00D94CE7" w:rsidP="00D94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r w:rsidRPr="00573761">
        <w:rPr>
          <w:color w:val="000000"/>
          <w:sz w:val="26"/>
          <w:szCs w:val="26"/>
        </w:rPr>
        <w:tab/>
        <w:t>Crown Castle states that as defined in proposed Section 69.3701, the term “</w:t>
      </w:r>
      <w:r w:rsidRPr="00573761">
        <w:rPr>
          <w:i/>
          <w:iCs/>
          <w:color w:val="000000"/>
          <w:sz w:val="26"/>
          <w:szCs w:val="26"/>
        </w:rPr>
        <w:t>de facto</w:t>
      </w:r>
      <w:r w:rsidRPr="00573761">
        <w:rPr>
          <w:color w:val="000000"/>
          <w:sz w:val="26"/>
          <w:szCs w:val="26"/>
        </w:rPr>
        <w:t xml:space="preserve"> gross operating revenues” is ambiguous and may potentially be over</w:t>
      </w:r>
      <w:r w:rsidR="00580CAA" w:rsidRPr="00573761">
        <w:rPr>
          <w:color w:val="000000"/>
          <w:sz w:val="26"/>
          <w:szCs w:val="26"/>
        </w:rPr>
        <w:t xml:space="preserve">ly </w:t>
      </w:r>
      <w:r w:rsidRPr="00573761">
        <w:rPr>
          <w:color w:val="000000"/>
          <w:sz w:val="26"/>
          <w:szCs w:val="26"/>
        </w:rPr>
        <w:t>broad.  Crown Castle suggests that the definition of “</w:t>
      </w:r>
      <w:r w:rsidRPr="00573761">
        <w:rPr>
          <w:i/>
          <w:iCs/>
          <w:color w:val="000000"/>
          <w:sz w:val="26"/>
          <w:szCs w:val="26"/>
        </w:rPr>
        <w:t>de facto</w:t>
      </w:r>
      <w:r w:rsidRPr="00573761">
        <w:rPr>
          <w:color w:val="000000"/>
          <w:sz w:val="26"/>
          <w:szCs w:val="26"/>
        </w:rPr>
        <w:t xml:space="preserve"> gross operating revenues” should </w:t>
      </w:r>
      <w:r w:rsidRPr="00573761">
        <w:rPr>
          <w:color w:val="000000"/>
          <w:sz w:val="26"/>
          <w:szCs w:val="26"/>
        </w:rPr>
        <w:lastRenderedPageBreak/>
        <w:t>be revised to only apply to revenues actually received, rather than amounts charged or otherwise due.  We agree with this suggestion.</w:t>
      </w:r>
    </w:p>
    <w:p w14:paraId="38B61AEF" w14:textId="77777777" w:rsidR="00D94CE7" w:rsidRPr="00573761" w:rsidRDefault="00D94CE7" w:rsidP="00925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6"/>
          <w:szCs w:val="26"/>
        </w:rPr>
      </w:pPr>
    </w:p>
    <w:p w14:paraId="77864DD9" w14:textId="11119669" w:rsidR="000E1912" w:rsidRPr="00573761" w:rsidRDefault="0023372D" w:rsidP="00700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sidRPr="00573761">
        <w:rPr>
          <w:color w:val="000000"/>
          <w:sz w:val="26"/>
          <w:szCs w:val="26"/>
        </w:rPr>
        <w:tab/>
        <w:t xml:space="preserve">Lastly, </w:t>
      </w:r>
      <w:r w:rsidR="00D94CE7" w:rsidRPr="00573761">
        <w:rPr>
          <w:color w:val="000000"/>
          <w:sz w:val="26"/>
          <w:szCs w:val="26"/>
        </w:rPr>
        <w:t xml:space="preserve">many commentators requested that the Commission </w:t>
      </w:r>
      <w:r w:rsidR="00B53FAE" w:rsidRPr="00573761">
        <w:rPr>
          <w:color w:val="000000"/>
          <w:sz w:val="26"/>
          <w:szCs w:val="26"/>
        </w:rPr>
        <w:t xml:space="preserve">establish a collaborative process to examine the complex issues underlying and implicated by the </w:t>
      </w:r>
      <w:r w:rsidR="00B53FAE" w:rsidRPr="00D15CDE">
        <w:rPr>
          <w:i/>
          <w:color w:val="000000"/>
          <w:sz w:val="26"/>
          <w:szCs w:val="26"/>
        </w:rPr>
        <w:t>Proposed Policy Statement</w:t>
      </w:r>
      <w:r w:rsidR="00B53FAE" w:rsidRPr="00573761">
        <w:rPr>
          <w:color w:val="000000"/>
          <w:sz w:val="26"/>
          <w:szCs w:val="26"/>
        </w:rPr>
        <w:t xml:space="preserve">.  </w:t>
      </w:r>
      <w:r w:rsidR="000F64F7" w:rsidRPr="00573761">
        <w:rPr>
          <w:color w:val="000000"/>
          <w:sz w:val="26"/>
          <w:szCs w:val="26"/>
        </w:rPr>
        <w:t xml:space="preserve">Given the clear and unambiguous mandate in the statute that public utilities holding Commission-issued CPC must report their gross intrastate operation revenues and the further guidance provided in this Final Policy Statement, </w:t>
      </w:r>
      <w:r w:rsidR="00501261" w:rsidRPr="00573761">
        <w:rPr>
          <w:color w:val="000000"/>
          <w:sz w:val="26"/>
          <w:szCs w:val="26"/>
        </w:rPr>
        <w:t>the Commission does not believe that a</w:t>
      </w:r>
      <w:r w:rsidR="0092591F" w:rsidRPr="00573761">
        <w:rPr>
          <w:color w:val="000000"/>
          <w:sz w:val="26"/>
          <w:szCs w:val="26"/>
        </w:rPr>
        <w:t xml:space="preserve"> technical conference or collaborative process </w:t>
      </w:r>
      <w:r w:rsidR="00501261" w:rsidRPr="00573761">
        <w:rPr>
          <w:color w:val="000000"/>
          <w:sz w:val="26"/>
          <w:szCs w:val="26"/>
        </w:rPr>
        <w:t>is necessary</w:t>
      </w:r>
      <w:r w:rsidR="000F64F7" w:rsidRPr="00573761">
        <w:rPr>
          <w:color w:val="000000"/>
          <w:sz w:val="26"/>
          <w:szCs w:val="26"/>
        </w:rPr>
        <w:t xml:space="preserve">.  </w:t>
      </w:r>
      <w:r w:rsidR="001067BE" w:rsidRPr="00573761">
        <w:rPr>
          <w:color w:val="000000"/>
          <w:sz w:val="26"/>
          <w:szCs w:val="26"/>
        </w:rPr>
        <w:t xml:space="preserve">All </w:t>
      </w:r>
      <w:r w:rsidR="000F64F7" w:rsidRPr="00573761">
        <w:rPr>
          <w:color w:val="000000"/>
          <w:sz w:val="26"/>
          <w:szCs w:val="26"/>
        </w:rPr>
        <w:t>telecommunications public utilit</w:t>
      </w:r>
      <w:r w:rsidR="001067BE" w:rsidRPr="00573761">
        <w:rPr>
          <w:color w:val="000000"/>
          <w:sz w:val="26"/>
          <w:szCs w:val="26"/>
        </w:rPr>
        <w:t>ies</w:t>
      </w:r>
      <w:r w:rsidR="000F64F7" w:rsidRPr="00573761">
        <w:rPr>
          <w:color w:val="000000"/>
          <w:sz w:val="26"/>
          <w:szCs w:val="26"/>
        </w:rPr>
        <w:t xml:space="preserve"> holding a Commission-issued CPC </w:t>
      </w:r>
      <w:r w:rsidR="001067BE" w:rsidRPr="00573761">
        <w:rPr>
          <w:color w:val="000000"/>
          <w:sz w:val="26"/>
          <w:szCs w:val="26"/>
        </w:rPr>
        <w:t>are</w:t>
      </w:r>
      <w:r w:rsidR="000F64F7" w:rsidRPr="00573761">
        <w:rPr>
          <w:color w:val="000000"/>
          <w:sz w:val="26"/>
          <w:szCs w:val="26"/>
        </w:rPr>
        <w:t xml:space="preserve"> obligated </w:t>
      </w:r>
      <w:r w:rsidR="0092591F" w:rsidRPr="00573761">
        <w:rPr>
          <w:color w:val="000000"/>
          <w:sz w:val="26"/>
          <w:szCs w:val="26"/>
        </w:rPr>
        <w:t>to report gross intrastate operating revenues in a manner which assures each of them pays their reasonable share of the Commission</w:t>
      </w:r>
      <w:r w:rsidR="00AD33C8" w:rsidRPr="00573761">
        <w:rPr>
          <w:color w:val="000000"/>
          <w:sz w:val="26"/>
          <w:szCs w:val="26"/>
        </w:rPr>
        <w:t>’</w:t>
      </w:r>
      <w:r w:rsidR="0092591F" w:rsidRPr="00573761">
        <w:rPr>
          <w:color w:val="000000"/>
          <w:sz w:val="26"/>
          <w:szCs w:val="26"/>
        </w:rPr>
        <w:t>s costs of administration</w:t>
      </w:r>
      <w:r w:rsidR="000F64F7" w:rsidRPr="00573761">
        <w:rPr>
          <w:color w:val="000000"/>
          <w:sz w:val="26"/>
          <w:szCs w:val="26"/>
        </w:rPr>
        <w:t>.  We expect each telecommunication public utility to comply with its obligation</w:t>
      </w:r>
      <w:r w:rsidR="00E81686" w:rsidRPr="00573761">
        <w:rPr>
          <w:color w:val="000000"/>
          <w:sz w:val="26"/>
          <w:szCs w:val="26"/>
        </w:rPr>
        <w:t>s</w:t>
      </w:r>
      <w:r w:rsidR="000F64F7" w:rsidRPr="00573761">
        <w:rPr>
          <w:color w:val="000000"/>
          <w:sz w:val="26"/>
          <w:szCs w:val="26"/>
        </w:rPr>
        <w:t xml:space="preserve"> under state law</w:t>
      </w:r>
      <w:r w:rsidR="007173D2" w:rsidRPr="00573761">
        <w:rPr>
          <w:color w:val="000000"/>
          <w:sz w:val="26"/>
          <w:szCs w:val="26"/>
        </w:rPr>
        <w:t>;</w:t>
      </w:r>
      <w:r w:rsidR="00A00202" w:rsidRPr="00573761">
        <w:rPr>
          <w:sz w:val="26"/>
          <w:szCs w:val="26"/>
        </w:rPr>
        <w:t xml:space="preserve"> </w:t>
      </w:r>
      <w:r w:rsidR="000900C9" w:rsidRPr="00573761">
        <w:rPr>
          <w:b/>
          <w:sz w:val="26"/>
          <w:szCs w:val="26"/>
          <w:lang w:bidi="en-US"/>
        </w:rPr>
        <w:t>THEREFORE</w:t>
      </w:r>
      <w:r w:rsidR="000900C9" w:rsidRPr="00573761">
        <w:rPr>
          <w:sz w:val="26"/>
          <w:szCs w:val="26"/>
          <w:lang w:bidi="en-US"/>
        </w:rPr>
        <w:t>,</w:t>
      </w:r>
    </w:p>
    <w:p w14:paraId="7B15A33B" w14:textId="74B0D8C7" w:rsidR="000D1AEB" w:rsidRPr="00573761" w:rsidRDefault="000D1AEB">
      <w:pPr>
        <w:rPr>
          <w:b/>
          <w:sz w:val="26"/>
          <w:szCs w:val="26"/>
        </w:rPr>
      </w:pPr>
    </w:p>
    <w:p w14:paraId="2F6D1ED7" w14:textId="219B07CC" w:rsidR="002B32BD" w:rsidRPr="00573761" w:rsidRDefault="007E1866" w:rsidP="00737933">
      <w:pPr>
        <w:spacing w:line="360" w:lineRule="auto"/>
        <w:ind w:firstLine="720"/>
        <w:rPr>
          <w:b/>
          <w:sz w:val="26"/>
          <w:szCs w:val="26"/>
        </w:rPr>
      </w:pPr>
      <w:r w:rsidRPr="00573761">
        <w:rPr>
          <w:b/>
          <w:sz w:val="26"/>
          <w:szCs w:val="26"/>
        </w:rPr>
        <w:t>IT IS ORDERED:</w:t>
      </w:r>
    </w:p>
    <w:p w14:paraId="5386D4A1" w14:textId="77777777" w:rsidR="00AD33C8" w:rsidRPr="00573761" w:rsidRDefault="00AD33C8" w:rsidP="00737933">
      <w:pPr>
        <w:spacing w:line="360" w:lineRule="auto"/>
        <w:ind w:firstLine="720"/>
        <w:rPr>
          <w:b/>
          <w:sz w:val="26"/>
          <w:szCs w:val="26"/>
        </w:rPr>
      </w:pPr>
    </w:p>
    <w:p w14:paraId="54EF3E5E" w14:textId="55449019" w:rsidR="002B32BD" w:rsidRPr="00573761" w:rsidRDefault="00B730DA" w:rsidP="00775B9D">
      <w:pPr>
        <w:spacing w:line="360" w:lineRule="auto"/>
        <w:ind w:firstLine="720"/>
        <w:rPr>
          <w:sz w:val="26"/>
          <w:szCs w:val="26"/>
        </w:rPr>
      </w:pPr>
      <w:r w:rsidRPr="00573761">
        <w:rPr>
          <w:sz w:val="26"/>
          <w:szCs w:val="26"/>
        </w:rPr>
        <w:t>1.</w:t>
      </w:r>
      <w:r w:rsidR="002B32BD" w:rsidRPr="00573761">
        <w:rPr>
          <w:sz w:val="26"/>
          <w:szCs w:val="26"/>
        </w:rPr>
        <w:tab/>
      </w:r>
      <w:r w:rsidR="00A018E5" w:rsidRPr="00573761">
        <w:rPr>
          <w:sz w:val="26"/>
          <w:szCs w:val="26"/>
        </w:rPr>
        <w:t xml:space="preserve">That the </w:t>
      </w:r>
      <w:r w:rsidR="00EE50FB" w:rsidRPr="00573761">
        <w:rPr>
          <w:sz w:val="26"/>
          <w:szCs w:val="26"/>
        </w:rPr>
        <w:t>F</w:t>
      </w:r>
      <w:r w:rsidR="004B2EEC" w:rsidRPr="00573761">
        <w:rPr>
          <w:sz w:val="26"/>
          <w:szCs w:val="26"/>
        </w:rPr>
        <w:t xml:space="preserve">inal </w:t>
      </w:r>
      <w:r w:rsidR="00EE50FB" w:rsidRPr="00573761">
        <w:rPr>
          <w:sz w:val="26"/>
          <w:szCs w:val="26"/>
        </w:rPr>
        <w:t>P</w:t>
      </w:r>
      <w:r w:rsidR="00A018E5" w:rsidRPr="00573761">
        <w:rPr>
          <w:sz w:val="26"/>
          <w:szCs w:val="26"/>
        </w:rPr>
        <w:t xml:space="preserve">olicy </w:t>
      </w:r>
      <w:r w:rsidR="00EE50FB" w:rsidRPr="00573761">
        <w:rPr>
          <w:sz w:val="26"/>
          <w:szCs w:val="26"/>
        </w:rPr>
        <w:t>S</w:t>
      </w:r>
      <w:r w:rsidR="00160E8F" w:rsidRPr="00573761">
        <w:rPr>
          <w:sz w:val="26"/>
          <w:szCs w:val="26"/>
        </w:rPr>
        <w:t>tatement as set forth in Annex</w:t>
      </w:r>
      <w:r w:rsidR="00AD33C8" w:rsidRPr="00573761">
        <w:rPr>
          <w:sz w:val="26"/>
          <w:szCs w:val="26"/>
        </w:rPr>
        <w:t xml:space="preserve"> A</w:t>
      </w:r>
      <w:r w:rsidR="009B5019" w:rsidRPr="00573761">
        <w:rPr>
          <w:sz w:val="26"/>
          <w:szCs w:val="26"/>
        </w:rPr>
        <w:t xml:space="preserve"> is adopted</w:t>
      </w:r>
      <w:r w:rsidR="00A018E5" w:rsidRPr="00573761">
        <w:rPr>
          <w:sz w:val="26"/>
          <w:szCs w:val="26"/>
        </w:rPr>
        <w:t>.</w:t>
      </w:r>
    </w:p>
    <w:p w14:paraId="1BA15EC6" w14:textId="77777777" w:rsidR="00BF587F" w:rsidRPr="00573761" w:rsidRDefault="00BF587F" w:rsidP="00775B9D">
      <w:pPr>
        <w:spacing w:line="360" w:lineRule="auto"/>
        <w:ind w:firstLine="720"/>
        <w:rPr>
          <w:sz w:val="26"/>
          <w:szCs w:val="26"/>
        </w:rPr>
      </w:pPr>
    </w:p>
    <w:p w14:paraId="3EA75291" w14:textId="4E8336AF" w:rsidR="00AD33C8" w:rsidRPr="00573761" w:rsidRDefault="00E61968" w:rsidP="00775B9D">
      <w:pPr>
        <w:spacing w:line="360" w:lineRule="auto"/>
        <w:ind w:firstLine="720"/>
        <w:rPr>
          <w:sz w:val="26"/>
          <w:szCs w:val="26"/>
        </w:rPr>
      </w:pPr>
      <w:r w:rsidRPr="00573761">
        <w:rPr>
          <w:sz w:val="26"/>
          <w:szCs w:val="26"/>
        </w:rPr>
        <w:t>2.</w:t>
      </w:r>
      <w:r w:rsidRPr="00573761">
        <w:rPr>
          <w:sz w:val="26"/>
          <w:szCs w:val="26"/>
        </w:rPr>
        <w:tab/>
      </w:r>
      <w:r w:rsidR="00AD33C8" w:rsidRPr="00573761">
        <w:rPr>
          <w:sz w:val="26"/>
          <w:szCs w:val="26"/>
        </w:rPr>
        <w:t>That the Law Bureau shall submit this Order and Annex A to the Governor’s Budget Office for review of its fiscal impact.</w:t>
      </w:r>
    </w:p>
    <w:p w14:paraId="1AD5C99E" w14:textId="77777777" w:rsidR="00AD33C8" w:rsidRPr="00573761" w:rsidRDefault="00AD33C8" w:rsidP="00775B9D">
      <w:pPr>
        <w:spacing w:line="360" w:lineRule="auto"/>
        <w:ind w:firstLine="720"/>
        <w:rPr>
          <w:sz w:val="26"/>
          <w:szCs w:val="26"/>
        </w:rPr>
      </w:pPr>
    </w:p>
    <w:p w14:paraId="062A3B8D" w14:textId="76D36B4E" w:rsidR="00320094" w:rsidRPr="00573761" w:rsidRDefault="00AD33C8" w:rsidP="00775B9D">
      <w:pPr>
        <w:spacing w:line="360" w:lineRule="auto"/>
        <w:ind w:firstLine="720"/>
        <w:rPr>
          <w:sz w:val="26"/>
          <w:szCs w:val="26"/>
        </w:rPr>
      </w:pPr>
      <w:r w:rsidRPr="00573761">
        <w:rPr>
          <w:sz w:val="26"/>
          <w:szCs w:val="26"/>
        </w:rPr>
        <w:t>3.</w:t>
      </w:r>
      <w:r w:rsidRPr="00573761">
        <w:rPr>
          <w:sz w:val="26"/>
          <w:szCs w:val="26"/>
        </w:rPr>
        <w:tab/>
      </w:r>
      <w:r w:rsidR="00A018E5" w:rsidRPr="00573761">
        <w:rPr>
          <w:sz w:val="26"/>
          <w:szCs w:val="26"/>
        </w:rPr>
        <w:t xml:space="preserve">That the </w:t>
      </w:r>
      <w:r w:rsidR="00B40E48" w:rsidRPr="00573761">
        <w:rPr>
          <w:sz w:val="26"/>
          <w:szCs w:val="26"/>
        </w:rPr>
        <w:t>Law Bureau</w:t>
      </w:r>
      <w:r w:rsidR="00A018E5" w:rsidRPr="00573761">
        <w:rPr>
          <w:sz w:val="26"/>
          <w:szCs w:val="26"/>
        </w:rPr>
        <w:t xml:space="preserve"> shall </w:t>
      </w:r>
      <w:r w:rsidR="008E26D2" w:rsidRPr="00573761">
        <w:rPr>
          <w:sz w:val="26"/>
          <w:szCs w:val="26"/>
        </w:rPr>
        <w:t xml:space="preserve">deposit </w:t>
      </w:r>
      <w:r w:rsidR="00A018E5" w:rsidRPr="00573761">
        <w:rPr>
          <w:sz w:val="26"/>
          <w:szCs w:val="26"/>
        </w:rPr>
        <w:t xml:space="preserve">this </w:t>
      </w:r>
      <w:r w:rsidRPr="00573761">
        <w:rPr>
          <w:sz w:val="26"/>
          <w:szCs w:val="26"/>
        </w:rPr>
        <w:t>O</w:t>
      </w:r>
      <w:r w:rsidR="00A018E5" w:rsidRPr="00573761">
        <w:rPr>
          <w:sz w:val="26"/>
          <w:szCs w:val="26"/>
        </w:rPr>
        <w:t xml:space="preserve">rder and Annex </w:t>
      </w:r>
      <w:r w:rsidRPr="00573761">
        <w:rPr>
          <w:sz w:val="26"/>
          <w:szCs w:val="26"/>
        </w:rPr>
        <w:t xml:space="preserve">A </w:t>
      </w:r>
      <w:r w:rsidR="00A018E5" w:rsidRPr="00573761">
        <w:rPr>
          <w:sz w:val="26"/>
          <w:szCs w:val="26"/>
        </w:rPr>
        <w:t xml:space="preserve">with the Legislative Reference Bureau for publication in the </w:t>
      </w:r>
      <w:r w:rsidR="00A018E5" w:rsidRPr="00573761">
        <w:rPr>
          <w:i/>
          <w:sz w:val="26"/>
          <w:szCs w:val="26"/>
        </w:rPr>
        <w:t>Pennsylvania Bulletin</w:t>
      </w:r>
      <w:r w:rsidR="00A018E5" w:rsidRPr="00573761">
        <w:rPr>
          <w:sz w:val="26"/>
          <w:szCs w:val="26"/>
        </w:rPr>
        <w:t>.</w:t>
      </w:r>
    </w:p>
    <w:p w14:paraId="55CF21E7" w14:textId="111A8EBE" w:rsidR="00AD33C8" w:rsidRPr="00573761" w:rsidRDefault="00AD33C8" w:rsidP="00775B9D">
      <w:pPr>
        <w:spacing w:line="360" w:lineRule="auto"/>
        <w:ind w:firstLine="720"/>
        <w:rPr>
          <w:sz w:val="26"/>
          <w:szCs w:val="26"/>
        </w:rPr>
      </w:pPr>
    </w:p>
    <w:p w14:paraId="2C34204A" w14:textId="35976703" w:rsidR="00AD33C8" w:rsidRPr="00573761" w:rsidRDefault="00AD33C8" w:rsidP="00AD33C8">
      <w:pPr>
        <w:spacing w:line="360" w:lineRule="auto"/>
        <w:ind w:firstLine="720"/>
        <w:rPr>
          <w:sz w:val="26"/>
          <w:szCs w:val="26"/>
        </w:rPr>
      </w:pPr>
      <w:r w:rsidRPr="00573761">
        <w:rPr>
          <w:sz w:val="26"/>
          <w:szCs w:val="26"/>
        </w:rPr>
        <w:t>4.</w:t>
      </w:r>
      <w:r w:rsidRPr="00573761">
        <w:rPr>
          <w:sz w:val="26"/>
          <w:szCs w:val="26"/>
        </w:rPr>
        <w:tab/>
        <w:t xml:space="preserve">That the </w:t>
      </w:r>
      <w:r w:rsidR="00EE50FB" w:rsidRPr="00573761">
        <w:rPr>
          <w:sz w:val="26"/>
          <w:szCs w:val="26"/>
        </w:rPr>
        <w:t xml:space="preserve">Final Policy Statement </w:t>
      </w:r>
      <w:r w:rsidRPr="00573761">
        <w:rPr>
          <w:sz w:val="26"/>
          <w:szCs w:val="26"/>
        </w:rPr>
        <w:t xml:space="preserve">shall become effective upon publication in the </w:t>
      </w:r>
      <w:r w:rsidRPr="00573761">
        <w:rPr>
          <w:i/>
          <w:sz w:val="26"/>
          <w:szCs w:val="26"/>
        </w:rPr>
        <w:t>Pennsylvania Bulletin</w:t>
      </w:r>
      <w:r w:rsidRPr="00573761">
        <w:rPr>
          <w:sz w:val="26"/>
          <w:szCs w:val="26"/>
        </w:rPr>
        <w:t>.</w:t>
      </w:r>
    </w:p>
    <w:p w14:paraId="42E2CE43" w14:textId="549E735A" w:rsidR="00AD33C8" w:rsidRPr="00573761" w:rsidRDefault="00AD33C8" w:rsidP="00775B9D">
      <w:pPr>
        <w:spacing w:line="360" w:lineRule="auto"/>
        <w:ind w:firstLine="720"/>
        <w:rPr>
          <w:sz w:val="26"/>
          <w:szCs w:val="26"/>
        </w:rPr>
      </w:pPr>
    </w:p>
    <w:p w14:paraId="18FFA2D3" w14:textId="77777777" w:rsidR="00AD33C8" w:rsidRPr="00573761" w:rsidRDefault="00AD33C8" w:rsidP="00AD33C8">
      <w:pPr>
        <w:spacing w:line="360" w:lineRule="auto"/>
        <w:ind w:firstLine="720"/>
        <w:rPr>
          <w:sz w:val="26"/>
          <w:szCs w:val="26"/>
        </w:rPr>
      </w:pPr>
      <w:r w:rsidRPr="00573761">
        <w:rPr>
          <w:sz w:val="26"/>
          <w:szCs w:val="26"/>
        </w:rPr>
        <w:lastRenderedPageBreak/>
        <w:t>5.</w:t>
      </w:r>
      <w:r w:rsidRPr="00573761">
        <w:rPr>
          <w:sz w:val="26"/>
          <w:szCs w:val="26"/>
        </w:rPr>
        <w:tab/>
        <w:t>That a copy of this Order, together with Annex A, be served on all jurisdictional telecommunications public utilities and all parties that filed comments under this docket.  The Order and Annex A shall also be posted on the Commission’s website.</w:t>
      </w:r>
    </w:p>
    <w:p w14:paraId="5DBC1837" w14:textId="6E06CDC3" w:rsidR="00AD33C8" w:rsidRPr="00573761" w:rsidRDefault="00AD33C8" w:rsidP="00775B9D">
      <w:pPr>
        <w:spacing w:line="360" w:lineRule="auto"/>
        <w:ind w:firstLine="720"/>
        <w:rPr>
          <w:sz w:val="26"/>
          <w:szCs w:val="26"/>
        </w:rPr>
      </w:pPr>
    </w:p>
    <w:p w14:paraId="16109739" w14:textId="505D46CB" w:rsidR="00AD33C8" w:rsidRPr="00573761" w:rsidRDefault="00AD33C8" w:rsidP="00775B9D">
      <w:pPr>
        <w:spacing w:line="360" w:lineRule="auto"/>
        <w:ind w:firstLine="720"/>
        <w:rPr>
          <w:sz w:val="26"/>
          <w:szCs w:val="26"/>
        </w:rPr>
      </w:pPr>
      <w:r w:rsidRPr="00573761">
        <w:rPr>
          <w:sz w:val="26"/>
          <w:szCs w:val="26"/>
        </w:rPr>
        <w:t>6.</w:t>
      </w:r>
      <w:r w:rsidRPr="00573761">
        <w:rPr>
          <w:sz w:val="26"/>
          <w:szCs w:val="26"/>
        </w:rPr>
        <w:tab/>
        <w:t xml:space="preserve">That the contact person for this matter is David E. Screven, Assistant Counsel, Law Bureau, (717) 787-2126, </w:t>
      </w:r>
      <w:hyperlink r:id="rId8" w:history="1">
        <w:r w:rsidRPr="00573761">
          <w:rPr>
            <w:rStyle w:val="Hyperlink"/>
            <w:sz w:val="26"/>
            <w:szCs w:val="26"/>
          </w:rPr>
          <w:t>dscreven@pa.gov</w:t>
        </w:r>
      </w:hyperlink>
      <w:r w:rsidRPr="00573761">
        <w:rPr>
          <w:sz w:val="26"/>
          <w:szCs w:val="26"/>
        </w:rPr>
        <w:t>.</w:t>
      </w:r>
    </w:p>
    <w:p w14:paraId="01B6A211" w14:textId="78CF4296" w:rsidR="00BF587F" w:rsidRPr="00573761" w:rsidRDefault="00BF587F" w:rsidP="00775B9D">
      <w:pPr>
        <w:spacing w:line="360" w:lineRule="auto"/>
        <w:rPr>
          <w:sz w:val="26"/>
          <w:szCs w:val="26"/>
        </w:rPr>
      </w:pPr>
    </w:p>
    <w:p w14:paraId="2C237C8C" w14:textId="7F2B79B4" w:rsidR="007E1866" w:rsidRPr="00573761" w:rsidRDefault="001142B8" w:rsidP="00737933">
      <w:pPr>
        <w:ind w:left="5040"/>
        <w:rPr>
          <w:sz w:val="26"/>
          <w:szCs w:val="26"/>
        </w:rPr>
      </w:pPr>
      <w:r w:rsidRPr="009F01BA">
        <w:rPr>
          <w:b/>
          <w:noProof/>
          <w:sz w:val="20"/>
          <w:szCs w:val="20"/>
        </w:rPr>
        <w:drawing>
          <wp:anchor distT="0" distB="0" distL="114300" distR="114300" simplePos="0" relativeHeight="251659264" behindDoc="1" locked="0" layoutInCell="1" allowOverlap="1" wp14:anchorId="47DF9D27" wp14:editId="6FFC8FBE">
            <wp:simplePos x="0" y="0"/>
            <wp:positionH relativeFrom="column">
              <wp:posOffset>2895600</wp:posOffset>
            </wp:positionH>
            <wp:positionV relativeFrom="paragraph">
              <wp:posOffset>93345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E1866" w:rsidRPr="00573761">
        <w:rPr>
          <w:b/>
          <w:sz w:val="26"/>
          <w:szCs w:val="26"/>
        </w:rPr>
        <w:t>BY THE COMMISSION</w:t>
      </w:r>
      <w:r w:rsidR="007E1866" w:rsidRPr="00573761">
        <w:rPr>
          <w:sz w:val="26"/>
          <w:szCs w:val="26"/>
        </w:rPr>
        <w:t>,</w:t>
      </w:r>
    </w:p>
    <w:p w14:paraId="686DC712" w14:textId="2B2F5198" w:rsidR="007E1866" w:rsidRPr="00573761" w:rsidRDefault="007E1866" w:rsidP="00737933">
      <w:pPr>
        <w:jc w:val="center"/>
        <w:rPr>
          <w:sz w:val="26"/>
          <w:szCs w:val="26"/>
        </w:rPr>
      </w:pPr>
    </w:p>
    <w:p w14:paraId="567AF0ED" w14:textId="45EF0F51" w:rsidR="007E1866" w:rsidRPr="00573761" w:rsidRDefault="001142B8" w:rsidP="001142B8">
      <w:pPr>
        <w:tabs>
          <w:tab w:val="left" w:pos="6045"/>
        </w:tabs>
        <w:rPr>
          <w:sz w:val="26"/>
          <w:szCs w:val="26"/>
        </w:rPr>
      </w:pPr>
      <w:r>
        <w:rPr>
          <w:sz w:val="26"/>
          <w:szCs w:val="26"/>
        </w:rPr>
        <w:tab/>
      </w:r>
    </w:p>
    <w:p w14:paraId="4579A9CF" w14:textId="77777777" w:rsidR="005802AD" w:rsidRPr="00573761" w:rsidRDefault="005802AD" w:rsidP="00737933">
      <w:pPr>
        <w:jc w:val="center"/>
        <w:rPr>
          <w:sz w:val="26"/>
          <w:szCs w:val="26"/>
        </w:rPr>
      </w:pPr>
    </w:p>
    <w:p w14:paraId="677451BF" w14:textId="77777777" w:rsidR="007E1866" w:rsidRPr="00573761" w:rsidRDefault="00182F8A" w:rsidP="00737933">
      <w:pPr>
        <w:rPr>
          <w:sz w:val="26"/>
          <w:szCs w:val="26"/>
        </w:rPr>
      </w:pPr>
      <w:r w:rsidRPr="00573761">
        <w:rPr>
          <w:sz w:val="26"/>
          <w:szCs w:val="26"/>
        </w:rPr>
        <w:t xml:space="preserve">                                                         </w:t>
      </w:r>
      <w:r w:rsidR="000E1912" w:rsidRPr="00573761">
        <w:rPr>
          <w:sz w:val="26"/>
          <w:szCs w:val="26"/>
        </w:rPr>
        <w:tab/>
      </w:r>
      <w:r w:rsidR="005802AD" w:rsidRPr="00573761">
        <w:rPr>
          <w:sz w:val="26"/>
          <w:szCs w:val="26"/>
        </w:rPr>
        <w:tab/>
      </w:r>
      <w:r w:rsidR="005566CE" w:rsidRPr="00573761">
        <w:rPr>
          <w:sz w:val="26"/>
          <w:szCs w:val="26"/>
        </w:rPr>
        <w:t>Rosemary Chiavetta</w:t>
      </w:r>
      <w:r w:rsidR="007E1866" w:rsidRPr="00573761">
        <w:rPr>
          <w:sz w:val="26"/>
          <w:szCs w:val="26"/>
        </w:rPr>
        <w:t>,</w:t>
      </w:r>
    </w:p>
    <w:p w14:paraId="74710DA3" w14:textId="77777777" w:rsidR="0018219E" w:rsidRPr="00573761" w:rsidRDefault="00182F8A" w:rsidP="00737933">
      <w:pPr>
        <w:rPr>
          <w:sz w:val="26"/>
          <w:szCs w:val="26"/>
        </w:rPr>
      </w:pPr>
      <w:r w:rsidRPr="00573761">
        <w:rPr>
          <w:sz w:val="26"/>
          <w:szCs w:val="26"/>
        </w:rPr>
        <w:t xml:space="preserve">                                                        </w:t>
      </w:r>
      <w:r w:rsidR="000E1912" w:rsidRPr="00573761">
        <w:rPr>
          <w:sz w:val="26"/>
          <w:szCs w:val="26"/>
        </w:rPr>
        <w:tab/>
      </w:r>
      <w:r w:rsidRPr="00573761">
        <w:rPr>
          <w:sz w:val="26"/>
          <w:szCs w:val="26"/>
        </w:rPr>
        <w:t xml:space="preserve"> </w:t>
      </w:r>
      <w:r w:rsidR="005802AD" w:rsidRPr="00573761">
        <w:rPr>
          <w:sz w:val="26"/>
          <w:szCs w:val="26"/>
        </w:rPr>
        <w:tab/>
      </w:r>
      <w:r w:rsidR="007E1866" w:rsidRPr="00573761">
        <w:rPr>
          <w:sz w:val="26"/>
          <w:szCs w:val="26"/>
        </w:rPr>
        <w:t>Secretary</w:t>
      </w:r>
    </w:p>
    <w:p w14:paraId="1865B4E8" w14:textId="77777777" w:rsidR="00B71F65" w:rsidRPr="00573761" w:rsidRDefault="00217763" w:rsidP="00737933">
      <w:pPr>
        <w:rPr>
          <w:sz w:val="26"/>
          <w:szCs w:val="26"/>
        </w:rPr>
      </w:pPr>
      <w:r w:rsidRPr="00573761">
        <w:rPr>
          <w:sz w:val="26"/>
          <w:szCs w:val="26"/>
        </w:rPr>
        <w:t>(SEAL)</w:t>
      </w:r>
    </w:p>
    <w:p w14:paraId="10D9D564" w14:textId="77777777" w:rsidR="005802AD" w:rsidRPr="00573761" w:rsidRDefault="005802AD" w:rsidP="00737933">
      <w:pPr>
        <w:rPr>
          <w:sz w:val="26"/>
          <w:szCs w:val="26"/>
        </w:rPr>
      </w:pPr>
    </w:p>
    <w:p w14:paraId="0FDC1E25" w14:textId="4ACE2AB4" w:rsidR="007E1866" w:rsidRPr="00573761" w:rsidRDefault="007E1866" w:rsidP="00737933">
      <w:pPr>
        <w:rPr>
          <w:sz w:val="26"/>
          <w:szCs w:val="26"/>
        </w:rPr>
      </w:pPr>
      <w:r w:rsidRPr="00573761">
        <w:rPr>
          <w:sz w:val="26"/>
          <w:szCs w:val="26"/>
        </w:rPr>
        <w:t>ORDER ADOPTED:</w:t>
      </w:r>
      <w:r w:rsidR="00182F8A" w:rsidRPr="00573761">
        <w:rPr>
          <w:sz w:val="26"/>
          <w:szCs w:val="26"/>
        </w:rPr>
        <w:t xml:space="preserve">  </w:t>
      </w:r>
      <w:r w:rsidR="00AD33C8" w:rsidRPr="00573761">
        <w:rPr>
          <w:sz w:val="26"/>
          <w:szCs w:val="26"/>
        </w:rPr>
        <w:t>July 1</w:t>
      </w:r>
      <w:r w:rsidR="00C639FE" w:rsidRPr="00573761">
        <w:rPr>
          <w:sz w:val="26"/>
          <w:szCs w:val="26"/>
        </w:rPr>
        <w:t>1</w:t>
      </w:r>
      <w:r w:rsidR="004B2EEC" w:rsidRPr="00573761">
        <w:rPr>
          <w:sz w:val="26"/>
          <w:szCs w:val="26"/>
        </w:rPr>
        <w:t>, 2019</w:t>
      </w:r>
    </w:p>
    <w:p w14:paraId="0A7D297E" w14:textId="77777777" w:rsidR="005802AD" w:rsidRPr="00573761" w:rsidRDefault="005802AD" w:rsidP="00737933">
      <w:pPr>
        <w:rPr>
          <w:sz w:val="26"/>
          <w:szCs w:val="26"/>
        </w:rPr>
      </w:pPr>
    </w:p>
    <w:p w14:paraId="194D5569" w14:textId="42440147" w:rsidR="00311B64" w:rsidRPr="00573761" w:rsidRDefault="007E1866">
      <w:pPr>
        <w:rPr>
          <w:sz w:val="26"/>
          <w:szCs w:val="26"/>
        </w:rPr>
      </w:pPr>
      <w:r w:rsidRPr="00573761">
        <w:rPr>
          <w:sz w:val="26"/>
          <w:szCs w:val="26"/>
        </w:rPr>
        <w:t>ORDER ENTERED:</w:t>
      </w:r>
      <w:r w:rsidR="005F5E73" w:rsidRPr="00573761">
        <w:rPr>
          <w:sz w:val="26"/>
          <w:szCs w:val="26"/>
        </w:rPr>
        <w:t xml:space="preserve"> </w:t>
      </w:r>
      <w:r w:rsidR="00663FB0" w:rsidRPr="00573761">
        <w:rPr>
          <w:sz w:val="26"/>
          <w:szCs w:val="26"/>
        </w:rPr>
        <w:t xml:space="preserve"> </w:t>
      </w:r>
      <w:r w:rsidR="001142B8">
        <w:rPr>
          <w:sz w:val="26"/>
          <w:szCs w:val="26"/>
        </w:rPr>
        <w:t>July 11, 2019</w:t>
      </w:r>
    </w:p>
    <w:p w14:paraId="5B9369DA" w14:textId="49142979" w:rsidR="00AD261F" w:rsidRPr="00573761" w:rsidRDefault="008B6F5F" w:rsidP="00FF3F3B">
      <w:pPr>
        <w:jc w:val="center"/>
        <w:rPr>
          <w:b/>
          <w:sz w:val="26"/>
          <w:szCs w:val="26"/>
        </w:rPr>
      </w:pPr>
      <w:r w:rsidRPr="00573761">
        <w:rPr>
          <w:b/>
          <w:sz w:val="26"/>
          <w:szCs w:val="26"/>
        </w:rPr>
        <w:br w:type="page"/>
      </w:r>
      <w:r w:rsidR="00AD261F" w:rsidRPr="00573761">
        <w:rPr>
          <w:b/>
          <w:sz w:val="26"/>
          <w:szCs w:val="26"/>
        </w:rPr>
        <w:lastRenderedPageBreak/>
        <w:t>ANNEX</w:t>
      </w:r>
      <w:r w:rsidR="00AD33C8" w:rsidRPr="00573761">
        <w:rPr>
          <w:b/>
          <w:sz w:val="26"/>
          <w:szCs w:val="26"/>
        </w:rPr>
        <w:t xml:space="preserve"> A</w:t>
      </w:r>
    </w:p>
    <w:p w14:paraId="4150C190" w14:textId="77777777" w:rsidR="00AD261F" w:rsidRPr="00573761" w:rsidRDefault="00AD261F" w:rsidP="00FF3F3B">
      <w:pPr>
        <w:jc w:val="center"/>
        <w:rPr>
          <w:b/>
          <w:sz w:val="26"/>
          <w:szCs w:val="26"/>
        </w:rPr>
      </w:pPr>
      <w:r w:rsidRPr="00573761">
        <w:rPr>
          <w:b/>
          <w:sz w:val="26"/>
          <w:szCs w:val="26"/>
        </w:rPr>
        <w:t>TITLE 52. PUBLIC UTILITIES</w:t>
      </w:r>
    </w:p>
    <w:p w14:paraId="521E8455" w14:textId="77777777" w:rsidR="00AD261F" w:rsidRPr="00573761" w:rsidRDefault="00AD261F" w:rsidP="00FF3F3B">
      <w:pPr>
        <w:jc w:val="center"/>
        <w:rPr>
          <w:b/>
          <w:sz w:val="26"/>
          <w:szCs w:val="26"/>
        </w:rPr>
      </w:pPr>
      <w:r w:rsidRPr="00573761">
        <w:rPr>
          <w:b/>
          <w:sz w:val="26"/>
          <w:szCs w:val="26"/>
        </w:rPr>
        <w:t>PART 1. PUBLIC UTILITY COMMISSION</w:t>
      </w:r>
    </w:p>
    <w:p w14:paraId="77C7949B" w14:textId="77777777" w:rsidR="00AD261F" w:rsidRPr="00573761" w:rsidRDefault="00AD261F" w:rsidP="00FF3F3B">
      <w:pPr>
        <w:jc w:val="center"/>
        <w:rPr>
          <w:b/>
          <w:sz w:val="26"/>
          <w:szCs w:val="26"/>
        </w:rPr>
      </w:pPr>
      <w:r w:rsidRPr="00573761">
        <w:rPr>
          <w:b/>
          <w:sz w:val="26"/>
          <w:szCs w:val="26"/>
        </w:rPr>
        <w:t>Subpart B. CARRIERS OF PASSENGERS OR PROPERTY</w:t>
      </w:r>
    </w:p>
    <w:p w14:paraId="3E9CF572" w14:textId="77777777" w:rsidR="00AD261F" w:rsidRPr="00573761" w:rsidRDefault="00AD261F" w:rsidP="00FF3F3B">
      <w:pPr>
        <w:jc w:val="center"/>
        <w:rPr>
          <w:b/>
          <w:sz w:val="26"/>
          <w:szCs w:val="26"/>
        </w:rPr>
      </w:pPr>
      <w:r w:rsidRPr="00573761">
        <w:rPr>
          <w:b/>
          <w:sz w:val="26"/>
          <w:szCs w:val="26"/>
        </w:rPr>
        <w:t>CHAPTER 69: GENERAL ORDERS, POLICY STATEMENT AND GUIDELINES ON FIXED UTILITIES</w:t>
      </w:r>
    </w:p>
    <w:p w14:paraId="2680E910" w14:textId="77777777" w:rsidR="00AD261F" w:rsidRPr="00573761" w:rsidRDefault="00AD261F" w:rsidP="00AD261F">
      <w:pPr>
        <w:jc w:val="center"/>
        <w:rPr>
          <w:b/>
          <w:sz w:val="26"/>
          <w:szCs w:val="26"/>
        </w:rPr>
      </w:pPr>
    </w:p>
    <w:p w14:paraId="3A79CBB3" w14:textId="77777777" w:rsidR="00AD261F" w:rsidRPr="00573761" w:rsidRDefault="00AD261F" w:rsidP="00AD261F">
      <w:pPr>
        <w:jc w:val="center"/>
        <w:rPr>
          <w:b/>
          <w:sz w:val="26"/>
          <w:szCs w:val="26"/>
        </w:rPr>
      </w:pPr>
      <w:r w:rsidRPr="00573761">
        <w:rPr>
          <w:b/>
          <w:sz w:val="26"/>
          <w:szCs w:val="26"/>
        </w:rPr>
        <w:t xml:space="preserve">*  </w:t>
      </w:r>
      <w:r w:rsidRPr="00573761">
        <w:rPr>
          <w:b/>
          <w:sz w:val="26"/>
          <w:szCs w:val="26"/>
        </w:rPr>
        <w:tab/>
        <w:t>*</w:t>
      </w:r>
      <w:r w:rsidRPr="00573761">
        <w:rPr>
          <w:b/>
          <w:sz w:val="26"/>
          <w:szCs w:val="26"/>
        </w:rPr>
        <w:tab/>
        <w:t>*</w:t>
      </w:r>
      <w:r w:rsidRPr="00573761">
        <w:rPr>
          <w:b/>
          <w:sz w:val="26"/>
          <w:szCs w:val="26"/>
        </w:rPr>
        <w:tab/>
        <w:t>*</w:t>
      </w:r>
      <w:r w:rsidRPr="00573761">
        <w:rPr>
          <w:b/>
          <w:sz w:val="26"/>
          <w:szCs w:val="26"/>
        </w:rPr>
        <w:tab/>
        <w:t>*</w:t>
      </w:r>
    </w:p>
    <w:p w14:paraId="6D887767" w14:textId="77777777" w:rsidR="00AD261F" w:rsidRPr="00573761" w:rsidRDefault="00AD261F" w:rsidP="00AD261F">
      <w:pPr>
        <w:rPr>
          <w:b/>
          <w:sz w:val="26"/>
          <w:szCs w:val="26"/>
        </w:rPr>
      </w:pPr>
    </w:p>
    <w:p w14:paraId="2759A168" w14:textId="2AA2901A" w:rsidR="00AD261F" w:rsidRPr="00573761" w:rsidRDefault="00AD261F" w:rsidP="00AD261F">
      <w:pPr>
        <w:pStyle w:val="NoSpacing"/>
        <w:rPr>
          <w:b/>
          <w:sz w:val="26"/>
          <w:szCs w:val="26"/>
          <w:u w:val="single"/>
        </w:rPr>
      </w:pPr>
      <w:r w:rsidRPr="00573761">
        <w:rPr>
          <w:b/>
          <w:sz w:val="26"/>
          <w:szCs w:val="26"/>
          <w:u w:val="single"/>
        </w:rPr>
        <w:t xml:space="preserve">§ 69.3701.  Computation of Section 510 </w:t>
      </w:r>
      <w:r w:rsidRPr="00573761">
        <w:rPr>
          <w:b/>
          <w:sz w:val="26"/>
          <w:szCs w:val="26"/>
        </w:rPr>
        <w:t xml:space="preserve">ANNUAL FISCAL </w:t>
      </w:r>
      <w:r w:rsidRPr="00573761">
        <w:rPr>
          <w:b/>
          <w:sz w:val="26"/>
          <w:szCs w:val="26"/>
          <w:u w:val="single"/>
        </w:rPr>
        <w:t xml:space="preserve">Assessments </w:t>
      </w:r>
      <w:r w:rsidRPr="00573761">
        <w:rPr>
          <w:b/>
          <w:strike/>
          <w:sz w:val="26"/>
          <w:szCs w:val="26"/>
          <w:u w:val="single"/>
        </w:rPr>
        <w:t>for Providers of</w:t>
      </w:r>
      <w:r w:rsidRPr="00573761">
        <w:rPr>
          <w:b/>
          <w:sz w:val="26"/>
          <w:szCs w:val="26"/>
          <w:u w:val="single"/>
        </w:rPr>
        <w:t xml:space="preserve"> </w:t>
      </w:r>
      <w:r w:rsidRPr="00573761">
        <w:rPr>
          <w:b/>
          <w:sz w:val="26"/>
          <w:szCs w:val="26"/>
        </w:rPr>
        <w:t xml:space="preserve">RELATED TO REVENUE FROM </w:t>
      </w:r>
      <w:r w:rsidRPr="00573761">
        <w:rPr>
          <w:b/>
          <w:sz w:val="26"/>
          <w:szCs w:val="26"/>
          <w:u w:val="single"/>
        </w:rPr>
        <w:t xml:space="preserve">Jurisdictionally-Mixed Telecommunications Services </w:t>
      </w:r>
    </w:p>
    <w:p w14:paraId="3491D757" w14:textId="77777777" w:rsidR="00AD261F" w:rsidRPr="00573761" w:rsidRDefault="00AD261F" w:rsidP="00AD261F">
      <w:pPr>
        <w:rPr>
          <w:b/>
          <w:sz w:val="26"/>
          <w:szCs w:val="26"/>
          <w:u w:val="single"/>
        </w:rPr>
      </w:pPr>
    </w:p>
    <w:p w14:paraId="59FF0629" w14:textId="77777777" w:rsidR="00AD261F" w:rsidRPr="00573761" w:rsidRDefault="00AD261F" w:rsidP="00AD261F">
      <w:pPr>
        <w:rPr>
          <w:b/>
          <w:sz w:val="26"/>
          <w:szCs w:val="26"/>
        </w:rPr>
      </w:pPr>
      <w:r w:rsidRPr="00573761">
        <w:rPr>
          <w:b/>
          <w:sz w:val="26"/>
          <w:szCs w:val="26"/>
        </w:rPr>
        <w:t> </w:t>
      </w:r>
      <w:r w:rsidRPr="00573761">
        <w:rPr>
          <w:bCs/>
          <w:sz w:val="26"/>
          <w:szCs w:val="26"/>
        </w:rPr>
        <w:t>(A)</w:t>
      </w:r>
      <w:r w:rsidRPr="00573761">
        <w:rPr>
          <w:b/>
          <w:sz w:val="26"/>
          <w:szCs w:val="26"/>
        </w:rPr>
        <w:t>  </w:t>
      </w:r>
      <w:r w:rsidRPr="00573761">
        <w:rPr>
          <w:bCs/>
          <w:sz w:val="26"/>
          <w:szCs w:val="26"/>
        </w:rPr>
        <w:t>THIS POLICY STATEMENT PROVIDES GUIDANCE TO ALL JURISDICTIONAL TELECOMMUNICATIONS PUBLIC UTILITIES IN COMPLYING WITH THEIR STATUTORY OBLIGATIONS UNDER SECTION 510 OF THE PUBLIC UTILITY CODE, 66 PA.C.S. § 510 (RELATING TO ASSESSMENT FOR REGULATORY EXPENSES UPON PUBLIC UTILITIES).</w:t>
      </w:r>
      <w:r w:rsidRPr="00573761">
        <w:rPr>
          <w:b/>
          <w:sz w:val="26"/>
          <w:szCs w:val="26"/>
        </w:rPr>
        <w:t xml:space="preserve">  </w:t>
      </w:r>
    </w:p>
    <w:p w14:paraId="279C3FC4" w14:textId="77777777" w:rsidR="00AD261F" w:rsidRPr="00573761" w:rsidRDefault="00AD261F" w:rsidP="00AD261F">
      <w:pPr>
        <w:rPr>
          <w:b/>
          <w:sz w:val="26"/>
          <w:szCs w:val="26"/>
          <w:u w:val="single"/>
        </w:rPr>
      </w:pPr>
    </w:p>
    <w:p w14:paraId="3047191F" w14:textId="3A9E57DB" w:rsidR="00AD261F" w:rsidRPr="00573761" w:rsidRDefault="00AD261F" w:rsidP="00AD261F">
      <w:pPr>
        <w:rPr>
          <w:b/>
          <w:sz w:val="26"/>
          <w:szCs w:val="26"/>
          <w:u w:val="single"/>
        </w:rPr>
      </w:pPr>
      <w:r w:rsidRPr="00573761">
        <w:rPr>
          <w:bCs/>
          <w:strike/>
          <w:sz w:val="26"/>
          <w:szCs w:val="26"/>
          <w:u w:val="single"/>
        </w:rPr>
        <w:t>(1)</w:t>
      </w:r>
      <w:r w:rsidRPr="00573761">
        <w:rPr>
          <w:b/>
          <w:sz w:val="26"/>
          <w:szCs w:val="26"/>
        </w:rPr>
        <w:t xml:space="preserve"> </w:t>
      </w:r>
      <w:r w:rsidRPr="00573761">
        <w:rPr>
          <w:bCs/>
          <w:sz w:val="26"/>
          <w:szCs w:val="26"/>
        </w:rPr>
        <w:t>(B)</w:t>
      </w:r>
      <w:r w:rsidRPr="00573761">
        <w:rPr>
          <w:b/>
          <w:sz w:val="26"/>
          <w:szCs w:val="26"/>
        </w:rPr>
        <w:t>  </w:t>
      </w:r>
      <w:r w:rsidRPr="00573761">
        <w:rPr>
          <w:bCs/>
          <w:sz w:val="26"/>
          <w:szCs w:val="26"/>
        </w:rPr>
        <w:t>ALL</w:t>
      </w:r>
      <w:r w:rsidRPr="00573761">
        <w:rPr>
          <w:bCs/>
          <w:strike/>
          <w:sz w:val="26"/>
          <w:szCs w:val="26"/>
          <w:u w:val="single"/>
        </w:rPr>
        <w:t xml:space="preserve"> Telecommunications</w:t>
      </w:r>
      <w:r w:rsidRPr="00573761">
        <w:rPr>
          <w:bCs/>
          <w:sz w:val="26"/>
          <w:szCs w:val="26"/>
          <w:u w:val="single"/>
        </w:rPr>
        <w:t xml:space="preserve"> </w:t>
      </w:r>
      <w:r w:rsidRPr="00573761">
        <w:rPr>
          <w:bCs/>
          <w:sz w:val="26"/>
          <w:szCs w:val="26"/>
        </w:rPr>
        <w:t>TELECOMMUNICATIONS</w:t>
      </w:r>
      <w:r w:rsidRPr="00573761">
        <w:rPr>
          <w:bCs/>
          <w:sz w:val="26"/>
          <w:szCs w:val="26"/>
          <w:u w:val="single"/>
        </w:rPr>
        <w:t xml:space="preserve"> carriers holding Certificates of Public Convenience (CPC) issued pursuant to </w:t>
      </w:r>
      <w:r w:rsidR="00E51A02" w:rsidRPr="00573761">
        <w:rPr>
          <w:bCs/>
          <w:sz w:val="26"/>
          <w:szCs w:val="26"/>
          <w:u w:val="single"/>
        </w:rPr>
        <w:t>CHAPTER 11</w:t>
      </w:r>
      <w:r w:rsidRPr="00573761">
        <w:rPr>
          <w:bCs/>
          <w:sz w:val="26"/>
          <w:szCs w:val="26"/>
          <w:u w:val="single"/>
        </w:rPr>
        <w:t xml:space="preserve"> of the Public Utility Code (Code), 66 Pa.C.S. §§ 110</w:t>
      </w:r>
      <w:r w:rsidR="00E51A02" w:rsidRPr="00573761">
        <w:rPr>
          <w:bCs/>
          <w:sz w:val="26"/>
          <w:szCs w:val="26"/>
          <w:u w:val="single"/>
        </w:rPr>
        <w:t>1</w:t>
      </w:r>
      <w:r w:rsidRPr="00573761">
        <w:rPr>
          <w:bCs/>
          <w:sz w:val="26"/>
          <w:szCs w:val="26"/>
          <w:u w:val="single"/>
        </w:rPr>
        <w:t>—110</w:t>
      </w:r>
      <w:r w:rsidR="00033346" w:rsidRPr="00573761">
        <w:rPr>
          <w:bCs/>
          <w:sz w:val="26"/>
          <w:szCs w:val="26"/>
          <w:u w:val="single"/>
        </w:rPr>
        <w:t>3</w:t>
      </w:r>
      <w:r w:rsidRPr="00573761">
        <w:rPr>
          <w:bCs/>
          <w:sz w:val="26"/>
          <w:szCs w:val="26"/>
        </w:rPr>
        <w:t xml:space="preserve"> (RELATING TO ENUMERATION OF ACTS REQUIRING CERTIFICATE AND PROCEDURE TO OBTAIN CERTIFICATES OF PUBLIC CONVENIENCE)</w:t>
      </w:r>
      <w:r w:rsidRPr="00573761">
        <w:rPr>
          <w:bCs/>
          <w:sz w:val="26"/>
          <w:szCs w:val="26"/>
          <w:u w:val="single"/>
        </w:rPr>
        <w:t xml:space="preserve">, are public utilities subject to the </w:t>
      </w:r>
      <w:r w:rsidRPr="00573761">
        <w:rPr>
          <w:bCs/>
          <w:strike/>
          <w:sz w:val="26"/>
          <w:szCs w:val="26"/>
          <w:u w:val="single"/>
        </w:rPr>
        <w:t xml:space="preserve">Commission’s regulatory, investigative, enforcement, audit and information gathering authority, 66 Pa. C. S. §§ 501, 504, 505, 506, and 516, as well as the </w:t>
      </w:r>
      <w:r w:rsidRPr="00573761">
        <w:rPr>
          <w:bCs/>
          <w:sz w:val="26"/>
          <w:szCs w:val="26"/>
          <w:u w:val="single"/>
        </w:rPr>
        <w:t>Commission’s authority under Section 510 of the Code, 66 Pa.C.S. § 510 to impose</w:t>
      </w:r>
      <w:r w:rsidRPr="00573761">
        <w:rPr>
          <w:bCs/>
          <w:sz w:val="26"/>
          <w:szCs w:val="26"/>
        </w:rPr>
        <w:t xml:space="preserve"> ANNUAL FISCAL </w:t>
      </w:r>
      <w:r w:rsidRPr="00573761">
        <w:rPr>
          <w:bCs/>
          <w:sz w:val="26"/>
          <w:szCs w:val="26"/>
          <w:u w:val="single"/>
        </w:rPr>
        <w:t>assessments upon these carriers to cover their “reasonable share” of the costs of administering the Code.</w:t>
      </w:r>
      <w:r w:rsidRPr="00573761">
        <w:rPr>
          <w:b/>
          <w:sz w:val="26"/>
          <w:szCs w:val="26"/>
          <w:u w:val="single"/>
        </w:rPr>
        <w:t xml:space="preserve">   </w:t>
      </w:r>
    </w:p>
    <w:p w14:paraId="329B88B6" w14:textId="77777777" w:rsidR="00AD261F" w:rsidRPr="00573761" w:rsidRDefault="00AD261F" w:rsidP="00AD261F">
      <w:pPr>
        <w:rPr>
          <w:b/>
          <w:sz w:val="26"/>
          <w:szCs w:val="26"/>
          <w:u w:val="single"/>
        </w:rPr>
      </w:pPr>
    </w:p>
    <w:p w14:paraId="13D88EC7" w14:textId="77777777" w:rsidR="00AD261F" w:rsidRPr="00573761" w:rsidRDefault="00AD261F" w:rsidP="00AD261F">
      <w:pPr>
        <w:rPr>
          <w:b/>
          <w:sz w:val="26"/>
          <w:szCs w:val="26"/>
          <w:u w:val="single"/>
        </w:rPr>
      </w:pPr>
      <w:r w:rsidRPr="00573761">
        <w:rPr>
          <w:bCs/>
          <w:strike/>
          <w:sz w:val="26"/>
          <w:szCs w:val="26"/>
          <w:u w:val="single"/>
        </w:rPr>
        <w:t>(2)</w:t>
      </w:r>
      <w:r w:rsidRPr="00573761">
        <w:rPr>
          <w:b/>
          <w:sz w:val="26"/>
          <w:szCs w:val="26"/>
        </w:rPr>
        <w:t xml:space="preserve"> </w:t>
      </w:r>
      <w:r w:rsidRPr="00573761">
        <w:rPr>
          <w:bCs/>
          <w:sz w:val="26"/>
          <w:szCs w:val="26"/>
        </w:rPr>
        <w:t>(C)</w:t>
      </w:r>
      <w:r w:rsidRPr="00573761">
        <w:rPr>
          <w:b/>
          <w:sz w:val="26"/>
          <w:szCs w:val="26"/>
        </w:rPr>
        <w:t>  </w:t>
      </w:r>
      <w:r w:rsidRPr="00573761">
        <w:rPr>
          <w:bCs/>
          <w:sz w:val="26"/>
          <w:szCs w:val="26"/>
          <w:u w:val="single"/>
        </w:rPr>
        <w:t xml:space="preserve">Section 510(b) of the Code requires every public utility holding a CPC from the Commission to file, on March 31 of each year, a statement, under oath, showing its gross intrastate operating revenues for the preceding calendar year and to pay to the Commission its proportionate share of the amount assessed to each utility group based on its total gross intrastate </w:t>
      </w:r>
      <w:r w:rsidRPr="00573761">
        <w:rPr>
          <w:bCs/>
          <w:sz w:val="26"/>
          <w:szCs w:val="26"/>
        </w:rPr>
        <w:t>OPERATING</w:t>
      </w:r>
      <w:r w:rsidRPr="00573761">
        <w:rPr>
          <w:bCs/>
          <w:sz w:val="26"/>
          <w:szCs w:val="26"/>
          <w:u w:val="single"/>
        </w:rPr>
        <w:t xml:space="preserve"> revenues.</w:t>
      </w:r>
      <w:r w:rsidRPr="00573761">
        <w:rPr>
          <w:b/>
          <w:sz w:val="26"/>
          <w:szCs w:val="26"/>
          <w:u w:val="single"/>
        </w:rPr>
        <w:t xml:space="preserve">       </w:t>
      </w:r>
    </w:p>
    <w:p w14:paraId="75EA27E7" w14:textId="77777777" w:rsidR="00AD261F" w:rsidRPr="00573761" w:rsidRDefault="00AD261F" w:rsidP="00AD261F">
      <w:pPr>
        <w:rPr>
          <w:b/>
          <w:sz w:val="26"/>
          <w:szCs w:val="26"/>
          <w:u w:val="single"/>
        </w:rPr>
      </w:pPr>
    </w:p>
    <w:p w14:paraId="3309D14A" w14:textId="4783C980" w:rsidR="00AD261F" w:rsidRPr="00573761" w:rsidRDefault="00AD261F" w:rsidP="00AD261F">
      <w:pPr>
        <w:rPr>
          <w:b/>
          <w:sz w:val="26"/>
          <w:szCs w:val="26"/>
          <w:u w:val="single"/>
        </w:rPr>
      </w:pPr>
      <w:r w:rsidRPr="00573761">
        <w:rPr>
          <w:bCs/>
          <w:strike/>
          <w:sz w:val="26"/>
          <w:szCs w:val="26"/>
          <w:u w:val="single"/>
        </w:rPr>
        <w:t>(3)</w:t>
      </w:r>
      <w:r w:rsidRPr="00573761">
        <w:rPr>
          <w:b/>
          <w:sz w:val="26"/>
          <w:szCs w:val="26"/>
        </w:rPr>
        <w:t xml:space="preserve">  </w:t>
      </w:r>
      <w:r w:rsidRPr="00573761">
        <w:rPr>
          <w:bCs/>
          <w:sz w:val="26"/>
          <w:szCs w:val="26"/>
        </w:rPr>
        <w:t>(D)</w:t>
      </w:r>
      <w:r w:rsidRPr="00573761">
        <w:rPr>
          <w:b/>
          <w:sz w:val="26"/>
          <w:szCs w:val="26"/>
        </w:rPr>
        <w:t xml:space="preserve"> </w:t>
      </w:r>
      <w:r w:rsidRPr="00573761">
        <w:rPr>
          <w:bCs/>
          <w:sz w:val="26"/>
          <w:szCs w:val="26"/>
        </w:rPr>
        <w:t>ALL JURISDICTIONAL</w:t>
      </w:r>
      <w:r w:rsidRPr="00573761">
        <w:rPr>
          <w:bCs/>
          <w:sz w:val="26"/>
          <w:szCs w:val="26"/>
          <w:u w:val="single"/>
        </w:rPr>
        <w:t xml:space="preserve"> telecommunications public utilities holding Commission-issued CPCs are obligated by Section 510 of the Code to file </w:t>
      </w:r>
      <w:r w:rsidRPr="00573761">
        <w:rPr>
          <w:bCs/>
          <w:sz w:val="26"/>
          <w:szCs w:val="26"/>
        </w:rPr>
        <w:t>ANNUAL FISCAL</w:t>
      </w:r>
      <w:r w:rsidRPr="00573761">
        <w:rPr>
          <w:bCs/>
          <w:sz w:val="26"/>
          <w:szCs w:val="26"/>
          <w:u w:val="single"/>
        </w:rPr>
        <w:t xml:space="preserve"> assessment reports with the Commission </w:t>
      </w:r>
      <w:r w:rsidR="00E51A02" w:rsidRPr="00573761">
        <w:rPr>
          <w:bCs/>
          <w:sz w:val="26"/>
          <w:szCs w:val="26"/>
          <w:u w:val="single"/>
        </w:rPr>
        <w:t xml:space="preserve">REPORTING </w:t>
      </w:r>
      <w:r w:rsidRPr="00573761">
        <w:rPr>
          <w:bCs/>
          <w:sz w:val="26"/>
          <w:szCs w:val="26"/>
          <w:u w:val="single"/>
        </w:rPr>
        <w:t xml:space="preserve">their gross intrastate operating revenues and to pay to the Commission their proportionate share of the amount assessed to the telecommunications utility group based on each carrier’s total gross intrastate </w:t>
      </w:r>
      <w:r w:rsidRPr="00573761">
        <w:rPr>
          <w:bCs/>
          <w:sz w:val="26"/>
          <w:szCs w:val="26"/>
        </w:rPr>
        <w:t>OPERATING</w:t>
      </w:r>
      <w:r w:rsidRPr="00573761">
        <w:rPr>
          <w:bCs/>
          <w:sz w:val="26"/>
          <w:szCs w:val="26"/>
          <w:u w:val="single"/>
        </w:rPr>
        <w:t xml:space="preserve"> revenues.</w:t>
      </w:r>
      <w:r w:rsidRPr="00573761">
        <w:rPr>
          <w:b/>
          <w:sz w:val="26"/>
          <w:szCs w:val="26"/>
          <w:u w:val="single"/>
        </w:rPr>
        <w:t xml:space="preserve">       </w:t>
      </w:r>
    </w:p>
    <w:p w14:paraId="1AAECDD7" w14:textId="77777777" w:rsidR="00AD261F" w:rsidRPr="00573761" w:rsidRDefault="00AD261F" w:rsidP="00AD261F">
      <w:pPr>
        <w:rPr>
          <w:b/>
          <w:sz w:val="26"/>
          <w:szCs w:val="26"/>
          <w:u w:val="single"/>
        </w:rPr>
      </w:pPr>
    </w:p>
    <w:p w14:paraId="3F1B6F4C" w14:textId="5D09FAA5" w:rsidR="00AD261F" w:rsidRPr="00573761" w:rsidRDefault="00AD261F" w:rsidP="00AD261F">
      <w:pPr>
        <w:rPr>
          <w:b/>
          <w:sz w:val="26"/>
          <w:szCs w:val="26"/>
          <w:u w:val="single"/>
        </w:rPr>
      </w:pPr>
      <w:r w:rsidRPr="00573761">
        <w:rPr>
          <w:bCs/>
          <w:strike/>
          <w:sz w:val="26"/>
          <w:szCs w:val="26"/>
          <w:u w:val="single"/>
        </w:rPr>
        <w:lastRenderedPageBreak/>
        <w:t>(4)</w:t>
      </w:r>
      <w:r w:rsidRPr="00573761">
        <w:rPr>
          <w:b/>
          <w:sz w:val="26"/>
          <w:szCs w:val="26"/>
        </w:rPr>
        <w:t xml:space="preserve"> </w:t>
      </w:r>
      <w:r w:rsidRPr="00573761">
        <w:rPr>
          <w:bCs/>
          <w:sz w:val="26"/>
          <w:szCs w:val="26"/>
        </w:rPr>
        <w:t>(E)</w:t>
      </w:r>
      <w:r w:rsidRPr="00573761">
        <w:rPr>
          <w:b/>
          <w:sz w:val="26"/>
          <w:szCs w:val="26"/>
        </w:rPr>
        <w:t xml:space="preserve"> </w:t>
      </w:r>
      <w:r w:rsidRPr="00573761">
        <w:rPr>
          <w:bCs/>
          <w:sz w:val="26"/>
          <w:szCs w:val="26"/>
        </w:rPr>
        <w:t xml:space="preserve">ALL JURISDICTIONAL </w:t>
      </w:r>
      <w:r w:rsidRPr="00573761">
        <w:rPr>
          <w:bCs/>
          <w:sz w:val="26"/>
          <w:szCs w:val="26"/>
          <w:u w:val="single"/>
        </w:rPr>
        <w:t xml:space="preserve">telecommunications public utilities holding Commission-issued CPCs in Pennsylvania provide </w:t>
      </w:r>
      <w:r w:rsidRPr="00573761">
        <w:rPr>
          <w:bCs/>
          <w:strike/>
          <w:sz w:val="26"/>
          <w:szCs w:val="26"/>
          <w:u w:val="single"/>
        </w:rPr>
        <w:t>jurisdictionally-mixed</w:t>
      </w:r>
      <w:r w:rsidRPr="00573761">
        <w:rPr>
          <w:bCs/>
          <w:sz w:val="26"/>
          <w:szCs w:val="26"/>
          <w:u w:val="single"/>
        </w:rPr>
        <w:t xml:space="preserve"> </w:t>
      </w:r>
      <w:r w:rsidRPr="00573761">
        <w:rPr>
          <w:bCs/>
          <w:sz w:val="26"/>
          <w:szCs w:val="26"/>
        </w:rPr>
        <w:t>JURISDICTIONALLY MIXED-USE</w:t>
      </w:r>
      <w:r w:rsidRPr="00573761">
        <w:rPr>
          <w:bCs/>
          <w:sz w:val="26"/>
          <w:szCs w:val="26"/>
          <w:u w:val="single"/>
        </w:rPr>
        <w:t xml:space="preserve"> telecommunications services.  </w:t>
      </w:r>
      <w:r w:rsidRPr="00573761">
        <w:rPr>
          <w:bCs/>
          <w:strike/>
          <w:sz w:val="26"/>
          <w:szCs w:val="26"/>
          <w:u w:val="single"/>
        </w:rPr>
        <w:t>Under current Pennsylvania law, these jurisdictionally-mixed services include services provided by operators of Distributed Antenna Systems (DAS).</w:t>
      </w:r>
    </w:p>
    <w:p w14:paraId="1A89874F" w14:textId="77777777" w:rsidR="00AD261F" w:rsidRPr="00573761" w:rsidRDefault="00AD261F" w:rsidP="00AD261F">
      <w:pPr>
        <w:rPr>
          <w:b/>
          <w:sz w:val="26"/>
          <w:szCs w:val="26"/>
          <w:u w:val="single"/>
        </w:rPr>
      </w:pPr>
    </w:p>
    <w:p w14:paraId="2918AD3B" w14:textId="557C3CBB" w:rsidR="00AD261F" w:rsidRPr="00573761" w:rsidRDefault="00AD261F" w:rsidP="00AD261F">
      <w:pPr>
        <w:rPr>
          <w:b/>
          <w:sz w:val="26"/>
          <w:szCs w:val="26"/>
          <w:u w:val="single"/>
        </w:rPr>
      </w:pPr>
      <w:r w:rsidRPr="00573761">
        <w:rPr>
          <w:bCs/>
          <w:strike/>
          <w:sz w:val="26"/>
          <w:szCs w:val="26"/>
          <w:u w:val="single"/>
        </w:rPr>
        <w:t>(5)</w:t>
      </w:r>
      <w:r w:rsidRPr="00573761">
        <w:rPr>
          <w:b/>
          <w:sz w:val="26"/>
          <w:szCs w:val="26"/>
        </w:rPr>
        <w:t xml:space="preserve"> </w:t>
      </w:r>
      <w:r w:rsidRPr="00573761">
        <w:rPr>
          <w:bCs/>
          <w:sz w:val="26"/>
          <w:szCs w:val="26"/>
        </w:rPr>
        <w:t xml:space="preserve">(F) </w:t>
      </w:r>
      <w:r w:rsidR="00E51A02" w:rsidRPr="00573761">
        <w:rPr>
          <w:bCs/>
          <w:sz w:val="26"/>
          <w:szCs w:val="26"/>
          <w:u w:val="single"/>
        </w:rPr>
        <w:t xml:space="preserve">SOME </w:t>
      </w:r>
      <w:r w:rsidRPr="00573761">
        <w:rPr>
          <w:bCs/>
          <w:sz w:val="26"/>
          <w:szCs w:val="26"/>
        </w:rPr>
        <w:t>JURISDICTIONAL</w:t>
      </w:r>
      <w:r w:rsidRPr="00573761">
        <w:rPr>
          <w:bCs/>
          <w:sz w:val="26"/>
          <w:szCs w:val="26"/>
          <w:u w:val="single"/>
        </w:rPr>
        <w:t xml:space="preserve"> telecommunications public utilities in Pennsylvania </w:t>
      </w:r>
      <w:r w:rsidRPr="00573761">
        <w:rPr>
          <w:bCs/>
          <w:strike/>
          <w:sz w:val="26"/>
          <w:szCs w:val="26"/>
          <w:u w:val="single"/>
        </w:rPr>
        <w:t>who are providing</w:t>
      </w:r>
      <w:r w:rsidRPr="00573761">
        <w:rPr>
          <w:bCs/>
          <w:sz w:val="26"/>
          <w:szCs w:val="26"/>
          <w:u w:val="single"/>
        </w:rPr>
        <w:t xml:space="preserve"> </w:t>
      </w:r>
      <w:r w:rsidRPr="00573761">
        <w:rPr>
          <w:bCs/>
          <w:sz w:val="26"/>
          <w:szCs w:val="26"/>
        </w:rPr>
        <w:t>THAT PROVIDE</w:t>
      </w:r>
      <w:r w:rsidRPr="00573761">
        <w:rPr>
          <w:bCs/>
          <w:strike/>
          <w:sz w:val="26"/>
          <w:szCs w:val="26"/>
          <w:u w:val="single"/>
        </w:rPr>
        <w:t>jurisdictionally-mixed</w:t>
      </w:r>
      <w:r w:rsidRPr="00573761">
        <w:rPr>
          <w:bCs/>
          <w:sz w:val="26"/>
          <w:szCs w:val="26"/>
          <w:u w:val="single"/>
        </w:rPr>
        <w:t xml:space="preserve"> </w:t>
      </w:r>
      <w:r w:rsidRPr="00573761">
        <w:rPr>
          <w:bCs/>
          <w:sz w:val="26"/>
          <w:szCs w:val="26"/>
        </w:rPr>
        <w:t>JURISDICTIONALLY MIXED-USE</w:t>
      </w:r>
      <w:r w:rsidRPr="00573761">
        <w:rPr>
          <w:bCs/>
          <w:sz w:val="26"/>
          <w:szCs w:val="26"/>
          <w:u w:val="single"/>
        </w:rPr>
        <w:t xml:space="preserve"> telecommunications services</w:t>
      </w:r>
      <w:r w:rsidRPr="00573761">
        <w:rPr>
          <w:bCs/>
          <w:strike/>
          <w:sz w:val="26"/>
          <w:szCs w:val="26"/>
          <w:u w:val="single"/>
        </w:rPr>
        <w:t>, including some DAS operators</w:t>
      </w:r>
      <w:r w:rsidRPr="00573761">
        <w:rPr>
          <w:bCs/>
          <w:sz w:val="26"/>
          <w:szCs w:val="26"/>
          <w:u w:val="single"/>
        </w:rPr>
        <w:t xml:space="preserve"> have reported zero gross intrastate </w:t>
      </w:r>
      <w:r w:rsidRPr="00573761">
        <w:rPr>
          <w:bCs/>
          <w:sz w:val="26"/>
          <w:szCs w:val="26"/>
        </w:rPr>
        <w:t>OPERATING</w:t>
      </w:r>
      <w:r w:rsidRPr="00573761">
        <w:rPr>
          <w:bCs/>
          <w:sz w:val="26"/>
          <w:szCs w:val="26"/>
          <w:u w:val="single"/>
        </w:rPr>
        <w:t xml:space="preserve"> revenues to the Commission for </w:t>
      </w:r>
      <w:r w:rsidRPr="00573761">
        <w:rPr>
          <w:bCs/>
          <w:strike/>
          <w:sz w:val="26"/>
          <w:szCs w:val="26"/>
          <w:u w:val="single"/>
        </w:rPr>
        <w:t>regulatory assessment purposes</w:t>
      </w:r>
      <w:r w:rsidRPr="00573761">
        <w:rPr>
          <w:bCs/>
          <w:sz w:val="26"/>
          <w:szCs w:val="26"/>
          <w:u w:val="single"/>
        </w:rPr>
        <w:t xml:space="preserve"> </w:t>
      </w:r>
      <w:r w:rsidRPr="00573761">
        <w:rPr>
          <w:bCs/>
          <w:sz w:val="26"/>
          <w:szCs w:val="26"/>
        </w:rPr>
        <w:t xml:space="preserve">SECTION 510 ANNUAL FISCAL ASSESSMENT PURPOSES FOR THEIR JURISDICTIONALLY MIXED-USE </w:t>
      </w:r>
      <w:r w:rsidR="00E51A02" w:rsidRPr="00573761">
        <w:rPr>
          <w:bCs/>
          <w:sz w:val="26"/>
          <w:szCs w:val="26"/>
        </w:rPr>
        <w:t>SERVICES</w:t>
      </w:r>
      <w:r w:rsidRPr="00573761">
        <w:rPr>
          <w:bCs/>
          <w:sz w:val="26"/>
          <w:szCs w:val="26"/>
          <w:u w:val="single"/>
        </w:rPr>
        <w:t xml:space="preserve">.  </w:t>
      </w:r>
      <w:r w:rsidRPr="00573761">
        <w:rPr>
          <w:bCs/>
          <w:strike/>
          <w:sz w:val="26"/>
          <w:szCs w:val="26"/>
          <w:u w:val="single"/>
        </w:rPr>
        <w:t>As their legal basis, a majority of the zero reporters refer to the ten percent contamination rule of the Federal Communications Commission (FCC) to justify reporting zero gross intrastate revenues to the Commission.  Under this rule, which is an administrative jurisdictional cost allocation rule, the cost of a mixed-use line is directly assigned to the interstate jurisdiction only if the line carries interstate traffic in a proportion greater than ten percent.</w:t>
      </w:r>
    </w:p>
    <w:p w14:paraId="32BA6782" w14:textId="77777777" w:rsidR="00AD261F" w:rsidRPr="00573761" w:rsidRDefault="00AD261F" w:rsidP="00AD261F">
      <w:pPr>
        <w:rPr>
          <w:b/>
          <w:sz w:val="26"/>
          <w:szCs w:val="26"/>
          <w:u w:val="single"/>
        </w:rPr>
      </w:pPr>
    </w:p>
    <w:p w14:paraId="3421AD1C" w14:textId="77777777" w:rsidR="00AD261F" w:rsidRPr="00573761" w:rsidRDefault="00AD261F" w:rsidP="00AD261F">
      <w:pPr>
        <w:rPr>
          <w:bCs/>
          <w:strike/>
          <w:sz w:val="26"/>
          <w:szCs w:val="26"/>
          <w:u w:val="single"/>
        </w:rPr>
      </w:pPr>
      <w:r w:rsidRPr="00573761">
        <w:rPr>
          <w:bCs/>
          <w:strike/>
          <w:sz w:val="26"/>
          <w:szCs w:val="26"/>
          <w:u w:val="single"/>
        </w:rPr>
        <w:t xml:space="preserve">    (6)  Other telecommunications public utilities in Pennsylvania who report gross intrastate revenues to the Commission may not be reporting gross intrastate revenues from providing special access or other similar jurisdictionally-mixed telecommunications services.    </w:t>
      </w:r>
    </w:p>
    <w:p w14:paraId="0AFADE92" w14:textId="77777777" w:rsidR="00AD261F" w:rsidRPr="00573761" w:rsidRDefault="00AD261F" w:rsidP="00AD261F">
      <w:pPr>
        <w:rPr>
          <w:bCs/>
          <w:sz w:val="26"/>
          <w:szCs w:val="26"/>
          <w:u w:val="single"/>
        </w:rPr>
      </w:pPr>
    </w:p>
    <w:p w14:paraId="553940E2" w14:textId="77777777" w:rsidR="00AD261F" w:rsidRPr="00573761" w:rsidRDefault="00AD261F" w:rsidP="00AD261F">
      <w:pPr>
        <w:rPr>
          <w:bCs/>
          <w:sz w:val="26"/>
          <w:szCs w:val="26"/>
        </w:rPr>
      </w:pPr>
      <w:r w:rsidRPr="00573761">
        <w:rPr>
          <w:bCs/>
          <w:strike/>
          <w:sz w:val="26"/>
          <w:szCs w:val="26"/>
          <w:u w:val="single"/>
        </w:rPr>
        <w:t xml:space="preserve">    (7)  Any CAP or other telecommunications public utility holding a Commission-issued CPC operating in Pennsylvania and providing special access or other similar jurisdictionally-mixed telecommunications services is obligated to submit its </w:t>
      </w:r>
      <w:r w:rsidRPr="00573761">
        <w:rPr>
          <w:bCs/>
          <w:i/>
          <w:strike/>
          <w:sz w:val="26"/>
          <w:szCs w:val="26"/>
          <w:u w:val="single"/>
        </w:rPr>
        <w:t>de facto</w:t>
      </w:r>
      <w:r w:rsidRPr="00573761">
        <w:rPr>
          <w:bCs/>
          <w:strike/>
          <w:sz w:val="26"/>
          <w:szCs w:val="26"/>
          <w:u w:val="single"/>
        </w:rPr>
        <w:t xml:space="preserve"> gross intrastate revenues from providing these services to the Commission’s Fiscal Office, along with all supporting information (such as traffic studies, tax returns, jurisdictional allocation formulas and factors, books of account, reports, etc.)</w:t>
      </w:r>
      <w:r w:rsidRPr="00573761">
        <w:rPr>
          <w:bCs/>
          <w:strike/>
          <w:sz w:val="26"/>
          <w:szCs w:val="26"/>
        </w:rPr>
        <w:t xml:space="preserve"> </w:t>
      </w:r>
      <w:r w:rsidRPr="00573761">
        <w:rPr>
          <w:bCs/>
          <w:strike/>
          <w:sz w:val="26"/>
          <w:szCs w:val="26"/>
          <w:u w:val="single"/>
        </w:rPr>
        <w:t xml:space="preserve">on which the carrier bases its revenue determination, so that the Fiscal Office can ascertain the carrier’s </w:t>
      </w:r>
      <w:r w:rsidRPr="00573761">
        <w:rPr>
          <w:bCs/>
          <w:i/>
          <w:strike/>
          <w:sz w:val="26"/>
          <w:szCs w:val="26"/>
          <w:u w:val="single"/>
        </w:rPr>
        <w:t>de facto</w:t>
      </w:r>
      <w:r w:rsidRPr="00573761">
        <w:rPr>
          <w:bCs/>
          <w:strike/>
          <w:sz w:val="26"/>
          <w:szCs w:val="26"/>
          <w:u w:val="single"/>
        </w:rPr>
        <w:t xml:space="preserve"> gross intrastate operating revenues and compute an accurate assessment in accordance with the metrics and requirements of Section 510 of the Code.</w:t>
      </w:r>
      <w:r w:rsidRPr="00573761">
        <w:rPr>
          <w:bCs/>
          <w:sz w:val="26"/>
          <w:szCs w:val="26"/>
        </w:rPr>
        <w:t xml:space="preserve">  </w:t>
      </w:r>
    </w:p>
    <w:p w14:paraId="107B00A3" w14:textId="77777777" w:rsidR="00AD261F" w:rsidRPr="00573761" w:rsidRDefault="00AD261F" w:rsidP="00AD261F">
      <w:pPr>
        <w:rPr>
          <w:bCs/>
          <w:sz w:val="26"/>
          <w:szCs w:val="26"/>
        </w:rPr>
      </w:pPr>
    </w:p>
    <w:p w14:paraId="59D41B38" w14:textId="1A32B91D" w:rsidR="00AD261F" w:rsidRPr="00573761" w:rsidRDefault="00AD261F" w:rsidP="00AD261F">
      <w:pPr>
        <w:rPr>
          <w:bCs/>
          <w:strike/>
          <w:sz w:val="26"/>
          <w:szCs w:val="26"/>
          <w:u w:val="single"/>
        </w:rPr>
      </w:pPr>
      <w:r w:rsidRPr="00573761">
        <w:rPr>
          <w:bCs/>
          <w:sz w:val="26"/>
          <w:szCs w:val="26"/>
        </w:rPr>
        <w:t xml:space="preserve"> (G)  AS THEIR LEGAL BASIS FOR REPORTING ZERO GROSS INTRASTATE OPERATING REVENUES RELATED TO THEIR JURISDICTIONALLY MIXED-USE </w:t>
      </w:r>
      <w:r w:rsidR="00E51A02" w:rsidRPr="00573761">
        <w:rPr>
          <w:bCs/>
          <w:sz w:val="26"/>
          <w:szCs w:val="26"/>
        </w:rPr>
        <w:t>SERVICES</w:t>
      </w:r>
      <w:r w:rsidRPr="00573761">
        <w:rPr>
          <w:bCs/>
          <w:sz w:val="26"/>
          <w:szCs w:val="26"/>
        </w:rPr>
        <w:t>, A MAJORITY HAVE REFERRED TO THE FEDERAL COMMUNICATIONS COMMISSION’S TEN PERCENT CONTAMINATION RULE TO JUSTIFY REPORTING ZERO GROSS INTRASTATE OPERATING REVENUES TO THE COMMISSION.</w:t>
      </w:r>
      <w:r w:rsidRPr="00573761">
        <w:rPr>
          <w:bCs/>
          <w:strike/>
          <w:sz w:val="26"/>
          <w:szCs w:val="26"/>
          <w:u w:val="single"/>
        </w:rPr>
        <w:t xml:space="preserve">    </w:t>
      </w:r>
    </w:p>
    <w:p w14:paraId="3925216A" w14:textId="77777777" w:rsidR="00AD261F" w:rsidRPr="00573761" w:rsidRDefault="00AD261F" w:rsidP="00AD261F">
      <w:pPr>
        <w:rPr>
          <w:b/>
          <w:sz w:val="26"/>
          <w:szCs w:val="26"/>
          <w:u w:val="single"/>
        </w:rPr>
      </w:pPr>
    </w:p>
    <w:p w14:paraId="607FB2D4" w14:textId="77777777" w:rsidR="00AD261F" w:rsidRPr="00573761" w:rsidRDefault="00AD261F" w:rsidP="00AD261F">
      <w:pPr>
        <w:rPr>
          <w:bCs/>
          <w:sz w:val="26"/>
          <w:szCs w:val="26"/>
        </w:rPr>
      </w:pPr>
      <w:r w:rsidRPr="00573761">
        <w:rPr>
          <w:bCs/>
          <w:iCs/>
          <w:strike/>
          <w:sz w:val="26"/>
          <w:szCs w:val="26"/>
          <w:u w:val="single"/>
        </w:rPr>
        <w:t xml:space="preserve">    (8)</w:t>
      </w:r>
      <w:r w:rsidRPr="00573761">
        <w:rPr>
          <w:bCs/>
          <w:i/>
          <w:strike/>
          <w:sz w:val="26"/>
          <w:szCs w:val="26"/>
          <w:u w:val="single"/>
        </w:rPr>
        <w:t xml:space="preserve">  De facto </w:t>
      </w:r>
      <w:r w:rsidRPr="00573761">
        <w:rPr>
          <w:bCs/>
          <w:strike/>
          <w:sz w:val="26"/>
          <w:szCs w:val="26"/>
          <w:u w:val="single"/>
        </w:rPr>
        <w:t>gross intrastate operating revenues are those operating revenues that are billed, charged or otherwise due for all telecommunications services and traffic between points that are both located within the Commonwealth of Pennsylvania.</w:t>
      </w:r>
      <w:r w:rsidRPr="00573761">
        <w:rPr>
          <w:bCs/>
          <w:sz w:val="26"/>
          <w:szCs w:val="26"/>
          <w:u w:val="single"/>
        </w:rPr>
        <w:t xml:space="preserve"> </w:t>
      </w:r>
      <w:r w:rsidRPr="00573761">
        <w:rPr>
          <w:bCs/>
          <w:sz w:val="26"/>
          <w:szCs w:val="26"/>
        </w:rPr>
        <w:t xml:space="preserve"> </w:t>
      </w:r>
    </w:p>
    <w:p w14:paraId="1DFC4842" w14:textId="77777777" w:rsidR="00AD261F" w:rsidRPr="00573761" w:rsidRDefault="00AD261F" w:rsidP="00AD261F">
      <w:pPr>
        <w:rPr>
          <w:bCs/>
          <w:sz w:val="26"/>
          <w:szCs w:val="26"/>
        </w:rPr>
      </w:pPr>
    </w:p>
    <w:p w14:paraId="726CCC43" w14:textId="169F0A90" w:rsidR="00AD261F" w:rsidRPr="00573761" w:rsidRDefault="00AD261F" w:rsidP="00AD261F">
      <w:pPr>
        <w:rPr>
          <w:bCs/>
          <w:strike/>
          <w:sz w:val="26"/>
          <w:szCs w:val="26"/>
        </w:rPr>
      </w:pPr>
      <w:r w:rsidRPr="00573761">
        <w:rPr>
          <w:bCs/>
          <w:sz w:val="26"/>
          <w:szCs w:val="26"/>
        </w:rPr>
        <w:t xml:space="preserve"> (H)  THE FEDERAL COMMUNICATIONS COMMISSION’S TEN PERCENT CONTAMINATION RULE IS SET FORTH AT 47 CFR 36.154 (RELATING TO EXCHANGE LINE CABLE AND WIRE FACILITIES (C&amp;WF) – CATEGORY 1 – APPORTIONMENT PROCEDURES) AND IS AN ADMINISTRATIVE JURISDICTIONAL </w:t>
      </w:r>
      <w:r w:rsidR="00E51A02" w:rsidRPr="00573761">
        <w:rPr>
          <w:bCs/>
          <w:sz w:val="26"/>
          <w:szCs w:val="26"/>
        </w:rPr>
        <w:t xml:space="preserve">SEPARATIONS </w:t>
      </w:r>
      <w:r w:rsidRPr="00573761">
        <w:rPr>
          <w:bCs/>
          <w:sz w:val="26"/>
          <w:szCs w:val="26"/>
        </w:rPr>
        <w:t xml:space="preserve">RULE THAT STATES THAT THE COSTS AND REVENUES OF A JURISDICTIONALLY MIXED-USE LINE ARE DIRECTLY ASSIGNED TO THE INTERSTATE JURISDICTION IF THE MIXED-USE </w:t>
      </w:r>
      <w:r w:rsidR="00E51A02" w:rsidRPr="00573761">
        <w:rPr>
          <w:bCs/>
          <w:sz w:val="26"/>
          <w:szCs w:val="26"/>
        </w:rPr>
        <w:t xml:space="preserve">SERVICES </w:t>
      </w:r>
      <w:r w:rsidRPr="00573761">
        <w:rPr>
          <w:bCs/>
          <w:sz w:val="26"/>
          <w:szCs w:val="26"/>
        </w:rPr>
        <w:t>CARR</w:t>
      </w:r>
      <w:r w:rsidR="00E51A02" w:rsidRPr="00573761">
        <w:rPr>
          <w:bCs/>
          <w:sz w:val="26"/>
          <w:szCs w:val="26"/>
        </w:rPr>
        <w:t>Y</w:t>
      </w:r>
      <w:r w:rsidRPr="00573761">
        <w:rPr>
          <w:bCs/>
          <w:sz w:val="26"/>
          <w:szCs w:val="26"/>
        </w:rPr>
        <w:t xml:space="preserve"> INTERSTATE TRAFFIC IN A PROPORTION GREATER THAN TEN PERCENT.</w:t>
      </w:r>
    </w:p>
    <w:p w14:paraId="52E520B2" w14:textId="77777777" w:rsidR="00AD261F" w:rsidRPr="00573761" w:rsidRDefault="00AD261F" w:rsidP="00AD261F">
      <w:pPr>
        <w:rPr>
          <w:b/>
          <w:sz w:val="26"/>
          <w:szCs w:val="26"/>
          <w:u w:val="single"/>
        </w:rPr>
      </w:pPr>
    </w:p>
    <w:p w14:paraId="3B243E55" w14:textId="4B45A3F6" w:rsidR="00AD261F" w:rsidRPr="00573761" w:rsidRDefault="00AD261F" w:rsidP="00AD261F">
      <w:pPr>
        <w:rPr>
          <w:bCs/>
          <w:sz w:val="26"/>
          <w:szCs w:val="26"/>
        </w:rPr>
      </w:pPr>
      <w:r w:rsidRPr="00573761">
        <w:rPr>
          <w:b/>
          <w:strike/>
          <w:sz w:val="26"/>
          <w:szCs w:val="26"/>
          <w:u w:val="single"/>
        </w:rPr>
        <w:t xml:space="preserve">    </w:t>
      </w:r>
      <w:r w:rsidRPr="00573761">
        <w:rPr>
          <w:bCs/>
          <w:strike/>
          <w:sz w:val="26"/>
          <w:szCs w:val="26"/>
          <w:u w:val="single"/>
        </w:rPr>
        <w:t>(9)</w:t>
      </w:r>
      <w:r w:rsidRPr="00573761">
        <w:rPr>
          <w:bCs/>
          <w:sz w:val="26"/>
          <w:szCs w:val="26"/>
          <w:u w:val="single"/>
        </w:rPr>
        <w:t xml:space="preserve"> </w:t>
      </w:r>
      <w:r w:rsidRPr="00573761">
        <w:rPr>
          <w:bCs/>
          <w:sz w:val="26"/>
          <w:szCs w:val="26"/>
        </w:rPr>
        <w:t>(I)  </w:t>
      </w:r>
      <w:r w:rsidRPr="00573761">
        <w:rPr>
          <w:bCs/>
          <w:sz w:val="26"/>
          <w:szCs w:val="26"/>
          <w:u w:val="single"/>
        </w:rPr>
        <w:t xml:space="preserve">The </w:t>
      </w:r>
      <w:r w:rsidRPr="00573761">
        <w:rPr>
          <w:bCs/>
          <w:sz w:val="26"/>
          <w:szCs w:val="26"/>
        </w:rPr>
        <w:t>FEDERAL COMMUNICATIONS COMMISSION’S</w:t>
      </w:r>
      <w:r w:rsidRPr="00573761">
        <w:rPr>
          <w:bCs/>
          <w:sz w:val="26"/>
          <w:szCs w:val="26"/>
          <w:u w:val="single"/>
        </w:rPr>
        <w:t xml:space="preserve"> ten percent contamination rule </w:t>
      </w:r>
      <w:r w:rsidRPr="00573761">
        <w:rPr>
          <w:bCs/>
          <w:strike/>
          <w:sz w:val="26"/>
          <w:szCs w:val="26"/>
          <w:u w:val="single"/>
        </w:rPr>
        <w:t>established by the FCC, which is an administrative rule for certain jurisdictional cost allocations,</w:t>
      </w:r>
      <w:r w:rsidRPr="00573761">
        <w:rPr>
          <w:bCs/>
          <w:sz w:val="26"/>
          <w:szCs w:val="26"/>
          <w:u w:val="single"/>
        </w:rPr>
        <w:t xml:space="preserve"> does not preempt </w:t>
      </w:r>
      <w:r w:rsidRPr="00573761">
        <w:rPr>
          <w:bCs/>
          <w:strike/>
          <w:sz w:val="26"/>
          <w:szCs w:val="26"/>
          <w:u w:val="single"/>
        </w:rPr>
        <w:t>or otherwise nullify the Commission’s authority to impose and a telecommunications public utility’s concomitant obligation to pay the annual fiscal assessment required by Section 510 of the Code.  Nor does the rule preempt</w:t>
      </w:r>
      <w:r w:rsidRPr="00573761">
        <w:rPr>
          <w:bCs/>
          <w:sz w:val="26"/>
          <w:szCs w:val="26"/>
          <w:u w:val="single"/>
        </w:rPr>
        <w:t xml:space="preserve"> or otherwise preclude the obligation of </w:t>
      </w:r>
      <w:r w:rsidRPr="00573761">
        <w:rPr>
          <w:bCs/>
          <w:sz w:val="26"/>
          <w:szCs w:val="26"/>
        </w:rPr>
        <w:t>JURISDICTIONAL</w:t>
      </w:r>
      <w:r w:rsidRPr="00573761">
        <w:rPr>
          <w:bCs/>
          <w:sz w:val="26"/>
          <w:szCs w:val="26"/>
          <w:u w:val="single"/>
        </w:rPr>
        <w:t xml:space="preserve"> telecommunications public utilities to report </w:t>
      </w:r>
      <w:r w:rsidRPr="00573761">
        <w:rPr>
          <w:bCs/>
          <w:sz w:val="26"/>
          <w:szCs w:val="26"/>
        </w:rPr>
        <w:t>TO THE COMMISSION’S FISCAL OFFICE</w:t>
      </w:r>
      <w:r w:rsidRPr="00573761">
        <w:rPr>
          <w:bCs/>
          <w:sz w:val="26"/>
          <w:szCs w:val="26"/>
          <w:u w:val="single"/>
        </w:rPr>
        <w:t xml:space="preserve"> their </w:t>
      </w:r>
      <w:r w:rsidRPr="00573761">
        <w:rPr>
          <w:bCs/>
          <w:i/>
          <w:sz w:val="26"/>
          <w:szCs w:val="26"/>
          <w:u w:val="single"/>
        </w:rPr>
        <w:t>de facto</w:t>
      </w:r>
      <w:r w:rsidRPr="00573761">
        <w:rPr>
          <w:bCs/>
          <w:sz w:val="26"/>
          <w:szCs w:val="26"/>
          <w:u w:val="single"/>
        </w:rPr>
        <w:t xml:space="preserve"> gross intrastate operating revenues </w:t>
      </w:r>
      <w:r w:rsidRPr="00573761">
        <w:rPr>
          <w:bCs/>
          <w:strike/>
          <w:sz w:val="26"/>
          <w:szCs w:val="26"/>
          <w:u w:val="single"/>
        </w:rPr>
        <w:t>from</w:t>
      </w:r>
      <w:r w:rsidRPr="00573761">
        <w:rPr>
          <w:bCs/>
          <w:sz w:val="26"/>
          <w:szCs w:val="26"/>
        </w:rPr>
        <w:t xml:space="preserve"> RELATED TO</w:t>
      </w:r>
      <w:r w:rsidRPr="00573761">
        <w:rPr>
          <w:bCs/>
          <w:sz w:val="26"/>
          <w:szCs w:val="26"/>
          <w:u w:val="single"/>
        </w:rPr>
        <w:t xml:space="preserve"> providing </w:t>
      </w:r>
      <w:r w:rsidRPr="00573761">
        <w:rPr>
          <w:bCs/>
          <w:sz w:val="26"/>
          <w:szCs w:val="26"/>
        </w:rPr>
        <w:t xml:space="preserve">JURISDICTIONALLY MIXED-USE </w:t>
      </w:r>
      <w:r w:rsidRPr="00573761">
        <w:rPr>
          <w:bCs/>
          <w:sz w:val="26"/>
          <w:szCs w:val="26"/>
          <w:u w:val="single"/>
        </w:rPr>
        <w:t xml:space="preserve">telecommunications services, without regard to any intrastate revenues deemed to be interstate pursuant to the ten percent contamination rule.  </w:t>
      </w:r>
    </w:p>
    <w:p w14:paraId="78780B68" w14:textId="77777777" w:rsidR="00AD261F" w:rsidRPr="00573761" w:rsidRDefault="00AD261F" w:rsidP="00AD261F">
      <w:pPr>
        <w:rPr>
          <w:bCs/>
          <w:sz w:val="26"/>
          <w:szCs w:val="26"/>
        </w:rPr>
      </w:pPr>
    </w:p>
    <w:p w14:paraId="305A8E64" w14:textId="49AFFC98" w:rsidR="00AD261F" w:rsidRPr="00573761" w:rsidRDefault="00AD261F" w:rsidP="00AD261F">
      <w:pPr>
        <w:pStyle w:val="NoSpacing"/>
        <w:rPr>
          <w:sz w:val="26"/>
          <w:szCs w:val="26"/>
        </w:rPr>
      </w:pPr>
      <w:r w:rsidRPr="00573761">
        <w:rPr>
          <w:sz w:val="26"/>
          <w:szCs w:val="26"/>
        </w:rPr>
        <w:t xml:space="preserve">  (J)  </w:t>
      </w:r>
      <w:r w:rsidRPr="00573761">
        <w:rPr>
          <w:i/>
          <w:sz w:val="26"/>
          <w:szCs w:val="26"/>
        </w:rPr>
        <w:t xml:space="preserve">DE FACTO </w:t>
      </w:r>
      <w:r w:rsidRPr="00573761">
        <w:rPr>
          <w:sz w:val="26"/>
          <w:szCs w:val="26"/>
        </w:rPr>
        <w:t>GROSS INTRASTATE OPERATING REVENUES ARE THOSE GROSS INTRASTATE OPERATING REVENUES THAT ARE ACTUALLY RECEIVED FOR ALL TELECOMMUNICATIONS SERVICES AND TRAFFIC BETWEEN POINTS THAT ARE BOTH LOCATED WITHIN THIS COMMONWEALTH, INCLUDING THE TRAFFIC TRAVERSING A SPECIAL ACCESS CIRCUIT THAT IS DEEMED INTERSTATE BY THE TEN PERCENT RULE SET FORTH IN 47 CFR 36.154.</w:t>
      </w:r>
    </w:p>
    <w:p w14:paraId="1D1564AD" w14:textId="77777777" w:rsidR="00AD261F" w:rsidRPr="00573761" w:rsidRDefault="00AD261F" w:rsidP="00AD261F">
      <w:pPr>
        <w:pStyle w:val="NoSpacing"/>
        <w:rPr>
          <w:sz w:val="26"/>
          <w:szCs w:val="26"/>
        </w:rPr>
      </w:pPr>
    </w:p>
    <w:p w14:paraId="19EB5644" w14:textId="0B2E207F" w:rsidR="00F96A53" w:rsidRPr="00144E6C" w:rsidRDefault="00AD261F" w:rsidP="00AD261F">
      <w:pPr>
        <w:rPr>
          <w:b/>
          <w:sz w:val="26"/>
          <w:szCs w:val="26"/>
          <w:u w:val="single"/>
        </w:rPr>
      </w:pPr>
      <w:r w:rsidRPr="00573761">
        <w:rPr>
          <w:sz w:val="26"/>
          <w:szCs w:val="26"/>
        </w:rPr>
        <w:t xml:space="preserve">  (K) THE JURISDICTIONAL TELECOMMUNICATIONS CARRIERS </w:t>
      </w:r>
      <w:r w:rsidR="00033346" w:rsidRPr="00573761">
        <w:rPr>
          <w:sz w:val="26"/>
          <w:szCs w:val="26"/>
        </w:rPr>
        <w:t xml:space="preserve">MAY </w:t>
      </w:r>
      <w:r w:rsidRPr="00573761">
        <w:rPr>
          <w:sz w:val="26"/>
          <w:szCs w:val="26"/>
        </w:rPr>
        <w:t xml:space="preserve">SUBMIT TO THE COMMISSION’S FISCAL OFFICE SUPPORTING INFORMATION (SUCH AS TRAFFIC STUDIES, TAX RETURNS, JURISDICTIONAL ALLOCATION FORMULAS AND FACTORS, BOOKS OF ACCOUNT, REPORTS, ETC.) ON WHICH THE CARRIER BASES ITS REVENUE DETERMINATION, SO THAT THE FISCAL OFFICE CAN ASCERTAIN THE CARRIER’S </w:t>
      </w:r>
      <w:r w:rsidRPr="00573761">
        <w:rPr>
          <w:i/>
          <w:sz w:val="26"/>
          <w:szCs w:val="26"/>
        </w:rPr>
        <w:t>DE FACTO</w:t>
      </w:r>
      <w:r w:rsidRPr="00573761">
        <w:rPr>
          <w:sz w:val="26"/>
          <w:szCs w:val="26"/>
        </w:rPr>
        <w:t xml:space="preserve"> GROSS INTRASTATE OPERATING REVENUES AND COMPUTE AN ACCURATE ASSESSMENT IN ACCORDANCE WITH THE METRICS AND REQUIREMENTS OF SECTION 510 OF THE CODE.</w:t>
      </w:r>
      <w:r w:rsidRPr="00C43B05">
        <w:rPr>
          <w:sz w:val="26"/>
          <w:szCs w:val="26"/>
          <w:u w:val="single"/>
        </w:rPr>
        <w:t xml:space="preserve"> </w:t>
      </w:r>
      <w:r w:rsidR="00C43B05" w:rsidRPr="00C43B05">
        <w:rPr>
          <w:sz w:val="26"/>
          <w:szCs w:val="26"/>
          <w:u w:val="single"/>
        </w:rPr>
        <w:t xml:space="preserve"> </w:t>
      </w:r>
    </w:p>
    <w:sectPr w:rsidR="00F96A53" w:rsidRPr="00144E6C" w:rsidSect="00B40E48">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B57A" w14:textId="77777777" w:rsidR="000D083E" w:rsidRDefault="000D083E">
      <w:r>
        <w:separator/>
      </w:r>
    </w:p>
  </w:endnote>
  <w:endnote w:type="continuationSeparator" w:id="0">
    <w:p w14:paraId="014F1BC8" w14:textId="77777777" w:rsidR="000D083E" w:rsidRDefault="000D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084348"/>
      <w:docPartObj>
        <w:docPartGallery w:val="Page Numbers (Bottom of Page)"/>
        <w:docPartUnique/>
      </w:docPartObj>
    </w:sdtPr>
    <w:sdtEndPr>
      <w:rPr>
        <w:noProof/>
        <w:sz w:val="22"/>
        <w:szCs w:val="22"/>
      </w:rPr>
    </w:sdtEndPr>
    <w:sdtContent>
      <w:p w14:paraId="0DC3BCF1" w14:textId="0F1A473A" w:rsidR="00D15CDE" w:rsidRPr="009810C7" w:rsidRDefault="00D15CDE" w:rsidP="009810C7">
        <w:pPr>
          <w:pStyle w:val="Footer"/>
          <w:jc w:val="center"/>
          <w:rPr>
            <w:sz w:val="22"/>
            <w:szCs w:val="22"/>
          </w:rPr>
        </w:pPr>
        <w:r w:rsidRPr="009810C7">
          <w:rPr>
            <w:sz w:val="22"/>
            <w:szCs w:val="22"/>
          </w:rPr>
          <w:fldChar w:fldCharType="begin"/>
        </w:r>
        <w:r w:rsidRPr="009810C7">
          <w:rPr>
            <w:sz w:val="22"/>
            <w:szCs w:val="22"/>
          </w:rPr>
          <w:instrText xml:space="preserve"> PAGE   \* MERGEFORMAT </w:instrText>
        </w:r>
        <w:r w:rsidRPr="009810C7">
          <w:rPr>
            <w:sz w:val="22"/>
            <w:szCs w:val="22"/>
          </w:rPr>
          <w:fldChar w:fldCharType="separate"/>
        </w:r>
        <w:r w:rsidR="00382A16">
          <w:rPr>
            <w:noProof/>
            <w:sz w:val="22"/>
            <w:szCs w:val="22"/>
          </w:rPr>
          <w:t>35</w:t>
        </w:r>
        <w:r w:rsidRPr="009810C7">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547A" w14:textId="77777777" w:rsidR="000D083E" w:rsidRDefault="000D083E">
      <w:r>
        <w:separator/>
      </w:r>
    </w:p>
  </w:footnote>
  <w:footnote w:type="continuationSeparator" w:id="0">
    <w:p w14:paraId="341E8E32" w14:textId="77777777" w:rsidR="000D083E" w:rsidRDefault="000D083E">
      <w:r>
        <w:continuationSeparator/>
      </w:r>
    </w:p>
  </w:footnote>
  <w:footnote w:id="1">
    <w:p w14:paraId="02DFDE89" w14:textId="77777777" w:rsidR="00D15CDE" w:rsidRPr="00043784" w:rsidRDefault="00D15CDE" w:rsidP="00043784">
      <w:pPr>
        <w:rPr>
          <w:i/>
          <w:iCs/>
          <w:sz w:val="22"/>
          <w:szCs w:val="22"/>
        </w:rPr>
      </w:pPr>
      <w:r w:rsidRPr="00B41342">
        <w:rPr>
          <w:rStyle w:val="FootnoteReference"/>
          <w:sz w:val="22"/>
          <w:szCs w:val="22"/>
        </w:rPr>
        <w:footnoteRef/>
      </w:r>
      <w:r w:rsidRPr="00B41342">
        <w:rPr>
          <w:sz w:val="22"/>
          <w:szCs w:val="22"/>
        </w:rPr>
        <w:t xml:space="preserve"> </w:t>
      </w:r>
      <w:r w:rsidRPr="00043784">
        <w:rPr>
          <w:i/>
          <w:iCs/>
          <w:sz w:val="22"/>
          <w:szCs w:val="22"/>
        </w:rPr>
        <w:t>See Reporting of Intrastate Operating Revenues for Section 510 Assessment Purposes by Jurisdictional</w:t>
      </w:r>
    </w:p>
    <w:p w14:paraId="6168D242" w14:textId="03A171A5" w:rsidR="00D15CDE" w:rsidRPr="00B41342" w:rsidRDefault="00D15CDE" w:rsidP="00043784">
      <w:pPr>
        <w:rPr>
          <w:sz w:val="22"/>
          <w:szCs w:val="22"/>
        </w:rPr>
      </w:pPr>
      <w:r w:rsidRPr="00043784">
        <w:rPr>
          <w:i/>
          <w:iCs/>
          <w:sz w:val="22"/>
          <w:szCs w:val="22"/>
        </w:rPr>
        <w:t>Telecommunications Carriers Offering Special Access and Other Similar Jurisdictionally-Mixed Telecommunications</w:t>
      </w:r>
      <w:r>
        <w:rPr>
          <w:i/>
          <w:iCs/>
          <w:sz w:val="22"/>
          <w:szCs w:val="22"/>
        </w:rPr>
        <w:t xml:space="preserve"> </w:t>
      </w:r>
      <w:r w:rsidRPr="00043784">
        <w:rPr>
          <w:i/>
          <w:iCs/>
          <w:sz w:val="22"/>
          <w:szCs w:val="22"/>
        </w:rPr>
        <w:t xml:space="preserve">Services, </w:t>
      </w:r>
      <w:r>
        <w:rPr>
          <w:sz w:val="22"/>
          <w:szCs w:val="22"/>
        </w:rPr>
        <w:t xml:space="preserve">Docket </w:t>
      </w:r>
      <w:r w:rsidRPr="00043784">
        <w:rPr>
          <w:sz w:val="22"/>
          <w:szCs w:val="22"/>
        </w:rPr>
        <w:t xml:space="preserve">No. M-2018-3004578, </w:t>
      </w:r>
      <w:r w:rsidRPr="00CD39E1">
        <w:rPr>
          <w:i/>
          <w:iCs/>
          <w:sz w:val="22"/>
          <w:szCs w:val="22"/>
        </w:rPr>
        <w:t>Proposed Policy Statement</w:t>
      </w:r>
      <w:r>
        <w:rPr>
          <w:sz w:val="22"/>
          <w:szCs w:val="22"/>
        </w:rPr>
        <w:t xml:space="preserve"> (Order entered November 8, 2018) (</w:t>
      </w:r>
      <w:r w:rsidRPr="00AC25ED">
        <w:rPr>
          <w:i/>
          <w:iCs/>
          <w:sz w:val="22"/>
          <w:szCs w:val="22"/>
        </w:rPr>
        <w:t>Order</w:t>
      </w:r>
      <w:r>
        <w:rPr>
          <w:sz w:val="22"/>
          <w:szCs w:val="22"/>
        </w:rPr>
        <w:t>)</w:t>
      </w:r>
      <w:r w:rsidRPr="00043784">
        <w:rPr>
          <w:sz w:val="22"/>
          <w:szCs w:val="22"/>
        </w:rPr>
        <w:t>.</w:t>
      </w:r>
    </w:p>
  </w:footnote>
  <w:footnote w:id="2">
    <w:p w14:paraId="3F13A336" w14:textId="16CC03DB" w:rsidR="00D15CDE" w:rsidRPr="00C63784" w:rsidRDefault="00D15CDE">
      <w:pPr>
        <w:pStyle w:val="FootnoteText"/>
        <w:rPr>
          <w:sz w:val="22"/>
          <w:szCs w:val="22"/>
        </w:rPr>
      </w:pPr>
      <w:r w:rsidRPr="00C63784">
        <w:rPr>
          <w:rStyle w:val="FootnoteReference"/>
          <w:sz w:val="22"/>
          <w:szCs w:val="22"/>
        </w:rPr>
        <w:footnoteRef/>
      </w:r>
      <w:r w:rsidRPr="00C63784">
        <w:rPr>
          <w:sz w:val="22"/>
          <w:szCs w:val="22"/>
        </w:rPr>
        <w:t xml:space="preserve"> 49 </w:t>
      </w:r>
      <w:r w:rsidRPr="00573761">
        <w:rPr>
          <w:iCs/>
          <w:sz w:val="22"/>
          <w:szCs w:val="22"/>
        </w:rPr>
        <w:t>Pa.B</w:t>
      </w:r>
      <w:r w:rsidRPr="002C27D6">
        <w:rPr>
          <w:i/>
          <w:iCs/>
          <w:sz w:val="22"/>
          <w:szCs w:val="22"/>
        </w:rPr>
        <w:t>.</w:t>
      </w:r>
      <w:r w:rsidRPr="00C63784">
        <w:rPr>
          <w:sz w:val="22"/>
          <w:szCs w:val="22"/>
        </w:rPr>
        <w:t xml:space="preserve"> 929 (Mar</w:t>
      </w:r>
      <w:r>
        <w:rPr>
          <w:sz w:val="22"/>
          <w:szCs w:val="22"/>
        </w:rPr>
        <w:t>ch</w:t>
      </w:r>
      <w:r w:rsidRPr="00C63784">
        <w:rPr>
          <w:sz w:val="22"/>
          <w:szCs w:val="22"/>
        </w:rPr>
        <w:t xml:space="preserve"> 2, 2019)</w:t>
      </w:r>
      <w:r>
        <w:rPr>
          <w:sz w:val="22"/>
          <w:szCs w:val="22"/>
        </w:rPr>
        <w:t>.</w:t>
      </w:r>
    </w:p>
  </w:footnote>
  <w:footnote w:id="3">
    <w:p w14:paraId="45B700CF" w14:textId="1762C6DA" w:rsidR="00D15CDE" w:rsidRPr="00625398" w:rsidRDefault="00D15CDE">
      <w:pPr>
        <w:pStyle w:val="FootnoteText"/>
        <w:rPr>
          <w:sz w:val="22"/>
          <w:szCs w:val="22"/>
        </w:rPr>
      </w:pPr>
      <w:r w:rsidRPr="00625398">
        <w:rPr>
          <w:rStyle w:val="FootnoteReference"/>
          <w:sz w:val="22"/>
          <w:szCs w:val="22"/>
        </w:rPr>
        <w:footnoteRef/>
      </w:r>
      <w:r w:rsidRPr="00625398">
        <w:rPr>
          <w:sz w:val="22"/>
          <w:szCs w:val="22"/>
        </w:rPr>
        <w:t xml:space="preserve"> Verizon Pennsylvania LLC, Verizon North LLC, MCImetro Access Transmissions Corp. and XO Communications Services, LLC.</w:t>
      </w:r>
    </w:p>
  </w:footnote>
  <w:footnote w:id="4">
    <w:p w14:paraId="5E524326" w14:textId="0E880C22" w:rsidR="00D15CDE" w:rsidRPr="00625398" w:rsidRDefault="00D15CDE" w:rsidP="00EF233D">
      <w:pPr>
        <w:pStyle w:val="FootnoteText"/>
        <w:rPr>
          <w:sz w:val="22"/>
          <w:szCs w:val="22"/>
        </w:rPr>
      </w:pPr>
      <w:r w:rsidRPr="00625398">
        <w:rPr>
          <w:rStyle w:val="FootnoteReference"/>
          <w:sz w:val="22"/>
          <w:szCs w:val="22"/>
        </w:rPr>
        <w:footnoteRef/>
      </w:r>
      <w:r w:rsidRPr="00625398">
        <w:rPr>
          <w:sz w:val="22"/>
          <w:szCs w:val="22"/>
        </w:rPr>
        <w:t xml:space="preserve"> Frontier Communications of Breezewood (Utility Code: 310400) Frontier Communications of Pennsylvania (Utility Code: 311250) Frontier Communications of Canton (Utility Code: 310550) Frontier Communications of Lakewood (Utility Code: 311750) Frontier Communications of Oswayo River (Utility Code: 312600) Frontier Communications Commonwealth Telephone Company (Utility Code: 310800) Citizens Telecommunications Company of NY (Utility Code: 310174) Frontier Communications of America (Utility Code: 310376) Frontier Communications CTSI Company (Utility Code: 311095) CTE Telecom d/b/a Commonwealth Long Distance (Utility Code: 311225).  Frontier simply filed a letter in support of the comments of PTA.</w:t>
      </w:r>
    </w:p>
    <w:p w14:paraId="35425905" w14:textId="258B6C5F" w:rsidR="00D15CDE" w:rsidRDefault="00D15CDE">
      <w:pPr>
        <w:pStyle w:val="FootnoteText"/>
      </w:pPr>
    </w:p>
  </w:footnote>
  <w:footnote w:id="5">
    <w:p w14:paraId="37078E92" w14:textId="3C8BB195" w:rsidR="00D15CDE" w:rsidRPr="00C63784" w:rsidRDefault="00D15CDE">
      <w:pPr>
        <w:pStyle w:val="FootnoteText"/>
        <w:rPr>
          <w:sz w:val="22"/>
          <w:szCs w:val="22"/>
        </w:rPr>
      </w:pPr>
      <w:r w:rsidRPr="00C63784">
        <w:rPr>
          <w:rStyle w:val="FootnoteReference"/>
          <w:sz w:val="22"/>
          <w:szCs w:val="22"/>
        </w:rPr>
        <w:footnoteRef/>
      </w:r>
      <w:r w:rsidRPr="00C63784">
        <w:rPr>
          <w:sz w:val="22"/>
          <w:szCs w:val="22"/>
        </w:rPr>
        <w:t xml:space="preserve"> </w:t>
      </w:r>
      <w:r w:rsidRPr="00C63784">
        <w:rPr>
          <w:i/>
          <w:iCs/>
          <w:sz w:val="22"/>
          <w:szCs w:val="22"/>
        </w:rPr>
        <w:t>See</w:t>
      </w:r>
      <w:r w:rsidRPr="00C63784">
        <w:rPr>
          <w:sz w:val="22"/>
          <w:szCs w:val="22"/>
        </w:rPr>
        <w:t xml:space="preserve"> </w:t>
      </w:r>
      <w:r w:rsidRPr="00C63784">
        <w:rPr>
          <w:i/>
          <w:iCs/>
          <w:sz w:val="22"/>
          <w:szCs w:val="22"/>
        </w:rPr>
        <w:t xml:space="preserve">Federal-State Joint Board on Universal Service, </w:t>
      </w:r>
      <w:r w:rsidRPr="00C63784">
        <w:rPr>
          <w:sz w:val="22"/>
          <w:szCs w:val="22"/>
        </w:rPr>
        <w:t>Report and Order, 12 FCC Rcd 8776 ¶ 778 (</w:t>
      </w:r>
      <w:r w:rsidRPr="00C63784">
        <w:rPr>
          <w:i/>
          <w:iCs/>
          <w:sz w:val="22"/>
          <w:szCs w:val="22"/>
        </w:rPr>
        <w:t>1997 Universal Service Report and Order</w:t>
      </w:r>
      <w:r w:rsidRPr="00D124C5">
        <w:rPr>
          <w:sz w:val="22"/>
          <w:szCs w:val="22"/>
        </w:rPr>
        <w:t>).</w:t>
      </w:r>
      <w:r w:rsidRPr="00C63784">
        <w:rPr>
          <w:sz w:val="22"/>
          <w:szCs w:val="22"/>
        </w:rPr>
        <w:t xml:space="preserve">  </w:t>
      </w:r>
    </w:p>
  </w:footnote>
  <w:footnote w:id="6">
    <w:p w14:paraId="4393C93E" w14:textId="0393228B" w:rsidR="00D15CDE" w:rsidRPr="00C63784" w:rsidRDefault="00D15CDE">
      <w:pPr>
        <w:pStyle w:val="FootnoteText"/>
        <w:rPr>
          <w:sz w:val="22"/>
          <w:szCs w:val="22"/>
        </w:rPr>
      </w:pPr>
      <w:r w:rsidRPr="00C63784">
        <w:rPr>
          <w:rStyle w:val="FootnoteReference"/>
          <w:sz w:val="22"/>
          <w:szCs w:val="22"/>
        </w:rPr>
        <w:footnoteRef/>
      </w:r>
      <w:r w:rsidRPr="00C63784">
        <w:rPr>
          <w:sz w:val="22"/>
          <w:szCs w:val="22"/>
        </w:rPr>
        <w:t xml:space="preserve"> </w:t>
      </w:r>
      <w:r w:rsidRPr="00C63784">
        <w:rPr>
          <w:i/>
          <w:iCs/>
          <w:sz w:val="22"/>
          <w:szCs w:val="22"/>
        </w:rPr>
        <w:t xml:space="preserve">See Federal-State Joint Board on Universal Service, </w:t>
      </w:r>
      <w:r w:rsidRPr="00C63784">
        <w:rPr>
          <w:sz w:val="22"/>
          <w:szCs w:val="22"/>
        </w:rPr>
        <w:t xml:space="preserve">Order, 32 FCC Rcd 2140 (WCB 2017) </w:t>
      </w:r>
      <w:r w:rsidRPr="00D124C5">
        <w:rPr>
          <w:iCs/>
          <w:sz w:val="22"/>
          <w:szCs w:val="22"/>
        </w:rPr>
        <w:t>(</w:t>
      </w:r>
      <w:r w:rsidRPr="00C63784">
        <w:rPr>
          <w:i/>
          <w:iCs/>
          <w:sz w:val="22"/>
          <w:szCs w:val="22"/>
        </w:rPr>
        <w:t>2017 Ten Percent Order</w:t>
      </w:r>
      <w:r w:rsidRPr="00D124C5">
        <w:rPr>
          <w:iCs/>
          <w:sz w:val="22"/>
          <w:szCs w:val="22"/>
        </w:rPr>
        <w:t>)</w:t>
      </w:r>
      <w:r w:rsidRPr="00C63784">
        <w:rPr>
          <w:i/>
          <w:iCs/>
          <w:sz w:val="22"/>
          <w:szCs w:val="22"/>
        </w:rPr>
        <w:t>.</w:t>
      </w:r>
    </w:p>
  </w:footnote>
  <w:footnote w:id="7">
    <w:p w14:paraId="1B4B1139" w14:textId="0D592E64"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044447">
        <w:rPr>
          <w:i/>
          <w:color w:val="000000"/>
          <w:sz w:val="22"/>
          <w:szCs w:val="22"/>
        </w:rPr>
        <w:t>See</w:t>
      </w:r>
      <w:r w:rsidRPr="00044447">
        <w:rPr>
          <w:color w:val="000000"/>
          <w:sz w:val="22"/>
          <w:szCs w:val="22"/>
        </w:rPr>
        <w:t xml:space="preserve"> </w:t>
      </w:r>
      <w:r w:rsidRPr="00044447">
        <w:rPr>
          <w:i/>
          <w:iCs/>
          <w:color w:val="000000"/>
          <w:sz w:val="22"/>
          <w:szCs w:val="22"/>
        </w:rPr>
        <w:t xml:space="preserve">2017 </w:t>
      </w:r>
      <w:r>
        <w:rPr>
          <w:i/>
          <w:iCs/>
          <w:color w:val="000000"/>
          <w:sz w:val="22"/>
          <w:szCs w:val="22"/>
        </w:rPr>
        <w:t xml:space="preserve">Ten Percent </w:t>
      </w:r>
      <w:r w:rsidRPr="00044447">
        <w:rPr>
          <w:i/>
          <w:iCs/>
          <w:color w:val="000000"/>
          <w:sz w:val="22"/>
          <w:szCs w:val="22"/>
        </w:rPr>
        <w:t xml:space="preserve">Order ¶ </w:t>
      </w:r>
      <w:r w:rsidRPr="00044447">
        <w:rPr>
          <w:color w:val="000000"/>
          <w:sz w:val="22"/>
          <w:szCs w:val="22"/>
        </w:rPr>
        <w:t>8 (</w:t>
      </w:r>
      <w:r w:rsidRPr="00044447">
        <w:rPr>
          <w:iCs/>
          <w:color w:val="000000"/>
          <w:sz w:val="22"/>
          <w:szCs w:val="22"/>
        </w:rPr>
        <w:t xml:space="preserve">emphasis </w:t>
      </w:r>
      <w:r w:rsidRPr="00044447">
        <w:rPr>
          <w:color w:val="000000"/>
          <w:sz w:val="22"/>
          <w:szCs w:val="22"/>
        </w:rPr>
        <w:t>added).</w:t>
      </w:r>
    </w:p>
  </w:footnote>
  <w:footnote w:id="8">
    <w:p w14:paraId="1B3AC15C" w14:textId="09BB869B"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044447">
        <w:rPr>
          <w:i/>
          <w:iCs/>
          <w:sz w:val="22"/>
          <w:szCs w:val="22"/>
        </w:rPr>
        <w:t xml:space="preserve">See Jurisdictional Separations and Referral to the Federal-State Joint Board, Further Notice of Proposed Rulemaking, </w:t>
      </w:r>
      <w:r w:rsidRPr="00044447">
        <w:rPr>
          <w:iCs/>
          <w:sz w:val="22"/>
          <w:szCs w:val="22"/>
        </w:rPr>
        <w:t>33 FCC Rcd 7261 ¶ 11 (2018).</w:t>
      </w:r>
      <w:r w:rsidRPr="00044447">
        <w:rPr>
          <w:i/>
          <w:iCs/>
          <w:sz w:val="22"/>
          <w:szCs w:val="22"/>
        </w:rPr>
        <w:t xml:space="preserve">  </w:t>
      </w:r>
    </w:p>
  </w:footnote>
  <w:footnote w:id="9">
    <w:p w14:paraId="69000E65" w14:textId="27667712"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044447">
        <w:rPr>
          <w:i/>
          <w:iCs/>
          <w:sz w:val="22"/>
          <w:szCs w:val="22"/>
        </w:rPr>
        <w:t xml:space="preserve">Qwest Corporation v. Scott, </w:t>
      </w:r>
      <w:r w:rsidRPr="00044447">
        <w:rPr>
          <w:iCs/>
          <w:sz w:val="22"/>
          <w:szCs w:val="22"/>
        </w:rPr>
        <w:t xml:space="preserve">380 F.3d 367 </w:t>
      </w:r>
      <w:r w:rsidRPr="00044447">
        <w:rPr>
          <w:sz w:val="22"/>
          <w:szCs w:val="22"/>
        </w:rPr>
        <w:t>(8th Cir. 2004)</w:t>
      </w:r>
      <w:r w:rsidRPr="00044447">
        <w:rPr>
          <w:i/>
          <w:iCs/>
          <w:sz w:val="22"/>
          <w:szCs w:val="22"/>
        </w:rPr>
        <w:t xml:space="preserve"> (Scott).</w:t>
      </w:r>
    </w:p>
  </w:footnote>
  <w:footnote w:id="10">
    <w:p w14:paraId="2BCC5C59" w14:textId="5E681B3C"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044447">
        <w:rPr>
          <w:i/>
          <w:iCs/>
          <w:color w:val="000000"/>
          <w:sz w:val="22"/>
          <w:szCs w:val="22"/>
        </w:rPr>
        <w:t>Scott</w:t>
      </w:r>
      <w:r w:rsidRPr="00044447">
        <w:rPr>
          <w:color w:val="000000"/>
          <w:sz w:val="22"/>
          <w:szCs w:val="22"/>
        </w:rPr>
        <w:t xml:space="preserve">, 380 F.3d at 374 (noting that, “when the 10% Order is read as a whole, the Commission’s expressed intent to preempt state regulation does not extend to performance measurements and standards”).  </w:t>
      </w:r>
    </w:p>
  </w:footnote>
  <w:footnote w:id="11">
    <w:p w14:paraId="1A6427B1" w14:textId="7671688C"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044447">
        <w:rPr>
          <w:i/>
          <w:iCs/>
          <w:color w:val="000000"/>
          <w:sz w:val="22"/>
          <w:szCs w:val="22"/>
        </w:rPr>
        <w:t>Scott</w:t>
      </w:r>
      <w:r w:rsidRPr="00044447">
        <w:rPr>
          <w:color w:val="000000"/>
          <w:sz w:val="22"/>
          <w:szCs w:val="22"/>
        </w:rPr>
        <w:t xml:space="preserve">, 380 F.3d at 371 (quoting 47 C.F.R. § 36.1(b)).  </w:t>
      </w:r>
    </w:p>
  </w:footnote>
  <w:footnote w:id="12">
    <w:p w14:paraId="7DC43C92" w14:textId="0C62705C"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73 Pa. C.S. §</w:t>
      </w:r>
      <w:r w:rsidRPr="00044447">
        <w:rPr>
          <w:i/>
          <w:iCs/>
          <w:sz w:val="22"/>
          <w:szCs w:val="22"/>
        </w:rPr>
        <w:t xml:space="preserve"> </w:t>
      </w:r>
      <w:r w:rsidRPr="00044447">
        <w:rPr>
          <w:sz w:val="22"/>
          <w:szCs w:val="22"/>
        </w:rPr>
        <w:t>2251.3 (defining “IP-enabled service” as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footnote>
  <w:footnote w:id="13">
    <w:p w14:paraId="531D66A1" w14:textId="575DC13E"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044447">
        <w:rPr>
          <w:color w:val="000000"/>
          <w:sz w:val="22"/>
          <w:szCs w:val="22"/>
        </w:rPr>
        <w:t xml:space="preserve">73 P.S. § 2251.4.  </w:t>
      </w:r>
      <w:r>
        <w:rPr>
          <w:color w:val="000000"/>
          <w:sz w:val="22"/>
          <w:szCs w:val="22"/>
        </w:rPr>
        <w:t xml:space="preserve">We note that BCAP points out that the prohibition of regulation in Section 2251.4 is expressly limited to the regulation of “rates” and “terms and conditions of VoIP service.”  Section 510 assessments do not address end-user rates or terms and conditions of service. </w:t>
      </w:r>
    </w:p>
  </w:footnote>
  <w:footnote w:id="14">
    <w:p w14:paraId="5AB0F8C0" w14:textId="2BAA38CD"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044447">
        <w:rPr>
          <w:color w:val="000000"/>
          <w:sz w:val="22"/>
          <w:szCs w:val="22"/>
        </w:rPr>
        <w:t>73 P.S.</w:t>
      </w:r>
      <w:r w:rsidRPr="00044447">
        <w:rPr>
          <w:iCs/>
          <w:color w:val="000000"/>
          <w:sz w:val="22"/>
          <w:szCs w:val="22"/>
        </w:rPr>
        <w:t xml:space="preserve"> §</w:t>
      </w:r>
      <w:r w:rsidRPr="00044447">
        <w:rPr>
          <w:i/>
          <w:iCs/>
          <w:color w:val="000000"/>
          <w:sz w:val="22"/>
          <w:szCs w:val="22"/>
        </w:rPr>
        <w:t xml:space="preserve"> </w:t>
      </w:r>
      <w:r w:rsidRPr="00044447">
        <w:rPr>
          <w:color w:val="000000"/>
          <w:sz w:val="22"/>
          <w:szCs w:val="22"/>
        </w:rPr>
        <w:t xml:space="preserve">2251.6.  </w:t>
      </w:r>
    </w:p>
  </w:footnote>
  <w:footnote w:id="15">
    <w:p w14:paraId="0714A099" w14:textId="1A82D35B" w:rsidR="00D15CDE" w:rsidRDefault="00D15CDE">
      <w:pPr>
        <w:pStyle w:val="FootnoteText"/>
      </w:pPr>
      <w:r w:rsidRPr="00CC7A44">
        <w:rPr>
          <w:rStyle w:val="FootnoteReference"/>
          <w:sz w:val="22"/>
          <w:szCs w:val="22"/>
        </w:rPr>
        <w:footnoteRef/>
      </w:r>
      <w:r w:rsidRPr="00CC7A44">
        <w:rPr>
          <w:sz w:val="22"/>
          <w:szCs w:val="22"/>
        </w:rPr>
        <w:t xml:space="preserve"> </w:t>
      </w:r>
      <w:r w:rsidRPr="00CC7A44">
        <w:rPr>
          <w:i/>
          <w:iCs/>
          <w:sz w:val="22"/>
          <w:szCs w:val="22"/>
        </w:rPr>
        <w:t xml:space="preserve">2017 </w:t>
      </w:r>
      <w:r>
        <w:rPr>
          <w:i/>
          <w:iCs/>
          <w:sz w:val="22"/>
          <w:szCs w:val="22"/>
        </w:rPr>
        <w:t xml:space="preserve">Ten Percent </w:t>
      </w:r>
      <w:r w:rsidRPr="007B2DD1">
        <w:rPr>
          <w:i/>
          <w:iCs/>
          <w:sz w:val="22"/>
          <w:szCs w:val="22"/>
        </w:rPr>
        <w:t xml:space="preserve">Order ¶ </w:t>
      </w:r>
      <w:r w:rsidRPr="005244D1">
        <w:rPr>
          <w:sz w:val="22"/>
          <w:szCs w:val="22"/>
        </w:rPr>
        <w:t>3</w:t>
      </w:r>
      <w:r w:rsidRPr="00CC7A44">
        <w:rPr>
          <w:i/>
          <w:iCs/>
          <w:sz w:val="22"/>
          <w:szCs w:val="22"/>
        </w:rPr>
        <w:t xml:space="preserve"> </w:t>
      </w:r>
      <w:r w:rsidRPr="00CC7A44">
        <w:rPr>
          <w:sz w:val="22"/>
          <w:szCs w:val="22"/>
        </w:rPr>
        <w:t xml:space="preserve">(citing </w:t>
      </w:r>
      <w:r w:rsidRPr="00CC7A44">
        <w:rPr>
          <w:i/>
          <w:iCs/>
          <w:sz w:val="22"/>
          <w:szCs w:val="22"/>
        </w:rPr>
        <w:t>MTS and WATS Market Structure, Amendment of Part 36 of the Commission</w:t>
      </w:r>
      <w:r>
        <w:rPr>
          <w:i/>
          <w:iCs/>
          <w:sz w:val="22"/>
          <w:szCs w:val="22"/>
        </w:rPr>
        <w:t>’</w:t>
      </w:r>
      <w:r w:rsidRPr="00CC7A44">
        <w:rPr>
          <w:i/>
          <w:iCs/>
          <w:sz w:val="22"/>
          <w:szCs w:val="22"/>
        </w:rPr>
        <w:t xml:space="preserve">s Rules and Establishment of a Joint Board, </w:t>
      </w:r>
      <w:r w:rsidRPr="00CC7A44">
        <w:rPr>
          <w:sz w:val="22"/>
          <w:szCs w:val="22"/>
        </w:rPr>
        <w:t xml:space="preserve">Recommended Decision and Order, 4 FCC Rcd 1352 </w:t>
      </w:r>
      <w:r w:rsidRPr="007B2DD1">
        <w:rPr>
          <w:i/>
          <w:iCs/>
          <w:sz w:val="22"/>
          <w:szCs w:val="22"/>
        </w:rPr>
        <w:t>¶</w:t>
      </w:r>
      <w:r>
        <w:rPr>
          <w:i/>
          <w:iCs/>
          <w:sz w:val="22"/>
          <w:szCs w:val="22"/>
        </w:rPr>
        <w:t xml:space="preserve"> </w:t>
      </w:r>
      <w:r w:rsidRPr="00CC7A44">
        <w:rPr>
          <w:sz w:val="22"/>
          <w:szCs w:val="22"/>
        </w:rPr>
        <w:t xml:space="preserve">32 (1989) </w:t>
      </w:r>
      <w:r w:rsidRPr="00E5647F">
        <w:rPr>
          <w:iCs/>
          <w:sz w:val="22"/>
          <w:szCs w:val="22"/>
        </w:rPr>
        <w:t>(</w:t>
      </w:r>
      <w:r w:rsidRPr="00CC7A44">
        <w:rPr>
          <w:i/>
          <w:iCs/>
          <w:sz w:val="22"/>
          <w:szCs w:val="22"/>
        </w:rPr>
        <w:t>Ten Percent Rule Recommended Decision</w:t>
      </w:r>
      <w:r w:rsidRPr="00E5647F">
        <w:rPr>
          <w:iCs/>
          <w:sz w:val="22"/>
          <w:szCs w:val="22"/>
        </w:rPr>
        <w:t>))</w:t>
      </w:r>
      <w:r w:rsidRPr="00CC7A44">
        <w:rPr>
          <w:i/>
          <w:iCs/>
          <w:sz w:val="22"/>
          <w:szCs w:val="22"/>
        </w:rPr>
        <w:t>.</w:t>
      </w:r>
    </w:p>
  </w:footnote>
  <w:footnote w:id="16">
    <w:p w14:paraId="4ABF55B9" w14:textId="6028FFFF" w:rsidR="00D15CDE" w:rsidRDefault="00D15CDE">
      <w:pPr>
        <w:pStyle w:val="FootnoteText"/>
      </w:pPr>
      <w:r w:rsidRPr="00CC7A44">
        <w:rPr>
          <w:rStyle w:val="FootnoteReference"/>
          <w:sz w:val="22"/>
          <w:szCs w:val="22"/>
        </w:rPr>
        <w:footnoteRef/>
      </w:r>
      <w:r w:rsidRPr="00CC7A44">
        <w:rPr>
          <w:sz w:val="22"/>
          <w:szCs w:val="22"/>
        </w:rPr>
        <w:t xml:space="preserve"> </w:t>
      </w:r>
      <w:r w:rsidRPr="00CC7A44">
        <w:rPr>
          <w:i/>
          <w:iCs/>
          <w:sz w:val="22"/>
          <w:szCs w:val="22"/>
        </w:rPr>
        <w:t>See</w:t>
      </w:r>
      <w:r w:rsidRPr="00CC7A44">
        <w:rPr>
          <w:sz w:val="22"/>
          <w:szCs w:val="22"/>
        </w:rPr>
        <w:t xml:space="preserve"> </w:t>
      </w:r>
      <w:r w:rsidRPr="00CC7A44">
        <w:rPr>
          <w:i/>
          <w:iCs/>
          <w:sz w:val="22"/>
          <w:szCs w:val="22"/>
        </w:rPr>
        <w:t xml:space="preserve">Restoring Internet Freedom Order, </w:t>
      </w:r>
      <w:r w:rsidRPr="00CC7A44">
        <w:rPr>
          <w:sz w:val="22"/>
          <w:szCs w:val="22"/>
        </w:rPr>
        <w:t>WC Docket No. 17-108</w:t>
      </w:r>
      <w:r w:rsidRPr="00CC7A44">
        <w:rPr>
          <w:i/>
          <w:iCs/>
          <w:sz w:val="22"/>
          <w:szCs w:val="22"/>
        </w:rPr>
        <w:t xml:space="preserve">, </w:t>
      </w:r>
      <w:r w:rsidRPr="00CC7A44">
        <w:rPr>
          <w:sz w:val="22"/>
          <w:szCs w:val="22"/>
          <w:lang w:val="en"/>
        </w:rPr>
        <w:t>Declaratory Ruling, Order, Report and Order, 33 FCC Rcd 311 (2018) (</w:t>
      </w:r>
      <w:r w:rsidRPr="00CC7A44">
        <w:rPr>
          <w:i/>
          <w:iCs/>
          <w:sz w:val="22"/>
          <w:szCs w:val="22"/>
          <w:lang w:val="en"/>
        </w:rPr>
        <w:t>Restoring Internet Freedom Order</w:t>
      </w:r>
      <w:r w:rsidRPr="00E5647F">
        <w:rPr>
          <w:iCs/>
          <w:sz w:val="22"/>
          <w:szCs w:val="22"/>
          <w:lang w:val="en"/>
        </w:rPr>
        <w:t>)</w:t>
      </w:r>
      <w:r w:rsidRPr="00CC7A44">
        <w:rPr>
          <w:i/>
          <w:iCs/>
          <w:sz w:val="22"/>
          <w:szCs w:val="22"/>
          <w:lang w:val="en"/>
        </w:rPr>
        <w:t xml:space="preserve">; </w:t>
      </w:r>
      <w:r w:rsidRPr="00CC7A44">
        <w:rPr>
          <w:i/>
          <w:iCs/>
          <w:sz w:val="22"/>
          <w:szCs w:val="22"/>
        </w:rPr>
        <w:t>Mozilla Corp. v. FCC</w:t>
      </w:r>
      <w:r w:rsidRPr="00CC7A44">
        <w:rPr>
          <w:sz w:val="22"/>
          <w:szCs w:val="22"/>
        </w:rPr>
        <w:t>, No. 18-1051 (D.C. Cir. Feb. 22, 2018).</w:t>
      </w:r>
    </w:p>
  </w:footnote>
  <w:footnote w:id="17">
    <w:p w14:paraId="55198A2D" w14:textId="63BF835F"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47 C.F.R. § 36.154.</w:t>
      </w:r>
    </w:p>
  </w:footnote>
  <w:footnote w:id="18">
    <w:p w14:paraId="11C61FE3" w14:textId="25A2F77A"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044447">
        <w:rPr>
          <w:i/>
          <w:sz w:val="22"/>
          <w:szCs w:val="22"/>
        </w:rPr>
        <w:t xml:space="preserve">MTS and WATS Market Structure, Amendment of Part 36 of the Communications Rules and Establishment of a Joint Board, </w:t>
      </w:r>
      <w:r w:rsidRPr="00044447">
        <w:rPr>
          <w:sz w:val="22"/>
          <w:szCs w:val="22"/>
        </w:rPr>
        <w:t>CC Docket Nos. 78-72 and 80-286, Decision and Order, 4</w:t>
      </w:r>
      <w:r w:rsidRPr="00044447">
        <w:rPr>
          <w:b/>
          <w:sz w:val="22"/>
          <w:szCs w:val="22"/>
        </w:rPr>
        <w:t xml:space="preserve"> </w:t>
      </w:r>
      <w:r w:rsidRPr="00044447">
        <w:rPr>
          <w:sz w:val="22"/>
          <w:szCs w:val="22"/>
        </w:rPr>
        <w:t xml:space="preserve">FCC Rcd 5660, ¶ 4 (1989) </w:t>
      </w:r>
      <w:r w:rsidRPr="00D124C5">
        <w:rPr>
          <w:sz w:val="22"/>
          <w:szCs w:val="22"/>
        </w:rPr>
        <w:t>(</w:t>
      </w:r>
      <w:r w:rsidRPr="00044447">
        <w:rPr>
          <w:i/>
          <w:sz w:val="22"/>
          <w:szCs w:val="22"/>
        </w:rPr>
        <w:t>Ten Percent Rule Order</w:t>
      </w:r>
      <w:r w:rsidRPr="00D124C5">
        <w:rPr>
          <w:sz w:val="22"/>
          <w:szCs w:val="22"/>
        </w:rPr>
        <w:t>).</w:t>
      </w:r>
    </w:p>
  </w:footnote>
  <w:footnote w:id="19">
    <w:p w14:paraId="473086BF" w14:textId="2F6A37FD" w:rsidR="00D15CDE" w:rsidRPr="00044447"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2C27D6">
        <w:rPr>
          <w:i/>
          <w:iCs/>
          <w:sz w:val="22"/>
          <w:szCs w:val="22"/>
        </w:rPr>
        <w:t>See 1997</w:t>
      </w:r>
      <w:r>
        <w:rPr>
          <w:sz w:val="22"/>
          <w:szCs w:val="22"/>
        </w:rPr>
        <w:t xml:space="preserve"> </w:t>
      </w:r>
      <w:r w:rsidRPr="00044447">
        <w:rPr>
          <w:i/>
          <w:sz w:val="22"/>
          <w:szCs w:val="22"/>
        </w:rPr>
        <w:t>Universal Service First Report and Order</w:t>
      </w:r>
      <w:r w:rsidRPr="00044447">
        <w:rPr>
          <w:sz w:val="22"/>
          <w:szCs w:val="22"/>
        </w:rPr>
        <w:t>.</w:t>
      </w:r>
    </w:p>
  </w:footnote>
  <w:footnote w:id="20">
    <w:p w14:paraId="27789D72" w14:textId="3316D11D" w:rsidR="00D15CDE" w:rsidRPr="00044447" w:rsidRDefault="00D15CDE" w:rsidP="009C4A7D">
      <w:pPr>
        <w:pStyle w:val="FootnoteText"/>
        <w:rPr>
          <w:sz w:val="22"/>
          <w:szCs w:val="22"/>
        </w:rPr>
      </w:pPr>
      <w:r w:rsidRPr="00044447">
        <w:rPr>
          <w:rStyle w:val="FootnoteReference"/>
          <w:sz w:val="22"/>
          <w:szCs w:val="22"/>
        </w:rPr>
        <w:footnoteRef/>
      </w:r>
      <w:r w:rsidRPr="00044447">
        <w:rPr>
          <w:sz w:val="22"/>
          <w:szCs w:val="22"/>
        </w:rPr>
        <w:t xml:space="preserve"> </w:t>
      </w:r>
      <w:r w:rsidRPr="00044447">
        <w:rPr>
          <w:i/>
          <w:sz w:val="22"/>
          <w:szCs w:val="22"/>
        </w:rPr>
        <w:t xml:space="preserve">Id. </w:t>
      </w:r>
      <w:r w:rsidRPr="00B328B1">
        <w:rPr>
          <w:sz w:val="22"/>
          <w:szCs w:val="22"/>
        </w:rPr>
        <w:t>at ¶</w:t>
      </w:r>
      <w:r w:rsidRPr="00044447">
        <w:rPr>
          <w:sz w:val="22"/>
          <w:szCs w:val="22"/>
        </w:rPr>
        <w:t>s 777</w:t>
      </w:r>
      <w:r w:rsidRPr="00044447">
        <w:rPr>
          <w:color w:val="000000"/>
          <w:sz w:val="22"/>
          <w:szCs w:val="22"/>
        </w:rPr>
        <w:t>–</w:t>
      </w:r>
      <w:r w:rsidRPr="00044447">
        <w:rPr>
          <w:sz w:val="22"/>
          <w:szCs w:val="22"/>
        </w:rPr>
        <w:t>78.</w:t>
      </w:r>
    </w:p>
  </w:footnote>
  <w:footnote w:id="21">
    <w:p w14:paraId="28E2A34C" w14:textId="3B38DF2C" w:rsidR="00D15CDE" w:rsidRPr="00D124C5" w:rsidRDefault="00D15CDE">
      <w:pPr>
        <w:pStyle w:val="FootnoteText"/>
        <w:rPr>
          <w:sz w:val="22"/>
          <w:szCs w:val="22"/>
        </w:rPr>
      </w:pPr>
      <w:r w:rsidRPr="00044447">
        <w:rPr>
          <w:rStyle w:val="FootnoteReference"/>
          <w:sz w:val="22"/>
          <w:szCs w:val="22"/>
        </w:rPr>
        <w:footnoteRef/>
      </w:r>
      <w:r w:rsidRPr="00044447">
        <w:rPr>
          <w:sz w:val="22"/>
          <w:szCs w:val="22"/>
        </w:rPr>
        <w:t xml:space="preserve"> </w:t>
      </w:r>
      <w:r w:rsidRPr="007320B8">
        <w:rPr>
          <w:i/>
          <w:iCs/>
          <w:sz w:val="22"/>
          <w:szCs w:val="22"/>
        </w:rPr>
        <w:t>See 2017 Ten Percent Order</w:t>
      </w:r>
      <w:r w:rsidRPr="00D124C5">
        <w:rPr>
          <w:sz w:val="22"/>
          <w:szCs w:val="22"/>
        </w:rPr>
        <w:t>.</w:t>
      </w:r>
    </w:p>
  </w:footnote>
  <w:footnote w:id="22">
    <w:p w14:paraId="5459CC03" w14:textId="58CC71F7" w:rsidR="00D15CDE" w:rsidRPr="00CC7A44" w:rsidRDefault="00D15CDE">
      <w:pPr>
        <w:pStyle w:val="FootnoteText"/>
        <w:rPr>
          <w:sz w:val="22"/>
          <w:szCs w:val="22"/>
        </w:rPr>
      </w:pPr>
      <w:r w:rsidRPr="00CC7A44">
        <w:rPr>
          <w:rStyle w:val="FootnoteReference"/>
          <w:sz w:val="22"/>
          <w:szCs w:val="22"/>
        </w:rPr>
        <w:footnoteRef/>
      </w:r>
      <w:r w:rsidRPr="00CC7A44">
        <w:rPr>
          <w:sz w:val="22"/>
          <w:szCs w:val="22"/>
        </w:rPr>
        <w:t xml:space="preserve"> </w:t>
      </w:r>
      <w:r w:rsidRPr="00CC7A44">
        <w:rPr>
          <w:i/>
          <w:iCs/>
          <w:sz w:val="22"/>
          <w:szCs w:val="22"/>
        </w:rPr>
        <w:t>Id</w:t>
      </w:r>
      <w:r w:rsidRPr="00CC7A44">
        <w:rPr>
          <w:sz w:val="22"/>
          <w:szCs w:val="22"/>
        </w:rPr>
        <w:t>.</w:t>
      </w:r>
    </w:p>
  </w:footnote>
  <w:footnote w:id="23">
    <w:p w14:paraId="4F115996" w14:textId="452C52DD" w:rsidR="00D15CDE" w:rsidRPr="00CC7A44" w:rsidRDefault="00D15CDE">
      <w:pPr>
        <w:pStyle w:val="FootnoteText"/>
        <w:rPr>
          <w:sz w:val="22"/>
          <w:szCs w:val="22"/>
        </w:rPr>
      </w:pPr>
      <w:r w:rsidRPr="00CC7A44">
        <w:rPr>
          <w:rStyle w:val="FootnoteReference"/>
          <w:sz w:val="22"/>
          <w:szCs w:val="22"/>
        </w:rPr>
        <w:footnoteRef/>
      </w:r>
      <w:r w:rsidRPr="00CC7A44">
        <w:rPr>
          <w:sz w:val="22"/>
          <w:szCs w:val="22"/>
        </w:rPr>
        <w:t xml:space="preserve"> </w:t>
      </w:r>
      <w:r w:rsidRPr="00A1679D">
        <w:rPr>
          <w:i/>
          <w:sz w:val="22"/>
          <w:szCs w:val="22"/>
        </w:rPr>
        <w:t>Order</w:t>
      </w:r>
      <w:r>
        <w:rPr>
          <w:sz w:val="22"/>
          <w:szCs w:val="22"/>
        </w:rPr>
        <w:t xml:space="preserve"> </w:t>
      </w:r>
      <w:r w:rsidRPr="00CC7A44">
        <w:rPr>
          <w:sz w:val="22"/>
          <w:szCs w:val="22"/>
        </w:rPr>
        <w:t>at 2.</w:t>
      </w:r>
    </w:p>
  </w:footnote>
  <w:footnote w:id="24">
    <w:p w14:paraId="1B06F99D" w14:textId="7D05EDE8" w:rsidR="00D15CDE" w:rsidRPr="007777AE" w:rsidRDefault="00D15CDE">
      <w:pPr>
        <w:pStyle w:val="FootnoteText"/>
        <w:rPr>
          <w:sz w:val="22"/>
          <w:szCs w:val="22"/>
        </w:rPr>
      </w:pPr>
      <w:r w:rsidRPr="00D124C5">
        <w:rPr>
          <w:rStyle w:val="FootnoteReference"/>
          <w:sz w:val="22"/>
          <w:szCs w:val="22"/>
        </w:rPr>
        <w:footnoteRef/>
      </w:r>
      <w:r w:rsidRPr="00D124C5">
        <w:rPr>
          <w:sz w:val="22"/>
          <w:szCs w:val="22"/>
        </w:rPr>
        <w:t xml:space="preserve"> </w:t>
      </w:r>
      <w:r w:rsidRPr="00D124C5">
        <w:rPr>
          <w:i/>
          <w:iCs/>
          <w:sz w:val="22"/>
          <w:szCs w:val="22"/>
        </w:rPr>
        <w:t>See</w:t>
      </w:r>
      <w:r w:rsidRPr="00D124C5">
        <w:rPr>
          <w:sz w:val="22"/>
          <w:szCs w:val="22"/>
        </w:rPr>
        <w:t xml:space="preserve"> Proposed Annex A, § 69.3701(8); </w:t>
      </w:r>
      <w:r w:rsidRPr="00D124C5">
        <w:rPr>
          <w:i/>
          <w:iCs/>
          <w:sz w:val="22"/>
          <w:szCs w:val="22"/>
        </w:rPr>
        <w:t>see</w:t>
      </w:r>
      <w:r w:rsidRPr="00D124C5">
        <w:rPr>
          <w:sz w:val="22"/>
          <w:szCs w:val="22"/>
        </w:rPr>
        <w:t xml:space="preserve"> Final Annex A, § 69.3701(j).</w:t>
      </w:r>
    </w:p>
  </w:footnote>
  <w:footnote w:id="25">
    <w:p w14:paraId="65A021C9" w14:textId="73E3B1E4" w:rsidR="00D15CDE" w:rsidRPr="007777AE" w:rsidRDefault="00D15CDE">
      <w:pPr>
        <w:pStyle w:val="FootnoteText"/>
        <w:rPr>
          <w:sz w:val="22"/>
          <w:szCs w:val="22"/>
        </w:rPr>
      </w:pPr>
      <w:r w:rsidRPr="007777AE">
        <w:rPr>
          <w:rStyle w:val="FootnoteReference"/>
          <w:sz w:val="22"/>
          <w:szCs w:val="22"/>
        </w:rPr>
        <w:footnoteRef/>
      </w:r>
      <w:r w:rsidRPr="007777AE">
        <w:rPr>
          <w:sz w:val="22"/>
          <w:szCs w:val="22"/>
        </w:rPr>
        <w:t xml:space="preserve"> </w:t>
      </w:r>
      <w:r w:rsidRPr="007777AE">
        <w:rPr>
          <w:i/>
          <w:iCs/>
          <w:sz w:val="22"/>
          <w:szCs w:val="22"/>
        </w:rPr>
        <w:t xml:space="preserve">See </w:t>
      </w:r>
      <w:r w:rsidRPr="007777AE">
        <w:rPr>
          <w:sz w:val="22"/>
          <w:szCs w:val="22"/>
        </w:rPr>
        <w:t xml:space="preserve">47 C.F.R. § 36.1, </w:t>
      </w:r>
      <w:r w:rsidRPr="007777AE">
        <w:rPr>
          <w:i/>
          <w:iCs/>
          <w:sz w:val="22"/>
          <w:szCs w:val="22"/>
        </w:rPr>
        <w:t>et seq.</w:t>
      </w:r>
    </w:p>
  </w:footnote>
  <w:footnote w:id="26">
    <w:p w14:paraId="11D67564" w14:textId="141E4C32" w:rsidR="00D15CDE" w:rsidRPr="00616481" w:rsidRDefault="00D15CDE">
      <w:pPr>
        <w:pStyle w:val="FootnoteText"/>
        <w:rPr>
          <w:sz w:val="22"/>
          <w:szCs w:val="22"/>
        </w:rPr>
      </w:pPr>
      <w:r w:rsidRPr="00616481">
        <w:rPr>
          <w:rStyle w:val="FootnoteReference"/>
          <w:sz w:val="22"/>
          <w:szCs w:val="22"/>
        </w:rPr>
        <w:footnoteRef/>
      </w:r>
      <w:r w:rsidRPr="00616481">
        <w:rPr>
          <w:sz w:val="22"/>
          <w:szCs w:val="22"/>
        </w:rPr>
        <w:t xml:space="preserve"> </w:t>
      </w:r>
      <w:r w:rsidRPr="00616481">
        <w:rPr>
          <w:i/>
          <w:iCs/>
          <w:sz w:val="22"/>
          <w:szCs w:val="22"/>
        </w:rPr>
        <w:t>See</w:t>
      </w:r>
      <w:r w:rsidRPr="00616481">
        <w:rPr>
          <w:sz w:val="22"/>
          <w:szCs w:val="22"/>
        </w:rPr>
        <w:t xml:space="preserve"> Proposed Annex</w:t>
      </w:r>
      <w:r>
        <w:rPr>
          <w:sz w:val="22"/>
          <w:szCs w:val="22"/>
        </w:rPr>
        <w:t xml:space="preserve"> A</w:t>
      </w:r>
      <w:r w:rsidRPr="00616481">
        <w:rPr>
          <w:sz w:val="22"/>
          <w:szCs w:val="22"/>
        </w:rPr>
        <w:t xml:space="preserve">, § 69.3701(8); </w:t>
      </w:r>
      <w:r w:rsidRPr="00616481">
        <w:rPr>
          <w:i/>
          <w:iCs/>
          <w:sz w:val="22"/>
          <w:szCs w:val="22"/>
        </w:rPr>
        <w:t>see</w:t>
      </w:r>
      <w:r w:rsidRPr="00616481">
        <w:rPr>
          <w:sz w:val="22"/>
          <w:szCs w:val="22"/>
        </w:rPr>
        <w:t xml:space="preserve"> Final Annex</w:t>
      </w:r>
      <w:r>
        <w:rPr>
          <w:sz w:val="22"/>
          <w:szCs w:val="22"/>
        </w:rPr>
        <w:t xml:space="preserve"> A,</w:t>
      </w:r>
      <w:r w:rsidRPr="00616481">
        <w:rPr>
          <w:sz w:val="22"/>
          <w:szCs w:val="22"/>
        </w:rPr>
        <w:t xml:space="preserve"> § 69.3701(j).</w:t>
      </w:r>
    </w:p>
  </w:footnote>
  <w:footnote w:id="27">
    <w:p w14:paraId="4A586CD4" w14:textId="3819C9B6" w:rsidR="00D15CDE" w:rsidRPr="007777AE" w:rsidRDefault="00D15CDE">
      <w:pPr>
        <w:pStyle w:val="FootnoteText"/>
        <w:rPr>
          <w:sz w:val="22"/>
          <w:szCs w:val="22"/>
        </w:rPr>
      </w:pPr>
      <w:r w:rsidRPr="007777AE">
        <w:rPr>
          <w:rStyle w:val="FootnoteReference"/>
          <w:sz w:val="22"/>
          <w:szCs w:val="22"/>
        </w:rPr>
        <w:footnoteRef/>
      </w:r>
      <w:r w:rsidRPr="007777AE">
        <w:rPr>
          <w:sz w:val="22"/>
          <w:szCs w:val="22"/>
        </w:rPr>
        <w:t xml:space="preserve"> </w:t>
      </w:r>
      <w:r w:rsidRPr="007777AE">
        <w:rPr>
          <w:i/>
          <w:iCs/>
          <w:sz w:val="22"/>
          <w:szCs w:val="22"/>
        </w:rPr>
        <w:t>Revenue</w:t>
      </w:r>
      <w:r w:rsidRPr="007777AE">
        <w:rPr>
          <w:sz w:val="22"/>
          <w:szCs w:val="22"/>
        </w:rPr>
        <w:t>, Black’s Law Dictionary (10th ed. 2014).</w:t>
      </w:r>
    </w:p>
  </w:footnote>
  <w:footnote w:id="28">
    <w:p w14:paraId="09EEAF44" w14:textId="2138F8AF" w:rsidR="00D15CDE" w:rsidRPr="007777AE" w:rsidRDefault="00D15CDE">
      <w:pPr>
        <w:pStyle w:val="FootnoteText"/>
        <w:rPr>
          <w:sz w:val="22"/>
          <w:szCs w:val="22"/>
        </w:rPr>
      </w:pPr>
      <w:r w:rsidRPr="007777AE">
        <w:rPr>
          <w:rStyle w:val="FootnoteReference"/>
          <w:sz w:val="22"/>
          <w:szCs w:val="22"/>
        </w:rPr>
        <w:footnoteRef/>
      </w:r>
      <w:r w:rsidRPr="007777AE">
        <w:rPr>
          <w:sz w:val="22"/>
          <w:szCs w:val="22"/>
        </w:rPr>
        <w:t xml:space="preserve"> </w:t>
      </w:r>
      <w:r w:rsidRPr="007777AE">
        <w:rPr>
          <w:i/>
          <w:iCs/>
          <w:sz w:val="22"/>
          <w:szCs w:val="22"/>
        </w:rPr>
        <w:t>Income</w:t>
      </w:r>
      <w:r w:rsidRPr="007777AE">
        <w:rPr>
          <w:sz w:val="22"/>
          <w:szCs w:val="22"/>
        </w:rPr>
        <w:t xml:space="preserve">, </w:t>
      </w:r>
      <w:r>
        <w:rPr>
          <w:i/>
          <w:iCs/>
          <w:sz w:val="22"/>
          <w:szCs w:val="22"/>
        </w:rPr>
        <w:t>I</w:t>
      </w:r>
      <w:r w:rsidRPr="007777AE">
        <w:rPr>
          <w:i/>
          <w:iCs/>
          <w:sz w:val="22"/>
          <w:szCs w:val="22"/>
        </w:rPr>
        <w:t>d.</w:t>
      </w:r>
    </w:p>
  </w:footnote>
  <w:footnote w:id="29">
    <w:p w14:paraId="3D10A681" w14:textId="2679D360" w:rsidR="00D15CDE" w:rsidRPr="00A31347" w:rsidRDefault="00D15CDE">
      <w:pPr>
        <w:pStyle w:val="FootnoteText"/>
        <w:rPr>
          <w:sz w:val="22"/>
          <w:szCs w:val="22"/>
        </w:rPr>
      </w:pPr>
      <w:r w:rsidRPr="00A31347">
        <w:rPr>
          <w:rStyle w:val="FootnoteReference"/>
          <w:sz w:val="22"/>
          <w:szCs w:val="22"/>
        </w:rPr>
        <w:footnoteRef/>
      </w:r>
      <w:r w:rsidRPr="00A31347">
        <w:rPr>
          <w:sz w:val="22"/>
          <w:szCs w:val="22"/>
        </w:rPr>
        <w:t xml:space="preserve"> </w:t>
      </w:r>
      <w:r>
        <w:rPr>
          <w:i/>
          <w:iCs/>
          <w:sz w:val="22"/>
          <w:szCs w:val="22"/>
        </w:rPr>
        <w:t xml:space="preserve">See </w:t>
      </w:r>
      <w:r>
        <w:rPr>
          <w:sz w:val="22"/>
          <w:szCs w:val="22"/>
        </w:rPr>
        <w:t xml:space="preserve">Proposed </w:t>
      </w:r>
      <w:r w:rsidRPr="00A31347">
        <w:rPr>
          <w:sz w:val="22"/>
          <w:szCs w:val="22"/>
        </w:rPr>
        <w:t>Annex</w:t>
      </w:r>
      <w:r>
        <w:rPr>
          <w:sz w:val="22"/>
          <w:szCs w:val="22"/>
        </w:rPr>
        <w:t xml:space="preserve"> A</w:t>
      </w:r>
      <w:r w:rsidRPr="00A31347">
        <w:rPr>
          <w:sz w:val="22"/>
          <w:szCs w:val="22"/>
        </w:rPr>
        <w:t>, § 69.3701</w:t>
      </w:r>
      <w:r w:rsidRPr="00616481">
        <w:rPr>
          <w:sz w:val="22"/>
          <w:szCs w:val="22"/>
        </w:rPr>
        <w:t xml:space="preserve">(3); </w:t>
      </w:r>
      <w:r>
        <w:rPr>
          <w:i/>
          <w:iCs/>
          <w:sz w:val="22"/>
          <w:szCs w:val="22"/>
        </w:rPr>
        <w:t xml:space="preserve">see </w:t>
      </w:r>
      <w:r w:rsidRPr="00616481">
        <w:rPr>
          <w:sz w:val="22"/>
          <w:szCs w:val="22"/>
        </w:rPr>
        <w:t>Final Annex</w:t>
      </w:r>
      <w:r>
        <w:rPr>
          <w:sz w:val="22"/>
          <w:szCs w:val="22"/>
        </w:rPr>
        <w:t xml:space="preserve"> A,</w:t>
      </w:r>
      <w:r w:rsidRPr="00616481">
        <w:rPr>
          <w:sz w:val="22"/>
          <w:szCs w:val="22"/>
        </w:rPr>
        <w:t xml:space="preserve"> § 69.3701(d).</w:t>
      </w:r>
    </w:p>
  </w:footnote>
  <w:footnote w:id="30">
    <w:p w14:paraId="3A82796C" w14:textId="7D44753C" w:rsidR="00D15CDE" w:rsidRPr="00A31347" w:rsidRDefault="00D15CDE">
      <w:pPr>
        <w:pStyle w:val="FootnoteText"/>
        <w:rPr>
          <w:sz w:val="22"/>
          <w:szCs w:val="22"/>
        </w:rPr>
      </w:pPr>
      <w:r w:rsidRPr="00A31347">
        <w:rPr>
          <w:rStyle w:val="FootnoteReference"/>
          <w:sz w:val="22"/>
          <w:szCs w:val="22"/>
        </w:rPr>
        <w:footnoteRef/>
      </w:r>
      <w:r w:rsidRPr="00A31347">
        <w:rPr>
          <w:sz w:val="22"/>
          <w:szCs w:val="22"/>
        </w:rPr>
        <w:t xml:space="preserve"> 66 Pa. C.S. § 510(f) provides in relevant part “it is the intent and purpose of this section that each public utility subject to this part shall advance to the commission its reasonable share of the cost of administering this part.”</w:t>
      </w:r>
    </w:p>
  </w:footnote>
  <w:footnote w:id="31">
    <w:p w14:paraId="43DD4235" w14:textId="3B6B28C2" w:rsidR="00D15CDE" w:rsidRPr="00A31347" w:rsidRDefault="00D15CDE">
      <w:pPr>
        <w:pStyle w:val="FootnoteText"/>
        <w:rPr>
          <w:sz w:val="22"/>
          <w:szCs w:val="22"/>
        </w:rPr>
      </w:pPr>
      <w:r w:rsidRPr="00A31347">
        <w:rPr>
          <w:rStyle w:val="FootnoteReference"/>
          <w:sz w:val="22"/>
          <w:szCs w:val="22"/>
        </w:rPr>
        <w:footnoteRef/>
      </w:r>
      <w:r w:rsidRPr="00A31347">
        <w:rPr>
          <w:sz w:val="22"/>
          <w:szCs w:val="22"/>
        </w:rPr>
        <w:t xml:space="preserve"> 66 Pa. C.S. § 3</w:t>
      </w:r>
      <w:r w:rsidRPr="00F80D6B">
        <w:rPr>
          <w:sz w:val="22"/>
          <w:szCs w:val="22"/>
        </w:rPr>
        <w:t>015</w:t>
      </w:r>
      <w:r w:rsidRPr="00A31347">
        <w:rPr>
          <w:sz w:val="22"/>
          <w:szCs w:val="22"/>
        </w:rPr>
        <w:t>.</w:t>
      </w:r>
    </w:p>
  </w:footnote>
  <w:footnote w:id="32">
    <w:p w14:paraId="58117093" w14:textId="54BEF53E" w:rsidR="00D15CDE" w:rsidRPr="00A31347" w:rsidRDefault="00D15CDE" w:rsidP="006F3188">
      <w:pPr>
        <w:pStyle w:val="FootnoteText"/>
        <w:rPr>
          <w:sz w:val="22"/>
          <w:szCs w:val="22"/>
        </w:rPr>
      </w:pPr>
      <w:r w:rsidRPr="00A31347">
        <w:rPr>
          <w:rStyle w:val="FootnoteReference"/>
          <w:sz w:val="22"/>
          <w:szCs w:val="22"/>
        </w:rPr>
        <w:footnoteRef/>
      </w:r>
      <w:r w:rsidRPr="00A31347">
        <w:rPr>
          <w:sz w:val="22"/>
          <w:szCs w:val="22"/>
        </w:rPr>
        <w:t xml:space="preserve"> </w:t>
      </w:r>
      <w:r w:rsidRPr="00A31347">
        <w:rPr>
          <w:i/>
          <w:iCs/>
          <w:sz w:val="22"/>
          <w:szCs w:val="22"/>
        </w:rPr>
        <w:t>In re Accelerating Wireless Broadband Deployment by Removing Barriers to Infrastructure Deployment by Removing Barriers to Infrastructure Investment</w:t>
      </w:r>
      <w:r w:rsidRPr="00A31347">
        <w:rPr>
          <w:sz w:val="22"/>
          <w:szCs w:val="22"/>
        </w:rPr>
        <w:t xml:space="preserve">, WT Docket 17-70 and </w:t>
      </w:r>
      <w:r w:rsidRPr="00A31347">
        <w:rPr>
          <w:i/>
          <w:iCs/>
          <w:sz w:val="22"/>
          <w:szCs w:val="22"/>
        </w:rPr>
        <w:t xml:space="preserve">In re Accelerating Wireless Broadband Deployment by Removing Barriers to Infrastructure Investment, WT Docket 17-84, </w:t>
      </w:r>
      <w:r w:rsidRPr="00A31347">
        <w:rPr>
          <w:sz w:val="22"/>
          <w:szCs w:val="22"/>
        </w:rPr>
        <w:t xml:space="preserve">Declaratory Ruling and Third Report and Order, </w:t>
      </w:r>
      <w:r>
        <w:rPr>
          <w:sz w:val="22"/>
          <w:szCs w:val="22"/>
        </w:rPr>
        <w:t>83 FR 51867, 51868</w:t>
      </w:r>
      <w:r w:rsidRPr="00A31347">
        <w:rPr>
          <w:sz w:val="22"/>
          <w:szCs w:val="22"/>
        </w:rPr>
        <w:t xml:space="preserve"> (2018) (</w:t>
      </w:r>
      <w:r w:rsidRPr="00A31347">
        <w:rPr>
          <w:i/>
          <w:iCs/>
          <w:sz w:val="22"/>
          <w:szCs w:val="22"/>
        </w:rPr>
        <w:t>Declaratory Ruling</w:t>
      </w:r>
      <w:r w:rsidRPr="00D124C5">
        <w:rPr>
          <w:iCs/>
          <w:sz w:val="22"/>
          <w:szCs w:val="22"/>
        </w:rPr>
        <w:t>)</w:t>
      </w:r>
      <w:r>
        <w:rPr>
          <w:i/>
          <w:iCs/>
          <w:sz w:val="22"/>
          <w:szCs w:val="22"/>
        </w:rPr>
        <w:t>.</w:t>
      </w:r>
    </w:p>
  </w:footnote>
  <w:footnote w:id="33">
    <w:p w14:paraId="58798144" w14:textId="5073B23D" w:rsidR="00D15CDE" w:rsidRPr="00A31347" w:rsidRDefault="00D15CDE">
      <w:pPr>
        <w:pStyle w:val="FootnoteText"/>
        <w:rPr>
          <w:sz w:val="22"/>
          <w:szCs w:val="22"/>
        </w:rPr>
      </w:pPr>
      <w:r w:rsidRPr="00A31347">
        <w:rPr>
          <w:rStyle w:val="FootnoteReference"/>
          <w:sz w:val="22"/>
          <w:szCs w:val="22"/>
        </w:rPr>
        <w:footnoteRef/>
      </w:r>
      <w:r w:rsidRPr="00A31347">
        <w:rPr>
          <w:sz w:val="22"/>
          <w:szCs w:val="22"/>
        </w:rPr>
        <w:t xml:space="preserve"> </w:t>
      </w:r>
      <w:r w:rsidRPr="00A31347">
        <w:rPr>
          <w:i/>
          <w:iCs/>
          <w:sz w:val="22"/>
          <w:szCs w:val="22"/>
        </w:rPr>
        <w:t xml:space="preserve">Id. </w:t>
      </w:r>
      <w:r w:rsidRPr="00A31347">
        <w:rPr>
          <w:sz w:val="22"/>
          <w:szCs w:val="22"/>
        </w:rPr>
        <w:t>at ¶ 3.</w:t>
      </w:r>
    </w:p>
  </w:footnote>
  <w:footnote w:id="34">
    <w:p w14:paraId="6E8C94DA" w14:textId="30C474BB" w:rsidR="00D15CDE" w:rsidRPr="00243E68" w:rsidRDefault="00D15CDE">
      <w:pPr>
        <w:pStyle w:val="FootnoteText"/>
        <w:rPr>
          <w:sz w:val="22"/>
          <w:szCs w:val="22"/>
        </w:rPr>
      </w:pPr>
      <w:r w:rsidRPr="00243E68">
        <w:rPr>
          <w:rStyle w:val="FootnoteReference"/>
          <w:sz w:val="22"/>
          <w:szCs w:val="22"/>
        </w:rPr>
        <w:footnoteRef/>
      </w:r>
      <w:r w:rsidRPr="00243E68">
        <w:rPr>
          <w:sz w:val="22"/>
          <w:szCs w:val="22"/>
        </w:rPr>
        <w:t xml:space="preserve"> </w:t>
      </w:r>
      <w:r w:rsidRPr="00243E68">
        <w:rPr>
          <w:i/>
          <w:iCs/>
          <w:sz w:val="22"/>
          <w:szCs w:val="22"/>
        </w:rPr>
        <w:t>Id</w:t>
      </w:r>
      <w:r w:rsidRPr="00243E68">
        <w:rPr>
          <w:sz w:val="22"/>
          <w:szCs w:val="22"/>
        </w:rPr>
        <w:t>.</w:t>
      </w:r>
      <w:r>
        <w:rPr>
          <w:sz w:val="22"/>
          <w:szCs w:val="22"/>
        </w:rPr>
        <w:t xml:space="preserve"> (emphasis in original).</w:t>
      </w:r>
    </w:p>
  </w:footnote>
  <w:footnote w:id="35">
    <w:p w14:paraId="746633C9" w14:textId="02F49845" w:rsidR="00D15CDE" w:rsidRPr="00243E68" w:rsidRDefault="00D15CDE">
      <w:pPr>
        <w:pStyle w:val="FootnoteText"/>
        <w:rPr>
          <w:sz w:val="22"/>
          <w:szCs w:val="22"/>
        </w:rPr>
      </w:pPr>
      <w:r w:rsidRPr="00243E68">
        <w:rPr>
          <w:rStyle w:val="FootnoteReference"/>
          <w:sz w:val="22"/>
          <w:szCs w:val="22"/>
        </w:rPr>
        <w:footnoteRef/>
      </w:r>
      <w:r w:rsidRPr="00243E68">
        <w:rPr>
          <w:sz w:val="22"/>
          <w:szCs w:val="22"/>
        </w:rPr>
        <w:t xml:space="preserve"> </w:t>
      </w:r>
      <w:r w:rsidRPr="00243E68">
        <w:rPr>
          <w:i/>
          <w:iCs/>
          <w:sz w:val="22"/>
          <w:szCs w:val="22"/>
        </w:rPr>
        <w:t xml:space="preserve">Id. </w:t>
      </w:r>
      <w:r w:rsidRPr="00243E68">
        <w:rPr>
          <w:sz w:val="22"/>
          <w:szCs w:val="22"/>
        </w:rPr>
        <w:t>at ¶ 54.</w:t>
      </w:r>
    </w:p>
  </w:footnote>
  <w:footnote w:id="36">
    <w:p w14:paraId="2F8CCC35" w14:textId="7CC6CB85" w:rsidR="00D15CDE" w:rsidRPr="00243E68" w:rsidRDefault="00D15CDE" w:rsidP="007B70BB">
      <w:pPr>
        <w:pStyle w:val="FootnoteText"/>
        <w:rPr>
          <w:sz w:val="22"/>
          <w:szCs w:val="22"/>
        </w:rPr>
      </w:pPr>
      <w:r w:rsidRPr="00243E68">
        <w:rPr>
          <w:rStyle w:val="FootnoteReference"/>
          <w:sz w:val="22"/>
          <w:szCs w:val="22"/>
        </w:rPr>
        <w:footnoteRef/>
      </w:r>
      <w:r w:rsidRPr="00243E68">
        <w:rPr>
          <w:sz w:val="22"/>
          <w:szCs w:val="22"/>
        </w:rPr>
        <w:t xml:space="preserve"> </w:t>
      </w:r>
      <w:r w:rsidRPr="002C27D6">
        <w:rPr>
          <w:i/>
          <w:iCs/>
          <w:color w:val="000000"/>
          <w:sz w:val="22"/>
          <w:szCs w:val="22"/>
        </w:rPr>
        <w:t>Illinois Bell Tel. Co. v. FCC</w:t>
      </w:r>
      <w:r w:rsidRPr="00D27106">
        <w:rPr>
          <w:sz w:val="22"/>
          <w:szCs w:val="22"/>
        </w:rPr>
        <w:t xml:space="preserve"> , </w:t>
      </w:r>
      <w:r w:rsidRPr="00243E68">
        <w:rPr>
          <w:sz w:val="22"/>
          <w:szCs w:val="22"/>
        </w:rPr>
        <w:t xml:space="preserve">883 F.2d 104 (D.C. Cir. </w:t>
      </w:r>
      <w:r w:rsidRPr="00D27106">
        <w:rPr>
          <w:sz w:val="22"/>
          <w:szCs w:val="22"/>
        </w:rPr>
        <w:t xml:space="preserve">1989) </w:t>
      </w:r>
      <w:r w:rsidRPr="002C27D6">
        <w:rPr>
          <w:i/>
          <w:iCs/>
          <w:color w:val="000000"/>
          <w:sz w:val="22"/>
          <w:szCs w:val="22"/>
        </w:rPr>
        <w:t>(Illinois Bell</w:t>
      </w:r>
      <w:r w:rsidRPr="00144E6C">
        <w:rPr>
          <w:i/>
          <w:iCs/>
          <w:color w:val="000000"/>
          <w:sz w:val="26"/>
          <w:szCs w:val="26"/>
        </w:rPr>
        <w:t>)</w:t>
      </w:r>
      <w:r w:rsidRPr="00243E68">
        <w:rPr>
          <w:sz w:val="22"/>
          <w:szCs w:val="22"/>
        </w:rPr>
        <w:t>.</w:t>
      </w:r>
    </w:p>
  </w:footnote>
  <w:footnote w:id="37">
    <w:p w14:paraId="1DD53AF5" w14:textId="3460BB49" w:rsidR="00D15CDE" w:rsidRPr="00243E68" w:rsidRDefault="00D15CDE">
      <w:pPr>
        <w:pStyle w:val="FootnoteText"/>
        <w:rPr>
          <w:sz w:val="22"/>
          <w:szCs w:val="22"/>
        </w:rPr>
      </w:pPr>
      <w:r w:rsidRPr="00243E68">
        <w:rPr>
          <w:rStyle w:val="FootnoteReference"/>
          <w:sz w:val="22"/>
          <w:szCs w:val="22"/>
        </w:rPr>
        <w:footnoteRef/>
      </w:r>
      <w:r w:rsidRPr="00243E68">
        <w:rPr>
          <w:sz w:val="22"/>
          <w:szCs w:val="22"/>
        </w:rPr>
        <w:t xml:space="preserve"> 66 Pa. C.S. § 510 </w:t>
      </w:r>
      <w:r w:rsidR="00A1679D">
        <w:rPr>
          <w:i/>
          <w:iCs/>
          <w:sz w:val="22"/>
          <w:szCs w:val="22"/>
        </w:rPr>
        <w:t>et</w:t>
      </w:r>
      <w:r w:rsidRPr="00243E68">
        <w:rPr>
          <w:i/>
          <w:iCs/>
          <w:sz w:val="22"/>
          <w:szCs w:val="22"/>
        </w:rPr>
        <w:t xml:space="preserve"> seq</w:t>
      </w:r>
      <w:r w:rsidRPr="00243E68">
        <w:rPr>
          <w:sz w:val="22"/>
          <w:szCs w:val="22"/>
        </w:rPr>
        <w:t>.</w:t>
      </w:r>
    </w:p>
  </w:footnote>
  <w:footnote w:id="38">
    <w:p w14:paraId="7EE4D106" w14:textId="025EADA1" w:rsidR="00D15CDE" w:rsidRPr="00243E68" w:rsidRDefault="00D15CDE">
      <w:pPr>
        <w:pStyle w:val="FootnoteText"/>
        <w:rPr>
          <w:sz w:val="22"/>
          <w:szCs w:val="22"/>
        </w:rPr>
      </w:pPr>
      <w:r w:rsidRPr="00243E68">
        <w:rPr>
          <w:rStyle w:val="FootnoteReference"/>
          <w:sz w:val="22"/>
          <w:szCs w:val="22"/>
        </w:rPr>
        <w:footnoteRef/>
      </w:r>
      <w:r w:rsidRPr="00243E68">
        <w:rPr>
          <w:sz w:val="22"/>
          <w:szCs w:val="22"/>
        </w:rPr>
        <w:t xml:space="preserve"> </w:t>
      </w:r>
      <w:r w:rsidRPr="00243E68">
        <w:rPr>
          <w:bCs/>
          <w:i/>
          <w:iCs/>
          <w:sz w:val="22"/>
          <w:szCs w:val="22"/>
        </w:rPr>
        <w:t>Regency Transp. Group, Ltd. v. Pa. P.U.C.,</w:t>
      </w:r>
      <w:r w:rsidRPr="00243E68">
        <w:rPr>
          <w:bCs/>
          <w:sz w:val="22"/>
          <w:szCs w:val="22"/>
        </w:rPr>
        <w:t xml:space="preserve"> 44 A.3d 107 (Pa. Cmwlth. 2012)</w:t>
      </w:r>
      <w:r>
        <w:rPr>
          <w:bCs/>
          <w:sz w:val="22"/>
          <w:szCs w:val="22"/>
        </w:rPr>
        <w:t xml:space="preserve"> </w:t>
      </w:r>
      <w:r w:rsidRPr="00243E68">
        <w:rPr>
          <w:bCs/>
          <w:sz w:val="22"/>
          <w:szCs w:val="22"/>
        </w:rPr>
        <w:t>(</w:t>
      </w:r>
      <w:r w:rsidRPr="00243E68">
        <w:rPr>
          <w:bCs/>
          <w:i/>
          <w:iCs/>
          <w:sz w:val="22"/>
          <w:szCs w:val="22"/>
        </w:rPr>
        <w:t>Regency</w:t>
      </w:r>
      <w:r w:rsidRPr="00243E68">
        <w:rPr>
          <w:bCs/>
          <w:sz w:val="22"/>
          <w:szCs w:val="22"/>
        </w:rPr>
        <w:t>).</w:t>
      </w:r>
    </w:p>
  </w:footnote>
  <w:footnote w:id="39">
    <w:p w14:paraId="5F5AC441" w14:textId="451A2E0A" w:rsidR="00D15CDE" w:rsidRPr="00CD39E1" w:rsidRDefault="00D15CDE">
      <w:pPr>
        <w:pStyle w:val="FootnoteText"/>
        <w:rPr>
          <w:sz w:val="22"/>
          <w:szCs w:val="22"/>
        </w:rPr>
      </w:pPr>
      <w:r w:rsidRPr="00CD39E1">
        <w:rPr>
          <w:rStyle w:val="FootnoteReference"/>
          <w:sz w:val="22"/>
          <w:szCs w:val="22"/>
        </w:rPr>
        <w:footnoteRef/>
      </w:r>
      <w:r w:rsidRPr="00CD39E1">
        <w:rPr>
          <w:sz w:val="22"/>
          <w:szCs w:val="22"/>
        </w:rPr>
        <w:t xml:space="preserve"> 49 U.S.C. </w:t>
      </w:r>
      <w:r w:rsidRPr="00CD39E1">
        <w:rPr>
          <w:bCs/>
          <w:color w:val="000000"/>
          <w:sz w:val="22"/>
          <w:szCs w:val="22"/>
        </w:rPr>
        <w:t>§ 14504a(c)(2).</w:t>
      </w:r>
    </w:p>
  </w:footnote>
  <w:footnote w:id="40">
    <w:p w14:paraId="39089A81" w14:textId="00A38E2D" w:rsidR="00D15CDE" w:rsidRPr="00205C0A" w:rsidRDefault="00D15CDE">
      <w:pPr>
        <w:pStyle w:val="FootnoteText"/>
        <w:rPr>
          <w:sz w:val="22"/>
          <w:szCs w:val="22"/>
        </w:rPr>
      </w:pPr>
      <w:r w:rsidRPr="00205C0A">
        <w:rPr>
          <w:rStyle w:val="FootnoteReference"/>
          <w:sz w:val="22"/>
          <w:szCs w:val="22"/>
        </w:rPr>
        <w:footnoteRef/>
      </w:r>
      <w:r w:rsidRPr="00205C0A">
        <w:rPr>
          <w:sz w:val="22"/>
          <w:szCs w:val="22"/>
        </w:rPr>
        <w:t xml:space="preserve"> </w:t>
      </w:r>
      <w:r w:rsidRPr="00205C0A">
        <w:rPr>
          <w:i/>
          <w:iCs/>
          <w:sz w:val="22"/>
          <w:szCs w:val="22"/>
        </w:rPr>
        <w:t>See</w:t>
      </w:r>
      <w:r w:rsidRPr="00205C0A">
        <w:rPr>
          <w:sz w:val="22"/>
          <w:szCs w:val="22"/>
        </w:rPr>
        <w:t xml:space="preserve"> </w:t>
      </w:r>
      <w:r w:rsidRPr="00D15CDE">
        <w:rPr>
          <w:i/>
          <w:sz w:val="22"/>
          <w:szCs w:val="22"/>
        </w:rPr>
        <w:t>Proposed Policy Statement Order</w:t>
      </w:r>
      <w:r>
        <w:rPr>
          <w:sz w:val="22"/>
          <w:szCs w:val="22"/>
        </w:rPr>
        <w:t xml:space="preserve"> </w:t>
      </w:r>
      <w:r w:rsidRPr="00205C0A">
        <w:rPr>
          <w:sz w:val="22"/>
          <w:szCs w:val="22"/>
        </w:rPr>
        <w:t>at 3.</w:t>
      </w:r>
    </w:p>
  </w:footnote>
  <w:footnote w:id="41">
    <w:p w14:paraId="54B7350C" w14:textId="0957F148" w:rsidR="00D15CDE" w:rsidRPr="00205C0A" w:rsidRDefault="00D15CDE">
      <w:pPr>
        <w:pStyle w:val="FootnoteText"/>
        <w:rPr>
          <w:sz w:val="22"/>
          <w:szCs w:val="22"/>
        </w:rPr>
      </w:pPr>
      <w:r w:rsidRPr="00205C0A">
        <w:rPr>
          <w:rStyle w:val="FootnoteReference"/>
          <w:sz w:val="22"/>
          <w:szCs w:val="22"/>
        </w:rPr>
        <w:footnoteRef/>
      </w:r>
      <w:r w:rsidRPr="00205C0A">
        <w:rPr>
          <w:sz w:val="22"/>
          <w:szCs w:val="22"/>
        </w:rPr>
        <w:t xml:space="preserve"> </w:t>
      </w:r>
      <w:r w:rsidRPr="00616481">
        <w:rPr>
          <w:i/>
          <w:iCs/>
          <w:sz w:val="22"/>
          <w:szCs w:val="22"/>
        </w:rPr>
        <w:t>See</w:t>
      </w:r>
      <w:r w:rsidRPr="00616481">
        <w:rPr>
          <w:sz w:val="22"/>
          <w:szCs w:val="22"/>
        </w:rPr>
        <w:t xml:space="preserve"> Proposed Annex</w:t>
      </w:r>
      <w:r>
        <w:rPr>
          <w:sz w:val="22"/>
          <w:szCs w:val="22"/>
        </w:rPr>
        <w:t xml:space="preserve"> A</w:t>
      </w:r>
      <w:r w:rsidRPr="00616481">
        <w:rPr>
          <w:sz w:val="22"/>
          <w:szCs w:val="22"/>
        </w:rPr>
        <w:t xml:space="preserve">, </w:t>
      </w:r>
      <w:r w:rsidRPr="00616481">
        <w:rPr>
          <w:bCs/>
          <w:sz w:val="22"/>
          <w:szCs w:val="22"/>
        </w:rPr>
        <w:t xml:space="preserve">§ 69.3701(4), (5); </w:t>
      </w:r>
      <w:r w:rsidRPr="00616481">
        <w:rPr>
          <w:bCs/>
          <w:i/>
          <w:iCs/>
          <w:sz w:val="22"/>
          <w:szCs w:val="22"/>
        </w:rPr>
        <w:t>see</w:t>
      </w:r>
      <w:r w:rsidRPr="00616481">
        <w:rPr>
          <w:bCs/>
          <w:sz w:val="22"/>
          <w:szCs w:val="22"/>
        </w:rPr>
        <w:t xml:space="preserve"> Final Annex</w:t>
      </w:r>
      <w:r>
        <w:rPr>
          <w:bCs/>
          <w:sz w:val="22"/>
          <w:szCs w:val="22"/>
        </w:rPr>
        <w:t xml:space="preserve"> A,</w:t>
      </w:r>
      <w:r w:rsidRPr="00616481">
        <w:rPr>
          <w:bCs/>
          <w:sz w:val="22"/>
          <w:szCs w:val="22"/>
        </w:rPr>
        <w:t xml:space="preserve"> § 69.3701(e), (f).</w:t>
      </w:r>
    </w:p>
  </w:footnote>
  <w:footnote w:id="42">
    <w:p w14:paraId="3B146FC8" w14:textId="38E5E89D" w:rsidR="00D15CDE" w:rsidRPr="00205C0A" w:rsidRDefault="00D15CDE">
      <w:pPr>
        <w:pStyle w:val="FootnoteText"/>
        <w:rPr>
          <w:sz w:val="22"/>
          <w:szCs w:val="22"/>
        </w:rPr>
      </w:pPr>
      <w:r w:rsidRPr="00205C0A">
        <w:rPr>
          <w:rStyle w:val="FootnoteReference"/>
          <w:sz w:val="22"/>
          <w:szCs w:val="22"/>
        </w:rPr>
        <w:footnoteRef/>
      </w:r>
      <w:r w:rsidRPr="00205C0A">
        <w:rPr>
          <w:sz w:val="22"/>
          <w:szCs w:val="22"/>
        </w:rPr>
        <w:t xml:space="preserve"> </w:t>
      </w:r>
      <w:r w:rsidRPr="00616481">
        <w:rPr>
          <w:bCs/>
          <w:i/>
          <w:iCs/>
          <w:sz w:val="22"/>
          <w:szCs w:val="22"/>
        </w:rPr>
        <w:t>See</w:t>
      </w:r>
      <w:r w:rsidRPr="00616481">
        <w:rPr>
          <w:bCs/>
          <w:sz w:val="22"/>
          <w:szCs w:val="22"/>
        </w:rPr>
        <w:t xml:space="preserve"> Proposed Annex</w:t>
      </w:r>
      <w:r>
        <w:rPr>
          <w:bCs/>
          <w:sz w:val="22"/>
          <w:szCs w:val="22"/>
        </w:rPr>
        <w:t xml:space="preserve"> A</w:t>
      </w:r>
      <w:r w:rsidRPr="00616481">
        <w:rPr>
          <w:bCs/>
          <w:sz w:val="22"/>
          <w:szCs w:val="22"/>
        </w:rPr>
        <w:t xml:space="preserve">, § 69.3701(3), (5), (6), (7); </w:t>
      </w:r>
      <w:r w:rsidRPr="00616481">
        <w:rPr>
          <w:bCs/>
          <w:i/>
          <w:iCs/>
          <w:sz w:val="22"/>
          <w:szCs w:val="22"/>
        </w:rPr>
        <w:t>see</w:t>
      </w:r>
      <w:r w:rsidRPr="00616481">
        <w:rPr>
          <w:bCs/>
          <w:sz w:val="22"/>
          <w:szCs w:val="22"/>
        </w:rPr>
        <w:t xml:space="preserve"> Final Annex</w:t>
      </w:r>
      <w:r>
        <w:rPr>
          <w:bCs/>
          <w:sz w:val="22"/>
          <w:szCs w:val="22"/>
        </w:rPr>
        <w:t xml:space="preserve"> A,</w:t>
      </w:r>
      <w:r w:rsidRPr="00616481">
        <w:rPr>
          <w:bCs/>
          <w:sz w:val="22"/>
          <w:szCs w:val="22"/>
        </w:rPr>
        <w:t xml:space="preserve"> § 69.3701(d), (f), (g), (j), (k).</w:t>
      </w:r>
    </w:p>
  </w:footnote>
  <w:footnote w:id="43">
    <w:p w14:paraId="03A5579F" w14:textId="0B889F67" w:rsidR="00D15CDE" w:rsidRPr="00205C0A" w:rsidRDefault="00D15CDE">
      <w:pPr>
        <w:pStyle w:val="FootnoteText"/>
        <w:rPr>
          <w:sz w:val="22"/>
          <w:szCs w:val="22"/>
        </w:rPr>
      </w:pPr>
      <w:r w:rsidRPr="00205C0A">
        <w:rPr>
          <w:rStyle w:val="FootnoteReference"/>
          <w:sz w:val="22"/>
          <w:szCs w:val="22"/>
        </w:rPr>
        <w:footnoteRef/>
      </w:r>
      <w:r w:rsidRPr="00205C0A">
        <w:rPr>
          <w:sz w:val="22"/>
          <w:szCs w:val="22"/>
        </w:rPr>
        <w:t xml:space="preserve"> </w:t>
      </w:r>
      <w:r w:rsidRPr="00205C0A">
        <w:rPr>
          <w:bCs/>
          <w:sz w:val="22"/>
          <w:szCs w:val="22"/>
        </w:rPr>
        <w:t>66 Pa. C.S. § 3015(e)(7).</w:t>
      </w:r>
    </w:p>
  </w:footnote>
  <w:footnote w:id="44">
    <w:p w14:paraId="37E4446D" w14:textId="43A133DD" w:rsidR="00D15CDE" w:rsidRPr="008D283D" w:rsidRDefault="00D15CDE">
      <w:pPr>
        <w:pStyle w:val="FootnoteText"/>
        <w:rPr>
          <w:sz w:val="22"/>
          <w:szCs w:val="22"/>
        </w:rPr>
      </w:pPr>
      <w:r w:rsidRPr="008D283D">
        <w:rPr>
          <w:rStyle w:val="FootnoteReference"/>
          <w:sz w:val="22"/>
          <w:szCs w:val="22"/>
        </w:rPr>
        <w:footnoteRef/>
      </w:r>
      <w:r w:rsidRPr="008D283D">
        <w:rPr>
          <w:sz w:val="22"/>
          <w:szCs w:val="22"/>
        </w:rPr>
        <w:t xml:space="preserve"> </w:t>
      </w:r>
      <w:r w:rsidRPr="008D283D">
        <w:rPr>
          <w:bCs/>
          <w:i/>
          <w:iCs/>
          <w:color w:val="000000"/>
          <w:sz w:val="22"/>
          <w:szCs w:val="22"/>
        </w:rPr>
        <w:t>See generally,</w:t>
      </w:r>
      <w:r w:rsidRPr="008D283D">
        <w:rPr>
          <w:bCs/>
          <w:color w:val="000000"/>
          <w:sz w:val="22"/>
          <w:szCs w:val="22"/>
        </w:rPr>
        <w:t xml:space="preserve"> </w:t>
      </w:r>
      <w:r w:rsidRPr="008D283D">
        <w:rPr>
          <w:bCs/>
          <w:i/>
          <w:iCs/>
          <w:color w:val="000000"/>
          <w:sz w:val="22"/>
          <w:szCs w:val="22"/>
        </w:rPr>
        <w:t>Duquesne Light Company v. Upper St. Clair Township</w:t>
      </w:r>
      <w:r w:rsidRPr="008D283D">
        <w:rPr>
          <w:bCs/>
          <w:color w:val="000000"/>
          <w:sz w:val="22"/>
          <w:szCs w:val="22"/>
        </w:rPr>
        <w:t>, 105 A.2d 287 (Pa. 1954).</w:t>
      </w:r>
    </w:p>
  </w:footnote>
  <w:footnote w:id="45">
    <w:p w14:paraId="2CBE86B2" w14:textId="145CD2BA" w:rsidR="00D15CDE" w:rsidRPr="00205C0A" w:rsidRDefault="00D15CDE" w:rsidP="00A0788B">
      <w:pPr>
        <w:pStyle w:val="FootnoteText"/>
        <w:rPr>
          <w:sz w:val="22"/>
          <w:szCs w:val="22"/>
        </w:rPr>
      </w:pPr>
      <w:r w:rsidRPr="008D283D">
        <w:rPr>
          <w:rStyle w:val="FootnoteReference"/>
          <w:sz w:val="22"/>
          <w:szCs w:val="22"/>
        </w:rPr>
        <w:footnoteRef/>
      </w:r>
      <w:r w:rsidRPr="008D283D">
        <w:rPr>
          <w:sz w:val="22"/>
          <w:szCs w:val="22"/>
        </w:rPr>
        <w:t xml:space="preserve"> The Commission acknowledges that its regulatory reach over Voice-over-Internet Protocol carriers is more circumscribed</w:t>
      </w:r>
      <w:r>
        <w:rPr>
          <w:sz w:val="22"/>
          <w:szCs w:val="22"/>
        </w:rPr>
        <w:t xml:space="preserve">, including those that may have sought or acceded to Commission certification. However, as even BCAP conceded, that circumscription pertains to </w:t>
      </w:r>
      <w:r w:rsidRPr="002C27D6">
        <w:rPr>
          <w:i/>
          <w:iCs/>
          <w:sz w:val="22"/>
          <w:szCs w:val="22"/>
        </w:rPr>
        <w:t>regulating</w:t>
      </w:r>
      <w:r>
        <w:rPr>
          <w:sz w:val="22"/>
          <w:szCs w:val="22"/>
        </w:rPr>
        <w:t xml:space="preserve"> rates, terms and conditions of such service</w:t>
      </w:r>
      <w:r w:rsidRPr="008D283D">
        <w:rPr>
          <w:sz w:val="22"/>
          <w:szCs w:val="22"/>
        </w:rPr>
        <w:t xml:space="preserve">.  </w:t>
      </w:r>
      <w:r w:rsidRPr="00096D1C">
        <w:rPr>
          <w:i/>
          <w:sz w:val="22"/>
          <w:szCs w:val="22"/>
        </w:rPr>
        <w:t>See</w:t>
      </w:r>
      <w:r w:rsidRPr="00096D1C">
        <w:rPr>
          <w:sz w:val="22"/>
          <w:szCs w:val="22"/>
        </w:rPr>
        <w:t xml:space="preserve"> 66 Pa. C.S. § 102(2)(iv) and 73 P.S. § 2251.1.</w:t>
      </w:r>
    </w:p>
  </w:footnote>
  <w:footnote w:id="46">
    <w:p w14:paraId="2B74D505" w14:textId="03771D6F" w:rsidR="00D15CDE" w:rsidRDefault="00D15CDE">
      <w:pPr>
        <w:pStyle w:val="FootnoteText"/>
      </w:pPr>
      <w:r>
        <w:rPr>
          <w:rStyle w:val="FootnoteReference"/>
        </w:rPr>
        <w:footnoteRef/>
      </w:r>
      <w:r>
        <w:t xml:space="preserve"> </w:t>
      </w:r>
      <w:r w:rsidRPr="00073612">
        <w:rPr>
          <w:i/>
          <w:iCs/>
        </w:rPr>
        <w:t>Ten Percent Rule Order</w:t>
      </w:r>
      <w:r w:rsidRPr="00073612">
        <w:t>, 4 FCC Rcd 5660</w:t>
      </w:r>
      <w:r>
        <w:t xml:space="preserve">.  </w:t>
      </w:r>
    </w:p>
  </w:footnote>
  <w:footnote w:id="47">
    <w:p w14:paraId="193E08B8" w14:textId="0EFBEE75" w:rsidR="00D15CDE" w:rsidRDefault="00D15CDE">
      <w:pPr>
        <w:pStyle w:val="FootnoteText"/>
      </w:pPr>
      <w:r>
        <w:rPr>
          <w:rStyle w:val="FootnoteReference"/>
        </w:rPr>
        <w:footnoteRef/>
      </w:r>
      <w:r>
        <w:t xml:space="preserve"> </w:t>
      </w:r>
      <w:r w:rsidRPr="00073612">
        <w:t>47 C</w:t>
      </w:r>
      <w:r>
        <w:t>.</w:t>
      </w:r>
      <w:r w:rsidRPr="00073612">
        <w:t>F</w:t>
      </w:r>
      <w:r>
        <w:t>.</w:t>
      </w:r>
      <w:r w:rsidRPr="00073612">
        <w:t>R</w:t>
      </w:r>
      <w:r>
        <w:t>.</w:t>
      </w:r>
      <w:r w:rsidRPr="00073612">
        <w:t xml:space="preserve"> § 36.154(a).</w:t>
      </w:r>
    </w:p>
  </w:footnote>
  <w:footnote w:id="48">
    <w:p w14:paraId="756CF479" w14:textId="5759AD9C" w:rsidR="00D15CDE" w:rsidRDefault="00D15CDE">
      <w:pPr>
        <w:pStyle w:val="FootnoteText"/>
      </w:pPr>
      <w:r>
        <w:rPr>
          <w:rStyle w:val="FootnoteReference"/>
        </w:rPr>
        <w:footnoteRef/>
      </w:r>
      <w:r>
        <w:t xml:space="preserve"> </w:t>
      </w:r>
      <w:r w:rsidRPr="000F369C">
        <w:rPr>
          <w:bCs/>
          <w:i/>
          <w:iCs/>
        </w:rPr>
        <w:t xml:space="preserve">See </w:t>
      </w:r>
      <w:r w:rsidRPr="000F369C">
        <w:rPr>
          <w:bCs/>
        </w:rPr>
        <w:t xml:space="preserve">47 C.F.R. § 36.154(a); </w:t>
      </w:r>
      <w:r w:rsidRPr="000F369C">
        <w:rPr>
          <w:bCs/>
          <w:i/>
          <w:iCs/>
        </w:rPr>
        <w:t>see also</w:t>
      </w:r>
      <w:r w:rsidRPr="000F369C">
        <w:rPr>
          <w:bCs/>
        </w:rPr>
        <w:t xml:space="preserve"> </w:t>
      </w:r>
      <w:r w:rsidRPr="000F369C">
        <w:rPr>
          <w:bCs/>
          <w:i/>
          <w:iCs/>
        </w:rPr>
        <w:t xml:space="preserve">1997 Universal Service First Report and Order, </w:t>
      </w:r>
      <w:r w:rsidRPr="000F369C">
        <w:rPr>
          <w:bCs/>
        </w:rPr>
        <w:t xml:space="preserve">12 FCC Rcd at </w:t>
      </w:r>
      <w:r w:rsidR="00A1679D">
        <w:rPr>
          <w:bCs/>
        </w:rPr>
        <w:t>9173</w:t>
      </w:r>
      <w:r w:rsidRPr="000F369C">
        <w:rPr>
          <w:bCs/>
        </w:rPr>
        <w:t xml:space="preserve">, </w:t>
      </w:r>
      <w:r w:rsidR="00A1679D">
        <w:rPr>
          <w:bCs/>
        </w:rPr>
        <w:t>¶</w:t>
      </w:r>
      <w:r w:rsidRPr="000F369C">
        <w:rPr>
          <w:bCs/>
        </w:rPr>
        <w:t xml:space="preserve"> 778.  </w:t>
      </w:r>
    </w:p>
  </w:footnote>
  <w:footnote w:id="49">
    <w:p w14:paraId="1F12788F" w14:textId="63E8BAA0" w:rsidR="00D15CDE" w:rsidRDefault="00D15CDE">
      <w:pPr>
        <w:pStyle w:val="FootnoteText"/>
      </w:pPr>
      <w:r>
        <w:rPr>
          <w:rStyle w:val="FootnoteReference"/>
        </w:rPr>
        <w:footnoteRef/>
      </w:r>
      <w:r>
        <w:t xml:space="preserve"> </w:t>
      </w:r>
      <w:r w:rsidRPr="000F369C">
        <w:rPr>
          <w:bCs/>
        </w:rPr>
        <w:t xml:space="preserve">47 U.S.C. § 254(b)(3).  </w:t>
      </w:r>
    </w:p>
  </w:footnote>
  <w:footnote w:id="50">
    <w:p w14:paraId="3EA4DDCD" w14:textId="16E86716" w:rsidR="00D15CDE" w:rsidRDefault="00D15CDE">
      <w:pPr>
        <w:pStyle w:val="FootnoteText"/>
      </w:pPr>
      <w:r>
        <w:rPr>
          <w:rStyle w:val="FootnoteReference"/>
        </w:rPr>
        <w:footnoteRef/>
      </w:r>
      <w:r>
        <w:t xml:space="preserve"> </w:t>
      </w:r>
      <w:r w:rsidRPr="000F369C">
        <w:rPr>
          <w:bCs/>
        </w:rPr>
        <w:t>47 U.S.C. § 254(d)</w:t>
      </w:r>
    </w:p>
  </w:footnote>
  <w:footnote w:id="51">
    <w:p w14:paraId="1D581E4E" w14:textId="56C39DB9" w:rsidR="00D15CDE" w:rsidRDefault="00D15CDE">
      <w:pPr>
        <w:pStyle w:val="FootnoteText"/>
      </w:pPr>
      <w:r>
        <w:rPr>
          <w:rStyle w:val="FootnoteReference"/>
        </w:rPr>
        <w:footnoteRef/>
      </w:r>
      <w:r>
        <w:t xml:space="preserve"> </w:t>
      </w:r>
      <w:r w:rsidRPr="000F369C">
        <w:rPr>
          <w:bCs/>
          <w:i/>
          <w:iCs/>
        </w:rPr>
        <w:t xml:space="preserve">1997 Universal Service First Report and Order, </w:t>
      </w:r>
      <w:r w:rsidRPr="000F369C">
        <w:rPr>
          <w:bCs/>
        </w:rPr>
        <w:t xml:space="preserve">12 FCC Rcd </w:t>
      </w:r>
      <w:r w:rsidR="00A1679D">
        <w:rPr>
          <w:bCs/>
        </w:rPr>
        <w:t>at 9173</w:t>
      </w:r>
      <w:r w:rsidR="00A1679D" w:rsidRPr="000F369C">
        <w:rPr>
          <w:bCs/>
        </w:rPr>
        <w:t xml:space="preserve">, </w:t>
      </w:r>
      <w:r w:rsidR="00A1679D">
        <w:rPr>
          <w:bCs/>
        </w:rPr>
        <w:t>¶</w:t>
      </w:r>
      <w:r w:rsidR="00A1679D" w:rsidRPr="000F369C">
        <w:rPr>
          <w:bCs/>
        </w:rPr>
        <w:t xml:space="preserve"> 778</w:t>
      </w:r>
      <w:r w:rsidR="00A1679D">
        <w:rPr>
          <w:bCs/>
        </w:rPr>
        <w:t>.</w:t>
      </w:r>
    </w:p>
  </w:footnote>
  <w:footnote w:id="52">
    <w:p w14:paraId="32A64FB7" w14:textId="3DFBA756" w:rsidR="00D15CDE" w:rsidRPr="00205C0A" w:rsidRDefault="00D15CDE">
      <w:pPr>
        <w:pStyle w:val="FootnoteText"/>
        <w:rPr>
          <w:sz w:val="22"/>
          <w:szCs w:val="22"/>
        </w:rPr>
      </w:pPr>
      <w:r w:rsidRPr="00205C0A">
        <w:rPr>
          <w:rStyle w:val="FootnoteReference"/>
          <w:sz w:val="22"/>
          <w:szCs w:val="22"/>
        </w:rPr>
        <w:footnoteRef/>
      </w:r>
      <w:r w:rsidRPr="00205C0A">
        <w:rPr>
          <w:sz w:val="22"/>
          <w:szCs w:val="22"/>
        </w:rPr>
        <w:t xml:space="preserve"> </w:t>
      </w:r>
      <w:r w:rsidRPr="00205C0A">
        <w:rPr>
          <w:i/>
          <w:iCs/>
          <w:sz w:val="22"/>
          <w:szCs w:val="22"/>
        </w:rPr>
        <w:t>See</w:t>
      </w:r>
      <w:r w:rsidRPr="00205C0A">
        <w:rPr>
          <w:sz w:val="22"/>
          <w:szCs w:val="22"/>
        </w:rPr>
        <w:t xml:space="preserve"> </w:t>
      </w:r>
      <w:r w:rsidRPr="00205C0A">
        <w:rPr>
          <w:sz w:val="22"/>
          <w:szCs w:val="22"/>
          <w:lang w:val="en"/>
        </w:rPr>
        <w:t>Article VI, Paragraph 2 of the U.S. Constitution.</w:t>
      </w:r>
    </w:p>
  </w:footnote>
  <w:footnote w:id="53">
    <w:p w14:paraId="52A0C794" w14:textId="4D48E78B" w:rsidR="00D15CDE" w:rsidRPr="00205C0A" w:rsidRDefault="00D15CDE">
      <w:pPr>
        <w:pStyle w:val="FootnoteText"/>
        <w:rPr>
          <w:sz w:val="22"/>
          <w:szCs w:val="22"/>
        </w:rPr>
      </w:pPr>
      <w:r w:rsidRPr="00205C0A">
        <w:rPr>
          <w:rStyle w:val="FootnoteReference"/>
          <w:sz w:val="22"/>
          <w:szCs w:val="22"/>
        </w:rPr>
        <w:footnoteRef/>
      </w:r>
      <w:r w:rsidRPr="00205C0A">
        <w:rPr>
          <w:sz w:val="22"/>
          <w:szCs w:val="22"/>
        </w:rPr>
        <w:t xml:space="preserve"> </w:t>
      </w:r>
      <w:r w:rsidRPr="00205C0A">
        <w:rPr>
          <w:i/>
          <w:iCs/>
          <w:sz w:val="22"/>
          <w:szCs w:val="22"/>
        </w:rPr>
        <w:t>See</w:t>
      </w:r>
      <w:r w:rsidRPr="00205C0A">
        <w:rPr>
          <w:sz w:val="22"/>
          <w:szCs w:val="22"/>
        </w:rPr>
        <w:t xml:space="preserve"> </w:t>
      </w:r>
      <w:r w:rsidRPr="00205C0A">
        <w:rPr>
          <w:sz w:val="22"/>
          <w:szCs w:val="22"/>
          <w:lang w:val="en"/>
        </w:rPr>
        <w:t>Article 1, Section 8, Clause 3 of the U.S. Constitution.</w:t>
      </w:r>
    </w:p>
  </w:footnote>
  <w:footnote w:id="54">
    <w:p w14:paraId="52F4A3DD" w14:textId="06C4287E" w:rsidR="004F06B0" w:rsidRPr="004F06B0" w:rsidRDefault="004F06B0">
      <w:pPr>
        <w:pStyle w:val="FootnoteText"/>
        <w:rPr>
          <w:sz w:val="22"/>
          <w:szCs w:val="22"/>
        </w:rPr>
      </w:pPr>
      <w:r w:rsidRPr="004F06B0">
        <w:rPr>
          <w:rStyle w:val="FootnoteReference"/>
          <w:sz w:val="22"/>
          <w:szCs w:val="22"/>
        </w:rPr>
        <w:footnoteRef/>
      </w:r>
      <w:r w:rsidRPr="004F06B0">
        <w:rPr>
          <w:sz w:val="22"/>
          <w:szCs w:val="22"/>
        </w:rPr>
        <w:t xml:space="preserve"> </w:t>
      </w:r>
      <w:r w:rsidRPr="004F06B0">
        <w:rPr>
          <w:i/>
          <w:iCs/>
          <w:sz w:val="22"/>
          <w:szCs w:val="22"/>
        </w:rPr>
        <w:t>1997 Universal Service Report and Order</w:t>
      </w:r>
      <w:r w:rsidRPr="004F06B0">
        <w:rPr>
          <w:sz w:val="22"/>
          <w:szCs w:val="22"/>
        </w:rPr>
        <w:t xml:space="preserve">, 12 FCC Rcd at 9171, 9206-07 </w:t>
      </w:r>
      <w:r>
        <w:rPr>
          <w:sz w:val="22"/>
          <w:szCs w:val="22"/>
        </w:rPr>
        <w:t>¶s</w:t>
      </w:r>
      <w:r w:rsidRPr="004F06B0">
        <w:rPr>
          <w:sz w:val="22"/>
          <w:szCs w:val="22"/>
        </w:rPr>
        <w:t xml:space="preserve"> 772, 843-845</w:t>
      </w:r>
      <w:r>
        <w:rPr>
          <w:sz w:val="22"/>
          <w:szCs w:val="22"/>
        </w:rPr>
        <w:t>.</w:t>
      </w:r>
    </w:p>
  </w:footnote>
  <w:footnote w:id="55">
    <w:p w14:paraId="5DDB84A7" w14:textId="580F9E90" w:rsidR="00D15CDE" w:rsidRDefault="00D15CDE">
      <w:pPr>
        <w:pStyle w:val="FootnoteText"/>
      </w:pPr>
      <w:r>
        <w:rPr>
          <w:rStyle w:val="FootnoteReference"/>
        </w:rPr>
        <w:footnoteRef/>
      </w:r>
      <w:r>
        <w:t xml:space="preserve"> </w:t>
      </w:r>
      <w:r w:rsidRPr="000F369C">
        <w:rPr>
          <w:bCs/>
          <w:i/>
          <w:iCs/>
        </w:rPr>
        <w:t>See also</w:t>
      </w:r>
      <w:r w:rsidRPr="000F369C">
        <w:rPr>
          <w:bCs/>
        </w:rPr>
        <w:t xml:space="preserve"> 47 U.S.C. § 159(a)(2).  </w:t>
      </w:r>
    </w:p>
  </w:footnote>
  <w:footnote w:id="56">
    <w:p w14:paraId="7F2CF504" w14:textId="0918E0B6" w:rsidR="00D15CDE" w:rsidRPr="00616481" w:rsidRDefault="00D15CDE">
      <w:pPr>
        <w:pStyle w:val="FootnoteText"/>
        <w:rPr>
          <w:sz w:val="22"/>
          <w:szCs w:val="22"/>
        </w:rPr>
      </w:pPr>
      <w:r w:rsidRPr="00616481">
        <w:rPr>
          <w:rStyle w:val="FootnoteReference"/>
          <w:sz w:val="22"/>
          <w:szCs w:val="22"/>
        </w:rPr>
        <w:footnoteRef/>
      </w:r>
      <w:r w:rsidRPr="00616481">
        <w:rPr>
          <w:sz w:val="22"/>
          <w:szCs w:val="22"/>
        </w:rPr>
        <w:t xml:space="preserve"> </w:t>
      </w:r>
      <w:r w:rsidRPr="00616481">
        <w:rPr>
          <w:i/>
          <w:iCs/>
          <w:sz w:val="22"/>
          <w:szCs w:val="22"/>
        </w:rPr>
        <w:t>See</w:t>
      </w:r>
      <w:r w:rsidRPr="00616481">
        <w:rPr>
          <w:sz w:val="22"/>
          <w:szCs w:val="22"/>
        </w:rPr>
        <w:t xml:space="preserve"> Final Annex</w:t>
      </w:r>
      <w:r>
        <w:rPr>
          <w:sz w:val="22"/>
          <w:szCs w:val="22"/>
        </w:rPr>
        <w:t xml:space="preserve"> A,</w:t>
      </w:r>
      <w:r w:rsidRPr="00616481">
        <w:rPr>
          <w:sz w:val="22"/>
          <w:szCs w:val="22"/>
        </w:rPr>
        <w:t xml:space="preserve"> § 69.3701(k).</w:t>
      </w:r>
    </w:p>
  </w:footnote>
  <w:footnote w:id="57">
    <w:p w14:paraId="5A5AFD28" w14:textId="3AA7BEC6" w:rsidR="00D15CDE" w:rsidRPr="00A31347" w:rsidRDefault="00D15CDE" w:rsidP="00154561">
      <w:pPr>
        <w:pStyle w:val="FootnoteText"/>
        <w:rPr>
          <w:sz w:val="22"/>
          <w:szCs w:val="22"/>
        </w:rPr>
      </w:pPr>
      <w:r w:rsidRPr="00A31347">
        <w:rPr>
          <w:rStyle w:val="FootnoteReference"/>
          <w:sz w:val="22"/>
          <w:szCs w:val="22"/>
        </w:rPr>
        <w:footnoteRef/>
      </w:r>
      <w:r w:rsidRPr="00A31347">
        <w:rPr>
          <w:sz w:val="22"/>
          <w:szCs w:val="22"/>
        </w:rPr>
        <w:t xml:space="preserve"> </w:t>
      </w:r>
      <w:r>
        <w:rPr>
          <w:i/>
          <w:iCs/>
          <w:sz w:val="22"/>
          <w:szCs w:val="22"/>
        </w:rPr>
        <w:t xml:space="preserve">See </w:t>
      </w:r>
      <w:r w:rsidRPr="00A31347">
        <w:rPr>
          <w:i/>
          <w:iCs/>
          <w:sz w:val="22"/>
          <w:szCs w:val="22"/>
        </w:rPr>
        <w:t>Declaratory Ruling</w:t>
      </w:r>
      <w:r>
        <w:rPr>
          <w:i/>
          <w:iCs/>
          <w:sz w:val="22"/>
          <w:szCs w:val="22"/>
        </w:rPr>
        <w:t>.</w:t>
      </w:r>
    </w:p>
  </w:footnote>
  <w:footnote w:id="58">
    <w:p w14:paraId="32639212" w14:textId="2F661BD8" w:rsidR="00D15CDE" w:rsidRDefault="00D15CDE">
      <w:pPr>
        <w:pStyle w:val="FootnoteText"/>
      </w:pPr>
      <w:r w:rsidRPr="00390991">
        <w:rPr>
          <w:rStyle w:val="FootnoteReference"/>
          <w:sz w:val="22"/>
          <w:szCs w:val="22"/>
        </w:rPr>
        <w:footnoteRef/>
      </w:r>
      <w:r w:rsidRPr="00390991">
        <w:rPr>
          <w:sz w:val="22"/>
          <w:szCs w:val="22"/>
        </w:rPr>
        <w:t xml:space="preserve"> We acknowledge that the explicit use and reference to </w:t>
      </w:r>
      <w:r>
        <w:rPr>
          <w:sz w:val="22"/>
          <w:szCs w:val="22"/>
        </w:rPr>
        <w:t>“</w:t>
      </w:r>
      <w:r w:rsidRPr="00390991">
        <w:rPr>
          <w:sz w:val="22"/>
          <w:szCs w:val="22"/>
        </w:rPr>
        <w:t>DAS</w:t>
      </w:r>
      <w:r>
        <w:rPr>
          <w:sz w:val="22"/>
          <w:szCs w:val="22"/>
        </w:rPr>
        <w:t>”</w:t>
      </w:r>
      <w:r w:rsidRPr="00390991">
        <w:rPr>
          <w:sz w:val="22"/>
          <w:szCs w:val="22"/>
        </w:rPr>
        <w:t xml:space="preserve"> network operators may be moot no matter the outcome of the current appeal before the Pennsylvania Supreme Court regarding their jurisdictional classification.  </w:t>
      </w:r>
      <w:r w:rsidRPr="00390991">
        <w:rPr>
          <w:i/>
          <w:iCs/>
          <w:sz w:val="22"/>
          <w:szCs w:val="22"/>
        </w:rPr>
        <w:t>See generally, Crown Castle NG East LLC &amp; PA-CLEC LLC, v. Pennsylvania Public Utility Commission</w:t>
      </w:r>
      <w:r w:rsidRPr="00390991">
        <w:rPr>
          <w:sz w:val="22"/>
          <w:szCs w:val="22"/>
        </w:rPr>
        <w:t>, 2 MAP 2019</w:t>
      </w:r>
      <w:r>
        <w:rPr>
          <w:sz w:val="22"/>
          <w:szCs w:val="22"/>
        </w:rPr>
        <w:t>.</w:t>
      </w:r>
    </w:p>
  </w:footnote>
  <w:footnote w:id="59">
    <w:p w14:paraId="29EC3F16" w14:textId="465B0491" w:rsidR="00D15CDE" w:rsidRPr="00616481" w:rsidRDefault="00D15CDE">
      <w:pPr>
        <w:pStyle w:val="FootnoteText"/>
        <w:rPr>
          <w:sz w:val="22"/>
          <w:szCs w:val="22"/>
        </w:rPr>
      </w:pPr>
      <w:r w:rsidRPr="00616481">
        <w:rPr>
          <w:rStyle w:val="FootnoteReference"/>
          <w:sz w:val="22"/>
          <w:szCs w:val="22"/>
        </w:rPr>
        <w:footnoteRef/>
      </w:r>
      <w:r w:rsidRPr="00616481">
        <w:rPr>
          <w:sz w:val="22"/>
          <w:szCs w:val="22"/>
        </w:rPr>
        <w:t xml:space="preserve"> </w:t>
      </w:r>
      <w:r w:rsidRPr="00616481">
        <w:rPr>
          <w:bCs/>
          <w:i/>
          <w:iCs/>
          <w:sz w:val="22"/>
          <w:szCs w:val="22"/>
        </w:rPr>
        <w:t>See</w:t>
      </w:r>
      <w:r w:rsidRPr="00616481">
        <w:rPr>
          <w:bCs/>
          <w:sz w:val="22"/>
          <w:szCs w:val="22"/>
        </w:rPr>
        <w:t xml:space="preserve"> Final Annex</w:t>
      </w:r>
      <w:r>
        <w:rPr>
          <w:bCs/>
          <w:sz w:val="22"/>
          <w:szCs w:val="22"/>
        </w:rPr>
        <w:t xml:space="preserve"> A,</w:t>
      </w:r>
      <w:r w:rsidRPr="00616481">
        <w:rPr>
          <w:bCs/>
          <w:sz w:val="22"/>
          <w:szCs w:val="22"/>
        </w:rPr>
        <w:t xml:space="preserve"> § 69.3701(d), (f), (g), (j), (k).</w:t>
      </w:r>
    </w:p>
  </w:footnote>
  <w:footnote w:id="60">
    <w:p w14:paraId="757D3CD5" w14:textId="59515749" w:rsidR="00D15CDE" w:rsidRPr="00616481" w:rsidRDefault="00D15CDE">
      <w:pPr>
        <w:pStyle w:val="FootnoteText"/>
        <w:rPr>
          <w:sz w:val="22"/>
          <w:szCs w:val="22"/>
        </w:rPr>
      </w:pPr>
      <w:r w:rsidRPr="00616481">
        <w:rPr>
          <w:rStyle w:val="FootnoteReference"/>
          <w:sz w:val="22"/>
          <w:szCs w:val="22"/>
        </w:rPr>
        <w:footnoteRef/>
      </w:r>
      <w:r w:rsidRPr="00616481">
        <w:rPr>
          <w:sz w:val="22"/>
          <w:szCs w:val="22"/>
        </w:rPr>
        <w:t xml:space="preserve"> </w:t>
      </w:r>
      <w:r w:rsidRPr="00616481">
        <w:rPr>
          <w:bCs/>
          <w:i/>
          <w:iCs/>
          <w:sz w:val="22"/>
          <w:szCs w:val="22"/>
        </w:rPr>
        <w:t>See</w:t>
      </w:r>
      <w:r w:rsidRPr="00616481">
        <w:rPr>
          <w:bCs/>
          <w:sz w:val="22"/>
          <w:szCs w:val="22"/>
        </w:rPr>
        <w:t xml:space="preserve"> Final Annex</w:t>
      </w:r>
      <w:r>
        <w:rPr>
          <w:bCs/>
          <w:sz w:val="22"/>
          <w:szCs w:val="22"/>
        </w:rPr>
        <w:t xml:space="preserve"> A,</w:t>
      </w:r>
      <w:r w:rsidRPr="00616481">
        <w:rPr>
          <w:bCs/>
          <w:sz w:val="22"/>
          <w:szCs w:val="22"/>
        </w:rPr>
        <w:t xml:space="preserve"> § 69.3701(i).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349"/>
    <w:multiLevelType w:val="hybridMultilevel"/>
    <w:tmpl w:val="854C3D08"/>
    <w:lvl w:ilvl="0" w:tplc="C1E025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66D7"/>
    <w:multiLevelType w:val="hybridMultilevel"/>
    <w:tmpl w:val="D11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28B5"/>
    <w:multiLevelType w:val="hybridMultilevel"/>
    <w:tmpl w:val="E6422DFA"/>
    <w:lvl w:ilvl="0" w:tplc="E17E5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53578"/>
    <w:multiLevelType w:val="hybridMultilevel"/>
    <w:tmpl w:val="AFCED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66933"/>
    <w:multiLevelType w:val="hybridMultilevel"/>
    <w:tmpl w:val="ED9C21D8"/>
    <w:lvl w:ilvl="0" w:tplc="BF5A68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A6649"/>
    <w:multiLevelType w:val="hybridMultilevel"/>
    <w:tmpl w:val="35BE09DA"/>
    <w:lvl w:ilvl="0" w:tplc="862E0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A0475"/>
    <w:multiLevelType w:val="hybridMultilevel"/>
    <w:tmpl w:val="BA08763E"/>
    <w:lvl w:ilvl="0" w:tplc="A502C02A">
      <w:start w:val="1"/>
      <w:numFmt w:val="upperLetter"/>
      <w:lvlText w:val="%1."/>
      <w:lvlJc w:val="left"/>
      <w:pPr>
        <w:ind w:left="720" w:hanging="360"/>
      </w:pPr>
      <w:rPr>
        <w:rFonts w:hint="default"/>
        <w:b w:val="0"/>
      </w:rPr>
    </w:lvl>
    <w:lvl w:ilvl="1" w:tplc="A230A950">
      <w:start w:val="1"/>
      <w:numFmt w:val="decimal"/>
      <w:lvlText w:val="(%2)"/>
      <w:lvlJc w:val="left"/>
      <w:pPr>
        <w:ind w:left="1440" w:hanging="360"/>
      </w:pPr>
      <w:rPr>
        <w:rFonts w:hint="default"/>
      </w:rPr>
    </w:lvl>
    <w:lvl w:ilvl="2" w:tplc="C1DA3A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3136B"/>
    <w:multiLevelType w:val="hybridMultilevel"/>
    <w:tmpl w:val="C6CAD418"/>
    <w:lvl w:ilvl="0" w:tplc="D9923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E4D50"/>
    <w:multiLevelType w:val="hybridMultilevel"/>
    <w:tmpl w:val="65F022F6"/>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348E7"/>
    <w:multiLevelType w:val="hybridMultilevel"/>
    <w:tmpl w:val="6040D802"/>
    <w:lvl w:ilvl="0" w:tplc="98D6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F46E1B"/>
    <w:multiLevelType w:val="hybridMultilevel"/>
    <w:tmpl w:val="9C80726A"/>
    <w:lvl w:ilvl="0" w:tplc="BD90D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D3700"/>
    <w:multiLevelType w:val="hybridMultilevel"/>
    <w:tmpl w:val="24BE0770"/>
    <w:lvl w:ilvl="0" w:tplc="A2A8A57C">
      <w:start w:val="5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F72500"/>
    <w:multiLevelType w:val="hybridMultilevel"/>
    <w:tmpl w:val="565A0E70"/>
    <w:lvl w:ilvl="0" w:tplc="6B8AE666">
      <w:start w:val="6"/>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3D28F5"/>
    <w:multiLevelType w:val="hybridMultilevel"/>
    <w:tmpl w:val="920E9358"/>
    <w:lvl w:ilvl="0" w:tplc="C9DCA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443B1"/>
    <w:multiLevelType w:val="hybridMultilevel"/>
    <w:tmpl w:val="B8284542"/>
    <w:lvl w:ilvl="0" w:tplc="B0EE48FE">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7973AE7"/>
    <w:multiLevelType w:val="hybridMultilevel"/>
    <w:tmpl w:val="657CDB1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927E7"/>
    <w:multiLevelType w:val="hybridMultilevel"/>
    <w:tmpl w:val="8BAE0050"/>
    <w:lvl w:ilvl="0" w:tplc="44980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17DA4"/>
    <w:multiLevelType w:val="hybridMultilevel"/>
    <w:tmpl w:val="8E5AA458"/>
    <w:lvl w:ilvl="0" w:tplc="37CE5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887F5E"/>
    <w:multiLevelType w:val="multilevel"/>
    <w:tmpl w:val="03AC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838CE"/>
    <w:multiLevelType w:val="multilevel"/>
    <w:tmpl w:val="EEDA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023F49"/>
    <w:multiLevelType w:val="hybridMultilevel"/>
    <w:tmpl w:val="7262A504"/>
    <w:lvl w:ilvl="0" w:tplc="CB5625A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724502"/>
    <w:multiLevelType w:val="hybridMultilevel"/>
    <w:tmpl w:val="79C05306"/>
    <w:lvl w:ilvl="0" w:tplc="154AF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82DDC"/>
    <w:multiLevelType w:val="hybridMultilevel"/>
    <w:tmpl w:val="559CB61E"/>
    <w:lvl w:ilvl="0" w:tplc="30FC9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9761C"/>
    <w:multiLevelType w:val="hybridMultilevel"/>
    <w:tmpl w:val="1728A470"/>
    <w:lvl w:ilvl="0" w:tplc="C2A601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31928"/>
    <w:multiLevelType w:val="hybridMultilevel"/>
    <w:tmpl w:val="74B01494"/>
    <w:lvl w:ilvl="0" w:tplc="F49ED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F2365E"/>
    <w:multiLevelType w:val="hybridMultilevel"/>
    <w:tmpl w:val="CAD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D7689"/>
    <w:multiLevelType w:val="hybridMultilevel"/>
    <w:tmpl w:val="50BA79E2"/>
    <w:lvl w:ilvl="0" w:tplc="C20E1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0F7542"/>
    <w:multiLevelType w:val="hybridMultilevel"/>
    <w:tmpl w:val="220EF6DC"/>
    <w:lvl w:ilvl="0" w:tplc="EC005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DE20C3"/>
    <w:multiLevelType w:val="hybridMultilevel"/>
    <w:tmpl w:val="2AB26C18"/>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4482C"/>
    <w:multiLevelType w:val="hybridMultilevel"/>
    <w:tmpl w:val="B1F0E0C6"/>
    <w:lvl w:ilvl="0" w:tplc="113EC1E2">
      <w:start w:val="9"/>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15"/>
  </w:num>
  <w:num w:numId="6">
    <w:abstractNumId w:val="11"/>
  </w:num>
  <w:num w:numId="7">
    <w:abstractNumId w:val="3"/>
  </w:num>
  <w:num w:numId="8">
    <w:abstractNumId w:val="2"/>
  </w:num>
  <w:num w:numId="9">
    <w:abstractNumId w:val="0"/>
  </w:num>
  <w:num w:numId="10">
    <w:abstractNumId w:val="24"/>
  </w:num>
  <w:num w:numId="11">
    <w:abstractNumId w:val="16"/>
  </w:num>
  <w:num w:numId="12">
    <w:abstractNumId w:val="13"/>
  </w:num>
  <w:num w:numId="13">
    <w:abstractNumId w:val="17"/>
  </w:num>
  <w:num w:numId="14">
    <w:abstractNumId w:val="1"/>
  </w:num>
  <w:num w:numId="15">
    <w:abstractNumId w:val="26"/>
  </w:num>
  <w:num w:numId="16">
    <w:abstractNumId w:val="14"/>
  </w:num>
  <w:num w:numId="17">
    <w:abstractNumId w:val="12"/>
  </w:num>
  <w:num w:numId="18">
    <w:abstractNumId w:val="6"/>
  </w:num>
  <w:num w:numId="19">
    <w:abstractNumId w:val="10"/>
  </w:num>
  <w:num w:numId="20">
    <w:abstractNumId w:val="4"/>
  </w:num>
  <w:num w:numId="21">
    <w:abstractNumId w:val="21"/>
  </w:num>
  <w:num w:numId="22">
    <w:abstractNumId w:val="9"/>
  </w:num>
  <w:num w:numId="23">
    <w:abstractNumId w:val="25"/>
  </w:num>
  <w:num w:numId="24">
    <w:abstractNumId w:val="27"/>
  </w:num>
  <w:num w:numId="25">
    <w:abstractNumId w:val="7"/>
  </w:num>
  <w:num w:numId="26">
    <w:abstractNumId w:val="20"/>
  </w:num>
  <w:num w:numId="27">
    <w:abstractNumId w:val="19"/>
  </w:num>
  <w:num w:numId="28">
    <w:abstractNumId w:val="28"/>
  </w:num>
  <w:num w:numId="29">
    <w:abstractNumId w:val="5"/>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12"/>
    <w:rsid w:val="0000001E"/>
    <w:rsid w:val="00000419"/>
    <w:rsid w:val="00000ACD"/>
    <w:rsid w:val="0000115E"/>
    <w:rsid w:val="00001B75"/>
    <w:rsid w:val="00001F7E"/>
    <w:rsid w:val="00002125"/>
    <w:rsid w:val="000021A5"/>
    <w:rsid w:val="00003965"/>
    <w:rsid w:val="0000599D"/>
    <w:rsid w:val="00005A74"/>
    <w:rsid w:val="00006417"/>
    <w:rsid w:val="00006502"/>
    <w:rsid w:val="00006C7F"/>
    <w:rsid w:val="000101D2"/>
    <w:rsid w:val="00010F92"/>
    <w:rsid w:val="00010FB3"/>
    <w:rsid w:val="0001264D"/>
    <w:rsid w:val="00013452"/>
    <w:rsid w:val="00013699"/>
    <w:rsid w:val="00016242"/>
    <w:rsid w:val="000162D6"/>
    <w:rsid w:val="00016542"/>
    <w:rsid w:val="00020C6D"/>
    <w:rsid w:val="000236F8"/>
    <w:rsid w:val="00025913"/>
    <w:rsid w:val="00027AE7"/>
    <w:rsid w:val="00030C4C"/>
    <w:rsid w:val="000311E5"/>
    <w:rsid w:val="00031D14"/>
    <w:rsid w:val="00033346"/>
    <w:rsid w:val="00033725"/>
    <w:rsid w:val="000346FA"/>
    <w:rsid w:val="00035B18"/>
    <w:rsid w:val="00035F25"/>
    <w:rsid w:val="0003633D"/>
    <w:rsid w:val="00036BD0"/>
    <w:rsid w:val="00037817"/>
    <w:rsid w:val="000378FB"/>
    <w:rsid w:val="0004206C"/>
    <w:rsid w:val="00043784"/>
    <w:rsid w:val="00044447"/>
    <w:rsid w:val="000455D8"/>
    <w:rsid w:val="00045B01"/>
    <w:rsid w:val="000466E9"/>
    <w:rsid w:val="000471F6"/>
    <w:rsid w:val="00050DDA"/>
    <w:rsid w:val="000511FD"/>
    <w:rsid w:val="00051E19"/>
    <w:rsid w:val="00052D8C"/>
    <w:rsid w:val="00054401"/>
    <w:rsid w:val="00055010"/>
    <w:rsid w:val="0005612C"/>
    <w:rsid w:val="000602FA"/>
    <w:rsid w:val="00060C17"/>
    <w:rsid w:val="00060FE3"/>
    <w:rsid w:val="0006115F"/>
    <w:rsid w:val="00061C4B"/>
    <w:rsid w:val="000620EC"/>
    <w:rsid w:val="00062248"/>
    <w:rsid w:val="000634FF"/>
    <w:rsid w:val="00063BD0"/>
    <w:rsid w:val="000642E1"/>
    <w:rsid w:val="0006488D"/>
    <w:rsid w:val="0006532C"/>
    <w:rsid w:val="00065CDF"/>
    <w:rsid w:val="00066405"/>
    <w:rsid w:val="00067632"/>
    <w:rsid w:val="00067665"/>
    <w:rsid w:val="00067BD5"/>
    <w:rsid w:val="000707E0"/>
    <w:rsid w:val="00071577"/>
    <w:rsid w:val="000724F1"/>
    <w:rsid w:val="00073351"/>
    <w:rsid w:val="00073612"/>
    <w:rsid w:val="00073B12"/>
    <w:rsid w:val="00073E70"/>
    <w:rsid w:val="000755D4"/>
    <w:rsid w:val="0007647B"/>
    <w:rsid w:val="0007691B"/>
    <w:rsid w:val="000774AA"/>
    <w:rsid w:val="00080EFD"/>
    <w:rsid w:val="00081615"/>
    <w:rsid w:val="000820C3"/>
    <w:rsid w:val="00082103"/>
    <w:rsid w:val="000842B1"/>
    <w:rsid w:val="00085180"/>
    <w:rsid w:val="00085FC4"/>
    <w:rsid w:val="00086097"/>
    <w:rsid w:val="000861E4"/>
    <w:rsid w:val="00086B06"/>
    <w:rsid w:val="00086CC8"/>
    <w:rsid w:val="00086E77"/>
    <w:rsid w:val="00087D36"/>
    <w:rsid w:val="000900C9"/>
    <w:rsid w:val="00090C91"/>
    <w:rsid w:val="0009166D"/>
    <w:rsid w:val="00091B37"/>
    <w:rsid w:val="00091BD0"/>
    <w:rsid w:val="00091FA5"/>
    <w:rsid w:val="00092103"/>
    <w:rsid w:val="000929AB"/>
    <w:rsid w:val="000949EE"/>
    <w:rsid w:val="0009502D"/>
    <w:rsid w:val="000958AC"/>
    <w:rsid w:val="000958EE"/>
    <w:rsid w:val="000965F6"/>
    <w:rsid w:val="00096D1C"/>
    <w:rsid w:val="000A0062"/>
    <w:rsid w:val="000A0318"/>
    <w:rsid w:val="000A16DC"/>
    <w:rsid w:val="000A2553"/>
    <w:rsid w:val="000A3AFF"/>
    <w:rsid w:val="000A458B"/>
    <w:rsid w:val="000A4FA7"/>
    <w:rsid w:val="000A506E"/>
    <w:rsid w:val="000A5F5D"/>
    <w:rsid w:val="000A714A"/>
    <w:rsid w:val="000B0EF3"/>
    <w:rsid w:val="000B114D"/>
    <w:rsid w:val="000B11FB"/>
    <w:rsid w:val="000B2C7F"/>
    <w:rsid w:val="000B40E7"/>
    <w:rsid w:val="000B4B87"/>
    <w:rsid w:val="000B52DA"/>
    <w:rsid w:val="000B6987"/>
    <w:rsid w:val="000B7491"/>
    <w:rsid w:val="000B7621"/>
    <w:rsid w:val="000C0163"/>
    <w:rsid w:val="000C09F6"/>
    <w:rsid w:val="000C0CFE"/>
    <w:rsid w:val="000C1920"/>
    <w:rsid w:val="000C1C04"/>
    <w:rsid w:val="000C2E24"/>
    <w:rsid w:val="000C3290"/>
    <w:rsid w:val="000C3837"/>
    <w:rsid w:val="000C3A49"/>
    <w:rsid w:val="000C41FE"/>
    <w:rsid w:val="000C4C29"/>
    <w:rsid w:val="000C548A"/>
    <w:rsid w:val="000C5825"/>
    <w:rsid w:val="000C590E"/>
    <w:rsid w:val="000C6D65"/>
    <w:rsid w:val="000C701D"/>
    <w:rsid w:val="000C7794"/>
    <w:rsid w:val="000C7F92"/>
    <w:rsid w:val="000D05A3"/>
    <w:rsid w:val="000D0738"/>
    <w:rsid w:val="000D083E"/>
    <w:rsid w:val="000D09EE"/>
    <w:rsid w:val="000D1AEB"/>
    <w:rsid w:val="000D2136"/>
    <w:rsid w:val="000D3BCD"/>
    <w:rsid w:val="000D3FD1"/>
    <w:rsid w:val="000D4728"/>
    <w:rsid w:val="000D4FE5"/>
    <w:rsid w:val="000D5EE1"/>
    <w:rsid w:val="000D798B"/>
    <w:rsid w:val="000E02CD"/>
    <w:rsid w:val="000E0B04"/>
    <w:rsid w:val="000E0BB2"/>
    <w:rsid w:val="000E0C1E"/>
    <w:rsid w:val="000E0D31"/>
    <w:rsid w:val="000E0FE9"/>
    <w:rsid w:val="000E1037"/>
    <w:rsid w:val="000E1912"/>
    <w:rsid w:val="000E1F92"/>
    <w:rsid w:val="000E3275"/>
    <w:rsid w:val="000E6262"/>
    <w:rsid w:val="000E65B6"/>
    <w:rsid w:val="000E6CA5"/>
    <w:rsid w:val="000E7256"/>
    <w:rsid w:val="000E7AAC"/>
    <w:rsid w:val="000F00DC"/>
    <w:rsid w:val="000F087B"/>
    <w:rsid w:val="000F09D3"/>
    <w:rsid w:val="000F16E7"/>
    <w:rsid w:val="000F18FD"/>
    <w:rsid w:val="000F1E39"/>
    <w:rsid w:val="000F2A72"/>
    <w:rsid w:val="000F30EC"/>
    <w:rsid w:val="000F369C"/>
    <w:rsid w:val="000F445A"/>
    <w:rsid w:val="000F48D7"/>
    <w:rsid w:val="000F4996"/>
    <w:rsid w:val="000F5916"/>
    <w:rsid w:val="000F5CC4"/>
    <w:rsid w:val="000F64F7"/>
    <w:rsid w:val="000F6ECC"/>
    <w:rsid w:val="000F71CF"/>
    <w:rsid w:val="00100838"/>
    <w:rsid w:val="00100D69"/>
    <w:rsid w:val="00100E4B"/>
    <w:rsid w:val="00102AB0"/>
    <w:rsid w:val="001052E5"/>
    <w:rsid w:val="00105E56"/>
    <w:rsid w:val="001066F7"/>
    <w:rsid w:val="001067BE"/>
    <w:rsid w:val="00106E0C"/>
    <w:rsid w:val="00107001"/>
    <w:rsid w:val="00107534"/>
    <w:rsid w:val="0011029D"/>
    <w:rsid w:val="00110659"/>
    <w:rsid w:val="00110F63"/>
    <w:rsid w:val="0011140E"/>
    <w:rsid w:val="00111CEB"/>
    <w:rsid w:val="00112215"/>
    <w:rsid w:val="0011301F"/>
    <w:rsid w:val="001142B8"/>
    <w:rsid w:val="00114544"/>
    <w:rsid w:val="00114D16"/>
    <w:rsid w:val="001152D9"/>
    <w:rsid w:val="0012043B"/>
    <w:rsid w:val="00121E01"/>
    <w:rsid w:val="00121E37"/>
    <w:rsid w:val="0012275E"/>
    <w:rsid w:val="00123350"/>
    <w:rsid w:val="0012415A"/>
    <w:rsid w:val="0012433B"/>
    <w:rsid w:val="00125759"/>
    <w:rsid w:val="00125D50"/>
    <w:rsid w:val="00126F5E"/>
    <w:rsid w:val="001273FE"/>
    <w:rsid w:val="0013052C"/>
    <w:rsid w:val="00131668"/>
    <w:rsid w:val="00132513"/>
    <w:rsid w:val="00132B19"/>
    <w:rsid w:val="0013393A"/>
    <w:rsid w:val="00133F75"/>
    <w:rsid w:val="00134FF3"/>
    <w:rsid w:val="00135557"/>
    <w:rsid w:val="00135698"/>
    <w:rsid w:val="00137330"/>
    <w:rsid w:val="00137D10"/>
    <w:rsid w:val="00137FC1"/>
    <w:rsid w:val="00140273"/>
    <w:rsid w:val="00140480"/>
    <w:rsid w:val="00140A2A"/>
    <w:rsid w:val="00140A75"/>
    <w:rsid w:val="00140F53"/>
    <w:rsid w:val="00141604"/>
    <w:rsid w:val="00141C9D"/>
    <w:rsid w:val="00142F39"/>
    <w:rsid w:val="00144E6C"/>
    <w:rsid w:val="001453B7"/>
    <w:rsid w:val="00145405"/>
    <w:rsid w:val="00145710"/>
    <w:rsid w:val="0014657B"/>
    <w:rsid w:val="001465E5"/>
    <w:rsid w:val="0014770F"/>
    <w:rsid w:val="0014795E"/>
    <w:rsid w:val="00147F68"/>
    <w:rsid w:val="001500E4"/>
    <w:rsid w:val="00150478"/>
    <w:rsid w:val="001516A1"/>
    <w:rsid w:val="001519AA"/>
    <w:rsid w:val="00152337"/>
    <w:rsid w:val="001524E1"/>
    <w:rsid w:val="001539B0"/>
    <w:rsid w:val="00154561"/>
    <w:rsid w:val="00154841"/>
    <w:rsid w:val="001549C8"/>
    <w:rsid w:val="0015580D"/>
    <w:rsid w:val="001576E1"/>
    <w:rsid w:val="0016089B"/>
    <w:rsid w:val="00160AB8"/>
    <w:rsid w:val="00160E8F"/>
    <w:rsid w:val="0016161C"/>
    <w:rsid w:val="00161CE4"/>
    <w:rsid w:val="001629C3"/>
    <w:rsid w:val="00163551"/>
    <w:rsid w:val="00163E9F"/>
    <w:rsid w:val="00164AF4"/>
    <w:rsid w:val="00164B1C"/>
    <w:rsid w:val="00165AC4"/>
    <w:rsid w:val="00166B4A"/>
    <w:rsid w:val="00167A65"/>
    <w:rsid w:val="00167D4F"/>
    <w:rsid w:val="001701D8"/>
    <w:rsid w:val="0017033B"/>
    <w:rsid w:val="001709DF"/>
    <w:rsid w:val="00170F8D"/>
    <w:rsid w:val="00172C04"/>
    <w:rsid w:val="00172E0D"/>
    <w:rsid w:val="00172FC4"/>
    <w:rsid w:val="00173738"/>
    <w:rsid w:val="00173DDD"/>
    <w:rsid w:val="001749DD"/>
    <w:rsid w:val="00174D9D"/>
    <w:rsid w:val="001759BB"/>
    <w:rsid w:val="00175FE3"/>
    <w:rsid w:val="00176045"/>
    <w:rsid w:val="0017641D"/>
    <w:rsid w:val="001766B0"/>
    <w:rsid w:val="00176FE0"/>
    <w:rsid w:val="001802A3"/>
    <w:rsid w:val="0018219E"/>
    <w:rsid w:val="00182456"/>
    <w:rsid w:val="001829E0"/>
    <w:rsid w:val="00182F8A"/>
    <w:rsid w:val="00185082"/>
    <w:rsid w:val="001856D5"/>
    <w:rsid w:val="00185CED"/>
    <w:rsid w:val="00185DBD"/>
    <w:rsid w:val="00187B70"/>
    <w:rsid w:val="00187CCF"/>
    <w:rsid w:val="00187DC8"/>
    <w:rsid w:val="0019145C"/>
    <w:rsid w:val="001914F4"/>
    <w:rsid w:val="0019248E"/>
    <w:rsid w:val="0019293B"/>
    <w:rsid w:val="001931CC"/>
    <w:rsid w:val="0019385C"/>
    <w:rsid w:val="001948BF"/>
    <w:rsid w:val="00195879"/>
    <w:rsid w:val="001958C2"/>
    <w:rsid w:val="001A0191"/>
    <w:rsid w:val="001A0A20"/>
    <w:rsid w:val="001A279A"/>
    <w:rsid w:val="001A2915"/>
    <w:rsid w:val="001A2946"/>
    <w:rsid w:val="001A3EA8"/>
    <w:rsid w:val="001A41D8"/>
    <w:rsid w:val="001A4E79"/>
    <w:rsid w:val="001A5985"/>
    <w:rsid w:val="001A6199"/>
    <w:rsid w:val="001A6F45"/>
    <w:rsid w:val="001B144F"/>
    <w:rsid w:val="001B2E8E"/>
    <w:rsid w:val="001B338C"/>
    <w:rsid w:val="001B3796"/>
    <w:rsid w:val="001B4B65"/>
    <w:rsid w:val="001B4CA2"/>
    <w:rsid w:val="001B5119"/>
    <w:rsid w:val="001B56BB"/>
    <w:rsid w:val="001B5B86"/>
    <w:rsid w:val="001B5E45"/>
    <w:rsid w:val="001B63C0"/>
    <w:rsid w:val="001B68BB"/>
    <w:rsid w:val="001B71EE"/>
    <w:rsid w:val="001B7FB5"/>
    <w:rsid w:val="001C08D7"/>
    <w:rsid w:val="001C1CA8"/>
    <w:rsid w:val="001C2309"/>
    <w:rsid w:val="001C23B7"/>
    <w:rsid w:val="001C24D2"/>
    <w:rsid w:val="001C2B55"/>
    <w:rsid w:val="001C3830"/>
    <w:rsid w:val="001C42F0"/>
    <w:rsid w:val="001C45F2"/>
    <w:rsid w:val="001C46D2"/>
    <w:rsid w:val="001C4D1A"/>
    <w:rsid w:val="001C50DE"/>
    <w:rsid w:val="001C704F"/>
    <w:rsid w:val="001C72A1"/>
    <w:rsid w:val="001C74DB"/>
    <w:rsid w:val="001C77C4"/>
    <w:rsid w:val="001D00B8"/>
    <w:rsid w:val="001D0DA3"/>
    <w:rsid w:val="001D16B5"/>
    <w:rsid w:val="001D1BB5"/>
    <w:rsid w:val="001D1CB1"/>
    <w:rsid w:val="001D1DD0"/>
    <w:rsid w:val="001D33B3"/>
    <w:rsid w:val="001D3AD1"/>
    <w:rsid w:val="001D3AFB"/>
    <w:rsid w:val="001D3B19"/>
    <w:rsid w:val="001D3C8C"/>
    <w:rsid w:val="001D4854"/>
    <w:rsid w:val="001D5B19"/>
    <w:rsid w:val="001D5C18"/>
    <w:rsid w:val="001D5C43"/>
    <w:rsid w:val="001D6E83"/>
    <w:rsid w:val="001D702D"/>
    <w:rsid w:val="001D71D8"/>
    <w:rsid w:val="001D7921"/>
    <w:rsid w:val="001D7BB0"/>
    <w:rsid w:val="001D7D54"/>
    <w:rsid w:val="001E0C2B"/>
    <w:rsid w:val="001E0D01"/>
    <w:rsid w:val="001E0FB4"/>
    <w:rsid w:val="001E11FD"/>
    <w:rsid w:val="001E2B3F"/>
    <w:rsid w:val="001E3310"/>
    <w:rsid w:val="001E3BC8"/>
    <w:rsid w:val="001E448A"/>
    <w:rsid w:val="001E482B"/>
    <w:rsid w:val="001E4D23"/>
    <w:rsid w:val="001E4F40"/>
    <w:rsid w:val="001E54F5"/>
    <w:rsid w:val="001E65BA"/>
    <w:rsid w:val="001E6B5E"/>
    <w:rsid w:val="001E71D8"/>
    <w:rsid w:val="001E7DC3"/>
    <w:rsid w:val="001F035A"/>
    <w:rsid w:val="001F0B67"/>
    <w:rsid w:val="001F1510"/>
    <w:rsid w:val="001F179A"/>
    <w:rsid w:val="001F1B43"/>
    <w:rsid w:val="001F2308"/>
    <w:rsid w:val="001F29CA"/>
    <w:rsid w:val="001F34F9"/>
    <w:rsid w:val="001F41D9"/>
    <w:rsid w:val="001F43B6"/>
    <w:rsid w:val="001F4C4B"/>
    <w:rsid w:val="001F6158"/>
    <w:rsid w:val="001F6501"/>
    <w:rsid w:val="001F677A"/>
    <w:rsid w:val="001F757D"/>
    <w:rsid w:val="001F7675"/>
    <w:rsid w:val="001F798E"/>
    <w:rsid w:val="00201EB0"/>
    <w:rsid w:val="002022F9"/>
    <w:rsid w:val="00202436"/>
    <w:rsid w:val="00202663"/>
    <w:rsid w:val="00203C21"/>
    <w:rsid w:val="002040DC"/>
    <w:rsid w:val="00205831"/>
    <w:rsid w:val="00205C0A"/>
    <w:rsid w:val="00206304"/>
    <w:rsid w:val="00206D7F"/>
    <w:rsid w:val="002109BE"/>
    <w:rsid w:val="002126C1"/>
    <w:rsid w:val="0021348D"/>
    <w:rsid w:val="0021437B"/>
    <w:rsid w:val="00214963"/>
    <w:rsid w:val="002149DF"/>
    <w:rsid w:val="00214BA0"/>
    <w:rsid w:val="00216500"/>
    <w:rsid w:val="00216C0B"/>
    <w:rsid w:val="00217658"/>
    <w:rsid w:val="00217693"/>
    <w:rsid w:val="00217763"/>
    <w:rsid w:val="00217969"/>
    <w:rsid w:val="00217CFB"/>
    <w:rsid w:val="00220DE5"/>
    <w:rsid w:val="00221F58"/>
    <w:rsid w:val="00225208"/>
    <w:rsid w:val="0022550E"/>
    <w:rsid w:val="00227086"/>
    <w:rsid w:val="00230F49"/>
    <w:rsid w:val="00231D75"/>
    <w:rsid w:val="00231D7D"/>
    <w:rsid w:val="0023372D"/>
    <w:rsid w:val="0023375A"/>
    <w:rsid w:val="00233BB2"/>
    <w:rsid w:val="0023451A"/>
    <w:rsid w:val="002366EE"/>
    <w:rsid w:val="00237E36"/>
    <w:rsid w:val="002406AC"/>
    <w:rsid w:val="00240E0D"/>
    <w:rsid w:val="0024140B"/>
    <w:rsid w:val="0024165A"/>
    <w:rsid w:val="002417E5"/>
    <w:rsid w:val="002423FE"/>
    <w:rsid w:val="00243E68"/>
    <w:rsid w:val="002447EE"/>
    <w:rsid w:val="00244AEE"/>
    <w:rsid w:val="00244E81"/>
    <w:rsid w:val="002451DC"/>
    <w:rsid w:val="00246FB9"/>
    <w:rsid w:val="00250423"/>
    <w:rsid w:val="0025073F"/>
    <w:rsid w:val="00251445"/>
    <w:rsid w:val="00251A38"/>
    <w:rsid w:val="00252948"/>
    <w:rsid w:val="0025320A"/>
    <w:rsid w:val="002554C6"/>
    <w:rsid w:val="0025598F"/>
    <w:rsid w:val="00256169"/>
    <w:rsid w:val="002562FC"/>
    <w:rsid w:val="0025663B"/>
    <w:rsid w:val="00256A63"/>
    <w:rsid w:val="00256EA9"/>
    <w:rsid w:val="00257F98"/>
    <w:rsid w:val="00261BC4"/>
    <w:rsid w:val="002641D0"/>
    <w:rsid w:val="002642E7"/>
    <w:rsid w:val="002648E2"/>
    <w:rsid w:val="00264F5B"/>
    <w:rsid w:val="00266E83"/>
    <w:rsid w:val="0026708B"/>
    <w:rsid w:val="00270CB9"/>
    <w:rsid w:val="00271BE9"/>
    <w:rsid w:val="00272E75"/>
    <w:rsid w:val="00273087"/>
    <w:rsid w:val="002744E0"/>
    <w:rsid w:val="002746A7"/>
    <w:rsid w:val="00275A0C"/>
    <w:rsid w:val="002762F8"/>
    <w:rsid w:val="0027637F"/>
    <w:rsid w:val="00276CD3"/>
    <w:rsid w:val="002776F9"/>
    <w:rsid w:val="0028212A"/>
    <w:rsid w:val="00283E4B"/>
    <w:rsid w:val="0028447A"/>
    <w:rsid w:val="002844C4"/>
    <w:rsid w:val="00284BC9"/>
    <w:rsid w:val="00284D14"/>
    <w:rsid w:val="00285016"/>
    <w:rsid w:val="0028556F"/>
    <w:rsid w:val="0029019F"/>
    <w:rsid w:val="0029097F"/>
    <w:rsid w:val="00290D58"/>
    <w:rsid w:val="00290E8C"/>
    <w:rsid w:val="002923EA"/>
    <w:rsid w:val="002927AE"/>
    <w:rsid w:val="0029328C"/>
    <w:rsid w:val="002945FD"/>
    <w:rsid w:val="002950CA"/>
    <w:rsid w:val="00295A4C"/>
    <w:rsid w:val="00296564"/>
    <w:rsid w:val="002966BC"/>
    <w:rsid w:val="002A131E"/>
    <w:rsid w:val="002A17A1"/>
    <w:rsid w:val="002A196E"/>
    <w:rsid w:val="002A2178"/>
    <w:rsid w:val="002A27FC"/>
    <w:rsid w:val="002A2A87"/>
    <w:rsid w:val="002A438C"/>
    <w:rsid w:val="002A4DDC"/>
    <w:rsid w:val="002A6A56"/>
    <w:rsid w:val="002A6E41"/>
    <w:rsid w:val="002A7175"/>
    <w:rsid w:val="002A7DDB"/>
    <w:rsid w:val="002A7F23"/>
    <w:rsid w:val="002B12A2"/>
    <w:rsid w:val="002B1547"/>
    <w:rsid w:val="002B1B60"/>
    <w:rsid w:val="002B32BD"/>
    <w:rsid w:val="002B3433"/>
    <w:rsid w:val="002B364E"/>
    <w:rsid w:val="002B394A"/>
    <w:rsid w:val="002B4182"/>
    <w:rsid w:val="002B5615"/>
    <w:rsid w:val="002B5E81"/>
    <w:rsid w:val="002B6357"/>
    <w:rsid w:val="002C0263"/>
    <w:rsid w:val="002C080E"/>
    <w:rsid w:val="002C0B6D"/>
    <w:rsid w:val="002C0E42"/>
    <w:rsid w:val="002C27D6"/>
    <w:rsid w:val="002C2C76"/>
    <w:rsid w:val="002C3879"/>
    <w:rsid w:val="002C3A6E"/>
    <w:rsid w:val="002C3FBE"/>
    <w:rsid w:val="002C4C75"/>
    <w:rsid w:val="002C5FC8"/>
    <w:rsid w:val="002C5FF0"/>
    <w:rsid w:val="002C7515"/>
    <w:rsid w:val="002C79FD"/>
    <w:rsid w:val="002D041A"/>
    <w:rsid w:val="002D1306"/>
    <w:rsid w:val="002D1A15"/>
    <w:rsid w:val="002D38D4"/>
    <w:rsid w:val="002D3B49"/>
    <w:rsid w:val="002D43A4"/>
    <w:rsid w:val="002D59DB"/>
    <w:rsid w:val="002D61FD"/>
    <w:rsid w:val="002D64B3"/>
    <w:rsid w:val="002D6EA4"/>
    <w:rsid w:val="002D72B9"/>
    <w:rsid w:val="002E2101"/>
    <w:rsid w:val="002E6E33"/>
    <w:rsid w:val="002E7680"/>
    <w:rsid w:val="002E7989"/>
    <w:rsid w:val="002F0304"/>
    <w:rsid w:val="002F0AD1"/>
    <w:rsid w:val="002F1E89"/>
    <w:rsid w:val="002F2A41"/>
    <w:rsid w:val="002F348D"/>
    <w:rsid w:val="002F355F"/>
    <w:rsid w:val="002F38BB"/>
    <w:rsid w:val="002F39A0"/>
    <w:rsid w:val="002F3FEA"/>
    <w:rsid w:val="002F42B7"/>
    <w:rsid w:val="002F485B"/>
    <w:rsid w:val="002F4CB8"/>
    <w:rsid w:val="002F4D54"/>
    <w:rsid w:val="002F4E0B"/>
    <w:rsid w:val="002F5546"/>
    <w:rsid w:val="002F5E6F"/>
    <w:rsid w:val="002F7B2B"/>
    <w:rsid w:val="0030280B"/>
    <w:rsid w:val="00303717"/>
    <w:rsid w:val="00304214"/>
    <w:rsid w:val="003064F9"/>
    <w:rsid w:val="00307406"/>
    <w:rsid w:val="00310BCF"/>
    <w:rsid w:val="00310D9B"/>
    <w:rsid w:val="00311B64"/>
    <w:rsid w:val="003131E9"/>
    <w:rsid w:val="0031371B"/>
    <w:rsid w:val="00315320"/>
    <w:rsid w:val="003158E8"/>
    <w:rsid w:val="00315C77"/>
    <w:rsid w:val="003172B7"/>
    <w:rsid w:val="00320094"/>
    <w:rsid w:val="003209C2"/>
    <w:rsid w:val="0032156B"/>
    <w:rsid w:val="00321744"/>
    <w:rsid w:val="00322172"/>
    <w:rsid w:val="003226FC"/>
    <w:rsid w:val="00322CEE"/>
    <w:rsid w:val="00323BA4"/>
    <w:rsid w:val="00324372"/>
    <w:rsid w:val="003250E0"/>
    <w:rsid w:val="00325629"/>
    <w:rsid w:val="00325755"/>
    <w:rsid w:val="00325D55"/>
    <w:rsid w:val="003266C7"/>
    <w:rsid w:val="003269E9"/>
    <w:rsid w:val="0032771D"/>
    <w:rsid w:val="00327790"/>
    <w:rsid w:val="00327B79"/>
    <w:rsid w:val="00327D25"/>
    <w:rsid w:val="00333A95"/>
    <w:rsid w:val="00333E8A"/>
    <w:rsid w:val="0033481F"/>
    <w:rsid w:val="00334F9E"/>
    <w:rsid w:val="0033541F"/>
    <w:rsid w:val="00335AE3"/>
    <w:rsid w:val="00335C31"/>
    <w:rsid w:val="0033676B"/>
    <w:rsid w:val="00336D82"/>
    <w:rsid w:val="00337C7D"/>
    <w:rsid w:val="00337D3E"/>
    <w:rsid w:val="003401CB"/>
    <w:rsid w:val="003403CF"/>
    <w:rsid w:val="003412CA"/>
    <w:rsid w:val="003431D1"/>
    <w:rsid w:val="00346080"/>
    <w:rsid w:val="00346B5D"/>
    <w:rsid w:val="00346D23"/>
    <w:rsid w:val="003471D4"/>
    <w:rsid w:val="00347231"/>
    <w:rsid w:val="00347AE7"/>
    <w:rsid w:val="003510B3"/>
    <w:rsid w:val="0035136C"/>
    <w:rsid w:val="0035176A"/>
    <w:rsid w:val="00351771"/>
    <w:rsid w:val="00351CBD"/>
    <w:rsid w:val="00351EAC"/>
    <w:rsid w:val="003523E1"/>
    <w:rsid w:val="00353135"/>
    <w:rsid w:val="00354B02"/>
    <w:rsid w:val="00355230"/>
    <w:rsid w:val="00356827"/>
    <w:rsid w:val="00357D1B"/>
    <w:rsid w:val="00360352"/>
    <w:rsid w:val="0036194B"/>
    <w:rsid w:val="00361A77"/>
    <w:rsid w:val="00361DEB"/>
    <w:rsid w:val="00362810"/>
    <w:rsid w:val="00362C73"/>
    <w:rsid w:val="00362D1F"/>
    <w:rsid w:val="00364540"/>
    <w:rsid w:val="003648C8"/>
    <w:rsid w:val="0036596B"/>
    <w:rsid w:val="00365CFE"/>
    <w:rsid w:val="0036612F"/>
    <w:rsid w:val="0036758A"/>
    <w:rsid w:val="00370086"/>
    <w:rsid w:val="00370EF4"/>
    <w:rsid w:val="00371497"/>
    <w:rsid w:val="00371D78"/>
    <w:rsid w:val="00371ECC"/>
    <w:rsid w:val="00372F07"/>
    <w:rsid w:val="00373225"/>
    <w:rsid w:val="003737FE"/>
    <w:rsid w:val="00373B1D"/>
    <w:rsid w:val="0037433D"/>
    <w:rsid w:val="00375596"/>
    <w:rsid w:val="00375857"/>
    <w:rsid w:val="003759C6"/>
    <w:rsid w:val="00375D57"/>
    <w:rsid w:val="0037669F"/>
    <w:rsid w:val="003806B3"/>
    <w:rsid w:val="00381FC7"/>
    <w:rsid w:val="00382A16"/>
    <w:rsid w:val="003832ED"/>
    <w:rsid w:val="003836D5"/>
    <w:rsid w:val="0038406A"/>
    <w:rsid w:val="003843B9"/>
    <w:rsid w:val="00385036"/>
    <w:rsid w:val="00385CDF"/>
    <w:rsid w:val="003871A1"/>
    <w:rsid w:val="00387258"/>
    <w:rsid w:val="0039044A"/>
    <w:rsid w:val="00390991"/>
    <w:rsid w:val="00391A0E"/>
    <w:rsid w:val="00391D4A"/>
    <w:rsid w:val="00392695"/>
    <w:rsid w:val="00392E74"/>
    <w:rsid w:val="00395E30"/>
    <w:rsid w:val="00396F17"/>
    <w:rsid w:val="00397234"/>
    <w:rsid w:val="00397B67"/>
    <w:rsid w:val="00397DBE"/>
    <w:rsid w:val="003A061B"/>
    <w:rsid w:val="003A3597"/>
    <w:rsid w:val="003A488C"/>
    <w:rsid w:val="003A70EE"/>
    <w:rsid w:val="003B08C5"/>
    <w:rsid w:val="003B0F75"/>
    <w:rsid w:val="003B155D"/>
    <w:rsid w:val="003B2BD2"/>
    <w:rsid w:val="003B406A"/>
    <w:rsid w:val="003B40A1"/>
    <w:rsid w:val="003B5779"/>
    <w:rsid w:val="003B5B04"/>
    <w:rsid w:val="003B5D94"/>
    <w:rsid w:val="003B612E"/>
    <w:rsid w:val="003B61D1"/>
    <w:rsid w:val="003B634B"/>
    <w:rsid w:val="003B69DA"/>
    <w:rsid w:val="003B734E"/>
    <w:rsid w:val="003B78D4"/>
    <w:rsid w:val="003B7DA6"/>
    <w:rsid w:val="003C0146"/>
    <w:rsid w:val="003C053A"/>
    <w:rsid w:val="003C0C6C"/>
    <w:rsid w:val="003C10DE"/>
    <w:rsid w:val="003C13BF"/>
    <w:rsid w:val="003C156F"/>
    <w:rsid w:val="003C1B88"/>
    <w:rsid w:val="003C263A"/>
    <w:rsid w:val="003C5481"/>
    <w:rsid w:val="003C5FEB"/>
    <w:rsid w:val="003C74A2"/>
    <w:rsid w:val="003C7822"/>
    <w:rsid w:val="003C7920"/>
    <w:rsid w:val="003C7A7F"/>
    <w:rsid w:val="003C7ABA"/>
    <w:rsid w:val="003D036E"/>
    <w:rsid w:val="003D0607"/>
    <w:rsid w:val="003D0D05"/>
    <w:rsid w:val="003D14DC"/>
    <w:rsid w:val="003D1728"/>
    <w:rsid w:val="003D291D"/>
    <w:rsid w:val="003D2BA1"/>
    <w:rsid w:val="003D3DBE"/>
    <w:rsid w:val="003D459E"/>
    <w:rsid w:val="003D4FF2"/>
    <w:rsid w:val="003D5F97"/>
    <w:rsid w:val="003E216A"/>
    <w:rsid w:val="003E27FC"/>
    <w:rsid w:val="003E313C"/>
    <w:rsid w:val="003E3BC0"/>
    <w:rsid w:val="003E4564"/>
    <w:rsid w:val="003E4F52"/>
    <w:rsid w:val="003E58C6"/>
    <w:rsid w:val="003E6488"/>
    <w:rsid w:val="003F01FF"/>
    <w:rsid w:val="003F0B27"/>
    <w:rsid w:val="003F1741"/>
    <w:rsid w:val="003F24F1"/>
    <w:rsid w:val="003F28A3"/>
    <w:rsid w:val="003F2D0E"/>
    <w:rsid w:val="003F3035"/>
    <w:rsid w:val="003F60DD"/>
    <w:rsid w:val="00401336"/>
    <w:rsid w:val="00401413"/>
    <w:rsid w:val="00401C4C"/>
    <w:rsid w:val="00401C57"/>
    <w:rsid w:val="00402EFD"/>
    <w:rsid w:val="004034BF"/>
    <w:rsid w:val="00403ABD"/>
    <w:rsid w:val="00404331"/>
    <w:rsid w:val="00404847"/>
    <w:rsid w:val="0040582B"/>
    <w:rsid w:val="004058FA"/>
    <w:rsid w:val="00405C28"/>
    <w:rsid w:val="00405CC2"/>
    <w:rsid w:val="00405CC3"/>
    <w:rsid w:val="00406577"/>
    <w:rsid w:val="0040658D"/>
    <w:rsid w:val="004071FD"/>
    <w:rsid w:val="00407CB5"/>
    <w:rsid w:val="00407DAF"/>
    <w:rsid w:val="00411AEF"/>
    <w:rsid w:val="004122A2"/>
    <w:rsid w:val="00413135"/>
    <w:rsid w:val="004136B9"/>
    <w:rsid w:val="004140E1"/>
    <w:rsid w:val="004144DE"/>
    <w:rsid w:val="00414A57"/>
    <w:rsid w:val="004150C2"/>
    <w:rsid w:val="00415322"/>
    <w:rsid w:val="00416112"/>
    <w:rsid w:val="004161B5"/>
    <w:rsid w:val="00416A6F"/>
    <w:rsid w:val="004174C6"/>
    <w:rsid w:val="00417A98"/>
    <w:rsid w:val="00417CA6"/>
    <w:rsid w:val="00421159"/>
    <w:rsid w:val="0042231A"/>
    <w:rsid w:val="00422460"/>
    <w:rsid w:val="00422B2C"/>
    <w:rsid w:val="00423A9B"/>
    <w:rsid w:val="00423DC3"/>
    <w:rsid w:val="004246B5"/>
    <w:rsid w:val="0042511E"/>
    <w:rsid w:val="004252CD"/>
    <w:rsid w:val="004264B6"/>
    <w:rsid w:val="00427863"/>
    <w:rsid w:val="00430C6A"/>
    <w:rsid w:val="004316D0"/>
    <w:rsid w:val="00433135"/>
    <w:rsid w:val="0043324C"/>
    <w:rsid w:val="00434AC7"/>
    <w:rsid w:val="00435219"/>
    <w:rsid w:val="00436842"/>
    <w:rsid w:val="0043696E"/>
    <w:rsid w:val="0043728D"/>
    <w:rsid w:val="00437627"/>
    <w:rsid w:val="0043780E"/>
    <w:rsid w:val="0044090E"/>
    <w:rsid w:val="00441CE2"/>
    <w:rsid w:val="0044361A"/>
    <w:rsid w:val="0044458A"/>
    <w:rsid w:val="0044498D"/>
    <w:rsid w:val="00444D19"/>
    <w:rsid w:val="0044620B"/>
    <w:rsid w:val="004468D2"/>
    <w:rsid w:val="00446B9C"/>
    <w:rsid w:val="0044742D"/>
    <w:rsid w:val="004475CC"/>
    <w:rsid w:val="00447862"/>
    <w:rsid w:val="004478CA"/>
    <w:rsid w:val="00447C5C"/>
    <w:rsid w:val="00447FB9"/>
    <w:rsid w:val="004515B8"/>
    <w:rsid w:val="0045207C"/>
    <w:rsid w:val="004537D7"/>
    <w:rsid w:val="0045518E"/>
    <w:rsid w:val="00456845"/>
    <w:rsid w:val="00456D44"/>
    <w:rsid w:val="00457C7A"/>
    <w:rsid w:val="00460772"/>
    <w:rsid w:val="00460F06"/>
    <w:rsid w:val="00461EB4"/>
    <w:rsid w:val="00462830"/>
    <w:rsid w:val="004630FA"/>
    <w:rsid w:val="00463384"/>
    <w:rsid w:val="0046479C"/>
    <w:rsid w:val="0046488E"/>
    <w:rsid w:val="00466E13"/>
    <w:rsid w:val="00466EF1"/>
    <w:rsid w:val="004670E1"/>
    <w:rsid w:val="004672DA"/>
    <w:rsid w:val="00467AC3"/>
    <w:rsid w:val="00470F6B"/>
    <w:rsid w:val="00470FEA"/>
    <w:rsid w:val="00471091"/>
    <w:rsid w:val="00471AF8"/>
    <w:rsid w:val="00472327"/>
    <w:rsid w:val="004723BE"/>
    <w:rsid w:val="0047266B"/>
    <w:rsid w:val="004735E3"/>
    <w:rsid w:val="00474120"/>
    <w:rsid w:val="0047539D"/>
    <w:rsid w:val="00476130"/>
    <w:rsid w:val="00481069"/>
    <w:rsid w:val="00481472"/>
    <w:rsid w:val="00481544"/>
    <w:rsid w:val="0048159E"/>
    <w:rsid w:val="004815F3"/>
    <w:rsid w:val="00482201"/>
    <w:rsid w:val="004829EA"/>
    <w:rsid w:val="00483B55"/>
    <w:rsid w:val="00484793"/>
    <w:rsid w:val="00484A6F"/>
    <w:rsid w:val="00484B7E"/>
    <w:rsid w:val="004852D1"/>
    <w:rsid w:val="00485B0F"/>
    <w:rsid w:val="0048649D"/>
    <w:rsid w:val="0048713D"/>
    <w:rsid w:val="004915DE"/>
    <w:rsid w:val="00491631"/>
    <w:rsid w:val="00491CD4"/>
    <w:rsid w:val="00492E59"/>
    <w:rsid w:val="00493C35"/>
    <w:rsid w:val="004945D6"/>
    <w:rsid w:val="00496298"/>
    <w:rsid w:val="0049670D"/>
    <w:rsid w:val="004979EE"/>
    <w:rsid w:val="00497CC8"/>
    <w:rsid w:val="004A06B0"/>
    <w:rsid w:val="004A173B"/>
    <w:rsid w:val="004A3371"/>
    <w:rsid w:val="004A3E61"/>
    <w:rsid w:val="004A3E83"/>
    <w:rsid w:val="004A48C9"/>
    <w:rsid w:val="004A49C1"/>
    <w:rsid w:val="004A4C77"/>
    <w:rsid w:val="004A4EBB"/>
    <w:rsid w:val="004A5684"/>
    <w:rsid w:val="004A5E74"/>
    <w:rsid w:val="004A61A7"/>
    <w:rsid w:val="004A6A5F"/>
    <w:rsid w:val="004B0877"/>
    <w:rsid w:val="004B08DD"/>
    <w:rsid w:val="004B1A16"/>
    <w:rsid w:val="004B2EEC"/>
    <w:rsid w:val="004B47A3"/>
    <w:rsid w:val="004B5015"/>
    <w:rsid w:val="004B59A3"/>
    <w:rsid w:val="004B5C9D"/>
    <w:rsid w:val="004B78A1"/>
    <w:rsid w:val="004C09AB"/>
    <w:rsid w:val="004C29E6"/>
    <w:rsid w:val="004C2A50"/>
    <w:rsid w:val="004C380C"/>
    <w:rsid w:val="004C38A6"/>
    <w:rsid w:val="004C3954"/>
    <w:rsid w:val="004C3D5A"/>
    <w:rsid w:val="004C3F38"/>
    <w:rsid w:val="004C4BD0"/>
    <w:rsid w:val="004C4D15"/>
    <w:rsid w:val="004C521D"/>
    <w:rsid w:val="004C55DD"/>
    <w:rsid w:val="004C5B2B"/>
    <w:rsid w:val="004C63A3"/>
    <w:rsid w:val="004C63FC"/>
    <w:rsid w:val="004C675B"/>
    <w:rsid w:val="004C6881"/>
    <w:rsid w:val="004C6F3D"/>
    <w:rsid w:val="004C74AB"/>
    <w:rsid w:val="004C75AC"/>
    <w:rsid w:val="004D0709"/>
    <w:rsid w:val="004D1FEA"/>
    <w:rsid w:val="004D3776"/>
    <w:rsid w:val="004D38B1"/>
    <w:rsid w:val="004D3B44"/>
    <w:rsid w:val="004D4742"/>
    <w:rsid w:val="004D51D1"/>
    <w:rsid w:val="004D5C59"/>
    <w:rsid w:val="004D5EAE"/>
    <w:rsid w:val="004D77DD"/>
    <w:rsid w:val="004D7FFB"/>
    <w:rsid w:val="004E0B63"/>
    <w:rsid w:val="004E2AEC"/>
    <w:rsid w:val="004E2C57"/>
    <w:rsid w:val="004E2EE7"/>
    <w:rsid w:val="004E301C"/>
    <w:rsid w:val="004E3B9C"/>
    <w:rsid w:val="004E3E47"/>
    <w:rsid w:val="004E3E87"/>
    <w:rsid w:val="004E50C3"/>
    <w:rsid w:val="004E6451"/>
    <w:rsid w:val="004E69F1"/>
    <w:rsid w:val="004F06B0"/>
    <w:rsid w:val="004F0EE8"/>
    <w:rsid w:val="004F1002"/>
    <w:rsid w:val="004F1536"/>
    <w:rsid w:val="004F1B3B"/>
    <w:rsid w:val="004F2C42"/>
    <w:rsid w:val="004F2C57"/>
    <w:rsid w:val="004F2D45"/>
    <w:rsid w:val="004F2DAD"/>
    <w:rsid w:val="004F3646"/>
    <w:rsid w:val="004F3C18"/>
    <w:rsid w:val="004F48AE"/>
    <w:rsid w:val="004F4CB4"/>
    <w:rsid w:val="004F4E42"/>
    <w:rsid w:val="004F50B8"/>
    <w:rsid w:val="004F737F"/>
    <w:rsid w:val="00501261"/>
    <w:rsid w:val="005015A7"/>
    <w:rsid w:val="00501AC6"/>
    <w:rsid w:val="00501B81"/>
    <w:rsid w:val="00501B88"/>
    <w:rsid w:val="005037F1"/>
    <w:rsid w:val="00503C85"/>
    <w:rsid w:val="00504A5E"/>
    <w:rsid w:val="00504B61"/>
    <w:rsid w:val="00505733"/>
    <w:rsid w:val="005073CD"/>
    <w:rsid w:val="00507969"/>
    <w:rsid w:val="00510994"/>
    <w:rsid w:val="00510A2F"/>
    <w:rsid w:val="0051137A"/>
    <w:rsid w:val="005118B4"/>
    <w:rsid w:val="00511B33"/>
    <w:rsid w:val="00511EB0"/>
    <w:rsid w:val="00512645"/>
    <w:rsid w:val="00512717"/>
    <w:rsid w:val="00512A77"/>
    <w:rsid w:val="005145F1"/>
    <w:rsid w:val="00515E0C"/>
    <w:rsid w:val="00516EBA"/>
    <w:rsid w:val="00517B7E"/>
    <w:rsid w:val="00517EC7"/>
    <w:rsid w:val="005213E6"/>
    <w:rsid w:val="00522168"/>
    <w:rsid w:val="00522953"/>
    <w:rsid w:val="005235FE"/>
    <w:rsid w:val="005244D1"/>
    <w:rsid w:val="00524550"/>
    <w:rsid w:val="00525C3F"/>
    <w:rsid w:val="00525F22"/>
    <w:rsid w:val="00525FD9"/>
    <w:rsid w:val="005268D3"/>
    <w:rsid w:val="00526C4B"/>
    <w:rsid w:val="0052704A"/>
    <w:rsid w:val="005307AE"/>
    <w:rsid w:val="005308C3"/>
    <w:rsid w:val="00530BD6"/>
    <w:rsid w:val="00530EFA"/>
    <w:rsid w:val="00533DB4"/>
    <w:rsid w:val="00533DD3"/>
    <w:rsid w:val="00533E5C"/>
    <w:rsid w:val="005344EF"/>
    <w:rsid w:val="00534C9C"/>
    <w:rsid w:val="00534DEF"/>
    <w:rsid w:val="00535D3C"/>
    <w:rsid w:val="005366B3"/>
    <w:rsid w:val="00536DFE"/>
    <w:rsid w:val="0053722D"/>
    <w:rsid w:val="00540BD3"/>
    <w:rsid w:val="0054137A"/>
    <w:rsid w:val="00541E17"/>
    <w:rsid w:val="0054246F"/>
    <w:rsid w:val="00544E0D"/>
    <w:rsid w:val="005465A8"/>
    <w:rsid w:val="00546D74"/>
    <w:rsid w:val="00546FA3"/>
    <w:rsid w:val="005479B5"/>
    <w:rsid w:val="00550FB6"/>
    <w:rsid w:val="00552188"/>
    <w:rsid w:val="0055345F"/>
    <w:rsid w:val="00553AC6"/>
    <w:rsid w:val="00553FA1"/>
    <w:rsid w:val="00554FAE"/>
    <w:rsid w:val="005566CE"/>
    <w:rsid w:val="005572AC"/>
    <w:rsid w:val="005576B5"/>
    <w:rsid w:val="005604C6"/>
    <w:rsid w:val="00560755"/>
    <w:rsid w:val="005621FB"/>
    <w:rsid w:val="005623B7"/>
    <w:rsid w:val="0056298C"/>
    <w:rsid w:val="00563205"/>
    <w:rsid w:val="00563AE6"/>
    <w:rsid w:val="00564768"/>
    <w:rsid w:val="00565125"/>
    <w:rsid w:val="00565316"/>
    <w:rsid w:val="00565862"/>
    <w:rsid w:val="00566735"/>
    <w:rsid w:val="00570F42"/>
    <w:rsid w:val="0057239C"/>
    <w:rsid w:val="00572FDA"/>
    <w:rsid w:val="00573089"/>
    <w:rsid w:val="00573761"/>
    <w:rsid w:val="00575CB2"/>
    <w:rsid w:val="00576B72"/>
    <w:rsid w:val="00576D5A"/>
    <w:rsid w:val="0057786C"/>
    <w:rsid w:val="00577C27"/>
    <w:rsid w:val="005802AD"/>
    <w:rsid w:val="00580678"/>
    <w:rsid w:val="00580CAA"/>
    <w:rsid w:val="005826B8"/>
    <w:rsid w:val="00586690"/>
    <w:rsid w:val="005869C2"/>
    <w:rsid w:val="00587681"/>
    <w:rsid w:val="005902A9"/>
    <w:rsid w:val="00590830"/>
    <w:rsid w:val="00590CF9"/>
    <w:rsid w:val="00590F15"/>
    <w:rsid w:val="0059184C"/>
    <w:rsid w:val="00591C87"/>
    <w:rsid w:val="00591EB2"/>
    <w:rsid w:val="00592066"/>
    <w:rsid w:val="0059289B"/>
    <w:rsid w:val="00593533"/>
    <w:rsid w:val="0059374F"/>
    <w:rsid w:val="00593BEE"/>
    <w:rsid w:val="00593D8B"/>
    <w:rsid w:val="005940A1"/>
    <w:rsid w:val="005944C8"/>
    <w:rsid w:val="00594E8F"/>
    <w:rsid w:val="00595F0D"/>
    <w:rsid w:val="00596D2C"/>
    <w:rsid w:val="00597B2C"/>
    <w:rsid w:val="005A02C7"/>
    <w:rsid w:val="005A03A7"/>
    <w:rsid w:val="005A0405"/>
    <w:rsid w:val="005A185C"/>
    <w:rsid w:val="005A2821"/>
    <w:rsid w:val="005A2F2D"/>
    <w:rsid w:val="005A34DA"/>
    <w:rsid w:val="005A43F7"/>
    <w:rsid w:val="005A570E"/>
    <w:rsid w:val="005A6079"/>
    <w:rsid w:val="005A65DE"/>
    <w:rsid w:val="005A796A"/>
    <w:rsid w:val="005B0E33"/>
    <w:rsid w:val="005B1675"/>
    <w:rsid w:val="005B1C79"/>
    <w:rsid w:val="005B20F1"/>
    <w:rsid w:val="005B3259"/>
    <w:rsid w:val="005B3FD5"/>
    <w:rsid w:val="005B4EF3"/>
    <w:rsid w:val="005B5206"/>
    <w:rsid w:val="005B5282"/>
    <w:rsid w:val="005B52DA"/>
    <w:rsid w:val="005B5340"/>
    <w:rsid w:val="005B6656"/>
    <w:rsid w:val="005B7C22"/>
    <w:rsid w:val="005C1B0C"/>
    <w:rsid w:val="005C1E64"/>
    <w:rsid w:val="005C20F1"/>
    <w:rsid w:val="005C2567"/>
    <w:rsid w:val="005C2666"/>
    <w:rsid w:val="005C2E25"/>
    <w:rsid w:val="005C39C7"/>
    <w:rsid w:val="005C3A6E"/>
    <w:rsid w:val="005C3CA0"/>
    <w:rsid w:val="005C557F"/>
    <w:rsid w:val="005C5B1C"/>
    <w:rsid w:val="005C5D48"/>
    <w:rsid w:val="005C5ED5"/>
    <w:rsid w:val="005C765A"/>
    <w:rsid w:val="005C77DF"/>
    <w:rsid w:val="005D1424"/>
    <w:rsid w:val="005D182F"/>
    <w:rsid w:val="005D22BB"/>
    <w:rsid w:val="005D2C12"/>
    <w:rsid w:val="005D39E6"/>
    <w:rsid w:val="005D4690"/>
    <w:rsid w:val="005D53CE"/>
    <w:rsid w:val="005D64D0"/>
    <w:rsid w:val="005D6B4A"/>
    <w:rsid w:val="005D6BAF"/>
    <w:rsid w:val="005E0711"/>
    <w:rsid w:val="005E1F0C"/>
    <w:rsid w:val="005E2461"/>
    <w:rsid w:val="005E2C9F"/>
    <w:rsid w:val="005E3215"/>
    <w:rsid w:val="005E37F7"/>
    <w:rsid w:val="005E4903"/>
    <w:rsid w:val="005E565F"/>
    <w:rsid w:val="005E615B"/>
    <w:rsid w:val="005E70BD"/>
    <w:rsid w:val="005E7394"/>
    <w:rsid w:val="005F1D00"/>
    <w:rsid w:val="005F1F3D"/>
    <w:rsid w:val="005F2105"/>
    <w:rsid w:val="005F215F"/>
    <w:rsid w:val="005F21D7"/>
    <w:rsid w:val="005F2573"/>
    <w:rsid w:val="005F28C4"/>
    <w:rsid w:val="005F313D"/>
    <w:rsid w:val="005F3233"/>
    <w:rsid w:val="005F38F3"/>
    <w:rsid w:val="005F4A2F"/>
    <w:rsid w:val="005F5302"/>
    <w:rsid w:val="005F5E73"/>
    <w:rsid w:val="005F6397"/>
    <w:rsid w:val="005F64B6"/>
    <w:rsid w:val="005F6625"/>
    <w:rsid w:val="005F7362"/>
    <w:rsid w:val="00600CD7"/>
    <w:rsid w:val="00601074"/>
    <w:rsid w:val="00602F0B"/>
    <w:rsid w:val="00603148"/>
    <w:rsid w:val="00604D61"/>
    <w:rsid w:val="0060652D"/>
    <w:rsid w:val="00606584"/>
    <w:rsid w:val="00606F30"/>
    <w:rsid w:val="00607E81"/>
    <w:rsid w:val="00607E9E"/>
    <w:rsid w:val="00607F83"/>
    <w:rsid w:val="00610328"/>
    <w:rsid w:val="00611041"/>
    <w:rsid w:val="006117FB"/>
    <w:rsid w:val="00612003"/>
    <w:rsid w:val="0061328C"/>
    <w:rsid w:val="00615AF7"/>
    <w:rsid w:val="00615B9D"/>
    <w:rsid w:val="006161D6"/>
    <w:rsid w:val="00616481"/>
    <w:rsid w:val="00616F59"/>
    <w:rsid w:val="00617736"/>
    <w:rsid w:val="0062081B"/>
    <w:rsid w:val="006212E6"/>
    <w:rsid w:val="00622F13"/>
    <w:rsid w:val="00623A91"/>
    <w:rsid w:val="00623BAF"/>
    <w:rsid w:val="006244CF"/>
    <w:rsid w:val="00624B20"/>
    <w:rsid w:val="00625398"/>
    <w:rsid w:val="00626173"/>
    <w:rsid w:val="006272D6"/>
    <w:rsid w:val="00627BB0"/>
    <w:rsid w:val="0063046A"/>
    <w:rsid w:val="0063055A"/>
    <w:rsid w:val="00630C98"/>
    <w:rsid w:val="00631D0F"/>
    <w:rsid w:val="0063320A"/>
    <w:rsid w:val="0063368D"/>
    <w:rsid w:val="00633906"/>
    <w:rsid w:val="00633E31"/>
    <w:rsid w:val="00635DA6"/>
    <w:rsid w:val="00636A39"/>
    <w:rsid w:val="006375F0"/>
    <w:rsid w:val="00637EAF"/>
    <w:rsid w:val="00637EDD"/>
    <w:rsid w:val="006407D8"/>
    <w:rsid w:val="00641BB5"/>
    <w:rsid w:val="00641CFF"/>
    <w:rsid w:val="00641EE0"/>
    <w:rsid w:val="00642B06"/>
    <w:rsid w:val="00643F5E"/>
    <w:rsid w:val="00644A42"/>
    <w:rsid w:val="00644F51"/>
    <w:rsid w:val="00645D88"/>
    <w:rsid w:val="0064618B"/>
    <w:rsid w:val="006461D3"/>
    <w:rsid w:val="00647699"/>
    <w:rsid w:val="00647734"/>
    <w:rsid w:val="0064790D"/>
    <w:rsid w:val="006503B7"/>
    <w:rsid w:val="00651145"/>
    <w:rsid w:val="006524D7"/>
    <w:rsid w:val="0065301A"/>
    <w:rsid w:val="00653129"/>
    <w:rsid w:val="00653453"/>
    <w:rsid w:val="00653B30"/>
    <w:rsid w:val="00653C73"/>
    <w:rsid w:val="00655A7C"/>
    <w:rsid w:val="00655A80"/>
    <w:rsid w:val="00657723"/>
    <w:rsid w:val="00660639"/>
    <w:rsid w:val="00661C68"/>
    <w:rsid w:val="0066291B"/>
    <w:rsid w:val="00663232"/>
    <w:rsid w:val="006635C2"/>
    <w:rsid w:val="00663807"/>
    <w:rsid w:val="00663C19"/>
    <w:rsid w:val="00663C92"/>
    <w:rsid w:val="00663FB0"/>
    <w:rsid w:val="00665AAD"/>
    <w:rsid w:val="00666A94"/>
    <w:rsid w:val="0066782C"/>
    <w:rsid w:val="00667DA2"/>
    <w:rsid w:val="00670924"/>
    <w:rsid w:val="00671441"/>
    <w:rsid w:val="00671D52"/>
    <w:rsid w:val="0067497D"/>
    <w:rsid w:val="00674D14"/>
    <w:rsid w:val="006753CC"/>
    <w:rsid w:val="00675A35"/>
    <w:rsid w:val="00675A98"/>
    <w:rsid w:val="0067667C"/>
    <w:rsid w:val="00676F73"/>
    <w:rsid w:val="006779A1"/>
    <w:rsid w:val="00680731"/>
    <w:rsid w:val="006809C8"/>
    <w:rsid w:val="0068180B"/>
    <w:rsid w:val="006820CE"/>
    <w:rsid w:val="006820D6"/>
    <w:rsid w:val="0068221B"/>
    <w:rsid w:val="00683813"/>
    <w:rsid w:val="00684651"/>
    <w:rsid w:val="006858E5"/>
    <w:rsid w:val="00686D54"/>
    <w:rsid w:val="00686D9A"/>
    <w:rsid w:val="00687496"/>
    <w:rsid w:val="006875B5"/>
    <w:rsid w:val="00687D7B"/>
    <w:rsid w:val="00691943"/>
    <w:rsid w:val="00691A6D"/>
    <w:rsid w:val="00691DCC"/>
    <w:rsid w:val="0069207C"/>
    <w:rsid w:val="0069243D"/>
    <w:rsid w:val="006937AD"/>
    <w:rsid w:val="00693C89"/>
    <w:rsid w:val="00693FD3"/>
    <w:rsid w:val="00694035"/>
    <w:rsid w:val="00694BCF"/>
    <w:rsid w:val="006951ED"/>
    <w:rsid w:val="006953A1"/>
    <w:rsid w:val="00696BB2"/>
    <w:rsid w:val="006979CE"/>
    <w:rsid w:val="00697A4C"/>
    <w:rsid w:val="006A0057"/>
    <w:rsid w:val="006A0DE3"/>
    <w:rsid w:val="006A139B"/>
    <w:rsid w:val="006A16FB"/>
    <w:rsid w:val="006A1BAF"/>
    <w:rsid w:val="006A409D"/>
    <w:rsid w:val="006A55AD"/>
    <w:rsid w:val="006A7E95"/>
    <w:rsid w:val="006B0ED5"/>
    <w:rsid w:val="006B1727"/>
    <w:rsid w:val="006B1E17"/>
    <w:rsid w:val="006B4C1A"/>
    <w:rsid w:val="006B51AB"/>
    <w:rsid w:val="006B5564"/>
    <w:rsid w:val="006B717D"/>
    <w:rsid w:val="006B7A9D"/>
    <w:rsid w:val="006C09BA"/>
    <w:rsid w:val="006C13F6"/>
    <w:rsid w:val="006C1883"/>
    <w:rsid w:val="006C1CEE"/>
    <w:rsid w:val="006C32CD"/>
    <w:rsid w:val="006C46A5"/>
    <w:rsid w:val="006C6172"/>
    <w:rsid w:val="006C61F3"/>
    <w:rsid w:val="006C6935"/>
    <w:rsid w:val="006C729E"/>
    <w:rsid w:val="006D11EF"/>
    <w:rsid w:val="006D1CEF"/>
    <w:rsid w:val="006D1CF4"/>
    <w:rsid w:val="006D213E"/>
    <w:rsid w:val="006D4341"/>
    <w:rsid w:val="006D46B0"/>
    <w:rsid w:val="006D5C3D"/>
    <w:rsid w:val="006D654F"/>
    <w:rsid w:val="006D725C"/>
    <w:rsid w:val="006D7A65"/>
    <w:rsid w:val="006E15FE"/>
    <w:rsid w:val="006E1ADF"/>
    <w:rsid w:val="006E23EB"/>
    <w:rsid w:val="006E3B3F"/>
    <w:rsid w:val="006E4CEE"/>
    <w:rsid w:val="006E51A0"/>
    <w:rsid w:val="006E551F"/>
    <w:rsid w:val="006E5650"/>
    <w:rsid w:val="006E63D1"/>
    <w:rsid w:val="006E6D9A"/>
    <w:rsid w:val="006E71D3"/>
    <w:rsid w:val="006F020A"/>
    <w:rsid w:val="006F041B"/>
    <w:rsid w:val="006F0E6C"/>
    <w:rsid w:val="006F1069"/>
    <w:rsid w:val="006F1B91"/>
    <w:rsid w:val="006F3188"/>
    <w:rsid w:val="006F352B"/>
    <w:rsid w:val="006F62CC"/>
    <w:rsid w:val="006F738D"/>
    <w:rsid w:val="006F7847"/>
    <w:rsid w:val="006F794A"/>
    <w:rsid w:val="006F7A87"/>
    <w:rsid w:val="007000CD"/>
    <w:rsid w:val="00700BFC"/>
    <w:rsid w:val="007011AC"/>
    <w:rsid w:val="00701BA3"/>
    <w:rsid w:val="00701C3F"/>
    <w:rsid w:val="0070385E"/>
    <w:rsid w:val="00705777"/>
    <w:rsid w:val="007106B7"/>
    <w:rsid w:val="00710C3D"/>
    <w:rsid w:val="00712C44"/>
    <w:rsid w:val="0071320F"/>
    <w:rsid w:val="007135AF"/>
    <w:rsid w:val="00713E3B"/>
    <w:rsid w:val="00714528"/>
    <w:rsid w:val="00714BF5"/>
    <w:rsid w:val="0071596B"/>
    <w:rsid w:val="007161F9"/>
    <w:rsid w:val="00716396"/>
    <w:rsid w:val="00716AC3"/>
    <w:rsid w:val="007173BF"/>
    <w:rsid w:val="007173D2"/>
    <w:rsid w:val="00717F26"/>
    <w:rsid w:val="00720C89"/>
    <w:rsid w:val="00721649"/>
    <w:rsid w:val="0072197B"/>
    <w:rsid w:val="00722757"/>
    <w:rsid w:val="00722DBA"/>
    <w:rsid w:val="0072359C"/>
    <w:rsid w:val="0072409A"/>
    <w:rsid w:val="007241F8"/>
    <w:rsid w:val="007242DD"/>
    <w:rsid w:val="007246BD"/>
    <w:rsid w:val="007246DA"/>
    <w:rsid w:val="007249AF"/>
    <w:rsid w:val="00725726"/>
    <w:rsid w:val="00725759"/>
    <w:rsid w:val="00727065"/>
    <w:rsid w:val="00727819"/>
    <w:rsid w:val="00727948"/>
    <w:rsid w:val="00727B51"/>
    <w:rsid w:val="007300FE"/>
    <w:rsid w:val="00730640"/>
    <w:rsid w:val="0073207C"/>
    <w:rsid w:val="007320B8"/>
    <w:rsid w:val="00732DF4"/>
    <w:rsid w:val="00732EDC"/>
    <w:rsid w:val="00732F53"/>
    <w:rsid w:val="007334F9"/>
    <w:rsid w:val="007341F8"/>
    <w:rsid w:val="007342C5"/>
    <w:rsid w:val="0073515E"/>
    <w:rsid w:val="00737933"/>
    <w:rsid w:val="0074125A"/>
    <w:rsid w:val="00742281"/>
    <w:rsid w:val="00742577"/>
    <w:rsid w:val="00743D73"/>
    <w:rsid w:val="00743EA9"/>
    <w:rsid w:val="007460E6"/>
    <w:rsid w:val="0074653B"/>
    <w:rsid w:val="00746A41"/>
    <w:rsid w:val="00747C80"/>
    <w:rsid w:val="00750211"/>
    <w:rsid w:val="00750F77"/>
    <w:rsid w:val="00751878"/>
    <w:rsid w:val="00752C50"/>
    <w:rsid w:val="00752CE0"/>
    <w:rsid w:val="007539B2"/>
    <w:rsid w:val="00753C44"/>
    <w:rsid w:val="00754635"/>
    <w:rsid w:val="007564A2"/>
    <w:rsid w:val="00756BAC"/>
    <w:rsid w:val="00760AE8"/>
    <w:rsid w:val="00761F32"/>
    <w:rsid w:val="0076238B"/>
    <w:rsid w:val="0076274A"/>
    <w:rsid w:val="007628E9"/>
    <w:rsid w:val="007640D7"/>
    <w:rsid w:val="00764836"/>
    <w:rsid w:val="00764911"/>
    <w:rsid w:val="0076506D"/>
    <w:rsid w:val="00766976"/>
    <w:rsid w:val="00766C51"/>
    <w:rsid w:val="00767635"/>
    <w:rsid w:val="007706D3"/>
    <w:rsid w:val="00770917"/>
    <w:rsid w:val="00770CCC"/>
    <w:rsid w:val="00772919"/>
    <w:rsid w:val="00772950"/>
    <w:rsid w:val="007730F9"/>
    <w:rsid w:val="00774371"/>
    <w:rsid w:val="00775B9D"/>
    <w:rsid w:val="007768AF"/>
    <w:rsid w:val="00777028"/>
    <w:rsid w:val="007773A2"/>
    <w:rsid w:val="00777449"/>
    <w:rsid w:val="007777AE"/>
    <w:rsid w:val="00781259"/>
    <w:rsid w:val="007817C3"/>
    <w:rsid w:val="00781E1E"/>
    <w:rsid w:val="007828D3"/>
    <w:rsid w:val="007835B7"/>
    <w:rsid w:val="00783905"/>
    <w:rsid w:val="00783CD3"/>
    <w:rsid w:val="007843F3"/>
    <w:rsid w:val="0078448C"/>
    <w:rsid w:val="00784968"/>
    <w:rsid w:val="00784D53"/>
    <w:rsid w:val="0078775E"/>
    <w:rsid w:val="00787BD2"/>
    <w:rsid w:val="00790211"/>
    <w:rsid w:val="00790528"/>
    <w:rsid w:val="007905E5"/>
    <w:rsid w:val="007910CF"/>
    <w:rsid w:val="00792AF8"/>
    <w:rsid w:val="00795AF2"/>
    <w:rsid w:val="00796FC1"/>
    <w:rsid w:val="007974D5"/>
    <w:rsid w:val="007A1FA8"/>
    <w:rsid w:val="007A37AF"/>
    <w:rsid w:val="007A3A66"/>
    <w:rsid w:val="007A3B68"/>
    <w:rsid w:val="007A4007"/>
    <w:rsid w:val="007A4144"/>
    <w:rsid w:val="007A4BCE"/>
    <w:rsid w:val="007A54CA"/>
    <w:rsid w:val="007A5746"/>
    <w:rsid w:val="007A58B3"/>
    <w:rsid w:val="007A6456"/>
    <w:rsid w:val="007A6FB5"/>
    <w:rsid w:val="007A708B"/>
    <w:rsid w:val="007A7947"/>
    <w:rsid w:val="007B0730"/>
    <w:rsid w:val="007B1413"/>
    <w:rsid w:val="007B19B3"/>
    <w:rsid w:val="007B2DD1"/>
    <w:rsid w:val="007B3D44"/>
    <w:rsid w:val="007B483E"/>
    <w:rsid w:val="007B5EFB"/>
    <w:rsid w:val="007B6812"/>
    <w:rsid w:val="007B6A27"/>
    <w:rsid w:val="007B70BB"/>
    <w:rsid w:val="007B722F"/>
    <w:rsid w:val="007B7C27"/>
    <w:rsid w:val="007C0703"/>
    <w:rsid w:val="007C0783"/>
    <w:rsid w:val="007C0F47"/>
    <w:rsid w:val="007C0F83"/>
    <w:rsid w:val="007C1121"/>
    <w:rsid w:val="007C1F43"/>
    <w:rsid w:val="007C2E37"/>
    <w:rsid w:val="007C3924"/>
    <w:rsid w:val="007C41D0"/>
    <w:rsid w:val="007C47E8"/>
    <w:rsid w:val="007C54EC"/>
    <w:rsid w:val="007C5BE4"/>
    <w:rsid w:val="007C6334"/>
    <w:rsid w:val="007C6D36"/>
    <w:rsid w:val="007C76AC"/>
    <w:rsid w:val="007C79F7"/>
    <w:rsid w:val="007C7A41"/>
    <w:rsid w:val="007D0F27"/>
    <w:rsid w:val="007D159E"/>
    <w:rsid w:val="007D21FF"/>
    <w:rsid w:val="007D27AB"/>
    <w:rsid w:val="007D2DAF"/>
    <w:rsid w:val="007D3050"/>
    <w:rsid w:val="007D31B1"/>
    <w:rsid w:val="007D3F97"/>
    <w:rsid w:val="007D4A1F"/>
    <w:rsid w:val="007D4D02"/>
    <w:rsid w:val="007D55F7"/>
    <w:rsid w:val="007D567E"/>
    <w:rsid w:val="007D5F92"/>
    <w:rsid w:val="007D63CC"/>
    <w:rsid w:val="007E1866"/>
    <w:rsid w:val="007E199A"/>
    <w:rsid w:val="007E2786"/>
    <w:rsid w:val="007E2E41"/>
    <w:rsid w:val="007E37CE"/>
    <w:rsid w:val="007E3CC9"/>
    <w:rsid w:val="007E3FE9"/>
    <w:rsid w:val="007E46F6"/>
    <w:rsid w:val="007E490C"/>
    <w:rsid w:val="007E53B4"/>
    <w:rsid w:val="007F1B15"/>
    <w:rsid w:val="007F242D"/>
    <w:rsid w:val="007F2640"/>
    <w:rsid w:val="007F32B0"/>
    <w:rsid w:val="007F4E67"/>
    <w:rsid w:val="007F4F4B"/>
    <w:rsid w:val="007F60F8"/>
    <w:rsid w:val="007F698B"/>
    <w:rsid w:val="007F6CF0"/>
    <w:rsid w:val="007F6ED9"/>
    <w:rsid w:val="007F7483"/>
    <w:rsid w:val="00800D23"/>
    <w:rsid w:val="00800E6A"/>
    <w:rsid w:val="0080177E"/>
    <w:rsid w:val="008040D2"/>
    <w:rsid w:val="008043BE"/>
    <w:rsid w:val="00804C8B"/>
    <w:rsid w:val="00804F0A"/>
    <w:rsid w:val="0080632C"/>
    <w:rsid w:val="00807AA4"/>
    <w:rsid w:val="00810C17"/>
    <w:rsid w:val="008122EC"/>
    <w:rsid w:val="00813BA7"/>
    <w:rsid w:val="00814341"/>
    <w:rsid w:val="008145D2"/>
    <w:rsid w:val="008147ED"/>
    <w:rsid w:val="00817AC0"/>
    <w:rsid w:val="0082017E"/>
    <w:rsid w:val="00821D85"/>
    <w:rsid w:val="00822840"/>
    <w:rsid w:val="00822F4C"/>
    <w:rsid w:val="0082356A"/>
    <w:rsid w:val="00824508"/>
    <w:rsid w:val="00826798"/>
    <w:rsid w:val="00826A04"/>
    <w:rsid w:val="00826F90"/>
    <w:rsid w:val="00827F97"/>
    <w:rsid w:val="008304E6"/>
    <w:rsid w:val="008307CB"/>
    <w:rsid w:val="00830F7A"/>
    <w:rsid w:val="00831D19"/>
    <w:rsid w:val="00831EB2"/>
    <w:rsid w:val="00832E69"/>
    <w:rsid w:val="0083308C"/>
    <w:rsid w:val="00836E24"/>
    <w:rsid w:val="008379F4"/>
    <w:rsid w:val="008411BF"/>
    <w:rsid w:val="0084195A"/>
    <w:rsid w:val="00842943"/>
    <w:rsid w:val="0084476D"/>
    <w:rsid w:val="00845114"/>
    <w:rsid w:val="0084512D"/>
    <w:rsid w:val="00847CAA"/>
    <w:rsid w:val="00847F8D"/>
    <w:rsid w:val="0085018F"/>
    <w:rsid w:val="00851BF6"/>
    <w:rsid w:val="00852857"/>
    <w:rsid w:val="00853EC1"/>
    <w:rsid w:val="00854295"/>
    <w:rsid w:val="008553F5"/>
    <w:rsid w:val="008565A7"/>
    <w:rsid w:val="00857C47"/>
    <w:rsid w:val="00857DD9"/>
    <w:rsid w:val="00860315"/>
    <w:rsid w:val="00861388"/>
    <w:rsid w:val="00862310"/>
    <w:rsid w:val="00862B9E"/>
    <w:rsid w:val="00863C32"/>
    <w:rsid w:val="00864967"/>
    <w:rsid w:val="00864B4F"/>
    <w:rsid w:val="008666BD"/>
    <w:rsid w:val="00867283"/>
    <w:rsid w:val="008676F4"/>
    <w:rsid w:val="0086784F"/>
    <w:rsid w:val="00867A03"/>
    <w:rsid w:val="00867B39"/>
    <w:rsid w:val="008707CB"/>
    <w:rsid w:val="00870C03"/>
    <w:rsid w:val="008710C1"/>
    <w:rsid w:val="00873633"/>
    <w:rsid w:val="00874044"/>
    <w:rsid w:val="0087409F"/>
    <w:rsid w:val="008748F5"/>
    <w:rsid w:val="00875167"/>
    <w:rsid w:val="00875796"/>
    <w:rsid w:val="00875C10"/>
    <w:rsid w:val="008762C1"/>
    <w:rsid w:val="008764E8"/>
    <w:rsid w:val="008767FA"/>
    <w:rsid w:val="00877353"/>
    <w:rsid w:val="008778B4"/>
    <w:rsid w:val="00877F90"/>
    <w:rsid w:val="0088055E"/>
    <w:rsid w:val="0088067F"/>
    <w:rsid w:val="008812E7"/>
    <w:rsid w:val="00882139"/>
    <w:rsid w:val="00882168"/>
    <w:rsid w:val="00883B32"/>
    <w:rsid w:val="00884738"/>
    <w:rsid w:val="00884BC8"/>
    <w:rsid w:val="00884DB7"/>
    <w:rsid w:val="008858EB"/>
    <w:rsid w:val="00886087"/>
    <w:rsid w:val="008865C2"/>
    <w:rsid w:val="00886D8D"/>
    <w:rsid w:val="00887162"/>
    <w:rsid w:val="00887273"/>
    <w:rsid w:val="008872DD"/>
    <w:rsid w:val="00890BF9"/>
    <w:rsid w:val="00890CDD"/>
    <w:rsid w:val="00890F82"/>
    <w:rsid w:val="00891866"/>
    <w:rsid w:val="008919F8"/>
    <w:rsid w:val="0089213D"/>
    <w:rsid w:val="008922DC"/>
    <w:rsid w:val="00892C0C"/>
    <w:rsid w:val="00893D72"/>
    <w:rsid w:val="00894942"/>
    <w:rsid w:val="00895069"/>
    <w:rsid w:val="00895961"/>
    <w:rsid w:val="00896BF0"/>
    <w:rsid w:val="00897126"/>
    <w:rsid w:val="00897240"/>
    <w:rsid w:val="00897E5B"/>
    <w:rsid w:val="008A04FE"/>
    <w:rsid w:val="008A0B60"/>
    <w:rsid w:val="008A3275"/>
    <w:rsid w:val="008A3938"/>
    <w:rsid w:val="008A3BC4"/>
    <w:rsid w:val="008A4B3B"/>
    <w:rsid w:val="008A4C78"/>
    <w:rsid w:val="008A54E8"/>
    <w:rsid w:val="008A6257"/>
    <w:rsid w:val="008A7149"/>
    <w:rsid w:val="008A7183"/>
    <w:rsid w:val="008B337E"/>
    <w:rsid w:val="008B3592"/>
    <w:rsid w:val="008B37D2"/>
    <w:rsid w:val="008B4CC2"/>
    <w:rsid w:val="008B4F32"/>
    <w:rsid w:val="008B55E8"/>
    <w:rsid w:val="008B6546"/>
    <w:rsid w:val="008B6DB0"/>
    <w:rsid w:val="008B6DCD"/>
    <w:rsid w:val="008B6F5F"/>
    <w:rsid w:val="008B74AC"/>
    <w:rsid w:val="008B75BB"/>
    <w:rsid w:val="008B79C0"/>
    <w:rsid w:val="008C084A"/>
    <w:rsid w:val="008C1109"/>
    <w:rsid w:val="008C1338"/>
    <w:rsid w:val="008C1F2F"/>
    <w:rsid w:val="008C2A25"/>
    <w:rsid w:val="008C2E52"/>
    <w:rsid w:val="008C4074"/>
    <w:rsid w:val="008C4E96"/>
    <w:rsid w:val="008C6527"/>
    <w:rsid w:val="008C6A64"/>
    <w:rsid w:val="008C6B08"/>
    <w:rsid w:val="008C757C"/>
    <w:rsid w:val="008C7DF5"/>
    <w:rsid w:val="008D00D6"/>
    <w:rsid w:val="008D07AA"/>
    <w:rsid w:val="008D0868"/>
    <w:rsid w:val="008D1564"/>
    <w:rsid w:val="008D178B"/>
    <w:rsid w:val="008D2355"/>
    <w:rsid w:val="008D245A"/>
    <w:rsid w:val="008D283D"/>
    <w:rsid w:val="008D3CCC"/>
    <w:rsid w:val="008D3DF5"/>
    <w:rsid w:val="008D78F5"/>
    <w:rsid w:val="008E057B"/>
    <w:rsid w:val="008E070C"/>
    <w:rsid w:val="008E1D42"/>
    <w:rsid w:val="008E2595"/>
    <w:rsid w:val="008E26D2"/>
    <w:rsid w:val="008E28BE"/>
    <w:rsid w:val="008E4487"/>
    <w:rsid w:val="008E51A1"/>
    <w:rsid w:val="008E6199"/>
    <w:rsid w:val="008E6C81"/>
    <w:rsid w:val="008E7A88"/>
    <w:rsid w:val="008F03C4"/>
    <w:rsid w:val="008F0E13"/>
    <w:rsid w:val="008F1183"/>
    <w:rsid w:val="008F3658"/>
    <w:rsid w:val="008F3994"/>
    <w:rsid w:val="008F3C96"/>
    <w:rsid w:val="008F3CE9"/>
    <w:rsid w:val="008F411E"/>
    <w:rsid w:val="008F4229"/>
    <w:rsid w:val="008F48B9"/>
    <w:rsid w:val="008F5EAD"/>
    <w:rsid w:val="008F6EB9"/>
    <w:rsid w:val="008F7387"/>
    <w:rsid w:val="00900582"/>
    <w:rsid w:val="00900DC8"/>
    <w:rsid w:val="00900E67"/>
    <w:rsid w:val="009038FD"/>
    <w:rsid w:val="00903964"/>
    <w:rsid w:val="00905A6C"/>
    <w:rsid w:val="00906560"/>
    <w:rsid w:val="00907370"/>
    <w:rsid w:val="00907402"/>
    <w:rsid w:val="00907566"/>
    <w:rsid w:val="009102EB"/>
    <w:rsid w:val="00910496"/>
    <w:rsid w:val="009110E2"/>
    <w:rsid w:val="009125C8"/>
    <w:rsid w:val="009144FE"/>
    <w:rsid w:val="00916C3F"/>
    <w:rsid w:val="00916DEC"/>
    <w:rsid w:val="0091797C"/>
    <w:rsid w:val="00917F56"/>
    <w:rsid w:val="00920027"/>
    <w:rsid w:val="009208FF"/>
    <w:rsid w:val="009210B0"/>
    <w:rsid w:val="00921246"/>
    <w:rsid w:val="00921426"/>
    <w:rsid w:val="009222A6"/>
    <w:rsid w:val="009228F8"/>
    <w:rsid w:val="00922C50"/>
    <w:rsid w:val="0092308B"/>
    <w:rsid w:val="009242EA"/>
    <w:rsid w:val="00924A92"/>
    <w:rsid w:val="009250B3"/>
    <w:rsid w:val="0092542C"/>
    <w:rsid w:val="0092560F"/>
    <w:rsid w:val="00925654"/>
    <w:rsid w:val="0092591F"/>
    <w:rsid w:val="009263C6"/>
    <w:rsid w:val="00926F2F"/>
    <w:rsid w:val="0092762C"/>
    <w:rsid w:val="009302F9"/>
    <w:rsid w:val="00930641"/>
    <w:rsid w:val="0093091B"/>
    <w:rsid w:val="009315FA"/>
    <w:rsid w:val="00932A21"/>
    <w:rsid w:val="00932C2E"/>
    <w:rsid w:val="00932CB1"/>
    <w:rsid w:val="0093386A"/>
    <w:rsid w:val="00933C1A"/>
    <w:rsid w:val="00934D4E"/>
    <w:rsid w:val="00935A94"/>
    <w:rsid w:val="00935F5C"/>
    <w:rsid w:val="0093704F"/>
    <w:rsid w:val="00937A03"/>
    <w:rsid w:val="00937BB7"/>
    <w:rsid w:val="0094099B"/>
    <w:rsid w:val="00940DD8"/>
    <w:rsid w:val="00941878"/>
    <w:rsid w:val="00941934"/>
    <w:rsid w:val="00941E2F"/>
    <w:rsid w:val="009422B1"/>
    <w:rsid w:val="00942FAD"/>
    <w:rsid w:val="00943329"/>
    <w:rsid w:val="00945CEA"/>
    <w:rsid w:val="00946184"/>
    <w:rsid w:val="00946D60"/>
    <w:rsid w:val="00946DAE"/>
    <w:rsid w:val="00947347"/>
    <w:rsid w:val="00950742"/>
    <w:rsid w:val="00950953"/>
    <w:rsid w:val="00950DD2"/>
    <w:rsid w:val="009510B8"/>
    <w:rsid w:val="00952340"/>
    <w:rsid w:val="00952E58"/>
    <w:rsid w:val="009530DB"/>
    <w:rsid w:val="00953985"/>
    <w:rsid w:val="00954327"/>
    <w:rsid w:val="009543DF"/>
    <w:rsid w:val="00955176"/>
    <w:rsid w:val="009551AB"/>
    <w:rsid w:val="00955AC0"/>
    <w:rsid w:val="0095646C"/>
    <w:rsid w:val="00956719"/>
    <w:rsid w:val="00957A1B"/>
    <w:rsid w:val="00957B0C"/>
    <w:rsid w:val="0096054C"/>
    <w:rsid w:val="009608D0"/>
    <w:rsid w:val="0096206A"/>
    <w:rsid w:val="009621C4"/>
    <w:rsid w:val="00964953"/>
    <w:rsid w:val="00965033"/>
    <w:rsid w:val="009655C3"/>
    <w:rsid w:val="00966CE2"/>
    <w:rsid w:val="00966D38"/>
    <w:rsid w:val="009713BC"/>
    <w:rsid w:val="00971EA8"/>
    <w:rsid w:val="009720F7"/>
    <w:rsid w:val="009735DB"/>
    <w:rsid w:val="009738F0"/>
    <w:rsid w:val="009743B6"/>
    <w:rsid w:val="00974BEC"/>
    <w:rsid w:val="00974D68"/>
    <w:rsid w:val="00975A06"/>
    <w:rsid w:val="00975B03"/>
    <w:rsid w:val="00976A7F"/>
    <w:rsid w:val="00976BBC"/>
    <w:rsid w:val="009773CA"/>
    <w:rsid w:val="0097771B"/>
    <w:rsid w:val="0097777B"/>
    <w:rsid w:val="009810C7"/>
    <w:rsid w:val="009823AD"/>
    <w:rsid w:val="00982B06"/>
    <w:rsid w:val="00983009"/>
    <w:rsid w:val="00984297"/>
    <w:rsid w:val="00985980"/>
    <w:rsid w:val="00986979"/>
    <w:rsid w:val="00987E16"/>
    <w:rsid w:val="00987E83"/>
    <w:rsid w:val="0099039A"/>
    <w:rsid w:val="00990533"/>
    <w:rsid w:val="00991324"/>
    <w:rsid w:val="0099162F"/>
    <w:rsid w:val="00991D63"/>
    <w:rsid w:val="00992080"/>
    <w:rsid w:val="00992459"/>
    <w:rsid w:val="00992777"/>
    <w:rsid w:val="009929C1"/>
    <w:rsid w:val="00992FF6"/>
    <w:rsid w:val="00993759"/>
    <w:rsid w:val="00993E6A"/>
    <w:rsid w:val="00995A12"/>
    <w:rsid w:val="00995B0B"/>
    <w:rsid w:val="009961E7"/>
    <w:rsid w:val="009974BA"/>
    <w:rsid w:val="009A0036"/>
    <w:rsid w:val="009A0E44"/>
    <w:rsid w:val="009A128E"/>
    <w:rsid w:val="009A287F"/>
    <w:rsid w:val="009A2DB7"/>
    <w:rsid w:val="009A38ED"/>
    <w:rsid w:val="009A3A48"/>
    <w:rsid w:val="009A5B90"/>
    <w:rsid w:val="009A5D8D"/>
    <w:rsid w:val="009B01EA"/>
    <w:rsid w:val="009B0BFB"/>
    <w:rsid w:val="009B3417"/>
    <w:rsid w:val="009B37CD"/>
    <w:rsid w:val="009B37D8"/>
    <w:rsid w:val="009B3B06"/>
    <w:rsid w:val="009B5019"/>
    <w:rsid w:val="009B50D3"/>
    <w:rsid w:val="009B55A3"/>
    <w:rsid w:val="009B748C"/>
    <w:rsid w:val="009B7B9F"/>
    <w:rsid w:val="009C00D0"/>
    <w:rsid w:val="009C0A87"/>
    <w:rsid w:val="009C1DA7"/>
    <w:rsid w:val="009C20FA"/>
    <w:rsid w:val="009C4087"/>
    <w:rsid w:val="009C41BE"/>
    <w:rsid w:val="009C4A7D"/>
    <w:rsid w:val="009C75EE"/>
    <w:rsid w:val="009C7C26"/>
    <w:rsid w:val="009D0236"/>
    <w:rsid w:val="009D0560"/>
    <w:rsid w:val="009D178B"/>
    <w:rsid w:val="009D19DC"/>
    <w:rsid w:val="009D1A18"/>
    <w:rsid w:val="009D1CE1"/>
    <w:rsid w:val="009D2084"/>
    <w:rsid w:val="009D390A"/>
    <w:rsid w:val="009D485F"/>
    <w:rsid w:val="009D5787"/>
    <w:rsid w:val="009D7CAB"/>
    <w:rsid w:val="009E0856"/>
    <w:rsid w:val="009E0DC2"/>
    <w:rsid w:val="009E1AAE"/>
    <w:rsid w:val="009E23DE"/>
    <w:rsid w:val="009E30BE"/>
    <w:rsid w:val="009E34D7"/>
    <w:rsid w:val="009E3CC7"/>
    <w:rsid w:val="009E3F64"/>
    <w:rsid w:val="009E4584"/>
    <w:rsid w:val="009E45FF"/>
    <w:rsid w:val="009E5041"/>
    <w:rsid w:val="009E56A7"/>
    <w:rsid w:val="009E5B3F"/>
    <w:rsid w:val="009E60E2"/>
    <w:rsid w:val="009E69F7"/>
    <w:rsid w:val="009E7986"/>
    <w:rsid w:val="009E79B6"/>
    <w:rsid w:val="009F0C48"/>
    <w:rsid w:val="009F1B58"/>
    <w:rsid w:val="009F2752"/>
    <w:rsid w:val="009F2C6E"/>
    <w:rsid w:val="009F3724"/>
    <w:rsid w:val="009F43E0"/>
    <w:rsid w:val="009F46A6"/>
    <w:rsid w:val="009F5252"/>
    <w:rsid w:val="009F52E9"/>
    <w:rsid w:val="009F5680"/>
    <w:rsid w:val="009F5ED1"/>
    <w:rsid w:val="009F6C8B"/>
    <w:rsid w:val="009F6F44"/>
    <w:rsid w:val="00A00202"/>
    <w:rsid w:val="00A004F4"/>
    <w:rsid w:val="00A00BAA"/>
    <w:rsid w:val="00A00C40"/>
    <w:rsid w:val="00A018E5"/>
    <w:rsid w:val="00A01FB8"/>
    <w:rsid w:val="00A02943"/>
    <w:rsid w:val="00A03973"/>
    <w:rsid w:val="00A03FF5"/>
    <w:rsid w:val="00A0401F"/>
    <w:rsid w:val="00A0510C"/>
    <w:rsid w:val="00A073F4"/>
    <w:rsid w:val="00A07477"/>
    <w:rsid w:val="00A07621"/>
    <w:rsid w:val="00A076B5"/>
    <w:rsid w:val="00A0788B"/>
    <w:rsid w:val="00A07AE4"/>
    <w:rsid w:val="00A07CE5"/>
    <w:rsid w:val="00A104D9"/>
    <w:rsid w:val="00A10AC9"/>
    <w:rsid w:val="00A117AE"/>
    <w:rsid w:val="00A11D2E"/>
    <w:rsid w:val="00A122E2"/>
    <w:rsid w:val="00A12883"/>
    <w:rsid w:val="00A12948"/>
    <w:rsid w:val="00A132A7"/>
    <w:rsid w:val="00A13C09"/>
    <w:rsid w:val="00A14B74"/>
    <w:rsid w:val="00A15853"/>
    <w:rsid w:val="00A15BC0"/>
    <w:rsid w:val="00A160A2"/>
    <w:rsid w:val="00A1679D"/>
    <w:rsid w:val="00A16A3F"/>
    <w:rsid w:val="00A17E95"/>
    <w:rsid w:val="00A21FF7"/>
    <w:rsid w:val="00A22993"/>
    <w:rsid w:val="00A22A02"/>
    <w:rsid w:val="00A23289"/>
    <w:rsid w:val="00A25A06"/>
    <w:rsid w:val="00A25C75"/>
    <w:rsid w:val="00A262E7"/>
    <w:rsid w:val="00A2698C"/>
    <w:rsid w:val="00A304B4"/>
    <w:rsid w:val="00A30E38"/>
    <w:rsid w:val="00A31028"/>
    <w:rsid w:val="00A310A8"/>
    <w:rsid w:val="00A31335"/>
    <w:rsid w:val="00A31347"/>
    <w:rsid w:val="00A32F7F"/>
    <w:rsid w:val="00A34010"/>
    <w:rsid w:val="00A351FE"/>
    <w:rsid w:val="00A36148"/>
    <w:rsid w:val="00A3622B"/>
    <w:rsid w:val="00A37184"/>
    <w:rsid w:val="00A40070"/>
    <w:rsid w:val="00A4171D"/>
    <w:rsid w:val="00A41DBF"/>
    <w:rsid w:val="00A444C7"/>
    <w:rsid w:val="00A46496"/>
    <w:rsid w:val="00A467F1"/>
    <w:rsid w:val="00A47501"/>
    <w:rsid w:val="00A47E7E"/>
    <w:rsid w:val="00A50389"/>
    <w:rsid w:val="00A50F13"/>
    <w:rsid w:val="00A51242"/>
    <w:rsid w:val="00A51EF4"/>
    <w:rsid w:val="00A5214B"/>
    <w:rsid w:val="00A52AB7"/>
    <w:rsid w:val="00A54FC4"/>
    <w:rsid w:val="00A5562B"/>
    <w:rsid w:val="00A55751"/>
    <w:rsid w:val="00A55E81"/>
    <w:rsid w:val="00A56180"/>
    <w:rsid w:val="00A566D4"/>
    <w:rsid w:val="00A56C33"/>
    <w:rsid w:val="00A56C9C"/>
    <w:rsid w:val="00A57533"/>
    <w:rsid w:val="00A57BFC"/>
    <w:rsid w:val="00A60006"/>
    <w:rsid w:val="00A60645"/>
    <w:rsid w:val="00A64243"/>
    <w:rsid w:val="00A650FD"/>
    <w:rsid w:val="00A652C1"/>
    <w:rsid w:val="00A66270"/>
    <w:rsid w:val="00A67DE2"/>
    <w:rsid w:val="00A70595"/>
    <w:rsid w:val="00A70F6D"/>
    <w:rsid w:val="00A7154D"/>
    <w:rsid w:val="00A71916"/>
    <w:rsid w:val="00A71BB5"/>
    <w:rsid w:val="00A721AC"/>
    <w:rsid w:val="00A72B68"/>
    <w:rsid w:val="00A743DB"/>
    <w:rsid w:val="00A7572C"/>
    <w:rsid w:val="00A76B4E"/>
    <w:rsid w:val="00A770B3"/>
    <w:rsid w:val="00A7721C"/>
    <w:rsid w:val="00A779E4"/>
    <w:rsid w:val="00A80194"/>
    <w:rsid w:val="00A8069F"/>
    <w:rsid w:val="00A807EB"/>
    <w:rsid w:val="00A81BA9"/>
    <w:rsid w:val="00A82E36"/>
    <w:rsid w:val="00A8331D"/>
    <w:rsid w:val="00A84E9C"/>
    <w:rsid w:val="00A85285"/>
    <w:rsid w:val="00A85509"/>
    <w:rsid w:val="00A86075"/>
    <w:rsid w:val="00A8618C"/>
    <w:rsid w:val="00A86D64"/>
    <w:rsid w:val="00A87F71"/>
    <w:rsid w:val="00A90323"/>
    <w:rsid w:val="00A910EC"/>
    <w:rsid w:val="00A91836"/>
    <w:rsid w:val="00A922A6"/>
    <w:rsid w:val="00A93D0A"/>
    <w:rsid w:val="00A953B5"/>
    <w:rsid w:val="00A976C1"/>
    <w:rsid w:val="00A97C37"/>
    <w:rsid w:val="00A97FEB"/>
    <w:rsid w:val="00AA0D2B"/>
    <w:rsid w:val="00AA241D"/>
    <w:rsid w:val="00AA46AA"/>
    <w:rsid w:val="00AA47A8"/>
    <w:rsid w:val="00AA48FB"/>
    <w:rsid w:val="00AA4E68"/>
    <w:rsid w:val="00AA5A67"/>
    <w:rsid w:val="00AA5C9C"/>
    <w:rsid w:val="00AA6A1B"/>
    <w:rsid w:val="00AA7529"/>
    <w:rsid w:val="00AB0DD3"/>
    <w:rsid w:val="00AB27EB"/>
    <w:rsid w:val="00AB28C0"/>
    <w:rsid w:val="00AB4F22"/>
    <w:rsid w:val="00AB5A62"/>
    <w:rsid w:val="00AB5AA5"/>
    <w:rsid w:val="00AB6018"/>
    <w:rsid w:val="00AB6BFE"/>
    <w:rsid w:val="00AC0542"/>
    <w:rsid w:val="00AC25ED"/>
    <w:rsid w:val="00AC281A"/>
    <w:rsid w:val="00AC2D36"/>
    <w:rsid w:val="00AC2E5D"/>
    <w:rsid w:val="00AC37C1"/>
    <w:rsid w:val="00AC3E09"/>
    <w:rsid w:val="00AC5181"/>
    <w:rsid w:val="00AC6222"/>
    <w:rsid w:val="00AC7779"/>
    <w:rsid w:val="00AC7942"/>
    <w:rsid w:val="00AD139C"/>
    <w:rsid w:val="00AD261F"/>
    <w:rsid w:val="00AD2C73"/>
    <w:rsid w:val="00AD33C8"/>
    <w:rsid w:val="00AD384D"/>
    <w:rsid w:val="00AD46DE"/>
    <w:rsid w:val="00AD6AC8"/>
    <w:rsid w:val="00AD77F1"/>
    <w:rsid w:val="00AE047D"/>
    <w:rsid w:val="00AE05D4"/>
    <w:rsid w:val="00AE2135"/>
    <w:rsid w:val="00AE268E"/>
    <w:rsid w:val="00AE314B"/>
    <w:rsid w:val="00AE4398"/>
    <w:rsid w:val="00AE4892"/>
    <w:rsid w:val="00AE56DC"/>
    <w:rsid w:val="00AF05FF"/>
    <w:rsid w:val="00AF0911"/>
    <w:rsid w:val="00AF11A9"/>
    <w:rsid w:val="00AF21FE"/>
    <w:rsid w:val="00AF238A"/>
    <w:rsid w:val="00AF2729"/>
    <w:rsid w:val="00AF6AB1"/>
    <w:rsid w:val="00AF71CD"/>
    <w:rsid w:val="00AF74EA"/>
    <w:rsid w:val="00B008F1"/>
    <w:rsid w:val="00B02140"/>
    <w:rsid w:val="00B0279C"/>
    <w:rsid w:val="00B02F84"/>
    <w:rsid w:val="00B033E0"/>
    <w:rsid w:val="00B036D8"/>
    <w:rsid w:val="00B03A43"/>
    <w:rsid w:val="00B04187"/>
    <w:rsid w:val="00B04F97"/>
    <w:rsid w:val="00B057CF"/>
    <w:rsid w:val="00B05E3A"/>
    <w:rsid w:val="00B061A0"/>
    <w:rsid w:val="00B06969"/>
    <w:rsid w:val="00B072AE"/>
    <w:rsid w:val="00B075D9"/>
    <w:rsid w:val="00B104F8"/>
    <w:rsid w:val="00B10648"/>
    <w:rsid w:val="00B10DC7"/>
    <w:rsid w:val="00B11EAB"/>
    <w:rsid w:val="00B12EF6"/>
    <w:rsid w:val="00B133D5"/>
    <w:rsid w:val="00B137FD"/>
    <w:rsid w:val="00B13CF4"/>
    <w:rsid w:val="00B15415"/>
    <w:rsid w:val="00B17E43"/>
    <w:rsid w:val="00B17EC4"/>
    <w:rsid w:val="00B20C4C"/>
    <w:rsid w:val="00B20E86"/>
    <w:rsid w:val="00B22C7C"/>
    <w:rsid w:val="00B240CE"/>
    <w:rsid w:val="00B24931"/>
    <w:rsid w:val="00B25BF5"/>
    <w:rsid w:val="00B261AB"/>
    <w:rsid w:val="00B26868"/>
    <w:rsid w:val="00B271C4"/>
    <w:rsid w:val="00B30AFA"/>
    <w:rsid w:val="00B319EF"/>
    <w:rsid w:val="00B328B1"/>
    <w:rsid w:val="00B32FA6"/>
    <w:rsid w:val="00B33EE6"/>
    <w:rsid w:val="00B35582"/>
    <w:rsid w:val="00B35A4A"/>
    <w:rsid w:val="00B35E21"/>
    <w:rsid w:val="00B371A2"/>
    <w:rsid w:val="00B40081"/>
    <w:rsid w:val="00B40E48"/>
    <w:rsid w:val="00B41342"/>
    <w:rsid w:val="00B429D8"/>
    <w:rsid w:val="00B42E45"/>
    <w:rsid w:val="00B42F09"/>
    <w:rsid w:val="00B43386"/>
    <w:rsid w:val="00B43C98"/>
    <w:rsid w:val="00B443B3"/>
    <w:rsid w:val="00B4457E"/>
    <w:rsid w:val="00B45168"/>
    <w:rsid w:val="00B45392"/>
    <w:rsid w:val="00B4565F"/>
    <w:rsid w:val="00B46349"/>
    <w:rsid w:val="00B469FD"/>
    <w:rsid w:val="00B478EE"/>
    <w:rsid w:val="00B5033C"/>
    <w:rsid w:val="00B50A1E"/>
    <w:rsid w:val="00B53EDA"/>
    <w:rsid w:val="00B53FAE"/>
    <w:rsid w:val="00B543BC"/>
    <w:rsid w:val="00B554BD"/>
    <w:rsid w:val="00B5728E"/>
    <w:rsid w:val="00B57FE7"/>
    <w:rsid w:val="00B600BD"/>
    <w:rsid w:val="00B6088A"/>
    <w:rsid w:val="00B6089A"/>
    <w:rsid w:val="00B60D00"/>
    <w:rsid w:val="00B6152E"/>
    <w:rsid w:val="00B624AB"/>
    <w:rsid w:val="00B633F2"/>
    <w:rsid w:val="00B6485F"/>
    <w:rsid w:val="00B654BB"/>
    <w:rsid w:val="00B65517"/>
    <w:rsid w:val="00B65C50"/>
    <w:rsid w:val="00B66479"/>
    <w:rsid w:val="00B66B7A"/>
    <w:rsid w:val="00B67263"/>
    <w:rsid w:val="00B67E13"/>
    <w:rsid w:val="00B70466"/>
    <w:rsid w:val="00B710A1"/>
    <w:rsid w:val="00B71F65"/>
    <w:rsid w:val="00B72FC0"/>
    <w:rsid w:val="00B730DA"/>
    <w:rsid w:val="00B73465"/>
    <w:rsid w:val="00B738C1"/>
    <w:rsid w:val="00B74AA6"/>
    <w:rsid w:val="00B75009"/>
    <w:rsid w:val="00B7558A"/>
    <w:rsid w:val="00B760DA"/>
    <w:rsid w:val="00B76956"/>
    <w:rsid w:val="00B803A6"/>
    <w:rsid w:val="00B80A05"/>
    <w:rsid w:val="00B82378"/>
    <w:rsid w:val="00B829D4"/>
    <w:rsid w:val="00B82E4B"/>
    <w:rsid w:val="00B846CE"/>
    <w:rsid w:val="00B856C3"/>
    <w:rsid w:val="00B85C05"/>
    <w:rsid w:val="00B86A38"/>
    <w:rsid w:val="00B86C59"/>
    <w:rsid w:val="00B86D2E"/>
    <w:rsid w:val="00B8798D"/>
    <w:rsid w:val="00B911B3"/>
    <w:rsid w:val="00B92D7F"/>
    <w:rsid w:val="00B946FB"/>
    <w:rsid w:val="00B946FF"/>
    <w:rsid w:val="00B9684B"/>
    <w:rsid w:val="00B970CA"/>
    <w:rsid w:val="00B97F4A"/>
    <w:rsid w:val="00BA1A6E"/>
    <w:rsid w:val="00BA297A"/>
    <w:rsid w:val="00BA3BAE"/>
    <w:rsid w:val="00BA51BC"/>
    <w:rsid w:val="00BB03A0"/>
    <w:rsid w:val="00BB2020"/>
    <w:rsid w:val="00BB30AC"/>
    <w:rsid w:val="00BB37C2"/>
    <w:rsid w:val="00BB4C0C"/>
    <w:rsid w:val="00BB4C82"/>
    <w:rsid w:val="00BB5B3B"/>
    <w:rsid w:val="00BC06A3"/>
    <w:rsid w:val="00BC0F51"/>
    <w:rsid w:val="00BC1123"/>
    <w:rsid w:val="00BC18A2"/>
    <w:rsid w:val="00BC1975"/>
    <w:rsid w:val="00BC2F13"/>
    <w:rsid w:val="00BC394A"/>
    <w:rsid w:val="00BC43BD"/>
    <w:rsid w:val="00BC6593"/>
    <w:rsid w:val="00BC7416"/>
    <w:rsid w:val="00BC7BB7"/>
    <w:rsid w:val="00BC7F8C"/>
    <w:rsid w:val="00BD02A7"/>
    <w:rsid w:val="00BD0564"/>
    <w:rsid w:val="00BD05F0"/>
    <w:rsid w:val="00BD0C9E"/>
    <w:rsid w:val="00BD1538"/>
    <w:rsid w:val="00BD22B7"/>
    <w:rsid w:val="00BD2CDA"/>
    <w:rsid w:val="00BD3F31"/>
    <w:rsid w:val="00BD4036"/>
    <w:rsid w:val="00BD67E3"/>
    <w:rsid w:val="00BD6DCB"/>
    <w:rsid w:val="00BD7BD0"/>
    <w:rsid w:val="00BE12FB"/>
    <w:rsid w:val="00BE15CF"/>
    <w:rsid w:val="00BE2700"/>
    <w:rsid w:val="00BE2D9F"/>
    <w:rsid w:val="00BE4802"/>
    <w:rsid w:val="00BE7753"/>
    <w:rsid w:val="00BF037F"/>
    <w:rsid w:val="00BF0BF7"/>
    <w:rsid w:val="00BF2341"/>
    <w:rsid w:val="00BF2AD0"/>
    <w:rsid w:val="00BF2F9D"/>
    <w:rsid w:val="00BF3BF8"/>
    <w:rsid w:val="00BF422A"/>
    <w:rsid w:val="00BF46F8"/>
    <w:rsid w:val="00BF49F4"/>
    <w:rsid w:val="00BF4A24"/>
    <w:rsid w:val="00BF4AA5"/>
    <w:rsid w:val="00BF5045"/>
    <w:rsid w:val="00BF54C4"/>
    <w:rsid w:val="00BF587F"/>
    <w:rsid w:val="00BF6D15"/>
    <w:rsid w:val="00BF7991"/>
    <w:rsid w:val="00BF7E23"/>
    <w:rsid w:val="00C002C1"/>
    <w:rsid w:val="00C0086D"/>
    <w:rsid w:val="00C01878"/>
    <w:rsid w:val="00C0328F"/>
    <w:rsid w:val="00C03465"/>
    <w:rsid w:val="00C045FA"/>
    <w:rsid w:val="00C06C4A"/>
    <w:rsid w:val="00C0713D"/>
    <w:rsid w:val="00C07C24"/>
    <w:rsid w:val="00C10075"/>
    <w:rsid w:val="00C12FF4"/>
    <w:rsid w:val="00C13143"/>
    <w:rsid w:val="00C13560"/>
    <w:rsid w:val="00C1376C"/>
    <w:rsid w:val="00C13C82"/>
    <w:rsid w:val="00C147E9"/>
    <w:rsid w:val="00C14A17"/>
    <w:rsid w:val="00C15659"/>
    <w:rsid w:val="00C1657A"/>
    <w:rsid w:val="00C20618"/>
    <w:rsid w:val="00C2169E"/>
    <w:rsid w:val="00C23FEC"/>
    <w:rsid w:val="00C244F6"/>
    <w:rsid w:val="00C2580E"/>
    <w:rsid w:val="00C26780"/>
    <w:rsid w:val="00C316C0"/>
    <w:rsid w:val="00C31D6D"/>
    <w:rsid w:val="00C32985"/>
    <w:rsid w:val="00C3397C"/>
    <w:rsid w:val="00C34AAD"/>
    <w:rsid w:val="00C34D63"/>
    <w:rsid w:val="00C34F26"/>
    <w:rsid w:val="00C357ED"/>
    <w:rsid w:val="00C3676A"/>
    <w:rsid w:val="00C415F4"/>
    <w:rsid w:val="00C43B05"/>
    <w:rsid w:val="00C43FC3"/>
    <w:rsid w:val="00C449EA"/>
    <w:rsid w:val="00C44D97"/>
    <w:rsid w:val="00C45FCE"/>
    <w:rsid w:val="00C464C2"/>
    <w:rsid w:val="00C47096"/>
    <w:rsid w:val="00C47212"/>
    <w:rsid w:val="00C472B3"/>
    <w:rsid w:val="00C50456"/>
    <w:rsid w:val="00C518A4"/>
    <w:rsid w:val="00C523CC"/>
    <w:rsid w:val="00C52B5D"/>
    <w:rsid w:val="00C54411"/>
    <w:rsid w:val="00C564E0"/>
    <w:rsid w:val="00C57D03"/>
    <w:rsid w:val="00C60B3C"/>
    <w:rsid w:val="00C6203D"/>
    <w:rsid w:val="00C62C38"/>
    <w:rsid w:val="00C63784"/>
    <w:rsid w:val="00C6379A"/>
    <w:rsid w:val="00C6381C"/>
    <w:rsid w:val="00C639FE"/>
    <w:rsid w:val="00C6429C"/>
    <w:rsid w:val="00C644D5"/>
    <w:rsid w:val="00C652E6"/>
    <w:rsid w:val="00C652F4"/>
    <w:rsid w:val="00C66272"/>
    <w:rsid w:val="00C6781D"/>
    <w:rsid w:val="00C67E02"/>
    <w:rsid w:val="00C701B6"/>
    <w:rsid w:val="00C7156F"/>
    <w:rsid w:val="00C717EB"/>
    <w:rsid w:val="00C71CED"/>
    <w:rsid w:val="00C71DF6"/>
    <w:rsid w:val="00C728A5"/>
    <w:rsid w:val="00C742C9"/>
    <w:rsid w:val="00C748B8"/>
    <w:rsid w:val="00C74A2B"/>
    <w:rsid w:val="00C753DE"/>
    <w:rsid w:val="00C76E83"/>
    <w:rsid w:val="00C7715B"/>
    <w:rsid w:val="00C8157F"/>
    <w:rsid w:val="00C82121"/>
    <w:rsid w:val="00C8284C"/>
    <w:rsid w:val="00C84340"/>
    <w:rsid w:val="00C8570B"/>
    <w:rsid w:val="00C85B9E"/>
    <w:rsid w:val="00C86B96"/>
    <w:rsid w:val="00C87085"/>
    <w:rsid w:val="00C870BE"/>
    <w:rsid w:val="00C87FCF"/>
    <w:rsid w:val="00C91A25"/>
    <w:rsid w:val="00C92113"/>
    <w:rsid w:val="00C92AA0"/>
    <w:rsid w:val="00C947D2"/>
    <w:rsid w:val="00C9618D"/>
    <w:rsid w:val="00C96B8E"/>
    <w:rsid w:val="00C96BF9"/>
    <w:rsid w:val="00CA1FA7"/>
    <w:rsid w:val="00CA2A8D"/>
    <w:rsid w:val="00CA2FD5"/>
    <w:rsid w:val="00CA317D"/>
    <w:rsid w:val="00CA34E2"/>
    <w:rsid w:val="00CA4563"/>
    <w:rsid w:val="00CA56DD"/>
    <w:rsid w:val="00CA5BA7"/>
    <w:rsid w:val="00CA617D"/>
    <w:rsid w:val="00CA647B"/>
    <w:rsid w:val="00CA6D1E"/>
    <w:rsid w:val="00CA7DC4"/>
    <w:rsid w:val="00CB0ECC"/>
    <w:rsid w:val="00CB13C0"/>
    <w:rsid w:val="00CB1D0F"/>
    <w:rsid w:val="00CB1F80"/>
    <w:rsid w:val="00CB2039"/>
    <w:rsid w:val="00CB24CB"/>
    <w:rsid w:val="00CB28B8"/>
    <w:rsid w:val="00CB346B"/>
    <w:rsid w:val="00CB4E40"/>
    <w:rsid w:val="00CB50BD"/>
    <w:rsid w:val="00CB5562"/>
    <w:rsid w:val="00CB6003"/>
    <w:rsid w:val="00CB75AC"/>
    <w:rsid w:val="00CC0386"/>
    <w:rsid w:val="00CC328C"/>
    <w:rsid w:val="00CC336A"/>
    <w:rsid w:val="00CC57A1"/>
    <w:rsid w:val="00CC6210"/>
    <w:rsid w:val="00CC627D"/>
    <w:rsid w:val="00CC7A44"/>
    <w:rsid w:val="00CC7BC3"/>
    <w:rsid w:val="00CD0A2E"/>
    <w:rsid w:val="00CD17F5"/>
    <w:rsid w:val="00CD2F6D"/>
    <w:rsid w:val="00CD39E1"/>
    <w:rsid w:val="00CD3EE8"/>
    <w:rsid w:val="00CD5D1F"/>
    <w:rsid w:val="00CD5DAF"/>
    <w:rsid w:val="00CD77B4"/>
    <w:rsid w:val="00CD78EA"/>
    <w:rsid w:val="00CD79F0"/>
    <w:rsid w:val="00CE0CC4"/>
    <w:rsid w:val="00CE0FE2"/>
    <w:rsid w:val="00CE14AF"/>
    <w:rsid w:val="00CE16BA"/>
    <w:rsid w:val="00CE279F"/>
    <w:rsid w:val="00CE294D"/>
    <w:rsid w:val="00CE2D2F"/>
    <w:rsid w:val="00CE2DC4"/>
    <w:rsid w:val="00CE30EA"/>
    <w:rsid w:val="00CE3993"/>
    <w:rsid w:val="00CE6BA5"/>
    <w:rsid w:val="00CE7282"/>
    <w:rsid w:val="00CE7C99"/>
    <w:rsid w:val="00CE7E3A"/>
    <w:rsid w:val="00CF063B"/>
    <w:rsid w:val="00CF0686"/>
    <w:rsid w:val="00CF0A7F"/>
    <w:rsid w:val="00CF0B5A"/>
    <w:rsid w:val="00CF1A91"/>
    <w:rsid w:val="00CF22E8"/>
    <w:rsid w:val="00CF370C"/>
    <w:rsid w:val="00CF39C2"/>
    <w:rsid w:val="00CF3F10"/>
    <w:rsid w:val="00CF68B2"/>
    <w:rsid w:val="00CF73A0"/>
    <w:rsid w:val="00D00CE7"/>
    <w:rsid w:val="00D02053"/>
    <w:rsid w:val="00D02A01"/>
    <w:rsid w:val="00D0451C"/>
    <w:rsid w:val="00D05219"/>
    <w:rsid w:val="00D05229"/>
    <w:rsid w:val="00D06F57"/>
    <w:rsid w:val="00D0781F"/>
    <w:rsid w:val="00D07CBA"/>
    <w:rsid w:val="00D123B1"/>
    <w:rsid w:val="00D124C5"/>
    <w:rsid w:val="00D128E4"/>
    <w:rsid w:val="00D1377B"/>
    <w:rsid w:val="00D1419C"/>
    <w:rsid w:val="00D14ECD"/>
    <w:rsid w:val="00D15CDE"/>
    <w:rsid w:val="00D15CF5"/>
    <w:rsid w:val="00D16799"/>
    <w:rsid w:val="00D1762B"/>
    <w:rsid w:val="00D201E3"/>
    <w:rsid w:val="00D2027A"/>
    <w:rsid w:val="00D2054D"/>
    <w:rsid w:val="00D20C78"/>
    <w:rsid w:val="00D2122A"/>
    <w:rsid w:val="00D23B41"/>
    <w:rsid w:val="00D23D21"/>
    <w:rsid w:val="00D24662"/>
    <w:rsid w:val="00D268C4"/>
    <w:rsid w:val="00D27106"/>
    <w:rsid w:val="00D27417"/>
    <w:rsid w:val="00D304A4"/>
    <w:rsid w:val="00D3147D"/>
    <w:rsid w:val="00D31D17"/>
    <w:rsid w:val="00D320A1"/>
    <w:rsid w:val="00D337BF"/>
    <w:rsid w:val="00D34629"/>
    <w:rsid w:val="00D34991"/>
    <w:rsid w:val="00D349BD"/>
    <w:rsid w:val="00D3731E"/>
    <w:rsid w:val="00D40F10"/>
    <w:rsid w:val="00D41BFD"/>
    <w:rsid w:val="00D42A3C"/>
    <w:rsid w:val="00D4381B"/>
    <w:rsid w:val="00D4439B"/>
    <w:rsid w:val="00D44797"/>
    <w:rsid w:val="00D44CF1"/>
    <w:rsid w:val="00D44EE7"/>
    <w:rsid w:val="00D4507E"/>
    <w:rsid w:val="00D45D5F"/>
    <w:rsid w:val="00D45E60"/>
    <w:rsid w:val="00D47477"/>
    <w:rsid w:val="00D47F13"/>
    <w:rsid w:val="00D50634"/>
    <w:rsid w:val="00D50E5A"/>
    <w:rsid w:val="00D510C9"/>
    <w:rsid w:val="00D53C30"/>
    <w:rsid w:val="00D54D1B"/>
    <w:rsid w:val="00D55F88"/>
    <w:rsid w:val="00D563E6"/>
    <w:rsid w:val="00D570F0"/>
    <w:rsid w:val="00D572D5"/>
    <w:rsid w:val="00D60E15"/>
    <w:rsid w:val="00D611B2"/>
    <w:rsid w:val="00D618FB"/>
    <w:rsid w:val="00D61F46"/>
    <w:rsid w:val="00D6302D"/>
    <w:rsid w:val="00D630C4"/>
    <w:rsid w:val="00D63722"/>
    <w:rsid w:val="00D63EED"/>
    <w:rsid w:val="00D64AE5"/>
    <w:rsid w:val="00D64EF7"/>
    <w:rsid w:val="00D65083"/>
    <w:rsid w:val="00D65F63"/>
    <w:rsid w:val="00D66AD5"/>
    <w:rsid w:val="00D6751A"/>
    <w:rsid w:val="00D676CD"/>
    <w:rsid w:val="00D71245"/>
    <w:rsid w:val="00D7277B"/>
    <w:rsid w:val="00D72F49"/>
    <w:rsid w:val="00D737D1"/>
    <w:rsid w:val="00D74D12"/>
    <w:rsid w:val="00D75215"/>
    <w:rsid w:val="00D755EB"/>
    <w:rsid w:val="00D760AE"/>
    <w:rsid w:val="00D76540"/>
    <w:rsid w:val="00D7657C"/>
    <w:rsid w:val="00D76CB6"/>
    <w:rsid w:val="00D76CF2"/>
    <w:rsid w:val="00D77280"/>
    <w:rsid w:val="00D81BA0"/>
    <w:rsid w:val="00D81CDF"/>
    <w:rsid w:val="00D81E17"/>
    <w:rsid w:val="00D82E7F"/>
    <w:rsid w:val="00D845B0"/>
    <w:rsid w:val="00D8489C"/>
    <w:rsid w:val="00D84A27"/>
    <w:rsid w:val="00D858CA"/>
    <w:rsid w:val="00D864C7"/>
    <w:rsid w:val="00D86795"/>
    <w:rsid w:val="00D87C4D"/>
    <w:rsid w:val="00D92661"/>
    <w:rsid w:val="00D929DA"/>
    <w:rsid w:val="00D93B9D"/>
    <w:rsid w:val="00D94CE7"/>
    <w:rsid w:val="00D97B9E"/>
    <w:rsid w:val="00DA0C70"/>
    <w:rsid w:val="00DA1727"/>
    <w:rsid w:val="00DA1936"/>
    <w:rsid w:val="00DA1D58"/>
    <w:rsid w:val="00DA1FA0"/>
    <w:rsid w:val="00DA2359"/>
    <w:rsid w:val="00DA2CE6"/>
    <w:rsid w:val="00DA3D64"/>
    <w:rsid w:val="00DA3F92"/>
    <w:rsid w:val="00DA4185"/>
    <w:rsid w:val="00DA432E"/>
    <w:rsid w:val="00DA47DC"/>
    <w:rsid w:val="00DA56AA"/>
    <w:rsid w:val="00DA5B0C"/>
    <w:rsid w:val="00DA5BBF"/>
    <w:rsid w:val="00DA5D43"/>
    <w:rsid w:val="00DA6D92"/>
    <w:rsid w:val="00DA770D"/>
    <w:rsid w:val="00DB06B3"/>
    <w:rsid w:val="00DB0E89"/>
    <w:rsid w:val="00DB1085"/>
    <w:rsid w:val="00DB1B22"/>
    <w:rsid w:val="00DB211A"/>
    <w:rsid w:val="00DB267A"/>
    <w:rsid w:val="00DB2FD7"/>
    <w:rsid w:val="00DB3169"/>
    <w:rsid w:val="00DB368A"/>
    <w:rsid w:val="00DB4A78"/>
    <w:rsid w:val="00DB5353"/>
    <w:rsid w:val="00DB7C4C"/>
    <w:rsid w:val="00DC2B0C"/>
    <w:rsid w:val="00DC31F2"/>
    <w:rsid w:val="00DC38E2"/>
    <w:rsid w:val="00DC392B"/>
    <w:rsid w:val="00DC5611"/>
    <w:rsid w:val="00DC561F"/>
    <w:rsid w:val="00DC6BD3"/>
    <w:rsid w:val="00DC74D5"/>
    <w:rsid w:val="00DD13CE"/>
    <w:rsid w:val="00DD1A6B"/>
    <w:rsid w:val="00DD2AEA"/>
    <w:rsid w:val="00DD41A9"/>
    <w:rsid w:val="00DD4B1B"/>
    <w:rsid w:val="00DD4C97"/>
    <w:rsid w:val="00DD5D1F"/>
    <w:rsid w:val="00DD5DFD"/>
    <w:rsid w:val="00DD63F5"/>
    <w:rsid w:val="00DD696B"/>
    <w:rsid w:val="00DD69EC"/>
    <w:rsid w:val="00DE0769"/>
    <w:rsid w:val="00DE2B5B"/>
    <w:rsid w:val="00DE34F2"/>
    <w:rsid w:val="00DE36F7"/>
    <w:rsid w:val="00DE3DD1"/>
    <w:rsid w:val="00DE488E"/>
    <w:rsid w:val="00DE4A67"/>
    <w:rsid w:val="00DE60D4"/>
    <w:rsid w:val="00DF0074"/>
    <w:rsid w:val="00DF1121"/>
    <w:rsid w:val="00DF13C8"/>
    <w:rsid w:val="00DF1427"/>
    <w:rsid w:val="00DF154B"/>
    <w:rsid w:val="00DF1D33"/>
    <w:rsid w:val="00DF2687"/>
    <w:rsid w:val="00DF41B8"/>
    <w:rsid w:val="00DF479E"/>
    <w:rsid w:val="00DF4A5B"/>
    <w:rsid w:val="00DF5AE2"/>
    <w:rsid w:val="00DF6AA6"/>
    <w:rsid w:val="00E0285D"/>
    <w:rsid w:val="00E0303D"/>
    <w:rsid w:val="00E03250"/>
    <w:rsid w:val="00E0360A"/>
    <w:rsid w:val="00E03EC8"/>
    <w:rsid w:val="00E0518B"/>
    <w:rsid w:val="00E0542F"/>
    <w:rsid w:val="00E055A1"/>
    <w:rsid w:val="00E06374"/>
    <w:rsid w:val="00E075C1"/>
    <w:rsid w:val="00E0762A"/>
    <w:rsid w:val="00E10D0E"/>
    <w:rsid w:val="00E11C91"/>
    <w:rsid w:val="00E11E54"/>
    <w:rsid w:val="00E12A1C"/>
    <w:rsid w:val="00E12BCE"/>
    <w:rsid w:val="00E13089"/>
    <w:rsid w:val="00E1337C"/>
    <w:rsid w:val="00E139D6"/>
    <w:rsid w:val="00E13D56"/>
    <w:rsid w:val="00E14C74"/>
    <w:rsid w:val="00E1545C"/>
    <w:rsid w:val="00E1579B"/>
    <w:rsid w:val="00E15D1D"/>
    <w:rsid w:val="00E178A7"/>
    <w:rsid w:val="00E20059"/>
    <w:rsid w:val="00E20351"/>
    <w:rsid w:val="00E20F52"/>
    <w:rsid w:val="00E21EBD"/>
    <w:rsid w:val="00E225B5"/>
    <w:rsid w:val="00E22F26"/>
    <w:rsid w:val="00E2435F"/>
    <w:rsid w:val="00E24D58"/>
    <w:rsid w:val="00E24E7F"/>
    <w:rsid w:val="00E2513D"/>
    <w:rsid w:val="00E25A9E"/>
    <w:rsid w:val="00E25E73"/>
    <w:rsid w:val="00E27DC7"/>
    <w:rsid w:val="00E30083"/>
    <w:rsid w:val="00E304FE"/>
    <w:rsid w:val="00E31D77"/>
    <w:rsid w:val="00E31EB8"/>
    <w:rsid w:val="00E326E5"/>
    <w:rsid w:val="00E32B20"/>
    <w:rsid w:val="00E32D5C"/>
    <w:rsid w:val="00E33099"/>
    <w:rsid w:val="00E33446"/>
    <w:rsid w:val="00E33708"/>
    <w:rsid w:val="00E33E15"/>
    <w:rsid w:val="00E348ED"/>
    <w:rsid w:val="00E353E6"/>
    <w:rsid w:val="00E355A3"/>
    <w:rsid w:val="00E35A40"/>
    <w:rsid w:val="00E37904"/>
    <w:rsid w:val="00E37AF1"/>
    <w:rsid w:val="00E4025F"/>
    <w:rsid w:val="00E402C7"/>
    <w:rsid w:val="00E40D27"/>
    <w:rsid w:val="00E42062"/>
    <w:rsid w:val="00E426F8"/>
    <w:rsid w:val="00E42A49"/>
    <w:rsid w:val="00E42C1A"/>
    <w:rsid w:val="00E437B4"/>
    <w:rsid w:val="00E43BFE"/>
    <w:rsid w:val="00E4578F"/>
    <w:rsid w:val="00E461E2"/>
    <w:rsid w:val="00E47B48"/>
    <w:rsid w:val="00E51262"/>
    <w:rsid w:val="00E519D3"/>
    <w:rsid w:val="00E51A02"/>
    <w:rsid w:val="00E51D50"/>
    <w:rsid w:val="00E52551"/>
    <w:rsid w:val="00E526A7"/>
    <w:rsid w:val="00E52AF5"/>
    <w:rsid w:val="00E52C80"/>
    <w:rsid w:val="00E53184"/>
    <w:rsid w:val="00E545F1"/>
    <w:rsid w:val="00E54938"/>
    <w:rsid w:val="00E54BE3"/>
    <w:rsid w:val="00E55F5C"/>
    <w:rsid w:val="00E56244"/>
    <w:rsid w:val="00E5647F"/>
    <w:rsid w:val="00E5793D"/>
    <w:rsid w:val="00E57F4A"/>
    <w:rsid w:val="00E60556"/>
    <w:rsid w:val="00E61968"/>
    <w:rsid w:val="00E62491"/>
    <w:rsid w:val="00E6270A"/>
    <w:rsid w:val="00E62E0B"/>
    <w:rsid w:val="00E631BC"/>
    <w:rsid w:val="00E636B7"/>
    <w:rsid w:val="00E644B0"/>
    <w:rsid w:val="00E646DA"/>
    <w:rsid w:val="00E64DC8"/>
    <w:rsid w:val="00E655F8"/>
    <w:rsid w:val="00E65F8B"/>
    <w:rsid w:val="00E663A3"/>
    <w:rsid w:val="00E668B4"/>
    <w:rsid w:val="00E673EE"/>
    <w:rsid w:val="00E70202"/>
    <w:rsid w:val="00E70C83"/>
    <w:rsid w:val="00E70EC8"/>
    <w:rsid w:val="00E71256"/>
    <w:rsid w:val="00E714B7"/>
    <w:rsid w:val="00E724D0"/>
    <w:rsid w:val="00E72DF5"/>
    <w:rsid w:val="00E73705"/>
    <w:rsid w:val="00E74AA1"/>
    <w:rsid w:val="00E75B23"/>
    <w:rsid w:val="00E76217"/>
    <w:rsid w:val="00E76B6A"/>
    <w:rsid w:val="00E77C74"/>
    <w:rsid w:val="00E81135"/>
    <w:rsid w:val="00E81413"/>
    <w:rsid w:val="00E81686"/>
    <w:rsid w:val="00E82182"/>
    <w:rsid w:val="00E84206"/>
    <w:rsid w:val="00E849E7"/>
    <w:rsid w:val="00E85840"/>
    <w:rsid w:val="00E861E1"/>
    <w:rsid w:val="00E861E9"/>
    <w:rsid w:val="00E908B7"/>
    <w:rsid w:val="00E9134F"/>
    <w:rsid w:val="00E92295"/>
    <w:rsid w:val="00E9305C"/>
    <w:rsid w:val="00E94579"/>
    <w:rsid w:val="00E95034"/>
    <w:rsid w:val="00E957AE"/>
    <w:rsid w:val="00E95BD3"/>
    <w:rsid w:val="00E97AC4"/>
    <w:rsid w:val="00E97B22"/>
    <w:rsid w:val="00E97FFC"/>
    <w:rsid w:val="00EA028E"/>
    <w:rsid w:val="00EA0AD5"/>
    <w:rsid w:val="00EA122D"/>
    <w:rsid w:val="00EA2364"/>
    <w:rsid w:val="00EA2781"/>
    <w:rsid w:val="00EA4117"/>
    <w:rsid w:val="00EA497C"/>
    <w:rsid w:val="00EA4CD3"/>
    <w:rsid w:val="00EA4EB4"/>
    <w:rsid w:val="00EA5389"/>
    <w:rsid w:val="00EA55FE"/>
    <w:rsid w:val="00EA58F8"/>
    <w:rsid w:val="00EA5DC1"/>
    <w:rsid w:val="00EA686F"/>
    <w:rsid w:val="00EA7F18"/>
    <w:rsid w:val="00EB0A51"/>
    <w:rsid w:val="00EB4618"/>
    <w:rsid w:val="00EB6A53"/>
    <w:rsid w:val="00EB7166"/>
    <w:rsid w:val="00EB7B52"/>
    <w:rsid w:val="00EC0DBE"/>
    <w:rsid w:val="00EC2083"/>
    <w:rsid w:val="00EC2209"/>
    <w:rsid w:val="00EC3160"/>
    <w:rsid w:val="00EC47CB"/>
    <w:rsid w:val="00EC58F7"/>
    <w:rsid w:val="00EC6674"/>
    <w:rsid w:val="00ED086C"/>
    <w:rsid w:val="00ED0E7F"/>
    <w:rsid w:val="00ED1042"/>
    <w:rsid w:val="00ED11B5"/>
    <w:rsid w:val="00ED15BA"/>
    <w:rsid w:val="00ED19F1"/>
    <w:rsid w:val="00ED21D0"/>
    <w:rsid w:val="00ED248B"/>
    <w:rsid w:val="00ED26B3"/>
    <w:rsid w:val="00ED502A"/>
    <w:rsid w:val="00ED5792"/>
    <w:rsid w:val="00ED5D4B"/>
    <w:rsid w:val="00ED5E4A"/>
    <w:rsid w:val="00ED63F8"/>
    <w:rsid w:val="00ED7BB1"/>
    <w:rsid w:val="00EE0EBE"/>
    <w:rsid w:val="00EE24F5"/>
    <w:rsid w:val="00EE47A1"/>
    <w:rsid w:val="00EE50FB"/>
    <w:rsid w:val="00EE5291"/>
    <w:rsid w:val="00EE5F5F"/>
    <w:rsid w:val="00EE6E45"/>
    <w:rsid w:val="00EE6ECD"/>
    <w:rsid w:val="00EE74CC"/>
    <w:rsid w:val="00EE764D"/>
    <w:rsid w:val="00EF1DDD"/>
    <w:rsid w:val="00EF2132"/>
    <w:rsid w:val="00EF233D"/>
    <w:rsid w:val="00EF2727"/>
    <w:rsid w:val="00EF296B"/>
    <w:rsid w:val="00EF32C5"/>
    <w:rsid w:val="00EF3661"/>
    <w:rsid w:val="00EF4889"/>
    <w:rsid w:val="00EF5607"/>
    <w:rsid w:val="00EF57FE"/>
    <w:rsid w:val="00EF60B5"/>
    <w:rsid w:val="00EF63CB"/>
    <w:rsid w:val="00EF7C54"/>
    <w:rsid w:val="00F0016A"/>
    <w:rsid w:val="00F005ED"/>
    <w:rsid w:val="00F00AED"/>
    <w:rsid w:val="00F017B2"/>
    <w:rsid w:val="00F0219A"/>
    <w:rsid w:val="00F0248C"/>
    <w:rsid w:val="00F03910"/>
    <w:rsid w:val="00F03AB7"/>
    <w:rsid w:val="00F0479C"/>
    <w:rsid w:val="00F049BE"/>
    <w:rsid w:val="00F06416"/>
    <w:rsid w:val="00F06E1A"/>
    <w:rsid w:val="00F07253"/>
    <w:rsid w:val="00F100FA"/>
    <w:rsid w:val="00F10453"/>
    <w:rsid w:val="00F10719"/>
    <w:rsid w:val="00F10BA3"/>
    <w:rsid w:val="00F11601"/>
    <w:rsid w:val="00F11D76"/>
    <w:rsid w:val="00F12A22"/>
    <w:rsid w:val="00F134C1"/>
    <w:rsid w:val="00F13EBA"/>
    <w:rsid w:val="00F14C3E"/>
    <w:rsid w:val="00F15C6A"/>
    <w:rsid w:val="00F15F29"/>
    <w:rsid w:val="00F16061"/>
    <w:rsid w:val="00F1717F"/>
    <w:rsid w:val="00F20352"/>
    <w:rsid w:val="00F22903"/>
    <w:rsid w:val="00F22DD1"/>
    <w:rsid w:val="00F23234"/>
    <w:rsid w:val="00F243F4"/>
    <w:rsid w:val="00F25CB4"/>
    <w:rsid w:val="00F2601E"/>
    <w:rsid w:val="00F266D5"/>
    <w:rsid w:val="00F277FA"/>
    <w:rsid w:val="00F27C1B"/>
    <w:rsid w:val="00F30570"/>
    <w:rsid w:val="00F3099A"/>
    <w:rsid w:val="00F3250A"/>
    <w:rsid w:val="00F32F86"/>
    <w:rsid w:val="00F33102"/>
    <w:rsid w:val="00F33121"/>
    <w:rsid w:val="00F34C7D"/>
    <w:rsid w:val="00F34F1D"/>
    <w:rsid w:val="00F35818"/>
    <w:rsid w:val="00F368DD"/>
    <w:rsid w:val="00F36C1E"/>
    <w:rsid w:val="00F37440"/>
    <w:rsid w:val="00F41BEE"/>
    <w:rsid w:val="00F427B4"/>
    <w:rsid w:val="00F43311"/>
    <w:rsid w:val="00F43848"/>
    <w:rsid w:val="00F44263"/>
    <w:rsid w:val="00F44A14"/>
    <w:rsid w:val="00F46AD8"/>
    <w:rsid w:val="00F5071A"/>
    <w:rsid w:val="00F513D5"/>
    <w:rsid w:val="00F51997"/>
    <w:rsid w:val="00F51E3F"/>
    <w:rsid w:val="00F534C2"/>
    <w:rsid w:val="00F54B93"/>
    <w:rsid w:val="00F54CE9"/>
    <w:rsid w:val="00F572D5"/>
    <w:rsid w:val="00F601EB"/>
    <w:rsid w:val="00F606D5"/>
    <w:rsid w:val="00F60C39"/>
    <w:rsid w:val="00F61449"/>
    <w:rsid w:val="00F615FA"/>
    <w:rsid w:val="00F61E9F"/>
    <w:rsid w:val="00F62284"/>
    <w:rsid w:val="00F64139"/>
    <w:rsid w:val="00F6466E"/>
    <w:rsid w:val="00F64A4C"/>
    <w:rsid w:val="00F65057"/>
    <w:rsid w:val="00F67A83"/>
    <w:rsid w:val="00F67C8D"/>
    <w:rsid w:val="00F67DE9"/>
    <w:rsid w:val="00F712B4"/>
    <w:rsid w:val="00F72F80"/>
    <w:rsid w:val="00F74184"/>
    <w:rsid w:val="00F74530"/>
    <w:rsid w:val="00F752BD"/>
    <w:rsid w:val="00F769E1"/>
    <w:rsid w:val="00F76ED7"/>
    <w:rsid w:val="00F76F8F"/>
    <w:rsid w:val="00F772DE"/>
    <w:rsid w:val="00F77EFB"/>
    <w:rsid w:val="00F80D6B"/>
    <w:rsid w:val="00F81E74"/>
    <w:rsid w:val="00F8330F"/>
    <w:rsid w:val="00F843C2"/>
    <w:rsid w:val="00F8476B"/>
    <w:rsid w:val="00F84BD7"/>
    <w:rsid w:val="00F85F13"/>
    <w:rsid w:val="00F8669F"/>
    <w:rsid w:val="00F90136"/>
    <w:rsid w:val="00F90A0C"/>
    <w:rsid w:val="00F90D5F"/>
    <w:rsid w:val="00F90ECD"/>
    <w:rsid w:val="00F91301"/>
    <w:rsid w:val="00F915E0"/>
    <w:rsid w:val="00F92FC0"/>
    <w:rsid w:val="00F931CF"/>
    <w:rsid w:val="00F95CDB"/>
    <w:rsid w:val="00F96A53"/>
    <w:rsid w:val="00F96C42"/>
    <w:rsid w:val="00F96F7B"/>
    <w:rsid w:val="00F975B7"/>
    <w:rsid w:val="00F979A2"/>
    <w:rsid w:val="00FA10AD"/>
    <w:rsid w:val="00FA2618"/>
    <w:rsid w:val="00FA4777"/>
    <w:rsid w:val="00FA5648"/>
    <w:rsid w:val="00FA56C7"/>
    <w:rsid w:val="00FA6C54"/>
    <w:rsid w:val="00FA7147"/>
    <w:rsid w:val="00FB0862"/>
    <w:rsid w:val="00FB10F1"/>
    <w:rsid w:val="00FB2895"/>
    <w:rsid w:val="00FB2F0E"/>
    <w:rsid w:val="00FB336C"/>
    <w:rsid w:val="00FB36EF"/>
    <w:rsid w:val="00FB4004"/>
    <w:rsid w:val="00FB6149"/>
    <w:rsid w:val="00FB6DAC"/>
    <w:rsid w:val="00FB78FB"/>
    <w:rsid w:val="00FB7D8A"/>
    <w:rsid w:val="00FC121F"/>
    <w:rsid w:val="00FC14A9"/>
    <w:rsid w:val="00FC25B6"/>
    <w:rsid w:val="00FC4976"/>
    <w:rsid w:val="00FC4DD4"/>
    <w:rsid w:val="00FC6010"/>
    <w:rsid w:val="00FC6992"/>
    <w:rsid w:val="00FC75DB"/>
    <w:rsid w:val="00FC79AB"/>
    <w:rsid w:val="00FC7E53"/>
    <w:rsid w:val="00FD1150"/>
    <w:rsid w:val="00FD1153"/>
    <w:rsid w:val="00FD2217"/>
    <w:rsid w:val="00FD2468"/>
    <w:rsid w:val="00FD3306"/>
    <w:rsid w:val="00FD37E6"/>
    <w:rsid w:val="00FD3AA5"/>
    <w:rsid w:val="00FE14F0"/>
    <w:rsid w:val="00FE1D29"/>
    <w:rsid w:val="00FE2E84"/>
    <w:rsid w:val="00FE538A"/>
    <w:rsid w:val="00FE5FDC"/>
    <w:rsid w:val="00FE628D"/>
    <w:rsid w:val="00FE73F6"/>
    <w:rsid w:val="00FF1228"/>
    <w:rsid w:val="00FF17D2"/>
    <w:rsid w:val="00FF21BB"/>
    <w:rsid w:val="00FF2BD3"/>
    <w:rsid w:val="00FF3C5E"/>
    <w:rsid w:val="00FF3F3B"/>
    <w:rsid w:val="00FF4B31"/>
    <w:rsid w:val="00FF5B60"/>
    <w:rsid w:val="00FF70C4"/>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09539"/>
  <w15:docId w15:val="{03F2889A-EF53-41B9-8AC7-729688B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6379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25C75"/>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06F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73F4"/>
    <w:rPr>
      <w:rFonts w:ascii="Courier" w:hAnsi="Courier"/>
      <w:szCs w:val="20"/>
    </w:rPr>
  </w:style>
  <w:style w:type="paragraph" w:styleId="Footer">
    <w:name w:val="footer"/>
    <w:basedOn w:val="Normal"/>
    <w:link w:val="FooterChar"/>
    <w:uiPriority w:val="99"/>
    <w:rsid w:val="00BD67E3"/>
    <w:pPr>
      <w:tabs>
        <w:tab w:val="center" w:pos="4320"/>
        <w:tab w:val="right" w:pos="8640"/>
      </w:tabs>
    </w:pPr>
  </w:style>
  <w:style w:type="character" w:styleId="PageNumber">
    <w:name w:val="page number"/>
    <w:basedOn w:val="DefaultParagraphFont"/>
    <w:rsid w:val="00BD67E3"/>
  </w:style>
  <w:style w:type="paragraph" w:styleId="FootnoteText">
    <w:name w:val="footnote text"/>
    <w:aliases w:val="Footnote Text Char1,Footnote Text Char Char1,Footnote Text Char1 Char Char,Footnote Text Char Char1 Char Char,Footnote Text Char2 Char Char1 Char Char,Footnote Text Char1 Char Char Char Char Char1,Footnote Text Char"/>
    <w:basedOn w:val="Normal"/>
    <w:uiPriority w:val="99"/>
    <w:rsid w:val="00A76B4E"/>
    <w:rPr>
      <w:sz w:val="20"/>
      <w:szCs w:val="20"/>
    </w:rPr>
  </w:style>
  <w:style w:type="character" w:styleId="FootnoteReference">
    <w:name w:val="footnote reference"/>
    <w:uiPriority w:val="99"/>
    <w:rsid w:val="00A76B4E"/>
    <w:rPr>
      <w:vertAlign w:val="superscript"/>
    </w:rPr>
  </w:style>
  <w:style w:type="paragraph" w:styleId="Header">
    <w:name w:val="header"/>
    <w:basedOn w:val="Normal"/>
    <w:link w:val="HeaderChar"/>
    <w:uiPriority w:val="99"/>
    <w:rsid w:val="0064618B"/>
    <w:pPr>
      <w:tabs>
        <w:tab w:val="center" w:pos="4320"/>
        <w:tab w:val="right" w:pos="8640"/>
      </w:tabs>
    </w:pPr>
  </w:style>
  <w:style w:type="paragraph" w:styleId="BalloonText">
    <w:name w:val="Balloon Text"/>
    <w:basedOn w:val="Normal"/>
    <w:semiHidden/>
    <w:rsid w:val="003F01FF"/>
    <w:rPr>
      <w:rFonts w:ascii="Tahoma" w:hAnsi="Tahoma" w:cs="Tahoma"/>
      <w:sz w:val="16"/>
      <w:szCs w:val="16"/>
    </w:rPr>
  </w:style>
  <w:style w:type="character" w:customStyle="1" w:styleId="term1">
    <w:name w:val="term1"/>
    <w:rsid w:val="00C6379A"/>
    <w:rPr>
      <w:rFonts w:ascii="Verdana" w:hAnsi="Verdana" w:hint="default"/>
      <w:b/>
      <w:bCs/>
      <w:sz w:val="20"/>
      <w:szCs w:val="20"/>
    </w:rPr>
  </w:style>
  <w:style w:type="character" w:styleId="Hyperlink">
    <w:name w:val="Hyperlink"/>
    <w:rsid w:val="0051137A"/>
    <w:rPr>
      <w:color w:val="0000FF"/>
      <w:u w:val="single"/>
    </w:rPr>
  </w:style>
  <w:style w:type="character" w:customStyle="1" w:styleId="documentbody1">
    <w:name w:val="documentbody1"/>
    <w:rsid w:val="006F738D"/>
    <w:rPr>
      <w:rFonts w:ascii="Verdana" w:hAnsi="Verdana" w:hint="default"/>
      <w:sz w:val="19"/>
      <w:szCs w:val="19"/>
    </w:rPr>
  </w:style>
  <w:style w:type="table" w:styleId="TableGrid">
    <w:name w:val="Table Grid"/>
    <w:aliases w:val="none"/>
    <w:basedOn w:val="TableNormal"/>
    <w:rsid w:val="00D6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64AE5"/>
  </w:style>
  <w:style w:type="paragraph" w:styleId="NormalWeb">
    <w:name w:val="Normal (Web)"/>
    <w:basedOn w:val="Normal"/>
    <w:uiPriority w:val="99"/>
    <w:rsid w:val="002B394A"/>
    <w:pPr>
      <w:spacing w:before="100" w:beforeAutospacing="1" w:after="100" w:afterAutospacing="1"/>
    </w:pPr>
  </w:style>
  <w:style w:type="paragraph" w:styleId="ListParagraph">
    <w:name w:val="List Paragraph"/>
    <w:basedOn w:val="Normal"/>
    <w:uiPriority w:val="34"/>
    <w:qFormat/>
    <w:rsid w:val="00590CF9"/>
    <w:pPr>
      <w:ind w:left="720"/>
    </w:pPr>
    <w:rPr>
      <w:rFonts w:ascii="Calibri" w:hAnsi="Calibri"/>
      <w:sz w:val="22"/>
      <w:szCs w:val="22"/>
    </w:rPr>
  </w:style>
  <w:style w:type="character" w:customStyle="1" w:styleId="Heading4Char">
    <w:name w:val="Heading 4 Char"/>
    <w:link w:val="Heading4"/>
    <w:semiHidden/>
    <w:rsid w:val="00D06F57"/>
    <w:rPr>
      <w:rFonts w:ascii="Calibri" w:eastAsia="Times New Roman" w:hAnsi="Calibri" w:cs="Times New Roman"/>
      <w:b/>
      <w:bCs/>
      <w:sz w:val="28"/>
      <w:szCs w:val="28"/>
    </w:rPr>
  </w:style>
  <w:style w:type="character" w:styleId="CommentReference">
    <w:name w:val="annotation reference"/>
    <w:uiPriority w:val="99"/>
    <w:rsid w:val="00172C04"/>
    <w:rPr>
      <w:sz w:val="16"/>
      <w:szCs w:val="16"/>
    </w:rPr>
  </w:style>
  <w:style w:type="paragraph" w:styleId="CommentText">
    <w:name w:val="annotation text"/>
    <w:basedOn w:val="Normal"/>
    <w:link w:val="CommentTextChar"/>
    <w:uiPriority w:val="99"/>
    <w:rsid w:val="00172C04"/>
    <w:rPr>
      <w:sz w:val="20"/>
      <w:szCs w:val="20"/>
    </w:rPr>
  </w:style>
  <w:style w:type="character" w:customStyle="1" w:styleId="CommentTextChar">
    <w:name w:val="Comment Text Char"/>
    <w:basedOn w:val="DefaultParagraphFont"/>
    <w:link w:val="CommentText"/>
    <w:uiPriority w:val="99"/>
    <w:rsid w:val="00172C04"/>
  </w:style>
  <w:style w:type="paragraph" w:styleId="CommentSubject">
    <w:name w:val="annotation subject"/>
    <w:basedOn w:val="CommentText"/>
    <w:next w:val="CommentText"/>
    <w:link w:val="CommentSubjectChar"/>
    <w:rsid w:val="00172C04"/>
    <w:rPr>
      <w:b/>
      <w:bCs/>
    </w:rPr>
  </w:style>
  <w:style w:type="character" w:customStyle="1" w:styleId="CommentSubjectChar">
    <w:name w:val="Comment Subject Char"/>
    <w:link w:val="CommentSubject"/>
    <w:rsid w:val="00172C04"/>
    <w:rPr>
      <w:b/>
      <w:bCs/>
    </w:rPr>
  </w:style>
  <w:style w:type="paragraph" w:styleId="PlainText">
    <w:name w:val="Plain Text"/>
    <w:basedOn w:val="Normal"/>
    <w:link w:val="PlainTextChar"/>
    <w:uiPriority w:val="99"/>
    <w:unhideWhenUsed/>
    <w:rsid w:val="00976BBC"/>
    <w:rPr>
      <w:rFonts w:ascii="Calibri" w:eastAsia="Calibri" w:hAnsi="Calibri"/>
      <w:sz w:val="22"/>
      <w:szCs w:val="21"/>
    </w:rPr>
  </w:style>
  <w:style w:type="character" w:customStyle="1" w:styleId="PlainTextChar">
    <w:name w:val="Plain Text Char"/>
    <w:link w:val="PlainText"/>
    <w:uiPriority w:val="99"/>
    <w:rsid w:val="00976BBC"/>
    <w:rPr>
      <w:rFonts w:ascii="Calibri" w:eastAsia="Calibri" w:hAnsi="Calibri"/>
      <w:sz w:val="22"/>
      <w:szCs w:val="21"/>
    </w:rPr>
  </w:style>
  <w:style w:type="paragraph" w:customStyle="1" w:styleId="Default">
    <w:name w:val="Default"/>
    <w:rsid w:val="004122A2"/>
    <w:pPr>
      <w:autoSpaceDE w:val="0"/>
      <w:autoSpaceDN w:val="0"/>
      <w:adjustRightInd w:val="0"/>
    </w:pPr>
    <w:rPr>
      <w:color w:val="000000"/>
      <w:sz w:val="24"/>
      <w:szCs w:val="24"/>
    </w:rPr>
  </w:style>
  <w:style w:type="character" w:styleId="EndnoteReference">
    <w:name w:val="endnote reference"/>
    <w:rsid w:val="005465A8"/>
    <w:rPr>
      <w:vertAlign w:val="superscript"/>
    </w:rPr>
  </w:style>
  <w:style w:type="character" w:customStyle="1" w:styleId="FooterChar">
    <w:name w:val="Footer Char"/>
    <w:link w:val="Footer"/>
    <w:uiPriority w:val="99"/>
    <w:rsid w:val="00481472"/>
    <w:rPr>
      <w:sz w:val="24"/>
      <w:szCs w:val="24"/>
    </w:rPr>
  </w:style>
  <w:style w:type="paragraph" w:styleId="NoSpacing">
    <w:name w:val="No Spacing"/>
    <w:uiPriority w:val="1"/>
    <w:qFormat/>
    <w:rsid w:val="00B6485F"/>
    <w:rPr>
      <w:sz w:val="24"/>
      <w:szCs w:val="24"/>
    </w:rPr>
  </w:style>
  <w:style w:type="character" w:customStyle="1" w:styleId="HeaderChar">
    <w:name w:val="Header Char"/>
    <w:link w:val="Header"/>
    <w:uiPriority w:val="99"/>
    <w:rsid w:val="00B6485F"/>
    <w:rPr>
      <w:sz w:val="24"/>
      <w:szCs w:val="24"/>
    </w:rPr>
  </w:style>
  <w:style w:type="character" w:styleId="FollowedHyperlink">
    <w:name w:val="FollowedHyperlink"/>
    <w:rsid w:val="00187B70"/>
    <w:rPr>
      <w:color w:val="800080"/>
      <w:u w:val="single"/>
    </w:rPr>
  </w:style>
  <w:style w:type="paragraph" w:customStyle="1" w:styleId="p3">
    <w:name w:val="p3"/>
    <w:basedOn w:val="Normal"/>
    <w:rsid w:val="00EE74CC"/>
    <w:pPr>
      <w:widowControl w:val="0"/>
      <w:tabs>
        <w:tab w:val="left" w:pos="204"/>
      </w:tabs>
      <w:autoSpaceDE w:val="0"/>
      <w:autoSpaceDN w:val="0"/>
      <w:adjustRightInd w:val="0"/>
    </w:pPr>
  </w:style>
  <w:style w:type="character" w:customStyle="1" w:styleId="UnresolvedMention1">
    <w:name w:val="Unresolved Mention1"/>
    <w:basedOn w:val="DefaultParagraphFont"/>
    <w:uiPriority w:val="99"/>
    <w:semiHidden/>
    <w:unhideWhenUsed/>
    <w:rsid w:val="00604D61"/>
    <w:rPr>
      <w:color w:val="605E5C"/>
      <w:shd w:val="clear" w:color="auto" w:fill="E1DFDD"/>
    </w:rPr>
  </w:style>
  <w:style w:type="paragraph" w:styleId="Revision">
    <w:name w:val="Revision"/>
    <w:hidden/>
    <w:uiPriority w:val="99"/>
    <w:semiHidden/>
    <w:rsid w:val="008B6DCD"/>
    <w:rPr>
      <w:sz w:val="24"/>
      <w:szCs w:val="24"/>
    </w:rPr>
  </w:style>
  <w:style w:type="character" w:customStyle="1" w:styleId="Heading3Char">
    <w:name w:val="Heading 3 Char"/>
    <w:basedOn w:val="DefaultParagraphFont"/>
    <w:link w:val="Heading3"/>
    <w:rsid w:val="00A25C75"/>
    <w:rPr>
      <w:rFonts w:ascii="Arial" w:hAnsi="Arial" w:cs="Arial"/>
      <w:b/>
      <w:bCs/>
      <w:sz w:val="26"/>
      <w:szCs w:val="26"/>
    </w:rPr>
  </w:style>
  <w:style w:type="paragraph" w:customStyle="1" w:styleId="StyleCentered">
    <w:name w:val="Style Centered"/>
    <w:basedOn w:val="Normal"/>
    <w:rsid w:val="00A25C75"/>
    <w:pPr>
      <w:overflowPunct w:val="0"/>
      <w:autoSpaceDE w:val="0"/>
      <w:autoSpaceDN w:val="0"/>
      <w:adjustRightInd w:val="0"/>
      <w:jc w:val="center"/>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592">
      <w:bodyDiv w:val="1"/>
      <w:marLeft w:val="0"/>
      <w:marRight w:val="0"/>
      <w:marTop w:val="0"/>
      <w:marBottom w:val="0"/>
      <w:divBdr>
        <w:top w:val="none" w:sz="0" w:space="0" w:color="auto"/>
        <w:left w:val="none" w:sz="0" w:space="0" w:color="auto"/>
        <w:bottom w:val="none" w:sz="0" w:space="0" w:color="auto"/>
        <w:right w:val="none" w:sz="0" w:space="0" w:color="auto"/>
      </w:divBdr>
      <w:divsChild>
        <w:div w:id="349337612">
          <w:marLeft w:val="0"/>
          <w:marRight w:val="0"/>
          <w:marTop w:val="0"/>
          <w:marBottom w:val="0"/>
          <w:divBdr>
            <w:top w:val="none" w:sz="0" w:space="0" w:color="auto"/>
            <w:left w:val="none" w:sz="0" w:space="0" w:color="auto"/>
            <w:bottom w:val="none" w:sz="0" w:space="0" w:color="auto"/>
            <w:right w:val="none" w:sz="0" w:space="0" w:color="auto"/>
          </w:divBdr>
          <w:divsChild>
            <w:div w:id="937326564">
              <w:marLeft w:val="0"/>
              <w:marRight w:val="0"/>
              <w:marTop w:val="0"/>
              <w:marBottom w:val="0"/>
              <w:divBdr>
                <w:top w:val="none" w:sz="0" w:space="0" w:color="auto"/>
                <w:left w:val="none" w:sz="0" w:space="0" w:color="auto"/>
                <w:bottom w:val="none" w:sz="0" w:space="0" w:color="auto"/>
                <w:right w:val="none" w:sz="0" w:space="0" w:color="auto"/>
              </w:divBdr>
              <w:divsChild>
                <w:div w:id="1572234750">
                  <w:marLeft w:val="0"/>
                  <w:marRight w:val="0"/>
                  <w:marTop w:val="0"/>
                  <w:marBottom w:val="0"/>
                  <w:divBdr>
                    <w:top w:val="none" w:sz="0" w:space="0" w:color="auto"/>
                    <w:left w:val="none" w:sz="0" w:space="0" w:color="auto"/>
                    <w:bottom w:val="none" w:sz="0" w:space="0" w:color="auto"/>
                    <w:right w:val="none" w:sz="0" w:space="0" w:color="auto"/>
                  </w:divBdr>
                  <w:divsChild>
                    <w:div w:id="180169386">
                      <w:marLeft w:val="0"/>
                      <w:marRight w:val="0"/>
                      <w:marTop w:val="0"/>
                      <w:marBottom w:val="0"/>
                      <w:divBdr>
                        <w:top w:val="none" w:sz="0" w:space="0" w:color="auto"/>
                        <w:left w:val="none" w:sz="0" w:space="0" w:color="auto"/>
                        <w:bottom w:val="none" w:sz="0" w:space="0" w:color="auto"/>
                        <w:right w:val="none" w:sz="0" w:space="0" w:color="auto"/>
                      </w:divBdr>
                      <w:divsChild>
                        <w:div w:id="18751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430">
                  <w:marLeft w:val="0"/>
                  <w:marRight w:val="0"/>
                  <w:marTop w:val="0"/>
                  <w:marBottom w:val="0"/>
                  <w:divBdr>
                    <w:top w:val="none" w:sz="0" w:space="0" w:color="auto"/>
                    <w:left w:val="none" w:sz="0" w:space="0" w:color="auto"/>
                    <w:bottom w:val="none" w:sz="0" w:space="0" w:color="auto"/>
                    <w:right w:val="none" w:sz="0" w:space="0" w:color="auto"/>
                  </w:divBdr>
                  <w:divsChild>
                    <w:div w:id="240022825">
                      <w:marLeft w:val="0"/>
                      <w:marRight w:val="0"/>
                      <w:marTop w:val="0"/>
                      <w:marBottom w:val="0"/>
                      <w:divBdr>
                        <w:top w:val="none" w:sz="0" w:space="0" w:color="auto"/>
                        <w:left w:val="none" w:sz="0" w:space="0" w:color="auto"/>
                        <w:bottom w:val="none" w:sz="0" w:space="0" w:color="auto"/>
                        <w:right w:val="none" w:sz="0" w:space="0" w:color="auto"/>
                      </w:divBdr>
                      <w:divsChild>
                        <w:div w:id="14443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0764">
                  <w:marLeft w:val="0"/>
                  <w:marRight w:val="0"/>
                  <w:marTop w:val="0"/>
                  <w:marBottom w:val="0"/>
                  <w:divBdr>
                    <w:top w:val="none" w:sz="0" w:space="0" w:color="auto"/>
                    <w:left w:val="none" w:sz="0" w:space="0" w:color="auto"/>
                    <w:bottom w:val="none" w:sz="0" w:space="0" w:color="auto"/>
                    <w:right w:val="none" w:sz="0" w:space="0" w:color="auto"/>
                  </w:divBdr>
                  <w:divsChild>
                    <w:div w:id="1111898821">
                      <w:marLeft w:val="0"/>
                      <w:marRight w:val="0"/>
                      <w:marTop w:val="0"/>
                      <w:marBottom w:val="0"/>
                      <w:divBdr>
                        <w:top w:val="none" w:sz="0" w:space="0" w:color="auto"/>
                        <w:left w:val="none" w:sz="0" w:space="0" w:color="auto"/>
                        <w:bottom w:val="none" w:sz="0" w:space="0" w:color="auto"/>
                        <w:right w:val="none" w:sz="0" w:space="0" w:color="auto"/>
                      </w:divBdr>
                      <w:divsChild>
                        <w:div w:id="877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2387">
                  <w:marLeft w:val="0"/>
                  <w:marRight w:val="0"/>
                  <w:marTop w:val="0"/>
                  <w:marBottom w:val="0"/>
                  <w:divBdr>
                    <w:top w:val="none" w:sz="0" w:space="0" w:color="auto"/>
                    <w:left w:val="none" w:sz="0" w:space="0" w:color="auto"/>
                    <w:bottom w:val="none" w:sz="0" w:space="0" w:color="auto"/>
                    <w:right w:val="none" w:sz="0" w:space="0" w:color="auto"/>
                  </w:divBdr>
                  <w:divsChild>
                    <w:div w:id="1012026302">
                      <w:marLeft w:val="0"/>
                      <w:marRight w:val="0"/>
                      <w:marTop w:val="0"/>
                      <w:marBottom w:val="0"/>
                      <w:divBdr>
                        <w:top w:val="none" w:sz="0" w:space="0" w:color="auto"/>
                        <w:left w:val="none" w:sz="0" w:space="0" w:color="auto"/>
                        <w:bottom w:val="none" w:sz="0" w:space="0" w:color="auto"/>
                        <w:right w:val="none" w:sz="0" w:space="0" w:color="auto"/>
                      </w:divBdr>
                      <w:divsChild>
                        <w:div w:id="408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3031">
                  <w:marLeft w:val="0"/>
                  <w:marRight w:val="0"/>
                  <w:marTop w:val="0"/>
                  <w:marBottom w:val="0"/>
                  <w:divBdr>
                    <w:top w:val="none" w:sz="0" w:space="0" w:color="auto"/>
                    <w:left w:val="none" w:sz="0" w:space="0" w:color="auto"/>
                    <w:bottom w:val="none" w:sz="0" w:space="0" w:color="auto"/>
                    <w:right w:val="none" w:sz="0" w:space="0" w:color="auto"/>
                  </w:divBdr>
                  <w:divsChild>
                    <w:div w:id="1412316934">
                      <w:marLeft w:val="0"/>
                      <w:marRight w:val="0"/>
                      <w:marTop w:val="0"/>
                      <w:marBottom w:val="0"/>
                      <w:divBdr>
                        <w:top w:val="none" w:sz="0" w:space="0" w:color="auto"/>
                        <w:left w:val="none" w:sz="0" w:space="0" w:color="auto"/>
                        <w:bottom w:val="none" w:sz="0" w:space="0" w:color="auto"/>
                        <w:right w:val="none" w:sz="0" w:space="0" w:color="auto"/>
                      </w:divBdr>
                      <w:divsChild>
                        <w:div w:id="342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5576">
      <w:bodyDiv w:val="1"/>
      <w:marLeft w:val="0"/>
      <w:marRight w:val="0"/>
      <w:marTop w:val="0"/>
      <w:marBottom w:val="0"/>
      <w:divBdr>
        <w:top w:val="none" w:sz="0" w:space="0" w:color="auto"/>
        <w:left w:val="none" w:sz="0" w:space="0" w:color="auto"/>
        <w:bottom w:val="none" w:sz="0" w:space="0" w:color="auto"/>
        <w:right w:val="none" w:sz="0" w:space="0" w:color="auto"/>
      </w:divBdr>
    </w:div>
    <w:div w:id="184710156">
      <w:bodyDiv w:val="1"/>
      <w:marLeft w:val="0"/>
      <w:marRight w:val="0"/>
      <w:marTop w:val="0"/>
      <w:marBottom w:val="0"/>
      <w:divBdr>
        <w:top w:val="none" w:sz="0" w:space="0" w:color="auto"/>
        <w:left w:val="none" w:sz="0" w:space="0" w:color="auto"/>
        <w:bottom w:val="none" w:sz="0" w:space="0" w:color="auto"/>
        <w:right w:val="none" w:sz="0" w:space="0" w:color="auto"/>
      </w:divBdr>
      <w:divsChild>
        <w:div w:id="1789543909">
          <w:marLeft w:val="0"/>
          <w:marRight w:val="0"/>
          <w:marTop w:val="0"/>
          <w:marBottom w:val="0"/>
          <w:divBdr>
            <w:top w:val="none" w:sz="0" w:space="0" w:color="auto"/>
            <w:left w:val="none" w:sz="0" w:space="0" w:color="auto"/>
            <w:bottom w:val="none" w:sz="0" w:space="0" w:color="auto"/>
            <w:right w:val="none" w:sz="0" w:space="0" w:color="auto"/>
          </w:divBdr>
          <w:divsChild>
            <w:div w:id="1696954993">
              <w:marLeft w:val="0"/>
              <w:marRight w:val="0"/>
              <w:marTop w:val="0"/>
              <w:marBottom w:val="0"/>
              <w:divBdr>
                <w:top w:val="none" w:sz="0" w:space="0" w:color="auto"/>
                <w:left w:val="none" w:sz="0" w:space="0" w:color="auto"/>
                <w:bottom w:val="none" w:sz="0" w:space="0" w:color="auto"/>
                <w:right w:val="none" w:sz="0" w:space="0" w:color="auto"/>
              </w:divBdr>
              <w:divsChild>
                <w:div w:id="165873137">
                  <w:marLeft w:val="0"/>
                  <w:marRight w:val="0"/>
                  <w:marTop w:val="0"/>
                  <w:marBottom w:val="0"/>
                  <w:divBdr>
                    <w:top w:val="none" w:sz="0" w:space="0" w:color="auto"/>
                    <w:left w:val="none" w:sz="0" w:space="0" w:color="auto"/>
                    <w:bottom w:val="none" w:sz="0" w:space="0" w:color="auto"/>
                    <w:right w:val="none" w:sz="0" w:space="0" w:color="auto"/>
                  </w:divBdr>
                  <w:divsChild>
                    <w:div w:id="532881570">
                      <w:marLeft w:val="0"/>
                      <w:marRight w:val="300"/>
                      <w:marTop w:val="0"/>
                      <w:marBottom w:val="0"/>
                      <w:divBdr>
                        <w:top w:val="none" w:sz="0" w:space="0" w:color="auto"/>
                        <w:left w:val="none" w:sz="0" w:space="0" w:color="auto"/>
                        <w:bottom w:val="none" w:sz="0" w:space="0" w:color="auto"/>
                        <w:right w:val="none" w:sz="0" w:space="0" w:color="auto"/>
                      </w:divBdr>
                      <w:divsChild>
                        <w:div w:id="468521722">
                          <w:marLeft w:val="0"/>
                          <w:marRight w:val="300"/>
                          <w:marTop w:val="0"/>
                          <w:marBottom w:val="0"/>
                          <w:divBdr>
                            <w:top w:val="none" w:sz="0" w:space="0" w:color="auto"/>
                            <w:left w:val="none" w:sz="0" w:space="0" w:color="auto"/>
                            <w:bottom w:val="none" w:sz="0" w:space="0" w:color="auto"/>
                            <w:right w:val="none" w:sz="0" w:space="0" w:color="auto"/>
                          </w:divBdr>
                          <w:divsChild>
                            <w:div w:id="1055618881">
                              <w:marLeft w:val="0"/>
                              <w:marRight w:val="0"/>
                              <w:marTop w:val="0"/>
                              <w:marBottom w:val="0"/>
                              <w:divBdr>
                                <w:top w:val="none" w:sz="0" w:space="0" w:color="auto"/>
                                <w:left w:val="none" w:sz="0" w:space="0" w:color="auto"/>
                                <w:bottom w:val="none" w:sz="0" w:space="0" w:color="auto"/>
                                <w:right w:val="none" w:sz="0" w:space="0" w:color="auto"/>
                              </w:divBdr>
                              <w:divsChild>
                                <w:div w:id="1152677144">
                                  <w:marLeft w:val="0"/>
                                  <w:marRight w:val="0"/>
                                  <w:marTop w:val="0"/>
                                  <w:marBottom w:val="0"/>
                                  <w:divBdr>
                                    <w:top w:val="none" w:sz="0" w:space="0" w:color="auto"/>
                                    <w:left w:val="none" w:sz="0" w:space="0" w:color="auto"/>
                                    <w:bottom w:val="none" w:sz="0" w:space="0" w:color="auto"/>
                                    <w:right w:val="none" w:sz="0" w:space="0" w:color="auto"/>
                                  </w:divBdr>
                                  <w:divsChild>
                                    <w:div w:id="5408994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03062">
      <w:bodyDiv w:val="1"/>
      <w:marLeft w:val="30"/>
      <w:marRight w:val="30"/>
      <w:marTop w:val="30"/>
      <w:marBottom w:val="30"/>
      <w:divBdr>
        <w:top w:val="none" w:sz="0" w:space="0" w:color="auto"/>
        <w:left w:val="none" w:sz="0" w:space="0" w:color="auto"/>
        <w:bottom w:val="none" w:sz="0" w:space="0" w:color="auto"/>
        <w:right w:val="none" w:sz="0" w:space="0" w:color="auto"/>
      </w:divBdr>
      <w:divsChild>
        <w:div w:id="340284776">
          <w:marLeft w:val="0"/>
          <w:marRight w:val="0"/>
          <w:marTop w:val="0"/>
          <w:marBottom w:val="0"/>
          <w:divBdr>
            <w:top w:val="none" w:sz="0" w:space="0" w:color="auto"/>
            <w:left w:val="none" w:sz="0" w:space="0" w:color="auto"/>
            <w:bottom w:val="none" w:sz="0" w:space="0" w:color="auto"/>
            <w:right w:val="none" w:sz="0" w:space="0" w:color="auto"/>
          </w:divBdr>
          <w:divsChild>
            <w:div w:id="1466583786">
              <w:marLeft w:val="45"/>
              <w:marRight w:val="45"/>
              <w:marTop w:val="45"/>
              <w:marBottom w:val="45"/>
              <w:divBdr>
                <w:top w:val="none" w:sz="0" w:space="0" w:color="auto"/>
                <w:left w:val="none" w:sz="0" w:space="0" w:color="auto"/>
                <w:bottom w:val="none" w:sz="0" w:space="0" w:color="auto"/>
                <w:right w:val="none" w:sz="0" w:space="0" w:color="auto"/>
              </w:divBdr>
              <w:divsChild>
                <w:div w:id="51081156">
                  <w:marLeft w:val="720"/>
                  <w:marRight w:val="0"/>
                  <w:marTop w:val="0"/>
                  <w:marBottom w:val="0"/>
                  <w:divBdr>
                    <w:top w:val="none" w:sz="0" w:space="0" w:color="auto"/>
                    <w:left w:val="none" w:sz="0" w:space="0" w:color="auto"/>
                    <w:bottom w:val="none" w:sz="0" w:space="0" w:color="auto"/>
                    <w:right w:val="none" w:sz="0" w:space="0" w:color="auto"/>
                  </w:divBdr>
                </w:div>
                <w:div w:id="889195616">
                  <w:marLeft w:val="360"/>
                  <w:marRight w:val="0"/>
                  <w:marTop w:val="0"/>
                  <w:marBottom w:val="0"/>
                  <w:divBdr>
                    <w:top w:val="none" w:sz="0" w:space="0" w:color="auto"/>
                    <w:left w:val="none" w:sz="0" w:space="0" w:color="auto"/>
                    <w:bottom w:val="none" w:sz="0" w:space="0" w:color="auto"/>
                    <w:right w:val="none" w:sz="0" w:space="0" w:color="auto"/>
                  </w:divBdr>
                </w:div>
                <w:div w:id="1089153232">
                  <w:marLeft w:val="360"/>
                  <w:marRight w:val="0"/>
                  <w:marTop w:val="0"/>
                  <w:marBottom w:val="0"/>
                  <w:divBdr>
                    <w:top w:val="none" w:sz="0" w:space="0" w:color="auto"/>
                    <w:left w:val="none" w:sz="0" w:space="0" w:color="auto"/>
                    <w:bottom w:val="none" w:sz="0" w:space="0" w:color="auto"/>
                    <w:right w:val="none" w:sz="0" w:space="0" w:color="auto"/>
                  </w:divBdr>
                </w:div>
                <w:div w:id="1120220934">
                  <w:marLeft w:val="720"/>
                  <w:marRight w:val="0"/>
                  <w:marTop w:val="0"/>
                  <w:marBottom w:val="0"/>
                  <w:divBdr>
                    <w:top w:val="none" w:sz="0" w:space="0" w:color="auto"/>
                    <w:left w:val="none" w:sz="0" w:space="0" w:color="auto"/>
                    <w:bottom w:val="none" w:sz="0" w:space="0" w:color="auto"/>
                    <w:right w:val="none" w:sz="0" w:space="0" w:color="auto"/>
                  </w:divBdr>
                </w:div>
                <w:div w:id="18011482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5301">
      <w:bodyDiv w:val="1"/>
      <w:marLeft w:val="0"/>
      <w:marRight w:val="0"/>
      <w:marTop w:val="0"/>
      <w:marBottom w:val="0"/>
      <w:divBdr>
        <w:top w:val="none" w:sz="0" w:space="0" w:color="auto"/>
        <w:left w:val="none" w:sz="0" w:space="0" w:color="auto"/>
        <w:bottom w:val="none" w:sz="0" w:space="0" w:color="auto"/>
        <w:right w:val="none" w:sz="0" w:space="0" w:color="auto"/>
      </w:divBdr>
    </w:div>
    <w:div w:id="318921903">
      <w:bodyDiv w:val="1"/>
      <w:marLeft w:val="0"/>
      <w:marRight w:val="0"/>
      <w:marTop w:val="0"/>
      <w:marBottom w:val="0"/>
      <w:divBdr>
        <w:top w:val="none" w:sz="0" w:space="0" w:color="auto"/>
        <w:left w:val="none" w:sz="0" w:space="0" w:color="auto"/>
        <w:bottom w:val="none" w:sz="0" w:space="0" w:color="auto"/>
        <w:right w:val="none" w:sz="0" w:space="0" w:color="auto"/>
      </w:divBdr>
      <w:divsChild>
        <w:div w:id="436100960">
          <w:marLeft w:val="0"/>
          <w:marRight w:val="0"/>
          <w:marTop w:val="0"/>
          <w:marBottom w:val="0"/>
          <w:divBdr>
            <w:top w:val="none" w:sz="0" w:space="0" w:color="auto"/>
            <w:left w:val="none" w:sz="0" w:space="0" w:color="auto"/>
            <w:bottom w:val="none" w:sz="0" w:space="0" w:color="auto"/>
            <w:right w:val="none" w:sz="0" w:space="0" w:color="auto"/>
          </w:divBdr>
          <w:divsChild>
            <w:div w:id="490483939">
              <w:marLeft w:val="0"/>
              <w:marRight w:val="0"/>
              <w:marTop w:val="0"/>
              <w:marBottom w:val="0"/>
              <w:divBdr>
                <w:top w:val="none" w:sz="0" w:space="0" w:color="auto"/>
                <w:left w:val="none" w:sz="0" w:space="0" w:color="auto"/>
                <w:bottom w:val="none" w:sz="0" w:space="0" w:color="auto"/>
                <w:right w:val="none" w:sz="0" w:space="0" w:color="auto"/>
              </w:divBdr>
              <w:divsChild>
                <w:div w:id="233517787">
                  <w:marLeft w:val="0"/>
                  <w:marRight w:val="0"/>
                  <w:marTop w:val="0"/>
                  <w:marBottom w:val="0"/>
                  <w:divBdr>
                    <w:top w:val="none" w:sz="0" w:space="0" w:color="auto"/>
                    <w:left w:val="none" w:sz="0" w:space="0" w:color="auto"/>
                    <w:bottom w:val="none" w:sz="0" w:space="0" w:color="auto"/>
                    <w:right w:val="none" w:sz="0" w:space="0" w:color="auto"/>
                  </w:divBdr>
                  <w:divsChild>
                    <w:div w:id="825364782">
                      <w:marLeft w:val="0"/>
                      <w:marRight w:val="300"/>
                      <w:marTop w:val="0"/>
                      <w:marBottom w:val="0"/>
                      <w:divBdr>
                        <w:top w:val="none" w:sz="0" w:space="0" w:color="auto"/>
                        <w:left w:val="none" w:sz="0" w:space="0" w:color="auto"/>
                        <w:bottom w:val="none" w:sz="0" w:space="0" w:color="auto"/>
                        <w:right w:val="none" w:sz="0" w:space="0" w:color="auto"/>
                      </w:divBdr>
                      <w:divsChild>
                        <w:div w:id="288316657">
                          <w:marLeft w:val="0"/>
                          <w:marRight w:val="300"/>
                          <w:marTop w:val="0"/>
                          <w:marBottom w:val="0"/>
                          <w:divBdr>
                            <w:top w:val="none" w:sz="0" w:space="0" w:color="auto"/>
                            <w:left w:val="none" w:sz="0" w:space="0" w:color="auto"/>
                            <w:bottom w:val="none" w:sz="0" w:space="0" w:color="auto"/>
                            <w:right w:val="none" w:sz="0" w:space="0" w:color="auto"/>
                          </w:divBdr>
                          <w:divsChild>
                            <w:div w:id="1405449181">
                              <w:marLeft w:val="0"/>
                              <w:marRight w:val="0"/>
                              <w:marTop w:val="0"/>
                              <w:marBottom w:val="0"/>
                              <w:divBdr>
                                <w:top w:val="none" w:sz="0" w:space="0" w:color="auto"/>
                                <w:left w:val="none" w:sz="0" w:space="0" w:color="auto"/>
                                <w:bottom w:val="none" w:sz="0" w:space="0" w:color="auto"/>
                                <w:right w:val="none" w:sz="0" w:space="0" w:color="auto"/>
                              </w:divBdr>
                              <w:divsChild>
                                <w:div w:id="1369183389">
                                  <w:marLeft w:val="0"/>
                                  <w:marRight w:val="0"/>
                                  <w:marTop w:val="0"/>
                                  <w:marBottom w:val="0"/>
                                  <w:divBdr>
                                    <w:top w:val="none" w:sz="0" w:space="0" w:color="auto"/>
                                    <w:left w:val="none" w:sz="0" w:space="0" w:color="auto"/>
                                    <w:bottom w:val="none" w:sz="0" w:space="0" w:color="auto"/>
                                    <w:right w:val="none" w:sz="0" w:space="0" w:color="auto"/>
                                  </w:divBdr>
                                  <w:divsChild>
                                    <w:div w:id="140348204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27587">
      <w:bodyDiv w:val="1"/>
      <w:marLeft w:val="0"/>
      <w:marRight w:val="0"/>
      <w:marTop w:val="0"/>
      <w:marBottom w:val="0"/>
      <w:divBdr>
        <w:top w:val="none" w:sz="0" w:space="0" w:color="auto"/>
        <w:left w:val="none" w:sz="0" w:space="0" w:color="auto"/>
        <w:bottom w:val="none" w:sz="0" w:space="0" w:color="auto"/>
        <w:right w:val="none" w:sz="0" w:space="0" w:color="auto"/>
      </w:divBdr>
      <w:divsChild>
        <w:div w:id="1906257273">
          <w:marLeft w:val="0"/>
          <w:marRight w:val="0"/>
          <w:marTop w:val="0"/>
          <w:marBottom w:val="0"/>
          <w:divBdr>
            <w:top w:val="none" w:sz="0" w:space="0" w:color="auto"/>
            <w:left w:val="none" w:sz="0" w:space="0" w:color="auto"/>
            <w:bottom w:val="none" w:sz="0" w:space="0" w:color="auto"/>
            <w:right w:val="none" w:sz="0" w:space="0" w:color="auto"/>
          </w:divBdr>
          <w:divsChild>
            <w:div w:id="1969504931">
              <w:marLeft w:val="0"/>
              <w:marRight w:val="0"/>
              <w:marTop w:val="0"/>
              <w:marBottom w:val="0"/>
              <w:divBdr>
                <w:top w:val="none" w:sz="0" w:space="0" w:color="auto"/>
                <w:left w:val="none" w:sz="0" w:space="0" w:color="auto"/>
                <w:bottom w:val="none" w:sz="0" w:space="0" w:color="auto"/>
                <w:right w:val="none" w:sz="0" w:space="0" w:color="auto"/>
              </w:divBdr>
              <w:divsChild>
                <w:div w:id="219560740">
                  <w:marLeft w:val="0"/>
                  <w:marRight w:val="0"/>
                  <w:marTop w:val="0"/>
                  <w:marBottom w:val="0"/>
                  <w:divBdr>
                    <w:top w:val="none" w:sz="0" w:space="0" w:color="auto"/>
                    <w:left w:val="none" w:sz="0" w:space="0" w:color="auto"/>
                    <w:bottom w:val="none" w:sz="0" w:space="0" w:color="auto"/>
                    <w:right w:val="none" w:sz="0" w:space="0" w:color="auto"/>
                  </w:divBdr>
                  <w:divsChild>
                    <w:div w:id="610208485">
                      <w:marLeft w:val="0"/>
                      <w:marRight w:val="300"/>
                      <w:marTop w:val="0"/>
                      <w:marBottom w:val="0"/>
                      <w:divBdr>
                        <w:top w:val="none" w:sz="0" w:space="0" w:color="auto"/>
                        <w:left w:val="none" w:sz="0" w:space="0" w:color="auto"/>
                        <w:bottom w:val="none" w:sz="0" w:space="0" w:color="auto"/>
                        <w:right w:val="none" w:sz="0" w:space="0" w:color="auto"/>
                      </w:divBdr>
                      <w:divsChild>
                        <w:div w:id="1550417129">
                          <w:marLeft w:val="0"/>
                          <w:marRight w:val="300"/>
                          <w:marTop w:val="0"/>
                          <w:marBottom w:val="0"/>
                          <w:divBdr>
                            <w:top w:val="none" w:sz="0" w:space="0" w:color="auto"/>
                            <w:left w:val="none" w:sz="0" w:space="0" w:color="auto"/>
                            <w:bottom w:val="none" w:sz="0" w:space="0" w:color="auto"/>
                            <w:right w:val="none" w:sz="0" w:space="0" w:color="auto"/>
                          </w:divBdr>
                          <w:divsChild>
                            <w:div w:id="1195849497">
                              <w:marLeft w:val="0"/>
                              <w:marRight w:val="0"/>
                              <w:marTop w:val="0"/>
                              <w:marBottom w:val="0"/>
                              <w:divBdr>
                                <w:top w:val="none" w:sz="0" w:space="0" w:color="auto"/>
                                <w:left w:val="none" w:sz="0" w:space="0" w:color="auto"/>
                                <w:bottom w:val="none" w:sz="0" w:space="0" w:color="auto"/>
                                <w:right w:val="none" w:sz="0" w:space="0" w:color="auto"/>
                              </w:divBdr>
                              <w:divsChild>
                                <w:div w:id="594752280">
                                  <w:marLeft w:val="0"/>
                                  <w:marRight w:val="0"/>
                                  <w:marTop w:val="0"/>
                                  <w:marBottom w:val="0"/>
                                  <w:divBdr>
                                    <w:top w:val="none" w:sz="0" w:space="0" w:color="auto"/>
                                    <w:left w:val="none" w:sz="0" w:space="0" w:color="auto"/>
                                    <w:bottom w:val="none" w:sz="0" w:space="0" w:color="auto"/>
                                    <w:right w:val="none" w:sz="0" w:space="0" w:color="auto"/>
                                  </w:divBdr>
                                  <w:divsChild>
                                    <w:div w:id="107512874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656406">
      <w:bodyDiv w:val="1"/>
      <w:marLeft w:val="0"/>
      <w:marRight w:val="0"/>
      <w:marTop w:val="0"/>
      <w:marBottom w:val="0"/>
      <w:divBdr>
        <w:top w:val="none" w:sz="0" w:space="0" w:color="auto"/>
        <w:left w:val="none" w:sz="0" w:space="0" w:color="auto"/>
        <w:bottom w:val="none" w:sz="0" w:space="0" w:color="auto"/>
        <w:right w:val="none" w:sz="0" w:space="0" w:color="auto"/>
      </w:divBdr>
      <w:divsChild>
        <w:div w:id="2004241397">
          <w:marLeft w:val="0"/>
          <w:marRight w:val="0"/>
          <w:marTop w:val="0"/>
          <w:marBottom w:val="0"/>
          <w:divBdr>
            <w:top w:val="none" w:sz="0" w:space="0" w:color="auto"/>
            <w:left w:val="none" w:sz="0" w:space="0" w:color="auto"/>
            <w:bottom w:val="none" w:sz="0" w:space="0" w:color="auto"/>
            <w:right w:val="none" w:sz="0" w:space="0" w:color="auto"/>
          </w:divBdr>
          <w:divsChild>
            <w:div w:id="1501432736">
              <w:marLeft w:val="0"/>
              <w:marRight w:val="0"/>
              <w:marTop w:val="0"/>
              <w:marBottom w:val="0"/>
              <w:divBdr>
                <w:top w:val="none" w:sz="0" w:space="0" w:color="auto"/>
                <w:left w:val="none" w:sz="0" w:space="0" w:color="auto"/>
                <w:bottom w:val="none" w:sz="0" w:space="0" w:color="auto"/>
                <w:right w:val="none" w:sz="0" w:space="0" w:color="auto"/>
              </w:divBdr>
              <w:divsChild>
                <w:div w:id="521893708">
                  <w:marLeft w:val="0"/>
                  <w:marRight w:val="0"/>
                  <w:marTop w:val="0"/>
                  <w:marBottom w:val="0"/>
                  <w:divBdr>
                    <w:top w:val="none" w:sz="0" w:space="0" w:color="auto"/>
                    <w:left w:val="none" w:sz="0" w:space="0" w:color="auto"/>
                    <w:bottom w:val="none" w:sz="0" w:space="0" w:color="auto"/>
                    <w:right w:val="none" w:sz="0" w:space="0" w:color="auto"/>
                  </w:divBdr>
                  <w:divsChild>
                    <w:div w:id="49425125">
                      <w:marLeft w:val="0"/>
                      <w:marRight w:val="300"/>
                      <w:marTop w:val="0"/>
                      <w:marBottom w:val="0"/>
                      <w:divBdr>
                        <w:top w:val="none" w:sz="0" w:space="0" w:color="auto"/>
                        <w:left w:val="none" w:sz="0" w:space="0" w:color="auto"/>
                        <w:bottom w:val="none" w:sz="0" w:space="0" w:color="auto"/>
                        <w:right w:val="none" w:sz="0" w:space="0" w:color="auto"/>
                      </w:divBdr>
                      <w:divsChild>
                        <w:div w:id="1377972911">
                          <w:marLeft w:val="0"/>
                          <w:marRight w:val="300"/>
                          <w:marTop w:val="0"/>
                          <w:marBottom w:val="0"/>
                          <w:divBdr>
                            <w:top w:val="none" w:sz="0" w:space="0" w:color="auto"/>
                            <w:left w:val="none" w:sz="0" w:space="0" w:color="auto"/>
                            <w:bottom w:val="none" w:sz="0" w:space="0" w:color="auto"/>
                            <w:right w:val="none" w:sz="0" w:space="0" w:color="auto"/>
                          </w:divBdr>
                          <w:divsChild>
                            <w:div w:id="16451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069720">
      <w:bodyDiv w:val="1"/>
      <w:marLeft w:val="26"/>
      <w:marRight w:val="26"/>
      <w:marTop w:val="26"/>
      <w:marBottom w:val="26"/>
      <w:divBdr>
        <w:top w:val="none" w:sz="0" w:space="0" w:color="auto"/>
        <w:left w:val="none" w:sz="0" w:space="0" w:color="auto"/>
        <w:bottom w:val="none" w:sz="0" w:space="0" w:color="auto"/>
        <w:right w:val="none" w:sz="0" w:space="0" w:color="auto"/>
      </w:divBdr>
      <w:divsChild>
        <w:div w:id="94986444">
          <w:marLeft w:val="0"/>
          <w:marRight w:val="0"/>
          <w:marTop w:val="0"/>
          <w:marBottom w:val="0"/>
          <w:divBdr>
            <w:top w:val="none" w:sz="0" w:space="0" w:color="auto"/>
            <w:left w:val="none" w:sz="0" w:space="0" w:color="auto"/>
            <w:bottom w:val="none" w:sz="0" w:space="0" w:color="auto"/>
            <w:right w:val="none" w:sz="0" w:space="0" w:color="auto"/>
          </w:divBdr>
          <w:divsChild>
            <w:div w:id="1596086045">
              <w:marLeft w:val="40"/>
              <w:marRight w:val="40"/>
              <w:marTop w:val="40"/>
              <w:marBottom w:val="40"/>
              <w:divBdr>
                <w:top w:val="none" w:sz="0" w:space="0" w:color="auto"/>
                <w:left w:val="none" w:sz="0" w:space="0" w:color="auto"/>
                <w:bottom w:val="none" w:sz="0" w:space="0" w:color="auto"/>
                <w:right w:val="none" w:sz="0" w:space="0" w:color="auto"/>
              </w:divBdr>
              <w:divsChild>
                <w:div w:id="1127547463">
                  <w:marLeft w:val="0"/>
                  <w:marRight w:val="0"/>
                  <w:marTop w:val="0"/>
                  <w:marBottom w:val="0"/>
                  <w:divBdr>
                    <w:top w:val="none" w:sz="0" w:space="0" w:color="auto"/>
                    <w:left w:val="none" w:sz="0" w:space="0" w:color="auto"/>
                    <w:bottom w:val="none" w:sz="0" w:space="0" w:color="auto"/>
                    <w:right w:val="none" w:sz="0" w:space="0" w:color="auto"/>
                  </w:divBdr>
                  <w:divsChild>
                    <w:div w:id="120415992">
                      <w:marLeft w:val="0"/>
                      <w:marRight w:val="0"/>
                      <w:marTop w:val="0"/>
                      <w:marBottom w:val="0"/>
                      <w:divBdr>
                        <w:top w:val="none" w:sz="0" w:space="0" w:color="auto"/>
                        <w:left w:val="none" w:sz="0" w:space="0" w:color="auto"/>
                        <w:bottom w:val="none" w:sz="0" w:space="0" w:color="auto"/>
                        <w:right w:val="none" w:sz="0" w:space="0" w:color="auto"/>
                      </w:divBdr>
                    </w:div>
                    <w:div w:id="529999334">
                      <w:marLeft w:val="0"/>
                      <w:marRight w:val="0"/>
                      <w:marTop w:val="0"/>
                      <w:marBottom w:val="0"/>
                      <w:divBdr>
                        <w:top w:val="none" w:sz="0" w:space="0" w:color="auto"/>
                        <w:left w:val="none" w:sz="0" w:space="0" w:color="auto"/>
                        <w:bottom w:val="none" w:sz="0" w:space="0" w:color="auto"/>
                        <w:right w:val="none" w:sz="0" w:space="0" w:color="auto"/>
                      </w:divBdr>
                    </w:div>
                    <w:div w:id="1389915025">
                      <w:marLeft w:val="0"/>
                      <w:marRight w:val="0"/>
                      <w:marTop w:val="0"/>
                      <w:marBottom w:val="0"/>
                      <w:divBdr>
                        <w:top w:val="none" w:sz="0" w:space="0" w:color="auto"/>
                        <w:left w:val="none" w:sz="0" w:space="0" w:color="auto"/>
                        <w:bottom w:val="none" w:sz="0" w:space="0" w:color="auto"/>
                        <w:right w:val="none" w:sz="0" w:space="0" w:color="auto"/>
                      </w:divBdr>
                    </w:div>
                    <w:div w:id="1435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281">
      <w:bodyDiv w:val="1"/>
      <w:marLeft w:val="0"/>
      <w:marRight w:val="0"/>
      <w:marTop w:val="0"/>
      <w:marBottom w:val="0"/>
      <w:divBdr>
        <w:top w:val="none" w:sz="0" w:space="0" w:color="auto"/>
        <w:left w:val="none" w:sz="0" w:space="0" w:color="auto"/>
        <w:bottom w:val="none" w:sz="0" w:space="0" w:color="auto"/>
        <w:right w:val="none" w:sz="0" w:space="0" w:color="auto"/>
      </w:divBdr>
    </w:div>
    <w:div w:id="815418790">
      <w:bodyDiv w:val="1"/>
      <w:marLeft w:val="0"/>
      <w:marRight w:val="0"/>
      <w:marTop w:val="0"/>
      <w:marBottom w:val="0"/>
      <w:divBdr>
        <w:top w:val="none" w:sz="0" w:space="0" w:color="auto"/>
        <w:left w:val="none" w:sz="0" w:space="0" w:color="auto"/>
        <w:bottom w:val="none" w:sz="0" w:space="0" w:color="auto"/>
        <w:right w:val="none" w:sz="0" w:space="0" w:color="auto"/>
      </w:divBdr>
      <w:divsChild>
        <w:div w:id="4738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4286">
      <w:bodyDiv w:val="1"/>
      <w:marLeft w:val="0"/>
      <w:marRight w:val="0"/>
      <w:marTop w:val="0"/>
      <w:marBottom w:val="0"/>
      <w:divBdr>
        <w:top w:val="none" w:sz="0" w:space="0" w:color="auto"/>
        <w:left w:val="none" w:sz="0" w:space="0" w:color="auto"/>
        <w:bottom w:val="none" w:sz="0" w:space="0" w:color="auto"/>
        <w:right w:val="none" w:sz="0" w:space="0" w:color="auto"/>
      </w:divBdr>
    </w:div>
    <w:div w:id="956913428">
      <w:bodyDiv w:val="1"/>
      <w:marLeft w:val="0"/>
      <w:marRight w:val="0"/>
      <w:marTop w:val="0"/>
      <w:marBottom w:val="0"/>
      <w:divBdr>
        <w:top w:val="none" w:sz="0" w:space="0" w:color="auto"/>
        <w:left w:val="none" w:sz="0" w:space="0" w:color="auto"/>
        <w:bottom w:val="none" w:sz="0" w:space="0" w:color="auto"/>
        <w:right w:val="none" w:sz="0" w:space="0" w:color="auto"/>
      </w:divBdr>
    </w:div>
    <w:div w:id="969242609">
      <w:bodyDiv w:val="1"/>
      <w:marLeft w:val="0"/>
      <w:marRight w:val="0"/>
      <w:marTop w:val="0"/>
      <w:marBottom w:val="0"/>
      <w:divBdr>
        <w:top w:val="none" w:sz="0" w:space="0" w:color="auto"/>
        <w:left w:val="none" w:sz="0" w:space="0" w:color="auto"/>
        <w:bottom w:val="none" w:sz="0" w:space="0" w:color="auto"/>
        <w:right w:val="none" w:sz="0" w:space="0" w:color="auto"/>
      </w:divBdr>
      <w:divsChild>
        <w:div w:id="1940022093">
          <w:marLeft w:val="0"/>
          <w:marRight w:val="0"/>
          <w:marTop w:val="0"/>
          <w:marBottom w:val="0"/>
          <w:divBdr>
            <w:top w:val="none" w:sz="0" w:space="0" w:color="auto"/>
            <w:left w:val="none" w:sz="0" w:space="0" w:color="auto"/>
            <w:bottom w:val="none" w:sz="0" w:space="0" w:color="auto"/>
            <w:right w:val="none" w:sz="0" w:space="0" w:color="auto"/>
          </w:divBdr>
          <w:divsChild>
            <w:div w:id="341052550">
              <w:marLeft w:val="0"/>
              <w:marRight w:val="0"/>
              <w:marTop w:val="0"/>
              <w:marBottom w:val="0"/>
              <w:divBdr>
                <w:top w:val="none" w:sz="0" w:space="0" w:color="auto"/>
                <w:left w:val="none" w:sz="0" w:space="0" w:color="auto"/>
                <w:bottom w:val="none" w:sz="0" w:space="0" w:color="auto"/>
                <w:right w:val="none" w:sz="0" w:space="0" w:color="auto"/>
              </w:divBdr>
              <w:divsChild>
                <w:div w:id="1052844961">
                  <w:marLeft w:val="0"/>
                  <w:marRight w:val="0"/>
                  <w:marTop w:val="0"/>
                  <w:marBottom w:val="0"/>
                  <w:divBdr>
                    <w:top w:val="none" w:sz="0" w:space="0" w:color="auto"/>
                    <w:left w:val="none" w:sz="0" w:space="0" w:color="auto"/>
                    <w:bottom w:val="none" w:sz="0" w:space="0" w:color="auto"/>
                    <w:right w:val="none" w:sz="0" w:space="0" w:color="auto"/>
                  </w:divBdr>
                  <w:divsChild>
                    <w:div w:id="736132837">
                      <w:marLeft w:val="0"/>
                      <w:marRight w:val="0"/>
                      <w:marTop w:val="0"/>
                      <w:marBottom w:val="0"/>
                      <w:divBdr>
                        <w:top w:val="none" w:sz="0" w:space="0" w:color="auto"/>
                        <w:left w:val="none" w:sz="0" w:space="0" w:color="auto"/>
                        <w:bottom w:val="none" w:sz="0" w:space="0" w:color="auto"/>
                        <w:right w:val="none" w:sz="0" w:space="0" w:color="auto"/>
                      </w:divBdr>
                      <w:divsChild>
                        <w:div w:id="8122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047">
                  <w:marLeft w:val="0"/>
                  <w:marRight w:val="0"/>
                  <w:marTop w:val="0"/>
                  <w:marBottom w:val="0"/>
                  <w:divBdr>
                    <w:top w:val="none" w:sz="0" w:space="0" w:color="auto"/>
                    <w:left w:val="none" w:sz="0" w:space="0" w:color="auto"/>
                    <w:bottom w:val="none" w:sz="0" w:space="0" w:color="auto"/>
                    <w:right w:val="none" w:sz="0" w:space="0" w:color="auto"/>
                  </w:divBdr>
                  <w:divsChild>
                    <w:div w:id="1184318457">
                      <w:marLeft w:val="0"/>
                      <w:marRight w:val="0"/>
                      <w:marTop w:val="0"/>
                      <w:marBottom w:val="0"/>
                      <w:divBdr>
                        <w:top w:val="none" w:sz="0" w:space="0" w:color="auto"/>
                        <w:left w:val="none" w:sz="0" w:space="0" w:color="auto"/>
                        <w:bottom w:val="none" w:sz="0" w:space="0" w:color="auto"/>
                        <w:right w:val="none" w:sz="0" w:space="0" w:color="auto"/>
                      </w:divBdr>
                      <w:divsChild>
                        <w:div w:id="1995061437">
                          <w:marLeft w:val="0"/>
                          <w:marRight w:val="0"/>
                          <w:marTop w:val="0"/>
                          <w:marBottom w:val="0"/>
                          <w:divBdr>
                            <w:top w:val="none" w:sz="0" w:space="0" w:color="auto"/>
                            <w:left w:val="none" w:sz="0" w:space="0" w:color="auto"/>
                            <w:bottom w:val="none" w:sz="0" w:space="0" w:color="auto"/>
                            <w:right w:val="none" w:sz="0" w:space="0" w:color="auto"/>
                          </w:divBdr>
                        </w:div>
                      </w:divsChild>
                    </w:div>
                    <w:div w:id="2096201713">
                      <w:marLeft w:val="0"/>
                      <w:marRight w:val="0"/>
                      <w:marTop w:val="0"/>
                      <w:marBottom w:val="0"/>
                      <w:divBdr>
                        <w:top w:val="none" w:sz="0" w:space="0" w:color="auto"/>
                        <w:left w:val="none" w:sz="0" w:space="0" w:color="auto"/>
                        <w:bottom w:val="none" w:sz="0" w:space="0" w:color="auto"/>
                        <w:right w:val="none" w:sz="0" w:space="0" w:color="auto"/>
                      </w:divBdr>
                      <w:divsChild>
                        <w:div w:id="1663193440">
                          <w:marLeft w:val="0"/>
                          <w:marRight w:val="0"/>
                          <w:marTop w:val="0"/>
                          <w:marBottom w:val="0"/>
                          <w:divBdr>
                            <w:top w:val="none" w:sz="0" w:space="0" w:color="auto"/>
                            <w:left w:val="none" w:sz="0" w:space="0" w:color="auto"/>
                            <w:bottom w:val="none" w:sz="0" w:space="0" w:color="auto"/>
                            <w:right w:val="none" w:sz="0" w:space="0" w:color="auto"/>
                          </w:divBdr>
                          <w:divsChild>
                            <w:div w:id="857963097">
                              <w:marLeft w:val="0"/>
                              <w:marRight w:val="0"/>
                              <w:marTop w:val="0"/>
                              <w:marBottom w:val="0"/>
                              <w:divBdr>
                                <w:top w:val="none" w:sz="0" w:space="0" w:color="auto"/>
                                <w:left w:val="none" w:sz="0" w:space="0" w:color="auto"/>
                                <w:bottom w:val="none" w:sz="0" w:space="0" w:color="auto"/>
                                <w:right w:val="none" w:sz="0" w:space="0" w:color="auto"/>
                              </w:divBdr>
                              <w:divsChild>
                                <w:div w:id="13353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0936">
                      <w:marLeft w:val="0"/>
                      <w:marRight w:val="0"/>
                      <w:marTop w:val="0"/>
                      <w:marBottom w:val="0"/>
                      <w:divBdr>
                        <w:top w:val="none" w:sz="0" w:space="0" w:color="auto"/>
                        <w:left w:val="none" w:sz="0" w:space="0" w:color="auto"/>
                        <w:bottom w:val="none" w:sz="0" w:space="0" w:color="auto"/>
                        <w:right w:val="none" w:sz="0" w:space="0" w:color="auto"/>
                      </w:divBdr>
                      <w:divsChild>
                        <w:div w:id="206770202">
                          <w:marLeft w:val="0"/>
                          <w:marRight w:val="0"/>
                          <w:marTop w:val="0"/>
                          <w:marBottom w:val="0"/>
                          <w:divBdr>
                            <w:top w:val="none" w:sz="0" w:space="0" w:color="auto"/>
                            <w:left w:val="none" w:sz="0" w:space="0" w:color="auto"/>
                            <w:bottom w:val="none" w:sz="0" w:space="0" w:color="auto"/>
                            <w:right w:val="none" w:sz="0" w:space="0" w:color="auto"/>
                          </w:divBdr>
                          <w:divsChild>
                            <w:div w:id="64770090">
                              <w:marLeft w:val="0"/>
                              <w:marRight w:val="0"/>
                              <w:marTop w:val="0"/>
                              <w:marBottom w:val="0"/>
                              <w:divBdr>
                                <w:top w:val="none" w:sz="0" w:space="0" w:color="auto"/>
                                <w:left w:val="none" w:sz="0" w:space="0" w:color="auto"/>
                                <w:bottom w:val="none" w:sz="0" w:space="0" w:color="auto"/>
                                <w:right w:val="none" w:sz="0" w:space="0" w:color="auto"/>
                              </w:divBdr>
                              <w:divsChild>
                                <w:div w:id="1715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5716">
                      <w:marLeft w:val="0"/>
                      <w:marRight w:val="0"/>
                      <w:marTop w:val="0"/>
                      <w:marBottom w:val="0"/>
                      <w:divBdr>
                        <w:top w:val="none" w:sz="0" w:space="0" w:color="auto"/>
                        <w:left w:val="none" w:sz="0" w:space="0" w:color="auto"/>
                        <w:bottom w:val="none" w:sz="0" w:space="0" w:color="auto"/>
                        <w:right w:val="none" w:sz="0" w:space="0" w:color="auto"/>
                      </w:divBdr>
                      <w:divsChild>
                        <w:div w:id="1525510396">
                          <w:marLeft w:val="0"/>
                          <w:marRight w:val="0"/>
                          <w:marTop w:val="0"/>
                          <w:marBottom w:val="0"/>
                          <w:divBdr>
                            <w:top w:val="none" w:sz="0" w:space="0" w:color="auto"/>
                            <w:left w:val="none" w:sz="0" w:space="0" w:color="auto"/>
                            <w:bottom w:val="none" w:sz="0" w:space="0" w:color="auto"/>
                            <w:right w:val="none" w:sz="0" w:space="0" w:color="auto"/>
                          </w:divBdr>
                          <w:divsChild>
                            <w:div w:id="266547439">
                              <w:marLeft w:val="0"/>
                              <w:marRight w:val="0"/>
                              <w:marTop w:val="0"/>
                              <w:marBottom w:val="0"/>
                              <w:divBdr>
                                <w:top w:val="none" w:sz="0" w:space="0" w:color="auto"/>
                                <w:left w:val="none" w:sz="0" w:space="0" w:color="auto"/>
                                <w:bottom w:val="none" w:sz="0" w:space="0" w:color="auto"/>
                                <w:right w:val="none" w:sz="0" w:space="0" w:color="auto"/>
                              </w:divBdr>
                              <w:divsChild>
                                <w:div w:id="403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4824">
                      <w:marLeft w:val="0"/>
                      <w:marRight w:val="0"/>
                      <w:marTop w:val="0"/>
                      <w:marBottom w:val="0"/>
                      <w:divBdr>
                        <w:top w:val="none" w:sz="0" w:space="0" w:color="auto"/>
                        <w:left w:val="none" w:sz="0" w:space="0" w:color="auto"/>
                        <w:bottom w:val="none" w:sz="0" w:space="0" w:color="auto"/>
                        <w:right w:val="none" w:sz="0" w:space="0" w:color="auto"/>
                      </w:divBdr>
                      <w:divsChild>
                        <w:div w:id="1672679327">
                          <w:marLeft w:val="0"/>
                          <w:marRight w:val="0"/>
                          <w:marTop w:val="0"/>
                          <w:marBottom w:val="0"/>
                          <w:divBdr>
                            <w:top w:val="none" w:sz="0" w:space="0" w:color="auto"/>
                            <w:left w:val="none" w:sz="0" w:space="0" w:color="auto"/>
                            <w:bottom w:val="none" w:sz="0" w:space="0" w:color="auto"/>
                            <w:right w:val="none" w:sz="0" w:space="0" w:color="auto"/>
                          </w:divBdr>
                          <w:divsChild>
                            <w:div w:id="1647470251">
                              <w:marLeft w:val="0"/>
                              <w:marRight w:val="0"/>
                              <w:marTop w:val="0"/>
                              <w:marBottom w:val="0"/>
                              <w:divBdr>
                                <w:top w:val="none" w:sz="0" w:space="0" w:color="auto"/>
                                <w:left w:val="none" w:sz="0" w:space="0" w:color="auto"/>
                                <w:bottom w:val="none" w:sz="0" w:space="0" w:color="auto"/>
                                <w:right w:val="none" w:sz="0" w:space="0" w:color="auto"/>
                              </w:divBdr>
                              <w:divsChild>
                                <w:div w:id="17464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08963">
                      <w:marLeft w:val="0"/>
                      <w:marRight w:val="0"/>
                      <w:marTop w:val="0"/>
                      <w:marBottom w:val="0"/>
                      <w:divBdr>
                        <w:top w:val="none" w:sz="0" w:space="0" w:color="auto"/>
                        <w:left w:val="none" w:sz="0" w:space="0" w:color="auto"/>
                        <w:bottom w:val="none" w:sz="0" w:space="0" w:color="auto"/>
                        <w:right w:val="none" w:sz="0" w:space="0" w:color="auto"/>
                      </w:divBdr>
                      <w:divsChild>
                        <w:div w:id="1580169482">
                          <w:marLeft w:val="0"/>
                          <w:marRight w:val="0"/>
                          <w:marTop w:val="0"/>
                          <w:marBottom w:val="0"/>
                          <w:divBdr>
                            <w:top w:val="none" w:sz="0" w:space="0" w:color="auto"/>
                            <w:left w:val="none" w:sz="0" w:space="0" w:color="auto"/>
                            <w:bottom w:val="none" w:sz="0" w:space="0" w:color="auto"/>
                            <w:right w:val="none" w:sz="0" w:space="0" w:color="auto"/>
                          </w:divBdr>
                          <w:divsChild>
                            <w:div w:id="746654336">
                              <w:marLeft w:val="0"/>
                              <w:marRight w:val="0"/>
                              <w:marTop w:val="0"/>
                              <w:marBottom w:val="0"/>
                              <w:divBdr>
                                <w:top w:val="none" w:sz="0" w:space="0" w:color="auto"/>
                                <w:left w:val="none" w:sz="0" w:space="0" w:color="auto"/>
                                <w:bottom w:val="none" w:sz="0" w:space="0" w:color="auto"/>
                                <w:right w:val="none" w:sz="0" w:space="0" w:color="auto"/>
                              </w:divBdr>
                              <w:divsChild>
                                <w:div w:id="1142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147">
                      <w:marLeft w:val="0"/>
                      <w:marRight w:val="0"/>
                      <w:marTop w:val="0"/>
                      <w:marBottom w:val="0"/>
                      <w:divBdr>
                        <w:top w:val="none" w:sz="0" w:space="0" w:color="auto"/>
                        <w:left w:val="none" w:sz="0" w:space="0" w:color="auto"/>
                        <w:bottom w:val="none" w:sz="0" w:space="0" w:color="auto"/>
                        <w:right w:val="none" w:sz="0" w:space="0" w:color="auto"/>
                      </w:divBdr>
                      <w:divsChild>
                        <w:div w:id="1335835179">
                          <w:marLeft w:val="0"/>
                          <w:marRight w:val="0"/>
                          <w:marTop w:val="0"/>
                          <w:marBottom w:val="0"/>
                          <w:divBdr>
                            <w:top w:val="none" w:sz="0" w:space="0" w:color="auto"/>
                            <w:left w:val="none" w:sz="0" w:space="0" w:color="auto"/>
                            <w:bottom w:val="none" w:sz="0" w:space="0" w:color="auto"/>
                            <w:right w:val="none" w:sz="0" w:space="0" w:color="auto"/>
                          </w:divBdr>
                          <w:divsChild>
                            <w:div w:id="1102798550">
                              <w:marLeft w:val="0"/>
                              <w:marRight w:val="0"/>
                              <w:marTop w:val="0"/>
                              <w:marBottom w:val="0"/>
                              <w:divBdr>
                                <w:top w:val="none" w:sz="0" w:space="0" w:color="auto"/>
                                <w:left w:val="none" w:sz="0" w:space="0" w:color="auto"/>
                                <w:bottom w:val="none" w:sz="0" w:space="0" w:color="auto"/>
                                <w:right w:val="none" w:sz="0" w:space="0" w:color="auto"/>
                              </w:divBdr>
                              <w:divsChild>
                                <w:div w:id="3985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5405">
                  <w:marLeft w:val="0"/>
                  <w:marRight w:val="0"/>
                  <w:marTop w:val="0"/>
                  <w:marBottom w:val="0"/>
                  <w:divBdr>
                    <w:top w:val="none" w:sz="0" w:space="0" w:color="auto"/>
                    <w:left w:val="none" w:sz="0" w:space="0" w:color="auto"/>
                    <w:bottom w:val="none" w:sz="0" w:space="0" w:color="auto"/>
                    <w:right w:val="none" w:sz="0" w:space="0" w:color="auto"/>
                  </w:divBdr>
                  <w:divsChild>
                    <w:div w:id="406147503">
                      <w:marLeft w:val="0"/>
                      <w:marRight w:val="0"/>
                      <w:marTop w:val="0"/>
                      <w:marBottom w:val="0"/>
                      <w:divBdr>
                        <w:top w:val="none" w:sz="0" w:space="0" w:color="auto"/>
                        <w:left w:val="none" w:sz="0" w:space="0" w:color="auto"/>
                        <w:bottom w:val="none" w:sz="0" w:space="0" w:color="auto"/>
                        <w:right w:val="none" w:sz="0" w:space="0" w:color="auto"/>
                      </w:divBdr>
                      <w:divsChild>
                        <w:div w:id="14522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7489">
                  <w:marLeft w:val="0"/>
                  <w:marRight w:val="0"/>
                  <w:marTop w:val="0"/>
                  <w:marBottom w:val="0"/>
                  <w:divBdr>
                    <w:top w:val="none" w:sz="0" w:space="0" w:color="auto"/>
                    <w:left w:val="none" w:sz="0" w:space="0" w:color="auto"/>
                    <w:bottom w:val="none" w:sz="0" w:space="0" w:color="auto"/>
                    <w:right w:val="none" w:sz="0" w:space="0" w:color="auto"/>
                  </w:divBdr>
                  <w:divsChild>
                    <w:div w:id="1668943489">
                      <w:marLeft w:val="0"/>
                      <w:marRight w:val="0"/>
                      <w:marTop w:val="0"/>
                      <w:marBottom w:val="0"/>
                      <w:divBdr>
                        <w:top w:val="none" w:sz="0" w:space="0" w:color="auto"/>
                        <w:left w:val="none" w:sz="0" w:space="0" w:color="auto"/>
                        <w:bottom w:val="none" w:sz="0" w:space="0" w:color="auto"/>
                        <w:right w:val="none" w:sz="0" w:space="0" w:color="auto"/>
                      </w:divBdr>
                      <w:divsChild>
                        <w:div w:id="1307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5937">
      <w:bodyDiv w:val="1"/>
      <w:marLeft w:val="0"/>
      <w:marRight w:val="0"/>
      <w:marTop w:val="0"/>
      <w:marBottom w:val="0"/>
      <w:divBdr>
        <w:top w:val="none" w:sz="0" w:space="0" w:color="auto"/>
        <w:left w:val="none" w:sz="0" w:space="0" w:color="auto"/>
        <w:bottom w:val="none" w:sz="0" w:space="0" w:color="auto"/>
        <w:right w:val="none" w:sz="0" w:space="0" w:color="auto"/>
      </w:divBdr>
    </w:div>
    <w:div w:id="1184630168">
      <w:bodyDiv w:val="1"/>
      <w:marLeft w:val="0"/>
      <w:marRight w:val="0"/>
      <w:marTop w:val="0"/>
      <w:marBottom w:val="0"/>
      <w:divBdr>
        <w:top w:val="none" w:sz="0" w:space="0" w:color="auto"/>
        <w:left w:val="none" w:sz="0" w:space="0" w:color="auto"/>
        <w:bottom w:val="none" w:sz="0" w:space="0" w:color="auto"/>
        <w:right w:val="none" w:sz="0" w:space="0" w:color="auto"/>
      </w:divBdr>
      <w:divsChild>
        <w:div w:id="1394965558">
          <w:marLeft w:val="0"/>
          <w:marRight w:val="0"/>
          <w:marTop w:val="0"/>
          <w:marBottom w:val="0"/>
          <w:divBdr>
            <w:top w:val="none" w:sz="0" w:space="0" w:color="auto"/>
            <w:left w:val="none" w:sz="0" w:space="0" w:color="auto"/>
            <w:bottom w:val="none" w:sz="0" w:space="0" w:color="auto"/>
            <w:right w:val="none" w:sz="0" w:space="0" w:color="auto"/>
          </w:divBdr>
          <w:divsChild>
            <w:div w:id="2054503590">
              <w:marLeft w:val="0"/>
              <w:marRight w:val="0"/>
              <w:marTop w:val="0"/>
              <w:marBottom w:val="0"/>
              <w:divBdr>
                <w:top w:val="none" w:sz="0" w:space="0" w:color="auto"/>
                <w:left w:val="none" w:sz="0" w:space="0" w:color="auto"/>
                <w:bottom w:val="none" w:sz="0" w:space="0" w:color="auto"/>
                <w:right w:val="none" w:sz="0" w:space="0" w:color="auto"/>
              </w:divBdr>
              <w:divsChild>
                <w:div w:id="117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179">
      <w:bodyDiv w:val="1"/>
      <w:marLeft w:val="0"/>
      <w:marRight w:val="0"/>
      <w:marTop w:val="0"/>
      <w:marBottom w:val="0"/>
      <w:divBdr>
        <w:top w:val="none" w:sz="0" w:space="0" w:color="auto"/>
        <w:left w:val="none" w:sz="0" w:space="0" w:color="auto"/>
        <w:bottom w:val="none" w:sz="0" w:space="0" w:color="auto"/>
        <w:right w:val="none" w:sz="0" w:space="0" w:color="auto"/>
      </w:divBdr>
      <w:divsChild>
        <w:div w:id="1085882504">
          <w:marLeft w:val="0"/>
          <w:marRight w:val="0"/>
          <w:marTop w:val="0"/>
          <w:marBottom w:val="0"/>
          <w:divBdr>
            <w:top w:val="none" w:sz="0" w:space="0" w:color="auto"/>
            <w:left w:val="none" w:sz="0" w:space="0" w:color="auto"/>
            <w:bottom w:val="none" w:sz="0" w:space="0" w:color="auto"/>
            <w:right w:val="none" w:sz="0" w:space="0" w:color="auto"/>
          </w:divBdr>
          <w:divsChild>
            <w:div w:id="113721874">
              <w:marLeft w:val="0"/>
              <w:marRight w:val="0"/>
              <w:marTop w:val="0"/>
              <w:marBottom w:val="0"/>
              <w:divBdr>
                <w:top w:val="none" w:sz="0" w:space="0" w:color="auto"/>
                <w:left w:val="none" w:sz="0" w:space="0" w:color="auto"/>
                <w:bottom w:val="none" w:sz="0" w:space="0" w:color="auto"/>
                <w:right w:val="none" w:sz="0" w:space="0" w:color="auto"/>
              </w:divBdr>
              <w:divsChild>
                <w:div w:id="1518034447">
                  <w:marLeft w:val="0"/>
                  <w:marRight w:val="0"/>
                  <w:marTop w:val="0"/>
                  <w:marBottom w:val="0"/>
                  <w:divBdr>
                    <w:top w:val="none" w:sz="0" w:space="0" w:color="auto"/>
                    <w:left w:val="none" w:sz="0" w:space="0" w:color="auto"/>
                    <w:bottom w:val="none" w:sz="0" w:space="0" w:color="auto"/>
                    <w:right w:val="none" w:sz="0" w:space="0" w:color="auto"/>
                  </w:divBdr>
                  <w:divsChild>
                    <w:div w:id="1638560238">
                      <w:marLeft w:val="0"/>
                      <w:marRight w:val="300"/>
                      <w:marTop w:val="0"/>
                      <w:marBottom w:val="0"/>
                      <w:divBdr>
                        <w:top w:val="none" w:sz="0" w:space="0" w:color="auto"/>
                        <w:left w:val="none" w:sz="0" w:space="0" w:color="auto"/>
                        <w:bottom w:val="none" w:sz="0" w:space="0" w:color="auto"/>
                        <w:right w:val="none" w:sz="0" w:space="0" w:color="auto"/>
                      </w:divBdr>
                      <w:divsChild>
                        <w:div w:id="1044135069">
                          <w:marLeft w:val="0"/>
                          <w:marRight w:val="300"/>
                          <w:marTop w:val="0"/>
                          <w:marBottom w:val="0"/>
                          <w:divBdr>
                            <w:top w:val="none" w:sz="0" w:space="0" w:color="auto"/>
                            <w:left w:val="none" w:sz="0" w:space="0" w:color="auto"/>
                            <w:bottom w:val="none" w:sz="0" w:space="0" w:color="auto"/>
                            <w:right w:val="none" w:sz="0" w:space="0" w:color="auto"/>
                          </w:divBdr>
                          <w:divsChild>
                            <w:div w:id="14120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61116">
      <w:bodyDiv w:val="1"/>
      <w:marLeft w:val="0"/>
      <w:marRight w:val="0"/>
      <w:marTop w:val="0"/>
      <w:marBottom w:val="0"/>
      <w:divBdr>
        <w:top w:val="none" w:sz="0" w:space="0" w:color="auto"/>
        <w:left w:val="none" w:sz="0" w:space="0" w:color="auto"/>
        <w:bottom w:val="none" w:sz="0" w:space="0" w:color="auto"/>
        <w:right w:val="none" w:sz="0" w:space="0" w:color="auto"/>
      </w:divBdr>
      <w:divsChild>
        <w:div w:id="674963076">
          <w:marLeft w:val="0"/>
          <w:marRight w:val="0"/>
          <w:marTop w:val="0"/>
          <w:marBottom w:val="0"/>
          <w:divBdr>
            <w:top w:val="none" w:sz="0" w:space="0" w:color="auto"/>
            <w:left w:val="none" w:sz="0" w:space="0" w:color="auto"/>
            <w:bottom w:val="none" w:sz="0" w:space="0" w:color="auto"/>
            <w:right w:val="none" w:sz="0" w:space="0" w:color="auto"/>
          </w:divBdr>
          <w:divsChild>
            <w:div w:id="1850875724">
              <w:marLeft w:val="0"/>
              <w:marRight w:val="0"/>
              <w:marTop w:val="0"/>
              <w:marBottom w:val="0"/>
              <w:divBdr>
                <w:top w:val="none" w:sz="0" w:space="0" w:color="auto"/>
                <w:left w:val="none" w:sz="0" w:space="0" w:color="auto"/>
                <w:bottom w:val="none" w:sz="0" w:space="0" w:color="auto"/>
                <w:right w:val="none" w:sz="0" w:space="0" w:color="auto"/>
              </w:divBdr>
              <w:divsChild>
                <w:div w:id="551965625">
                  <w:marLeft w:val="0"/>
                  <w:marRight w:val="0"/>
                  <w:marTop w:val="0"/>
                  <w:marBottom w:val="0"/>
                  <w:divBdr>
                    <w:top w:val="none" w:sz="0" w:space="0" w:color="auto"/>
                    <w:left w:val="none" w:sz="0" w:space="0" w:color="auto"/>
                    <w:bottom w:val="none" w:sz="0" w:space="0" w:color="auto"/>
                    <w:right w:val="none" w:sz="0" w:space="0" w:color="auto"/>
                  </w:divBdr>
                  <w:divsChild>
                    <w:div w:id="2079553979">
                      <w:marLeft w:val="0"/>
                      <w:marRight w:val="0"/>
                      <w:marTop w:val="0"/>
                      <w:marBottom w:val="0"/>
                      <w:divBdr>
                        <w:top w:val="none" w:sz="0" w:space="0" w:color="auto"/>
                        <w:left w:val="none" w:sz="0" w:space="0" w:color="auto"/>
                        <w:bottom w:val="none" w:sz="0" w:space="0" w:color="auto"/>
                        <w:right w:val="none" w:sz="0" w:space="0" w:color="auto"/>
                      </w:divBdr>
                      <w:divsChild>
                        <w:div w:id="1751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864">
                  <w:marLeft w:val="0"/>
                  <w:marRight w:val="0"/>
                  <w:marTop w:val="0"/>
                  <w:marBottom w:val="0"/>
                  <w:divBdr>
                    <w:top w:val="none" w:sz="0" w:space="0" w:color="auto"/>
                    <w:left w:val="none" w:sz="0" w:space="0" w:color="auto"/>
                    <w:bottom w:val="none" w:sz="0" w:space="0" w:color="auto"/>
                    <w:right w:val="none" w:sz="0" w:space="0" w:color="auto"/>
                  </w:divBdr>
                  <w:divsChild>
                    <w:div w:id="1598825830">
                      <w:marLeft w:val="0"/>
                      <w:marRight w:val="0"/>
                      <w:marTop w:val="0"/>
                      <w:marBottom w:val="0"/>
                      <w:divBdr>
                        <w:top w:val="none" w:sz="0" w:space="0" w:color="auto"/>
                        <w:left w:val="none" w:sz="0" w:space="0" w:color="auto"/>
                        <w:bottom w:val="none" w:sz="0" w:space="0" w:color="auto"/>
                        <w:right w:val="none" w:sz="0" w:space="0" w:color="auto"/>
                      </w:divBdr>
                      <w:divsChild>
                        <w:div w:id="1869834583">
                          <w:marLeft w:val="0"/>
                          <w:marRight w:val="0"/>
                          <w:marTop w:val="0"/>
                          <w:marBottom w:val="0"/>
                          <w:divBdr>
                            <w:top w:val="none" w:sz="0" w:space="0" w:color="auto"/>
                            <w:left w:val="none" w:sz="0" w:space="0" w:color="auto"/>
                            <w:bottom w:val="none" w:sz="0" w:space="0" w:color="auto"/>
                            <w:right w:val="none" w:sz="0" w:space="0" w:color="auto"/>
                          </w:divBdr>
                        </w:div>
                      </w:divsChild>
                    </w:div>
                    <w:div w:id="1349067943">
                      <w:marLeft w:val="0"/>
                      <w:marRight w:val="0"/>
                      <w:marTop w:val="0"/>
                      <w:marBottom w:val="0"/>
                      <w:divBdr>
                        <w:top w:val="none" w:sz="0" w:space="0" w:color="auto"/>
                        <w:left w:val="none" w:sz="0" w:space="0" w:color="auto"/>
                        <w:bottom w:val="none" w:sz="0" w:space="0" w:color="auto"/>
                        <w:right w:val="none" w:sz="0" w:space="0" w:color="auto"/>
                      </w:divBdr>
                      <w:divsChild>
                        <w:div w:id="489060169">
                          <w:marLeft w:val="0"/>
                          <w:marRight w:val="0"/>
                          <w:marTop w:val="0"/>
                          <w:marBottom w:val="0"/>
                          <w:divBdr>
                            <w:top w:val="none" w:sz="0" w:space="0" w:color="auto"/>
                            <w:left w:val="none" w:sz="0" w:space="0" w:color="auto"/>
                            <w:bottom w:val="none" w:sz="0" w:space="0" w:color="auto"/>
                            <w:right w:val="none" w:sz="0" w:space="0" w:color="auto"/>
                          </w:divBdr>
                          <w:divsChild>
                            <w:div w:id="975991523">
                              <w:marLeft w:val="0"/>
                              <w:marRight w:val="0"/>
                              <w:marTop w:val="0"/>
                              <w:marBottom w:val="0"/>
                              <w:divBdr>
                                <w:top w:val="none" w:sz="0" w:space="0" w:color="auto"/>
                                <w:left w:val="none" w:sz="0" w:space="0" w:color="auto"/>
                                <w:bottom w:val="none" w:sz="0" w:space="0" w:color="auto"/>
                                <w:right w:val="none" w:sz="0" w:space="0" w:color="auto"/>
                              </w:divBdr>
                              <w:divsChild>
                                <w:div w:id="1261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5152">
                      <w:marLeft w:val="0"/>
                      <w:marRight w:val="0"/>
                      <w:marTop w:val="0"/>
                      <w:marBottom w:val="0"/>
                      <w:divBdr>
                        <w:top w:val="none" w:sz="0" w:space="0" w:color="auto"/>
                        <w:left w:val="none" w:sz="0" w:space="0" w:color="auto"/>
                        <w:bottom w:val="none" w:sz="0" w:space="0" w:color="auto"/>
                        <w:right w:val="none" w:sz="0" w:space="0" w:color="auto"/>
                      </w:divBdr>
                      <w:divsChild>
                        <w:div w:id="657078578">
                          <w:marLeft w:val="0"/>
                          <w:marRight w:val="0"/>
                          <w:marTop w:val="0"/>
                          <w:marBottom w:val="0"/>
                          <w:divBdr>
                            <w:top w:val="none" w:sz="0" w:space="0" w:color="auto"/>
                            <w:left w:val="none" w:sz="0" w:space="0" w:color="auto"/>
                            <w:bottom w:val="none" w:sz="0" w:space="0" w:color="auto"/>
                            <w:right w:val="none" w:sz="0" w:space="0" w:color="auto"/>
                          </w:divBdr>
                          <w:divsChild>
                            <w:div w:id="1192255993">
                              <w:marLeft w:val="0"/>
                              <w:marRight w:val="0"/>
                              <w:marTop w:val="0"/>
                              <w:marBottom w:val="0"/>
                              <w:divBdr>
                                <w:top w:val="none" w:sz="0" w:space="0" w:color="auto"/>
                                <w:left w:val="none" w:sz="0" w:space="0" w:color="auto"/>
                                <w:bottom w:val="none" w:sz="0" w:space="0" w:color="auto"/>
                                <w:right w:val="none" w:sz="0" w:space="0" w:color="auto"/>
                              </w:divBdr>
                              <w:divsChild>
                                <w:div w:id="10242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1992">
                      <w:marLeft w:val="0"/>
                      <w:marRight w:val="0"/>
                      <w:marTop w:val="0"/>
                      <w:marBottom w:val="0"/>
                      <w:divBdr>
                        <w:top w:val="none" w:sz="0" w:space="0" w:color="auto"/>
                        <w:left w:val="none" w:sz="0" w:space="0" w:color="auto"/>
                        <w:bottom w:val="none" w:sz="0" w:space="0" w:color="auto"/>
                        <w:right w:val="none" w:sz="0" w:space="0" w:color="auto"/>
                      </w:divBdr>
                      <w:divsChild>
                        <w:div w:id="1673216789">
                          <w:marLeft w:val="0"/>
                          <w:marRight w:val="0"/>
                          <w:marTop w:val="0"/>
                          <w:marBottom w:val="0"/>
                          <w:divBdr>
                            <w:top w:val="none" w:sz="0" w:space="0" w:color="auto"/>
                            <w:left w:val="none" w:sz="0" w:space="0" w:color="auto"/>
                            <w:bottom w:val="none" w:sz="0" w:space="0" w:color="auto"/>
                            <w:right w:val="none" w:sz="0" w:space="0" w:color="auto"/>
                          </w:divBdr>
                          <w:divsChild>
                            <w:div w:id="1027020797">
                              <w:marLeft w:val="0"/>
                              <w:marRight w:val="0"/>
                              <w:marTop w:val="0"/>
                              <w:marBottom w:val="0"/>
                              <w:divBdr>
                                <w:top w:val="none" w:sz="0" w:space="0" w:color="auto"/>
                                <w:left w:val="none" w:sz="0" w:space="0" w:color="auto"/>
                                <w:bottom w:val="none" w:sz="0" w:space="0" w:color="auto"/>
                                <w:right w:val="none" w:sz="0" w:space="0" w:color="auto"/>
                              </w:divBdr>
                              <w:divsChild>
                                <w:div w:id="2969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597">
                      <w:marLeft w:val="0"/>
                      <w:marRight w:val="0"/>
                      <w:marTop w:val="0"/>
                      <w:marBottom w:val="0"/>
                      <w:divBdr>
                        <w:top w:val="none" w:sz="0" w:space="0" w:color="auto"/>
                        <w:left w:val="none" w:sz="0" w:space="0" w:color="auto"/>
                        <w:bottom w:val="none" w:sz="0" w:space="0" w:color="auto"/>
                        <w:right w:val="none" w:sz="0" w:space="0" w:color="auto"/>
                      </w:divBdr>
                      <w:divsChild>
                        <w:div w:id="1493252279">
                          <w:marLeft w:val="0"/>
                          <w:marRight w:val="0"/>
                          <w:marTop w:val="0"/>
                          <w:marBottom w:val="0"/>
                          <w:divBdr>
                            <w:top w:val="none" w:sz="0" w:space="0" w:color="auto"/>
                            <w:left w:val="none" w:sz="0" w:space="0" w:color="auto"/>
                            <w:bottom w:val="none" w:sz="0" w:space="0" w:color="auto"/>
                            <w:right w:val="none" w:sz="0" w:space="0" w:color="auto"/>
                          </w:divBdr>
                          <w:divsChild>
                            <w:div w:id="1217623367">
                              <w:marLeft w:val="0"/>
                              <w:marRight w:val="0"/>
                              <w:marTop w:val="0"/>
                              <w:marBottom w:val="0"/>
                              <w:divBdr>
                                <w:top w:val="none" w:sz="0" w:space="0" w:color="auto"/>
                                <w:left w:val="none" w:sz="0" w:space="0" w:color="auto"/>
                                <w:bottom w:val="none" w:sz="0" w:space="0" w:color="auto"/>
                                <w:right w:val="none" w:sz="0" w:space="0" w:color="auto"/>
                              </w:divBdr>
                              <w:divsChild>
                                <w:div w:id="14532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106">
                      <w:marLeft w:val="0"/>
                      <w:marRight w:val="0"/>
                      <w:marTop w:val="0"/>
                      <w:marBottom w:val="0"/>
                      <w:divBdr>
                        <w:top w:val="none" w:sz="0" w:space="0" w:color="auto"/>
                        <w:left w:val="none" w:sz="0" w:space="0" w:color="auto"/>
                        <w:bottom w:val="none" w:sz="0" w:space="0" w:color="auto"/>
                        <w:right w:val="none" w:sz="0" w:space="0" w:color="auto"/>
                      </w:divBdr>
                      <w:divsChild>
                        <w:div w:id="450900090">
                          <w:marLeft w:val="0"/>
                          <w:marRight w:val="0"/>
                          <w:marTop w:val="0"/>
                          <w:marBottom w:val="0"/>
                          <w:divBdr>
                            <w:top w:val="none" w:sz="0" w:space="0" w:color="auto"/>
                            <w:left w:val="none" w:sz="0" w:space="0" w:color="auto"/>
                            <w:bottom w:val="none" w:sz="0" w:space="0" w:color="auto"/>
                            <w:right w:val="none" w:sz="0" w:space="0" w:color="auto"/>
                          </w:divBdr>
                          <w:divsChild>
                            <w:div w:id="935796115">
                              <w:marLeft w:val="0"/>
                              <w:marRight w:val="0"/>
                              <w:marTop w:val="0"/>
                              <w:marBottom w:val="0"/>
                              <w:divBdr>
                                <w:top w:val="none" w:sz="0" w:space="0" w:color="auto"/>
                                <w:left w:val="none" w:sz="0" w:space="0" w:color="auto"/>
                                <w:bottom w:val="none" w:sz="0" w:space="0" w:color="auto"/>
                                <w:right w:val="none" w:sz="0" w:space="0" w:color="auto"/>
                              </w:divBdr>
                              <w:divsChild>
                                <w:div w:id="1157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0412">
                      <w:marLeft w:val="0"/>
                      <w:marRight w:val="0"/>
                      <w:marTop w:val="0"/>
                      <w:marBottom w:val="0"/>
                      <w:divBdr>
                        <w:top w:val="none" w:sz="0" w:space="0" w:color="auto"/>
                        <w:left w:val="none" w:sz="0" w:space="0" w:color="auto"/>
                        <w:bottom w:val="none" w:sz="0" w:space="0" w:color="auto"/>
                        <w:right w:val="none" w:sz="0" w:space="0" w:color="auto"/>
                      </w:divBdr>
                      <w:divsChild>
                        <w:div w:id="1995909618">
                          <w:marLeft w:val="0"/>
                          <w:marRight w:val="0"/>
                          <w:marTop w:val="0"/>
                          <w:marBottom w:val="0"/>
                          <w:divBdr>
                            <w:top w:val="none" w:sz="0" w:space="0" w:color="auto"/>
                            <w:left w:val="none" w:sz="0" w:space="0" w:color="auto"/>
                            <w:bottom w:val="none" w:sz="0" w:space="0" w:color="auto"/>
                            <w:right w:val="none" w:sz="0" w:space="0" w:color="auto"/>
                          </w:divBdr>
                          <w:divsChild>
                            <w:div w:id="1594974611">
                              <w:marLeft w:val="0"/>
                              <w:marRight w:val="0"/>
                              <w:marTop w:val="0"/>
                              <w:marBottom w:val="0"/>
                              <w:divBdr>
                                <w:top w:val="none" w:sz="0" w:space="0" w:color="auto"/>
                                <w:left w:val="none" w:sz="0" w:space="0" w:color="auto"/>
                                <w:bottom w:val="none" w:sz="0" w:space="0" w:color="auto"/>
                                <w:right w:val="none" w:sz="0" w:space="0" w:color="auto"/>
                              </w:divBdr>
                              <w:divsChild>
                                <w:div w:id="896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6020">
                  <w:marLeft w:val="0"/>
                  <w:marRight w:val="0"/>
                  <w:marTop w:val="0"/>
                  <w:marBottom w:val="0"/>
                  <w:divBdr>
                    <w:top w:val="none" w:sz="0" w:space="0" w:color="auto"/>
                    <w:left w:val="none" w:sz="0" w:space="0" w:color="auto"/>
                    <w:bottom w:val="none" w:sz="0" w:space="0" w:color="auto"/>
                    <w:right w:val="none" w:sz="0" w:space="0" w:color="auto"/>
                  </w:divBdr>
                  <w:divsChild>
                    <w:div w:id="2099671691">
                      <w:marLeft w:val="0"/>
                      <w:marRight w:val="0"/>
                      <w:marTop w:val="0"/>
                      <w:marBottom w:val="0"/>
                      <w:divBdr>
                        <w:top w:val="none" w:sz="0" w:space="0" w:color="auto"/>
                        <w:left w:val="none" w:sz="0" w:space="0" w:color="auto"/>
                        <w:bottom w:val="none" w:sz="0" w:space="0" w:color="auto"/>
                        <w:right w:val="none" w:sz="0" w:space="0" w:color="auto"/>
                      </w:divBdr>
                      <w:divsChild>
                        <w:div w:id="7346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841">
                  <w:marLeft w:val="0"/>
                  <w:marRight w:val="0"/>
                  <w:marTop w:val="0"/>
                  <w:marBottom w:val="0"/>
                  <w:divBdr>
                    <w:top w:val="none" w:sz="0" w:space="0" w:color="auto"/>
                    <w:left w:val="none" w:sz="0" w:space="0" w:color="auto"/>
                    <w:bottom w:val="none" w:sz="0" w:space="0" w:color="auto"/>
                    <w:right w:val="none" w:sz="0" w:space="0" w:color="auto"/>
                  </w:divBdr>
                  <w:divsChild>
                    <w:div w:id="655181707">
                      <w:marLeft w:val="0"/>
                      <w:marRight w:val="0"/>
                      <w:marTop w:val="0"/>
                      <w:marBottom w:val="0"/>
                      <w:divBdr>
                        <w:top w:val="none" w:sz="0" w:space="0" w:color="auto"/>
                        <w:left w:val="none" w:sz="0" w:space="0" w:color="auto"/>
                        <w:bottom w:val="none" w:sz="0" w:space="0" w:color="auto"/>
                        <w:right w:val="none" w:sz="0" w:space="0" w:color="auto"/>
                      </w:divBdr>
                      <w:divsChild>
                        <w:div w:id="1575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2878">
      <w:bodyDiv w:val="1"/>
      <w:marLeft w:val="0"/>
      <w:marRight w:val="0"/>
      <w:marTop w:val="0"/>
      <w:marBottom w:val="0"/>
      <w:divBdr>
        <w:top w:val="none" w:sz="0" w:space="0" w:color="auto"/>
        <w:left w:val="none" w:sz="0" w:space="0" w:color="auto"/>
        <w:bottom w:val="none" w:sz="0" w:space="0" w:color="auto"/>
        <w:right w:val="none" w:sz="0" w:space="0" w:color="auto"/>
      </w:divBdr>
      <w:divsChild>
        <w:div w:id="661352668">
          <w:marLeft w:val="0"/>
          <w:marRight w:val="0"/>
          <w:marTop w:val="0"/>
          <w:marBottom w:val="0"/>
          <w:divBdr>
            <w:top w:val="none" w:sz="0" w:space="0" w:color="auto"/>
            <w:left w:val="none" w:sz="0" w:space="0" w:color="auto"/>
            <w:bottom w:val="none" w:sz="0" w:space="0" w:color="auto"/>
            <w:right w:val="none" w:sz="0" w:space="0" w:color="auto"/>
          </w:divBdr>
          <w:divsChild>
            <w:div w:id="1263418360">
              <w:marLeft w:val="0"/>
              <w:marRight w:val="0"/>
              <w:marTop w:val="0"/>
              <w:marBottom w:val="0"/>
              <w:divBdr>
                <w:top w:val="none" w:sz="0" w:space="0" w:color="auto"/>
                <w:left w:val="none" w:sz="0" w:space="0" w:color="auto"/>
                <w:bottom w:val="none" w:sz="0" w:space="0" w:color="auto"/>
                <w:right w:val="none" w:sz="0" w:space="0" w:color="auto"/>
              </w:divBdr>
              <w:divsChild>
                <w:div w:id="23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9273">
      <w:bodyDiv w:val="1"/>
      <w:marLeft w:val="0"/>
      <w:marRight w:val="0"/>
      <w:marTop w:val="0"/>
      <w:marBottom w:val="0"/>
      <w:divBdr>
        <w:top w:val="none" w:sz="0" w:space="0" w:color="auto"/>
        <w:left w:val="none" w:sz="0" w:space="0" w:color="auto"/>
        <w:bottom w:val="none" w:sz="0" w:space="0" w:color="auto"/>
        <w:right w:val="none" w:sz="0" w:space="0" w:color="auto"/>
      </w:divBdr>
    </w:div>
    <w:div w:id="1386297103">
      <w:bodyDiv w:val="1"/>
      <w:marLeft w:val="0"/>
      <w:marRight w:val="0"/>
      <w:marTop w:val="0"/>
      <w:marBottom w:val="0"/>
      <w:divBdr>
        <w:top w:val="none" w:sz="0" w:space="0" w:color="auto"/>
        <w:left w:val="none" w:sz="0" w:space="0" w:color="auto"/>
        <w:bottom w:val="none" w:sz="0" w:space="0" w:color="auto"/>
        <w:right w:val="none" w:sz="0" w:space="0" w:color="auto"/>
      </w:divBdr>
      <w:divsChild>
        <w:div w:id="670177267">
          <w:marLeft w:val="0"/>
          <w:marRight w:val="0"/>
          <w:marTop w:val="0"/>
          <w:marBottom w:val="0"/>
          <w:divBdr>
            <w:top w:val="none" w:sz="0" w:space="0" w:color="auto"/>
            <w:left w:val="none" w:sz="0" w:space="0" w:color="auto"/>
            <w:bottom w:val="none" w:sz="0" w:space="0" w:color="auto"/>
            <w:right w:val="none" w:sz="0" w:space="0" w:color="auto"/>
          </w:divBdr>
          <w:divsChild>
            <w:div w:id="1281647277">
              <w:marLeft w:val="0"/>
              <w:marRight w:val="0"/>
              <w:marTop w:val="0"/>
              <w:marBottom w:val="0"/>
              <w:divBdr>
                <w:top w:val="none" w:sz="0" w:space="0" w:color="auto"/>
                <w:left w:val="none" w:sz="0" w:space="0" w:color="auto"/>
                <w:bottom w:val="none" w:sz="0" w:space="0" w:color="auto"/>
                <w:right w:val="none" w:sz="0" w:space="0" w:color="auto"/>
              </w:divBdr>
              <w:divsChild>
                <w:div w:id="1563711579">
                  <w:marLeft w:val="0"/>
                  <w:marRight w:val="0"/>
                  <w:marTop w:val="0"/>
                  <w:marBottom w:val="0"/>
                  <w:divBdr>
                    <w:top w:val="none" w:sz="0" w:space="0" w:color="auto"/>
                    <w:left w:val="none" w:sz="0" w:space="0" w:color="auto"/>
                    <w:bottom w:val="none" w:sz="0" w:space="0" w:color="auto"/>
                    <w:right w:val="none" w:sz="0" w:space="0" w:color="auto"/>
                  </w:divBdr>
                  <w:divsChild>
                    <w:div w:id="1889799692">
                      <w:marLeft w:val="0"/>
                      <w:marRight w:val="300"/>
                      <w:marTop w:val="0"/>
                      <w:marBottom w:val="0"/>
                      <w:divBdr>
                        <w:top w:val="none" w:sz="0" w:space="0" w:color="auto"/>
                        <w:left w:val="none" w:sz="0" w:space="0" w:color="auto"/>
                        <w:bottom w:val="none" w:sz="0" w:space="0" w:color="auto"/>
                        <w:right w:val="none" w:sz="0" w:space="0" w:color="auto"/>
                      </w:divBdr>
                      <w:divsChild>
                        <w:div w:id="1450977219">
                          <w:marLeft w:val="0"/>
                          <w:marRight w:val="300"/>
                          <w:marTop w:val="0"/>
                          <w:marBottom w:val="0"/>
                          <w:divBdr>
                            <w:top w:val="none" w:sz="0" w:space="0" w:color="auto"/>
                            <w:left w:val="none" w:sz="0" w:space="0" w:color="auto"/>
                            <w:bottom w:val="none" w:sz="0" w:space="0" w:color="auto"/>
                            <w:right w:val="none" w:sz="0" w:space="0" w:color="auto"/>
                          </w:divBdr>
                          <w:divsChild>
                            <w:div w:id="8337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957923">
      <w:bodyDiv w:val="1"/>
      <w:marLeft w:val="0"/>
      <w:marRight w:val="0"/>
      <w:marTop w:val="0"/>
      <w:marBottom w:val="0"/>
      <w:divBdr>
        <w:top w:val="none" w:sz="0" w:space="0" w:color="auto"/>
        <w:left w:val="none" w:sz="0" w:space="0" w:color="auto"/>
        <w:bottom w:val="none" w:sz="0" w:space="0" w:color="auto"/>
        <w:right w:val="none" w:sz="0" w:space="0" w:color="auto"/>
      </w:divBdr>
      <w:divsChild>
        <w:div w:id="1248229970">
          <w:marLeft w:val="0"/>
          <w:marRight w:val="0"/>
          <w:marTop w:val="0"/>
          <w:marBottom w:val="0"/>
          <w:divBdr>
            <w:top w:val="none" w:sz="0" w:space="0" w:color="auto"/>
            <w:left w:val="none" w:sz="0" w:space="0" w:color="auto"/>
            <w:bottom w:val="none" w:sz="0" w:space="0" w:color="auto"/>
            <w:right w:val="none" w:sz="0" w:space="0" w:color="auto"/>
          </w:divBdr>
          <w:divsChild>
            <w:div w:id="173308365">
              <w:marLeft w:val="0"/>
              <w:marRight w:val="0"/>
              <w:marTop w:val="0"/>
              <w:marBottom w:val="0"/>
              <w:divBdr>
                <w:top w:val="none" w:sz="0" w:space="0" w:color="auto"/>
                <w:left w:val="none" w:sz="0" w:space="0" w:color="auto"/>
                <w:bottom w:val="none" w:sz="0" w:space="0" w:color="auto"/>
                <w:right w:val="none" w:sz="0" w:space="0" w:color="auto"/>
              </w:divBdr>
              <w:divsChild>
                <w:div w:id="713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42572">
      <w:bodyDiv w:val="1"/>
      <w:marLeft w:val="0"/>
      <w:marRight w:val="0"/>
      <w:marTop w:val="0"/>
      <w:marBottom w:val="0"/>
      <w:divBdr>
        <w:top w:val="none" w:sz="0" w:space="0" w:color="auto"/>
        <w:left w:val="none" w:sz="0" w:space="0" w:color="auto"/>
        <w:bottom w:val="none" w:sz="0" w:space="0" w:color="auto"/>
        <w:right w:val="none" w:sz="0" w:space="0" w:color="auto"/>
      </w:divBdr>
    </w:div>
    <w:div w:id="1592811953">
      <w:bodyDiv w:val="1"/>
      <w:marLeft w:val="0"/>
      <w:marRight w:val="0"/>
      <w:marTop w:val="0"/>
      <w:marBottom w:val="0"/>
      <w:divBdr>
        <w:top w:val="none" w:sz="0" w:space="0" w:color="auto"/>
        <w:left w:val="none" w:sz="0" w:space="0" w:color="auto"/>
        <w:bottom w:val="none" w:sz="0" w:space="0" w:color="auto"/>
        <w:right w:val="none" w:sz="0" w:space="0" w:color="auto"/>
      </w:divBdr>
      <w:divsChild>
        <w:div w:id="11901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86387">
      <w:bodyDiv w:val="1"/>
      <w:marLeft w:val="0"/>
      <w:marRight w:val="0"/>
      <w:marTop w:val="0"/>
      <w:marBottom w:val="0"/>
      <w:divBdr>
        <w:top w:val="none" w:sz="0" w:space="0" w:color="auto"/>
        <w:left w:val="none" w:sz="0" w:space="0" w:color="auto"/>
        <w:bottom w:val="none" w:sz="0" w:space="0" w:color="auto"/>
        <w:right w:val="none" w:sz="0" w:space="0" w:color="auto"/>
      </w:divBdr>
      <w:divsChild>
        <w:div w:id="902175204">
          <w:marLeft w:val="0"/>
          <w:marRight w:val="0"/>
          <w:marTop w:val="0"/>
          <w:marBottom w:val="0"/>
          <w:divBdr>
            <w:top w:val="none" w:sz="0" w:space="0" w:color="auto"/>
            <w:left w:val="none" w:sz="0" w:space="0" w:color="auto"/>
            <w:bottom w:val="none" w:sz="0" w:space="0" w:color="auto"/>
            <w:right w:val="none" w:sz="0" w:space="0" w:color="auto"/>
          </w:divBdr>
          <w:divsChild>
            <w:div w:id="910893163">
              <w:marLeft w:val="0"/>
              <w:marRight w:val="0"/>
              <w:marTop w:val="0"/>
              <w:marBottom w:val="0"/>
              <w:divBdr>
                <w:top w:val="none" w:sz="0" w:space="0" w:color="auto"/>
                <w:left w:val="none" w:sz="0" w:space="0" w:color="auto"/>
                <w:bottom w:val="none" w:sz="0" w:space="0" w:color="auto"/>
                <w:right w:val="none" w:sz="0" w:space="0" w:color="auto"/>
              </w:divBdr>
              <w:divsChild>
                <w:div w:id="1984119634">
                  <w:marLeft w:val="0"/>
                  <w:marRight w:val="0"/>
                  <w:marTop w:val="0"/>
                  <w:marBottom w:val="0"/>
                  <w:divBdr>
                    <w:top w:val="none" w:sz="0" w:space="0" w:color="auto"/>
                    <w:left w:val="none" w:sz="0" w:space="0" w:color="auto"/>
                    <w:bottom w:val="none" w:sz="0" w:space="0" w:color="auto"/>
                    <w:right w:val="none" w:sz="0" w:space="0" w:color="auto"/>
                  </w:divBdr>
                  <w:divsChild>
                    <w:div w:id="133261929">
                      <w:marLeft w:val="0"/>
                      <w:marRight w:val="300"/>
                      <w:marTop w:val="0"/>
                      <w:marBottom w:val="0"/>
                      <w:divBdr>
                        <w:top w:val="none" w:sz="0" w:space="0" w:color="auto"/>
                        <w:left w:val="none" w:sz="0" w:space="0" w:color="auto"/>
                        <w:bottom w:val="none" w:sz="0" w:space="0" w:color="auto"/>
                        <w:right w:val="none" w:sz="0" w:space="0" w:color="auto"/>
                      </w:divBdr>
                      <w:divsChild>
                        <w:div w:id="1900749656">
                          <w:marLeft w:val="0"/>
                          <w:marRight w:val="300"/>
                          <w:marTop w:val="0"/>
                          <w:marBottom w:val="0"/>
                          <w:divBdr>
                            <w:top w:val="none" w:sz="0" w:space="0" w:color="auto"/>
                            <w:left w:val="none" w:sz="0" w:space="0" w:color="auto"/>
                            <w:bottom w:val="none" w:sz="0" w:space="0" w:color="auto"/>
                            <w:right w:val="none" w:sz="0" w:space="0" w:color="auto"/>
                          </w:divBdr>
                          <w:divsChild>
                            <w:div w:id="6755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80989">
      <w:bodyDiv w:val="1"/>
      <w:marLeft w:val="0"/>
      <w:marRight w:val="0"/>
      <w:marTop w:val="0"/>
      <w:marBottom w:val="0"/>
      <w:divBdr>
        <w:top w:val="none" w:sz="0" w:space="0" w:color="auto"/>
        <w:left w:val="none" w:sz="0" w:space="0" w:color="auto"/>
        <w:bottom w:val="none" w:sz="0" w:space="0" w:color="auto"/>
        <w:right w:val="none" w:sz="0" w:space="0" w:color="auto"/>
      </w:divBdr>
    </w:div>
    <w:div w:id="1668706194">
      <w:bodyDiv w:val="1"/>
      <w:marLeft w:val="0"/>
      <w:marRight w:val="0"/>
      <w:marTop w:val="0"/>
      <w:marBottom w:val="0"/>
      <w:divBdr>
        <w:top w:val="none" w:sz="0" w:space="0" w:color="auto"/>
        <w:left w:val="none" w:sz="0" w:space="0" w:color="auto"/>
        <w:bottom w:val="none" w:sz="0" w:space="0" w:color="auto"/>
        <w:right w:val="none" w:sz="0" w:space="0" w:color="auto"/>
      </w:divBdr>
    </w:div>
    <w:div w:id="1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201047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426277">
      <w:bodyDiv w:val="1"/>
      <w:marLeft w:val="0"/>
      <w:marRight w:val="0"/>
      <w:marTop w:val="0"/>
      <w:marBottom w:val="0"/>
      <w:divBdr>
        <w:top w:val="none" w:sz="0" w:space="0" w:color="auto"/>
        <w:left w:val="none" w:sz="0" w:space="0" w:color="auto"/>
        <w:bottom w:val="none" w:sz="0" w:space="0" w:color="auto"/>
        <w:right w:val="none" w:sz="0" w:space="0" w:color="auto"/>
      </w:divBdr>
    </w:div>
    <w:div w:id="1832134266">
      <w:bodyDiv w:val="1"/>
      <w:marLeft w:val="0"/>
      <w:marRight w:val="0"/>
      <w:marTop w:val="0"/>
      <w:marBottom w:val="0"/>
      <w:divBdr>
        <w:top w:val="none" w:sz="0" w:space="0" w:color="auto"/>
        <w:left w:val="none" w:sz="0" w:space="0" w:color="auto"/>
        <w:bottom w:val="none" w:sz="0" w:space="0" w:color="auto"/>
        <w:right w:val="none" w:sz="0" w:space="0" w:color="auto"/>
      </w:divBdr>
    </w:div>
    <w:div w:id="1915629909">
      <w:bodyDiv w:val="1"/>
      <w:marLeft w:val="0"/>
      <w:marRight w:val="0"/>
      <w:marTop w:val="0"/>
      <w:marBottom w:val="0"/>
      <w:divBdr>
        <w:top w:val="none" w:sz="0" w:space="0" w:color="auto"/>
        <w:left w:val="none" w:sz="0" w:space="0" w:color="auto"/>
        <w:bottom w:val="none" w:sz="0" w:space="0" w:color="auto"/>
        <w:right w:val="none" w:sz="0" w:space="0" w:color="auto"/>
      </w:divBdr>
    </w:div>
    <w:div w:id="1936939628">
      <w:bodyDiv w:val="1"/>
      <w:marLeft w:val="0"/>
      <w:marRight w:val="0"/>
      <w:marTop w:val="0"/>
      <w:marBottom w:val="0"/>
      <w:divBdr>
        <w:top w:val="none" w:sz="0" w:space="0" w:color="auto"/>
        <w:left w:val="none" w:sz="0" w:space="0" w:color="auto"/>
        <w:bottom w:val="none" w:sz="0" w:space="0" w:color="auto"/>
        <w:right w:val="none" w:sz="0" w:space="0" w:color="auto"/>
      </w:divBdr>
      <w:divsChild>
        <w:div w:id="318972189">
          <w:marLeft w:val="0"/>
          <w:marRight w:val="0"/>
          <w:marTop w:val="0"/>
          <w:marBottom w:val="0"/>
          <w:divBdr>
            <w:top w:val="none" w:sz="0" w:space="0" w:color="auto"/>
            <w:left w:val="none" w:sz="0" w:space="0" w:color="auto"/>
            <w:bottom w:val="none" w:sz="0" w:space="0" w:color="auto"/>
            <w:right w:val="none" w:sz="0" w:space="0" w:color="auto"/>
          </w:divBdr>
          <w:divsChild>
            <w:div w:id="85467506">
              <w:marLeft w:val="0"/>
              <w:marRight w:val="0"/>
              <w:marTop w:val="0"/>
              <w:marBottom w:val="0"/>
              <w:divBdr>
                <w:top w:val="none" w:sz="0" w:space="0" w:color="auto"/>
                <w:left w:val="none" w:sz="0" w:space="0" w:color="auto"/>
                <w:bottom w:val="none" w:sz="0" w:space="0" w:color="auto"/>
                <w:right w:val="none" w:sz="0" w:space="0" w:color="auto"/>
              </w:divBdr>
              <w:divsChild>
                <w:div w:id="5732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6103">
      <w:bodyDiv w:val="1"/>
      <w:marLeft w:val="0"/>
      <w:marRight w:val="0"/>
      <w:marTop w:val="0"/>
      <w:marBottom w:val="0"/>
      <w:divBdr>
        <w:top w:val="none" w:sz="0" w:space="0" w:color="auto"/>
        <w:left w:val="none" w:sz="0" w:space="0" w:color="auto"/>
        <w:bottom w:val="none" w:sz="0" w:space="0" w:color="auto"/>
        <w:right w:val="none" w:sz="0" w:space="0" w:color="auto"/>
      </w:divBdr>
    </w:div>
    <w:div w:id="20524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reven@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D35E-7E6A-4789-9A35-CE84EB2E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44</Pages>
  <Words>12813</Words>
  <Characters>73040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85682</CharactersWithSpaces>
  <SharedDoc>false</SharedDoc>
  <HLinks>
    <vt:vector size="6" baseType="variant">
      <vt:variant>
        <vt:i4>6553716</vt:i4>
      </vt:variant>
      <vt:variant>
        <vt:i4>0</vt:i4>
      </vt:variant>
      <vt:variant>
        <vt:i4>0</vt:i4>
      </vt:variant>
      <vt:variant>
        <vt:i4>5</vt:i4>
      </vt:variant>
      <vt:variant>
        <vt:lpwstr>http://www.puc.pa.gov/general/pdf/testimony/Powelson-House_Budget_021914.pdf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ROONEY</dc:creator>
  <cp:lastModifiedBy>Sheffer, Ryan</cp:lastModifiedBy>
  <cp:revision>15</cp:revision>
  <cp:lastPrinted>2019-07-10T18:34:00Z</cp:lastPrinted>
  <dcterms:created xsi:type="dcterms:W3CDTF">2019-07-10T18:38:00Z</dcterms:created>
  <dcterms:modified xsi:type="dcterms:W3CDTF">2019-07-11T15:17:00Z</dcterms:modified>
</cp:coreProperties>
</file>