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7D346980" w14:textId="3FF5E639" w:rsidR="004A4363" w:rsidRPr="00F50ADF" w:rsidRDefault="004A4363" w:rsidP="004A4363">
      <w:pPr>
        <w:jc w:val="center"/>
        <w:rPr>
          <w:color w:val="000000" w:themeColor="text1"/>
          <w:sz w:val="26"/>
          <w:szCs w:val="26"/>
        </w:rPr>
      </w:pPr>
      <w:r>
        <w:rPr>
          <w:color w:val="000000" w:themeColor="text1"/>
          <w:sz w:val="26"/>
          <w:szCs w:val="26"/>
        </w:rPr>
        <w:t>November 20, 2019</w:t>
      </w:r>
    </w:p>
    <w:p w14:paraId="37E8DD6E" w14:textId="77777777" w:rsidR="00DD7735" w:rsidRPr="00160C7E" w:rsidRDefault="00DD7735" w:rsidP="00DD7735">
      <w:pPr>
        <w:jc w:val="right"/>
        <w:rPr>
          <w:color w:val="000000" w:themeColor="text1"/>
          <w:szCs w:val="24"/>
        </w:rPr>
      </w:pPr>
      <w:r w:rsidRPr="00160C7E">
        <w:rPr>
          <w:color w:val="000000" w:themeColor="text1"/>
          <w:szCs w:val="24"/>
        </w:rPr>
        <w:t xml:space="preserve">Docket No. R-2018-3006818 </w:t>
      </w:r>
    </w:p>
    <w:p w14:paraId="7B83997A" w14:textId="77777777" w:rsidR="00DD7735" w:rsidRPr="00160C7E" w:rsidRDefault="00DD7735" w:rsidP="00DD7735">
      <w:pPr>
        <w:jc w:val="right"/>
        <w:rPr>
          <w:color w:val="000000" w:themeColor="text1"/>
          <w:szCs w:val="24"/>
        </w:rPr>
      </w:pPr>
      <w:r w:rsidRPr="00160C7E">
        <w:rPr>
          <w:color w:val="000000" w:themeColor="text1"/>
          <w:szCs w:val="24"/>
        </w:rPr>
        <w:t>Utility Code: 122250</w:t>
      </w:r>
    </w:p>
    <w:p w14:paraId="02A3D955" w14:textId="77777777" w:rsidR="00DD7735" w:rsidRPr="00160C7E" w:rsidRDefault="00DD7735" w:rsidP="00DD7735">
      <w:pPr>
        <w:rPr>
          <w:color w:val="000000" w:themeColor="text1"/>
          <w:szCs w:val="24"/>
        </w:rPr>
      </w:pPr>
      <w:r w:rsidRPr="00160C7E">
        <w:rPr>
          <w:color w:val="000000" w:themeColor="text1"/>
          <w:szCs w:val="24"/>
        </w:rPr>
        <w:t>Anthony D. Kanagy</w:t>
      </w:r>
    </w:p>
    <w:p w14:paraId="62D536AB" w14:textId="77777777" w:rsidR="00DD7735" w:rsidRPr="00160C7E" w:rsidRDefault="00DD7735" w:rsidP="00DD7735">
      <w:pPr>
        <w:rPr>
          <w:color w:val="000000" w:themeColor="text1"/>
          <w:szCs w:val="24"/>
        </w:rPr>
      </w:pPr>
      <w:r w:rsidRPr="00160C7E">
        <w:rPr>
          <w:color w:val="000000" w:themeColor="text1"/>
          <w:szCs w:val="24"/>
        </w:rPr>
        <w:t>Post &amp; Schell</w:t>
      </w:r>
    </w:p>
    <w:p w14:paraId="289F1F15" w14:textId="77777777" w:rsidR="00DD7735" w:rsidRPr="00160C7E" w:rsidRDefault="00DD7735" w:rsidP="00DD7735">
      <w:pPr>
        <w:rPr>
          <w:color w:val="000000" w:themeColor="text1"/>
          <w:szCs w:val="24"/>
        </w:rPr>
      </w:pPr>
      <w:r w:rsidRPr="00160C7E">
        <w:rPr>
          <w:color w:val="000000" w:themeColor="text1"/>
          <w:szCs w:val="24"/>
        </w:rPr>
        <w:t>17 North Second Street 12</w:t>
      </w:r>
      <w:r w:rsidRPr="00160C7E">
        <w:rPr>
          <w:color w:val="000000" w:themeColor="text1"/>
          <w:szCs w:val="24"/>
          <w:vertAlign w:val="superscript"/>
        </w:rPr>
        <w:t>th</w:t>
      </w:r>
      <w:r w:rsidRPr="00160C7E">
        <w:rPr>
          <w:color w:val="000000" w:themeColor="text1"/>
          <w:szCs w:val="24"/>
        </w:rPr>
        <w:t xml:space="preserve"> Floor</w:t>
      </w:r>
    </w:p>
    <w:p w14:paraId="7B7834C1" w14:textId="77777777" w:rsidR="00DD7735" w:rsidRPr="00160C7E" w:rsidRDefault="00DD7735" w:rsidP="00DD7735">
      <w:pPr>
        <w:rPr>
          <w:color w:val="000000" w:themeColor="text1"/>
          <w:szCs w:val="24"/>
        </w:rPr>
      </w:pPr>
      <w:r w:rsidRPr="00160C7E">
        <w:rPr>
          <w:color w:val="000000" w:themeColor="text1"/>
          <w:szCs w:val="24"/>
        </w:rPr>
        <w:t>Harrisburg, PA  17101-1601</w:t>
      </w:r>
    </w:p>
    <w:p w14:paraId="4D8CBEEF" w14:textId="77777777" w:rsidR="00DD7735" w:rsidRPr="00160C7E" w:rsidRDefault="00DD7735" w:rsidP="00DD7735">
      <w:pPr>
        <w:rPr>
          <w:color w:val="000000" w:themeColor="text1"/>
          <w:szCs w:val="24"/>
        </w:rPr>
      </w:pPr>
    </w:p>
    <w:p w14:paraId="2B85A32D" w14:textId="77777777" w:rsidR="00DD7735" w:rsidRPr="00160C7E" w:rsidRDefault="00DD7735" w:rsidP="00DD7735">
      <w:pPr>
        <w:rPr>
          <w:color w:val="000000" w:themeColor="text1"/>
          <w:szCs w:val="24"/>
        </w:rPr>
      </w:pPr>
      <w:r w:rsidRPr="00160C7E">
        <w:rPr>
          <w:color w:val="000000" w:themeColor="text1"/>
          <w:szCs w:val="24"/>
        </w:rPr>
        <w:t xml:space="preserve">Re:  PA Public Utility Commission v. Peoples Natural Gas Company LLC       </w:t>
      </w:r>
    </w:p>
    <w:p w14:paraId="40D1D2B5" w14:textId="77777777" w:rsidR="00DD7735" w:rsidRPr="00160C7E" w:rsidRDefault="00DD7735" w:rsidP="00DD7735">
      <w:pPr>
        <w:rPr>
          <w:color w:val="000000" w:themeColor="text1"/>
          <w:szCs w:val="24"/>
        </w:rPr>
      </w:pPr>
    </w:p>
    <w:p w14:paraId="4C8D5008" w14:textId="77777777" w:rsidR="00DD7735" w:rsidRPr="00160C7E" w:rsidRDefault="00DD7735" w:rsidP="00DD7735">
      <w:pPr>
        <w:rPr>
          <w:color w:val="000000" w:themeColor="text1"/>
          <w:szCs w:val="24"/>
        </w:rPr>
      </w:pPr>
      <w:bookmarkStart w:id="0" w:name="_Hlk532204435"/>
      <w:r w:rsidRPr="00160C7E">
        <w:rPr>
          <w:color w:val="000000" w:themeColor="text1"/>
          <w:szCs w:val="24"/>
        </w:rPr>
        <w:t>Dear Mr. Kanagy:</w:t>
      </w:r>
    </w:p>
    <w:bookmarkEnd w:id="0"/>
    <w:p w14:paraId="64441A6C" w14:textId="77777777" w:rsidR="00DD7735" w:rsidRPr="00160C7E" w:rsidRDefault="00DD7735" w:rsidP="00DD7735">
      <w:pPr>
        <w:rPr>
          <w:color w:val="000000" w:themeColor="text1"/>
          <w:szCs w:val="24"/>
        </w:rPr>
      </w:pPr>
    </w:p>
    <w:p w14:paraId="23B68112" w14:textId="77777777" w:rsidR="00DD7735" w:rsidRPr="00160C7E" w:rsidRDefault="00DD7735" w:rsidP="00DD7735">
      <w:pPr>
        <w:rPr>
          <w:szCs w:val="24"/>
        </w:rPr>
      </w:pPr>
      <w:r w:rsidRPr="00160C7E">
        <w:rPr>
          <w:szCs w:val="24"/>
        </w:rPr>
        <w:tab/>
        <w:t xml:space="preserve">By Secretarial Letter dated </w:t>
      </w:r>
      <w:r w:rsidRPr="00160C7E">
        <w:rPr>
          <w:color w:val="000000" w:themeColor="text1"/>
          <w:szCs w:val="24"/>
        </w:rPr>
        <w:t>November 7, 2019</w:t>
      </w:r>
      <w:r w:rsidRPr="00160C7E">
        <w:rPr>
          <w:szCs w:val="24"/>
        </w:rPr>
        <w:t xml:space="preserve">, the Commission approved </w:t>
      </w:r>
      <w:r w:rsidRPr="00160C7E">
        <w:rPr>
          <w:color w:val="000000" w:themeColor="text1"/>
          <w:szCs w:val="24"/>
        </w:rPr>
        <w:t>Peoples Natural Gas Company LLC’s</w:t>
      </w:r>
      <w:r w:rsidRPr="00160C7E">
        <w:rPr>
          <w:szCs w:val="24"/>
        </w:rPr>
        <w:t xml:space="preserve"> Compliance Tariff Filing filed in compliance with the Order Entered October 3, 2019 in the above-referenced proceeding.</w:t>
      </w:r>
    </w:p>
    <w:p w14:paraId="2B824F3B" w14:textId="77777777" w:rsidR="00DD7735" w:rsidRPr="00160C7E" w:rsidRDefault="00DD7735" w:rsidP="00DD7735">
      <w:pPr>
        <w:rPr>
          <w:szCs w:val="24"/>
        </w:rPr>
      </w:pPr>
    </w:p>
    <w:p w14:paraId="41264D0C" w14:textId="77777777" w:rsidR="00DD7735" w:rsidRPr="00160C7E" w:rsidRDefault="00DD7735" w:rsidP="00DD7735">
      <w:pPr>
        <w:rPr>
          <w:szCs w:val="24"/>
        </w:rPr>
      </w:pPr>
      <w:r w:rsidRPr="00160C7E">
        <w:rPr>
          <w:szCs w:val="24"/>
        </w:rPr>
        <w:tab/>
        <w:t xml:space="preserve">Exceptions to the Compliance Tariff Filing were filed on October 17, 2019 by </w:t>
      </w:r>
      <w:r w:rsidRPr="00160C7E">
        <w:rPr>
          <w:color w:val="000000" w:themeColor="text1"/>
          <w:szCs w:val="24"/>
        </w:rPr>
        <w:t xml:space="preserve">Snyder Brothers, Inc., VEC Energy LLC, and Snyder Armclar Gas Co. </w:t>
      </w:r>
      <w:r w:rsidRPr="00160C7E">
        <w:rPr>
          <w:szCs w:val="24"/>
        </w:rPr>
        <w:t xml:space="preserve">(collectively, “SBI”) </w:t>
      </w:r>
      <w:r w:rsidRPr="00160C7E">
        <w:rPr>
          <w:color w:val="000000" w:themeColor="text1"/>
          <w:szCs w:val="24"/>
        </w:rPr>
        <w:t xml:space="preserve">and the </w:t>
      </w:r>
      <w:r w:rsidRPr="00160C7E">
        <w:rPr>
          <w:szCs w:val="24"/>
        </w:rPr>
        <w:t xml:space="preserve">Pennsylvania Independent Oil &amp; Gas Association (PIOGA).  The Exceptions did not allege that the Compliance Tariff Filing was not in compliance with the settlement, nor that the rates set forth within were unjust.  Therefore, Commission Staff found that suspension or further investigation of the Compliance Tariff Filing was not warranted.  The Exceptions were referred to the Commission’s Office of Administrative Law Judge (OALJ).    </w:t>
      </w:r>
    </w:p>
    <w:p w14:paraId="75668B31" w14:textId="77777777" w:rsidR="00DD7735" w:rsidRPr="00160C7E" w:rsidRDefault="00DD7735" w:rsidP="00DD7735">
      <w:pPr>
        <w:rPr>
          <w:szCs w:val="24"/>
        </w:rPr>
      </w:pPr>
    </w:p>
    <w:p w14:paraId="79F6BBBA" w14:textId="77777777" w:rsidR="00DD7735" w:rsidRPr="00160C7E" w:rsidRDefault="00DD7735" w:rsidP="00DD7735">
      <w:pPr>
        <w:rPr>
          <w:szCs w:val="24"/>
        </w:rPr>
      </w:pPr>
      <w:r w:rsidRPr="00160C7E">
        <w:rPr>
          <w:szCs w:val="24"/>
        </w:rPr>
        <w:tab/>
        <w:t>Upon further review, Commission Staff has determined that the Exceptions are outside the scope of the Compliance Tariff Filing and do not warrant further proceedings with the OALJ.  See 52 Pa.Code § 5.592(c) (requiring that exceptions to compliance filings “be strictly limited in scope to the factual issue of alleged deviation from requirements of the Commission order”).  Therefore, the Exceptions filed by SBI and PIOGA are denied and this docket shall be closed.</w:t>
      </w:r>
    </w:p>
    <w:p w14:paraId="098CC230" w14:textId="77777777" w:rsidR="00DD7735" w:rsidRPr="00160C7E" w:rsidRDefault="00DD7735" w:rsidP="00DD7735">
      <w:pPr>
        <w:rPr>
          <w:szCs w:val="24"/>
        </w:rPr>
      </w:pPr>
    </w:p>
    <w:p w14:paraId="78026966" w14:textId="0A4BC40E" w:rsidR="00DD7735" w:rsidRPr="00160C7E" w:rsidRDefault="00DD7735" w:rsidP="00DD7735">
      <w:pPr>
        <w:rPr>
          <w:szCs w:val="24"/>
        </w:rPr>
      </w:pPr>
      <w:r w:rsidRPr="00160C7E">
        <w:rPr>
          <w:szCs w:val="24"/>
        </w:rPr>
        <w:tab/>
        <w:t>This Secretarial Letter is an action of Commission Staff.  This Secretarial Letter shall be the final action of the Commission unless reconsideration is sought from the Commission within 20 days after the date of this letter.  See 52 Pa.Code § 5.44.</w:t>
      </w:r>
    </w:p>
    <w:p w14:paraId="0F927694" w14:textId="77777777" w:rsidR="00DD7735" w:rsidRPr="00160C7E" w:rsidRDefault="00DD7735" w:rsidP="00DD7735">
      <w:pPr>
        <w:rPr>
          <w:szCs w:val="24"/>
        </w:rPr>
      </w:pPr>
    </w:p>
    <w:p w14:paraId="00DBBD73" w14:textId="77777777" w:rsidR="00DD7735" w:rsidRPr="00160C7E" w:rsidRDefault="00DD7735" w:rsidP="00DD7735">
      <w:pPr>
        <w:ind w:firstLine="720"/>
        <w:rPr>
          <w:szCs w:val="24"/>
        </w:rPr>
      </w:pPr>
      <w:r w:rsidRPr="00160C7E">
        <w:rPr>
          <w:szCs w:val="24"/>
        </w:rPr>
        <w:t xml:space="preserve">If you have any questions in this matter, please contact Marissa Boyle, Bureau of Technical Utility Services, at (717) 787-7237 or </w:t>
      </w:r>
      <w:hyperlink r:id="rId8" w:history="1">
        <w:r w:rsidRPr="00160C7E">
          <w:rPr>
            <w:rStyle w:val="Hyperlink"/>
            <w:szCs w:val="24"/>
          </w:rPr>
          <w:t>maboyle@pa.gov</w:t>
        </w:r>
      </w:hyperlink>
      <w:r w:rsidRPr="00160C7E">
        <w:rPr>
          <w:szCs w:val="24"/>
        </w:rPr>
        <w:t>.</w:t>
      </w:r>
    </w:p>
    <w:p w14:paraId="08FF824E" w14:textId="299CDB62" w:rsidR="00DD7735" w:rsidRPr="00160C7E" w:rsidRDefault="00DD7735" w:rsidP="00DD7735">
      <w:pPr>
        <w:rPr>
          <w:szCs w:val="24"/>
        </w:rPr>
      </w:pPr>
    </w:p>
    <w:p w14:paraId="4D368D2E" w14:textId="0198F60D" w:rsidR="00DD7735" w:rsidRPr="00160C7E" w:rsidRDefault="004A4363" w:rsidP="00DD7735">
      <w:pPr>
        <w:rPr>
          <w:szCs w:val="24"/>
        </w:rPr>
      </w:pPr>
      <w:r w:rsidRPr="009F01BA">
        <w:rPr>
          <w:b/>
          <w:noProof/>
          <w:sz w:val="20"/>
        </w:rPr>
        <w:drawing>
          <wp:anchor distT="0" distB="0" distL="114300" distR="114300" simplePos="0" relativeHeight="251661312" behindDoc="1" locked="0" layoutInCell="1" allowOverlap="1" wp14:anchorId="3EAD06E4" wp14:editId="24C40BA4">
            <wp:simplePos x="0" y="0"/>
            <wp:positionH relativeFrom="column">
              <wp:posOffset>2476500</wp:posOffset>
            </wp:positionH>
            <wp:positionV relativeFrom="paragraph">
              <wp:posOffset>14605</wp:posOffset>
            </wp:positionV>
            <wp:extent cx="1925241"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241" cy="733425"/>
                    </a:xfrm>
                    <a:prstGeom prst="rect">
                      <a:avLst/>
                    </a:prstGeom>
                    <a:noFill/>
                  </pic:spPr>
                </pic:pic>
              </a:graphicData>
            </a:graphic>
            <wp14:sizeRelH relativeFrom="page">
              <wp14:pctWidth>0</wp14:pctWidth>
            </wp14:sizeRelH>
            <wp14:sizeRelV relativeFrom="page">
              <wp14:pctHeight>0</wp14:pctHeight>
            </wp14:sizeRelV>
          </wp:anchor>
        </w:drawing>
      </w:r>
      <w:r w:rsidR="00DD7735" w:rsidRPr="00160C7E">
        <w:rPr>
          <w:szCs w:val="24"/>
        </w:rPr>
        <w:tab/>
      </w:r>
      <w:r w:rsidR="00DD7735" w:rsidRPr="00160C7E">
        <w:rPr>
          <w:szCs w:val="24"/>
        </w:rPr>
        <w:tab/>
      </w:r>
      <w:r w:rsidR="00DD7735" w:rsidRPr="00160C7E">
        <w:rPr>
          <w:szCs w:val="24"/>
        </w:rPr>
        <w:tab/>
      </w:r>
      <w:r w:rsidR="00DD7735" w:rsidRPr="00160C7E">
        <w:rPr>
          <w:szCs w:val="24"/>
        </w:rPr>
        <w:tab/>
      </w:r>
      <w:r w:rsidR="00DD7735" w:rsidRPr="00160C7E">
        <w:rPr>
          <w:szCs w:val="24"/>
        </w:rPr>
        <w:tab/>
      </w:r>
      <w:r w:rsidR="00DD7735" w:rsidRPr="00160C7E">
        <w:rPr>
          <w:szCs w:val="24"/>
        </w:rPr>
        <w:tab/>
        <w:t>Sincerely,</w:t>
      </w:r>
    </w:p>
    <w:p w14:paraId="40D2EE72" w14:textId="49281190" w:rsidR="00DD7735" w:rsidRPr="00160C7E" w:rsidRDefault="00DD7735" w:rsidP="00DD7735">
      <w:pPr>
        <w:rPr>
          <w:szCs w:val="24"/>
        </w:rPr>
      </w:pPr>
    </w:p>
    <w:p w14:paraId="77126D91" w14:textId="1B66BFE6" w:rsidR="00DD7735" w:rsidRPr="00160C7E" w:rsidRDefault="004A4363" w:rsidP="004A4363">
      <w:pPr>
        <w:tabs>
          <w:tab w:val="left" w:pos="5235"/>
        </w:tabs>
        <w:rPr>
          <w:szCs w:val="24"/>
        </w:rPr>
      </w:pPr>
      <w:r>
        <w:rPr>
          <w:szCs w:val="24"/>
        </w:rPr>
        <w:tab/>
      </w:r>
      <w:bookmarkStart w:id="1" w:name="_GoBack"/>
      <w:bookmarkEnd w:id="1"/>
    </w:p>
    <w:p w14:paraId="190251EF" w14:textId="77777777" w:rsidR="00DD7735" w:rsidRPr="00160C7E" w:rsidRDefault="00DD7735" w:rsidP="00DD7735">
      <w:pPr>
        <w:pStyle w:val="Heading2"/>
        <w:tabs>
          <w:tab w:val="left" w:pos="4320"/>
        </w:tabs>
        <w:ind w:left="0" w:firstLine="0"/>
        <w:rPr>
          <w:szCs w:val="24"/>
        </w:rPr>
      </w:pPr>
      <w:r w:rsidRPr="00160C7E">
        <w:rPr>
          <w:szCs w:val="24"/>
        </w:rPr>
        <w:tab/>
        <w:t>Rosemary Chiavetta</w:t>
      </w:r>
    </w:p>
    <w:p w14:paraId="090DF3DA" w14:textId="77777777" w:rsidR="00DD7735" w:rsidRPr="00160C7E" w:rsidRDefault="00DD7735" w:rsidP="00DD7735">
      <w:pPr>
        <w:pStyle w:val="Heading2"/>
        <w:tabs>
          <w:tab w:val="left" w:pos="4320"/>
        </w:tabs>
        <w:ind w:left="0" w:firstLine="0"/>
        <w:rPr>
          <w:szCs w:val="24"/>
        </w:rPr>
      </w:pPr>
      <w:r w:rsidRPr="00160C7E">
        <w:rPr>
          <w:szCs w:val="24"/>
        </w:rPr>
        <w:tab/>
        <w:t>Secretary</w:t>
      </w:r>
    </w:p>
    <w:p w14:paraId="17896DBB" w14:textId="661656A8" w:rsidR="00B25811" w:rsidRPr="00160C7E" w:rsidRDefault="00DD7735" w:rsidP="00160C7E">
      <w:pPr>
        <w:rPr>
          <w:szCs w:val="24"/>
        </w:rPr>
      </w:pPr>
      <w:r w:rsidRPr="00160C7E">
        <w:rPr>
          <w:szCs w:val="24"/>
        </w:rPr>
        <w:t>cc:  Parties of Record</w:t>
      </w:r>
    </w:p>
    <w:sectPr w:rsidR="00B25811" w:rsidRPr="00160C7E" w:rsidSect="008267BD">
      <w:footerReference w:type="default" r:id="rId10"/>
      <w:type w:val="continuous"/>
      <w:pgSz w:w="12240" w:h="15840"/>
      <w:pgMar w:top="1152" w:right="1440" w:bottom="1152"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C278" w14:textId="77777777" w:rsidR="009340BE" w:rsidRDefault="009340BE">
      <w:r>
        <w:separator/>
      </w:r>
    </w:p>
  </w:endnote>
  <w:endnote w:type="continuationSeparator" w:id="0">
    <w:p w14:paraId="5C696426" w14:textId="77777777" w:rsidR="009340BE" w:rsidRDefault="0093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32841424"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C791" w14:textId="77777777" w:rsidR="009340BE" w:rsidRDefault="009340BE">
      <w:r>
        <w:separator/>
      </w:r>
    </w:p>
  </w:footnote>
  <w:footnote w:type="continuationSeparator" w:id="0">
    <w:p w14:paraId="68AB4397" w14:textId="77777777" w:rsidR="009340BE" w:rsidRDefault="0093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4444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36FC"/>
    <w:rsid w:val="000A777B"/>
    <w:rsid w:val="000B42BA"/>
    <w:rsid w:val="000C1530"/>
    <w:rsid w:val="000D01DF"/>
    <w:rsid w:val="000D03CA"/>
    <w:rsid w:val="000D0FD9"/>
    <w:rsid w:val="000E07BF"/>
    <w:rsid w:val="000E3B2C"/>
    <w:rsid w:val="000E6A31"/>
    <w:rsid w:val="000F4066"/>
    <w:rsid w:val="0011013E"/>
    <w:rsid w:val="001155CB"/>
    <w:rsid w:val="0012110E"/>
    <w:rsid w:val="0012461C"/>
    <w:rsid w:val="00124F3A"/>
    <w:rsid w:val="001264B6"/>
    <w:rsid w:val="00131DDA"/>
    <w:rsid w:val="001334FC"/>
    <w:rsid w:val="00142006"/>
    <w:rsid w:val="00142BA3"/>
    <w:rsid w:val="00150A3B"/>
    <w:rsid w:val="00150F8B"/>
    <w:rsid w:val="001535C8"/>
    <w:rsid w:val="00157C40"/>
    <w:rsid w:val="00160C7E"/>
    <w:rsid w:val="00162439"/>
    <w:rsid w:val="0016278E"/>
    <w:rsid w:val="00162D7A"/>
    <w:rsid w:val="001662BA"/>
    <w:rsid w:val="0017540A"/>
    <w:rsid w:val="0017760B"/>
    <w:rsid w:val="00180CFB"/>
    <w:rsid w:val="0018720B"/>
    <w:rsid w:val="00191FE1"/>
    <w:rsid w:val="001A1A45"/>
    <w:rsid w:val="001A2153"/>
    <w:rsid w:val="001A2FBB"/>
    <w:rsid w:val="001A7FAE"/>
    <w:rsid w:val="001B1725"/>
    <w:rsid w:val="001B4A58"/>
    <w:rsid w:val="001D1712"/>
    <w:rsid w:val="001D5749"/>
    <w:rsid w:val="001E5C3F"/>
    <w:rsid w:val="001F1D45"/>
    <w:rsid w:val="001F4A76"/>
    <w:rsid w:val="00205323"/>
    <w:rsid w:val="00206AF2"/>
    <w:rsid w:val="00206F9E"/>
    <w:rsid w:val="00212299"/>
    <w:rsid w:val="00227576"/>
    <w:rsid w:val="002311CC"/>
    <w:rsid w:val="00231244"/>
    <w:rsid w:val="002354DC"/>
    <w:rsid w:val="00244511"/>
    <w:rsid w:val="00256182"/>
    <w:rsid w:val="0026506D"/>
    <w:rsid w:val="00266BF8"/>
    <w:rsid w:val="00272D3C"/>
    <w:rsid w:val="00277061"/>
    <w:rsid w:val="00294B4B"/>
    <w:rsid w:val="00295900"/>
    <w:rsid w:val="00295BF0"/>
    <w:rsid w:val="002A4F3D"/>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6FE5"/>
    <w:rsid w:val="003278D9"/>
    <w:rsid w:val="00331BA5"/>
    <w:rsid w:val="00332B99"/>
    <w:rsid w:val="0033489B"/>
    <w:rsid w:val="003437D2"/>
    <w:rsid w:val="0034777A"/>
    <w:rsid w:val="0035208E"/>
    <w:rsid w:val="00352AFA"/>
    <w:rsid w:val="00353843"/>
    <w:rsid w:val="003836A4"/>
    <w:rsid w:val="003841BA"/>
    <w:rsid w:val="00387DA5"/>
    <w:rsid w:val="003944D1"/>
    <w:rsid w:val="003B1A94"/>
    <w:rsid w:val="003B402C"/>
    <w:rsid w:val="003B68F2"/>
    <w:rsid w:val="003C0834"/>
    <w:rsid w:val="003C1936"/>
    <w:rsid w:val="003C20A9"/>
    <w:rsid w:val="003C2ACF"/>
    <w:rsid w:val="003C3833"/>
    <w:rsid w:val="003D021C"/>
    <w:rsid w:val="003E6E97"/>
    <w:rsid w:val="003F44B6"/>
    <w:rsid w:val="003F7CE2"/>
    <w:rsid w:val="00401C75"/>
    <w:rsid w:val="004159C6"/>
    <w:rsid w:val="0041659A"/>
    <w:rsid w:val="00420E46"/>
    <w:rsid w:val="00434D2A"/>
    <w:rsid w:val="004376E3"/>
    <w:rsid w:val="00443956"/>
    <w:rsid w:val="00456861"/>
    <w:rsid w:val="00457D98"/>
    <w:rsid w:val="00461748"/>
    <w:rsid w:val="00466AD7"/>
    <w:rsid w:val="00470AE3"/>
    <w:rsid w:val="00471C2A"/>
    <w:rsid w:val="004728E1"/>
    <w:rsid w:val="004743CF"/>
    <w:rsid w:val="00484B4C"/>
    <w:rsid w:val="00486A7A"/>
    <w:rsid w:val="004A4363"/>
    <w:rsid w:val="004A6903"/>
    <w:rsid w:val="004B3F1D"/>
    <w:rsid w:val="004B6F33"/>
    <w:rsid w:val="004C4A7F"/>
    <w:rsid w:val="004D2C06"/>
    <w:rsid w:val="004D3A63"/>
    <w:rsid w:val="004E0233"/>
    <w:rsid w:val="004E181E"/>
    <w:rsid w:val="004E34EB"/>
    <w:rsid w:val="00501911"/>
    <w:rsid w:val="00515CB8"/>
    <w:rsid w:val="00522057"/>
    <w:rsid w:val="00527E1A"/>
    <w:rsid w:val="00531804"/>
    <w:rsid w:val="00533855"/>
    <w:rsid w:val="00540B99"/>
    <w:rsid w:val="00541572"/>
    <w:rsid w:val="0054596A"/>
    <w:rsid w:val="0054688F"/>
    <w:rsid w:val="005519DE"/>
    <w:rsid w:val="005548F3"/>
    <w:rsid w:val="005553DC"/>
    <w:rsid w:val="0056118F"/>
    <w:rsid w:val="00571CC5"/>
    <w:rsid w:val="00574F8B"/>
    <w:rsid w:val="005758E5"/>
    <w:rsid w:val="00583A30"/>
    <w:rsid w:val="0058541B"/>
    <w:rsid w:val="0058733C"/>
    <w:rsid w:val="0059791D"/>
    <w:rsid w:val="00597EC1"/>
    <w:rsid w:val="005A7E07"/>
    <w:rsid w:val="005D0EA3"/>
    <w:rsid w:val="005D298F"/>
    <w:rsid w:val="005D669C"/>
    <w:rsid w:val="005D7F4C"/>
    <w:rsid w:val="005F3F27"/>
    <w:rsid w:val="005F5015"/>
    <w:rsid w:val="00600756"/>
    <w:rsid w:val="006011EB"/>
    <w:rsid w:val="00614FDE"/>
    <w:rsid w:val="00621754"/>
    <w:rsid w:val="006238FB"/>
    <w:rsid w:val="00625479"/>
    <w:rsid w:val="00633EEA"/>
    <w:rsid w:val="00635A69"/>
    <w:rsid w:val="00644A30"/>
    <w:rsid w:val="006504C9"/>
    <w:rsid w:val="00651853"/>
    <w:rsid w:val="0065332E"/>
    <w:rsid w:val="0065384C"/>
    <w:rsid w:val="00654399"/>
    <w:rsid w:val="00657116"/>
    <w:rsid w:val="00657AD0"/>
    <w:rsid w:val="00663517"/>
    <w:rsid w:val="006721A8"/>
    <w:rsid w:val="00674304"/>
    <w:rsid w:val="0067692B"/>
    <w:rsid w:val="00680D90"/>
    <w:rsid w:val="006901A9"/>
    <w:rsid w:val="006A0190"/>
    <w:rsid w:val="006A19DE"/>
    <w:rsid w:val="006A2EC2"/>
    <w:rsid w:val="006A78DD"/>
    <w:rsid w:val="006B1842"/>
    <w:rsid w:val="006C3B0D"/>
    <w:rsid w:val="006D0812"/>
    <w:rsid w:val="006D47F7"/>
    <w:rsid w:val="006D648E"/>
    <w:rsid w:val="006D75B2"/>
    <w:rsid w:val="006E1263"/>
    <w:rsid w:val="006E22D3"/>
    <w:rsid w:val="006F7BD8"/>
    <w:rsid w:val="00701979"/>
    <w:rsid w:val="0070664E"/>
    <w:rsid w:val="00714424"/>
    <w:rsid w:val="007166E9"/>
    <w:rsid w:val="00720E93"/>
    <w:rsid w:val="00722527"/>
    <w:rsid w:val="00727178"/>
    <w:rsid w:val="00727E82"/>
    <w:rsid w:val="00732A26"/>
    <w:rsid w:val="007331FA"/>
    <w:rsid w:val="00734009"/>
    <w:rsid w:val="00736988"/>
    <w:rsid w:val="007415A2"/>
    <w:rsid w:val="00742E7D"/>
    <w:rsid w:val="00747AED"/>
    <w:rsid w:val="00751DF4"/>
    <w:rsid w:val="007533A6"/>
    <w:rsid w:val="00756A92"/>
    <w:rsid w:val="007716DF"/>
    <w:rsid w:val="00774679"/>
    <w:rsid w:val="00777420"/>
    <w:rsid w:val="0078188E"/>
    <w:rsid w:val="00786052"/>
    <w:rsid w:val="007900B8"/>
    <w:rsid w:val="007914D2"/>
    <w:rsid w:val="00794AEA"/>
    <w:rsid w:val="007979C9"/>
    <w:rsid w:val="007A2F47"/>
    <w:rsid w:val="007B5CAC"/>
    <w:rsid w:val="007B682E"/>
    <w:rsid w:val="007C3C93"/>
    <w:rsid w:val="007C5683"/>
    <w:rsid w:val="007D0340"/>
    <w:rsid w:val="007D34C6"/>
    <w:rsid w:val="007F16BF"/>
    <w:rsid w:val="007F36B4"/>
    <w:rsid w:val="007F3BE4"/>
    <w:rsid w:val="007F7700"/>
    <w:rsid w:val="007F78A1"/>
    <w:rsid w:val="007F7B70"/>
    <w:rsid w:val="008159FD"/>
    <w:rsid w:val="008267BD"/>
    <w:rsid w:val="00832B44"/>
    <w:rsid w:val="00833958"/>
    <w:rsid w:val="00834BEC"/>
    <w:rsid w:val="00841BD1"/>
    <w:rsid w:val="00855190"/>
    <w:rsid w:val="00856AB4"/>
    <w:rsid w:val="00862F80"/>
    <w:rsid w:val="008704FE"/>
    <w:rsid w:val="00873E78"/>
    <w:rsid w:val="00882E3F"/>
    <w:rsid w:val="008834E0"/>
    <w:rsid w:val="00884D8A"/>
    <w:rsid w:val="00885929"/>
    <w:rsid w:val="00885F07"/>
    <w:rsid w:val="008970CE"/>
    <w:rsid w:val="00897392"/>
    <w:rsid w:val="008A6E17"/>
    <w:rsid w:val="008B162F"/>
    <w:rsid w:val="008B3037"/>
    <w:rsid w:val="008B4EAD"/>
    <w:rsid w:val="008B53AC"/>
    <w:rsid w:val="008B66F2"/>
    <w:rsid w:val="008B6987"/>
    <w:rsid w:val="008B7249"/>
    <w:rsid w:val="008B7B5D"/>
    <w:rsid w:val="008C2E2F"/>
    <w:rsid w:val="008C37D1"/>
    <w:rsid w:val="008C5915"/>
    <w:rsid w:val="008D56BF"/>
    <w:rsid w:val="008D61AE"/>
    <w:rsid w:val="008D735A"/>
    <w:rsid w:val="008E0D47"/>
    <w:rsid w:val="008E73B0"/>
    <w:rsid w:val="008F3AEB"/>
    <w:rsid w:val="008F4B6C"/>
    <w:rsid w:val="00900849"/>
    <w:rsid w:val="00903135"/>
    <w:rsid w:val="00905ACF"/>
    <w:rsid w:val="00911011"/>
    <w:rsid w:val="00914CFE"/>
    <w:rsid w:val="00932465"/>
    <w:rsid w:val="009340B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943FE"/>
    <w:rsid w:val="009A0779"/>
    <w:rsid w:val="009A78FF"/>
    <w:rsid w:val="009B6465"/>
    <w:rsid w:val="009B65D7"/>
    <w:rsid w:val="009B7A43"/>
    <w:rsid w:val="009B7B6E"/>
    <w:rsid w:val="009C0A25"/>
    <w:rsid w:val="009C2EDE"/>
    <w:rsid w:val="009C7E2D"/>
    <w:rsid w:val="009D4442"/>
    <w:rsid w:val="009E1D7A"/>
    <w:rsid w:val="009E7BC4"/>
    <w:rsid w:val="009F49F6"/>
    <w:rsid w:val="009F77FB"/>
    <w:rsid w:val="00A0093B"/>
    <w:rsid w:val="00A00D3A"/>
    <w:rsid w:val="00A0369A"/>
    <w:rsid w:val="00A10484"/>
    <w:rsid w:val="00A12DE2"/>
    <w:rsid w:val="00A171DB"/>
    <w:rsid w:val="00A24641"/>
    <w:rsid w:val="00A31208"/>
    <w:rsid w:val="00A34F44"/>
    <w:rsid w:val="00A35DD0"/>
    <w:rsid w:val="00A4021D"/>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D4486"/>
    <w:rsid w:val="00AE287A"/>
    <w:rsid w:val="00AE4FCE"/>
    <w:rsid w:val="00AE6245"/>
    <w:rsid w:val="00AF0D8C"/>
    <w:rsid w:val="00AF5BD4"/>
    <w:rsid w:val="00B0488D"/>
    <w:rsid w:val="00B10D25"/>
    <w:rsid w:val="00B11480"/>
    <w:rsid w:val="00B11DA5"/>
    <w:rsid w:val="00B13ECF"/>
    <w:rsid w:val="00B16E7A"/>
    <w:rsid w:val="00B23F5E"/>
    <w:rsid w:val="00B25811"/>
    <w:rsid w:val="00B264D5"/>
    <w:rsid w:val="00B32990"/>
    <w:rsid w:val="00B4715B"/>
    <w:rsid w:val="00B472C6"/>
    <w:rsid w:val="00B7072E"/>
    <w:rsid w:val="00B77728"/>
    <w:rsid w:val="00B800F7"/>
    <w:rsid w:val="00B8278F"/>
    <w:rsid w:val="00B87AA5"/>
    <w:rsid w:val="00B91634"/>
    <w:rsid w:val="00B93B00"/>
    <w:rsid w:val="00B95752"/>
    <w:rsid w:val="00B95FCC"/>
    <w:rsid w:val="00B977B2"/>
    <w:rsid w:val="00BA064B"/>
    <w:rsid w:val="00BA0E50"/>
    <w:rsid w:val="00BA3C58"/>
    <w:rsid w:val="00BA619C"/>
    <w:rsid w:val="00BC76A3"/>
    <w:rsid w:val="00BD13EF"/>
    <w:rsid w:val="00BD24A2"/>
    <w:rsid w:val="00BD6B09"/>
    <w:rsid w:val="00BE0F8A"/>
    <w:rsid w:val="00BE46FD"/>
    <w:rsid w:val="00BE51E5"/>
    <w:rsid w:val="00BE7C84"/>
    <w:rsid w:val="00BF0CE9"/>
    <w:rsid w:val="00C22074"/>
    <w:rsid w:val="00C25A0A"/>
    <w:rsid w:val="00C33E42"/>
    <w:rsid w:val="00C3562A"/>
    <w:rsid w:val="00C458F5"/>
    <w:rsid w:val="00C57657"/>
    <w:rsid w:val="00C62A71"/>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15212"/>
    <w:rsid w:val="00D157E0"/>
    <w:rsid w:val="00D15C97"/>
    <w:rsid w:val="00D1770C"/>
    <w:rsid w:val="00D22D7A"/>
    <w:rsid w:val="00D23E68"/>
    <w:rsid w:val="00D332DE"/>
    <w:rsid w:val="00D36951"/>
    <w:rsid w:val="00D4608E"/>
    <w:rsid w:val="00D50808"/>
    <w:rsid w:val="00D53E6B"/>
    <w:rsid w:val="00D5571A"/>
    <w:rsid w:val="00D666C4"/>
    <w:rsid w:val="00D6758E"/>
    <w:rsid w:val="00D70B65"/>
    <w:rsid w:val="00D75BF8"/>
    <w:rsid w:val="00D847C6"/>
    <w:rsid w:val="00D875A6"/>
    <w:rsid w:val="00D90DA2"/>
    <w:rsid w:val="00D92653"/>
    <w:rsid w:val="00D95F38"/>
    <w:rsid w:val="00DA168C"/>
    <w:rsid w:val="00DA369F"/>
    <w:rsid w:val="00DA7314"/>
    <w:rsid w:val="00DB6062"/>
    <w:rsid w:val="00DB7502"/>
    <w:rsid w:val="00DC28DA"/>
    <w:rsid w:val="00DC3ACB"/>
    <w:rsid w:val="00DC6980"/>
    <w:rsid w:val="00DD0701"/>
    <w:rsid w:val="00DD0892"/>
    <w:rsid w:val="00DD1390"/>
    <w:rsid w:val="00DD7735"/>
    <w:rsid w:val="00DE34B0"/>
    <w:rsid w:val="00DE7DCB"/>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478FB"/>
    <w:rsid w:val="00E50F8B"/>
    <w:rsid w:val="00E53EB9"/>
    <w:rsid w:val="00E5456F"/>
    <w:rsid w:val="00E579D8"/>
    <w:rsid w:val="00E71EF0"/>
    <w:rsid w:val="00E7242C"/>
    <w:rsid w:val="00E73F89"/>
    <w:rsid w:val="00E86FC9"/>
    <w:rsid w:val="00E965F7"/>
    <w:rsid w:val="00E9717D"/>
    <w:rsid w:val="00EA3376"/>
    <w:rsid w:val="00EA42F2"/>
    <w:rsid w:val="00EA6E47"/>
    <w:rsid w:val="00EB259B"/>
    <w:rsid w:val="00EB3229"/>
    <w:rsid w:val="00EB6E43"/>
    <w:rsid w:val="00EC0D8F"/>
    <w:rsid w:val="00EC4769"/>
    <w:rsid w:val="00ED021A"/>
    <w:rsid w:val="00ED4E76"/>
    <w:rsid w:val="00ED78C6"/>
    <w:rsid w:val="00EE2764"/>
    <w:rsid w:val="00EE3DC3"/>
    <w:rsid w:val="00EE5D1E"/>
    <w:rsid w:val="00EF21CF"/>
    <w:rsid w:val="00EF3697"/>
    <w:rsid w:val="00EF6B14"/>
    <w:rsid w:val="00EF7CCD"/>
    <w:rsid w:val="00F0007F"/>
    <w:rsid w:val="00F007AF"/>
    <w:rsid w:val="00F03730"/>
    <w:rsid w:val="00F04376"/>
    <w:rsid w:val="00F10C7F"/>
    <w:rsid w:val="00F11F75"/>
    <w:rsid w:val="00F12B60"/>
    <w:rsid w:val="00F20234"/>
    <w:rsid w:val="00F22A16"/>
    <w:rsid w:val="00F25353"/>
    <w:rsid w:val="00F3436F"/>
    <w:rsid w:val="00F408CF"/>
    <w:rsid w:val="00F457BD"/>
    <w:rsid w:val="00F50ADF"/>
    <w:rsid w:val="00F50CBC"/>
    <w:rsid w:val="00F5665E"/>
    <w:rsid w:val="00F61260"/>
    <w:rsid w:val="00F721B6"/>
    <w:rsid w:val="00F7367E"/>
    <w:rsid w:val="00F743A5"/>
    <w:rsid w:val="00F76064"/>
    <w:rsid w:val="00F851EF"/>
    <w:rsid w:val="00F867DC"/>
    <w:rsid w:val="00F93B8B"/>
    <w:rsid w:val="00F94022"/>
    <w:rsid w:val="00FA10D3"/>
    <w:rsid w:val="00FB1170"/>
    <w:rsid w:val="00FB3F71"/>
    <w:rsid w:val="00FB64A6"/>
    <w:rsid w:val="00FC56E0"/>
    <w:rsid w:val="00FC60CB"/>
    <w:rsid w:val="00FC6DAD"/>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link w:val="Heading2Char"/>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Heading2Char">
    <w:name w:val="Heading 2 Char"/>
    <w:basedOn w:val="DefaultParagraphFont"/>
    <w:link w:val="Heading2"/>
    <w:rsid w:val="00DD77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693767594">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oyle@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73F3-959D-499D-A5A0-09BB82CB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2227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Sheffer, Ryan</cp:lastModifiedBy>
  <cp:revision>12</cp:revision>
  <cp:lastPrinted>2016-08-03T12:49:00Z</cp:lastPrinted>
  <dcterms:created xsi:type="dcterms:W3CDTF">2019-11-18T20:32:00Z</dcterms:created>
  <dcterms:modified xsi:type="dcterms:W3CDTF">2019-11-20T13:04:00Z</dcterms:modified>
</cp:coreProperties>
</file>