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7B051" w14:textId="77777777" w:rsidR="0038698E" w:rsidRPr="0059512A" w:rsidRDefault="0038698E" w:rsidP="0059512A">
      <w:pPr>
        <w:widowControl/>
        <w:suppressAutoHyphens/>
        <w:jc w:val="center"/>
        <w:rPr>
          <w:b/>
          <w:sz w:val="26"/>
          <w:szCs w:val="26"/>
        </w:rPr>
      </w:pPr>
      <w:r w:rsidRPr="0059512A">
        <w:rPr>
          <w:b/>
          <w:sz w:val="26"/>
          <w:szCs w:val="26"/>
        </w:rPr>
        <w:t>PENNSYLVANIA</w:t>
      </w:r>
    </w:p>
    <w:p w14:paraId="1223F68F" w14:textId="77777777" w:rsidR="0038698E" w:rsidRPr="0059512A" w:rsidRDefault="0038698E" w:rsidP="0059512A">
      <w:pPr>
        <w:widowControl/>
        <w:suppressAutoHyphens/>
        <w:jc w:val="center"/>
        <w:rPr>
          <w:sz w:val="26"/>
          <w:szCs w:val="26"/>
        </w:rPr>
      </w:pPr>
      <w:r w:rsidRPr="0059512A">
        <w:rPr>
          <w:b/>
          <w:sz w:val="26"/>
          <w:szCs w:val="26"/>
        </w:rPr>
        <w:t>PUBLIC UTILITY COMMISSION</w:t>
      </w:r>
    </w:p>
    <w:p w14:paraId="08B68B58" w14:textId="00110855" w:rsidR="0038698E" w:rsidRPr="0059512A" w:rsidRDefault="0038698E" w:rsidP="0059512A">
      <w:pPr>
        <w:widowControl/>
        <w:suppressAutoHyphens/>
        <w:jc w:val="center"/>
        <w:rPr>
          <w:b/>
          <w:sz w:val="26"/>
          <w:szCs w:val="26"/>
        </w:rPr>
      </w:pPr>
      <w:r w:rsidRPr="0059512A">
        <w:rPr>
          <w:b/>
          <w:sz w:val="26"/>
          <w:szCs w:val="26"/>
        </w:rPr>
        <w:t>Harrisburg, PA 171</w:t>
      </w:r>
      <w:r w:rsidR="00F148E4" w:rsidRPr="0059512A">
        <w:rPr>
          <w:b/>
          <w:sz w:val="26"/>
          <w:szCs w:val="26"/>
        </w:rPr>
        <w:t>20</w:t>
      </w:r>
    </w:p>
    <w:p w14:paraId="1A40D713" w14:textId="77777777" w:rsidR="0038698E" w:rsidRPr="0059512A" w:rsidRDefault="0038698E" w:rsidP="0059512A">
      <w:pPr>
        <w:widowControl/>
        <w:suppressAutoHyphens/>
        <w:rPr>
          <w:sz w:val="26"/>
          <w:szCs w:val="26"/>
        </w:rPr>
      </w:pPr>
    </w:p>
    <w:p w14:paraId="4487B0F8" w14:textId="50CEA9CC" w:rsidR="0038698E" w:rsidRPr="0059512A" w:rsidRDefault="0038698E" w:rsidP="0059512A">
      <w:pPr>
        <w:widowControl/>
        <w:suppressAutoHyphens/>
        <w:jc w:val="right"/>
        <w:rPr>
          <w:sz w:val="26"/>
          <w:szCs w:val="26"/>
        </w:rPr>
      </w:pPr>
      <w:r w:rsidRPr="0059512A">
        <w:rPr>
          <w:sz w:val="26"/>
          <w:szCs w:val="26"/>
        </w:rPr>
        <w:t xml:space="preserve">Public Meeting held </w:t>
      </w:r>
      <w:r w:rsidR="00924AF5" w:rsidRPr="0059512A">
        <w:rPr>
          <w:sz w:val="26"/>
          <w:szCs w:val="26"/>
        </w:rPr>
        <w:t>April 16</w:t>
      </w:r>
      <w:r w:rsidRPr="0059512A">
        <w:rPr>
          <w:sz w:val="26"/>
          <w:szCs w:val="26"/>
        </w:rPr>
        <w:t>, 20</w:t>
      </w:r>
      <w:r w:rsidR="00B104A2" w:rsidRPr="0059512A">
        <w:rPr>
          <w:sz w:val="26"/>
          <w:szCs w:val="26"/>
        </w:rPr>
        <w:t>20</w:t>
      </w:r>
    </w:p>
    <w:p w14:paraId="4EB26273" w14:textId="596E1B0C" w:rsidR="0038698E" w:rsidRPr="0059512A" w:rsidRDefault="0038698E" w:rsidP="0059512A">
      <w:pPr>
        <w:widowControl/>
        <w:suppressAutoHyphens/>
        <w:rPr>
          <w:sz w:val="26"/>
          <w:szCs w:val="26"/>
        </w:rPr>
      </w:pPr>
    </w:p>
    <w:p w14:paraId="7010854E" w14:textId="77777777" w:rsidR="00FE2807" w:rsidRPr="0059512A" w:rsidRDefault="00FE2807" w:rsidP="0059512A">
      <w:pPr>
        <w:widowControl/>
        <w:suppressAutoHyphens/>
        <w:rPr>
          <w:sz w:val="26"/>
          <w:szCs w:val="26"/>
        </w:rPr>
      </w:pPr>
    </w:p>
    <w:p w14:paraId="2C77AB1F" w14:textId="77777777" w:rsidR="0038698E" w:rsidRPr="0059512A" w:rsidRDefault="0038698E" w:rsidP="0059512A">
      <w:pPr>
        <w:widowControl/>
        <w:suppressAutoHyphens/>
        <w:rPr>
          <w:sz w:val="26"/>
          <w:szCs w:val="26"/>
        </w:rPr>
      </w:pPr>
      <w:r w:rsidRPr="0059512A">
        <w:rPr>
          <w:sz w:val="26"/>
          <w:szCs w:val="26"/>
        </w:rPr>
        <w:t>Commissioners Present:</w:t>
      </w:r>
    </w:p>
    <w:p w14:paraId="05EC99D5" w14:textId="77777777" w:rsidR="0038698E" w:rsidRPr="0059512A" w:rsidRDefault="0038698E" w:rsidP="0059512A">
      <w:pPr>
        <w:widowControl/>
        <w:suppressAutoHyphens/>
        <w:rPr>
          <w:sz w:val="26"/>
          <w:szCs w:val="26"/>
        </w:rPr>
      </w:pPr>
    </w:p>
    <w:p w14:paraId="60D6447D" w14:textId="59D69474" w:rsidR="0038698E" w:rsidRPr="0059512A" w:rsidRDefault="000D7B91" w:rsidP="0059512A">
      <w:pPr>
        <w:widowControl/>
        <w:ind w:firstLine="720"/>
        <w:rPr>
          <w:sz w:val="26"/>
          <w:szCs w:val="26"/>
        </w:rPr>
      </w:pPr>
      <w:r w:rsidRPr="0059512A">
        <w:rPr>
          <w:sz w:val="26"/>
          <w:szCs w:val="26"/>
        </w:rPr>
        <w:t>Gladys Brown Dutrieuille, Chairman</w:t>
      </w:r>
      <w:r w:rsidR="00866454">
        <w:rPr>
          <w:sz w:val="26"/>
          <w:szCs w:val="26"/>
        </w:rPr>
        <w:t xml:space="preserve">, </w:t>
      </w:r>
      <w:r w:rsidR="008E7E23">
        <w:rPr>
          <w:sz w:val="26"/>
          <w:szCs w:val="26"/>
        </w:rPr>
        <w:t xml:space="preserve">Dissenting </w:t>
      </w:r>
      <w:r w:rsidR="00303AB6">
        <w:rPr>
          <w:sz w:val="26"/>
          <w:szCs w:val="26"/>
        </w:rPr>
        <w:t>i</w:t>
      </w:r>
      <w:r w:rsidR="008E7E23">
        <w:rPr>
          <w:sz w:val="26"/>
          <w:szCs w:val="26"/>
        </w:rPr>
        <w:t xml:space="preserve">n </w:t>
      </w:r>
      <w:r w:rsidR="00303AB6">
        <w:rPr>
          <w:sz w:val="26"/>
          <w:szCs w:val="26"/>
        </w:rPr>
        <w:t>p</w:t>
      </w:r>
      <w:r w:rsidR="008E7E23">
        <w:rPr>
          <w:sz w:val="26"/>
          <w:szCs w:val="26"/>
        </w:rPr>
        <w:t xml:space="preserve">art, </w:t>
      </w:r>
      <w:r w:rsidR="00866454">
        <w:rPr>
          <w:sz w:val="26"/>
          <w:szCs w:val="26"/>
        </w:rPr>
        <w:t>Statement</w:t>
      </w:r>
    </w:p>
    <w:p w14:paraId="1AC0C68E" w14:textId="5A249A89" w:rsidR="0038698E" w:rsidRPr="0059512A" w:rsidRDefault="0038698E" w:rsidP="0059512A">
      <w:pPr>
        <w:widowControl/>
        <w:ind w:firstLine="720"/>
        <w:rPr>
          <w:sz w:val="26"/>
          <w:szCs w:val="26"/>
        </w:rPr>
      </w:pPr>
      <w:r w:rsidRPr="0059512A">
        <w:rPr>
          <w:sz w:val="26"/>
          <w:szCs w:val="26"/>
        </w:rPr>
        <w:t>David W. Sweet, Vice Chairman</w:t>
      </w:r>
    </w:p>
    <w:p w14:paraId="708DE3E4" w14:textId="53210CAE" w:rsidR="0038698E" w:rsidRPr="0059512A" w:rsidRDefault="0038698E" w:rsidP="0059512A">
      <w:pPr>
        <w:widowControl/>
        <w:ind w:firstLine="720"/>
        <w:rPr>
          <w:sz w:val="26"/>
          <w:szCs w:val="26"/>
        </w:rPr>
      </w:pPr>
      <w:r w:rsidRPr="0059512A">
        <w:rPr>
          <w:sz w:val="26"/>
          <w:szCs w:val="26"/>
        </w:rPr>
        <w:t>Andrew G. Place</w:t>
      </w:r>
      <w:r w:rsidR="00866454">
        <w:rPr>
          <w:sz w:val="26"/>
          <w:szCs w:val="26"/>
        </w:rPr>
        <w:t xml:space="preserve">, </w:t>
      </w:r>
      <w:r w:rsidR="008E7E23">
        <w:rPr>
          <w:sz w:val="26"/>
          <w:szCs w:val="26"/>
        </w:rPr>
        <w:t xml:space="preserve">Dissenting in </w:t>
      </w:r>
      <w:r w:rsidR="00303AB6">
        <w:rPr>
          <w:sz w:val="26"/>
          <w:szCs w:val="26"/>
        </w:rPr>
        <w:t>p</w:t>
      </w:r>
      <w:bookmarkStart w:id="0" w:name="_GoBack"/>
      <w:bookmarkEnd w:id="0"/>
      <w:r w:rsidR="008E7E23">
        <w:rPr>
          <w:sz w:val="26"/>
          <w:szCs w:val="26"/>
        </w:rPr>
        <w:t xml:space="preserve">art, </w:t>
      </w:r>
      <w:r w:rsidR="00866454">
        <w:rPr>
          <w:sz w:val="26"/>
          <w:szCs w:val="26"/>
        </w:rPr>
        <w:t>Statement</w:t>
      </w:r>
    </w:p>
    <w:p w14:paraId="0E6C8569" w14:textId="42238E2E" w:rsidR="0038698E" w:rsidRPr="0059512A" w:rsidRDefault="0038698E" w:rsidP="0059512A">
      <w:pPr>
        <w:widowControl/>
        <w:ind w:firstLine="720"/>
        <w:rPr>
          <w:sz w:val="26"/>
          <w:szCs w:val="26"/>
        </w:rPr>
      </w:pPr>
      <w:r w:rsidRPr="0059512A">
        <w:rPr>
          <w:sz w:val="26"/>
          <w:szCs w:val="26"/>
        </w:rPr>
        <w:t>John F. Coleman, Jr.</w:t>
      </w:r>
    </w:p>
    <w:p w14:paraId="7446D00D" w14:textId="11B0AD5A" w:rsidR="0038698E" w:rsidRPr="0059512A" w:rsidRDefault="00B01567" w:rsidP="0059512A">
      <w:pPr>
        <w:widowControl/>
        <w:ind w:firstLine="720"/>
        <w:rPr>
          <w:sz w:val="26"/>
          <w:szCs w:val="26"/>
        </w:rPr>
      </w:pPr>
      <w:r w:rsidRPr="0059512A">
        <w:rPr>
          <w:sz w:val="26"/>
          <w:szCs w:val="26"/>
        </w:rPr>
        <w:t>Ralph V. Yanora</w:t>
      </w:r>
    </w:p>
    <w:p w14:paraId="6BE16230" w14:textId="44D6FB65" w:rsidR="0038698E" w:rsidRPr="0059512A" w:rsidRDefault="0038698E" w:rsidP="0059512A">
      <w:pPr>
        <w:widowControl/>
        <w:suppressAutoHyphens/>
        <w:rPr>
          <w:sz w:val="26"/>
          <w:szCs w:val="26"/>
        </w:rPr>
      </w:pPr>
    </w:p>
    <w:p w14:paraId="0677277D" w14:textId="77777777" w:rsidR="00FE2807" w:rsidRPr="0059512A" w:rsidRDefault="00FE2807" w:rsidP="0059512A">
      <w:pPr>
        <w:widowControl/>
        <w:suppressAutoHyphens/>
        <w:rPr>
          <w:sz w:val="26"/>
          <w:szCs w:val="26"/>
        </w:rPr>
      </w:pPr>
    </w:p>
    <w:p w14:paraId="437C6CBE" w14:textId="3D2935AF" w:rsidR="00401247" w:rsidRPr="0059512A" w:rsidRDefault="00401247" w:rsidP="0059512A">
      <w:pPr>
        <w:widowControl/>
        <w:tabs>
          <w:tab w:val="left" w:pos="-720"/>
        </w:tabs>
        <w:suppressAutoHyphens/>
        <w:jc w:val="both"/>
        <w:rPr>
          <w:sz w:val="26"/>
          <w:szCs w:val="26"/>
        </w:rPr>
      </w:pPr>
      <w:r w:rsidRPr="0059512A">
        <w:rPr>
          <w:sz w:val="26"/>
          <w:szCs w:val="26"/>
        </w:rPr>
        <w:t>Pennsylvania Public Utility Commission</w:t>
      </w:r>
      <w:r w:rsidRPr="0059512A">
        <w:rPr>
          <w:sz w:val="26"/>
          <w:szCs w:val="26"/>
        </w:rPr>
        <w:tab/>
      </w:r>
      <w:r w:rsidRPr="0059512A">
        <w:rPr>
          <w:sz w:val="26"/>
          <w:szCs w:val="26"/>
        </w:rPr>
        <w:tab/>
      </w:r>
      <w:r w:rsidRPr="0059512A">
        <w:rPr>
          <w:sz w:val="26"/>
          <w:szCs w:val="26"/>
        </w:rPr>
        <w:tab/>
      </w:r>
      <w:r w:rsidRPr="0059512A">
        <w:rPr>
          <w:sz w:val="26"/>
          <w:szCs w:val="26"/>
        </w:rPr>
        <w:tab/>
      </w:r>
      <w:r w:rsidRPr="0059512A">
        <w:rPr>
          <w:sz w:val="26"/>
          <w:szCs w:val="26"/>
        </w:rPr>
        <w:tab/>
        <w:t xml:space="preserve">   R-2019-3008212</w:t>
      </w:r>
    </w:p>
    <w:p w14:paraId="362E299A" w14:textId="6F5B89B0" w:rsidR="00401247" w:rsidRPr="0059512A" w:rsidRDefault="00401247" w:rsidP="0059512A">
      <w:pPr>
        <w:widowControl/>
        <w:rPr>
          <w:sz w:val="26"/>
          <w:szCs w:val="26"/>
        </w:rPr>
      </w:pPr>
      <w:r w:rsidRPr="0059512A">
        <w:rPr>
          <w:sz w:val="26"/>
          <w:szCs w:val="26"/>
        </w:rPr>
        <w:t xml:space="preserve">Office of Small Business Advocate </w:t>
      </w:r>
      <w:r w:rsidRPr="0059512A">
        <w:rPr>
          <w:sz w:val="26"/>
          <w:szCs w:val="26"/>
        </w:rPr>
        <w:tab/>
      </w:r>
      <w:r w:rsidRPr="0059512A">
        <w:rPr>
          <w:sz w:val="26"/>
          <w:szCs w:val="26"/>
        </w:rPr>
        <w:tab/>
      </w:r>
      <w:r w:rsidRPr="0059512A">
        <w:rPr>
          <w:sz w:val="26"/>
          <w:szCs w:val="26"/>
        </w:rPr>
        <w:tab/>
      </w:r>
      <w:r w:rsidRPr="0059512A">
        <w:rPr>
          <w:sz w:val="26"/>
          <w:szCs w:val="26"/>
        </w:rPr>
        <w:tab/>
      </w:r>
      <w:r w:rsidRPr="0059512A">
        <w:rPr>
          <w:sz w:val="26"/>
          <w:szCs w:val="26"/>
        </w:rPr>
        <w:tab/>
        <w:t xml:space="preserve">   C-2019-3011849</w:t>
      </w:r>
    </w:p>
    <w:p w14:paraId="23FED99B" w14:textId="77777777" w:rsidR="00401247" w:rsidRPr="0059512A" w:rsidRDefault="00401247" w:rsidP="0059512A">
      <w:pPr>
        <w:widowControl/>
        <w:tabs>
          <w:tab w:val="left" w:pos="-720"/>
        </w:tabs>
        <w:suppressAutoHyphens/>
        <w:jc w:val="both"/>
        <w:rPr>
          <w:sz w:val="26"/>
          <w:szCs w:val="26"/>
        </w:rPr>
      </w:pPr>
    </w:p>
    <w:p w14:paraId="02EECEED" w14:textId="749200C0" w:rsidR="00401247" w:rsidRPr="0059512A" w:rsidRDefault="00401247" w:rsidP="0059512A">
      <w:pPr>
        <w:widowControl/>
        <w:tabs>
          <w:tab w:val="left" w:pos="-720"/>
        </w:tabs>
        <w:suppressAutoHyphens/>
        <w:jc w:val="both"/>
        <w:rPr>
          <w:sz w:val="26"/>
          <w:szCs w:val="26"/>
        </w:rPr>
      </w:pPr>
      <w:r w:rsidRPr="0059512A">
        <w:rPr>
          <w:sz w:val="26"/>
          <w:szCs w:val="26"/>
        </w:rPr>
        <w:tab/>
      </w:r>
      <w:r w:rsidRPr="0059512A">
        <w:rPr>
          <w:sz w:val="26"/>
          <w:szCs w:val="26"/>
        </w:rPr>
        <w:tab/>
        <w:t>v.</w:t>
      </w:r>
    </w:p>
    <w:p w14:paraId="1E8515BE" w14:textId="77777777" w:rsidR="00401247" w:rsidRPr="0059512A" w:rsidRDefault="00401247" w:rsidP="0059512A">
      <w:pPr>
        <w:widowControl/>
        <w:tabs>
          <w:tab w:val="left" w:pos="-720"/>
        </w:tabs>
        <w:suppressAutoHyphens/>
        <w:jc w:val="both"/>
        <w:rPr>
          <w:sz w:val="26"/>
          <w:szCs w:val="26"/>
        </w:rPr>
      </w:pPr>
    </w:p>
    <w:p w14:paraId="729FE3FA" w14:textId="77777777" w:rsidR="00401247" w:rsidRPr="0059512A" w:rsidRDefault="00401247" w:rsidP="0059512A">
      <w:pPr>
        <w:widowControl/>
        <w:tabs>
          <w:tab w:val="left" w:pos="-720"/>
        </w:tabs>
        <w:suppressAutoHyphens/>
        <w:jc w:val="both"/>
        <w:rPr>
          <w:sz w:val="26"/>
          <w:szCs w:val="26"/>
        </w:rPr>
      </w:pPr>
      <w:r w:rsidRPr="0059512A">
        <w:rPr>
          <w:sz w:val="26"/>
          <w:szCs w:val="26"/>
        </w:rPr>
        <w:t xml:space="preserve">Citizens’ Electric Company of </w:t>
      </w:r>
      <w:smartTag w:uri="urn:schemas-microsoft-com:office:smarttags" w:element="place">
        <w:smartTag w:uri="urn:schemas-microsoft-com:office:smarttags" w:element="City">
          <w:r w:rsidRPr="0059512A">
            <w:rPr>
              <w:sz w:val="26"/>
              <w:szCs w:val="26"/>
            </w:rPr>
            <w:t>Lewisburg</w:t>
          </w:r>
        </w:smartTag>
        <w:r w:rsidRPr="0059512A">
          <w:rPr>
            <w:sz w:val="26"/>
            <w:szCs w:val="26"/>
          </w:rPr>
          <w:t xml:space="preserve">, </w:t>
        </w:r>
        <w:smartTag w:uri="urn:schemas-microsoft-com:office:smarttags" w:element="State">
          <w:r w:rsidRPr="0059512A">
            <w:rPr>
              <w:sz w:val="26"/>
              <w:szCs w:val="26"/>
            </w:rPr>
            <w:t>PA</w:t>
          </w:r>
        </w:smartTag>
      </w:smartTag>
    </w:p>
    <w:p w14:paraId="33E469C3" w14:textId="49F5355B" w:rsidR="00344C68" w:rsidRPr="0059512A" w:rsidRDefault="00344C68" w:rsidP="0059512A">
      <w:pPr>
        <w:widowControl/>
        <w:rPr>
          <w:b/>
          <w:sz w:val="26"/>
          <w:szCs w:val="26"/>
        </w:rPr>
      </w:pPr>
    </w:p>
    <w:p w14:paraId="5F0CBB59" w14:textId="067C36A1" w:rsidR="00865783" w:rsidRPr="0059512A" w:rsidRDefault="00865783" w:rsidP="0059512A">
      <w:pPr>
        <w:widowControl/>
        <w:rPr>
          <w:b/>
          <w:sz w:val="26"/>
          <w:szCs w:val="26"/>
        </w:rPr>
      </w:pPr>
    </w:p>
    <w:p w14:paraId="6648642D" w14:textId="0237FA34" w:rsidR="00865783" w:rsidRPr="0059512A" w:rsidRDefault="00865783" w:rsidP="0059512A">
      <w:pPr>
        <w:widowControl/>
        <w:rPr>
          <w:b/>
          <w:sz w:val="26"/>
          <w:szCs w:val="26"/>
        </w:rPr>
      </w:pPr>
    </w:p>
    <w:p w14:paraId="388646ED" w14:textId="7F90CB11" w:rsidR="00865783" w:rsidRPr="0059512A" w:rsidRDefault="00865783" w:rsidP="0059512A">
      <w:pPr>
        <w:widowControl/>
        <w:jc w:val="center"/>
        <w:rPr>
          <w:b/>
          <w:sz w:val="26"/>
          <w:szCs w:val="26"/>
        </w:rPr>
      </w:pPr>
      <w:r w:rsidRPr="0059512A">
        <w:rPr>
          <w:b/>
          <w:sz w:val="26"/>
          <w:szCs w:val="26"/>
        </w:rPr>
        <w:t>OPINION AND ORDER</w:t>
      </w:r>
    </w:p>
    <w:bookmarkStart w:id="1" w:name="_Hlk523834991" w:displacedByCustomXml="next"/>
    <w:sdt>
      <w:sdtPr>
        <w:rPr>
          <w:sz w:val="26"/>
          <w:szCs w:val="26"/>
        </w:rPr>
        <w:id w:val="934635144"/>
        <w:docPartObj>
          <w:docPartGallery w:val="Table of Contents"/>
          <w:docPartUnique/>
        </w:docPartObj>
      </w:sdtPr>
      <w:sdtEndPr>
        <w:rPr>
          <w:noProof/>
        </w:rPr>
      </w:sdtEndPr>
      <w:sdtContent>
        <w:p w14:paraId="24056A15" w14:textId="77777777" w:rsidR="00A32A88" w:rsidRPr="0059512A" w:rsidRDefault="00A32A88" w:rsidP="0059512A">
          <w:pPr>
            <w:widowControl/>
            <w:spacing w:before="480" w:line="360" w:lineRule="auto"/>
            <w:jc w:val="center"/>
            <w:rPr>
              <w:sz w:val="26"/>
              <w:szCs w:val="26"/>
            </w:rPr>
            <w:sectPr w:rsidR="00A32A88" w:rsidRPr="0059512A" w:rsidSect="003742C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6D81C4A3" w14:textId="082F921F" w:rsidR="005A74D5" w:rsidRPr="0059512A" w:rsidRDefault="005A74D5" w:rsidP="0059512A">
          <w:pPr>
            <w:widowControl/>
            <w:spacing w:before="480" w:line="360" w:lineRule="auto"/>
            <w:jc w:val="center"/>
            <w:rPr>
              <w:b/>
              <w:bCs/>
              <w:sz w:val="26"/>
              <w:szCs w:val="26"/>
              <w:lang w:eastAsia="ja-JP"/>
            </w:rPr>
          </w:pPr>
          <w:r w:rsidRPr="0059512A">
            <w:rPr>
              <w:b/>
              <w:sz w:val="26"/>
              <w:szCs w:val="26"/>
            </w:rPr>
            <w:lastRenderedPageBreak/>
            <w:t>Table of</w:t>
          </w:r>
          <w:r w:rsidRPr="0059512A">
            <w:rPr>
              <w:sz w:val="26"/>
              <w:szCs w:val="26"/>
            </w:rPr>
            <w:t xml:space="preserve"> </w:t>
          </w:r>
          <w:r w:rsidRPr="0059512A">
            <w:rPr>
              <w:b/>
              <w:bCs/>
              <w:sz w:val="26"/>
              <w:szCs w:val="26"/>
              <w:lang w:eastAsia="ja-JP"/>
            </w:rPr>
            <w:t>Contents</w:t>
          </w:r>
        </w:p>
        <w:p w14:paraId="26618FF6" w14:textId="77777777" w:rsidR="005A74D5" w:rsidRPr="0059512A" w:rsidRDefault="005A74D5" w:rsidP="0059512A">
          <w:pPr>
            <w:widowControl/>
            <w:ind w:firstLine="1440"/>
            <w:rPr>
              <w:sz w:val="26"/>
              <w:szCs w:val="26"/>
              <w:lang w:eastAsia="ja-JP"/>
            </w:rPr>
          </w:pPr>
        </w:p>
        <w:p w14:paraId="432698E1" w14:textId="3292E7F5" w:rsidR="0006589E" w:rsidRPr="0006589E" w:rsidRDefault="005A74D5">
          <w:pPr>
            <w:pStyle w:val="TOC1"/>
            <w:rPr>
              <w:rFonts w:asciiTheme="minorHAnsi" w:eastAsiaTheme="minorEastAsia" w:hAnsiTheme="minorHAnsi" w:cstheme="minorBidi"/>
              <w:noProof/>
              <w:szCs w:val="26"/>
            </w:rPr>
          </w:pPr>
          <w:r w:rsidRPr="0059512A">
            <w:rPr>
              <w:szCs w:val="26"/>
            </w:rPr>
            <w:fldChar w:fldCharType="begin"/>
          </w:r>
          <w:r w:rsidRPr="0059512A">
            <w:rPr>
              <w:szCs w:val="26"/>
            </w:rPr>
            <w:instrText xml:space="preserve"> TOC \o "1-4" \h \z \u </w:instrText>
          </w:r>
          <w:r w:rsidRPr="0059512A">
            <w:rPr>
              <w:szCs w:val="26"/>
            </w:rPr>
            <w:fldChar w:fldCharType="separate"/>
          </w:r>
          <w:hyperlink w:anchor="_Toc38629252" w:history="1">
            <w:r w:rsidR="0006589E" w:rsidRPr="0006589E">
              <w:rPr>
                <w:rStyle w:val="Hyperlink"/>
                <w:noProof/>
                <w:szCs w:val="26"/>
              </w:rPr>
              <w:t>I.</w:t>
            </w:r>
            <w:r w:rsidR="0006589E" w:rsidRPr="0006589E">
              <w:rPr>
                <w:rFonts w:asciiTheme="minorHAnsi" w:eastAsiaTheme="minorEastAsia" w:hAnsiTheme="minorHAnsi" w:cstheme="minorBidi"/>
                <w:noProof/>
                <w:szCs w:val="26"/>
              </w:rPr>
              <w:tab/>
            </w:r>
            <w:r w:rsidR="0006589E" w:rsidRPr="0006589E">
              <w:rPr>
                <w:rStyle w:val="Hyperlink"/>
                <w:noProof/>
                <w:szCs w:val="26"/>
              </w:rPr>
              <w:t>Background</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_Toc38629252 \h </w:instrText>
            </w:r>
            <w:r w:rsidR="0006589E" w:rsidRPr="0006589E">
              <w:rPr>
                <w:noProof/>
                <w:webHidden/>
                <w:szCs w:val="26"/>
              </w:rPr>
            </w:r>
            <w:r w:rsidR="0006589E" w:rsidRPr="0006589E">
              <w:rPr>
                <w:noProof/>
                <w:webHidden/>
                <w:szCs w:val="26"/>
              </w:rPr>
              <w:fldChar w:fldCharType="separate"/>
            </w:r>
            <w:r w:rsidR="009807F8">
              <w:rPr>
                <w:noProof/>
                <w:webHidden/>
                <w:szCs w:val="26"/>
              </w:rPr>
              <w:t>2</w:t>
            </w:r>
            <w:r w:rsidR="0006589E" w:rsidRPr="0006589E">
              <w:rPr>
                <w:noProof/>
                <w:webHidden/>
                <w:szCs w:val="26"/>
              </w:rPr>
              <w:fldChar w:fldCharType="end"/>
            </w:r>
          </w:hyperlink>
        </w:p>
        <w:p w14:paraId="3AC3D5F1" w14:textId="1F9FE210" w:rsidR="0006589E" w:rsidRPr="0006589E" w:rsidRDefault="008E7E23">
          <w:pPr>
            <w:pStyle w:val="TOC1"/>
            <w:rPr>
              <w:rFonts w:asciiTheme="minorHAnsi" w:eastAsiaTheme="minorEastAsia" w:hAnsiTheme="minorHAnsi" w:cstheme="minorBidi"/>
              <w:noProof/>
              <w:szCs w:val="26"/>
            </w:rPr>
          </w:pPr>
          <w:hyperlink w:anchor="_Toc38629253" w:history="1">
            <w:r w:rsidR="0006589E" w:rsidRPr="0006589E">
              <w:rPr>
                <w:rStyle w:val="Hyperlink"/>
                <w:noProof/>
                <w:szCs w:val="26"/>
              </w:rPr>
              <w:t>II.</w:t>
            </w:r>
            <w:r w:rsidR="0006589E" w:rsidRPr="0006589E">
              <w:rPr>
                <w:rFonts w:asciiTheme="minorHAnsi" w:eastAsiaTheme="minorEastAsia" w:hAnsiTheme="minorHAnsi" w:cstheme="minorBidi"/>
                <w:noProof/>
                <w:szCs w:val="26"/>
              </w:rPr>
              <w:tab/>
            </w:r>
            <w:r w:rsidR="0006589E" w:rsidRPr="0006589E">
              <w:rPr>
                <w:rStyle w:val="Hyperlink"/>
                <w:noProof/>
                <w:szCs w:val="26"/>
              </w:rPr>
              <w:t>History of Proceeding</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_Toc38629253 \h </w:instrText>
            </w:r>
            <w:r w:rsidR="0006589E" w:rsidRPr="0006589E">
              <w:rPr>
                <w:noProof/>
                <w:webHidden/>
                <w:szCs w:val="26"/>
              </w:rPr>
            </w:r>
            <w:r w:rsidR="0006589E" w:rsidRPr="0006589E">
              <w:rPr>
                <w:noProof/>
                <w:webHidden/>
                <w:szCs w:val="26"/>
              </w:rPr>
              <w:fldChar w:fldCharType="separate"/>
            </w:r>
            <w:r w:rsidR="009807F8">
              <w:rPr>
                <w:noProof/>
                <w:webHidden/>
                <w:szCs w:val="26"/>
              </w:rPr>
              <w:t>3</w:t>
            </w:r>
            <w:r w:rsidR="0006589E" w:rsidRPr="0006589E">
              <w:rPr>
                <w:noProof/>
                <w:webHidden/>
                <w:szCs w:val="26"/>
              </w:rPr>
              <w:fldChar w:fldCharType="end"/>
            </w:r>
          </w:hyperlink>
        </w:p>
        <w:p w14:paraId="05F34F1A" w14:textId="29AF41E8" w:rsidR="0006589E" w:rsidRPr="0006589E" w:rsidRDefault="008E7E23">
          <w:pPr>
            <w:pStyle w:val="TOC1"/>
            <w:rPr>
              <w:rFonts w:asciiTheme="minorHAnsi" w:eastAsiaTheme="minorEastAsia" w:hAnsiTheme="minorHAnsi" w:cstheme="minorBidi"/>
              <w:noProof/>
              <w:szCs w:val="26"/>
            </w:rPr>
          </w:pPr>
          <w:hyperlink w:anchor="_Toc38629254" w:history="1">
            <w:r w:rsidR="0006589E" w:rsidRPr="0006589E">
              <w:rPr>
                <w:rStyle w:val="Hyperlink"/>
                <w:noProof/>
                <w:szCs w:val="26"/>
              </w:rPr>
              <w:t>III.</w:t>
            </w:r>
            <w:r w:rsidR="0006589E" w:rsidRPr="0006589E">
              <w:rPr>
                <w:rFonts w:asciiTheme="minorHAnsi" w:eastAsiaTheme="minorEastAsia" w:hAnsiTheme="minorHAnsi" w:cstheme="minorBidi"/>
                <w:noProof/>
                <w:szCs w:val="26"/>
              </w:rPr>
              <w:tab/>
            </w:r>
            <w:r w:rsidR="0006589E" w:rsidRPr="0006589E">
              <w:rPr>
                <w:rStyle w:val="Hyperlink"/>
                <w:noProof/>
                <w:szCs w:val="26"/>
              </w:rPr>
              <w:t>Legal Standards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_Toc38629254 \h </w:instrText>
            </w:r>
            <w:r w:rsidR="0006589E" w:rsidRPr="0006589E">
              <w:rPr>
                <w:noProof/>
                <w:webHidden/>
                <w:szCs w:val="26"/>
              </w:rPr>
            </w:r>
            <w:r w:rsidR="0006589E" w:rsidRPr="0006589E">
              <w:rPr>
                <w:noProof/>
                <w:webHidden/>
                <w:szCs w:val="26"/>
              </w:rPr>
              <w:fldChar w:fldCharType="separate"/>
            </w:r>
            <w:r w:rsidR="009807F8">
              <w:rPr>
                <w:noProof/>
                <w:webHidden/>
                <w:szCs w:val="26"/>
              </w:rPr>
              <w:t>5</w:t>
            </w:r>
            <w:r w:rsidR="0006589E" w:rsidRPr="0006589E">
              <w:rPr>
                <w:noProof/>
                <w:webHidden/>
                <w:szCs w:val="26"/>
              </w:rPr>
              <w:fldChar w:fldCharType="end"/>
            </w:r>
          </w:hyperlink>
        </w:p>
        <w:p w14:paraId="622E5609" w14:textId="762A33C2" w:rsidR="0006589E" w:rsidRPr="0006589E" w:rsidRDefault="008E7E23">
          <w:pPr>
            <w:pStyle w:val="TOC1"/>
            <w:rPr>
              <w:rFonts w:asciiTheme="minorHAnsi" w:eastAsiaTheme="minorEastAsia" w:hAnsiTheme="minorHAnsi" w:cstheme="minorBidi"/>
              <w:noProof/>
              <w:szCs w:val="26"/>
            </w:rPr>
          </w:pPr>
          <w:hyperlink w:anchor="_Toc38629255" w:history="1">
            <w:r w:rsidR="0006589E" w:rsidRPr="0006589E">
              <w:rPr>
                <w:rStyle w:val="Hyperlink"/>
                <w:noProof/>
                <w:szCs w:val="26"/>
              </w:rPr>
              <w:t>IV.</w:t>
            </w:r>
            <w:r w:rsidR="0006589E" w:rsidRPr="0006589E">
              <w:rPr>
                <w:rFonts w:asciiTheme="minorHAnsi" w:eastAsiaTheme="minorEastAsia" w:hAnsiTheme="minorHAnsi" w:cstheme="minorBidi"/>
                <w:noProof/>
                <w:szCs w:val="26"/>
              </w:rPr>
              <w:tab/>
            </w:r>
            <w:r w:rsidR="0006589E" w:rsidRPr="0006589E">
              <w:rPr>
                <w:rStyle w:val="Hyperlink"/>
                <w:noProof/>
                <w:szCs w:val="26"/>
              </w:rPr>
              <w:t>Review of the ALJs’ Uncontested Recommendations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_Toc38629255 \h </w:instrText>
            </w:r>
            <w:r w:rsidR="0006589E" w:rsidRPr="0006589E">
              <w:rPr>
                <w:noProof/>
                <w:webHidden/>
                <w:szCs w:val="26"/>
              </w:rPr>
            </w:r>
            <w:r w:rsidR="0006589E" w:rsidRPr="0006589E">
              <w:rPr>
                <w:noProof/>
                <w:webHidden/>
                <w:szCs w:val="26"/>
              </w:rPr>
              <w:fldChar w:fldCharType="separate"/>
            </w:r>
            <w:r w:rsidR="009807F8">
              <w:rPr>
                <w:noProof/>
                <w:webHidden/>
                <w:szCs w:val="26"/>
              </w:rPr>
              <w:t>10</w:t>
            </w:r>
            <w:r w:rsidR="0006589E" w:rsidRPr="0006589E">
              <w:rPr>
                <w:noProof/>
                <w:webHidden/>
                <w:szCs w:val="26"/>
              </w:rPr>
              <w:fldChar w:fldCharType="end"/>
            </w:r>
          </w:hyperlink>
        </w:p>
        <w:p w14:paraId="26A77CF3" w14:textId="03336A40" w:rsidR="0006589E" w:rsidRPr="0006589E" w:rsidRDefault="008E7E23">
          <w:pPr>
            <w:pStyle w:val="TOC2"/>
            <w:rPr>
              <w:rFonts w:asciiTheme="minorHAnsi" w:eastAsiaTheme="minorEastAsia" w:hAnsiTheme="minorHAnsi" w:cstheme="minorBidi"/>
              <w:noProof/>
              <w:szCs w:val="26"/>
            </w:rPr>
          </w:pPr>
          <w:hyperlink w:anchor="_Toc38629256" w:history="1">
            <w:r w:rsidR="0006589E" w:rsidRPr="0006589E">
              <w:rPr>
                <w:rStyle w:val="Hyperlink"/>
                <w:noProof/>
                <w:szCs w:val="26"/>
              </w:rPr>
              <w:t>A.</w:t>
            </w:r>
            <w:r w:rsidR="0006589E" w:rsidRPr="0006589E">
              <w:rPr>
                <w:rFonts w:asciiTheme="minorHAnsi" w:eastAsiaTheme="minorEastAsia" w:hAnsiTheme="minorHAnsi" w:cstheme="minorBidi"/>
                <w:noProof/>
                <w:szCs w:val="26"/>
              </w:rPr>
              <w:tab/>
            </w:r>
            <w:r w:rsidR="0006589E" w:rsidRPr="0006589E">
              <w:rPr>
                <w:rStyle w:val="Hyperlink"/>
                <w:noProof/>
                <w:szCs w:val="26"/>
              </w:rPr>
              <w:t>Rate Base</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_Toc38629256 \h </w:instrText>
            </w:r>
            <w:r w:rsidR="0006589E" w:rsidRPr="0006589E">
              <w:rPr>
                <w:noProof/>
                <w:webHidden/>
                <w:szCs w:val="26"/>
              </w:rPr>
            </w:r>
            <w:r w:rsidR="0006589E" w:rsidRPr="0006589E">
              <w:rPr>
                <w:noProof/>
                <w:webHidden/>
                <w:szCs w:val="26"/>
              </w:rPr>
              <w:fldChar w:fldCharType="separate"/>
            </w:r>
            <w:r w:rsidR="009807F8">
              <w:rPr>
                <w:noProof/>
                <w:webHidden/>
                <w:szCs w:val="26"/>
              </w:rPr>
              <w:t>10</w:t>
            </w:r>
            <w:r w:rsidR="0006589E" w:rsidRPr="0006589E">
              <w:rPr>
                <w:noProof/>
                <w:webHidden/>
                <w:szCs w:val="26"/>
              </w:rPr>
              <w:fldChar w:fldCharType="end"/>
            </w:r>
          </w:hyperlink>
        </w:p>
        <w:p w14:paraId="02713C6A" w14:textId="213AA3B1" w:rsidR="0006589E" w:rsidRPr="0006589E" w:rsidRDefault="008E7E23">
          <w:pPr>
            <w:pStyle w:val="TOC3"/>
            <w:rPr>
              <w:rFonts w:asciiTheme="minorHAnsi" w:eastAsiaTheme="minorEastAsia" w:hAnsiTheme="minorHAnsi" w:cstheme="minorBidi"/>
              <w:noProof/>
              <w:szCs w:val="26"/>
            </w:rPr>
          </w:pPr>
          <w:hyperlink w:anchor="_Toc38629257" w:history="1">
            <w:r w:rsidR="0006589E" w:rsidRPr="0006589E">
              <w:rPr>
                <w:rStyle w:val="Hyperlink"/>
                <w:noProof/>
                <w:szCs w:val="26"/>
              </w:rPr>
              <w:t>1.</w:t>
            </w:r>
            <w:r w:rsidR="0006589E" w:rsidRPr="0006589E">
              <w:rPr>
                <w:rFonts w:asciiTheme="minorHAnsi" w:eastAsiaTheme="minorEastAsia" w:hAnsiTheme="minorHAnsi" w:cstheme="minorBidi"/>
                <w:noProof/>
                <w:szCs w:val="26"/>
              </w:rPr>
              <w:tab/>
            </w:r>
            <w:r w:rsidR="0006589E" w:rsidRPr="0006589E">
              <w:rPr>
                <w:rStyle w:val="Hyperlink"/>
                <w:noProof/>
                <w:szCs w:val="26"/>
              </w:rPr>
              <w:t>Materials and Supplies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_Toc38629257 \h </w:instrText>
            </w:r>
            <w:r w:rsidR="0006589E" w:rsidRPr="0006589E">
              <w:rPr>
                <w:noProof/>
                <w:webHidden/>
                <w:szCs w:val="26"/>
              </w:rPr>
            </w:r>
            <w:r w:rsidR="0006589E" w:rsidRPr="0006589E">
              <w:rPr>
                <w:noProof/>
                <w:webHidden/>
                <w:szCs w:val="26"/>
              </w:rPr>
              <w:fldChar w:fldCharType="separate"/>
            </w:r>
            <w:r w:rsidR="009807F8">
              <w:rPr>
                <w:noProof/>
                <w:webHidden/>
                <w:szCs w:val="26"/>
              </w:rPr>
              <w:t>10</w:t>
            </w:r>
            <w:r w:rsidR="0006589E" w:rsidRPr="0006589E">
              <w:rPr>
                <w:noProof/>
                <w:webHidden/>
                <w:szCs w:val="26"/>
              </w:rPr>
              <w:fldChar w:fldCharType="end"/>
            </w:r>
          </w:hyperlink>
        </w:p>
        <w:p w14:paraId="4D276295" w14:textId="1B7EE137" w:rsidR="0006589E" w:rsidRPr="0006589E" w:rsidRDefault="008E7E23">
          <w:pPr>
            <w:pStyle w:val="TOC3"/>
            <w:rPr>
              <w:rFonts w:asciiTheme="minorHAnsi" w:eastAsiaTheme="minorEastAsia" w:hAnsiTheme="minorHAnsi" w:cstheme="minorBidi"/>
              <w:noProof/>
              <w:szCs w:val="26"/>
            </w:rPr>
          </w:pPr>
          <w:hyperlink w:anchor="_Toc38629258" w:history="1">
            <w:r w:rsidR="0006589E" w:rsidRPr="0006589E">
              <w:rPr>
                <w:rStyle w:val="Hyperlink"/>
                <w:noProof/>
                <w:szCs w:val="26"/>
              </w:rPr>
              <w:t>2.</w:t>
            </w:r>
            <w:r w:rsidR="0006589E" w:rsidRPr="0006589E">
              <w:rPr>
                <w:rFonts w:asciiTheme="minorHAnsi" w:eastAsiaTheme="minorEastAsia" w:hAnsiTheme="minorHAnsi" w:cstheme="minorBidi"/>
                <w:noProof/>
                <w:szCs w:val="26"/>
              </w:rPr>
              <w:tab/>
            </w:r>
            <w:r w:rsidR="0006589E" w:rsidRPr="0006589E">
              <w:rPr>
                <w:rStyle w:val="Hyperlink"/>
                <w:noProof/>
                <w:szCs w:val="26"/>
              </w:rPr>
              <w:t>Accrued Pension/OPEB Liability</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_Toc38629258 \h </w:instrText>
            </w:r>
            <w:r w:rsidR="0006589E" w:rsidRPr="0006589E">
              <w:rPr>
                <w:noProof/>
                <w:webHidden/>
                <w:szCs w:val="26"/>
              </w:rPr>
            </w:r>
            <w:r w:rsidR="0006589E" w:rsidRPr="0006589E">
              <w:rPr>
                <w:noProof/>
                <w:webHidden/>
                <w:szCs w:val="26"/>
              </w:rPr>
              <w:fldChar w:fldCharType="separate"/>
            </w:r>
            <w:r w:rsidR="009807F8">
              <w:rPr>
                <w:noProof/>
                <w:webHidden/>
                <w:szCs w:val="26"/>
              </w:rPr>
              <w:t>10</w:t>
            </w:r>
            <w:r w:rsidR="0006589E" w:rsidRPr="0006589E">
              <w:rPr>
                <w:noProof/>
                <w:webHidden/>
                <w:szCs w:val="26"/>
              </w:rPr>
              <w:fldChar w:fldCharType="end"/>
            </w:r>
          </w:hyperlink>
        </w:p>
        <w:p w14:paraId="7AFDD12F" w14:textId="5987E43F" w:rsidR="0006589E" w:rsidRPr="0006589E" w:rsidRDefault="008E7E23">
          <w:pPr>
            <w:pStyle w:val="TOC3"/>
            <w:rPr>
              <w:rFonts w:asciiTheme="minorHAnsi" w:eastAsiaTheme="minorEastAsia" w:hAnsiTheme="minorHAnsi" w:cstheme="minorBidi"/>
              <w:noProof/>
              <w:szCs w:val="26"/>
            </w:rPr>
          </w:pPr>
          <w:hyperlink w:anchor="_Toc38629259" w:history="1">
            <w:r w:rsidR="0006589E" w:rsidRPr="0006589E">
              <w:rPr>
                <w:rStyle w:val="Hyperlink"/>
                <w:noProof/>
                <w:szCs w:val="26"/>
              </w:rPr>
              <w:t>3.</w:t>
            </w:r>
            <w:r w:rsidR="0006589E" w:rsidRPr="0006589E">
              <w:rPr>
                <w:rFonts w:asciiTheme="minorHAnsi" w:eastAsiaTheme="minorEastAsia" w:hAnsiTheme="minorHAnsi" w:cstheme="minorBidi"/>
                <w:noProof/>
                <w:szCs w:val="26"/>
              </w:rPr>
              <w:tab/>
            </w:r>
            <w:r w:rsidR="0006589E" w:rsidRPr="0006589E">
              <w:rPr>
                <w:rStyle w:val="Hyperlink"/>
                <w:noProof/>
                <w:szCs w:val="26"/>
              </w:rPr>
              <w:t>Customer Deposits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_Toc38629259 \h </w:instrText>
            </w:r>
            <w:r w:rsidR="0006589E" w:rsidRPr="0006589E">
              <w:rPr>
                <w:noProof/>
                <w:webHidden/>
                <w:szCs w:val="26"/>
              </w:rPr>
            </w:r>
            <w:r w:rsidR="0006589E" w:rsidRPr="0006589E">
              <w:rPr>
                <w:noProof/>
                <w:webHidden/>
                <w:szCs w:val="26"/>
              </w:rPr>
              <w:fldChar w:fldCharType="separate"/>
            </w:r>
            <w:r w:rsidR="009807F8">
              <w:rPr>
                <w:noProof/>
                <w:webHidden/>
                <w:szCs w:val="26"/>
              </w:rPr>
              <w:t>11</w:t>
            </w:r>
            <w:r w:rsidR="0006589E" w:rsidRPr="0006589E">
              <w:rPr>
                <w:noProof/>
                <w:webHidden/>
                <w:szCs w:val="26"/>
              </w:rPr>
              <w:fldChar w:fldCharType="end"/>
            </w:r>
          </w:hyperlink>
        </w:p>
        <w:p w14:paraId="764EEDDC" w14:textId="24B9EFCE" w:rsidR="0006589E" w:rsidRPr="0006589E" w:rsidRDefault="008E7E23">
          <w:pPr>
            <w:pStyle w:val="TOC3"/>
            <w:rPr>
              <w:rFonts w:asciiTheme="minorHAnsi" w:eastAsiaTheme="minorEastAsia" w:hAnsiTheme="minorHAnsi" w:cstheme="minorBidi"/>
              <w:noProof/>
              <w:szCs w:val="26"/>
            </w:rPr>
          </w:pPr>
          <w:hyperlink w:anchor="_Toc38629260" w:history="1">
            <w:r w:rsidR="0006589E" w:rsidRPr="0006589E">
              <w:rPr>
                <w:rStyle w:val="Hyperlink"/>
                <w:rFonts w:eastAsiaTheme="minorHAnsi"/>
                <w:noProof/>
                <w:szCs w:val="26"/>
              </w:rPr>
              <w:t>4.</w:t>
            </w:r>
            <w:r w:rsidR="0006589E" w:rsidRPr="0006589E">
              <w:rPr>
                <w:rFonts w:asciiTheme="minorHAnsi" w:eastAsiaTheme="minorEastAsia" w:hAnsiTheme="minorHAnsi" w:cstheme="minorBidi"/>
                <w:noProof/>
                <w:szCs w:val="26"/>
              </w:rPr>
              <w:tab/>
            </w:r>
            <w:r w:rsidR="0006589E" w:rsidRPr="0006589E">
              <w:rPr>
                <w:rStyle w:val="Hyperlink"/>
                <w:noProof/>
                <w:szCs w:val="26"/>
              </w:rPr>
              <w:t>ADIT and EDIT</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_Toc38629260 \h </w:instrText>
            </w:r>
            <w:r w:rsidR="0006589E" w:rsidRPr="0006589E">
              <w:rPr>
                <w:noProof/>
                <w:webHidden/>
                <w:szCs w:val="26"/>
              </w:rPr>
            </w:r>
            <w:r w:rsidR="0006589E" w:rsidRPr="0006589E">
              <w:rPr>
                <w:noProof/>
                <w:webHidden/>
                <w:szCs w:val="26"/>
              </w:rPr>
              <w:fldChar w:fldCharType="separate"/>
            </w:r>
            <w:r w:rsidR="009807F8">
              <w:rPr>
                <w:noProof/>
                <w:webHidden/>
                <w:szCs w:val="26"/>
              </w:rPr>
              <w:t>11</w:t>
            </w:r>
            <w:r w:rsidR="0006589E" w:rsidRPr="0006589E">
              <w:rPr>
                <w:noProof/>
                <w:webHidden/>
                <w:szCs w:val="26"/>
              </w:rPr>
              <w:fldChar w:fldCharType="end"/>
            </w:r>
          </w:hyperlink>
        </w:p>
        <w:p w14:paraId="4D07FF71" w14:textId="7B335BDF" w:rsidR="0006589E" w:rsidRPr="0006589E" w:rsidRDefault="008E7E23">
          <w:pPr>
            <w:pStyle w:val="TOC2"/>
            <w:rPr>
              <w:rFonts w:asciiTheme="minorHAnsi" w:eastAsiaTheme="minorEastAsia" w:hAnsiTheme="minorHAnsi" w:cstheme="minorBidi"/>
              <w:noProof/>
              <w:szCs w:val="26"/>
            </w:rPr>
          </w:pPr>
          <w:hyperlink w:anchor="_Toc38629261" w:history="1">
            <w:r w:rsidR="0006589E" w:rsidRPr="0006589E">
              <w:rPr>
                <w:rStyle w:val="Hyperlink"/>
                <w:noProof/>
                <w:szCs w:val="26"/>
              </w:rPr>
              <w:t>B.</w:t>
            </w:r>
            <w:r w:rsidR="0006589E" w:rsidRPr="0006589E">
              <w:rPr>
                <w:rFonts w:asciiTheme="minorHAnsi" w:eastAsiaTheme="minorEastAsia" w:hAnsiTheme="minorHAnsi" w:cstheme="minorBidi"/>
                <w:noProof/>
                <w:szCs w:val="26"/>
              </w:rPr>
              <w:tab/>
            </w:r>
            <w:r w:rsidR="0006589E" w:rsidRPr="0006589E">
              <w:rPr>
                <w:rStyle w:val="Hyperlink"/>
                <w:noProof/>
                <w:szCs w:val="26"/>
              </w:rPr>
              <w:t>Revenues: Forfeited Discounts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_Toc38629261 \h </w:instrText>
            </w:r>
            <w:r w:rsidR="0006589E" w:rsidRPr="0006589E">
              <w:rPr>
                <w:noProof/>
                <w:webHidden/>
                <w:szCs w:val="26"/>
              </w:rPr>
            </w:r>
            <w:r w:rsidR="0006589E" w:rsidRPr="0006589E">
              <w:rPr>
                <w:noProof/>
                <w:webHidden/>
                <w:szCs w:val="26"/>
              </w:rPr>
              <w:fldChar w:fldCharType="separate"/>
            </w:r>
            <w:r w:rsidR="009807F8">
              <w:rPr>
                <w:noProof/>
                <w:webHidden/>
                <w:szCs w:val="26"/>
              </w:rPr>
              <w:t>13</w:t>
            </w:r>
            <w:r w:rsidR="0006589E" w:rsidRPr="0006589E">
              <w:rPr>
                <w:noProof/>
                <w:webHidden/>
                <w:szCs w:val="26"/>
              </w:rPr>
              <w:fldChar w:fldCharType="end"/>
            </w:r>
          </w:hyperlink>
        </w:p>
        <w:p w14:paraId="46DF68E5" w14:textId="0B710007" w:rsidR="0006589E" w:rsidRPr="0006589E" w:rsidRDefault="008E7E23">
          <w:pPr>
            <w:pStyle w:val="TOC2"/>
            <w:rPr>
              <w:rFonts w:asciiTheme="minorHAnsi" w:eastAsiaTheme="minorEastAsia" w:hAnsiTheme="minorHAnsi" w:cstheme="minorBidi"/>
              <w:noProof/>
              <w:szCs w:val="26"/>
            </w:rPr>
          </w:pPr>
          <w:hyperlink w:anchor="_Toc38629262" w:history="1">
            <w:r w:rsidR="0006589E" w:rsidRPr="0006589E">
              <w:rPr>
                <w:rStyle w:val="Hyperlink"/>
                <w:noProof/>
                <w:szCs w:val="26"/>
              </w:rPr>
              <w:t>C.</w:t>
            </w:r>
            <w:r w:rsidR="0006589E" w:rsidRPr="0006589E">
              <w:rPr>
                <w:rFonts w:asciiTheme="minorHAnsi" w:eastAsiaTheme="minorEastAsia" w:hAnsiTheme="minorHAnsi" w:cstheme="minorBidi"/>
                <w:noProof/>
                <w:szCs w:val="26"/>
              </w:rPr>
              <w:tab/>
            </w:r>
            <w:r w:rsidR="0006589E" w:rsidRPr="0006589E">
              <w:rPr>
                <w:rStyle w:val="Hyperlink"/>
                <w:noProof/>
                <w:szCs w:val="26"/>
              </w:rPr>
              <w:t>Fair Rate of Return</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_Toc38629262 \h </w:instrText>
            </w:r>
            <w:r w:rsidR="0006589E" w:rsidRPr="0006589E">
              <w:rPr>
                <w:noProof/>
                <w:webHidden/>
                <w:szCs w:val="26"/>
              </w:rPr>
            </w:r>
            <w:r w:rsidR="0006589E" w:rsidRPr="0006589E">
              <w:rPr>
                <w:noProof/>
                <w:webHidden/>
                <w:szCs w:val="26"/>
              </w:rPr>
              <w:fldChar w:fldCharType="separate"/>
            </w:r>
            <w:r w:rsidR="009807F8">
              <w:rPr>
                <w:noProof/>
                <w:webHidden/>
                <w:szCs w:val="26"/>
              </w:rPr>
              <w:t>14</w:t>
            </w:r>
            <w:r w:rsidR="0006589E" w:rsidRPr="0006589E">
              <w:rPr>
                <w:noProof/>
                <w:webHidden/>
                <w:szCs w:val="26"/>
              </w:rPr>
              <w:fldChar w:fldCharType="end"/>
            </w:r>
          </w:hyperlink>
        </w:p>
        <w:p w14:paraId="03C7E0AD" w14:textId="62AACB0B" w:rsidR="0006589E" w:rsidRPr="0006589E" w:rsidRDefault="008E7E23">
          <w:pPr>
            <w:pStyle w:val="TOC3"/>
            <w:rPr>
              <w:rFonts w:asciiTheme="minorHAnsi" w:eastAsiaTheme="minorEastAsia" w:hAnsiTheme="minorHAnsi" w:cstheme="minorBidi"/>
              <w:noProof/>
              <w:szCs w:val="26"/>
            </w:rPr>
          </w:pPr>
          <w:hyperlink w:anchor="_Toc38629263" w:history="1">
            <w:r w:rsidR="0006589E" w:rsidRPr="0006589E">
              <w:rPr>
                <w:rStyle w:val="Hyperlink"/>
                <w:noProof/>
                <w:szCs w:val="26"/>
              </w:rPr>
              <w:t>1.</w:t>
            </w:r>
            <w:r w:rsidR="0006589E" w:rsidRPr="0006589E">
              <w:rPr>
                <w:rFonts w:asciiTheme="minorHAnsi" w:eastAsiaTheme="minorEastAsia" w:hAnsiTheme="minorHAnsi" w:cstheme="minorBidi"/>
                <w:noProof/>
                <w:szCs w:val="26"/>
              </w:rPr>
              <w:tab/>
            </w:r>
            <w:r w:rsidR="0006589E" w:rsidRPr="0006589E">
              <w:rPr>
                <w:rStyle w:val="Hyperlink"/>
                <w:noProof/>
                <w:szCs w:val="26"/>
              </w:rPr>
              <w:t>Capital Structure</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_Toc38629263 \h </w:instrText>
            </w:r>
            <w:r w:rsidR="0006589E" w:rsidRPr="0006589E">
              <w:rPr>
                <w:noProof/>
                <w:webHidden/>
                <w:szCs w:val="26"/>
              </w:rPr>
            </w:r>
            <w:r w:rsidR="0006589E" w:rsidRPr="0006589E">
              <w:rPr>
                <w:noProof/>
                <w:webHidden/>
                <w:szCs w:val="26"/>
              </w:rPr>
              <w:fldChar w:fldCharType="separate"/>
            </w:r>
            <w:r w:rsidR="009807F8">
              <w:rPr>
                <w:noProof/>
                <w:webHidden/>
                <w:szCs w:val="26"/>
              </w:rPr>
              <w:t>14</w:t>
            </w:r>
            <w:r w:rsidR="0006589E" w:rsidRPr="0006589E">
              <w:rPr>
                <w:noProof/>
                <w:webHidden/>
                <w:szCs w:val="26"/>
              </w:rPr>
              <w:fldChar w:fldCharType="end"/>
            </w:r>
          </w:hyperlink>
        </w:p>
        <w:p w14:paraId="26030B44" w14:textId="19982208" w:rsidR="0006589E" w:rsidRPr="00056218" w:rsidRDefault="008E7E23">
          <w:pPr>
            <w:pStyle w:val="TOC3"/>
            <w:rPr>
              <w:rFonts w:asciiTheme="minorHAnsi" w:eastAsiaTheme="minorEastAsia" w:hAnsiTheme="minorHAnsi" w:cstheme="minorBidi"/>
              <w:noProof/>
              <w:szCs w:val="26"/>
            </w:rPr>
          </w:pPr>
          <w:hyperlink w:anchor="_Toc38629264" w:history="1">
            <w:r w:rsidR="0006589E" w:rsidRPr="00056218">
              <w:rPr>
                <w:rStyle w:val="Hyperlink"/>
                <w:noProof/>
                <w:szCs w:val="26"/>
              </w:rPr>
              <w:t>2.</w:t>
            </w:r>
            <w:r w:rsidR="0006589E" w:rsidRPr="00056218">
              <w:rPr>
                <w:rFonts w:asciiTheme="minorHAnsi" w:eastAsiaTheme="minorEastAsia" w:hAnsiTheme="minorHAnsi" w:cstheme="minorBidi"/>
                <w:noProof/>
                <w:szCs w:val="26"/>
              </w:rPr>
              <w:tab/>
            </w:r>
            <w:r w:rsidR="0006589E" w:rsidRPr="00056218">
              <w:rPr>
                <w:rStyle w:val="Hyperlink"/>
                <w:noProof/>
                <w:szCs w:val="26"/>
              </w:rPr>
              <w:t>Cost of Long-Term Debt</w:t>
            </w:r>
            <w:r w:rsidR="0006589E" w:rsidRPr="00056218">
              <w:rPr>
                <w:noProof/>
                <w:webHidden/>
                <w:szCs w:val="26"/>
              </w:rPr>
              <w:tab/>
            </w:r>
            <w:r w:rsidR="0006589E" w:rsidRPr="00056218">
              <w:rPr>
                <w:noProof/>
                <w:webHidden/>
                <w:szCs w:val="26"/>
              </w:rPr>
              <w:fldChar w:fldCharType="begin"/>
            </w:r>
            <w:r w:rsidR="0006589E" w:rsidRPr="00056218">
              <w:rPr>
                <w:noProof/>
                <w:webHidden/>
                <w:szCs w:val="26"/>
              </w:rPr>
              <w:instrText xml:space="preserve"> PAGEREF _Toc38629264 \h </w:instrText>
            </w:r>
            <w:r w:rsidR="0006589E" w:rsidRPr="00056218">
              <w:rPr>
                <w:noProof/>
                <w:webHidden/>
                <w:szCs w:val="26"/>
              </w:rPr>
            </w:r>
            <w:r w:rsidR="0006589E" w:rsidRPr="00056218">
              <w:rPr>
                <w:noProof/>
                <w:webHidden/>
                <w:szCs w:val="26"/>
              </w:rPr>
              <w:fldChar w:fldCharType="separate"/>
            </w:r>
            <w:r w:rsidR="009807F8">
              <w:rPr>
                <w:noProof/>
                <w:webHidden/>
                <w:szCs w:val="26"/>
              </w:rPr>
              <w:t>14</w:t>
            </w:r>
            <w:r w:rsidR="0006589E" w:rsidRPr="00056218">
              <w:rPr>
                <w:noProof/>
                <w:webHidden/>
                <w:szCs w:val="26"/>
              </w:rPr>
              <w:fldChar w:fldCharType="end"/>
            </w:r>
          </w:hyperlink>
        </w:p>
        <w:p w14:paraId="5DD3EEF1" w14:textId="1E0ED47A" w:rsidR="0006589E" w:rsidRPr="00056218" w:rsidRDefault="008E7E23">
          <w:pPr>
            <w:pStyle w:val="TOC3"/>
            <w:rPr>
              <w:rFonts w:asciiTheme="minorHAnsi" w:eastAsiaTheme="minorEastAsia" w:hAnsiTheme="minorHAnsi" w:cstheme="minorBidi"/>
              <w:noProof/>
              <w:szCs w:val="26"/>
            </w:rPr>
          </w:pPr>
          <w:hyperlink w:anchor="_Toc38629265" w:history="1">
            <w:r w:rsidR="0006589E" w:rsidRPr="00056218">
              <w:rPr>
                <w:rStyle w:val="Hyperlink"/>
                <w:noProof/>
                <w:szCs w:val="26"/>
              </w:rPr>
              <w:t>3.</w:t>
            </w:r>
            <w:r w:rsidR="0006589E" w:rsidRPr="00056218">
              <w:rPr>
                <w:rFonts w:asciiTheme="minorHAnsi" w:eastAsiaTheme="minorEastAsia" w:hAnsiTheme="minorHAnsi" w:cstheme="minorBidi"/>
                <w:noProof/>
                <w:szCs w:val="26"/>
              </w:rPr>
              <w:tab/>
            </w:r>
            <w:r w:rsidR="0006589E" w:rsidRPr="00056218">
              <w:rPr>
                <w:rStyle w:val="Hyperlink"/>
                <w:noProof/>
                <w:szCs w:val="26"/>
              </w:rPr>
              <w:t>Cost of Common Equity</w:t>
            </w:r>
            <w:r w:rsidR="0006589E" w:rsidRPr="00056218">
              <w:rPr>
                <w:noProof/>
                <w:webHidden/>
                <w:szCs w:val="26"/>
              </w:rPr>
              <w:tab/>
            </w:r>
            <w:r w:rsidR="0006589E" w:rsidRPr="00056218">
              <w:rPr>
                <w:noProof/>
                <w:webHidden/>
                <w:szCs w:val="26"/>
              </w:rPr>
              <w:fldChar w:fldCharType="begin"/>
            </w:r>
            <w:r w:rsidR="0006589E" w:rsidRPr="00056218">
              <w:rPr>
                <w:noProof/>
                <w:webHidden/>
                <w:szCs w:val="26"/>
              </w:rPr>
              <w:instrText xml:space="preserve"> PAGEREF _Toc38629265 \h </w:instrText>
            </w:r>
            <w:r w:rsidR="0006589E" w:rsidRPr="00056218">
              <w:rPr>
                <w:noProof/>
                <w:webHidden/>
                <w:szCs w:val="26"/>
              </w:rPr>
            </w:r>
            <w:r w:rsidR="0006589E" w:rsidRPr="00056218">
              <w:rPr>
                <w:noProof/>
                <w:webHidden/>
                <w:szCs w:val="26"/>
              </w:rPr>
              <w:fldChar w:fldCharType="separate"/>
            </w:r>
            <w:r w:rsidR="009807F8">
              <w:rPr>
                <w:noProof/>
                <w:webHidden/>
                <w:szCs w:val="26"/>
              </w:rPr>
              <w:t>15</w:t>
            </w:r>
            <w:r w:rsidR="0006589E" w:rsidRPr="00056218">
              <w:rPr>
                <w:noProof/>
                <w:webHidden/>
                <w:szCs w:val="26"/>
              </w:rPr>
              <w:fldChar w:fldCharType="end"/>
            </w:r>
          </w:hyperlink>
        </w:p>
        <w:p w14:paraId="26827915" w14:textId="0CFF3DB9" w:rsidR="0006589E" w:rsidRPr="00056218" w:rsidRDefault="008E7E23">
          <w:pPr>
            <w:pStyle w:val="TOC4"/>
            <w:rPr>
              <w:rFonts w:asciiTheme="minorHAnsi" w:eastAsiaTheme="minorEastAsia" w:hAnsiTheme="minorHAnsi" w:cstheme="minorBidi"/>
              <w:noProof/>
              <w:sz w:val="26"/>
              <w:szCs w:val="26"/>
            </w:rPr>
          </w:pPr>
          <w:hyperlink w:anchor="_Toc38629266" w:history="1">
            <w:r w:rsidR="0006589E" w:rsidRPr="00056218">
              <w:rPr>
                <w:rStyle w:val="Hyperlink"/>
                <w:noProof/>
                <w:sz w:val="26"/>
                <w:szCs w:val="26"/>
              </w:rPr>
              <w:t>a.</w:t>
            </w:r>
            <w:r w:rsidR="0006589E" w:rsidRPr="00056218">
              <w:rPr>
                <w:rFonts w:asciiTheme="minorHAnsi" w:eastAsiaTheme="minorEastAsia" w:hAnsiTheme="minorHAnsi" w:cstheme="minorBidi"/>
                <w:noProof/>
                <w:sz w:val="26"/>
                <w:szCs w:val="26"/>
              </w:rPr>
              <w:tab/>
            </w:r>
            <w:r w:rsidR="0006589E" w:rsidRPr="00056218">
              <w:rPr>
                <w:rStyle w:val="Hyperlink"/>
                <w:noProof/>
                <w:sz w:val="26"/>
                <w:szCs w:val="26"/>
              </w:rPr>
              <w:t>Barometer Groups</w:t>
            </w:r>
            <w:r w:rsidR="0006589E" w:rsidRPr="00056218">
              <w:rPr>
                <w:noProof/>
                <w:webHidden/>
                <w:sz w:val="26"/>
                <w:szCs w:val="26"/>
              </w:rPr>
              <w:tab/>
            </w:r>
            <w:r w:rsidR="0006589E" w:rsidRPr="00056218">
              <w:rPr>
                <w:noProof/>
                <w:webHidden/>
                <w:sz w:val="26"/>
                <w:szCs w:val="26"/>
              </w:rPr>
              <w:fldChar w:fldCharType="begin"/>
            </w:r>
            <w:r w:rsidR="0006589E" w:rsidRPr="00056218">
              <w:rPr>
                <w:noProof/>
                <w:webHidden/>
                <w:sz w:val="26"/>
                <w:szCs w:val="26"/>
              </w:rPr>
              <w:instrText xml:space="preserve"> PAGEREF _Toc38629266 \h </w:instrText>
            </w:r>
            <w:r w:rsidR="0006589E" w:rsidRPr="00056218">
              <w:rPr>
                <w:noProof/>
                <w:webHidden/>
                <w:sz w:val="26"/>
                <w:szCs w:val="26"/>
              </w:rPr>
            </w:r>
            <w:r w:rsidR="0006589E" w:rsidRPr="00056218">
              <w:rPr>
                <w:noProof/>
                <w:webHidden/>
                <w:sz w:val="26"/>
                <w:szCs w:val="26"/>
              </w:rPr>
              <w:fldChar w:fldCharType="separate"/>
            </w:r>
            <w:r w:rsidR="009807F8">
              <w:rPr>
                <w:noProof/>
                <w:webHidden/>
                <w:sz w:val="26"/>
                <w:szCs w:val="26"/>
              </w:rPr>
              <w:t>15</w:t>
            </w:r>
            <w:r w:rsidR="0006589E" w:rsidRPr="00056218">
              <w:rPr>
                <w:noProof/>
                <w:webHidden/>
                <w:sz w:val="26"/>
                <w:szCs w:val="26"/>
              </w:rPr>
              <w:fldChar w:fldCharType="end"/>
            </w:r>
          </w:hyperlink>
        </w:p>
        <w:p w14:paraId="766BD2D2" w14:textId="23825D96" w:rsidR="0006589E" w:rsidRPr="00056218" w:rsidRDefault="008E7E23">
          <w:pPr>
            <w:pStyle w:val="TOC4"/>
            <w:rPr>
              <w:rFonts w:asciiTheme="minorHAnsi" w:eastAsiaTheme="minorEastAsia" w:hAnsiTheme="minorHAnsi" w:cstheme="minorBidi"/>
              <w:noProof/>
              <w:sz w:val="26"/>
              <w:szCs w:val="26"/>
            </w:rPr>
          </w:pPr>
          <w:hyperlink w:anchor="_Toc38629267" w:history="1">
            <w:r w:rsidR="0006589E" w:rsidRPr="00056218">
              <w:rPr>
                <w:rStyle w:val="Hyperlink"/>
                <w:noProof/>
                <w:sz w:val="26"/>
                <w:szCs w:val="26"/>
              </w:rPr>
              <w:t>b.</w:t>
            </w:r>
            <w:r w:rsidR="0006589E" w:rsidRPr="00056218">
              <w:rPr>
                <w:rFonts w:asciiTheme="minorHAnsi" w:eastAsiaTheme="minorEastAsia" w:hAnsiTheme="minorHAnsi" w:cstheme="minorBidi"/>
                <w:noProof/>
                <w:sz w:val="26"/>
                <w:szCs w:val="26"/>
              </w:rPr>
              <w:tab/>
            </w:r>
            <w:r w:rsidR="0006589E" w:rsidRPr="00056218">
              <w:rPr>
                <w:rStyle w:val="Hyperlink"/>
                <w:noProof/>
                <w:sz w:val="26"/>
                <w:szCs w:val="26"/>
              </w:rPr>
              <w:t>Discounted Cash Flow (DCF) Model</w:t>
            </w:r>
            <w:r w:rsidR="0006589E" w:rsidRPr="00056218">
              <w:rPr>
                <w:noProof/>
                <w:webHidden/>
                <w:sz w:val="26"/>
                <w:szCs w:val="26"/>
              </w:rPr>
              <w:tab/>
            </w:r>
            <w:r w:rsidR="0006589E" w:rsidRPr="00056218">
              <w:rPr>
                <w:noProof/>
                <w:webHidden/>
                <w:sz w:val="26"/>
                <w:szCs w:val="26"/>
              </w:rPr>
              <w:fldChar w:fldCharType="begin"/>
            </w:r>
            <w:r w:rsidR="0006589E" w:rsidRPr="00056218">
              <w:rPr>
                <w:noProof/>
                <w:webHidden/>
                <w:sz w:val="26"/>
                <w:szCs w:val="26"/>
              </w:rPr>
              <w:instrText xml:space="preserve"> PAGEREF _Toc38629267 \h </w:instrText>
            </w:r>
            <w:r w:rsidR="0006589E" w:rsidRPr="00056218">
              <w:rPr>
                <w:noProof/>
                <w:webHidden/>
                <w:sz w:val="26"/>
                <w:szCs w:val="26"/>
              </w:rPr>
            </w:r>
            <w:r w:rsidR="0006589E" w:rsidRPr="00056218">
              <w:rPr>
                <w:noProof/>
                <w:webHidden/>
                <w:sz w:val="26"/>
                <w:szCs w:val="26"/>
              </w:rPr>
              <w:fldChar w:fldCharType="separate"/>
            </w:r>
            <w:r w:rsidR="009807F8">
              <w:rPr>
                <w:noProof/>
                <w:webHidden/>
                <w:sz w:val="26"/>
                <w:szCs w:val="26"/>
              </w:rPr>
              <w:t>16</w:t>
            </w:r>
            <w:r w:rsidR="0006589E" w:rsidRPr="00056218">
              <w:rPr>
                <w:noProof/>
                <w:webHidden/>
                <w:sz w:val="26"/>
                <w:szCs w:val="26"/>
              </w:rPr>
              <w:fldChar w:fldCharType="end"/>
            </w:r>
          </w:hyperlink>
        </w:p>
        <w:p w14:paraId="2183CB56" w14:textId="3F1B751D" w:rsidR="0006589E" w:rsidRPr="00056218" w:rsidRDefault="008E7E23">
          <w:pPr>
            <w:pStyle w:val="TOC4"/>
            <w:rPr>
              <w:rFonts w:asciiTheme="minorHAnsi" w:eastAsiaTheme="minorEastAsia" w:hAnsiTheme="minorHAnsi" w:cstheme="minorBidi"/>
              <w:noProof/>
              <w:sz w:val="26"/>
              <w:szCs w:val="26"/>
            </w:rPr>
          </w:pPr>
          <w:hyperlink w:anchor="_Toc38629268" w:history="1">
            <w:r w:rsidR="0006589E" w:rsidRPr="00056218">
              <w:rPr>
                <w:rStyle w:val="Hyperlink"/>
                <w:noProof/>
                <w:sz w:val="26"/>
                <w:szCs w:val="26"/>
              </w:rPr>
              <w:t>c.</w:t>
            </w:r>
            <w:r w:rsidR="0006589E" w:rsidRPr="00056218">
              <w:rPr>
                <w:rFonts w:asciiTheme="minorHAnsi" w:eastAsiaTheme="minorEastAsia" w:hAnsiTheme="minorHAnsi" w:cstheme="minorBidi"/>
                <w:noProof/>
                <w:sz w:val="26"/>
                <w:szCs w:val="26"/>
              </w:rPr>
              <w:tab/>
            </w:r>
            <w:r w:rsidR="0006589E" w:rsidRPr="00056218">
              <w:rPr>
                <w:rStyle w:val="Hyperlink"/>
                <w:noProof/>
                <w:sz w:val="26"/>
                <w:szCs w:val="26"/>
              </w:rPr>
              <w:t>Capital Asset Pricing Model (CAPM)</w:t>
            </w:r>
            <w:r w:rsidR="0006589E" w:rsidRPr="00056218">
              <w:rPr>
                <w:noProof/>
                <w:webHidden/>
                <w:sz w:val="26"/>
                <w:szCs w:val="26"/>
              </w:rPr>
              <w:tab/>
            </w:r>
            <w:r w:rsidR="0006589E" w:rsidRPr="00056218">
              <w:rPr>
                <w:noProof/>
                <w:webHidden/>
                <w:sz w:val="26"/>
                <w:szCs w:val="26"/>
              </w:rPr>
              <w:fldChar w:fldCharType="begin"/>
            </w:r>
            <w:r w:rsidR="0006589E" w:rsidRPr="00056218">
              <w:rPr>
                <w:noProof/>
                <w:webHidden/>
                <w:sz w:val="26"/>
                <w:szCs w:val="26"/>
              </w:rPr>
              <w:instrText xml:space="preserve"> PAGEREF _Toc38629268 \h </w:instrText>
            </w:r>
            <w:r w:rsidR="0006589E" w:rsidRPr="00056218">
              <w:rPr>
                <w:noProof/>
                <w:webHidden/>
                <w:sz w:val="26"/>
                <w:szCs w:val="26"/>
              </w:rPr>
            </w:r>
            <w:r w:rsidR="0006589E" w:rsidRPr="00056218">
              <w:rPr>
                <w:noProof/>
                <w:webHidden/>
                <w:sz w:val="26"/>
                <w:szCs w:val="26"/>
              </w:rPr>
              <w:fldChar w:fldCharType="separate"/>
            </w:r>
            <w:r w:rsidR="009807F8">
              <w:rPr>
                <w:noProof/>
                <w:webHidden/>
                <w:sz w:val="26"/>
                <w:szCs w:val="26"/>
              </w:rPr>
              <w:t>17</w:t>
            </w:r>
            <w:r w:rsidR="0006589E" w:rsidRPr="00056218">
              <w:rPr>
                <w:noProof/>
                <w:webHidden/>
                <w:sz w:val="26"/>
                <w:szCs w:val="26"/>
              </w:rPr>
              <w:fldChar w:fldCharType="end"/>
            </w:r>
          </w:hyperlink>
        </w:p>
        <w:p w14:paraId="581C5E42" w14:textId="090CE3CA" w:rsidR="0006589E" w:rsidRPr="00056218" w:rsidRDefault="008E7E23">
          <w:pPr>
            <w:pStyle w:val="TOC2"/>
            <w:rPr>
              <w:rFonts w:asciiTheme="minorHAnsi" w:eastAsiaTheme="minorEastAsia" w:hAnsiTheme="minorHAnsi" w:cstheme="minorBidi"/>
              <w:noProof/>
              <w:szCs w:val="26"/>
            </w:rPr>
          </w:pPr>
          <w:hyperlink w:anchor="_Toc38629269" w:history="1">
            <w:r w:rsidR="0006589E" w:rsidRPr="00056218">
              <w:rPr>
                <w:rStyle w:val="Hyperlink"/>
                <w:noProof/>
                <w:szCs w:val="26"/>
              </w:rPr>
              <w:t>D.</w:t>
            </w:r>
            <w:r w:rsidR="0006589E" w:rsidRPr="00056218">
              <w:rPr>
                <w:rFonts w:asciiTheme="minorHAnsi" w:eastAsiaTheme="minorEastAsia" w:hAnsiTheme="minorHAnsi" w:cstheme="minorBidi"/>
                <w:noProof/>
                <w:szCs w:val="26"/>
              </w:rPr>
              <w:tab/>
            </w:r>
            <w:r w:rsidR="0006589E" w:rsidRPr="00056218">
              <w:rPr>
                <w:rStyle w:val="Hyperlink"/>
                <w:noProof/>
                <w:szCs w:val="26"/>
              </w:rPr>
              <w:t>Taxes</w:t>
            </w:r>
            <w:r w:rsidR="0006589E" w:rsidRPr="00056218">
              <w:rPr>
                <w:noProof/>
                <w:webHidden/>
                <w:szCs w:val="26"/>
              </w:rPr>
              <w:tab/>
            </w:r>
            <w:r w:rsidR="0006589E" w:rsidRPr="00056218">
              <w:rPr>
                <w:noProof/>
                <w:webHidden/>
                <w:szCs w:val="26"/>
              </w:rPr>
              <w:fldChar w:fldCharType="begin"/>
            </w:r>
            <w:r w:rsidR="0006589E" w:rsidRPr="00056218">
              <w:rPr>
                <w:noProof/>
                <w:webHidden/>
                <w:szCs w:val="26"/>
              </w:rPr>
              <w:instrText xml:space="preserve"> PAGEREF _Toc38629269 \h </w:instrText>
            </w:r>
            <w:r w:rsidR="0006589E" w:rsidRPr="00056218">
              <w:rPr>
                <w:noProof/>
                <w:webHidden/>
                <w:szCs w:val="26"/>
              </w:rPr>
            </w:r>
            <w:r w:rsidR="0006589E" w:rsidRPr="00056218">
              <w:rPr>
                <w:noProof/>
                <w:webHidden/>
                <w:szCs w:val="26"/>
              </w:rPr>
              <w:fldChar w:fldCharType="separate"/>
            </w:r>
            <w:r w:rsidR="009807F8">
              <w:rPr>
                <w:noProof/>
                <w:webHidden/>
                <w:szCs w:val="26"/>
              </w:rPr>
              <w:t>18</w:t>
            </w:r>
            <w:r w:rsidR="0006589E" w:rsidRPr="00056218">
              <w:rPr>
                <w:noProof/>
                <w:webHidden/>
                <w:szCs w:val="26"/>
              </w:rPr>
              <w:fldChar w:fldCharType="end"/>
            </w:r>
          </w:hyperlink>
        </w:p>
        <w:p w14:paraId="5358F6C6" w14:textId="435F0A3A" w:rsidR="0006589E" w:rsidRPr="0006589E" w:rsidRDefault="008E7E23">
          <w:pPr>
            <w:pStyle w:val="TOC3"/>
            <w:rPr>
              <w:rFonts w:asciiTheme="minorHAnsi" w:eastAsiaTheme="minorEastAsia" w:hAnsiTheme="minorHAnsi" w:cstheme="minorBidi"/>
              <w:noProof/>
              <w:szCs w:val="26"/>
            </w:rPr>
          </w:pPr>
          <w:hyperlink w:anchor="_Toc38629270" w:history="1">
            <w:r w:rsidR="0006589E" w:rsidRPr="0006589E">
              <w:rPr>
                <w:rStyle w:val="Hyperlink"/>
                <w:noProof/>
                <w:szCs w:val="26"/>
              </w:rPr>
              <w:t>1.</w:t>
            </w:r>
            <w:r w:rsidR="0006589E" w:rsidRPr="0006589E">
              <w:rPr>
                <w:rFonts w:asciiTheme="minorHAnsi" w:eastAsiaTheme="minorEastAsia" w:hAnsiTheme="minorHAnsi" w:cstheme="minorBidi"/>
                <w:noProof/>
                <w:szCs w:val="26"/>
              </w:rPr>
              <w:tab/>
            </w:r>
            <w:r w:rsidR="0006589E" w:rsidRPr="0006589E">
              <w:rPr>
                <w:rStyle w:val="Hyperlink"/>
                <w:noProof/>
                <w:szCs w:val="26"/>
              </w:rPr>
              <w:t>Excess Deferred Income Taxes (EDIT)</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_Toc38629270 \h </w:instrText>
            </w:r>
            <w:r w:rsidR="0006589E" w:rsidRPr="0006589E">
              <w:rPr>
                <w:noProof/>
                <w:webHidden/>
                <w:szCs w:val="26"/>
              </w:rPr>
            </w:r>
            <w:r w:rsidR="0006589E" w:rsidRPr="0006589E">
              <w:rPr>
                <w:noProof/>
                <w:webHidden/>
                <w:szCs w:val="26"/>
              </w:rPr>
              <w:fldChar w:fldCharType="separate"/>
            </w:r>
            <w:r w:rsidR="009807F8">
              <w:rPr>
                <w:noProof/>
                <w:webHidden/>
                <w:szCs w:val="26"/>
              </w:rPr>
              <w:t>18</w:t>
            </w:r>
            <w:r w:rsidR="0006589E" w:rsidRPr="0006589E">
              <w:rPr>
                <w:noProof/>
                <w:webHidden/>
                <w:szCs w:val="26"/>
              </w:rPr>
              <w:fldChar w:fldCharType="end"/>
            </w:r>
          </w:hyperlink>
        </w:p>
        <w:p w14:paraId="16FFD9E2" w14:textId="6F345BCF" w:rsidR="0006589E" w:rsidRPr="0006589E" w:rsidRDefault="008E7E23">
          <w:pPr>
            <w:pStyle w:val="TOC3"/>
            <w:rPr>
              <w:rFonts w:asciiTheme="minorHAnsi" w:eastAsiaTheme="minorEastAsia" w:hAnsiTheme="minorHAnsi" w:cstheme="minorBidi"/>
              <w:noProof/>
              <w:szCs w:val="26"/>
            </w:rPr>
          </w:pPr>
          <w:hyperlink w:anchor="_Toc38629271" w:history="1">
            <w:r w:rsidR="0006589E" w:rsidRPr="0006589E">
              <w:rPr>
                <w:rStyle w:val="Hyperlink"/>
                <w:noProof/>
                <w:szCs w:val="26"/>
              </w:rPr>
              <w:t>2.</w:t>
            </w:r>
            <w:r w:rsidR="0006589E" w:rsidRPr="0006589E">
              <w:rPr>
                <w:rFonts w:asciiTheme="minorHAnsi" w:eastAsiaTheme="minorEastAsia" w:hAnsiTheme="minorHAnsi" w:cstheme="minorBidi"/>
                <w:noProof/>
                <w:szCs w:val="26"/>
              </w:rPr>
              <w:tab/>
            </w:r>
            <w:r w:rsidR="0006589E" w:rsidRPr="0006589E">
              <w:rPr>
                <w:rStyle w:val="Hyperlink"/>
                <w:noProof/>
                <w:szCs w:val="26"/>
              </w:rPr>
              <w:t>Deferred Regulatory Liability</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_Toc38629271 \h </w:instrText>
            </w:r>
            <w:r w:rsidR="0006589E" w:rsidRPr="0006589E">
              <w:rPr>
                <w:noProof/>
                <w:webHidden/>
                <w:szCs w:val="26"/>
              </w:rPr>
            </w:r>
            <w:r w:rsidR="0006589E" w:rsidRPr="0006589E">
              <w:rPr>
                <w:noProof/>
                <w:webHidden/>
                <w:szCs w:val="26"/>
              </w:rPr>
              <w:fldChar w:fldCharType="separate"/>
            </w:r>
            <w:r w:rsidR="009807F8">
              <w:rPr>
                <w:noProof/>
                <w:webHidden/>
                <w:szCs w:val="26"/>
              </w:rPr>
              <w:t>19</w:t>
            </w:r>
            <w:r w:rsidR="0006589E" w:rsidRPr="0006589E">
              <w:rPr>
                <w:noProof/>
                <w:webHidden/>
                <w:szCs w:val="26"/>
              </w:rPr>
              <w:fldChar w:fldCharType="end"/>
            </w:r>
          </w:hyperlink>
        </w:p>
        <w:p w14:paraId="70565F4E" w14:textId="3A85EAB3" w:rsidR="0006589E" w:rsidRPr="0006589E" w:rsidRDefault="008E7E23">
          <w:pPr>
            <w:pStyle w:val="TOC2"/>
            <w:rPr>
              <w:rFonts w:asciiTheme="minorHAnsi" w:eastAsiaTheme="minorEastAsia" w:hAnsiTheme="minorHAnsi" w:cstheme="minorBidi"/>
              <w:noProof/>
              <w:szCs w:val="26"/>
            </w:rPr>
          </w:pPr>
          <w:hyperlink w:anchor="_Toc38629272" w:history="1">
            <w:r w:rsidR="0006589E" w:rsidRPr="0006589E">
              <w:rPr>
                <w:rStyle w:val="Hyperlink"/>
                <w:noProof/>
                <w:szCs w:val="26"/>
              </w:rPr>
              <w:t>E.</w:t>
            </w:r>
            <w:r w:rsidR="0006589E" w:rsidRPr="0006589E">
              <w:rPr>
                <w:rFonts w:asciiTheme="minorHAnsi" w:eastAsiaTheme="minorEastAsia" w:hAnsiTheme="minorHAnsi" w:cstheme="minorBidi"/>
                <w:noProof/>
                <w:szCs w:val="26"/>
              </w:rPr>
              <w:tab/>
            </w:r>
            <w:r w:rsidR="0006589E" w:rsidRPr="0006589E">
              <w:rPr>
                <w:rStyle w:val="Hyperlink"/>
                <w:noProof/>
                <w:szCs w:val="26"/>
              </w:rPr>
              <w:t>Rate Structure: Scale Back</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_Toc38629272 \h </w:instrText>
            </w:r>
            <w:r w:rsidR="0006589E" w:rsidRPr="0006589E">
              <w:rPr>
                <w:noProof/>
                <w:webHidden/>
                <w:szCs w:val="26"/>
              </w:rPr>
            </w:r>
            <w:r w:rsidR="0006589E" w:rsidRPr="0006589E">
              <w:rPr>
                <w:noProof/>
                <w:webHidden/>
                <w:szCs w:val="26"/>
              </w:rPr>
              <w:fldChar w:fldCharType="separate"/>
            </w:r>
            <w:r w:rsidR="009807F8">
              <w:rPr>
                <w:noProof/>
                <w:webHidden/>
                <w:szCs w:val="26"/>
              </w:rPr>
              <w:t>20</w:t>
            </w:r>
            <w:r w:rsidR="0006589E" w:rsidRPr="0006589E">
              <w:rPr>
                <w:noProof/>
                <w:webHidden/>
                <w:szCs w:val="26"/>
              </w:rPr>
              <w:fldChar w:fldCharType="end"/>
            </w:r>
          </w:hyperlink>
        </w:p>
        <w:p w14:paraId="3C9339FC" w14:textId="4FEB27E6" w:rsidR="0006589E" w:rsidRPr="0006589E" w:rsidRDefault="008E7E23">
          <w:pPr>
            <w:pStyle w:val="TOC1"/>
            <w:rPr>
              <w:rFonts w:asciiTheme="minorHAnsi" w:eastAsiaTheme="minorEastAsia" w:hAnsiTheme="minorHAnsi" w:cstheme="minorBidi"/>
              <w:noProof/>
              <w:szCs w:val="26"/>
            </w:rPr>
          </w:pPr>
          <w:hyperlink w:anchor="_Toc38629273" w:history="1">
            <w:r w:rsidR="0006589E" w:rsidRPr="0006589E">
              <w:rPr>
                <w:rStyle w:val="Hyperlink"/>
                <w:noProof/>
                <w:szCs w:val="26"/>
              </w:rPr>
              <w:t>V.</w:t>
            </w:r>
            <w:r w:rsidR="0006589E" w:rsidRPr="0006589E">
              <w:rPr>
                <w:rFonts w:asciiTheme="minorHAnsi" w:eastAsiaTheme="minorEastAsia" w:hAnsiTheme="minorHAnsi" w:cstheme="minorBidi"/>
                <w:noProof/>
                <w:szCs w:val="26"/>
              </w:rPr>
              <w:tab/>
            </w:r>
            <w:r w:rsidR="0006589E" w:rsidRPr="0006589E">
              <w:rPr>
                <w:rStyle w:val="Hyperlink"/>
                <w:noProof/>
                <w:szCs w:val="26"/>
              </w:rPr>
              <w:t>Review of Exceptions and Replies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_Toc38629273 \h </w:instrText>
            </w:r>
            <w:r w:rsidR="0006589E" w:rsidRPr="0006589E">
              <w:rPr>
                <w:noProof/>
                <w:webHidden/>
                <w:szCs w:val="26"/>
              </w:rPr>
            </w:r>
            <w:r w:rsidR="0006589E" w:rsidRPr="0006589E">
              <w:rPr>
                <w:noProof/>
                <w:webHidden/>
                <w:szCs w:val="26"/>
              </w:rPr>
              <w:fldChar w:fldCharType="separate"/>
            </w:r>
            <w:r w:rsidR="009807F8">
              <w:rPr>
                <w:noProof/>
                <w:webHidden/>
                <w:szCs w:val="26"/>
              </w:rPr>
              <w:t>22</w:t>
            </w:r>
            <w:r w:rsidR="0006589E" w:rsidRPr="0006589E">
              <w:rPr>
                <w:noProof/>
                <w:webHidden/>
                <w:szCs w:val="26"/>
              </w:rPr>
              <w:fldChar w:fldCharType="end"/>
            </w:r>
          </w:hyperlink>
        </w:p>
        <w:p w14:paraId="77243BC1" w14:textId="141DB7B9" w:rsidR="0006589E" w:rsidRPr="0006589E" w:rsidRDefault="008E7E23">
          <w:pPr>
            <w:pStyle w:val="TOC2"/>
            <w:rPr>
              <w:rFonts w:asciiTheme="minorHAnsi" w:eastAsiaTheme="minorEastAsia" w:hAnsiTheme="minorHAnsi" w:cstheme="minorBidi"/>
              <w:noProof/>
              <w:szCs w:val="26"/>
            </w:rPr>
          </w:pPr>
          <w:hyperlink w:anchor="_Toc38629274" w:history="1">
            <w:r w:rsidR="0006589E" w:rsidRPr="0006589E">
              <w:rPr>
                <w:rStyle w:val="Hyperlink"/>
                <w:noProof/>
                <w:szCs w:val="26"/>
              </w:rPr>
              <w:t>A.</w:t>
            </w:r>
            <w:r w:rsidR="0006589E" w:rsidRPr="0006589E">
              <w:rPr>
                <w:rFonts w:asciiTheme="minorHAnsi" w:eastAsiaTheme="minorEastAsia" w:hAnsiTheme="minorHAnsi" w:cstheme="minorBidi"/>
                <w:noProof/>
                <w:szCs w:val="26"/>
              </w:rPr>
              <w:tab/>
            </w:r>
            <w:r w:rsidR="0006589E" w:rsidRPr="0006589E">
              <w:rPr>
                <w:rStyle w:val="Hyperlink"/>
                <w:noProof/>
                <w:szCs w:val="26"/>
              </w:rPr>
              <w:t>Rate Base</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_Toc38629274 \h </w:instrText>
            </w:r>
            <w:r w:rsidR="0006589E" w:rsidRPr="0006589E">
              <w:rPr>
                <w:noProof/>
                <w:webHidden/>
                <w:szCs w:val="26"/>
              </w:rPr>
            </w:r>
            <w:r w:rsidR="0006589E" w:rsidRPr="0006589E">
              <w:rPr>
                <w:noProof/>
                <w:webHidden/>
                <w:szCs w:val="26"/>
              </w:rPr>
              <w:fldChar w:fldCharType="separate"/>
            </w:r>
            <w:r w:rsidR="009807F8">
              <w:rPr>
                <w:noProof/>
                <w:webHidden/>
                <w:szCs w:val="26"/>
              </w:rPr>
              <w:t>22</w:t>
            </w:r>
            <w:r w:rsidR="0006589E" w:rsidRPr="0006589E">
              <w:rPr>
                <w:noProof/>
                <w:webHidden/>
                <w:szCs w:val="26"/>
              </w:rPr>
              <w:fldChar w:fldCharType="end"/>
            </w:r>
          </w:hyperlink>
        </w:p>
        <w:p w14:paraId="441558B1" w14:textId="763DFBF9" w:rsidR="0006589E" w:rsidRPr="0006589E" w:rsidRDefault="008E7E23">
          <w:pPr>
            <w:pStyle w:val="TOC3"/>
            <w:rPr>
              <w:rFonts w:asciiTheme="minorHAnsi" w:eastAsiaTheme="minorEastAsia" w:hAnsiTheme="minorHAnsi" w:cstheme="minorBidi"/>
              <w:noProof/>
              <w:szCs w:val="26"/>
            </w:rPr>
          </w:pPr>
          <w:hyperlink w:anchor="_Toc38629275" w:history="1">
            <w:r w:rsidR="0006589E" w:rsidRPr="0006589E">
              <w:rPr>
                <w:rStyle w:val="Hyperlink"/>
                <w:noProof/>
                <w:szCs w:val="26"/>
              </w:rPr>
              <w:t>1.</w:t>
            </w:r>
            <w:r w:rsidR="0006589E" w:rsidRPr="0006589E">
              <w:rPr>
                <w:rFonts w:asciiTheme="minorHAnsi" w:eastAsiaTheme="minorEastAsia" w:hAnsiTheme="minorHAnsi" w:cstheme="minorBidi"/>
                <w:noProof/>
                <w:szCs w:val="26"/>
              </w:rPr>
              <w:tab/>
            </w:r>
            <w:r w:rsidR="0006589E" w:rsidRPr="0006589E">
              <w:rPr>
                <w:rStyle w:val="Hyperlink"/>
                <w:noProof/>
                <w:szCs w:val="26"/>
              </w:rPr>
              <w:t>Utility Plant in Service and FPFTY</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_Toc38629275 \h </w:instrText>
            </w:r>
            <w:r w:rsidR="0006589E" w:rsidRPr="0006589E">
              <w:rPr>
                <w:noProof/>
                <w:webHidden/>
                <w:szCs w:val="26"/>
              </w:rPr>
            </w:r>
            <w:r w:rsidR="0006589E" w:rsidRPr="0006589E">
              <w:rPr>
                <w:noProof/>
                <w:webHidden/>
                <w:szCs w:val="26"/>
              </w:rPr>
              <w:fldChar w:fldCharType="separate"/>
            </w:r>
            <w:r w:rsidR="009807F8">
              <w:rPr>
                <w:noProof/>
                <w:webHidden/>
                <w:szCs w:val="26"/>
              </w:rPr>
              <w:t>23</w:t>
            </w:r>
            <w:r w:rsidR="0006589E" w:rsidRPr="0006589E">
              <w:rPr>
                <w:noProof/>
                <w:webHidden/>
                <w:szCs w:val="26"/>
              </w:rPr>
              <w:fldChar w:fldCharType="end"/>
            </w:r>
          </w:hyperlink>
        </w:p>
        <w:p w14:paraId="01F868A1" w14:textId="12C0BAF5" w:rsidR="0006589E" w:rsidRPr="0006589E" w:rsidRDefault="008E7E23">
          <w:pPr>
            <w:pStyle w:val="TOC3"/>
            <w:rPr>
              <w:rFonts w:asciiTheme="minorHAnsi" w:eastAsiaTheme="minorEastAsia" w:hAnsiTheme="minorHAnsi" w:cstheme="minorBidi"/>
              <w:noProof/>
              <w:szCs w:val="26"/>
            </w:rPr>
          </w:pPr>
          <w:hyperlink w:anchor="_Toc38629276" w:history="1">
            <w:r w:rsidR="0006589E" w:rsidRPr="0006589E">
              <w:rPr>
                <w:rStyle w:val="Hyperlink"/>
                <w:noProof/>
                <w:szCs w:val="26"/>
              </w:rPr>
              <w:t>2.</w:t>
            </w:r>
            <w:r w:rsidR="0006589E" w:rsidRPr="0006589E">
              <w:rPr>
                <w:rFonts w:asciiTheme="minorHAnsi" w:eastAsiaTheme="minorEastAsia" w:hAnsiTheme="minorHAnsi" w:cstheme="minorBidi"/>
                <w:noProof/>
                <w:szCs w:val="26"/>
              </w:rPr>
              <w:tab/>
            </w:r>
            <w:r w:rsidR="0006589E" w:rsidRPr="0006589E">
              <w:rPr>
                <w:rStyle w:val="Hyperlink"/>
                <w:noProof/>
                <w:szCs w:val="26"/>
              </w:rPr>
              <w:t>Accumulated Depreciation</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_Toc38629276 \h </w:instrText>
            </w:r>
            <w:r w:rsidR="0006589E" w:rsidRPr="0006589E">
              <w:rPr>
                <w:noProof/>
                <w:webHidden/>
                <w:szCs w:val="26"/>
              </w:rPr>
            </w:r>
            <w:r w:rsidR="0006589E" w:rsidRPr="0006589E">
              <w:rPr>
                <w:noProof/>
                <w:webHidden/>
                <w:szCs w:val="26"/>
              </w:rPr>
              <w:fldChar w:fldCharType="separate"/>
            </w:r>
            <w:r w:rsidR="009807F8">
              <w:rPr>
                <w:noProof/>
                <w:webHidden/>
                <w:szCs w:val="26"/>
              </w:rPr>
              <w:t>30</w:t>
            </w:r>
            <w:r w:rsidR="0006589E" w:rsidRPr="0006589E">
              <w:rPr>
                <w:noProof/>
                <w:webHidden/>
                <w:szCs w:val="26"/>
              </w:rPr>
              <w:fldChar w:fldCharType="end"/>
            </w:r>
          </w:hyperlink>
        </w:p>
        <w:p w14:paraId="31D2924D" w14:textId="44A6265D" w:rsidR="0006589E" w:rsidRPr="0006589E" w:rsidRDefault="008E7E23">
          <w:pPr>
            <w:pStyle w:val="TOC3"/>
            <w:rPr>
              <w:rFonts w:asciiTheme="minorHAnsi" w:eastAsiaTheme="minorEastAsia" w:hAnsiTheme="minorHAnsi" w:cstheme="minorBidi"/>
              <w:noProof/>
              <w:szCs w:val="26"/>
            </w:rPr>
          </w:pPr>
          <w:hyperlink w:anchor="_Toc38629277" w:history="1">
            <w:r w:rsidR="0006589E" w:rsidRPr="0006589E">
              <w:rPr>
                <w:rStyle w:val="Hyperlink"/>
                <w:noProof/>
                <w:szCs w:val="26"/>
              </w:rPr>
              <w:t>3.</w:t>
            </w:r>
            <w:r w:rsidR="0006589E" w:rsidRPr="0006589E">
              <w:rPr>
                <w:rFonts w:asciiTheme="minorHAnsi" w:eastAsiaTheme="minorEastAsia" w:hAnsiTheme="minorHAnsi" w:cstheme="minorBidi"/>
                <w:noProof/>
                <w:szCs w:val="26"/>
              </w:rPr>
              <w:tab/>
            </w:r>
            <w:r w:rsidR="0006589E" w:rsidRPr="0006589E">
              <w:rPr>
                <w:rStyle w:val="Hyperlink"/>
                <w:noProof/>
                <w:szCs w:val="26"/>
              </w:rPr>
              <w:t>Cash Working Capital and Construction Work in Progress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_Toc38629277 \h </w:instrText>
            </w:r>
            <w:r w:rsidR="0006589E" w:rsidRPr="0006589E">
              <w:rPr>
                <w:noProof/>
                <w:webHidden/>
                <w:szCs w:val="26"/>
              </w:rPr>
            </w:r>
            <w:r w:rsidR="0006589E" w:rsidRPr="0006589E">
              <w:rPr>
                <w:noProof/>
                <w:webHidden/>
                <w:szCs w:val="26"/>
              </w:rPr>
              <w:fldChar w:fldCharType="separate"/>
            </w:r>
            <w:r w:rsidR="009807F8">
              <w:rPr>
                <w:noProof/>
                <w:webHidden/>
                <w:szCs w:val="26"/>
              </w:rPr>
              <w:t>33</w:t>
            </w:r>
            <w:r w:rsidR="0006589E" w:rsidRPr="0006589E">
              <w:rPr>
                <w:noProof/>
                <w:webHidden/>
                <w:szCs w:val="26"/>
              </w:rPr>
              <w:fldChar w:fldCharType="end"/>
            </w:r>
          </w:hyperlink>
        </w:p>
        <w:p w14:paraId="76435516" w14:textId="1D8AD1FB" w:rsidR="0006589E" w:rsidRPr="0006589E" w:rsidRDefault="008E7E23">
          <w:pPr>
            <w:pStyle w:val="TOC2"/>
            <w:rPr>
              <w:rFonts w:asciiTheme="minorHAnsi" w:eastAsiaTheme="minorEastAsia" w:hAnsiTheme="minorHAnsi" w:cstheme="minorBidi"/>
              <w:noProof/>
              <w:szCs w:val="26"/>
            </w:rPr>
          </w:pPr>
          <w:hyperlink w:anchor="_Toc38629278" w:history="1">
            <w:r w:rsidR="0006589E" w:rsidRPr="0006589E">
              <w:rPr>
                <w:rStyle w:val="Hyperlink"/>
                <w:noProof/>
                <w:szCs w:val="26"/>
              </w:rPr>
              <w:t>B.</w:t>
            </w:r>
            <w:r w:rsidR="0006589E" w:rsidRPr="0006589E">
              <w:rPr>
                <w:rFonts w:asciiTheme="minorHAnsi" w:eastAsiaTheme="minorEastAsia" w:hAnsiTheme="minorHAnsi" w:cstheme="minorBidi"/>
                <w:noProof/>
                <w:szCs w:val="26"/>
              </w:rPr>
              <w:tab/>
            </w:r>
            <w:r w:rsidR="0006589E" w:rsidRPr="0006589E">
              <w:rPr>
                <w:rStyle w:val="Hyperlink"/>
                <w:noProof/>
                <w:szCs w:val="26"/>
              </w:rPr>
              <w:t>Revenues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_Toc38629278 \h </w:instrText>
            </w:r>
            <w:r w:rsidR="0006589E" w:rsidRPr="0006589E">
              <w:rPr>
                <w:noProof/>
                <w:webHidden/>
                <w:szCs w:val="26"/>
              </w:rPr>
            </w:r>
            <w:r w:rsidR="0006589E" w:rsidRPr="0006589E">
              <w:rPr>
                <w:noProof/>
                <w:webHidden/>
                <w:szCs w:val="26"/>
              </w:rPr>
              <w:fldChar w:fldCharType="separate"/>
            </w:r>
            <w:r w:rsidR="009807F8">
              <w:rPr>
                <w:noProof/>
                <w:webHidden/>
                <w:szCs w:val="26"/>
              </w:rPr>
              <w:t>38</w:t>
            </w:r>
            <w:r w:rsidR="0006589E" w:rsidRPr="0006589E">
              <w:rPr>
                <w:noProof/>
                <w:webHidden/>
                <w:szCs w:val="26"/>
              </w:rPr>
              <w:fldChar w:fldCharType="end"/>
            </w:r>
          </w:hyperlink>
        </w:p>
        <w:p w14:paraId="102417EB" w14:textId="7191A917" w:rsidR="0006589E" w:rsidRPr="0006589E" w:rsidRDefault="008E7E23">
          <w:pPr>
            <w:pStyle w:val="TOC3"/>
            <w:rPr>
              <w:rFonts w:asciiTheme="minorHAnsi" w:eastAsiaTheme="minorEastAsia" w:hAnsiTheme="minorHAnsi" w:cstheme="minorBidi"/>
              <w:noProof/>
              <w:szCs w:val="26"/>
            </w:rPr>
          </w:pPr>
          <w:hyperlink w:anchor="_Toc38629279" w:history="1">
            <w:r w:rsidR="0006589E" w:rsidRPr="0006589E">
              <w:rPr>
                <w:rStyle w:val="Hyperlink"/>
                <w:noProof/>
                <w:szCs w:val="26"/>
              </w:rPr>
              <w:t>1.</w:t>
            </w:r>
            <w:r w:rsidR="0006589E" w:rsidRPr="0006589E">
              <w:rPr>
                <w:rFonts w:asciiTheme="minorHAnsi" w:eastAsiaTheme="minorEastAsia" w:hAnsiTheme="minorHAnsi" w:cstheme="minorBidi"/>
                <w:noProof/>
                <w:szCs w:val="26"/>
              </w:rPr>
              <w:tab/>
            </w:r>
            <w:r w:rsidR="0006589E" w:rsidRPr="0006589E">
              <w:rPr>
                <w:rStyle w:val="Hyperlink"/>
                <w:noProof/>
                <w:szCs w:val="26"/>
              </w:rPr>
              <w:t>Bucknell Solar Project</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_Toc38629279 \h </w:instrText>
            </w:r>
            <w:r w:rsidR="0006589E" w:rsidRPr="0006589E">
              <w:rPr>
                <w:noProof/>
                <w:webHidden/>
                <w:szCs w:val="26"/>
              </w:rPr>
            </w:r>
            <w:r w:rsidR="0006589E" w:rsidRPr="0006589E">
              <w:rPr>
                <w:noProof/>
                <w:webHidden/>
                <w:szCs w:val="26"/>
              </w:rPr>
              <w:fldChar w:fldCharType="separate"/>
            </w:r>
            <w:r w:rsidR="009807F8">
              <w:rPr>
                <w:noProof/>
                <w:webHidden/>
                <w:szCs w:val="26"/>
              </w:rPr>
              <w:t>38</w:t>
            </w:r>
            <w:r w:rsidR="0006589E" w:rsidRPr="0006589E">
              <w:rPr>
                <w:noProof/>
                <w:webHidden/>
                <w:szCs w:val="26"/>
              </w:rPr>
              <w:fldChar w:fldCharType="end"/>
            </w:r>
          </w:hyperlink>
        </w:p>
        <w:p w14:paraId="53B64DA3" w14:textId="4B9DCC70" w:rsidR="0006589E" w:rsidRPr="0006589E" w:rsidRDefault="008E7E23">
          <w:pPr>
            <w:pStyle w:val="TOC3"/>
            <w:rPr>
              <w:rFonts w:asciiTheme="minorHAnsi" w:eastAsiaTheme="minorEastAsia" w:hAnsiTheme="minorHAnsi" w:cstheme="minorBidi"/>
              <w:noProof/>
              <w:szCs w:val="26"/>
            </w:rPr>
          </w:pPr>
          <w:hyperlink w:anchor="_Toc38629280" w:history="1">
            <w:r w:rsidR="0006589E" w:rsidRPr="0006589E">
              <w:rPr>
                <w:rStyle w:val="Hyperlink"/>
                <w:noProof/>
                <w:szCs w:val="26"/>
              </w:rPr>
              <w:t>2.</w:t>
            </w:r>
            <w:r w:rsidR="0006589E" w:rsidRPr="0006589E">
              <w:rPr>
                <w:rFonts w:asciiTheme="minorHAnsi" w:eastAsiaTheme="minorEastAsia" w:hAnsiTheme="minorHAnsi" w:cstheme="minorBidi"/>
                <w:noProof/>
                <w:szCs w:val="26"/>
              </w:rPr>
              <w:tab/>
            </w:r>
            <w:r w:rsidR="0006589E" w:rsidRPr="0006589E">
              <w:rPr>
                <w:rStyle w:val="Hyperlink"/>
                <w:noProof/>
                <w:szCs w:val="26"/>
              </w:rPr>
              <w:t>Present Rate Revenue – Customer Counts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_Toc38629280 \h </w:instrText>
            </w:r>
            <w:r w:rsidR="0006589E" w:rsidRPr="0006589E">
              <w:rPr>
                <w:noProof/>
                <w:webHidden/>
                <w:szCs w:val="26"/>
              </w:rPr>
            </w:r>
            <w:r w:rsidR="0006589E" w:rsidRPr="0006589E">
              <w:rPr>
                <w:noProof/>
                <w:webHidden/>
                <w:szCs w:val="26"/>
              </w:rPr>
              <w:fldChar w:fldCharType="separate"/>
            </w:r>
            <w:r w:rsidR="009807F8">
              <w:rPr>
                <w:noProof/>
                <w:webHidden/>
                <w:szCs w:val="26"/>
              </w:rPr>
              <w:t>42</w:t>
            </w:r>
            <w:r w:rsidR="0006589E" w:rsidRPr="0006589E">
              <w:rPr>
                <w:noProof/>
                <w:webHidden/>
                <w:szCs w:val="26"/>
              </w:rPr>
              <w:fldChar w:fldCharType="end"/>
            </w:r>
          </w:hyperlink>
        </w:p>
        <w:p w14:paraId="13CD5A0F" w14:textId="61CC2E2E" w:rsidR="0006589E" w:rsidRPr="0006589E" w:rsidRDefault="008E7E23">
          <w:pPr>
            <w:pStyle w:val="TOC2"/>
            <w:rPr>
              <w:rFonts w:asciiTheme="minorHAnsi" w:eastAsiaTheme="minorEastAsia" w:hAnsiTheme="minorHAnsi" w:cstheme="minorBidi"/>
              <w:noProof/>
              <w:szCs w:val="26"/>
            </w:rPr>
          </w:pPr>
          <w:hyperlink w:anchor="_Toc38629281" w:history="1">
            <w:r w:rsidR="0006589E" w:rsidRPr="0006589E">
              <w:rPr>
                <w:rStyle w:val="Hyperlink"/>
                <w:noProof/>
                <w:szCs w:val="26"/>
              </w:rPr>
              <w:t>C.</w:t>
            </w:r>
            <w:r w:rsidR="0006589E" w:rsidRPr="0006589E">
              <w:rPr>
                <w:rFonts w:asciiTheme="minorHAnsi" w:eastAsiaTheme="minorEastAsia" w:hAnsiTheme="minorHAnsi" w:cstheme="minorBidi"/>
                <w:noProof/>
                <w:szCs w:val="26"/>
              </w:rPr>
              <w:tab/>
            </w:r>
            <w:r w:rsidR="0006589E" w:rsidRPr="0006589E">
              <w:rPr>
                <w:rStyle w:val="Hyperlink"/>
                <w:noProof/>
                <w:szCs w:val="26"/>
              </w:rPr>
              <w:t>Expenses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_Toc38629281 \h </w:instrText>
            </w:r>
            <w:r w:rsidR="0006589E" w:rsidRPr="0006589E">
              <w:rPr>
                <w:noProof/>
                <w:webHidden/>
                <w:szCs w:val="26"/>
              </w:rPr>
            </w:r>
            <w:r w:rsidR="0006589E" w:rsidRPr="0006589E">
              <w:rPr>
                <w:noProof/>
                <w:webHidden/>
                <w:szCs w:val="26"/>
              </w:rPr>
              <w:fldChar w:fldCharType="separate"/>
            </w:r>
            <w:r w:rsidR="009807F8">
              <w:rPr>
                <w:noProof/>
                <w:webHidden/>
                <w:szCs w:val="26"/>
              </w:rPr>
              <w:t>47</w:t>
            </w:r>
            <w:r w:rsidR="0006589E" w:rsidRPr="0006589E">
              <w:rPr>
                <w:noProof/>
                <w:webHidden/>
                <w:szCs w:val="26"/>
              </w:rPr>
              <w:fldChar w:fldCharType="end"/>
            </w:r>
          </w:hyperlink>
        </w:p>
        <w:p w14:paraId="48049DE2" w14:textId="1400C470" w:rsidR="0006589E" w:rsidRPr="0006589E" w:rsidRDefault="008E7E23">
          <w:pPr>
            <w:pStyle w:val="TOC3"/>
            <w:rPr>
              <w:rFonts w:asciiTheme="minorHAnsi" w:eastAsiaTheme="minorEastAsia" w:hAnsiTheme="minorHAnsi" w:cstheme="minorBidi"/>
              <w:noProof/>
              <w:szCs w:val="26"/>
            </w:rPr>
          </w:pPr>
          <w:hyperlink w:anchor="_Toc38629282" w:history="1">
            <w:r w:rsidR="0006589E" w:rsidRPr="0006589E">
              <w:rPr>
                <w:rStyle w:val="Hyperlink"/>
                <w:noProof/>
                <w:szCs w:val="26"/>
              </w:rPr>
              <w:t>1.</w:t>
            </w:r>
            <w:r w:rsidR="0006589E" w:rsidRPr="0006589E">
              <w:rPr>
                <w:rFonts w:asciiTheme="minorHAnsi" w:eastAsiaTheme="minorEastAsia" w:hAnsiTheme="minorHAnsi" w:cstheme="minorBidi"/>
                <w:noProof/>
                <w:szCs w:val="26"/>
              </w:rPr>
              <w:tab/>
            </w:r>
            <w:r w:rsidR="0006589E" w:rsidRPr="0006589E">
              <w:rPr>
                <w:rStyle w:val="Hyperlink"/>
                <w:noProof/>
                <w:szCs w:val="26"/>
              </w:rPr>
              <w:t>Inflation Adjustment</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_Toc38629282 \h </w:instrText>
            </w:r>
            <w:r w:rsidR="0006589E" w:rsidRPr="0006589E">
              <w:rPr>
                <w:noProof/>
                <w:webHidden/>
                <w:szCs w:val="26"/>
              </w:rPr>
            </w:r>
            <w:r w:rsidR="0006589E" w:rsidRPr="0006589E">
              <w:rPr>
                <w:noProof/>
                <w:webHidden/>
                <w:szCs w:val="26"/>
              </w:rPr>
              <w:fldChar w:fldCharType="separate"/>
            </w:r>
            <w:r w:rsidR="009807F8">
              <w:rPr>
                <w:noProof/>
                <w:webHidden/>
                <w:szCs w:val="26"/>
              </w:rPr>
              <w:t>47</w:t>
            </w:r>
            <w:r w:rsidR="0006589E" w:rsidRPr="0006589E">
              <w:rPr>
                <w:noProof/>
                <w:webHidden/>
                <w:szCs w:val="26"/>
              </w:rPr>
              <w:fldChar w:fldCharType="end"/>
            </w:r>
          </w:hyperlink>
        </w:p>
        <w:p w14:paraId="7429B5EC" w14:textId="3D2A3E1C" w:rsidR="0006589E" w:rsidRPr="0006589E" w:rsidRDefault="008E7E23">
          <w:pPr>
            <w:pStyle w:val="TOC3"/>
            <w:rPr>
              <w:rFonts w:asciiTheme="minorHAnsi" w:eastAsiaTheme="minorEastAsia" w:hAnsiTheme="minorHAnsi" w:cstheme="minorBidi"/>
              <w:noProof/>
              <w:szCs w:val="26"/>
            </w:rPr>
          </w:pPr>
          <w:hyperlink w:anchor="_Toc38629283" w:history="1">
            <w:r w:rsidR="0006589E" w:rsidRPr="0006589E">
              <w:rPr>
                <w:rStyle w:val="Hyperlink"/>
                <w:noProof/>
                <w:szCs w:val="26"/>
              </w:rPr>
              <w:t>2.</w:t>
            </w:r>
            <w:r w:rsidR="0006589E" w:rsidRPr="0006589E">
              <w:rPr>
                <w:rFonts w:asciiTheme="minorHAnsi" w:eastAsiaTheme="minorEastAsia" w:hAnsiTheme="minorHAnsi" w:cstheme="minorBidi"/>
                <w:noProof/>
                <w:szCs w:val="26"/>
              </w:rPr>
              <w:tab/>
            </w:r>
            <w:r w:rsidR="0006589E" w:rsidRPr="0006589E">
              <w:rPr>
                <w:rStyle w:val="Hyperlink"/>
                <w:noProof/>
                <w:szCs w:val="26"/>
              </w:rPr>
              <w:t>Individual Adjustments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_Toc38629283 \h </w:instrText>
            </w:r>
            <w:r w:rsidR="0006589E" w:rsidRPr="0006589E">
              <w:rPr>
                <w:noProof/>
                <w:webHidden/>
                <w:szCs w:val="26"/>
              </w:rPr>
            </w:r>
            <w:r w:rsidR="0006589E" w:rsidRPr="0006589E">
              <w:rPr>
                <w:noProof/>
                <w:webHidden/>
                <w:szCs w:val="26"/>
              </w:rPr>
              <w:fldChar w:fldCharType="separate"/>
            </w:r>
            <w:r w:rsidR="009807F8">
              <w:rPr>
                <w:noProof/>
                <w:webHidden/>
                <w:szCs w:val="26"/>
              </w:rPr>
              <w:t>53</w:t>
            </w:r>
            <w:r w:rsidR="0006589E" w:rsidRPr="0006589E">
              <w:rPr>
                <w:noProof/>
                <w:webHidden/>
                <w:szCs w:val="26"/>
              </w:rPr>
              <w:fldChar w:fldCharType="end"/>
            </w:r>
          </w:hyperlink>
        </w:p>
        <w:p w14:paraId="7F35223B" w14:textId="644041DD" w:rsidR="0006589E" w:rsidRPr="0006589E" w:rsidRDefault="008E7E23">
          <w:pPr>
            <w:pStyle w:val="TOC4"/>
            <w:rPr>
              <w:rFonts w:asciiTheme="minorHAnsi" w:eastAsiaTheme="minorEastAsia" w:hAnsiTheme="minorHAnsi" w:cstheme="minorBidi"/>
              <w:noProof/>
              <w:sz w:val="26"/>
              <w:szCs w:val="26"/>
            </w:rPr>
          </w:pPr>
          <w:hyperlink w:anchor="_Toc38629284" w:history="1">
            <w:r w:rsidR="0006589E" w:rsidRPr="0006589E">
              <w:rPr>
                <w:rStyle w:val="Hyperlink"/>
                <w:noProof/>
                <w:sz w:val="26"/>
                <w:szCs w:val="26"/>
              </w:rPr>
              <w:t>a.</w:t>
            </w:r>
            <w:r w:rsidR="0006589E" w:rsidRPr="0006589E">
              <w:rPr>
                <w:rFonts w:asciiTheme="minorHAnsi" w:eastAsiaTheme="minorEastAsia" w:hAnsiTheme="minorHAnsi" w:cstheme="minorBidi"/>
                <w:noProof/>
                <w:sz w:val="26"/>
                <w:szCs w:val="26"/>
              </w:rPr>
              <w:tab/>
            </w:r>
            <w:r w:rsidR="0006589E" w:rsidRPr="0006589E">
              <w:rPr>
                <w:rStyle w:val="Hyperlink"/>
                <w:noProof/>
                <w:sz w:val="26"/>
                <w:szCs w:val="26"/>
              </w:rPr>
              <w:t>General</w:t>
            </w:r>
            <w:r w:rsidR="0006589E" w:rsidRPr="0006589E">
              <w:rPr>
                <w:noProof/>
                <w:webHidden/>
                <w:sz w:val="26"/>
                <w:szCs w:val="26"/>
              </w:rPr>
              <w:tab/>
            </w:r>
            <w:r w:rsidR="0006589E" w:rsidRPr="0006589E">
              <w:rPr>
                <w:noProof/>
                <w:webHidden/>
                <w:sz w:val="26"/>
                <w:szCs w:val="26"/>
              </w:rPr>
              <w:fldChar w:fldCharType="begin"/>
            </w:r>
            <w:r w:rsidR="0006589E" w:rsidRPr="0006589E">
              <w:rPr>
                <w:noProof/>
                <w:webHidden/>
                <w:sz w:val="26"/>
                <w:szCs w:val="26"/>
              </w:rPr>
              <w:instrText xml:space="preserve"> PAGEREF _Toc38629284 \h </w:instrText>
            </w:r>
            <w:r w:rsidR="0006589E" w:rsidRPr="0006589E">
              <w:rPr>
                <w:noProof/>
                <w:webHidden/>
                <w:sz w:val="26"/>
                <w:szCs w:val="26"/>
              </w:rPr>
            </w:r>
            <w:r w:rsidR="0006589E" w:rsidRPr="0006589E">
              <w:rPr>
                <w:noProof/>
                <w:webHidden/>
                <w:sz w:val="26"/>
                <w:szCs w:val="26"/>
              </w:rPr>
              <w:fldChar w:fldCharType="separate"/>
            </w:r>
            <w:r w:rsidR="009807F8">
              <w:rPr>
                <w:noProof/>
                <w:webHidden/>
                <w:sz w:val="26"/>
                <w:szCs w:val="26"/>
              </w:rPr>
              <w:t>53</w:t>
            </w:r>
            <w:r w:rsidR="0006589E" w:rsidRPr="0006589E">
              <w:rPr>
                <w:noProof/>
                <w:webHidden/>
                <w:sz w:val="26"/>
                <w:szCs w:val="26"/>
              </w:rPr>
              <w:fldChar w:fldCharType="end"/>
            </w:r>
          </w:hyperlink>
        </w:p>
        <w:p w14:paraId="346F293F" w14:textId="4AEDC9F1" w:rsidR="0006589E" w:rsidRPr="0006589E" w:rsidRDefault="008E7E23">
          <w:pPr>
            <w:pStyle w:val="TOC4"/>
            <w:rPr>
              <w:rFonts w:asciiTheme="minorHAnsi" w:eastAsiaTheme="minorEastAsia" w:hAnsiTheme="minorHAnsi" w:cstheme="minorBidi"/>
              <w:noProof/>
              <w:sz w:val="26"/>
              <w:szCs w:val="26"/>
            </w:rPr>
          </w:pPr>
          <w:hyperlink w:anchor="_Toc38629285" w:history="1">
            <w:r w:rsidR="0006589E" w:rsidRPr="0006589E">
              <w:rPr>
                <w:rStyle w:val="Hyperlink"/>
                <w:noProof/>
                <w:sz w:val="26"/>
                <w:szCs w:val="26"/>
              </w:rPr>
              <w:t>b.</w:t>
            </w:r>
            <w:r w:rsidR="0006589E" w:rsidRPr="0006589E">
              <w:rPr>
                <w:rFonts w:asciiTheme="minorHAnsi" w:eastAsiaTheme="minorEastAsia" w:hAnsiTheme="minorHAnsi" w:cstheme="minorBidi"/>
                <w:noProof/>
                <w:sz w:val="26"/>
                <w:szCs w:val="26"/>
              </w:rPr>
              <w:tab/>
            </w:r>
            <w:r w:rsidR="0006589E" w:rsidRPr="0006589E">
              <w:rPr>
                <w:rStyle w:val="Hyperlink"/>
                <w:noProof/>
                <w:sz w:val="26"/>
                <w:szCs w:val="26"/>
              </w:rPr>
              <w:t>Maintenance of Overhead Lines/Vegetation Management (Account 593)</w:t>
            </w:r>
            <w:r w:rsidR="0006589E" w:rsidRPr="0006589E">
              <w:rPr>
                <w:noProof/>
                <w:webHidden/>
                <w:sz w:val="26"/>
                <w:szCs w:val="26"/>
              </w:rPr>
              <w:tab/>
            </w:r>
            <w:r w:rsidR="0006589E" w:rsidRPr="0006589E">
              <w:rPr>
                <w:noProof/>
                <w:webHidden/>
                <w:sz w:val="26"/>
                <w:szCs w:val="26"/>
              </w:rPr>
              <w:fldChar w:fldCharType="begin"/>
            </w:r>
            <w:r w:rsidR="0006589E" w:rsidRPr="0006589E">
              <w:rPr>
                <w:noProof/>
                <w:webHidden/>
                <w:sz w:val="26"/>
                <w:szCs w:val="26"/>
              </w:rPr>
              <w:instrText xml:space="preserve"> PAGEREF _Toc38629285 \h </w:instrText>
            </w:r>
            <w:r w:rsidR="0006589E" w:rsidRPr="0006589E">
              <w:rPr>
                <w:noProof/>
                <w:webHidden/>
                <w:sz w:val="26"/>
                <w:szCs w:val="26"/>
              </w:rPr>
            </w:r>
            <w:r w:rsidR="0006589E" w:rsidRPr="0006589E">
              <w:rPr>
                <w:noProof/>
                <w:webHidden/>
                <w:sz w:val="26"/>
                <w:szCs w:val="26"/>
              </w:rPr>
              <w:fldChar w:fldCharType="separate"/>
            </w:r>
            <w:r w:rsidR="009807F8">
              <w:rPr>
                <w:noProof/>
                <w:webHidden/>
                <w:sz w:val="26"/>
                <w:szCs w:val="26"/>
              </w:rPr>
              <w:t>57</w:t>
            </w:r>
            <w:r w:rsidR="0006589E" w:rsidRPr="0006589E">
              <w:rPr>
                <w:noProof/>
                <w:webHidden/>
                <w:sz w:val="26"/>
                <w:szCs w:val="26"/>
              </w:rPr>
              <w:fldChar w:fldCharType="end"/>
            </w:r>
          </w:hyperlink>
        </w:p>
        <w:p w14:paraId="278E1A73" w14:textId="5F8FB2EC" w:rsidR="0006589E" w:rsidRPr="0006589E" w:rsidRDefault="008E7E23">
          <w:pPr>
            <w:pStyle w:val="TOC4"/>
            <w:rPr>
              <w:rFonts w:asciiTheme="minorHAnsi" w:eastAsiaTheme="minorEastAsia" w:hAnsiTheme="minorHAnsi" w:cstheme="minorBidi"/>
              <w:noProof/>
              <w:sz w:val="26"/>
              <w:szCs w:val="26"/>
            </w:rPr>
          </w:pPr>
          <w:hyperlink w:anchor="_Toc38629286" w:history="1">
            <w:r w:rsidR="0006589E" w:rsidRPr="0006589E">
              <w:rPr>
                <w:rStyle w:val="Hyperlink"/>
                <w:noProof/>
                <w:sz w:val="26"/>
                <w:szCs w:val="26"/>
              </w:rPr>
              <w:t>c.</w:t>
            </w:r>
            <w:r w:rsidR="0006589E" w:rsidRPr="0006589E">
              <w:rPr>
                <w:rFonts w:asciiTheme="minorHAnsi" w:eastAsiaTheme="minorEastAsia" w:hAnsiTheme="minorHAnsi" w:cstheme="minorBidi"/>
                <w:noProof/>
                <w:sz w:val="26"/>
                <w:szCs w:val="26"/>
              </w:rPr>
              <w:tab/>
            </w:r>
            <w:r w:rsidR="0006589E" w:rsidRPr="0006589E">
              <w:rPr>
                <w:rStyle w:val="Hyperlink"/>
                <w:noProof/>
                <w:sz w:val="26"/>
                <w:szCs w:val="26"/>
              </w:rPr>
              <w:t>Operations Supervision &amp; Maintenance Expense       (Account 580)</w:t>
            </w:r>
            <w:r w:rsidR="0006589E" w:rsidRPr="0006589E">
              <w:rPr>
                <w:noProof/>
                <w:webHidden/>
                <w:sz w:val="26"/>
                <w:szCs w:val="26"/>
              </w:rPr>
              <w:tab/>
            </w:r>
            <w:r w:rsidR="0006589E" w:rsidRPr="0006589E">
              <w:rPr>
                <w:noProof/>
                <w:webHidden/>
                <w:sz w:val="26"/>
                <w:szCs w:val="26"/>
              </w:rPr>
              <w:fldChar w:fldCharType="begin"/>
            </w:r>
            <w:r w:rsidR="0006589E" w:rsidRPr="0006589E">
              <w:rPr>
                <w:noProof/>
                <w:webHidden/>
                <w:sz w:val="26"/>
                <w:szCs w:val="26"/>
              </w:rPr>
              <w:instrText xml:space="preserve"> PAGEREF _Toc38629286 \h </w:instrText>
            </w:r>
            <w:r w:rsidR="0006589E" w:rsidRPr="0006589E">
              <w:rPr>
                <w:noProof/>
                <w:webHidden/>
                <w:sz w:val="26"/>
                <w:szCs w:val="26"/>
              </w:rPr>
            </w:r>
            <w:r w:rsidR="0006589E" w:rsidRPr="0006589E">
              <w:rPr>
                <w:noProof/>
                <w:webHidden/>
                <w:sz w:val="26"/>
                <w:szCs w:val="26"/>
              </w:rPr>
              <w:fldChar w:fldCharType="separate"/>
            </w:r>
            <w:r w:rsidR="009807F8">
              <w:rPr>
                <w:noProof/>
                <w:webHidden/>
                <w:sz w:val="26"/>
                <w:szCs w:val="26"/>
              </w:rPr>
              <w:t>61</w:t>
            </w:r>
            <w:r w:rsidR="0006589E" w:rsidRPr="0006589E">
              <w:rPr>
                <w:noProof/>
                <w:webHidden/>
                <w:sz w:val="26"/>
                <w:szCs w:val="26"/>
              </w:rPr>
              <w:fldChar w:fldCharType="end"/>
            </w:r>
          </w:hyperlink>
        </w:p>
        <w:p w14:paraId="119968F9" w14:textId="3868D8EB" w:rsidR="0006589E" w:rsidRPr="0006589E" w:rsidRDefault="008E7E23">
          <w:pPr>
            <w:pStyle w:val="TOC4"/>
            <w:rPr>
              <w:rFonts w:asciiTheme="minorHAnsi" w:eastAsiaTheme="minorEastAsia" w:hAnsiTheme="minorHAnsi" w:cstheme="minorBidi"/>
              <w:noProof/>
              <w:sz w:val="26"/>
              <w:szCs w:val="26"/>
            </w:rPr>
          </w:pPr>
          <w:hyperlink w:anchor="_Toc38629287" w:history="1">
            <w:r w:rsidR="0006589E" w:rsidRPr="0006589E">
              <w:rPr>
                <w:rStyle w:val="Hyperlink"/>
                <w:noProof/>
                <w:sz w:val="26"/>
                <w:szCs w:val="26"/>
              </w:rPr>
              <w:t>d.</w:t>
            </w:r>
            <w:r w:rsidR="0006589E" w:rsidRPr="0006589E">
              <w:rPr>
                <w:rFonts w:asciiTheme="minorHAnsi" w:eastAsiaTheme="minorEastAsia" w:hAnsiTheme="minorHAnsi" w:cstheme="minorBidi"/>
                <w:noProof/>
                <w:sz w:val="26"/>
                <w:szCs w:val="26"/>
              </w:rPr>
              <w:tab/>
            </w:r>
            <w:r w:rsidR="0006589E" w:rsidRPr="0006589E">
              <w:rPr>
                <w:rStyle w:val="Hyperlink"/>
                <w:noProof/>
                <w:sz w:val="26"/>
                <w:szCs w:val="26"/>
              </w:rPr>
              <w:t>Miscellaneous Distribution Expense (Account 588)</w:t>
            </w:r>
            <w:r w:rsidR="0006589E" w:rsidRPr="0006589E">
              <w:rPr>
                <w:noProof/>
                <w:webHidden/>
                <w:sz w:val="26"/>
                <w:szCs w:val="26"/>
              </w:rPr>
              <w:tab/>
            </w:r>
            <w:r w:rsidR="0006589E" w:rsidRPr="0006589E">
              <w:rPr>
                <w:noProof/>
                <w:webHidden/>
                <w:sz w:val="26"/>
                <w:szCs w:val="26"/>
              </w:rPr>
              <w:fldChar w:fldCharType="begin"/>
            </w:r>
            <w:r w:rsidR="0006589E" w:rsidRPr="0006589E">
              <w:rPr>
                <w:noProof/>
                <w:webHidden/>
                <w:sz w:val="26"/>
                <w:szCs w:val="26"/>
              </w:rPr>
              <w:instrText xml:space="preserve"> PAGEREF _Toc38629287 \h </w:instrText>
            </w:r>
            <w:r w:rsidR="0006589E" w:rsidRPr="0006589E">
              <w:rPr>
                <w:noProof/>
                <w:webHidden/>
                <w:sz w:val="26"/>
                <w:szCs w:val="26"/>
              </w:rPr>
            </w:r>
            <w:r w:rsidR="0006589E" w:rsidRPr="0006589E">
              <w:rPr>
                <w:noProof/>
                <w:webHidden/>
                <w:sz w:val="26"/>
                <w:szCs w:val="26"/>
              </w:rPr>
              <w:fldChar w:fldCharType="separate"/>
            </w:r>
            <w:r w:rsidR="009807F8">
              <w:rPr>
                <w:noProof/>
                <w:webHidden/>
                <w:sz w:val="26"/>
                <w:szCs w:val="26"/>
              </w:rPr>
              <w:t>63</w:t>
            </w:r>
            <w:r w:rsidR="0006589E" w:rsidRPr="0006589E">
              <w:rPr>
                <w:noProof/>
                <w:webHidden/>
                <w:sz w:val="26"/>
                <w:szCs w:val="26"/>
              </w:rPr>
              <w:fldChar w:fldCharType="end"/>
            </w:r>
          </w:hyperlink>
        </w:p>
        <w:p w14:paraId="455CDEF7" w14:textId="78283444" w:rsidR="0006589E" w:rsidRPr="0006589E" w:rsidRDefault="008E7E23">
          <w:pPr>
            <w:pStyle w:val="TOC4"/>
            <w:rPr>
              <w:rFonts w:asciiTheme="minorHAnsi" w:eastAsiaTheme="minorEastAsia" w:hAnsiTheme="minorHAnsi" w:cstheme="minorBidi"/>
              <w:noProof/>
              <w:sz w:val="26"/>
              <w:szCs w:val="26"/>
            </w:rPr>
          </w:pPr>
          <w:hyperlink w:anchor="_Toc38629288" w:history="1">
            <w:r w:rsidR="0006589E" w:rsidRPr="0006589E">
              <w:rPr>
                <w:rStyle w:val="Hyperlink"/>
                <w:noProof/>
                <w:sz w:val="26"/>
                <w:szCs w:val="26"/>
              </w:rPr>
              <w:t>e.</w:t>
            </w:r>
            <w:r w:rsidR="0006589E" w:rsidRPr="0006589E">
              <w:rPr>
                <w:rFonts w:asciiTheme="minorHAnsi" w:eastAsiaTheme="minorEastAsia" w:hAnsiTheme="minorHAnsi" w:cstheme="minorBidi"/>
                <w:noProof/>
                <w:sz w:val="26"/>
                <w:szCs w:val="26"/>
              </w:rPr>
              <w:tab/>
            </w:r>
            <w:r w:rsidR="0006589E" w:rsidRPr="0006589E">
              <w:rPr>
                <w:rStyle w:val="Hyperlink"/>
                <w:noProof/>
                <w:sz w:val="26"/>
                <w:szCs w:val="26"/>
              </w:rPr>
              <w:t>Customer Records &amp; Collection Expense (Account 903)</w:t>
            </w:r>
            <w:r w:rsidR="0006589E" w:rsidRPr="0006589E">
              <w:rPr>
                <w:noProof/>
                <w:webHidden/>
                <w:sz w:val="26"/>
                <w:szCs w:val="26"/>
              </w:rPr>
              <w:tab/>
            </w:r>
            <w:r w:rsidR="0006589E" w:rsidRPr="0006589E">
              <w:rPr>
                <w:noProof/>
                <w:webHidden/>
                <w:sz w:val="26"/>
                <w:szCs w:val="26"/>
              </w:rPr>
              <w:fldChar w:fldCharType="begin"/>
            </w:r>
            <w:r w:rsidR="0006589E" w:rsidRPr="0006589E">
              <w:rPr>
                <w:noProof/>
                <w:webHidden/>
                <w:sz w:val="26"/>
                <w:szCs w:val="26"/>
              </w:rPr>
              <w:instrText xml:space="preserve"> PAGEREF _Toc38629288 \h </w:instrText>
            </w:r>
            <w:r w:rsidR="0006589E" w:rsidRPr="0006589E">
              <w:rPr>
                <w:noProof/>
                <w:webHidden/>
                <w:sz w:val="26"/>
                <w:szCs w:val="26"/>
              </w:rPr>
            </w:r>
            <w:r w:rsidR="0006589E" w:rsidRPr="0006589E">
              <w:rPr>
                <w:noProof/>
                <w:webHidden/>
                <w:sz w:val="26"/>
                <w:szCs w:val="26"/>
              </w:rPr>
              <w:fldChar w:fldCharType="separate"/>
            </w:r>
            <w:r w:rsidR="009807F8">
              <w:rPr>
                <w:noProof/>
                <w:webHidden/>
                <w:sz w:val="26"/>
                <w:szCs w:val="26"/>
              </w:rPr>
              <w:t>66</w:t>
            </w:r>
            <w:r w:rsidR="0006589E" w:rsidRPr="0006589E">
              <w:rPr>
                <w:noProof/>
                <w:webHidden/>
                <w:sz w:val="26"/>
                <w:szCs w:val="26"/>
              </w:rPr>
              <w:fldChar w:fldCharType="end"/>
            </w:r>
          </w:hyperlink>
        </w:p>
        <w:p w14:paraId="16E280A6" w14:textId="631879BB" w:rsidR="0006589E" w:rsidRPr="0006589E" w:rsidRDefault="008E7E23">
          <w:pPr>
            <w:pStyle w:val="TOC4"/>
            <w:rPr>
              <w:rFonts w:asciiTheme="minorHAnsi" w:eastAsiaTheme="minorEastAsia" w:hAnsiTheme="minorHAnsi" w:cstheme="minorBidi"/>
              <w:noProof/>
              <w:sz w:val="26"/>
              <w:szCs w:val="26"/>
            </w:rPr>
          </w:pPr>
          <w:hyperlink w:anchor="_Toc38629289" w:history="1">
            <w:r w:rsidR="0006589E" w:rsidRPr="0006589E">
              <w:rPr>
                <w:rStyle w:val="Hyperlink"/>
                <w:noProof/>
                <w:sz w:val="26"/>
                <w:szCs w:val="26"/>
              </w:rPr>
              <w:t>f.</w:t>
            </w:r>
            <w:r w:rsidR="0006589E" w:rsidRPr="0006589E">
              <w:rPr>
                <w:rFonts w:asciiTheme="minorHAnsi" w:eastAsiaTheme="minorEastAsia" w:hAnsiTheme="minorHAnsi" w:cstheme="minorBidi"/>
                <w:noProof/>
                <w:sz w:val="26"/>
                <w:szCs w:val="26"/>
              </w:rPr>
              <w:tab/>
            </w:r>
            <w:r w:rsidR="0006589E" w:rsidRPr="0006589E">
              <w:rPr>
                <w:rStyle w:val="Hyperlink"/>
                <w:noProof/>
                <w:sz w:val="26"/>
                <w:szCs w:val="26"/>
              </w:rPr>
              <w:t>Outside Services (Account 923)</w:t>
            </w:r>
            <w:r w:rsidR="0006589E" w:rsidRPr="0006589E">
              <w:rPr>
                <w:noProof/>
                <w:webHidden/>
                <w:sz w:val="26"/>
                <w:szCs w:val="26"/>
              </w:rPr>
              <w:tab/>
            </w:r>
            <w:r w:rsidR="0006589E" w:rsidRPr="0006589E">
              <w:rPr>
                <w:noProof/>
                <w:webHidden/>
                <w:sz w:val="26"/>
                <w:szCs w:val="26"/>
              </w:rPr>
              <w:fldChar w:fldCharType="begin"/>
            </w:r>
            <w:r w:rsidR="0006589E" w:rsidRPr="0006589E">
              <w:rPr>
                <w:noProof/>
                <w:webHidden/>
                <w:sz w:val="26"/>
                <w:szCs w:val="26"/>
              </w:rPr>
              <w:instrText xml:space="preserve"> PAGEREF _Toc38629289 \h </w:instrText>
            </w:r>
            <w:r w:rsidR="0006589E" w:rsidRPr="0006589E">
              <w:rPr>
                <w:noProof/>
                <w:webHidden/>
                <w:sz w:val="26"/>
                <w:szCs w:val="26"/>
              </w:rPr>
            </w:r>
            <w:r w:rsidR="0006589E" w:rsidRPr="0006589E">
              <w:rPr>
                <w:noProof/>
                <w:webHidden/>
                <w:sz w:val="26"/>
                <w:szCs w:val="26"/>
              </w:rPr>
              <w:fldChar w:fldCharType="separate"/>
            </w:r>
            <w:r w:rsidR="009807F8">
              <w:rPr>
                <w:noProof/>
                <w:webHidden/>
                <w:sz w:val="26"/>
                <w:szCs w:val="26"/>
              </w:rPr>
              <w:t>69</w:t>
            </w:r>
            <w:r w:rsidR="0006589E" w:rsidRPr="0006589E">
              <w:rPr>
                <w:noProof/>
                <w:webHidden/>
                <w:sz w:val="26"/>
                <w:szCs w:val="26"/>
              </w:rPr>
              <w:fldChar w:fldCharType="end"/>
            </w:r>
          </w:hyperlink>
        </w:p>
        <w:p w14:paraId="0A6E2EC2" w14:textId="4F96D38A" w:rsidR="0006589E" w:rsidRPr="0006589E" w:rsidRDefault="008E7E23">
          <w:pPr>
            <w:pStyle w:val="TOC4"/>
            <w:rPr>
              <w:rFonts w:asciiTheme="minorHAnsi" w:eastAsiaTheme="minorEastAsia" w:hAnsiTheme="minorHAnsi" w:cstheme="minorBidi"/>
              <w:noProof/>
              <w:sz w:val="26"/>
              <w:szCs w:val="26"/>
            </w:rPr>
          </w:pPr>
          <w:hyperlink w:anchor="_Toc38629290" w:history="1">
            <w:r w:rsidR="0006589E" w:rsidRPr="0006589E">
              <w:rPr>
                <w:rStyle w:val="Hyperlink"/>
                <w:noProof/>
                <w:sz w:val="26"/>
                <w:szCs w:val="26"/>
              </w:rPr>
              <w:t>g.</w:t>
            </w:r>
            <w:r w:rsidR="0006589E" w:rsidRPr="0006589E">
              <w:rPr>
                <w:rFonts w:asciiTheme="minorHAnsi" w:eastAsiaTheme="minorEastAsia" w:hAnsiTheme="minorHAnsi" w:cstheme="minorBidi"/>
                <w:noProof/>
                <w:sz w:val="26"/>
                <w:szCs w:val="26"/>
              </w:rPr>
              <w:tab/>
            </w:r>
            <w:r w:rsidR="0006589E" w:rsidRPr="0006589E">
              <w:rPr>
                <w:rStyle w:val="Hyperlink"/>
                <w:noProof/>
                <w:sz w:val="26"/>
                <w:szCs w:val="26"/>
              </w:rPr>
              <w:t>Employee Pension &amp; Benefits (Account 926)</w:t>
            </w:r>
            <w:r w:rsidR="0006589E" w:rsidRPr="0006589E">
              <w:rPr>
                <w:noProof/>
                <w:webHidden/>
                <w:sz w:val="26"/>
                <w:szCs w:val="26"/>
              </w:rPr>
              <w:tab/>
            </w:r>
            <w:r w:rsidR="0006589E" w:rsidRPr="0006589E">
              <w:rPr>
                <w:noProof/>
                <w:webHidden/>
                <w:sz w:val="26"/>
                <w:szCs w:val="26"/>
              </w:rPr>
              <w:fldChar w:fldCharType="begin"/>
            </w:r>
            <w:r w:rsidR="0006589E" w:rsidRPr="0006589E">
              <w:rPr>
                <w:noProof/>
                <w:webHidden/>
                <w:sz w:val="26"/>
                <w:szCs w:val="26"/>
              </w:rPr>
              <w:instrText xml:space="preserve"> PAGEREF _Toc38629290 \h </w:instrText>
            </w:r>
            <w:r w:rsidR="0006589E" w:rsidRPr="0006589E">
              <w:rPr>
                <w:noProof/>
                <w:webHidden/>
                <w:sz w:val="26"/>
                <w:szCs w:val="26"/>
              </w:rPr>
            </w:r>
            <w:r w:rsidR="0006589E" w:rsidRPr="0006589E">
              <w:rPr>
                <w:noProof/>
                <w:webHidden/>
                <w:sz w:val="26"/>
                <w:szCs w:val="26"/>
              </w:rPr>
              <w:fldChar w:fldCharType="separate"/>
            </w:r>
            <w:r w:rsidR="009807F8">
              <w:rPr>
                <w:noProof/>
                <w:webHidden/>
                <w:sz w:val="26"/>
                <w:szCs w:val="26"/>
              </w:rPr>
              <w:t>73</w:t>
            </w:r>
            <w:r w:rsidR="0006589E" w:rsidRPr="0006589E">
              <w:rPr>
                <w:noProof/>
                <w:webHidden/>
                <w:sz w:val="26"/>
                <w:szCs w:val="26"/>
              </w:rPr>
              <w:fldChar w:fldCharType="end"/>
            </w:r>
          </w:hyperlink>
        </w:p>
        <w:p w14:paraId="400482C5" w14:textId="5CC83444" w:rsidR="0006589E" w:rsidRPr="0006589E" w:rsidRDefault="008E7E23">
          <w:pPr>
            <w:pStyle w:val="TOC4"/>
            <w:rPr>
              <w:rFonts w:asciiTheme="minorHAnsi" w:eastAsiaTheme="minorEastAsia" w:hAnsiTheme="minorHAnsi" w:cstheme="minorBidi"/>
              <w:noProof/>
              <w:sz w:val="26"/>
              <w:szCs w:val="26"/>
            </w:rPr>
          </w:pPr>
          <w:hyperlink w:anchor="_Toc38629291" w:history="1">
            <w:r w:rsidR="0006589E" w:rsidRPr="0006589E">
              <w:rPr>
                <w:rStyle w:val="Hyperlink"/>
                <w:noProof/>
                <w:sz w:val="26"/>
                <w:szCs w:val="26"/>
              </w:rPr>
              <w:t>h.</w:t>
            </w:r>
            <w:r w:rsidR="0006589E" w:rsidRPr="0006589E">
              <w:rPr>
                <w:rFonts w:asciiTheme="minorHAnsi" w:eastAsiaTheme="minorEastAsia" w:hAnsiTheme="minorHAnsi" w:cstheme="minorBidi"/>
                <w:noProof/>
                <w:sz w:val="26"/>
                <w:szCs w:val="26"/>
              </w:rPr>
              <w:tab/>
            </w:r>
            <w:r w:rsidR="0006589E" w:rsidRPr="0006589E">
              <w:rPr>
                <w:rStyle w:val="Hyperlink"/>
                <w:noProof/>
                <w:sz w:val="26"/>
                <w:szCs w:val="26"/>
              </w:rPr>
              <w:t>Rate Case Expense – Normalization Period</w:t>
            </w:r>
            <w:r w:rsidR="0006589E" w:rsidRPr="0006589E">
              <w:rPr>
                <w:noProof/>
                <w:webHidden/>
                <w:sz w:val="26"/>
                <w:szCs w:val="26"/>
              </w:rPr>
              <w:tab/>
            </w:r>
            <w:r w:rsidR="0006589E" w:rsidRPr="0006589E">
              <w:rPr>
                <w:noProof/>
                <w:webHidden/>
                <w:sz w:val="26"/>
                <w:szCs w:val="26"/>
              </w:rPr>
              <w:fldChar w:fldCharType="begin"/>
            </w:r>
            <w:r w:rsidR="0006589E" w:rsidRPr="0006589E">
              <w:rPr>
                <w:noProof/>
                <w:webHidden/>
                <w:sz w:val="26"/>
                <w:szCs w:val="26"/>
              </w:rPr>
              <w:instrText xml:space="preserve"> PAGEREF _Toc38629291 \h </w:instrText>
            </w:r>
            <w:r w:rsidR="0006589E" w:rsidRPr="0006589E">
              <w:rPr>
                <w:noProof/>
                <w:webHidden/>
                <w:sz w:val="26"/>
                <w:szCs w:val="26"/>
              </w:rPr>
            </w:r>
            <w:r w:rsidR="0006589E" w:rsidRPr="0006589E">
              <w:rPr>
                <w:noProof/>
                <w:webHidden/>
                <w:sz w:val="26"/>
                <w:szCs w:val="26"/>
              </w:rPr>
              <w:fldChar w:fldCharType="separate"/>
            </w:r>
            <w:r w:rsidR="009807F8">
              <w:rPr>
                <w:noProof/>
                <w:webHidden/>
                <w:sz w:val="26"/>
                <w:szCs w:val="26"/>
              </w:rPr>
              <w:t>76</w:t>
            </w:r>
            <w:r w:rsidR="0006589E" w:rsidRPr="0006589E">
              <w:rPr>
                <w:noProof/>
                <w:webHidden/>
                <w:sz w:val="26"/>
                <w:szCs w:val="26"/>
              </w:rPr>
              <w:fldChar w:fldCharType="end"/>
            </w:r>
          </w:hyperlink>
        </w:p>
        <w:p w14:paraId="0819A58C" w14:textId="5E7FD66B" w:rsidR="0006589E" w:rsidRPr="0006589E" w:rsidRDefault="008E7E23">
          <w:pPr>
            <w:pStyle w:val="TOC4"/>
            <w:rPr>
              <w:rFonts w:asciiTheme="minorHAnsi" w:eastAsiaTheme="minorEastAsia" w:hAnsiTheme="minorHAnsi" w:cstheme="minorBidi"/>
              <w:noProof/>
              <w:sz w:val="26"/>
              <w:szCs w:val="26"/>
            </w:rPr>
          </w:pPr>
          <w:hyperlink w:anchor="_Toc38629292" w:history="1">
            <w:r w:rsidR="0006589E" w:rsidRPr="0006589E">
              <w:rPr>
                <w:rStyle w:val="Hyperlink"/>
                <w:noProof/>
                <w:sz w:val="26"/>
                <w:szCs w:val="26"/>
              </w:rPr>
              <w:t>i.</w:t>
            </w:r>
            <w:r w:rsidR="0006589E" w:rsidRPr="0006589E">
              <w:rPr>
                <w:rFonts w:asciiTheme="minorHAnsi" w:eastAsiaTheme="minorEastAsia" w:hAnsiTheme="minorHAnsi" w:cstheme="minorBidi"/>
                <w:noProof/>
                <w:sz w:val="26"/>
                <w:szCs w:val="26"/>
              </w:rPr>
              <w:tab/>
            </w:r>
            <w:r w:rsidR="0006589E" w:rsidRPr="0006589E">
              <w:rPr>
                <w:rStyle w:val="Hyperlink"/>
                <w:noProof/>
                <w:sz w:val="26"/>
                <w:szCs w:val="26"/>
              </w:rPr>
              <w:t>Depreciation Expense</w:t>
            </w:r>
            <w:r w:rsidR="0006589E" w:rsidRPr="0006589E">
              <w:rPr>
                <w:noProof/>
                <w:webHidden/>
                <w:sz w:val="26"/>
                <w:szCs w:val="26"/>
              </w:rPr>
              <w:tab/>
            </w:r>
            <w:r w:rsidR="0006589E" w:rsidRPr="0006589E">
              <w:rPr>
                <w:noProof/>
                <w:webHidden/>
                <w:sz w:val="26"/>
                <w:szCs w:val="26"/>
              </w:rPr>
              <w:fldChar w:fldCharType="begin"/>
            </w:r>
            <w:r w:rsidR="0006589E" w:rsidRPr="0006589E">
              <w:rPr>
                <w:noProof/>
                <w:webHidden/>
                <w:sz w:val="26"/>
                <w:szCs w:val="26"/>
              </w:rPr>
              <w:instrText xml:space="preserve"> PAGEREF _Toc38629292 \h </w:instrText>
            </w:r>
            <w:r w:rsidR="0006589E" w:rsidRPr="0006589E">
              <w:rPr>
                <w:noProof/>
                <w:webHidden/>
                <w:sz w:val="26"/>
                <w:szCs w:val="26"/>
              </w:rPr>
            </w:r>
            <w:r w:rsidR="0006589E" w:rsidRPr="0006589E">
              <w:rPr>
                <w:noProof/>
                <w:webHidden/>
                <w:sz w:val="26"/>
                <w:szCs w:val="26"/>
              </w:rPr>
              <w:fldChar w:fldCharType="separate"/>
            </w:r>
            <w:r w:rsidR="009807F8">
              <w:rPr>
                <w:noProof/>
                <w:webHidden/>
                <w:sz w:val="26"/>
                <w:szCs w:val="26"/>
              </w:rPr>
              <w:t>81</w:t>
            </w:r>
            <w:r w:rsidR="0006589E" w:rsidRPr="0006589E">
              <w:rPr>
                <w:noProof/>
                <w:webHidden/>
                <w:sz w:val="26"/>
                <w:szCs w:val="26"/>
              </w:rPr>
              <w:fldChar w:fldCharType="end"/>
            </w:r>
          </w:hyperlink>
        </w:p>
        <w:p w14:paraId="5AF0A780" w14:textId="717CD9C2" w:rsidR="0006589E" w:rsidRPr="0006589E" w:rsidRDefault="008E7E23">
          <w:pPr>
            <w:pStyle w:val="TOC2"/>
            <w:rPr>
              <w:rFonts w:asciiTheme="minorHAnsi" w:eastAsiaTheme="minorEastAsia" w:hAnsiTheme="minorHAnsi" w:cstheme="minorBidi"/>
              <w:noProof/>
              <w:szCs w:val="26"/>
            </w:rPr>
          </w:pPr>
          <w:hyperlink w:anchor="_Toc38629293" w:history="1">
            <w:r w:rsidR="0006589E" w:rsidRPr="0006589E">
              <w:rPr>
                <w:rStyle w:val="Hyperlink"/>
                <w:noProof/>
                <w:szCs w:val="26"/>
              </w:rPr>
              <w:t>D.</w:t>
            </w:r>
            <w:r w:rsidR="0006589E" w:rsidRPr="0006589E">
              <w:rPr>
                <w:rFonts w:asciiTheme="minorHAnsi" w:eastAsiaTheme="minorEastAsia" w:hAnsiTheme="minorHAnsi" w:cstheme="minorBidi"/>
                <w:noProof/>
                <w:szCs w:val="26"/>
              </w:rPr>
              <w:tab/>
            </w:r>
            <w:r w:rsidR="0006589E" w:rsidRPr="0006589E">
              <w:rPr>
                <w:rStyle w:val="Hyperlink"/>
                <w:noProof/>
                <w:szCs w:val="26"/>
              </w:rPr>
              <w:t>Fair Rate of Return</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_Toc38629293 \h </w:instrText>
            </w:r>
            <w:r w:rsidR="0006589E" w:rsidRPr="0006589E">
              <w:rPr>
                <w:noProof/>
                <w:webHidden/>
                <w:szCs w:val="26"/>
              </w:rPr>
            </w:r>
            <w:r w:rsidR="0006589E" w:rsidRPr="0006589E">
              <w:rPr>
                <w:noProof/>
                <w:webHidden/>
                <w:szCs w:val="26"/>
              </w:rPr>
              <w:fldChar w:fldCharType="separate"/>
            </w:r>
            <w:r w:rsidR="009807F8">
              <w:rPr>
                <w:noProof/>
                <w:webHidden/>
                <w:szCs w:val="26"/>
              </w:rPr>
              <w:t>82</w:t>
            </w:r>
            <w:r w:rsidR="0006589E" w:rsidRPr="0006589E">
              <w:rPr>
                <w:noProof/>
                <w:webHidden/>
                <w:szCs w:val="26"/>
              </w:rPr>
              <w:fldChar w:fldCharType="end"/>
            </w:r>
          </w:hyperlink>
        </w:p>
        <w:p w14:paraId="5D56C9D1" w14:textId="4FA2A539" w:rsidR="0006589E" w:rsidRPr="0006589E" w:rsidRDefault="008E7E23">
          <w:pPr>
            <w:pStyle w:val="TOC3"/>
            <w:rPr>
              <w:rFonts w:asciiTheme="minorHAnsi" w:eastAsiaTheme="minorEastAsia" w:hAnsiTheme="minorHAnsi" w:cstheme="minorBidi"/>
              <w:noProof/>
              <w:szCs w:val="26"/>
            </w:rPr>
          </w:pPr>
          <w:hyperlink w:anchor="_Toc38629294" w:history="1">
            <w:r w:rsidR="0006589E" w:rsidRPr="0006589E">
              <w:rPr>
                <w:rStyle w:val="Hyperlink"/>
                <w:noProof/>
                <w:szCs w:val="26"/>
              </w:rPr>
              <w:t>1.</w:t>
            </w:r>
            <w:r w:rsidR="0006589E" w:rsidRPr="0006589E">
              <w:rPr>
                <w:rFonts w:asciiTheme="minorHAnsi" w:eastAsiaTheme="minorEastAsia" w:hAnsiTheme="minorHAnsi" w:cstheme="minorBidi"/>
                <w:noProof/>
                <w:szCs w:val="26"/>
              </w:rPr>
              <w:tab/>
            </w:r>
            <w:r w:rsidR="0006589E" w:rsidRPr="0006589E">
              <w:rPr>
                <w:rStyle w:val="Hyperlink"/>
                <w:noProof/>
                <w:szCs w:val="26"/>
              </w:rPr>
              <w:t>Cost of Common Equity</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_Toc38629294 \h </w:instrText>
            </w:r>
            <w:r w:rsidR="0006589E" w:rsidRPr="0006589E">
              <w:rPr>
                <w:noProof/>
                <w:webHidden/>
                <w:szCs w:val="26"/>
              </w:rPr>
            </w:r>
            <w:r w:rsidR="0006589E" w:rsidRPr="0006589E">
              <w:rPr>
                <w:noProof/>
                <w:webHidden/>
                <w:szCs w:val="26"/>
              </w:rPr>
              <w:fldChar w:fldCharType="separate"/>
            </w:r>
            <w:r w:rsidR="009807F8">
              <w:rPr>
                <w:noProof/>
                <w:webHidden/>
                <w:szCs w:val="26"/>
              </w:rPr>
              <w:t>82</w:t>
            </w:r>
            <w:r w:rsidR="0006589E" w:rsidRPr="0006589E">
              <w:rPr>
                <w:noProof/>
                <w:webHidden/>
                <w:szCs w:val="26"/>
              </w:rPr>
              <w:fldChar w:fldCharType="end"/>
            </w:r>
          </w:hyperlink>
        </w:p>
        <w:p w14:paraId="65893B7A" w14:textId="35D69D23" w:rsidR="0006589E" w:rsidRPr="0006589E" w:rsidRDefault="008E7E23">
          <w:pPr>
            <w:pStyle w:val="TOC3"/>
            <w:rPr>
              <w:rFonts w:asciiTheme="minorHAnsi" w:eastAsiaTheme="minorEastAsia" w:hAnsiTheme="minorHAnsi" w:cstheme="minorBidi"/>
              <w:noProof/>
              <w:szCs w:val="26"/>
            </w:rPr>
          </w:pPr>
          <w:hyperlink w:anchor="_Toc38629295" w:history="1">
            <w:r w:rsidR="0006589E" w:rsidRPr="0006589E">
              <w:rPr>
                <w:rStyle w:val="Hyperlink"/>
                <w:noProof/>
                <w:szCs w:val="26"/>
              </w:rPr>
              <w:t>2.</w:t>
            </w:r>
            <w:r w:rsidR="0006589E" w:rsidRPr="0006589E">
              <w:rPr>
                <w:rFonts w:asciiTheme="minorHAnsi" w:eastAsiaTheme="minorEastAsia" w:hAnsiTheme="minorHAnsi" w:cstheme="minorBidi"/>
                <w:noProof/>
                <w:szCs w:val="26"/>
              </w:rPr>
              <w:tab/>
            </w:r>
            <w:r w:rsidR="0006589E" w:rsidRPr="0006589E">
              <w:rPr>
                <w:rStyle w:val="Hyperlink"/>
                <w:noProof/>
                <w:szCs w:val="26"/>
              </w:rPr>
              <w:t>Return on Common Equity:  Size Adjustment</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_Toc38629295 \h </w:instrText>
            </w:r>
            <w:r w:rsidR="0006589E" w:rsidRPr="0006589E">
              <w:rPr>
                <w:noProof/>
                <w:webHidden/>
                <w:szCs w:val="26"/>
              </w:rPr>
            </w:r>
            <w:r w:rsidR="0006589E" w:rsidRPr="0006589E">
              <w:rPr>
                <w:noProof/>
                <w:webHidden/>
                <w:szCs w:val="26"/>
              </w:rPr>
              <w:fldChar w:fldCharType="separate"/>
            </w:r>
            <w:r w:rsidR="009807F8">
              <w:rPr>
                <w:noProof/>
                <w:webHidden/>
                <w:szCs w:val="26"/>
              </w:rPr>
              <w:t>93</w:t>
            </w:r>
            <w:r w:rsidR="0006589E" w:rsidRPr="0006589E">
              <w:rPr>
                <w:noProof/>
                <w:webHidden/>
                <w:szCs w:val="26"/>
              </w:rPr>
              <w:fldChar w:fldCharType="end"/>
            </w:r>
          </w:hyperlink>
        </w:p>
        <w:p w14:paraId="5CBBAE61" w14:textId="2E5F1508" w:rsidR="0006589E" w:rsidRPr="0006589E" w:rsidRDefault="008E7E23">
          <w:pPr>
            <w:pStyle w:val="TOC3"/>
            <w:rPr>
              <w:rFonts w:asciiTheme="minorHAnsi" w:eastAsiaTheme="minorEastAsia" w:hAnsiTheme="minorHAnsi" w:cstheme="minorBidi"/>
              <w:noProof/>
              <w:szCs w:val="26"/>
            </w:rPr>
          </w:pPr>
          <w:hyperlink w:anchor="_Toc38629296" w:history="1">
            <w:r w:rsidR="0006589E" w:rsidRPr="0006589E">
              <w:rPr>
                <w:rStyle w:val="Hyperlink"/>
                <w:noProof/>
                <w:szCs w:val="26"/>
              </w:rPr>
              <w:t>3.</w:t>
            </w:r>
            <w:r w:rsidR="0006589E" w:rsidRPr="0006589E">
              <w:rPr>
                <w:rFonts w:asciiTheme="minorHAnsi" w:eastAsiaTheme="minorEastAsia" w:hAnsiTheme="minorHAnsi" w:cstheme="minorBidi"/>
                <w:noProof/>
                <w:szCs w:val="26"/>
              </w:rPr>
              <w:tab/>
            </w:r>
            <w:r w:rsidR="0006589E" w:rsidRPr="0006589E">
              <w:rPr>
                <w:rStyle w:val="Hyperlink"/>
                <w:noProof/>
                <w:szCs w:val="26"/>
              </w:rPr>
              <w:t>Return on Common Equity: Management Effectiveness    Adjustment</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_Toc38629296 \h </w:instrText>
            </w:r>
            <w:r w:rsidR="0006589E" w:rsidRPr="0006589E">
              <w:rPr>
                <w:noProof/>
                <w:webHidden/>
                <w:szCs w:val="26"/>
              </w:rPr>
            </w:r>
            <w:r w:rsidR="0006589E" w:rsidRPr="0006589E">
              <w:rPr>
                <w:noProof/>
                <w:webHidden/>
                <w:szCs w:val="26"/>
              </w:rPr>
              <w:fldChar w:fldCharType="separate"/>
            </w:r>
            <w:r w:rsidR="009807F8">
              <w:rPr>
                <w:noProof/>
                <w:webHidden/>
                <w:szCs w:val="26"/>
              </w:rPr>
              <w:t>104</w:t>
            </w:r>
            <w:r w:rsidR="0006589E" w:rsidRPr="0006589E">
              <w:rPr>
                <w:noProof/>
                <w:webHidden/>
                <w:szCs w:val="26"/>
              </w:rPr>
              <w:fldChar w:fldCharType="end"/>
            </w:r>
          </w:hyperlink>
        </w:p>
        <w:p w14:paraId="271DB122" w14:textId="1B1E2E23" w:rsidR="0006589E" w:rsidRPr="0006589E" w:rsidRDefault="008E7E23">
          <w:pPr>
            <w:pStyle w:val="TOC3"/>
            <w:rPr>
              <w:rFonts w:asciiTheme="minorHAnsi" w:eastAsiaTheme="minorEastAsia" w:hAnsiTheme="minorHAnsi" w:cstheme="minorBidi"/>
              <w:noProof/>
              <w:szCs w:val="26"/>
            </w:rPr>
          </w:pPr>
          <w:hyperlink w:anchor="_Toc38629297" w:history="1">
            <w:r w:rsidR="0006589E" w:rsidRPr="0006589E">
              <w:rPr>
                <w:rStyle w:val="Hyperlink"/>
                <w:noProof/>
                <w:szCs w:val="26"/>
              </w:rPr>
              <w:t>4.</w:t>
            </w:r>
            <w:r w:rsidR="0006589E" w:rsidRPr="0006589E">
              <w:rPr>
                <w:rFonts w:asciiTheme="minorHAnsi" w:eastAsiaTheme="minorEastAsia" w:hAnsiTheme="minorHAnsi" w:cstheme="minorBidi"/>
                <w:noProof/>
                <w:szCs w:val="26"/>
              </w:rPr>
              <w:tab/>
            </w:r>
            <w:r w:rsidR="0006589E" w:rsidRPr="0006589E">
              <w:rPr>
                <w:rStyle w:val="Hyperlink"/>
                <w:noProof/>
                <w:szCs w:val="26"/>
              </w:rPr>
              <w:t>Rate of Return on Common Equity</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_Toc38629297 \h </w:instrText>
            </w:r>
            <w:r w:rsidR="0006589E" w:rsidRPr="0006589E">
              <w:rPr>
                <w:noProof/>
                <w:webHidden/>
                <w:szCs w:val="26"/>
              </w:rPr>
            </w:r>
            <w:r w:rsidR="0006589E" w:rsidRPr="0006589E">
              <w:rPr>
                <w:noProof/>
                <w:webHidden/>
                <w:szCs w:val="26"/>
              </w:rPr>
              <w:fldChar w:fldCharType="separate"/>
            </w:r>
            <w:r w:rsidR="009807F8">
              <w:rPr>
                <w:noProof/>
                <w:webHidden/>
                <w:szCs w:val="26"/>
              </w:rPr>
              <w:t>110</w:t>
            </w:r>
            <w:r w:rsidR="0006589E" w:rsidRPr="0006589E">
              <w:rPr>
                <w:noProof/>
                <w:webHidden/>
                <w:szCs w:val="26"/>
              </w:rPr>
              <w:fldChar w:fldCharType="end"/>
            </w:r>
          </w:hyperlink>
        </w:p>
        <w:p w14:paraId="39211C6D" w14:textId="16B593F5" w:rsidR="0006589E" w:rsidRPr="0006589E" w:rsidRDefault="008E7E23">
          <w:pPr>
            <w:pStyle w:val="TOC3"/>
            <w:rPr>
              <w:rFonts w:asciiTheme="minorHAnsi" w:eastAsiaTheme="minorEastAsia" w:hAnsiTheme="minorHAnsi" w:cstheme="minorBidi"/>
              <w:noProof/>
              <w:szCs w:val="26"/>
            </w:rPr>
          </w:pPr>
          <w:hyperlink w:anchor="_Toc38629298" w:history="1">
            <w:r w:rsidR="0006589E" w:rsidRPr="0006589E">
              <w:rPr>
                <w:rStyle w:val="Hyperlink"/>
                <w:noProof/>
                <w:szCs w:val="26"/>
              </w:rPr>
              <w:t>5.</w:t>
            </w:r>
            <w:r w:rsidR="0006589E" w:rsidRPr="0006589E">
              <w:rPr>
                <w:rFonts w:asciiTheme="minorHAnsi" w:eastAsiaTheme="minorEastAsia" w:hAnsiTheme="minorHAnsi" w:cstheme="minorBidi"/>
                <w:noProof/>
                <w:szCs w:val="26"/>
              </w:rPr>
              <w:tab/>
            </w:r>
            <w:r w:rsidR="0006589E" w:rsidRPr="0006589E">
              <w:rPr>
                <w:rStyle w:val="Hyperlink"/>
                <w:noProof/>
                <w:szCs w:val="26"/>
              </w:rPr>
              <w:t>Overall Rate of Return</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_Toc38629298 \h </w:instrText>
            </w:r>
            <w:r w:rsidR="0006589E" w:rsidRPr="0006589E">
              <w:rPr>
                <w:noProof/>
                <w:webHidden/>
                <w:szCs w:val="26"/>
              </w:rPr>
            </w:r>
            <w:r w:rsidR="0006589E" w:rsidRPr="0006589E">
              <w:rPr>
                <w:noProof/>
                <w:webHidden/>
                <w:szCs w:val="26"/>
              </w:rPr>
              <w:fldChar w:fldCharType="separate"/>
            </w:r>
            <w:r w:rsidR="009807F8">
              <w:rPr>
                <w:noProof/>
                <w:webHidden/>
                <w:szCs w:val="26"/>
              </w:rPr>
              <w:t>112</w:t>
            </w:r>
            <w:r w:rsidR="0006589E" w:rsidRPr="0006589E">
              <w:rPr>
                <w:noProof/>
                <w:webHidden/>
                <w:szCs w:val="26"/>
              </w:rPr>
              <w:fldChar w:fldCharType="end"/>
            </w:r>
          </w:hyperlink>
        </w:p>
        <w:p w14:paraId="464C487B" w14:textId="6F8709CE" w:rsidR="0006589E" w:rsidRPr="0006589E" w:rsidRDefault="008E7E23">
          <w:pPr>
            <w:pStyle w:val="TOC2"/>
            <w:rPr>
              <w:rFonts w:asciiTheme="minorHAnsi" w:eastAsiaTheme="minorEastAsia" w:hAnsiTheme="minorHAnsi" w:cstheme="minorBidi"/>
              <w:noProof/>
              <w:szCs w:val="26"/>
            </w:rPr>
          </w:pPr>
          <w:hyperlink w:anchor="_Toc38629299" w:history="1">
            <w:r w:rsidR="0006589E" w:rsidRPr="0006589E">
              <w:rPr>
                <w:rStyle w:val="Hyperlink"/>
                <w:noProof/>
                <w:szCs w:val="26"/>
              </w:rPr>
              <w:t>E.</w:t>
            </w:r>
            <w:r w:rsidR="0006589E" w:rsidRPr="0006589E">
              <w:rPr>
                <w:rFonts w:asciiTheme="minorHAnsi" w:eastAsiaTheme="minorEastAsia" w:hAnsiTheme="minorHAnsi" w:cstheme="minorBidi"/>
                <w:noProof/>
                <w:szCs w:val="26"/>
              </w:rPr>
              <w:tab/>
            </w:r>
            <w:r w:rsidR="0006589E" w:rsidRPr="0006589E">
              <w:rPr>
                <w:rStyle w:val="Hyperlink"/>
                <w:noProof/>
                <w:szCs w:val="26"/>
              </w:rPr>
              <w:t>Rate Structure</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_Toc38629299 \h </w:instrText>
            </w:r>
            <w:r w:rsidR="0006589E" w:rsidRPr="0006589E">
              <w:rPr>
                <w:noProof/>
                <w:webHidden/>
                <w:szCs w:val="26"/>
              </w:rPr>
            </w:r>
            <w:r w:rsidR="0006589E" w:rsidRPr="0006589E">
              <w:rPr>
                <w:noProof/>
                <w:webHidden/>
                <w:szCs w:val="26"/>
              </w:rPr>
              <w:fldChar w:fldCharType="separate"/>
            </w:r>
            <w:r w:rsidR="009807F8">
              <w:rPr>
                <w:noProof/>
                <w:webHidden/>
                <w:szCs w:val="26"/>
              </w:rPr>
              <w:t>114</w:t>
            </w:r>
            <w:r w:rsidR="0006589E" w:rsidRPr="0006589E">
              <w:rPr>
                <w:noProof/>
                <w:webHidden/>
                <w:szCs w:val="26"/>
              </w:rPr>
              <w:fldChar w:fldCharType="end"/>
            </w:r>
          </w:hyperlink>
        </w:p>
        <w:p w14:paraId="77856A13" w14:textId="4B140358" w:rsidR="0006589E" w:rsidRPr="0006589E" w:rsidRDefault="008E7E23">
          <w:pPr>
            <w:pStyle w:val="TOC3"/>
            <w:rPr>
              <w:rFonts w:asciiTheme="minorHAnsi" w:eastAsiaTheme="minorEastAsia" w:hAnsiTheme="minorHAnsi" w:cstheme="minorBidi"/>
              <w:noProof/>
              <w:szCs w:val="26"/>
            </w:rPr>
          </w:pPr>
          <w:hyperlink w:anchor="_Toc38629300" w:history="1">
            <w:r w:rsidR="0006589E" w:rsidRPr="0006589E">
              <w:rPr>
                <w:rStyle w:val="Hyperlink"/>
                <w:noProof/>
                <w:szCs w:val="26"/>
              </w:rPr>
              <w:t>1.</w:t>
            </w:r>
            <w:r w:rsidR="0006589E" w:rsidRPr="0006589E">
              <w:rPr>
                <w:rFonts w:asciiTheme="minorHAnsi" w:eastAsiaTheme="minorEastAsia" w:hAnsiTheme="minorHAnsi" w:cstheme="minorBidi"/>
                <w:noProof/>
                <w:szCs w:val="26"/>
              </w:rPr>
              <w:tab/>
            </w:r>
            <w:r w:rsidR="0006589E" w:rsidRPr="0006589E">
              <w:rPr>
                <w:rStyle w:val="Hyperlink"/>
                <w:noProof/>
                <w:szCs w:val="26"/>
              </w:rPr>
              <w:t>Allocated Class Cost of Service Study</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_Toc38629300 \h </w:instrText>
            </w:r>
            <w:r w:rsidR="0006589E" w:rsidRPr="0006589E">
              <w:rPr>
                <w:noProof/>
                <w:webHidden/>
                <w:szCs w:val="26"/>
              </w:rPr>
            </w:r>
            <w:r w:rsidR="0006589E" w:rsidRPr="0006589E">
              <w:rPr>
                <w:noProof/>
                <w:webHidden/>
                <w:szCs w:val="26"/>
              </w:rPr>
              <w:fldChar w:fldCharType="separate"/>
            </w:r>
            <w:r w:rsidR="009807F8">
              <w:rPr>
                <w:noProof/>
                <w:webHidden/>
                <w:szCs w:val="26"/>
              </w:rPr>
              <w:t>115</w:t>
            </w:r>
            <w:r w:rsidR="0006589E" w:rsidRPr="0006589E">
              <w:rPr>
                <w:noProof/>
                <w:webHidden/>
                <w:szCs w:val="26"/>
              </w:rPr>
              <w:fldChar w:fldCharType="end"/>
            </w:r>
          </w:hyperlink>
        </w:p>
        <w:p w14:paraId="54436179" w14:textId="6B496CE5" w:rsidR="0006589E" w:rsidRPr="0006589E" w:rsidRDefault="008E7E23">
          <w:pPr>
            <w:pStyle w:val="TOC3"/>
            <w:rPr>
              <w:rFonts w:asciiTheme="minorHAnsi" w:eastAsiaTheme="minorEastAsia" w:hAnsiTheme="minorHAnsi" w:cstheme="minorBidi"/>
              <w:noProof/>
              <w:szCs w:val="26"/>
            </w:rPr>
          </w:pPr>
          <w:hyperlink w:anchor="_Toc38629301" w:history="1">
            <w:r w:rsidR="0006589E" w:rsidRPr="0006589E">
              <w:rPr>
                <w:rStyle w:val="Hyperlink"/>
                <w:noProof/>
                <w:szCs w:val="26"/>
              </w:rPr>
              <w:t>2.</w:t>
            </w:r>
            <w:r w:rsidR="0006589E" w:rsidRPr="0006589E">
              <w:rPr>
                <w:rFonts w:asciiTheme="minorHAnsi" w:eastAsiaTheme="minorEastAsia" w:hAnsiTheme="minorHAnsi" w:cstheme="minorBidi"/>
                <w:noProof/>
                <w:szCs w:val="26"/>
              </w:rPr>
              <w:tab/>
            </w:r>
            <w:r w:rsidR="0006589E" w:rsidRPr="0006589E">
              <w:rPr>
                <w:rStyle w:val="Hyperlink"/>
                <w:noProof/>
                <w:szCs w:val="26"/>
              </w:rPr>
              <w:t>Revenue Allocation</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_Toc38629301 \h </w:instrText>
            </w:r>
            <w:r w:rsidR="0006589E" w:rsidRPr="0006589E">
              <w:rPr>
                <w:noProof/>
                <w:webHidden/>
                <w:szCs w:val="26"/>
              </w:rPr>
            </w:r>
            <w:r w:rsidR="0006589E" w:rsidRPr="0006589E">
              <w:rPr>
                <w:noProof/>
                <w:webHidden/>
                <w:szCs w:val="26"/>
              </w:rPr>
              <w:fldChar w:fldCharType="separate"/>
            </w:r>
            <w:r w:rsidR="009807F8">
              <w:rPr>
                <w:noProof/>
                <w:webHidden/>
                <w:szCs w:val="26"/>
              </w:rPr>
              <w:t>123</w:t>
            </w:r>
            <w:r w:rsidR="0006589E" w:rsidRPr="0006589E">
              <w:rPr>
                <w:noProof/>
                <w:webHidden/>
                <w:szCs w:val="26"/>
              </w:rPr>
              <w:fldChar w:fldCharType="end"/>
            </w:r>
          </w:hyperlink>
        </w:p>
        <w:p w14:paraId="37FF417D" w14:textId="4D6841B3" w:rsidR="0006589E" w:rsidRPr="0006589E" w:rsidRDefault="008E7E23">
          <w:pPr>
            <w:pStyle w:val="TOC3"/>
            <w:rPr>
              <w:rFonts w:asciiTheme="minorHAnsi" w:eastAsiaTheme="minorEastAsia" w:hAnsiTheme="minorHAnsi" w:cstheme="minorBidi"/>
              <w:noProof/>
              <w:szCs w:val="26"/>
            </w:rPr>
          </w:pPr>
          <w:hyperlink w:anchor="_Toc38629302" w:history="1">
            <w:r w:rsidR="0006589E" w:rsidRPr="0006589E">
              <w:rPr>
                <w:rStyle w:val="Hyperlink"/>
                <w:noProof/>
                <w:szCs w:val="26"/>
              </w:rPr>
              <w:t>3.</w:t>
            </w:r>
            <w:r w:rsidR="0006589E" w:rsidRPr="0006589E">
              <w:rPr>
                <w:rFonts w:asciiTheme="minorHAnsi" w:eastAsiaTheme="minorEastAsia" w:hAnsiTheme="minorHAnsi" w:cstheme="minorBidi"/>
                <w:noProof/>
                <w:szCs w:val="26"/>
              </w:rPr>
              <w:tab/>
            </w:r>
            <w:r w:rsidR="0006589E" w:rsidRPr="0006589E">
              <w:rPr>
                <w:rStyle w:val="Hyperlink"/>
                <w:noProof/>
                <w:szCs w:val="26"/>
              </w:rPr>
              <w:t>Rate Design</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_Toc38629302 \h </w:instrText>
            </w:r>
            <w:r w:rsidR="0006589E" w:rsidRPr="0006589E">
              <w:rPr>
                <w:noProof/>
                <w:webHidden/>
                <w:szCs w:val="26"/>
              </w:rPr>
            </w:r>
            <w:r w:rsidR="0006589E" w:rsidRPr="0006589E">
              <w:rPr>
                <w:noProof/>
                <w:webHidden/>
                <w:szCs w:val="26"/>
              </w:rPr>
              <w:fldChar w:fldCharType="separate"/>
            </w:r>
            <w:r w:rsidR="009807F8">
              <w:rPr>
                <w:noProof/>
                <w:webHidden/>
                <w:szCs w:val="26"/>
              </w:rPr>
              <w:t>137</w:t>
            </w:r>
            <w:r w:rsidR="0006589E" w:rsidRPr="0006589E">
              <w:rPr>
                <w:noProof/>
                <w:webHidden/>
                <w:szCs w:val="26"/>
              </w:rPr>
              <w:fldChar w:fldCharType="end"/>
            </w:r>
          </w:hyperlink>
        </w:p>
        <w:p w14:paraId="56802CC7" w14:textId="37AC3238" w:rsidR="0006589E" w:rsidRPr="0006589E" w:rsidRDefault="008E7E23">
          <w:pPr>
            <w:pStyle w:val="TOC2"/>
            <w:rPr>
              <w:rFonts w:asciiTheme="minorHAnsi" w:eastAsiaTheme="minorEastAsia" w:hAnsiTheme="minorHAnsi" w:cstheme="minorBidi"/>
              <w:noProof/>
              <w:szCs w:val="26"/>
            </w:rPr>
          </w:pPr>
          <w:hyperlink w:anchor="_Toc38629303" w:history="1">
            <w:r w:rsidR="0006589E" w:rsidRPr="0006589E">
              <w:rPr>
                <w:rStyle w:val="Hyperlink"/>
                <w:noProof/>
                <w:szCs w:val="26"/>
              </w:rPr>
              <w:t>F.</w:t>
            </w:r>
            <w:r w:rsidR="0006589E" w:rsidRPr="0006589E">
              <w:rPr>
                <w:rFonts w:asciiTheme="minorHAnsi" w:eastAsiaTheme="minorEastAsia" w:hAnsiTheme="minorHAnsi" w:cstheme="minorBidi"/>
                <w:noProof/>
                <w:szCs w:val="26"/>
              </w:rPr>
              <w:tab/>
            </w:r>
            <w:r w:rsidR="0006589E" w:rsidRPr="0006589E">
              <w:rPr>
                <w:rStyle w:val="Hyperlink"/>
                <w:noProof/>
                <w:szCs w:val="26"/>
              </w:rPr>
              <w:t>Miscellaneous Issues: Reporting Requirements</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_Toc38629303 \h </w:instrText>
            </w:r>
            <w:r w:rsidR="0006589E" w:rsidRPr="0006589E">
              <w:rPr>
                <w:noProof/>
                <w:webHidden/>
                <w:szCs w:val="26"/>
              </w:rPr>
            </w:r>
            <w:r w:rsidR="0006589E" w:rsidRPr="0006589E">
              <w:rPr>
                <w:noProof/>
                <w:webHidden/>
                <w:szCs w:val="26"/>
              </w:rPr>
              <w:fldChar w:fldCharType="separate"/>
            </w:r>
            <w:r w:rsidR="009807F8">
              <w:rPr>
                <w:noProof/>
                <w:webHidden/>
                <w:szCs w:val="26"/>
              </w:rPr>
              <w:t>149</w:t>
            </w:r>
            <w:r w:rsidR="0006589E" w:rsidRPr="0006589E">
              <w:rPr>
                <w:noProof/>
                <w:webHidden/>
                <w:szCs w:val="26"/>
              </w:rPr>
              <w:fldChar w:fldCharType="end"/>
            </w:r>
          </w:hyperlink>
        </w:p>
        <w:p w14:paraId="0E42BC5E" w14:textId="60033FF7" w:rsidR="0006589E" w:rsidRPr="0006589E" w:rsidRDefault="008E7E23">
          <w:pPr>
            <w:pStyle w:val="TOC1"/>
            <w:rPr>
              <w:rFonts w:asciiTheme="minorHAnsi" w:eastAsiaTheme="minorEastAsia" w:hAnsiTheme="minorHAnsi" w:cstheme="minorBidi"/>
              <w:noProof/>
              <w:szCs w:val="26"/>
            </w:rPr>
          </w:pPr>
          <w:hyperlink w:anchor="_Toc38629304" w:history="1">
            <w:r w:rsidR="0006589E" w:rsidRPr="0006589E">
              <w:rPr>
                <w:rStyle w:val="Hyperlink"/>
                <w:noProof/>
                <w:szCs w:val="26"/>
              </w:rPr>
              <w:t>VI.</w:t>
            </w:r>
            <w:r w:rsidR="0006589E" w:rsidRPr="0006589E">
              <w:rPr>
                <w:rFonts w:asciiTheme="minorHAnsi" w:eastAsiaTheme="minorEastAsia" w:hAnsiTheme="minorHAnsi" w:cstheme="minorBidi"/>
                <w:noProof/>
                <w:szCs w:val="26"/>
              </w:rPr>
              <w:tab/>
            </w:r>
            <w:r w:rsidR="0006589E" w:rsidRPr="0006589E">
              <w:rPr>
                <w:rStyle w:val="Hyperlink"/>
                <w:noProof/>
                <w:szCs w:val="26"/>
              </w:rPr>
              <w:t>Conclusion</w:t>
            </w:r>
            <w:r w:rsidR="0006589E" w:rsidRPr="0006589E">
              <w:rPr>
                <w:noProof/>
                <w:webHidden/>
                <w:szCs w:val="26"/>
              </w:rPr>
              <w:tab/>
            </w:r>
            <w:r w:rsidR="0006589E" w:rsidRPr="0006589E">
              <w:rPr>
                <w:noProof/>
                <w:webHidden/>
                <w:szCs w:val="26"/>
              </w:rPr>
              <w:fldChar w:fldCharType="begin"/>
            </w:r>
            <w:r w:rsidR="0006589E" w:rsidRPr="0006589E">
              <w:rPr>
                <w:noProof/>
                <w:webHidden/>
                <w:szCs w:val="26"/>
              </w:rPr>
              <w:instrText xml:space="preserve"> PAGEREF _Toc38629304 \h </w:instrText>
            </w:r>
            <w:r w:rsidR="0006589E" w:rsidRPr="0006589E">
              <w:rPr>
                <w:noProof/>
                <w:webHidden/>
                <w:szCs w:val="26"/>
              </w:rPr>
            </w:r>
            <w:r w:rsidR="0006589E" w:rsidRPr="0006589E">
              <w:rPr>
                <w:noProof/>
                <w:webHidden/>
                <w:szCs w:val="26"/>
              </w:rPr>
              <w:fldChar w:fldCharType="separate"/>
            </w:r>
            <w:r w:rsidR="009807F8">
              <w:rPr>
                <w:noProof/>
                <w:webHidden/>
                <w:szCs w:val="26"/>
              </w:rPr>
              <w:t>152</w:t>
            </w:r>
            <w:r w:rsidR="0006589E" w:rsidRPr="0006589E">
              <w:rPr>
                <w:noProof/>
                <w:webHidden/>
                <w:szCs w:val="26"/>
              </w:rPr>
              <w:fldChar w:fldCharType="end"/>
            </w:r>
          </w:hyperlink>
        </w:p>
        <w:p w14:paraId="31410F1B" w14:textId="77B9C570" w:rsidR="0006589E" w:rsidRPr="0006589E" w:rsidRDefault="008E7E23">
          <w:pPr>
            <w:pStyle w:val="TOC1"/>
            <w:rPr>
              <w:rFonts w:asciiTheme="minorHAnsi" w:eastAsiaTheme="minorEastAsia" w:hAnsiTheme="minorHAnsi" w:cstheme="minorBidi"/>
              <w:noProof/>
              <w:szCs w:val="26"/>
            </w:rPr>
          </w:pPr>
          <w:hyperlink w:anchor="_Toc38629305" w:history="1">
            <w:r w:rsidR="0006589E" w:rsidRPr="0006589E">
              <w:rPr>
                <w:rStyle w:val="Hyperlink"/>
                <w:rFonts w:eastAsiaTheme="minorHAnsi"/>
                <w:noProof/>
                <w:szCs w:val="26"/>
              </w:rPr>
              <w:t>Commission Tables Calculating Allowed Revenue Increase</w:t>
            </w:r>
          </w:hyperlink>
        </w:p>
        <w:p w14:paraId="4CC2016A" w14:textId="27ED580D" w:rsidR="005A74D5" w:rsidRPr="0059512A" w:rsidRDefault="005A74D5" w:rsidP="009314F1">
          <w:pPr>
            <w:pStyle w:val="TOC1"/>
            <w:rPr>
              <w:noProof/>
              <w:szCs w:val="26"/>
            </w:rPr>
          </w:pPr>
          <w:r w:rsidRPr="0059512A">
            <w:rPr>
              <w:szCs w:val="26"/>
            </w:rPr>
            <w:fldChar w:fldCharType="end"/>
          </w:r>
        </w:p>
      </w:sdtContent>
    </w:sdt>
    <w:bookmarkEnd w:id="1" w:displacedByCustomXml="prev"/>
    <w:p w14:paraId="2E3C9DF1" w14:textId="1B5510A1" w:rsidR="005A74D5" w:rsidRPr="0059512A" w:rsidRDefault="005A74D5" w:rsidP="0059512A">
      <w:pPr>
        <w:widowControl/>
        <w:spacing w:line="360" w:lineRule="auto"/>
        <w:jc w:val="center"/>
        <w:rPr>
          <w:b/>
          <w:sz w:val="26"/>
          <w:szCs w:val="26"/>
        </w:rPr>
      </w:pPr>
    </w:p>
    <w:p w14:paraId="296BC070" w14:textId="25C25B43" w:rsidR="005B7603" w:rsidRPr="0059512A" w:rsidRDefault="005B7603" w:rsidP="0059512A">
      <w:pPr>
        <w:widowControl/>
        <w:spacing w:line="360" w:lineRule="auto"/>
        <w:jc w:val="center"/>
        <w:rPr>
          <w:b/>
          <w:sz w:val="26"/>
          <w:szCs w:val="26"/>
        </w:rPr>
      </w:pPr>
    </w:p>
    <w:p w14:paraId="7C58F892" w14:textId="77777777" w:rsidR="00A32A88" w:rsidRPr="0059512A" w:rsidRDefault="00A32A88" w:rsidP="0059512A">
      <w:pPr>
        <w:widowControl/>
        <w:spacing w:line="360" w:lineRule="auto"/>
        <w:rPr>
          <w:b/>
          <w:sz w:val="26"/>
          <w:szCs w:val="26"/>
        </w:rPr>
        <w:sectPr w:rsidR="00A32A88" w:rsidRPr="0059512A" w:rsidSect="00A32A88">
          <w:footerReference w:type="first" r:id="rId17"/>
          <w:pgSz w:w="12240" w:h="15840"/>
          <w:pgMar w:top="1440" w:right="1440" w:bottom="1440" w:left="1440" w:header="720" w:footer="720" w:gutter="0"/>
          <w:pgNumType w:fmt="lowerRoman" w:start="1"/>
          <w:cols w:space="720"/>
          <w:titlePg/>
          <w:docGrid w:linePitch="360"/>
        </w:sectPr>
      </w:pPr>
    </w:p>
    <w:p w14:paraId="7A0F3CB7" w14:textId="693522CD" w:rsidR="00CE01AD" w:rsidRPr="0059512A" w:rsidRDefault="00CE01AD" w:rsidP="0059512A">
      <w:pPr>
        <w:widowControl/>
        <w:spacing w:line="360" w:lineRule="auto"/>
        <w:rPr>
          <w:b/>
          <w:sz w:val="26"/>
          <w:szCs w:val="26"/>
        </w:rPr>
      </w:pPr>
      <w:r w:rsidRPr="0059512A">
        <w:rPr>
          <w:b/>
          <w:sz w:val="26"/>
          <w:szCs w:val="26"/>
        </w:rPr>
        <w:lastRenderedPageBreak/>
        <w:t>BY THE COMMISSION:</w:t>
      </w:r>
    </w:p>
    <w:p w14:paraId="467B9228" w14:textId="77777777" w:rsidR="00275807" w:rsidRPr="0059512A" w:rsidRDefault="00275807" w:rsidP="0059512A">
      <w:pPr>
        <w:widowControl/>
        <w:spacing w:line="360" w:lineRule="auto"/>
        <w:rPr>
          <w:b/>
          <w:sz w:val="26"/>
          <w:szCs w:val="26"/>
        </w:rPr>
      </w:pPr>
    </w:p>
    <w:p w14:paraId="7E5381FA" w14:textId="7C2F88B2" w:rsidR="0050244F" w:rsidRPr="002B795C" w:rsidRDefault="000F1318" w:rsidP="0059512A">
      <w:pPr>
        <w:widowControl/>
        <w:tabs>
          <w:tab w:val="left" w:pos="-720"/>
        </w:tabs>
        <w:suppressAutoHyphens/>
        <w:spacing w:line="360" w:lineRule="auto"/>
        <w:ind w:firstLine="1440"/>
        <w:rPr>
          <w:color w:val="000000" w:themeColor="text1"/>
          <w:sz w:val="26"/>
        </w:rPr>
      </w:pPr>
      <w:r w:rsidRPr="0059512A">
        <w:rPr>
          <w:sz w:val="26"/>
        </w:rPr>
        <w:t xml:space="preserve">Before the </w:t>
      </w:r>
      <w:r w:rsidR="005C7928" w:rsidRPr="0059512A">
        <w:rPr>
          <w:sz w:val="26"/>
        </w:rPr>
        <w:t xml:space="preserve">Pennsylvania Public Utility </w:t>
      </w:r>
      <w:r w:rsidRPr="0059512A">
        <w:rPr>
          <w:sz w:val="26"/>
        </w:rPr>
        <w:t xml:space="preserve">Commission </w:t>
      </w:r>
      <w:r w:rsidR="005C7928" w:rsidRPr="0059512A">
        <w:rPr>
          <w:sz w:val="26"/>
        </w:rPr>
        <w:t xml:space="preserve">(Commission) </w:t>
      </w:r>
      <w:r w:rsidRPr="0059512A">
        <w:rPr>
          <w:sz w:val="26"/>
        </w:rPr>
        <w:t>for co</w:t>
      </w:r>
      <w:r w:rsidR="00893951" w:rsidRPr="0059512A">
        <w:rPr>
          <w:sz w:val="26"/>
        </w:rPr>
        <w:t xml:space="preserve">nsideration and </w:t>
      </w:r>
      <w:bookmarkStart w:id="2" w:name="_Hlk37835909"/>
      <w:r w:rsidR="00893951" w:rsidRPr="0059512A">
        <w:rPr>
          <w:sz w:val="26"/>
        </w:rPr>
        <w:t>disposition</w:t>
      </w:r>
      <w:r w:rsidR="00D340F2" w:rsidRPr="0059512A">
        <w:rPr>
          <w:sz w:val="26"/>
        </w:rPr>
        <w:t xml:space="preserve"> is the Recommended Decision</w:t>
      </w:r>
      <w:r w:rsidR="0074430E" w:rsidRPr="0059512A">
        <w:rPr>
          <w:sz w:val="26"/>
        </w:rPr>
        <w:t xml:space="preserve"> (R.D.)</w:t>
      </w:r>
      <w:r w:rsidR="00D340F2" w:rsidRPr="0059512A">
        <w:rPr>
          <w:sz w:val="26"/>
        </w:rPr>
        <w:t xml:space="preserve"> of Administrative Law Judge</w:t>
      </w:r>
      <w:r w:rsidR="0092657D" w:rsidRPr="0059512A">
        <w:rPr>
          <w:sz w:val="26"/>
        </w:rPr>
        <w:t>s</w:t>
      </w:r>
      <w:r w:rsidR="00D340F2" w:rsidRPr="0059512A">
        <w:rPr>
          <w:sz w:val="26"/>
        </w:rPr>
        <w:t xml:space="preserve"> (ALJ</w:t>
      </w:r>
      <w:r w:rsidR="0092657D" w:rsidRPr="0059512A">
        <w:rPr>
          <w:sz w:val="26"/>
        </w:rPr>
        <w:t>s</w:t>
      </w:r>
      <w:r w:rsidR="00D340F2" w:rsidRPr="0059512A">
        <w:rPr>
          <w:sz w:val="26"/>
        </w:rPr>
        <w:t xml:space="preserve">) </w:t>
      </w:r>
      <w:r w:rsidR="0092657D" w:rsidRPr="0059512A">
        <w:rPr>
          <w:sz w:val="26"/>
        </w:rPr>
        <w:t xml:space="preserve">Steven K. Haas </w:t>
      </w:r>
      <w:r w:rsidR="0092657D" w:rsidRPr="002B795C">
        <w:rPr>
          <w:color w:val="000000" w:themeColor="text1"/>
          <w:sz w:val="26"/>
        </w:rPr>
        <w:t>and Benjamin J. Myers</w:t>
      </w:r>
      <w:r w:rsidR="00D340F2" w:rsidRPr="002B795C">
        <w:rPr>
          <w:color w:val="000000" w:themeColor="text1"/>
          <w:sz w:val="26"/>
        </w:rPr>
        <w:t xml:space="preserve">, issued on </w:t>
      </w:r>
      <w:r w:rsidR="0092657D" w:rsidRPr="002B795C">
        <w:rPr>
          <w:color w:val="000000" w:themeColor="text1"/>
          <w:sz w:val="26"/>
        </w:rPr>
        <w:t>February</w:t>
      </w:r>
      <w:r w:rsidR="00D340F2" w:rsidRPr="002B795C">
        <w:rPr>
          <w:color w:val="000000" w:themeColor="text1"/>
          <w:sz w:val="26"/>
        </w:rPr>
        <w:t xml:space="preserve"> 28, 20</w:t>
      </w:r>
      <w:r w:rsidR="0092657D" w:rsidRPr="002B795C">
        <w:rPr>
          <w:color w:val="000000" w:themeColor="text1"/>
          <w:sz w:val="26"/>
        </w:rPr>
        <w:t>20</w:t>
      </w:r>
      <w:r w:rsidR="00D340F2" w:rsidRPr="002B795C">
        <w:rPr>
          <w:color w:val="000000" w:themeColor="text1"/>
          <w:sz w:val="26"/>
        </w:rPr>
        <w:t>, and the Exceptions and Reply Exceptions filed thereto</w:t>
      </w:r>
      <w:r w:rsidR="0074430E" w:rsidRPr="002B795C">
        <w:rPr>
          <w:color w:val="000000" w:themeColor="text1"/>
          <w:sz w:val="26"/>
        </w:rPr>
        <w:t>, in the above-captioned proceeding</w:t>
      </w:r>
      <w:r w:rsidR="00D340F2" w:rsidRPr="002B795C">
        <w:rPr>
          <w:color w:val="000000" w:themeColor="text1"/>
          <w:sz w:val="26"/>
        </w:rPr>
        <w:t>.</w:t>
      </w:r>
    </w:p>
    <w:p w14:paraId="2EFE6F90" w14:textId="7594057A" w:rsidR="004E1C65" w:rsidRPr="002B795C" w:rsidRDefault="004E1C65" w:rsidP="0059512A">
      <w:pPr>
        <w:widowControl/>
        <w:tabs>
          <w:tab w:val="left" w:pos="-720"/>
        </w:tabs>
        <w:suppressAutoHyphens/>
        <w:spacing w:line="360" w:lineRule="auto"/>
        <w:rPr>
          <w:color w:val="000000" w:themeColor="text1"/>
          <w:sz w:val="26"/>
        </w:rPr>
      </w:pPr>
    </w:p>
    <w:p w14:paraId="4AA2FF39" w14:textId="2BBC9295" w:rsidR="004E1C65" w:rsidRPr="0059512A" w:rsidRDefault="004E1C65" w:rsidP="0059512A">
      <w:pPr>
        <w:widowControl/>
        <w:tabs>
          <w:tab w:val="left" w:pos="-720"/>
        </w:tabs>
        <w:suppressAutoHyphens/>
        <w:spacing w:line="360" w:lineRule="auto"/>
        <w:ind w:firstLine="1440"/>
        <w:rPr>
          <w:sz w:val="26"/>
        </w:rPr>
      </w:pPr>
      <w:r w:rsidRPr="002B795C">
        <w:rPr>
          <w:color w:val="000000" w:themeColor="text1"/>
          <w:sz w:val="26"/>
        </w:rPr>
        <w:t>Exceptions</w:t>
      </w:r>
      <w:r w:rsidR="00326EBF" w:rsidRPr="002B795C">
        <w:rPr>
          <w:color w:val="000000" w:themeColor="text1"/>
          <w:sz w:val="26"/>
        </w:rPr>
        <w:t xml:space="preserve"> to the Recommended Decision</w:t>
      </w:r>
      <w:r w:rsidRPr="002B795C">
        <w:rPr>
          <w:color w:val="000000" w:themeColor="text1"/>
          <w:sz w:val="26"/>
        </w:rPr>
        <w:t xml:space="preserve"> were filed</w:t>
      </w:r>
      <w:r w:rsidR="002A66C8" w:rsidRPr="002B795C">
        <w:rPr>
          <w:color w:val="000000" w:themeColor="text1"/>
          <w:sz w:val="26"/>
        </w:rPr>
        <w:t xml:space="preserve"> by the Commission’s Bureau of Investigation and Enforcement (I&amp;E)</w:t>
      </w:r>
      <w:r w:rsidRPr="002B795C">
        <w:rPr>
          <w:color w:val="000000" w:themeColor="text1"/>
          <w:sz w:val="26"/>
        </w:rPr>
        <w:t xml:space="preserve"> on </w:t>
      </w:r>
      <w:r w:rsidR="00DC0453" w:rsidRPr="002B795C">
        <w:rPr>
          <w:color w:val="000000" w:themeColor="text1"/>
          <w:sz w:val="26"/>
        </w:rPr>
        <w:t>March</w:t>
      </w:r>
      <w:r w:rsidRPr="002B795C">
        <w:rPr>
          <w:color w:val="000000" w:themeColor="text1"/>
          <w:sz w:val="26"/>
        </w:rPr>
        <w:t xml:space="preserve"> </w:t>
      </w:r>
      <w:r w:rsidR="00DC0453" w:rsidRPr="002B795C">
        <w:rPr>
          <w:color w:val="000000" w:themeColor="text1"/>
          <w:sz w:val="26"/>
        </w:rPr>
        <w:t>1</w:t>
      </w:r>
      <w:r w:rsidR="002A66C8" w:rsidRPr="002B795C">
        <w:rPr>
          <w:color w:val="000000" w:themeColor="text1"/>
          <w:sz w:val="26"/>
        </w:rPr>
        <w:t>2</w:t>
      </w:r>
      <w:r w:rsidRPr="002B795C">
        <w:rPr>
          <w:color w:val="000000" w:themeColor="text1"/>
          <w:sz w:val="26"/>
        </w:rPr>
        <w:t>, 20</w:t>
      </w:r>
      <w:r w:rsidR="00DC0453" w:rsidRPr="002B795C">
        <w:rPr>
          <w:color w:val="000000" w:themeColor="text1"/>
          <w:sz w:val="26"/>
        </w:rPr>
        <w:t>20</w:t>
      </w:r>
      <w:r w:rsidRPr="002B795C">
        <w:rPr>
          <w:color w:val="000000" w:themeColor="text1"/>
          <w:sz w:val="26"/>
        </w:rPr>
        <w:t>,</w:t>
      </w:r>
      <w:r w:rsidR="002A66C8" w:rsidRPr="002B795C">
        <w:rPr>
          <w:color w:val="000000" w:themeColor="text1"/>
          <w:sz w:val="26"/>
        </w:rPr>
        <w:t xml:space="preserve"> and</w:t>
      </w:r>
      <w:r w:rsidRPr="002B795C">
        <w:rPr>
          <w:color w:val="000000" w:themeColor="text1"/>
          <w:sz w:val="26"/>
        </w:rPr>
        <w:t xml:space="preserve"> </w:t>
      </w:r>
      <w:r w:rsidR="00326EBF" w:rsidRPr="002B795C">
        <w:rPr>
          <w:color w:val="000000" w:themeColor="text1"/>
          <w:sz w:val="26"/>
        </w:rPr>
        <w:t>by Citizens’ Electric Company of Lewisburg, PA (Citizens’ or t</w:t>
      </w:r>
      <w:r w:rsidR="00326EBF" w:rsidRPr="0059512A">
        <w:rPr>
          <w:sz w:val="26"/>
        </w:rPr>
        <w:t>he Company)</w:t>
      </w:r>
      <w:r w:rsidR="002A66C8" w:rsidRPr="0059512A">
        <w:rPr>
          <w:sz w:val="26"/>
        </w:rPr>
        <w:t xml:space="preserve"> </w:t>
      </w:r>
      <w:r w:rsidRPr="0059512A">
        <w:rPr>
          <w:sz w:val="26"/>
        </w:rPr>
        <w:t xml:space="preserve">and the Office of </w:t>
      </w:r>
      <w:r w:rsidR="002A66C8" w:rsidRPr="0059512A">
        <w:rPr>
          <w:sz w:val="26"/>
        </w:rPr>
        <w:t xml:space="preserve">Consumer Advocate </w:t>
      </w:r>
      <w:r w:rsidRPr="0059512A">
        <w:rPr>
          <w:sz w:val="26"/>
        </w:rPr>
        <w:t>(O</w:t>
      </w:r>
      <w:r w:rsidR="002A66C8" w:rsidRPr="0059512A">
        <w:rPr>
          <w:sz w:val="26"/>
        </w:rPr>
        <w:t>CA</w:t>
      </w:r>
      <w:r w:rsidRPr="0059512A">
        <w:rPr>
          <w:sz w:val="26"/>
        </w:rPr>
        <w:t>)</w:t>
      </w:r>
      <w:r w:rsidR="002A66C8" w:rsidRPr="0059512A">
        <w:rPr>
          <w:sz w:val="26"/>
        </w:rPr>
        <w:t xml:space="preserve"> on March 13, 2020</w:t>
      </w:r>
      <w:r w:rsidRPr="0059512A">
        <w:rPr>
          <w:sz w:val="26"/>
        </w:rPr>
        <w:t>.</w:t>
      </w:r>
      <w:r w:rsidR="00430E70" w:rsidRPr="0059512A">
        <w:rPr>
          <w:rStyle w:val="FootnoteReference"/>
          <w:sz w:val="26"/>
        </w:rPr>
        <w:footnoteReference w:id="2"/>
      </w:r>
      <w:r w:rsidRPr="0059512A">
        <w:rPr>
          <w:sz w:val="26"/>
        </w:rPr>
        <w:t xml:space="preserve">  </w:t>
      </w:r>
      <w:r w:rsidR="000A339A" w:rsidRPr="0059512A">
        <w:rPr>
          <w:sz w:val="26"/>
        </w:rPr>
        <w:t>Reply Exceptions were filed</w:t>
      </w:r>
      <w:r w:rsidR="00287DDC" w:rsidRPr="0059512A">
        <w:rPr>
          <w:sz w:val="26"/>
        </w:rPr>
        <w:t xml:space="preserve"> by Citizens’, I&amp;E, the OCA, and the Office of Small Business Advocate (OSBA) </w:t>
      </w:r>
      <w:r w:rsidR="000A339A" w:rsidRPr="0059512A">
        <w:rPr>
          <w:sz w:val="26"/>
        </w:rPr>
        <w:t xml:space="preserve">on </w:t>
      </w:r>
      <w:r w:rsidR="00430E70" w:rsidRPr="0059512A">
        <w:rPr>
          <w:sz w:val="26"/>
        </w:rPr>
        <w:t>March</w:t>
      </w:r>
      <w:r w:rsidR="00417616">
        <w:rPr>
          <w:sz w:val="26"/>
        </w:rPr>
        <w:t> </w:t>
      </w:r>
      <w:r w:rsidR="000A339A" w:rsidRPr="0059512A">
        <w:rPr>
          <w:sz w:val="26"/>
        </w:rPr>
        <w:t>2</w:t>
      </w:r>
      <w:r w:rsidR="00430E70" w:rsidRPr="0059512A">
        <w:rPr>
          <w:sz w:val="26"/>
        </w:rPr>
        <w:t>3</w:t>
      </w:r>
      <w:r w:rsidR="000A339A" w:rsidRPr="0059512A">
        <w:rPr>
          <w:sz w:val="26"/>
        </w:rPr>
        <w:t>, 20</w:t>
      </w:r>
      <w:r w:rsidR="00430E70" w:rsidRPr="0059512A">
        <w:rPr>
          <w:sz w:val="26"/>
        </w:rPr>
        <w:t>20</w:t>
      </w:r>
      <w:r w:rsidR="000A339A" w:rsidRPr="0059512A">
        <w:rPr>
          <w:sz w:val="26"/>
        </w:rPr>
        <w:t xml:space="preserve">. </w:t>
      </w:r>
    </w:p>
    <w:bookmarkEnd w:id="2"/>
    <w:p w14:paraId="75A59337" w14:textId="0B41B7A5" w:rsidR="00326EBF" w:rsidRPr="0059512A" w:rsidRDefault="00326EBF" w:rsidP="0059512A">
      <w:pPr>
        <w:widowControl/>
        <w:tabs>
          <w:tab w:val="left" w:pos="-720"/>
        </w:tabs>
        <w:suppressAutoHyphens/>
        <w:spacing w:line="360" w:lineRule="auto"/>
        <w:ind w:firstLine="1440"/>
        <w:rPr>
          <w:sz w:val="26"/>
        </w:rPr>
      </w:pPr>
    </w:p>
    <w:p w14:paraId="2BA113F9" w14:textId="2CB2B28E" w:rsidR="00317685" w:rsidRPr="0059512A" w:rsidRDefault="00317685" w:rsidP="0059512A">
      <w:pPr>
        <w:widowControl/>
        <w:spacing w:line="360" w:lineRule="auto"/>
        <w:ind w:firstLine="1440"/>
        <w:rPr>
          <w:sz w:val="26"/>
          <w:szCs w:val="26"/>
        </w:rPr>
      </w:pPr>
      <w:r w:rsidRPr="0059512A">
        <w:rPr>
          <w:sz w:val="26"/>
          <w:szCs w:val="26"/>
        </w:rPr>
        <w:t xml:space="preserve">For the reasons stated, </w:t>
      </w:r>
      <w:r w:rsidRPr="0059512A">
        <w:rPr>
          <w:i/>
          <w:sz w:val="26"/>
          <w:szCs w:val="26"/>
        </w:rPr>
        <w:t>infra</w:t>
      </w:r>
      <w:r w:rsidRPr="0059512A">
        <w:rPr>
          <w:sz w:val="26"/>
          <w:szCs w:val="26"/>
        </w:rPr>
        <w:t xml:space="preserve">, we shall grant, in part, and deny, in part, the Exceptions filed by </w:t>
      </w:r>
      <w:r w:rsidR="0010101D" w:rsidRPr="0059512A">
        <w:rPr>
          <w:sz w:val="26"/>
          <w:szCs w:val="26"/>
        </w:rPr>
        <w:t>Citizens</w:t>
      </w:r>
      <w:r w:rsidR="00BB254F">
        <w:rPr>
          <w:sz w:val="26"/>
          <w:szCs w:val="26"/>
        </w:rPr>
        <w:t>’</w:t>
      </w:r>
      <w:r w:rsidRPr="0059512A">
        <w:rPr>
          <w:sz w:val="26"/>
          <w:szCs w:val="26"/>
        </w:rPr>
        <w:t>, I&amp;E and the OCA, and adopt the ALJs’ Recommended Decision, as modified, consistent with this Opinion and Order.</w:t>
      </w:r>
    </w:p>
    <w:p w14:paraId="61E9E883" w14:textId="77777777" w:rsidR="00317685" w:rsidRPr="0059512A" w:rsidRDefault="00317685" w:rsidP="0059512A">
      <w:pPr>
        <w:widowControl/>
        <w:tabs>
          <w:tab w:val="left" w:pos="-720"/>
        </w:tabs>
        <w:suppressAutoHyphens/>
        <w:spacing w:line="360" w:lineRule="auto"/>
        <w:rPr>
          <w:sz w:val="26"/>
        </w:rPr>
      </w:pPr>
    </w:p>
    <w:p w14:paraId="610E3EB0" w14:textId="2D7E4426" w:rsidR="00326EBF" w:rsidRPr="0059512A" w:rsidRDefault="00326EBF" w:rsidP="0059512A">
      <w:pPr>
        <w:widowControl/>
        <w:tabs>
          <w:tab w:val="left" w:pos="-720"/>
        </w:tabs>
        <w:suppressAutoHyphens/>
        <w:spacing w:line="360" w:lineRule="auto"/>
        <w:ind w:firstLine="1440"/>
        <w:rPr>
          <w:sz w:val="26"/>
        </w:rPr>
      </w:pPr>
      <w:r w:rsidRPr="0059512A">
        <w:rPr>
          <w:sz w:val="26"/>
        </w:rPr>
        <w:t xml:space="preserve">As discussed below, </w:t>
      </w:r>
      <w:r w:rsidR="00260CDE" w:rsidRPr="0059512A">
        <w:rPr>
          <w:sz w:val="26"/>
        </w:rPr>
        <w:t xml:space="preserve">Citizens’ proposed a base rate change that would have increased its total annual operating revenues by $792,246, or approximately 16.5%, based </w:t>
      </w:r>
      <w:r w:rsidR="00260CDE" w:rsidRPr="0059512A">
        <w:rPr>
          <w:sz w:val="26"/>
        </w:rPr>
        <w:lastRenderedPageBreak/>
        <w:t xml:space="preserve">on a </w:t>
      </w:r>
      <w:r w:rsidR="00FF5387" w:rsidRPr="0059512A">
        <w:rPr>
          <w:sz w:val="26"/>
        </w:rPr>
        <w:t>f</w:t>
      </w:r>
      <w:r w:rsidR="00260CDE" w:rsidRPr="0059512A">
        <w:rPr>
          <w:sz w:val="26"/>
        </w:rPr>
        <w:t xml:space="preserve">ully </w:t>
      </w:r>
      <w:r w:rsidR="00FF5387" w:rsidRPr="0059512A">
        <w:rPr>
          <w:sz w:val="26"/>
        </w:rPr>
        <w:t>p</w:t>
      </w:r>
      <w:r w:rsidR="00260CDE" w:rsidRPr="0059512A">
        <w:rPr>
          <w:sz w:val="26"/>
        </w:rPr>
        <w:t xml:space="preserve">rojected </w:t>
      </w:r>
      <w:r w:rsidR="00FF5387" w:rsidRPr="0059512A">
        <w:rPr>
          <w:sz w:val="26"/>
        </w:rPr>
        <w:t>f</w:t>
      </w:r>
      <w:r w:rsidR="00260CDE" w:rsidRPr="0059512A">
        <w:rPr>
          <w:sz w:val="26"/>
        </w:rPr>
        <w:t xml:space="preserve">uture </w:t>
      </w:r>
      <w:r w:rsidR="00FF5387" w:rsidRPr="0059512A">
        <w:rPr>
          <w:sz w:val="26"/>
        </w:rPr>
        <w:t>t</w:t>
      </w:r>
      <w:r w:rsidR="00260CDE" w:rsidRPr="0059512A">
        <w:rPr>
          <w:sz w:val="26"/>
        </w:rPr>
        <w:t xml:space="preserve">est </w:t>
      </w:r>
      <w:r w:rsidR="00FF5387" w:rsidRPr="0059512A">
        <w:rPr>
          <w:sz w:val="26"/>
        </w:rPr>
        <w:t>y</w:t>
      </w:r>
      <w:r w:rsidR="00260CDE" w:rsidRPr="0059512A">
        <w:rPr>
          <w:sz w:val="26"/>
        </w:rPr>
        <w:t>ear (FPFTY) ending December 31, 2020.</w:t>
      </w:r>
      <w:r w:rsidR="00E968D7" w:rsidRPr="0059512A">
        <w:rPr>
          <w:rStyle w:val="FootnoteReference"/>
          <w:sz w:val="26"/>
        </w:rPr>
        <w:footnoteReference w:id="3"/>
      </w:r>
      <w:r w:rsidR="00027EE4" w:rsidRPr="0059512A">
        <w:rPr>
          <w:sz w:val="26"/>
          <w:vertAlign w:val="superscript"/>
        </w:rPr>
        <w:t xml:space="preserve">, </w:t>
      </w:r>
      <w:r w:rsidR="00027EE4" w:rsidRPr="0059512A">
        <w:rPr>
          <w:rStyle w:val="FootnoteReference"/>
          <w:sz w:val="26"/>
        </w:rPr>
        <w:footnoteReference w:id="4"/>
      </w:r>
      <w:r w:rsidR="00260CDE" w:rsidRPr="0059512A">
        <w:rPr>
          <w:sz w:val="26"/>
        </w:rPr>
        <w:t xml:space="preserve">  In this Opinion and Order, we shall approve an annual revenue increase of $</w:t>
      </w:r>
      <w:r w:rsidR="0016452F" w:rsidRPr="0059512A">
        <w:rPr>
          <w:sz w:val="26"/>
        </w:rPr>
        <w:t>494,749 to the Company’s pro forma revenue at present rates of $4,903,840</w:t>
      </w:r>
      <w:r w:rsidR="00260CDE" w:rsidRPr="0059512A">
        <w:rPr>
          <w:sz w:val="26"/>
        </w:rPr>
        <w:t xml:space="preserve">, or </w:t>
      </w:r>
      <w:r w:rsidR="0016452F" w:rsidRPr="0059512A">
        <w:rPr>
          <w:sz w:val="26"/>
        </w:rPr>
        <w:t>approximately 10.1</w:t>
      </w:r>
      <w:r w:rsidR="00260CDE" w:rsidRPr="0059512A">
        <w:rPr>
          <w:sz w:val="26"/>
        </w:rPr>
        <w:t>%</w:t>
      </w:r>
      <w:r w:rsidR="00160622" w:rsidRPr="0059512A">
        <w:rPr>
          <w:sz w:val="26"/>
        </w:rPr>
        <w:t xml:space="preserve">.  </w:t>
      </w:r>
    </w:p>
    <w:p w14:paraId="4915A124" w14:textId="77777777" w:rsidR="003643A3" w:rsidRPr="0059512A" w:rsidRDefault="003643A3" w:rsidP="0059512A">
      <w:pPr>
        <w:widowControl/>
        <w:tabs>
          <w:tab w:val="left" w:pos="-720"/>
        </w:tabs>
        <w:suppressAutoHyphens/>
        <w:spacing w:line="360" w:lineRule="auto"/>
        <w:rPr>
          <w:sz w:val="26"/>
          <w:szCs w:val="26"/>
        </w:rPr>
      </w:pPr>
    </w:p>
    <w:p w14:paraId="6422F3F1" w14:textId="00C76E24" w:rsidR="00B00BC3" w:rsidRPr="0059512A" w:rsidRDefault="007357EB" w:rsidP="0059512A">
      <w:pPr>
        <w:pStyle w:val="Heading1"/>
        <w:ind w:left="0" w:firstLine="0"/>
        <w:rPr>
          <w:szCs w:val="26"/>
        </w:rPr>
      </w:pPr>
      <w:bookmarkStart w:id="3" w:name="_Toc38629252"/>
      <w:r w:rsidRPr="0059512A">
        <w:rPr>
          <w:szCs w:val="26"/>
        </w:rPr>
        <w:t>Background</w:t>
      </w:r>
      <w:bookmarkEnd w:id="3"/>
    </w:p>
    <w:p w14:paraId="4514396E" w14:textId="77777777" w:rsidR="009B3AA5" w:rsidRPr="0059512A" w:rsidRDefault="009B3AA5" w:rsidP="0059512A">
      <w:pPr>
        <w:widowControl/>
        <w:spacing w:line="360" w:lineRule="auto"/>
        <w:ind w:firstLine="1440"/>
        <w:rPr>
          <w:sz w:val="26"/>
          <w:szCs w:val="26"/>
        </w:rPr>
      </w:pPr>
    </w:p>
    <w:p w14:paraId="455343C3" w14:textId="485E9622" w:rsidR="009B3AA5" w:rsidRPr="0059512A" w:rsidRDefault="009B3AA5" w:rsidP="0059512A">
      <w:pPr>
        <w:widowControl/>
        <w:spacing w:line="360" w:lineRule="auto"/>
        <w:ind w:firstLine="1440"/>
        <w:rPr>
          <w:sz w:val="26"/>
          <w:szCs w:val="26"/>
        </w:rPr>
      </w:pPr>
      <w:r w:rsidRPr="0059512A">
        <w:rPr>
          <w:sz w:val="26"/>
          <w:szCs w:val="26"/>
        </w:rPr>
        <w:t>Citizens’ is a</w:t>
      </w:r>
      <w:r w:rsidR="00A6142D" w:rsidRPr="0059512A">
        <w:rPr>
          <w:sz w:val="26"/>
          <w:szCs w:val="26"/>
        </w:rPr>
        <w:t xml:space="preserve"> public utility and an</w:t>
      </w:r>
      <w:r w:rsidRPr="0059512A">
        <w:rPr>
          <w:sz w:val="26"/>
          <w:szCs w:val="26"/>
        </w:rPr>
        <w:t xml:space="preserve"> investor-owned </w:t>
      </w:r>
      <w:r w:rsidR="00F148E4" w:rsidRPr="0059512A">
        <w:rPr>
          <w:sz w:val="26"/>
          <w:szCs w:val="26"/>
        </w:rPr>
        <w:t>e</w:t>
      </w:r>
      <w:r w:rsidRPr="0059512A">
        <w:rPr>
          <w:sz w:val="26"/>
          <w:szCs w:val="26"/>
        </w:rPr>
        <w:t xml:space="preserve">lectric </w:t>
      </w:r>
      <w:r w:rsidR="00F148E4" w:rsidRPr="0059512A">
        <w:rPr>
          <w:sz w:val="26"/>
          <w:szCs w:val="26"/>
        </w:rPr>
        <w:t>d</w:t>
      </w:r>
      <w:r w:rsidRPr="0059512A">
        <w:rPr>
          <w:sz w:val="26"/>
          <w:szCs w:val="26"/>
        </w:rPr>
        <w:t xml:space="preserve">istribution </w:t>
      </w:r>
      <w:r w:rsidR="00F148E4" w:rsidRPr="0059512A">
        <w:rPr>
          <w:sz w:val="26"/>
          <w:szCs w:val="26"/>
        </w:rPr>
        <w:t>c</w:t>
      </w:r>
      <w:r w:rsidRPr="0059512A">
        <w:rPr>
          <w:sz w:val="26"/>
          <w:szCs w:val="26"/>
        </w:rPr>
        <w:t>ompany (EDC)</w:t>
      </w:r>
      <w:r w:rsidR="00A6142D" w:rsidRPr="0059512A">
        <w:rPr>
          <w:sz w:val="26"/>
          <w:szCs w:val="26"/>
        </w:rPr>
        <w:t>, as those terms are</w:t>
      </w:r>
      <w:r w:rsidR="00A6142D" w:rsidRPr="0059512A">
        <w:rPr>
          <w:color w:val="000000"/>
          <w:sz w:val="26"/>
          <w:szCs w:val="26"/>
        </w:rPr>
        <w:t xml:space="preserve"> </w:t>
      </w:r>
      <w:r w:rsidR="00A6142D" w:rsidRPr="0059512A">
        <w:rPr>
          <w:sz w:val="26"/>
          <w:szCs w:val="26"/>
        </w:rPr>
        <w:t>defined in the Pennsylvania Public Utility Code (Code), 66 Pa. C.S. §§ 102 and 2803,</w:t>
      </w:r>
      <w:r w:rsidRPr="0059512A">
        <w:rPr>
          <w:sz w:val="26"/>
          <w:szCs w:val="26"/>
        </w:rPr>
        <w:t xml:space="preserve"> providing service in and around Lewisburg, Pennsylvania.</w:t>
      </w:r>
      <w:r w:rsidR="00A6142D" w:rsidRPr="0059512A">
        <w:rPr>
          <w:sz w:val="26"/>
          <w:szCs w:val="26"/>
        </w:rPr>
        <w:t xml:space="preserve">  </w:t>
      </w:r>
      <w:r w:rsidRPr="0059512A">
        <w:rPr>
          <w:sz w:val="26"/>
          <w:szCs w:val="26"/>
        </w:rPr>
        <w:t xml:space="preserve">Citizens’ is wholly owned by C&amp;T Enterprises, Inc. (C&amp;T). </w:t>
      </w:r>
      <w:r w:rsidR="00D15A58" w:rsidRPr="0059512A">
        <w:rPr>
          <w:sz w:val="26"/>
          <w:szCs w:val="26"/>
        </w:rPr>
        <w:t xml:space="preserve"> </w:t>
      </w:r>
      <w:r w:rsidRPr="0059512A">
        <w:rPr>
          <w:sz w:val="26"/>
          <w:szCs w:val="26"/>
        </w:rPr>
        <w:t xml:space="preserve">C&amp;T is a holding and management services company that also owns Wellsboro Electric Company (Wellsboro) and Valley Energy, Inc. (Valley). Citizens’ service territory encompasses an area of approximately 55 square miles in and around Lewisburg, Pennsylvania. </w:t>
      </w:r>
      <w:r w:rsidR="00D15A58" w:rsidRPr="0059512A">
        <w:rPr>
          <w:sz w:val="26"/>
          <w:szCs w:val="26"/>
        </w:rPr>
        <w:t xml:space="preserve"> </w:t>
      </w:r>
      <w:r w:rsidRPr="0059512A">
        <w:rPr>
          <w:sz w:val="26"/>
          <w:szCs w:val="26"/>
        </w:rPr>
        <w:t>As of December 31, 2018, Citizens’ served approximately 7,043 customers, of which approximately 5,871 were residential and 1,172 were commercial, industrial or lighting.</w:t>
      </w:r>
    </w:p>
    <w:p w14:paraId="7DD901BD" w14:textId="0924A561" w:rsidR="009B3AA5" w:rsidRPr="0059512A" w:rsidRDefault="009B3AA5" w:rsidP="0059512A">
      <w:pPr>
        <w:widowControl/>
        <w:spacing w:line="360" w:lineRule="auto"/>
        <w:rPr>
          <w:sz w:val="26"/>
          <w:szCs w:val="26"/>
        </w:rPr>
      </w:pPr>
    </w:p>
    <w:p w14:paraId="5DE920AD" w14:textId="1074923A" w:rsidR="009B3AA5" w:rsidRPr="0059512A" w:rsidRDefault="00FA73BC" w:rsidP="0059512A">
      <w:pPr>
        <w:widowControl/>
        <w:spacing w:line="360" w:lineRule="auto"/>
        <w:ind w:firstLine="1440"/>
        <w:rPr>
          <w:sz w:val="26"/>
          <w:szCs w:val="26"/>
        </w:rPr>
      </w:pPr>
      <w:r w:rsidRPr="0059512A">
        <w:rPr>
          <w:sz w:val="26"/>
          <w:szCs w:val="26"/>
        </w:rPr>
        <w:t>Citizens’ seeks approval of an increase in its annual jurisdictional distribution operating revenues.  The Company’s original request</w:t>
      </w:r>
      <w:bookmarkStart w:id="4" w:name="_Hlk37836326"/>
      <w:r w:rsidRPr="0059512A">
        <w:rPr>
          <w:sz w:val="26"/>
          <w:szCs w:val="26"/>
        </w:rPr>
        <w:t>, Supplement No. 132 to Tariff Electric Pa. P.U.C. No. 14</w:t>
      </w:r>
      <w:r w:rsidR="00BB28EE" w:rsidRPr="0059512A">
        <w:rPr>
          <w:sz w:val="26"/>
          <w:szCs w:val="26"/>
        </w:rPr>
        <w:t xml:space="preserve"> (Supplement No. 132)</w:t>
      </w:r>
      <w:r w:rsidRPr="0059512A">
        <w:rPr>
          <w:sz w:val="26"/>
          <w:szCs w:val="26"/>
        </w:rPr>
        <w:t>, filed on July 1, 2019</w:t>
      </w:r>
      <w:bookmarkEnd w:id="4"/>
      <w:r w:rsidRPr="0059512A">
        <w:rPr>
          <w:sz w:val="26"/>
          <w:szCs w:val="26"/>
        </w:rPr>
        <w:t>, sought an increase in annual distribution operating revenues of approximately $792,246, based on a FPFTY ending December 31, 2020.</w:t>
      </w:r>
      <w:r w:rsidR="0033282C" w:rsidRPr="0059512A">
        <w:rPr>
          <w:sz w:val="26"/>
          <w:szCs w:val="26"/>
        </w:rPr>
        <w:t xml:space="preserve">  Subsequently, the Company filed replacement base rate schedules and tariff sheets by which it revised its requested increase to $701,000, which is designed to provide the Company with an opportunity to earn a 7.62% overall </w:t>
      </w:r>
      <w:r w:rsidR="0033282C" w:rsidRPr="0059512A">
        <w:rPr>
          <w:sz w:val="26"/>
          <w:szCs w:val="26"/>
        </w:rPr>
        <w:lastRenderedPageBreak/>
        <w:t xml:space="preserve">rate of return, including a 10.30% return on common equity, on a claimed rate base of $12.8 million.  In its request, Citizens’ </w:t>
      </w:r>
      <w:r w:rsidR="008D3E76" w:rsidRPr="0059512A">
        <w:rPr>
          <w:sz w:val="26"/>
        </w:rPr>
        <w:t xml:space="preserve">proposed to increase the monthly customer charges for its Residential customers – Class RS (Residential) and SH (Space Heating) from $11.24 to $15.00 and from $18.57 to $24.00, respectively, including a demand charge component.  </w:t>
      </w:r>
    </w:p>
    <w:p w14:paraId="1F87A39A" w14:textId="1DCEFA2D" w:rsidR="00884238" w:rsidRPr="0059512A" w:rsidRDefault="00884238" w:rsidP="0059512A">
      <w:pPr>
        <w:widowControl/>
        <w:tabs>
          <w:tab w:val="left" w:pos="-720"/>
        </w:tabs>
        <w:suppressAutoHyphens/>
        <w:spacing w:line="360" w:lineRule="auto"/>
        <w:rPr>
          <w:sz w:val="26"/>
          <w:szCs w:val="26"/>
        </w:rPr>
      </w:pPr>
    </w:p>
    <w:p w14:paraId="586ECE38" w14:textId="7E557C04" w:rsidR="00062518" w:rsidRPr="0059512A" w:rsidRDefault="0061798F" w:rsidP="0059512A">
      <w:pPr>
        <w:widowControl/>
        <w:tabs>
          <w:tab w:val="left" w:pos="-720"/>
        </w:tabs>
        <w:suppressAutoHyphens/>
        <w:spacing w:line="360" w:lineRule="auto"/>
        <w:ind w:firstLine="1440"/>
        <w:rPr>
          <w:sz w:val="26"/>
          <w:szCs w:val="26"/>
        </w:rPr>
      </w:pPr>
      <w:r w:rsidRPr="0059512A">
        <w:rPr>
          <w:sz w:val="26"/>
          <w:szCs w:val="26"/>
        </w:rPr>
        <w:t xml:space="preserve">Citizens’ asserts that the increase requested, if granted, will allow the Company to earn a return of approximately 7.62%, which is in line with the current expectations of investors in the marketplace, particularly for investors in smaller utilities, such as Citizens’, which are generally viewed as carrying more risk because of their susceptibility to larger revenue fluctuations due to weather-related usage variations, loss of customer load, and other factors.  </w:t>
      </w:r>
      <w:r w:rsidR="00AE05A4" w:rsidRPr="0059512A">
        <w:rPr>
          <w:sz w:val="26"/>
          <w:szCs w:val="26"/>
        </w:rPr>
        <w:t>Citizens’ further asserts that the requested rate increase reflects its experienced increases in operating and capital costs since its 2016 base rate proceeding, occurring as Citizens’ faces declining sales</w:t>
      </w:r>
      <w:r w:rsidR="00BB28EE" w:rsidRPr="0059512A">
        <w:rPr>
          <w:sz w:val="26"/>
          <w:szCs w:val="26"/>
        </w:rPr>
        <w:t xml:space="preserve"> and</w:t>
      </w:r>
      <w:r w:rsidR="00AE05A4" w:rsidRPr="0059512A">
        <w:rPr>
          <w:sz w:val="26"/>
          <w:szCs w:val="26"/>
        </w:rPr>
        <w:t xml:space="preserve"> preventing it from earning a fair rate of return on its investment, at present rate levels.</w:t>
      </w:r>
    </w:p>
    <w:p w14:paraId="22ABBB80" w14:textId="77777777" w:rsidR="00121203" w:rsidRPr="0059512A" w:rsidRDefault="00121203" w:rsidP="0059512A">
      <w:pPr>
        <w:widowControl/>
        <w:tabs>
          <w:tab w:val="left" w:pos="-720"/>
        </w:tabs>
        <w:suppressAutoHyphens/>
        <w:spacing w:line="360" w:lineRule="auto"/>
        <w:ind w:firstLine="1440"/>
        <w:rPr>
          <w:sz w:val="26"/>
          <w:szCs w:val="26"/>
        </w:rPr>
      </w:pPr>
    </w:p>
    <w:p w14:paraId="694800AA" w14:textId="27700EF7" w:rsidR="002B0C7E" w:rsidRPr="0059512A" w:rsidRDefault="007357EB" w:rsidP="0059512A">
      <w:pPr>
        <w:pStyle w:val="Heading1"/>
        <w:rPr>
          <w:szCs w:val="26"/>
        </w:rPr>
      </w:pPr>
      <w:bookmarkStart w:id="5" w:name="_Toc38629253"/>
      <w:r w:rsidRPr="0059512A">
        <w:rPr>
          <w:szCs w:val="26"/>
        </w:rPr>
        <w:t>History of Proceeding</w:t>
      </w:r>
      <w:bookmarkEnd w:id="5"/>
    </w:p>
    <w:p w14:paraId="57ACE3E3" w14:textId="77777777" w:rsidR="002B0C7E" w:rsidRPr="0059512A" w:rsidRDefault="002B0C7E" w:rsidP="0059512A">
      <w:pPr>
        <w:widowControl/>
        <w:spacing w:line="360" w:lineRule="auto"/>
        <w:rPr>
          <w:sz w:val="26"/>
          <w:szCs w:val="26"/>
        </w:rPr>
      </w:pPr>
    </w:p>
    <w:p w14:paraId="4A106B5A" w14:textId="134DBAEF" w:rsidR="002B4DED" w:rsidRPr="0059512A" w:rsidRDefault="00121203" w:rsidP="0059512A">
      <w:pPr>
        <w:widowControl/>
        <w:spacing w:line="360" w:lineRule="auto"/>
        <w:ind w:firstLine="1440"/>
        <w:rPr>
          <w:sz w:val="26"/>
          <w:szCs w:val="26"/>
        </w:rPr>
      </w:pPr>
      <w:r w:rsidRPr="0059512A">
        <w:rPr>
          <w:sz w:val="26"/>
          <w:szCs w:val="26"/>
        </w:rPr>
        <w:t xml:space="preserve">On July 1, 2019, Citizens’ filed Supplement No. 132, to become effective August 30, 2019, containing proposed changes to rates designed to produce a net increase in Citizens’ annual distribution revenue of approximately $792,246, or 16.5%, above existing distribution revenues.  </w:t>
      </w:r>
    </w:p>
    <w:p w14:paraId="451CE1FC" w14:textId="001648DB" w:rsidR="00116E37" w:rsidRPr="0059512A" w:rsidRDefault="00116E37" w:rsidP="0059512A">
      <w:pPr>
        <w:widowControl/>
        <w:spacing w:line="360" w:lineRule="auto"/>
        <w:ind w:firstLine="1440"/>
        <w:rPr>
          <w:sz w:val="26"/>
          <w:szCs w:val="26"/>
        </w:rPr>
      </w:pPr>
    </w:p>
    <w:p w14:paraId="0FFFF852" w14:textId="559EC57C" w:rsidR="00116E37" w:rsidRPr="0059512A" w:rsidRDefault="00116E37" w:rsidP="0059512A">
      <w:pPr>
        <w:widowControl/>
        <w:spacing w:line="360" w:lineRule="auto"/>
        <w:ind w:firstLine="1440"/>
        <w:rPr>
          <w:sz w:val="26"/>
          <w:szCs w:val="26"/>
        </w:rPr>
      </w:pPr>
      <w:r w:rsidRPr="0059512A">
        <w:rPr>
          <w:sz w:val="26"/>
          <w:szCs w:val="26"/>
        </w:rPr>
        <w:t xml:space="preserve">By Order entered August 29, 2019, the </w:t>
      </w:r>
      <w:r w:rsidR="00123F81" w:rsidRPr="0059512A">
        <w:rPr>
          <w:sz w:val="26"/>
          <w:szCs w:val="26"/>
        </w:rPr>
        <w:t>Supplement No. 132</w:t>
      </w:r>
      <w:r w:rsidRPr="0059512A">
        <w:rPr>
          <w:sz w:val="26"/>
          <w:szCs w:val="26"/>
        </w:rPr>
        <w:t xml:space="preserve"> was suspended by operation of law pursuant to Section 1308(d) of the Code, 66 Pa. C.S. § 1308(d), for up to nine months, or until March 30, 2020, unless permitted by Commission Order to become effective at an earlier date.  The Commission also initiated an investigation of Citizens’ proposed general rate increase.</w:t>
      </w:r>
    </w:p>
    <w:p w14:paraId="20B11AE8" w14:textId="4561F1ED" w:rsidR="0061398D" w:rsidRPr="0059512A" w:rsidRDefault="0061398D" w:rsidP="0059512A">
      <w:pPr>
        <w:widowControl/>
        <w:spacing w:line="360" w:lineRule="auto"/>
        <w:ind w:firstLine="1440"/>
        <w:rPr>
          <w:sz w:val="26"/>
          <w:szCs w:val="26"/>
        </w:rPr>
      </w:pPr>
    </w:p>
    <w:p w14:paraId="16FA1480" w14:textId="38DA7EE5" w:rsidR="0061398D" w:rsidRPr="0059512A" w:rsidRDefault="0061398D" w:rsidP="0059512A">
      <w:pPr>
        <w:widowControl/>
        <w:spacing w:line="360" w:lineRule="auto"/>
        <w:ind w:firstLine="1440"/>
        <w:rPr>
          <w:sz w:val="26"/>
          <w:szCs w:val="26"/>
        </w:rPr>
      </w:pPr>
      <w:r w:rsidRPr="0059512A">
        <w:rPr>
          <w:sz w:val="26"/>
          <w:szCs w:val="26"/>
        </w:rPr>
        <w:lastRenderedPageBreak/>
        <w:t>On September 9, 2019, Citizens’ filed a tariff supplement voluntarily extending the suspension period until April 29, 2020.  On October 2, 2019, Citizens’ filed an updated tariff supplement voluntarily extending the suspension period until May 1, 2020.</w:t>
      </w:r>
    </w:p>
    <w:p w14:paraId="598AF20E" w14:textId="7570BD4B" w:rsidR="0061398D" w:rsidRPr="0059512A" w:rsidRDefault="0061398D" w:rsidP="0059512A">
      <w:pPr>
        <w:widowControl/>
        <w:spacing w:line="360" w:lineRule="auto"/>
        <w:ind w:firstLine="1440"/>
        <w:rPr>
          <w:sz w:val="26"/>
          <w:szCs w:val="26"/>
        </w:rPr>
      </w:pPr>
    </w:p>
    <w:p w14:paraId="011AD119" w14:textId="7C774144" w:rsidR="0061398D" w:rsidRPr="0059512A" w:rsidRDefault="0061398D" w:rsidP="0059512A">
      <w:pPr>
        <w:widowControl/>
        <w:spacing w:line="360" w:lineRule="auto"/>
        <w:ind w:firstLine="1440"/>
        <w:rPr>
          <w:sz w:val="26"/>
          <w:szCs w:val="26"/>
        </w:rPr>
      </w:pPr>
      <w:r w:rsidRPr="0059512A">
        <w:rPr>
          <w:sz w:val="26"/>
          <w:szCs w:val="26"/>
        </w:rPr>
        <w:t>A Prehearing Conference was held on September 13, 2019</w:t>
      </w:r>
      <w:r w:rsidR="00F148E4" w:rsidRPr="0059512A">
        <w:rPr>
          <w:sz w:val="26"/>
          <w:szCs w:val="26"/>
        </w:rPr>
        <w:t>,</w:t>
      </w:r>
      <w:r w:rsidRPr="0059512A">
        <w:rPr>
          <w:sz w:val="26"/>
          <w:szCs w:val="26"/>
        </w:rPr>
        <w:t xml:space="preserve"> before ALJs Haas and Myers</w:t>
      </w:r>
      <w:r w:rsidR="00A8648B" w:rsidRPr="0059512A">
        <w:rPr>
          <w:sz w:val="26"/>
          <w:szCs w:val="26"/>
        </w:rPr>
        <w:t xml:space="preserve">, at which time a litigation schedule was developed.  The Prehearing Conference was held jointly with rate cases filed by Wellsboro and Valley at Docket Nos. R-2019-3008208 and R-2019-3008209, respectively.  Prior to the Prehearing Conference, on August 2, 2019, Citizens’ provided the </w:t>
      </w:r>
      <w:r w:rsidR="00F148E4" w:rsidRPr="0059512A">
        <w:rPr>
          <w:sz w:val="26"/>
          <w:szCs w:val="26"/>
        </w:rPr>
        <w:t>P</w:t>
      </w:r>
      <w:r w:rsidR="00A8648B" w:rsidRPr="0059512A">
        <w:rPr>
          <w:sz w:val="26"/>
          <w:szCs w:val="26"/>
        </w:rPr>
        <w:t xml:space="preserve">arties with its Direct Testimony.  In accordance with the procedural schedule, on October 15, 2019, </w:t>
      </w:r>
      <w:r w:rsidR="00BB28EE" w:rsidRPr="0059512A">
        <w:rPr>
          <w:sz w:val="26"/>
          <w:szCs w:val="26"/>
        </w:rPr>
        <w:t xml:space="preserve">the </w:t>
      </w:r>
      <w:r w:rsidR="00A8648B" w:rsidRPr="0059512A">
        <w:rPr>
          <w:sz w:val="26"/>
          <w:szCs w:val="26"/>
        </w:rPr>
        <w:t>OCA, I&amp;E and the</w:t>
      </w:r>
      <w:r w:rsidR="00287DDC" w:rsidRPr="0059512A">
        <w:rPr>
          <w:sz w:val="26"/>
          <w:szCs w:val="26"/>
        </w:rPr>
        <w:t xml:space="preserve"> </w:t>
      </w:r>
      <w:r w:rsidR="00A8648B" w:rsidRPr="0059512A">
        <w:rPr>
          <w:sz w:val="26"/>
          <w:szCs w:val="26"/>
        </w:rPr>
        <w:t>OSBA submitted Direct Testimony and associated exhibits</w:t>
      </w:r>
      <w:r w:rsidR="00417616" w:rsidRPr="0059512A">
        <w:rPr>
          <w:sz w:val="26"/>
          <w:szCs w:val="26"/>
        </w:rPr>
        <w:t xml:space="preserve">. </w:t>
      </w:r>
      <w:r w:rsidR="00365D78" w:rsidRPr="0059512A">
        <w:rPr>
          <w:sz w:val="26"/>
          <w:szCs w:val="26"/>
        </w:rPr>
        <w:t xml:space="preserve">On November 14, 2019, Citizens’, </w:t>
      </w:r>
      <w:r w:rsidR="00BB28EE" w:rsidRPr="0059512A">
        <w:rPr>
          <w:sz w:val="26"/>
          <w:szCs w:val="26"/>
        </w:rPr>
        <w:t xml:space="preserve">the </w:t>
      </w:r>
      <w:r w:rsidR="00365D78" w:rsidRPr="0059512A">
        <w:rPr>
          <w:sz w:val="26"/>
          <w:szCs w:val="26"/>
        </w:rPr>
        <w:t>OCA and</w:t>
      </w:r>
      <w:r w:rsidR="00BB28EE" w:rsidRPr="0059512A">
        <w:rPr>
          <w:sz w:val="26"/>
          <w:szCs w:val="26"/>
        </w:rPr>
        <w:t xml:space="preserve"> the</w:t>
      </w:r>
      <w:r w:rsidR="00365D78" w:rsidRPr="0059512A">
        <w:rPr>
          <w:sz w:val="26"/>
          <w:szCs w:val="26"/>
        </w:rPr>
        <w:t xml:space="preserve"> OSBA submitted Rebuttal Testimony.  On December 4, 2019, the </w:t>
      </w:r>
      <w:r w:rsidR="00F148E4" w:rsidRPr="0059512A">
        <w:rPr>
          <w:sz w:val="26"/>
          <w:szCs w:val="26"/>
        </w:rPr>
        <w:t>P</w:t>
      </w:r>
      <w:r w:rsidR="00365D78" w:rsidRPr="0059512A">
        <w:rPr>
          <w:sz w:val="26"/>
          <w:szCs w:val="26"/>
        </w:rPr>
        <w:t xml:space="preserve">arties submitted Surrebuttal Testimony.  </w:t>
      </w:r>
    </w:p>
    <w:p w14:paraId="0A833D05" w14:textId="67C8AFEC" w:rsidR="00365D78" w:rsidRPr="0059512A" w:rsidRDefault="00365D78" w:rsidP="0059512A">
      <w:pPr>
        <w:widowControl/>
        <w:spacing w:line="360" w:lineRule="auto"/>
        <w:ind w:firstLine="1440"/>
        <w:rPr>
          <w:sz w:val="26"/>
          <w:szCs w:val="26"/>
        </w:rPr>
      </w:pPr>
    </w:p>
    <w:p w14:paraId="3B9AE40A" w14:textId="7D9FF2D7" w:rsidR="00365D78" w:rsidRPr="0059512A" w:rsidRDefault="00365D78" w:rsidP="0059512A">
      <w:pPr>
        <w:widowControl/>
        <w:spacing w:line="360" w:lineRule="auto"/>
        <w:ind w:firstLine="1440"/>
        <w:rPr>
          <w:sz w:val="26"/>
          <w:szCs w:val="26"/>
        </w:rPr>
      </w:pPr>
      <w:r w:rsidRPr="0059512A">
        <w:rPr>
          <w:sz w:val="26"/>
          <w:szCs w:val="26"/>
        </w:rPr>
        <w:t xml:space="preserve">Evidentiary hearings were held on December 16 and 17, 2019, during which Rejoinder Testimony was presented by Company witnesses and certain witnesses were made available for cross-examination.  As with the Prehearing Conference, the evidentiary hearings were held jointly for the Citizens’, Wellsboro, and Valley rate proceedings.  All prepared Statements and Exhibits were entered into the record by verification or by witness authentication. </w:t>
      </w:r>
      <w:r w:rsidR="00BB28EE" w:rsidRPr="0059512A">
        <w:rPr>
          <w:sz w:val="26"/>
          <w:szCs w:val="26"/>
        </w:rPr>
        <w:t xml:space="preserve"> </w:t>
      </w:r>
      <w:r w:rsidRPr="0059512A">
        <w:rPr>
          <w:sz w:val="26"/>
          <w:szCs w:val="26"/>
        </w:rPr>
        <w:t xml:space="preserve">Company witnesses </w:t>
      </w:r>
      <w:r w:rsidR="00F148E4" w:rsidRPr="0059512A">
        <w:rPr>
          <w:sz w:val="26"/>
          <w:szCs w:val="26"/>
        </w:rPr>
        <w:t xml:space="preserve">Howard S. </w:t>
      </w:r>
      <w:r w:rsidRPr="0059512A">
        <w:rPr>
          <w:sz w:val="26"/>
          <w:szCs w:val="26"/>
        </w:rPr>
        <w:t xml:space="preserve">Gorman, </w:t>
      </w:r>
      <w:r w:rsidR="00F148E4" w:rsidRPr="0059512A">
        <w:rPr>
          <w:sz w:val="26"/>
          <w:szCs w:val="26"/>
        </w:rPr>
        <w:t xml:space="preserve">Dylan W. </w:t>
      </w:r>
      <w:r w:rsidRPr="0059512A">
        <w:rPr>
          <w:sz w:val="26"/>
          <w:szCs w:val="26"/>
        </w:rPr>
        <w:t>D</w:t>
      </w:r>
      <w:r w:rsidR="002B795C">
        <w:rPr>
          <w:sz w:val="26"/>
          <w:szCs w:val="26"/>
        </w:rPr>
        <w:t>’</w:t>
      </w:r>
      <w:r w:rsidRPr="0059512A">
        <w:rPr>
          <w:sz w:val="26"/>
          <w:szCs w:val="26"/>
        </w:rPr>
        <w:t xml:space="preserve">Ascendis and </w:t>
      </w:r>
      <w:r w:rsidR="00F148E4" w:rsidRPr="0059512A">
        <w:rPr>
          <w:sz w:val="26"/>
          <w:szCs w:val="26"/>
        </w:rPr>
        <w:t xml:space="preserve">John </w:t>
      </w:r>
      <w:r w:rsidRPr="0059512A">
        <w:rPr>
          <w:sz w:val="26"/>
          <w:szCs w:val="26"/>
        </w:rPr>
        <w:t xml:space="preserve">Kelchner were sworn in and presented oral Rejoinder Testimony and submitted to cross-examination.  I&amp;E witnesses </w:t>
      </w:r>
      <w:r w:rsidR="00F148E4" w:rsidRPr="0059512A">
        <w:rPr>
          <w:sz w:val="26"/>
          <w:szCs w:val="26"/>
        </w:rPr>
        <w:t xml:space="preserve">D.C. </w:t>
      </w:r>
      <w:r w:rsidRPr="0059512A">
        <w:rPr>
          <w:sz w:val="26"/>
          <w:szCs w:val="26"/>
        </w:rPr>
        <w:t xml:space="preserve">Patel and </w:t>
      </w:r>
      <w:r w:rsidR="00F148E4" w:rsidRPr="0059512A">
        <w:rPr>
          <w:sz w:val="26"/>
          <w:szCs w:val="26"/>
        </w:rPr>
        <w:t xml:space="preserve">Ethan </w:t>
      </w:r>
      <w:r w:rsidRPr="0059512A">
        <w:rPr>
          <w:sz w:val="26"/>
          <w:szCs w:val="26"/>
        </w:rPr>
        <w:t xml:space="preserve">Cline and OCA witnesses </w:t>
      </w:r>
      <w:r w:rsidR="00F148E4" w:rsidRPr="0059512A">
        <w:rPr>
          <w:sz w:val="26"/>
          <w:szCs w:val="26"/>
        </w:rPr>
        <w:t xml:space="preserve">Stacy </w:t>
      </w:r>
      <w:r w:rsidRPr="0059512A">
        <w:rPr>
          <w:sz w:val="26"/>
          <w:szCs w:val="26"/>
        </w:rPr>
        <w:t xml:space="preserve">Sherwood, </w:t>
      </w:r>
      <w:r w:rsidR="00F148E4" w:rsidRPr="0059512A">
        <w:rPr>
          <w:sz w:val="26"/>
          <w:szCs w:val="26"/>
        </w:rPr>
        <w:t xml:space="preserve">Lafayette </w:t>
      </w:r>
      <w:r w:rsidRPr="0059512A">
        <w:rPr>
          <w:sz w:val="26"/>
          <w:szCs w:val="26"/>
        </w:rPr>
        <w:t>Morgan,</w:t>
      </w:r>
      <w:r w:rsidR="00F148E4" w:rsidRPr="0059512A">
        <w:rPr>
          <w:sz w:val="26"/>
          <w:szCs w:val="26"/>
        </w:rPr>
        <w:t xml:space="preserve"> Jr.,</w:t>
      </w:r>
      <w:r w:rsidRPr="0059512A">
        <w:rPr>
          <w:sz w:val="26"/>
          <w:szCs w:val="26"/>
        </w:rPr>
        <w:t xml:space="preserve"> and</w:t>
      </w:r>
      <w:r w:rsidR="00F148E4" w:rsidRPr="0059512A">
        <w:rPr>
          <w:sz w:val="26"/>
          <w:szCs w:val="26"/>
        </w:rPr>
        <w:t xml:space="preserve"> Jerome D.</w:t>
      </w:r>
      <w:r w:rsidRPr="0059512A">
        <w:rPr>
          <w:sz w:val="26"/>
          <w:szCs w:val="26"/>
        </w:rPr>
        <w:t xml:space="preserve"> Mierzwa were sworn in and submitted to cross-examination.  The testimony of other witnesses was entered into the record by stipulation without cross-examination.</w:t>
      </w:r>
    </w:p>
    <w:p w14:paraId="5C48D382" w14:textId="70E70834" w:rsidR="000B7EB4" w:rsidRPr="0059512A" w:rsidRDefault="000B7EB4" w:rsidP="0059512A">
      <w:pPr>
        <w:widowControl/>
        <w:spacing w:line="360" w:lineRule="auto"/>
        <w:ind w:firstLine="1440"/>
        <w:rPr>
          <w:sz w:val="26"/>
          <w:szCs w:val="26"/>
        </w:rPr>
      </w:pPr>
    </w:p>
    <w:p w14:paraId="51F47E42" w14:textId="600930BB" w:rsidR="00AF5A90" w:rsidRPr="0059512A" w:rsidRDefault="000B7EB4" w:rsidP="0059512A">
      <w:pPr>
        <w:widowControl/>
        <w:spacing w:line="360" w:lineRule="auto"/>
        <w:ind w:firstLine="1440"/>
        <w:rPr>
          <w:sz w:val="26"/>
          <w:szCs w:val="26"/>
        </w:rPr>
      </w:pPr>
      <w:r w:rsidRPr="0059512A">
        <w:rPr>
          <w:sz w:val="26"/>
          <w:szCs w:val="26"/>
        </w:rPr>
        <w:t>Main Briefs were filed on January 8, 2020, and Reply Briefs were filed on January 22, 2020.  The record closed on January 22, 2020.</w:t>
      </w:r>
    </w:p>
    <w:p w14:paraId="39BC4855" w14:textId="1C01A7DE" w:rsidR="00B0705E" w:rsidRPr="0059512A" w:rsidRDefault="00C248FA" w:rsidP="0059512A">
      <w:pPr>
        <w:widowControl/>
        <w:spacing w:line="360" w:lineRule="auto"/>
        <w:ind w:firstLine="1440"/>
        <w:rPr>
          <w:sz w:val="26"/>
          <w:szCs w:val="26"/>
        </w:rPr>
      </w:pPr>
      <w:r w:rsidRPr="0059512A">
        <w:rPr>
          <w:sz w:val="26"/>
          <w:szCs w:val="26"/>
        </w:rPr>
        <w:lastRenderedPageBreak/>
        <w:t>In their Recommended Decision issued on February 28, 2020, the ALJs recommended that Citizens’ be permitted to file tariffs, tariff supplements or tariff revisions designed to produce an increase in annual operating revenues of no more than $515,144</w:t>
      </w:r>
      <w:r w:rsidR="00F148E4" w:rsidRPr="0059512A">
        <w:rPr>
          <w:sz w:val="26"/>
          <w:szCs w:val="26"/>
        </w:rPr>
        <w:t xml:space="preserve"> or approximately 10.5%</w:t>
      </w:r>
      <w:r w:rsidRPr="0059512A">
        <w:rPr>
          <w:sz w:val="26"/>
          <w:szCs w:val="26"/>
        </w:rPr>
        <w:t xml:space="preserve">.  </w:t>
      </w:r>
      <w:r w:rsidR="00B04377" w:rsidRPr="0059512A">
        <w:rPr>
          <w:sz w:val="26"/>
          <w:szCs w:val="26"/>
        </w:rPr>
        <w:t>R.D. at 1, 125.</w:t>
      </w:r>
      <w:r w:rsidR="00B0705E" w:rsidRPr="0059512A">
        <w:rPr>
          <w:sz w:val="26"/>
          <w:szCs w:val="26"/>
        </w:rPr>
        <w:t xml:space="preserve">  As previously noted, I&amp;E filed Exceptions on March 12, 2020, and on March 13, 2020</w:t>
      </w:r>
      <w:r w:rsidR="00BF7406" w:rsidRPr="0059512A">
        <w:rPr>
          <w:sz w:val="26"/>
          <w:szCs w:val="26"/>
        </w:rPr>
        <w:t>,</w:t>
      </w:r>
      <w:r w:rsidR="00B0705E" w:rsidRPr="0059512A">
        <w:rPr>
          <w:sz w:val="26"/>
          <w:szCs w:val="26"/>
        </w:rPr>
        <w:t xml:space="preserve"> Citizens’ and the OCA filed their Exceptions.  On March 23, 2020,</w:t>
      </w:r>
      <w:r w:rsidR="00C21C3F" w:rsidRPr="0059512A">
        <w:rPr>
          <w:sz w:val="26"/>
          <w:szCs w:val="26"/>
        </w:rPr>
        <w:t xml:space="preserve"> Citizens’, I&amp;E, the OCA, and the OSBA </w:t>
      </w:r>
      <w:r w:rsidR="00B0705E" w:rsidRPr="0059512A">
        <w:rPr>
          <w:sz w:val="26"/>
          <w:szCs w:val="26"/>
        </w:rPr>
        <w:t>filed their Replies to Exceptions.</w:t>
      </w:r>
    </w:p>
    <w:p w14:paraId="0CAA285C" w14:textId="77777777" w:rsidR="00F148E4" w:rsidRPr="0059512A" w:rsidRDefault="00F148E4" w:rsidP="0059512A">
      <w:pPr>
        <w:widowControl/>
        <w:spacing w:line="360" w:lineRule="auto"/>
        <w:rPr>
          <w:sz w:val="26"/>
          <w:szCs w:val="26"/>
        </w:rPr>
      </w:pPr>
    </w:p>
    <w:p w14:paraId="6C34C186" w14:textId="5657637A" w:rsidR="00736196" w:rsidRPr="0059512A" w:rsidRDefault="00DA2034" w:rsidP="0059512A">
      <w:pPr>
        <w:pStyle w:val="Heading1"/>
        <w:keepNext/>
        <w:rPr>
          <w:szCs w:val="26"/>
        </w:rPr>
      </w:pPr>
      <w:bookmarkStart w:id="6" w:name="_Toc38629254"/>
      <w:bookmarkStart w:id="7" w:name="_Hlk35439594"/>
      <w:r w:rsidRPr="0059512A">
        <w:rPr>
          <w:szCs w:val="26"/>
        </w:rPr>
        <w:t>Legal Standards</w:t>
      </w:r>
      <w:bookmarkEnd w:id="6"/>
    </w:p>
    <w:bookmarkEnd w:id="7"/>
    <w:p w14:paraId="648D2C14" w14:textId="5618FD20" w:rsidR="00E20E9B" w:rsidRPr="0059512A" w:rsidRDefault="00E20E9B" w:rsidP="0059512A">
      <w:pPr>
        <w:pStyle w:val="Heading2"/>
        <w:widowControl/>
        <w:numPr>
          <w:ilvl w:val="0"/>
          <w:numId w:val="0"/>
        </w:numPr>
      </w:pPr>
    </w:p>
    <w:p w14:paraId="02A1A1FE" w14:textId="375AD89B" w:rsidR="00BB28EE" w:rsidRPr="0059512A" w:rsidRDefault="00BB28EE" w:rsidP="0059512A">
      <w:pPr>
        <w:keepNext/>
        <w:widowControl/>
        <w:tabs>
          <w:tab w:val="left" w:pos="-720"/>
        </w:tabs>
        <w:spacing w:line="360" w:lineRule="auto"/>
        <w:ind w:firstLine="1440"/>
        <w:rPr>
          <w:sz w:val="26"/>
          <w:szCs w:val="26"/>
        </w:rPr>
      </w:pPr>
      <w:r w:rsidRPr="0059512A">
        <w:rPr>
          <w:color w:val="000000"/>
          <w:sz w:val="26"/>
          <w:szCs w:val="26"/>
        </w:rPr>
        <w:t xml:space="preserve">At issue here is the Company’s general rate increase filing governed by Section 1308(d) of the Code, which provides the procedures for changing rates, the time limitations for the suspension of the new rates, and the time limitations on the Commission’s actions. </w:t>
      </w:r>
      <w:r w:rsidRPr="0059512A">
        <w:rPr>
          <w:sz w:val="26"/>
          <w:szCs w:val="26"/>
        </w:rPr>
        <w:t>66 Pa. C.S. § 1308(d).</w:t>
      </w:r>
      <w:bookmarkStart w:id="8" w:name="co_fnRef_B00022050131946_ID0EO2AE_1"/>
      <w:bookmarkEnd w:id="8"/>
      <w:r w:rsidRPr="0059512A">
        <w:rPr>
          <w:sz w:val="26"/>
          <w:szCs w:val="26"/>
          <w:vertAlign w:val="superscript"/>
        </w:rPr>
        <w:footnoteReference w:id="5"/>
      </w:r>
      <w:r w:rsidRPr="0059512A">
        <w:rPr>
          <w:sz w:val="26"/>
          <w:szCs w:val="26"/>
        </w:rPr>
        <w:t xml:space="preserve">  </w:t>
      </w:r>
      <w:r w:rsidRPr="0059512A">
        <w:rPr>
          <w:rFonts w:eastAsiaTheme="minorEastAsia"/>
          <w:sz w:val="26"/>
          <w:szCs w:val="26"/>
        </w:rPr>
        <w:t>“Under traditional ratemaking, utilities may not change rates charged to customers outside of a base rate case.”</w:t>
      </w:r>
      <w:r w:rsidR="002B795C">
        <w:rPr>
          <w:rFonts w:eastAsiaTheme="minorEastAsia"/>
          <w:sz w:val="26"/>
          <w:szCs w:val="26"/>
        </w:rPr>
        <w:t xml:space="preserve"> </w:t>
      </w:r>
      <w:r w:rsidRPr="0059512A">
        <w:rPr>
          <w:rFonts w:eastAsiaTheme="minorEastAsia"/>
          <w:sz w:val="26"/>
          <w:szCs w:val="26"/>
        </w:rPr>
        <w:t xml:space="preserve"> </w:t>
      </w:r>
      <w:r w:rsidRPr="0059512A">
        <w:rPr>
          <w:rFonts w:eastAsiaTheme="minorEastAsia"/>
          <w:i/>
          <w:iCs/>
          <w:sz w:val="26"/>
          <w:szCs w:val="26"/>
        </w:rPr>
        <w:t>McCloskey v. Pa.</w:t>
      </w:r>
      <w:r w:rsidR="00417616">
        <w:rPr>
          <w:rFonts w:eastAsiaTheme="minorEastAsia"/>
          <w:i/>
          <w:iCs/>
          <w:sz w:val="26"/>
          <w:szCs w:val="26"/>
        </w:rPr>
        <w:t> </w:t>
      </w:r>
      <w:r w:rsidRPr="0059512A">
        <w:rPr>
          <w:rFonts w:eastAsiaTheme="minorEastAsia"/>
          <w:i/>
          <w:iCs/>
          <w:sz w:val="26"/>
          <w:szCs w:val="26"/>
        </w:rPr>
        <w:t>PUC</w:t>
      </w:r>
      <w:r w:rsidRPr="0059512A">
        <w:rPr>
          <w:rFonts w:eastAsiaTheme="minorEastAsia"/>
          <w:sz w:val="26"/>
          <w:szCs w:val="26"/>
        </w:rPr>
        <w:t>, 127 A.3d 860, 863 n.2 (Pa. Cmwlth. 2015).</w:t>
      </w:r>
    </w:p>
    <w:p w14:paraId="0DD03FDA" w14:textId="77777777" w:rsidR="00BB28EE" w:rsidRPr="0059512A" w:rsidRDefault="00BB28EE" w:rsidP="0059512A">
      <w:pPr>
        <w:widowControl/>
        <w:tabs>
          <w:tab w:val="left" w:pos="-720"/>
        </w:tabs>
        <w:spacing w:line="360" w:lineRule="auto"/>
        <w:ind w:firstLine="1440"/>
        <w:rPr>
          <w:sz w:val="26"/>
          <w:szCs w:val="26"/>
        </w:rPr>
      </w:pPr>
    </w:p>
    <w:p w14:paraId="5E7364ED" w14:textId="4FCA6195" w:rsidR="00BB28EE" w:rsidRPr="0059512A" w:rsidRDefault="00BB28EE" w:rsidP="0059512A">
      <w:pPr>
        <w:widowControl/>
        <w:tabs>
          <w:tab w:val="left" w:pos="-720"/>
        </w:tabs>
        <w:suppressAutoHyphens/>
        <w:spacing w:line="360" w:lineRule="auto"/>
        <w:ind w:firstLine="1440"/>
        <w:contextualSpacing/>
        <w:rPr>
          <w:rFonts w:eastAsiaTheme="minorEastAsia"/>
          <w:sz w:val="26"/>
          <w:szCs w:val="26"/>
        </w:rPr>
      </w:pPr>
      <w:r w:rsidRPr="0059512A">
        <w:rPr>
          <w:rFonts w:eastAsiaTheme="minorEastAsia"/>
          <w:sz w:val="26"/>
          <w:szCs w:val="26"/>
        </w:rPr>
        <w:t xml:space="preserve">Section 1301(a) of the Code mandates that “[e]very rate made, demanded, or received by any public utility ... shall be just and reasonable, and in conformity with [the] regulations or orders of the [C]ommission.”  66 Pa. C.S. § 1301(a).  Pursuant to the just and reasonable standard, a utility may obtain “a rate that allows it to recover those expenses that are reasonably necessary to provide service to its customers[,] as well as a </w:t>
      </w:r>
      <w:r w:rsidRPr="0059512A">
        <w:rPr>
          <w:rFonts w:eastAsiaTheme="minorEastAsia"/>
          <w:sz w:val="26"/>
          <w:szCs w:val="26"/>
        </w:rPr>
        <w:lastRenderedPageBreak/>
        <w:t xml:space="preserve">reasonable rate of return on its investment.”  </w:t>
      </w:r>
      <w:r w:rsidRPr="0059512A">
        <w:rPr>
          <w:rFonts w:eastAsiaTheme="minorEastAsia"/>
          <w:i/>
          <w:iCs/>
          <w:sz w:val="26"/>
          <w:szCs w:val="26"/>
        </w:rPr>
        <w:t>City of Lancaster (Sewer Fund) v. Pa. PUC</w:t>
      </w:r>
      <w:r w:rsidRPr="0059512A">
        <w:rPr>
          <w:rFonts w:eastAsiaTheme="minorEastAsia"/>
          <w:sz w:val="26"/>
          <w:szCs w:val="26"/>
        </w:rPr>
        <w:t>, 793 A.2d 978, 982 (Pa. Cmwlth. 2002).  There is no single way to arrive at just and reasonable rates, and “[t]he [Commission] has broad discretion in determining whether rates are reasonable” and “is vested with discretion to decide what factors it will consider in setting or evaluating a utility’s rates.”</w:t>
      </w:r>
      <w:r w:rsidR="00417616">
        <w:rPr>
          <w:rFonts w:eastAsiaTheme="minorEastAsia"/>
          <w:sz w:val="26"/>
          <w:szCs w:val="26"/>
        </w:rPr>
        <w:t xml:space="preserve"> </w:t>
      </w:r>
      <w:r w:rsidRPr="0059512A">
        <w:rPr>
          <w:rFonts w:eastAsiaTheme="minorEastAsia"/>
          <w:sz w:val="26"/>
          <w:szCs w:val="26"/>
        </w:rPr>
        <w:t xml:space="preserve"> </w:t>
      </w:r>
      <w:r w:rsidRPr="0059512A">
        <w:rPr>
          <w:rFonts w:eastAsiaTheme="minorEastAsia"/>
          <w:i/>
          <w:iCs/>
          <w:sz w:val="26"/>
          <w:szCs w:val="26"/>
        </w:rPr>
        <w:t>Popowsky v. Pa. PUC</w:t>
      </w:r>
      <w:r w:rsidRPr="0059512A">
        <w:rPr>
          <w:rFonts w:eastAsiaTheme="minorEastAsia"/>
          <w:sz w:val="26"/>
          <w:szCs w:val="26"/>
        </w:rPr>
        <w:t>, 683 A.2d 958, 961 (Pa.</w:t>
      </w:r>
      <w:r w:rsidR="00417616">
        <w:rPr>
          <w:rFonts w:eastAsiaTheme="minorEastAsia"/>
          <w:sz w:val="26"/>
          <w:szCs w:val="26"/>
        </w:rPr>
        <w:t> </w:t>
      </w:r>
      <w:r w:rsidRPr="0059512A">
        <w:rPr>
          <w:rFonts w:eastAsiaTheme="minorEastAsia"/>
          <w:sz w:val="26"/>
          <w:szCs w:val="26"/>
        </w:rPr>
        <w:t>Cmwlth. 1996) (</w:t>
      </w:r>
      <w:r w:rsidRPr="0059512A">
        <w:rPr>
          <w:rFonts w:eastAsiaTheme="minorEastAsia"/>
          <w:i/>
          <w:iCs/>
          <w:sz w:val="26"/>
          <w:szCs w:val="26"/>
        </w:rPr>
        <w:t>Popowsky</w:t>
      </w:r>
      <w:r w:rsidRPr="0059512A">
        <w:rPr>
          <w:rFonts w:eastAsiaTheme="minorEastAsia"/>
          <w:sz w:val="26"/>
          <w:szCs w:val="26"/>
        </w:rPr>
        <w:t>).</w:t>
      </w:r>
    </w:p>
    <w:p w14:paraId="61EEF330" w14:textId="77777777" w:rsidR="00BB28EE" w:rsidRPr="0059512A" w:rsidRDefault="00BB28EE" w:rsidP="0059512A">
      <w:pPr>
        <w:widowControl/>
        <w:tabs>
          <w:tab w:val="left" w:pos="-720"/>
        </w:tabs>
        <w:suppressAutoHyphens/>
        <w:spacing w:line="360" w:lineRule="auto"/>
        <w:ind w:firstLine="1440"/>
        <w:contextualSpacing/>
        <w:rPr>
          <w:rFonts w:eastAsiaTheme="minorHAnsi"/>
          <w:sz w:val="26"/>
          <w:szCs w:val="26"/>
        </w:rPr>
      </w:pPr>
    </w:p>
    <w:p w14:paraId="2289BE46" w14:textId="75F2E093" w:rsidR="00446EA6" w:rsidRPr="0059512A" w:rsidRDefault="00BB28EE" w:rsidP="0059512A">
      <w:pPr>
        <w:widowControl/>
        <w:tabs>
          <w:tab w:val="left" w:pos="-720"/>
        </w:tabs>
        <w:suppressAutoHyphens/>
        <w:spacing w:line="360" w:lineRule="auto"/>
        <w:ind w:firstLine="1440"/>
        <w:contextualSpacing/>
        <w:rPr>
          <w:rFonts w:eastAsiaTheme="minorHAnsi"/>
          <w:sz w:val="26"/>
          <w:szCs w:val="26"/>
        </w:rPr>
      </w:pPr>
      <w:r w:rsidRPr="0059512A">
        <w:rPr>
          <w:sz w:val="26"/>
          <w:szCs w:val="26"/>
        </w:rPr>
        <w:t xml:space="preserve">The Commission is required to investigate all general rate increase filings. </w:t>
      </w:r>
      <w:r w:rsidRPr="0059512A">
        <w:rPr>
          <w:i/>
          <w:iCs/>
          <w:sz w:val="26"/>
          <w:szCs w:val="26"/>
        </w:rPr>
        <w:t>Popowsky</w:t>
      </w:r>
      <w:r w:rsidRPr="0059512A">
        <w:rPr>
          <w:sz w:val="26"/>
          <w:szCs w:val="26"/>
        </w:rPr>
        <w:t xml:space="preserve">, 683 A.2d at 961.  </w:t>
      </w:r>
      <w:r w:rsidR="00446EA6" w:rsidRPr="0059512A">
        <w:rPr>
          <w:rFonts w:eastAsiaTheme="minorHAnsi"/>
          <w:sz w:val="26"/>
          <w:szCs w:val="26"/>
        </w:rPr>
        <w:t xml:space="preserve">In deciding this or any other general rate increase case brought under Section 1308(d) of the Code, 66 Pa. C.S. § 1308(d), certain general principles always apply.  A public utility is entitled to an opportunity to earn a fair rate of return on the value of the property dedicated to public service.  </w:t>
      </w:r>
      <w:r w:rsidR="00446EA6" w:rsidRPr="0059512A">
        <w:rPr>
          <w:rFonts w:eastAsiaTheme="minorHAnsi"/>
          <w:i/>
          <w:sz w:val="26"/>
          <w:szCs w:val="26"/>
        </w:rPr>
        <w:t>Pa. PUC v.</w:t>
      </w:r>
      <w:r w:rsidR="00446EA6" w:rsidRPr="0059512A">
        <w:rPr>
          <w:rFonts w:eastAsiaTheme="minorHAnsi"/>
          <w:sz w:val="26"/>
          <w:szCs w:val="26"/>
        </w:rPr>
        <w:t xml:space="preserve"> </w:t>
      </w:r>
      <w:r w:rsidR="00446EA6" w:rsidRPr="0059512A">
        <w:rPr>
          <w:rFonts w:eastAsiaTheme="minorHAnsi"/>
          <w:i/>
          <w:sz w:val="26"/>
          <w:szCs w:val="26"/>
        </w:rPr>
        <w:t>Pennsylvania Gas and Water Co.</w:t>
      </w:r>
      <w:r w:rsidR="00446EA6" w:rsidRPr="0059512A">
        <w:rPr>
          <w:rFonts w:eastAsiaTheme="minorHAnsi"/>
          <w:sz w:val="26"/>
          <w:szCs w:val="26"/>
        </w:rPr>
        <w:t xml:space="preserve"> 341 A.2d 239, 251 (Pa. Cmwlth. 1975).  In determining a fair rate of return, the Commission is guided by the criteria provided by the United States Supreme Court in the landmark cases of </w:t>
      </w:r>
      <w:r w:rsidR="00446EA6" w:rsidRPr="0059512A">
        <w:rPr>
          <w:rFonts w:eastAsiaTheme="minorHAnsi"/>
          <w:i/>
          <w:sz w:val="26"/>
          <w:szCs w:val="26"/>
        </w:rPr>
        <w:t>Bluefield Water Works and Improvement Co. v. Public Service Comm’n of West Virginia</w:t>
      </w:r>
      <w:r w:rsidR="00446EA6" w:rsidRPr="0059512A">
        <w:rPr>
          <w:rFonts w:eastAsiaTheme="minorHAnsi"/>
          <w:sz w:val="26"/>
          <w:szCs w:val="26"/>
        </w:rPr>
        <w:t>, 262 U.S. 679 (1923)</w:t>
      </w:r>
      <w:r w:rsidR="00F148E4" w:rsidRPr="0059512A">
        <w:rPr>
          <w:rFonts w:eastAsiaTheme="minorHAnsi"/>
          <w:sz w:val="26"/>
          <w:szCs w:val="26"/>
        </w:rPr>
        <w:t xml:space="preserve"> (</w:t>
      </w:r>
      <w:r w:rsidR="00F148E4" w:rsidRPr="0059512A">
        <w:rPr>
          <w:rFonts w:eastAsiaTheme="minorHAnsi"/>
          <w:i/>
          <w:iCs/>
          <w:sz w:val="26"/>
          <w:szCs w:val="26"/>
        </w:rPr>
        <w:t>Bluefield</w:t>
      </w:r>
      <w:r w:rsidR="00F148E4" w:rsidRPr="0059512A">
        <w:rPr>
          <w:rFonts w:eastAsiaTheme="minorHAnsi"/>
          <w:sz w:val="26"/>
          <w:szCs w:val="26"/>
        </w:rPr>
        <w:t>)</w:t>
      </w:r>
      <w:r w:rsidR="00446EA6" w:rsidRPr="0059512A">
        <w:rPr>
          <w:rFonts w:eastAsiaTheme="minorHAnsi"/>
          <w:sz w:val="26"/>
          <w:szCs w:val="26"/>
        </w:rPr>
        <w:t xml:space="preserve"> and </w:t>
      </w:r>
      <w:r w:rsidR="00446EA6" w:rsidRPr="0059512A">
        <w:rPr>
          <w:rFonts w:eastAsiaTheme="minorHAnsi"/>
          <w:i/>
          <w:sz w:val="26"/>
          <w:szCs w:val="26"/>
        </w:rPr>
        <w:t>Federal Power Comm’n v. Hope Natural Gas Co.</w:t>
      </w:r>
      <w:r w:rsidR="00446EA6" w:rsidRPr="0059512A">
        <w:rPr>
          <w:rFonts w:eastAsiaTheme="minorHAnsi"/>
          <w:sz w:val="26"/>
          <w:szCs w:val="26"/>
        </w:rPr>
        <w:t xml:space="preserve">, 320 U.S. 591 (1944).  In </w:t>
      </w:r>
      <w:r w:rsidR="00446EA6" w:rsidRPr="0059512A">
        <w:rPr>
          <w:rFonts w:eastAsiaTheme="minorHAnsi"/>
          <w:i/>
          <w:sz w:val="26"/>
          <w:szCs w:val="26"/>
        </w:rPr>
        <w:t>Bluefield</w:t>
      </w:r>
      <w:r w:rsidR="00446EA6" w:rsidRPr="0059512A">
        <w:rPr>
          <w:rFonts w:eastAsiaTheme="minorHAnsi"/>
          <w:sz w:val="26"/>
          <w:szCs w:val="26"/>
        </w:rPr>
        <w:t>, the Court stated:</w:t>
      </w:r>
    </w:p>
    <w:p w14:paraId="19555601" w14:textId="77777777" w:rsidR="00446EA6" w:rsidRPr="0059512A" w:rsidRDefault="00446EA6" w:rsidP="0059512A">
      <w:pPr>
        <w:widowControl/>
        <w:tabs>
          <w:tab w:val="left" w:pos="-720"/>
        </w:tabs>
        <w:suppressAutoHyphens/>
        <w:spacing w:line="360" w:lineRule="auto"/>
        <w:ind w:firstLine="1440"/>
        <w:contextualSpacing/>
        <w:rPr>
          <w:rFonts w:eastAsiaTheme="minorHAnsi"/>
          <w:sz w:val="26"/>
          <w:szCs w:val="26"/>
        </w:rPr>
      </w:pPr>
    </w:p>
    <w:p w14:paraId="79D11E48" w14:textId="77777777" w:rsidR="00446EA6" w:rsidRPr="0059512A" w:rsidRDefault="00446EA6" w:rsidP="0059512A">
      <w:pPr>
        <w:keepNext/>
        <w:widowControl/>
        <w:ind w:left="1440" w:right="1440"/>
        <w:contextualSpacing/>
        <w:rPr>
          <w:rFonts w:eastAsiaTheme="minorHAnsi"/>
          <w:sz w:val="26"/>
          <w:szCs w:val="26"/>
        </w:rPr>
      </w:pPr>
      <w:r w:rsidRPr="0059512A">
        <w:rPr>
          <w:rFonts w:eastAsiaTheme="minorHAnsi"/>
          <w:sz w:val="26"/>
          <w:szCs w:val="26"/>
        </w:rPr>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too high or too low by changes </w:t>
      </w:r>
      <w:r w:rsidRPr="0059512A">
        <w:rPr>
          <w:rFonts w:eastAsiaTheme="minorHAnsi"/>
          <w:sz w:val="26"/>
          <w:szCs w:val="26"/>
        </w:rPr>
        <w:lastRenderedPageBreak/>
        <w:t>affecting opportunities for investment, the money market and business conditions generally.</w:t>
      </w:r>
    </w:p>
    <w:p w14:paraId="61AA9247" w14:textId="77777777" w:rsidR="00446EA6" w:rsidRPr="0059512A" w:rsidRDefault="00446EA6" w:rsidP="00417616">
      <w:pPr>
        <w:keepNext/>
        <w:widowControl/>
        <w:spacing w:line="360" w:lineRule="auto"/>
        <w:ind w:right="1440"/>
        <w:contextualSpacing/>
        <w:rPr>
          <w:rFonts w:eastAsiaTheme="minorHAnsi"/>
          <w:sz w:val="26"/>
          <w:szCs w:val="26"/>
        </w:rPr>
      </w:pPr>
    </w:p>
    <w:p w14:paraId="67BA9C3C" w14:textId="77777777" w:rsidR="00446EA6" w:rsidRPr="0059512A" w:rsidRDefault="00446EA6" w:rsidP="0059512A">
      <w:pPr>
        <w:keepNext/>
        <w:widowControl/>
        <w:spacing w:line="360" w:lineRule="auto"/>
        <w:ind w:right="1440"/>
        <w:contextualSpacing/>
        <w:rPr>
          <w:rFonts w:eastAsiaTheme="minorHAnsi"/>
          <w:sz w:val="26"/>
          <w:szCs w:val="26"/>
        </w:rPr>
      </w:pPr>
      <w:r w:rsidRPr="0059512A">
        <w:rPr>
          <w:rFonts w:eastAsiaTheme="minorHAnsi"/>
          <w:i/>
          <w:sz w:val="26"/>
          <w:szCs w:val="26"/>
        </w:rPr>
        <w:t>Bluefield</w:t>
      </w:r>
      <w:r w:rsidRPr="0059512A">
        <w:rPr>
          <w:rFonts w:eastAsiaTheme="minorHAnsi"/>
          <w:sz w:val="26"/>
          <w:szCs w:val="26"/>
        </w:rPr>
        <w:t>, 262 U.S. at 692-693.</w:t>
      </w:r>
    </w:p>
    <w:p w14:paraId="7D089FF5" w14:textId="77777777" w:rsidR="00446EA6" w:rsidRPr="0059512A" w:rsidRDefault="00446EA6" w:rsidP="0059512A">
      <w:pPr>
        <w:widowControl/>
        <w:tabs>
          <w:tab w:val="left" w:pos="-720"/>
        </w:tabs>
        <w:suppressAutoHyphens/>
        <w:spacing w:line="360" w:lineRule="auto"/>
        <w:contextualSpacing/>
        <w:rPr>
          <w:rFonts w:eastAsiaTheme="minorHAnsi"/>
          <w:sz w:val="26"/>
          <w:szCs w:val="26"/>
        </w:rPr>
      </w:pPr>
    </w:p>
    <w:p w14:paraId="4EED6500" w14:textId="77777777" w:rsidR="00446EA6" w:rsidRPr="0059512A" w:rsidRDefault="00446EA6" w:rsidP="0059512A">
      <w:pPr>
        <w:widowControl/>
        <w:spacing w:line="360" w:lineRule="auto"/>
        <w:ind w:firstLine="1440"/>
        <w:contextualSpacing/>
        <w:rPr>
          <w:rFonts w:eastAsiaTheme="minorHAnsi"/>
          <w:sz w:val="26"/>
          <w:szCs w:val="26"/>
        </w:rPr>
      </w:pPr>
      <w:r w:rsidRPr="0059512A">
        <w:rPr>
          <w:rFonts w:eastAsiaTheme="minorHAnsi"/>
          <w:sz w:val="26"/>
          <w:szCs w:val="26"/>
        </w:rPr>
        <w:t>The burden of proof to establish the justness and reasonableness of every element of a public utility’s rate increase request rests solely upon the public utility in all proceedings filed under Section 1308(d) of the Code.  The standard to be met by the public utility is set forth in Section 315(a) of the Code, 66 Pa. C.S. § 315(a), as follows:</w:t>
      </w:r>
    </w:p>
    <w:p w14:paraId="04489987" w14:textId="77777777" w:rsidR="00446EA6" w:rsidRPr="0059512A" w:rsidRDefault="00446EA6" w:rsidP="0059512A">
      <w:pPr>
        <w:widowControl/>
        <w:spacing w:line="360" w:lineRule="auto"/>
        <w:ind w:left="1440" w:right="1440"/>
        <w:contextualSpacing/>
        <w:rPr>
          <w:rFonts w:eastAsiaTheme="minorHAnsi"/>
          <w:b/>
          <w:sz w:val="26"/>
          <w:szCs w:val="26"/>
        </w:rPr>
      </w:pPr>
    </w:p>
    <w:p w14:paraId="7036926D" w14:textId="77777777" w:rsidR="00446EA6" w:rsidRPr="0059512A" w:rsidRDefault="00446EA6" w:rsidP="0059512A">
      <w:pPr>
        <w:keepNext/>
        <w:keepLines/>
        <w:widowControl/>
        <w:ind w:left="1440" w:right="1440"/>
        <w:contextualSpacing/>
        <w:rPr>
          <w:rFonts w:eastAsiaTheme="minorHAnsi"/>
          <w:sz w:val="26"/>
          <w:szCs w:val="26"/>
        </w:rPr>
      </w:pPr>
      <w:r w:rsidRPr="0059512A">
        <w:rPr>
          <w:rFonts w:eastAsiaTheme="minorHAnsi"/>
          <w:b/>
          <w:sz w:val="26"/>
          <w:szCs w:val="26"/>
        </w:rPr>
        <w:t>Reasonableness of rates.</w:t>
      </w:r>
      <w:r w:rsidRPr="0059512A">
        <w:rPr>
          <w:rFonts w:eastAsiaTheme="minorHAnsi"/>
          <w:sz w:val="26"/>
          <w:szCs w:val="26"/>
        </w:rPr>
        <w:t xml:space="preserve"> – 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w:t>
      </w:r>
    </w:p>
    <w:p w14:paraId="789C5D40" w14:textId="77777777" w:rsidR="00446EA6" w:rsidRPr="0059512A" w:rsidRDefault="00446EA6" w:rsidP="0059512A">
      <w:pPr>
        <w:keepNext/>
        <w:keepLines/>
        <w:widowControl/>
        <w:ind w:left="1440" w:right="1440"/>
        <w:contextualSpacing/>
        <w:rPr>
          <w:rFonts w:eastAsiaTheme="minorHAnsi"/>
          <w:sz w:val="26"/>
          <w:szCs w:val="26"/>
        </w:rPr>
      </w:pPr>
    </w:p>
    <w:p w14:paraId="21B2519E" w14:textId="77777777" w:rsidR="00446EA6" w:rsidRPr="0059512A" w:rsidRDefault="00446EA6" w:rsidP="0059512A">
      <w:pPr>
        <w:keepNext/>
        <w:keepLines/>
        <w:widowControl/>
        <w:ind w:left="1440" w:right="1440"/>
        <w:contextualSpacing/>
        <w:rPr>
          <w:rFonts w:eastAsiaTheme="minorHAnsi"/>
          <w:sz w:val="26"/>
          <w:szCs w:val="26"/>
        </w:rPr>
      </w:pPr>
    </w:p>
    <w:p w14:paraId="50F1ED7E" w14:textId="77777777" w:rsidR="00446EA6" w:rsidRPr="0059512A" w:rsidRDefault="00446EA6" w:rsidP="0059512A">
      <w:pPr>
        <w:widowControl/>
        <w:spacing w:line="360" w:lineRule="auto"/>
        <w:ind w:firstLine="1440"/>
        <w:contextualSpacing/>
        <w:rPr>
          <w:rFonts w:eastAsiaTheme="minorHAnsi"/>
          <w:sz w:val="26"/>
          <w:szCs w:val="26"/>
        </w:rPr>
      </w:pPr>
      <w:r w:rsidRPr="0059512A">
        <w:rPr>
          <w:rFonts w:eastAsiaTheme="minorHAnsi"/>
          <w:sz w:val="26"/>
          <w:szCs w:val="26"/>
        </w:rPr>
        <w:t>In reviewing Section 315(a) of the Code, the Pennsylvania Commonwealth Court interpreted a public utility’s burden of proof in a rate proceeding as follows:</w:t>
      </w:r>
    </w:p>
    <w:p w14:paraId="6C30E578" w14:textId="77777777" w:rsidR="00446EA6" w:rsidRPr="0059512A" w:rsidRDefault="00446EA6" w:rsidP="0059512A">
      <w:pPr>
        <w:widowControl/>
        <w:spacing w:line="360" w:lineRule="auto"/>
        <w:ind w:firstLine="1440"/>
        <w:contextualSpacing/>
        <w:rPr>
          <w:rFonts w:eastAsiaTheme="minorHAnsi"/>
          <w:sz w:val="26"/>
          <w:szCs w:val="26"/>
        </w:rPr>
      </w:pPr>
    </w:p>
    <w:p w14:paraId="7329769D" w14:textId="385EC3FE" w:rsidR="00446EA6" w:rsidRPr="0059512A" w:rsidRDefault="00446EA6" w:rsidP="00417616">
      <w:pPr>
        <w:widowControl/>
        <w:ind w:left="1440" w:right="1296"/>
        <w:contextualSpacing/>
        <w:rPr>
          <w:rFonts w:eastAsiaTheme="minorHAnsi"/>
          <w:sz w:val="26"/>
          <w:szCs w:val="26"/>
        </w:rPr>
      </w:pPr>
      <w:r w:rsidRPr="0059512A">
        <w:rPr>
          <w:rFonts w:eastAsiaTheme="minorHAnsi"/>
          <w:sz w:val="26"/>
          <w:szCs w:val="26"/>
        </w:rPr>
        <w:t xml:space="preserve">Section 315(a) of the Public Utility Code, 66 Pa. C.S. § 315(a), places the burden of proving the justness and reasonableness of a proposed rate hike squarely on the public utility.  </w:t>
      </w:r>
      <w:r w:rsidRPr="0059512A">
        <w:rPr>
          <w:rFonts w:eastAsiaTheme="minorHAnsi"/>
          <w:i/>
          <w:sz w:val="26"/>
          <w:szCs w:val="26"/>
        </w:rPr>
        <w:t>It is well-established that the evidence adduced by a utility to meet this burden must be substantial</w:t>
      </w:r>
      <w:r w:rsidRPr="0059512A">
        <w:rPr>
          <w:rFonts w:eastAsiaTheme="minorHAnsi"/>
          <w:sz w:val="26"/>
          <w:szCs w:val="26"/>
        </w:rPr>
        <w:t>.</w:t>
      </w:r>
    </w:p>
    <w:p w14:paraId="18B8682A" w14:textId="77777777" w:rsidR="00446EA6" w:rsidRPr="0059512A" w:rsidRDefault="00446EA6" w:rsidP="00417616">
      <w:pPr>
        <w:widowControl/>
        <w:spacing w:line="360" w:lineRule="auto"/>
        <w:ind w:left="1440" w:right="1296"/>
        <w:contextualSpacing/>
        <w:rPr>
          <w:rFonts w:eastAsiaTheme="minorHAnsi"/>
          <w:sz w:val="26"/>
          <w:szCs w:val="26"/>
        </w:rPr>
      </w:pPr>
    </w:p>
    <w:p w14:paraId="7580C1EF" w14:textId="77777777" w:rsidR="00446EA6" w:rsidRPr="0059512A" w:rsidRDefault="00446EA6" w:rsidP="0059512A">
      <w:pPr>
        <w:widowControl/>
        <w:contextualSpacing/>
        <w:rPr>
          <w:rFonts w:eastAsiaTheme="minorHAnsi"/>
          <w:sz w:val="26"/>
          <w:szCs w:val="26"/>
        </w:rPr>
      </w:pPr>
      <w:r w:rsidRPr="0059512A">
        <w:rPr>
          <w:rFonts w:eastAsiaTheme="minorHAnsi"/>
          <w:i/>
          <w:sz w:val="26"/>
          <w:szCs w:val="26"/>
        </w:rPr>
        <w:t>Lower Frederick Twp. Water Co. v. Pa. PUC</w:t>
      </w:r>
      <w:r w:rsidRPr="0059512A">
        <w:rPr>
          <w:rFonts w:eastAsiaTheme="minorHAnsi"/>
          <w:sz w:val="26"/>
          <w:szCs w:val="26"/>
        </w:rPr>
        <w:t xml:space="preserve">, 409 A.2d 505, 507 (Pa. Cmwlth. 1980) (emphasis added).  </w:t>
      </w:r>
      <w:r w:rsidRPr="0059512A">
        <w:rPr>
          <w:rFonts w:eastAsiaTheme="minorHAnsi"/>
          <w:i/>
          <w:sz w:val="26"/>
          <w:szCs w:val="26"/>
        </w:rPr>
        <w:t>See also</w:t>
      </w:r>
      <w:r w:rsidRPr="0059512A">
        <w:rPr>
          <w:rFonts w:eastAsiaTheme="minorHAnsi"/>
          <w:sz w:val="26"/>
          <w:szCs w:val="26"/>
        </w:rPr>
        <w:t xml:space="preserve">, </w:t>
      </w:r>
      <w:r w:rsidRPr="0059512A">
        <w:rPr>
          <w:rFonts w:eastAsiaTheme="minorHAnsi"/>
          <w:i/>
          <w:sz w:val="26"/>
          <w:szCs w:val="26"/>
        </w:rPr>
        <w:t>Brockway Glass Co. v. Pa. PUC</w:t>
      </w:r>
      <w:r w:rsidRPr="0059512A">
        <w:rPr>
          <w:rFonts w:eastAsiaTheme="minorHAnsi"/>
          <w:sz w:val="26"/>
          <w:szCs w:val="26"/>
        </w:rPr>
        <w:t>, 437 A.2d 1067 (Pa. Cmwlth. 1981).</w:t>
      </w:r>
    </w:p>
    <w:p w14:paraId="679CF43E" w14:textId="77777777" w:rsidR="00446EA6" w:rsidRPr="0059512A" w:rsidRDefault="00446EA6" w:rsidP="00417616">
      <w:pPr>
        <w:widowControl/>
        <w:spacing w:line="480" w:lineRule="auto"/>
        <w:contextualSpacing/>
        <w:rPr>
          <w:rFonts w:eastAsiaTheme="minorHAnsi"/>
          <w:sz w:val="26"/>
          <w:szCs w:val="26"/>
        </w:rPr>
      </w:pPr>
    </w:p>
    <w:p w14:paraId="0B52E9A2" w14:textId="77777777" w:rsidR="00446EA6" w:rsidRPr="0059512A" w:rsidRDefault="00446EA6" w:rsidP="0059512A">
      <w:pPr>
        <w:widowControl/>
        <w:spacing w:line="360" w:lineRule="auto"/>
        <w:ind w:firstLine="1440"/>
        <w:contextualSpacing/>
        <w:rPr>
          <w:rFonts w:eastAsiaTheme="minorHAnsi"/>
          <w:sz w:val="26"/>
          <w:szCs w:val="26"/>
        </w:rPr>
      </w:pPr>
      <w:r w:rsidRPr="0059512A">
        <w:rPr>
          <w:rFonts w:eastAsiaTheme="minorHAnsi"/>
          <w:sz w:val="26"/>
          <w:szCs w:val="26"/>
        </w:rPr>
        <w:t xml:space="preserve">In general rate increase proceedings, it is well established that the burden of proof does not shift to parties challenging a requested rate increase.  Rather, the utility’s burden of establishing the justness and reasonableness of every component of its rate </w:t>
      </w:r>
      <w:r w:rsidRPr="0059512A">
        <w:rPr>
          <w:rFonts w:eastAsiaTheme="minorHAnsi"/>
          <w:sz w:val="26"/>
          <w:szCs w:val="26"/>
        </w:rPr>
        <w:lastRenderedPageBreak/>
        <w:t>request is an affirmative one, and that burden remains with the public utility throughout the course of the rate proceeding.  There is no similar burden placed on parties to justify a proposed adjustment to the Company’s filing.  The Pennsylvania Supreme Court has held:</w:t>
      </w:r>
    </w:p>
    <w:p w14:paraId="06D9B00A" w14:textId="77777777" w:rsidR="00446EA6" w:rsidRPr="0059512A" w:rsidRDefault="00446EA6" w:rsidP="002B795C">
      <w:pPr>
        <w:widowControl/>
        <w:ind w:firstLine="1440"/>
        <w:contextualSpacing/>
        <w:rPr>
          <w:rFonts w:eastAsiaTheme="minorHAnsi"/>
          <w:sz w:val="26"/>
          <w:szCs w:val="26"/>
        </w:rPr>
      </w:pPr>
    </w:p>
    <w:p w14:paraId="68432E58" w14:textId="77777777" w:rsidR="00446EA6" w:rsidRPr="0059512A" w:rsidRDefault="00446EA6" w:rsidP="0059512A">
      <w:pPr>
        <w:widowControl/>
        <w:ind w:left="1440" w:right="1296"/>
        <w:contextualSpacing/>
        <w:rPr>
          <w:rFonts w:eastAsiaTheme="minorHAnsi"/>
          <w:sz w:val="26"/>
          <w:szCs w:val="26"/>
        </w:rPr>
      </w:pPr>
      <w:r w:rsidRPr="0059512A">
        <w:rPr>
          <w:rFonts w:eastAsiaTheme="minorHAnsi"/>
          <w:sz w:val="26"/>
          <w:szCs w:val="26"/>
        </w:rPr>
        <w:t xml:space="preserve">[T]he appellants did not have the burden of proving that the plant additions were improper, unnecessary or too costly; on the contrary, that burden is, by statute, on the utility to </w:t>
      </w:r>
    </w:p>
    <w:p w14:paraId="1E9CD576" w14:textId="19FD7F94" w:rsidR="00446EA6" w:rsidRPr="0059512A" w:rsidRDefault="00446EA6" w:rsidP="00417616">
      <w:pPr>
        <w:keepNext/>
        <w:keepLines/>
        <w:widowControl/>
        <w:ind w:left="1440" w:right="1296"/>
        <w:contextualSpacing/>
        <w:rPr>
          <w:rFonts w:eastAsiaTheme="minorHAnsi"/>
          <w:sz w:val="26"/>
          <w:szCs w:val="26"/>
        </w:rPr>
      </w:pPr>
      <w:r w:rsidRPr="0059512A">
        <w:rPr>
          <w:rFonts w:eastAsiaTheme="minorHAnsi"/>
          <w:sz w:val="26"/>
          <w:szCs w:val="26"/>
        </w:rPr>
        <w:t>demonstrate the reasonable necessity and cost of the installations, and that is the burden which the utility patently failed to carry.</w:t>
      </w:r>
    </w:p>
    <w:p w14:paraId="01B5C9A4" w14:textId="77777777" w:rsidR="00446EA6" w:rsidRPr="0059512A" w:rsidRDefault="00446EA6" w:rsidP="00417616">
      <w:pPr>
        <w:keepNext/>
        <w:keepLines/>
        <w:widowControl/>
        <w:spacing w:line="360" w:lineRule="auto"/>
        <w:ind w:left="1440" w:right="1296"/>
        <w:contextualSpacing/>
        <w:rPr>
          <w:rFonts w:eastAsiaTheme="minorHAnsi"/>
          <w:sz w:val="26"/>
          <w:szCs w:val="26"/>
        </w:rPr>
      </w:pPr>
    </w:p>
    <w:p w14:paraId="36054DC7" w14:textId="77777777" w:rsidR="00446EA6" w:rsidRPr="0059512A" w:rsidRDefault="00446EA6" w:rsidP="0059512A">
      <w:pPr>
        <w:widowControl/>
        <w:spacing w:line="360" w:lineRule="auto"/>
        <w:ind w:right="1440"/>
        <w:contextualSpacing/>
        <w:rPr>
          <w:rFonts w:eastAsiaTheme="minorHAnsi"/>
          <w:sz w:val="26"/>
          <w:szCs w:val="26"/>
        </w:rPr>
      </w:pPr>
      <w:r w:rsidRPr="0059512A">
        <w:rPr>
          <w:rFonts w:eastAsiaTheme="minorHAnsi"/>
          <w:i/>
          <w:sz w:val="26"/>
          <w:szCs w:val="26"/>
        </w:rPr>
        <w:t>Berner v. Pa. PUC</w:t>
      </w:r>
      <w:r w:rsidRPr="0059512A">
        <w:rPr>
          <w:rFonts w:eastAsiaTheme="minorHAnsi"/>
          <w:sz w:val="26"/>
          <w:szCs w:val="26"/>
        </w:rPr>
        <w:t>, 382 Pa. 622, 631, 116 A.2d 738, 744 (1955).</w:t>
      </w:r>
    </w:p>
    <w:p w14:paraId="0485A3CA" w14:textId="77777777" w:rsidR="00446EA6" w:rsidRPr="0059512A" w:rsidRDefault="00446EA6" w:rsidP="0059512A">
      <w:pPr>
        <w:widowControl/>
        <w:spacing w:line="360" w:lineRule="auto"/>
        <w:ind w:right="1440"/>
        <w:contextualSpacing/>
        <w:rPr>
          <w:rFonts w:eastAsiaTheme="minorHAnsi"/>
          <w:sz w:val="26"/>
          <w:szCs w:val="26"/>
        </w:rPr>
      </w:pPr>
    </w:p>
    <w:p w14:paraId="15E9345B" w14:textId="77777777" w:rsidR="00446EA6" w:rsidRPr="0059512A" w:rsidRDefault="00446EA6" w:rsidP="0059512A">
      <w:pPr>
        <w:widowControl/>
        <w:tabs>
          <w:tab w:val="left" w:pos="-720"/>
        </w:tabs>
        <w:suppressAutoHyphens/>
        <w:spacing w:line="360" w:lineRule="auto"/>
        <w:ind w:firstLine="1440"/>
        <w:contextualSpacing/>
        <w:rPr>
          <w:rFonts w:eastAsiaTheme="minorHAnsi"/>
          <w:sz w:val="26"/>
          <w:szCs w:val="26"/>
        </w:rPr>
      </w:pPr>
      <w:r w:rsidRPr="0059512A">
        <w:rPr>
          <w:rFonts w:eastAsiaTheme="minorHAnsi"/>
          <w:sz w:val="26"/>
          <w:szCs w:val="26"/>
        </w:rPr>
        <w:t>This does not mean, however, that in proving that its proposed rates are just and reasonable, a public utility must affirmatively defend every claim it has made in its filing, even those which no other party has questioned.  As the Pennsylvania Commonwealth Court has held:</w:t>
      </w:r>
    </w:p>
    <w:p w14:paraId="2E8A54D6" w14:textId="77777777" w:rsidR="00446EA6" w:rsidRPr="0059512A" w:rsidRDefault="00446EA6" w:rsidP="002B795C">
      <w:pPr>
        <w:widowControl/>
        <w:ind w:left="1440" w:right="1296"/>
        <w:contextualSpacing/>
        <w:rPr>
          <w:rFonts w:eastAsiaTheme="minorHAnsi"/>
          <w:sz w:val="26"/>
          <w:szCs w:val="26"/>
        </w:rPr>
      </w:pPr>
    </w:p>
    <w:p w14:paraId="7955D70F" w14:textId="3D910417" w:rsidR="00446EA6" w:rsidRPr="0059512A" w:rsidRDefault="00446EA6" w:rsidP="00417616">
      <w:pPr>
        <w:widowControl/>
        <w:ind w:left="1440" w:right="1296"/>
        <w:contextualSpacing/>
        <w:rPr>
          <w:rFonts w:eastAsiaTheme="minorHAnsi"/>
          <w:sz w:val="26"/>
          <w:szCs w:val="26"/>
        </w:rPr>
      </w:pPr>
      <w:r w:rsidRPr="0059512A">
        <w:rPr>
          <w:rFonts w:eastAsiaTheme="minorHAnsi"/>
          <w:sz w:val="26"/>
          <w:szCs w:val="26"/>
        </w:rPr>
        <w:t>While it is axiomatic that a utility has the burden of proving the justness and reasonableness of its proposed rates, it cannot be called upon to account for every action absent prior notice that such action is to be challenged.</w:t>
      </w:r>
    </w:p>
    <w:p w14:paraId="6D285F72" w14:textId="77777777" w:rsidR="00446EA6" w:rsidRPr="0059512A" w:rsidRDefault="00446EA6" w:rsidP="00417616">
      <w:pPr>
        <w:widowControl/>
        <w:spacing w:line="360" w:lineRule="auto"/>
        <w:ind w:left="1440" w:right="1296"/>
        <w:contextualSpacing/>
        <w:rPr>
          <w:rFonts w:eastAsiaTheme="minorHAnsi"/>
          <w:sz w:val="26"/>
          <w:szCs w:val="26"/>
        </w:rPr>
      </w:pPr>
    </w:p>
    <w:p w14:paraId="40E28223" w14:textId="77777777" w:rsidR="00446EA6" w:rsidRPr="0059512A" w:rsidRDefault="00446EA6" w:rsidP="0059512A">
      <w:pPr>
        <w:widowControl/>
        <w:contextualSpacing/>
        <w:rPr>
          <w:rFonts w:eastAsiaTheme="minorHAnsi"/>
          <w:sz w:val="26"/>
          <w:szCs w:val="26"/>
        </w:rPr>
      </w:pPr>
      <w:r w:rsidRPr="0059512A">
        <w:rPr>
          <w:rFonts w:eastAsiaTheme="minorHAnsi"/>
          <w:i/>
          <w:sz w:val="26"/>
          <w:szCs w:val="26"/>
        </w:rPr>
        <w:t>Allegheny Center Assocs. v. Pa. PUC</w:t>
      </w:r>
      <w:r w:rsidRPr="0059512A">
        <w:rPr>
          <w:rFonts w:eastAsiaTheme="minorHAnsi"/>
          <w:sz w:val="26"/>
          <w:szCs w:val="26"/>
        </w:rPr>
        <w:t xml:space="preserve">, 570 A.2d 149, 153 (Pa. Cmwlth. 1990) (citation omitted).  </w:t>
      </w:r>
      <w:r w:rsidRPr="0059512A">
        <w:rPr>
          <w:rFonts w:eastAsiaTheme="minorHAnsi"/>
          <w:i/>
          <w:sz w:val="26"/>
          <w:szCs w:val="26"/>
        </w:rPr>
        <w:t>See also, Pa. PUC v. Equitable Gas Co.</w:t>
      </w:r>
      <w:r w:rsidRPr="0059512A">
        <w:rPr>
          <w:rFonts w:eastAsiaTheme="minorHAnsi"/>
          <w:sz w:val="26"/>
          <w:szCs w:val="26"/>
        </w:rPr>
        <w:t>, 73 Pa. P.U.C. 310, 359-360 (1990).</w:t>
      </w:r>
    </w:p>
    <w:p w14:paraId="4CA75DF1" w14:textId="77777777" w:rsidR="00446EA6" w:rsidRPr="0059512A" w:rsidRDefault="00446EA6" w:rsidP="00417616">
      <w:pPr>
        <w:widowControl/>
        <w:spacing w:line="480" w:lineRule="auto"/>
        <w:ind w:firstLine="1440"/>
        <w:contextualSpacing/>
        <w:rPr>
          <w:rFonts w:eastAsiaTheme="minorHAnsi"/>
          <w:sz w:val="26"/>
          <w:szCs w:val="26"/>
        </w:rPr>
      </w:pPr>
    </w:p>
    <w:p w14:paraId="4BCBCF9A" w14:textId="77777777" w:rsidR="00446EA6" w:rsidRPr="0059512A" w:rsidRDefault="00446EA6" w:rsidP="0059512A">
      <w:pPr>
        <w:widowControl/>
        <w:spacing w:line="360" w:lineRule="auto"/>
        <w:ind w:firstLine="1440"/>
        <w:contextualSpacing/>
        <w:rPr>
          <w:rFonts w:eastAsiaTheme="minorHAnsi"/>
          <w:sz w:val="26"/>
          <w:szCs w:val="26"/>
        </w:rPr>
      </w:pPr>
      <w:r w:rsidRPr="0059512A">
        <w:rPr>
          <w:rFonts w:eastAsiaTheme="minorHAnsi"/>
          <w:sz w:val="26"/>
          <w:szCs w:val="26"/>
        </w:rPr>
        <w:t xml:space="preserve">Additionally, Section 315(a) of the Code, 66 Pa. C.S. § 315(a), cannot reasonably be read to place the burden of proof on the utility with respect to an issue the utility did not include in its general rate case filing and which, frequently, the utility would oppose.  Inasmuch as the Legislature is not presumed to intend an absurd result in </w:t>
      </w:r>
      <w:r w:rsidRPr="0059512A">
        <w:rPr>
          <w:rFonts w:eastAsiaTheme="minorHAnsi"/>
          <w:sz w:val="26"/>
          <w:szCs w:val="26"/>
        </w:rPr>
        <w:lastRenderedPageBreak/>
        <w:t>interpretation of its enactments,</w:t>
      </w:r>
      <w:r w:rsidRPr="0059512A">
        <w:rPr>
          <w:rFonts w:eastAsiaTheme="minorHAnsi"/>
          <w:sz w:val="26"/>
          <w:szCs w:val="26"/>
          <w:vertAlign w:val="superscript"/>
        </w:rPr>
        <w:footnoteReference w:id="6"/>
      </w:r>
      <w:r w:rsidRPr="0059512A">
        <w:rPr>
          <w:rFonts w:eastAsiaTheme="minorHAnsi"/>
          <w:sz w:val="26"/>
          <w:szCs w:val="26"/>
        </w:rPr>
        <w:t xml:space="preserve"> the burden of proof must be on the party who proposes a rate increase beyond that sought by the utility.  The mere rejection of evidence contrary to that adduced by the public utility is not an impermissible shifting of the evidentiary burden.  </w:t>
      </w:r>
      <w:r w:rsidRPr="0059512A">
        <w:rPr>
          <w:rFonts w:eastAsiaTheme="minorHAnsi"/>
          <w:i/>
          <w:sz w:val="26"/>
          <w:szCs w:val="26"/>
        </w:rPr>
        <w:t>United States Steel Corp. v. Pa. PUC</w:t>
      </w:r>
      <w:r w:rsidRPr="0059512A">
        <w:rPr>
          <w:rFonts w:eastAsiaTheme="minorHAnsi"/>
          <w:sz w:val="26"/>
          <w:szCs w:val="26"/>
        </w:rPr>
        <w:t>, 456 A.2d 686 (Pa. Cmwlth. 1983).</w:t>
      </w:r>
    </w:p>
    <w:p w14:paraId="64E813BF" w14:textId="77777777" w:rsidR="00446EA6" w:rsidRPr="0059512A" w:rsidRDefault="00446EA6" w:rsidP="0059512A">
      <w:pPr>
        <w:widowControl/>
        <w:tabs>
          <w:tab w:val="left" w:pos="-720"/>
        </w:tabs>
        <w:suppressAutoHyphens/>
        <w:spacing w:line="360" w:lineRule="auto"/>
        <w:ind w:firstLine="1440"/>
        <w:contextualSpacing/>
        <w:rPr>
          <w:rFonts w:eastAsiaTheme="minorHAnsi"/>
          <w:sz w:val="26"/>
          <w:szCs w:val="26"/>
        </w:rPr>
      </w:pPr>
    </w:p>
    <w:p w14:paraId="364A6732" w14:textId="77777777" w:rsidR="00446EA6" w:rsidRPr="0059512A" w:rsidRDefault="00446EA6" w:rsidP="0059512A">
      <w:pPr>
        <w:widowControl/>
        <w:tabs>
          <w:tab w:val="left" w:pos="-720"/>
        </w:tabs>
        <w:suppressAutoHyphens/>
        <w:spacing w:line="360" w:lineRule="auto"/>
        <w:ind w:firstLine="1440"/>
        <w:contextualSpacing/>
        <w:rPr>
          <w:rFonts w:eastAsiaTheme="minorHAnsi"/>
          <w:sz w:val="26"/>
          <w:szCs w:val="26"/>
        </w:rPr>
      </w:pPr>
      <w:r w:rsidRPr="0059512A">
        <w:rPr>
          <w:rFonts w:eastAsiaTheme="minorHAnsi"/>
          <w:sz w:val="26"/>
          <w:szCs w:val="26"/>
        </w:rPr>
        <w:t xml:space="preserve">In analyzing a proposed general rate increase, the Commission determines a rate of return to be applied to a rate base measured by the aggregate value of all the utility’s property used and useful in the public service.  The Commission determines a proper rate of return by calculating the utility’s capital structure and the cost of the different types of capital during the period in issue.  The Commission is granted wide discretion, because of its administrative expertise, in determining the cost of capital.  </w:t>
      </w:r>
      <w:r w:rsidRPr="0059512A">
        <w:rPr>
          <w:rFonts w:eastAsiaTheme="minorHAnsi"/>
          <w:i/>
          <w:sz w:val="26"/>
          <w:szCs w:val="26"/>
        </w:rPr>
        <w:t>Equitable Gas Co. v. Pa. PUC</w:t>
      </w:r>
      <w:r w:rsidRPr="0059512A">
        <w:rPr>
          <w:rFonts w:eastAsiaTheme="minorHAnsi"/>
          <w:sz w:val="26"/>
          <w:szCs w:val="26"/>
        </w:rPr>
        <w:t>, 405 A.2d 1055, 1059 (Pa. Cmwlth. 1979) (determination of cost of capital is basically a matter of judgment which should be left to the regulatory agency and not disturbed absent an abuse of discretion).</w:t>
      </w:r>
    </w:p>
    <w:p w14:paraId="5F65B6B7" w14:textId="77777777" w:rsidR="00446EA6" w:rsidRPr="0059512A" w:rsidRDefault="00446EA6" w:rsidP="0059512A">
      <w:pPr>
        <w:widowControl/>
        <w:tabs>
          <w:tab w:val="left" w:pos="-720"/>
        </w:tabs>
        <w:suppressAutoHyphens/>
        <w:spacing w:line="360" w:lineRule="auto"/>
        <w:ind w:firstLine="1440"/>
        <w:contextualSpacing/>
        <w:rPr>
          <w:rFonts w:eastAsiaTheme="minorHAnsi"/>
          <w:sz w:val="26"/>
          <w:szCs w:val="26"/>
        </w:rPr>
      </w:pPr>
    </w:p>
    <w:p w14:paraId="5C1F643E" w14:textId="71502E5B" w:rsidR="00446EA6" w:rsidRPr="0059512A" w:rsidRDefault="00446EA6" w:rsidP="0059512A">
      <w:pPr>
        <w:widowControl/>
        <w:spacing w:line="360" w:lineRule="auto"/>
        <w:ind w:firstLine="1440"/>
        <w:contextualSpacing/>
        <w:rPr>
          <w:rFonts w:eastAsiaTheme="minorHAnsi"/>
          <w:sz w:val="26"/>
          <w:szCs w:val="26"/>
        </w:rPr>
      </w:pPr>
      <w:r w:rsidRPr="0059512A">
        <w:rPr>
          <w:rFonts w:eastAsiaTheme="minorHAnsi"/>
          <w:sz w:val="26"/>
          <w:szCs w:val="26"/>
        </w:rPr>
        <w:t xml:space="preserve">As we proceed in our review of the various positions of the Parties in this proceeding, we are reminded that any </w:t>
      </w:r>
      <w:r w:rsidR="003B5865">
        <w:rPr>
          <w:rFonts w:eastAsiaTheme="minorHAnsi"/>
          <w:sz w:val="26"/>
          <w:szCs w:val="26"/>
        </w:rPr>
        <w:t xml:space="preserve">argument </w:t>
      </w:r>
      <w:r w:rsidRPr="0059512A">
        <w:rPr>
          <w:rFonts w:eastAsiaTheme="minorHAnsi"/>
          <w:sz w:val="26"/>
          <w:szCs w:val="26"/>
        </w:rPr>
        <w:t xml:space="preserve">or Exception that we do not specifically address </w:t>
      </w:r>
      <w:r w:rsidRPr="0059512A">
        <w:rPr>
          <w:sz w:val="26"/>
          <w:szCs w:val="26"/>
        </w:rPr>
        <w:t xml:space="preserve">shall be deemed to have been duly considered and denied without further discussion.  The Commission is not required to consider expressly or at length each contention or argument raised by the parties.  </w:t>
      </w:r>
      <w:hyperlink r:id="rId18" w:history="1">
        <w:r w:rsidRPr="0059512A">
          <w:rPr>
            <w:i/>
            <w:iCs/>
            <w:color w:val="000000"/>
            <w:sz w:val="26"/>
            <w:szCs w:val="26"/>
          </w:rPr>
          <w:t>Consolidated Rail Corp. v. Pa. PUC</w:t>
        </w:r>
        <w:r w:rsidRPr="00417616">
          <w:rPr>
            <w:color w:val="000000"/>
            <w:sz w:val="26"/>
            <w:szCs w:val="26"/>
          </w:rPr>
          <w:t>,</w:t>
        </w:r>
        <w:r w:rsidRPr="0059512A">
          <w:rPr>
            <w:i/>
            <w:iCs/>
            <w:color w:val="000000"/>
            <w:sz w:val="26"/>
            <w:szCs w:val="26"/>
          </w:rPr>
          <w:t xml:space="preserve"> </w:t>
        </w:r>
        <w:r w:rsidRPr="0059512A">
          <w:rPr>
            <w:color w:val="000000"/>
            <w:sz w:val="26"/>
            <w:szCs w:val="26"/>
          </w:rPr>
          <w:t>625</w:t>
        </w:r>
        <w:r w:rsidR="00417616">
          <w:rPr>
            <w:color w:val="000000"/>
            <w:sz w:val="26"/>
            <w:szCs w:val="26"/>
          </w:rPr>
          <w:t> </w:t>
        </w:r>
        <w:r w:rsidRPr="0059512A">
          <w:rPr>
            <w:color w:val="000000"/>
            <w:sz w:val="26"/>
            <w:szCs w:val="26"/>
          </w:rPr>
          <w:t>A.2d 741 (Pa. Cmwlth. 1993);</w:t>
        </w:r>
      </w:hyperlink>
      <w:r w:rsidRPr="0059512A">
        <w:rPr>
          <w:color w:val="000000"/>
          <w:sz w:val="26"/>
          <w:szCs w:val="26"/>
        </w:rPr>
        <w:t xml:space="preserve"> </w:t>
      </w:r>
      <w:r w:rsidRPr="0059512A">
        <w:rPr>
          <w:i/>
          <w:color w:val="000000"/>
          <w:sz w:val="26"/>
          <w:szCs w:val="26"/>
        </w:rPr>
        <w:t xml:space="preserve">also </w:t>
      </w:r>
      <w:r w:rsidRPr="0059512A">
        <w:rPr>
          <w:i/>
          <w:iCs/>
          <w:color w:val="000000"/>
          <w:sz w:val="26"/>
          <w:szCs w:val="26"/>
        </w:rPr>
        <w:t xml:space="preserve">see, generally, </w:t>
      </w:r>
      <w:hyperlink r:id="rId19" w:history="1">
        <w:r w:rsidRPr="0059512A">
          <w:rPr>
            <w:i/>
            <w:iCs/>
            <w:color w:val="000000"/>
            <w:sz w:val="26"/>
            <w:szCs w:val="26"/>
          </w:rPr>
          <w:t>University of Pennsylvania v. Pa.</w:t>
        </w:r>
        <w:r w:rsidR="00417616">
          <w:rPr>
            <w:i/>
            <w:iCs/>
            <w:color w:val="000000"/>
            <w:sz w:val="26"/>
            <w:szCs w:val="26"/>
          </w:rPr>
          <w:t> </w:t>
        </w:r>
        <w:r w:rsidRPr="0059512A">
          <w:rPr>
            <w:i/>
            <w:iCs/>
            <w:color w:val="000000"/>
            <w:sz w:val="26"/>
            <w:szCs w:val="26"/>
          </w:rPr>
          <w:t>PUC</w:t>
        </w:r>
        <w:r w:rsidRPr="0059512A">
          <w:rPr>
            <w:color w:val="000000"/>
            <w:sz w:val="26"/>
            <w:szCs w:val="26"/>
          </w:rPr>
          <w:t>, 485 A.2d 1217 (Pa. Cmwlth. 1984).</w:t>
        </w:r>
      </w:hyperlink>
    </w:p>
    <w:p w14:paraId="3B558F97" w14:textId="289A83EA" w:rsidR="00446EA6" w:rsidRPr="0059512A" w:rsidRDefault="00446EA6" w:rsidP="0059512A">
      <w:pPr>
        <w:widowControl/>
        <w:spacing w:line="360" w:lineRule="auto"/>
        <w:contextualSpacing/>
        <w:rPr>
          <w:b/>
          <w:sz w:val="26"/>
          <w:szCs w:val="26"/>
        </w:rPr>
      </w:pPr>
    </w:p>
    <w:p w14:paraId="2486B8F8" w14:textId="198FAB59" w:rsidR="002863A0" w:rsidRPr="0059512A" w:rsidRDefault="002863A0" w:rsidP="0059512A">
      <w:pPr>
        <w:pStyle w:val="Heading1"/>
        <w:keepNext/>
        <w:keepLines/>
        <w:rPr>
          <w:szCs w:val="26"/>
        </w:rPr>
      </w:pPr>
      <w:bookmarkStart w:id="9" w:name="_Toc38629255"/>
      <w:r w:rsidRPr="0059512A">
        <w:rPr>
          <w:szCs w:val="26"/>
        </w:rPr>
        <w:lastRenderedPageBreak/>
        <w:t>Review of the ALJs’ Uncontested Recommendations</w:t>
      </w:r>
      <w:bookmarkEnd w:id="9"/>
    </w:p>
    <w:p w14:paraId="4AC36CF1" w14:textId="06541EC5" w:rsidR="002863A0" w:rsidRPr="0059512A" w:rsidRDefault="002863A0" w:rsidP="0059512A">
      <w:pPr>
        <w:keepNext/>
        <w:keepLines/>
        <w:widowControl/>
        <w:spacing w:line="360" w:lineRule="auto"/>
        <w:contextualSpacing/>
        <w:rPr>
          <w:b/>
          <w:sz w:val="26"/>
          <w:szCs w:val="26"/>
        </w:rPr>
      </w:pPr>
    </w:p>
    <w:p w14:paraId="1A76F279" w14:textId="77777777" w:rsidR="000341DE" w:rsidRPr="0059512A" w:rsidRDefault="000341DE" w:rsidP="0059512A">
      <w:pPr>
        <w:pStyle w:val="Heading2"/>
        <w:widowControl/>
        <w:numPr>
          <w:ilvl w:val="0"/>
          <w:numId w:val="3"/>
        </w:numPr>
        <w:ind w:hanging="720"/>
      </w:pPr>
      <w:bookmarkStart w:id="10" w:name="_Toc38629256"/>
      <w:bookmarkStart w:id="11" w:name="_Hlk37136938"/>
      <w:r w:rsidRPr="0059512A">
        <w:t>Rate Base</w:t>
      </w:r>
      <w:bookmarkEnd w:id="10"/>
    </w:p>
    <w:bookmarkEnd w:id="11"/>
    <w:p w14:paraId="642D1AC5" w14:textId="647CD0A6" w:rsidR="000341DE" w:rsidRPr="0059512A" w:rsidRDefault="000341DE" w:rsidP="0059512A">
      <w:pPr>
        <w:keepNext/>
        <w:widowControl/>
        <w:spacing w:line="360" w:lineRule="auto"/>
        <w:contextualSpacing/>
        <w:rPr>
          <w:b/>
          <w:sz w:val="26"/>
          <w:szCs w:val="26"/>
        </w:rPr>
      </w:pPr>
    </w:p>
    <w:p w14:paraId="6A39D25F" w14:textId="147C5860" w:rsidR="000341DE" w:rsidRPr="0059512A" w:rsidRDefault="000341DE" w:rsidP="0059512A">
      <w:pPr>
        <w:pStyle w:val="Heading3"/>
        <w:keepNext/>
        <w:ind w:left="1440" w:hanging="720"/>
      </w:pPr>
      <w:bookmarkStart w:id="12" w:name="_Toc38629257"/>
      <w:bookmarkStart w:id="13" w:name="_Hlk37136673"/>
      <w:r w:rsidRPr="0059512A">
        <w:t>Materials and Supplies</w:t>
      </w:r>
      <w:bookmarkEnd w:id="12"/>
    </w:p>
    <w:bookmarkEnd w:id="13"/>
    <w:p w14:paraId="235D6C50" w14:textId="77777777" w:rsidR="000341DE" w:rsidRPr="0059512A" w:rsidRDefault="000341DE" w:rsidP="0059512A">
      <w:pPr>
        <w:keepNext/>
        <w:widowControl/>
        <w:spacing w:line="360" w:lineRule="auto"/>
        <w:contextualSpacing/>
        <w:rPr>
          <w:b/>
          <w:sz w:val="26"/>
          <w:szCs w:val="26"/>
        </w:rPr>
      </w:pPr>
    </w:p>
    <w:p w14:paraId="4A440803" w14:textId="5ECD5C32" w:rsidR="000341DE" w:rsidRPr="0059512A" w:rsidRDefault="000341DE" w:rsidP="0059512A">
      <w:pPr>
        <w:keepNext/>
        <w:widowControl/>
        <w:spacing w:line="360" w:lineRule="auto"/>
        <w:ind w:firstLine="1440"/>
        <w:contextualSpacing/>
        <w:rPr>
          <w:bCs/>
          <w:sz w:val="26"/>
          <w:szCs w:val="26"/>
        </w:rPr>
      </w:pPr>
      <w:r w:rsidRPr="0059512A">
        <w:rPr>
          <w:bCs/>
          <w:sz w:val="26"/>
          <w:szCs w:val="26"/>
        </w:rPr>
        <w:t xml:space="preserve">Regarding the issue of </w:t>
      </w:r>
      <w:r w:rsidR="00DB26BF" w:rsidRPr="0059512A">
        <w:rPr>
          <w:bCs/>
          <w:sz w:val="26"/>
          <w:szCs w:val="26"/>
        </w:rPr>
        <w:t>M</w:t>
      </w:r>
      <w:r w:rsidRPr="0059512A">
        <w:rPr>
          <w:bCs/>
          <w:sz w:val="26"/>
          <w:szCs w:val="26"/>
        </w:rPr>
        <w:t xml:space="preserve">aterials and </w:t>
      </w:r>
      <w:r w:rsidR="00DB26BF" w:rsidRPr="0059512A">
        <w:rPr>
          <w:bCs/>
          <w:sz w:val="26"/>
          <w:szCs w:val="26"/>
        </w:rPr>
        <w:t>S</w:t>
      </w:r>
      <w:r w:rsidRPr="0059512A">
        <w:rPr>
          <w:bCs/>
          <w:sz w:val="26"/>
          <w:szCs w:val="26"/>
        </w:rPr>
        <w:t>upplies, the Company agreed to a small Materials and Supplies adjustment proposed by the OCA and I&amp;E, reducing its claim by $4,209 from $178,276 to $174,067.  Citizens’ M.B. at 23; Citizens’ St. 1-R at 6.  Since no other Parties raised any objection or counterproposal, the ALJs concluded that the small adjustment was reasonable and recommended its approval.  R.D. at 10.</w:t>
      </w:r>
    </w:p>
    <w:p w14:paraId="6EF89C01" w14:textId="5285C933" w:rsidR="000341DE" w:rsidRPr="0059512A" w:rsidRDefault="000341DE" w:rsidP="0059512A">
      <w:pPr>
        <w:widowControl/>
        <w:spacing w:line="360" w:lineRule="auto"/>
        <w:ind w:firstLine="1440"/>
        <w:contextualSpacing/>
        <w:rPr>
          <w:bCs/>
          <w:sz w:val="26"/>
          <w:szCs w:val="26"/>
        </w:rPr>
      </w:pPr>
    </w:p>
    <w:p w14:paraId="19184B05" w14:textId="77777777" w:rsidR="000341DE" w:rsidRPr="0059512A" w:rsidRDefault="000341DE" w:rsidP="0059512A">
      <w:pPr>
        <w:widowControl/>
        <w:spacing w:line="360" w:lineRule="auto"/>
        <w:ind w:firstLine="1440"/>
        <w:contextualSpacing/>
        <w:rPr>
          <w:bCs/>
          <w:sz w:val="26"/>
          <w:szCs w:val="26"/>
        </w:rPr>
      </w:pPr>
      <w:r w:rsidRPr="0059512A">
        <w:rPr>
          <w:bCs/>
          <w:sz w:val="26"/>
          <w:szCs w:val="26"/>
        </w:rPr>
        <w:t>No Party filed Exceptions on this issue.  Finding the ALJs’ recommendation to be reasonable, we adopt it without further comment.  Accordingly, we shall reduce the claim for materials and supplies to $174,067.</w:t>
      </w:r>
    </w:p>
    <w:p w14:paraId="718486A9" w14:textId="77777777" w:rsidR="000341DE" w:rsidRPr="0059512A" w:rsidRDefault="000341DE" w:rsidP="0059512A">
      <w:pPr>
        <w:widowControl/>
        <w:spacing w:line="360" w:lineRule="auto"/>
        <w:ind w:firstLine="1440"/>
        <w:contextualSpacing/>
        <w:rPr>
          <w:bCs/>
          <w:sz w:val="26"/>
          <w:szCs w:val="26"/>
        </w:rPr>
      </w:pPr>
    </w:p>
    <w:p w14:paraId="515A2527" w14:textId="26652F24" w:rsidR="000341DE" w:rsidRPr="0059512A" w:rsidRDefault="000341DE" w:rsidP="0059512A">
      <w:pPr>
        <w:pStyle w:val="Heading3"/>
        <w:keepNext/>
        <w:ind w:left="1440" w:hanging="720"/>
      </w:pPr>
      <w:bookmarkStart w:id="14" w:name="_Toc38629258"/>
      <w:bookmarkStart w:id="15" w:name="_Hlk37136787"/>
      <w:r w:rsidRPr="0059512A">
        <w:t>Accrued Pension/OPEB Liability</w:t>
      </w:r>
      <w:bookmarkEnd w:id="14"/>
    </w:p>
    <w:bookmarkEnd w:id="15"/>
    <w:p w14:paraId="1FB477BF" w14:textId="42D7348C" w:rsidR="000341DE" w:rsidRPr="0059512A" w:rsidRDefault="000341DE" w:rsidP="0059512A">
      <w:pPr>
        <w:keepNext/>
        <w:widowControl/>
        <w:spacing w:line="360" w:lineRule="auto"/>
        <w:ind w:firstLine="1440"/>
        <w:contextualSpacing/>
        <w:rPr>
          <w:bCs/>
          <w:sz w:val="26"/>
          <w:szCs w:val="26"/>
        </w:rPr>
      </w:pPr>
    </w:p>
    <w:p w14:paraId="356F80BA" w14:textId="6FB89AAD" w:rsidR="001A2E48" w:rsidRPr="0059512A" w:rsidRDefault="001A2E48" w:rsidP="0059512A">
      <w:pPr>
        <w:keepNext/>
        <w:widowControl/>
        <w:spacing w:line="360" w:lineRule="auto"/>
        <w:ind w:firstLine="1440"/>
        <w:contextualSpacing/>
        <w:rPr>
          <w:bCs/>
          <w:sz w:val="26"/>
          <w:szCs w:val="26"/>
        </w:rPr>
      </w:pPr>
      <w:r w:rsidRPr="0059512A">
        <w:rPr>
          <w:bCs/>
          <w:sz w:val="26"/>
          <w:szCs w:val="26"/>
        </w:rPr>
        <w:t>The Company proposed a reduction to rate base for Accrued Pension / Other Post-Employment Benefits (OPEB) liability.  This reduction reflects the excess of amounts charged to expense over amounts paid.  Citizens’ M.B. at 23; Citizens’ St. 1 at</w:t>
      </w:r>
      <w:r w:rsidR="00417616">
        <w:rPr>
          <w:bCs/>
          <w:sz w:val="26"/>
          <w:szCs w:val="26"/>
        </w:rPr>
        <w:t> </w:t>
      </w:r>
      <w:r w:rsidRPr="0059512A">
        <w:rPr>
          <w:bCs/>
          <w:sz w:val="26"/>
          <w:szCs w:val="26"/>
        </w:rPr>
        <w:t>14.  Neither the OCA nor I&amp;E proposed any adjustments to the Company’s claim.  OCA St. 1, Sch. SLS-3; I&amp;E St. 3 at 6.  Since no other Parties raised any objection or counterproposal, the ALJs concluded that the small adjustment was reasonable and recommended its approval.  R.D. at 11.</w:t>
      </w:r>
    </w:p>
    <w:p w14:paraId="5507B1F4" w14:textId="2342C857" w:rsidR="000341DE" w:rsidRPr="0059512A" w:rsidRDefault="000341DE" w:rsidP="0059512A">
      <w:pPr>
        <w:widowControl/>
        <w:spacing w:line="360" w:lineRule="auto"/>
        <w:ind w:firstLine="1440"/>
        <w:contextualSpacing/>
        <w:rPr>
          <w:bCs/>
          <w:sz w:val="26"/>
          <w:szCs w:val="26"/>
        </w:rPr>
      </w:pPr>
    </w:p>
    <w:p w14:paraId="540C7E42" w14:textId="0DAB52C2" w:rsidR="000341DE" w:rsidRPr="0059512A" w:rsidRDefault="001A2E48" w:rsidP="0059512A">
      <w:pPr>
        <w:widowControl/>
        <w:spacing w:line="360" w:lineRule="auto"/>
        <w:ind w:firstLine="1440"/>
        <w:contextualSpacing/>
        <w:rPr>
          <w:bCs/>
          <w:sz w:val="26"/>
          <w:szCs w:val="26"/>
        </w:rPr>
      </w:pPr>
      <w:r w:rsidRPr="0059512A">
        <w:rPr>
          <w:bCs/>
          <w:sz w:val="26"/>
          <w:szCs w:val="26"/>
        </w:rPr>
        <w:t xml:space="preserve">No Party filed Exceptions on this issue.  Finding the ALJs’ recommendation to be reasonable, we adopt it without further comment.  Accordingly, </w:t>
      </w:r>
      <w:r w:rsidRPr="0059512A">
        <w:rPr>
          <w:bCs/>
          <w:sz w:val="26"/>
          <w:szCs w:val="26"/>
        </w:rPr>
        <w:lastRenderedPageBreak/>
        <w:t>we shall incorporate the Company’s Accrued Pension/OPEB Liability amount of $578,182 as a deduction from rate base.</w:t>
      </w:r>
    </w:p>
    <w:p w14:paraId="7C32C33E" w14:textId="4279101E" w:rsidR="001A2E48" w:rsidRPr="0059512A" w:rsidRDefault="001A2E48" w:rsidP="0059512A">
      <w:pPr>
        <w:widowControl/>
        <w:spacing w:line="360" w:lineRule="auto"/>
        <w:ind w:firstLine="1440"/>
        <w:contextualSpacing/>
        <w:rPr>
          <w:bCs/>
          <w:sz w:val="26"/>
          <w:szCs w:val="26"/>
        </w:rPr>
      </w:pPr>
    </w:p>
    <w:p w14:paraId="31CDC659" w14:textId="3179D6E7" w:rsidR="001A2E48" w:rsidRPr="0059512A" w:rsidRDefault="001A2E48" w:rsidP="0059512A">
      <w:pPr>
        <w:pStyle w:val="Heading3"/>
        <w:keepNext/>
        <w:ind w:left="1440" w:hanging="720"/>
      </w:pPr>
      <w:bookmarkStart w:id="16" w:name="_Toc38629259"/>
      <w:r w:rsidRPr="0059512A">
        <w:t>Customer Deposits</w:t>
      </w:r>
      <w:bookmarkEnd w:id="16"/>
    </w:p>
    <w:p w14:paraId="2A362859" w14:textId="7AB69C4B" w:rsidR="001A2E48" w:rsidRPr="0059512A" w:rsidRDefault="001A2E48" w:rsidP="0059512A">
      <w:pPr>
        <w:keepNext/>
        <w:widowControl/>
        <w:spacing w:line="360" w:lineRule="auto"/>
        <w:rPr>
          <w:sz w:val="26"/>
          <w:szCs w:val="26"/>
        </w:rPr>
      </w:pPr>
    </w:p>
    <w:p w14:paraId="4A96F1C4" w14:textId="0B5AC9AC" w:rsidR="001A2E48" w:rsidRPr="0059512A" w:rsidRDefault="001A2E48" w:rsidP="0059512A">
      <w:pPr>
        <w:keepNext/>
        <w:widowControl/>
        <w:spacing w:line="360" w:lineRule="auto"/>
        <w:ind w:firstLine="1440"/>
        <w:rPr>
          <w:sz w:val="26"/>
          <w:szCs w:val="26"/>
        </w:rPr>
      </w:pPr>
      <w:r w:rsidRPr="0059512A">
        <w:rPr>
          <w:sz w:val="26"/>
          <w:szCs w:val="26"/>
        </w:rPr>
        <w:t>Regarding the issue of reductions from rate base, the Company noted that the OCA proposed a $209 adjustment to Customer Deposits, which the Company accepted.  Citizens’ M.B. at 24; OCA St. 2 at 6; Citizens’ St. 1-R at 13.  Since no other Parties raised any objection or counterproposal, the ALJs concluded that the small adjustment was reasonable and should be approved.  R.D. at 13.</w:t>
      </w:r>
    </w:p>
    <w:p w14:paraId="34F77E96" w14:textId="15C015B0" w:rsidR="001A2E48" w:rsidRPr="0059512A" w:rsidRDefault="001A2E48" w:rsidP="0059512A">
      <w:pPr>
        <w:widowControl/>
        <w:spacing w:line="360" w:lineRule="auto"/>
        <w:ind w:firstLine="1440"/>
        <w:rPr>
          <w:sz w:val="26"/>
          <w:szCs w:val="26"/>
        </w:rPr>
      </w:pPr>
    </w:p>
    <w:p w14:paraId="56775564" w14:textId="29BFE23C" w:rsidR="001A2E48" w:rsidRPr="0059512A" w:rsidRDefault="001A2E48" w:rsidP="0059512A">
      <w:pPr>
        <w:widowControl/>
        <w:spacing w:line="360" w:lineRule="auto"/>
        <w:ind w:firstLine="1440"/>
        <w:rPr>
          <w:sz w:val="26"/>
          <w:szCs w:val="26"/>
        </w:rPr>
      </w:pPr>
      <w:r w:rsidRPr="0059512A">
        <w:rPr>
          <w:sz w:val="26"/>
          <w:szCs w:val="26"/>
        </w:rPr>
        <w:t>No Party filed Exceptions on this issue.  Finding the ALJs’ recommendation to be reasonable, we adopt it without further comment.  Accordingly, we shall incorporate the adjustment to Customer Deposits which reduces the rate base by</w:t>
      </w:r>
      <w:r w:rsidR="0036560B" w:rsidRPr="0059512A">
        <w:rPr>
          <w:sz w:val="26"/>
          <w:szCs w:val="26"/>
        </w:rPr>
        <w:t> </w:t>
      </w:r>
      <w:r w:rsidRPr="0059512A">
        <w:rPr>
          <w:sz w:val="26"/>
          <w:szCs w:val="26"/>
        </w:rPr>
        <w:t xml:space="preserve">$209.  </w:t>
      </w:r>
    </w:p>
    <w:p w14:paraId="1C548018" w14:textId="2153AFBC" w:rsidR="008A14F2" w:rsidRPr="0059512A" w:rsidRDefault="008A14F2" w:rsidP="0059512A">
      <w:pPr>
        <w:widowControl/>
        <w:spacing w:line="360" w:lineRule="auto"/>
        <w:rPr>
          <w:sz w:val="26"/>
          <w:szCs w:val="26"/>
        </w:rPr>
      </w:pPr>
    </w:p>
    <w:p w14:paraId="0185F6BF" w14:textId="77777777" w:rsidR="008A14F2" w:rsidRPr="0059512A" w:rsidRDefault="008A14F2" w:rsidP="0059512A">
      <w:pPr>
        <w:pStyle w:val="Heading3"/>
        <w:keepNext/>
        <w:ind w:left="1440" w:hanging="720"/>
        <w:rPr>
          <w:rFonts w:eastAsiaTheme="minorHAnsi"/>
        </w:rPr>
      </w:pPr>
      <w:bookmarkStart w:id="17" w:name="_Toc38629260"/>
      <w:r w:rsidRPr="0059512A">
        <w:t>ADIT and EDIT</w:t>
      </w:r>
      <w:bookmarkEnd w:id="17"/>
    </w:p>
    <w:p w14:paraId="0B57B2E4" w14:textId="77777777" w:rsidR="008A14F2" w:rsidRPr="0059512A" w:rsidRDefault="008A14F2" w:rsidP="0059512A">
      <w:pPr>
        <w:keepNext/>
        <w:widowControl/>
        <w:spacing w:line="360" w:lineRule="auto"/>
        <w:rPr>
          <w:rFonts w:eastAsiaTheme="minorHAnsi"/>
          <w:sz w:val="26"/>
          <w:szCs w:val="26"/>
        </w:rPr>
      </w:pPr>
    </w:p>
    <w:p w14:paraId="0DFD0981" w14:textId="22779BEC" w:rsidR="008A14F2" w:rsidRPr="0059512A" w:rsidRDefault="008A14F2" w:rsidP="0059512A">
      <w:pPr>
        <w:keepNext/>
        <w:widowControl/>
        <w:spacing w:line="360" w:lineRule="auto"/>
        <w:ind w:firstLine="1440"/>
        <w:rPr>
          <w:rFonts w:eastAsiaTheme="minorHAnsi"/>
          <w:sz w:val="26"/>
          <w:szCs w:val="26"/>
        </w:rPr>
      </w:pPr>
      <w:bookmarkStart w:id="18" w:name="_Hlk29355844"/>
      <w:r w:rsidRPr="0059512A">
        <w:rPr>
          <w:rFonts w:eastAsiaTheme="minorHAnsi"/>
          <w:sz w:val="26"/>
          <w:szCs w:val="26"/>
        </w:rPr>
        <w:t xml:space="preserve">The Company asserted that accumulated deferred income taxes (ADIT) addresses the difference between actual tax liability for accumulated depreciation paid by Citizens’ and the amount of tax expense for accumulated depreciation paid by ratepayers in the revenue requirement.  </w:t>
      </w:r>
      <w:bookmarkStart w:id="19" w:name="_Hlk29355906"/>
      <w:bookmarkEnd w:id="18"/>
      <w:r w:rsidRPr="0059512A">
        <w:rPr>
          <w:rFonts w:eastAsiaTheme="minorHAnsi"/>
          <w:sz w:val="26"/>
          <w:szCs w:val="26"/>
        </w:rPr>
        <w:t>In contrast, excess deferred income taxes (EDIT) directly addresses the benefit the Company received by taking depreciation expense for tax purposes while the Federal corporate tax rate was 3</w:t>
      </w:r>
      <w:r w:rsidR="003751E6" w:rsidRPr="0059512A">
        <w:rPr>
          <w:rFonts w:eastAsiaTheme="minorHAnsi"/>
          <w:sz w:val="26"/>
          <w:szCs w:val="26"/>
        </w:rPr>
        <w:t>5</w:t>
      </w:r>
      <w:r w:rsidRPr="0059512A">
        <w:rPr>
          <w:rFonts w:eastAsiaTheme="minorHAnsi"/>
          <w:sz w:val="26"/>
          <w:szCs w:val="26"/>
        </w:rPr>
        <w:t>% and the revaluation of EDIT as of December 31, 2017, when the corporate tax rate changed from 3</w:t>
      </w:r>
      <w:r w:rsidR="003751E6" w:rsidRPr="0059512A">
        <w:rPr>
          <w:rFonts w:eastAsiaTheme="minorHAnsi"/>
          <w:sz w:val="26"/>
          <w:szCs w:val="26"/>
        </w:rPr>
        <w:t>5</w:t>
      </w:r>
      <w:r w:rsidRPr="0059512A">
        <w:rPr>
          <w:rFonts w:eastAsiaTheme="minorHAnsi"/>
          <w:sz w:val="26"/>
          <w:szCs w:val="26"/>
        </w:rPr>
        <w:t>% to 21%.</w:t>
      </w:r>
      <w:r w:rsidR="003751E6" w:rsidRPr="0059512A">
        <w:rPr>
          <w:rStyle w:val="FootnoteReference"/>
          <w:rFonts w:eastAsiaTheme="minorHAnsi"/>
          <w:sz w:val="26"/>
          <w:szCs w:val="26"/>
        </w:rPr>
        <w:footnoteReference w:id="7"/>
      </w:r>
      <w:bookmarkEnd w:id="19"/>
      <w:r w:rsidR="00DB26BF" w:rsidRPr="0059512A">
        <w:rPr>
          <w:rFonts w:eastAsiaTheme="minorHAnsi"/>
          <w:sz w:val="26"/>
          <w:szCs w:val="26"/>
        </w:rPr>
        <w:t xml:space="preserve">  R.D. at 13</w:t>
      </w:r>
      <w:r w:rsidR="00417616">
        <w:rPr>
          <w:rFonts w:eastAsiaTheme="minorHAnsi"/>
          <w:sz w:val="26"/>
          <w:szCs w:val="26"/>
        </w:rPr>
        <w:noBreakHyphen/>
      </w:r>
      <w:r w:rsidR="00DB26BF" w:rsidRPr="0059512A">
        <w:rPr>
          <w:rFonts w:eastAsiaTheme="minorHAnsi"/>
          <w:sz w:val="26"/>
          <w:szCs w:val="26"/>
        </w:rPr>
        <w:t xml:space="preserve">14.  </w:t>
      </w:r>
      <w:r w:rsidRPr="0059512A">
        <w:rPr>
          <w:rFonts w:eastAsiaTheme="minorHAnsi"/>
          <w:sz w:val="26"/>
          <w:szCs w:val="26"/>
        </w:rPr>
        <w:t xml:space="preserve">The Company argued that because the EDIT is due to the one-time change in the </w:t>
      </w:r>
      <w:r w:rsidRPr="0059512A">
        <w:rPr>
          <w:rFonts w:eastAsiaTheme="minorHAnsi"/>
          <w:sz w:val="26"/>
          <w:szCs w:val="26"/>
        </w:rPr>
        <w:lastRenderedPageBreak/>
        <w:t xml:space="preserve">tax rate established through the Tax Cuts and Jobs Act of 2017 (TCJA), it will not change over time.  Citizens’ M.B. at 25; Citizens’ St. 1 at 13-14.  </w:t>
      </w:r>
    </w:p>
    <w:p w14:paraId="3F62635E" w14:textId="77777777" w:rsidR="008A14F2" w:rsidRPr="0059512A" w:rsidRDefault="008A14F2" w:rsidP="0059512A">
      <w:pPr>
        <w:widowControl/>
        <w:spacing w:line="360" w:lineRule="auto"/>
        <w:rPr>
          <w:rFonts w:eastAsiaTheme="minorHAnsi"/>
          <w:sz w:val="26"/>
          <w:szCs w:val="26"/>
        </w:rPr>
      </w:pPr>
    </w:p>
    <w:p w14:paraId="3C8AEE42" w14:textId="6A1C99EC" w:rsidR="008A14F2" w:rsidRPr="0059512A" w:rsidRDefault="008A14F2" w:rsidP="0059512A">
      <w:pPr>
        <w:widowControl/>
        <w:spacing w:line="360" w:lineRule="auto"/>
        <w:ind w:firstLine="1440"/>
        <w:rPr>
          <w:rFonts w:eastAsiaTheme="minorHAnsi"/>
          <w:sz w:val="26"/>
          <w:szCs w:val="26"/>
        </w:rPr>
      </w:pPr>
      <w:r w:rsidRPr="0059512A">
        <w:rPr>
          <w:rFonts w:eastAsiaTheme="minorHAnsi"/>
          <w:sz w:val="26"/>
          <w:szCs w:val="26"/>
        </w:rPr>
        <w:t>Citizens’ submitted that its claimed rate base includes a reduction for ADIT of $94,708 for the end of the FPFTY.  According to the Company, this amount is equal to the difference between accumulated depreciation based on Federal tax expense borne by ratepayers (</w:t>
      </w:r>
      <w:r w:rsidRPr="0059512A">
        <w:rPr>
          <w:rFonts w:eastAsiaTheme="minorHAnsi"/>
          <w:i/>
          <w:iCs/>
          <w:sz w:val="26"/>
          <w:szCs w:val="26"/>
        </w:rPr>
        <w:t>i.e.</w:t>
      </w:r>
      <w:r w:rsidRPr="0059512A">
        <w:rPr>
          <w:rFonts w:eastAsiaTheme="minorHAnsi"/>
          <w:sz w:val="26"/>
          <w:szCs w:val="26"/>
        </w:rPr>
        <w:t>, based on straight line method) and accumulated depreciation based on Citizens’ actual tax Federal tax expense (</w:t>
      </w:r>
      <w:r w:rsidRPr="0059512A">
        <w:rPr>
          <w:rFonts w:eastAsiaTheme="minorHAnsi"/>
          <w:i/>
          <w:iCs/>
          <w:sz w:val="26"/>
          <w:szCs w:val="26"/>
        </w:rPr>
        <w:t>i.e</w:t>
      </w:r>
      <w:r w:rsidRPr="0059512A">
        <w:rPr>
          <w:rFonts w:eastAsiaTheme="minorHAnsi"/>
          <w:sz w:val="26"/>
          <w:szCs w:val="26"/>
        </w:rPr>
        <w:t>., based on double declining balance method), times the current Federal income tax rate.  Citizens’ St. 1 at 13-14, Exh._(HSG-1), Sch. C1-6, lines 27-32 and line 6.</w:t>
      </w:r>
      <w:r w:rsidR="003751E6" w:rsidRPr="0059512A">
        <w:rPr>
          <w:rFonts w:eastAsiaTheme="minorHAnsi"/>
          <w:sz w:val="26"/>
          <w:szCs w:val="26"/>
        </w:rPr>
        <w:t xml:space="preserve"> </w:t>
      </w:r>
    </w:p>
    <w:p w14:paraId="38E31D0A" w14:textId="77777777" w:rsidR="008A14F2" w:rsidRPr="0059512A" w:rsidRDefault="008A14F2" w:rsidP="0059512A">
      <w:pPr>
        <w:widowControl/>
        <w:spacing w:line="360" w:lineRule="auto"/>
        <w:ind w:firstLine="720"/>
        <w:rPr>
          <w:rFonts w:eastAsiaTheme="minorHAnsi"/>
          <w:sz w:val="26"/>
          <w:szCs w:val="26"/>
        </w:rPr>
      </w:pPr>
    </w:p>
    <w:p w14:paraId="7BDDD1E9" w14:textId="2556B084" w:rsidR="008A14F2" w:rsidRPr="0059512A" w:rsidRDefault="008A14F2" w:rsidP="0059512A">
      <w:pPr>
        <w:widowControl/>
        <w:spacing w:line="360" w:lineRule="auto"/>
        <w:ind w:firstLine="1440"/>
        <w:rPr>
          <w:rFonts w:eastAsiaTheme="minorHAnsi"/>
          <w:sz w:val="26"/>
          <w:szCs w:val="26"/>
        </w:rPr>
      </w:pPr>
      <w:r w:rsidRPr="0059512A">
        <w:rPr>
          <w:rFonts w:eastAsiaTheme="minorHAnsi"/>
          <w:sz w:val="26"/>
          <w:szCs w:val="26"/>
        </w:rPr>
        <w:t xml:space="preserve">Citizens’ also asserted that the EDIT is calculated by taking the ADIT at December 31, 2017 (the initial effective date of Federal income tax rates under the TCJA), times the reduction in Federal income rates due to the TCJA.  The EDIT is computed on Schedule C1-6, lines 34-39 and carried up to Schedule C1-6, line 7.  </w:t>
      </w:r>
      <w:r w:rsidRPr="0059512A">
        <w:rPr>
          <w:rFonts w:eastAsiaTheme="minorHAnsi"/>
          <w:i/>
          <w:iCs/>
          <w:sz w:val="26"/>
          <w:szCs w:val="26"/>
        </w:rPr>
        <w:t>Id</w:t>
      </w:r>
      <w:r w:rsidRPr="0059512A">
        <w:rPr>
          <w:rFonts w:eastAsiaTheme="minorHAnsi"/>
          <w:sz w:val="26"/>
          <w:szCs w:val="26"/>
        </w:rPr>
        <w:t xml:space="preserve">.  The Company is amortizing the balance over the estimated remaining book life of the assets – ten years.  </w:t>
      </w:r>
      <w:r w:rsidRPr="0059512A">
        <w:rPr>
          <w:rFonts w:eastAsiaTheme="minorHAnsi"/>
          <w:i/>
          <w:iCs/>
          <w:sz w:val="26"/>
          <w:szCs w:val="26"/>
        </w:rPr>
        <w:t>Id</w:t>
      </w:r>
      <w:r w:rsidRPr="0059512A">
        <w:rPr>
          <w:rFonts w:eastAsiaTheme="minorHAnsi"/>
          <w:sz w:val="26"/>
          <w:szCs w:val="26"/>
        </w:rPr>
        <w:t>.  According to the Company, the EDIT balance included in rate base declines each year during this ten-year period and the annual EDIT accretion (Schedule C1-6, line 40) is carried forward to reduce Income tax expense (Schedule C1</w:t>
      </w:r>
      <w:r w:rsidR="00417616">
        <w:rPr>
          <w:rFonts w:eastAsiaTheme="minorHAnsi"/>
          <w:sz w:val="26"/>
          <w:szCs w:val="26"/>
        </w:rPr>
        <w:noBreakHyphen/>
      </w:r>
      <w:r w:rsidRPr="0059512A">
        <w:rPr>
          <w:rFonts w:eastAsiaTheme="minorHAnsi"/>
          <w:sz w:val="26"/>
          <w:szCs w:val="26"/>
        </w:rPr>
        <w:t>4, line 28).  Citizens’ St. 1 at 14.</w:t>
      </w:r>
    </w:p>
    <w:p w14:paraId="07CACA37" w14:textId="77777777" w:rsidR="008A14F2" w:rsidRPr="0059512A" w:rsidRDefault="008A14F2" w:rsidP="0059512A">
      <w:pPr>
        <w:widowControl/>
        <w:spacing w:line="360" w:lineRule="auto"/>
        <w:ind w:firstLine="720"/>
        <w:rPr>
          <w:rFonts w:eastAsiaTheme="minorHAnsi"/>
          <w:sz w:val="26"/>
          <w:szCs w:val="26"/>
        </w:rPr>
      </w:pPr>
    </w:p>
    <w:p w14:paraId="09BC491F" w14:textId="1FFB39D2" w:rsidR="008A14F2" w:rsidRPr="0059512A" w:rsidRDefault="008A14F2" w:rsidP="0059512A">
      <w:pPr>
        <w:widowControl/>
        <w:spacing w:line="360" w:lineRule="auto"/>
        <w:ind w:firstLine="1440"/>
        <w:rPr>
          <w:rFonts w:eastAsiaTheme="minorHAnsi"/>
          <w:sz w:val="26"/>
          <w:szCs w:val="26"/>
        </w:rPr>
      </w:pPr>
      <w:bookmarkStart w:id="20" w:name="_Hlk29355890"/>
      <w:r w:rsidRPr="0059512A">
        <w:rPr>
          <w:rFonts w:eastAsiaTheme="minorHAnsi"/>
          <w:sz w:val="26"/>
          <w:szCs w:val="26"/>
        </w:rPr>
        <w:t xml:space="preserve">The ALJs noted that </w:t>
      </w:r>
      <w:bookmarkStart w:id="21" w:name="_Hlk37163884"/>
      <w:r w:rsidRPr="0059512A">
        <w:rPr>
          <w:rFonts w:eastAsiaTheme="minorHAnsi"/>
          <w:sz w:val="26"/>
          <w:szCs w:val="26"/>
        </w:rPr>
        <w:t xml:space="preserve">no Party challenged the Company’s calculation of ADIT; however, the OCA proposed adjustments to the Company’s calculation of EDIT. </w:t>
      </w:r>
      <w:bookmarkEnd w:id="20"/>
      <w:r w:rsidR="006B04DA" w:rsidRPr="0059512A">
        <w:rPr>
          <w:rFonts w:eastAsiaTheme="minorHAnsi"/>
          <w:sz w:val="26"/>
          <w:szCs w:val="26"/>
        </w:rPr>
        <w:t xml:space="preserve"> </w:t>
      </w:r>
      <w:r w:rsidRPr="0059512A">
        <w:rPr>
          <w:rFonts w:eastAsiaTheme="minorHAnsi"/>
          <w:sz w:val="26"/>
          <w:szCs w:val="26"/>
        </w:rPr>
        <w:t>Since EDIT is fully addressed in another part of Citizens’ Main Brief and was not discussed in the Rate Base Section, the ALJs addressed the rationale for its EDIT recommendation under the Recommended Decision section pertaining to Taxes.  R.D. at</w:t>
      </w:r>
      <w:r w:rsidR="0036560B" w:rsidRPr="0059512A">
        <w:rPr>
          <w:rFonts w:eastAsiaTheme="minorHAnsi"/>
          <w:sz w:val="26"/>
          <w:szCs w:val="26"/>
        </w:rPr>
        <w:t> </w:t>
      </w:r>
      <w:r w:rsidRPr="0059512A">
        <w:rPr>
          <w:rFonts w:eastAsiaTheme="minorHAnsi"/>
          <w:sz w:val="26"/>
          <w:szCs w:val="26"/>
        </w:rPr>
        <w:t xml:space="preserve">14.  </w:t>
      </w:r>
    </w:p>
    <w:p w14:paraId="174DD307" w14:textId="77777777" w:rsidR="008A14F2" w:rsidRPr="0059512A" w:rsidRDefault="008A14F2" w:rsidP="0059512A">
      <w:pPr>
        <w:widowControl/>
        <w:spacing w:line="360" w:lineRule="auto"/>
        <w:ind w:firstLine="720"/>
        <w:rPr>
          <w:rFonts w:eastAsiaTheme="minorHAnsi"/>
          <w:sz w:val="26"/>
          <w:szCs w:val="26"/>
        </w:rPr>
      </w:pPr>
    </w:p>
    <w:p w14:paraId="1FA55FD4" w14:textId="77777777" w:rsidR="008A14F2" w:rsidRPr="0059512A" w:rsidRDefault="008A14F2" w:rsidP="0059512A">
      <w:pPr>
        <w:widowControl/>
        <w:spacing w:line="360" w:lineRule="auto"/>
        <w:ind w:firstLine="1440"/>
        <w:rPr>
          <w:rFonts w:eastAsiaTheme="minorHAnsi"/>
          <w:sz w:val="26"/>
          <w:szCs w:val="26"/>
        </w:rPr>
      </w:pPr>
      <w:r w:rsidRPr="0059512A">
        <w:rPr>
          <w:rFonts w:eastAsiaTheme="minorHAnsi"/>
          <w:sz w:val="26"/>
          <w:szCs w:val="26"/>
        </w:rPr>
        <w:lastRenderedPageBreak/>
        <w:t xml:space="preserve">Accordingly, we shall also address the OCA’s proposed adjustments to EDIT under the Taxes section of this Opinion and Order, below.  </w:t>
      </w:r>
    </w:p>
    <w:bookmarkEnd w:id="21"/>
    <w:p w14:paraId="7A08641D" w14:textId="77777777" w:rsidR="008A14F2" w:rsidRPr="0059512A" w:rsidRDefault="008A14F2" w:rsidP="0059512A">
      <w:pPr>
        <w:widowControl/>
        <w:spacing w:line="360" w:lineRule="auto"/>
        <w:rPr>
          <w:sz w:val="26"/>
          <w:szCs w:val="26"/>
        </w:rPr>
      </w:pPr>
    </w:p>
    <w:p w14:paraId="08E9563E" w14:textId="66E7C875" w:rsidR="001A2E48" w:rsidRPr="0059512A" w:rsidRDefault="001A2E48" w:rsidP="0059512A">
      <w:pPr>
        <w:pStyle w:val="Heading2"/>
        <w:widowControl/>
        <w:numPr>
          <w:ilvl w:val="0"/>
          <w:numId w:val="3"/>
        </w:numPr>
        <w:ind w:hanging="720"/>
      </w:pPr>
      <w:bookmarkStart w:id="22" w:name="_Toc38629261"/>
      <w:r w:rsidRPr="0059512A">
        <w:t>Revenues: Forfeited Discounts</w:t>
      </w:r>
      <w:bookmarkEnd w:id="22"/>
    </w:p>
    <w:p w14:paraId="65021761" w14:textId="1C47CD24" w:rsidR="001A2E48" w:rsidRPr="0059512A" w:rsidRDefault="001A2E48" w:rsidP="0059512A">
      <w:pPr>
        <w:keepNext/>
        <w:widowControl/>
        <w:spacing w:line="360" w:lineRule="auto"/>
        <w:rPr>
          <w:sz w:val="26"/>
          <w:szCs w:val="26"/>
        </w:rPr>
      </w:pPr>
    </w:p>
    <w:p w14:paraId="217A8AC0" w14:textId="245611A6" w:rsidR="001A2E48" w:rsidRPr="0059512A" w:rsidRDefault="001A2E48" w:rsidP="0059512A">
      <w:pPr>
        <w:keepNext/>
        <w:widowControl/>
        <w:spacing w:line="360" w:lineRule="auto"/>
        <w:ind w:firstLine="1440"/>
        <w:rPr>
          <w:sz w:val="26"/>
          <w:szCs w:val="26"/>
        </w:rPr>
      </w:pPr>
      <w:r w:rsidRPr="0059512A">
        <w:rPr>
          <w:sz w:val="26"/>
          <w:szCs w:val="26"/>
        </w:rPr>
        <w:t>Regarding the issue of Forfeited Discounts (late payment charges), the Company claimed $27,126.00 in revenue from Forfeited Discounts for 2020.  Citizens’ Exh._(HSG-1), Sch. B6.  I&amp;E proposed that the Company’s claim for revenue from Forfeited Discounts should be increased by $3,376.00, for a total of $30,502.00.  I&amp;E asserted that the increase was warranted to reflect the increased revenue due to the percentage of sales the Company may recover through the Commission-approved rates.  R.D. at 21 (citing I&amp;E St. 3 at 23).</w:t>
      </w:r>
    </w:p>
    <w:p w14:paraId="14EFCE1F" w14:textId="77777777" w:rsidR="009B6EF1" w:rsidRPr="0059512A" w:rsidRDefault="009B6EF1" w:rsidP="0059512A">
      <w:pPr>
        <w:widowControl/>
        <w:spacing w:line="360" w:lineRule="auto"/>
        <w:ind w:firstLine="1440"/>
        <w:rPr>
          <w:sz w:val="26"/>
          <w:szCs w:val="26"/>
        </w:rPr>
      </w:pPr>
    </w:p>
    <w:p w14:paraId="594025B7" w14:textId="002DE650" w:rsidR="001A2E48" w:rsidRPr="0059512A" w:rsidRDefault="00D85F55" w:rsidP="0059512A">
      <w:pPr>
        <w:widowControl/>
        <w:spacing w:line="360" w:lineRule="auto"/>
        <w:ind w:firstLine="1440"/>
        <w:rPr>
          <w:sz w:val="26"/>
          <w:szCs w:val="26"/>
        </w:rPr>
      </w:pPr>
      <w:r w:rsidRPr="0059512A">
        <w:rPr>
          <w:sz w:val="26"/>
          <w:szCs w:val="26"/>
        </w:rPr>
        <w:t xml:space="preserve">In response, Citizens’ conceded that the Forfeited Discounts would increase with higher revenues, however, </w:t>
      </w:r>
      <w:r w:rsidR="00D149B2" w:rsidRPr="0059512A">
        <w:rPr>
          <w:sz w:val="26"/>
          <w:szCs w:val="26"/>
        </w:rPr>
        <w:t xml:space="preserve">it </w:t>
      </w:r>
      <w:r w:rsidRPr="0059512A">
        <w:rPr>
          <w:sz w:val="26"/>
          <w:szCs w:val="26"/>
        </w:rPr>
        <w:t>maintained that Uncollectible Accounts Expense would also increase in a corresponding amount.  Therefore, Citizens’ argued that I&amp;E’s proposed adjustment should be rejected.  In the alternative, Citizens’ asserted that, if I&amp;E’s proposed increase to revenues is adopted, the Commission should also adopt a corresponding increase in the Company’s claim for Uncollectible Accounts Expenses.</w:t>
      </w:r>
      <w:r w:rsidR="00D149B2" w:rsidRPr="0059512A">
        <w:rPr>
          <w:sz w:val="26"/>
          <w:szCs w:val="26"/>
        </w:rPr>
        <w:t xml:space="preserve">  R.D. at 22.</w:t>
      </w:r>
    </w:p>
    <w:p w14:paraId="0D0668C6" w14:textId="49EE3D22" w:rsidR="001A2E48" w:rsidRPr="0059512A" w:rsidRDefault="001A2E48" w:rsidP="0059512A">
      <w:pPr>
        <w:widowControl/>
        <w:spacing w:line="360" w:lineRule="auto"/>
        <w:rPr>
          <w:sz w:val="26"/>
          <w:szCs w:val="26"/>
        </w:rPr>
      </w:pPr>
    </w:p>
    <w:p w14:paraId="799150D2" w14:textId="6DF1D5AB" w:rsidR="00D85F55" w:rsidRPr="0059512A" w:rsidRDefault="00D85F55" w:rsidP="0059512A">
      <w:pPr>
        <w:widowControl/>
        <w:spacing w:line="360" w:lineRule="auto"/>
        <w:ind w:firstLine="1440"/>
        <w:rPr>
          <w:sz w:val="26"/>
          <w:szCs w:val="26"/>
        </w:rPr>
      </w:pPr>
      <w:r w:rsidRPr="0059512A">
        <w:rPr>
          <w:sz w:val="26"/>
          <w:szCs w:val="26"/>
        </w:rPr>
        <w:t xml:space="preserve">The ALJs rejected Citizens’ position and adopted I&amp;E’s proposed increase to the Company’s claim for Forfeited Discounts, to a total claim of $30,502.00. </w:t>
      </w:r>
      <w:r w:rsidR="005B21A2" w:rsidRPr="0059512A">
        <w:rPr>
          <w:sz w:val="26"/>
          <w:szCs w:val="26"/>
        </w:rPr>
        <w:t xml:space="preserve"> </w:t>
      </w:r>
      <w:r w:rsidRPr="0059512A">
        <w:rPr>
          <w:sz w:val="26"/>
          <w:szCs w:val="26"/>
        </w:rPr>
        <w:t>R.D. at</w:t>
      </w:r>
      <w:r w:rsidR="00417616">
        <w:rPr>
          <w:sz w:val="26"/>
          <w:szCs w:val="26"/>
        </w:rPr>
        <w:t> </w:t>
      </w:r>
      <w:r w:rsidRPr="0059512A">
        <w:rPr>
          <w:sz w:val="26"/>
          <w:szCs w:val="26"/>
        </w:rPr>
        <w:t>22.  The ALJs rejected the Company’s alternative proposal for a corresponding increase to the Company’s Uncollectible Accounts Expense, because the Company had neither raised nor provided support in the record for an adjustment to Uncollectible Accounts Expense associated with Forfeited Discounts.</w:t>
      </w:r>
      <w:r w:rsidR="005B21A2" w:rsidRPr="0059512A">
        <w:rPr>
          <w:sz w:val="26"/>
          <w:szCs w:val="26"/>
        </w:rPr>
        <w:t xml:space="preserve"> </w:t>
      </w:r>
      <w:r w:rsidRPr="0059512A">
        <w:rPr>
          <w:sz w:val="26"/>
          <w:szCs w:val="26"/>
        </w:rPr>
        <w:t xml:space="preserve"> </w:t>
      </w:r>
      <w:r w:rsidRPr="0059512A">
        <w:rPr>
          <w:i/>
          <w:iCs/>
          <w:sz w:val="26"/>
          <w:szCs w:val="26"/>
        </w:rPr>
        <w:t>Id</w:t>
      </w:r>
      <w:r w:rsidRPr="0059512A">
        <w:rPr>
          <w:sz w:val="26"/>
          <w:szCs w:val="26"/>
        </w:rPr>
        <w:t xml:space="preserve">. </w:t>
      </w:r>
    </w:p>
    <w:p w14:paraId="1A83C8E7" w14:textId="4CBF14AB" w:rsidR="005B21A2" w:rsidRPr="0059512A" w:rsidRDefault="005B21A2" w:rsidP="0059512A">
      <w:pPr>
        <w:widowControl/>
        <w:spacing w:line="360" w:lineRule="auto"/>
        <w:ind w:firstLine="1440"/>
        <w:rPr>
          <w:sz w:val="26"/>
          <w:szCs w:val="26"/>
        </w:rPr>
      </w:pPr>
    </w:p>
    <w:p w14:paraId="5988BA4A" w14:textId="46B5A3D6" w:rsidR="005B21A2" w:rsidRPr="0059512A" w:rsidRDefault="005B21A2" w:rsidP="0059512A">
      <w:pPr>
        <w:widowControl/>
        <w:spacing w:line="360" w:lineRule="auto"/>
        <w:ind w:firstLine="1440"/>
        <w:rPr>
          <w:sz w:val="26"/>
          <w:szCs w:val="26"/>
        </w:rPr>
      </w:pPr>
      <w:r w:rsidRPr="0059512A">
        <w:rPr>
          <w:sz w:val="26"/>
          <w:szCs w:val="26"/>
        </w:rPr>
        <w:lastRenderedPageBreak/>
        <w:t>No Party filed Exceptions on this issue.  Finding the ALJs’ recommendation to be reasonable, we adopt it without further comment.  Accordingly, we shall adopt the increase of $3,376.00 to the Company’s claim for Forfeited Discounts, for a total claim of $30,502.00.</w:t>
      </w:r>
    </w:p>
    <w:p w14:paraId="415B3444" w14:textId="77777777" w:rsidR="00FD2A9D" w:rsidRPr="0059512A" w:rsidRDefault="00FD2A9D" w:rsidP="0059512A">
      <w:pPr>
        <w:widowControl/>
        <w:spacing w:line="360" w:lineRule="auto"/>
        <w:ind w:firstLine="1440"/>
        <w:rPr>
          <w:sz w:val="26"/>
          <w:szCs w:val="26"/>
        </w:rPr>
      </w:pPr>
    </w:p>
    <w:p w14:paraId="67C6935A" w14:textId="34AFB794" w:rsidR="005B21A2" w:rsidRPr="0059512A" w:rsidRDefault="00EE6F11" w:rsidP="0059512A">
      <w:pPr>
        <w:pStyle w:val="Heading2"/>
        <w:widowControl/>
        <w:numPr>
          <w:ilvl w:val="0"/>
          <w:numId w:val="3"/>
        </w:numPr>
        <w:ind w:hanging="720"/>
      </w:pPr>
      <w:bookmarkStart w:id="23" w:name="_Hlk37138921"/>
      <w:bookmarkStart w:id="24" w:name="_Toc38629262"/>
      <w:bookmarkStart w:id="25" w:name="_Hlk37138932"/>
      <w:r w:rsidRPr="0059512A">
        <w:t>Fair Rate of Return</w:t>
      </w:r>
      <w:bookmarkEnd w:id="23"/>
      <w:bookmarkEnd w:id="24"/>
    </w:p>
    <w:bookmarkEnd w:id="25"/>
    <w:p w14:paraId="4872BE29" w14:textId="77777777" w:rsidR="005B21A2" w:rsidRPr="0059512A" w:rsidRDefault="005B21A2" w:rsidP="0059512A">
      <w:pPr>
        <w:keepNext/>
        <w:widowControl/>
        <w:spacing w:line="360" w:lineRule="auto"/>
        <w:rPr>
          <w:sz w:val="26"/>
          <w:szCs w:val="26"/>
        </w:rPr>
      </w:pPr>
    </w:p>
    <w:p w14:paraId="38829188" w14:textId="1452DB0C" w:rsidR="005B21A2" w:rsidRPr="0059512A" w:rsidRDefault="005B21A2" w:rsidP="0059512A">
      <w:pPr>
        <w:pStyle w:val="Heading3"/>
        <w:keepNext/>
        <w:numPr>
          <w:ilvl w:val="0"/>
          <w:numId w:val="20"/>
        </w:numPr>
        <w:ind w:left="1440" w:hanging="720"/>
      </w:pPr>
      <w:bookmarkStart w:id="26" w:name="_Toc38629263"/>
      <w:r w:rsidRPr="0059512A">
        <w:t>Ca</w:t>
      </w:r>
      <w:r w:rsidR="00EE6F11" w:rsidRPr="0059512A">
        <w:t>pital Structure</w:t>
      </w:r>
      <w:bookmarkEnd w:id="26"/>
    </w:p>
    <w:p w14:paraId="49AA0E63" w14:textId="1BF6BA31" w:rsidR="00EE6F11" w:rsidRPr="0059512A" w:rsidRDefault="00EE6F11" w:rsidP="0059512A">
      <w:pPr>
        <w:keepNext/>
        <w:widowControl/>
        <w:spacing w:line="360" w:lineRule="auto"/>
        <w:rPr>
          <w:sz w:val="26"/>
          <w:szCs w:val="26"/>
        </w:rPr>
      </w:pPr>
    </w:p>
    <w:p w14:paraId="6351B58D" w14:textId="7E6C17ED" w:rsidR="00EE6F11" w:rsidRPr="0059512A" w:rsidRDefault="00EE6F11" w:rsidP="0059512A">
      <w:pPr>
        <w:keepNext/>
        <w:widowControl/>
        <w:spacing w:line="360" w:lineRule="auto"/>
        <w:ind w:firstLine="1440"/>
        <w:rPr>
          <w:sz w:val="26"/>
          <w:szCs w:val="26"/>
        </w:rPr>
      </w:pPr>
      <w:r w:rsidRPr="0059512A">
        <w:rPr>
          <w:sz w:val="26"/>
          <w:szCs w:val="26"/>
        </w:rPr>
        <w:t xml:space="preserve">Regarding the issue of capital structure, the Company proposed a capital structure of 49.33% debt and 50.67% equity.  Citizens’ St. 2 at 13-14.  The </w:t>
      </w:r>
      <w:r w:rsidR="009A2D5F" w:rsidRPr="0059512A">
        <w:rPr>
          <w:sz w:val="26"/>
          <w:szCs w:val="26"/>
        </w:rPr>
        <w:t>P</w:t>
      </w:r>
      <w:r w:rsidRPr="0059512A">
        <w:rPr>
          <w:sz w:val="26"/>
          <w:szCs w:val="26"/>
        </w:rPr>
        <w:t xml:space="preserve">arties did not dispute the Company’s proposal.  OCA St. 3 at 3; I&amp;E St. 2 at 16.  The ALJs recommended adoption of </w:t>
      </w:r>
      <w:r w:rsidR="00D149B2" w:rsidRPr="0059512A">
        <w:rPr>
          <w:sz w:val="26"/>
          <w:szCs w:val="26"/>
        </w:rPr>
        <w:t>the Company’s</w:t>
      </w:r>
      <w:r w:rsidRPr="0059512A">
        <w:rPr>
          <w:sz w:val="26"/>
          <w:szCs w:val="26"/>
        </w:rPr>
        <w:t xml:space="preserve"> proposed capital structure.  R.D. at 48</w:t>
      </w:r>
      <w:r w:rsidR="00D149B2" w:rsidRPr="0059512A">
        <w:rPr>
          <w:sz w:val="26"/>
          <w:szCs w:val="26"/>
        </w:rPr>
        <w:t>.</w:t>
      </w:r>
    </w:p>
    <w:p w14:paraId="5E1D7931" w14:textId="77777777" w:rsidR="00EE6F11" w:rsidRPr="0059512A" w:rsidRDefault="00EE6F11" w:rsidP="0059512A">
      <w:pPr>
        <w:widowControl/>
        <w:spacing w:line="360" w:lineRule="auto"/>
        <w:rPr>
          <w:sz w:val="26"/>
          <w:szCs w:val="26"/>
        </w:rPr>
      </w:pPr>
    </w:p>
    <w:p w14:paraId="6F6E6F8A" w14:textId="77777777" w:rsidR="00EE6F11" w:rsidRPr="0059512A" w:rsidRDefault="00EE6F11" w:rsidP="0059512A">
      <w:pPr>
        <w:widowControl/>
        <w:spacing w:line="360" w:lineRule="auto"/>
        <w:ind w:firstLine="1440"/>
        <w:rPr>
          <w:sz w:val="26"/>
          <w:szCs w:val="26"/>
        </w:rPr>
      </w:pPr>
      <w:r w:rsidRPr="0059512A">
        <w:rPr>
          <w:sz w:val="26"/>
          <w:szCs w:val="26"/>
        </w:rPr>
        <w:t>No Party filed Exceptions on this issue.  Finding the ALJs’ recommendation to be reasonable, we adopt it without further comment.  Accordingly, we shall approve the Company’s proposed capital structure of 49.33% debt and 50.67% equity.</w:t>
      </w:r>
    </w:p>
    <w:p w14:paraId="53AC2CF3" w14:textId="0F4539D3" w:rsidR="001A2E48" w:rsidRPr="0059512A" w:rsidRDefault="001A2E48" w:rsidP="0059512A">
      <w:pPr>
        <w:widowControl/>
        <w:spacing w:line="360" w:lineRule="auto"/>
        <w:ind w:firstLine="1440"/>
        <w:rPr>
          <w:sz w:val="26"/>
          <w:szCs w:val="26"/>
        </w:rPr>
      </w:pPr>
    </w:p>
    <w:p w14:paraId="65483C1B" w14:textId="3F0F8413" w:rsidR="00EE6F11" w:rsidRPr="0059512A" w:rsidRDefault="00EE6F11" w:rsidP="0059512A">
      <w:pPr>
        <w:pStyle w:val="Heading3"/>
        <w:keepNext/>
        <w:ind w:left="1440" w:hanging="720"/>
      </w:pPr>
      <w:bookmarkStart w:id="27" w:name="_Hlk37138968"/>
      <w:bookmarkStart w:id="28" w:name="_Toc38629264"/>
      <w:r w:rsidRPr="0059512A">
        <w:t>Cost of Long-Term Debt</w:t>
      </w:r>
      <w:bookmarkEnd w:id="27"/>
      <w:bookmarkEnd w:id="28"/>
    </w:p>
    <w:p w14:paraId="6E09D840" w14:textId="0ABA13A7" w:rsidR="005B21A2" w:rsidRPr="0059512A" w:rsidRDefault="005B21A2" w:rsidP="0059512A">
      <w:pPr>
        <w:keepNext/>
        <w:widowControl/>
        <w:spacing w:line="360" w:lineRule="auto"/>
        <w:rPr>
          <w:sz w:val="26"/>
          <w:szCs w:val="26"/>
        </w:rPr>
      </w:pPr>
    </w:p>
    <w:p w14:paraId="2DE06CA5" w14:textId="672C6A19" w:rsidR="00EE6F11" w:rsidRPr="0059512A" w:rsidRDefault="00EE6F11" w:rsidP="0059512A">
      <w:pPr>
        <w:keepNext/>
        <w:widowControl/>
        <w:spacing w:line="360" w:lineRule="auto"/>
        <w:ind w:firstLine="1440"/>
        <w:rPr>
          <w:sz w:val="26"/>
          <w:szCs w:val="26"/>
        </w:rPr>
      </w:pPr>
      <w:r w:rsidRPr="0059512A">
        <w:rPr>
          <w:sz w:val="26"/>
          <w:szCs w:val="26"/>
        </w:rPr>
        <w:t xml:space="preserve">Regarding the issue of cost of long-term debt rate, Citizens’ is proposing a rate of 4.86%.  The </w:t>
      </w:r>
      <w:r w:rsidR="009A2D5F" w:rsidRPr="0059512A">
        <w:rPr>
          <w:sz w:val="26"/>
          <w:szCs w:val="26"/>
        </w:rPr>
        <w:t>P</w:t>
      </w:r>
      <w:r w:rsidRPr="0059512A">
        <w:rPr>
          <w:sz w:val="26"/>
          <w:szCs w:val="26"/>
        </w:rPr>
        <w:t xml:space="preserve">arties did not dispute the Company’s proposal.  OCA St. 3 at 3; I&amp;E St. 2 at 17.  The ALJs recommended adoption of the Company’s proposed cost of long-term debt rate.  R.D. at 48. </w:t>
      </w:r>
    </w:p>
    <w:p w14:paraId="1F909FA6" w14:textId="0A495CB4" w:rsidR="005B21A2" w:rsidRPr="0059512A" w:rsidRDefault="005B21A2" w:rsidP="0059512A">
      <w:pPr>
        <w:widowControl/>
        <w:spacing w:line="360" w:lineRule="auto"/>
        <w:ind w:firstLine="1440"/>
        <w:rPr>
          <w:sz w:val="26"/>
          <w:szCs w:val="26"/>
        </w:rPr>
      </w:pPr>
    </w:p>
    <w:p w14:paraId="1AF707C6" w14:textId="619FA95B" w:rsidR="00EE6F11" w:rsidRPr="0059512A" w:rsidRDefault="00EE6F11" w:rsidP="0059512A">
      <w:pPr>
        <w:widowControl/>
        <w:spacing w:line="360" w:lineRule="auto"/>
        <w:ind w:firstLine="1440"/>
        <w:rPr>
          <w:sz w:val="26"/>
          <w:szCs w:val="26"/>
        </w:rPr>
      </w:pPr>
      <w:r w:rsidRPr="0059512A">
        <w:rPr>
          <w:sz w:val="26"/>
          <w:szCs w:val="26"/>
        </w:rPr>
        <w:t>No Party filed Exceptions on this issue.  Finding the ALJs’ recommendation to be reasonable, we adopt it without further comment.  Accordingly, we shall adopt the Company’s proposal for a cost of long-term debt rate of 4.86%</w:t>
      </w:r>
      <w:r w:rsidR="008A14F2" w:rsidRPr="0059512A">
        <w:rPr>
          <w:sz w:val="26"/>
          <w:szCs w:val="26"/>
        </w:rPr>
        <w:t>.</w:t>
      </w:r>
    </w:p>
    <w:p w14:paraId="4AEB4A5C" w14:textId="62987FD4" w:rsidR="00D47584" w:rsidRPr="0059512A" w:rsidRDefault="00D47584" w:rsidP="0059512A">
      <w:pPr>
        <w:pStyle w:val="Heading3"/>
        <w:keepNext/>
        <w:keepLines/>
        <w:ind w:left="1440" w:hanging="720"/>
      </w:pPr>
      <w:bookmarkStart w:id="29" w:name="_Toc38629265"/>
      <w:r w:rsidRPr="0059512A">
        <w:lastRenderedPageBreak/>
        <w:t xml:space="preserve">Cost of </w:t>
      </w:r>
      <w:r w:rsidR="007B09D1">
        <w:t xml:space="preserve">Common </w:t>
      </w:r>
      <w:r w:rsidRPr="0059512A">
        <w:t>Equity</w:t>
      </w:r>
      <w:bookmarkEnd w:id="29"/>
    </w:p>
    <w:p w14:paraId="08DB58BD" w14:textId="4F1D90ED" w:rsidR="004F2DA7" w:rsidRPr="0059512A" w:rsidRDefault="004F2DA7" w:rsidP="0059512A">
      <w:pPr>
        <w:keepNext/>
        <w:keepLines/>
        <w:widowControl/>
        <w:spacing w:line="360" w:lineRule="auto"/>
        <w:rPr>
          <w:sz w:val="26"/>
          <w:szCs w:val="26"/>
        </w:rPr>
      </w:pPr>
    </w:p>
    <w:p w14:paraId="3FA461C3" w14:textId="033B278E" w:rsidR="00C80D4C" w:rsidRPr="0059512A" w:rsidRDefault="00C80D4C" w:rsidP="0059512A">
      <w:pPr>
        <w:keepNext/>
        <w:keepLines/>
        <w:widowControl/>
        <w:spacing w:line="360" w:lineRule="auto"/>
        <w:ind w:firstLine="1440"/>
        <w:rPr>
          <w:sz w:val="26"/>
          <w:szCs w:val="26"/>
        </w:rPr>
      </w:pPr>
      <w:r w:rsidRPr="0059512A">
        <w:rPr>
          <w:sz w:val="26"/>
          <w:szCs w:val="26"/>
        </w:rPr>
        <w:t xml:space="preserve">As discussed in the </w:t>
      </w:r>
      <w:bookmarkStart w:id="30" w:name="_Hlk37166967"/>
      <w:r w:rsidRPr="0059512A">
        <w:rPr>
          <w:sz w:val="26"/>
          <w:szCs w:val="26"/>
        </w:rPr>
        <w:t xml:space="preserve">Review of Exceptions and Replies section of this Opinion and Order, </w:t>
      </w:r>
      <w:r w:rsidRPr="0059512A">
        <w:rPr>
          <w:i/>
          <w:sz w:val="26"/>
          <w:szCs w:val="26"/>
        </w:rPr>
        <w:t>infra</w:t>
      </w:r>
      <w:bookmarkEnd w:id="30"/>
      <w:r w:rsidRPr="0059512A">
        <w:rPr>
          <w:sz w:val="26"/>
          <w:szCs w:val="26"/>
        </w:rPr>
        <w:t xml:space="preserve">, the primary dispute among the Parties regarding rate of return is focused around the reliance on differing return on equity (ROE) models in </w:t>
      </w:r>
      <w:bookmarkStart w:id="31" w:name="_Hlk37165642"/>
      <w:r w:rsidRPr="0059512A">
        <w:rPr>
          <w:sz w:val="26"/>
          <w:szCs w:val="26"/>
        </w:rPr>
        <w:t>the development of each Party’s respective ROE recommendation</w:t>
      </w:r>
      <w:bookmarkEnd w:id="31"/>
      <w:r w:rsidRPr="0059512A">
        <w:rPr>
          <w:sz w:val="26"/>
          <w:szCs w:val="26"/>
        </w:rPr>
        <w:t xml:space="preserve">.  As indicated in Citizens’ Main Brief, its ROE recommendation relied on the analysis of multiple ROE models; the </w:t>
      </w:r>
      <w:r w:rsidR="009A2D5F" w:rsidRPr="0059512A">
        <w:rPr>
          <w:sz w:val="26"/>
          <w:szCs w:val="26"/>
        </w:rPr>
        <w:t>Discounted Cash Flow (</w:t>
      </w:r>
      <w:r w:rsidRPr="0059512A">
        <w:rPr>
          <w:sz w:val="26"/>
          <w:szCs w:val="26"/>
        </w:rPr>
        <w:t>DCF</w:t>
      </w:r>
      <w:r w:rsidR="009A2D5F" w:rsidRPr="0059512A">
        <w:rPr>
          <w:sz w:val="26"/>
          <w:szCs w:val="26"/>
        </w:rPr>
        <w:t>)</w:t>
      </w:r>
      <w:r w:rsidRPr="0059512A">
        <w:rPr>
          <w:sz w:val="26"/>
          <w:szCs w:val="26"/>
        </w:rPr>
        <w:t xml:space="preserve"> model, the Risk Premium Model (RPM), and the Capital Asset Pricing Model (CAPM), as well as comparison to non-price regulated companies, also called the Comparable Earnings (CE) approach.  Citizens’ M.B. at 62-63.  </w:t>
      </w:r>
    </w:p>
    <w:p w14:paraId="3C4DC28B" w14:textId="0E2D1E4C" w:rsidR="00C80D4C" w:rsidRPr="0059512A" w:rsidRDefault="00C80D4C" w:rsidP="0059512A">
      <w:pPr>
        <w:widowControl/>
        <w:spacing w:line="360" w:lineRule="auto"/>
        <w:rPr>
          <w:sz w:val="26"/>
          <w:szCs w:val="26"/>
        </w:rPr>
      </w:pPr>
    </w:p>
    <w:p w14:paraId="65100F9A" w14:textId="141FB0FC" w:rsidR="005F1ABF" w:rsidRPr="0059512A" w:rsidRDefault="00BC5795" w:rsidP="0059512A">
      <w:pPr>
        <w:widowControl/>
        <w:spacing w:line="360" w:lineRule="auto"/>
        <w:ind w:firstLine="1440"/>
        <w:rPr>
          <w:sz w:val="26"/>
          <w:szCs w:val="26"/>
        </w:rPr>
      </w:pPr>
      <w:r w:rsidRPr="0059512A">
        <w:rPr>
          <w:sz w:val="26"/>
          <w:szCs w:val="26"/>
        </w:rPr>
        <w:t xml:space="preserve">As the Commission has traditionally utilized the DCF method, with the CAPM method being used as a check, the ALJs, accordingly, focused on the DCF and CAPM methods.  R.D. at 56.  </w:t>
      </w:r>
      <w:r w:rsidR="00DC3C4E" w:rsidRPr="0059512A">
        <w:rPr>
          <w:sz w:val="26"/>
          <w:szCs w:val="26"/>
        </w:rPr>
        <w:t>Since no Party challenged the ALJs regarding their recommended barometer group, DCF model, or CAPM</w:t>
      </w:r>
      <w:r w:rsidR="003D3A3D" w:rsidRPr="0059512A">
        <w:rPr>
          <w:sz w:val="26"/>
          <w:szCs w:val="26"/>
        </w:rPr>
        <w:t>, the Parties’ positions and associated recommendations of the ALJs</w:t>
      </w:r>
      <w:r w:rsidR="00826295" w:rsidRPr="0059512A">
        <w:rPr>
          <w:sz w:val="26"/>
          <w:szCs w:val="26"/>
        </w:rPr>
        <w:t>,</w:t>
      </w:r>
      <w:r w:rsidR="004439C6" w:rsidRPr="0059512A">
        <w:rPr>
          <w:sz w:val="26"/>
          <w:szCs w:val="26"/>
        </w:rPr>
        <w:t xml:space="preserve"> regarding these</w:t>
      </w:r>
      <w:r w:rsidR="00966DF1" w:rsidRPr="0059512A">
        <w:rPr>
          <w:sz w:val="26"/>
          <w:szCs w:val="26"/>
        </w:rPr>
        <w:t xml:space="preserve"> designated issues</w:t>
      </w:r>
      <w:r w:rsidR="00826295" w:rsidRPr="0059512A">
        <w:rPr>
          <w:sz w:val="26"/>
          <w:szCs w:val="26"/>
        </w:rPr>
        <w:t>,</w:t>
      </w:r>
      <w:r w:rsidR="00966DF1" w:rsidRPr="0059512A">
        <w:rPr>
          <w:sz w:val="26"/>
          <w:szCs w:val="26"/>
        </w:rPr>
        <w:t xml:space="preserve"> </w:t>
      </w:r>
      <w:r w:rsidR="003D3A3D" w:rsidRPr="0059512A">
        <w:rPr>
          <w:sz w:val="26"/>
          <w:szCs w:val="26"/>
        </w:rPr>
        <w:t xml:space="preserve">will be discussed in the following sections.  However, </w:t>
      </w:r>
      <w:r w:rsidR="005A78F5" w:rsidRPr="0059512A">
        <w:rPr>
          <w:sz w:val="26"/>
          <w:szCs w:val="26"/>
        </w:rPr>
        <w:t>the following sections will not address the reasonableness of the</w:t>
      </w:r>
      <w:r w:rsidR="00FF2F80" w:rsidRPr="0059512A">
        <w:rPr>
          <w:sz w:val="26"/>
          <w:szCs w:val="26"/>
        </w:rPr>
        <w:t xml:space="preserve"> ALJs’ </w:t>
      </w:r>
      <w:r w:rsidR="003D3A3D" w:rsidRPr="0059512A">
        <w:rPr>
          <w:sz w:val="26"/>
          <w:szCs w:val="26"/>
        </w:rPr>
        <w:t>reliance</w:t>
      </w:r>
      <w:r w:rsidR="005F1ABF" w:rsidRPr="0059512A">
        <w:rPr>
          <w:sz w:val="26"/>
          <w:szCs w:val="26"/>
        </w:rPr>
        <w:t xml:space="preserve"> on the DCF method with the CAPM as a check, </w:t>
      </w:r>
      <w:r w:rsidR="005A78F5" w:rsidRPr="0059512A">
        <w:rPr>
          <w:sz w:val="26"/>
          <w:szCs w:val="26"/>
        </w:rPr>
        <w:t>or</w:t>
      </w:r>
      <w:r w:rsidR="005F1ABF" w:rsidRPr="0059512A">
        <w:rPr>
          <w:sz w:val="26"/>
          <w:szCs w:val="26"/>
        </w:rPr>
        <w:t xml:space="preserve"> the ALJs</w:t>
      </w:r>
      <w:r w:rsidR="00826295" w:rsidRPr="0059512A">
        <w:rPr>
          <w:sz w:val="26"/>
          <w:szCs w:val="26"/>
        </w:rPr>
        <w:t>’</w:t>
      </w:r>
      <w:r w:rsidR="005F1ABF" w:rsidRPr="0059512A">
        <w:rPr>
          <w:sz w:val="26"/>
          <w:szCs w:val="26"/>
        </w:rPr>
        <w:t xml:space="preserve"> recommended size and performance adjustments</w:t>
      </w:r>
      <w:r w:rsidR="00826295" w:rsidRPr="0059512A">
        <w:rPr>
          <w:sz w:val="26"/>
          <w:szCs w:val="26"/>
        </w:rPr>
        <w:t xml:space="preserve"> that were considered in their recommended ROE of 9.74%, </w:t>
      </w:r>
      <w:r w:rsidR="005A78F5" w:rsidRPr="0059512A">
        <w:rPr>
          <w:sz w:val="26"/>
          <w:szCs w:val="26"/>
        </w:rPr>
        <w:t xml:space="preserve">but </w:t>
      </w:r>
      <w:r w:rsidR="005F1ABF" w:rsidRPr="0059512A">
        <w:rPr>
          <w:sz w:val="26"/>
          <w:szCs w:val="26"/>
        </w:rPr>
        <w:t xml:space="preserve">will be </w:t>
      </w:r>
      <w:r w:rsidR="005A78F5" w:rsidRPr="0059512A">
        <w:rPr>
          <w:sz w:val="26"/>
          <w:szCs w:val="26"/>
        </w:rPr>
        <w:t xml:space="preserve">reserved for </w:t>
      </w:r>
      <w:r w:rsidR="005F1ABF" w:rsidRPr="0059512A">
        <w:rPr>
          <w:sz w:val="26"/>
          <w:szCs w:val="26"/>
        </w:rPr>
        <w:t>dis</w:t>
      </w:r>
      <w:r w:rsidR="005A78F5" w:rsidRPr="0059512A">
        <w:rPr>
          <w:sz w:val="26"/>
          <w:szCs w:val="26"/>
        </w:rPr>
        <w:t>cussion</w:t>
      </w:r>
      <w:r w:rsidR="005F1ABF" w:rsidRPr="0059512A">
        <w:rPr>
          <w:sz w:val="26"/>
          <w:szCs w:val="26"/>
        </w:rPr>
        <w:t xml:space="preserve"> </w:t>
      </w:r>
      <w:r w:rsidR="00E8072C" w:rsidRPr="0059512A">
        <w:rPr>
          <w:sz w:val="26"/>
          <w:szCs w:val="26"/>
        </w:rPr>
        <w:t xml:space="preserve">in the Review of Exceptions and Replies section of this Opinion and Order, </w:t>
      </w:r>
      <w:r w:rsidR="00E8072C" w:rsidRPr="0059512A">
        <w:rPr>
          <w:i/>
          <w:sz w:val="26"/>
          <w:szCs w:val="26"/>
        </w:rPr>
        <w:t>infra.</w:t>
      </w:r>
    </w:p>
    <w:p w14:paraId="234C4942" w14:textId="77777777" w:rsidR="005A78F5" w:rsidRPr="0059512A" w:rsidRDefault="005A78F5" w:rsidP="0059512A">
      <w:pPr>
        <w:widowControl/>
        <w:spacing w:line="360" w:lineRule="auto"/>
        <w:rPr>
          <w:sz w:val="26"/>
          <w:szCs w:val="26"/>
        </w:rPr>
      </w:pPr>
    </w:p>
    <w:p w14:paraId="1B8EDC14" w14:textId="11CEB879" w:rsidR="004F2DA7" w:rsidRPr="0059512A" w:rsidRDefault="003222CA" w:rsidP="0059512A">
      <w:pPr>
        <w:pStyle w:val="Heading4"/>
        <w:widowControl/>
      </w:pPr>
      <w:bookmarkStart w:id="32" w:name="_Toc38629266"/>
      <w:r w:rsidRPr="0059512A">
        <w:t>Barometer Groups</w:t>
      </w:r>
      <w:bookmarkEnd w:id="32"/>
    </w:p>
    <w:p w14:paraId="119412B4" w14:textId="7C3F1EBF" w:rsidR="003222CA" w:rsidRPr="0059512A" w:rsidRDefault="003222CA" w:rsidP="0059512A">
      <w:pPr>
        <w:keepNext/>
        <w:widowControl/>
        <w:spacing w:line="360" w:lineRule="auto"/>
        <w:ind w:firstLine="1440"/>
        <w:rPr>
          <w:sz w:val="26"/>
          <w:szCs w:val="26"/>
        </w:rPr>
      </w:pPr>
    </w:p>
    <w:p w14:paraId="1C8B8BA9" w14:textId="79808F38" w:rsidR="005F1F82" w:rsidRPr="0059512A" w:rsidRDefault="008A1D76" w:rsidP="0059512A">
      <w:pPr>
        <w:keepNext/>
        <w:widowControl/>
        <w:spacing w:line="360" w:lineRule="auto"/>
        <w:ind w:firstLine="1440"/>
        <w:rPr>
          <w:sz w:val="26"/>
          <w:szCs w:val="26"/>
        </w:rPr>
      </w:pPr>
      <w:r w:rsidRPr="0059512A">
        <w:rPr>
          <w:sz w:val="26"/>
          <w:szCs w:val="26"/>
        </w:rPr>
        <w:t xml:space="preserve">Regarding the issue of the makeup of the barometer or proxy group of companies to be used as a benchmark for determining the Company’s appropriate rate of return, the </w:t>
      </w:r>
      <w:r w:rsidR="009A2D5F" w:rsidRPr="0059512A">
        <w:rPr>
          <w:sz w:val="26"/>
          <w:szCs w:val="26"/>
        </w:rPr>
        <w:t>P</w:t>
      </w:r>
      <w:r w:rsidRPr="0059512A">
        <w:rPr>
          <w:sz w:val="26"/>
          <w:szCs w:val="26"/>
        </w:rPr>
        <w:t xml:space="preserve">arties presented arguments regarding the proper makeup of the group of companies which best compare to Citizens’ as similar risk enterprises.  Ultimately, the OCA and Citizens’ reached joint agreement on the proxy group proposed by the </w:t>
      </w:r>
      <w:r w:rsidRPr="0059512A">
        <w:rPr>
          <w:sz w:val="26"/>
          <w:szCs w:val="26"/>
        </w:rPr>
        <w:lastRenderedPageBreak/>
        <w:t>Company’s witness, Mr. D</w:t>
      </w:r>
      <w:r w:rsidR="009B6EF1" w:rsidRPr="0059512A">
        <w:rPr>
          <w:sz w:val="26"/>
          <w:szCs w:val="26"/>
        </w:rPr>
        <w:t>’</w:t>
      </w:r>
      <w:r w:rsidRPr="0059512A">
        <w:rPr>
          <w:sz w:val="26"/>
          <w:szCs w:val="26"/>
        </w:rPr>
        <w:t>Ascendis, as amended in his Rebuttal Testimony</w:t>
      </w:r>
      <w:r w:rsidR="00C524CB" w:rsidRPr="0059512A">
        <w:rPr>
          <w:sz w:val="26"/>
          <w:szCs w:val="26"/>
        </w:rPr>
        <w:t xml:space="preserve"> by the exclusion of two companies</w:t>
      </w:r>
      <w:r w:rsidRPr="0059512A">
        <w:rPr>
          <w:sz w:val="26"/>
          <w:szCs w:val="26"/>
        </w:rPr>
        <w:t xml:space="preserve">.  </w:t>
      </w:r>
      <w:r w:rsidR="005A78F5" w:rsidRPr="0059512A">
        <w:rPr>
          <w:sz w:val="26"/>
          <w:szCs w:val="26"/>
        </w:rPr>
        <w:t>Citizens’</w:t>
      </w:r>
      <w:r w:rsidRPr="0059512A">
        <w:rPr>
          <w:sz w:val="26"/>
          <w:szCs w:val="26"/>
        </w:rPr>
        <w:t xml:space="preserve"> St. 2-R at 4; Citizens’ R.B. at 20.</w:t>
      </w:r>
    </w:p>
    <w:p w14:paraId="504044DD" w14:textId="6A769CAF" w:rsidR="005F1F82" w:rsidRPr="0059512A" w:rsidRDefault="005F1F82" w:rsidP="0059512A">
      <w:pPr>
        <w:widowControl/>
        <w:spacing w:line="360" w:lineRule="auto"/>
        <w:ind w:firstLine="1440"/>
        <w:rPr>
          <w:sz w:val="26"/>
          <w:szCs w:val="26"/>
        </w:rPr>
      </w:pPr>
    </w:p>
    <w:p w14:paraId="6C3226A9" w14:textId="06B73FDF" w:rsidR="0068069C" w:rsidRPr="0059512A" w:rsidRDefault="0068069C" w:rsidP="0059512A">
      <w:pPr>
        <w:widowControl/>
        <w:spacing w:line="360" w:lineRule="auto"/>
        <w:ind w:firstLine="1440"/>
        <w:rPr>
          <w:sz w:val="26"/>
          <w:szCs w:val="26"/>
        </w:rPr>
      </w:pPr>
      <w:r w:rsidRPr="0059512A">
        <w:rPr>
          <w:sz w:val="26"/>
          <w:szCs w:val="26"/>
        </w:rPr>
        <w:t>The ALJs observed that the main difference between I&amp;E’s selection criteria for its proxy group and the Company’s selection criteria</w:t>
      </w:r>
      <w:r w:rsidR="0009763D" w:rsidRPr="0059512A">
        <w:rPr>
          <w:sz w:val="26"/>
          <w:szCs w:val="26"/>
        </w:rPr>
        <w:t xml:space="preserve"> was that the Company’s proxy group excluded companies that did not have 70% or greater total operating income derived from, and 70% of total assets attributed to, regulated electric distribution operations in fiscal year 2017</w:t>
      </w:r>
      <w:r w:rsidR="00D149B2" w:rsidRPr="0059512A">
        <w:rPr>
          <w:sz w:val="26"/>
          <w:szCs w:val="26"/>
        </w:rPr>
        <w:t>;</w:t>
      </w:r>
      <w:r w:rsidR="0009763D" w:rsidRPr="0059512A">
        <w:rPr>
          <w:sz w:val="26"/>
          <w:szCs w:val="26"/>
        </w:rPr>
        <w:t xml:space="preserve"> where</w:t>
      </w:r>
      <w:r w:rsidR="00D149B2" w:rsidRPr="0059512A">
        <w:rPr>
          <w:sz w:val="26"/>
          <w:szCs w:val="26"/>
        </w:rPr>
        <w:t>as</w:t>
      </w:r>
      <w:r w:rsidR="0009763D" w:rsidRPr="0059512A">
        <w:rPr>
          <w:sz w:val="26"/>
          <w:szCs w:val="26"/>
        </w:rPr>
        <w:t xml:space="preserve"> I&amp;E’s witness claimed that more than 50% of revenue must come from regulated electrical activities and the company must operate in a deregulated state.  R.D. at 56.  </w:t>
      </w:r>
      <w:r w:rsidR="002E3045" w:rsidRPr="0059512A">
        <w:rPr>
          <w:sz w:val="26"/>
          <w:szCs w:val="26"/>
        </w:rPr>
        <w:t>Noting there was minimal discussion regarding the criteria, t</w:t>
      </w:r>
      <w:r w:rsidR="0009763D" w:rsidRPr="0059512A">
        <w:rPr>
          <w:sz w:val="26"/>
          <w:szCs w:val="26"/>
        </w:rPr>
        <w:t xml:space="preserve">he ALJs adopted the proxy group as proposed by the Company’s witness because the standard for the grouping appeared to be the more stringent, if only slightly so.  </w:t>
      </w:r>
      <w:r w:rsidR="0009763D" w:rsidRPr="0059512A">
        <w:rPr>
          <w:i/>
          <w:iCs/>
          <w:sz w:val="26"/>
          <w:szCs w:val="26"/>
        </w:rPr>
        <w:t>Id</w:t>
      </w:r>
      <w:r w:rsidR="0009763D" w:rsidRPr="0059512A">
        <w:rPr>
          <w:sz w:val="26"/>
          <w:szCs w:val="26"/>
        </w:rPr>
        <w:t xml:space="preserve">.  </w:t>
      </w:r>
    </w:p>
    <w:p w14:paraId="7723F220" w14:textId="77777777" w:rsidR="0068069C" w:rsidRPr="0059512A" w:rsidRDefault="0068069C" w:rsidP="0059512A">
      <w:pPr>
        <w:widowControl/>
        <w:spacing w:line="360" w:lineRule="auto"/>
        <w:ind w:firstLine="1440"/>
        <w:rPr>
          <w:sz w:val="26"/>
          <w:szCs w:val="26"/>
        </w:rPr>
      </w:pPr>
    </w:p>
    <w:p w14:paraId="104900B0" w14:textId="1FCD7EF8" w:rsidR="00D72F8B" w:rsidRPr="0059512A" w:rsidRDefault="00D72F8B" w:rsidP="0059512A">
      <w:pPr>
        <w:widowControl/>
        <w:spacing w:line="360" w:lineRule="auto"/>
        <w:ind w:firstLine="1440"/>
        <w:rPr>
          <w:sz w:val="26"/>
          <w:szCs w:val="26"/>
        </w:rPr>
      </w:pPr>
      <w:r w:rsidRPr="0059512A">
        <w:rPr>
          <w:sz w:val="26"/>
          <w:szCs w:val="26"/>
        </w:rPr>
        <w:t>No Party filed Exceptions on this issue.  Finding the ALJs’ recommendation to be reasonable, we adopt it without further comment.  Accordingly, we shall approve the use of the proxy group proposed by Citizens’ witness, Mr. D</w:t>
      </w:r>
      <w:r w:rsidR="004D1944">
        <w:rPr>
          <w:sz w:val="26"/>
          <w:szCs w:val="26"/>
        </w:rPr>
        <w:t>’</w:t>
      </w:r>
      <w:r w:rsidRPr="0059512A">
        <w:rPr>
          <w:sz w:val="26"/>
          <w:szCs w:val="26"/>
        </w:rPr>
        <w:t>Ascendis, as amended in his Rebuttal Testimony.</w:t>
      </w:r>
    </w:p>
    <w:p w14:paraId="6DB30614" w14:textId="77777777" w:rsidR="00A04630" w:rsidRPr="0059512A" w:rsidRDefault="00A04630" w:rsidP="0059512A">
      <w:pPr>
        <w:widowControl/>
        <w:spacing w:line="360" w:lineRule="auto"/>
        <w:rPr>
          <w:sz w:val="26"/>
          <w:szCs w:val="26"/>
        </w:rPr>
      </w:pPr>
    </w:p>
    <w:p w14:paraId="68CE32C4" w14:textId="20BEB866" w:rsidR="003222CA" w:rsidRPr="0059512A" w:rsidRDefault="003222CA" w:rsidP="0059512A">
      <w:pPr>
        <w:pStyle w:val="Heading4"/>
        <w:widowControl/>
      </w:pPr>
      <w:bookmarkStart w:id="33" w:name="_Toc38629267"/>
      <w:r w:rsidRPr="0059512A">
        <w:t>Discounted Cash Flow (DCF) Model</w:t>
      </w:r>
      <w:bookmarkEnd w:id="33"/>
    </w:p>
    <w:p w14:paraId="4AD5EF28" w14:textId="114CBEA3" w:rsidR="003222CA" w:rsidRPr="0059512A" w:rsidRDefault="003222CA" w:rsidP="0059512A">
      <w:pPr>
        <w:keepNext/>
        <w:widowControl/>
        <w:spacing w:line="360" w:lineRule="auto"/>
        <w:ind w:firstLine="1440"/>
        <w:rPr>
          <w:sz w:val="26"/>
          <w:szCs w:val="26"/>
        </w:rPr>
      </w:pPr>
    </w:p>
    <w:p w14:paraId="483A2138" w14:textId="27CE9125" w:rsidR="00D72F8B" w:rsidRPr="0059512A" w:rsidRDefault="00A24FAA" w:rsidP="0059512A">
      <w:pPr>
        <w:keepNext/>
        <w:widowControl/>
        <w:spacing w:line="360" w:lineRule="auto"/>
        <w:ind w:firstLine="1440"/>
        <w:rPr>
          <w:sz w:val="26"/>
          <w:szCs w:val="26"/>
        </w:rPr>
      </w:pPr>
      <w:r w:rsidRPr="0059512A">
        <w:rPr>
          <w:sz w:val="26"/>
          <w:szCs w:val="26"/>
        </w:rPr>
        <w:t xml:space="preserve">The DCF method applied to a proxy or barometer group of similar utilities has historically been the primary determinant utilized by the Commission.  </w:t>
      </w:r>
      <w:r w:rsidRPr="0059512A">
        <w:rPr>
          <w:i/>
          <w:sz w:val="26"/>
          <w:szCs w:val="26"/>
        </w:rPr>
        <w:t>Pa. PUC v. City of Lancaster – Bureau of Water</w:t>
      </w:r>
      <w:r w:rsidRPr="0059512A">
        <w:rPr>
          <w:sz w:val="26"/>
          <w:szCs w:val="26"/>
        </w:rPr>
        <w:t>, Docket No. R-2010-2179103 (Order entered July</w:t>
      </w:r>
      <w:r w:rsidR="00417616">
        <w:rPr>
          <w:sz w:val="26"/>
          <w:szCs w:val="26"/>
        </w:rPr>
        <w:t> </w:t>
      </w:r>
      <w:r w:rsidRPr="0059512A">
        <w:rPr>
          <w:sz w:val="26"/>
          <w:szCs w:val="26"/>
        </w:rPr>
        <w:t>14, 2011)</w:t>
      </w:r>
      <w:r w:rsidR="00D149B2" w:rsidRPr="0059512A">
        <w:rPr>
          <w:sz w:val="26"/>
          <w:szCs w:val="26"/>
        </w:rPr>
        <w:t xml:space="preserve"> (</w:t>
      </w:r>
      <w:r w:rsidR="00D149B2" w:rsidRPr="0059512A">
        <w:rPr>
          <w:i/>
          <w:iCs/>
          <w:sz w:val="26"/>
          <w:szCs w:val="26"/>
        </w:rPr>
        <w:t>City of Lancaster</w:t>
      </w:r>
      <w:r w:rsidR="00D149B2" w:rsidRPr="0059512A">
        <w:rPr>
          <w:sz w:val="26"/>
          <w:szCs w:val="26"/>
        </w:rPr>
        <w:t>)</w:t>
      </w:r>
      <w:r w:rsidRPr="0059512A">
        <w:rPr>
          <w:sz w:val="26"/>
          <w:szCs w:val="26"/>
        </w:rPr>
        <w:t xml:space="preserve"> at 56; </w:t>
      </w:r>
      <w:r w:rsidRPr="0059512A">
        <w:rPr>
          <w:i/>
          <w:sz w:val="26"/>
          <w:szCs w:val="26"/>
        </w:rPr>
        <w:t>Pa. PUC v. PPL Electric Utilities Corp</w:t>
      </w:r>
      <w:r w:rsidRPr="0059512A">
        <w:rPr>
          <w:sz w:val="26"/>
          <w:szCs w:val="26"/>
        </w:rPr>
        <w:t>., Docket No. R-00049255 (Order entered December 22, 2004)</w:t>
      </w:r>
      <w:r w:rsidR="00923EDF" w:rsidRPr="0059512A">
        <w:rPr>
          <w:sz w:val="26"/>
          <w:szCs w:val="26"/>
        </w:rPr>
        <w:t xml:space="preserve"> </w:t>
      </w:r>
      <w:r w:rsidRPr="0059512A">
        <w:rPr>
          <w:sz w:val="26"/>
          <w:szCs w:val="26"/>
        </w:rPr>
        <w:t xml:space="preserve">at 59.  The DCF model assumes that the market price of a stock is the present value of the future benefits of holding that stock.  These benefits are the future cash flows of holding the stock, </w:t>
      </w:r>
      <w:r w:rsidRPr="0059512A">
        <w:rPr>
          <w:i/>
          <w:sz w:val="26"/>
          <w:szCs w:val="26"/>
        </w:rPr>
        <w:t>i.e.</w:t>
      </w:r>
      <w:r w:rsidRPr="0059512A">
        <w:rPr>
          <w:sz w:val="26"/>
          <w:szCs w:val="26"/>
        </w:rPr>
        <w:t xml:space="preserve">, the dividends paid and the proceeds from the ultimate sale of the stock.  Because dollars received in the </w:t>
      </w:r>
      <w:r w:rsidRPr="0059512A">
        <w:rPr>
          <w:sz w:val="26"/>
          <w:szCs w:val="26"/>
        </w:rPr>
        <w:lastRenderedPageBreak/>
        <w:t>future are worth less than dollars received today, the cash flow must be “discounted” back to the present value at the investor’s rate of return</w:t>
      </w:r>
      <w:r w:rsidR="00923EDF" w:rsidRPr="0059512A">
        <w:rPr>
          <w:sz w:val="26"/>
          <w:szCs w:val="26"/>
        </w:rPr>
        <w:t>.</w:t>
      </w:r>
      <w:r w:rsidR="00D149B2" w:rsidRPr="0059512A">
        <w:rPr>
          <w:sz w:val="26"/>
          <w:szCs w:val="26"/>
        </w:rPr>
        <w:t xml:space="preserve">  </w:t>
      </w:r>
      <w:r w:rsidR="00D149B2" w:rsidRPr="0059512A">
        <w:rPr>
          <w:i/>
          <w:iCs/>
          <w:sz w:val="26"/>
          <w:szCs w:val="26"/>
        </w:rPr>
        <w:t>City of Lancaster</w:t>
      </w:r>
      <w:r w:rsidR="00D149B2" w:rsidRPr="0059512A">
        <w:rPr>
          <w:sz w:val="26"/>
          <w:szCs w:val="26"/>
        </w:rPr>
        <w:t xml:space="preserve"> at 56.</w:t>
      </w:r>
    </w:p>
    <w:p w14:paraId="55056837" w14:textId="77777777" w:rsidR="00173C65" w:rsidRPr="0059512A" w:rsidRDefault="00173C65" w:rsidP="0059512A">
      <w:pPr>
        <w:widowControl/>
        <w:spacing w:line="360" w:lineRule="auto"/>
        <w:rPr>
          <w:sz w:val="26"/>
          <w:szCs w:val="26"/>
        </w:rPr>
      </w:pPr>
    </w:p>
    <w:p w14:paraId="06261B22" w14:textId="64AA64E2" w:rsidR="00923EDF" w:rsidRPr="0059512A" w:rsidRDefault="00923EDF" w:rsidP="0059512A">
      <w:pPr>
        <w:widowControl/>
        <w:spacing w:line="360" w:lineRule="auto"/>
        <w:ind w:firstLine="1440"/>
        <w:rPr>
          <w:i/>
          <w:iCs/>
          <w:sz w:val="26"/>
          <w:szCs w:val="26"/>
        </w:rPr>
      </w:pPr>
      <w:r w:rsidRPr="0059512A">
        <w:rPr>
          <w:sz w:val="26"/>
          <w:szCs w:val="26"/>
        </w:rPr>
        <w:t xml:space="preserve">Regarding the issue of the appropriate DCF model for purposes of determining the cost of equity, the ALJs noted that </w:t>
      </w:r>
      <w:r w:rsidR="00724D6A" w:rsidRPr="0059512A">
        <w:rPr>
          <w:sz w:val="26"/>
          <w:szCs w:val="26"/>
        </w:rPr>
        <w:t xml:space="preserve">the average of the mean and median for each Party’s constant growth DCF model produce similar results.  R.D. at 62.  </w:t>
      </w:r>
      <w:r w:rsidRPr="0059512A">
        <w:rPr>
          <w:sz w:val="26"/>
          <w:szCs w:val="26"/>
        </w:rPr>
        <w:t xml:space="preserve">On the basis that the Parties’ proposed models produced similar results and each appeared reasonable, the ALJs elected to adopt the Company’s proposed DCF model on the slight strength of Citizens’ proposed proxy group.  </w:t>
      </w:r>
      <w:r w:rsidR="00D149B2" w:rsidRPr="0059512A">
        <w:rPr>
          <w:i/>
          <w:iCs/>
          <w:sz w:val="26"/>
          <w:szCs w:val="26"/>
        </w:rPr>
        <w:t>Id.</w:t>
      </w:r>
    </w:p>
    <w:p w14:paraId="7EEB92F5" w14:textId="77777777" w:rsidR="00923EDF" w:rsidRPr="0059512A" w:rsidRDefault="00923EDF" w:rsidP="0059512A">
      <w:pPr>
        <w:widowControl/>
        <w:spacing w:line="360" w:lineRule="auto"/>
        <w:ind w:firstLine="1440"/>
        <w:rPr>
          <w:sz w:val="26"/>
          <w:szCs w:val="26"/>
        </w:rPr>
      </w:pPr>
    </w:p>
    <w:p w14:paraId="2E71B645" w14:textId="70ECCDA5" w:rsidR="00923EDF" w:rsidRPr="0059512A" w:rsidRDefault="00923EDF" w:rsidP="0059512A">
      <w:pPr>
        <w:widowControl/>
        <w:spacing w:line="360" w:lineRule="auto"/>
        <w:ind w:firstLine="1440"/>
        <w:rPr>
          <w:sz w:val="26"/>
          <w:szCs w:val="26"/>
        </w:rPr>
      </w:pPr>
      <w:r w:rsidRPr="0059512A">
        <w:rPr>
          <w:sz w:val="26"/>
          <w:szCs w:val="26"/>
        </w:rPr>
        <w:t>No Party filed Exceptions on this issue.  Finding the ALJs’ recommendation to be reasonable, we adopt it without further comment.  Accordingly, we shall approve the use of Citizens’ proposed DCF model for purposes of determining the cost of equity.</w:t>
      </w:r>
    </w:p>
    <w:p w14:paraId="3565B9B4" w14:textId="77777777" w:rsidR="00923EDF" w:rsidRPr="0059512A" w:rsidRDefault="00923EDF" w:rsidP="0059512A">
      <w:pPr>
        <w:widowControl/>
        <w:spacing w:line="360" w:lineRule="auto"/>
        <w:ind w:firstLine="1440"/>
        <w:rPr>
          <w:sz w:val="26"/>
          <w:szCs w:val="26"/>
        </w:rPr>
      </w:pPr>
    </w:p>
    <w:p w14:paraId="402D3BAB" w14:textId="1FEE4489" w:rsidR="003222CA" w:rsidRPr="0059512A" w:rsidRDefault="003222CA" w:rsidP="0059512A">
      <w:pPr>
        <w:pStyle w:val="Heading4"/>
        <w:widowControl/>
      </w:pPr>
      <w:bookmarkStart w:id="34" w:name="_Toc38629268"/>
      <w:r w:rsidRPr="0059512A">
        <w:t>Capital Asset Pricing Model (CAPM)</w:t>
      </w:r>
      <w:bookmarkEnd w:id="34"/>
    </w:p>
    <w:p w14:paraId="42720200" w14:textId="77777777" w:rsidR="003222CA" w:rsidRPr="0059512A" w:rsidRDefault="003222CA" w:rsidP="0059512A">
      <w:pPr>
        <w:keepNext/>
        <w:widowControl/>
        <w:spacing w:line="360" w:lineRule="auto"/>
        <w:ind w:firstLine="1440"/>
        <w:rPr>
          <w:sz w:val="26"/>
          <w:szCs w:val="26"/>
        </w:rPr>
      </w:pPr>
    </w:p>
    <w:p w14:paraId="11ECE028" w14:textId="0CFD632C" w:rsidR="00192271" w:rsidRPr="0059512A" w:rsidRDefault="00192271" w:rsidP="0059512A">
      <w:pPr>
        <w:keepNext/>
        <w:widowControl/>
        <w:spacing w:line="360" w:lineRule="auto"/>
        <w:ind w:firstLine="1440"/>
        <w:rPr>
          <w:sz w:val="26"/>
          <w:szCs w:val="26"/>
        </w:rPr>
      </w:pPr>
      <w:r w:rsidRPr="0059512A">
        <w:rPr>
          <w:sz w:val="26"/>
          <w:szCs w:val="26"/>
        </w:rPr>
        <w:t>Regarding the issue of the appropriate CAPM, the ALJs noted that the Commission has traditionally utilized the CAPM method as a check on DCF results.  The ALJs also expressly noted they would not determine the reasonableness of the Parties’ respective CAPM results.  Instead, the ALJs relied upon the CAPM results to verify the reasonableness of each Parties’ DCF calculation.  R.D. at 63.  The ALJs reviewed the Parties’ respective proposals for a CAPM considering each Parties’ respective proposed DCF model.  R.D. at 64-65.  Noting that the Company’s witness Mr. D’Ascendis’ proposed calculations resulted in standalone CAPM ROE and DCF ROE which were both 8.27%, the ALJs concluded that the Company’s witness’ proposed DCF model appeared reasonable.  R.D. at 65.</w:t>
      </w:r>
    </w:p>
    <w:p w14:paraId="0CFA6F87" w14:textId="7C37DC6B" w:rsidR="004F2DA7" w:rsidRPr="0059512A" w:rsidRDefault="004F2DA7" w:rsidP="0059512A">
      <w:pPr>
        <w:widowControl/>
        <w:spacing w:line="360" w:lineRule="auto"/>
        <w:ind w:firstLine="1440"/>
        <w:rPr>
          <w:sz w:val="26"/>
          <w:szCs w:val="26"/>
        </w:rPr>
      </w:pPr>
    </w:p>
    <w:p w14:paraId="07757D22" w14:textId="00C99F88" w:rsidR="00192271" w:rsidRPr="0059512A" w:rsidRDefault="00192271" w:rsidP="0059512A">
      <w:pPr>
        <w:widowControl/>
        <w:spacing w:line="360" w:lineRule="auto"/>
        <w:ind w:firstLine="1440"/>
        <w:rPr>
          <w:sz w:val="26"/>
          <w:szCs w:val="26"/>
        </w:rPr>
      </w:pPr>
      <w:r w:rsidRPr="0059512A">
        <w:rPr>
          <w:sz w:val="26"/>
          <w:szCs w:val="26"/>
        </w:rPr>
        <w:lastRenderedPageBreak/>
        <w:t xml:space="preserve">No Party filed Exceptions on this issue.  Finding the ALJs’ recommendation to be reasonable, we adopt it without further comment.  Accordingly, we shall approve the use of Citizens’ proposed CAPM for purposes of verifying the reasonableness of the Company’s proposed DCF calculations. </w:t>
      </w:r>
    </w:p>
    <w:p w14:paraId="16F79D09" w14:textId="77777777" w:rsidR="00192271" w:rsidRPr="0059512A" w:rsidRDefault="00192271" w:rsidP="0059512A">
      <w:pPr>
        <w:widowControl/>
        <w:spacing w:line="360" w:lineRule="auto"/>
        <w:rPr>
          <w:sz w:val="26"/>
          <w:szCs w:val="26"/>
        </w:rPr>
      </w:pPr>
    </w:p>
    <w:p w14:paraId="4FE64E8C" w14:textId="28D34EED" w:rsidR="00A7091A" w:rsidRPr="0059512A" w:rsidRDefault="00A7091A" w:rsidP="0059512A">
      <w:pPr>
        <w:pStyle w:val="Heading2"/>
        <w:widowControl/>
        <w:numPr>
          <w:ilvl w:val="0"/>
          <w:numId w:val="3"/>
        </w:numPr>
        <w:ind w:hanging="720"/>
      </w:pPr>
      <w:bookmarkStart w:id="35" w:name="_Toc38629269"/>
      <w:r w:rsidRPr="0059512A">
        <w:t>Taxes</w:t>
      </w:r>
      <w:bookmarkEnd w:id="35"/>
    </w:p>
    <w:p w14:paraId="3B761E1D" w14:textId="69009C04" w:rsidR="005B21A2" w:rsidRPr="0059512A" w:rsidRDefault="005B21A2" w:rsidP="0059512A">
      <w:pPr>
        <w:keepNext/>
        <w:widowControl/>
        <w:spacing w:line="360" w:lineRule="auto"/>
        <w:rPr>
          <w:sz w:val="26"/>
          <w:szCs w:val="26"/>
        </w:rPr>
      </w:pPr>
    </w:p>
    <w:p w14:paraId="6BE456B1" w14:textId="095F3730" w:rsidR="00A7091A" w:rsidRPr="0059512A" w:rsidRDefault="00A7091A" w:rsidP="0059512A">
      <w:pPr>
        <w:pStyle w:val="Heading3"/>
        <w:keepNext/>
        <w:numPr>
          <w:ilvl w:val="0"/>
          <w:numId w:val="21"/>
        </w:numPr>
        <w:ind w:left="1440" w:hanging="720"/>
      </w:pPr>
      <w:bookmarkStart w:id="36" w:name="_Toc38629270"/>
      <w:bookmarkStart w:id="37" w:name="_Hlk37139284"/>
      <w:r w:rsidRPr="0059512A">
        <w:t>Excess Deferred Income Taxes</w:t>
      </w:r>
      <w:r w:rsidR="00E877F6" w:rsidRPr="0059512A">
        <w:t xml:space="preserve"> (EDIT)</w:t>
      </w:r>
      <w:bookmarkEnd w:id="36"/>
    </w:p>
    <w:bookmarkEnd w:id="37"/>
    <w:p w14:paraId="576E2296" w14:textId="3731CC3A" w:rsidR="00A7091A" w:rsidRPr="0059512A" w:rsidRDefault="00A7091A" w:rsidP="0059512A">
      <w:pPr>
        <w:keepNext/>
        <w:widowControl/>
        <w:spacing w:line="360" w:lineRule="auto"/>
        <w:rPr>
          <w:sz w:val="26"/>
          <w:szCs w:val="26"/>
        </w:rPr>
      </w:pPr>
    </w:p>
    <w:p w14:paraId="0C74B0F4" w14:textId="6DBF80C8" w:rsidR="00A7091A" w:rsidRPr="0059512A" w:rsidRDefault="00A7091A" w:rsidP="0059512A">
      <w:pPr>
        <w:keepNext/>
        <w:widowControl/>
        <w:spacing w:line="360" w:lineRule="auto"/>
        <w:ind w:firstLine="1440"/>
        <w:rPr>
          <w:sz w:val="26"/>
          <w:szCs w:val="26"/>
        </w:rPr>
      </w:pPr>
      <w:r w:rsidRPr="0059512A">
        <w:rPr>
          <w:sz w:val="26"/>
          <w:szCs w:val="26"/>
        </w:rPr>
        <w:t>Regarding the issue of EDIT which resulted from the reduction in the Federal</w:t>
      </w:r>
      <w:r w:rsidR="008D2777" w:rsidRPr="0059512A">
        <w:rPr>
          <w:sz w:val="26"/>
          <w:szCs w:val="26"/>
        </w:rPr>
        <w:t xml:space="preserve"> i</w:t>
      </w:r>
      <w:r w:rsidRPr="0059512A">
        <w:rPr>
          <w:sz w:val="26"/>
          <w:szCs w:val="26"/>
        </w:rPr>
        <w:t xml:space="preserve">ncome </w:t>
      </w:r>
      <w:r w:rsidR="008D2777" w:rsidRPr="0059512A">
        <w:rPr>
          <w:sz w:val="26"/>
          <w:szCs w:val="26"/>
        </w:rPr>
        <w:t>t</w:t>
      </w:r>
      <w:r w:rsidRPr="0059512A">
        <w:rPr>
          <w:sz w:val="26"/>
          <w:szCs w:val="26"/>
        </w:rPr>
        <w:t xml:space="preserve">ax rate for corporations from 35% to 21% due to passage of the TCJA, the </w:t>
      </w:r>
      <w:r w:rsidR="00E877F6" w:rsidRPr="0059512A">
        <w:rPr>
          <w:sz w:val="26"/>
          <w:szCs w:val="26"/>
        </w:rPr>
        <w:t>P</w:t>
      </w:r>
      <w:r w:rsidRPr="0059512A">
        <w:rPr>
          <w:sz w:val="26"/>
          <w:szCs w:val="26"/>
        </w:rPr>
        <w:t>arties agreed that the EDIT should flow back to Citizens’ customers, however, disagreed on the date the flowback should commence.  R.D. at 79-82;</w:t>
      </w:r>
      <w:r w:rsidRPr="0059512A">
        <w:rPr>
          <w:i/>
          <w:iCs/>
          <w:sz w:val="26"/>
          <w:szCs w:val="26"/>
        </w:rPr>
        <w:t xml:space="preserve"> Tax Cuts and Jobs Act of 2017</w:t>
      </w:r>
      <w:r w:rsidRPr="0059512A">
        <w:rPr>
          <w:sz w:val="26"/>
          <w:szCs w:val="26"/>
        </w:rPr>
        <w:t>, Docket No. M-2018-2641242 (Order entered May 17, 2018).</w:t>
      </w:r>
    </w:p>
    <w:p w14:paraId="540F9088" w14:textId="74288C5E" w:rsidR="00A7091A" w:rsidRPr="0059512A" w:rsidRDefault="00A7091A" w:rsidP="0059512A">
      <w:pPr>
        <w:widowControl/>
        <w:spacing w:line="360" w:lineRule="auto"/>
        <w:ind w:firstLine="1440"/>
        <w:rPr>
          <w:sz w:val="26"/>
          <w:szCs w:val="26"/>
        </w:rPr>
      </w:pPr>
    </w:p>
    <w:p w14:paraId="529DDF9E" w14:textId="192FD1CD" w:rsidR="00A7091A" w:rsidRPr="0059512A" w:rsidRDefault="00A7091A" w:rsidP="0059512A">
      <w:pPr>
        <w:widowControl/>
        <w:spacing w:line="360" w:lineRule="auto"/>
        <w:ind w:firstLine="1440"/>
        <w:rPr>
          <w:sz w:val="26"/>
          <w:szCs w:val="26"/>
        </w:rPr>
      </w:pPr>
      <w:r w:rsidRPr="0059512A">
        <w:rPr>
          <w:sz w:val="26"/>
          <w:szCs w:val="26"/>
        </w:rPr>
        <w:t>Citizens’ argued that in 2018</w:t>
      </w:r>
      <w:r w:rsidR="00E877F6" w:rsidRPr="0059512A">
        <w:rPr>
          <w:sz w:val="26"/>
          <w:szCs w:val="26"/>
        </w:rPr>
        <w:t>,</w:t>
      </w:r>
      <w:r w:rsidRPr="0059512A">
        <w:rPr>
          <w:sz w:val="26"/>
          <w:szCs w:val="26"/>
        </w:rPr>
        <w:t xml:space="preserve"> Citizens’ commenced to flow back the EDIT to customers by amortizing the EDIT balance over a ten-year period.  Citizens’ St. 1 at</w:t>
      </w:r>
      <w:r w:rsidR="00417616">
        <w:rPr>
          <w:sz w:val="26"/>
          <w:szCs w:val="26"/>
        </w:rPr>
        <w:t> </w:t>
      </w:r>
      <w:r w:rsidRPr="0059512A">
        <w:rPr>
          <w:sz w:val="26"/>
          <w:szCs w:val="26"/>
        </w:rPr>
        <w:t xml:space="preserve">14.  </w:t>
      </w:r>
      <w:r w:rsidR="00825FB2" w:rsidRPr="0059512A">
        <w:rPr>
          <w:sz w:val="26"/>
          <w:szCs w:val="26"/>
        </w:rPr>
        <w:t xml:space="preserve">The </w:t>
      </w:r>
      <w:r w:rsidRPr="0059512A">
        <w:rPr>
          <w:sz w:val="26"/>
          <w:szCs w:val="26"/>
        </w:rPr>
        <w:t xml:space="preserve">OCA disagreed that Citizens’ had commenced the flow back of EDIT to its customers in 2018, where the rates did not change in 2018 to reflect the flowback for EDIT. </w:t>
      </w:r>
      <w:r w:rsidR="00825FB2" w:rsidRPr="0059512A">
        <w:rPr>
          <w:sz w:val="26"/>
          <w:szCs w:val="26"/>
        </w:rPr>
        <w:t xml:space="preserve"> </w:t>
      </w:r>
      <w:r w:rsidRPr="0059512A">
        <w:rPr>
          <w:sz w:val="26"/>
          <w:szCs w:val="26"/>
        </w:rPr>
        <w:t>OCA St. 2 at 19.</w:t>
      </w:r>
      <w:r w:rsidR="00825FB2" w:rsidRPr="0059512A">
        <w:rPr>
          <w:sz w:val="26"/>
          <w:szCs w:val="26"/>
        </w:rPr>
        <w:t xml:space="preserve">  The </w:t>
      </w:r>
      <w:r w:rsidRPr="0059512A">
        <w:rPr>
          <w:sz w:val="26"/>
          <w:szCs w:val="26"/>
        </w:rPr>
        <w:t xml:space="preserve">OCA noted that, instead, the rates were changed to reflect the reduction of the current Federal </w:t>
      </w:r>
      <w:r w:rsidR="008D2777" w:rsidRPr="0059512A">
        <w:rPr>
          <w:sz w:val="26"/>
          <w:szCs w:val="26"/>
        </w:rPr>
        <w:t>i</w:t>
      </w:r>
      <w:r w:rsidRPr="0059512A">
        <w:rPr>
          <w:sz w:val="26"/>
          <w:szCs w:val="26"/>
        </w:rPr>
        <w:t xml:space="preserve">ncome </w:t>
      </w:r>
      <w:r w:rsidR="008D2777" w:rsidRPr="0059512A">
        <w:rPr>
          <w:sz w:val="26"/>
          <w:szCs w:val="26"/>
        </w:rPr>
        <w:t>t</w:t>
      </w:r>
      <w:r w:rsidRPr="0059512A">
        <w:rPr>
          <w:sz w:val="26"/>
          <w:szCs w:val="26"/>
        </w:rPr>
        <w:t>ax expense included in rates.  OCA St. 2 at</w:t>
      </w:r>
      <w:r w:rsidR="0009383E" w:rsidRPr="0059512A">
        <w:rPr>
          <w:sz w:val="26"/>
          <w:szCs w:val="26"/>
        </w:rPr>
        <w:t> </w:t>
      </w:r>
      <w:r w:rsidRPr="0059512A">
        <w:rPr>
          <w:sz w:val="26"/>
          <w:szCs w:val="26"/>
        </w:rPr>
        <w:t>9</w:t>
      </w:r>
      <w:r w:rsidR="00825FB2" w:rsidRPr="0059512A">
        <w:rPr>
          <w:sz w:val="26"/>
          <w:szCs w:val="26"/>
        </w:rPr>
        <w:t xml:space="preserve">.  </w:t>
      </w:r>
    </w:p>
    <w:p w14:paraId="3A49481A" w14:textId="285FEF9A" w:rsidR="00A7091A" w:rsidRPr="0059512A" w:rsidRDefault="00A7091A" w:rsidP="0059512A">
      <w:pPr>
        <w:widowControl/>
        <w:spacing w:line="360" w:lineRule="auto"/>
        <w:ind w:firstLine="1440"/>
        <w:rPr>
          <w:sz w:val="26"/>
          <w:szCs w:val="26"/>
        </w:rPr>
      </w:pPr>
    </w:p>
    <w:p w14:paraId="6CFE539C" w14:textId="5304EDDB" w:rsidR="00825FB2" w:rsidRPr="0059512A" w:rsidRDefault="00825FB2" w:rsidP="0059512A">
      <w:pPr>
        <w:widowControl/>
        <w:spacing w:line="360" w:lineRule="auto"/>
        <w:ind w:firstLine="1440"/>
        <w:rPr>
          <w:sz w:val="26"/>
          <w:szCs w:val="26"/>
        </w:rPr>
      </w:pPr>
      <w:r w:rsidRPr="0059512A">
        <w:rPr>
          <w:sz w:val="26"/>
          <w:szCs w:val="26"/>
        </w:rPr>
        <w:t>The OCA argued that, since the rate</w:t>
      </w:r>
      <w:bookmarkStart w:id="38" w:name="_BA_Cite_DB3ABF_000835"/>
      <w:bookmarkEnd w:id="38"/>
      <w:r w:rsidRPr="0059512A">
        <w:rPr>
          <w:sz w:val="26"/>
          <w:szCs w:val="26"/>
        </w:rPr>
        <w:t xml:space="preserve">s do not appear to have been changed in 2018 to flow back the EDIT, an adjustment should be made on Schedule LKM-5 to reverse the flowback of EDIT reflected in the Company’s filing, thereby increasing the EDIT balance by $17,480 and reducing rate base by the same amount.  OCA St. 2 at 10, Sch. LKM-5.  </w:t>
      </w:r>
    </w:p>
    <w:p w14:paraId="0377BED7" w14:textId="5D23F6E4" w:rsidR="00A7091A" w:rsidRPr="0059512A" w:rsidRDefault="00A7091A" w:rsidP="0059512A">
      <w:pPr>
        <w:widowControl/>
        <w:spacing w:line="360" w:lineRule="auto"/>
        <w:ind w:firstLine="1440"/>
        <w:rPr>
          <w:sz w:val="26"/>
          <w:szCs w:val="26"/>
        </w:rPr>
      </w:pPr>
    </w:p>
    <w:p w14:paraId="47C36F7B" w14:textId="3009687B" w:rsidR="00825FB2" w:rsidRPr="0059512A" w:rsidRDefault="00825FB2" w:rsidP="0059512A">
      <w:pPr>
        <w:widowControl/>
        <w:spacing w:line="360" w:lineRule="auto"/>
        <w:ind w:firstLine="1440"/>
        <w:rPr>
          <w:sz w:val="26"/>
          <w:szCs w:val="26"/>
        </w:rPr>
      </w:pPr>
      <w:r w:rsidRPr="0059512A">
        <w:rPr>
          <w:sz w:val="26"/>
          <w:szCs w:val="26"/>
        </w:rPr>
        <w:lastRenderedPageBreak/>
        <w:t>The ALJs agreed with the OCA that Citizens’ had failed to provide any evidence that the 2018 rates had been changed to flow back the EDIT.  Therefore, the ALJs recommended an adjustment on S</w:t>
      </w:r>
      <w:bookmarkStart w:id="39" w:name="_BA_Cite_2D3727_000230"/>
      <w:bookmarkEnd w:id="39"/>
      <w:r w:rsidRPr="0059512A">
        <w:rPr>
          <w:sz w:val="26"/>
          <w:szCs w:val="26"/>
        </w:rPr>
        <w:t xml:space="preserve">chedule LMK-5 to reverse the flowback of the EDIT reflected in the Company’s filing, thereby increasing the EDIT balance by $17,480 and reducing rate base by the same amount.  R.D. at 82. </w:t>
      </w:r>
    </w:p>
    <w:p w14:paraId="73FA146B" w14:textId="77777777" w:rsidR="00FD2A9D" w:rsidRPr="0059512A" w:rsidRDefault="00FD2A9D" w:rsidP="0059512A">
      <w:pPr>
        <w:widowControl/>
        <w:spacing w:line="360" w:lineRule="auto"/>
        <w:ind w:firstLine="1440"/>
        <w:rPr>
          <w:sz w:val="26"/>
          <w:szCs w:val="26"/>
        </w:rPr>
      </w:pPr>
    </w:p>
    <w:p w14:paraId="09161E14" w14:textId="77777777" w:rsidR="00825FB2" w:rsidRPr="0059512A" w:rsidRDefault="00825FB2" w:rsidP="0059512A">
      <w:pPr>
        <w:widowControl/>
        <w:spacing w:line="360" w:lineRule="auto"/>
        <w:ind w:firstLine="1440"/>
        <w:rPr>
          <w:sz w:val="26"/>
          <w:szCs w:val="26"/>
        </w:rPr>
      </w:pPr>
      <w:r w:rsidRPr="0059512A">
        <w:rPr>
          <w:sz w:val="26"/>
          <w:szCs w:val="26"/>
        </w:rPr>
        <w:t>No Party filed Exceptions on this issue.  Finding the ALJs’ recommendation to be reasonable, we adopt it without further comment.  Accordingly, we shall approve an adjustment on the Company’s Schedule LMK-5 to reverse the flowback of the EDIT reflected in the Company’s filing, thereby increasing the EDIT balance by $17,480 and reducing rate base by the same amount.</w:t>
      </w:r>
    </w:p>
    <w:p w14:paraId="0BB2FF71" w14:textId="77777777" w:rsidR="00825FB2" w:rsidRPr="0059512A" w:rsidRDefault="00825FB2" w:rsidP="0059512A">
      <w:pPr>
        <w:widowControl/>
        <w:spacing w:line="360" w:lineRule="auto"/>
        <w:ind w:firstLine="1440"/>
        <w:rPr>
          <w:sz w:val="26"/>
          <w:szCs w:val="26"/>
        </w:rPr>
      </w:pPr>
    </w:p>
    <w:p w14:paraId="5E85CDC0" w14:textId="34ADFB70" w:rsidR="00825FB2" w:rsidRPr="0059512A" w:rsidRDefault="00825FB2" w:rsidP="0059512A">
      <w:pPr>
        <w:pStyle w:val="Heading3"/>
        <w:keepNext/>
        <w:keepLines/>
        <w:numPr>
          <w:ilvl w:val="0"/>
          <w:numId w:val="21"/>
        </w:numPr>
        <w:ind w:left="1440" w:hanging="720"/>
      </w:pPr>
      <w:bookmarkStart w:id="40" w:name="_Toc38629271"/>
      <w:r w:rsidRPr="0059512A">
        <w:t>Deferred Regulatory Liability</w:t>
      </w:r>
      <w:bookmarkEnd w:id="40"/>
    </w:p>
    <w:p w14:paraId="07FF8E89" w14:textId="720BE240" w:rsidR="00A7091A" w:rsidRPr="0059512A" w:rsidRDefault="00A7091A" w:rsidP="0059512A">
      <w:pPr>
        <w:keepNext/>
        <w:keepLines/>
        <w:widowControl/>
        <w:spacing w:line="360" w:lineRule="auto"/>
        <w:ind w:firstLine="1440"/>
        <w:rPr>
          <w:sz w:val="26"/>
          <w:szCs w:val="26"/>
        </w:rPr>
      </w:pPr>
    </w:p>
    <w:p w14:paraId="4CF3B233" w14:textId="6677AA28" w:rsidR="00A7091A" w:rsidRPr="0059512A" w:rsidRDefault="00825FB2" w:rsidP="0059512A">
      <w:pPr>
        <w:keepNext/>
        <w:keepLines/>
        <w:widowControl/>
        <w:spacing w:line="360" w:lineRule="auto"/>
        <w:ind w:firstLine="1440"/>
        <w:rPr>
          <w:sz w:val="26"/>
          <w:szCs w:val="26"/>
        </w:rPr>
      </w:pPr>
      <w:r w:rsidRPr="0059512A">
        <w:rPr>
          <w:sz w:val="26"/>
          <w:szCs w:val="26"/>
        </w:rPr>
        <w:t xml:space="preserve">Regarding the issue of </w:t>
      </w:r>
      <w:r w:rsidR="00E877F6" w:rsidRPr="0059512A">
        <w:rPr>
          <w:sz w:val="26"/>
          <w:szCs w:val="26"/>
        </w:rPr>
        <w:t>D</w:t>
      </w:r>
      <w:r w:rsidRPr="0059512A">
        <w:rPr>
          <w:sz w:val="26"/>
          <w:szCs w:val="26"/>
        </w:rPr>
        <w:t xml:space="preserve">eferred </w:t>
      </w:r>
      <w:r w:rsidR="00E877F6" w:rsidRPr="0059512A">
        <w:rPr>
          <w:sz w:val="26"/>
          <w:szCs w:val="26"/>
        </w:rPr>
        <w:t>R</w:t>
      </w:r>
      <w:r w:rsidRPr="0059512A">
        <w:rPr>
          <w:sz w:val="26"/>
          <w:szCs w:val="26"/>
        </w:rPr>
        <w:t xml:space="preserve">egulatory </w:t>
      </w:r>
      <w:r w:rsidR="00E877F6" w:rsidRPr="0059512A">
        <w:rPr>
          <w:sz w:val="26"/>
          <w:szCs w:val="26"/>
        </w:rPr>
        <w:t>L</w:t>
      </w:r>
      <w:r w:rsidRPr="0059512A">
        <w:rPr>
          <w:sz w:val="26"/>
          <w:szCs w:val="26"/>
        </w:rPr>
        <w:t>iability, the ALJs considered Citizens’ proposal to provide a final reconciliation of the TCJA Voluntary Surcharge within 120 days after new rates take effect, for purposes of compliance with the Commission’s direction to account for tax savings associated with the TCJA.  R.D. at</w:t>
      </w:r>
      <w:r w:rsidR="00417616">
        <w:rPr>
          <w:sz w:val="26"/>
          <w:szCs w:val="26"/>
        </w:rPr>
        <w:t> </w:t>
      </w:r>
      <w:r w:rsidRPr="0059512A">
        <w:rPr>
          <w:sz w:val="26"/>
          <w:szCs w:val="26"/>
        </w:rPr>
        <w:t>82</w:t>
      </w:r>
      <w:r w:rsidR="00417616">
        <w:rPr>
          <w:sz w:val="26"/>
          <w:szCs w:val="26"/>
        </w:rPr>
        <w:noBreakHyphen/>
      </w:r>
      <w:r w:rsidRPr="0059512A">
        <w:rPr>
          <w:sz w:val="26"/>
          <w:szCs w:val="26"/>
        </w:rPr>
        <w:t>83.  Citizens’ argued that the 2019 tax data, which is essential to the reconciliation of the TCJA Voluntary Surcharge, would not be available until March or April of 2020.  R.D. at 83.  The OCA opposed the Company’s proposal for reconciliation after the rates take effect, and argued that the reconciliation should be required prior to rates taking effect to allow for any over or under recovery to be reflected in the rates, thereby returning any due flowback to customers as soon as possible.  OCA St. 2 at 10; R.D. at</w:t>
      </w:r>
      <w:r w:rsidR="00417616">
        <w:rPr>
          <w:sz w:val="26"/>
          <w:szCs w:val="26"/>
        </w:rPr>
        <w:t> </w:t>
      </w:r>
      <w:r w:rsidRPr="0059512A">
        <w:rPr>
          <w:sz w:val="26"/>
          <w:szCs w:val="26"/>
        </w:rPr>
        <w:t>84.</w:t>
      </w:r>
    </w:p>
    <w:p w14:paraId="6F35F593" w14:textId="041AF760" w:rsidR="00825FB2" w:rsidRPr="0059512A" w:rsidRDefault="00825FB2" w:rsidP="0059512A">
      <w:pPr>
        <w:widowControl/>
        <w:spacing w:line="360" w:lineRule="auto"/>
        <w:ind w:firstLine="1440"/>
        <w:rPr>
          <w:sz w:val="26"/>
          <w:szCs w:val="26"/>
        </w:rPr>
      </w:pPr>
    </w:p>
    <w:p w14:paraId="1990D1CE" w14:textId="5BEE2FA0" w:rsidR="00825FB2" w:rsidRPr="0059512A" w:rsidRDefault="00825FB2" w:rsidP="0059512A">
      <w:pPr>
        <w:widowControl/>
        <w:spacing w:line="360" w:lineRule="auto"/>
        <w:ind w:firstLine="1440"/>
        <w:rPr>
          <w:sz w:val="26"/>
          <w:szCs w:val="26"/>
        </w:rPr>
      </w:pPr>
      <w:r w:rsidRPr="0059512A">
        <w:rPr>
          <w:sz w:val="26"/>
          <w:szCs w:val="26"/>
        </w:rPr>
        <w:t xml:space="preserve">The ALJs agreed with Citizens’ regarding the need to conduct a final reconciliation of the TCJA Voluntary Surcharge based upon the 2019 tax data, which </w:t>
      </w:r>
      <w:r w:rsidRPr="0059512A">
        <w:rPr>
          <w:sz w:val="26"/>
          <w:szCs w:val="26"/>
        </w:rPr>
        <w:lastRenderedPageBreak/>
        <w:t>would not be available until March or April 20</w:t>
      </w:r>
      <w:r w:rsidR="008D2777" w:rsidRPr="0059512A">
        <w:rPr>
          <w:sz w:val="26"/>
          <w:szCs w:val="26"/>
        </w:rPr>
        <w:t>20</w:t>
      </w:r>
      <w:r w:rsidRPr="0059512A">
        <w:rPr>
          <w:sz w:val="26"/>
          <w:szCs w:val="26"/>
        </w:rPr>
        <w:t>.</w:t>
      </w:r>
      <w:r w:rsidR="008D2777" w:rsidRPr="0059512A">
        <w:rPr>
          <w:rStyle w:val="FootnoteReference"/>
          <w:sz w:val="26"/>
          <w:szCs w:val="26"/>
        </w:rPr>
        <w:footnoteReference w:id="8"/>
      </w:r>
      <w:r w:rsidRPr="0059512A">
        <w:rPr>
          <w:sz w:val="26"/>
          <w:szCs w:val="26"/>
        </w:rPr>
        <w:t xml:space="preserve">  Therefore, the ALJs recommended adoption of the Company’s proposal for a final reconciliation of the TCJA Voluntary Surcharge to be completed within 120 days after the new rates take effect.</w:t>
      </w:r>
    </w:p>
    <w:p w14:paraId="5BA5F68C" w14:textId="77777777" w:rsidR="00FD2A9D" w:rsidRPr="0059512A" w:rsidRDefault="00FD2A9D" w:rsidP="0059512A">
      <w:pPr>
        <w:widowControl/>
        <w:spacing w:line="360" w:lineRule="auto"/>
        <w:ind w:firstLine="1440"/>
        <w:rPr>
          <w:sz w:val="26"/>
          <w:szCs w:val="26"/>
        </w:rPr>
      </w:pPr>
    </w:p>
    <w:p w14:paraId="689A0092" w14:textId="5A5A3C19" w:rsidR="00825FB2" w:rsidRPr="0059512A" w:rsidRDefault="00825FB2" w:rsidP="0059512A">
      <w:pPr>
        <w:widowControl/>
        <w:spacing w:line="360" w:lineRule="auto"/>
        <w:ind w:firstLine="1440"/>
        <w:rPr>
          <w:sz w:val="26"/>
          <w:szCs w:val="26"/>
        </w:rPr>
      </w:pPr>
      <w:r w:rsidRPr="0059512A">
        <w:rPr>
          <w:sz w:val="26"/>
          <w:szCs w:val="26"/>
        </w:rPr>
        <w:t>No Party filed Exceptions on this issue.  Finding the ALJs’ recommendation to be reasonable, we adopt it without further comment.  Accordingly, we shall adopt the Company’s proposal for a final reconciliation of the TCJA Voluntary Surcharge to be completed within 120 days after the new rates take effect.</w:t>
      </w:r>
    </w:p>
    <w:p w14:paraId="09A6C88D" w14:textId="77AD5EEA" w:rsidR="00825FB2" w:rsidRPr="0059512A" w:rsidRDefault="00825FB2" w:rsidP="0059512A">
      <w:pPr>
        <w:widowControl/>
        <w:spacing w:line="360" w:lineRule="auto"/>
        <w:ind w:firstLine="1440"/>
        <w:rPr>
          <w:sz w:val="26"/>
          <w:szCs w:val="26"/>
        </w:rPr>
      </w:pPr>
    </w:p>
    <w:p w14:paraId="3C426882" w14:textId="1204C15C" w:rsidR="00825FB2" w:rsidRPr="0059512A" w:rsidRDefault="00825FB2" w:rsidP="0059512A">
      <w:pPr>
        <w:pStyle w:val="Heading2"/>
        <w:widowControl/>
        <w:numPr>
          <w:ilvl w:val="0"/>
          <w:numId w:val="3"/>
        </w:numPr>
        <w:ind w:hanging="720"/>
      </w:pPr>
      <w:bookmarkStart w:id="41" w:name="_Toc38629272"/>
      <w:r w:rsidRPr="0059512A">
        <w:t>Rate Structure: Scale Back</w:t>
      </w:r>
      <w:bookmarkEnd w:id="41"/>
    </w:p>
    <w:p w14:paraId="511F2873" w14:textId="335F9DEB" w:rsidR="00825FB2" w:rsidRPr="0059512A" w:rsidRDefault="00825FB2" w:rsidP="0059512A">
      <w:pPr>
        <w:keepNext/>
        <w:widowControl/>
        <w:spacing w:line="360" w:lineRule="auto"/>
        <w:rPr>
          <w:sz w:val="26"/>
          <w:szCs w:val="26"/>
        </w:rPr>
      </w:pPr>
    </w:p>
    <w:p w14:paraId="46D883AE" w14:textId="771CF98E" w:rsidR="00DB2915" w:rsidRPr="0059512A" w:rsidRDefault="00DB2915" w:rsidP="0059512A">
      <w:pPr>
        <w:keepNext/>
        <w:widowControl/>
        <w:spacing w:line="360" w:lineRule="auto"/>
        <w:ind w:firstLine="1440"/>
        <w:rPr>
          <w:sz w:val="26"/>
          <w:szCs w:val="26"/>
        </w:rPr>
      </w:pPr>
      <w:r w:rsidRPr="0059512A">
        <w:rPr>
          <w:sz w:val="26"/>
          <w:szCs w:val="26"/>
        </w:rPr>
        <w:t xml:space="preserve">Regarding the issue of scale back, the ALJs noted that all </w:t>
      </w:r>
      <w:r w:rsidR="00E877F6" w:rsidRPr="0059512A">
        <w:rPr>
          <w:sz w:val="26"/>
          <w:szCs w:val="26"/>
        </w:rPr>
        <w:t>P</w:t>
      </w:r>
      <w:r w:rsidRPr="0059512A">
        <w:rPr>
          <w:sz w:val="26"/>
          <w:szCs w:val="26"/>
        </w:rPr>
        <w:t>arties generally agreed that any scale back which may occur should be proportionate.  R.D. at 123-124.  Citizens’ argued that, to preserve movement of each class closer to its actual cost to serve, a proportionate scale back is appropriate based on the allocated cost of service study methodology.  I&amp;E argued that, if the Commission grants less than the Company’s requested increase, the Commission should proportionally scale back rates based upon the cost of service study, however only if the rate classes received a proposed increase.</w:t>
      </w:r>
      <w:r w:rsidR="006D4707" w:rsidRPr="0059512A">
        <w:rPr>
          <w:sz w:val="26"/>
          <w:szCs w:val="26"/>
        </w:rPr>
        <w:t xml:space="preserve">  R.D. at 122 (citing I&amp;E St. 3-SR at 18).  </w:t>
      </w:r>
    </w:p>
    <w:p w14:paraId="763A078D" w14:textId="77777777" w:rsidR="00825FB2" w:rsidRPr="0059512A" w:rsidRDefault="00825FB2" w:rsidP="0059512A">
      <w:pPr>
        <w:widowControl/>
        <w:spacing w:line="360" w:lineRule="auto"/>
        <w:ind w:firstLine="1440"/>
        <w:rPr>
          <w:sz w:val="26"/>
          <w:szCs w:val="26"/>
        </w:rPr>
      </w:pPr>
    </w:p>
    <w:p w14:paraId="6BEBD505" w14:textId="4B4139E5" w:rsidR="00825FB2" w:rsidRPr="0059512A" w:rsidRDefault="006D4707" w:rsidP="0059512A">
      <w:pPr>
        <w:widowControl/>
        <w:spacing w:line="360" w:lineRule="auto"/>
        <w:ind w:firstLine="1440"/>
        <w:rPr>
          <w:sz w:val="26"/>
          <w:szCs w:val="26"/>
        </w:rPr>
      </w:pPr>
      <w:r w:rsidRPr="0059512A">
        <w:rPr>
          <w:sz w:val="26"/>
          <w:szCs w:val="26"/>
        </w:rPr>
        <w:t xml:space="preserve">Both I&amp;E and the OSBA argued that because a scale back would move the </w:t>
      </w:r>
      <w:r w:rsidR="00E877F6" w:rsidRPr="0059512A">
        <w:rPr>
          <w:sz w:val="26"/>
          <w:szCs w:val="26"/>
        </w:rPr>
        <w:t>Municipal Boulevard and Street Lighting Service (</w:t>
      </w:r>
      <w:r w:rsidRPr="0059512A">
        <w:rPr>
          <w:sz w:val="26"/>
          <w:szCs w:val="26"/>
        </w:rPr>
        <w:t>MBL</w:t>
      </w:r>
      <w:r w:rsidR="00E877F6" w:rsidRPr="0059512A">
        <w:rPr>
          <w:sz w:val="26"/>
          <w:szCs w:val="26"/>
        </w:rPr>
        <w:t>)</w:t>
      </w:r>
      <w:r w:rsidRPr="0059512A">
        <w:rPr>
          <w:sz w:val="26"/>
          <w:szCs w:val="26"/>
        </w:rPr>
        <w:t xml:space="preserve"> rate class farther from cost of service, it should not be included in any scale back of rates.  </w:t>
      </w:r>
      <w:r w:rsidR="00D54654" w:rsidRPr="0059512A">
        <w:rPr>
          <w:sz w:val="26"/>
          <w:szCs w:val="26"/>
        </w:rPr>
        <w:t>I&amp;E St. 3 at 42</w:t>
      </w:r>
      <w:r w:rsidR="00D54654">
        <w:rPr>
          <w:sz w:val="26"/>
          <w:szCs w:val="26"/>
        </w:rPr>
        <w:t xml:space="preserve">; </w:t>
      </w:r>
      <w:r w:rsidRPr="0059512A">
        <w:rPr>
          <w:sz w:val="26"/>
          <w:szCs w:val="26"/>
        </w:rPr>
        <w:t>OSBA St. 1 at 9</w:t>
      </w:r>
      <w:r w:rsidR="00D54654">
        <w:rPr>
          <w:sz w:val="26"/>
          <w:szCs w:val="26"/>
        </w:rPr>
        <w:t>.</w:t>
      </w:r>
    </w:p>
    <w:p w14:paraId="2DCF4B5A" w14:textId="5FADE037" w:rsidR="006D4707" w:rsidRPr="0059512A" w:rsidRDefault="006D4707" w:rsidP="0059512A">
      <w:pPr>
        <w:widowControl/>
        <w:spacing w:line="360" w:lineRule="auto"/>
        <w:ind w:firstLine="1440"/>
        <w:rPr>
          <w:sz w:val="26"/>
          <w:szCs w:val="26"/>
        </w:rPr>
      </w:pPr>
      <w:r w:rsidRPr="0059512A">
        <w:rPr>
          <w:sz w:val="26"/>
          <w:szCs w:val="26"/>
        </w:rPr>
        <w:lastRenderedPageBreak/>
        <w:t xml:space="preserve">The ALJs agreed with Citizens’ that, to preserve movement of each class closer to its actual cost to serve, a proportionate scale back is appropriate.  The ALJs also agreed that any scale back should be proportionate based on the allocated cost of service study methodology.  R.D. at 124.  </w:t>
      </w:r>
      <w:r w:rsidR="00D149B2" w:rsidRPr="0059512A">
        <w:rPr>
          <w:sz w:val="26"/>
          <w:szCs w:val="26"/>
        </w:rPr>
        <w:t>Furthermore, t</w:t>
      </w:r>
      <w:r w:rsidRPr="0059512A">
        <w:rPr>
          <w:sz w:val="26"/>
          <w:szCs w:val="26"/>
        </w:rPr>
        <w:t xml:space="preserve">he ALJs agreed with I&amp;E that if the Commission grants less than the Company’s requested increase, the Commission should proportionally scale back rates based upon the cost of service study, however only if the rate classes received a proposed increase.  The ALJs also agreed with both I&amp;E and the OSBA that because a scale back would move the MBL rate class farther from cost of service, it should not be included in any scale back of rates.  </w:t>
      </w:r>
      <w:r w:rsidRPr="0059512A">
        <w:rPr>
          <w:i/>
          <w:iCs/>
          <w:sz w:val="26"/>
          <w:szCs w:val="26"/>
        </w:rPr>
        <w:t>Id</w:t>
      </w:r>
      <w:r w:rsidRPr="0059512A">
        <w:rPr>
          <w:sz w:val="26"/>
          <w:szCs w:val="26"/>
        </w:rPr>
        <w:t xml:space="preserve">. </w:t>
      </w:r>
    </w:p>
    <w:p w14:paraId="5CE4D9E1" w14:textId="04E53B15" w:rsidR="00825FB2" w:rsidRPr="0059512A" w:rsidRDefault="00825FB2" w:rsidP="0059512A">
      <w:pPr>
        <w:widowControl/>
        <w:spacing w:line="360" w:lineRule="auto"/>
        <w:ind w:firstLine="1440"/>
        <w:rPr>
          <w:sz w:val="26"/>
          <w:szCs w:val="26"/>
        </w:rPr>
      </w:pPr>
    </w:p>
    <w:p w14:paraId="6342891A" w14:textId="0786CCD0" w:rsidR="00BF5624" w:rsidRPr="0059512A" w:rsidRDefault="00BF5624" w:rsidP="0059512A">
      <w:pPr>
        <w:widowControl/>
        <w:spacing w:line="360" w:lineRule="auto"/>
        <w:ind w:firstLine="1440"/>
        <w:rPr>
          <w:sz w:val="26"/>
          <w:szCs w:val="26"/>
        </w:rPr>
      </w:pPr>
      <w:bookmarkStart w:id="42" w:name="_Hlk38003619"/>
      <w:r w:rsidRPr="0059512A">
        <w:rPr>
          <w:sz w:val="26"/>
          <w:szCs w:val="26"/>
        </w:rPr>
        <w:t>Therefore, the ALJs recommended that the Commission adopt a proportional scale back of rates based upon the cost of service study, only if the rate classes received a proposed increase, with the exception of rate class MBL, as any scale back would only serve to move the MBL rate class farther from cost of service.  R.D. at</w:t>
      </w:r>
      <w:r w:rsidR="00E63ABF">
        <w:rPr>
          <w:sz w:val="26"/>
          <w:szCs w:val="26"/>
        </w:rPr>
        <w:t> </w:t>
      </w:r>
      <w:r w:rsidRPr="0059512A">
        <w:rPr>
          <w:sz w:val="26"/>
          <w:szCs w:val="26"/>
        </w:rPr>
        <w:t>124.</w:t>
      </w:r>
      <w:r w:rsidR="00515A35" w:rsidRPr="0059512A">
        <w:rPr>
          <w:sz w:val="26"/>
          <w:szCs w:val="26"/>
        </w:rPr>
        <w:t xml:space="preserve">  Additionally, the ALJs noted their recommendation to adopt I&amp;E’s customer charge adjustment, discussed </w:t>
      </w:r>
      <w:r w:rsidR="00515A35" w:rsidRPr="0059512A">
        <w:rPr>
          <w:i/>
          <w:iCs/>
          <w:sz w:val="26"/>
          <w:szCs w:val="26"/>
        </w:rPr>
        <w:t>infra</w:t>
      </w:r>
      <w:r w:rsidR="00515A35" w:rsidRPr="0059512A">
        <w:rPr>
          <w:sz w:val="26"/>
          <w:szCs w:val="26"/>
        </w:rPr>
        <w:t>, and therefore recommended adjusting the usage rates to meet class revenue requirements.</w:t>
      </w:r>
    </w:p>
    <w:bookmarkEnd w:id="42"/>
    <w:p w14:paraId="5AC112F1" w14:textId="3C0082BD" w:rsidR="00BF5624" w:rsidRPr="0059512A" w:rsidRDefault="00BF5624" w:rsidP="0059512A">
      <w:pPr>
        <w:widowControl/>
        <w:spacing w:line="360" w:lineRule="auto"/>
        <w:ind w:firstLine="1440"/>
        <w:rPr>
          <w:sz w:val="26"/>
          <w:szCs w:val="26"/>
        </w:rPr>
      </w:pPr>
    </w:p>
    <w:p w14:paraId="10506A6D" w14:textId="3F013C97" w:rsidR="00BF5624" w:rsidRPr="0059512A" w:rsidRDefault="00BF5624" w:rsidP="0059512A">
      <w:pPr>
        <w:widowControl/>
        <w:spacing w:line="360" w:lineRule="auto"/>
        <w:ind w:firstLine="1440"/>
        <w:rPr>
          <w:sz w:val="26"/>
          <w:szCs w:val="26"/>
        </w:rPr>
      </w:pPr>
      <w:r w:rsidRPr="0059512A">
        <w:rPr>
          <w:sz w:val="26"/>
          <w:szCs w:val="26"/>
        </w:rPr>
        <w:t>No Party filed Exceptions on this issue</w:t>
      </w:r>
      <w:r w:rsidR="00EE30BA" w:rsidRPr="0059512A">
        <w:rPr>
          <w:sz w:val="26"/>
          <w:szCs w:val="26"/>
        </w:rPr>
        <w:t xml:space="preserve">.  </w:t>
      </w:r>
      <w:r w:rsidRPr="0059512A">
        <w:rPr>
          <w:sz w:val="26"/>
          <w:szCs w:val="26"/>
        </w:rPr>
        <w:t xml:space="preserve">Accordingly, we shall adopt a proportional scale back of rates based upon the cost of service study, only if the rate classes received a proposed increase, with the exception of rate class MBL, as any scale back would only serve to move the MBL rate class farther from cost of service. </w:t>
      </w:r>
      <w:r w:rsidR="00EE30BA" w:rsidRPr="0059512A">
        <w:rPr>
          <w:sz w:val="26"/>
          <w:szCs w:val="26"/>
        </w:rPr>
        <w:t xml:space="preserve"> </w:t>
      </w:r>
    </w:p>
    <w:p w14:paraId="5BF28455" w14:textId="77777777" w:rsidR="00A5581F" w:rsidRPr="0059512A" w:rsidRDefault="00A5581F" w:rsidP="0059512A">
      <w:pPr>
        <w:widowControl/>
        <w:spacing w:line="360" w:lineRule="auto"/>
        <w:contextualSpacing/>
        <w:rPr>
          <w:rFonts w:eastAsiaTheme="minorHAnsi"/>
          <w:sz w:val="26"/>
          <w:szCs w:val="26"/>
        </w:rPr>
      </w:pPr>
    </w:p>
    <w:p w14:paraId="29D17122" w14:textId="162E5332" w:rsidR="00C66238" w:rsidRPr="0059512A" w:rsidRDefault="00740971" w:rsidP="0059512A">
      <w:pPr>
        <w:widowControl/>
        <w:spacing w:line="360" w:lineRule="auto"/>
        <w:ind w:firstLine="1440"/>
        <w:contextualSpacing/>
        <w:rPr>
          <w:rFonts w:eastAsiaTheme="minorHAnsi"/>
          <w:sz w:val="26"/>
          <w:szCs w:val="26"/>
        </w:rPr>
      </w:pPr>
      <w:r w:rsidRPr="0059512A">
        <w:rPr>
          <w:rFonts w:eastAsiaTheme="minorHAnsi"/>
          <w:sz w:val="26"/>
          <w:szCs w:val="26"/>
        </w:rPr>
        <w:t>Considering</w:t>
      </w:r>
      <w:r w:rsidR="00A5581F" w:rsidRPr="0059512A">
        <w:rPr>
          <w:rFonts w:eastAsiaTheme="minorHAnsi"/>
          <w:sz w:val="26"/>
          <w:szCs w:val="26"/>
        </w:rPr>
        <w:t xml:space="preserve"> our </w:t>
      </w:r>
      <w:r w:rsidR="00567737" w:rsidRPr="0059512A">
        <w:rPr>
          <w:rFonts w:eastAsiaTheme="minorHAnsi"/>
          <w:sz w:val="26"/>
          <w:szCs w:val="26"/>
        </w:rPr>
        <w:t>adoption of the ALJs’ recommended customer charges; specifically, maintaining an $18.57 per month SH customer charge and</w:t>
      </w:r>
      <w:r w:rsidR="006C7AD5" w:rsidRPr="0059512A">
        <w:rPr>
          <w:rFonts w:eastAsiaTheme="minorHAnsi"/>
          <w:sz w:val="26"/>
          <w:szCs w:val="26"/>
        </w:rPr>
        <w:t xml:space="preserve"> limiting</w:t>
      </w:r>
      <w:r w:rsidR="00567737" w:rsidRPr="0059512A">
        <w:rPr>
          <w:rFonts w:eastAsiaTheme="minorHAnsi"/>
          <w:sz w:val="26"/>
          <w:szCs w:val="26"/>
        </w:rPr>
        <w:t xml:space="preserve"> the monthly RS customer charge to $13.00, we</w:t>
      </w:r>
      <w:r w:rsidR="00E03334" w:rsidRPr="0059512A">
        <w:rPr>
          <w:rFonts w:eastAsiaTheme="minorHAnsi"/>
          <w:sz w:val="26"/>
          <w:szCs w:val="26"/>
        </w:rPr>
        <w:t xml:space="preserve"> additionally</w:t>
      </w:r>
      <w:r w:rsidR="00567737" w:rsidRPr="0059512A">
        <w:rPr>
          <w:rFonts w:eastAsiaTheme="minorHAnsi"/>
          <w:sz w:val="26"/>
          <w:szCs w:val="26"/>
        </w:rPr>
        <w:t xml:space="preserve"> find that</w:t>
      </w:r>
      <w:r w:rsidR="00E03334" w:rsidRPr="0059512A">
        <w:rPr>
          <w:rFonts w:eastAsiaTheme="minorHAnsi"/>
          <w:sz w:val="26"/>
          <w:szCs w:val="26"/>
        </w:rPr>
        <w:t xml:space="preserve"> a </w:t>
      </w:r>
      <w:r w:rsidR="00567737" w:rsidRPr="0059512A">
        <w:rPr>
          <w:rFonts w:eastAsiaTheme="minorHAnsi"/>
          <w:sz w:val="26"/>
          <w:szCs w:val="26"/>
        </w:rPr>
        <w:t>scale back is most appropriately applied</w:t>
      </w:r>
      <w:r w:rsidR="006C7AD5" w:rsidRPr="0059512A">
        <w:rPr>
          <w:rFonts w:eastAsiaTheme="minorHAnsi"/>
          <w:sz w:val="26"/>
          <w:szCs w:val="26"/>
        </w:rPr>
        <w:t xml:space="preserve"> to the RS class usage rate until a usage rate revenue level is reached equal to that under present rates, </w:t>
      </w:r>
      <w:r w:rsidR="00E03334" w:rsidRPr="0059512A">
        <w:rPr>
          <w:rFonts w:eastAsiaTheme="minorHAnsi"/>
          <w:sz w:val="26"/>
          <w:szCs w:val="26"/>
        </w:rPr>
        <w:t xml:space="preserve">which </w:t>
      </w:r>
      <w:r w:rsidR="00DA5978" w:rsidRPr="0059512A">
        <w:rPr>
          <w:rFonts w:eastAsiaTheme="minorHAnsi"/>
          <w:sz w:val="26"/>
          <w:szCs w:val="26"/>
        </w:rPr>
        <w:t xml:space="preserve">we note </w:t>
      </w:r>
      <w:r w:rsidR="00E03334" w:rsidRPr="0059512A">
        <w:rPr>
          <w:rFonts w:eastAsiaTheme="minorHAnsi"/>
          <w:sz w:val="26"/>
          <w:szCs w:val="26"/>
        </w:rPr>
        <w:t>should also include our adoption of I&amp;E’s adjustment to the Company’s claimed present rate revenues</w:t>
      </w:r>
      <w:r w:rsidR="00DA5978" w:rsidRPr="0059512A">
        <w:rPr>
          <w:rFonts w:eastAsiaTheme="minorHAnsi"/>
          <w:sz w:val="26"/>
          <w:szCs w:val="26"/>
        </w:rPr>
        <w:t xml:space="preserve">, </w:t>
      </w:r>
      <w:r w:rsidR="00DA5978" w:rsidRPr="0059512A">
        <w:rPr>
          <w:rFonts w:eastAsiaTheme="minorHAnsi"/>
          <w:i/>
          <w:iCs/>
          <w:sz w:val="26"/>
          <w:szCs w:val="26"/>
        </w:rPr>
        <w:t>infra</w:t>
      </w:r>
      <w:r w:rsidR="006C7AD5" w:rsidRPr="0059512A">
        <w:rPr>
          <w:rFonts w:eastAsiaTheme="minorHAnsi"/>
          <w:sz w:val="26"/>
          <w:szCs w:val="26"/>
        </w:rPr>
        <w:t xml:space="preserve">.  Once that level </w:t>
      </w:r>
      <w:r w:rsidR="006C7AD5" w:rsidRPr="0059512A">
        <w:rPr>
          <w:rFonts w:eastAsiaTheme="minorHAnsi"/>
          <w:sz w:val="26"/>
          <w:szCs w:val="26"/>
        </w:rPr>
        <w:lastRenderedPageBreak/>
        <w:t>is reached</w:t>
      </w:r>
      <w:r w:rsidR="00DA5978" w:rsidRPr="0059512A">
        <w:rPr>
          <w:rFonts w:eastAsiaTheme="minorHAnsi"/>
          <w:sz w:val="26"/>
          <w:szCs w:val="26"/>
        </w:rPr>
        <w:t>,</w:t>
      </w:r>
      <w:r w:rsidR="006839B8" w:rsidRPr="0059512A">
        <w:rPr>
          <w:rFonts w:eastAsiaTheme="minorHAnsi"/>
          <w:sz w:val="26"/>
          <w:szCs w:val="26"/>
        </w:rPr>
        <w:t xml:space="preserve"> the $13.00 per month customer charge for the RS class should be scaled back, if required.  Our reasoning is based on the fact that the</w:t>
      </w:r>
      <w:r w:rsidR="004C141A" w:rsidRPr="0059512A">
        <w:rPr>
          <w:rFonts w:eastAsiaTheme="minorHAnsi"/>
          <w:sz w:val="26"/>
          <w:szCs w:val="26"/>
        </w:rPr>
        <w:t xml:space="preserve"> reduction to the </w:t>
      </w:r>
      <w:r w:rsidR="006839B8" w:rsidRPr="0059512A">
        <w:rPr>
          <w:rFonts w:eastAsiaTheme="minorHAnsi"/>
          <w:sz w:val="26"/>
          <w:szCs w:val="26"/>
        </w:rPr>
        <w:t xml:space="preserve">Company’s requested </w:t>
      </w:r>
      <w:r w:rsidR="004C141A" w:rsidRPr="0059512A">
        <w:rPr>
          <w:rFonts w:eastAsiaTheme="minorHAnsi"/>
          <w:sz w:val="26"/>
          <w:szCs w:val="26"/>
        </w:rPr>
        <w:t>RS class customer charge, as found appropriate in this Opinion and Order, has the effect of increasing the usage rates at the full requested revenue increase.  Therefore, the RS rate class usage rates should be scaled back prior to any scale back of the RS customer charge.  Likewise, since the findings in this Opinion and Order maintain the existing monthly customer charge of $18.57 for the SH class, we find it appropriate to</w:t>
      </w:r>
      <w:r w:rsidR="003D3AAC" w:rsidRPr="0059512A">
        <w:rPr>
          <w:rFonts w:eastAsiaTheme="minorHAnsi"/>
          <w:sz w:val="26"/>
          <w:szCs w:val="26"/>
        </w:rPr>
        <w:t xml:space="preserve"> adjust solely the usage rate for the SH class in order to reflect the level of scale back.</w:t>
      </w:r>
      <w:r w:rsidR="0067579A" w:rsidRPr="0059512A">
        <w:rPr>
          <w:rFonts w:eastAsiaTheme="minorHAnsi"/>
          <w:sz w:val="26"/>
          <w:szCs w:val="26"/>
        </w:rPr>
        <w:t xml:space="preserve">  For the </w:t>
      </w:r>
      <w:r w:rsidR="00AC5F71" w:rsidRPr="0059512A">
        <w:rPr>
          <w:rFonts w:eastAsiaTheme="minorHAnsi"/>
          <w:sz w:val="26"/>
          <w:szCs w:val="26"/>
        </w:rPr>
        <w:t>GLP-1 and OL classes</w:t>
      </w:r>
      <w:r w:rsidR="0067579A" w:rsidRPr="0059512A">
        <w:rPr>
          <w:rFonts w:eastAsiaTheme="minorHAnsi"/>
          <w:sz w:val="26"/>
          <w:szCs w:val="26"/>
        </w:rPr>
        <w:t xml:space="preserve"> we f</w:t>
      </w:r>
      <w:r w:rsidR="00AC5F71" w:rsidRPr="0059512A">
        <w:rPr>
          <w:rFonts w:eastAsiaTheme="minorHAnsi"/>
          <w:sz w:val="26"/>
          <w:szCs w:val="26"/>
        </w:rPr>
        <w:t xml:space="preserve">ind it appropriate to include the customer, demand, and usage rates in the revenue scale back for those classes.  </w:t>
      </w:r>
      <w:r w:rsidR="00C66238" w:rsidRPr="0059512A">
        <w:rPr>
          <w:rFonts w:eastAsiaTheme="minorHAnsi"/>
          <w:sz w:val="26"/>
          <w:szCs w:val="26"/>
        </w:rPr>
        <w:t>Furthermore, we find that the proportional scale back should be based upon the customer charges granted Citizens’ at the Company’s requested revenue increase</w:t>
      </w:r>
      <w:r w:rsidR="00A01866" w:rsidRPr="0059512A">
        <w:rPr>
          <w:rFonts w:eastAsiaTheme="minorHAnsi"/>
          <w:sz w:val="26"/>
          <w:szCs w:val="26"/>
        </w:rPr>
        <w:t>, since they are consistent with the customer costs evaluated in the Company’s own customer cost analysis</w:t>
      </w:r>
      <w:r w:rsidR="00D87BDA" w:rsidRPr="0059512A">
        <w:rPr>
          <w:rFonts w:eastAsiaTheme="minorHAnsi"/>
          <w:sz w:val="26"/>
          <w:szCs w:val="26"/>
        </w:rPr>
        <w:t>.  Rate class GLP-3 is excluded from any scale back since</w:t>
      </w:r>
      <w:r w:rsidR="00FD2A9D" w:rsidRPr="0059512A">
        <w:rPr>
          <w:rFonts w:eastAsiaTheme="minorHAnsi"/>
          <w:sz w:val="26"/>
          <w:szCs w:val="26"/>
        </w:rPr>
        <w:t xml:space="preserve"> that class will experience an overall bill </w:t>
      </w:r>
      <w:r w:rsidR="00EE30BA" w:rsidRPr="0059512A">
        <w:rPr>
          <w:rFonts w:eastAsiaTheme="minorHAnsi"/>
          <w:sz w:val="26"/>
          <w:szCs w:val="26"/>
        </w:rPr>
        <w:t>reduction</w:t>
      </w:r>
      <w:r w:rsidR="00FD2A9D" w:rsidRPr="0059512A">
        <w:rPr>
          <w:rFonts w:eastAsiaTheme="minorHAnsi"/>
          <w:sz w:val="26"/>
          <w:szCs w:val="26"/>
        </w:rPr>
        <w:t xml:space="preserve">.  </w:t>
      </w:r>
    </w:p>
    <w:p w14:paraId="6D50FDB8" w14:textId="77777777" w:rsidR="00AC5F71" w:rsidRPr="0059512A" w:rsidRDefault="00AC5F71" w:rsidP="0059512A">
      <w:pPr>
        <w:widowControl/>
        <w:spacing w:line="360" w:lineRule="auto"/>
        <w:ind w:firstLine="1440"/>
        <w:contextualSpacing/>
        <w:rPr>
          <w:rFonts w:eastAsiaTheme="minorHAnsi"/>
          <w:sz w:val="26"/>
          <w:szCs w:val="26"/>
        </w:rPr>
      </w:pPr>
    </w:p>
    <w:p w14:paraId="051ECB1E" w14:textId="07DA8A45" w:rsidR="00100C1D" w:rsidRPr="0059512A" w:rsidRDefault="00100C1D" w:rsidP="0059512A">
      <w:pPr>
        <w:pStyle w:val="Heading1"/>
        <w:keepNext/>
        <w:contextualSpacing/>
        <w:rPr>
          <w:szCs w:val="26"/>
        </w:rPr>
      </w:pPr>
      <w:bookmarkStart w:id="43" w:name="_Toc38629273"/>
      <w:bookmarkStart w:id="44" w:name="_Hlk36450586"/>
      <w:r w:rsidRPr="0059512A">
        <w:rPr>
          <w:szCs w:val="26"/>
        </w:rPr>
        <w:t>Review of Exceptions and Replies</w:t>
      </w:r>
      <w:bookmarkEnd w:id="43"/>
    </w:p>
    <w:p w14:paraId="31EA1789" w14:textId="7C959FD5" w:rsidR="00100C1D" w:rsidRPr="0059512A" w:rsidRDefault="00100C1D" w:rsidP="0059512A">
      <w:pPr>
        <w:pStyle w:val="Heading1"/>
        <w:keepNext/>
        <w:numPr>
          <w:ilvl w:val="0"/>
          <w:numId w:val="0"/>
        </w:numPr>
        <w:ind w:left="720"/>
        <w:contextualSpacing/>
        <w:jc w:val="left"/>
        <w:rPr>
          <w:szCs w:val="26"/>
        </w:rPr>
      </w:pPr>
    </w:p>
    <w:p w14:paraId="03D948C7" w14:textId="415E1890" w:rsidR="00100C1D" w:rsidRPr="0059512A" w:rsidRDefault="00100C1D" w:rsidP="0059512A">
      <w:pPr>
        <w:pStyle w:val="Heading2"/>
        <w:widowControl/>
        <w:numPr>
          <w:ilvl w:val="0"/>
          <w:numId w:val="15"/>
        </w:numPr>
        <w:ind w:hanging="720"/>
      </w:pPr>
      <w:bookmarkStart w:id="45" w:name="_Toc38629274"/>
      <w:bookmarkStart w:id="46" w:name="_Hlk37136395"/>
      <w:r w:rsidRPr="0059512A">
        <w:t>Rate Base</w:t>
      </w:r>
      <w:bookmarkEnd w:id="45"/>
    </w:p>
    <w:bookmarkEnd w:id="44"/>
    <w:bookmarkEnd w:id="46"/>
    <w:p w14:paraId="5DF75560" w14:textId="7B113A94" w:rsidR="000A48EB" w:rsidRPr="0059512A" w:rsidRDefault="000A48EB" w:rsidP="0059512A">
      <w:pPr>
        <w:keepNext/>
        <w:widowControl/>
        <w:spacing w:line="360" w:lineRule="auto"/>
        <w:contextualSpacing/>
        <w:rPr>
          <w:b/>
          <w:sz w:val="26"/>
          <w:szCs w:val="26"/>
        </w:rPr>
      </w:pPr>
    </w:p>
    <w:p w14:paraId="22404C1E" w14:textId="1C2BFB98" w:rsidR="002863A0" w:rsidRPr="0059512A" w:rsidRDefault="002863A0" w:rsidP="0059512A">
      <w:pPr>
        <w:keepNext/>
        <w:widowControl/>
        <w:spacing w:line="360" w:lineRule="auto"/>
        <w:ind w:firstLine="1440"/>
        <w:contextualSpacing/>
        <w:rPr>
          <w:rFonts w:eastAsiaTheme="minorHAnsi"/>
          <w:sz w:val="26"/>
          <w:szCs w:val="26"/>
        </w:rPr>
      </w:pPr>
      <w:r w:rsidRPr="0059512A">
        <w:rPr>
          <w:rFonts w:eastAsiaTheme="minorHAnsi"/>
          <w:sz w:val="26"/>
          <w:szCs w:val="26"/>
        </w:rPr>
        <w:t>The Company states that its claim for a new rate base is based on data for the FPFTY ending December 31, 2020.  Citizens’ M.B. at 16 (citing Citizens’ St. 1-R at</w:t>
      </w:r>
      <w:r w:rsidR="00E63ABF">
        <w:rPr>
          <w:rFonts w:eastAsiaTheme="minorHAnsi"/>
          <w:sz w:val="26"/>
          <w:szCs w:val="26"/>
        </w:rPr>
        <w:t> </w:t>
      </w:r>
      <w:r w:rsidRPr="0059512A">
        <w:rPr>
          <w:rFonts w:eastAsiaTheme="minorHAnsi"/>
          <w:sz w:val="26"/>
          <w:szCs w:val="26"/>
        </w:rPr>
        <w:t>2; Citizens’ Exh</w:t>
      </w:r>
      <w:r w:rsidR="00A75060" w:rsidRPr="0059512A">
        <w:rPr>
          <w:rFonts w:eastAsiaTheme="minorHAnsi"/>
          <w:sz w:val="26"/>
          <w:szCs w:val="26"/>
        </w:rPr>
        <w:t>._</w:t>
      </w:r>
      <w:r w:rsidRPr="0059512A">
        <w:rPr>
          <w:rFonts w:eastAsiaTheme="minorHAnsi"/>
          <w:sz w:val="26"/>
          <w:szCs w:val="26"/>
        </w:rPr>
        <w:t>(HSG-1R), Sch. C1(R)).  In addition, Citizens’ provided data for the HTY ending December 31, 2018.  Citizens’ M.B. at 16 (citing Citizens’ St. 1 at 5).</w:t>
      </w:r>
    </w:p>
    <w:p w14:paraId="17B4F0D8" w14:textId="77777777" w:rsidR="002863A0" w:rsidRPr="0059512A" w:rsidRDefault="002863A0" w:rsidP="0059512A">
      <w:pPr>
        <w:widowControl/>
        <w:spacing w:line="360" w:lineRule="auto"/>
        <w:ind w:firstLine="720"/>
        <w:rPr>
          <w:rFonts w:eastAsiaTheme="minorHAnsi"/>
          <w:sz w:val="26"/>
          <w:szCs w:val="26"/>
        </w:rPr>
      </w:pPr>
    </w:p>
    <w:p w14:paraId="13884F0F" w14:textId="77777777" w:rsidR="002863A0" w:rsidRPr="0059512A" w:rsidRDefault="002863A0" w:rsidP="0059512A">
      <w:pPr>
        <w:widowControl/>
        <w:spacing w:line="360" w:lineRule="auto"/>
        <w:rPr>
          <w:rFonts w:eastAsiaTheme="minorHAnsi"/>
          <w:sz w:val="26"/>
          <w:szCs w:val="26"/>
        </w:rPr>
      </w:pPr>
      <w:bookmarkStart w:id="47" w:name="_Hlk29369243"/>
      <w:r w:rsidRPr="0059512A">
        <w:rPr>
          <w:rFonts w:eastAsiaTheme="minorHAnsi"/>
          <w:sz w:val="26"/>
          <w:szCs w:val="26"/>
        </w:rPr>
        <w:tab/>
      </w:r>
      <w:r w:rsidRPr="0059512A">
        <w:rPr>
          <w:rFonts w:eastAsiaTheme="minorHAnsi"/>
          <w:sz w:val="26"/>
          <w:szCs w:val="26"/>
        </w:rPr>
        <w:tab/>
        <w:t>According to the Company, its final claimed rate base of $12,847,545 reflects all adjustments adopted by the Company in this proceedin</w:t>
      </w:r>
      <w:bookmarkEnd w:id="47"/>
      <w:r w:rsidRPr="0059512A">
        <w:rPr>
          <w:rFonts w:eastAsiaTheme="minorHAnsi"/>
          <w:sz w:val="26"/>
          <w:szCs w:val="26"/>
        </w:rPr>
        <w:t>g, which consists of:</w:t>
      </w:r>
    </w:p>
    <w:p w14:paraId="6F4DBBF4" w14:textId="77777777" w:rsidR="002863A0" w:rsidRPr="0059512A" w:rsidRDefault="002863A0" w:rsidP="00E63ABF">
      <w:pPr>
        <w:widowControl/>
        <w:rPr>
          <w:rFonts w:eastAsiaTheme="minorHAnsi"/>
          <w:sz w:val="26"/>
          <w:szCs w:val="26"/>
        </w:rPr>
      </w:pPr>
    </w:p>
    <w:p w14:paraId="143060C0" w14:textId="77777777" w:rsidR="002863A0" w:rsidRPr="0059512A" w:rsidRDefault="002863A0" w:rsidP="00E63ABF">
      <w:pPr>
        <w:widowControl/>
        <w:numPr>
          <w:ilvl w:val="0"/>
          <w:numId w:val="6"/>
        </w:numPr>
        <w:ind w:left="2160" w:right="1440" w:hanging="720"/>
        <w:rPr>
          <w:rFonts w:eastAsiaTheme="minorHAnsi"/>
          <w:sz w:val="26"/>
          <w:szCs w:val="26"/>
        </w:rPr>
      </w:pPr>
      <w:r w:rsidRPr="0059512A">
        <w:rPr>
          <w:rFonts w:eastAsiaTheme="minorHAnsi"/>
          <w:sz w:val="26"/>
          <w:szCs w:val="26"/>
        </w:rPr>
        <w:t>the original cost of its utility plant in service as of December 31, 2020;</w:t>
      </w:r>
    </w:p>
    <w:p w14:paraId="1EFC68D0" w14:textId="77777777" w:rsidR="002863A0" w:rsidRPr="0059512A" w:rsidRDefault="002863A0" w:rsidP="00E63ABF">
      <w:pPr>
        <w:widowControl/>
        <w:ind w:left="2160" w:right="1440" w:hanging="720"/>
        <w:rPr>
          <w:rFonts w:eastAsiaTheme="minorHAnsi"/>
          <w:sz w:val="26"/>
          <w:szCs w:val="26"/>
        </w:rPr>
      </w:pPr>
    </w:p>
    <w:p w14:paraId="544DBCD7" w14:textId="77777777" w:rsidR="002863A0" w:rsidRPr="0059512A" w:rsidRDefault="002863A0" w:rsidP="00E63ABF">
      <w:pPr>
        <w:widowControl/>
        <w:numPr>
          <w:ilvl w:val="0"/>
          <w:numId w:val="6"/>
        </w:numPr>
        <w:ind w:left="2160" w:right="1440" w:hanging="720"/>
        <w:rPr>
          <w:rFonts w:eastAsiaTheme="minorHAnsi"/>
          <w:sz w:val="26"/>
          <w:szCs w:val="26"/>
        </w:rPr>
      </w:pPr>
      <w:r w:rsidRPr="0059512A">
        <w:rPr>
          <w:rFonts w:eastAsiaTheme="minorHAnsi"/>
          <w:sz w:val="26"/>
          <w:szCs w:val="26"/>
          <w:u w:val="single"/>
        </w:rPr>
        <w:lastRenderedPageBreak/>
        <w:t>less</w:t>
      </w:r>
      <w:r w:rsidRPr="0059512A">
        <w:rPr>
          <w:rFonts w:eastAsiaTheme="minorHAnsi"/>
          <w:sz w:val="26"/>
          <w:szCs w:val="26"/>
        </w:rPr>
        <w:t xml:space="preserve">: accumulated depreciation; accumulated deferred income taxes (ADIT); excess deferred income taxes (EDIT); and customer deposits; and </w:t>
      </w:r>
    </w:p>
    <w:p w14:paraId="455276AC" w14:textId="77777777" w:rsidR="002863A0" w:rsidRPr="0059512A" w:rsidRDefault="002863A0" w:rsidP="00E63ABF">
      <w:pPr>
        <w:widowControl/>
        <w:ind w:left="2160" w:right="1440" w:hanging="720"/>
        <w:rPr>
          <w:rFonts w:eastAsiaTheme="minorHAnsi"/>
          <w:sz w:val="26"/>
          <w:szCs w:val="26"/>
        </w:rPr>
      </w:pPr>
    </w:p>
    <w:p w14:paraId="079F73EA" w14:textId="5EBBFFAE" w:rsidR="002863A0" w:rsidRPr="0059512A" w:rsidRDefault="002863A0" w:rsidP="00E63ABF">
      <w:pPr>
        <w:widowControl/>
        <w:numPr>
          <w:ilvl w:val="0"/>
          <w:numId w:val="6"/>
        </w:numPr>
        <w:ind w:left="2160" w:right="1440" w:hanging="720"/>
        <w:rPr>
          <w:rFonts w:eastAsiaTheme="minorHAnsi"/>
          <w:sz w:val="26"/>
          <w:szCs w:val="26"/>
        </w:rPr>
      </w:pPr>
      <w:r w:rsidRPr="0059512A">
        <w:rPr>
          <w:rFonts w:eastAsiaTheme="minorHAnsi"/>
          <w:sz w:val="26"/>
          <w:szCs w:val="26"/>
          <w:u w:val="single"/>
        </w:rPr>
        <w:t>plus</w:t>
      </w:r>
      <w:r w:rsidRPr="0059512A">
        <w:rPr>
          <w:rFonts w:eastAsiaTheme="minorHAnsi"/>
          <w:sz w:val="26"/>
          <w:szCs w:val="26"/>
        </w:rPr>
        <w:t>: CWIP</w:t>
      </w:r>
      <w:r w:rsidR="00E877F6" w:rsidRPr="0059512A">
        <w:rPr>
          <w:rFonts w:eastAsiaTheme="minorHAnsi"/>
          <w:sz w:val="26"/>
          <w:szCs w:val="26"/>
        </w:rPr>
        <w:t xml:space="preserve"> [Construction Work in Progress]</w:t>
      </w:r>
      <w:r w:rsidRPr="0059512A">
        <w:rPr>
          <w:rFonts w:eastAsiaTheme="minorHAnsi"/>
          <w:sz w:val="26"/>
          <w:szCs w:val="26"/>
        </w:rPr>
        <w:t>; accrued pension / OBEP liability; materials and supplies; and Cash Working Capital (CWC).</w:t>
      </w:r>
    </w:p>
    <w:p w14:paraId="0B2E79CE" w14:textId="77777777" w:rsidR="002863A0" w:rsidRPr="0059512A" w:rsidRDefault="002863A0" w:rsidP="00E63ABF">
      <w:pPr>
        <w:widowControl/>
        <w:spacing w:line="360" w:lineRule="auto"/>
        <w:ind w:left="1440" w:right="1440"/>
        <w:rPr>
          <w:rFonts w:eastAsiaTheme="minorHAnsi"/>
          <w:sz w:val="26"/>
          <w:szCs w:val="26"/>
        </w:rPr>
      </w:pPr>
    </w:p>
    <w:p w14:paraId="1103843E" w14:textId="77777777" w:rsidR="002863A0" w:rsidRPr="0059512A" w:rsidRDefault="002863A0" w:rsidP="0059512A">
      <w:pPr>
        <w:widowControl/>
        <w:spacing w:line="360" w:lineRule="auto"/>
        <w:rPr>
          <w:rFonts w:eastAsiaTheme="minorHAnsi"/>
          <w:sz w:val="26"/>
          <w:szCs w:val="26"/>
        </w:rPr>
      </w:pPr>
      <w:r w:rsidRPr="0059512A">
        <w:rPr>
          <w:rFonts w:eastAsiaTheme="minorHAnsi"/>
          <w:sz w:val="26"/>
          <w:szCs w:val="26"/>
        </w:rPr>
        <w:t xml:space="preserve">The Company notes that I&amp;E proposed changes to CWIP but did not dispute any other rate base components; and the OCA proposed adjustments to plant in service, CWIP, Materials and Supplies, Customer Deposits, Depreciation Expense, and EDIT.  Citizens’ M.B. at 16.  </w:t>
      </w:r>
    </w:p>
    <w:p w14:paraId="4EF4FF09" w14:textId="77777777" w:rsidR="002863A0" w:rsidRPr="0059512A" w:rsidRDefault="002863A0" w:rsidP="0059512A">
      <w:pPr>
        <w:widowControl/>
        <w:spacing w:line="360" w:lineRule="auto"/>
        <w:ind w:firstLine="720"/>
        <w:rPr>
          <w:rFonts w:eastAsiaTheme="minorHAnsi"/>
          <w:sz w:val="26"/>
          <w:szCs w:val="26"/>
        </w:rPr>
      </w:pPr>
    </w:p>
    <w:p w14:paraId="5F0145F6" w14:textId="4250C2BA" w:rsidR="002863A0" w:rsidRPr="0059512A" w:rsidRDefault="002863A0" w:rsidP="0059512A">
      <w:pPr>
        <w:widowControl/>
        <w:spacing w:line="360" w:lineRule="auto"/>
        <w:ind w:firstLine="1440"/>
        <w:rPr>
          <w:rFonts w:eastAsiaTheme="minorHAnsi"/>
          <w:sz w:val="26"/>
          <w:szCs w:val="26"/>
        </w:rPr>
      </w:pPr>
      <w:bookmarkStart w:id="48" w:name="_Hlk29369271"/>
      <w:r w:rsidRPr="0059512A">
        <w:rPr>
          <w:rFonts w:eastAsiaTheme="minorHAnsi"/>
          <w:sz w:val="26"/>
          <w:szCs w:val="26"/>
        </w:rPr>
        <w:t>Additionally, the Company explained that its claim for original cost utility plant in service of $26,687,785 is based on projected plant in service at the end of the FPFTY.  Citizens’ M.B. at 16-17 (citing Citizens’ Exh._(HSG-1), Schs. C1-6, C2, C3, E</w:t>
      </w:r>
      <w:r w:rsidR="00E63ABF">
        <w:rPr>
          <w:rFonts w:eastAsiaTheme="minorHAnsi"/>
          <w:sz w:val="26"/>
          <w:szCs w:val="26"/>
        </w:rPr>
        <w:noBreakHyphen/>
      </w:r>
      <w:r w:rsidRPr="0059512A">
        <w:rPr>
          <w:rFonts w:eastAsiaTheme="minorHAnsi"/>
          <w:sz w:val="26"/>
          <w:szCs w:val="26"/>
        </w:rPr>
        <w:t>1A).</w:t>
      </w:r>
      <w:bookmarkEnd w:id="48"/>
    </w:p>
    <w:p w14:paraId="256832A8" w14:textId="77777777" w:rsidR="002863A0" w:rsidRPr="0059512A" w:rsidRDefault="002863A0" w:rsidP="0059512A">
      <w:pPr>
        <w:widowControl/>
        <w:spacing w:line="360" w:lineRule="auto"/>
        <w:rPr>
          <w:b/>
          <w:sz w:val="26"/>
          <w:szCs w:val="26"/>
        </w:rPr>
      </w:pPr>
    </w:p>
    <w:p w14:paraId="771990B7" w14:textId="0C4BCD12" w:rsidR="002863A0" w:rsidRPr="0059512A" w:rsidRDefault="002863A0" w:rsidP="0059512A">
      <w:pPr>
        <w:pStyle w:val="Heading3"/>
        <w:keepNext/>
        <w:numPr>
          <w:ilvl w:val="0"/>
          <w:numId w:val="16"/>
        </w:numPr>
        <w:ind w:left="1440" w:hanging="720"/>
      </w:pPr>
      <w:bookmarkStart w:id="49" w:name="_Toc38629275"/>
      <w:bookmarkStart w:id="50" w:name="_Hlk36639992"/>
      <w:r w:rsidRPr="0059512A">
        <w:t>Utility Plant in Service and FPFTY</w:t>
      </w:r>
      <w:bookmarkEnd w:id="49"/>
    </w:p>
    <w:bookmarkEnd w:id="50"/>
    <w:p w14:paraId="01A5EDE5" w14:textId="77777777" w:rsidR="002863A0" w:rsidRPr="0059512A" w:rsidRDefault="002863A0" w:rsidP="0059512A">
      <w:pPr>
        <w:keepNext/>
        <w:widowControl/>
        <w:spacing w:line="360" w:lineRule="auto"/>
        <w:rPr>
          <w:b/>
          <w:sz w:val="26"/>
          <w:szCs w:val="26"/>
        </w:rPr>
      </w:pPr>
    </w:p>
    <w:p w14:paraId="49DFEB8A" w14:textId="40793A3C" w:rsidR="002863A0" w:rsidRPr="0059512A" w:rsidRDefault="002863A0" w:rsidP="0059512A">
      <w:pPr>
        <w:pStyle w:val="ListParagraph"/>
        <w:keepNext/>
        <w:widowControl/>
        <w:numPr>
          <w:ilvl w:val="1"/>
          <w:numId w:val="1"/>
        </w:numPr>
        <w:spacing w:line="360" w:lineRule="auto"/>
        <w:ind w:left="2160" w:hanging="720"/>
        <w:rPr>
          <w:b/>
          <w:bCs/>
          <w:sz w:val="26"/>
          <w:szCs w:val="26"/>
        </w:rPr>
      </w:pPr>
      <w:bookmarkStart w:id="51" w:name="_Hlk36451003"/>
      <w:r w:rsidRPr="0059512A">
        <w:rPr>
          <w:b/>
          <w:bCs/>
          <w:sz w:val="26"/>
          <w:szCs w:val="26"/>
        </w:rPr>
        <w:t>Positions of the Parties</w:t>
      </w:r>
    </w:p>
    <w:bookmarkEnd w:id="51"/>
    <w:p w14:paraId="6F3F958A" w14:textId="076512E1" w:rsidR="002863A0" w:rsidRPr="0059512A" w:rsidRDefault="002863A0" w:rsidP="0059512A">
      <w:pPr>
        <w:keepNext/>
        <w:widowControl/>
        <w:spacing w:line="360" w:lineRule="auto"/>
        <w:rPr>
          <w:b/>
          <w:sz w:val="26"/>
          <w:szCs w:val="26"/>
        </w:rPr>
      </w:pPr>
    </w:p>
    <w:p w14:paraId="6C7E519A" w14:textId="642BC00E" w:rsidR="002863A0" w:rsidRPr="0059512A" w:rsidRDefault="002863A0" w:rsidP="0059512A">
      <w:pPr>
        <w:keepNext/>
        <w:widowControl/>
        <w:spacing w:line="360" w:lineRule="auto"/>
        <w:ind w:firstLine="1440"/>
        <w:rPr>
          <w:rFonts w:eastAsiaTheme="minorHAnsi"/>
          <w:sz w:val="26"/>
          <w:szCs w:val="26"/>
        </w:rPr>
      </w:pPr>
      <w:r w:rsidRPr="0059512A">
        <w:rPr>
          <w:rFonts w:eastAsiaTheme="minorHAnsi"/>
          <w:sz w:val="26"/>
          <w:szCs w:val="26"/>
        </w:rPr>
        <w:t xml:space="preserve">The Company asserted that its rate claim – based on plant projected to be in service at the end of the FPFTY – is consistent with recent Commission direction.  Citizens’ M.B. at 17-18 (citing, in part, </w:t>
      </w:r>
      <w:bookmarkStart w:id="52" w:name="_Hlk33187469"/>
      <w:r w:rsidRPr="0059512A">
        <w:rPr>
          <w:rFonts w:eastAsiaTheme="minorHAnsi"/>
          <w:i/>
          <w:iCs/>
          <w:sz w:val="26"/>
          <w:szCs w:val="26"/>
        </w:rPr>
        <w:t xml:space="preserve">Pa. PUC </w:t>
      </w:r>
      <w:bookmarkEnd w:id="52"/>
      <w:r w:rsidRPr="0059512A">
        <w:rPr>
          <w:rFonts w:eastAsiaTheme="minorHAnsi"/>
          <w:i/>
          <w:iCs/>
          <w:sz w:val="26"/>
          <w:szCs w:val="26"/>
        </w:rPr>
        <w:t>v. UGI Utilities, Inc. – Electric Division</w:t>
      </w:r>
      <w:r w:rsidRPr="00E63ABF">
        <w:rPr>
          <w:rFonts w:eastAsiaTheme="minorHAnsi"/>
          <w:sz w:val="26"/>
          <w:szCs w:val="26"/>
        </w:rPr>
        <w:t xml:space="preserve">, </w:t>
      </w:r>
      <w:r w:rsidRPr="0059512A">
        <w:rPr>
          <w:rFonts w:eastAsiaTheme="minorHAnsi"/>
          <w:sz w:val="26"/>
          <w:szCs w:val="26"/>
        </w:rPr>
        <w:t>Docket No. R-2017-2640058 (Order entered October 25, 2018) (</w:t>
      </w:r>
      <w:r w:rsidRPr="0059512A">
        <w:rPr>
          <w:rFonts w:eastAsiaTheme="minorHAnsi"/>
          <w:i/>
          <w:iCs/>
          <w:sz w:val="26"/>
          <w:szCs w:val="26"/>
        </w:rPr>
        <w:t>UGI Order</w:t>
      </w:r>
      <w:r w:rsidRPr="0059512A">
        <w:rPr>
          <w:rFonts w:eastAsiaTheme="minorHAnsi"/>
          <w:sz w:val="26"/>
          <w:szCs w:val="26"/>
        </w:rPr>
        <w:t>) at</w:t>
      </w:r>
      <w:r w:rsidR="00E63ABF">
        <w:rPr>
          <w:rFonts w:eastAsiaTheme="minorHAnsi"/>
          <w:sz w:val="26"/>
          <w:szCs w:val="26"/>
        </w:rPr>
        <w:t> </w:t>
      </w:r>
      <w:r w:rsidRPr="0059512A">
        <w:rPr>
          <w:rFonts w:eastAsiaTheme="minorHAnsi"/>
          <w:sz w:val="26"/>
          <w:szCs w:val="26"/>
        </w:rPr>
        <w:t>23-26</w:t>
      </w:r>
      <w:bookmarkStart w:id="53" w:name="_Hlk29369842"/>
      <w:r w:rsidRPr="0059512A">
        <w:rPr>
          <w:rFonts w:eastAsiaTheme="minorHAnsi"/>
          <w:sz w:val="26"/>
          <w:szCs w:val="26"/>
        </w:rPr>
        <w:t>)</w:t>
      </w:r>
      <w:bookmarkEnd w:id="53"/>
      <w:r w:rsidRPr="0059512A">
        <w:rPr>
          <w:rFonts w:eastAsiaTheme="minorHAnsi"/>
          <w:sz w:val="26"/>
          <w:szCs w:val="26"/>
        </w:rPr>
        <w:t>; and 66 Pa. C.S. § 315(e))</w:t>
      </w:r>
      <w:r w:rsidR="00E63ABF" w:rsidRPr="0059512A">
        <w:rPr>
          <w:rFonts w:eastAsiaTheme="minorHAnsi"/>
          <w:sz w:val="26"/>
          <w:szCs w:val="26"/>
        </w:rPr>
        <w:t xml:space="preserve">. </w:t>
      </w:r>
      <w:r w:rsidR="00E63ABF">
        <w:rPr>
          <w:rFonts w:eastAsiaTheme="minorHAnsi"/>
          <w:sz w:val="26"/>
          <w:szCs w:val="26"/>
        </w:rPr>
        <w:t xml:space="preserve"> </w:t>
      </w:r>
      <w:r w:rsidRPr="0059512A">
        <w:rPr>
          <w:rFonts w:eastAsiaTheme="minorHAnsi"/>
          <w:sz w:val="26"/>
          <w:szCs w:val="26"/>
        </w:rPr>
        <w:t xml:space="preserve">The Company argued that, in the </w:t>
      </w:r>
      <w:r w:rsidRPr="0059512A">
        <w:rPr>
          <w:rFonts w:eastAsiaTheme="minorHAnsi"/>
          <w:i/>
          <w:iCs/>
          <w:sz w:val="26"/>
          <w:szCs w:val="26"/>
        </w:rPr>
        <w:t>UGI Order</w:t>
      </w:r>
      <w:r w:rsidRPr="0059512A">
        <w:rPr>
          <w:rFonts w:eastAsiaTheme="minorHAnsi"/>
          <w:sz w:val="26"/>
          <w:szCs w:val="26"/>
        </w:rPr>
        <w:t xml:space="preserve">, the Commission rejected arguments from the OCA based on Section 1315 of the Code, which requires electric utility projects to be “used and useful” before being included in the rate base.  Citizens’ M.B. at 18-19.  Citizens’ also cited to the Commission’s statement that by using an FPFTY, “a utility is essentially permitted to require ratepayers </w:t>
      </w:r>
      <w:r w:rsidRPr="0059512A">
        <w:rPr>
          <w:rFonts w:eastAsiaTheme="minorHAnsi"/>
          <w:sz w:val="26"/>
          <w:szCs w:val="26"/>
        </w:rPr>
        <w:lastRenderedPageBreak/>
        <w:t xml:space="preserve">to pre-pay a return on its projected investment in future facilities.”  Citizens’ M.B. at 19 (quoting </w:t>
      </w:r>
      <w:r w:rsidRPr="0059512A">
        <w:rPr>
          <w:rFonts w:eastAsiaTheme="minorHAnsi"/>
          <w:i/>
          <w:iCs/>
          <w:sz w:val="26"/>
          <w:szCs w:val="26"/>
        </w:rPr>
        <w:t>UGI Order</w:t>
      </w:r>
      <w:r w:rsidRPr="0059512A">
        <w:rPr>
          <w:rFonts w:eastAsiaTheme="minorHAnsi"/>
          <w:sz w:val="26"/>
          <w:szCs w:val="26"/>
        </w:rPr>
        <w:t xml:space="preserve"> at 24).  </w:t>
      </w:r>
    </w:p>
    <w:p w14:paraId="450D6A26" w14:textId="77777777" w:rsidR="002863A0" w:rsidRPr="0059512A" w:rsidRDefault="002863A0" w:rsidP="0059512A">
      <w:pPr>
        <w:widowControl/>
        <w:spacing w:line="360" w:lineRule="auto"/>
        <w:ind w:firstLine="720"/>
        <w:rPr>
          <w:rFonts w:eastAsiaTheme="minorHAnsi"/>
          <w:sz w:val="26"/>
          <w:szCs w:val="26"/>
        </w:rPr>
      </w:pPr>
    </w:p>
    <w:p w14:paraId="2EADFF42" w14:textId="2100171D" w:rsidR="002863A0" w:rsidRPr="0059512A" w:rsidRDefault="002863A0" w:rsidP="0059512A">
      <w:pPr>
        <w:widowControl/>
        <w:spacing w:line="360" w:lineRule="auto"/>
        <w:ind w:firstLine="1440"/>
        <w:rPr>
          <w:rFonts w:eastAsiaTheme="minorHAnsi"/>
          <w:sz w:val="26"/>
          <w:szCs w:val="26"/>
        </w:rPr>
      </w:pPr>
      <w:r w:rsidRPr="0059512A">
        <w:rPr>
          <w:rFonts w:eastAsiaTheme="minorHAnsi"/>
          <w:sz w:val="26"/>
          <w:szCs w:val="26"/>
        </w:rPr>
        <w:t>The Company also contended that the language of Act 11, which amended Section 315 of the Code, fully supports use of end of test year balances.  Citizens’ asserted that Act 11 does not contain a separate provision for the FPFTY, but instead adds the FPFTY to the existing statute authorizing use of a FTY.  According to the Company, the General Assembly: (1) expressly indicated that the FPFTY may include plant projected to be in service during the FPFTY; and (2) specifically noted that Section 1315, which codified the “used and useful” standard, provides no bar to including in rate base all plant added during the FPFTY.  Citizens’ M.B. at 19-20 (citing 66 Pa. C.S. §</w:t>
      </w:r>
      <w:r w:rsidR="00533645" w:rsidRPr="0059512A">
        <w:rPr>
          <w:rFonts w:eastAsiaTheme="minorHAnsi"/>
          <w:sz w:val="26"/>
          <w:szCs w:val="26"/>
        </w:rPr>
        <w:t> </w:t>
      </w:r>
      <w:r w:rsidRPr="0059512A">
        <w:rPr>
          <w:rFonts w:eastAsiaTheme="minorHAnsi"/>
          <w:sz w:val="26"/>
          <w:szCs w:val="26"/>
        </w:rPr>
        <w:t xml:space="preserve">315(e)). </w:t>
      </w:r>
    </w:p>
    <w:p w14:paraId="64265D71" w14:textId="77777777" w:rsidR="002863A0" w:rsidRPr="0059512A" w:rsidRDefault="002863A0" w:rsidP="0059512A">
      <w:pPr>
        <w:widowControl/>
        <w:spacing w:line="360" w:lineRule="auto"/>
        <w:ind w:firstLine="720"/>
        <w:rPr>
          <w:rFonts w:eastAsiaTheme="minorHAnsi"/>
          <w:sz w:val="26"/>
          <w:szCs w:val="26"/>
        </w:rPr>
      </w:pPr>
    </w:p>
    <w:p w14:paraId="2EDBA96B" w14:textId="54036170" w:rsidR="002863A0" w:rsidRPr="0059512A" w:rsidRDefault="002863A0" w:rsidP="0059512A">
      <w:pPr>
        <w:widowControl/>
        <w:spacing w:line="360" w:lineRule="auto"/>
        <w:ind w:firstLine="1440"/>
        <w:rPr>
          <w:rFonts w:eastAsiaTheme="minorHAnsi"/>
          <w:sz w:val="26"/>
          <w:szCs w:val="26"/>
        </w:rPr>
      </w:pPr>
      <w:r w:rsidRPr="0059512A">
        <w:rPr>
          <w:rFonts w:eastAsiaTheme="minorHAnsi"/>
          <w:sz w:val="26"/>
          <w:szCs w:val="26"/>
        </w:rPr>
        <w:t>Accordingly, the Company contend</w:t>
      </w:r>
      <w:r w:rsidR="00E877F6" w:rsidRPr="0059512A">
        <w:rPr>
          <w:rFonts w:eastAsiaTheme="minorHAnsi"/>
          <w:sz w:val="26"/>
          <w:szCs w:val="26"/>
        </w:rPr>
        <w:t>ed</w:t>
      </w:r>
      <w:r w:rsidRPr="0059512A">
        <w:rPr>
          <w:rFonts w:eastAsiaTheme="minorHAnsi"/>
          <w:sz w:val="26"/>
          <w:szCs w:val="26"/>
        </w:rPr>
        <w:t xml:space="preserve"> that the OCA’s proposal to use an average rate base would dramatically weaken the benefits provided by the </w:t>
      </w:r>
      <w:r w:rsidR="00954BB4">
        <w:rPr>
          <w:rFonts w:eastAsiaTheme="minorHAnsi"/>
          <w:sz w:val="26"/>
          <w:szCs w:val="26"/>
        </w:rPr>
        <w:t>L</w:t>
      </w:r>
      <w:r w:rsidRPr="0059512A">
        <w:rPr>
          <w:rFonts w:eastAsiaTheme="minorHAnsi"/>
          <w:sz w:val="26"/>
          <w:szCs w:val="26"/>
        </w:rPr>
        <w:t>egislature in adopting Act 11, by disallowing half of the additions budgeted between the end of the FTY and the end of the FPFTY (</w:t>
      </w:r>
      <w:r w:rsidRPr="0059512A">
        <w:rPr>
          <w:rFonts w:eastAsiaTheme="minorHAnsi"/>
          <w:i/>
          <w:iCs/>
          <w:sz w:val="26"/>
          <w:szCs w:val="26"/>
        </w:rPr>
        <w:t>e.g.</w:t>
      </w:r>
      <w:r w:rsidRPr="0059512A">
        <w:rPr>
          <w:rFonts w:eastAsiaTheme="minorHAnsi"/>
          <w:sz w:val="26"/>
          <w:szCs w:val="26"/>
        </w:rPr>
        <w:t>, allowing only $592,756 in plant additions in 2020, despite Citizens’ plan to add $1,185,512 of plant additions for the FPFTY).  Citizens’ M.B. at 21</w:t>
      </w:r>
      <w:bookmarkStart w:id="54" w:name="_Hlk29369886"/>
      <w:r w:rsidRPr="0059512A">
        <w:rPr>
          <w:rFonts w:eastAsiaTheme="minorHAnsi"/>
          <w:sz w:val="26"/>
          <w:szCs w:val="26"/>
        </w:rPr>
        <w:t xml:space="preserve"> (citing OCA St. 2, Sch. LKM-1</w:t>
      </w:r>
      <w:bookmarkEnd w:id="54"/>
      <w:r w:rsidRPr="0059512A">
        <w:rPr>
          <w:rFonts w:eastAsiaTheme="minorHAnsi"/>
          <w:sz w:val="26"/>
          <w:szCs w:val="26"/>
        </w:rPr>
        <w:t xml:space="preserve">).  </w:t>
      </w:r>
    </w:p>
    <w:p w14:paraId="3BFF40E4" w14:textId="77777777" w:rsidR="002863A0" w:rsidRPr="0059512A" w:rsidRDefault="002863A0" w:rsidP="0059512A">
      <w:pPr>
        <w:widowControl/>
        <w:spacing w:line="360" w:lineRule="auto"/>
        <w:ind w:firstLine="720"/>
        <w:rPr>
          <w:rFonts w:eastAsiaTheme="minorHAnsi"/>
          <w:sz w:val="26"/>
          <w:szCs w:val="26"/>
        </w:rPr>
      </w:pPr>
    </w:p>
    <w:p w14:paraId="4A694E8F" w14:textId="560189EB" w:rsidR="002863A0" w:rsidRPr="0059512A" w:rsidRDefault="002863A0" w:rsidP="0059512A">
      <w:pPr>
        <w:widowControl/>
        <w:spacing w:line="360" w:lineRule="auto"/>
        <w:ind w:firstLine="1440"/>
        <w:rPr>
          <w:rFonts w:eastAsiaTheme="minorHAnsi"/>
          <w:sz w:val="26"/>
          <w:szCs w:val="26"/>
        </w:rPr>
      </w:pPr>
      <w:r w:rsidRPr="0059512A">
        <w:rPr>
          <w:rFonts w:eastAsiaTheme="minorHAnsi"/>
          <w:sz w:val="26"/>
          <w:szCs w:val="26"/>
        </w:rPr>
        <w:t xml:space="preserve">The Company also submitted that the OCA’s proposal would cause first-year rates to become insufficient to cover the used and useful plant placed into service during that year.  According to Citizens’, this would effectively convert a fully projected future test year to a “partially projected half test year” which is inconsistent with the policy underlying Act 11.  Citizens’ M.B. at 21.  </w:t>
      </w:r>
    </w:p>
    <w:p w14:paraId="44F794B9" w14:textId="77777777" w:rsidR="002863A0" w:rsidRPr="0059512A" w:rsidRDefault="002863A0" w:rsidP="0059512A">
      <w:pPr>
        <w:widowControl/>
        <w:spacing w:line="360" w:lineRule="auto"/>
        <w:rPr>
          <w:rFonts w:eastAsiaTheme="minorHAnsi"/>
          <w:sz w:val="26"/>
          <w:szCs w:val="26"/>
        </w:rPr>
      </w:pPr>
    </w:p>
    <w:p w14:paraId="69114FB3" w14:textId="1434198B" w:rsidR="002863A0" w:rsidRPr="0059512A" w:rsidRDefault="002863A0" w:rsidP="0059512A">
      <w:pPr>
        <w:widowControl/>
        <w:spacing w:line="360" w:lineRule="auto"/>
        <w:ind w:firstLine="1440"/>
        <w:rPr>
          <w:rFonts w:eastAsiaTheme="minorHAnsi"/>
          <w:sz w:val="26"/>
          <w:szCs w:val="26"/>
        </w:rPr>
      </w:pPr>
      <w:r w:rsidRPr="0059512A">
        <w:rPr>
          <w:rFonts w:eastAsiaTheme="minorHAnsi"/>
          <w:sz w:val="26"/>
          <w:szCs w:val="26"/>
        </w:rPr>
        <w:t>In response, the OCA contended that although S</w:t>
      </w:r>
      <w:bookmarkStart w:id="55" w:name="_BA_Cite_811518_000287"/>
      <w:bookmarkEnd w:id="55"/>
      <w:r w:rsidRPr="0059512A">
        <w:rPr>
          <w:rFonts w:eastAsiaTheme="minorHAnsi"/>
          <w:sz w:val="26"/>
          <w:szCs w:val="26"/>
        </w:rPr>
        <w:t xml:space="preserve">ection 315 of the Code permits capital investments that are not used and useful on the first day of new rates to be included in an electric utility’s rate base during the FPFTY period, Act 11 does not </w:t>
      </w:r>
      <w:r w:rsidRPr="0059512A">
        <w:rPr>
          <w:rFonts w:eastAsiaTheme="minorHAnsi"/>
          <w:sz w:val="26"/>
          <w:szCs w:val="26"/>
        </w:rPr>
        <w:lastRenderedPageBreak/>
        <w:t>remove the requirement under S</w:t>
      </w:r>
      <w:bookmarkStart w:id="56" w:name="_BA_Cite_811518_000289"/>
      <w:bookmarkEnd w:id="56"/>
      <w:r w:rsidRPr="0059512A">
        <w:rPr>
          <w:rFonts w:eastAsiaTheme="minorHAnsi"/>
          <w:sz w:val="26"/>
          <w:szCs w:val="26"/>
        </w:rPr>
        <w:t xml:space="preserve">ection 1301 of the Code that rates be just and reasonable.  OCA M.B. at 10 (citing 66 Pa. C.S. § 1301).  </w:t>
      </w:r>
    </w:p>
    <w:p w14:paraId="582B85B4" w14:textId="77777777" w:rsidR="002863A0" w:rsidRPr="0059512A" w:rsidRDefault="002863A0" w:rsidP="0059512A">
      <w:pPr>
        <w:widowControl/>
        <w:spacing w:line="360" w:lineRule="auto"/>
        <w:rPr>
          <w:rFonts w:eastAsiaTheme="minorHAnsi"/>
          <w:sz w:val="26"/>
          <w:szCs w:val="26"/>
        </w:rPr>
      </w:pPr>
    </w:p>
    <w:p w14:paraId="18B53803" w14:textId="6E4AAC7A" w:rsidR="002863A0" w:rsidRPr="0059512A" w:rsidRDefault="002863A0" w:rsidP="0059512A">
      <w:pPr>
        <w:widowControl/>
        <w:spacing w:line="360" w:lineRule="auto"/>
        <w:ind w:firstLine="1440"/>
        <w:rPr>
          <w:rFonts w:eastAsiaTheme="minorHAnsi"/>
          <w:sz w:val="26"/>
          <w:szCs w:val="26"/>
        </w:rPr>
      </w:pPr>
      <w:r w:rsidRPr="0059512A">
        <w:rPr>
          <w:rFonts w:eastAsiaTheme="minorHAnsi"/>
          <w:sz w:val="26"/>
          <w:szCs w:val="26"/>
        </w:rPr>
        <w:t xml:space="preserve">The OCA argued that the end-of-year method would allow the Company to over-earn on its investment in the FPFTY while the annual average method recognizes that capital investments will be made throughout the first year that new rates are in effect.  The OCA submitted that the Company has not met its burden to demonstrate that the use of the end of the test year methodology for rate base results in just and reasonable rates.  Thus, the OCA asserted that the Commission should utilize the average rate base method for determining its rate base, resulting in </w:t>
      </w:r>
      <w:bookmarkStart w:id="57" w:name="_BA_Cite_811518_000237"/>
      <w:bookmarkStart w:id="58" w:name="_BA_Cite_811518_000247"/>
      <w:bookmarkStart w:id="59" w:name="_BA_Cite_811518_000173"/>
      <w:bookmarkEnd w:id="57"/>
      <w:bookmarkEnd w:id="58"/>
      <w:bookmarkEnd w:id="59"/>
      <w:r w:rsidRPr="0059512A">
        <w:rPr>
          <w:rFonts w:eastAsiaTheme="minorHAnsi"/>
          <w:sz w:val="26"/>
          <w:szCs w:val="26"/>
        </w:rPr>
        <w:t>a proposed change from the Company’s filed end of test year rate base to the OCA’s proposed average which would decrease the Company’s rate base by $592,756 from $26,687,785 to $26,095,029.  OCA M.B. at 12, 14-15 (citing OCA St. 1 at 4, Sch. SLS-3).</w:t>
      </w:r>
    </w:p>
    <w:p w14:paraId="7B329AF6" w14:textId="77777777" w:rsidR="002863A0" w:rsidRPr="0059512A" w:rsidRDefault="002863A0" w:rsidP="0059512A">
      <w:pPr>
        <w:widowControl/>
        <w:spacing w:line="360" w:lineRule="auto"/>
        <w:rPr>
          <w:rFonts w:eastAsiaTheme="minorHAnsi"/>
          <w:sz w:val="26"/>
          <w:szCs w:val="26"/>
        </w:rPr>
      </w:pPr>
    </w:p>
    <w:p w14:paraId="5F6FC155" w14:textId="6FBC8097" w:rsidR="002863A0" w:rsidRPr="0059512A" w:rsidRDefault="002863A0" w:rsidP="0059512A">
      <w:pPr>
        <w:widowControl/>
        <w:spacing w:line="360" w:lineRule="auto"/>
        <w:ind w:firstLine="1440"/>
        <w:rPr>
          <w:rFonts w:eastAsiaTheme="minorHAnsi"/>
          <w:sz w:val="26"/>
          <w:szCs w:val="26"/>
        </w:rPr>
      </w:pPr>
      <w:r w:rsidRPr="0059512A">
        <w:rPr>
          <w:rFonts w:eastAsiaTheme="minorHAnsi"/>
          <w:sz w:val="26"/>
          <w:szCs w:val="26"/>
        </w:rPr>
        <w:t xml:space="preserve">I&amp;E and the OSBA did not specifically address the issue of Citizens’ use of a FPFTY or the OCA’s recommendation that the Commission should utilize the average rate base method for determining Citizens’ rate base.  </w:t>
      </w:r>
    </w:p>
    <w:p w14:paraId="4B91F6F0" w14:textId="2D9E1E5D" w:rsidR="002863A0" w:rsidRPr="0059512A" w:rsidRDefault="002863A0" w:rsidP="0059512A">
      <w:pPr>
        <w:widowControl/>
        <w:spacing w:line="360" w:lineRule="auto"/>
        <w:rPr>
          <w:b/>
          <w:sz w:val="26"/>
          <w:szCs w:val="26"/>
        </w:rPr>
      </w:pPr>
    </w:p>
    <w:p w14:paraId="346A46AE" w14:textId="6E159116" w:rsidR="002863A0" w:rsidRPr="0059512A" w:rsidRDefault="002863A0" w:rsidP="0059512A">
      <w:pPr>
        <w:pStyle w:val="ListParagraph"/>
        <w:keepNext/>
        <w:widowControl/>
        <w:numPr>
          <w:ilvl w:val="1"/>
          <w:numId w:val="1"/>
        </w:numPr>
        <w:spacing w:line="360" w:lineRule="auto"/>
        <w:ind w:left="2160" w:hanging="720"/>
        <w:rPr>
          <w:b/>
          <w:bCs/>
          <w:sz w:val="26"/>
          <w:szCs w:val="26"/>
        </w:rPr>
      </w:pPr>
      <w:bookmarkStart w:id="60" w:name="_Hlk36451121"/>
      <w:r w:rsidRPr="0059512A">
        <w:rPr>
          <w:b/>
          <w:bCs/>
          <w:sz w:val="26"/>
          <w:szCs w:val="26"/>
        </w:rPr>
        <w:t>Recommended Decision</w:t>
      </w:r>
    </w:p>
    <w:bookmarkEnd w:id="60"/>
    <w:p w14:paraId="25FF92DB" w14:textId="58B19075" w:rsidR="002863A0" w:rsidRPr="0059512A" w:rsidRDefault="002863A0" w:rsidP="0059512A">
      <w:pPr>
        <w:keepNext/>
        <w:widowControl/>
        <w:spacing w:line="360" w:lineRule="auto"/>
        <w:rPr>
          <w:b/>
          <w:sz w:val="26"/>
          <w:szCs w:val="26"/>
        </w:rPr>
      </w:pPr>
    </w:p>
    <w:p w14:paraId="6B455410" w14:textId="77777777" w:rsidR="002863A0" w:rsidRPr="0059512A" w:rsidRDefault="002863A0" w:rsidP="0059512A">
      <w:pPr>
        <w:keepNext/>
        <w:widowControl/>
        <w:spacing w:line="360" w:lineRule="auto"/>
        <w:ind w:firstLine="1440"/>
        <w:rPr>
          <w:rFonts w:eastAsiaTheme="minorHAnsi"/>
          <w:sz w:val="26"/>
          <w:szCs w:val="26"/>
        </w:rPr>
      </w:pPr>
      <w:r w:rsidRPr="0059512A">
        <w:rPr>
          <w:rFonts w:eastAsiaTheme="minorHAnsi"/>
          <w:sz w:val="26"/>
          <w:szCs w:val="26"/>
        </w:rPr>
        <w:t xml:space="preserve">The ALJs agreed with the Company that using the FPFTY is appropriate and supported by law.  The ALJs emphasized the </w:t>
      </w:r>
      <w:r w:rsidRPr="0059512A">
        <w:rPr>
          <w:rFonts w:eastAsiaTheme="minorHAnsi"/>
          <w:i/>
          <w:iCs/>
          <w:sz w:val="26"/>
          <w:szCs w:val="26"/>
        </w:rPr>
        <w:t>UGI</w:t>
      </w:r>
      <w:r w:rsidRPr="0059512A">
        <w:rPr>
          <w:rFonts w:eastAsiaTheme="minorHAnsi"/>
          <w:sz w:val="26"/>
          <w:szCs w:val="26"/>
        </w:rPr>
        <w:t xml:space="preserve"> </w:t>
      </w:r>
      <w:r w:rsidRPr="0059512A">
        <w:rPr>
          <w:rFonts w:eastAsiaTheme="minorHAnsi"/>
          <w:i/>
          <w:iCs/>
          <w:sz w:val="26"/>
          <w:szCs w:val="26"/>
        </w:rPr>
        <w:t>Order</w:t>
      </w:r>
      <w:r w:rsidRPr="0059512A">
        <w:rPr>
          <w:rFonts w:eastAsiaTheme="minorHAnsi"/>
          <w:sz w:val="26"/>
          <w:szCs w:val="26"/>
        </w:rPr>
        <w:t xml:space="preserve">, wherein the Commission allowed the use of an FPFTY even though some of the utility plant in service might not be operational until the latter part of the FPFTY.  Additionally, the ALJs noted that the Commonwealth Court recently upheld the </w:t>
      </w:r>
      <w:r w:rsidRPr="0059512A">
        <w:rPr>
          <w:rFonts w:eastAsiaTheme="minorHAnsi"/>
          <w:i/>
          <w:iCs/>
          <w:sz w:val="26"/>
          <w:szCs w:val="26"/>
        </w:rPr>
        <w:t>UGI</w:t>
      </w:r>
      <w:r w:rsidRPr="0059512A">
        <w:rPr>
          <w:rFonts w:eastAsiaTheme="minorHAnsi"/>
          <w:sz w:val="26"/>
          <w:szCs w:val="26"/>
        </w:rPr>
        <w:t xml:space="preserve"> </w:t>
      </w:r>
      <w:r w:rsidRPr="0059512A">
        <w:rPr>
          <w:rFonts w:eastAsiaTheme="minorHAnsi"/>
          <w:i/>
          <w:iCs/>
          <w:sz w:val="26"/>
          <w:szCs w:val="26"/>
        </w:rPr>
        <w:t>Order</w:t>
      </w:r>
      <w:r w:rsidRPr="0059512A">
        <w:rPr>
          <w:rFonts w:eastAsiaTheme="minorHAnsi"/>
          <w:sz w:val="26"/>
          <w:szCs w:val="26"/>
        </w:rPr>
        <w:t xml:space="preserve"> on this issue on January 15, 2020, in </w:t>
      </w:r>
      <w:r w:rsidRPr="0059512A">
        <w:rPr>
          <w:rFonts w:eastAsiaTheme="minorHAnsi"/>
          <w:i/>
          <w:iCs/>
          <w:sz w:val="26"/>
          <w:szCs w:val="26"/>
        </w:rPr>
        <w:t>McCloskey v. Pa. PUC</w:t>
      </w:r>
      <w:r w:rsidRPr="00E63ABF">
        <w:rPr>
          <w:rFonts w:eastAsiaTheme="minorHAnsi"/>
          <w:sz w:val="26"/>
          <w:szCs w:val="26"/>
        </w:rPr>
        <w:t>,</w:t>
      </w:r>
      <w:r w:rsidRPr="0059512A">
        <w:rPr>
          <w:rFonts w:eastAsiaTheme="minorHAnsi"/>
          <w:sz w:val="26"/>
          <w:szCs w:val="26"/>
        </w:rPr>
        <w:t xml:space="preserve"> ___A.3d___, </w:t>
      </w:r>
      <w:r w:rsidRPr="0059512A">
        <w:rPr>
          <w:color w:val="000000"/>
          <w:sz w:val="26"/>
          <w:szCs w:val="26"/>
        </w:rPr>
        <w:t xml:space="preserve">1549 C.D. 2018, </w:t>
      </w:r>
      <w:r w:rsidRPr="0059512A">
        <w:rPr>
          <w:rFonts w:eastAsiaTheme="minorHAnsi"/>
          <w:sz w:val="26"/>
          <w:szCs w:val="26"/>
        </w:rPr>
        <w:t>2020 WL 215931 (Pa. Cmwlth. 2020) (</w:t>
      </w:r>
      <w:r w:rsidRPr="0059512A">
        <w:rPr>
          <w:rFonts w:eastAsiaTheme="minorHAnsi"/>
          <w:i/>
          <w:iCs/>
          <w:sz w:val="26"/>
          <w:szCs w:val="26"/>
        </w:rPr>
        <w:t>McCloskey</w:t>
      </w:r>
      <w:r w:rsidRPr="0059512A">
        <w:rPr>
          <w:rFonts w:eastAsiaTheme="minorHAnsi"/>
          <w:sz w:val="26"/>
          <w:szCs w:val="26"/>
        </w:rPr>
        <w:t xml:space="preserve">).  Thus, the ALJs determined that the Parties to this proceeding, and </w:t>
      </w:r>
      <w:r w:rsidRPr="0059512A">
        <w:rPr>
          <w:rFonts w:eastAsiaTheme="minorHAnsi"/>
          <w:sz w:val="26"/>
          <w:szCs w:val="26"/>
        </w:rPr>
        <w:lastRenderedPageBreak/>
        <w:t xml:space="preserve">subsequent rate proceedings, are bound by the Commission’s holding in the </w:t>
      </w:r>
      <w:r w:rsidRPr="0059512A">
        <w:rPr>
          <w:rFonts w:eastAsiaTheme="minorHAnsi"/>
          <w:i/>
          <w:iCs/>
          <w:sz w:val="26"/>
          <w:szCs w:val="26"/>
        </w:rPr>
        <w:t>UGI Order</w:t>
      </w:r>
      <w:r w:rsidRPr="0059512A">
        <w:rPr>
          <w:rFonts w:eastAsiaTheme="minorHAnsi"/>
          <w:sz w:val="26"/>
          <w:szCs w:val="26"/>
        </w:rPr>
        <w:t>.  R.D. at 8.</w:t>
      </w:r>
    </w:p>
    <w:p w14:paraId="5DB6D52F" w14:textId="77777777" w:rsidR="002863A0" w:rsidRPr="0059512A" w:rsidRDefault="002863A0" w:rsidP="0059512A">
      <w:pPr>
        <w:widowControl/>
        <w:spacing w:line="360" w:lineRule="auto"/>
        <w:rPr>
          <w:rFonts w:eastAsiaTheme="minorHAnsi"/>
          <w:sz w:val="26"/>
          <w:szCs w:val="26"/>
        </w:rPr>
      </w:pPr>
    </w:p>
    <w:p w14:paraId="4A1D5127" w14:textId="1E278B68" w:rsidR="002863A0" w:rsidRPr="0059512A" w:rsidRDefault="002863A0" w:rsidP="0059512A">
      <w:pPr>
        <w:widowControl/>
        <w:spacing w:line="360" w:lineRule="auto"/>
        <w:ind w:firstLine="1440"/>
        <w:rPr>
          <w:rFonts w:eastAsiaTheme="minorHAnsi"/>
          <w:sz w:val="26"/>
          <w:szCs w:val="26"/>
        </w:rPr>
      </w:pPr>
      <w:r w:rsidRPr="0059512A">
        <w:rPr>
          <w:rFonts w:eastAsiaTheme="minorHAnsi"/>
          <w:sz w:val="26"/>
          <w:szCs w:val="26"/>
        </w:rPr>
        <w:t xml:space="preserve">In addition, the ALJs rejected the OCA’s request to find the rate claims unjust and unreasonable pursuant to Section 1301 of the Code.  Reasoning that the </w:t>
      </w:r>
    </w:p>
    <w:p w14:paraId="61BF2047" w14:textId="29535E2E" w:rsidR="002863A0" w:rsidRPr="0059512A" w:rsidRDefault="002863A0" w:rsidP="0059512A">
      <w:pPr>
        <w:widowControl/>
        <w:spacing w:line="360" w:lineRule="auto"/>
        <w:rPr>
          <w:rFonts w:eastAsiaTheme="minorHAnsi"/>
          <w:sz w:val="26"/>
          <w:szCs w:val="26"/>
        </w:rPr>
      </w:pPr>
      <w:r w:rsidRPr="0059512A">
        <w:rPr>
          <w:rFonts w:eastAsiaTheme="minorHAnsi"/>
          <w:i/>
          <w:iCs/>
          <w:sz w:val="26"/>
          <w:szCs w:val="26"/>
        </w:rPr>
        <w:t>UGI</w:t>
      </w:r>
      <w:r w:rsidRPr="0059512A">
        <w:rPr>
          <w:rFonts w:eastAsiaTheme="minorHAnsi"/>
          <w:sz w:val="26"/>
          <w:szCs w:val="26"/>
        </w:rPr>
        <w:t xml:space="preserve"> </w:t>
      </w:r>
      <w:r w:rsidRPr="0059512A">
        <w:rPr>
          <w:rFonts w:eastAsiaTheme="minorHAnsi"/>
          <w:i/>
          <w:iCs/>
          <w:sz w:val="26"/>
          <w:szCs w:val="26"/>
        </w:rPr>
        <w:t xml:space="preserve">Order </w:t>
      </w:r>
      <w:r w:rsidRPr="0059512A">
        <w:rPr>
          <w:rFonts w:eastAsiaTheme="minorHAnsi"/>
          <w:sz w:val="26"/>
          <w:szCs w:val="26"/>
        </w:rPr>
        <w:t xml:space="preserve">did not otherwise override the provisions of Section 1301, the </w:t>
      </w:r>
      <w:bookmarkStart w:id="61" w:name="_Hlk37655972"/>
      <w:r w:rsidRPr="0059512A">
        <w:rPr>
          <w:rFonts w:eastAsiaTheme="minorHAnsi"/>
          <w:sz w:val="26"/>
          <w:szCs w:val="26"/>
        </w:rPr>
        <w:t>ALJs found no record evidence to show that the proposed rate base or rates are unjust or unreasonable</w:t>
      </w:r>
      <w:bookmarkEnd w:id="61"/>
      <w:r w:rsidRPr="0059512A">
        <w:rPr>
          <w:rFonts w:eastAsiaTheme="minorHAnsi"/>
          <w:sz w:val="26"/>
          <w:szCs w:val="26"/>
        </w:rPr>
        <w:t>.  In this regard, the ALJs noted that the OCA made no specific factual arguments in support of its contention that use of an FPFTY results in unjust or unreasonable rates.  Rather, the OCA merely argues that the Company will be earning interest for the whole FPFTY on an asset that is not put in service until the end of that year, which would constitute overearning on an investment.</w:t>
      </w:r>
      <w:r w:rsidR="006B04DA" w:rsidRPr="0059512A">
        <w:rPr>
          <w:rFonts w:eastAsiaTheme="minorHAnsi"/>
          <w:sz w:val="26"/>
          <w:szCs w:val="26"/>
        </w:rPr>
        <w:t xml:space="preserve">  </w:t>
      </w:r>
      <w:bookmarkStart w:id="62" w:name="_Hlk37656012"/>
      <w:r w:rsidRPr="0059512A">
        <w:rPr>
          <w:rFonts w:eastAsiaTheme="minorHAnsi"/>
          <w:sz w:val="26"/>
          <w:szCs w:val="26"/>
        </w:rPr>
        <w:t xml:space="preserve">According to the ALJs, this argument has already been rejected in the Commission’s </w:t>
      </w:r>
      <w:r w:rsidRPr="0059512A">
        <w:rPr>
          <w:rFonts w:eastAsiaTheme="minorHAnsi"/>
          <w:i/>
          <w:iCs/>
          <w:sz w:val="26"/>
          <w:szCs w:val="26"/>
        </w:rPr>
        <w:t>UGI Order</w:t>
      </w:r>
      <w:r w:rsidRPr="0059512A">
        <w:rPr>
          <w:rFonts w:eastAsiaTheme="minorHAnsi"/>
          <w:sz w:val="26"/>
          <w:szCs w:val="26"/>
        </w:rPr>
        <w:t xml:space="preserve"> and the Commonwealth Court’s </w:t>
      </w:r>
      <w:r w:rsidRPr="0059512A">
        <w:rPr>
          <w:rFonts w:eastAsiaTheme="minorHAnsi"/>
          <w:i/>
          <w:iCs/>
          <w:sz w:val="26"/>
          <w:szCs w:val="26"/>
        </w:rPr>
        <w:t>McCloskey</w:t>
      </w:r>
      <w:r w:rsidRPr="0059512A">
        <w:rPr>
          <w:rFonts w:eastAsiaTheme="minorHAnsi"/>
          <w:sz w:val="26"/>
          <w:szCs w:val="26"/>
        </w:rPr>
        <w:t xml:space="preserve"> decision.  R.D. at 8-9</w:t>
      </w:r>
      <w:bookmarkEnd w:id="62"/>
      <w:r w:rsidRPr="0059512A">
        <w:rPr>
          <w:rFonts w:eastAsiaTheme="minorHAnsi"/>
          <w:sz w:val="26"/>
          <w:szCs w:val="26"/>
        </w:rPr>
        <w:t>.</w:t>
      </w:r>
    </w:p>
    <w:p w14:paraId="7C463F32" w14:textId="77777777" w:rsidR="002863A0" w:rsidRPr="0059512A" w:rsidRDefault="002863A0" w:rsidP="0059512A">
      <w:pPr>
        <w:widowControl/>
        <w:spacing w:line="360" w:lineRule="auto"/>
        <w:rPr>
          <w:rFonts w:eastAsiaTheme="minorHAnsi"/>
          <w:sz w:val="26"/>
          <w:szCs w:val="26"/>
        </w:rPr>
      </w:pPr>
    </w:p>
    <w:p w14:paraId="2DF36796" w14:textId="543DB42D" w:rsidR="002863A0" w:rsidRPr="0059512A" w:rsidRDefault="002863A0" w:rsidP="0059512A">
      <w:pPr>
        <w:widowControl/>
        <w:spacing w:line="360" w:lineRule="auto"/>
        <w:ind w:firstLine="1440"/>
        <w:rPr>
          <w:rFonts w:eastAsiaTheme="minorHAnsi"/>
          <w:sz w:val="26"/>
          <w:szCs w:val="26"/>
        </w:rPr>
      </w:pPr>
      <w:r w:rsidRPr="0059512A">
        <w:rPr>
          <w:rFonts w:eastAsiaTheme="minorHAnsi"/>
          <w:sz w:val="26"/>
          <w:szCs w:val="26"/>
        </w:rPr>
        <w:t xml:space="preserve">The ALJs also noted that none of the other Parties to the proceeding objected to the Company’s use of an FPFTY.  Accordingly, the ALJs recommended that the Company be permitted to use an FPFTY in this proceeding.  </w:t>
      </w:r>
      <w:r w:rsidRPr="0059512A">
        <w:rPr>
          <w:rFonts w:eastAsiaTheme="minorHAnsi"/>
          <w:i/>
          <w:iCs/>
          <w:sz w:val="26"/>
          <w:szCs w:val="26"/>
        </w:rPr>
        <w:t>Id.</w:t>
      </w:r>
      <w:r w:rsidRPr="0059512A">
        <w:rPr>
          <w:rFonts w:eastAsiaTheme="minorHAnsi"/>
          <w:sz w:val="26"/>
          <w:szCs w:val="26"/>
        </w:rPr>
        <w:t xml:space="preserve"> at 9.  </w:t>
      </w:r>
    </w:p>
    <w:p w14:paraId="2EFFBB7C" w14:textId="59CE870F" w:rsidR="002863A0" w:rsidRPr="0059512A" w:rsidRDefault="002863A0" w:rsidP="0059512A">
      <w:pPr>
        <w:widowControl/>
        <w:spacing w:line="360" w:lineRule="auto"/>
        <w:rPr>
          <w:b/>
          <w:sz w:val="26"/>
          <w:szCs w:val="26"/>
        </w:rPr>
      </w:pPr>
    </w:p>
    <w:p w14:paraId="29436C3F" w14:textId="6EECF850" w:rsidR="001C2BE6" w:rsidRPr="0059512A" w:rsidRDefault="001C2BE6" w:rsidP="0059512A">
      <w:pPr>
        <w:pStyle w:val="ListParagraph"/>
        <w:keepNext/>
        <w:widowControl/>
        <w:numPr>
          <w:ilvl w:val="1"/>
          <w:numId w:val="1"/>
        </w:numPr>
        <w:spacing w:line="360" w:lineRule="auto"/>
        <w:ind w:left="2160" w:hanging="720"/>
        <w:rPr>
          <w:b/>
          <w:bCs/>
          <w:sz w:val="26"/>
          <w:szCs w:val="26"/>
        </w:rPr>
      </w:pPr>
      <w:r w:rsidRPr="0059512A">
        <w:rPr>
          <w:b/>
          <w:bCs/>
          <w:sz w:val="26"/>
          <w:szCs w:val="26"/>
        </w:rPr>
        <w:t>Exceptions and Replies</w:t>
      </w:r>
    </w:p>
    <w:p w14:paraId="63203C0A" w14:textId="66AC338E" w:rsidR="001C2BE6" w:rsidRPr="0059512A" w:rsidRDefault="001C2BE6" w:rsidP="0059512A">
      <w:pPr>
        <w:keepNext/>
        <w:widowControl/>
        <w:spacing w:line="360" w:lineRule="auto"/>
        <w:rPr>
          <w:b/>
          <w:sz w:val="26"/>
          <w:szCs w:val="26"/>
        </w:rPr>
      </w:pPr>
    </w:p>
    <w:p w14:paraId="137FA61B" w14:textId="77777777" w:rsidR="001C2BE6" w:rsidRPr="0059512A" w:rsidRDefault="001C2BE6" w:rsidP="0059512A">
      <w:pPr>
        <w:keepNext/>
        <w:widowControl/>
        <w:spacing w:line="360" w:lineRule="auto"/>
        <w:ind w:firstLine="1440"/>
        <w:rPr>
          <w:sz w:val="26"/>
          <w:szCs w:val="26"/>
        </w:rPr>
      </w:pPr>
      <w:r w:rsidRPr="0059512A">
        <w:rPr>
          <w:sz w:val="26"/>
          <w:szCs w:val="26"/>
        </w:rPr>
        <w:t>In its Exception No. 1, the OCA contends that the ALJs erred by accepting Citizens’ proposal, which will allow the Company to over-earn on investments, resulting in rates that are unjust and unreasonable.  Thus, in order to comply with the standard that rates be just and reasonable, the OCA takes the position that rates must be based on the average rate base projected to be used and useful in the FPFTY, which properly reflects the fact that plant is added throughout the year and not all at once on the first day of new rates.  OCA Exc. at 2-5.</w:t>
      </w:r>
    </w:p>
    <w:p w14:paraId="23141215" w14:textId="77777777" w:rsidR="001C2BE6" w:rsidRPr="0059512A" w:rsidRDefault="001C2BE6" w:rsidP="0059512A">
      <w:pPr>
        <w:widowControl/>
        <w:spacing w:line="360" w:lineRule="auto"/>
        <w:ind w:firstLine="1440"/>
        <w:rPr>
          <w:sz w:val="26"/>
          <w:szCs w:val="26"/>
        </w:rPr>
      </w:pPr>
    </w:p>
    <w:p w14:paraId="540672EA" w14:textId="583DF2AF" w:rsidR="001C2BE6" w:rsidRPr="0059512A" w:rsidRDefault="001C2BE6" w:rsidP="0059512A">
      <w:pPr>
        <w:widowControl/>
        <w:spacing w:line="360" w:lineRule="auto"/>
        <w:ind w:firstLine="1440"/>
        <w:rPr>
          <w:sz w:val="26"/>
          <w:szCs w:val="26"/>
        </w:rPr>
      </w:pPr>
      <w:r w:rsidRPr="0059512A">
        <w:rPr>
          <w:sz w:val="26"/>
          <w:szCs w:val="26"/>
        </w:rPr>
        <w:lastRenderedPageBreak/>
        <w:t xml:space="preserve">The OCA argues that the ALJs misstated the Commonwealth Court’s </w:t>
      </w:r>
      <w:r w:rsidR="00D149B2" w:rsidRPr="0059512A">
        <w:rPr>
          <w:sz w:val="26"/>
          <w:szCs w:val="26"/>
        </w:rPr>
        <w:t>determination</w:t>
      </w:r>
      <w:r w:rsidRPr="0059512A">
        <w:rPr>
          <w:sz w:val="26"/>
          <w:szCs w:val="26"/>
        </w:rPr>
        <w:t xml:space="preserve"> in </w:t>
      </w:r>
      <w:r w:rsidRPr="0059512A">
        <w:rPr>
          <w:i/>
          <w:iCs/>
          <w:sz w:val="26"/>
          <w:szCs w:val="26"/>
        </w:rPr>
        <w:t>McCloskey</w:t>
      </w:r>
      <w:r w:rsidRPr="0059512A">
        <w:rPr>
          <w:sz w:val="26"/>
          <w:szCs w:val="26"/>
        </w:rPr>
        <w:t xml:space="preserve">.  According to the OCA, the </w:t>
      </w:r>
      <w:r w:rsidR="00E877F6" w:rsidRPr="0059512A">
        <w:rPr>
          <w:sz w:val="26"/>
          <w:szCs w:val="26"/>
        </w:rPr>
        <w:t>C</w:t>
      </w:r>
      <w:r w:rsidRPr="0059512A">
        <w:rPr>
          <w:sz w:val="26"/>
          <w:szCs w:val="26"/>
        </w:rPr>
        <w:t xml:space="preserve">ourt did not conclude that all utilities are bound by the decision or that an average rate base could never be used.  The OCA asserts that the </w:t>
      </w:r>
      <w:r w:rsidR="00E877F6" w:rsidRPr="0059512A">
        <w:rPr>
          <w:sz w:val="26"/>
          <w:szCs w:val="26"/>
        </w:rPr>
        <w:t>C</w:t>
      </w:r>
      <w:r w:rsidRPr="0059512A">
        <w:rPr>
          <w:sz w:val="26"/>
          <w:szCs w:val="26"/>
        </w:rPr>
        <w:t xml:space="preserve">ourt instead found that the Commission retains the discretion to evaluate the matter and under the record presented in the </w:t>
      </w:r>
      <w:r w:rsidRPr="0059512A">
        <w:rPr>
          <w:i/>
          <w:iCs/>
          <w:sz w:val="26"/>
          <w:szCs w:val="26"/>
        </w:rPr>
        <w:t>UGI Order</w:t>
      </w:r>
      <w:r w:rsidRPr="0059512A">
        <w:rPr>
          <w:sz w:val="26"/>
          <w:szCs w:val="26"/>
        </w:rPr>
        <w:t xml:space="preserve"> it would not disturb the Commission’s determination.  Thus, the OCA submits that the Commission retains the discretion to require an average rate base calculation</w:t>
      </w:r>
      <w:r w:rsidR="00E877F6" w:rsidRPr="0059512A">
        <w:rPr>
          <w:sz w:val="26"/>
          <w:szCs w:val="26"/>
        </w:rPr>
        <w:t xml:space="preserve"> and</w:t>
      </w:r>
      <w:r w:rsidRPr="0059512A">
        <w:rPr>
          <w:sz w:val="26"/>
          <w:szCs w:val="26"/>
        </w:rPr>
        <w:t xml:space="preserve"> urges its use here because the record clearly shows an overstatement of earnings if the end</w:t>
      </w:r>
      <w:r w:rsidR="00E877F6" w:rsidRPr="0059512A">
        <w:rPr>
          <w:sz w:val="26"/>
          <w:szCs w:val="26"/>
        </w:rPr>
        <w:t>-</w:t>
      </w:r>
      <w:r w:rsidRPr="0059512A">
        <w:rPr>
          <w:sz w:val="26"/>
          <w:szCs w:val="26"/>
        </w:rPr>
        <w:t>of</w:t>
      </w:r>
      <w:r w:rsidR="00E877F6" w:rsidRPr="0059512A">
        <w:rPr>
          <w:sz w:val="26"/>
          <w:szCs w:val="26"/>
        </w:rPr>
        <w:t>-</w:t>
      </w:r>
      <w:r w:rsidRPr="0059512A">
        <w:rPr>
          <w:sz w:val="26"/>
          <w:szCs w:val="26"/>
        </w:rPr>
        <w:t>test year method is used.  OCA Exc. at 2-3.</w:t>
      </w:r>
    </w:p>
    <w:p w14:paraId="16735932" w14:textId="77777777" w:rsidR="001C2BE6" w:rsidRPr="0059512A" w:rsidRDefault="001C2BE6" w:rsidP="0059512A">
      <w:pPr>
        <w:widowControl/>
        <w:spacing w:line="360" w:lineRule="auto"/>
        <w:ind w:firstLine="1440"/>
        <w:rPr>
          <w:sz w:val="26"/>
          <w:szCs w:val="26"/>
        </w:rPr>
      </w:pPr>
    </w:p>
    <w:p w14:paraId="62319300" w14:textId="77777777" w:rsidR="001C2BE6" w:rsidRPr="0059512A" w:rsidRDefault="001C2BE6" w:rsidP="0059512A">
      <w:pPr>
        <w:widowControl/>
        <w:spacing w:line="360" w:lineRule="auto"/>
        <w:ind w:firstLine="1440"/>
        <w:rPr>
          <w:sz w:val="26"/>
          <w:szCs w:val="26"/>
        </w:rPr>
      </w:pPr>
      <w:r w:rsidRPr="0059512A">
        <w:rPr>
          <w:sz w:val="26"/>
          <w:szCs w:val="26"/>
        </w:rPr>
        <w:t xml:space="preserve">In addition, the OCA contends that the ALJs erroneously concluded that the OCA’s proposal would prevent the use of the FPFTY.  The OCA submits that its average method properly reflects the fact that plant is added throughout the year rather than all at once on the first day of new rates.  </w:t>
      </w:r>
      <w:r w:rsidRPr="0059512A">
        <w:rPr>
          <w:i/>
          <w:iCs/>
          <w:sz w:val="26"/>
          <w:szCs w:val="26"/>
        </w:rPr>
        <w:t>Id.</w:t>
      </w:r>
      <w:r w:rsidRPr="0059512A">
        <w:rPr>
          <w:sz w:val="26"/>
          <w:szCs w:val="26"/>
        </w:rPr>
        <w:t xml:space="preserve"> at 3.</w:t>
      </w:r>
      <w:r w:rsidRPr="0059512A">
        <w:rPr>
          <w:rStyle w:val="FootnoteReference"/>
          <w:sz w:val="26"/>
          <w:szCs w:val="26"/>
        </w:rPr>
        <w:footnoteReference w:id="9"/>
      </w:r>
      <w:r w:rsidRPr="0059512A">
        <w:rPr>
          <w:sz w:val="26"/>
          <w:szCs w:val="26"/>
        </w:rPr>
        <w:t xml:space="preserve">  </w:t>
      </w:r>
    </w:p>
    <w:p w14:paraId="22E15DEA" w14:textId="77777777" w:rsidR="001C2BE6" w:rsidRPr="0059512A" w:rsidRDefault="001C2BE6" w:rsidP="0059512A">
      <w:pPr>
        <w:widowControl/>
        <w:spacing w:line="360" w:lineRule="auto"/>
        <w:ind w:firstLine="1440"/>
        <w:rPr>
          <w:sz w:val="26"/>
          <w:szCs w:val="26"/>
        </w:rPr>
      </w:pPr>
    </w:p>
    <w:p w14:paraId="3ADC9799" w14:textId="77777777" w:rsidR="001C2BE6" w:rsidRPr="0059512A" w:rsidRDefault="001C2BE6" w:rsidP="0059512A">
      <w:pPr>
        <w:widowControl/>
        <w:spacing w:line="360" w:lineRule="auto"/>
        <w:ind w:firstLine="1440"/>
        <w:rPr>
          <w:rFonts w:eastAsiaTheme="minorHAnsi"/>
          <w:sz w:val="26"/>
          <w:szCs w:val="26"/>
        </w:rPr>
      </w:pPr>
      <w:r w:rsidRPr="0059512A">
        <w:rPr>
          <w:rFonts w:eastAsiaTheme="minorHAnsi"/>
          <w:sz w:val="26"/>
          <w:szCs w:val="26"/>
        </w:rPr>
        <w:t>Moreover, the OCA objects to the ALJs’ conclusion that the OCA provided no record evidence showing the proposed rate base or rates to be unjust or unreasonable.  In support of its contention that the Company would be overearning on the investment, the OCA reiterates the argument that the year-end method would be the equivalent of an individual making a deposit into an interest-bearing account on the 365</w:t>
      </w:r>
      <w:r w:rsidRPr="0059512A">
        <w:rPr>
          <w:rFonts w:eastAsiaTheme="minorHAnsi"/>
          <w:sz w:val="26"/>
          <w:szCs w:val="26"/>
          <w:vertAlign w:val="superscript"/>
        </w:rPr>
        <w:t>th</w:t>
      </w:r>
      <w:r w:rsidRPr="0059512A">
        <w:rPr>
          <w:rFonts w:eastAsiaTheme="minorHAnsi"/>
          <w:sz w:val="26"/>
          <w:szCs w:val="26"/>
        </w:rPr>
        <w:t xml:space="preserve"> day of the year but requiring the bank to pay interest beginning on day one.  A bank would deny such an arrangement because the individual would be earning more interest than he or she would be entitled to.  OCA Exc. at 3-4 (citing OCA St. 1 at 4-5). </w:t>
      </w:r>
    </w:p>
    <w:p w14:paraId="3BB0AE43" w14:textId="77777777" w:rsidR="001C2BE6" w:rsidRPr="0059512A" w:rsidRDefault="001C2BE6" w:rsidP="0059512A">
      <w:pPr>
        <w:widowControl/>
        <w:spacing w:line="360" w:lineRule="auto"/>
        <w:ind w:firstLine="1440"/>
        <w:rPr>
          <w:rFonts w:eastAsiaTheme="minorHAnsi"/>
          <w:sz w:val="26"/>
          <w:szCs w:val="26"/>
        </w:rPr>
      </w:pPr>
    </w:p>
    <w:p w14:paraId="041A067A" w14:textId="7FAA8EE9" w:rsidR="001C2BE6" w:rsidRPr="0059512A" w:rsidRDefault="001C2BE6" w:rsidP="0059512A">
      <w:pPr>
        <w:widowControl/>
        <w:spacing w:line="360" w:lineRule="auto"/>
        <w:ind w:firstLine="1440"/>
        <w:rPr>
          <w:rFonts w:eastAsiaTheme="minorHAnsi"/>
          <w:sz w:val="26"/>
          <w:szCs w:val="26"/>
        </w:rPr>
      </w:pPr>
      <w:r w:rsidRPr="0059512A">
        <w:rPr>
          <w:rFonts w:eastAsiaTheme="minorHAnsi"/>
          <w:sz w:val="26"/>
          <w:szCs w:val="26"/>
        </w:rPr>
        <w:lastRenderedPageBreak/>
        <w:t>Regarding the ALJs’ finding that the OCA proposal would deny the Company rate recovery, the OCA asserts that its annual average method will not cut Citizens’ earnings but would properly reflect investments as they are made and placed into service during the FPFTY.</w:t>
      </w:r>
      <w:r w:rsidR="006B04DA" w:rsidRPr="0059512A">
        <w:rPr>
          <w:rFonts w:eastAsiaTheme="minorHAnsi"/>
          <w:sz w:val="26"/>
          <w:szCs w:val="26"/>
        </w:rPr>
        <w:t xml:space="preserve">  </w:t>
      </w:r>
      <w:r w:rsidRPr="0059512A">
        <w:rPr>
          <w:rFonts w:eastAsiaTheme="minorHAnsi"/>
          <w:sz w:val="26"/>
          <w:szCs w:val="26"/>
        </w:rPr>
        <w:t xml:space="preserve">The OCA also argues that “the purpose of the FPFTY is to mitigate regulatory lag, not eliminate it, which is exactly what the average rate base method does.”  OCA Exc. at 4.  </w:t>
      </w:r>
    </w:p>
    <w:p w14:paraId="75772A64" w14:textId="77777777" w:rsidR="001C2BE6" w:rsidRPr="0059512A" w:rsidRDefault="001C2BE6" w:rsidP="0059512A">
      <w:pPr>
        <w:widowControl/>
        <w:spacing w:line="360" w:lineRule="auto"/>
        <w:ind w:firstLine="1440"/>
        <w:rPr>
          <w:rFonts w:eastAsiaTheme="minorHAnsi"/>
          <w:sz w:val="26"/>
          <w:szCs w:val="26"/>
        </w:rPr>
      </w:pPr>
    </w:p>
    <w:p w14:paraId="77A247BE" w14:textId="300B6DDC" w:rsidR="001C2BE6" w:rsidRPr="0059512A" w:rsidRDefault="001C2BE6" w:rsidP="0059512A">
      <w:pPr>
        <w:widowControl/>
        <w:spacing w:line="360" w:lineRule="auto"/>
        <w:ind w:firstLine="1440"/>
        <w:rPr>
          <w:rFonts w:eastAsiaTheme="minorHAnsi"/>
          <w:sz w:val="26"/>
          <w:szCs w:val="26"/>
        </w:rPr>
      </w:pPr>
      <w:r w:rsidRPr="0059512A">
        <w:rPr>
          <w:rFonts w:eastAsiaTheme="minorHAnsi"/>
          <w:sz w:val="26"/>
          <w:szCs w:val="26"/>
        </w:rPr>
        <w:t>The OCA contends that the Commission should deny the Company’s request to recover more than its necessary costs because it would require ratepayers to overpay the revenue requirement.  The OCA submits that the Commission should adopt the OCA’s recommendation and approve the use of an average rate base.  Further, in adopting the OCA’s proposal, the Commission should adjust the accumulated depreciation, depreciation expense, and CWIP calculations.  OCA Exc. at 5.</w:t>
      </w:r>
      <w:r w:rsidR="006B04DA" w:rsidRPr="0059512A">
        <w:rPr>
          <w:rFonts w:eastAsiaTheme="minorHAnsi"/>
          <w:sz w:val="26"/>
          <w:szCs w:val="26"/>
        </w:rPr>
        <w:t xml:space="preserve">  </w:t>
      </w:r>
    </w:p>
    <w:p w14:paraId="27A74953" w14:textId="77777777" w:rsidR="001C2BE6" w:rsidRPr="0059512A" w:rsidRDefault="001C2BE6" w:rsidP="0059512A">
      <w:pPr>
        <w:widowControl/>
        <w:spacing w:line="360" w:lineRule="auto"/>
        <w:ind w:firstLine="1440"/>
        <w:rPr>
          <w:rFonts w:eastAsiaTheme="minorHAnsi"/>
          <w:sz w:val="26"/>
          <w:szCs w:val="26"/>
        </w:rPr>
      </w:pPr>
    </w:p>
    <w:p w14:paraId="57B4AE06" w14:textId="77777777" w:rsidR="001C2BE6" w:rsidRPr="0059512A" w:rsidRDefault="001C2BE6" w:rsidP="0059512A">
      <w:pPr>
        <w:widowControl/>
        <w:spacing w:line="360" w:lineRule="auto"/>
        <w:ind w:firstLine="1440"/>
        <w:rPr>
          <w:sz w:val="26"/>
          <w:szCs w:val="26"/>
        </w:rPr>
      </w:pPr>
      <w:r w:rsidRPr="0059512A">
        <w:rPr>
          <w:sz w:val="26"/>
          <w:szCs w:val="26"/>
        </w:rPr>
        <w:t xml:space="preserve">In its Replies to OCA Exception No. 1, the Company argues that the OCA ignores the prior extensive litigation and decisions on this issue and has failed to present new evidence or arguments that would merit revisiting the </w:t>
      </w:r>
      <w:r w:rsidRPr="0059512A">
        <w:rPr>
          <w:i/>
          <w:iCs/>
          <w:sz w:val="26"/>
          <w:szCs w:val="26"/>
        </w:rPr>
        <w:t>UGI Order</w:t>
      </w:r>
      <w:r w:rsidRPr="0059512A">
        <w:rPr>
          <w:sz w:val="26"/>
          <w:szCs w:val="26"/>
        </w:rPr>
        <w:t>.  Citizens’ asserts that the Commission should uphold its prior ruling because any other outcome would produce inequitable and discriminatory outcomes.  Citizens’ R. Exc. at 15.</w:t>
      </w:r>
    </w:p>
    <w:p w14:paraId="4984F0D9" w14:textId="77777777" w:rsidR="001C2BE6" w:rsidRPr="0059512A" w:rsidRDefault="001C2BE6" w:rsidP="0059512A">
      <w:pPr>
        <w:widowControl/>
        <w:spacing w:line="360" w:lineRule="auto"/>
        <w:ind w:firstLine="720"/>
        <w:rPr>
          <w:sz w:val="26"/>
          <w:szCs w:val="26"/>
        </w:rPr>
      </w:pPr>
    </w:p>
    <w:p w14:paraId="0C18986A" w14:textId="34897AE2" w:rsidR="001C2BE6" w:rsidRPr="0059512A" w:rsidRDefault="001C2BE6" w:rsidP="0059512A">
      <w:pPr>
        <w:widowControl/>
        <w:spacing w:line="360" w:lineRule="auto"/>
        <w:ind w:firstLine="1440"/>
        <w:rPr>
          <w:sz w:val="26"/>
          <w:szCs w:val="26"/>
        </w:rPr>
      </w:pPr>
      <w:r w:rsidRPr="0059512A">
        <w:rPr>
          <w:sz w:val="26"/>
          <w:szCs w:val="26"/>
        </w:rPr>
        <w:t xml:space="preserve">Citizens’ disputes the OCA’s argument that the ALJs misunderstood the impact of the Commonwealth Court Order affirming the Commission’s approval of the end-of-year methodology in its </w:t>
      </w:r>
      <w:r w:rsidRPr="0059512A">
        <w:rPr>
          <w:i/>
          <w:iCs/>
          <w:sz w:val="26"/>
          <w:szCs w:val="26"/>
        </w:rPr>
        <w:t>UGI Order</w:t>
      </w:r>
      <w:r w:rsidRPr="0059512A">
        <w:rPr>
          <w:sz w:val="26"/>
          <w:szCs w:val="26"/>
        </w:rPr>
        <w:t>.  Although the Company agrees with the OCA that the Commission maintains discretion to overturn its own Orders, the Company avers that the ALJs’ use of the term “binding” was intended to refer to the Commission</w:t>
      </w:r>
      <w:r w:rsidR="00D149B2" w:rsidRPr="0059512A">
        <w:rPr>
          <w:sz w:val="26"/>
          <w:szCs w:val="26"/>
        </w:rPr>
        <w:t>’</w:t>
      </w:r>
      <w:r w:rsidRPr="0059512A">
        <w:rPr>
          <w:sz w:val="26"/>
          <w:szCs w:val="26"/>
        </w:rPr>
        <w:t xml:space="preserve">s obligation when reviewing a legal question addressed in a prior docket.  Citizens’ submits that while the Commission is not bound by the rule of </w:t>
      </w:r>
      <w:r w:rsidRPr="0059512A">
        <w:rPr>
          <w:i/>
          <w:sz w:val="26"/>
          <w:szCs w:val="26"/>
        </w:rPr>
        <w:t>stare decisis</w:t>
      </w:r>
      <w:r w:rsidRPr="0059512A">
        <w:rPr>
          <w:sz w:val="26"/>
          <w:szCs w:val="26"/>
        </w:rPr>
        <w:t xml:space="preserve">, it is required to render consistent opinions by either following, distinguishing or overruling its prior </w:t>
      </w:r>
      <w:r w:rsidRPr="0059512A">
        <w:rPr>
          <w:sz w:val="26"/>
          <w:szCs w:val="26"/>
        </w:rPr>
        <w:lastRenderedPageBreak/>
        <w:t xml:space="preserve">decisions.  </w:t>
      </w:r>
      <w:r w:rsidRPr="0059512A">
        <w:rPr>
          <w:i/>
          <w:iCs/>
          <w:sz w:val="26"/>
          <w:szCs w:val="26"/>
        </w:rPr>
        <w:t>Id.</w:t>
      </w:r>
      <w:r w:rsidRPr="0059512A">
        <w:rPr>
          <w:sz w:val="26"/>
          <w:szCs w:val="26"/>
        </w:rPr>
        <w:t xml:space="preserve"> at 16 (citing, in part, </w:t>
      </w:r>
      <w:r w:rsidRPr="0059512A">
        <w:rPr>
          <w:i/>
          <w:sz w:val="26"/>
          <w:szCs w:val="26"/>
        </w:rPr>
        <w:t xml:space="preserve">Bell Atlantic - Pennsylvania, Inc. v. Pa. </w:t>
      </w:r>
      <w:r w:rsidRPr="0059512A">
        <w:rPr>
          <w:i/>
          <w:iCs/>
          <w:sz w:val="26"/>
          <w:szCs w:val="26"/>
        </w:rPr>
        <w:t>PUC</w:t>
      </w:r>
      <w:r w:rsidRPr="0059512A">
        <w:rPr>
          <w:sz w:val="26"/>
          <w:szCs w:val="26"/>
        </w:rPr>
        <w:t>, 672</w:t>
      </w:r>
      <w:r w:rsidR="00E63ABF">
        <w:rPr>
          <w:sz w:val="26"/>
          <w:szCs w:val="26"/>
        </w:rPr>
        <w:t> </w:t>
      </w:r>
      <w:r w:rsidRPr="0059512A">
        <w:rPr>
          <w:sz w:val="26"/>
          <w:szCs w:val="26"/>
        </w:rPr>
        <w:t>A.2d 352, 354 (Pa. Cmwlth. 1995)</w:t>
      </w:r>
      <w:r w:rsidR="009A1E16" w:rsidRPr="0059512A">
        <w:rPr>
          <w:sz w:val="26"/>
          <w:szCs w:val="26"/>
        </w:rPr>
        <w:t>)</w:t>
      </w:r>
      <w:r w:rsidRPr="0059512A">
        <w:rPr>
          <w:sz w:val="26"/>
          <w:szCs w:val="26"/>
        </w:rPr>
        <w:t xml:space="preserve">.  </w:t>
      </w:r>
    </w:p>
    <w:p w14:paraId="269BDD59" w14:textId="77777777" w:rsidR="001C2BE6" w:rsidRPr="0059512A" w:rsidRDefault="001C2BE6" w:rsidP="0059512A">
      <w:pPr>
        <w:widowControl/>
        <w:spacing w:line="360" w:lineRule="auto"/>
        <w:ind w:firstLine="1440"/>
        <w:rPr>
          <w:sz w:val="26"/>
          <w:szCs w:val="26"/>
        </w:rPr>
      </w:pPr>
    </w:p>
    <w:p w14:paraId="6CB752F9" w14:textId="20BDD68A" w:rsidR="001C2BE6" w:rsidRPr="0059512A" w:rsidRDefault="001C2BE6" w:rsidP="0059512A">
      <w:pPr>
        <w:widowControl/>
        <w:spacing w:line="360" w:lineRule="auto"/>
        <w:ind w:firstLine="1440"/>
        <w:rPr>
          <w:sz w:val="26"/>
          <w:szCs w:val="26"/>
        </w:rPr>
      </w:pPr>
      <w:r w:rsidRPr="0059512A">
        <w:rPr>
          <w:sz w:val="26"/>
          <w:szCs w:val="26"/>
        </w:rPr>
        <w:t xml:space="preserve">Citizens’ contends that the OCA has failed to distinguish the facts at issue from the facts addressed in the </w:t>
      </w:r>
      <w:r w:rsidRPr="0059512A">
        <w:rPr>
          <w:i/>
          <w:iCs/>
          <w:sz w:val="26"/>
          <w:szCs w:val="26"/>
        </w:rPr>
        <w:t>UGI Order</w:t>
      </w:r>
      <w:r w:rsidRPr="0059512A">
        <w:rPr>
          <w:sz w:val="26"/>
          <w:szCs w:val="26"/>
        </w:rPr>
        <w:t xml:space="preserve">.  According to the Company, the arguments offered by </w:t>
      </w:r>
      <w:r w:rsidR="00E877F6" w:rsidRPr="0059512A">
        <w:rPr>
          <w:sz w:val="26"/>
          <w:szCs w:val="26"/>
        </w:rPr>
        <w:t xml:space="preserve">the </w:t>
      </w:r>
      <w:r w:rsidRPr="0059512A">
        <w:rPr>
          <w:sz w:val="26"/>
          <w:szCs w:val="26"/>
        </w:rPr>
        <w:t xml:space="preserve">OCA in opposition to the end-of-test-year rate base methodology duplicate the arguments offered and rejected in the Commission’s </w:t>
      </w:r>
      <w:r w:rsidRPr="0059512A">
        <w:rPr>
          <w:i/>
          <w:iCs/>
          <w:sz w:val="26"/>
          <w:szCs w:val="26"/>
        </w:rPr>
        <w:t>UGI Order</w:t>
      </w:r>
      <w:r w:rsidRPr="0059512A">
        <w:rPr>
          <w:sz w:val="26"/>
          <w:szCs w:val="26"/>
        </w:rPr>
        <w:t>.  The Company proffers that because the facts remain unchanged, a decision to apply Act 11 to bar use of the end-of-test-year rate base method would generate a discriminatory outcome for the Company.  To avoid this scenario, the Com</w:t>
      </w:r>
      <w:r w:rsidR="000F6582">
        <w:rPr>
          <w:sz w:val="26"/>
          <w:szCs w:val="26"/>
        </w:rPr>
        <w:t xml:space="preserve">pany </w:t>
      </w:r>
      <w:r w:rsidRPr="0059512A">
        <w:rPr>
          <w:sz w:val="26"/>
          <w:szCs w:val="26"/>
        </w:rPr>
        <w:t>requests that the Commission deny the OCA’s Exception No. 1 and uphold the ALJs’ acceptance of the end-of-test-year methodology for developing the Company’s rate base.  Citizens’ R. Exc. at 16.</w:t>
      </w:r>
    </w:p>
    <w:p w14:paraId="1187FA9F" w14:textId="77777777" w:rsidR="00FD2A9D" w:rsidRPr="0059512A" w:rsidRDefault="00FD2A9D" w:rsidP="0059512A">
      <w:pPr>
        <w:widowControl/>
        <w:spacing w:line="360" w:lineRule="auto"/>
        <w:ind w:firstLine="1440"/>
        <w:rPr>
          <w:b/>
          <w:sz w:val="26"/>
          <w:szCs w:val="26"/>
        </w:rPr>
      </w:pPr>
    </w:p>
    <w:p w14:paraId="15E3A6FE" w14:textId="630EFE8F" w:rsidR="001C2BE6" w:rsidRPr="0059512A" w:rsidRDefault="001C2BE6" w:rsidP="0059512A">
      <w:pPr>
        <w:pStyle w:val="ListParagraph"/>
        <w:keepNext/>
        <w:widowControl/>
        <w:numPr>
          <w:ilvl w:val="1"/>
          <w:numId w:val="1"/>
        </w:numPr>
        <w:spacing w:line="360" w:lineRule="auto"/>
        <w:ind w:left="2160" w:hanging="720"/>
        <w:rPr>
          <w:b/>
          <w:bCs/>
          <w:sz w:val="26"/>
          <w:szCs w:val="26"/>
        </w:rPr>
      </w:pPr>
      <w:r w:rsidRPr="0059512A">
        <w:rPr>
          <w:b/>
          <w:bCs/>
          <w:sz w:val="26"/>
          <w:szCs w:val="26"/>
        </w:rPr>
        <w:t>Disposition</w:t>
      </w:r>
    </w:p>
    <w:p w14:paraId="51150D33" w14:textId="77777777" w:rsidR="001C2BE6" w:rsidRPr="0059512A" w:rsidRDefault="001C2BE6" w:rsidP="0059512A">
      <w:pPr>
        <w:keepNext/>
        <w:widowControl/>
        <w:spacing w:line="360" w:lineRule="auto"/>
        <w:rPr>
          <w:b/>
          <w:sz w:val="26"/>
          <w:szCs w:val="26"/>
        </w:rPr>
      </w:pPr>
    </w:p>
    <w:p w14:paraId="0DDEDF3E" w14:textId="67405867" w:rsidR="001C2BE6" w:rsidRPr="0059512A" w:rsidRDefault="00C20182" w:rsidP="0059512A">
      <w:pPr>
        <w:keepNext/>
        <w:widowControl/>
        <w:spacing w:line="360" w:lineRule="auto"/>
        <w:ind w:firstLine="1440"/>
        <w:rPr>
          <w:rFonts w:eastAsiaTheme="minorHAnsi"/>
          <w:sz w:val="26"/>
          <w:szCs w:val="26"/>
        </w:rPr>
      </w:pPr>
      <w:bookmarkStart w:id="63" w:name="_Hlk36640164"/>
      <w:r w:rsidRPr="0059512A">
        <w:rPr>
          <w:rFonts w:eastAsiaTheme="minorHAnsi"/>
          <w:sz w:val="26"/>
          <w:szCs w:val="26"/>
        </w:rPr>
        <w:t>Upon review, we agree with the rationale and the recommendation of the ALJs to permit Citizens’ to utilize a year-end rate base methodology.  Accordingly, we shall deny the OCA’s Exception on this issue.</w:t>
      </w:r>
    </w:p>
    <w:p w14:paraId="5F15D743" w14:textId="77777777" w:rsidR="005A30B3" w:rsidRPr="0059512A" w:rsidRDefault="005A30B3" w:rsidP="0059512A">
      <w:pPr>
        <w:widowControl/>
        <w:spacing w:line="360" w:lineRule="auto"/>
        <w:ind w:firstLine="1440"/>
        <w:rPr>
          <w:rFonts w:eastAsiaTheme="minorHAnsi"/>
          <w:sz w:val="26"/>
          <w:szCs w:val="26"/>
        </w:rPr>
      </w:pPr>
    </w:p>
    <w:p w14:paraId="6274C38C" w14:textId="4CFADE06" w:rsidR="005A30B3" w:rsidRPr="0059512A" w:rsidRDefault="005A30B3" w:rsidP="0059512A">
      <w:pPr>
        <w:widowControl/>
        <w:spacing w:line="360" w:lineRule="auto"/>
        <w:ind w:firstLine="1440"/>
        <w:rPr>
          <w:rFonts w:eastAsiaTheme="minorHAnsi"/>
          <w:sz w:val="26"/>
          <w:szCs w:val="26"/>
        </w:rPr>
      </w:pPr>
      <w:r w:rsidRPr="0059512A">
        <w:rPr>
          <w:rFonts w:eastAsiaTheme="minorHAnsi"/>
          <w:sz w:val="26"/>
          <w:szCs w:val="26"/>
        </w:rPr>
        <w:t xml:space="preserve">The ALJs correctly noted that the OCA’s argument has already been rejected in the </w:t>
      </w:r>
      <w:r w:rsidRPr="0059512A">
        <w:rPr>
          <w:rFonts w:eastAsiaTheme="minorHAnsi"/>
          <w:i/>
          <w:iCs/>
          <w:sz w:val="26"/>
          <w:szCs w:val="26"/>
        </w:rPr>
        <w:t>UGI Order</w:t>
      </w:r>
      <w:r w:rsidRPr="0059512A">
        <w:rPr>
          <w:rFonts w:eastAsiaTheme="minorHAnsi"/>
          <w:sz w:val="26"/>
          <w:szCs w:val="26"/>
        </w:rPr>
        <w:t xml:space="preserve">, which </w:t>
      </w:r>
      <w:r w:rsidR="007C4914" w:rsidRPr="0059512A">
        <w:rPr>
          <w:rFonts w:eastAsiaTheme="minorHAnsi"/>
          <w:sz w:val="26"/>
          <w:szCs w:val="26"/>
        </w:rPr>
        <w:t>has been</w:t>
      </w:r>
      <w:r w:rsidRPr="0059512A">
        <w:rPr>
          <w:rFonts w:eastAsiaTheme="minorHAnsi"/>
          <w:sz w:val="26"/>
          <w:szCs w:val="26"/>
        </w:rPr>
        <w:t xml:space="preserve"> recently upheld by the Commonwealth Court’s </w:t>
      </w:r>
      <w:r w:rsidRPr="0059512A">
        <w:rPr>
          <w:rFonts w:eastAsiaTheme="minorHAnsi"/>
          <w:i/>
          <w:iCs/>
          <w:sz w:val="26"/>
          <w:szCs w:val="26"/>
        </w:rPr>
        <w:t>McCloskey</w:t>
      </w:r>
      <w:r w:rsidRPr="0059512A">
        <w:rPr>
          <w:rFonts w:eastAsiaTheme="minorHAnsi"/>
          <w:sz w:val="26"/>
          <w:szCs w:val="26"/>
        </w:rPr>
        <w:t xml:space="preserve"> decision.  </w:t>
      </w:r>
      <w:r w:rsidR="00E560BB" w:rsidRPr="0059512A">
        <w:rPr>
          <w:rFonts w:eastAsiaTheme="minorHAnsi"/>
          <w:sz w:val="26"/>
          <w:szCs w:val="26"/>
        </w:rPr>
        <w:t>We agree with the ALJs that the</w:t>
      </w:r>
      <w:r w:rsidR="00041ED1" w:rsidRPr="0059512A">
        <w:rPr>
          <w:rFonts w:eastAsiaTheme="minorHAnsi"/>
          <w:sz w:val="26"/>
          <w:szCs w:val="26"/>
        </w:rPr>
        <w:t xml:space="preserve"> OCA has failed to distinguish the facts at issue from the facts addressed in the </w:t>
      </w:r>
      <w:r w:rsidR="00041ED1" w:rsidRPr="0059512A">
        <w:rPr>
          <w:rFonts w:eastAsiaTheme="minorHAnsi"/>
          <w:i/>
          <w:iCs/>
          <w:sz w:val="26"/>
          <w:szCs w:val="26"/>
        </w:rPr>
        <w:t>UGI Order</w:t>
      </w:r>
      <w:r w:rsidR="00041ED1" w:rsidRPr="0059512A">
        <w:rPr>
          <w:rFonts w:eastAsiaTheme="minorHAnsi"/>
          <w:sz w:val="26"/>
          <w:szCs w:val="26"/>
        </w:rPr>
        <w:t xml:space="preserve">, nor has the OCA presented new evidence or arguments that would merit revisiting the </w:t>
      </w:r>
      <w:r w:rsidR="00041ED1" w:rsidRPr="0059512A">
        <w:rPr>
          <w:rFonts w:eastAsiaTheme="minorHAnsi"/>
          <w:i/>
          <w:iCs/>
          <w:sz w:val="26"/>
          <w:szCs w:val="26"/>
        </w:rPr>
        <w:t>UGI Order</w:t>
      </w:r>
      <w:r w:rsidR="00041ED1" w:rsidRPr="0059512A">
        <w:rPr>
          <w:rFonts w:eastAsiaTheme="minorHAnsi"/>
          <w:sz w:val="26"/>
          <w:szCs w:val="26"/>
        </w:rPr>
        <w:t>.</w:t>
      </w:r>
    </w:p>
    <w:p w14:paraId="4F246DF6" w14:textId="439B51C8" w:rsidR="004634EE" w:rsidRPr="0059512A" w:rsidRDefault="004634EE" w:rsidP="0059512A">
      <w:pPr>
        <w:widowControl/>
        <w:spacing w:line="360" w:lineRule="auto"/>
        <w:ind w:firstLine="1440"/>
        <w:rPr>
          <w:rFonts w:eastAsiaTheme="minorHAnsi"/>
          <w:sz w:val="26"/>
          <w:szCs w:val="26"/>
        </w:rPr>
      </w:pPr>
    </w:p>
    <w:p w14:paraId="389D3036" w14:textId="5EA656C4" w:rsidR="004634EE" w:rsidRPr="0059512A" w:rsidRDefault="00A1266A" w:rsidP="0059512A">
      <w:pPr>
        <w:widowControl/>
        <w:spacing w:line="360" w:lineRule="auto"/>
        <w:ind w:firstLine="1440"/>
        <w:rPr>
          <w:rFonts w:eastAsiaTheme="minorHAnsi"/>
          <w:sz w:val="26"/>
          <w:szCs w:val="26"/>
        </w:rPr>
      </w:pPr>
      <w:r w:rsidRPr="0059512A">
        <w:rPr>
          <w:rFonts w:eastAsiaTheme="minorHAnsi"/>
          <w:sz w:val="26"/>
          <w:szCs w:val="26"/>
        </w:rPr>
        <w:t>R</w:t>
      </w:r>
      <w:r w:rsidR="004634EE" w:rsidRPr="0059512A">
        <w:rPr>
          <w:rFonts w:eastAsiaTheme="minorHAnsi"/>
          <w:sz w:val="26"/>
          <w:szCs w:val="26"/>
        </w:rPr>
        <w:t>egarding the OCA’s concern that the utilization of a year-end rate base methodology would allow Citizens’ to over-earn on its investment, we find the Company’s argument compelling that,</w:t>
      </w:r>
      <w:r w:rsidR="00F06E61" w:rsidRPr="0059512A">
        <w:rPr>
          <w:rFonts w:eastAsiaTheme="minorHAnsi"/>
          <w:sz w:val="26"/>
          <w:szCs w:val="26"/>
        </w:rPr>
        <w:t xml:space="preserve"> rather</w:t>
      </w:r>
      <w:r w:rsidR="004634EE" w:rsidRPr="0059512A">
        <w:rPr>
          <w:rFonts w:eastAsiaTheme="minorHAnsi"/>
          <w:sz w:val="26"/>
          <w:szCs w:val="26"/>
        </w:rPr>
        <w:t xml:space="preserve"> under the OCA’s recommended average rate base methodology, there is the potential for the utility to face an under-recovery of its </w:t>
      </w:r>
      <w:r w:rsidR="004634EE" w:rsidRPr="0059512A">
        <w:rPr>
          <w:rFonts w:eastAsiaTheme="minorHAnsi"/>
          <w:sz w:val="26"/>
          <w:szCs w:val="26"/>
        </w:rPr>
        <w:lastRenderedPageBreak/>
        <w:t>revenue requirement allowed in the proceeding</w:t>
      </w:r>
      <w:r w:rsidR="00F06E61" w:rsidRPr="0059512A">
        <w:rPr>
          <w:rFonts w:eastAsiaTheme="minorHAnsi"/>
          <w:sz w:val="26"/>
          <w:szCs w:val="26"/>
        </w:rPr>
        <w:t xml:space="preserve"> before the end of the first year that new base rates are in effect.  In contrast to the OCA’s concerns, using the average rate base approach proposed by the OCA, would effectively cause the Company’s base rates set in this proceeding to reflect only one-half of its total investment in 2020 plant additions, which would be comparable to setting rates on the basis of the Company’s rate base at approximately mid-year 2020.  Setting up rate conditions that require more frequent base rate cases would appear to be contrary to efforts, such as the passage of Act 11, to increase rate stability.  It would increase rate case expenses ultimately borne by ratepayers and impos</w:t>
      </w:r>
      <w:r w:rsidR="00916B79" w:rsidRPr="0059512A">
        <w:rPr>
          <w:rFonts w:eastAsiaTheme="minorHAnsi"/>
          <w:sz w:val="26"/>
          <w:szCs w:val="26"/>
        </w:rPr>
        <w:t>e increased demand on the resources of the Commission and other parties associated with more frequent base rate proceedings.</w:t>
      </w:r>
    </w:p>
    <w:p w14:paraId="09093A4B" w14:textId="7E16F6B6" w:rsidR="005A30B3" w:rsidRPr="0059512A" w:rsidRDefault="005A30B3" w:rsidP="0059512A">
      <w:pPr>
        <w:widowControl/>
        <w:spacing w:line="360" w:lineRule="auto"/>
        <w:ind w:firstLine="1440"/>
        <w:rPr>
          <w:rFonts w:eastAsiaTheme="minorHAnsi"/>
          <w:sz w:val="26"/>
          <w:szCs w:val="26"/>
        </w:rPr>
      </w:pPr>
    </w:p>
    <w:p w14:paraId="25283CB2" w14:textId="3F2BD45F" w:rsidR="003170BF" w:rsidRPr="0059512A" w:rsidRDefault="00A1266A" w:rsidP="0059512A">
      <w:pPr>
        <w:widowControl/>
        <w:spacing w:line="360" w:lineRule="auto"/>
        <w:ind w:firstLine="1440"/>
        <w:rPr>
          <w:rFonts w:eastAsiaTheme="minorHAnsi"/>
          <w:sz w:val="26"/>
          <w:szCs w:val="26"/>
        </w:rPr>
      </w:pPr>
      <w:r w:rsidRPr="0059512A">
        <w:rPr>
          <w:rFonts w:eastAsiaTheme="minorHAnsi"/>
          <w:sz w:val="26"/>
          <w:szCs w:val="26"/>
        </w:rPr>
        <w:t>Furthermor</w:t>
      </w:r>
      <w:r w:rsidR="00916B79" w:rsidRPr="0059512A">
        <w:rPr>
          <w:rFonts w:eastAsiaTheme="minorHAnsi"/>
          <w:sz w:val="26"/>
          <w:szCs w:val="26"/>
        </w:rPr>
        <w:t>e</w:t>
      </w:r>
      <w:r w:rsidRPr="0059512A">
        <w:rPr>
          <w:rFonts w:eastAsiaTheme="minorHAnsi"/>
          <w:sz w:val="26"/>
          <w:szCs w:val="26"/>
        </w:rPr>
        <w:t>, we</w:t>
      </w:r>
      <w:r w:rsidR="00916B79" w:rsidRPr="0059512A">
        <w:rPr>
          <w:rFonts w:eastAsiaTheme="minorHAnsi"/>
          <w:sz w:val="26"/>
          <w:szCs w:val="26"/>
        </w:rPr>
        <w:t xml:space="preserve"> agree with the </w:t>
      </w:r>
      <w:r w:rsidR="00357DCA" w:rsidRPr="0059512A">
        <w:rPr>
          <w:rFonts w:eastAsiaTheme="minorHAnsi"/>
          <w:sz w:val="26"/>
          <w:szCs w:val="26"/>
        </w:rPr>
        <w:t xml:space="preserve">ALJs </w:t>
      </w:r>
      <w:r w:rsidR="00916B79" w:rsidRPr="0059512A">
        <w:rPr>
          <w:rFonts w:eastAsiaTheme="minorHAnsi"/>
          <w:sz w:val="26"/>
          <w:szCs w:val="26"/>
        </w:rPr>
        <w:t>that the OCA has not provided any</w:t>
      </w:r>
      <w:r w:rsidR="00357DCA" w:rsidRPr="0059512A">
        <w:rPr>
          <w:rFonts w:eastAsiaTheme="minorHAnsi"/>
          <w:sz w:val="26"/>
          <w:szCs w:val="26"/>
        </w:rPr>
        <w:t xml:space="preserve"> record evidence to show that</w:t>
      </w:r>
      <w:r w:rsidR="00916B79" w:rsidRPr="0059512A">
        <w:rPr>
          <w:rFonts w:eastAsiaTheme="minorHAnsi"/>
          <w:sz w:val="26"/>
          <w:szCs w:val="26"/>
        </w:rPr>
        <w:t xml:space="preserve"> the use of rate base established at the Company’s end-of-FPFTY level would produce rates that are unjust or unreasonable.</w:t>
      </w:r>
      <w:bookmarkEnd w:id="63"/>
      <w:r w:rsidR="00474376" w:rsidRPr="0059512A">
        <w:rPr>
          <w:rFonts w:eastAsiaTheme="minorHAnsi"/>
          <w:sz w:val="26"/>
          <w:szCs w:val="26"/>
        </w:rPr>
        <w:t xml:space="preserve">  Therefore, we concur</w:t>
      </w:r>
      <w:r w:rsidR="003170BF" w:rsidRPr="0059512A">
        <w:rPr>
          <w:color w:val="000000"/>
          <w:sz w:val="26"/>
          <w:szCs w:val="26"/>
        </w:rPr>
        <w:t xml:space="preserve"> with the ALJs’ determination that an FPFTY allows a utility to project revenue requirements and ratemaking components throughout the twelve-month period beginning with the first month that the new rates would be placed in effect, after the expiration of the full nine-month suspension period allowed by law.</w:t>
      </w:r>
      <w:r w:rsidR="002A3647" w:rsidRPr="0059512A">
        <w:rPr>
          <w:color w:val="000000"/>
          <w:sz w:val="26"/>
          <w:szCs w:val="26"/>
        </w:rPr>
        <w:t xml:space="preserve">  </w:t>
      </w:r>
      <w:r w:rsidR="002A3647" w:rsidRPr="0059512A">
        <w:rPr>
          <w:sz w:val="26"/>
        </w:rPr>
        <w:t>For these reasons, we shall deny the OCA’s Exception and adopt the ALJs’ decision on this issue.</w:t>
      </w:r>
    </w:p>
    <w:p w14:paraId="7918297E" w14:textId="77777777" w:rsidR="003170BF" w:rsidRPr="0059512A" w:rsidRDefault="003170BF" w:rsidP="0059512A">
      <w:pPr>
        <w:widowControl/>
        <w:spacing w:line="360" w:lineRule="auto"/>
        <w:rPr>
          <w:b/>
          <w:sz w:val="26"/>
          <w:szCs w:val="26"/>
        </w:rPr>
      </w:pPr>
    </w:p>
    <w:p w14:paraId="5B42B30A" w14:textId="6E50B31C" w:rsidR="00BC72C6" w:rsidRPr="0059512A" w:rsidRDefault="00BC72C6" w:rsidP="0059512A">
      <w:pPr>
        <w:pStyle w:val="Heading3"/>
        <w:keepNext/>
        <w:ind w:left="1440" w:hanging="720"/>
      </w:pPr>
      <w:bookmarkStart w:id="64" w:name="_Toc38629276"/>
      <w:r w:rsidRPr="0059512A">
        <w:t>Accumulated Depreciation</w:t>
      </w:r>
      <w:bookmarkEnd w:id="64"/>
    </w:p>
    <w:p w14:paraId="01D22EE1" w14:textId="775D1F56" w:rsidR="00BC72C6" w:rsidRPr="0059512A" w:rsidRDefault="00BC72C6" w:rsidP="0059512A">
      <w:pPr>
        <w:keepNext/>
        <w:widowControl/>
        <w:spacing w:line="360" w:lineRule="auto"/>
        <w:rPr>
          <w:b/>
          <w:sz w:val="26"/>
          <w:szCs w:val="26"/>
        </w:rPr>
      </w:pPr>
    </w:p>
    <w:p w14:paraId="3B5594B1" w14:textId="77042F73" w:rsidR="00BC72C6" w:rsidRPr="0059512A" w:rsidRDefault="00D323D0" w:rsidP="0059512A">
      <w:pPr>
        <w:pStyle w:val="ListParagraph"/>
        <w:keepNext/>
        <w:widowControl/>
        <w:spacing w:line="360" w:lineRule="auto"/>
        <w:ind w:left="2160" w:hanging="720"/>
        <w:rPr>
          <w:b/>
          <w:bCs/>
          <w:sz w:val="26"/>
          <w:szCs w:val="26"/>
        </w:rPr>
      </w:pPr>
      <w:bookmarkStart w:id="65" w:name="_Hlk36451479"/>
      <w:r w:rsidRPr="0059512A">
        <w:rPr>
          <w:b/>
          <w:bCs/>
          <w:sz w:val="26"/>
          <w:szCs w:val="26"/>
        </w:rPr>
        <w:t>a.</w:t>
      </w:r>
      <w:r w:rsidRPr="0059512A">
        <w:rPr>
          <w:b/>
          <w:bCs/>
          <w:sz w:val="26"/>
          <w:szCs w:val="26"/>
        </w:rPr>
        <w:tab/>
      </w:r>
      <w:r w:rsidR="00BC72C6" w:rsidRPr="0059512A">
        <w:rPr>
          <w:b/>
          <w:bCs/>
          <w:sz w:val="26"/>
          <w:szCs w:val="26"/>
        </w:rPr>
        <w:t>Positions of the Parties</w:t>
      </w:r>
    </w:p>
    <w:bookmarkEnd w:id="65"/>
    <w:p w14:paraId="07AFC5F5" w14:textId="4AE9A6AA" w:rsidR="00BC72C6" w:rsidRPr="0059512A" w:rsidRDefault="00BC72C6" w:rsidP="0059512A">
      <w:pPr>
        <w:keepNext/>
        <w:widowControl/>
        <w:spacing w:line="360" w:lineRule="auto"/>
        <w:rPr>
          <w:b/>
          <w:bCs/>
          <w:sz w:val="26"/>
          <w:szCs w:val="26"/>
        </w:rPr>
      </w:pPr>
    </w:p>
    <w:p w14:paraId="70DC2468" w14:textId="24884AA8" w:rsidR="00BC72C6" w:rsidRPr="0059512A" w:rsidRDefault="00BC72C6" w:rsidP="0059512A">
      <w:pPr>
        <w:keepNext/>
        <w:widowControl/>
        <w:spacing w:line="360" w:lineRule="auto"/>
        <w:ind w:firstLine="1440"/>
        <w:rPr>
          <w:rFonts w:eastAsiaTheme="minorHAnsi"/>
          <w:sz w:val="26"/>
          <w:szCs w:val="26"/>
        </w:rPr>
      </w:pPr>
      <w:r w:rsidRPr="0059512A">
        <w:rPr>
          <w:rFonts w:eastAsiaTheme="minorHAnsi"/>
          <w:sz w:val="26"/>
          <w:szCs w:val="26"/>
        </w:rPr>
        <w:t xml:space="preserve">In its claim for rate base, the Company included an accumulated depreciation of $13,537,134 for the FPFTY.  The Company calculated accumulated depreciation by adding annual depreciation expense at each year-end and subtracting </w:t>
      </w:r>
      <w:r w:rsidRPr="0059512A">
        <w:rPr>
          <w:rFonts w:eastAsiaTheme="minorHAnsi"/>
          <w:sz w:val="26"/>
          <w:szCs w:val="26"/>
        </w:rPr>
        <w:lastRenderedPageBreak/>
        <w:t>retirements to the previous year-end balance.  Citizens’ M.B. at 22 (citing Citizens’ St. 1 at 13</w:t>
      </w:r>
      <w:r w:rsidR="00A3105A" w:rsidRPr="0059512A">
        <w:rPr>
          <w:rFonts w:eastAsiaTheme="minorHAnsi"/>
          <w:sz w:val="26"/>
          <w:szCs w:val="26"/>
        </w:rPr>
        <w:t xml:space="preserve">; Citizens’ </w:t>
      </w:r>
      <w:r w:rsidRPr="0059512A">
        <w:rPr>
          <w:rFonts w:eastAsiaTheme="minorHAnsi"/>
          <w:sz w:val="26"/>
          <w:szCs w:val="26"/>
        </w:rPr>
        <w:t>Exh._(HSG-1), Sch. C1-6).</w:t>
      </w:r>
    </w:p>
    <w:p w14:paraId="1BA4E49A" w14:textId="77777777" w:rsidR="00774F08" w:rsidRPr="0059512A" w:rsidRDefault="00774F08" w:rsidP="0059512A">
      <w:pPr>
        <w:keepNext/>
        <w:widowControl/>
        <w:spacing w:line="360" w:lineRule="auto"/>
        <w:ind w:firstLine="1440"/>
        <w:rPr>
          <w:rFonts w:eastAsiaTheme="minorHAnsi"/>
          <w:sz w:val="26"/>
          <w:szCs w:val="26"/>
        </w:rPr>
      </w:pPr>
    </w:p>
    <w:p w14:paraId="486D96BA" w14:textId="277875CC" w:rsidR="00BC72C6" w:rsidRPr="0059512A" w:rsidRDefault="00BC72C6" w:rsidP="0059512A">
      <w:pPr>
        <w:widowControl/>
        <w:spacing w:line="360" w:lineRule="auto"/>
        <w:ind w:firstLine="1440"/>
        <w:rPr>
          <w:rFonts w:eastAsiaTheme="minorHAnsi"/>
          <w:sz w:val="26"/>
          <w:szCs w:val="26"/>
        </w:rPr>
      </w:pPr>
      <w:bookmarkStart w:id="66" w:name="_Hlk29369985"/>
      <w:r w:rsidRPr="0059512A">
        <w:rPr>
          <w:rFonts w:eastAsiaTheme="minorHAnsi"/>
          <w:sz w:val="26"/>
          <w:szCs w:val="26"/>
        </w:rPr>
        <w:t>The OCA proposed an adjustment to accumulated depreciation based on its arguments that original cost utility plant in service should be based on an average of the beginning-of-year and end-of-year FPFTY plant balances.  OCA St. 2 at 4</w:t>
      </w:r>
      <w:bookmarkEnd w:id="66"/>
      <w:r w:rsidRPr="0059512A">
        <w:rPr>
          <w:rFonts w:eastAsiaTheme="minorHAnsi"/>
          <w:sz w:val="26"/>
          <w:szCs w:val="26"/>
        </w:rPr>
        <w:t>.  The OCA’s FPFTY average balance calculation of $26,095,029 resulted in a $378,420 reduction in accumulated depreciation amount, for a total accumulated depreciation of $13,158,754.  OCA St. 2, Sch. LKM-1.</w:t>
      </w:r>
    </w:p>
    <w:p w14:paraId="2F3C3B9B" w14:textId="77777777" w:rsidR="00BC72C6" w:rsidRPr="0059512A" w:rsidRDefault="00BC72C6" w:rsidP="0059512A">
      <w:pPr>
        <w:widowControl/>
        <w:spacing w:line="360" w:lineRule="auto"/>
        <w:ind w:firstLine="720"/>
        <w:rPr>
          <w:rFonts w:eastAsiaTheme="minorHAnsi"/>
          <w:sz w:val="26"/>
          <w:szCs w:val="26"/>
        </w:rPr>
      </w:pPr>
    </w:p>
    <w:p w14:paraId="64C2BD31" w14:textId="49C96D51" w:rsidR="00BC72C6" w:rsidRPr="0059512A" w:rsidRDefault="00BC72C6" w:rsidP="0059512A">
      <w:pPr>
        <w:widowControl/>
        <w:spacing w:line="360" w:lineRule="auto"/>
        <w:ind w:firstLine="1440"/>
        <w:rPr>
          <w:rFonts w:eastAsiaTheme="minorHAnsi"/>
          <w:sz w:val="26"/>
          <w:szCs w:val="26"/>
        </w:rPr>
      </w:pPr>
      <w:r w:rsidRPr="0059512A">
        <w:rPr>
          <w:rFonts w:eastAsiaTheme="minorHAnsi"/>
          <w:sz w:val="26"/>
          <w:szCs w:val="26"/>
        </w:rPr>
        <w:t>The Company contends that original cost plant in service should be calculated based on the FPFTY year-end balance, consistent with the Commission</w:t>
      </w:r>
      <w:r w:rsidR="00D149B2" w:rsidRPr="0059512A">
        <w:rPr>
          <w:rFonts w:eastAsiaTheme="minorHAnsi"/>
          <w:sz w:val="26"/>
          <w:szCs w:val="26"/>
        </w:rPr>
        <w:t>’</w:t>
      </w:r>
      <w:r w:rsidRPr="0059512A">
        <w:rPr>
          <w:rFonts w:eastAsiaTheme="minorHAnsi"/>
          <w:sz w:val="26"/>
          <w:szCs w:val="26"/>
        </w:rPr>
        <w:t xml:space="preserve">s holding in the </w:t>
      </w:r>
      <w:r w:rsidRPr="0059512A">
        <w:rPr>
          <w:rFonts w:eastAsiaTheme="minorHAnsi"/>
          <w:i/>
          <w:iCs/>
          <w:sz w:val="26"/>
          <w:szCs w:val="26"/>
        </w:rPr>
        <w:t>UGI Order</w:t>
      </w:r>
      <w:r w:rsidRPr="0059512A">
        <w:rPr>
          <w:rFonts w:eastAsiaTheme="minorHAnsi"/>
          <w:sz w:val="26"/>
          <w:szCs w:val="26"/>
        </w:rPr>
        <w:t xml:space="preserve">.  Therefore, the Company argues that the OCA’s position regarding accumulated depreciation should be rejected based on the </w:t>
      </w:r>
      <w:r w:rsidRPr="0059512A">
        <w:rPr>
          <w:rFonts w:eastAsiaTheme="minorHAnsi"/>
          <w:i/>
          <w:iCs/>
          <w:sz w:val="26"/>
          <w:szCs w:val="26"/>
        </w:rPr>
        <w:t>UGI Order</w:t>
      </w:r>
      <w:r w:rsidRPr="0059512A">
        <w:rPr>
          <w:rFonts w:eastAsiaTheme="minorHAnsi"/>
          <w:sz w:val="26"/>
          <w:szCs w:val="26"/>
        </w:rPr>
        <w:t>.  Citizens’ M.B. at 22-23.</w:t>
      </w:r>
    </w:p>
    <w:p w14:paraId="4F73A8D9" w14:textId="77777777" w:rsidR="00FD2A9D" w:rsidRPr="0059512A" w:rsidRDefault="00FD2A9D" w:rsidP="0059512A">
      <w:pPr>
        <w:widowControl/>
        <w:spacing w:line="360" w:lineRule="auto"/>
        <w:ind w:firstLine="1440"/>
        <w:rPr>
          <w:rFonts w:eastAsiaTheme="minorHAnsi"/>
          <w:sz w:val="26"/>
          <w:szCs w:val="26"/>
        </w:rPr>
      </w:pPr>
    </w:p>
    <w:p w14:paraId="1DE0E402" w14:textId="4509FEE2" w:rsidR="00BC72C6" w:rsidRPr="0059512A" w:rsidRDefault="00BC72C6" w:rsidP="0059512A">
      <w:pPr>
        <w:widowControl/>
        <w:spacing w:line="360" w:lineRule="auto"/>
        <w:ind w:firstLine="1440"/>
        <w:rPr>
          <w:rFonts w:eastAsiaTheme="minorHAnsi"/>
          <w:sz w:val="26"/>
          <w:szCs w:val="26"/>
        </w:rPr>
      </w:pPr>
      <w:r w:rsidRPr="0059512A">
        <w:rPr>
          <w:rFonts w:eastAsiaTheme="minorHAnsi"/>
          <w:sz w:val="26"/>
          <w:szCs w:val="26"/>
        </w:rPr>
        <w:t xml:space="preserve">I&amp;E did not oppose Citizens’ accumulated depreciation claim and the OSBA took no position on the issue.  Citizens’ M.B. at 22; I&amp;E St. 3, Exh. No. 3, Sch. 1.  </w:t>
      </w:r>
    </w:p>
    <w:p w14:paraId="00ABA067" w14:textId="77777777" w:rsidR="00BC72C6" w:rsidRPr="0059512A" w:rsidRDefault="00BC72C6" w:rsidP="0059512A">
      <w:pPr>
        <w:widowControl/>
        <w:spacing w:line="360" w:lineRule="auto"/>
        <w:rPr>
          <w:b/>
          <w:bCs/>
          <w:sz w:val="26"/>
          <w:szCs w:val="26"/>
        </w:rPr>
      </w:pPr>
    </w:p>
    <w:p w14:paraId="36F38E77" w14:textId="714BBC31" w:rsidR="00BC72C6" w:rsidRPr="0059512A" w:rsidRDefault="00BC72C6" w:rsidP="0059512A">
      <w:pPr>
        <w:pStyle w:val="ListParagraph"/>
        <w:keepNext/>
        <w:widowControl/>
        <w:numPr>
          <w:ilvl w:val="1"/>
          <w:numId w:val="7"/>
        </w:numPr>
        <w:spacing w:line="360" w:lineRule="auto"/>
        <w:ind w:left="2160" w:hanging="720"/>
        <w:rPr>
          <w:b/>
          <w:bCs/>
          <w:sz w:val="26"/>
          <w:szCs w:val="26"/>
        </w:rPr>
      </w:pPr>
      <w:bookmarkStart w:id="67" w:name="_Hlk36451543"/>
      <w:r w:rsidRPr="0059512A">
        <w:rPr>
          <w:b/>
          <w:bCs/>
          <w:sz w:val="26"/>
          <w:szCs w:val="26"/>
        </w:rPr>
        <w:t>Recommended Decision</w:t>
      </w:r>
    </w:p>
    <w:bookmarkEnd w:id="67"/>
    <w:p w14:paraId="4A882FE3" w14:textId="293462BB" w:rsidR="00BC72C6" w:rsidRPr="0059512A" w:rsidRDefault="00BC72C6" w:rsidP="0059512A">
      <w:pPr>
        <w:keepNext/>
        <w:widowControl/>
        <w:spacing w:line="360" w:lineRule="auto"/>
        <w:rPr>
          <w:b/>
          <w:sz w:val="26"/>
          <w:szCs w:val="26"/>
        </w:rPr>
      </w:pPr>
    </w:p>
    <w:p w14:paraId="66026769" w14:textId="77777777" w:rsidR="00BC72C6" w:rsidRPr="0059512A" w:rsidRDefault="00BC72C6" w:rsidP="0059512A">
      <w:pPr>
        <w:keepNext/>
        <w:widowControl/>
        <w:spacing w:line="360" w:lineRule="auto"/>
        <w:ind w:firstLine="1440"/>
        <w:rPr>
          <w:rFonts w:eastAsiaTheme="minorHAnsi"/>
          <w:sz w:val="26"/>
          <w:szCs w:val="26"/>
        </w:rPr>
      </w:pPr>
      <w:r w:rsidRPr="0059512A">
        <w:rPr>
          <w:rFonts w:eastAsiaTheme="minorHAnsi"/>
          <w:sz w:val="26"/>
          <w:szCs w:val="26"/>
        </w:rPr>
        <w:t xml:space="preserve">The ALJs did not find adequate record evidence to support the OCA’s recommended downward adjustment to accumulated depreciation.  Noting their agreement with the Company’s contention that original cost plant in service should be calculated based on the FPFTY year-end balance, the ALJs determined that the OCA’s position regarding accumulated depreciation should also be rejected based on the </w:t>
      </w:r>
      <w:r w:rsidRPr="0059512A">
        <w:rPr>
          <w:rFonts w:eastAsiaTheme="minorHAnsi"/>
          <w:i/>
          <w:iCs/>
          <w:sz w:val="26"/>
          <w:szCs w:val="26"/>
        </w:rPr>
        <w:t>UGI Order</w:t>
      </w:r>
      <w:r w:rsidRPr="0059512A">
        <w:rPr>
          <w:rFonts w:eastAsiaTheme="minorHAnsi"/>
          <w:sz w:val="26"/>
          <w:szCs w:val="26"/>
        </w:rPr>
        <w:t>.  Therefore, the ALJs recommended that the Company’s claim for accumulated depreciation should be approved by the Commission.  R.D. at 9-10.</w:t>
      </w:r>
    </w:p>
    <w:p w14:paraId="59BC7859" w14:textId="2E61D50F" w:rsidR="00BC72C6" w:rsidRPr="0059512A" w:rsidRDefault="00BC72C6" w:rsidP="0059512A">
      <w:pPr>
        <w:widowControl/>
        <w:spacing w:line="360" w:lineRule="auto"/>
        <w:rPr>
          <w:b/>
          <w:sz w:val="26"/>
          <w:szCs w:val="26"/>
        </w:rPr>
      </w:pPr>
    </w:p>
    <w:p w14:paraId="0CC7CE3B" w14:textId="057B7B2C" w:rsidR="00BC72C6" w:rsidRPr="0059512A" w:rsidRDefault="00BC72C6" w:rsidP="0059512A">
      <w:pPr>
        <w:pStyle w:val="ListParagraph"/>
        <w:keepNext/>
        <w:keepLines/>
        <w:widowControl/>
        <w:numPr>
          <w:ilvl w:val="1"/>
          <w:numId w:val="7"/>
        </w:numPr>
        <w:spacing w:line="360" w:lineRule="auto"/>
        <w:ind w:left="2160" w:hanging="720"/>
        <w:rPr>
          <w:b/>
          <w:bCs/>
          <w:sz w:val="26"/>
          <w:szCs w:val="26"/>
        </w:rPr>
      </w:pPr>
      <w:bookmarkStart w:id="68" w:name="_Hlk36640565"/>
      <w:r w:rsidRPr="0059512A">
        <w:rPr>
          <w:b/>
          <w:bCs/>
          <w:sz w:val="26"/>
          <w:szCs w:val="26"/>
        </w:rPr>
        <w:lastRenderedPageBreak/>
        <w:t>Exceptions and Replies</w:t>
      </w:r>
    </w:p>
    <w:bookmarkEnd w:id="68"/>
    <w:p w14:paraId="7A377B69" w14:textId="3A5DAF66" w:rsidR="00BC72C6" w:rsidRPr="0059512A" w:rsidRDefault="00BC72C6" w:rsidP="0059512A">
      <w:pPr>
        <w:keepNext/>
        <w:keepLines/>
        <w:widowControl/>
        <w:spacing w:line="360" w:lineRule="auto"/>
        <w:rPr>
          <w:b/>
          <w:sz w:val="26"/>
          <w:szCs w:val="26"/>
        </w:rPr>
      </w:pPr>
    </w:p>
    <w:p w14:paraId="371EC149" w14:textId="03371FBF" w:rsidR="00BC72C6" w:rsidRPr="0059512A" w:rsidRDefault="00BC72C6" w:rsidP="0059512A">
      <w:pPr>
        <w:keepNext/>
        <w:keepLines/>
        <w:widowControl/>
        <w:spacing w:line="360" w:lineRule="auto"/>
        <w:ind w:firstLine="1440"/>
        <w:rPr>
          <w:rFonts w:eastAsiaTheme="minorHAnsi"/>
          <w:sz w:val="26"/>
          <w:szCs w:val="26"/>
        </w:rPr>
      </w:pPr>
      <w:r w:rsidRPr="0059512A">
        <w:rPr>
          <w:rFonts w:eastAsiaTheme="minorHAnsi"/>
          <w:sz w:val="26"/>
          <w:szCs w:val="26"/>
        </w:rPr>
        <w:t>As discussed above in OCA Exception No. 1, the OCA requests that if the Commission adopts its proposed use of an average method for determining the Company’s rate base, it should also adjust the accumulated depreciation amount.  OCA Exc. at 5.  Thus, the OCA requests an adjustment to accumulated depreciation based on an average of the beginning-of-year and end-of-year FPFTY plant balances resulting in a $378,420 reduction in accumulated depreciation amount, for a total accumulated depreciation of $13,158,754.  OCA St. 2 at 4, Sch. LKM-1.</w:t>
      </w:r>
    </w:p>
    <w:p w14:paraId="74C9915D" w14:textId="73DA98B7" w:rsidR="00D149B2" w:rsidRPr="0059512A" w:rsidRDefault="00D149B2" w:rsidP="0059512A">
      <w:pPr>
        <w:widowControl/>
        <w:spacing w:line="360" w:lineRule="auto"/>
        <w:ind w:firstLine="1440"/>
        <w:rPr>
          <w:rFonts w:eastAsiaTheme="minorHAnsi"/>
          <w:sz w:val="26"/>
          <w:szCs w:val="26"/>
        </w:rPr>
      </w:pPr>
    </w:p>
    <w:p w14:paraId="30528E41" w14:textId="4F833D11" w:rsidR="00D149B2" w:rsidRPr="0059512A" w:rsidRDefault="00D149B2" w:rsidP="0059512A">
      <w:pPr>
        <w:widowControl/>
        <w:spacing w:line="360" w:lineRule="auto"/>
        <w:ind w:firstLine="1440"/>
        <w:rPr>
          <w:b/>
          <w:sz w:val="26"/>
          <w:szCs w:val="26"/>
        </w:rPr>
      </w:pPr>
      <w:r w:rsidRPr="0059512A">
        <w:rPr>
          <w:rFonts w:eastAsiaTheme="minorHAnsi"/>
          <w:sz w:val="26"/>
          <w:szCs w:val="26"/>
        </w:rPr>
        <w:t xml:space="preserve">As discussed in its responses </w:t>
      </w:r>
      <w:r w:rsidR="00E877F6" w:rsidRPr="0059512A">
        <w:rPr>
          <w:rFonts w:eastAsiaTheme="minorHAnsi"/>
          <w:sz w:val="26"/>
          <w:szCs w:val="26"/>
        </w:rPr>
        <w:t xml:space="preserve">to </w:t>
      </w:r>
      <w:r w:rsidRPr="0059512A">
        <w:rPr>
          <w:rFonts w:eastAsiaTheme="minorHAnsi"/>
          <w:sz w:val="26"/>
          <w:szCs w:val="26"/>
        </w:rPr>
        <w:t>OCA Exception No. 1, Citizens’ argues that the Commission should uphold the R.D.’s acceptance of the Company’s end-of-test methodology.  Citizens’ R. Exc. at 16.</w:t>
      </w:r>
    </w:p>
    <w:p w14:paraId="6106CC5D" w14:textId="50E82553" w:rsidR="00D323D0" w:rsidRPr="0059512A" w:rsidRDefault="00D323D0" w:rsidP="0059512A">
      <w:pPr>
        <w:widowControl/>
        <w:spacing w:line="360" w:lineRule="auto"/>
        <w:rPr>
          <w:b/>
          <w:sz w:val="26"/>
          <w:szCs w:val="26"/>
        </w:rPr>
      </w:pPr>
    </w:p>
    <w:p w14:paraId="74ECB2BF" w14:textId="2F943308" w:rsidR="00D323D0" w:rsidRPr="0059512A" w:rsidRDefault="00D323D0" w:rsidP="0059512A">
      <w:pPr>
        <w:pStyle w:val="ListParagraph"/>
        <w:keepNext/>
        <w:widowControl/>
        <w:numPr>
          <w:ilvl w:val="1"/>
          <w:numId w:val="7"/>
        </w:numPr>
        <w:spacing w:line="360" w:lineRule="auto"/>
        <w:ind w:left="2160" w:hanging="720"/>
        <w:rPr>
          <w:b/>
          <w:sz w:val="26"/>
          <w:szCs w:val="26"/>
        </w:rPr>
      </w:pPr>
      <w:r w:rsidRPr="0059512A">
        <w:rPr>
          <w:b/>
          <w:sz w:val="26"/>
          <w:szCs w:val="26"/>
        </w:rPr>
        <w:t>Disposition</w:t>
      </w:r>
    </w:p>
    <w:p w14:paraId="7ABE283C" w14:textId="77777777" w:rsidR="00BC72C6" w:rsidRPr="0059512A" w:rsidRDefault="00BC72C6" w:rsidP="0059512A">
      <w:pPr>
        <w:keepNext/>
        <w:widowControl/>
        <w:spacing w:line="360" w:lineRule="auto"/>
        <w:rPr>
          <w:b/>
          <w:sz w:val="26"/>
          <w:szCs w:val="26"/>
        </w:rPr>
      </w:pPr>
    </w:p>
    <w:p w14:paraId="3E48C5C0" w14:textId="15FE9BA3" w:rsidR="00BC72C6" w:rsidRPr="0059512A" w:rsidRDefault="00AF6CCC" w:rsidP="0059512A">
      <w:pPr>
        <w:keepNext/>
        <w:widowControl/>
        <w:spacing w:line="360" w:lineRule="auto"/>
        <w:ind w:firstLine="1440"/>
        <w:rPr>
          <w:rFonts w:eastAsiaTheme="minorHAnsi"/>
          <w:sz w:val="26"/>
          <w:szCs w:val="26"/>
        </w:rPr>
      </w:pPr>
      <w:bookmarkStart w:id="69" w:name="_Hlk36452485"/>
      <w:r w:rsidRPr="0059512A">
        <w:rPr>
          <w:rFonts w:eastAsiaTheme="minorHAnsi"/>
          <w:sz w:val="26"/>
          <w:szCs w:val="26"/>
        </w:rPr>
        <w:t xml:space="preserve">Based on its recommended application of the FPFTY concept, the OCA proposes that the Company’s rate base reflect only the annual “average” difference between its plant in service as of December 31, 2019 and December 31, 2020.  Correspondingly, the OCA recommends reducing the Company’s claims for annual depreciation expense to reflect a level that corresponds to its “average” plant in service proposals, and the OCA adjusted accumulated depreciation accordingly.  </w:t>
      </w:r>
    </w:p>
    <w:p w14:paraId="441DED23" w14:textId="1DF68776" w:rsidR="00AF6CCC" w:rsidRPr="0059512A" w:rsidRDefault="00AF6CCC" w:rsidP="0059512A">
      <w:pPr>
        <w:widowControl/>
        <w:spacing w:line="360" w:lineRule="auto"/>
        <w:ind w:firstLine="1440"/>
        <w:rPr>
          <w:rFonts w:eastAsiaTheme="minorHAnsi"/>
          <w:sz w:val="26"/>
          <w:szCs w:val="26"/>
        </w:rPr>
      </w:pPr>
    </w:p>
    <w:p w14:paraId="15B78386" w14:textId="1EBEFA6B" w:rsidR="00D626C6" w:rsidRPr="0059512A" w:rsidRDefault="00D626C6" w:rsidP="0059512A">
      <w:pPr>
        <w:widowControl/>
        <w:spacing w:line="360" w:lineRule="auto"/>
        <w:ind w:firstLine="1440"/>
        <w:rPr>
          <w:sz w:val="26"/>
          <w:szCs w:val="26"/>
        </w:rPr>
      </w:pPr>
      <w:r w:rsidRPr="0059512A">
        <w:rPr>
          <w:sz w:val="26"/>
          <w:szCs w:val="26"/>
        </w:rPr>
        <w:t>Consistent with our determination with regard to the OCA’s recommended adjustment to rate base, reflective of its advocacy for a</w:t>
      </w:r>
      <w:r w:rsidR="00607DB3" w:rsidRPr="0059512A">
        <w:rPr>
          <w:sz w:val="26"/>
          <w:szCs w:val="26"/>
        </w:rPr>
        <w:t>n</w:t>
      </w:r>
      <w:r w:rsidRPr="0059512A">
        <w:rPr>
          <w:sz w:val="26"/>
          <w:szCs w:val="26"/>
        </w:rPr>
        <w:t xml:space="preserve"> average rate base approach, we shall adopt the ALJs</w:t>
      </w:r>
      <w:r w:rsidR="002909AF" w:rsidRPr="0059512A">
        <w:rPr>
          <w:sz w:val="26"/>
          <w:szCs w:val="26"/>
        </w:rPr>
        <w:t>’</w:t>
      </w:r>
      <w:r w:rsidRPr="0059512A">
        <w:rPr>
          <w:sz w:val="26"/>
          <w:szCs w:val="26"/>
        </w:rPr>
        <w:t xml:space="preserve"> recommendation to deny this adjustment as well.  Accordingly, we shall deny the Exceptions filed by the OCA on this issue.</w:t>
      </w:r>
    </w:p>
    <w:bookmarkEnd w:id="69"/>
    <w:p w14:paraId="310FD7F6" w14:textId="0CE20585" w:rsidR="00300ABE" w:rsidRPr="0059512A" w:rsidRDefault="00300ABE" w:rsidP="0059512A">
      <w:pPr>
        <w:widowControl/>
        <w:spacing w:line="360" w:lineRule="auto"/>
        <w:rPr>
          <w:b/>
          <w:sz w:val="26"/>
          <w:szCs w:val="26"/>
        </w:rPr>
      </w:pPr>
    </w:p>
    <w:p w14:paraId="3E9F5A11" w14:textId="0297650A" w:rsidR="00E7696D" w:rsidRPr="0059512A" w:rsidRDefault="00E7696D" w:rsidP="0059512A">
      <w:pPr>
        <w:pStyle w:val="Heading3"/>
        <w:keepNext/>
        <w:keepLines/>
        <w:ind w:left="1440" w:hanging="720"/>
      </w:pPr>
      <w:bookmarkStart w:id="70" w:name="_Toc38629277"/>
      <w:r w:rsidRPr="0059512A">
        <w:lastRenderedPageBreak/>
        <w:t>Cash Working Capital and Construction Work in Progress</w:t>
      </w:r>
      <w:bookmarkEnd w:id="70"/>
    </w:p>
    <w:p w14:paraId="55FA89CB" w14:textId="5BC2ABDC" w:rsidR="00E615EB" w:rsidRPr="0059512A" w:rsidRDefault="00E615EB" w:rsidP="0059512A">
      <w:pPr>
        <w:keepNext/>
        <w:keepLines/>
        <w:widowControl/>
        <w:spacing w:line="360" w:lineRule="auto"/>
        <w:rPr>
          <w:b/>
          <w:sz w:val="26"/>
          <w:szCs w:val="26"/>
        </w:rPr>
      </w:pPr>
    </w:p>
    <w:p w14:paraId="6068B88F" w14:textId="7EE48BFB" w:rsidR="00E7696D" w:rsidRPr="0059512A" w:rsidRDefault="00D323D0" w:rsidP="0059512A">
      <w:pPr>
        <w:pStyle w:val="ListParagraph"/>
        <w:keepNext/>
        <w:keepLines/>
        <w:widowControl/>
        <w:spacing w:line="360" w:lineRule="auto"/>
        <w:ind w:left="2160" w:hanging="720"/>
        <w:rPr>
          <w:b/>
          <w:bCs/>
          <w:sz w:val="26"/>
          <w:szCs w:val="26"/>
        </w:rPr>
      </w:pPr>
      <w:bookmarkStart w:id="71" w:name="_Hlk36452258"/>
      <w:r w:rsidRPr="0059512A">
        <w:rPr>
          <w:b/>
          <w:bCs/>
          <w:sz w:val="26"/>
          <w:szCs w:val="26"/>
        </w:rPr>
        <w:t>a.</w:t>
      </w:r>
      <w:r w:rsidRPr="0059512A">
        <w:rPr>
          <w:b/>
          <w:bCs/>
          <w:sz w:val="26"/>
          <w:szCs w:val="26"/>
        </w:rPr>
        <w:tab/>
      </w:r>
      <w:r w:rsidR="00E7696D" w:rsidRPr="0059512A">
        <w:rPr>
          <w:b/>
          <w:bCs/>
          <w:sz w:val="26"/>
          <w:szCs w:val="26"/>
        </w:rPr>
        <w:t>Positions of the Parties</w:t>
      </w:r>
    </w:p>
    <w:bookmarkEnd w:id="71"/>
    <w:p w14:paraId="5647FDB9" w14:textId="77777777" w:rsidR="00E615EB" w:rsidRPr="0059512A" w:rsidRDefault="00E615EB" w:rsidP="0059512A">
      <w:pPr>
        <w:keepNext/>
        <w:widowControl/>
        <w:spacing w:line="360" w:lineRule="auto"/>
        <w:rPr>
          <w:b/>
          <w:sz w:val="26"/>
          <w:szCs w:val="26"/>
        </w:rPr>
      </w:pPr>
    </w:p>
    <w:p w14:paraId="7451B3C9" w14:textId="088B09BE" w:rsidR="00712B24" w:rsidRPr="0059512A" w:rsidRDefault="00712B24" w:rsidP="0059512A">
      <w:pPr>
        <w:keepNext/>
        <w:widowControl/>
        <w:spacing w:line="360" w:lineRule="auto"/>
        <w:ind w:firstLine="1440"/>
        <w:rPr>
          <w:sz w:val="26"/>
          <w:szCs w:val="26"/>
        </w:rPr>
      </w:pPr>
      <w:bookmarkStart w:id="72" w:name="_Hlk29370115"/>
      <w:r w:rsidRPr="0059512A">
        <w:rPr>
          <w:sz w:val="26"/>
          <w:szCs w:val="26"/>
        </w:rPr>
        <w:t xml:space="preserve">The Company claimed an increase of $342,049 to rate base for CWC.  Citizens’ Exh._(HSG-1), Sch. C1-6.  </w:t>
      </w:r>
      <w:bookmarkEnd w:id="72"/>
      <w:r w:rsidRPr="0059512A">
        <w:rPr>
          <w:sz w:val="26"/>
          <w:szCs w:val="26"/>
        </w:rPr>
        <w:t>The Company derived the CWC by using the formula of 1/8 of non-fuel cash operating costs.  Citizens’ St. 1 at 14.</w:t>
      </w:r>
      <w:bookmarkStart w:id="73" w:name="_Hlk29370142"/>
      <w:r w:rsidRPr="0059512A">
        <w:rPr>
          <w:sz w:val="26"/>
          <w:szCs w:val="26"/>
        </w:rPr>
        <w:t xml:space="preserve">  Citizens’ noted that I&amp;E and the OCA did not oppose the 1/8 method proffered by the Company, but </w:t>
      </w:r>
      <w:bookmarkStart w:id="74" w:name="_Hlk29370160"/>
      <w:bookmarkEnd w:id="73"/>
      <w:r w:rsidRPr="0059512A">
        <w:rPr>
          <w:sz w:val="26"/>
          <w:szCs w:val="26"/>
        </w:rPr>
        <w:t xml:space="preserve">that I&amp;E and the OCA each proposed to reduce the CWC claim to reflect their respective proposed operating and maintenance (O&amp;M) expense adjustments.  Citizens’ M.B. at 24; I&amp;E St. 1 at 23; OCA St. 1 at 9.  </w:t>
      </w:r>
      <w:bookmarkStart w:id="75" w:name="_Hlk29370191"/>
      <w:bookmarkEnd w:id="74"/>
      <w:r w:rsidRPr="0059512A">
        <w:rPr>
          <w:sz w:val="26"/>
          <w:szCs w:val="26"/>
        </w:rPr>
        <w:t xml:space="preserve">Citizens’ agreed that CWC should be recalculated if the Commission orders any changes to the Company’s claimed O&amp;M expenses.  Citizens’ St. 1-R at 5, 12.  </w:t>
      </w:r>
      <w:bookmarkEnd w:id="75"/>
      <w:r w:rsidRPr="0059512A">
        <w:rPr>
          <w:sz w:val="26"/>
          <w:szCs w:val="26"/>
        </w:rPr>
        <w:t xml:space="preserve">If O&amp;M expenses are adjusted, the Commission should use the same 1/8 method utilized by the Company, with removal of non-cash items as proposed by I&amp;E and the OCA, to adjust CWC.  Citizens’ M.B. at 24.  </w:t>
      </w:r>
    </w:p>
    <w:p w14:paraId="7D6B1C7A" w14:textId="77777777" w:rsidR="00712B24" w:rsidRPr="0059512A" w:rsidRDefault="00712B24" w:rsidP="0059512A">
      <w:pPr>
        <w:widowControl/>
        <w:spacing w:line="360" w:lineRule="auto"/>
        <w:ind w:firstLine="720"/>
        <w:rPr>
          <w:rFonts w:eastAsiaTheme="minorHAnsi"/>
          <w:sz w:val="26"/>
          <w:szCs w:val="26"/>
        </w:rPr>
      </w:pPr>
    </w:p>
    <w:p w14:paraId="11307B45" w14:textId="584C11E3" w:rsidR="00712B24" w:rsidRPr="0059512A" w:rsidRDefault="00712B24" w:rsidP="00595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rPr>
          <w:rFonts w:eastAsiaTheme="minorHAnsi"/>
          <w:bCs/>
          <w:sz w:val="26"/>
          <w:szCs w:val="26"/>
        </w:rPr>
      </w:pPr>
      <w:r w:rsidRPr="0059512A">
        <w:rPr>
          <w:rFonts w:eastAsiaTheme="minorHAnsi"/>
          <w:bCs/>
          <w:sz w:val="26"/>
          <w:szCs w:val="26"/>
        </w:rPr>
        <w:t>I&amp;E noted that the Company’s rate base claim included $70,492 of CWIP</w:t>
      </w:r>
      <w:r w:rsidR="00E877F6" w:rsidRPr="0059512A">
        <w:rPr>
          <w:rFonts w:eastAsiaTheme="minorHAnsi"/>
          <w:sz w:val="26"/>
          <w:szCs w:val="26"/>
        </w:rPr>
        <w:t xml:space="preserve"> </w:t>
      </w:r>
      <w:r w:rsidRPr="0059512A">
        <w:rPr>
          <w:rFonts w:eastAsiaTheme="minorHAnsi"/>
          <w:sz w:val="26"/>
          <w:szCs w:val="26"/>
        </w:rPr>
        <w:t>based on the December 31, 2018, financial statements and estimated to be the same in the FTY and FPFTY</w:t>
      </w:r>
      <w:r w:rsidRPr="0059512A">
        <w:rPr>
          <w:rFonts w:eastAsiaTheme="minorHAnsi"/>
          <w:bCs/>
          <w:sz w:val="26"/>
          <w:szCs w:val="26"/>
        </w:rPr>
        <w:t>.  Citizens’ Exh._(HSG-1), Sch. C1-6.  I&amp;E also noted that, although CWIP allows a utility to recover costs for plant additions that will be completed and in service within six months of the end of the test year, the Company elected to use a FPFTY ending December 31, 2020, which includes projections of plant in service and depreciation that will be recovered in rates during that twelve-month period.  Accordingly, I&amp;E stated there is no reason to include a CWIP claim given that the plant should be included in the Company’s FPFTY plant claim.  The Company accepted I&amp;E’s recommended adjustment in rebuttal testimony and conceded that the $70,492 CWIP claim should be removed from the FPFTY rate base as originally filed.  I&amp;E M.B. at 9.</w:t>
      </w:r>
    </w:p>
    <w:p w14:paraId="0BF5BECA" w14:textId="77777777" w:rsidR="00712B24" w:rsidRPr="0059512A" w:rsidRDefault="00712B24" w:rsidP="00595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eastAsiaTheme="minorHAnsi"/>
          <w:bCs/>
          <w:sz w:val="26"/>
          <w:szCs w:val="26"/>
        </w:rPr>
      </w:pPr>
    </w:p>
    <w:p w14:paraId="6DA5121D" w14:textId="309B059C" w:rsidR="00712B24" w:rsidRPr="0059512A" w:rsidRDefault="00712B24" w:rsidP="00595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rPr>
          <w:rFonts w:eastAsiaTheme="minorHAnsi"/>
          <w:sz w:val="26"/>
          <w:szCs w:val="26"/>
        </w:rPr>
      </w:pPr>
      <w:r w:rsidRPr="0059512A">
        <w:rPr>
          <w:rFonts w:eastAsiaTheme="minorHAnsi"/>
          <w:sz w:val="26"/>
          <w:szCs w:val="26"/>
        </w:rPr>
        <w:lastRenderedPageBreak/>
        <w:t xml:space="preserve">I&amp;E also noted that the Company claimed $342,049 for CWC, which was later revised to $342,721.  Citizens’ Exh._(HSG-1), Sch. C1-6; </w:t>
      </w:r>
      <w:r w:rsidRPr="0059512A">
        <w:rPr>
          <w:rFonts w:eastAsiaTheme="minorHAnsi"/>
          <w:bCs/>
          <w:sz w:val="26"/>
          <w:szCs w:val="26"/>
        </w:rPr>
        <w:t>I&amp;E Exh. No. 1-SR, Sch.</w:t>
      </w:r>
      <w:r w:rsidR="00E63ABF">
        <w:rPr>
          <w:rFonts w:eastAsiaTheme="minorHAnsi"/>
          <w:bCs/>
          <w:sz w:val="26"/>
          <w:szCs w:val="26"/>
        </w:rPr>
        <w:t> </w:t>
      </w:r>
      <w:r w:rsidRPr="0059512A">
        <w:rPr>
          <w:rFonts w:eastAsiaTheme="minorHAnsi"/>
          <w:bCs/>
          <w:sz w:val="26"/>
          <w:szCs w:val="26"/>
        </w:rPr>
        <w:t>1 at 3.</w:t>
      </w:r>
      <w:r w:rsidRPr="0059512A">
        <w:rPr>
          <w:rFonts w:eastAsiaTheme="minorHAnsi"/>
          <w:sz w:val="26"/>
          <w:szCs w:val="26"/>
        </w:rPr>
        <w:t xml:space="preserve">  I&amp;E explained that CWC covers the lag between the payment of operating expenses and the receipt of revenues from ratepayers and that all cash-based expenses are included in the Company’s overall CWC claim.  I&amp;E contended that any adjustments to the Company’s O&amp;M expense claims impact the CWC allowance and </w:t>
      </w:r>
      <w:bookmarkStart w:id="76" w:name="_Hlk28674478"/>
      <w:r w:rsidRPr="0059512A">
        <w:rPr>
          <w:rFonts w:eastAsiaTheme="minorHAnsi"/>
          <w:sz w:val="26"/>
          <w:szCs w:val="26"/>
        </w:rPr>
        <w:t>recommended that the O&amp;M expense claims be reduced by $106,623, which reduces the Company’s CWC allowance by $13,328.</w:t>
      </w:r>
      <w:bookmarkEnd w:id="76"/>
      <w:r w:rsidRPr="0059512A">
        <w:rPr>
          <w:rFonts w:eastAsiaTheme="minorHAnsi"/>
          <w:sz w:val="26"/>
          <w:szCs w:val="26"/>
        </w:rPr>
        <w:t xml:space="preserve">  I&amp;E M.B. at 10-11; I&amp;E St. 1-SR at 24. </w:t>
      </w:r>
    </w:p>
    <w:p w14:paraId="191E89B2" w14:textId="35C0772A" w:rsidR="00E615EB" w:rsidRPr="0059512A" w:rsidRDefault="00E615EB" w:rsidP="0059512A">
      <w:pPr>
        <w:widowControl/>
        <w:spacing w:line="360" w:lineRule="auto"/>
        <w:rPr>
          <w:b/>
          <w:sz w:val="26"/>
          <w:szCs w:val="26"/>
        </w:rPr>
      </w:pPr>
    </w:p>
    <w:p w14:paraId="31BB7193" w14:textId="6769BA50" w:rsidR="00712B24" w:rsidRPr="0059512A" w:rsidRDefault="00712B24" w:rsidP="0059512A">
      <w:pPr>
        <w:pStyle w:val="ListParagraph"/>
        <w:keepNext/>
        <w:widowControl/>
        <w:numPr>
          <w:ilvl w:val="0"/>
          <w:numId w:val="8"/>
        </w:numPr>
        <w:spacing w:line="360" w:lineRule="auto"/>
        <w:ind w:left="2160" w:hanging="720"/>
        <w:rPr>
          <w:b/>
          <w:bCs/>
          <w:sz w:val="26"/>
          <w:szCs w:val="26"/>
        </w:rPr>
      </w:pPr>
      <w:bookmarkStart w:id="77" w:name="_Hlk36452365"/>
      <w:r w:rsidRPr="0059512A">
        <w:rPr>
          <w:b/>
          <w:bCs/>
          <w:sz w:val="26"/>
          <w:szCs w:val="26"/>
        </w:rPr>
        <w:t>Recommended Decision</w:t>
      </w:r>
    </w:p>
    <w:bookmarkEnd w:id="77"/>
    <w:p w14:paraId="33A84A12" w14:textId="2703C7DE" w:rsidR="00712B24" w:rsidRPr="0059512A" w:rsidRDefault="00712B24" w:rsidP="0059512A">
      <w:pPr>
        <w:keepNext/>
        <w:widowControl/>
        <w:spacing w:line="360" w:lineRule="auto"/>
        <w:rPr>
          <w:b/>
          <w:sz w:val="26"/>
          <w:szCs w:val="26"/>
        </w:rPr>
      </w:pPr>
    </w:p>
    <w:p w14:paraId="29955CB4" w14:textId="2F8DC787" w:rsidR="00712B24" w:rsidRPr="0059512A" w:rsidRDefault="00712B24" w:rsidP="0059512A">
      <w:pPr>
        <w:keepNext/>
        <w:widowControl/>
        <w:spacing w:line="360" w:lineRule="auto"/>
        <w:ind w:firstLine="1440"/>
        <w:rPr>
          <w:rFonts w:eastAsiaTheme="minorHAnsi"/>
          <w:color w:val="000000"/>
          <w:sz w:val="26"/>
          <w:szCs w:val="26"/>
        </w:rPr>
      </w:pPr>
      <w:r w:rsidRPr="0059512A">
        <w:rPr>
          <w:rFonts w:eastAsiaTheme="minorHAnsi"/>
          <w:sz w:val="26"/>
          <w:szCs w:val="26"/>
        </w:rPr>
        <w:t xml:space="preserve">The ALJs addressed I&amp;E’s recommended disallowance of CWIP and a reduction to CWC allowance.  The ALJs also noted that </w:t>
      </w:r>
      <w:r w:rsidRPr="0059512A">
        <w:rPr>
          <w:rFonts w:eastAsiaTheme="minorHAnsi"/>
          <w:color w:val="000000"/>
          <w:sz w:val="26"/>
          <w:szCs w:val="26"/>
        </w:rPr>
        <w:t>the tables attached to I&amp;E’s Appendix A only reflect a recommended reduction to rate base of $13,328 for CWC because Citizens’ rebuttal position accepted I&amp;E’s CWIP recommendation.  Additionally, the ALJs explained that the OCA recommended an exclusion of</w:t>
      </w:r>
      <w:r w:rsidRPr="0059512A">
        <w:rPr>
          <w:rFonts w:eastAsiaTheme="minorHAnsi"/>
          <w:sz w:val="26"/>
          <w:szCs w:val="26"/>
        </w:rPr>
        <w:t xml:space="preserve"> CWIP in rate base when using an end</w:t>
      </w:r>
      <w:r w:rsidR="00D149B2" w:rsidRPr="0059512A">
        <w:rPr>
          <w:rFonts w:eastAsiaTheme="minorHAnsi"/>
          <w:sz w:val="26"/>
          <w:szCs w:val="26"/>
        </w:rPr>
        <w:t>-</w:t>
      </w:r>
      <w:r w:rsidRPr="0059512A">
        <w:rPr>
          <w:rFonts w:eastAsiaTheme="minorHAnsi"/>
          <w:sz w:val="26"/>
          <w:szCs w:val="26"/>
        </w:rPr>
        <w:t>of</w:t>
      </w:r>
      <w:r w:rsidR="00D149B2" w:rsidRPr="0059512A">
        <w:rPr>
          <w:rFonts w:eastAsiaTheme="minorHAnsi"/>
          <w:sz w:val="26"/>
          <w:szCs w:val="26"/>
        </w:rPr>
        <w:t>-</w:t>
      </w:r>
      <w:r w:rsidRPr="0059512A">
        <w:rPr>
          <w:rFonts w:eastAsiaTheme="minorHAnsi"/>
          <w:sz w:val="26"/>
          <w:szCs w:val="26"/>
        </w:rPr>
        <w:t>test</w:t>
      </w:r>
      <w:r w:rsidR="00D149B2" w:rsidRPr="0059512A">
        <w:rPr>
          <w:rFonts w:eastAsiaTheme="minorHAnsi"/>
          <w:sz w:val="26"/>
          <w:szCs w:val="26"/>
        </w:rPr>
        <w:t>-</w:t>
      </w:r>
      <w:r w:rsidRPr="0059512A">
        <w:rPr>
          <w:rFonts w:eastAsiaTheme="minorHAnsi"/>
          <w:sz w:val="26"/>
          <w:szCs w:val="26"/>
        </w:rPr>
        <w:t xml:space="preserve">year or the average rate base test year method because in either case, the plant item will not be completed and placed in service during the FPFTY.  According to the OCA, the Commission has historically disallowed the inclusion of CWIP in rate base. </w:t>
      </w:r>
      <w:r w:rsidRPr="0059512A">
        <w:rPr>
          <w:rFonts w:eastAsiaTheme="minorHAnsi"/>
          <w:color w:val="000000"/>
          <w:sz w:val="26"/>
          <w:szCs w:val="26"/>
        </w:rPr>
        <w:t xml:space="preserve"> The ALJs further noted that the OSBA did not take a position on these issues</w:t>
      </w:r>
      <w:r w:rsidR="007222B0" w:rsidRPr="0059512A">
        <w:rPr>
          <w:rFonts w:eastAsiaTheme="minorHAnsi"/>
          <w:color w:val="000000"/>
          <w:sz w:val="26"/>
          <w:szCs w:val="26"/>
        </w:rPr>
        <w:t xml:space="preserve">. </w:t>
      </w:r>
      <w:r w:rsidRPr="0059512A">
        <w:rPr>
          <w:rFonts w:eastAsiaTheme="minorHAnsi"/>
          <w:color w:val="000000"/>
          <w:sz w:val="26"/>
          <w:szCs w:val="26"/>
        </w:rPr>
        <w:t xml:space="preserve"> R.D. at 12-13.</w:t>
      </w:r>
    </w:p>
    <w:p w14:paraId="62124107" w14:textId="77777777" w:rsidR="00712B24" w:rsidRPr="0059512A" w:rsidRDefault="00712B24" w:rsidP="0059512A">
      <w:pPr>
        <w:widowControl/>
        <w:spacing w:line="360" w:lineRule="auto"/>
        <w:ind w:firstLine="720"/>
        <w:rPr>
          <w:rFonts w:eastAsiaTheme="minorHAnsi"/>
          <w:color w:val="000000"/>
          <w:sz w:val="26"/>
          <w:szCs w:val="26"/>
        </w:rPr>
      </w:pPr>
    </w:p>
    <w:p w14:paraId="71558900" w14:textId="5A9530B4" w:rsidR="00712B24" w:rsidRPr="0059512A" w:rsidRDefault="00712B24" w:rsidP="0059512A">
      <w:pPr>
        <w:widowControl/>
        <w:spacing w:line="360" w:lineRule="auto"/>
        <w:ind w:firstLine="1440"/>
        <w:rPr>
          <w:rFonts w:eastAsiaTheme="minorHAnsi"/>
          <w:color w:val="000000"/>
          <w:sz w:val="26"/>
          <w:szCs w:val="26"/>
        </w:rPr>
      </w:pPr>
      <w:r w:rsidRPr="0059512A">
        <w:rPr>
          <w:rFonts w:eastAsiaTheme="minorHAnsi"/>
          <w:sz w:val="26"/>
          <w:szCs w:val="26"/>
        </w:rPr>
        <w:t>The ALJs determined that the CWIP and CWC adjustments were reasonable and should be approved.  In their rationale, the ALJs cited to th</w:t>
      </w:r>
      <w:r w:rsidRPr="0059512A">
        <w:rPr>
          <w:rFonts w:eastAsiaTheme="minorHAnsi"/>
          <w:color w:val="000000"/>
          <w:sz w:val="26"/>
          <w:szCs w:val="26"/>
        </w:rPr>
        <w:t xml:space="preserve">e Company’s agreement with the recommendation that CWC should be adjusted based on the level of operating expenses approved in this case and that the 1/8 method be used to adjust the CWC.  The ALJs also emphasized that the Company agreed to I&amp;E’s recommended adjustment regarding CWC and that no other </w:t>
      </w:r>
      <w:r w:rsidR="007222B0" w:rsidRPr="0059512A">
        <w:rPr>
          <w:rFonts w:eastAsiaTheme="minorHAnsi"/>
          <w:color w:val="000000"/>
          <w:sz w:val="26"/>
          <w:szCs w:val="26"/>
        </w:rPr>
        <w:t>P</w:t>
      </w:r>
      <w:r w:rsidRPr="0059512A">
        <w:rPr>
          <w:rFonts w:eastAsiaTheme="minorHAnsi"/>
          <w:color w:val="000000"/>
          <w:sz w:val="26"/>
          <w:szCs w:val="26"/>
        </w:rPr>
        <w:t>arty objected to the Company’s acceptance of such an adjustment.  R.D. at 13.</w:t>
      </w:r>
    </w:p>
    <w:p w14:paraId="57174632" w14:textId="32B714B2" w:rsidR="00712B24" w:rsidRPr="0059512A" w:rsidRDefault="00712B24" w:rsidP="0059512A">
      <w:pPr>
        <w:widowControl/>
        <w:spacing w:line="360" w:lineRule="auto"/>
        <w:ind w:firstLine="1440"/>
        <w:rPr>
          <w:b/>
          <w:sz w:val="26"/>
          <w:szCs w:val="26"/>
        </w:rPr>
      </w:pPr>
      <w:r w:rsidRPr="0059512A">
        <w:rPr>
          <w:sz w:val="26"/>
          <w:szCs w:val="26"/>
        </w:rPr>
        <w:lastRenderedPageBreak/>
        <w:t xml:space="preserve">Therefore, based on the ALJs’ O&amp;M recommendations, resulting in a downward adjustment of $81,330 to Citizens’ O&amp;M expenses (Table VI), the ALJs’ Table II reflects a corresponding downward adjustment to CWC of $5,005.  R.D. at 11-13, Tables II and VI.  Also, the ALJs recommended a deduction </w:t>
      </w:r>
      <w:r w:rsidRPr="0059512A">
        <w:rPr>
          <w:rFonts w:eastAsiaTheme="minorHAnsi"/>
          <w:sz w:val="26"/>
          <w:szCs w:val="26"/>
        </w:rPr>
        <w:t>of $70,492 from the Company’s claimed rate base in its original filing, reflecting the disallowance of CWIP.  R.D. at 15.</w:t>
      </w:r>
    </w:p>
    <w:p w14:paraId="3AEC5A11" w14:textId="77777777" w:rsidR="00712B24" w:rsidRPr="0059512A" w:rsidRDefault="00712B24" w:rsidP="0059512A">
      <w:pPr>
        <w:widowControl/>
        <w:spacing w:line="360" w:lineRule="auto"/>
        <w:rPr>
          <w:b/>
          <w:sz w:val="26"/>
          <w:szCs w:val="26"/>
        </w:rPr>
      </w:pPr>
    </w:p>
    <w:p w14:paraId="6A912C61" w14:textId="2A7A64E2" w:rsidR="00D03D7B" w:rsidRPr="0059512A" w:rsidRDefault="00D03D7B" w:rsidP="0059512A">
      <w:pPr>
        <w:pStyle w:val="ListParagraph"/>
        <w:keepNext/>
        <w:widowControl/>
        <w:numPr>
          <w:ilvl w:val="0"/>
          <w:numId w:val="8"/>
        </w:numPr>
        <w:spacing w:line="360" w:lineRule="auto"/>
        <w:ind w:left="2160" w:hanging="720"/>
        <w:rPr>
          <w:b/>
          <w:bCs/>
          <w:sz w:val="26"/>
          <w:szCs w:val="26"/>
        </w:rPr>
      </w:pPr>
      <w:bookmarkStart w:id="78" w:name="_Hlk36452449"/>
      <w:r w:rsidRPr="0059512A">
        <w:rPr>
          <w:b/>
          <w:bCs/>
          <w:sz w:val="26"/>
          <w:szCs w:val="26"/>
        </w:rPr>
        <w:t>Exceptions and Replies</w:t>
      </w:r>
    </w:p>
    <w:bookmarkEnd w:id="78"/>
    <w:p w14:paraId="49597704" w14:textId="7D5E87C7" w:rsidR="00D03D7B" w:rsidRPr="0059512A" w:rsidRDefault="00D03D7B" w:rsidP="0059512A">
      <w:pPr>
        <w:keepNext/>
        <w:widowControl/>
        <w:spacing w:line="360" w:lineRule="auto"/>
        <w:rPr>
          <w:b/>
          <w:bCs/>
          <w:sz w:val="26"/>
          <w:szCs w:val="26"/>
        </w:rPr>
      </w:pPr>
    </w:p>
    <w:p w14:paraId="2ADE0C98" w14:textId="5F7B9076" w:rsidR="00D03D7B" w:rsidRPr="0059512A" w:rsidRDefault="00D03D7B" w:rsidP="0059512A">
      <w:pPr>
        <w:pStyle w:val="ListParagraph"/>
        <w:keepNext/>
        <w:widowControl/>
        <w:spacing w:line="360" w:lineRule="auto"/>
        <w:ind w:left="0" w:firstLine="1440"/>
        <w:rPr>
          <w:sz w:val="26"/>
          <w:szCs w:val="26"/>
        </w:rPr>
      </w:pPr>
      <w:r w:rsidRPr="0059512A">
        <w:rPr>
          <w:sz w:val="26"/>
          <w:szCs w:val="26"/>
        </w:rPr>
        <w:t>In I&amp;E Exception No. 1, I&amp;E contends that the ALJs inadvertently miscalculated the flow-through adjustment to CWC based on their O&amp;M adjustments.  Therefore, I&amp;E argues that should the Commission accept the ALJ</w:t>
      </w:r>
      <w:r w:rsidR="00EE6F11" w:rsidRPr="0059512A">
        <w:rPr>
          <w:sz w:val="26"/>
          <w:szCs w:val="26"/>
        </w:rPr>
        <w:t>s’</w:t>
      </w:r>
      <w:r w:rsidRPr="0059512A">
        <w:rPr>
          <w:sz w:val="26"/>
          <w:szCs w:val="26"/>
        </w:rPr>
        <w:t xml:space="preserve"> O&amp;M recommendations in their entirety, the CWC claim should be adjusted downward by </w:t>
      </w:r>
      <w:bookmarkStart w:id="79" w:name="_Hlk37682492"/>
      <w:r w:rsidRPr="0059512A">
        <w:rPr>
          <w:sz w:val="26"/>
          <w:szCs w:val="26"/>
        </w:rPr>
        <w:t>$10,163 ($81,300/8), not $5,005</w:t>
      </w:r>
      <w:bookmarkEnd w:id="79"/>
      <w:r w:rsidRPr="0059512A">
        <w:rPr>
          <w:sz w:val="26"/>
          <w:szCs w:val="26"/>
        </w:rPr>
        <w:t>.  However, if the Commission modifies the ALJs’ O&amp;M recommendations based on the Parties’ exceptions, the ALJs’ CWC recommendation should be modified consistent with the 1/8 method.  I&amp;E Exc. at 4-5.</w:t>
      </w:r>
    </w:p>
    <w:p w14:paraId="2261FA0D" w14:textId="77777777" w:rsidR="00533645" w:rsidRPr="0059512A" w:rsidRDefault="00533645" w:rsidP="0059512A">
      <w:pPr>
        <w:pStyle w:val="ListParagraph"/>
        <w:widowControl/>
        <w:spacing w:line="360" w:lineRule="auto"/>
        <w:ind w:left="0" w:firstLine="1440"/>
        <w:rPr>
          <w:sz w:val="26"/>
          <w:szCs w:val="26"/>
        </w:rPr>
      </w:pPr>
    </w:p>
    <w:p w14:paraId="2395EE13" w14:textId="4DE2E7DB" w:rsidR="00D03D7B" w:rsidRPr="0059512A" w:rsidRDefault="00D03D7B" w:rsidP="0059512A">
      <w:pPr>
        <w:pStyle w:val="ListParagraph"/>
        <w:widowControl/>
        <w:spacing w:line="360" w:lineRule="auto"/>
        <w:ind w:left="0" w:firstLine="1440"/>
        <w:rPr>
          <w:sz w:val="26"/>
          <w:szCs w:val="26"/>
        </w:rPr>
      </w:pPr>
      <w:r w:rsidRPr="0059512A">
        <w:rPr>
          <w:sz w:val="26"/>
          <w:szCs w:val="26"/>
        </w:rPr>
        <w:t xml:space="preserve">In its Replies to I&amp;E Exception No. 1, </w:t>
      </w:r>
      <w:r w:rsidR="00876F76" w:rsidRPr="0059512A">
        <w:rPr>
          <w:sz w:val="26"/>
          <w:szCs w:val="26"/>
        </w:rPr>
        <w:t>Citizens’</w:t>
      </w:r>
      <w:r w:rsidRPr="0059512A">
        <w:rPr>
          <w:sz w:val="26"/>
          <w:szCs w:val="26"/>
        </w:rPr>
        <w:t xml:space="preserve"> argues that I&amp;E improperly applied the 1/8 method for determining CWC when it multiplied the expense reductions in Table II of the R</w:t>
      </w:r>
      <w:r w:rsidR="00876F76" w:rsidRPr="0059512A">
        <w:rPr>
          <w:sz w:val="26"/>
          <w:szCs w:val="26"/>
        </w:rPr>
        <w:t>ecommended Decision</w:t>
      </w:r>
      <w:r w:rsidRPr="0059512A">
        <w:rPr>
          <w:sz w:val="26"/>
          <w:szCs w:val="26"/>
        </w:rPr>
        <w:t xml:space="preserve"> by 1/8 to obtain the proposed CWC adjustment of $10,163.  Citizens’ asserts that the ALJs correctly multiplied the total proposed O&amp;M expense of $2,701,802 by 1/8 for a total CWC of $337,716, which is $5,005 less than the Company’s $342,721 claim.  Citizens’ R. Exc. at 2.</w:t>
      </w:r>
    </w:p>
    <w:p w14:paraId="49DB13FC" w14:textId="77777777" w:rsidR="00D03D7B" w:rsidRPr="0059512A" w:rsidRDefault="00D03D7B" w:rsidP="0059512A">
      <w:pPr>
        <w:pStyle w:val="ListParagraph"/>
        <w:widowControl/>
        <w:spacing w:line="360" w:lineRule="auto"/>
        <w:ind w:left="0" w:firstLine="1440"/>
        <w:rPr>
          <w:sz w:val="26"/>
          <w:szCs w:val="26"/>
        </w:rPr>
      </w:pPr>
    </w:p>
    <w:p w14:paraId="2E8BE464" w14:textId="27E179D1" w:rsidR="00D03D7B" w:rsidRPr="0059512A" w:rsidRDefault="00D03D7B" w:rsidP="0059512A">
      <w:pPr>
        <w:widowControl/>
        <w:spacing w:line="360" w:lineRule="auto"/>
        <w:ind w:firstLine="1440"/>
        <w:rPr>
          <w:b/>
          <w:bCs/>
          <w:sz w:val="26"/>
          <w:szCs w:val="26"/>
        </w:rPr>
      </w:pPr>
      <w:r w:rsidRPr="0059512A">
        <w:rPr>
          <w:sz w:val="26"/>
          <w:szCs w:val="26"/>
        </w:rPr>
        <w:t xml:space="preserve">Thus, Citizens’ submits that the </w:t>
      </w:r>
      <w:r w:rsidR="00876F76" w:rsidRPr="0059512A">
        <w:rPr>
          <w:sz w:val="26"/>
          <w:szCs w:val="26"/>
        </w:rPr>
        <w:t>Recommended Decision</w:t>
      </w:r>
      <w:r w:rsidRPr="0059512A">
        <w:rPr>
          <w:sz w:val="26"/>
          <w:szCs w:val="26"/>
        </w:rPr>
        <w:t xml:space="preserve">’s $5,005 calculation represents the correct CWC adjustment based on the expense recommendations of the ALJs.  Accordingly, the Company requests denial of I&amp;E Exception No. 1 and approval of the calculation in the R.D. subject to further adjustment based on the total O&amp;M expense approved in this proceeding.  </w:t>
      </w:r>
      <w:r w:rsidRPr="0059512A">
        <w:rPr>
          <w:i/>
          <w:iCs/>
          <w:sz w:val="26"/>
          <w:szCs w:val="26"/>
        </w:rPr>
        <w:t>Id.</w:t>
      </w:r>
    </w:p>
    <w:p w14:paraId="313C6A7F" w14:textId="1A030F86" w:rsidR="00D03D7B" w:rsidRPr="0059512A" w:rsidRDefault="00D03D7B" w:rsidP="0059512A">
      <w:pPr>
        <w:pStyle w:val="ListParagraph"/>
        <w:keepNext/>
        <w:keepLines/>
        <w:widowControl/>
        <w:numPr>
          <w:ilvl w:val="0"/>
          <w:numId w:val="8"/>
        </w:numPr>
        <w:spacing w:line="360" w:lineRule="auto"/>
        <w:ind w:left="2160" w:hanging="720"/>
        <w:rPr>
          <w:b/>
          <w:bCs/>
          <w:sz w:val="26"/>
          <w:szCs w:val="26"/>
        </w:rPr>
      </w:pPr>
      <w:r w:rsidRPr="0059512A">
        <w:rPr>
          <w:b/>
          <w:bCs/>
          <w:sz w:val="26"/>
          <w:szCs w:val="26"/>
        </w:rPr>
        <w:lastRenderedPageBreak/>
        <w:t>Disposition</w:t>
      </w:r>
    </w:p>
    <w:p w14:paraId="3EC3D9A6" w14:textId="77777777" w:rsidR="00712B24" w:rsidRPr="0059512A" w:rsidRDefault="00712B24" w:rsidP="0059512A">
      <w:pPr>
        <w:keepNext/>
        <w:keepLines/>
        <w:widowControl/>
        <w:spacing w:line="360" w:lineRule="auto"/>
        <w:rPr>
          <w:b/>
          <w:sz w:val="26"/>
          <w:szCs w:val="26"/>
        </w:rPr>
      </w:pPr>
    </w:p>
    <w:p w14:paraId="328EF295" w14:textId="2F1ECD59" w:rsidR="005006ED" w:rsidRPr="0059512A" w:rsidRDefault="005006ED" w:rsidP="0059512A">
      <w:pPr>
        <w:keepNext/>
        <w:keepLines/>
        <w:widowControl/>
        <w:spacing w:line="360" w:lineRule="auto"/>
        <w:ind w:firstLine="1440"/>
        <w:rPr>
          <w:rFonts w:eastAsiaTheme="minorHAnsi"/>
          <w:sz w:val="26"/>
          <w:szCs w:val="26"/>
        </w:rPr>
      </w:pPr>
      <w:bookmarkStart w:id="80" w:name="_Hlk37158732"/>
      <w:r w:rsidRPr="0059512A">
        <w:rPr>
          <w:rFonts w:eastAsiaTheme="minorHAnsi"/>
          <w:sz w:val="26"/>
          <w:szCs w:val="26"/>
        </w:rPr>
        <w:t>No Party opposed the Company’s use of the 1/8 method for determining its claim for CWC.  The Company’s updated computation of rate base, shown on I&amp;E Exhibit No. 1-SR, Schedule 1 at 3, reflects a revised CWC claim of $342,721.  This claim was determined by multiplying the cash based operating expenses, totaling $2,741,767, by</w:t>
      </w:r>
      <w:r w:rsidR="00737012" w:rsidRPr="0059512A">
        <w:rPr>
          <w:rFonts w:eastAsiaTheme="minorHAnsi"/>
          <w:sz w:val="26"/>
          <w:szCs w:val="26"/>
        </w:rPr>
        <w:t xml:space="preserve"> 1/8, </w:t>
      </w:r>
      <w:r w:rsidR="00E4659A" w:rsidRPr="0059512A">
        <w:rPr>
          <w:rFonts w:eastAsiaTheme="minorHAnsi"/>
          <w:sz w:val="26"/>
          <w:szCs w:val="26"/>
        </w:rPr>
        <w:t>a</w:t>
      </w:r>
      <w:r w:rsidR="00737012" w:rsidRPr="0059512A">
        <w:rPr>
          <w:rFonts w:eastAsiaTheme="minorHAnsi"/>
          <w:sz w:val="26"/>
          <w:szCs w:val="26"/>
        </w:rPr>
        <w:t xml:space="preserve">s illustrated </w:t>
      </w:r>
      <w:r w:rsidR="00E4659A" w:rsidRPr="0059512A">
        <w:rPr>
          <w:rFonts w:eastAsiaTheme="minorHAnsi"/>
          <w:sz w:val="26"/>
          <w:szCs w:val="26"/>
        </w:rPr>
        <w:t xml:space="preserve">in column 1 </w:t>
      </w:r>
      <w:r w:rsidR="00737012" w:rsidRPr="0059512A">
        <w:rPr>
          <w:rFonts w:eastAsiaTheme="minorHAnsi"/>
          <w:sz w:val="26"/>
          <w:szCs w:val="26"/>
        </w:rPr>
        <w:t>on the table below.</w:t>
      </w:r>
    </w:p>
    <w:p w14:paraId="78599917" w14:textId="77777777" w:rsidR="005006ED" w:rsidRPr="0059512A" w:rsidRDefault="005006ED" w:rsidP="0059512A">
      <w:pPr>
        <w:widowControl/>
        <w:spacing w:line="360" w:lineRule="auto"/>
        <w:ind w:firstLine="1440"/>
        <w:rPr>
          <w:rFonts w:eastAsiaTheme="minorHAnsi"/>
          <w:sz w:val="26"/>
          <w:szCs w:val="26"/>
        </w:rPr>
      </w:pPr>
    </w:p>
    <w:p w14:paraId="7A8ED6DC" w14:textId="1FC55EB2" w:rsidR="00D03D7B" w:rsidRPr="0059512A" w:rsidRDefault="00270D33" w:rsidP="0059512A">
      <w:pPr>
        <w:widowControl/>
        <w:spacing w:line="360" w:lineRule="auto"/>
        <w:ind w:firstLine="1440"/>
        <w:rPr>
          <w:rFonts w:eastAsiaTheme="minorHAnsi"/>
          <w:sz w:val="26"/>
          <w:szCs w:val="26"/>
        </w:rPr>
      </w:pPr>
      <w:r w:rsidRPr="0059512A">
        <w:rPr>
          <w:rFonts w:eastAsiaTheme="minorHAnsi"/>
          <w:sz w:val="26"/>
          <w:szCs w:val="26"/>
        </w:rPr>
        <w:t>Although this calculation, known as an iteration, effectively prevents the determination of a precise calculation until such time as all adjustments have been made to the Company’s</w:t>
      </w:r>
      <w:r w:rsidR="003E64F3" w:rsidRPr="0059512A">
        <w:rPr>
          <w:rFonts w:eastAsiaTheme="minorHAnsi"/>
          <w:sz w:val="26"/>
          <w:szCs w:val="26"/>
        </w:rPr>
        <w:t xml:space="preserve"> expense claims</w:t>
      </w:r>
      <w:r w:rsidRPr="0059512A">
        <w:rPr>
          <w:rFonts w:eastAsiaTheme="minorHAnsi"/>
          <w:sz w:val="26"/>
          <w:szCs w:val="26"/>
        </w:rPr>
        <w:t>,</w:t>
      </w:r>
      <w:r w:rsidR="008C70FF" w:rsidRPr="0059512A">
        <w:rPr>
          <w:rFonts w:eastAsiaTheme="minorHAnsi"/>
          <w:sz w:val="26"/>
          <w:szCs w:val="26"/>
        </w:rPr>
        <w:t xml:space="preserve"> I&amp;E’s Exception No. 1 challenges the ALJs’ </w:t>
      </w:r>
      <w:r w:rsidR="00231BED" w:rsidRPr="0059512A">
        <w:rPr>
          <w:rFonts w:eastAsiaTheme="minorHAnsi"/>
          <w:sz w:val="26"/>
          <w:szCs w:val="26"/>
        </w:rPr>
        <w:t xml:space="preserve">adjustment of $5,005 to the Company’s claimed CWC of $342,721 based on the ALJs’ </w:t>
      </w:r>
      <w:r w:rsidR="00231BED" w:rsidRPr="0059512A">
        <w:rPr>
          <w:sz w:val="26"/>
          <w:szCs w:val="26"/>
        </w:rPr>
        <w:t>downward adjustment of $81,330 to</w:t>
      </w:r>
      <w:r w:rsidR="009D63A5" w:rsidRPr="0059512A">
        <w:rPr>
          <w:sz w:val="26"/>
          <w:szCs w:val="26"/>
        </w:rPr>
        <w:t xml:space="preserve"> the Company’s</w:t>
      </w:r>
      <w:r w:rsidR="00231BED" w:rsidRPr="0059512A">
        <w:rPr>
          <w:sz w:val="26"/>
          <w:szCs w:val="26"/>
        </w:rPr>
        <w:t xml:space="preserve"> O&amp;M expenses, as</w:t>
      </w:r>
      <w:r w:rsidR="00231BED" w:rsidRPr="0059512A">
        <w:rPr>
          <w:rFonts w:eastAsiaTheme="minorHAnsi"/>
          <w:sz w:val="26"/>
          <w:szCs w:val="26"/>
        </w:rPr>
        <w:t xml:space="preserve"> </w:t>
      </w:r>
      <w:r w:rsidR="008C70FF" w:rsidRPr="0059512A">
        <w:rPr>
          <w:rFonts w:eastAsiaTheme="minorHAnsi"/>
          <w:sz w:val="26"/>
          <w:szCs w:val="26"/>
        </w:rPr>
        <w:t>shown on Table VI of the Recommended Decision.</w:t>
      </w:r>
      <w:r w:rsidR="00F94294" w:rsidRPr="0059512A">
        <w:rPr>
          <w:rFonts w:eastAsiaTheme="minorHAnsi"/>
          <w:sz w:val="26"/>
          <w:szCs w:val="26"/>
        </w:rPr>
        <w:t xml:space="preserve">  </w:t>
      </w:r>
      <w:r w:rsidR="00876F76" w:rsidRPr="0059512A">
        <w:rPr>
          <w:rFonts w:eastAsiaTheme="minorHAnsi"/>
          <w:sz w:val="26"/>
          <w:szCs w:val="26"/>
        </w:rPr>
        <w:t>Upon review of the record and the Recommended Decision</w:t>
      </w:r>
      <w:r w:rsidR="002909AF" w:rsidRPr="0059512A">
        <w:rPr>
          <w:rFonts w:eastAsiaTheme="minorHAnsi"/>
          <w:sz w:val="26"/>
          <w:szCs w:val="26"/>
        </w:rPr>
        <w:t>,</w:t>
      </w:r>
      <w:r w:rsidR="00876F76" w:rsidRPr="0059512A">
        <w:rPr>
          <w:rFonts w:eastAsiaTheme="minorHAnsi"/>
          <w:sz w:val="26"/>
          <w:szCs w:val="26"/>
        </w:rPr>
        <w:t xml:space="preserve"> including Table VI of the Recommended Decision</w:t>
      </w:r>
      <w:r w:rsidR="00585BCF" w:rsidRPr="0059512A">
        <w:rPr>
          <w:rFonts w:eastAsiaTheme="minorHAnsi"/>
          <w:sz w:val="26"/>
          <w:szCs w:val="26"/>
        </w:rPr>
        <w:t xml:space="preserve">, we found that </w:t>
      </w:r>
      <w:r w:rsidR="008203B5" w:rsidRPr="0059512A">
        <w:rPr>
          <w:rFonts w:eastAsiaTheme="minorHAnsi"/>
          <w:sz w:val="26"/>
          <w:szCs w:val="26"/>
        </w:rPr>
        <w:t>Citizens’ inadvertently miscalculated its CWC claim by</w:t>
      </w:r>
      <w:r w:rsidR="00C147E6" w:rsidRPr="0059512A">
        <w:rPr>
          <w:rFonts w:eastAsiaTheme="minorHAnsi"/>
          <w:sz w:val="26"/>
          <w:szCs w:val="26"/>
        </w:rPr>
        <w:t xml:space="preserve"> applying the cash operating expenses ratio (1/8) to a cash based operating expense claim</w:t>
      </w:r>
      <w:r w:rsidR="0023396C" w:rsidRPr="0059512A">
        <w:rPr>
          <w:rFonts w:eastAsiaTheme="minorHAnsi"/>
          <w:sz w:val="26"/>
          <w:szCs w:val="26"/>
        </w:rPr>
        <w:t xml:space="preserve"> ($2,741,767)</w:t>
      </w:r>
      <w:r w:rsidR="00C147E6" w:rsidRPr="0059512A">
        <w:rPr>
          <w:rFonts w:eastAsiaTheme="minorHAnsi"/>
          <w:sz w:val="26"/>
          <w:szCs w:val="26"/>
        </w:rPr>
        <w:t xml:space="preserve"> that was </w:t>
      </w:r>
      <w:r w:rsidR="00A75060" w:rsidRPr="0059512A">
        <w:rPr>
          <w:rFonts w:eastAsiaTheme="minorHAnsi"/>
          <w:sz w:val="26"/>
          <w:szCs w:val="26"/>
        </w:rPr>
        <w:t>mistakenly</w:t>
      </w:r>
      <w:r w:rsidR="008203B5" w:rsidRPr="0059512A">
        <w:rPr>
          <w:rFonts w:eastAsiaTheme="minorHAnsi"/>
          <w:sz w:val="26"/>
          <w:szCs w:val="26"/>
        </w:rPr>
        <w:t xml:space="preserve"> </w:t>
      </w:r>
      <w:r w:rsidR="00C147E6" w:rsidRPr="0059512A">
        <w:rPr>
          <w:rFonts w:eastAsiaTheme="minorHAnsi"/>
          <w:sz w:val="26"/>
          <w:szCs w:val="26"/>
        </w:rPr>
        <w:t xml:space="preserve">lowered by </w:t>
      </w:r>
      <w:r w:rsidR="008203B5" w:rsidRPr="0059512A">
        <w:rPr>
          <w:rFonts w:eastAsiaTheme="minorHAnsi"/>
          <w:sz w:val="26"/>
          <w:szCs w:val="26"/>
        </w:rPr>
        <w:t>$41,366 ($356,823 - $398,189)</w:t>
      </w:r>
      <w:r w:rsidR="00C147E6" w:rsidRPr="0059512A">
        <w:rPr>
          <w:rFonts w:eastAsiaTheme="minorHAnsi"/>
          <w:sz w:val="26"/>
          <w:szCs w:val="26"/>
        </w:rPr>
        <w:t xml:space="preserve"> due to a discrepancy between the amount of Taxes other than income included in the total expenses</w:t>
      </w:r>
      <w:r w:rsidR="00D65080" w:rsidRPr="0059512A">
        <w:rPr>
          <w:rFonts w:eastAsiaTheme="minorHAnsi"/>
          <w:sz w:val="26"/>
          <w:szCs w:val="26"/>
        </w:rPr>
        <w:t xml:space="preserve"> ($</w:t>
      </w:r>
      <w:r w:rsidR="00982EA3" w:rsidRPr="0059512A">
        <w:rPr>
          <w:rFonts w:eastAsiaTheme="minorHAnsi"/>
          <w:sz w:val="26"/>
          <w:szCs w:val="26"/>
        </w:rPr>
        <w:t>3</w:t>
      </w:r>
      <w:r w:rsidR="00D65080" w:rsidRPr="0059512A">
        <w:rPr>
          <w:rFonts w:eastAsiaTheme="minorHAnsi"/>
          <w:sz w:val="26"/>
          <w:szCs w:val="26"/>
        </w:rPr>
        <w:t>56,823)</w:t>
      </w:r>
      <w:r w:rsidR="00C147E6" w:rsidRPr="0059512A">
        <w:rPr>
          <w:rFonts w:eastAsiaTheme="minorHAnsi"/>
          <w:sz w:val="26"/>
          <w:szCs w:val="26"/>
        </w:rPr>
        <w:t xml:space="preserve"> and the amount which was removed</w:t>
      </w:r>
      <w:r w:rsidR="00D65080" w:rsidRPr="0059512A">
        <w:rPr>
          <w:rFonts w:eastAsiaTheme="minorHAnsi"/>
          <w:sz w:val="26"/>
          <w:szCs w:val="26"/>
        </w:rPr>
        <w:t xml:space="preserve"> ($398,189)</w:t>
      </w:r>
      <w:r w:rsidR="00D512C0" w:rsidRPr="0059512A">
        <w:rPr>
          <w:rFonts w:eastAsiaTheme="minorHAnsi"/>
          <w:sz w:val="26"/>
          <w:szCs w:val="26"/>
        </w:rPr>
        <w:t>.</w:t>
      </w:r>
      <w:r w:rsidR="00355699" w:rsidRPr="0059512A">
        <w:rPr>
          <w:rStyle w:val="FootnoteReference"/>
          <w:rFonts w:eastAsiaTheme="minorHAnsi"/>
          <w:sz w:val="26"/>
          <w:szCs w:val="26"/>
        </w:rPr>
        <w:footnoteReference w:id="10"/>
      </w:r>
      <w:r w:rsidR="00E4378A" w:rsidRPr="0059512A">
        <w:rPr>
          <w:rFonts w:eastAsiaTheme="minorHAnsi"/>
          <w:sz w:val="26"/>
          <w:szCs w:val="26"/>
        </w:rPr>
        <w:t xml:space="preserve">  </w:t>
      </w:r>
      <w:r w:rsidR="00C17D14" w:rsidRPr="0059512A">
        <w:rPr>
          <w:rFonts w:eastAsiaTheme="minorHAnsi"/>
          <w:sz w:val="26"/>
          <w:szCs w:val="26"/>
        </w:rPr>
        <w:t xml:space="preserve">Therefore, based on the ALJs’ expense recommendations, the calculated adjustment to the Company’s revised CWC claim of $342,721 is </w:t>
      </w:r>
      <w:r w:rsidR="00382B0D" w:rsidRPr="0059512A">
        <w:rPr>
          <w:rFonts w:eastAsiaTheme="minorHAnsi"/>
          <w:sz w:val="26"/>
          <w:szCs w:val="26"/>
        </w:rPr>
        <w:t>$5,005 ($337,716 - $342,721).  However, based on a corrected calculation of the Company’s CWC claim,</w:t>
      </w:r>
      <w:r w:rsidR="00005114" w:rsidRPr="0059512A">
        <w:rPr>
          <w:rFonts w:eastAsiaTheme="minorHAnsi"/>
          <w:sz w:val="26"/>
          <w:szCs w:val="26"/>
        </w:rPr>
        <w:t xml:space="preserve"> as shown in column 2 of the table below, the calculated adjustment</w:t>
      </w:r>
      <w:r w:rsidR="002731BE" w:rsidRPr="0059512A">
        <w:rPr>
          <w:rFonts w:eastAsiaTheme="minorHAnsi"/>
          <w:sz w:val="26"/>
          <w:szCs w:val="26"/>
        </w:rPr>
        <w:t>,</w:t>
      </w:r>
      <w:r w:rsidR="00005114" w:rsidRPr="0059512A">
        <w:rPr>
          <w:rFonts w:eastAsiaTheme="minorHAnsi"/>
          <w:sz w:val="26"/>
          <w:szCs w:val="26"/>
        </w:rPr>
        <w:t xml:space="preserve"> based </w:t>
      </w:r>
      <w:r w:rsidR="00005114" w:rsidRPr="0059512A">
        <w:rPr>
          <w:rFonts w:eastAsiaTheme="minorHAnsi"/>
          <w:sz w:val="26"/>
          <w:szCs w:val="26"/>
        </w:rPr>
        <w:lastRenderedPageBreak/>
        <w:t>on the ALJs’ expense recommendations</w:t>
      </w:r>
      <w:r w:rsidR="002731BE" w:rsidRPr="0059512A">
        <w:rPr>
          <w:rFonts w:eastAsiaTheme="minorHAnsi"/>
          <w:sz w:val="26"/>
          <w:szCs w:val="26"/>
        </w:rPr>
        <w:t>,</w:t>
      </w:r>
      <w:r w:rsidR="00005114" w:rsidRPr="0059512A">
        <w:rPr>
          <w:rFonts w:eastAsiaTheme="minorHAnsi"/>
          <w:sz w:val="26"/>
          <w:szCs w:val="26"/>
        </w:rPr>
        <w:t xml:space="preserve"> is approximately $10,176 ($337,716</w:t>
      </w:r>
      <w:r w:rsidR="00056218">
        <w:rPr>
          <w:rFonts w:eastAsiaTheme="minorHAnsi"/>
          <w:sz w:val="26"/>
          <w:szCs w:val="26"/>
        </w:rPr>
        <w:t> </w:t>
      </w:r>
      <w:r w:rsidR="00005114" w:rsidRPr="0059512A">
        <w:rPr>
          <w:rFonts w:eastAsiaTheme="minorHAnsi"/>
          <w:sz w:val="26"/>
          <w:szCs w:val="26"/>
        </w:rPr>
        <w:t>-</w:t>
      </w:r>
      <w:r w:rsidR="00F0305C">
        <w:rPr>
          <w:rFonts w:eastAsiaTheme="minorHAnsi"/>
          <w:sz w:val="26"/>
          <w:szCs w:val="26"/>
        </w:rPr>
        <w:t xml:space="preserve"> </w:t>
      </w:r>
      <w:r w:rsidR="00005114" w:rsidRPr="0059512A">
        <w:rPr>
          <w:rFonts w:eastAsiaTheme="minorHAnsi"/>
          <w:sz w:val="26"/>
          <w:szCs w:val="26"/>
        </w:rPr>
        <w:t xml:space="preserve">$347,892).  </w:t>
      </w:r>
    </w:p>
    <w:bookmarkEnd w:id="80"/>
    <w:p w14:paraId="0ABF398C" w14:textId="43B3666A" w:rsidR="00300ABE" w:rsidRPr="0059512A" w:rsidRDefault="00300ABE" w:rsidP="0059512A">
      <w:pPr>
        <w:widowControl/>
        <w:spacing w:line="360" w:lineRule="auto"/>
        <w:rPr>
          <w:b/>
          <w:sz w:val="26"/>
          <w:szCs w:val="26"/>
        </w:rPr>
      </w:pPr>
    </w:p>
    <w:p w14:paraId="546CB91D" w14:textId="50D4D251" w:rsidR="00585BCF" w:rsidRPr="0059512A" w:rsidRDefault="00E10E20" w:rsidP="0059512A">
      <w:pPr>
        <w:widowControl/>
        <w:spacing w:line="360" w:lineRule="auto"/>
        <w:rPr>
          <w:bCs/>
          <w:sz w:val="26"/>
          <w:szCs w:val="26"/>
        </w:rPr>
      </w:pPr>
      <w:r w:rsidRPr="0059512A">
        <w:rPr>
          <w:noProof/>
        </w:rPr>
        <w:drawing>
          <wp:inline distT="0" distB="0" distL="0" distR="0" wp14:anchorId="08E6A35E" wp14:editId="0E8747EB">
            <wp:extent cx="5943600" cy="4334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334510"/>
                    </a:xfrm>
                    <a:prstGeom prst="rect">
                      <a:avLst/>
                    </a:prstGeom>
                    <a:noFill/>
                    <a:ln>
                      <a:noFill/>
                    </a:ln>
                  </pic:spPr>
                </pic:pic>
              </a:graphicData>
            </a:graphic>
          </wp:inline>
        </w:drawing>
      </w:r>
    </w:p>
    <w:p w14:paraId="12C6FEE7" w14:textId="004A88FF" w:rsidR="00585BCF" w:rsidRPr="0059512A" w:rsidRDefault="00585BCF" w:rsidP="0059512A">
      <w:pPr>
        <w:widowControl/>
        <w:spacing w:line="360" w:lineRule="auto"/>
        <w:rPr>
          <w:b/>
          <w:sz w:val="26"/>
          <w:szCs w:val="26"/>
        </w:rPr>
      </w:pPr>
    </w:p>
    <w:p w14:paraId="46765748" w14:textId="710B45F4" w:rsidR="00585BCF" w:rsidRPr="0059512A" w:rsidRDefault="00D70AAD" w:rsidP="0059512A">
      <w:pPr>
        <w:widowControl/>
        <w:spacing w:line="360" w:lineRule="auto"/>
        <w:ind w:firstLine="1440"/>
        <w:rPr>
          <w:bCs/>
          <w:sz w:val="26"/>
          <w:szCs w:val="26"/>
        </w:rPr>
      </w:pPr>
      <w:r w:rsidRPr="0059512A">
        <w:rPr>
          <w:bCs/>
          <w:sz w:val="26"/>
          <w:szCs w:val="26"/>
        </w:rPr>
        <w:t>Accordingly</w:t>
      </w:r>
      <w:r w:rsidR="0023396C" w:rsidRPr="0059512A">
        <w:rPr>
          <w:bCs/>
          <w:sz w:val="26"/>
          <w:szCs w:val="26"/>
        </w:rPr>
        <w:t>, finding no error in the ALJs’ calcu</w:t>
      </w:r>
      <w:r w:rsidRPr="0059512A">
        <w:rPr>
          <w:bCs/>
          <w:sz w:val="26"/>
          <w:szCs w:val="26"/>
        </w:rPr>
        <w:t>lated</w:t>
      </w:r>
      <w:r w:rsidR="0023396C" w:rsidRPr="0059512A">
        <w:rPr>
          <w:bCs/>
          <w:sz w:val="26"/>
          <w:szCs w:val="26"/>
        </w:rPr>
        <w:t xml:space="preserve"> $337,716 CWC</w:t>
      </w:r>
      <w:r w:rsidRPr="0059512A">
        <w:rPr>
          <w:bCs/>
          <w:sz w:val="26"/>
          <w:szCs w:val="26"/>
        </w:rPr>
        <w:t xml:space="preserve"> amount</w:t>
      </w:r>
      <w:r w:rsidR="0023396C" w:rsidRPr="0059512A">
        <w:rPr>
          <w:bCs/>
          <w:sz w:val="26"/>
          <w:szCs w:val="26"/>
        </w:rPr>
        <w:t xml:space="preserve"> to be included in rate base</w:t>
      </w:r>
      <w:r w:rsidR="00382B0D" w:rsidRPr="0059512A">
        <w:rPr>
          <w:bCs/>
          <w:sz w:val="26"/>
          <w:szCs w:val="26"/>
        </w:rPr>
        <w:t xml:space="preserve">, based </w:t>
      </w:r>
      <w:r w:rsidR="00B660E4" w:rsidRPr="0059512A">
        <w:rPr>
          <w:bCs/>
          <w:sz w:val="26"/>
          <w:szCs w:val="26"/>
        </w:rPr>
        <w:t xml:space="preserve">on </w:t>
      </w:r>
      <w:r w:rsidR="00382B0D" w:rsidRPr="0059512A">
        <w:rPr>
          <w:bCs/>
          <w:sz w:val="26"/>
          <w:szCs w:val="26"/>
        </w:rPr>
        <w:t>their expense recommendations</w:t>
      </w:r>
      <w:r w:rsidR="00005114" w:rsidRPr="0059512A">
        <w:rPr>
          <w:bCs/>
          <w:sz w:val="26"/>
          <w:szCs w:val="26"/>
        </w:rPr>
        <w:t>, we shall adopt the ALJs’ recommendation and deny I&amp;E’s Exception on this issue.</w:t>
      </w:r>
    </w:p>
    <w:p w14:paraId="71464BFE" w14:textId="77777777" w:rsidR="0023396C" w:rsidRPr="0059512A" w:rsidRDefault="0023396C" w:rsidP="0059512A">
      <w:pPr>
        <w:widowControl/>
        <w:spacing w:line="360" w:lineRule="auto"/>
        <w:rPr>
          <w:b/>
          <w:sz w:val="26"/>
          <w:szCs w:val="26"/>
        </w:rPr>
      </w:pPr>
    </w:p>
    <w:p w14:paraId="45EC4506" w14:textId="178EDFE7" w:rsidR="00DA2034" w:rsidRPr="0059512A" w:rsidRDefault="00DA2034" w:rsidP="0059512A">
      <w:pPr>
        <w:pStyle w:val="Heading2"/>
        <w:widowControl/>
      </w:pPr>
      <w:bookmarkStart w:id="81" w:name="_Toc38629278"/>
      <w:r w:rsidRPr="0059512A">
        <w:lastRenderedPageBreak/>
        <w:t>Revenues</w:t>
      </w:r>
      <w:bookmarkEnd w:id="81"/>
    </w:p>
    <w:p w14:paraId="5F305810" w14:textId="2A84289F" w:rsidR="00DA2034" w:rsidRPr="0059512A" w:rsidRDefault="00DA2034" w:rsidP="0059512A">
      <w:pPr>
        <w:keepNext/>
        <w:keepLines/>
        <w:widowControl/>
        <w:spacing w:line="360" w:lineRule="auto"/>
        <w:rPr>
          <w:sz w:val="26"/>
          <w:szCs w:val="26"/>
        </w:rPr>
      </w:pPr>
    </w:p>
    <w:p w14:paraId="65E1860B" w14:textId="200E66B6" w:rsidR="000A62FE" w:rsidRPr="0059512A" w:rsidRDefault="000A62FE" w:rsidP="0059512A">
      <w:pPr>
        <w:pStyle w:val="Heading3"/>
        <w:keepNext/>
        <w:keepLines/>
        <w:numPr>
          <w:ilvl w:val="0"/>
          <w:numId w:val="26"/>
        </w:numPr>
        <w:ind w:left="1440" w:hanging="720"/>
      </w:pPr>
      <w:bookmarkStart w:id="82" w:name="_Toc38629279"/>
      <w:r w:rsidRPr="0059512A">
        <w:t>Bucknell Solar Project</w:t>
      </w:r>
      <w:bookmarkEnd w:id="82"/>
    </w:p>
    <w:p w14:paraId="2B172B7D" w14:textId="32EC1814" w:rsidR="00964FB5" w:rsidRPr="0059512A" w:rsidRDefault="00964FB5" w:rsidP="0059512A">
      <w:pPr>
        <w:keepNext/>
        <w:keepLines/>
        <w:widowControl/>
        <w:spacing w:line="360" w:lineRule="auto"/>
        <w:rPr>
          <w:sz w:val="26"/>
          <w:szCs w:val="26"/>
        </w:rPr>
      </w:pPr>
    </w:p>
    <w:p w14:paraId="5EACCC89" w14:textId="77777777" w:rsidR="000A62FE" w:rsidRPr="0059512A" w:rsidRDefault="000A62FE" w:rsidP="0059512A">
      <w:pPr>
        <w:pStyle w:val="ListParagraph"/>
        <w:keepNext/>
        <w:keepLines/>
        <w:widowControl/>
        <w:spacing w:line="360" w:lineRule="auto"/>
        <w:ind w:left="2160" w:hanging="720"/>
        <w:rPr>
          <w:b/>
          <w:bCs/>
          <w:sz w:val="26"/>
          <w:szCs w:val="26"/>
        </w:rPr>
      </w:pPr>
      <w:bookmarkStart w:id="83" w:name="_Hlk37324717"/>
      <w:r w:rsidRPr="0059512A">
        <w:rPr>
          <w:b/>
          <w:bCs/>
          <w:sz w:val="26"/>
          <w:szCs w:val="26"/>
        </w:rPr>
        <w:t>a.</w:t>
      </w:r>
      <w:r w:rsidRPr="0059512A">
        <w:rPr>
          <w:b/>
          <w:bCs/>
          <w:sz w:val="26"/>
          <w:szCs w:val="26"/>
        </w:rPr>
        <w:tab/>
        <w:t>Positions of the Parties</w:t>
      </w:r>
    </w:p>
    <w:bookmarkEnd w:id="83"/>
    <w:p w14:paraId="26647D8D" w14:textId="78314C3B" w:rsidR="00964FB5" w:rsidRPr="0059512A" w:rsidRDefault="00964FB5" w:rsidP="0059512A">
      <w:pPr>
        <w:keepNext/>
        <w:keepLines/>
        <w:widowControl/>
        <w:spacing w:line="360" w:lineRule="auto"/>
        <w:rPr>
          <w:sz w:val="26"/>
          <w:szCs w:val="26"/>
        </w:rPr>
      </w:pPr>
    </w:p>
    <w:p w14:paraId="1E7470CC" w14:textId="484D4423" w:rsidR="000A62FE" w:rsidRPr="0059512A" w:rsidRDefault="000A62FE" w:rsidP="0059512A">
      <w:pPr>
        <w:keepNext/>
        <w:keepLines/>
        <w:widowControl/>
        <w:spacing w:line="360" w:lineRule="auto"/>
        <w:ind w:firstLine="1440"/>
        <w:contextualSpacing/>
        <w:rPr>
          <w:sz w:val="26"/>
          <w:szCs w:val="26"/>
        </w:rPr>
      </w:pPr>
      <w:r w:rsidRPr="0059512A">
        <w:rPr>
          <w:sz w:val="26"/>
          <w:szCs w:val="26"/>
        </w:rPr>
        <w:t>Bucknell University (Bucknell) has submitted an interconnection application to Citizens’ by which it is seeking approval to connect a planned solar generation facility to Citizens’ distribution system (Solar Project).  Citizens’ propose</w:t>
      </w:r>
      <w:r w:rsidR="003D6098" w:rsidRPr="0059512A">
        <w:rPr>
          <w:sz w:val="26"/>
          <w:szCs w:val="26"/>
        </w:rPr>
        <w:t>d</w:t>
      </w:r>
      <w:r w:rsidRPr="0059512A">
        <w:rPr>
          <w:sz w:val="26"/>
          <w:szCs w:val="26"/>
        </w:rPr>
        <w:t xml:space="preserve"> to reduce its sales revenue by $12,024 for its FPFTY to reflect an anticipated loss of </w:t>
      </w:r>
      <w:r w:rsidR="008E2F88" w:rsidRPr="0059512A">
        <w:rPr>
          <w:sz w:val="26"/>
          <w:szCs w:val="26"/>
        </w:rPr>
        <w:t>Kilowatt-hour (</w:t>
      </w:r>
      <w:r w:rsidRPr="0059512A">
        <w:rPr>
          <w:sz w:val="26"/>
          <w:szCs w:val="26"/>
        </w:rPr>
        <w:t>kWh</w:t>
      </w:r>
      <w:r w:rsidR="008E2F88" w:rsidRPr="0059512A">
        <w:rPr>
          <w:sz w:val="26"/>
          <w:szCs w:val="26"/>
        </w:rPr>
        <w:t>)</w:t>
      </w:r>
      <w:r w:rsidRPr="0059512A">
        <w:rPr>
          <w:sz w:val="26"/>
          <w:szCs w:val="26"/>
        </w:rPr>
        <w:t xml:space="preserve"> sales and revenues for various Bucknell accounts resulting from installation and operation of the Solar Project.  Citizens’ expects the project to be completed in 2020, during its FPFTY.  Citizens’</w:t>
      </w:r>
      <w:r w:rsidR="003D6098" w:rsidRPr="0059512A">
        <w:rPr>
          <w:sz w:val="26"/>
          <w:szCs w:val="26"/>
        </w:rPr>
        <w:t xml:space="preserve"> M.B. </w:t>
      </w:r>
      <w:r w:rsidRPr="0059512A">
        <w:rPr>
          <w:sz w:val="26"/>
          <w:szCs w:val="26"/>
        </w:rPr>
        <w:t>at 26.</w:t>
      </w:r>
    </w:p>
    <w:p w14:paraId="7417F68E" w14:textId="77777777" w:rsidR="000A62FE" w:rsidRPr="0059512A" w:rsidRDefault="000A62FE" w:rsidP="0059512A">
      <w:pPr>
        <w:widowControl/>
        <w:spacing w:line="360" w:lineRule="auto"/>
        <w:ind w:firstLine="1440"/>
        <w:contextualSpacing/>
        <w:rPr>
          <w:sz w:val="26"/>
          <w:szCs w:val="26"/>
        </w:rPr>
      </w:pPr>
    </w:p>
    <w:p w14:paraId="565AAB7B" w14:textId="1C3356C9" w:rsidR="000A62FE" w:rsidRPr="0059512A" w:rsidRDefault="003D6098" w:rsidP="0059512A">
      <w:pPr>
        <w:widowControl/>
        <w:spacing w:line="360" w:lineRule="auto"/>
        <w:ind w:firstLine="1440"/>
        <w:contextualSpacing/>
        <w:rPr>
          <w:sz w:val="26"/>
          <w:szCs w:val="26"/>
        </w:rPr>
      </w:pPr>
      <w:r w:rsidRPr="0059512A">
        <w:rPr>
          <w:sz w:val="26"/>
          <w:szCs w:val="26"/>
        </w:rPr>
        <w:t xml:space="preserve">The </w:t>
      </w:r>
      <w:r w:rsidR="000A62FE" w:rsidRPr="0059512A">
        <w:rPr>
          <w:sz w:val="26"/>
          <w:szCs w:val="26"/>
        </w:rPr>
        <w:t>OCA disagree</w:t>
      </w:r>
      <w:r w:rsidRPr="0059512A">
        <w:rPr>
          <w:sz w:val="26"/>
          <w:szCs w:val="26"/>
        </w:rPr>
        <w:t>d</w:t>
      </w:r>
      <w:r w:rsidR="000A62FE" w:rsidRPr="0059512A">
        <w:rPr>
          <w:sz w:val="26"/>
          <w:szCs w:val="26"/>
        </w:rPr>
        <w:t xml:space="preserve"> with Citizens’ proposal and recommends an upward adjustment to the </w:t>
      </w:r>
      <w:r w:rsidR="001663F8">
        <w:rPr>
          <w:sz w:val="26"/>
          <w:szCs w:val="26"/>
        </w:rPr>
        <w:t>C</w:t>
      </w:r>
      <w:r w:rsidR="000A62FE" w:rsidRPr="0059512A">
        <w:rPr>
          <w:sz w:val="26"/>
          <w:szCs w:val="26"/>
        </w:rPr>
        <w:t>ompany’s FPFTY revenues in the amount of $12,024.  OCA St. 4 at</w:t>
      </w:r>
      <w:r w:rsidR="00F0305C">
        <w:rPr>
          <w:sz w:val="26"/>
          <w:szCs w:val="26"/>
        </w:rPr>
        <w:t> </w:t>
      </w:r>
      <w:r w:rsidR="000A62FE" w:rsidRPr="0059512A">
        <w:rPr>
          <w:sz w:val="26"/>
          <w:szCs w:val="26"/>
        </w:rPr>
        <w:t xml:space="preserve">29-30, Sch. JDM-5.  </w:t>
      </w:r>
      <w:r w:rsidRPr="0059512A">
        <w:rPr>
          <w:sz w:val="26"/>
          <w:szCs w:val="26"/>
        </w:rPr>
        <w:t xml:space="preserve">The </w:t>
      </w:r>
      <w:r w:rsidR="000A62FE" w:rsidRPr="0059512A">
        <w:rPr>
          <w:sz w:val="26"/>
          <w:szCs w:val="26"/>
        </w:rPr>
        <w:t>OCA argue</w:t>
      </w:r>
      <w:r w:rsidRPr="0059512A">
        <w:rPr>
          <w:sz w:val="26"/>
          <w:szCs w:val="26"/>
        </w:rPr>
        <w:t>d</w:t>
      </w:r>
      <w:r w:rsidR="000A62FE" w:rsidRPr="0059512A">
        <w:rPr>
          <w:sz w:val="26"/>
          <w:szCs w:val="26"/>
        </w:rPr>
        <w:t xml:space="preserve"> that the timeframe for completion of the proposed Solar Project is uncertain and is not a known and measurable change that should be reflected in Citizens’ revenue requirement.  OCA St. 4 at 29; OCA M</w:t>
      </w:r>
      <w:r w:rsidRPr="0059512A">
        <w:rPr>
          <w:sz w:val="26"/>
          <w:szCs w:val="26"/>
        </w:rPr>
        <w:t xml:space="preserve">.B. </w:t>
      </w:r>
      <w:r w:rsidR="000A62FE" w:rsidRPr="0059512A">
        <w:rPr>
          <w:sz w:val="26"/>
          <w:szCs w:val="26"/>
        </w:rPr>
        <w:t xml:space="preserve">at 18.  </w:t>
      </w:r>
      <w:r w:rsidRPr="0059512A">
        <w:rPr>
          <w:sz w:val="26"/>
          <w:szCs w:val="26"/>
        </w:rPr>
        <w:t xml:space="preserve">The </w:t>
      </w:r>
      <w:r w:rsidR="000A62FE" w:rsidRPr="0059512A">
        <w:rPr>
          <w:sz w:val="26"/>
          <w:szCs w:val="26"/>
        </w:rPr>
        <w:t>OCA refers to a newspaper article noting that the East Buffalo Township Planning Commission tabled discussions about the Solar Project earlier in 2019 due to zoning concerns related to the project.  OCA St. 4, Sch. JDM-1 at 1.  The article indicated, and Citizens</w:t>
      </w:r>
      <w:r w:rsidRPr="0059512A">
        <w:rPr>
          <w:sz w:val="26"/>
          <w:szCs w:val="26"/>
        </w:rPr>
        <w:t>’</w:t>
      </w:r>
      <w:r w:rsidR="000A62FE" w:rsidRPr="0059512A">
        <w:rPr>
          <w:sz w:val="26"/>
          <w:szCs w:val="26"/>
        </w:rPr>
        <w:t xml:space="preserve"> acknowledged, a solar zoning ordinance is first needed in East Buffalo Township (Township) before the Township Planning Commission considers Bucknell’s project.  OCA St. 4, Sch. 2 at 1; Citizens’ St.</w:t>
      </w:r>
      <w:r w:rsidR="000A62FE" w:rsidRPr="0059512A">
        <w:t xml:space="preserve"> </w:t>
      </w:r>
      <w:r w:rsidR="000A62FE" w:rsidRPr="0059512A">
        <w:rPr>
          <w:sz w:val="26"/>
          <w:szCs w:val="26"/>
        </w:rPr>
        <w:t>4-R at 9.  A second article stated that the Solar Project plan had been withdrawn from consideration from the Township Planning Commission by Bucknell pending resolution of the zoning issues.  OCA St. 4 at 14, Sch. JDM-7; OCA M</w:t>
      </w:r>
      <w:r w:rsidRPr="0059512A">
        <w:rPr>
          <w:sz w:val="26"/>
          <w:szCs w:val="26"/>
        </w:rPr>
        <w:t>.B.</w:t>
      </w:r>
      <w:r w:rsidR="000A62FE" w:rsidRPr="0059512A">
        <w:rPr>
          <w:sz w:val="26"/>
          <w:szCs w:val="26"/>
        </w:rPr>
        <w:t xml:space="preserve"> at 19.</w:t>
      </w:r>
    </w:p>
    <w:p w14:paraId="1646749D" w14:textId="262F8DDF" w:rsidR="00964FB5" w:rsidRPr="0059512A" w:rsidRDefault="00964FB5" w:rsidP="0059512A">
      <w:pPr>
        <w:widowControl/>
        <w:spacing w:line="360" w:lineRule="auto"/>
        <w:rPr>
          <w:sz w:val="26"/>
          <w:szCs w:val="26"/>
        </w:rPr>
      </w:pPr>
    </w:p>
    <w:p w14:paraId="22C1B1EA" w14:textId="3D3AFD1D" w:rsidR="000A62FE" w:rsidRPr="0059512A" w:rsidRDefault="000A62FE" w:rsidP="0059512A">
      <w:pPr>
        <w:pStyle w:val="ListParagraph"/>
        <w:keepNext/>
        <w:keepLines/>
        <w:widowControl/>
        <w:spacing w:line="360" w:lineRule="auto"/>
        <w:ind w:left="2160" w:hanging="720"/>
        <w:rPr>
          <w:b/>
          <w:bCs/>
          <w:sz w:val="26"/>
          <w:szCs w:val="26"/>
        </w:rPr>
      </w:pPr>
      <w:r w:rsidRPr="0059512A">
        <w:rPr>
          <w:b/>
          <w:bCs/>
          <w:sz w:val="26"/>
          <w:szCs w:val="26"/>
        </w:rPr>
        <w:lastRenderedPageBreak/>
        <w:t>b.</w:t>
      </w:r>
      <w:r w:rsidRPr="0059512A">
        <w:rPr>
          <w:b/>
          <w:bCs/>
          <w:sz w:val="26"/>
          <w:szCs w:val="26"/>
        </w:rPr>
        <w:tab/>
        <w:t>Recommended Decision</w:t>
      </w:r>
    </w:p>
    <w:p w14:paraId="09625F49" w14:textId="1DEE1AA2" w:rsidR="000A62FE" w:rsidRPr="0059512A" w:rsidRDefault="000A62FE" w:rsidP="0059512A">
      <w:pPr>
        <w:keepNext/>
        <w:keepLines/>
        <w:widowControl/>
        <w:spacing w:line="360" w:lineRule="auto"/>
        <w:rPr>
          <w:sz w:val="26"/>
          <w:szCs w:val="26"/>
        </w:rPr>
      </w:pPr>
    </w:p>
    <w:p w14:paraId="1049B2FF" w14:textId="4EA16E5F" w:rsidR="000A62FE" w:rsidRPr="0059512A" w:rsidRDefault="000A62FE" w:rsidP="0059512A">
      <w:pPr>
        <w:keepNext/>
        <w:keepLines/>
        <w:widowControl/>
        <w:spacing w:line="360" w:lineRule="auto"/>
        <w:ind w:firstLine="1440"/>
        <w:rPr>
          <w:sz w:val="26"/>
          <w:szCs w:val="26"/>
        </w:rPr>
      </w:pPr>
      <w:r w:rsidRPr="0059512A">
        <w:rPr>
          <w:sz w:val="26"/>
          <w:szCs w:val="26"/>
        </w:rPr>
        <w:t>The ALJs agreed with</w:t>
      </w:r>
      <w:r w:rsidR="00D149B2" w:rsidRPr="0059512A">
        <w:rPr>
          <w:sz w:val="26"/>
          <w:szCs w:val="26"/>
        </w:rPr>
        <w:t xml:space="preserve"> the</w:t>
      </w:r>
      <w:r w:rsidRPr="0059512A">
        <w:rPr>
          <w:sz w:val="26"/>
          <w:szCs w:val="26"/>
        </w:rPr>
        <w:t xml:space="preserve"> OCA that, in this proceeding, completion of construction of the Solar Project and placing it into service before the end of the FPFTY may certainly be possible</w:t>
      </w:r>
      <w:r w:rsidR="00141E57" w:rsidRPr="0059512A">
        <w:rPr>
          <w:sz w:val="26"/>
          <w:szCs w:val="26"/>
        </w:rPr>
        <w:t>; however</w:t>
      </w:r>
      <w:r w:rsidR="001C6960">
        <w:rPr>
          <w:sz w:val="26"/>
          <w:szCs w:val="26"/>
        </w:rPr>
        <w:t>,</w:t>
      </w:r>
      <w:r w:rsidRPr="0059512A">
        <w:rPr>
          <w:sz w:val="26"/>
          <w:szCs w:val="26"/>
        </w:rPr>
        <w:t xml:space="preserve"> it is too speculative and uncertain to recommend approval of Citizens’ proposed adjustment to its revenue calculation.  Additionally, the ALJs noted no reason to dispute Citizens’ contention that, once approved, the Solar Project may be constructed within several months.  However, the ALJs were more persuaded by the uncertainty surrounding the length of the Township’s ordinance review and approval process and potential timeframe, as well as the process for review and approval of Bucknell’s plans, once submitted.</w:t>
      </w:r>
      <w:r w:rsidR="00416BB2" w:rsidRPr="0059512A">
        <w:rPr>
          <w:sz w:val="26"/>
          <w:szCs w:val="26"/>
        </w:rPr>
        <w:t xml:space="preserve">  Accordingly, the ALJs recommended that the OCA’s proposed adjustment to Citizens’ revenue calculation in the amount of $12,024 be approved.  R.D. at 18-19.</w:t>
      </w:r>
    </w:p>
    <w:p w14:paraId="52808BA6" w14:textId="59AAAF3D" w:rsidR="000A62FE" w:rsidRPr="0059512A" w:rsidRDefault="000A62FE" w:rsidP="0059512A">
      <w:pPr>
        <w:widowControl/>
        <w:spacing w:line="360" w:lineRule="auto"/>
        <w:rPr>
          <w:sz w:val="26"/>
          <w:szCs w:val="26"/>
        </w:rPr>
      </w:pPr>
    </w:p>
    <w:p w14:paraId="5F39769E" w14:textId="285A38CF" w:rsidR="000A62FE" w:rsidRPr="0059512A" w:rsidRDefault="000A62FE" w:rsidP="0059512A">
      <w:pPr>
        <w:pStyle w:val="ListParagraph"/>
        <w:keepNext/>
        <w:widowControl/>
        <w:spacing w:line="360" w:lineRule="auto"/>
        <w:ind w:left="2160" w:hanging="720"/>
        <w:rPr>
          <w:b/>
          <w:bCs/>
          <w:sz w:val="26"/>
          <w:szCs w:val="26"/>
        </w:rPr>
      </w:pPr>
      <w:r w:rsidRPr="0059512A">
        <w:rPr>
          <w:b/>
          <w:bCs/>
          <w:sz w:val="26"/>
          <w:szCs w:val="26"/>
        </w:rPr>
        <w:t>c.</w:t>
      </w:r>
      <w:r w:rsidRPr="0059512A">
        <w:rPr>
          <w:b/>
          <w:bCs/>
          <w:sz w:val="26"/>
          <w:szCs w:val="26"/>
        </w:rPr>
        <w:tab/>
        <w:t>Exceptions and Replies</w:t>
      </w:r>
    </w:p>
    <w:p w14:paraId="04118D55" w14:textId="3067A503" w:rsidR="000A62FE" w:rsidRPr="0059512A" w:rsidRDefault="000A62FE" w:rsidP="0059512A">
      <w:pPr>
        <w:keepNext/>
        <w:widowControl/>
        <w:spacing w:line="360" w:lineRule="auto"/>
        <w:rPr>
          <w:sz w:val="26"/>
          <w:szCs w:val="26"/>
        </w:rPr>
      </w:pPr>
    </w:p>
    <w:p w14:paraId="3F44F3AA" w14:textId="464B2E60" w:rsidR="000A62FE" w:rsidRPr="0059512A" w:rsidRDefault="000A62FE" w:rsidP="0059512A">
      <w:pPr>
        <w:keepNext/>
        <w:widowControl/>
        <w:spacing w:line="360" w:lineRule="auto"/>
        <w:ind w:firstLine="1440"/>
        <w:rPr>
          <w:sz w:val="26"/>
          <w:szCs w:val="26"/>
        </w:rPr>
      </w:pPr>
      <w:r w:rsidRPr="0059512A">
        <w:rPr>
          <w:sz w:val="26"/>
          <w:szCs w:val="26"/>
        </w:rPr>
        <w:t xml:space="preserve">In </w:t>
      </w:r>
      <w:r w:rsidR="00416BB2" w:rsidRPr="0059512A">
        <w:rPr>
          <w:sz w:val="26"/>
          <w:szCs w:val="26"/>
        </w:rPr>
        <w:t>its</w:t>
      </w:r>
      <w:r w:rsidRPr="0059512A">
        <w:rPr>
          <w:sz w:val="26"/>
          <w:szCs w:val="26"/>
        </w:rPr>
        <w:t xml:space="preserve"> Exception No. 1, </w:t>
      </w:r>
      <w:r w:rsidR="00416BB2" w:rsidRPr="0059512A">
        <w:rPr>
          <w:sz w:val="26"/>
          <w:szCs w:val="26"/>
        </w:rPr>
        <w:t>Citizens’</w:t>
      </w:r>
      <w:r w:rsidRPr="0059512A">
        <w:rPr>
          <w:sz w:val="26"/>
          <w:szCs w:val="26"/>
        </w:rPr>
        <w:t xml:space="preserve"> contends the ALJs erred in denying Citizens</w:t>
      </w:r>
      <w:r w:rsidR="00F0305C">
        <w:rPr>
          <w:sz w:val="26"/>
          <w:szCs w:val="26"/>
        </w:rPr>
        <w:t>’</w:t>
      </w:r>
      <w:r w:rsidRPr="0059512A">
        <w:rPr>
          <w:sz w:val="26"/>
          <w:szCs w:val="26"/>
        </w:rPr>
        <w:t xml:space="preserve"> $12,024 proposed revenue adjustment for lost sales associated with the Bucknell Solar Project.  </w:t>
      </w:r>
      <w:r w:rsidR="00416BB2" w:rsidRPr="0059512A">
        <w:rPr>
          <w:sz w:val="26"/>
          <w:szCs w:val="26"/>
        </w:rPr>
        <w:t xml:space="preserve">Citizens’ </w:t>
      </w:r>
      <w:r w:rsidRPr="0059512A">
        <w:rPr>
          <w:sz w:val="26"/>
          <w:szCs w:val="26"/>
        </w:rPr>
        <w:t>Exc. at 2 (citing R.D. at 19).  Citizens</w:t>
      </w:r>
      <w:r w:rsidR="00416BB2" w:rsidRPr="0059512A">
        <w:rPr>
          <w:sz w:val="26"/>
          <w:szCs w:val="26"/>
        </w:rPr>
        <w:t>’</w:t>
      </w:r>
      <w:r w:rsidRPr="0059512A">
        <w:rPr>
          <w:sz w:val="26"/>
          <w:szCs w:val="26"/>
        </w:rPr>
        <w:t xml:space="preserve"> claims the ALJs failed to account for the totality of the record evidence indicating that the Solar Project will be in-service by December 31, 2020.  Specifically, </w:t>
      </w:r>
      <w:r w:rsidR="00F55CA9" w:rsidRPr="0059512A">
        <w:rPr>
          <w:sz w:val="26"/>
          <w:szCs w:val="26"/>
        </w:rPr>
        <w:t>Citizens’</w:t>
      </w:r>
      <w:r w:rsidRPr="0059512A">
        <w:rPr>
          <w:sz w:val="26"/>
          <w:szCs w:val="26"/>
        </w:rPr>
        <w:t xml:space="preserve"> states</w:t>
      </w:r>
      <w:r w:rsidR="009B4D35" w:rsidRPr="0059512A">
        <w:rPr>
          <w:sz w:val="26"/>
          <w:szCs w:val="26"/>
        </w:rPr>
        <w:t xml:space="preserve"> that</w:t>
      </w:r>
      <w:r w:rsidRPr="0059512A">
        <w:rPr>
          <w:sz w:val="26"/>
          <w:szCs w:val="26"/>
        </w:rPr>
        <w:t xml:space="preserve"> the outstanding Township zoning approval required for completion of the project should not render the project unknown and unmeasurable for purposes of the Company’s revenue requirement.  </w:t>
      </w:r>
      <w:r w:rsidR="00416BB2" w:rsidRPr="0059512A">
        <w:rPr>
          <w:sz w:val="26"/>
          <w:szCs w:val="26"/>
        </w:rPr>
        <w:t xml:space="preserve">Citizens’ </w:t>
      </w:r>
      <w:r w:rsidRPr="0059512A">
        <w:rPr>
          <w:sz w:val="26"/>
          <w:szCs w:val="26"/>
        </w:rPr>
        <w:t>Exc. at 2.  Citizens</w:t>
      </w:r>
      <w:r w:rsidR="00416BB2" w:rsidRPr="0059512A">
        <w:rPr>
          <w:sz w:val="26"/>
          <w:szCs w:val="26"/>
        </w:rPr>
        <w:t>’</w:t>
      </w:r>
      <w:r w:rsidRPr="0059512A">
        <w:rPr>
          <w:sz w:val="26"/>
          <w:szCs w:val="26"/>
        </w:rPr>
        <w:t xml:space="preserve"> argues the ALJs ignored evidence addressing the timeframe for how long the Township review process would take.  The Company states the ALJs correctly observed that Bucknell withdrew its Solar Project from consideration after the Township determined it must adopt a solar zoning ordinance before considering the project.  </w:t>
      </w:r>
      <w:r w:rsidR="00416BB2" w:rsidRPr="0059512A">
        <w:rPr>
          <w:sz w:val="26"/>
          <w:szCs w:val="26"/>
        </w:rPr>
        <w:t xml:space="preserve">Citizens’ </w:t>
      </w:r>
      <w:r w:rsidRPr="0059512A">
        <w:rPr>
          <w:sz w:val="26"/>
          <w:szCs w:val="26"/>
        </w:rPr>
        <w:t xml:space="preserve">Exc. at 2 (citing R.D. at 17).  </w:t>
      </w:r>
    </w:p>
    <w:p w14:paraId="53449115" w14:textId="77777777" w:rsidR="000A62FE" w:rsidRPr="0059512A" w:rsidRDefault="000A62FE" w:rsidP="0059512A">
      <w:pPr>
        <w:widowControl/>
        <w:spacing w:line="360" w:lineRule="auto"/>
        <w:ind w:firstLine="1440"/>
        <w:rPr>
          <w:sz w:val="26"/>
          <w:szCs w:val="26"/>
        </w:rPr>
      </w:pPr>
    </w:p>
    <w:p w14:paraId="087EA1AF" w14:textId="17947C58" w:rsidR="000A62FE" w:rsidRPr="0059512A" w:rsidRDefault="000A62FE" w:rsidP="0059512A">
      <w:pPr>
        <w:widowControl/>
        <w:spacing w:line="360" w:lineRule="auto"/>
        <w:ind w:firstLine="1440"/>
        <w:rPr>
          <w:sz w:val="26"/>
          <w:szCs w:val="26"/>
        </w:rPr>
      </w:pPr>
      <w:r w:rsidRPr="0059512A">
        <w:rPr>
          <w:sz w:val="26"/>
          <w:szCs w:val="26"/>
        </w:rPr>
        <w:lastRenderedPageBreak/>
        <w:t>Citizens</w:t>
      </w:r>
      <w:r w:rsidR="00416BB2" w:rsidRPr="0059512A">
        <w:rPr>
          <w:sz w:val="26"/>
          <w:szCs w:val="26"/>
        </w:rPr>
        <w:t>’</w:t>
      </w:r>
      <w:r w:rsidRPr="0059512A">
        <w:rPr>
          <w:sz w:val="26"/>
          <w:szCs w:val="26"/>
        </w:rPr>
        <w:t xml:space="preserve"> notes it provided an update at the evidentiary hearing </w:t>
      </w:r>
      <w:r w:rsidR="00D149B2" w:rsidRPr="0059512A">
        <w:rPr>
          <w:sz w:val="26"/>
          <w:szCs w:val="26"/>
        </w:rPr>
        <w:t>explaining</w:t>
      </w:r>
      <w:r w:rsidRPr="0059512A">
        <w:rPr>
          <w:sz w:val="26"/>
          <w:szCs w:val="26"/>
        </w:rPr>
        <w:t xml:space="preserve"> that the Township's Planning Commission approved the solar zoning ordinance on December 11, 2019, with a vote by the Township Board of Supervisors anticipated for January 2020.  </w:t>
      </w:r>
      <w:r w:rsidR="00416BB2" w:rsidRPr="0059512A">
        <w:rPr>
          <w:sz w:val="26"/>
          <w:szCs w:val="26"/>
        </w:rPr>
        <w:t xml:space="preserve">Citizens’ </w:t>
      </w:r>
      <w:r w:rsidRPr="0059512A">
        <w:rPr>
          <w:sz w:val="26"/>
          <w:szCs w:val="26"/>
        </w:rPr>
        <w:t xml:space="preserve">Exc. at 3 (citing Tr. at 140-141).  The Company averred Bucknell will resubmit its plan to the Township following approval of the zoning ordinance.  Considering the aforementioned, Citizens states all of the available record evidence supports the Company's projection that the Bucknell </w:t>
      </w:r>
      <w:r w:rsidR="007222B0" w:rsidRPr="0059512A">
        <w:rPr>
          <w:sz w:val="26"/>
          <w:szCs w:val="26"/>
        </w:rPr>
        <w:t>S</w:t>
      </w:r>
      <w:r w:rsidRPr="0059512A">
        <w:rPr>
          <w:sz w:val="26"/>
          <w:szCs w:val="26"/>
        </w:rPr>
        <w:t xml:space="preserve">olar </w:t>
      </w:r>
      <w:r w:rsidR="007222B0" w:rsidRPr="0059512A">
        <w:rPr>
          <w:sz w:val="26"/>
          <w:szCs w:val="26"/>
        </w:rPr>
        <w:t>P</w:t>
      </w:r>
      <w:r w:rsidRPr="0059512A">
        <w:rPr>
          <w:sz w:val="26"/>
          <w:szCs w:val="26"/>
        </w:rPr>
        <w:t>roject will be in service by December 31, 2020.  Citizens</w:t>
      </w:r>
      <w:r w:rsidR="00416BB2" w:rsidRPr="0059512A">
        <w:rPr>
          <w:sz w:val="26"/>
          <w:szCs w:val="26"/>
        </w:rPr>
        <w:t>’</w:t>
      </w:r>
      <w:r w:rsidRPr="0059512A">
        <w:rPr>
          <w:sz w:val="26"/>
          <w:szCs w:val="26"/>
        </w:rPr>
        <w:t xml:space="preserve"> asserts the only uncertainty identified on the record is the zoning approval, which the record indicates is proceeding as expected.  Additionally, Citizens</w:t>
      </w:r>
      <w:r w:rsidR="00416BB2" w:rsidRPr="0059512A">
        <w:rPr>
          <w:sz w:val="26"/>
          <w:szCs w:val="26"/>
        </w:rPr>
        <w:t>’</w:t>
      </w:r>
      <w:r w:rsidRPr="0059512A">
        <w:rPr>
          <w:sz w:val="26"/>
          <w:szCs w:val="26"/>
        </w:rPr>
        <w:t xml:space="preserve"> asserts adoption of the ALJs</w:t>
      </w:r>
      <w:r w:rsidR="00D149B2" w:rsidRPr="0059512A">
        <w:rPr>
          <w:sz w:val="26"/>
          <w:szCs w:val="26"/>
        </w:rPr>
        <w:t>’</w:t>
      </w:r>
      <w:r w:rsidRPr="0059512A">
        <w:rPr>
          <w:sz w:val="26"/>
          <w:szCs w:val="26"/>
        </w:rPr>
        <w:t xml:space="preserve"> decision would erode the usefulness of the FPFTY.  The Company has many projects planned for construction over the FPFTY period and these could be subject to local approvals and permits that would be no more or less certain than the Solar Project.</w:t>
      </w:r>
    </w:p>
    <w:p w14:paraId="7D0D5BE3" w14:textId="77777777" w:rsidR="000A62FE" w:rsidRPr="0059512A" w:rsidRDefault="000A62FE" w:rsidP="0059512A">
      <w:pPr>
        <w:widowControl/>
        <w:spacing w:line="360" w:lineRule="auto"/>
        <w:ind w:firstLine="1440"/>
        <w:rPr>
          <w:sz w:val="26"/>
          <w:szCs w:val="26"/>
        </w:rPr>
      </w:pPr>
    </w:p>
    <w:p w14:paraId="048AFED7" w14:textId="04C85AD0" w:rsidR="000A62FE" w:rsidRPr="0059512A" w:rsidRDefault="000A62FE" w:rsidP="0059512A">
      <w:pPr>
        <w:widowControl/>
        <w:spacing w:line="360" w:lineRule="auto"/>
        <w:ind w:firstLine="1440"/>
        <w:rPr>
          <w:sz w:val="26"/>
          <w:szCs w:val="26"/>
        </w:rPr>
      </w:pPr>
      <w:r w:rsidRPr="0059512A">
        <w:rPr>
          <w:sz w:val="26"/>
          <w:szCs w:val="26"/>
        </w:rPr>
        <w:t>In Reply to Citizens</w:t>
      </w:r>
      <w:r w:rsidR="00416BB2" w:rsidRPr="0059512A">
        <w:rPr>
          <w:sz w:val="26"/>
          <w:szCs w:val="26"/>
        </w:rPr>
        <w:t>’</w:t>
      </w:r>
      <w:r w:rsidRPr="0059512A">
        <w:rPr>
          <w:sz w:val="26"/>
          <w:szCs w:val="26"/>
        </w:rPr>
        <w:t xml:space="preserve"> Exception No. 1, </w:t>
      </w:r>
      <w:r w:rsidR="00416BB2" w:rsidRPr="0059512A">
        <w:rPr>
          <w:sz w:val="26"/>
          <w:szCs w:val="26"/>
        </w:rPr>
        <w:t xml:space="preserve">the </w:t>
      </w:r>
      <w:r w:rsidRPr="0059512A">
        <w:rPr>
          <w:sz w:val="26"/>
          <w:szCs w:val="26"/>
        </w:rPr>
        <w:t xml:space="preserve">OCA affirms the ALJs correctly denied the Company’s proposed reduction of its sales revenues to reflect completion of the Solar Project by the end of the FPFTY.  </w:t>
      </w:r>
      <w:r w:rsidR="00416BB2" w:rsidRPr="0059512A">
        <w:rPr>
          <w:sz w:val="26"/>
          <w:szCs w:val="26"/>
        </w:rPr>
        <w:t xml:space="preserve">OCA </w:t>
      </w:r>
      <w:r w:rsidRPr="0059512A">
        <w:rPr>
          <w:sz w:val="26"/>
          <w:szCs w:val="26"/>
        </w:rPr>
        <w:t xml:space="preserve">R. Exc. at 1 (citing </w:t>
      </w:r>
      <w:r w:rsidRPr="0059512A">
        <w:rPr>
          <w:sz w:val="24"/>
          <w:szCs w:val="24"/>
        </w:rPr>
        <w:t xml:space="preserve">R.D. at 19).  </w:t>
      </w:r>
      <w:r w:rsidRPr="0059512A">
        <w:rPr>
          <w:sz w:val="26"/>
          <w:szCs w:val="26"/>
        </w:rPr>
        <w:t>The OCA suggests that the ALJs appropriately determined that Citizens</w:t>
      </w:r>
      <w:r w:rsidR="008762C5" w:rsidRPr="0059512A">
        <w:rPr>
          <w:sz w:val="26"/>
          <w:szCs w:val="26"/>
        </w:rPr>
        <w:t>’</w:t>
      </w:r>
      <w:r w:rsidRPr="0059512A">
        <w:rPr>
          <w:sz w:val="26"/>
          <w:szCs w:val="26"/>
        </w:rPr>
        <w:t xml:space="preserve"> did not demonstrate that the project is likely to be completed during the FPFTY used in this proceeding.  </w:t>
      </w:r>
      <w:r w:rsidR="00416BB2" w:rsidRPr="0059512A">
        <w:rPr>
          <w:sz w:val="26"/>
          <w:szCs w:val="26"/>
        </w:rPr>
        <w:t xml:space="preserve">OCA </w:t>
      </w:r>
      <w:r w:rsidRPr="0059512A">
        <w:rPr>
          <w:sz w:val="26"/>
          <w:szCs w:val="26"/>
        </w:rPr>
        <w:t xml:space="preserve">R. Exc. at 2 (citing OCA M.B. at 18-20).  Additionally, the OCA states the ALJs correctly recognized the uncertainty of the outstanding zoning approval required for completion of the Solar Project.  </w:t>
      </w:r>
      <w:r w:rsidR="00416BB2" w:rsidRPr="0059512A">
        <w:rPr>
          <w:sz w:val="26"/>
          <w:szCs w:val="26"/>
        </w:rPr>
        <w:t xml:space="preserve">The </w:t>
      </w:r>
      <w:r w:rsidRPr="0059512A">
        <w:rPr>
          <w:sz w:val="26"/>
          <w:szCs w:val="26"/>
        </w:rPr>
        <w:t>OCA specifies the record clearly demonstrates that the project cannot go forward at this time under the existing zoning ordinance.  Therefore,</w:t>
      </w:r>
      <w:r w:rsidR="00416BB2" w:rsidRPr="0059512A">
        <w:rPr>
          <w:sz w:val="26"/>
          <w:szCs w:val="26"/>
        </w:rPr>
        <w:t xml:space="preserve"> the</w:t>
      </w:r>
      <w:r w:rsidRPr="0059512A">
        <w:rPr>
          <w:sz w:val="26"/>
          <w:szCs w:val="26"/>
        </w:rPr>
        <w:t xml:space="preserve"> OCA asserts the project could not have been approved by the Township and the Company’s arguments do</w:t>
      </w:r>
      <w:r w:rsidR="00D149B2" w:rsidRPr="0059512A">
        <w:rPr>
          <w:sz w:val="26"/>
          <w:szCs w:val="26"/>
        </w:rPr>
        <w:t xml:space="preserve"> not</w:t>
      </w:r>
      <w:r w:rsidRPr="0059512A">
        <w:rPr>
          <w:sz w:val="26"/>
          <w:szCs w:val="26"/>
        </w:rPr>
        <w:t xml:space="preserve"> change the fact that the solar ordinance would still need to be reviewed and approved by the T</w:t>
      </w:r>
      <w:bookmarkStart w:id="84" w:name="_BA_Cite_734FB4_000103"/>
      <w:bookmarkEnd w:id="84"/>
      <w:r w:rsidRPr="0059512A">
        <w:rPr>
          <w:sz w:val="26"/>
          <w:szCs w:val="26"/>
        </w:rPr>
        <w:t xml:space="preserve">ownship.  </w:t>
      </w:r>
      <w:r w:rsidR="00416BB2" w:rsidRPr="0059512A">
        <w:rPr>
          <w:sz w:val="26"/>
          <w:szCs w:val="26"/>
        </w:rPr>
        <w:t xml:space="preserve">OCA </w:t>
      </w:r>
      <w:r w:rsidRPr="0059512A">
        <w:rPr>
          <w:sz w:val="26"/>
          <w:szCs w:val="26"/>
        </w:rPr>
        <w:t xml:space="preserve">R. Exc. at 2 (citing Tr. 147).  In conclusion, </w:t>
      </w:r>
      <w:r w:rsidR="00416BB2" w:rsidRPr="0059512A">
        <w:rPr>
          <w:sz w:val="26"/>
          <w:szCs w:val="26"/>
        </w:rPr>
        <w:t xml:space="preserve">the </w:t>
      </w:r>
      <w:r w:rsidRPr="0059512A">
        <w:rPr>
          <w:sz w:val="26"/>
          <w:szCs w:val="26"/>
        </w:rPr>
        <w:t>OCA maintains Citizens</w:t>
      </w:r>
      <w:r w:rsidR="00416BB2" w:rsidRPr="0059512A">
        <w:rPr>
          <w:sz w:val="26"/>
          <w:szCs w:val="26"/>
        </w:rPr>
        <w:t>’</w:t>
      </w:r>
      <w:r w:rsidRPr="0059512A">
        <w:rPr>
          <w:sz w:val="26"/>
          <w:szCs w:val="26"/>
        </w:rPr>
        <w:t xml:space="preserve"> has failed to meet its burden to show the proposed Solar Project will be known and measurable in the FPFTY.  </w:t>
      </w:r>
      <w:r w:rsidR="00416BB2" w:rsidRPr="0059512A">
        <w:rPr>
          <w:sz w:val="26"/>
          <w:szCs w:val="26"/>
        </w:rPr>
        <w:t xml:space="preserve">OCA </w:t>
      </w:r>
      <w:r w:rsidRPr="0059512A">
        <w:rPr>
          <w:sz w:val="26"/>
          <w:szCs w:val="26"/>
        </w:rPr>
        <w:t>R. Exc. at 2.</w:t>
      </w:r>
    </w:p>
    <w:p w14:paraId="1332213C" w14:textId="2D5C5477" w:rsidR="000A62FE" w:rsidRPr="0059512A" w:rsidRDefault="000A62FE" w:rsidP="0059512A">
      <w:pPr>
        <w:widowControl/>
        <w:spacing w:line="360" w:lineRule="auto"/>
        <w:rPr>
          <w:sz w:val="26"/>
          <w:szCs w:val="26"/>
        </w:rPr>
      </w:pPr>
    </w:p>
    <w:p w14:paraId="71D18356" w14:textId="4DB99CBC" w:rsidR="00DE1D03" w:rsidRPr="0059512A" w:rsidRDefault="00DE1D03" w:rsidP="0059512A">
      <w:pPr>
        <w:pStyle w:val="ListParagraph"/>
        <w:keepNext/>
        <w:keepLines/>
        <w:widowControl/>
        <w:spacing w:line="360" w:lineRule="auto"/>
        <w:ind w:left="2160" w:hanging="720"/>
        <w:rPr>
          <w:b/>
          <w:bCs/>
          <w:sz w:val="26"/>
          <w:szCs w:val="26"/>
        </w:rPr>
      </w:pPr>
      <w:r w:rsidRPr="0059512A">
        <w:rPr>
          <w:b/>
          <w:bCs/>
          <w:sz w:val="26"/>
          <w:szCs w:val="26"/>
        </w:rPr>
        <w:lastRenderedPageBreak/>
        <w:t>d.</w:t>
      </w:r>
      <w:r w:rsidRPr="0059512A">
        <w:rPr>
          <w:b/>
          <w:bCs/>
          <w:sz w:val="26"/>
          <w:szCs w:val="26"/>
        </w:rPr>
        <w:tab/>
        <w:t>Disposition</w:t>
      </w:r>
    </w:p>
    <w:p w14:paraId="393A797C" w14:textId="77E77BAE" w:rsidR="00DA2034" w:rsidRPr="0059512A" w:rsidRDefault="00DA2034" w:rsidP="0059512A">
      <w:pPr>
        <w:keepNext/>
        <w:keepLines/>
        <w:widowControl/>
        <w:spacing w:line="360" w:lineRule="auto"/>
        <w:rPr>
          <w:sz w:val="26"/>
          <w:szCs w:val="26"/>
        </w:rPr>
      </w:pPr>
    </w:p>
    <w:p w14:paraId="3709CF1E" w14:textId="57507D9A" w:rsidR="00F92D4F" w:rsidRPr="0059512A" w:rsidRDefault="00114014" w:rsidP="0059512A">
      <w:pPr>
        <w:keepNext/>
        <w:keepLines/>
        <w:widowControl/>
        <w:spacing w:line="360" w:lineRule="auto"/>
        <w:ind w:firstLine="1440"/>
        <w:rPr>
          <w:sz w:val="26"/>
          <w:szCs w:val="26"/>
        </w:rPr>
      </w:pPr>
      <w:r w:rsidRPr="0059512A">
        <w:rPr>
          <w:sz w:val="26"/>
          <w:szCs w:val="26"/>
        </w:rPr>
        <w:t xml:space="preserve">Citizens’ projected a decline in sales of 3,681,000 kWh due to the </w:t>
      </w:r>
      <w:r w:rsidR="00963CBF" w:rsidRPr="0059512A">
        <w:rPr>
          <w:sz w:val="26"/>
          <w:szCs w:val="26"/>
        </w:rPr>
        <w:t xml:space="preserve">anticipated </w:t>
      </w:r>
      <w:r w:rsidRPr="0059512A">
        <w:rPr>
          <w:sz w:val="26"/>
          <w:szCs w:val="26"/>
        </w:rPr>
        <w:t xml:space="preserve">completion of the Solar Project at Bucknell and has reflected </w:t>
      </w:r>
      <w:r w:rsidR="00963CBF" w:rsidRPr="0059512A">
        <w:rPr>
          <w:sz w:val="26"/>
          <w:szCs w:val="26"/>
        </w:rPr>
        <w:t>this as a reduction to FPFTY revenues.</w:t>
      </w:r>
      <w:r w:rsidR="00BB1A39" w:rsidRPr="0059512A">
        <w:rPr>
          <w:sz w:val="26"/>
          <w:szCs w:val="26"/>
        </w:rPr>
        <w:t xml:space="preserve">  </w:t>
      </w:r>
      <w:r w:rsidR="00F92D4F" w:rsidRPr="0059512A">
        <w:rPr>
          <w:sz w:val="26"/>
          <w:szCs w:val="26"/>
        </w:rPr>
        <w:t xml:space="preserve">Specifically, this anticipated decline in sales is reflected as a </w:t>
      </w:r>
      <w:r w:rsidR="008053E6" w:rsidRPr="0059512A">
        <w:rPr>
          <w:sz w:val="26"/>
          <w:szCs w:val="26"/>
        </w:rPr>
        <w:t>1,094,800-kWh</w:t>
      </w:r>
      <w:r w:rsidR="00F92D4F" w:rsidRPr="0059512A">
        <w:rPr>
          <w:sz w:val="26"/>
          <w:szCs w:val="26"/>
        </w:rPr>
        <w:t xml:space="preserve"> reduction in rate class </w:t>
      </w:r>
      <w:r w:rsidR="00455734" w:rsidRPr="0059512A">
        <w:rPr>
          <w:sz w:val="26"/>
          <w:szCs w:val="26"/>
        </w:rPr>
        <w:t xml:space="preserve">GLP-1 (General Light and Power Service) </w:t>
      </w:r>
      <w:r w:rsidR="00F92D4F" w:rsidRPr="0059512A">
        <w:rPr>
          <w:sz w:val="26"/>
          <w:szCs w:val="26"/>
        </w:rPr>
        <w:t xml:space="preserve">annual usage and a </w:t>
      </w:r>
      <w:r w:rsidR="008053E6" w:rsidRPr="0059512A">
        <w:rPr>
          <w:sz w:val="26"/>
          <w:szCs w:val="26"/>
        </w:rPr>
        <w:t>2,586,200-kWh</w:t>
      </w:r>
      <w:r w:rsidR="00F92D4F" w:rsidRPr="0059512A">
        <w:rPr>
          <w:sz w:val="26"/>
          <w:szCs w:val="26"/>
        </w:rPr>
        <w:t xml:space="preserve"> reduction in rate class </w:t>
      </w:r>
      <w:r w:rsidR="00455734" w:rsidRPr="0059512A">
        <w:rPr>
          <w:sz w:val="26"/>
          <w:szCs w:val="26"/>
        </w:rPr>
        <w:t xml:space="preserve">GLP-3 (General Light and Power Service (50 Kilowatts minimum)) </w:t>
      </w:r>
      <w:r w:rsidR="00F92D4F" w:rsidRPr="0059512A">
        <w:rPr>
          <w:sz w:val="26"/>
          <w:szCs w:val="26"/>
        </w:rPr>
        <w:t>annual usage projected</w:t>
      </w:r>
      <w:r w:rsidR="00BB1A39" w:rsidRPr="0059512A">
        <w:rPr>
          <w:sz w:val="26"/>
          <w:szCs w:val="26"/>
        </w:rPr>
        <w:t xml:space="preserve"> </w:t>
      </w:r>
      <w:r w:rsidR="00F92D4F" w:rsidRPr="0059512A">
        <w:rPr>
          <w:sz w:val="26"/>
          <w:szCs w:val="26"/>
        </w:rPr>
        <w:t xml:space="preserve">for the FPFTY.  OCA St. 4, Sch. JDM5.  </w:t>
      </w:r>
    </w:p>
    <w:p w14:paraId="0D2E48AC" w14:textId="77777777" w:rsidR="00455734" w:rsidRPr="0059512A" w:rsidRDefault="00455734" w:rsidP="0059512A">
      <w:pPr>
        <w:widowControl/>
        <w:spacing w:line="360" w:lineRule="auto"/>
        <w:ind w:firstLine="1440"/>
        <w:rPr>
          <w:sz w:val="26"/>
          <w:szCs w:val="26"/>
        </w:rPr>
      </w:pPr>
    </w:p>
    <w:p w14:paraId="2BEA85F1" w14:textId="3EDD0A56" w:rsidR="00FC0025" w:rsidRPr="0059512A" w:rsidRDefault="009D6082" w:rsidP="0059512A">
      <w:pPr>
        <w:widowControl/>
        <w:spacing w:line="360" w:lineRule="auto"/>
        <w:ind w:firstLine="1440"/>
        <w:rPr>
          <w:sz w:val="26"/>
          <w:szCs w:val="26"/>
        </w:rPr>
      </w:pPr>
      <w:r w:rsidRPr="0059512A">
        <w:rPr>
          <w:sz w:val="26"/>
          <w:szCs w:val="26"/>
        </w:rPr>
        <w:t xml:space="preserve">As </w:t>
      </w:r>
      <w:r w:rsidR="00972B68" w:rsidRPr="0059512A">
        <w:rPr>
          <w:sz w:val="26"/>
          <w:szCs w:val="26"/>
        </w:rPr>
        <w:t>the evidentiary record provides</w:t>
      </w:r>
      <w:r w:rsidRPr="0059512A">
        <w:rPr>
          <w:sz w:val="26"/>
          <w:szCs w:val="26"/>
        </w:rPr>
        <w:t xml:space="preserve">, the completion date of the Solar Project at Bucknell is shrouded in uncertainty due to zoning concerns, </w:t>
      </w:r>
      <w:r w:rsidR="002909AF" w:rsidRPr="0059512A">
        <w:rPr>
          <w:sz w:val="26"/>
          <w:szCs w:val="26"/>
        </w:rPr>
        <w:t>specifically, the existing</w:t>
      </w:r>
      <w:r w:rsidRPr="0059512A">
        <w:rPr>
          <w:sz w:val="26"/>
          <w:szCs w:val="26"/>
        </w:rPr>
        <w:t xml:space="preserve"> zoning ordinance</w:t>
      </w:r>
      <w:r w:rsidR="002909AF" w:rsidRPr="0059512A">
        <w:rPr>
          <w:sz w:val="26"/>
          <w:szCs w:val="26"/>
        </w:rPr>
        <w:t xml:space="preserve"> is preventing the project from moving forward at this time</w:t>
      </w:r>
      <w:r w:rsidRPr="0059512A">
        <w:rPr>
          <w:sz w:val="26"/>
          <w:szCs w:val="26"/>
        </w:rPr>
        <w:t xml:space="preserve">.  </w:t>
      </w:r>
      <w:r w:rsidR="001E08F0" w:rsidRPr="0059512A">
        <w:rPr>
          <w:sz w:val="26"/>
          <w:szCs w:val="26"/>
        </w:rPr>
        <w:t xml:space="preserve">The uncertainty surrounding the zoning approval has been a notable concern of the OCA, recognized by the ALJs in the determination of their recommendation, and has been acknowledged by the Company.  </w:t>
      </w:r>
    </w:p>
    <w:p w14:paraId="1978C64C" w14:textId="77777777" w:rsidR="00FC0025" w:rsidRPr="0059512A" w:rsidRDefault="00FC0025" w:rsidP="0059512A">
      <w:pPr>
        <w:widowControl/>
        <w:spacing w:line="360" w:lineRule="auto"/>
        <w:ind w:firstLine="1440"/>
        <w:rPr>
          <w:sz w:val="26"/>
          <w:szCs w:val="26"/>
        </w:rPr>
      </w:pPr>
    </w:p>
    <w:p w14:paraId="6122E937" w14:textId="6CD42285" w:rsidR="00114014" w:rsidRPr="0059512A" w:rsidRDefault="00FC0025" w:rsidP="0059512A">
      <w:pPr>
        <w:widowControl/>
        <w:spacing w:line="360" w:lineRule="auto"/>
        <w:ind w:firstLine="1440"/>
        <w:rPr>
          <w:bCs/>
          <w:sz w:val="26"/>
          <w:szCs w:val="26"/>
        </w:rPr>
      </w:pPr>
      <w:r w:rsidRPr="0059512A">
        <w:rPr>
          <w:sz w:val="26"/>
          <w:szCs w:val="26"/>
        </w:rPr>
        <w:t xml:space="preserve">Further, once a final solar zoning ordinance has been adopted by the Township, Bucknell’s Solar Project must then be resubmitted, reviewed, and approved.  As acknowledged by Citizens’, Bucknell’s proposal may be revised or amended, or potentially denied outright, thereby causing further delays.  Tr. at 148-149; OCA M.B. at 19-20.  </w:t>
      </w:r>
      <w:r w:rsidR="001E08F0" w:rsidRPr="0059512A">
        <w:rPr>
          <w:sz w:val="26"/>
          <w:szCs w:val="26"/>
        </w:rPr>
        <w:t>Given the uncertainty associated with the completion of the Solar Project prior to the conclusion of the FPFTY, we agree that the completion of the proposal is not a known and measurable change which should be reflected in the Company’s rates.</w:t>
      </w:r>
      <w:r w:rsidRPr="0059512A">
        <w:rPr>
          <w:sz w:val="26"/>
          <w:szCs w:val="26"/>
        </w:rPr>
        <w:t xml:space="preserve">  </w:t>
      </w:r>
      <w:r w:rsidR="00114014" w:rsidRPr="0059512A">
        <w:rPr>
          <w:sz w:val="26"/>
          <w:szCs w:val="26"/>
        </w:rPr>
        <w:t xml:space="preserve">Therefore, </w:t>
      </w:r>
      <w:r w:rsidR="00F21E7E" w:rsidRPr="0059512A">
        <w:rPr>
          <w:sz w:val="26"/>
          <w:szCs w:val="26"/>
        </w:rPr>
        <w:t xml:space="preserve">the Company’s claimed FPFTY revenues should be adjusted to reflect the continuation of historic service levels to Bucknell.  </w:t>
      </w:r>
      <w:r w:rsidRPr="0059512A">
        <w:rPr>
          <w:bCs/>
          <w:sz w:val="26"/>
          <w:szCs w:val="26"/>
        </w:rPr>
        <w:t>Accordingly, finding no error in the OCA’s adjustment to FPFTY revenues in the amount of $12,024 to account for continuing to provide service to Bucknell, we shall adopt the ALJs’ recommendation and deny the Company’s Exception on this issue.</w:t>
      </w:r>
    </w:p>
    <w:p w14:paraId="6C66F1BE" w14:textId="4AB2A190" w:rsidR="00DE1D03" w:rsidRPr="0059512A" w:rsidRDefault="00DE1D03" w:rsidP="0059512A">
      <w:pPr>
        <w:pStyle w:val="Heading3"/>
        <w:keepNext/>
        <w:keepLines/>
        <w:numPr>
          <w:ilvl w:val="0"/>
          <w:numId w:val="26"/>
        </w:numPr>
        <w:ind w:left="1440" w:hanging="720"/>
      </w:pPr>
      <w:bookmarkStart w:id="85" w:name="_Toc38629280"/>
      <w:r w:rsidRPr="0059512A">
        <w:lastRenderedPageBreak/>
        <w:t>Present Rate Revenue – Customer Counts</w:t>
      </w:r>
      <w:bookmarkEnd w:id="85"/>
    </w:p>
    <w:p w14:paraId="3082B46C" w14:textId="215071CC" w:rsidR="00DE1D03" w:rsidRPr="0059512A" w:rsidRDefault="00DE1D03" w:rsidP="0059512A">
      <w:pPr>
        <w:keepNext/>
        <w:keepLines/>
        <w:widowControl/>
        <w:spacing w:line="360" w:lineRule="auto"/>
        <w:rPr>
          <w:sz w:val="26"/>
          <w:szCs w:val="26"/>
        </w:rPr>
      </w:pPr>
    </w:p>
    <w:p w14:paraId="0BFF5ADB" w14:textId="77777777" w:rsidR="00DE1D03" w:rsidRPr="0059512A" w:rsidRDefault="00DE1D03" w:rsidP="0059512A">
      <w:pPr>
        <w:pStyle w:val="ListParagraph"/>
        <w:keepNext/>
        <w:keepLines/>
        <w:widowControl/>
        <w:spacing w:line="360" w:lineRule="auto"/>
        <w:ind w:left="2160" w:hanging="720"/>
        <w:rPr>
          <w:b/>
          <w:bCs/>
          <w:sz w:val="26"/>
          <w:szCs w:val="26"/>
        </w:rPr>
      </w:pPr>
      <w:r w:rsidRPr="0059512A">
        <w:rPr>
          <w:b/>
          <w:bCs/>
          <w:sz w:val="26"/>
          <w:szCs w:val="26"/>
        </w:rPr>
        <w:t>a.</w:t>
      </w:r>
      <w:r w:rsidRPr="0059512A">
        <w:rPr>
          <w:b/>
          <w:bCs/>
          <w:sz w:val="26"/>
          <w:szCs w:val="26"/>
        </w:rPr>
        <w:tab/>
        <w:t>Positions of the Parties</w:t>
      </w:r>
    </w:p>
    <w:p w14:paraId="262A5B6E" w14:textId="77777777" w:rsidR="00DE1D03" w:rsidRPr="0059512A" w:rsidRDefault="00DE1D03" w:rsidP="0059512A">
      <w:pPr>
        <w:keepNext/>
        <w:keepLines/>
        <w:widowControl/>
        <w:spacing w:line="360" w:lineRule="auto"/>
        <w:rPr>
          <w:sz w:val="26"/>
          <w:szCs w:val="26"/>
        </w:rPr>
      </w:pPr>
    </w:p>
    <w:p w14:paraId="12D9F717" w14:textId="2E701C39" w:rsidR="00DE1D03" w:rsidRPr="0059512A" w:rsidRDefault="00D149B2" w:rsidP="0059512A">
      <w:pPr>
        <w:keepNext/>
        <w:keepLines/>
        <w:widowControl/>
        <w:spacing w:line="360" w:lineRule="auto"/>
        <w:ind w:firstLine="1440"/>
        <w:contextualSpacing/>
        <w:rPr>
          <w:sz w:val="26"/>
          <w:szCs w:val="26"/>
        </w:rPr>
      </w:pPr>
      <w:r w:rsidRPr="0059512A">
        <w:rPr>
          <w:sz w:val="26"/>
          <w:szCs w:val="26"/>
        </w:rPr>
        <w:t>The Company’s</w:t>
      </w:r>
      <w:r w:rsidR="00DE1D03" w:rsidRPr="0059512A">
        <w:rPr>
          <w:sz w:val="26"/>
          <w:szCs w:val="26"/>
        </w:rPr>
        <w:t xml:space="preserve"> proposed present rate revenue estimate of $4,860,408 is derived from its estimated customer counts for the FPFTY.  The </w:t>
      </w:r>
      <w:r w:rsidR="0034365C" w:rsidRPr="0059512A">
        <w:rPr>
          <w:sz w:val="26"/>
          <w:szCs w:val="26"/>
        </w:rPr>
        <w:t>C</w:t>
      </w:r>
      <w:r w:rsidR="00DE1D03" w:rsidRPr="0059512A">
        <w:rPr>
          <w:sz w:val="26"/>
          <w:szCs w:val="26"/>
        </w:rPr>
        <w:t>ompany estimates in this proceeding that its FPFTY will include an average customer count of 7,043.  Citizen</w:t>
      </w:r>
      <w:r w:rsidR="00F979F9" w:rsidRPr="0059512A">
        <w:rPr>
          <w:sz w:val="26"/>
          <w:szCs w:val="26"/>
        </w:rPr>
        <w:t>s’ Exh._(HSG-1)</w:t>
      </w:r>
      <w:r w:rsidR="00DE1D03" w:rsidRPr="0059512A">
        <w:rPr>
          <w:sz w:val="26"/>
          <w:szCs w:val="26"/>
        </w:rPr>
        <w:t xml:space="preserve">, Sch. B3.  This figure represents an increase of only nine customers from the </w:t>
      </w:r>
      <w:r w:rsidR="00F979F9" w:rsidRPr="0059512A">
        <w:rPr>
          <w:sz w:val="26"/>
          <w:szCs w:val="26"/>
        </w:rPr>
        <w:t>C</w:t>
      </w:r>
      <w:r w:rsidR="00DE1D03" w:rsidRPr="0059512A">
        <w:rPr>
          <w:sz w:val="26"/>
          <w:szCs w:val="26"/>
        </w:rPr>
        <w:t>ompany’s HTY average number of customers.  I&amp;E Ex</w:t>
      </w:r>
      <w:r w:rsidR="00F979F9" w:rsidRPr="0059512A">
        <w:rPr>
          <w:sz w:val="26"/>
          <w:szCs w:val="26"/>
        </w:rPr>
        <w:t>h</w:t>
      </w:r>
      <w:r w:rsidR="00DE1D03" w:rsidRPr="0059512A">
        <w:rPr>
          <w:sz w:val="26"/>
          <w:szCs w:val="26"/>
        </w:rPr>
        <w:t>. 3, Sch. 6.  The Company notes that, while it has seen a very modest number of new connections, during its FTY, it lost 32 customers in the East Lewisburg area as part of a transfer of those customers to PPL Electric Utilities Corporation (PPL).</w:t>
      </w:r>
      <w:r w:rsidR="00F979F9" w:rsidRPr="0059512A">
        <w:rPr>
          <w:sz w:val="26"/>
          <w:szCs w:val="26"/>
        </w:rPr>
        <w:t xml:space="preserve">  </w:t>
      </w:r>
      <w:r w:rsidR="00DE1D03" w:rsidRPr="0059512A">
        <w:rPr>
          <w:sz w:val="26"/>
          <w:szCs w:val="26"/>
        </w:rPr>
        <w:t>Citizen</w:t>
      </w:r>
      <w:r w:rsidR="00F979F9" w:rsidRPr="0059512A">
        <w:rPr>
          <w:sz w:val="26"/>
          <w:szCs w:val="26"/>
        </w:rPr>
        <w:t>s’</w:t>
      </w:r>
      <w:r w:rsidR="00DE1D03" w:rsidRPr="0059512A">
        <w:rPr>
          <w:sz w:val="26"/>
          <w:szCs w:val="26"/>
        </w:rPr>
        <w:t xml:space="preserve"> St. 4 at 7.  Citizens’ noted that the total customer count for the </w:t>
      </w:r>
      <w:r w:rsidR="00F979F9" w:rsidRPr="0059512A">
        <w:rPr>
          <w:sz w:val="26"/>
          <w:szCs w:val="26"/>
        </w:rPr>
        <w:t>C</w:t>
      </w:r>
      <w:r w:rsidR="00DE1D03" w:rsidRPr="0059512A">
        <w:rPr>
          <w:sz w:val="26"/>
          <w:szCs w:val="26"/>
        </w:rPr>
        <w:t>ompany rose by only 7 during the 8-month period from December 2018 to July 2019, representing an average of only one customer gained per month (the loss of 32 customers did not occur during this time period).  Citizens’ argues that its final 2019 customer growth figure is likely to show a significant loss.  Citizens’ M</w:t>
      </w:r>
      <w:r w:rsidR="00F979F9" w:rsidRPr="0059512A">
        <w:rPr>
          <w:sz w:val="26"/>
          <w:szCs w:val="26"/>
        </w:rPr>
        <w:t>.B.</w:t>
      </w:r>
      <w:r w:rsidR="00DE1D03" w:rsidRPr="0059512A">
        <w:rPr>
          <w:sz w:val="26"/>
          <w:szCs w:val="26"/>
        </w:rPr>
        <w:t xml:space="preserve"> at 32.  Citizen</w:t>
      </w:r>
      <w:r w:rsidR="00F979F9" w:rsidRPr="0059512A">
        <w:rPr>
          <w:sz w:val="26"/>
          <w:szCs w:val="26"/>
        </w:rPr>
        <w:t>s’</w:t>
      </w:r>
      <w:r w:rsidR="00DE1D03" w:rsidRPr="0059512A">
        <w:rPr>
          <w:sz w:val="26"/>
          <w:szCs w:val="26"/>
        </w:rPr>
        <w:t xml:space="preserve"> further supports its position by citing the Union County Planning Commission Annual Report (UCPC Annual Report), which indicate</w:t>
      </w:r>
      <w:r w:rsidR="00F979F9" w:rsidRPr="0059512A">
        <w:rPr>
          <w:sz w:val="26"/>
          <w:szCs w:val="26"/>
        </w:rPr>
        <w:t>d</w:t>
      </w:r>
      <w:r w:rsidR="00DE1D03" w:rsidRPr="0059512A">
        <w:rPr>
          <w:sz w:val="26"/>
          <w:szCs w:val="26"/>
        </w:rPr>
        <w:t xml:space="preserve"> that Lewisburg Borough, Buffalo Township and East Buffalo Township (most of Citizen’s territory) have plans for only 20 new lots as of 2018.  Citizens’ St. 4-R at 12</w:t>
      </w:r>
      <w:r w:rsidR="00E63ABF">
        <w:rPr>
          <w:sz w:val="26"/>
          <w:szCs w:val="26"/>
        </w:rPr>
        <w:noBreakHyphen/>
      </w:r>
      <w:r w:rsidR="00DE1D03" w:rsidRPr="0059512A">
        <w:rPr>
          <w:sz w:val="26"/>
          <w:szCs w:val="26"/>
        </w:rPr>
        <w:t>13, Ex</w:t>
      </w:r>
      <w:r w:rsidR="0034365C" w:rsidRPr="0059512A">
        <w:rPr>
          <w:sz w:val="26"/>
          <w:szCs w:val="26"/>
        </w:rPr>
        <w:t>h</w:t>
      </w:r>
      <w:r w:rsidR="00DE1D03" w:rsidRPr="0059512A">
        <w:rPr>
          <w:sz w:val="26"/>
          <w:szCs w:val="26"/>
        </w:rPr>
        <w:t>. JK-4R at 6-7; Citizens’ M</w:t>
      </w:r>
      <w:r w:rsidR="0034365C" w:rsidRPr="0059512A">
        <w:rPr>
          <w:sz w:val="26"/>
          <w:szCs w:val="26"/>
        </w:rPr>
        <w:t>.B.</w:t>
      </w:r>
      <w:r w:rsidR="00DE1D03" w:rsidRPr="0059512A">
        <w:rPr>
          <w:sz w:val="26"/>
          <w:szCs w:val="26"/>
        </w:rPr>
        <w:t xml:space="preserve"> at 33.</w:t>
      </w:r>
    </w:p>
    <w:p w14:paraId="4EE8D9A3" w14:textId="77777777" w:rsidR="00DE1D03" w:rsidRPr="0059512A" w:rsidRDefault="00DE1D03" w:rsidP="0059512A">
      <w:pPr>
        <w:widowControl/>
        <w:spacing w:line="360" w:lineRule="auto"/>
        <w:ind w:firstLine="1440"/>
        <w:contextualSpacing/>
        <w:rPr>
          <w:sz w:val="26"/>
          <w:szCs w:val="26"/>
        </w:rPr>
      </w:pPr>
    </w:p>
    <w:p w14:paraId="5FBDB09B" w14:textId="1DF77427" w:rsidR="000A62FE" w:rsidRDefault="00DE1D03" w:rsidP="0059512A">
      <w:pPr>
        <w:widowControl/>
        <w:spacing w:line="360" w:lineRule="auto"/>
        <w:ind w:firstLine="1440"/>
        <w:contextualSpacing/>
        <w:rPr>
          <w:sz w:val="26"/>
          <w:szCs w:val="26"/>
        </w:rPr>
      </w:pPr>
      <w:r w:rsidRPr="0059512A">
        <w:rPr>
          <w:sz w:val="26"/>
          <w:szCs w:val="26"/>
        </w:rPr>
        <w:t>I&amp;E disputed Citizens’ customer count estimates.  I&amp;E proposed an average FPFTY customer count of 7,096, resulting in an increase of present rate revenue of $28,032 over Citizens’ projection.  I&amp;E St. 3-SR at 13; I&amp;E Ex</w:t>
      </w:r>
      <w:r w:rsidR="0034365C" w:rsidRPr="0059512A">
        <w:rPr>
          <w:sz w:val="26"/>
          <w:szCs w:val="26"/>
        </w:rPr>
        <w:t>h</w:t>
      </w:r>
      <w:r w:rsidRPr="0059512A">
        <w:rPr>
          <w:sz w:val="26"/>
          <w:szCs w:val="26"/>
        </w:rPr>
        <w:t>. 3-SR, Sch. 3.  I&amp;E based its projections on the average change in customer counts from 2015-2018 for each rate class.  I&amp;E St. 3-SR, I&amp;E Ex</w:t>
      </w:r>
      <w:r w:rsidR="0034365C" w:rsidRPr="0059512A">
        <w:rPr>
          <w:sz w:val="26"/>
          <w:szCs w:val="26"/>
        </w:rPr>
        <w:t>h</w:t>
      </w:r>
      <w:r w:rsidRPr="0059512A">
        <w:rPr>
          <w:sz w:val="26"/>
          <w:szCs w:val="26"/>
        </w:rPr>
        <w:t>. 3-SR, Sch. 2.  I&amp;E argue</w:t>
      </w:r>
      <w:r w:rsidR="0034365C" w:rsidRPr="0059512A">
        <w:rPr>
          <w:sz w:val="26"/>
          <w:szCs w:val="26"/>
        </w:rPr>
        <w:t>d</w:t>
      </w:r>
      <w:r w:rsidRPr="0059512A">
        <w:rPr>
          <w:sz w:val="26"/>
          <w:szCs w:val="26"/>
        </w:rPr>
        <w:t xml:space="preserve"> that, rather than a net increase of nine customers from HTY to FPFTY, as proposed by Citizens’, a net gain of 62 new customers is appropriate.  I&amp;E’s net increase figure of 62 customers is calculated, </w:t>
      </w:r>
      <w:r w:rsidRPr="0059512A">
        <w:rPr>
          <w:sz w:val="26"/>
          <w:szCs w:val="26"/>
        </w:rPr>
        <w:lastRenderedPageBreak/>
        <w:t>“. . . by assuming 47 new customers per year for a 94-customer net gain from HTY to FPFTY (47 x 2 = 94), adjusted for the 32 lost customers in FTY due to the East Lewisburg transfer to PPL (94 – 32 = 62).”  Citizens’ M</w:t>
      </w:r>
      <w:r w:rsidR="0034365C" w:rsidRPr="0059512A">
        <w:rPr>
          <w:sz w:val="26"/>
          <w:szCs w:val="26"/>
        </w:rPr>
        <w:t>.B.</w:t>
      </w:r>
      <w:r w:rsidRPr="0059512A">
        <w:rPr>
          <w:sz w:val="26"/>
          <w:szCs w:val="26"/>
        </w:rPr>
        <w:t xml:space="preserve"> at 30-31.  To further support its position, I&amp;E cite</w:t>
      </w:r>
      <w:r w:rsidR="0034365C" w:rsidRPr="0059512A">
        <w:rPr>
          <w:sz w:val="26"/>
          <w:szCs w:val="26"/>
        </w:rPr>
        <w:t>d</w:t>
      </w:r>
      <w:r w:rsidRPr="0059512A">
        <w:rPr>
          <w:sz w:val="26"/>
          <w:szCs w:val="26"/>
        </w:rPr>
        <w:t xml:space="preserve"> a Union County Housing Study projecting demand for housing will increase by 89 units in Lewisburg Borough, 545 units in Buffalo Township, and 885 units in East Buffalo Township through 2050.  I&amp;E</w:t>
      </w:r>
      <w:r w:rsidR="0034365C" w:rsidRPr="0059512A">
        <w:rPr>
          <w:sz w:val="26"/>
          <w:szCs w:val="26"/>
        </w:rPr>
        <w:t xml:space="preserve"> Exh.</w:t>
      </w:r>
      <w:r w:rsidRPr="0059512A">
        <w:rPr>
          <w:sz w:val="26"/>
          <w:szCs w:val="26"/>
        </w:rPr>
        <w:t xml:space="preserve"> 3-SR, Sch. 1 at 32; I&amp;E M</w:t>
      </w:r>
      <w:r w:rsidR="0034365C" w:rsidRPr="0059512A">
        <w:rPr>
          <w:sz w:val="26"/>
          <w:szCs w:val="26"/>
        </w:rPr>
        <w:t>.B.</w:t>
      </w:r>
      <w:r w:rsidRPr="0059512A">
        <w:rPr>
          <w:sz w:val="26"/>
          <w:szCs w:val="26"/>
        </w:rPr>
        <w:t xml:space="preserve"> at</w:t>
      </w:r>
      <w:r w:rsidR="00533645" w:rsidRPr="0059512A">
        <w:rPr>
          <w:sz w:val="26"/>
          <w:szCs w:val="26"/>
        </w:rPr>
        <w:t> </w:t>
      </w:r>
      <w:r w:rsidRPr="0059512A">
        <w:rPr>
          <w:sz w:val="26"/>
          <w:szCs w:val="26"/>
        </w:rPr>
        <w:t xml:space="preserve">13. </w:t>
      </w:r>
    </w:p>
    <w:p w14:paraId="392FAD8C" w14:textId="77777777" w:rsidR="00E63ABF" w:rsidRPr="0059512A" w:rsidRDefault="00E63ABF" w:rsidP="0059512A">
      <w:pPr>
        <w:widowControl/>
        <w:spacing w:line="360" w:lineRule="auto"/>
        <w:ind w:firstLine="1440"/>
        <w:contextualSpacing/>
        <w:rPr>
          <w:sz w:val="26"/>
          <w:szCs w:val="26"/>
        </w:rPr>
      </w:pPr>
    </w:p>
    <w:p w14:paraId="120B8144" w14:textId="77777777" w:rsidR="00DE1D03" w:rsidRPr="0059512A" w:rsidRDefault="00DE1D03" w:rsidP="0059512A">
      <w:pPr>
        <w:pStyle w:val="ListParagraph"/>
        <w:keepNext/>
        <w:widowControl/>
        <w:spacing w:line="360" w:lineRule="auto"/>
        <w:ind w:left="2160" w:hanging="720"/>
        <w:rPr>
          <w:b/>
          <w:bCs/>
          <w:sz w:val="26"/>
          <w:szCs w:val="26"/>
        </w:rPr>
      </w:pPr>
      <w:r w:rsidRPr="0059512A">
        <w:rPr>
          <w:b/>
          <w:bCs/>
          <w:sz w:val="26"/>
          <w:szCs w:val="26"/>
        </w:rPr>
        <w:t>b.</w:t>
      </w:r>
      <w:r w:rsidRPr="0059512A">
        <w:rPr>
          <w:b/>
          <w:bCs/>
          <w:sz w:val="26"/>
          <w:szCs w:val="26"/>
        </w:rPr>
        <w:tab/>
        <w:t>Recommended Decision</w:t>
      </w:r>
    </w:p>
    <w:p w14:paraId="2F7D6F2E" w14:textId="77777777" w:rsidR="00DE1D03" w:rsidRPr="0059512A" w:rsidRDefault="00DE1D03" w:rsidP="0059512A">
      <w:pPr>
        <w:keepNext/>
        <w:widowControl/>
        <w:spacing w:line="360" w:lineRule="auto"/>
        <w:rPr>
          <w:sz w:val="26"/>
          <w:szCs w:val="26"/>
        </w:rPr>
      </w:pPr>
    </w:p>
    <w:p w14:paraId="511A5EE7" w14:textId="7338EFFF" w:rsidR="00DE1D03" w:rsidRPr="0059512A" w:rsidRDefault="00DE1D03" w:rsidP="0059512A">
      <w:pPr>
        <w:keepNext/>
        <w:widowControl/>
        <w:spacing w:line="360" w:lineRule="auto"/>
        <w:ind w:firstLine="1440"/>
        <w:rPr>
          <w:sz w:val="26"/>
          <w:szCs w:val="26"/>
        </w:rPr>
      </w:pPr>
      <w:r w:rsidRPr="0059512A">
        <w:rPr>
          <w:sz w:val="26"/>
          <w:szCs w:val="26"/>
        </w:rPr>
        <w:t>The ALJs took I&amp;E’s position and recommend</w:t>
      </w:r>
      <w:r w:rsidR="00D149B2" w:rsidRPr="0059512A">
        <w:rPr>
          <w:sz w:val="26"/>
          <w:szCs w:val="26"/>
        </w:rPr>
        <w:t>ed</w:t>
      </w:r>
      <w:r w:rsidRPr="0059512A">
        <w:rPr>
          <w:sz w:val="26"/>
          <w:szCs w:val="26"/>
        </w:rPr>
        <w:t xml:space="preserve"> adoption of its upward adjustment to Citizens’ present rate revenues in the amount of $28,032.  As noted by the ALJs, both </w:t>
      </w:r>
      <w:r w:rsidR="007222B0" w:rsidRPr="0059512A">
        <w:rPr>
          <w:sz w:val="26"/>
          <w:szCs w:val="26"/>
        </w:rPr>
        <w:t>P</w:t>
      </w:r>
      <w:r w:rsidRPr="0059512A">
        <w:rPr>
          <w:sz w:val="26"/>
          <w:szCs w:val="26"/>
        </w:rPr>
        <w:t xml:space="preserve">arties cited external studies in support of their respective positions: Citizens’ to the UCPC Annual Report and I&amp;E to the Union County Housing Study.  The ALJs remarked both studies arguably support the positions put forth by the party citing each study.  However, the ALJs observed both studies represent estimates or projections of what their respective authors anticipate will happen in the future.  Distinguished from both studies, the ALJs stated I&amp;E also presented actual figures of customer counts from 2015 through 2018.  </w:t>
      </w:r>
      <w:bookmarkStart w:id="86" w:name="_Hlk37750976"/>
      <w:r w:rsidRPr="0059512A">
        <w:rPr>
          <w:sz w:val="26"/>
          <w:szCs w:val="26"/>
        </w:rPr>
        <w:t xml:space="preserve">The ALJs observed </w:t>
      </w:r>
      <w:r w:rsidR="00B35B70" w:rsidRPr="0059512A">
        <w:rPr>
          <w:sz w:val="26"/>
          <w:szCs w:val="26"/>
        </w:rPr>
        <w:t>that although</w:t>
      </w:r>
      <w:r w:rsidRPr="0059512A">
        <w:rPr>
          <w:sz w:val="26"/>
          <w:szCs w:val="26"/>
        </w:rPr>
        <w:t xml:space="preserve"> those figures suggested a downward trend in new customers, there is no certainty that the trend will continue.  In conclusion, the ALJs were more persuaded by I&amp;E’s averaging </w:t>
      </w:r>
      <w:r w:rsidR="006E1DF1" w:rsidRPr="0059512A">
        <w:rPr>
          <w:sz w:val="26"/>
          <w:szCs w:val="26"/>
        </w:rPr>
        <w:t xml:space="preserve">of </w:t>
      </w:r>
      <w:r w:rsidRPr="0059512A">
        <w:rPr>
          <w:sz w:val="26"/>
          <w:szCs w:val="26"/>
        </w:rPr>
        <w:t xml:space="preserve">the actual known figures since 2015 to estimate a reasonable customer count figure for the </w:t>
      </w:r>
      <w:r w:rsidR="006E1DF1" w:rsidRPr="0059512A">
        <w:rPr>
          <w:sz w:val="26"/>
          <w:szCs w:val="26"/>
        </w:rPr>
        <w:t>C</w:t>
      </w:r>
      <w:r w:rsidRPr="0059512A">
        <w:rPr>
          <w:sz w:val="26"/>
          <w:szCs w:val="26"/>
        </w:rPr>
        <w:t>ompany’s FPFTY.  Thus, the ALJs recommended adopting I&amp;E’s upward adjustment to Citizens’ present rate revenues in the amount of $28,032.</w:t>
      </w:r>
      <w:bookmarkEnd w:id="86"/>
      <w:r w:rsidRPr="0059512A">
        <w:rPr>
          <w:sz w:val="26"/>
          <w:szCs w:val="26"/>
        </w:rPr>
        <w:t xml:space="preserve">  R.D. at 21.  </w:t>
      </w:r>
    </w:p>
    <w:p w14:paraId="3ECCE70A" w14:textId="77777777" w:rsidR="00DE1D03" w:rsidRPr="0059512A" w:rsidRDefault="00DE1D03" w:rsidP="0059512A">
      <w:pPr>
        <w:widowControl/>
        <w:spacing w:line="360" w:lineRule="auto"/>
        <w:rPr>
          <w:sz w:val="26"/>
          <w:szCs w:val="26"/>
        </w:rPr>
      </w:pPr>
    </w:p>
    <w:p w14:paraId="615620BD" w14:textId="77777777" w:rsidR="00DE1D03" w:rsidRPr="0059512A" w:rsidRDefault="00DE1D03" w:rsidP="0059512A">
      <w:pPr>
        <w:pStyle w:val="ListParagraph"/>
        <w:keepNext/>
        <w:widowControl/>
        <w:spacing w:line="360" w:lineRule="auto"/>
        <w:ind w:left="2160" w:hanging="720"/>
        <w:rPr>
          <w:b/>
          <w:bCs/>
          <w:sz w:val="26"/>
          <w:szCs w:val="26"/>
        </w:rPr>
      </w:pPr>
      <w:r w:rsidRPr="0059512A">
        <w:rPr>
          <w:b/>
          <w:bCs/>
          <w:sz w:val="26"/>
          <w:szCs w:val="26"/>
        </w:rPr>
        <w:t>c.</w:t>
      </w:r>
      <w:r w:rsidRPr="0059512A">
        <w:rPr>
          <w:b/>
          <w:bCs/>
          <w:sz w:val="26"/>
          <w:szCs w:val="26"/>
        </w:rPr>
        <w:tab/>
        <w:t>Exceptions and Replies</w:t>
      </w:r>
    </w:p>
    <w:p w14:paraId="4C90DFA4" w14:textId="77777777" w:rsidR="00DE1D03" w:rsidRPr="0059512A" w:rsidRDefault="00DE1D03" w:rsidP="0059512A">
      <w:pPr>
        <w:keepNext/>
        <w:widowControl/>
        <w:spacing w:line="360" w:lineRule="auto"/>
        <w:rPr>
          <w:sz w:val="26"/>
          <w:szCs w:val="26"/>
        </w:rPr>
      </w:pPr>
    </w:p>
    <w:p w14:paraId="30CE2006" w14:textId="442CD776" w:rsidR="00DE1D03" w:rsidRPr="0059512A" w:rsidRDefault="00DE1D03" w:rsidP="0059512A">
      <w:pPr>
        <w:keepNext/>
        <w:widowControl/>
        <w:spacing w:line="360" w:lineRule="auto"/>
        <w:ind w:firstLine="1440"/>
        <w:contextualSpacing/>
        <w:rPr>
          <w:sz w:val="26"/>
          <w:szCs w:val="26"/>
        </w:rPr>
      </w:pPr>
      <w:r w:rsidRPr="0059512A">
        <w:rPr>
          <w:sz w:val="26"/>
          <w:szCs w:val="26"/>
        </w:rPr>
        <w:t>In Citizens’ Exception No. 2, the Company declares the ALJs erred in approving the $28,032 adjustment to</w:t>
      </w:r>
      <w:r w:rsidR="00D149B2" w:rsidRPr="0059512A">
        <w:rPr>
          <w:sz w:val="26"/>
          <w:szCs w:val="26"/>
        </w:rPr>
        <w:t xml:space="preserve"> its</w:t>
      </w:r>
      <w:r w:rsidRPr="0059512A">
        <w:rPr>
          <w:sz w:val="26"/>
          <w:szCs w:val="26"/>
        </w:rPr>
        <w:t xml:space="preserve"> FPFTY revenues based on I&amp;E</w:t>
      </w:r>
      <w:r w:rsidR="0034365C" w:rsidRPr="0059512A">
        <w:rPr>
          <w:sz w:val="26"/>
          <w:szCs w:val="26"/>
        </w:rPr>
        <w:t>’</w:t>
      </w:r>
      <w:r w:rsidRPr="0059512A">
        <w:rPr>
          <w:sz w:val="26"/>
          <w:szCs w:val="26"/>
        </w:rPr>
        <w:t xml:space="preserve">s adjustment to </w:t>
      </w:r>
      <w:r w:rsidRPr="0059512A">
        <w:rPr>
          <w:sz w:val="26"/>
          <w:szCs w:val="26"/>
        </w:rPr>
        <w:lastRenderedPageBreak/>
        <w:t>the Company</w:t>
      </w:r>
      <w:r w:rsidR="00D149B2" w:rsidRPr="0059512A">
        <w:rPr>
          <w:sz w:val="26"/>
          <w:szCs w:val="26"/>
        </w:rPr>
        <w:t>’</w:t>
      </w:r>
      <w:r w:rsidRPr="0059512A">
        <w:rPr>
          <w:sz w:val="26"/>
          <w:szCs w:val="26"/>
        </w:rPr>
        <w:t>s projected FPFTY customer count.  Citizens</w:t>
      </w:r>
      <w:r w:rsidR="0034365C" w:rsidRPr="0059512A">
        <w:rPr>
          <w:sz w:val="26"/>
          <w:szCs w:val="26"/>
        </w:rPr>
        <w:t>’</w:t>
      </w:r>
      <w:r w:rsidRPr="0059512A">
        <w:rPr>
          <w:sz w:val="26"/>
          <w:szCs w:val="26"/>
        </w:rPr>
        <w:t xml:space="preserve"> notes the ALJs found that both Citizens</w:t>
      </w:r>
      <w:r w:rsidR="0034365C" w:rsidRPr="0059512A">
        <w:rPr>
          <w:sz w:val="26"/>
          <w:szCs w:val="26"/>
        </w:rPr>
        <w:t>’</w:t>
      </w:r>
      <w:r w:rsidRPr="0059512A">
        <w:rPr>
          <w:sz w:val="26"/>
          <w:szCs w:val="26"/>
        </w:rPr>
        <w:t xml:space="preserve"> and I&amp;E presented outside sources supporting their respective projections, but I&amp;E</w:t>
      </w:r>
      <w:r w:rsidR="0034365C" w:rsidRPr="0059512A">
        <w:rPr>
          <w:sz w:val="26"/>
          <w:szCs w:val="26"/>
        </w:rPr>
        <w:t>’</w:t>
      </w:r>
      <w:r w:rsidRPr="0059512A">
        <w:rPr>
          <w:sz w:val="26"/>
          <w:szCs w:val="26"/>
        </w:rPr>
        <w:t>s reliance on historical changes provided the most persuasive evidence.  The Company contends the ALJs overlooked gaps in I&amp;E’s reliance on outside sources and failed to give weight to the firsthand experience of Citizens</w:t>
      </w:r>
      <w:r w:rsidR="0034365C" w:rsidRPr="0059512A">
        <w:rPr>
          <w:sz w:val="26"/>
          <w:szCs w:val="26"/>
        </w:rPr>
        <w:t>’</w:t>
      </w:r>
      <w:r w:rsidRPr="0059512A">
        <w:rPr>
          <w:sz w:val="26"/>
          <w:szCs w:val="26"/>
        </w:rPr>
        <w:t xml:space="preserve"> witness.</w:t>
      </w:r>
      <w:r w:rsidR="00D149B2" w:rsidRPr="0059512A">
        <w:rPr>
          <w:sz w:val="26"/>
          <w:szCs w:val="26"/>
        </w:rPr>
        <w:t xml:space="preserve">  Citizens’ Exc. at 6.</w:t>
      </w:r>
    </w:p>
    <w:p w14:paraId="6EAF432B" w14:textId="77777777" w:rsidR="00DE1D03" w:rsidRPr="0059512A" w:rsidRDefault="00DE1D03" w:rsidP="0059512A">
      <w:pPr>
        <w:widowControl/>
        <w:spacing w:line="360" w:lineRule="auto"/>
        <w:ind w:firstLine="1440"/>
        <w:contextualSpacing/>
        <w:rPr>
          <w:sz w:val="26"/>
          <w:szCs w:val="26"/>
        </w:rPr>
      </w:pPr>
    </w:p>
    <w:p w14:paraId="54B0C347" w14:textId="317581FF" w:rsidR="00DE1D03" w:rsidRPr="0059512A" w:rsidRDefault="00DE1D03" w:rsidP="0059512A">
      <w:pPr>
        <w:widowControl/>
        <w:spacing w:line="360" w:lineRule="auto"/>
        <w:ind w:firstLine="1440"/>
        <w:contextualSpacing/>
        <w:rPr>
          <w:sz w:val="26"/>
          <w:szCs w:val="26"/>
        </w:rPr>
      </w:pPr>
      <w:r w:rsidRPr="0059512A">
        <w:rPr>
          <w:sz w:val="26"/>
          <w:szCs w:val="26"/>
        </w:rPr>
        <w:t>Citizens’ claims the Union County Housing study relied upon by I&amp;E simply does not support the inferences drawn by I&amp;E</w:t>
      </w:r>
      <w:r w:rsidR="0034365C" w:rsidRPr="0059512A">
        <w:rPr>
          <w:sz w:val="26"/>
          <w:szCs w:val="26"/>
        </w:rPr>
        <w:t>’</w:t>
      </w:r>
      <w:r w:rsidRPr="0059512A">
        <w:rPr>
          <w:sz w:val="26"/>
          <w:szCs w:val="26"/>
        </w:rPr>
        <w:t>s witness.  Citizens</w:t>
      </w:r>
      <w:r w:rsidR="0034365C" w:rsidRPr="0059512A">
        <w:rPr>
          <w:sz w:val="26"/>
          <w:szCs w:val="26"/>
        </w:rPr>
        <w:t>’</w:t>
      </w:r>
      <w:r w:rsidRPr="0059512A">
        <w:rPr>
          <w:sz w:val="26"/>
          <w:szCs w:val="26"/>
        </w:rPr>
        <w:t xml:space="preserve"> asserts I&amp;E</w:t>
      </w:r>
      <w:r w:rsidR="0034365C" w:rsidRPr="0059512A">
        <w:rPr>
          <w:sz w:val="26"/>
          <w:szCs w:val="26"/>
        </w:rPr>
        <w:t>’</w:t>
      </w:r>
      <w:r w:rsidRPr="0059512A">
        <w:rPr>
          <w:sz w:val="26"/>
          <w:szCs w:val="26"/>
        </w:rPr>
        <w:t>s proposal to increase Citizens</w:t>
      </w:r>
      <w:r w:rsidR="0034365C" w:rsidRPr="0059512A">
        <w:rPr>
          <w:sz w:val="26"/>
          <w:szCs w:val="26"/>
        </w:rPr>
        <w:t>’</w:t>
      </w:r>
      <w:r w:rsidRPr="0059512A">
        <w:rPr>
          <w:sz w:val="26"/>
          <w:szCs w:val="26"/>
        </w:rPr>
        <w:t xml:space="preserve"> customer count stems from I&amp;E</w:t>
      </w:r>
      <w:r w:rsidR="0034365C" w:rsidRPr="0059512A">
        <w:rPr>
          <w:sz w:val="26"/>
          <w:szCs w:val="26"/>
        </w:rPr>
        <w:t>’</w:t>
      </w:r>
      <w:r w:rsidRPr="0059512A">
        <w:rPr>
          <w:sz w:val="26"/>
          <w:szCs w:val="26"/>
        </w:rPr>
        <w:t>s disagreement with Citizens</w:t>
      </w:r>
      <w:r w:rsidR="0034365C" w:rsidRPr="0059512A">
        <w:rPr>
          <w:sz w:val="26"/>
          <w:szCs w:val="26"/>
        </w:rPr>
        <w:t>’</w:t>
      </w:r>
      <w:r w:rsidRPr="0059512A">
        <w:rPr>
          <w:sz w:val="26"/>
          <w:szCs w:val="26"/>
        </w:rPr>
        <w:t xml:space="preserve"> </w:t>
      </w:r>
      <w:r w:rsidR="007222B0" w:rsidRPr="0059512A">
        <w:rPr>
          <w:sz w:val="26"/>
          <w:szCs w:val="26"/>
        </w:rPr>
        <w:t>w</w:t>
      </w:r>
      <w:r w:rsidRPr="0059512A">
        <w:rPr>
          <w:sz w:val="26"/>
          <w:szCs w:val="26"/>
        </w:rPr>
        <w:t>itness Kelchner</w:t>
      </w:r>
      <w:r w:rsidR="0034365C" w:rsidRPr="0059512A">
        <w:rPr>
          <w:sz w:val="26"/>
          <w:szCs w:val="26"/>
        </w:rPr>
        <w:t>’</w:t>
      </w:r>
      <w:r w:rsidRPr="0059512A">
        <w:rPr>
          <w:sz w:val="26"/>
          <w:szCs w:val="26"/>
        </w:rPr>
        <w:t>s projection that Citizens</w:t>
      </w:r>
      <w:r w:rsidR="00D149B2" w:rsidRPr="0059512A">
        <w:rPr>
          <w:sz w:val="26"/>
          <w:szCs w:val="26"/>
        </w:rPr>
        <w:t>’</w:t>
      </w:r>
      <w:r w:rsidRPr="0059512A">
        <w:rPr>
          <w:sz w:val="26"/>
          <w:szCs w:val="26"/>
        </w:rPr>
        <w:t xml:space="preserve"> will experience minimal customer growth due to the lack of available lots for new construction.  Citizen</w:t>
      </w:r>
      <w:r w:rsidR="0034365C" w:rsidRPr="0059512A">
        <w:rPr>
          <w:sz w:val="26"/>
          <w:szCs w:val="26"/>
        </w:rPr>
        <w:t xml:space="preserve">s’ </w:t>
      </w:r>
      <w:r w:rsidRPr="0059512A">
        <w:rPr>
          <w:sz w:val="26"/>
          <w:szCs w:val="26"/>
        </w:rPr>
        <w:t>supported this claim with Mr. Kelchner</w:t>
      </w:r>
      <w:r w:rsidR="0034365C" w:rsidRPr="0059512A">
        <w:rPr>
          <w:sz w:val="26"/>
          <w:szCs w:val="26"/>
        </w:rPr>
        <w:t>’</w:t>
      </w:r>
      <w:r w:rsidRPr="0059512A">
        <w:rPr>
          <w:sz w:val="26"/>
          <w:szCs w:val="26"/>
        </w:rPr>
        <w:t xml:space="preserve">s personal experience and observations in the service territory and the UCPC Annual Report showing plans for just 20 new lots across all of Lewisburg Borough, Buffalo Township, and East Buffalo Township.  </w:t>
      </w:r>
      <w:r w:rsidRPr="0059512A">
        <w:rPr>
          <w:i/>
          <w:sz w:val="26"/>
          <w:szCs w:val="26"/>
        </w:rPr>
        <w:t xml:space="preserve">Id. </w:t>
      </w:r>
      <w:r w:rsidRPr="0059512A">
        <w:rPr>
          <w:sz w:val="26"/>
          <w:szCs w:val="26"/>
        </w:rPr>
        <w:t xml:space="preserve"> The Company notes the Union County Housing Study indicates a need for new housing units, which the report clarifies is not equivalent to a demand for new </w:t>
      </w:r>
      <w:r w:rsidRPr="0059512A">
        <w:rPr>
          <w:iCs/>
          <w:sz w:val="26"/>
          <w:szCs w:val="26"/>
        </w:rPr>
        <w:t>construction</w:t>
      </w:r>
      <w:r w:rsidRPr="0059512A">
        <w:rPr>
          <w:sz w:val="26"/>
          <w:szCs w:val="26"/>
        </w:rPr>
        <w:t>.  Therefore, Citizens</w:t>
      </w:r>
      <w:r w:rsidR="0034365C" w:rsidRPr="0059512A">
        <w:rPr>
          <w:sz w:val="26"/>
          <w:szCs w:val="26"/>
        </w:rPr>
        <w:t>’</w:t>
      </w:r>
      <w:r w:rsidRPr="0059512A">
        <w:rPr>
          <w:sz w:val="26"/>
          <w:szCs w:val="26"/>
        </w:rPr>
        <w:t xml:space="preserve"> avers the Union County Housing Study does not support I&amp;E</w:t>
      </w:r>
      <w:r w:rsidR="0034365C" w:rsidRPr="0059512A">
        <w:rPr>
          <w:sz w:val="26"/>
          <w:szCs w:val="26"/>
        </w:rPr>
        <w:t>’</w:t>
      </w:r>
      <w:r w:rsidRPr="0059512A">
        <w:rPr>
          <w:sz w:val="26"/>
          <w:szCs w:val="26"/>
        </w:rPr>
        <w:t>s argument and should be disregarded in favor of the directly relevant data in the UCPC Annual Report.</w:t>
      </w:r>
      <w:r w:rsidR="00D149B2" w:rsidRPr="0059512A">
        <w:rPr>
          <w:sz w:val="26"/>
          <w:szCs w:val="26"/>
        </w:rPr>
        <w:t xml:space="preserve">  Citizens’ Exc. at 6 (citing Citizens’ M.B. at 33).</w:t>
      </w:r>
    </w:p>
    <w:p w14:paraId="1C4061F9" w14:textId="77777777" w:rsidR="00DE1D03" w:rsidRPr="0059512A" w:rsidRDefault="00DE1D03" w:rsidP="0059512A">
      <w:pPr>
        <w:widowControl/>
        <w:spacing w:line="360" w:lineRule="auto"/>
        <w:ind w:firstLine="1440"/>
        <w:contextualSpacing/>
        <w:rPr>
          <w:sz w:val="26"/>
          <w:szCs w:val="26"/>
        </w:rPr>
      </w:pPr>
    </w:p>
    <w:p w14:paraId="6CFB4580" w14:textId="6620AC44" w:rsidR="00DE1D03" w:rsidRPr="0059512A" w:rsidRDefault="00DE1D03" w:rsidP="0059512A">
      <w:pPr>
        <w:widowControl/>
        <w:spacing w:line="360" w:lineRule="auto"/>
        <w:ind w:firstLine="1440"/>
        <w:contextualSpacing/>
        <w:rPr>
          <w:sz w:val="26"/>
          <w:szCs w:val="26"/>
        </w:rPr>
      </w:pPr>
      <w:r w:rsidRPr="0059512A">
        <w:rPr>
          <w:sz w:val="26"/>
          <w:szCs w:val="26"/>
        </w:rPr>
        <w:t>Finally, the Company asserts the ALJs failed to recognize that the historical data referenced by I&amp;E reflects the same declining customer growth observed by Mr. Kelchner.  Citizens</w:t>
      </w:r>
      <w:r w:rsidR="0034365C" w:rsidRPr="0059512A">
        <w:rPr>
          <w:sz w:val="26"/>
          <w:szCs w:val="26"/>
        </w:rPr>
        <w:t>’</w:t>
      </w:r>
      <w:r w:rsidRPr="0059512A">
        <w:rPr>
          <w:sz w:val="26"/>
          <w:szCs w:val="26"/>
        </w:rPr>
        <w:t xml:space="preserve"> states I&amp;E is correct that an average annual customer growth from 2015-2018 amounts to 47 customers per year, although a review of the data shows a declining trend since 2016, from the increase of 70 customers from 2016-2017 to 33 customers from 2017 to 2018.  </w:t>
      </w:r>
      <w:r w:rsidR="0034365C" w:rsidRPr="0059512A">
        <w:rPr>
          <w:sz w:val="26"/>
          <w:szCs w:val="26"/>
        </w:rPr>
        <w:t xml:space="preserve">Citizens’ </w:t>
      </w:r>
      <w:r w:rsidRPr="0059512A">
        <w:rPr>
          <w:sz w:val="26"/>
          <w:szCs w:val="26"/>
        </w:rPr>
        <w:t xml:space="preserve">Exc. at 7 (citing I&amp;E </w:t>
      </w:r>
      <w:r w:rsidR="00F850B2" w:rsidRPr="0059512A">
        <w:rPr>
          <w:sz w:val="26"/>
          <w:szCs w:val="26"/>
        </w:rPr>
        <w:t>Exh</w:t>
      </w:r>
      <w:r w:rsidRPr="0059512A">
        <w:rPr>
          <w:sz w:val="26"/>
          <w:szCs w:val="26"/>
        </w:rPr>
        <w:t>. 3-SR, Schedule 2).  Additionally, in the FTY, the Company claims it gained just 7 customers over the period December 2018 – July 2019, which does not account for the loss</w:t>
      </w:r>
      <w:r w:rsidRPr="0059512A">
        <w:rPr>
          <w:i/>
          <w:iCs/>
          <w:sz w:val="26"/>
          <w:szCs w:val="26"/>
        </w:rPr>
        <w:t xml:space="preserve"> </w:t>
      </w:r>
      <w:r w:rsidRPr="0059512A">
        <w:rPr>
          <w:sz w:val="26"/>
          <w:szCs w:val="26"/>
        </w:rPr>
        <w:t>of 32 customers to PPL.  Citizens</w:t>
      </w:r>
      <w:r w:rsidR="00F850B2" w:rsidRPr="0059512A">
        <w:rPr>
          <w:sz w:val="26"/>
          <w:szCs w:val="26"/>
        </w:rPr>
        <w:t>’</w:t>
      </w:r>
      <w:r w:rsidRPr="0059512A">
        <w:rPr>
          <w:sz w:val="26"/>
          <w:szCs w:val="26"/>
        </w:rPr>
        <w:t xml:space="preserve"> claims the ALJs acknowledged that the historical customer growth shows a </w:t>
      </w:r>
      <w:r w:rsidRPr="0059512A">
        <w:rPr>
          <w:sz w:val="26"/>
          <w:szCs w:val="26"/>
        </w:rPr>
        <w:lastRenderedPageBreak/>
        <w:t xml:space="preserve">declining trend, but nevertheless find there is no evidence indicating that the declining customer growth will continue.  </w:t>
      </w:r>
      <w:r w:rsidR="00F850B2" w:rsidRPr="0059512A">
        <w:rPr>
          <w:sz w:val="26"/>
          <w:szCs w:val="26"/>
        </w:rPr>
        <w:t xml:space="preserve">Citizens’ </w:t>
      </w:r>
      <w:r w:rsidRPr="0059512A">
        <w:rPr>
          <w:sz w:val="26"/>
          <w:szCs w:val="26"/>
        </w:rPr>
        <w:t>Exc. at 7 (citing R.D.</w:t>
      </w:r>
      <w:r w:rsidRPr="0059512A">
        <w:rPr>
          <w:i/>
          <w:iCs/>
          <w:sz w:val="26"/>
          <w:szCs w:val="26"/>
        </w:rPr>
        <w:t xml:space="preserve"> </w:t>
      </w:r>
      <w:r w:rsidRPr="0059512A">
        <w:rPr>
          <w:sz w:val="26"/>
          <w:szCs w:val="26"/>
        </w:rPr>
        <w:t xml:space="preserve">at 20-21).  In conclusion, the Company declares the ALJs gave undue weight to the Union County Housing Study cited by I&amp;E and overlooked the construction projections in the UCPC Annual Report, the declining number of customers from 2016-2019, and the testimony of Company </w:t>
      </w:r>
      <w:r w:rsidR="007222B0" w:rsidRPr="0059512A">
        <w:rPr>
          <w:sz w:val="26"/>
          <w:szCs w:val="26"/>
        </w:rPr>
        <w:t>w</w:t>
      </w:r>
      <w:r w:rsidRPr="0059512A">
        <w:rPr>
          <w:sz w:val="26"/>
          <w:szCs w:val="26"/>
        </w:rPr>
        <w:t>itness Kelchner.</w:t>
      </w:r>
      <w:r w:rsidR="00D149B2" w:rsidRPr="0059512A">
        <w:rPr>
          <w:sz w:val="26"/>
          <w:szCs w:val="26"/>
        </w:rPr>
        <w:t xml:space="preserve">  Citizens’ Exc. at 8.  </w:t>
      </w:r>
    </w:p>
    <w:p w14:paraId="7EA63A9B" w14:textId="77777777" w:rsidR="00DE1D03" w:rsidRPr="0059512A" w:rsidRDefault="00DE1D03" w:rsidP="0059512A">
      <w:pPr>
        <w:widowControl/>
        <w:spacing w:line="360" w:lineRule="auto"/>
        <w:ind w:firstLine="1440"/>
        <w:contextualSpacing/>
        <w:rPr>
          <w:sz w:val="26"/>
          <w:szCs w:val="26"/>
        </w:rPr>
      </w:pPr>
    </w:p>
    <w:p w14:paraId="4A2336EE" w14:textId="7FD1B76E" w:rsidR="00DE1D03" w:rsidRPr="0059512A" w:rsidRDefault="00DE1D03" w:rsidP="0059512A">
      <w:pPr>
        <w:widowControl/>
        <w:spacing w:line="360" w:lineRule="auto"/>
        <w:ind w:firstLine="1440"/>
        <w:contextualSpacing/>
        <w:rPr>
          <w:sz w:val="26"/>
          <w:szCs w:val="26"/>
        </w:rPr>
      </w:pPr>
      <w:r w:rsidRPr="0059512A">
        <w:rPr>
          <w:sz w:val="26"/>
          <w:szCs w:val="26"/>
        </w:rPr>
        <w:t>In I&amp;E’s Reply to Citizens</w:t>
      </w:r>
      <w:r w:rsidR="00F850B2" w:rsidRPr="0059512A">
        <w:rPr>
          <w:sz w:val="26"/>
          <w:szCs w:val="26"/>
        </w:rPr>
        <w:t>’</w:t>
      </w:r>
      <w:r w:rsidRPr="0059512A">
        <w:rPr>
          <w:sz w:val="26"/>
          <w:szCs w:val="26"/>
        </w:rPr>
        <w:t xml:space="preserve"> Exception No. 2, I&amp;E states the ALJs appropriately accepted I&amp;E’s recommended $28,032 adjustment to Citizens’ FPFTY revenues based on I&amp;E’s adjustment to the Company’s projected FPFTY customer count.  I&amp;E notes Citizens’ states it gained seven customers between the eight-months of December 2018 to July 2019, and this amount does not account for the loss of 32 customers in East Lewisburg to PPL.  I&amp;E mentions Citizens</w:t>
      </w:r>
      <w:r w:rsidR="00F850B2" w:rsidRPr="0059512A">
        <w:rPr>
          <w:sz w:val="26"/>
          <w:szCs w:val="26"/>
        </w:rPr>
        <w:t>’</w:t>
      </w:r>
      <w:r w:rsidRPr="0059512A">
        <w:rPr>
          <w:sz w:val="26"/>
          <w:szCs w:val="26"/>
        </w:rPr>
        <w:t xml:space="preserve"> provided no basis for using an eight-month period to demonstrate its experience for the entire FTY.  Therefore I&amp;E declares the eight-month period should be rejected as an incomplete data point.  </w:t>
      </w:r>
      <w:r w:rsidR="00F850B2" w:rsidRPr="0059512A">
        <w:rPr>
          <w:sz w:val="26"/>
          <w:szCs w:val="26"/>
        </w:rPr>
        <w:t xml:space="preserve">I&amp;E </w:t>
      </w:r>
      <w:r w:rsidRPr="0059512A">
        <w:rPr>
          <w:sz w:val="26"/>
          <w:szCs w:val="26"/>
        </w:rPr>
        <w:t>R.</w:t>
      </w:r>
      <w:r w:rsidR="00F371E1">
        <w:rPr>
          <w:sz w:val="26"/>
          <w:szCs w:val="26"/>
        </w:rPr>
        <w:t> </w:t>
      </w:r>
      <w:r w:rsidRPr="0059512A">
        <w:rPr>
          <w:sz w:val="26"/>
          <w:szCs w:val="26"/>
        </w:rPr>
        <w:t xml:space="preserve">Exc. at 1.  Additionally, I&amp;E states the Company incorrectly claims the ALJs failed to recognize that I&amp;E’s historical data reflects the same declining growth as noted by Citizens’, noting the ALJs incorporated I&amp;E’s recommendation accounting for the 32 customers lost to PPL. </w:t>
      </w:r>
      <w:r w:rsidR="00F850B2" w:rsidRPr="0059512A">
        <w:rPr>
          <w:sz w:val="26"/>
          <w:szCs w:val="26"/>
        </w:rPr>
        <w:t xml:space="preserve"> I&amp;E</w:t>
      </w:r>
      <w:r w:rsidRPr="0059512A">
        <w:rPr>
          <w:sz w:val="26"/>
          <w:szCs w:val="26"/>
        </w:rPr>
        <w:t xml:space="preserve"> </w:t>
      </w:r>
      <w:bookmarkStart w:id="87" w:name="_Hlk37314464"/>
      <w:r w:rsidRPr="0059512A">
        <w:rPr>
          <w:sz w:val="26"/>
          <w:szCs w:val="26"/>
        </w:rPr>
        <w:t>R. Exc. at 2 (citing R.D. at 19).</w:t>
      </w:r>
      <w:bookmarkEnd w:id="87"/>
    </w:p>
    <w:p w14:paraId="43FF3495" w14:textId="77777777" w:rsidR="00DE1D03" w:rsidRPr="0059512A" w:rsidRDefault="00DE1D03" w:rsidP="0059512A">
      <w:pPr>
        <w:widowControl/>
        <w:spacing w:line="360" w:lineRule="auto"/>
        <w:ind w:firstLine="1440"/>
        <w:contextualSpacing/>
        <w:rPr>
          <w:sz w:val="26"/>
          <w:szCs w:val="26"/>
        </w:rPr>
      </w:pPr>
    </w:p>
    <w:p w14:paraId="5DD61FFF" w14:textId="69FB72A7" w:rsidR="000A62FE" w:rsidRPr="0059512A" w:rsidRDefault="00DE1D03" w:rsidP="0059512A">
      <w:pPr>
        <w:widowControl/>
        <w:spacing w:line="360" w:lineRule="auto"/>
        <w:ind w:firstLine="1440"/>
        <w:contextualSpacing/>
        <w:rPr>
          <w:sz w:val="26"/>
          <w:szCs w:val="26"/>
        </w:rPr>
      </w:pPr>
      <w:r w:rsidRPr="0059512A">
        <w:rPr>
          <w:sz w:val="26"/>
          <w:szCs w:val="26"/>
        </w:rPr>
        <w:t xml:space="preserve">I&amp;E observes that Citizens’ Exceptions cite the UCPC Annual Report, however I&amp;E notes the ALJs rejected both I&amp;E’s and Citizens’ reliance on studies.  </w:t>
      </w:r>
      <w:r w:rsidR="00F850B2" w:rsidRPr="0059512A">
        <w:rPr>
          <w:sz w:val="26"/>
          <w:szCs w:val="26"/>
        </w:rPr>
        <w:t xml:space="preserve">I&amp;E </w:t>
      </w:r>
      <w:r w:rsidRPr="0059512A">
        <w:rPr>
          <w:sz w:val="26"/>
          <w:szCs w:val="26"/>
        </w:rPr>
        <w:t>R. Exc. at 2 (citing R.D. at 21).  Further I&amp;E explains this report should not be relied on because it reflects Union County as a whole</w:t>
      </w:r>
      <w:r w:rsidR="007C1501" w:rsidRPr="0059512A">
        <w:rPr>
          <w:sz w:val="26"/>
          <w:szCs w:val="26"/>
        </w:rPr>
        <w:t>;</w:t>
      </w:r>
      <w:r w:rsidRPr="0059512A">
        <w:rPr>
          <w:sz w:val="26"/>
          <w:szCs w:val="26"/>
        </w:rPr>
        <w:t xml:space="preserve"> not Citizens’ specific service territory.  </w:t>
      </w:r>
      <w:r w:rsidR="00F850B2" w:rsidRPr="0059512A">
        <w:rPr>
          <w:sz w:val="26"/>
          <w:szCs w:val="26"/>
        </w:rPr>
        <w:t xml:space="preserve">I&amp;E </w:t>
      </w:r>
      <w:r w:rsidRPr="0059512A">
        <w:rPr>
          <w:sz w:val="26"/>
          <w:szCs w:val="26"/>
        </w:rPr>
        <w:t>R. Exc. at 2 (citing Tr. at 165).  I&amp;E also points out that Citizens</w:t>
      </w:r>
      <w:r w:rsidR="00F850B2" w:rsidRPr="0059512A">
        <w:rPr>
          <w:sz w:val="26"/>
          <w:szCs w:val="26"/>
        </w:rPr>
        <w:t>’</w:t>
      </w:r>
      <w:r w:rsidRPr="0059512A">
        <w:rPr>
          <w:sz w:val="26"/>
          <w:szCs w:val="26"/>
        </w:rPr>
        <w:t xml:space="preserve"> admits this report does not specifically show a decrease in permitted home construction for Citizens’ actual service territory.  </w:t>
      </w:r>
      <w:r w:rsidR="00F850B2" w:rsidRPr="0059512A">
        <w:rPr>
          <w:sz w:val="26"/>
          <w:szCs w:val="26"/>
        </w:rPr>
        <w:t xml:space="preserve">I&amp;E </w:t>
      </w:r>
      <w:r w:rsidRPr="0059512A">
        <w:rPr>
          <w:sz w:val="26"/>
          <w:szCs w:val="26"/>
        </w:rPr>
        <w:t xml:space="preserve">R. Exc. at 2 (citing Tr. at 165-166).  Additionally, the Union County Annual Report does not actually include any projected data. </w:t>
      </w:r>
      <w:r w:rsidR="00F850B2" w:rsidRPr="0059512A">
        <w:rPr>
          <w:sz w:val="26"/>
          <w:szCs w:val="26"/>
        </w:rPr>
        <w:t xml:space="preserve"> I&amp;E </w:t>
      </w:r>
      <w:r w:rsidRPr="0059512A">
        <w:rPr>
          <w:sz w:val="26"/>
          <w:szCs w:val="26"/>
        </w:rPr>
        <w:t xml:space="preserve">R. Exc. at 2 (citing Tr. at 166).  Citizens’ Exceptions further disagree with I&amp;E’s use of the Union </w:t>
      </w:r>
      <w:r w:rsidRPr="0059512A">
        <w:rPr>
          <w:sz w:val="26"/>
          <w:szCs w:val="26"/>
        </w:rPr>
        <w:lastRenderedPageBreak/>
        <w:t>County Housing Study’s projection of new housing units</w:t>
      </w:r>
      <w:r w:rsidR="00D149B2" w:rsidRPr="0059512A">
        <w:rPr>
          <w:sz w:val="26"/>
          <w:szCs w:val="26"/>
        </w:rPr>
        <w:t xml:space="preserve"> because it</w:t>
      </w:r>
      <w:r w:rsidRPr="0059512A">
        <w:rPr>
          <w:sz w:val="26"/>
          <w:szCs w:val="26"/>
        </w:rPr>
        <w:t xml:space="preserve"> does not equate to new construction.  I&amp;E explains</w:t>
      </w:r>
      <w:r w:rsidR="00D149B2" w:rsidRPr="0059512A">
        <w:rPr>
          <w:sz w:val="26"/>
          <w:szCs w:val="26"/>
        </w:rPr>
        <w:t xml:space="preserve"> that,</w:t>
      </w:r>
      <w:r w:rsidRPr="0059512A">
        <w:rPr>
          <w:sz w:val="26"/>
          <w:szCs w:val="26"/>
        </w:rPr>
        <w:t xml:space="preserve"> whether the units are new construction or occupancy of existing vacant housing, additional occupancy translates into additional customers for Citizens</w:t>
      </w:r>
      <w:r w:rsidR="00F850B2" w:rsidRPr="0059512A">
        <w:rPr>
          <w:sz w:val="26"/>
          <w:szCs w:val="26"/>
        </w:rPr>
        <w:t>’</w:t>
      </w:r>
      <w:r w:rsidRPr="0059512A">
        <w:rPr>
          <w:sz w:val="26"/>
          <w:szCs w:val="26"/>
        </w:rPr>
        <w:t>.</w:t>
      </w:r>
      <w:r w:rsidR="00F850B2" w:rsidRPr="0059512A">
        <w:rPr>
          <w:sz w:val="26"/>
          <w:szCs w:val="26"/>
        </w:rPr>
        <w:t xml:space="preserve">  I&amp;E</w:t>
      </w:r>
      <w:r w:rsidRPr="0059512A">
        <w:rPr>
          <w:sz w:val="26"/>
          <w:szCs w:val="26"/>
        </w:rPr>
        <w:t xml:space="preserve"> R. Exc. at 2-3.  I&amp;E also addresse</w:t>
      </w:r>
      <w:r w:rsidR="00D149B2" w:rsidRPr="0059512A">
        <w:rPr>
          <w:sz w:val="26"/>
          <w:szCs w:val="26"/>
        </w:rPr>
        <w:t>s</w:t>
      </w:r>
      <w:r w:rsidRPr="0059512A">
        <w:rPr>
          <w:sz w:val="26"/>
          <w:szCs w:val="26"/>
        </w:rPr>
        <w:t xml:space="preserve"> Citizens’ claim </w:t>
      </w:r>
      <w:r w:rsidR="00F850B2" w:rsidRPr="0059512A">
        <w:rPr>
          <w:sz w:val="26"/>
          <w:szCs w:val="26"/>
        </w:rPr>
        <w:t xml:space="preserve">that </w:t>
      </w:r>
      <w:r w:rsidRPr="0059512A">
        <w:rPr>
          <w:sz w:val="26"/>
          <w:szCs w:val="26"/>
        </w:rPr>
        <w:t xml:space="preserve">the ALJs failed to credit proper weight to the testimony of its witness Kelchner.  I&amp;E states Citizens’ correctly notes that the ALJs have the discretion to weigh witness testimony, and the ALJs did not find Mr. Kelchner’s testimony persuasive.  </w:t>
      </w:r>
      <w:r w:rsidR="00F850B2" w:rsidRPr="0059512A">
        <w:rPr>
          <w:sz w:val="26"/>
          <w:szCs w:val="26"/>
        </w:rPr>
        <w:t xml:space="preserve">I&amp;E </w:t>
      </w:r>
      <w:r w:rsidRPr="0059512A">
        <w:rPr>
          <w:sz w:val="26"/>
          <w:szCs w:val="26"/>
        </w:rPr>
        <w:t>R. Exc. at 3.</w:t>
      </w:r>
    </w:p>
    <w:p w14:paraId="6E6A500D" w14:textId="77777777" w:rsidR="00FD2A9D" w:rsidRPr="0059512A" w:rsidRDefault="00FD2A9D" w:rsidP="0059512A">
      <w:pPr>
        <w:widowControl/>
        <w:spacing w:line="360" w:lineRule="auto"/>
        <w:ind w:firstLine="1440"/>
        <w:contextualSpacing/>
        <w:rPr>
          <w:sz w:val="26"/>
          <w:szCs w:val="26"/>
        </w:rPr>
      </w:pPr>
    </w:p>
    <w:p w14:paraId="33570A42" w14:textId="77777777" w:rsidR="00DE1D03" w:rsidRPr="0059512A" w:rsidRDefault="00DE1D03" w:rsidP="0059512A">
      <w:pPr>
        <w:pStyle w:val="ListParagraph"/>
        <w:keepNext/>
        <w:widowControl/>
        <w:spacing w:line="360" w:lineRule="auto"/>
        <w:ind w:left="2160" w:hanging="720"/>
        <w:rPr>
          <w:b/>
          <w:bCs/>
          <w:sz w:val="26"/>
          <w:szCs w:val="26"/>
        </w:rPr>
      </w:pPr>
      <w:r w:rsidRPr="0059512A">
        <w:rPr>
          <w:b/>
          <w:bCs/>
          <w:sz w:val="26"/>
          <w:szCs w:val="26"/>
        </w:rPr>
        <w:t>d.</w:t>
      </w:r>
      <w:r w:rsidRPr="0059512A">
        <w:rPr>
          <w:b/>
          <w:bCs/>
          <w:sz w:val="26"/>
          <w:szCs w:val="26"/>
        </w:rPr>
        <w:tab/>
        <w:t>Disposition</w:t>
      </w:r>
    </w:p>
    <w:p w14:paraId="2D3151F5" w14:textId="77777777" w:rsidR="00DE1D03" w:rsidRPr="0059512A" w:rsidRDefault="00DE1D03" w:rsidP="0059512A">
      <w:pPr>
        <w:keepNext/>
        <w:widowControl/>
        <w:spacing w:line="360" w:lineRule="auto"/>
        <w:rPr>
          <w:sz w:val="26"/>
          <w:szCs w:val="26"/>
        </w:rPr>
      </w:pPr>
    </w:p>
    <w:p w14:paraId="14F917B0" w14:textId="65A73555" w:rsidR="00F3666C" w:rsidRPr="0059512A" w:rsidRDefault="00F3666C" w:rsidP="0059512A">
      <w:pPr>
        <w:keepNext/>
        <w:widowControl/>
        <w:spacing w:line="360" w:lineRule="auto"/>
        <w:ind w:firstLine="1440"/>
        <w:rPr>
          <w:sz w:val="26"/>
          <w:szCs w:val="26"/>
        </w:rPr>
      </w:pPr>
      <w:r w:rsidRPr="0059512A">
        <w:rPr>
          <w:sz w:val="26"/>
          <w:szCs w:val="26"/>
        </w:rPr>
        <w:t>We are in agreement with the ALJ</w:t>
      </w:r>
      <w:r w:rsidR="00B43C69" w:rsidRPr="0059512A">
        <w:rPr>
          <w:sz w:val="26"/>
          <w:szCs w:val="26"/>
        </w:rPr>
        <w:t>s</w:t>
      </w:r>
      <w:r w:rsidRPr="0059512A">
        <w:rPr>
          <w:sz w:val="26"/>
          <w:szCs w:val="26"/>
        </w:rPr>
        <w:t xml:space="preserve"> that</w:t>
      </w:r>
      <w:r w:rsidR="00B43C69" w:rsidRPr="0059512A">
        <w:rPr>
          <w:sz w:val="26"/>
          <w:szCs w:val="26"/>
        </w:rPr>
        <w:t xml:space="preserve"> the reasonable projection of customer growth</w:t>
      </w:r>
      <w:r w:rsidR="00CA240E" w:rsidRPr="0059512A">
        <w:rPr>
          <w:sz w:val="26"/>
          <w:szCs w:val="26"/>
        </w:rPr>
        <w:t xml:space="preserve"> based on</w:t>
      </w:r>
      <w:r w:rsidR="00B43C69" w:rsidRPr="0059512A">
        <w:rPr>
          <w:sz w:val="26"/>
          <w:szCs w:val="26"/>
        </w:rPr>
        <w:t xml:space="preserve"> I&amp;E’s </w:t>
      </w:r>
      <w:r w:rsidR="009A28A1" w:rsidRPr="0059512A">
        <w:rPr>
          <w:sz w:val="26"/>
          <w:szCs w:val="26"/>
        </w:rPr>
        <w:t>calculation, based on the average of</w:t>
      </w:r>
      <w:r w:rsidR="00B43C69" w:rsidRPr="0059512A">
        <w:rPr>
          <w:sz w:val="26"/>
          <w:szCs w:val="26"/>
        </w:rPr>
        <w:t xml:space="preserve"> actual known figures since 2015 is more persuasive than the Parties’ reliance on </w:t>
      </w:r>
      <w:r w:rsidR="00CA240E" w:rsidRPr="0059512A">
        <w:rPr>
          <w:sz w:val="26"/>
          <w:szCs w:val="26"/>
        </w:rPr>
        <w:t xml:space="preserve">studies.  </w:t>
      </w:r>
      <w:r w:rsidR="00712620" w:rsidRPr="0059512A">
        <w:rPr>
          <w:sz w:val="26"/>
          <w:szCs w:val="26"/>
        </w:rPr>
        <w:t xml:space="preserve">In order to reflect the level of customer growth or decline expected to occur during the FTY and FPFTY, </w:t>
      </w:r>
      <w:r w:rsidR="00D965E6" w:rsidRPr="0059512A">
        <w:rPr>
          <w:sz w:val="26"/>
          <w:szCs w:val="26"/>
        </w:rPr>
        <w:t>I&amp;E</w:t>
      </w:r>
      <w:r w:rsidR="00712620" w:rsidRPr="0059512A">
        <w:rPr>
          <w:sz w:val="26"/>
          <w:szCs w:val="26"/>
        </w:rPr>
        <w:t xml:space="preserve"> consider</w:t>
      </w:r>
      <w:r w:rsidR="00D965E6" w:rsidRPr="0059512A">
        <w:rPr>
          <w:sz w:val="26"/>
          <w:szCs w:val="26"/>
        </w:rPr>
        <w:t>ed</w:t>
      </w:r>
      <w:r w:rsidR="00712620" w:rsidRPr="0059512A">
        <w:rPr>
          <w:sz w:val="26"/>
          <w:szCs w:val="26"/>
        </w:rPr>
        <w:t xml:space="preserve"> actual customer fluctuations that have occurred historically over a recent three-year period, as well as the Company’s known changes.</w:t>
      </w:r>
    </w:p>
    <w:p w14:paraId="4B0231F0" w14:textId="08D7FFA5" w:rsidR="00F3666C" w:rsidRPr="0059512A" w:rsidRDefault="00F3666C" w:rsidP="0059512A">
      <w:pPr>
        <w:widowControl/>
        <w:spacing w:line="360" w:lineRule="auto"/>
        <w:rPr>
          <w:sz w:val="26"/>
          <w:szCs w:val="26"/>
        </w:rPr>
      </w:pPr>
    </w:p>
    <w:p w14:paraId="1FF17CB3" w14:textId="77F8EB8E" w:rsidR="001F7640" w:rsidRPr="0059512A" w:rsidRDefault="002D70CE" w:rsidP="0059512A">
      <w:pPr>
        <w:widowControl/>
        <w:spacing w:line="360" w:lineRule="auto"/>
        <w:ind w:firstLine="1440"/>
        <w:rPr>
          <w:sz w:val="26"/>
          <w:szCs w:val="26"/>
        </w:rPr>
      </w:pPr>
      <w:r w:rsidRPr="0059512A">
        <w:rPr>
          <w:sz w:val="26"/>
          <w:szCs w:val="26"/>
        </w:rPr>
        <w:t>Based on the evidence, we find I&amp;E’s adjustment to the Company’s claimed present rate revenues, based on I&amp;E’s projected customer counts for the FPFTY, to be reasonable.  Therefore</w:t>
      </w:r>
      <w:r w:rsidR="001F7640" w:rsidRPr="0059512A">
        <w:rPr>
          <w:sz w:val="26"/>
          <w:szCs w:val="26"/>
        </w:rPr>
        <w:t xml:space="preserve">, </w:t>
      </w:r>
      <w:r w:rsidRPr="0059512A">
        <w:rPr>
          <w:sz w:val="26"/>
          <w:szCs w:val="26"/>
        </w:rPr>
        <w:t xml:space="preserve">the Company’s </w:t>
      </w:r>
      <w:r w:rsidR="001F7640" w:rsidRPr="0059512A">
        <w:rPr>
          <w:sz w:val="26"/>
          <w:szCs w:val="26"/>
        </w:rPr>
        <w:t xml:space="preserve">rates </w:t>
      </w:r>
      <w:r w:rsidRPr="0059512A">
        <w:rPr>
          <w:sz w:val="26"/>
          <w:szCs w:val="26"/>
        </w:rPr>
        <w:t xml:space="preserve">shall </w:t>
      </w:r>
      <w:r w:rsidR="001F7640" w:rsidRPr="0059512A">
        <w:rPr>
          <w:sz w:val="26"/>
          <w:szCs w:val="26"/>
        </w:rPr>
        <w:t xml:space="preserve">be designed based upon the usage billing determinants set forth in Citizens’ Exhibit_(HSG-1), Schedule </w:t>
      </w:r>
      <w:r w:rsidR="001E213B" w:rsidRPr="0059512A">
        <w:rPr>
          <w:sz w:val="26"/>
          <w:szCs w:val="26"/>
        </w:rPr>
        <w:t>B3-1</w:t>
      </w:r>
      <w:r w:rsidR="001F7640" w:rsidRPr="0059512A">
        <w:rPr>
          <w:sz w:val="26"/>
          <w:szCs w:val="26"/>
        </w:rPr>
        <w:t xml:space="preserve"> and upon t</w:t>
      </w:r>
      <w:r w:rsidR="00750FA4" w:rsidRPr="0059512A">
        <w:rPr>
          <w:sz w:val="26"/>
          <w:szCs w:val="26"/>
        </w:rPr>
        <w:t>he</w:t>
      </w:r>
      <w:r w:rsidR="001F7640" w:rsidRPr="0059512A">
        <w:rPr>
          <w:sz w:val="26"/>
          <w:szCs w:val="26"/>
        </w:rPr>
        <w:t xml:space="preserve"> customer counts reflected in</w:t>
      </w:r>
      <w:r w:rsidR="00750FA4" w:rsidRPr="0059512A">
        <w:rPr>
          <w:sz w:val="26"/>
          <w:szCs w:val="26"/>
        </w:rPr>
        <w:t xml:space="preserve"> Schedule 2 of</w:t>
      </w:r>
      <w:r w:rsidR="001F7640" w:rsidRPr="0059512A">
        <w:rPr>
          <w:sz w:val="26"/>
          <w:szCs w:val="26"/>
        </w:rPr>
        <w:t xml:space="preserve"> I&amp;E Exhibit No. </w:t>
      </w:r>
      <w:r w:rsidR="00750FA4" w:rsidRPr="0059512A">
        <w:rPr>
          <w:sz w:val="26"/>
          <w:szCs w:val="26"/>
        </w:rPr>
        <w:t>3-SR</w:t>
      </w:r>
      <w:r w:rsidR="002909AF" w:rsidRPr="0059512A">
        <w:rPr>
          <w:sz w:val="26"/>
          <w:szCs w:val="26"/>
        </w:rPr>
        <w:t>.</w:t>
      </w:r>
      <w:r w:rsidR="002909AF" w:rsidRPr="0059512A">
        <w:rPr>
          <w:rStyle w:val="FootnoteReference"/>
          <w:sz w:val="26"/>
          <w:szCs w:val="26"/>
        </w:rPr>
        <w:footnoteReference w:id="11"/>
      </w:r>
      <w:r w:rsidR="00297030" w:rsidRPr="0059512A">
        <w:rPr>
          <w:sz w:val="26"/>
          <w:szCs w:val="26"/>
        </w:rPr>
        <w:t xml:space="preserve">  </w:t>
      </w:r>
      <w:r w:rsidRPr="0059512A">
        <w:rPr>
          <w:sz w:val="26"/>
          <w:szCs w:val="26"/>
        </w:rPr>
        <w:t>Accordingly, we shall adopt the ALJ</w:t>
      </w:r>
      <w:r w:rsidR="002909AF" w:rsidRPr="0059512A">
        <w:rPr>
          <w:sz w:val="26"/>
          <w:szCs w:val="26"/>
        </w:rPr>
        <w:t>s’</w:t>
      </w:r>
      <w:r w:rsidRPr="0059512A">
        <w:rPr>
          <w:sz w:val="26"/>
          <w:szCs w:val="26"/>
        </w:rPr>
        <w:t xml:space="preserve"> recommendation and deny the Exception filed by Citizens’ on this particular issue.</w:t>
      </w:r>
    </w:p>
    <w:p w14:paraId="50725DEC" w14:textId="3B2F6225" w:rsidR="00DA2034" w:rsidRPr="0059512A" w:rsidRDefault="00DA2034" w:rsidP="0059512A">
      <w:pPr>
        <w:pStyle w:val="Heading2"/>
        <w:widowControl/>
      </w:pPr>
      <w:bookmarkStart w:id="88" w:name="_Toc38629281"/>
      <w:r w:rsidRPr="0059512A">
        <w:lastRenderedPageBreak/>
        <w:t>Expenses</w:t>
      </w:r>
      <w:bookmarkEnd w:id="88"/>
    </w:p>
    <w:p w14:paraId="23D4F159" w14:textId="77777777" w:rsidR="005F28A1" w:rsidRPr="0059512A" w:rsidRDefault="005F28A1" w:rsidP="0059512A">
      <w:pPr>
        <w:keepNext/>
        <w:keepLines/>
        <w:widowControl/>
        <w:spacing w:line="360" w:lineRule="auto"/>
        <w:rPr>
          <w:sz w:val="26"/>
          <w:szCs w:val="26"/>
        </w:rPr>
      </w:pPr>
    </w:p>
    <w:p w14:paraId="43746A31" w14:textId="1D7D9A38" w:rsidR="005F28A1" w:rsidRPr="0059512A" w:rsidRDefault="005F28A1" w:rsidP="0059512A">
      <w:pPr>
        <w:keepNext/>
        <w:keepLines/>
        <w:widowControl/>
        <w:spacing w:line="360" w:lineRule="auto"/>
        <w:ind w:firstLine="1440"/>
        <w:contextualSpacing/>
        <w:textAlignment w:val="baseline"/>
        <w:rPr>
          <w:color w:val="000000"/>
          <w:sz w:val="26"/>
          <w:szCs w:val="26"/>
        </w:rPr>
      </w:pPr>
      <w:r w:rsidRPr="0059512A">
        <w:rPr>
          <w:color w:val="000000"/>
          <w:sz w:val="26"/>
          <w:szCs w:val="26"/>
        </w:rPr>
        <w:t xml:space="preserve">A regulated utility is entitled to recover in its rates all legitimate expenses incurred in the rendition of its public utility service. </w:t>
      </w:r>
      <w:r w:rsidRPr="0059512A">
        <w:rPr>
          <w:i/>
          <w:color w:val="000000"/>
          <w:sz w:val="26"/>
          <w:szCs w:val="26"/>
        </w:rPr>
        <w:t>UGI Corp. v. Pa. PUC</w:t>
      </w:r>
      <w:r w:rsidRPr="00E63ABF">
        <w:rPr>
          <w:iCs/>
          <w:color w:val="000000"/>
          <w:sz w:val="26"/>
          <w:szCs w:val="26"/>
        </w:rPr>
        <w:t>,</w:t>
      </w:r>
      <w:r w:rsidRPr="0059512A">
        <w:rPr>
          <w:i/>
          <w:color w:val="000000"/>
          <w:sz w:val="26"/>
          <w:szCs w:val="26"/>
        </w:rPr>
        <w:t xml:space="preserve"> </w:t>
      </w:r>
      <w:r w:rsidRPr="0059512A">
        <w:rPr>
          <w:color w:val="000000"/>
          <w:sz w:val="26"/>
          <w:szCs w:val="26"/>
        </w:rPr>
        <w:t xml:space="preserve">410 A.2d 923, 932 (Pa. Cmwlth. 1980).  Generally, utilities are permitted to set rates which will recover those operating expenses reasonably necessary to provide service to customers, while earning a fair rate of return on the investment in plant used and useful in providing adequate utility service.  </w:t>
      </w:r>
      <w:r w:rsidRPr="0059512A">
        <w:rPr>
          <w:i/>
          <w:color w:val="000000"/>
          <w:sz w:val="26"/>
          <w:szCs w:val="26"/>
        </w:rPr>
        <w:t>Western Pennsylvania Water Company v.</w:t>
      </w:r>
      <w:r w:rsidR="007222B0" w:rsidRPr="0059512A">
        <w:rPr>
          <w:i/>
          <w:color w:val="000000"/>
          <w:sz w:val="26"/>
          <w:szCs w:val="26"/>
        </w:rPr>
        <w:t xml:space="preserve"> Pa.</w:t>
      </w:r>
      <w:r w:rsidRPr="0059512A">
        <w:rPr>
          <w:i/>
          <w:color w:val="000000"/>
          <w:sz w:val="26"/>
          <w:szCs w:val="26"/>
        </w:rPr>
        <w:t xml:space="preserve"> PUC</w:t>
      </w:r>
      <w:r w:rsidRPr="0059512A">
        <w:rPr>
          <w:color w:val="000000"/>
          <w:sz w:val="26"/>
          <w:szCs w:val="26"/>
        </w:rPr>
        <w:t xml:space="preserve">, 422 A.2d 906, 908 (Pa. Cmwlth. 1980).  The objective evaluation of reasonableness is whether the record provides substantial evidence to objectively determine whether the expense is prudently incurred.  </w:t>
      </w:r>
      <w:r w:rsidRPr="0059512A">
        <w:rPr>
          <w:i/>
          <w:color w:val="000000"/>
          <w:sz w:val="26"/>
          <w:szCs w:val="26"/>
        </w:rPr>
        <w:t>Popowsky v. Pa. PUC</w:t>
      </w:r>
      <w:r w:rsidRPr="0059512A">
        <w:rPr>
          <w:color w:val="000000"/>
          <w:sz w:val="26"/>
          <w:szCs w:val="26"/>
        </w:rPr>
        <w:t xml:space="preserve">, 674 A.2d 1149, 1153-54 (Pa. Cmwlth. 1996).  </w:t>
      </w:r>
    </w:p>
    <w:p w14:paraId="7EF2A6BD" w14:textId="636C6501" w:rsidR="00DA2034" w:rsidRPr="0059512A" w:rsidRDefault="00DA2034" w:rsidP="0059512A">
      <w:pPr>
        <w:widowControl/>
        <w:spacing w:line="360" w:lineRule="auto"/>
        <w:rPr>
          <w:sz w:val="26"/>
          <w:szCs w:val="26"/>
        </w:rPr>
      </w:pPr>
    </w:p>
    <w:p w14:paraId="78392634" w14:textId="70AC118B" w:rsidR="005F28A1" w:rsidRPr="0059512A" w:rsidRDefault="005F28A1" w:rsidP="0059512A">
      <w:pPr>
        <w:pStyle w:val="Heading3"/>
        <w:keepNext/>
        <w:numPr>
          <w:ilvl w:val="0"/>
          <w:numId w:val="27"/>
        </w:numPr>
        <w:ind w:left="1440" w:hanging="720"/>
      </w:pPr>
      <w:bookmarkStart w:id="89" w:name="_Toc38629282"/>
      <w:bookmarkStart w:id="90" w:name="_Hlk35843695"/>
      <w:bookmarkStart w:id="91" w:name="_Hlk29451252"/>
      <w:r w:rsidRPr="0059512A">
        <w:t>Inflation Adjustment</w:t>
      </w:r>
      <w:bookmarkEnd w:id="89"/>
    </w:p>
    <w:bookmarkEnd w:id="90"/>
    <w:p w14:paraId="13630A60" w14:textId="3350711B" w:rsidR="005F28A1" w:rsidRPr="0059512A" w:rsidRDefault="005F28A1" w:rsidP="0059512A">
      <w:pPr>
        <w:keepNext/>
        <w:widowControl/>
        <w:spacing w:line="360" w:lineRule="auto"/>
        <w:rPr>
          <w:sz w:val="26"/>
          <w:szCs w:val="26"/>
        </w:rPr>
      </w:pPr>
    </w:p>
    <w:p w14:paraId="19BD1394" w14:textId="77777777" w:rsidR="00674E4E" w:rsidRPr="0059512A" w:rsidRDefault="00674E4E" w:rsidP="0059512A">
      <w:pPr>
        <w:keepNext/>
        <w:widowControl/>
        <w:spacing w:line="360" w:lineRule="auto"/>
        <w:ind w:firstLine="1440"/>
        <w:rPr>
          <w:rFonts w:eastAsiaTheme="minorHAnsi"/>
          <w:sz w:val="26"/>
          <w:szCs w:val="26"/>
        </w:rPr>
      </w:pPr>
      <w:r w:rsidRPr="0059512A">
        <w:rPr>
          <w:rFonts w:eastAsiaTheme="minorHAnsi"/>
          <w:sz w:val="26"/>
          <w:szCs w:val="26"/>
        </w:rPr>
        <w:t>In developing its expense claims, the Company analyzed HTY actual costs and the FTY budget and developed projected costs for the FPFTY.  The Company also added a 3% wage, salary, and benefit inflation adjustment and other known adjustments to the O&amp;M accounts in its FTY budget.</w:t>
      </w:r>
      <w:r w:rsidRPr="0059512A">
        <w:rPr>
          <w:rFonts w:eastAsiaTheme="minorHAnsi"/>
          <w:bCs/>
          <w:sz w:val="26"/>
          <w:szCs w:val="26"/>
        </w:rPr>
        <w:t xml:space="preserve">  </w:t>
      </w:r>
      <w:r w:rsidRPr="0059512A">
        <w:rPr>
          <w:rFonts w:eastAsiaTheme="minorHAnsi"/>
          <w:sz w:val="26"/>
          <w:szCs w:val="26"/>
        </w:rPr>
        <w:t xml:space="preserve">Citizens’ M.B. at 37.  </w:t>
      </w:r>
    </w:p>
    <w:p w14:paraId="300FF8F1" w14:textId="77777777" w:rsidR="00674E4E" w:rsidRPr="0059512A" w:rsidRDefault="00674E4E" w:rsidP="0059512A">
      <w:pPr>
        <w:widowControl/>
        <w:spacing w:line="360" w:lineRule="auto"/>
        <w:rPr>
          <w:sz w:val="26"/>
          <w:szCs w:val="26"/>
        </w:rPr>
      </w:pPr>
    </w:p>
    <w:p w14:paraId="062AEBEC" w14:textId="3BC32220" w:rsidR="005F28A1" w:rsidRPr="0059512A" w:rsidRDefault="00D323D0" w:rsidP="0059512A">
      <w:pPr>
        <w:pStyle w:val="ListParagraph"/>
        <w:keepNext/>
        <w:widowControl/>
        <w:spacing w:line="360" w:lineRule="auto"/>
        <w:ind w:left="2160" w:hanging="720"/>
        <w:rPr>
          <w:b/>
          <w:bCs/>
          <w:sz w:val="26"/>
          <w:szCs w:val="26"/>
        </w:rPr>
      </w:pPr>
      <w:bookmarkStart w:id="92" w:name="_Hlk37324684"/>
      <w:bookmarkStart w:id="93" w:name="_Hlk35843614"/>
      <w:bookmarkEnd w:id="91"/>
      <w:r w:rsidRPr="0059512A">
        <w:rPr>
          <w:b/>
          <w:bCs/>
          <w:sz w:val="26"/>
          <w:szCs w:val="26"/>
        </w:rPr>
        <w:t>a.</w:t>
      </w:r>
      <w:r w:rsidRPr="0059512A">
        <w:rPr>
          <w:b/>
          <w:bCs/>
          <w:sz w:val="26"/>
          <w:szCs w:val="26"/>
        </w:rPr>
        <w:tab/>
      </w:r>
      <w:r w:rsidR="005F28A1" w:rsidRPr="0059512A">
        <w:rPr>
          <w:b/>
          <w:bCs/>
          <w:sz w:val="26"/>
          <w:szCs w:val="26"/>
        </w:rPr>
        <w:t>Positions of the P</w:t>
      </w:r>
      <w:r w:rsidR="001C0238" w:rsidRPr="0059512A">
        <w:rPr>
          <w:b/>
          <w:bCs/>
          <w:sz w:val="26"/>
          <w:szCs w:val="26"/>
        </w:rPr>
        <w:t>arties</w:t>
      </w:r>
    </w:p>
    <w:bookmarkEnd w:id="92"/>
    <w:p w14:paraId="287E331B" w14:textId="5E6B0480" w:rsidR="002826C5" w:rsidRPr="0059512A" w:rsidRDefault="002826C5" w:rsidP="0059512A">
      <w:pPr>
        <w:keepNext/>
        <w:widowControl/>
        <w:spacing w:line="360" w:lineRule="auto"/>
        <w:ind w:left="720"/>
        <w:rPr>
          <w:b/>
          <w:bCs/>
          <w:sz w:val="26"/>
          <w:szCs w:val="26"/>
        </w:rPr>
      </w:pPr>
    </w:p>
    <w:p w14:paraId="4C96D489" w14:textId="16674D80" w:rsidR="00674E4E" w:rsidRPr="0059512A" w:rsidRDefault="00674E4E" w:rsidP="0059512A">
      <w:pPr>
        <w:keepNext/>
        <w:widowControl/>
        <w:spacing w:line="360" w:lineRule="auto"/>
        <w:ind w:firstLine="1440"/>
        <w:contextualSpacing/>
        <w:rPr>
          <w:rFonts w:eastAsiaTheme="minorHAnsi"/>
          <w:sz w:val="26"/>
          <w:szCs w:val="26"/>
        </w:rPr>
      </w:pPr>
      <w:r w:rsidRPr="0059512A">
        <w:rPr>
          <w:rFonts w:eastAsiaTheme="minorHAnsi"/>
          <w:sz w:val="26"/>
          <w:szCs w:val="26"/>
        </w:rPr>
        <w:t xml:space="preserve">The Company contended that its use of an inflation adjustment is a realistic and conservative projection of its FPFTY increase in O&amp;M expenses.  Arguing that growth in costs cannot be known with certainty but can be reasonably estimated, Citizen’s asserted that historic O&amp;M expenses showed a greater </w:t>
      </w:r>
      <w:bookmarkStart w:id="94" w:name="_Hlk29357648"/>
      <w:r w:rsidRPr="0059512A">
        <w:rPr>
          <w:rFonts w:eastAsiaTheme="minorHAnsi"/>
          <w:sz w:val="26"/>
          <w:szCs w:val="26"/>
        </w:rPr>
        <w:t>than 3% increase every year from 2012 to 2018.</w:t>
      </w:r>
      <w:bookmarkEnd w:id="94"/>
      <w:r w:rsidRPr="0059512A">
        <w:rPr>
          <w:rFonts w:eastAsiaTheme="minorHAnsi"/>
          <w:sz w:val="26"/>
          <w:szCs w:val="26"/>
        </w:rPr>
        <w:t xml:space="preserve">  Citizens’ Exh._(HSG-1), Sch. C1-1 at 2.  In preparing its fiscal year 2020 budget, Citizens’ expected expenses to increase by over 3% from 2019 to </w:t>
      </w:r>
      <w:r w:rsidRPr="0059512A">
        <w:rPr>
          <w:rFonts w:eastAsiaTheme="minorHAnsi"/>
          <w:sz w:val="26"/>
          <w:szCs w:val="26"/>
        </w:rPr>
        <w:lastRenderedPageBreak/>
        <w:t xml:space="preserve">2020, with significantly higher increases in some areas being offset by management’s efforts to manage costs.  Citizens’ St. 4-R at 4.  </w:t>
      </w:r>
    </w:p>
    <w:p w14:paraId="516460E3" w14:textId="77777777" w:rsidR="00674E4E" w:rsidRPr="0059512A" w:rsidRDefault="00674E4E" w:rsidP="0059512A">
      <w:pPr>
        <w:widowControl/>
        <w:spacing w:line="360" w:lineRule="auto"/>
        <w:ind w:firstLine="1440"/>
        <w:contextualSpacing/>
        <w:rPr>
          <w:rFonts w:eastAsiaTheme="minorHAnsi"/>
          <w:sz w:val="26"/>
          <w:szCs w:val="26"/>
        </w:rPr>
      </w:pPr>
    </w:p>
    <w:p w14:paraId="14BC7140" w14:textId="5E232465" w:rsidR="00674E4E" w:rsidRPr="0059512A" w:rsidRDefault="00674E4E" w:rsidP="0059512A">
      <w:pPr>
        <w:widowControl/>
        <w:spacing w:line="360" w:lineRule="auto"/>
        <w:ind w:firstLine="1440"/>
        <w:contextualSpacing/>
        <w:rPr>
          <w:rFonts w:eastAsiaTheme="minorHAnsi"/>
          <w:sz w:val="26"/>
          <w:szCs w:val="26"/>
        </w:rPr>
      </w:pPr>
      <w:r w:rsidRPr="0059512A">
        <w:rPr>
          <w:rFonts w:eastAsiaTheme="minorHAnsi"/>
          <w:sz w:val="26"/>
          <w:szCs w:val="26"/>
        </w:rPr>
        <w:t>Citizens’ argued that its use of the Producer Price Index (PPI) as a guideline in forming its 3% inflation projection was reasonable because the Company’s historical year-to-year O&amp;M expense escalations, projected expense increases, and budgeted 2020 expenses indicate that overall O&amp;M expenses will increase by at least</w:t>
      </w:r>
      <w:r w:rsidRPr="0059512A">
        <w:rPr>
          <w:rFonts w:eastAsiaTheme="minorHAnsi"/>
          <w:i/>
          <w:iCs/>
          <w:sz w:val="26"/>
          <w:szCs w:val="26"/>
        </w:rPr>
        <w:t xml:space="preserve"> </w:t>
      </w:r>
      <w:r w:rsidRPr="0059512A">
        <w:rPr>
          <w:rFonts w:eastAsiaTheme="minorHAnsi"/>
          <w:sz w:val="26"/>
          <w:szCs w:val="26"/>
        </w:rPr>
        <w:t xml:space="preserve">3%.  Citizens’ M.B. at 42-47. </w:t>
      </w:r>
    </w:p>
    <w:p w14:paraId="053831BA" w14:textId="77777777" w:rsidR="00774F08" w:rsidRPr="0059512A" w:rsidRDefault="00774F08" w:rsidP="0059512A">
      <w:pPr>
        <w:widowControl/>
        <w:spacing w:line="360" w:lineRule="auto"/>
        <w:ind w:firstLine="1440"/>
        <w:contextualSpacing/>
        <w:rPr>
          <w:rFonts w:eastAsiaTheme="minorHAnsi"/>
          <w:sz w:val="26"/>
          <w:szCs w:val="26"/>
        </w:rPr>
      </w:pPr>
    </w:p>
    <w:p w14:paraId="1C515AE0" w14:textId="23AC902C" w:rsidR="00674E4E" w:rsidRPr="0059512A" w:rsidRDefault="00674E4E" w:rsidP="0059512A">
      <w:pPr>
        <w:widowControl/>
        <w:spacing w:line="360" w:lineRule="auto"/>
        <w:ind w:firstLine="1440"/>
        <w:rPr>
          <w:rFonts w:eastAsiaTheme="minorHAnsi"/>
          <w:sz w:val="26"/>
          <w:szCs w:val="26"/>
        </w:rPr>
      </w:pPr>
      <w:r w:rsidRPr="0059512A">
        <w:rPr>
          <w:rFonts w:eastAsiaTheme="minorHAnsi"/>
          <w:sz w:val="26"/>
          <w:szCs w:val="26"/>
        </w:rPr>
        <w:t>Citizens’ asserted that the Commission has recognized the use of inflation factors in projecting costs.  The Company also argued that its use of a 3% inflation rate aligns with the Commission’s purposes as set forth in Act 11 in establishing the FPFTY as a ratemaking tool and criticized the OCA’s position of removing the inflation adjustment because it assumed no cost increases from the FTY to the FPFTY.</w:t>
      </w:r>
      <w:r w:rsidRPr="0059512A">
        <w:rPr>
          <w:rFonts w:eastAsiaTheme="minorHAnsi"/>
          <w:sz w:val="26"/>
          <w:szCs w:val="26"/>
          <w:vertAlign w:val="superscript"/>
        </w:rPr>
        <w:t xml:space="preserve"> </w:t>
      </w:r>
      <w:r w:rsidRPr="0059512A">
        <w:rPr>
          <w:rFonts w:eastAsiaTheme="minorHAnsi"/>
          <w:sz w:val="26"/>
          <w:szCs w:val="26"/>
        </w:rPr>
        <w:t xml:space="preserve"> Citizens’ M.B. at 45 (citing, in part, </w:t>
      </w:r>
      <w:bookmarkStart w:id="95" w:name="_Hlk28360255"/>
      <w:r w:rsidRPr="0059512A">
        <w:rPr>
          <w:rFonts w:eastAsiaTheme="minorHAnsi"/>
          <w:i/>
          <w:iCs/>
          <w:sz w:val="26"/>
          <w:szCs w:val="26"/>
        </w:rPr>
        <w:t>Pa. PUC v. Pennsylvania-American Water Co.</w:t>
      </w:r>
      <w:r w:rsidRPr="0059512A">
        <w:rPr>
          <w:rFonts w:eastAsiaTheme="minorHAnsi"/>
          <w:sz w:val="26"/>
          <w:szCs w:val="26"/>
        </w:rPr>
        <w:t>, Docket Nos. R-00038304,</w:t>
      </w:r>
      <w:r w:rsidRPr="0059512A">
        <w:rPr>
          <w:rFonts w:eastAsiaTheme="minorHAnsi"/>
          <w:i/>
          <w:iCs/>
          <w:sz w:val="26"/>
          <w:szCs w:val="26"/>
        </w:rPr>
        <w:t xml:space="preserve"> et al.</w:t>
      </w:r>
      <w:r w:rsidRPr="0059512A">
        <w:rPr>
          <w:rFonts w:eastAsiaTheme="minorHAnsi"/>
          <w:sz w:val="26"/>
          <w:szCs w:val="26"/>
        </w:rPr>
        <w:t xml:space="preserve"> (Order entered Jan. 29, 2004) at 35, </w:t>
      </w:r>
      <w:r w:rsidRPr="0059512A">
        <w:rPr>
          <w:rFonts w:eastAsiaTheme="minorHAnsi"/>
          <w:i/>
          <w:iCs/>
          <w:sz w:val="26"/>
          <w:szCs w:val="26"/>
        </w:rPr>
        <w:t>aff’d</w:t>
      </w:r>
      <w:r w:rsidRPr="0059512A">
        <w:rPr>
          <w:rFonts w:eastAsiaTheme="minorHAnsi"/>
          <w:sz w:val="26"/>
          <w:szCs w:val="26"/>
        </w:rPr>
        <w:t xml:space="preserve">, </w:t>
      </w:r>
      <w:r w:rsidRPr="0059512A">
        <w:rPr>
          <w:rFonts w:eastAsiaTheme="minorHAnsi"/>
          <w:i/>
          <w:iCs/>
          <w:sz w:val="26"/>
          <w:szCs w:val="26"/>
        </w:rPr>
        <w:t>Popowsky v. Pa. PUC</w:t>
      </w:r>
      <w:r w:rsidRPr="0059512A">
        <w:rPr>
          <w:rFonts w:eastAsiaTheme="minorHAnsi"/>
          <w:sz w:val="26"/>
          <w:szCs w:val="26"/>
        </w:rPr>
        <w:t>, 868</w:t>
      </w:r>
      <w:r w:rsidR="00E63ABF">
        <w:rPr>
          <w:rFonts w:eastAsiaTheme="minorHAnsi"/>
          <w:sz w:val="26"/>
          <w:szCs w:val="26"/>
        </w:rPr>
        <w:t> </w:t>
      </w:r>
      <w:r w:rsidRPr="0059512A">
        <w:rPr>
          <w:rFonts w:eastAsiaTheme="minorHAnsi"/>
          <w:sz w:val="26"/>
          <w:szCs w:val="26"/>
        </w:rPr>
        <w:t>A.2d 606 (Pa. Cmwlth. 2004)</w:t>
      </w:r>
      <w:bookmarkEnd w:id="95"/>
      <w:r w:rsidRPr="0059512A">
        <w:rPr>
          <w:rFonts w:eastAsiaTheme="minorHAnsi"/>
          <w:sz w:val="26"/>
          <w:szCs w:val="26"/>
        </w:rPr>
        <w:t xml:space="preserve">).  </w:t>
      </w:r>
    </w:p>
    <w:p w14:paraId="781806CF" w14:textId="77777777" w:rsidR="00674E4E" w:rsidRPr="0059512A" w:rsidRDefault="00674E4E" w:rsidP="0059512A">
      <w:pPr>
        <w:widowControl/>
        <w:spacing w:line="360" w:lineRule="auto"/>
        <w:ind w:firstLine="1440"/>
        <w:rPr>
          <w:rFonts w:eastAsiaTheme="minorHAnsi"/>
          <w:sz w:val="26"/>
          <w:szCs w:val="26"/>
        </w:rPr>
      </w:pPr>
    </w:p>
    <w:p w14:paraId="4CCA1F52" w14:textId="0BF1E3AF" w:rsidR="00674E4E" w:rsidRPr="0059512A" w:rsidRDefault="00674E4E" w:rsidP="0059512A">
      <w:pPr>
        <w:widowControl/>
        <w:spacing w:line="360" w:lineRule="auto"/>
        <w:ind w:firstLine="1440"/>
        <w:rPr>
          <w:rFonts w:eastAsiaTheme="minorHAnsi"/>
          <w:sz w:val="26"/>
          <w:szCs w:val="26"/>
        </w:rPr>
      </w:pPr>
      <w:r w:rsidRPr="0059512A">
        <w:rPr>
          <w:rFonts w:eastAsiaTheme="minorHAnsi"/>
          <w:sz w:val="26"/>
          <w:szCs w:val="26"/>
        </w:rPr>
        <w:t xml:space="preserve">The OCA objected to the use of a 3% inflation adjustment arguing that the proposed adjustments are not actually known and measurable.  The OCA asserted that such blanket adjustments or increases do not directly relate to actual costs expected to be incurred by the Company in the period in which rates are set.  The OCA also proffered that across-the-board inflation factors, or attrition adjustments, should not be used to establish rates because they are speculative in nature.  Additionally, the OCA argued that a utility cannot meet its burden of proof, per 66 Pa. C.S. § 315(a), by applying the inflation to all its costs because there is no way to assess the reasonableness of the FPFTY expenses relative to HTY or the FTY expenses.  OCA M.B. at 21-24 (citing, in part, </w:t>
      </w:r>
      <w:r w:rsidRPr="0059512A">
        <w:rPr>
          <w:rFonts w:eastAsiaTheme="minorHAnsi"/>
          <w:i/>
          <w:iCs/>
          <w:sz w:val="26"/>
          <w:szCs w:val="26"/>
        </w:rPr>
        <w:t>Pa. PUC v. Philadelphia Gas Works</w:t>
      </w:r>
      <w:r w:rsidRPr="0059512A">
        <w:rPr>
          <w:rFonts w:eastAsiaTheme="minorHAnsi"/>
          <w:sz w:val="26"/>
          <w:szCs w:val="26"/>
        </w:rPr>
        <w:t xml:space="preserve">, Docket Nos. R-00061931, </w:t>
      </w:r>
      <w:r w:rsidRPr="0059512A">
        <w:rPr>
          <w:rFonts w:eastAsiaTheme="minorHAnsi"/>
          <w:i/>
          <w:iCs/>
          <w:sz w:val="26"/>
          <w:szCs w:val="26"/>
        </w:rPr>
        <w:t>et al.</w:t>
      </w:r>
      <w:r w:rsidRPr="0059512A">
        <w:rPr>
          <w:rFonts w:eastAsiaTheme="minorHAnsi"/>
          <w:sz w:val="26"/>
          <w:szCs w:val="26"/>
        </w:rPr>
        <w:t>, 2007 Pa. PUC LEXIS 45 (Order entered Sept. 28, 2007) (</w:t>
      </w:r>
      <w:r w:rsidRPr="0059512A">
        <w:rPr>
          <w:rFonts w:eastAsiaTheme="minorHAnsi"/>
          <w:i/>
          <w:iCs/>
          <w:sz w:val="26"/>
          <w:szCs w:val="26"/>
        </w:rPr>
        <w:t>PGW</w:t>
      </w:r>
      <w:r w:rsidRPr="0059512A">
        <w:rPr>
          <w:rFonts w:eastAsiaTheme="minorHAnsi"/>
          <w:sz w:val="26"/>
          <w:szCs w:val="26"/>
        </w:rPr>
        <w:t>)</w:t>
      </w:r>
      <w:r w:rsidR="00D149B2" w:rsidRPr="0059512A">
        <w:rPr>
          <w:rFonts w:eastAsiaTheme="minorHAnsi"/>
          <w:sz w:val="26"/>
          <w:szCs w:val="26"/>
        </w:rPr>
        <w:t>)</w:t>
      </w:r>
      <w:r w:rsidRPr="0059512A">
        <w:rPr>
          <w:rFonts w:eastAsiaTheme="minorHAnsi"/>
          <w:sz w:val="26"/>
          <w:szCs w:val="26"/>
        </w:rPr>
        <w:t>.</w:t>
      </w:r>
    </w:p>
    <w:p w14:paraId="53AEF8EB" w14:textId="6E509D10" w:rsidR="00674E4E" w:rsidRPr="0059512A" w:rsidRDefault="00674E4E" w:rsidP="0059512A">
      <w:pPr>
        <w:pStyle w:val="ListParagraph"/>
        <w:widowControl/>
        <w:spacing w:line="360" w:lineRule="auto"/>
        <w:ind w:left="0" w:firstLine="1440"/>
        <w:rPr>
          <w:rFonts w:eastAsiaTheme="minorHAnsi"/>
          <w:sz w:val="26"/>
          <w:szCs w:val="26"/>
        </w:rPr>
      </w:pPr>
      <w:r w:rsidRPr="0059512A">
        <w:rPr>
          <w:rFonts w:eastAsiaTheme="minorHAnsi"/>
          <w:bCs/>
          <w:sz w:val="26"/>
          <w:szCs w:val="26"/>
        </w:rPr>
        <w:lastRenderedPageBreak/>
        <w:t xml:space="preserve">Regarding the Company’s proposal to use PPI in forming the inflation adjustment, the OCA contended that </w:t>
      </w:r>
      <w:r w:rsidRPr="0059512A">
        <w:rPr>
          <w:rFonts w:eastAsiaTheme="minorHAnsi"/>
          <w:sz w:val="26"/>
          <w:szCs w:val="26"/>
        </w:rPr>
        <w:t>it is not an appropriate tool to measure the change in costs</w:t>
      </w:r>
      <w:r w:rsidRPr="0059512A">
        <w:rPr>
          <w:rFonts w:eastAsiaTheme="minorHAnsi"/>
          <w:bCs/>
          <w:sz w:val="26"/>
          <w:szCs w:val="26"/>
        </w:rPr>
        <w:t xml:space="preserve"> and a better measure of inflation for ratemaking purposes would be the forecasted Gross Domestic Product-Price Index (GDP-PI).  The OCA submitted that if the Commission allows the use of an inflation adjustment, it should be based on the GDP-PI at 2.1%, instead of the PPI the Company used.  </w:t>
      </w:r>
      <w:r w:rsidRPr="0059512A">
        <w:rPr>
          <w:rFonts w:eastAsiaTheme="minorHAnsi"/>
          <w:sz w:val="26"/>
          <w:szCs w:val="26"/>
        </w:rPr>
        <w:t xml:space="preserve">OCA St. 2 at 8-9.  </w:t>
      </w:r>
    </w:p>
    <w:p w14:paraId="438D17D5" w14:textId="77777777" w:rsidR="00674E4E" w:rsidRPr="0059512A" w:rsidRDefault="00674E4E" w:rsidP="0059512A">
      <w:pPr>
        <w:widowControl/>
        <w:spacing w:line="360" w:lineRule="auto"/>
        <w:rPr>
          <w:b/>
          <w:bCs/>
          <w:sz w:val="26"/>
          <w:szCs w:val="26"/>
        </w:rPr>
      </w:pPr>
    </w:p>
    <w:p w14:paraId="7DABA2AC" w14:textId="26AC33DD" w:rsidR="002826C5" w:rsidRPr="0059512A" w:rsidRDefault="00D323D0" w:rsidP="0059512A">
      <w:pPr>
        <w:pStyle w:val="ListParagraph"/>
        <w:keepNext/>
        <w:widowControl/>
        <w:spacing w:line="360" w:lineRule="auto"/>
        <w:ind w:left="2160" w:hanging="720"/>
        <w:rPr>
          <w:b/>
          <w:bCs/>
          <w:sz w:val="26"/>
          <w:szCs w:val="26"/>
        </w:rPr>
      </w:pPr>
      <w:r w:rsidRPr="0059512A">
        <w:rPr>
          <w:b/>
          <w:bCs/>
          <w:sz w:val="26"/>
          <w:szCs w:val="26"/>
        </w:rPr>
        <w:t>b.</w:t>
      </w:r>
      <w:r w:rsidRPr="0059512A">
        <w:rPr>
          <w:b/>
          <w:bCs/>
          <w:sz w:val="26"/>
          <w:szCs w:val="26"/>
        </w:rPr>
        <w:tab/>
      </w:r>
      <w:r w:rsidR="002826C5" w:rsidRPr="0059512A">
        <w:rPr>
          <w:b/>
          <w:bCs/>
          <w:sz w:val="26"/>
          <w:szCs w:val="26"/>
        </w:rPr>
        <w:t>Recommended Decision</w:t>
      </w:r>
    </w:p>
    <w:p w14:paraId="374E76A8" w14:textId="77777777" w:rsidR="00FD2A9D" w:rsidRPr="0059512A" w:rsidRDefault="00FD2A9D" w:rsidP="0059512A">
      <w:pPr>
        <w:pStyle w:val="ListParagraph"/>
        <w:keepNext/>
        <w:widowControl/>
        <w:spacing w:line="360" w:lineRule="auto"/>
        <w:ind w:left="2160" w:hanging="720"/>
        <w:rPr>
          <w:b/>
          <w:bCs/>
          <w:sz w:val="26"/>
          <w:szCs w:val="26"/>
        </w:rPr>
      </w:pPr>
    </w:p>
    <w:p w14:paraId="72CA184A" w14:textId="70A715FD" w:rsidR="00674E4E" w:rsidRPr="0059512A" w:rsidRDefault="00674E4E" w:rsidP="0059512A">
      <w:pPr>
        <w:keepNext/>
        <w:widowControl/>
        <w:spacing w:line="360" w:lineRule="auto"/>
        <w:ind w:firstLine="1440"/>
        <w:rPr>
          <w:rFonts w:eastAsiaTheme="minorHAnsi"/>
          <w:bCs/>
          <w:sz w:val="26"/>
          <w:szCs w:val="26"/>
        </w:rPr>
      </w:pPr>
      <w:r w:rsidRPr="0059512A">
        <w:rPr>
          <w:rFonts w:eastAsiaTheme="minorHAnsi"/>
          <w:bCs/>
          <w:sz w:val="26"/>
          <w:szCs w:val="26"/>
        </w:rPr>
        <w:t xml:space="preserve">The ALJs agreed with the OCA, finding it improper to use an inflation escalation in projecting FPFTY expenses.  As a preliminary matter, the ALJs noted that the Parties cited to cases in support of their positions on the inflation adjustment but explained that these cases were decided prior to Act 11, which authorized EDCs to use a FPFTY in their Section 1308(d) base rate proceedings.  The ALJs reasoned that, although Act 11 allowed for utilities to use the FPFTY to project expenses for the FPFTY, it did not eliminate the “known and measurable” standard.  If a company claims that an expense will increase in the FPFTY, the ALJs stated that it must be supported through some known and measurable change in the FPFTY, in order for the </w:t>
      </w:r>
      <w:r w:rsidR="00680BFA">
        <w:rPr>
          <w:rFonts w:eastAsiaTheme="minorHAnsi"/>
          <w:bCs/>
          <w:sz w:val="26"/>
          <w:szCs w:val="26"/>
        </w:rPr>
        <w:t>C</w:t>
      </w:r>
      <w:r w:rsidRPr="0059512A">
        <w:rPr>
          <w:rFonts w:eastAsiaTheme="minorHAnsi"/>
          <w:bCs/>
          <w:sz w:val="26"/>
          <w:szCs w:val="26"/>
        </w:rPr>
        <w:t xml:space="preserve">ompany to meet its burden of proof under </w:t>
      </w:r>
      <w:r w:rsidRPr="0059512A">
        <w:rPr>
          <w:rFonts w:eastAsiaTheme="minorHAnsi"/>
          <w:color w:val="212121"/>
          <w:sz w:val="26"/>
          <w:szCs w:val="26"/>
        </w:rPr>
        <w:t>66 Pa. C.S. § 315(a)</w:t>
      </w:r>
      <w:r w:rsidRPr="0059512A">
        <w:rPr>
          <w:rFonts w:eastAsiaTheme="minorHAnsi"/>
          <w:bCs/>
          <w:sz w:val="26"/>
          <w:szCs w:val="26"/>
        </w:rPr>
        <w:t>.  R.D. at 25-26.</w:t>
      </w:r>
    </w:p>
    <w:p w14:paraId="4E12C87E" w14:textId="77777777" w:rsidR="00674E4E" w:rsidRPr="0059512A" w:rsidRDefault="00674E4E" w:rsidP="0059512A">
      <w:pPr>
        <w:widowControl/>
        <w:spacing w:line="360" w:lineRule="auto"/>
        <w:ind w:firstLine="1440"/>
        <w:rPr>
          <w:rFonts w:eastAsiaTheme="minorHAnsi"/>
          <w:bCs/>
          <w:sz w:val="26"/>
          <w:szCs w:val="26"/>
        </w:rPr>
      </w:pPr>
    </w:p>
    <w:p w14:paraId="41A25C1F" w14:textId="77777777" w:rsidR="00674E4E" w:rsidRPr="0059512A" w:rsidRDefault="00674E4E" w:rsidP="0059512A">
      <w:pPr>
        <w:widowControl/>
        <w:spacing w:line="360" w:lineRule="auto"/>
        <w:ind w:firstLine="1440"/>
        <w:rPr>
          <w:rFonts w:eastAsiaTheme="minorHAnsi"/>
          <w:bCs/>
          <w:sz w:val="26"/>
          <w:szCs w:val="26"/>
        </w:rPr>
      </w:pPr>
      <w:r w:rsidRPr="0059512A">
        <w:rPr>
          <w:rFonts w:eastAsiaTheme="minorHAnsi"/>
          <w:bCs/>
          <w:sz w:val="26"/>
          <w:szCs w:val="26"/>
        </w:rPr>
        <w:t>The ALJs reasoned that inflation adjustments are not actually known and measurable because they do not reflect the true cost of expenses.  Instead, they are blanket adjustments which do not directly relate to the actual costs expected to be incurred.  The ALJs rejected the Company’s position that the Commission should accept the total expense claim without consideration of individual expense adjustments.  According to the ALJs, the assumption that all expenses will increase by 3% is not supported in the record and the Company has not met its requisite burden of proof.  R.D. at 26.</w:t>
      </w:r>
    </w:p>
    <w:p w14:paraId="11814F15" w14:textId="77777777" w:rsidR="00674E4E" w:rsidRPr="0059512A" w:rsidRDefault="00674E4E" w:rsidP="0059512A">
      <w:pPr>
        <w:widowControl/>
        <w:spacing w:line="360" w:lineRule="auto"/>
        <w:ind w:firstLine="1440"/>
        <w:rPr>
          <w:rFonts w:eastAsiaTheme="minorHAnsi"/>
          <w:bCs/>
          <w:i/>
          <w:iCs/>
          <w:sz w:val="26"/>
          <w:szCs w:val="26"/>
        </w:rPr>
      </w:pPr>
      <w:r w:rsidRPr="0059512A">
        <w:rPr>
          <w:rFonts w:eastAsiaTheme="minorHAnsi"/>
          <w:bCs/>
          <w:sz w:val="26"/>
          <w:szCs w:val="26"/>
        </w:rPr>
        <w:lastRenderedPageBreak/>
        <w:t xml:space="preserve">The ALJs acknowledged that accepting the OCA’s position does not require an assumption that there are no cost increases from the FTY to the FPFTY.  Rather, the ALJs highlighted their recommendations that the Commission accept FPFTY projections consisting of cost increases from the FTY to the FPFTY that the Company can demonstrate and explain in the record.  However, the ALJs determined that it is not known how the Company specifically calculated its 3% inflation adjustment figure and that Citizens’ should not be permitted to apply such a blanket inflation adjustment to all of its O&amp;M accounts in its FTY budget.  </w:t>
      </w:r>
      <w:r w:rsidRPr="0059512A">
        <w:rPr>
          <w:rFonts w:eastAsiaTheme="minorHAnsi"/>
          <w:bCs/>
          <w:i/>
          <w:iCs/>
          <w:sz w:val="26"/>
          <w:szCs w:val="26"/>
        </w:rPr>
        <w:t>Id.</w:t>
      </w:r>
    </w:p>
    <w:p w14:paraId="5E3DE6B8" w14:textId="77777777" w:rsidR="00674E4E" w:rsidRPr="0059512A" w:rsidRDefault="00674E4E" w:rsidP="0059512A">
      <w:pPr>
        <w:widowControl/>
        <w:spacing w:line="360" w:lineRule="auto"/>
        <w:rPr>
          <w:b/>
          <w:bCs/>
          <w:sz w:val="26"/>
          <w:szCs w:val="26"/>
        </w:rPr>
      </w:pPr>
    </w:p>
    <w:p w14:paraId="6FDA960F" w14:textId="6CCE3C04" w:rsidR="002826C5" w:rsidRPr="0059512A" w:rsidRDefault="00153031" w:rsidP="0059512A">
      <w:pPr>
        <w:pStyle w:val="ListParagraph"/>
        <w:keepNext/>
        <w:widowControl/>
        <w:spacing w:line="360" w:lineRule="auto"/>
        <w:ind w:left="2160" w:hanging="720"/>
        <w:rPr>
          <w:b/>
          <w:bCs/>
          <w:sz w:val="26"/>
          <w:szCs w:val="26"/>
        </w:rPr>
      </w:pPr>
      <w:r w:rsidRPr="0059512A">
        <w:rPr>
          <w:b/>
          <w:bCs/>
          <w:sz w:val="26"/>
          <w:szCs w:val="26"/>
        </w:rPr>
        <w:t>c.</w:t>
      </w:r>
      <w:r w:rsidRPr="0059512A">
        <w:rPr>
          <w:b/>
          <w:bCs/>
          <w:sz w:val="26"/>
          <w:szCs w:val="26"/>
        </w:rPr>
        <w:tab/>
      </w:r>
      <w:r w:rsidR="002826C5" w:rsidRPr="0059512A">
        <w:rPr>
          <w:b/>
          <w:bCs/>
          <w:sz w:val="26"/>
          <w:szCs w:val="26"/>
        </w:rPr>
        <w:t>Exceptions and Replies</w:t>
      </w:r>
    </w:p>
    <w:p w14:paraId="3EE15E63" w14:textId="77777777" w:rsidR="00674E4E" w:rsidRPr="0059512A" w:rsidRDefault="00674E4E" w:rsidP="0059512A">
      <w:pPr>
        <w:pStyle w:val="ListParagraph"/>
        <w:keepNext/>
        <w:widowControl/>
        <w:spacing w:line="360" w:lineRule="auto"/>
        <w:ind w:left="2160" w:hanging="720"/>
        <w:rPr>
          <w:b/>
          <w:bCs/>
          <w:sz w:val="26"/>
          <w:szCs w:val="26"/>
        </w:rPr>
      </w:pPr>
    </w:p>
    <w:p w14:paraId="223E0147" w14:textId="406F4D3B" w:rsidR="00674E4E" w:rsidRPr="0059512A" w:rsidRDefault="00674E4E" w:rsidP="0059512A">
      <w:pPr>
        <w:pStyle w:val="ListParagraph"/>
        <w:keepNext/>
        <w:widowControl/>
        <w:spacing w:line="360" w:lineRule="auto"/>
        <w:ind w:left="0" w:firstLine="1440"/>
        <w:rPr>
          <w:sz w:val="26"/>
          <w:szCs w:val="26"/>
        </w:rPr>
      </w:pPr>
      <w:r w:rsidRPr="0059512A">
        <w:rPr>
          <w:sz w:val="26"/>
          <w:szCs w:val="26"/>
        </w:rPr>
        <w:t>In its Exception No. 3, Citizens’ asserts that the ALJs erred in rejecting the Company’s 3% FPFTY inflation adjustment.</w:t>
      </w:r>
      <w:r w:rsidR="006B04DA" w:rsidRPr="0059512A">
        <w:rPr>
          <w:sz w:val="26"/>
          <w:szCs w:val="26"/>
        </w:rPr>
        <w:t xml:space="preserve">  </w:t>
      </w:r>
      <w:r w:rsidRPr="0059512A">
        <w:rPr>
          <w:sz w:val="26"/>
          <w:szCs w:val="26"/>
        </w:rPr>
        <w:t>The Company submits that its conservative inflation factor applies solely to FTY O&amp;M expenses which is consistent with its historical experience, the 2020 budget increases, and other information, thus meeting the known and measurable standard as historically applied by the Commission.  Citizens’ Exc. at 8-10.</w:t>
      </w:r>
    </w:p>
    <w:p w14:paraId="3FC3D16B" w14:textId="77777777" w:rsidR="00674E4E" w:rsidRPr="0059512A" w:rsidRDefault="00674E4E" w:rsidP="0059512A">
      <w:pPr>
        <w:pStyle w:val="ListParagraph"/>
        <w:widowControl/>
        <w:spacing w:line="360" w:lineRule="auto"/>
        <w:ind w:left="0" w:firstLine="1440"/>
        <w:rPr>
          <w:sz w:val="26"/>
          <w:szCs w:val="26"/>
        </w:rPr>
      </w:pPr>
    </w:p>
    <w:p w14:paraId="5645BA6E" w14:textId="29F28E4E" w:rsidR="00674E4E" w:rsidRPr="0059512A" w:rsidRDefault="00674E4E" w:rsidP="0059512A">
      <w:pPr>
        <w:pStyle w:val="ListParagraph"/>
        <w:widowControl/>
        <w:spacing w:line="360" w:lineRule="auto"/>
        <w:ind w:left="0" w:firstLine="1440"/>
        <w:rPr>
          <w:sz w:val="26"/>
          <w:szCs w:val="26"/>
        </w:rPr>
      </w:pPr>
      <w:r w:rsidRPr="0059512A">
        <w:rPr>
          <w:sz w:val="26"/>
          <w:szCs w:val="26"/>
        </w:rPr>
        <w:t xml:space="preserve">Regarding the known and measurable standard, Citizens’ argues that the Recommended Decision’s holding on this issue is inconsistent with Commission precedent which has consistently permitted inflation adjustments.  As an example, the Company cites to </w:t>
      </w:r>
      <w:r w:rsidRPr="0059512A">
        <w:rPr>
          <w:i/>
          <w:iCs/>
          <w:sz w:val="26"/>
          <w:szCs w:val="26"/>
        </w:rPr>
        <w:t>Nat’l Fuel Gas Distrib. Corp. v. Pa. PUC</w:t>
      </w:r>
      <w:r w:rsidRPr="0059512A">
        <w:rPr>
          <w:sz w:val="26"/>
          <w:szCs w:val="26"/>
        </w:rPr>
        <w:t>, 677 A.2d 861, 865 (Pa.</w:t>
      </w:r>
      <w:r w:rsidR="00E63ABF">
        <w:rPr>
          <w:sz w:val="26"/>
          <w:szCs w:val="26"/>
        </w:rPr>
        <w:t> </w:t>
      </w:r>
      <w:r w:rsidRPr="0059512A">
        <w:rPr>
          <w:sz w:val="26"/>
          <w:szCs w:val="26"/>
        </w:rPr>
        <w:t>Cmwlth. 1996) (</w:t>
      </w:r>
      <w:r w:rsidRPr="0059512A">
        <w:rPr>
          <w:i/>
          <w:iCs/>
          <w:sz w:val="26"/>
          <w:szCs w:val="26"/>
        </w:rPr>
        <w:t>NFGD</w:t>
      </w:r>
      <w:r w:rsidRPr="0059512A">
        <w:rPr>
          <w:sz w:val="26"/>
          <w:szCs w:val="26"/>
        </w:rPr>
        <w:t>), in which the Commonwealth Court stated that “PUC decisional law reflects its consistent acceptance of the application of an inflation factor to expenses which are not otherwise adjusted, and has not indicated that there are any inherent flaws in this adjustment procedure.”</w:t>
      </w:r>
      <w:r w:rsidR="007222B0" w:rsidRPr="0059512A">
        <w:rPr>
          <w:sz w:val="26"/>
          <w:szCs w:val="26"/>
        </w:rPr>
        <w:t xml:space="preserve">  Citizens’ Exc. at 8-9 (citing </w:t>
      </w:r>
      <w:r w:rsidR="007222B0" w:rsidRPr="0059512A">
        <w:rPr>
          <w:i/>
          <w:iCs/>
          <w:sz w:val="26"/>
          <w:szCs w:val="26"/>
        </w:rPr>
        <w:t>NFGD</w:t>
      </w:r>
      <w:r w:rsidR="007222B0" w:rsidRPr="0059512A">
        <w:rPr>
          <w:sz w:val="26"/>
          <w:szCs w:val="26"/>
        </w:rPr>
        <w:t>)</w:t>
      </w:r>
      <w:r w:rsidR="005C6C0A" w:rsidRPr="0059512A">
        <w:rPr>
          <w:sz w:val="26"/>
          <w:szCs w:val="26"/>
        </w:rPr>
        <w:t>.</w:t>
      </w:r>
      <w:r w:rsidRPr="0059512A">
        <w:rPr>
          <w:sz w:val="26"/>
          <w:szCs w:val="26"/>
        </w:rPr>
        <w:t xml:space="preserve">  The Company submits there is nothing inherently inconsistent between the known and measurable standard and an inflation adjustment.  Additionally, Citizens’ argues that it did not apply a blanket adjustment to all FPFTY costs but instead applied an inflation </w:t>
      </w:r>
      <w:r w:rsidRPr="0059512A">
        <w:rPr>
          <w:sz w:val="26"/>
          <w:szCs w:val="26"/>
        </w:rPr>
        <w:lastRenderedPageBreak/>
        <w:t>adjustment solely to O&amp;M expenses consistent with the Company’s historical experience.  Citizens’ Exc. at</w:t>
      </w:r>
      <w:r w:rsidR="00533645" w:rsidRPr="0059512A">
        <w:rPr>
          <w:sz w:val="26"/>
          <w:szCs w:val="26"/>
        </w:rPr>
        <w:t> </w:t>
      </w:r>
      <w:r w:rsidRPr="0059512A">
        <w:rPr>
          <w:sz w:val="26"/>
          <w:szCs w:val="26"/>
        </w:rPr>
        <w:t>9.</w:t>
      </w:r>
    </w:p>
    <w:p w14:paraId="4C0DEF84" w14:textId="77777777" w:rsidR="00674E4E" w:rsidRPr="0059512A" w:rsidRDefault="00674E4E" w:rsidP="0059512A">
      <w:pPr>
        <w:pStyle w:val="ListParagraph"/>
        <w:widowControl/>
        <w:spacing w:line="360" w:lineRule="auto"/>
        <w:ind w:left="0" w:firstLine="1440"/>
        <w:rPr>
          <w:sz w:val="26"/>
          <w:szCs w:val="26"/>
        </w:rPr>
      </w:pPr>
    </w:p>
    <w:p w14:paraId="4DAA87D3" w14:textId="77777777" w:rsidR="00674E4E" w:rsidRPr="0059512A" w:rsidRDefault="00674E4E" w:rsidP="0059512A">
      <w:pPr>
        <w:pStyle w:val="ListParagraph"/>
        <w:widowControl/>
        <w:spacing w:line="360" w:lineRule="auto"/>
        <w:ind w:left="0" w:firstLine="1440"/>
        <w:rPr>
          <w:sz w:val="26"/>
          <w:szCs w:val="26"/>
        </w:rPr>
      </w:pPr>
      <w:r w:rsidRPr="0059512A">
        <w:rPr>
          <w:sz w:val="26"/>
          <w:szCs w:val="26"/>
        </w:rPr>
        <w:t xml:space="preserve">The Company contends that the cases cited by the OCA are distinguishable. Citizens’ proffers that its adjustment applies only to expenses and not to revenue or rate base in contrast with </w:t>
      </w:r>
      <w:r w:rsidRPr="0059512A">
        <w:rPr>
          <w:i/>
          <w:iCs/>
          <w:sz w:val="26"/>
          <w:szCs w:val="26"/>
        </w:rPr>
        <w:t>Pa. PUC v. Philadelphia Electric Company</w:t>
      </w:r>
      <w:r w:rsidRPr="0059512A">
        <w:rPr>
          <w:sz w:val="26"/>
          <w:szCs w:val="26"/>
        </w:rPr>
        <w:t>, Docket No. R-822291 (Order entered Nov. 22, 1983) (</w:t>
      </w:r>
      <w:r w:rsidRPr="0059512A">
        <w:rPr>
          <w:i/>
          <w:iCs/>
          <w:sz w:val="26"/>
          <w:szCs w:val="26"/>
        </w:rPr>
        <w:t>PECO</w:t>
      </w:r>
      <w:r w:rsidRPr="0059512A">
        <w:rPr>
          <w:sz w:val="26"/>
          <w:szCs w:val="26"/>
        </w:rPr>
        <w:t xml:space="preserve">), which involved an attempt to recover a true blanket 2% attrition rate to expenses, revenue and rate base.  The Company also argues that the Commission’s decision in </w:t>
      </w:r>
      <w:r w:rsidRPr="0059512A">
        <w:rPr>
          <w:i/>
          <w:iCs/>
          <w:sz w:val="26"/>
          <w:szCs w:val="26"/>
        </w:rPr>
        <w:t>PGW</w:t>
      </w:r>
      <w:r w:rsidRPr="0059512A">
        <w:rPr>
          <w:sz w:val="26"/>
          <w:szCs w:val="26"/>
        </w:rPr>
        <w:t xml:space="preserve"> is inapplicable because it involved a 2% annual attrition adjustment to expenses as part of a broader proposal to set rates based on a five-year forecast.  Citizens’ Exc. at 9-10.  </w:t>
      </w:r>
    </w:p>
    <w:p w14:paraId="22298092" w14:textId="77777777" w:rsidR="00674E4E" w:rsidRPr="0059512A" w:rsidRDefault="00674E4E" w:rsidP="0059512A">
      <w:pPr>
        <w:pStyle w:val="ListParagraph"/>
        <w:widowControl/>
        <w:spacing w:line="360" w:lineRule="auto"/>
        <w:ind w:left="0" w:firstLine="1440"/>
        <w:rPr>
          <w:sz w:val="26"/>
          <w:szCs w:val="26"/>
        </w:rPr>
      </w:pPr>
    </w:p>
    <w:p w14:paraId="2D362F7E" w14:textId="67F2993B" w:rsidR="00674E4E" w:rsidRPr="0059512A" w:rsidRDefault="00674E4E" w:rsidP="0059512A">
      <w:pPr>
        <w:pStyle w:val="ListParagraph"/>
        <w:widowControl/>
        <w:spacing w:line="360" w:lineRule="auto"/>
        <w:ind w:left="0" w:firstLine="1440"/>
        <w:rPr>
          <w:sz w:val="26"/>
          <w:szCs w:val="26"/>
        </w:rPr>
      </w:pPr>
      <w:r w:rsidRPr="0059512A">
        <w:rPr>
          <w:sz w:val="26"/>
          <w:szCs w:val="26"/>
        </w:rPr>
        <w:t>The Company asserts that the ALJs’ recommendation undercuts the purpose of the FPFTY authorized in Act 11 by ignoring historical trends that should be considered along with known and measurable increases when setting rates.  In support, Citizens’ submits that the historical O&amp;M expense increases demonstrate a consistent and verifiable trend of increased expenses citing to actual historic O&amp;M expenses showing a greater than 3% increase every year from 2012 to 2018 (the last year full expense data is available).  Citizens</w:t>
      </w:r>
      <w:r w:rsidR="00D149B2" w:rsidRPr="0059512A">
        <w:rPr>
          <w:sz w:val="26"/>
          <w:szCs w:val="26"/>
        </w:rPr>
        <w:t>’</w:t>
      </w:r>
      <w:r w:rsidRPr="0059512A">
        <w:rPr>
          <w:sz w:val="26"/>
          <w:szCs w:val="26"/>
        </w:rPr>
        <w:t xml:space="preserve"> Exc. at 10-11 (citing Citizens</w:t>
      </w:r>
      <w:r w:rsidR="00D149B2" w:rsidRPr="0059512A">
        <w:rPr>
          <w:sz w:val="26"/>
          <w:szCs w:val="26"/>
        </w:rPr>
        <w:t>’</w:t>
      </w:r>
      <w:r w:rsidR="00A3105A" w:rsidRPr="0059512A">
        <w:rPr>
          <w:sz w:val="26"/>
          <w:szCs w:val="26"/>
        </w:rPr>
        <w:t xml:space="preserve"> </w:t>
      </w:r>
      <w:r w:rsidRPr="0059512A">
        <w:rPr>
          <w:sz w:val="26"/>
          <w:szCs w:val="26"/>
        </w:rPr>
        <w:t>Exh._(HSG-1), Sch. C1-1 at 2).  Additionally, Citizens’ argues that the proposed 3% expense adjustment represents a conservative estimate of FPFTY costs and provided testimony to support the vendor and labor expense increases justifying the 3% inflation adjustment for FPFTY expenses.  Citizens’ Exc. at 11-12 (citing Tr. at 78-79, 144).</w:t>
      </w:r>
    </w:p>
    <w:p w14:paraId="12C8AF12" w14:textId="77777777" w:rsidR="00674E4E" w:rsidRPr="0059512A" w:rsidRDefault="00674E4E" w:rsidP="0059512A">
      <w:pPr>
        <w:pStyle w:val="ListParagraph"/>
        <w:widowControl/>
        <w:spacing w:line="360" w:lineRule="auto"/>
        <w:ind w:left="0" w:firstLine="1440"/>
        <w:rPr>
          <w:sz w:val="26"/>
          <w:szCs w:val="26"/>
        </w:rPr>
      </w:pPr>
    </w:p>
    <w:p w14:paraId="37F10527" w14:textId="6E37ED4F" w:rsidR="00674E4E" w:rsidRPr="0059512A" w:rsidRDefault="00674E4E" w:rsidP="0059512A">
      <w:pPr>
        <w:pStyle w:val="ListParagraph"/>
        <w:widowControl/>
        <w:spacing w:line="360" w:lineRule="auto"/>
        <w:ind w:left="0" w:firstLine="1440"/>
        <w:rPr>
          <w:sz w:val="26"/>
          <w:szCs w:val="26"/>
        </w:rPr>
      </w:pPr>
      <w:r w:rsidRPr="0059512A">
        <w:rPr>
          <w:sz w:val="26"/>
          <w:szCs w:val="26"/>
        </w:rPr>
        <w:t xml:space="preserve">The Company criticizes the Recommended Decision as potentially frustrating the purpose of Act 11 and the FPFTY.  According to the Company, the R.D. contravenes the clear purpose of Act 11 by relying on 2019 data for FPFTY expense allowances despite substantial evidence that 2020 costs will increase at or above the proposed 3% rate.  The Company contends that denying a modest 3% expense adjustment </w:t>
      </w:r>
      <w:r w:rsidRPr="0059512A">
        <w:rPr>
          <w:sz w:val="26"/>
          <w:szCs w:val="26"/>
        </w:rPr>
        <w:lastRenderedPageBreak/>
        <w:t xml:space="preserve">for the FPFTY directly conflicts with the forward-looking policy basis underlying </w:t>
      </w:r>
      <w:r w:rsidR="005C6C0A" w:rsidRPr="0059512A">
        <w:rPr>
          <w:sz w:val="26"/>
          <w:szCs w:val="26"/>
        </w:rPr>
        <w:t>A</w:t>
      </w:r>
      <w:r w:rsidRPr="0059512A">
        <w:rPr>
          <w:sz w:val="26"/>
          <w:szCs w:val="26"/>
        </w:rPr>
        <w:t>ct 11 and the FPFTY.  Citizens’ Exc. at 12-13.</w:t>
      </w:r>
    </w:p>
    <w:p w14:paraId="345F8B2D" w14:textId="77777777" w:rsidR="00674E4E" w:rsidRPr="0059512A" w:rsidRDefault="00674E4E" w:rsidP="0059512A">
      <w:pPr>
        <w:pStyle w:val="ListParagraph"/>
        <w:widowControl/>
        <w:spacing w:line="360" w:lineRule="auto"/>
        <w:ind w:left="0" w:firstLine="1440"/>
        <w:rPr>
          <w:sz w:val="26"/>
          <w:szCs w:val="26"/>
        </w:rPr>
      </w:pPr>
    </w:p>
    <w:p w14:paraId="506B074D" w14:textId="0BC45127" w:rsidR="00674E4E" w:rsidRPr="0059512A" w:rsidRDefault="00674E4E" w:rsidP="0059512A">
      <w:pPr>
        <w:pStyle w:val="ListParagraph"/>
        <w:widowControl/>
        <w:spacing w:line="360" w:lineRule="auto"/>
        <w:ind w:left="0" w:firstLine="1440"/>
        <w:rPr>
          <w:sz w:val="26"/>
          <w:szCs w:val="26"/>
        </w:rPr>
      </w:pPr>
      <w:r w:rsidRPr="0059512A">
        <w:rPr>
          <w:sz w:val="26"/>
          <w:szCs w:val="26"/>
        </w:rPr>
        <w:t>Moreover, Citizens’ contends that</w:t>
      </w:r>
      <w:r w:rsidR="00680BFA">
        <w:rPr>
          <w:sz w:val="26"/>
          <w:szCs w:val="26"/>
        </w:rPr>
        <w:t xml:space="preserve">, </w:t>
      </w:r>
      <w:r w:rsidRPr="0059512A">
        <w:rPr>
          <w:sz w:val="26"/>
          <w:szCs w:val="26"/>
        </w:rPr>
        <w:t xml:space="preserve">at </w:t>
      </w:r>
      <w:r w:rsidR="00680BFA">
        <w:rPr>
          <w:sz w:val="26"/>
          <w:szCs w:val="26"/>
        </w:rPr>
        <w:t xml:space="preserve">a </w:t>
      </w:r>
      <w:r w:rsidRPr="0059512A">
        <w:rPr>
          <w:sz w:val="26"/>
          <w:szCs w:val="26"/>
        </w:rPr>
        <w:t xml:space="preserve">minimum, the 3% inflation adjustment should be applied to expense categories consisting primarily of labor and benefits expense (Accounts 580, 588, and 903), as the record demonstrates the Company’s employee labor and benefits expense will increase by 3%.  </w:t>
      </w:r>
      <w:bookmarkStart w:id="96" w:name="_Hlk36559944"/>
      <w:r w:rsidRPr="0059512A">
        <w:rPr>
          <w:sz w:val="26"/>
          <w:szCs w:val="26"/>
        </w:rPr>
        <w:t>Citizens’ Exc. at</w:t>
      </w:r>
      <w:r w:rsidR="00F371E1">
        <w:rPr>
          <w:sz w:val="26"/>
          <w:szCs w:val="26"/>
        </w:rPr>
        <w:t> </w:t>
      </w:r>
      <w:r w:rsidRPr="0059512A">
        <w:rPr>
          <w:sz w:val="26"/>
          <w:szCs w:val="26"/>
        </w:rPr>
        <w:t>13-</w:t>
      </w:r>
      <w:bookmarkEnd w:id="96"/>
      <w:r w:rsidRPr="0059512A">
        <w:rPr>
          <w:sz w:val="26"/>
          <w:szCs w:val="26"/>
        </w:rPr>
        <w:t xml:space="preserve">14. </w:t>
      </w:r>
    </w:p>
    <w:p w14:paraId="3503F987" w14:textId="77777777" w:rsidR="00674E4E" w:rsidRPr="0059512A" w:rsidRDefault="00674E4E" w:rsidP="0059512A">
      <w:pPr>
        <w:pStyle w:val="ListParagraph"/>
        <w:widowControl/>
        <w:spacing w:line="360" w:lineRule="auto"/>
        <w:ind w:left="0" w:firstLine="1440"/>
        <w:rPr>
          <w:sz w:val="26"/>
          <w:szCs w:val="26"/>
        </w:rPr>
      </w:pPr>
    </w:p>
    <w:p w14:paraId="748880BD" w14:textId="77777777" w:rsidR="00674E4E" w:rsidRPr="0059512A" w:rsidRDefault="00674E4E" w:rsidP="0059512A">
      <w:pPr>
        <w:pStyle w:val="ListParagraph"/>
        <w:widowControl/>
        <w:spacing w:line="360" w:lineRule="auto"/>
        <w:ind w:left="0" w:firstLine="1440"/>
        <w:rPr>
          <w:sz w:val="26"/>
          <w:szCs w:val="26"/>
        </w:rPr>
      </w:pPr>
      <w:r w:rsidRPr="0059512A">
        <w:rPr>
          <w:sz w:val="26"/>
          <w:szCs w:val="26"/>
        </w:rPr>
        <w:t xml:space="preserve">In response to Citizens’ Exception No. 3, the OCA argues that the ALJs appropriately rejected the Company’s across-the-board inflation adjustment because it lacked evidentiary support.  The OCA asserts that Commission precedent in </w:t>
      </w:r>
      <w:r w:rsidRPr="0059512A">
        <w:rPr>
          <w:i/>
          <w:iCs/>
          <w:sz w:val="26"/>
          <w:szCs w:val="26"/>
        </w:rPr>
        <w:t>PGW</w:t>
      </w:r>
      <w:r w:rsidRPr="0059512A">
        <w:rPr>
          <w:sz w:val="26"/>
          <w:szCs w:val="26"/>
        </w:rPr>
        <w:t xml:space="preserve"> and </w:t>
      </w:r>
      <w:r w:rsidRPr="0059512A">
        <w:rPr>
          <w:i/>
          <w:iCs/>
          <w:sz w:val="26"/>
          <w:szCs w:val="26"/>
        </w:rPr>
        <w:t>PECO</w:t>
      </w:r>
      <w:r w:rsidRPr="0059512A">
        <w:rPr>
          <w:sz w:val="26"/>
          <w:szCs w:val="26"/>
        </w:rPr>
        <w:t xml:space="preserve">, which rejected similarly speculative and unsupported adjustments, are relevant to this proceeding.  Moreover, the OCA submits that its arguments do not supplant the purpose of Act 11 because the legislation was not simply to increase rates but to provide an opportunity to mitigate regulatory lag for known and supported changes in the FPFTY.  OCA R. Exc. at 5-8. </w:t>
      </w:r>
    </w:p>
    <w:p w14:paraId="33BFC48D" w14:textId="77777777" w:rsidR="00674E4E" w:rsidRPr="0059512A" w:rsidRDefault="00674E4E" w:rsidP="0059512A">
      <w:pPr>
        <w:pStyle w:val="ListParagraph"/>
        <w:widowControl/>
        <w:spacing w:line="360" w:lineRule="auto"/>
        <w:ind w:left="0" w:firstLine="1440"/>
        <w:rPr>
          <w:sz w:val="26"/>
          <w:szCs w:val="26"/>
        </w:rPr>
      </w:pPr>
    </w:p>
    <w:p w14:paraId="5EE432A8" w14:textId="77777777" w:rsidR="00674E4E" w:rsidRPr="0059512A" w:rsidRDefault="00674E4E" w:rsidP="0059512A">
      <w:pPr>
        <w:pStyle w:val="ListParagraph"/>
        <w:widowControl/>
        <w:spacing w:line="360" w:lineRule="auto"/>
        <w:ind w:left="0" w:firstLine="1440"/>
        <w:rPr>
          <w:sz w:val="26"/>
          <w:szCs w:val="26"/>
        </w:rPr>
      </w:pPr>
      <w:r w:rsidRPr="0059512A">
        <w:rPr>
          <w:sz w:val="26"/>
          <w:szCs w:val="26"/>
        </w:rPr>
        <w:t xml:space="preserve">The OCA maintains that the 3% inflation adjustment is not a well-founded projection, and, in addition to the across-the-board inflation adjustment, the Company’s proposed alternative should also be denied.  The OCA also reiterates that should the Commission decide that the use of an inflation factor to measure the change in costs is appropriate, the GDP-PI would be a better measure of inflation for ratemaking purposes than the PPI used by the Company.  </w:t>
      </w:r>
      <w:r w:rsidRPr="0059512A">
        <w:rPr>
          <w:i/>
          <w:iCs/>
          <w:sz w:val="26"/>
          <w:szCs w:val="26"/>
        </w:rPr>
        <w:t>Id.</w:t>
      </w:r>
      <w:r w:rsidRPr="0059512A">
        <w:rPr>
          <w:sz w:val="26"/>
          <w:szCs w:val="26"/>
        </w:rPr>
        <w:t xml:space="preserve"> at 9.  </w:t>
      </w:r>
    </w:p>
    <w:p w14:paraId="036F8533" w14:textId="77777777" w:rsidR="00674E4E" w:rsidRPr="0059512A" w:rsidRDefault="00674E4E" w:rsidP="0059512A">
      <w:pPr>
        <w:widowControl/>
        <w:spacing w:line="360" w:lineRule="auto"/>
        <w:rPr>
          <w:b/>
          <w:bCs/>
          <w:sz w:val="26"/>
          <w:szCs w:val="26"/>
        </w:rPr>
      </w:pPr>
    </w:p>
    <w:p w14:paraId="5E3AD10F" w14:textId="06115BE0" w:rsidR="002826C5" w:rsidRPr="0059512A" w:rsidRDefault="00153031" w:rsidP="0059512A">
      <w:pPr>
        <w:pStyle w:val="ListParagraph"/>
        <w:keepNext/>
        <w:widowControl/>
        <w:spacing w:line="360" w:lineRule="auto"/>
        <w:ind w:left="2160" w:hanging="720"/>
        <w:rPr>
          <w:b/>
          <w:bCs/>
          <w:sz w:val="26"/>
          <w:szCs w:val="26"/>
        </w:rPr>
      </w:pPr>
      <w:r w:rsidRPr="0059512A">
        <w:rPr>
          <w:b/>
          <w:bCs/>
          <w:sz w:val="26"/>
          <w:szCs w:val="26"/>
        </w:rPr>
        <w:t>d.</w:t>
      </w:r>
      <w:r w:rsidRPr="0059512A">
        <w:rPr>
          <w:b/>
          <w:bCs/>
          <w:sz w:val="26"/>
          <w:szCs w:val="26"/>
        </w:rPr>
        <w:tab/>
      </w:r>
      <w:r w:rsidR="002826C5" w:rsidRPr="0059512A">
        <w:rPr>
          <w:b/>
          <w:bCs/>
          <w:sz w:val="26"/>
          <w:szCs w:val="26"/>
        </w:rPr>
        <w:t>Disposition</w:t>
      </w:r>
    </w:p>
    <w:bookmarkEnd w:id="93"/>
    <w:p w14:paraId="42642898" w14:textId="593C8845" w:rsidR="001C0238" w:rsidRPr="0059512A" w:rsidRDefault="001C0238" w:rsidP="0059512A">
      <w:pPr>
        <w:keepNext/>
        <w:widowControl/>
        <w:spacing w:line="360" w:lineRule="auto"/>
        <w:rPr>
          <w:sz w:val="26"/>
          <w:szCs w:val="26"/>
        </w:rPr>
      </w:pPr>
    </w:p>
    <w:p w14:paraId="648C654B" w14:textId="709BFC54" w:rsidR="001C48FF" w:rsidRPr="0059512A" w:rsidRDefault="001C48FF" w:rsidP="0059512A">
      <w:pPr>
        <w:keepNext/>
        <w:widowControl/>
        <w:spacing w:line="360" w:lineRule="auto"/>
        <w:ind w:firstLine="1440"/>
        <w:rPr>
          <w:sz w:val="26"/>
          <w:szCs w:val="26"/>
        </w:rPr>
      </w:pPr>
      <w:bookmarkStart w:id="97" w:name="_Hlk37223709"/>
      <w:r w:rsidRPr="0059512A">
        <w:rPr>
          <w:sz w:val="26"/>
          <w:szCs w:val="26"/>
        </w:rPr>
        <w:t xml:space="preserve">In considering the record evidence and arguments before us, along with the Exceptions and Reply Exceptions of the Parties, we shall adopt the ALJs’ </w:t>
      </w:r>
      <w:r w:rsidRPr="0059512A">
        <w:rPr>
          <w:sz w:val="26"/>
          <w:szCs w:val="26"/>
        </w:rPr>
        <w:lastRenderedPageBreak/>
        <w:t>recommendation to not allow Citizens’ to apply a blanket 3% inflation adjustment to all of its O&amp;M accounts in its FTY to reach its FPFTY projections.  We agree with the ALJs that the Company did not meet its burden in demonstrating that its proposed blanket 3% inflation adjustment to all expenses would meet the “known and measurable” standard for increasing each FTY expense claim in the FPFTY.  To state it another way, the Company did not demonstrate that making this blanket adjustment to each expense claim directly relates to the actual costs expected to be incurred in each expense account in the FPFTY.  R.D. at 2</w:t>
      </w:r>
      <w:r w:rsidR="007C06DB" w:rsidRPr="0059512A">
        <w:rPr>
          <w:sz w:val="26"/>
          <w:szCs w:val="26"/>
        </w:rPr>
        <w:t>3</w:t>
      </w:r>
      <w:r w:rsidRPr="0059512A">
        <w:rPr>
          <w:sz w:val="26"/>
          <w:szCs w:val="26"/>
        </w:rPr>
        <w:t>-2</w:t>
      </w:r>
      <w:r w:rsidR="007C06DB" w:rsidRPr="0059512A">
        <w:rPr>
          <w:sz w:val="26"/>
          <w:szCs w:val="26"/>
        </w:rPr>
        <w:t>6</w:t>
      </w:r>
      <w:r w:rsidRPr="0059512A">
        <w:rPr>
          <w:sz w:val="26"/>
          <w:szCs w:val="26"/>
        </w:rPr>
        <w:t xml:space="preserve">.  In our view, the ALJs’ recommendation to reject </w:t>
      </w:r>
      <w:r w:rsidR="007C06DB" w:rsidRPr="0059512A">
        <w:rPr>
          <w:sz w:val="26"/>
          <w:szCs w:val="26"/>
        </w:rPr>
        <w:t>the Company’s</w:t>
      </w:r>
      <w:r w:rsidRPr="0059512A">
        <w:rPr>
          <w:sz w:val="26"/>
          <w:szCs w:val="26"/>
        </w:rPr>
        <w:t xml:space="preserve"> position is reasonable and consistent with applicable law.</w:t>
      </w:r>
      <w:r w:rsidRPr="0059512A">
        <w:rPr>
          <w:color w:val="000000"/>
          <w:sz w:val="26"/>
          <w:szCs w:val="26"/>
        </w:rPr>
        <w:t xml:space="preserve">  </w:t>
      </w:r>
      <w:r w:rsidRPr="0059512A">
        <w:rPr>
          <w:sz w:val="26"/>
          <w:szCs w:val="26"/>
        </w:rPr>
        <w:t>Accordingly, we shall deny</w:t>
      </w:r>
      <w:r w:rsidR="007C06DB" w:rsidRPr="0059512A">
        <w:rPr>
          <w:sz w:val="26"/>
          <w:szCs w:val="26"/>
        </w:rPr>
        <w:t xml:space="preserve"> Citizens’</w:t>
      </w:r>
      <w:r w:rsidRPr="0059512A">
        <w:rPr>
          <w:sz w:val="26"/>
          <w:szCs w:val="26"/>
        </w:rPr>
        <w:t xml:space="preserve"> Exception No. </w:t>
      </w:r>
      <w:r w:rsidR="007C06DB" w:rsidRPr="0059512A">
        <w:rPr>
          <w:sz w:val="26"/>
          <w:szCs w:val="26"/>
        </w:rPr>
        <w:t>3</w:t>
      </w:r>
      <w:r w:rsidRPr="0059512A">
        <w:rPr>
          <w:sz w:val="26"/>
          <w:szCs w:val="26"/>
        </w:rPr>
        <w:t xml:space="preserve"> and adopt the ALJs’ recommendation on this issue</w:t>
      </w:r>
      <w:r w:rsidRPr="0059512A">
        <w:rPr>
          <w:color w:val="000000"/>
          <w:sz w:val="26"/>
          <w:szCs w:val="26"/>
        </w:rPr>
        <w:t>.</w:t>
      </w:r>
    </w:p>
    <w:bookmarkEnd w:id="97"/>
    <w:p w14:paraId="79010965" w14:textId="77777777" w:rsidR="00776DEC" w:rsidRPr="0059512A" w:rsidRDefault="00776DEC" w:rsidP="0059512A">
      <w:pPr>
        <w:widowControl/>
        <w:spacing w:line="360" w:lineRule="auto"/>
        <w:rPr>
          <w:sz w:val="26"/>
          <w:szCs w:val="26"/>
        </w:rPr>
      </w:pPr>
    </w:p>
    <w:p w14:paraId="6A6842A2" w14:textId="3B9363EE" w:rsidR="001C0238" w:rsidRPr="0059512A" w:rsidRDefault="001C0238" w:rsidP="0059512A">
      <w:pPr>
        <w:pStyle w:val="Heading3"/>
        <w:keepNext/>
        <w:ind w:left="1440" w:hanging="720"/>
      </w:pPr>
      <w:bookmarkStart w:id="98" w:name="_Toc38629283"/>
      <w:bookmarkStart w:id="99" w:name="_Hlk35845764"/>
      <w:r w:rsidRPr="0059512A">
        <w:t>Individual Adjustments</w:t>
      </w:r>
      <w:bookmarkEnd w:id="98"/>
    </w:p>
    <w:bookmarkEnd w:id="99"/>
    <w:p w14:paraId="4D7DA328" w14:textId="7E72CB5D" w:rsidR="00145928" w:rsidRPr="0059512A" w:rsidRDefault="00145928" w:rsidP="0059512A">
      <w:pPr>
        <w:keepNext/>
        <w:widowControl/>
        <w:spacing w:line="360" w:lineRule="auto"/>
        <w:rPr>
          <w:sz w:val="26"/>
          <w:szCs w:val="26"/>
        </w:rPr>
      </w:pPr>
    </w:p>
    <w:p w14:paraId="20ADA26E" w14:textId="72C58D41" w:rsidR="00145928" w:rsidRPr="0059512A" w:rsidRDefault="00145928" w:rsidP="0059512A">
      <w:pPr>
        <w:pStyle w:val="Heading4"/>
        <w:widowControl/>
        <w:numPr>
          <w:ilvl w:val="0"/>
          <w:numId w:val="24"/>
        </w:numPr>
        <w:ind w:left="2160" w:hanging="720"/>
      </w:pPr>
      <w:bookmarkStart w:id="100" w:name="_Toc38629284"/>
      <w:bookmarkStart w:id="101" w:name="_Hlk35846329"/>
      <w:r w:rsidRPr="0059512A">
        <w:t>General</w:t>
      </w:r>
      <w:bookmarkEnd w:id="100"/>
    </w:p>
    <w:p w14:paraId="430D7C79" w14:textId="1FC8EE93" w:rsidR="00145928" w:rsidRPr="0059512A" w:rsidRDefault="00145928" w:rsidP="0059512A">
      <w:pPr>
        <w:keepNext/>
        <w:widowControl/>
        <w:spacing w:line="360" w:lineRule="auto"/>
        <w:rPr>
          <w:sz w:val="26"/>
          <w:szCs w:val="26"/>
        </w:rPr>
      </w:pPr>
    </w:p>
    <w:p w14:paraId="7B672B6C" w14:textId="77777777" w:rsidR="00145928" w:rsidRPr="0059512A" w:rsidRDefault="00145928" w:rsidP="0059512A">
      <w:pPr>
        <w:pStyle w:val="ListParagraph"/>
        <w:keepNext/>
        <w:widowControl/>
        <w:numPr>
          <w:ilvl w:val="4"/>
          <w:numId w:val="7"/>
        </w:numPr>
        <w:spacing w:line="360" w:lineRule="auto"/>
        <w:ind w:left="2880" w:hanging="720"/>
        <w:rPr>
          <w:b/>
          <w:bCs/>
          <w:sz w:val="26"/>
          <w:szCs w:val="26"/>
        </w:rPr>
      </w:pPr>
      <w:r w:rsidRPr="0059512A">
        <w:rPr>
          <w:b/>
          <w:bCs/>
          <w:sz w:val="26"/>
          <w:szCs w:val="26"/>
        </w:rPr>
        <w:t>Positions of the Parties</w:t>
      </w:r>
    </w:p>
    <w:p w14:paraId="3FF9CED0" w14:textId="24BDA0CE" w:rsidR="00145928" w:rsidRPr="0059512A" w:rsidRDefault="00145928" w:rsidP="0059512A">
      <w:pPr>
        <w:keepNext/>
        <w:widowControl/>
        <w:spacing w:line="360" w:lineRule="auto"/>
        <w:rPr>
          <w:b/>
          <w:bCs/>
          <w:sz w:val="26"/>
          <w:szCs w:val="26"/>
        </w:rPr>
      </w:pPr>
    </w:p>
    <w:p w14:paraId="1412E016" w14:textId="3843B982" w:rsidR="007D6706" w:rsidRPr="0059512A" w:rsidRDefault="00C93401" w:rsidP="0059512A">
      <w:pPr>
        <w:keepNext/>
        <w:widowControl/>
        <w:spacing w:line="360" w:lineRule="auto"/>
        <w:ind w:firstLine="1440"/>
        <w:rPr>
          <w:rFonts w:eastAsiaTheme="minorHAnsi"/>
          <w:sz w:val="26"/>
          <w:szCs w:val="26"/>
        </w:rPr>
      </w:pPr>
      <w:r>
        <w:rPr>
          <w:rFonts w:eastAsiaTheme="minorHAnsi"/>
          <w:sz w:val="26"/>
          <w:szCs w:val="26"/>
        </w:rPr>
        <w:t xml:space="preserve">The OCA and </w:t>
      </w:r>
      <w:r w:rsidR="007D6706" w:rsidRPr="0059512A">
        <w:rPr>
          <w:rFonts w:eastAsiaTheme="minorHAnsi"/>
          <w:sz w:val="26"/>
          <w:szCs w:val="26"/>
        </w:rPr>
        <w:t xml:space="preserve">I&amp;E proposed individual adjustments to </w:t>
      </w:r>
      <w:r w:rsidR="00D149B2" w:rsidRPr="0059512A">
        <w:rPr>
          <w:rFonts w:eastAsiaTheme="minorHAnsi"/>
          <w:sz w:val="26"/>
          <w:szCs w:val="26"/>
        </w:rPr>
        <w:t>the Company’s</w:t>
      </w:r>
      <w:r w:rsidR="007D6706" w:rsidRPr="0059512A">
        <w:rPr>
          <w:rFonts w:eastAsiaTheme="minorHAnsi"/>
          <w:sz w:val="26"/>
          <w:szCs w:val="26"/>
        </w:rPr>
        <w:t xml:space="preserve"> expense claims.  </w:t>
      </w:r>
      <w:r w:rsidRPr="0059512A">
        <w:rPr>
          <w:rFonts w:eastAsiaTheme="minorHAnsi"/>
          <w:sz w:val="26"/>
          <w:szCs w:val="26"/>
        </w:rPr>
        <w:t>OCA M.B. 25-33</w:t>
      </w:r>
      <w:r>
        <w:rPr>
          <w:rFonts w:eastAsiaTheme="minorHAnsi"/>
          <w:sz w:val="26"/>
          <w:szCs w:val="26"/>
        </w:rPr>
        <w:t xml:space="preserve">; </w:t>
      </w:r>
      <w:r w:rsidR="007D6706" w:rsidRPr="0059512A">
        <w:rPr>
          <w:rFonts w:eastAsiaTheme="minorHAnsi"/>
          <w:sz w:val="26"/>
          <w:szCs w:val="26"/>
        </w:rPr>
        <w:t xml:space="preserve">I&amp;E M.B. at 15-25.  Citizens’ argued that the Commission should deny </w:t>
      </w:r>
      <w:r>
        <w:rPr>
          <w:rFonts w:eastAsiaTheme="minorHAnsi"/>
          <w:sz w:val="26"/>
          <w:szCs w:val="26"/>
        </w:rPr>
        <w:t xml:space="preserve">the OCA’s and </w:t>
      </w:r>
      <w:r w:rsidR="007D6706" w:rsidRPr="0059512A">
        <w:rPr>
          <w:rFonts w:eastAsiaTheme="minorHAnsi"/>
          <w:sz w:val="26"/>
          <w:szCs w:val="26"/>
        </w:rPr>
        <w:t xml:space="preserve">I&amp;E’s individual expense adjustments and approve the Company’s full expense claim as filed.  </w:t>
      </w:r>
    </w:p>
    <w:p w14:paraId="332B6517" w14:textId="77777777" w:rsidR="007D6706" w:rsidRPr="0059512A" w:rsidRDefault="007D6706" w:rsidP="0059512A">
      <w:pPr>
        <w:widowControl/>
        <w:spacing w:line="360" w:lineRule="auto"/>
        <w:ind w:firstLine="1440"/>
        <w:rPr>
          <w:rFonts w:eastAsiaTheme="minorHAnsi"/>
          <w:sz w:val="26"/>
          <w:szCs w:val="26"/>
        </w:rPr>
      </w:pPr>
    </w:p>
    <w:p w14:paraId="22D1E691" w14:textId="096F7511" w:rsidR="007D6706" w:rsidRPr="0059512A" w:rsidRDefault="007D6706" w:rsidP="0059512A">
      <w:pPr>
        <w:widowControl/>
        <w:spacing w:line="360" w:lineRule="auto"/>
        <w:ind w:firstLine="1440"/>
        <w:rPr>
          <w:rFonts w:eastAsiaTheme="minorHAnsi"/>
          <w:sz w:val="26"/>
          <w:szCs w:val="26"/>
        </w:rPr>
      </w:pPr>
      <w:r w:rsidRPr="0059512A">
        <w:rPr>
          <w:rFonts w:eastAsiaTheme="minorHAnsi"/>
          <w:sz w:val="26"/>
          <w:szCs w:val="26"/>
        </w:rPr>
        <w:t>Citizens’ stated that the approach of analyzing individual adjustments raises particular problems for a small utility like Citizens’, that shifts resources and priorities during the year as operational needs arises.  The Company argued that this approach actually penalizes it for being responsive and for applying resources where most needed and ignores the Company</w:t>
      </w:r>
      <w:r w:rsidR="00D149B2" w:rsidRPr="0059512A">
        <w:rPr>
          <w:rFonts w:eastAsiaTheme="minorHAnsi"/>
          <w:sz w:val="26"/>
          <w:szCs w:val="26"/>
        </w:rPr>
        <w:t>’</w:t>
      </w:r>
      <w:r w:rsidRPr="0059512A">
        <w:rPr>
          <w:rFonts w:eastAsiaTheme="minorHAnsi"/>
          <w:sz w:val="26"/>
          <w:szCs w:val="26"/>
        </w:rPr>
        <w:t xml:space="preserve">s success in managing overall costs close to its budgeted costs.  Citizens’ submitted that its </w:t>
      </w:r>
      <w:bookmarkStart w:id="102" w:name="_Hlk32493028"/>
      <w:r w:rsidRPr="0059512A">
        <w:rPr>
          <w:rFonts w:eastAsiaTheme="minorHAnsi"/>
          <w:sz w:val="26"/>
          <w:szCs w:val="26"/>
        </w:rPr>
        <w:t>9-month annualized expenses, adding a 3% inflation factor, is $2,695,345, which is $279 greater than it</w:t>
      </w:r>
      <w:r w:rsidR="00D149B2" w:rsidRPr="0059512A">
        <w:rPr>
          <w:rFonts w:eastAsiaTheme="minorHAnsi"/>
          <w:sz w:val="26"/>
          <w:szCs w:val="26"/>
        </w:rPr>
        <w:t>s</w:t>
      </w:r>
      <w:r w:rsidRPr="0059512A">
        <w:rPr>
          <w:rFonts w:eastAsiaTheme="minorHAnsi"/>
          <w:sz w:val="26"/>
          <w:szCs w:val="26"/>
        </w:rPr>
        <w:t xml:space="preserve"> FPFTY claim of $2,695,066.  </w:t>
      </w:r>
      <w:bookmarkEnd w:id="102"/>
      <w:r w:rsidRPr="0059512A">
        <w:rPr>
          <w:rFonts w:eastAsiaTheme="minorHAnsi"/>
          <w:sz w:val="26"/>
          <w:szCs w:val="26"/>
        </w:rPr>
        <w:t xml:space="preserve">The Company </w:t>
      </w:r>
      <w:r w:rsidRPr="0059512A">
        <w:rPr>
          <w:rFonts w:eastAsiaTheme="minorHAnsi"/>
          <w:sz w:val="26"/>
          <w:szCs w:val="26"/>
        </w:rPr>
        <w:lastRenderedPageBreak/>
        <w:t xml:space="preserve">proffered that because it has managed its expenses close to budget, and that such expenses are tracking slightly higher than projected for 2019, it is appropriate to approve its expense claim in </w:t>
      </w:r>
      <w:r w:rsidR="00C129B1">
        <w:rPr>
          <w:rFonts w:eastAsiaTheme="minorHAnsi"/>
          <w:sz w:val="26"/>
          <w:szCs w:val="26"/>
        </w:rPr>
        <w:t xml:space="preserve">its </w:t>
      </w:r>
      <w:r w:rsidRPr="0059512A">
        <w:rPr>
          <w:rFonts w:eastAsiaTheme="minorHAnsi"/>
          <w:sz w:val="26"/>
          <w:szCs w:val="26"/>
        </w:rPr>
        <w:t xml:space="preserve">entirety.  Citizens’ M.B. at 39-41.  </w:t>
      </w:r>
    </w:p>
    <w:p w14:paraId="3C2384FD" w14:textId="77777777" w:rsidR="007D6706" w:rsidRPr="0059512A" w:rsidRDefault="007D6706" w:rsidP="0059512A">
      <w:pPr>
        <w:widowControl/>
        <w:spacing w:line="360" w:lineRule="auto"/>
        <w:rPr>
          <w:b/>
          <w:bCs/>
          <w:sz w:val="26"/>
          <w:szCs w:val="26"/>
        </w:rPr>
      </w:pPr>
    </w:p>
    <w:p w14:paraId="6D7FCFB6" w14:textId="77777777" w:rsidR="00145928" w:rsidRPr="0059512A" w:rsidRDefault="00145928" w:rsidP="0059512A">
      <w:pPr>
        <w:pStyle w:val="ListParagraph"/>
        <w:keepNext/>
        <w:widowControl/>
        <w:numPr>
          <w:ilvl w:val="4"/>
          <w:numId w:val="7"/>
        </w:numPr>
        <w:spacing w:line="360" w:lineRule="auto"/>
        <w:ind w:left="2880" w:hanging="720"/>
        <w:rPr>
          <w:b/>
          <w:bCs/>
          <w:sz w:val="26"/>
          <w:szCs w:val="26"/>
        </w:rPr>
      </w:pPr>
      <w:r w:rsidRPr="0059512A">
        <w:rPr>
          <w:b/>
          <w:bCs/>
          <w:sz w:val="26"/>
          <w:szCs w:val="26"/>
        </w:rPr>
        <w:t>Recommended Decision</w:t>
      </w:r>
    </w:p>
    <w:p w14:paraId="5B506443" w14:textId="2825113C" w:rsidR="00145928" w:rsidRPr="0059512A" w:rsidRDefault="00145928" w:rsidP="0059512A">
      <w:pPr>
        <w:pStyle w:val="ListParagraph"/>
        <w:keepNext/>
        <w:widowControl/>
        <w:spacing w:line="360" w:lineRule="auto"/>
        <w:rPr>
          <w:b/>
          <w:bCs/>
          <w:sz w:val="26"/>
          <w:szCs w:val="26"/>
        </w:rPr>
      </w:pPr>
    </w:p>
    <w:p w14:paraId="7F4DED9B" w14:textId="77777777" w:rsidR="007D6706" w:rsidRPr="0059512A" w:rsidRDefault="007D6706" w:rsidP="0059512A">
      <w:pPr>
        <w:pStyle w:val="ListParagraph"/>
        <w:keepNext/>
        <w:widowControl/>
        <w:spacing w:line="360" w:lineRule="auto"/>
        <w:ind w:left="0" w:firstLine="1440"/>
        <w:rPr>
          <w:sz w:val="26"/>
          <w:szCs w:val="26"/>
        </w:rPr>
      </w:pPr>
      <w:r w:rsidRPr="0059512A">
        <w:rPr>
          <w:sz w:val="26"/>
          <w:szCs w:val="26"/>
        </w:rPr>
        <w:t>The ALJs rejected the Company’s approach in projecting its total FPFTY O&amp;M expense, finding it to be inconsistent with 66 Pa. C.S. §§ 315(a) and 1308(d), which provides that a public utility has the burden of proof to establish the justness and reasonableness of every element of its rate increase request.  Instead, the ALJs determined that each expense claim should be analyzed to determine the justness and reasonableness of each item.  R.D. at 27.</w:t>
      </w:r>
    </w:p>
    <w:p w14:paraId="17670223" w14:textId="77777777" w:rsidR="007D6706" w:rsidRPr="0059512A" w:rsidRDefault="007D6706" w:rsidP="0059512A">
      <w:pPr>
        <w:widowControl/>
        <w:spacing w:line="360" w:lineRule="auto"/>
        <w:rPr>
          <w:b/>
          <w:bCs/>
          <w:sz w:val="26"/>
          <w:szCs w:val="26"/>
        </w:rPr>
      </w:pPr>
    </w:p>
    <w:p w14:paraId="362354F4" w14:textId="77777777" w:rsidR="00145928" w:rsidRPr="0059512A" w:rsidRDefault="00145928" w:rsidP="0059512A">
      <w:pPr>
        <w:pStyle w:val="ListParagraph"/>
        <w:keepNext/>
        <w:widowControl/>
        <w:numPr>
          <w:ilvl w:val="4"/>
          <w:numId w:val="7"/>
        </w:numPr>
        <w:spacing w:line="360" w:lineRule="auto"/>
        <w:ind w:left="2880" w:hanging="720"/>
        <w:rPr>
          <w:b/>
          <w:bCs/>
          <w:sz w:val="26"/>
          <w:szCs w:val="26"/>
        </w:rPr>
      </w:pPr>
      <w:r w:rsidRPr="0059512A">
        <w:rPr>
          <w:b/>
          <w:bCs/>
          <w:sz w:val="26"/>
          <w:szCs w:val="26"/>
        </w:rPr>
        <w:t>Exceptions and Replies</w:t>
      </w:r>
    </w:p>
    <w:p w14:paraId="047EDCBA" w14:textId="6F16180E" w:rsidR="00145928" w:rsidRPr="0059512A" w:rsidRDefault="00145928" w:rsidP="0059512A">
      <w:pPr>
        <w:pStyle w:val="ListParagraph"/>
        <w:keepNext/>
        <w:widowControl/>
        <w:spacing w:line="360" w:lineRule="auto"/>
        <w:rPr>
          <w:b/>
          <w:bCs/>
          <w:sz w:val="26"/>
          <w:szCs w:val="26"/>
        </w:rPr>
      </w:pPr>
    </w:p>
    <w:p w14:paraId="3ABA1553" w14:textId="4E0B3DC9" w:rsidR="007D6706" w:rsidRPr="0059512A" w:rsidRDefault="007D6706" w:rsidP="0059512A">
      <w:pPr>
        <w:pStyle w:val="ListParagraph"/>
        <w:keepNext/>
        <w:widowControl/>
        <w:spacing w:line="360" w:lineRule="auto"/>
        <w:ind w:left="0" w:firstLine="1440"/>
        <w:rPr>
          <w:sz w:val="26"/>
          <w:szCs w:val="26"/>
        </w:rPr>
      </w:pPr>
      <w:r w:rsidRPr="0059512A">
        <w:rPr>
          <w:sz w:val="26"/>
          <w:szCs w:val="26"/>
        </w:rPr>
        <w:t xml:space="preserve">In its Exception No. 4, Citizens’ objects to the ALJs’ recommendation, maintaining that its primary proposal to approve its FPFTY expense claim based on the annualized FTY O&amp;M expense plus the 3% inflation adjustment is reasonable.  The Company </w:t>
      </w:r>
      <w:r w:rsidR="00855A26" w:rsidRPr="0059512A">
        <w:rPr>
          <w:sz w:val="26"/>
          <w:szCs w:val="26"/>
        </w:rPr>
        <w:t>submits</w:t>
      </w:r>
      <w:r w:rsidRPr="0059512A">
        <w:rPr>
          <w:sz w:val="26"/>
          <w:szCs w:val="26"/>
        </w:rPr>
        <w:t xml:space="preserve"> that the approach of analyzing individual adjustments is contrary to the practical operations of smaller public utilities and penalizes Citizens’ for effectively managing its budget.  To the extent that </w:t>
      </w:r>
      <w:r w:rsidR="00855A26" w:rsidRPr="0059512A">
        <w:rPr>
          <w:sz w:val="26"/>
          <w:szCs w:val="26"/>
        </w:rPr>
        <w:t>the Company’s</w:t>
      </w:r>
      <w:r w:rsidRPr="0059512A">
        <w:rPr>
          <w:sz w:val="26"/>
          <w:szCs w:val="26"/>
        </w:rPr>
        <w:t xml:space="preserve"> general objection to recommendations of specific adjustments to its O&amp;M expense claims is dismissed, the Company has responded to specific adjustments.  Citizens’ Exc. at 14-16.</w:t>
      </w:r>
    </w:p>
    <w:p w14:paraId="0FD0EA05" w14:textId="77777777" w:rsidR="007D6706" w:rsidRPr="0059512A" w:rsidRDefault="007D6706" w:rsidP="0059512A">
      <w:pPr>
        <w:pStyle w:val="ListParagraph"/>
        <w:widowControl/>
        <w:spacing w:line="360" w:lineRule="auto"/>
        <w:ind w:left="0" w:firstLine="1440"/>
        <w:rPr>
          <w:sz w:val="26"/>
          <w:szCs w:val="26"/>
        </w:rPr>
      </w:pPr>
    </w:p>
    <w:p w14:paraId="2E4933BA" w14:textId="57D869C9" w:rsidR="007D6706" w:rsidRPr="0059512A" w:rsidRDefault="007D6706" w:rsidP="0059512A">
      <w:pPr>
        <w:pStyle w:val="ListParagraph"/>
        <w:widowControl/>
        <w:spacing w:line="360" w:lineRule="auto"/>
        <w:ind w:left="0" w:firstLine="1440"/>
        <w:rPr>
          <w:sz w:val="26"/>
          <w:szCs w:val="26"/>
        </w:rPr>
      </w:pPr>
      <w:r w:rsidRPr="0059512A">
        <w:rPr>
          <w:sz w:val="26"/>
          <w:szCs w:val="26"/>
        </w:rPr>
        <w:t xml:space="preserve">In response, I&amp;E submits that the ALJs correctly rejected the Company’s proposition that individual expense claims not be examined.  I&amp;E objects to the Company’s update of its O&amp;M expenses at hearing and during rebuttal testimony because it rendered the non-Company Parties’ review essentially meaningless.  In addition, I&amp;E </w:t>
      </w:r>
      <w:r w:rsidRPr="0059512A">
        <w:rPr>
          <w:sz w:val="26"/>
          <w:szCs w:val="26"/>
        </w:rPr>
        <w:lastRenderedPageBreak/>
        <w:t xml:space="preserve">argues that </w:t>
      </w:r>
      <w:r w:rsidR="00855A26" w:rsidRPr="0059512A">
        <w:rPr>
          <w:sz w:val="26"/>
          <w:szCs w:val="26"/>
        </w:rPr>
        <w:t>it</w:t>
      </w:r>
      <w:r w:rsidRPr="0059512A">
        <w:rPr>
          <w:sz w:val="26"/>
          <w:szCs w:val="26"/>
        </w:rPr>
        <w:t xml:space="preserve"> violates due process principles because it prevents an opportunity to evaluate such late-brought claims.  I&amp;E R. Exc. at 3-4.</w:t>
      </w:r>
    </w:p>
    <w:p w14:paraId="245F2D39" w14:textId="77777777" w:rsidR="00774F08" w:rsidRPr="0059512A" w:rsidRDefault="00774F08" w:rsidP="0059512A">
      <w:pPr>
        <w:pStyle w:val="ListParagraph"/>
        <w:widowControl/>
        <w:spacing w:line="360" w:lineRule="auto"/>
        <w:ind w:left="0" w:firstLine="1440"/>
        <w:rPr>
          <w:sz w:val="26"/>
          <w:szCs w:val="26"/>
        </w:rPr>
      </w:pPr>
    </w:p>
    <w:p w14:paraId="49522FED" w14:textId="5BF9CA03" w:rsidR="007D6706" w:rsidRPr="0059512A" w:rsidRDefault="007D6706" w:rsidP="0059512A">
      <w:pPr>
        <w:pStyle w:val="ListParagraph"/>
        <w:widowControl/>
        <w:spacing w:line="360" w:lineRule="auto"/>
        <w:ind w:left="0" w:firstLine="1440"/>
        <w:rPr>
          <w:sz w:val="26"/>
          <w:szCs w:val="26"/>
        </w:rPr>
      </w:pPr>
      <w:r w:rsidRPr="0059512A">
        <w:rPr>
          <w:sz w:val="26"/>
          <w:szCs w:val="26"/>
        </w:rPr>
        <w:t>I&amp;E also contends that the Company’s position that total</w:t>
      </w:r>
      <w:r w:rsidRPr="0059512A">
        <w:rPr>
          <w:i/>
          <w:iCs/>
          <w:sz w:val="26"/>
          <w:szCs w:val="26"/>
        </w:rPr>
        <w:t xml:space="preserve"> </w:t>
      </w:r>
      <w:r w:rsidRPr="0059512A">
        <w:rPr>
          <w:sz w:val="26"/>
          <w:szCs w:val="26"/>
        </w:rPr>
        <w:t>O&amp;M costs should be scrutinized, rather than analyzing the merits, rationale, and the basis of each expense claim, would create a dangerous precedent and handicap the Parties’ ability to evaluate individual expense accounts.  I&amp;E therefore proceeded to address several individual expense claims that it contended were not reasonable or appropriate for furnishing service to customers.  I&amp;E R. Exc. at 4-5.</w:t>
      </w:r>
    </w:p>
    <w:p w14:paraId="71056A44" w14:textId="77777777" w:rsidR="007D6706" w:rsidRPr="0059512A" w:rsidRDefault="007D6706" w:rsidP="0059512A">
      <w:pPr>
        <w:pStyle w:val="ListParagraph"/>
        <w:widowControl/>
        <w:spacing w:line="360" w:lineRule="auto"/>
        <w:ind w:left="0" w:firstLine="1440"/>
        <w:rPr>
          <w:sz w:val="26"/>
          <w:szCs w:val="26"/>
        </w:rPr>
      </w:pPr>
    </w:p>
    <w:p w14:paraId="77CAA45E" w14:textId="77777777" w:rsidR="007D6706" w:rsidRPr="0059512A" w:rsidRDefault="007D6706" w:rsidP="0059512A">
      <w:pPr>
        <w:pStyle w:val="ListParagraph"/>
        <w:widowControl/>
        <w:spacing w:line="360" w:lineRule="auto"/>
        <w:ind w:left="0" w:firstLine="1440"/>
        <w:rPr>
          <w:sz w:val="26"/>
          <w:szCs w:val="26"/>
        </w:rPr>
      </w:pPr>
      <w:r w:rsidRPr="0059512A">
        <w:rPr>
          <w:sz w:val="26"/>
          <w:szCs w:val="26"/>
        </w:rPr>
        <w:t>The OCA echoes I&amp;E’s argument, stating that the Company has an obligation under the law to demonstrate each and every element of its claim is supported under the law.  Like I&amp;E, the OCA had also made recommendations pertaining to whether individual expense claims in the FPFTY are just and reasonable.  OCA R. Exc. at 9-10.</w:t>
      </w:r>
    </w:p>
    <w:p w14:paraId="75EC444D" w14:textId="77777777" w:rsidR="007D6706" w:rsidRPr="0059512A" w:rsidRDefault="007D6706" w:rsidP="0059512A">
      <w:pPr>
        <w:widowControl/>
        <w:spacing w:line="360" w:lineRule="auto"/>
        <w:rPr>
          <w:b/>
          <w:bCs/>
          <w:sz w:val="26"/>
          <w:szCs w:val="26"/>
        </w:rPr>
      </w:pPr>
    </w:p>
    <w:p w14:paraId="11E67502" w14:textId="77777777" w:rsidR="00145928" w:rsidRPr="0059512A" w:rsidRDefault="00145928" w:rsidP="0059512A">
      <w:pPr>
        <w:pStyle w:val="ListParagraph"/>
        <w:keepNext/>
        <w:widowControl/>
        <w:numPr>
          <w:ilvl w:val="4"/>
          <w:numId w:val="7"/>
        </w:numPr>
        <w:spacing w:line="360" w:lineRule="auto"/>
        <w:ind w:left="2880" w:hanging="720"/>
        <w:rPr>
          <w:b/>
          <w:bCs/>
          <w:sz w:val="26"/>
          <w:szCs w:val="26"/>
        </w:rPr>
      </w:pPr>
      <w:r w:rsidRPr="0059512A">
        <w:rPr>
          <w:b/>
          <w:bCs/>
          <w:sz w:val="26"/>
          <w:szCs w:val="26"/>
        </w:rPr>
        <w:t>Disposition</w:t>
      </w:r>
    </w:p>
    <w:p w14:paraId="7A754FE5" w14:textId="7383ABF0" w:rsidR="00145928" w:rsidRPr="0059512A" w:rsidRDefault="00145928" w:rsidP="0059512A">
      <w:pPr>
        <w:keepNext/>
        <w:widowControl/>
        <w:spacing w:line="360" w:lineRule="auto"/>
        <w:rPr>
          <w:sz w:val="26"/>
          <w:szCs w:val="26"/>
        </w:rPr>
      </w:pPr>
    </w:p>
    <w:p w14:paraId="72734C11" w14:textId="77777777" w:rsidR="00C80EE7" w:rsidRPr="0059512A" w:rsidRDefault="00C80EE7" w:rsidP="0059512A">
      <w:pPr>
        <w:keepNext/>
        <w:widowControl/>
        <w:spacing w:line="360" w:lineRule="auto"/>
        <w:ind w:firstLine="1440"/>
        <w:rPr>
          <w:sz w:val="26"/>
          <w:szCs w:val="26"/>
        </w:rPr>
      </w:pPr>
      <w:r w:rsidRPr="0059512A">
        <w:rPr>
          <w:sz w:val="26"/>
          <w:szCs w:val="26"/>
        </w:rPr>
        <w:t xml:space="preserve">In considering the record evidence and arguments before us, along with the Exceptions and Reply Exceptions of the Parties, we shall adopt the ALJs’ recommendation to evaluate the merits of the Parties’ positions on individual O&amp;M expense claims. </w:t>
      </w:r>
    </w:p>
    <w:p w14:paraId="4C3A1C50" w14:textId="77777777" w:rsidR="00C80EE7" w:rsidRPr="0059512A" w:rsidRDefault="00C80EE7" w:rsidP="0059512A">
      <w:pPr>
        <w:widowControl/>
        <w:spacing w:line="360" w:lineRule="auto"/>
        <w:ind w:firstLine="1440"/>
        <w:rPr>
          <w:sz w:val="26"/>
          <w:szCs w:val="26"/>
        </w:rPr>
      </w:pPr>
    </w:p>
    <w:p w14:paraId="6C5D17E1" w14:textId="796C11CA" w:rsidR="00C80EE7" w:rsidRPr="0059512A" w:rsidRDefault="00C80EE7" w:rsidP="0059512A">
      <w:pPr>
        <w:widowControl/>
        <w:spacing w:line="360" w:lineRule="auto"/>
        <w:ind w:firstLine="1440"/>
        <w:rPr>
          <w:sz w:val="26"/>
          <w:szCs w:val="26"/>
        </w:rPr>
      </w:pPr>
      <w:r w:rsidRPr="0059512A">
        <w:rPr>
          <w:sz w:val="26"/>
          <w:szCs w:val="26"/>
        </w:rPr>
        <w:t xml:space="preserve">We reject the Company’s position on this issue.  Citizens’ avers that Section 315(a) requires only that the public utility meets its burden of proof to show that the rate involved is just and reasonable, but it does not prescribe the methods used to demonstrate the justness and reasonableness of a proposed rate, or how individual expenses may be justified.  Citizens’ argues that its use of the most recent available data to develop its FPFTY projection is consistent with Section 315(a) because it reflects the </w:t>
      </w:r>
      <w:r w:rsidRPr="0059512A">
        <w:rPr>
          <w:sz w:val="26"/>
          <w:szCs w:val="26"/>
        </w:rPr>
        <w:lastRenderedPageBreak/>
        <w:t xml:space="preserve">actual FTY data for each expense account. </w:t>
      </w:r>
      <w:r w:rsidR="00BF1720" w:rsidRPr="0059512A">
        <w:rPr>
          <w:sz w:val="26"/>
          <w:szCs w:val="26"/>
        </w:rPr>
        <w:t xml:space="preserve"> </w:t>
      </w:r>
      <w:r w:rsidRPr="0059512A">
        <w:rPr>
          <w:sz w:val="26"/>
          <w:szCs w:val="26"/>
        </w:rPr>
        <w:t xml:space="preserve">Citizens’ Exc. at </w:t>
      </w:r>
      <w:r w:rsidR="00BF1720" w:rsidRPr="0059512A">
        <w:rPr>
          <w:sz w:val="26"/>
          <w:szCs w:val="26"/>
        </w:rPr>
        <w:t>15; Citizens’</w:t>
      </w:r>
      <w:r w:rsidRPr="0059512A">
        <w:rPr>
          <w:sz w:val="26"/>
          <w:szCs w:val="26"/>
        </w:rPr>
        <w:t xml:space="preserve"> M.B. at </w:t>
      </w:r>
      <w:r w:rsidR="00BF1720" w:rsidRPr="0059512A">
        <w:rPr>
          <w:sz w:val="26"/>
          <w:szCs w:val="26"/>
        </w:rPr>
        <w:t>38-39;</w:t>
      </w:r>
      <w:r w:rsidRPr="0059512A">
        <w:rPr>
          <w:sz w:val="26"/>
          <w:szCs w:val="26"/>
        </w:rPr>
        <w:t xml:space="preserve"> </w:t>
      </w:r>
      <w:r w:rsidR="00BF1720" w:rsidRPr="0059512A">
        <w:rPr>
          <w:sz w:val="26"/>
          <w:szCs w:val="26"/>
        </w:rPr>
        <w:t>Citizens’</w:t>
      </w:r>
      <w:r w:rsidRPr="0059512A">
        <w:rPr>
          <w:sz w:val="26"/>
          <w:szCs w:val="26"/>
        </w:rPr>
        <w:t xml:space="preserve"> St. </w:t>
      </w:r>
      <w:r w:rsidR="00BF1720" w:rsidRPr="0059512A">
        <w:rPr>
          <w:sz w:val="26"/>
          <w:szCs w:val="26"/>
        </w:rPr>
        <w:t>4</w:t>
      </w:r>
      <w:r w:rsidRPr="0059512A">
        <w:rPr>
          <w:sz w:val="26"/>
          <w:szCs w:val="26"/>
        </w:rPr>
        <w:t xml:space="preserve">-R at </w:t>
      </w:r>
      <w:r w:rsidR="00BF1720" w:rsidRPr="0059512A">
        <w:rPr>
          <w:sz w:val="26"/>
          <w:szCs w:val="26"/>
        </w:rPr>
        <w:t>3-</w:t>
      </w:r>
      <w:r w:rsidRPr="0059512A">
        <w:rPr>
          <w:sz w:val="26"/>
          <w:szCs w:val="26"/>
        </w:rPr>
        <w:t>4.</w:t>
      </w:r>
      <w:r w:rsidR="00BF1720" w:rsidRPr="0059512A">
        <w:rPr>
          <w:sz w:val="26"/>
          <w:szCs w:val="26"/>
        </w:rPr>
        <w:t xml:space="preserve"> </w:t>
      </w:r>
      <w:r w:rsidRPr="0059512A">
        <w:rPr>
          <w:sz w:val="26"/>
          <w:szCs w:val="26"/>
        </w:rPr>
        <w:t xml:space="preserve"> Accordingly, </w:t>
      </w:r>
      <w:r w:rsidR="00BF1720" w:rsidRPr="0059512A">
        <w:rPr>
          <w:sz w:val="26"/>
          <w:szCs w:val="26"/>
        </w:rPr>
        <w:t>Citizens’</w:t>
      </w:r>
      <w:r w:rsidRPr="0059512A">
        <w:rPr>
          <w:sz w:val="26"/>
          <w:szCs w:val="26"/>
        </w:rPr>
        <w:t xml:space="preserve"> argues the ALJs erred in evaluating the merits of the Parties’ positions on the </w:t>
      </w:r>
      <w:bookmarkStart w:id="103" w:name="_Hlk37934443"/>
      <w:r w:rsidRPr="0059512A">
        <w:rPr>
          <w:sz w:val="26"/>
          <w:szCs w:val="26"/>
        </w:rPr>
        <w:t>Company’s individual O&amp;M expense claims</w:t>
      </w:r>
      <w:bookmarkEnd w:id="103"/>
      <w:r w:rsidRPr="0059512A">
        <w:rPr>
          <w:sz w:val="26"/>
          <w:szCs w:val="26"/>
        </w:rPr>
        <w:t xml:space="preserve">. </w:t>
      </w:r>
      <w:bookmarkStart w:id="104" w:name="_Hlk37934723"/>
      <w:r w:rsidR="00BF1720" w:rsidRPr="0059512A">
        <w:rPr>
          <w:sz w:val="26"/>
          <w:szCs w:val="26"/>
        </w:rPr>
        <w:t xml:space="preserve"> </w:t>
      </w:r>
      <w:r w:rsidRPr="0059512A">
        <w:rPr>
          <w:sz w:val="26"/>
          <w:szCs w:val="26"/>
        </w:rPr>
        <w:t xml:space="preserve">We disagree, and therefore we shall deny </w:t>
      </w:r>
      <w:r w:rsidR="00BF1720" w:rsidRPr="0059512A">
        <w:rPr>
          <w:sz w:val="26"/>
          <w:szCs w:val="26"/>
        </w:rPr>
        <w:t>Citizens’</w:t>
      </w:r>
      <w:r w:rsidRPr="0059512A">
        <w:rPr>
          <w:sz w:val="26"/>
          <w:szCs w:val="26"/>
        </w:rPr>
        <w:t xml:space="preserve"> Exception No. </w:t>
      </w:r>
      <w:r w:rsidR="00BF1720" w:rsidRPr="0059512A">
        <w:rPr>
          <w:sz w:val="26"/>
          <w:szCs w:val="26"/>
        </w:rPr>
        <w:t>4</w:t>
      </w:r>
      <w:r w:rsidRPr="0059512A">
        <w:rPr>
          <w:sz w:val="26"/>
          <w:szCs w:val="26"/>
        </w:rPr>
        <w:t xml:space="preserve"> on this issue.</w:t>
      </w:r>
      <w:bookmarkEnd w:id="104"/>
    </w:p>
    <w:p w14:paraId="4A6A0561" w14:textId="77777777" w:rsidR="00C80EE7" w:rsidRPr="0059512A" w:rsidRDefault="00C80EE7" w:rsidP="0059512A">
      <w:pPr>
        <w:widowControl/>
        <w:spacing w:line="360" w:lineRule="auto"/>
        <w:ind w:firstLine="1440"/>
        <w:rPr>
          <w:sz w:val="26"/>
          <w:szCs w:val="26"/>
        </w:rPr>
      </w:pPr>
    </w:p>
    <w:p w14:paraId="5C4952F1" w14:textId="7C5019B2" w:rsidR="00652911" w:rsidRPr="0059512A" w:rsidRDefault="00C80EE7" w:rsidP="0059512A">
      <w:pPr>
        <w:widowControl/>
        <w:spacing w:line="360" w:lineRule="auto"/>
        <w:ind w:firstLine="1440"/>
        <w:rPr>
          <w:rFonts w:eastAsiaTheme="minorHAnsi"/>
          <w:sz w:val="26"/>
          <w:szCs w:val="26"/>
        </w:rPr>
      </w:pPr>
      <w:r w:rsidRPr="0059512A">
        <w:rPr>
          <w:sz w:val="26"/>
          <w:szCs w:val="26"/>
        </w:rPr>
        <w:t>We agree with the ALJs that, under Section 315(a) of the Code, the Company has the burden of proof to establish the justness and reasonableness of every element of its rate increase request filed under Section 1308(d) of the Code.  R.D. at 2</w:t>
      </w:r>
      <w:r w:rsidR="00BF1720" w:rsidRPr="0059512A">
        <w:rPr>
          <w:sz w:val="26"/>
          <w:szCs w:val="26"/>
        </w:rPr>
        <w:t>7</w:t>
      </w:r>
      <w:r w:rsidRPr="0059512A">
        <w:rPr>
          <w:sz w:val="26"/>
          <w:szCs w:val="26"/>
        </w:rPr>
        <w:t xml:space="preserve"> (citing 66 Pa.</w:t>
      </w:r>
      <w:r w:rsidR="00417616">
        <w:rPr>
          <w:sz w:val="26"/>
          <w:szCs w:val="26"/>
        </w:rPr>
        <w:t xml:space="preserve"> </w:t>
      </w:r>
      <w:r w:rsidRPr="0059512A">
        <w:rPr>
          <w:sz w:val="26"/>
          <w:szCs w:val="26"/>
        </w:rPr>
        <w:t>C.S. §§ 315(a), 1308(d)</w:t>
      </w:r>
      <w:r w:rsidR="00996591" w:rsidRPr="0059512A">
        <w:rPr>
          <w:sz w:val="26"/>
          <w:szCs w:val="26"/>
        </w:rPr>
        <w:t>)</w:t>
      </w:r>
      <w:r w:rsidRPr="0059512A">
        <w:rPr>
          <w:sz w:val="26"/>
          <w:szCs w:val="26"/>
        </w:rPr>
        <w:t xml:space="preserve">.  </w:t>
      </w:r>
      <w:r w:rsidR="00652911" w:rsidRPr="0059512A">
        <w:rPr>
          <w:rFonts w:eastAsiaTheme="minorHAnsi"/>
          <w:sz w:val="26"/>
          <w:szCs w:val="26"/>
        </w:rPr>
        <w:t>Section 315(a) of the Code sets forth the standard for the reasonableness of rates as follows:</w:t>
      </w:r>
    </w:p>
    <w:p w14:paraId="03FFDF4A" w14:textId="77777777" w:rsidR="00652911" w:rsidRPr="0059512A" w:rsidRDefault="00652911" w:rsidP="00455E7E">
      <w:pPr>
        <w:widowControl/>
        <w:ind w:firstLine="1440"/>
        <w:rPr>
          <w:rFonts w:eastAsiaTheme="minorHAnsi"/>
          <w:sz w:val="26"/>
          <w:szCs w:val="26"/>
        </w:rPr>
      </w:pPr>
    </w:p>
    <w:p w14:paraId="0A25D767" w14:textId="77777777" w:rsidR="00652911" w:rsidRPr="0059512A" w:rsidRDefault="00652911" w:rsidP="0059512A">
      <w:pPr>
        <w:keepNext/>
        <w:widowControl/>
        <w:ind w:left="1440" w:right="1440"/>
        <w:rPr>
          <w:color w:val="212121"/>
          <w:sz w:val="26"/>
          <w:szCs w:val="26"/>
        </w:rPr>
      </w:pPr>
      <w:r w:rsidRPr="0059512A">
        <w:rPr>
          <w:color w:val="212121"/>
          <w:sz w:val="26"/>
          <w:szCs w:val="26"/>
        </w:rPr>
        <w:t xml:space="preserve">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w:t>
      </w:r>
    </w:p>
    <w:p w14:paraId="68C542C3" w14:textId="77777777" w:rsidR="00652911" w:rsidRPr="0059512A" w:rsidRDefault="00652911" w:rsidP="0059512A">
      <w:pPr>
        <w:keepNext/>
        <w:widowControl/>
        <w:spacing w:line="360" w:lineRule="auto"/>
        <w:ind w:left="1440" w:right="1440"/>
        <w:rPr>
          <w:color w:val="212121"/>
          <w:sz w:val="26"/>
          <w:szCs w:val="26"/>
        </w:rPr>
      </w:pPr>
    </w:p>
    <w:p w14:paraId="57F8855E" w14:textId="729F2374" w:rsidR="00652911" w:rsidRPr="0059512A" w:rsidRDefault="00652911" w:rsidP="0059512A">
      <w:pPr>
        <w:keepNext/>
        <w:widowControl/>
        <w:spacing w:line="360" w:lineRule="auto"/>
        <w:rPr>
          <w:sz w:val="26"/>
          <w:szCs w:val="26"/>
        </w:rPr>
      </w:pPr>
      <w:r w:rsidRPr="0059512A">
        <w:rPr>
          <w:color w:val="212121"/>
          <w:sz w:val="26"/>
          <w:szCs w:val="26"/>
        </w:rPr>
        <w:t xml:space="preserve">66 Pa. C.S. § 315(a).  </w:t>
      </w:r>
    </w:p>
    <w:p w14:paraId="3EFA0B37" w14:textId="77777777" w:rsidR="00652911" w:rsidRPr="0059512A" w:rsidRDefault="00652911" w:rsidP="0059512A">
      <w:pPr>
        <w:widowControl/>
        <w:spacing w:line="360" w:lineRule="auto"/>
        <w:ind w:firstLine="1440"/>
        <w:rPr>
          <w:sz w:val="26"/>
          <w:szCs w:val="26"/>
        </w:rPr>
      </w:pPr>
    </w:p>
    <w:p w14:paraId="605D30C7" w14:textId="1B4957D0" w:rsidR="00C80EE7" w:rsidRPr="0059512A" w:rsidRDefault="00652911" w:rsidP="0059512A">
      <w:pPr>
        <w:widowControl/>
        <w:spacing w:line="360" w:lineRule="auto"/>
        <w:ind w:firstLine="1440"/>
        <w:rPr>
          <w:sz w:val="26"/>
          <w:szCs w:val="26"/>
        </w:rPr>
      </w:pPr>
      <w:r w:rsidRPr="0059512A">
        <w:rPr>
          <w:color w:val="212121"/>
          <w:sz w:val="26"/>
          <w:szCs w:val="26"/>
        </w:rPr>
        <w:t xml:space="preserve">Under this standard, we must reject the Company’s proposal to be relieved of its responsibility to establish the reasonableness of its individual expense claims on the basis that it is a smaller utility.  </w:t>
      </w:r>
      <w:r w:rsidR="00C80EE7" w:rsidRPr="0059512A">
        <w:rPr>
          <w:sz w:val="26"/>
          <w:szCs w:val="26"/>
        </w:rPr>
        <w:t>Thus, we agree with the ALJs’ determination that each litigated O&amp;M expense claim must be analyzed to determine the justness and reasonableness of the claim.</w:t>
      </w:r>
      <w:r w:rsidR="00BF1720" w:rsidRPr="0059512A">
        <w:rPr>
          <w:sz w:val="26"/>
          <w:szCs w:val="26"/>
        </w:rPr>
        <w:t xml:space="preserve"> </w:t>
      </w:r>
      <w:r w:rsidR="00C80EE7" w:rsidRPr="0059512A">
        <w:rPr>
          <w:sz w:val="26"/>
          <w:szCs w:val="26"/>
        </w:rPr>
        <w:t xml:space="preserve"> R.D. at 2</w:t>
      </w:r>
      <w:r w:rsidR="00BF1720" w:rsidRPr="0059512A">
        <w:rPr>
          <w:sz w:val="26"/>
          <w:szCs w:val="26"/>
        </w:rPr>
        <w:t>7</w:t>
      </w:r>
      <w:r w:rsidR="00C80EE7" w:rsidRPr="0059512A">
        <w:rPr>
          <w:sz w:val="26"/>
          <w:szCs w:val="26"/>
        </w:rPr>
        <w:t xml:space="preserve">. </w:t>
      </w:r>
      <w:r w:rsidR="00BF1720" w:rsidRPr="0059512A">
        <w:rPr>
          <w:sz w:val="26"/>
          <w:szCs w:val="26"/>
        </w:rPr>
        <w:t xml:space="preserve"> </w:t>
      </w:r>
      <w:r w:rsidR="00C80EE7" w:rsidRPr="0059512A">
        <w:rPr>
          <w:sz w:val="26"/>
          <w:szCs w:val="26"/>
        </w:rPr>
        <w:t>Based on this disposition, we will address below the merits of the Parties’ positions on individual O&amp;M expense claim which were raised in the Parties’ Exceptions.</w:t>
      </w:r>
    </w:p>
    <w:p w14:paraId="02EBDC6E" w14:textId="46700DA3" w:rsidR="001C0238" w:rsidRPr="0059512A" w:rsidRDefault="001C0238" w:rsidP="0059512A">
      <w:pPr>
        <w:pStyle w:val="Heading4"/>
        <w:widowControl/>
        <w:numPr>
          <w:ilvl w:val="0"/>
          <w:numId w:val="24"/>
        </w:numPr>
        <w:spacing w:line="240" w:lineRule="auto"/>
        <w:ind w:left="2160" w:hanging="720"/>
      </w:pPr>
      <w:bookmarkStart w:id="105" w:name="_Toc38629285"/>
      <w:r w:rsidRPr="0059512A">
        <w:lastRenderedPageBreak/>
        <w:t>Maintenance of Overhead Lines/Vegetation Management (Account</w:t>
      </w:r>
      <w:r w:rsidR="002B578E" w:rsidRPr="0059512A">
        <w:t> </w:t>
      </w:r>
      <w:r w:rsidRPr="0059512A">
        <w:t>593)</w:t>
      </w:r>
      <w:bookmarkEnd w:id="105"/>
    </w:p>
    <w:bookmarkEnd w:id="101"/>
    <w:p w14:paraId="29D2E47A" w14:textId="77777777" w:rsidR="001C0238" w:rsidRPr="0059512A" w:rsidRDefault="001C0238" w:rsidP="0059512A">
      <w:pPr>
        <w:keepNext/>
        <w:widowControl/>
        <w:spacing w:line="360" w:lineRule="auto"/>
        <w:rPr>
          <w:sz w:val="26"/>
          <w:szCs w:val="26"/>
        </w:rPr>
      </w:pPr>
    </w:p>
    <w:p w14:paraId="53BE7FDF" w14:textId="63528D5D" w:rsidR="005F28A1" w:rsidRPr="0059512A" w:rsidRDefault="001C0238" w:rsidP="0059512A">
      <w:pPr>
        <w:pStyle w:val="ListParagraph"/>
        <w:keepNext/>
        <w:widowControl/>
        <w:numPr>
          <w:ilvl w:val="0"/>
          <w:numId w:val="25"/>
        </w:numPr>
        <w:spacing w:line="360" w:lineRule="auto"/>
        <w:ind w:left="2880" w:hanging="720"/>
        <w:rPr>
          <w:b/>
          <w:bCs/>
          <w:sz w:val="26"/>
          <w:szCs w:val="26"/>
        </w:rPr>
      </w:pPr>
      <w:bookmarkStart w:id="106" w:name="_Hlk35844115"/>
      <w:r w:rsidRPr="0059512A">
        <w:rPr>
          <w:b/>
          <w:bCs/>
          <w:sz w:val="26"/>
          <w:szCs w:val="26"/>
        </w:rPr>
        <w:t>Positions of the Parties</w:t>
      </w:r>
    </w:p>
    <w:p w14:paraId="0ADAA56D" w14:textId="0FD19F67" w:rsidR="005F28A1" w:rsidRPr="0059512A" w:rsidRDefault="005F28A1" w:rsidP="0059512A">
      <w:pPr>
        <w:keepNext/>
        <w:widowControl/>
        <w:spacing w:line="360" w:lineRule="auto"/>
        <w:rPr>
          <w:b/>
          <w:bCs/>
          <w:sz w:val="26"/>
          <w:szCs w:val="26"/>
        </w:rPr>
      </w:pPr>
    </w:p>
    <w:p w14:paraId="1C9933F9" w14:textId="5D23E6FA" w:rsidR="001D4A1D" w:rsidRPr="0059512A" w:rsidRDefault="001D4A1D" w:rsidP="0059512A">
      <w:pPr>
        <w:keepNext/>
        <w:widowControl/>
        <w:spacing w:line="360" w:lineRule="auto"/>
        <w:ind w:firstLine="1440"/>
        <w:rPr>
          <w:sz w:val="26"/>
          <w:szCs w:val="26"/>
        </w:rPr>
      </w:pPr>
      <w:r w:rsidRPr="0059512A">
        <w:rPr>
          <w:sz w:val="26"/>
          <w:szCs w:val="26"/>
        </w:rPr>
        <w:t>Citizens’ made an original claim of $456,019 for maintenance of overhead lines for the FPFTY which includes salaries and wages, overhead, transportation, and material expense, and tree trimming (contractor services).  This projection is an increase in costs of $401,475 in the HTY to $456,019 for the FPFTY.  Citizens’ Exh._(HSG-1), Sch. C1-1.  According to Citizens’, the increase in costs is due to maintenance and repair of damage dealt to trees in Citizens’ service territory by the Emerald Ash Borer.</w:t>
      </w:r>
      <w:r w:rsidRPr="0059512A">
        <w:rPr>
          <w:sz w:val="26"/>
          <w:szCs w:val="26"/>
          <w:vertAlign w:val="superscript"/>
        </w:rPr>
        <w:t xml:space="preserve"> </w:t>
      </w:r>
      <w:r w:rsidRPr="0059512A">
        <w:rPr>
          <w:sz w:val="26"/>
          <w:szCs w:val="26"/>
        </w:rPr>
        <w:t xml:space="preserve"> Citizens’ claimed that trees damaged by the Borer pose a significant risk to its distribution lines, as the damaged trees are poised to fall onto overhead lines resulting in unnecessary outages and damage to its facilities.  The Company contended it will experience increased contractor costs when it comes to contracting with third parties in order to identify and remedy damaged trees, particularly damaged off right-of-way priority trees.</w:t>
      </w:r>
      <w:r w:rsidRPr="0059512A">
        <w:rPr>
          <w:color w:val="000000" w:themeColor="text1"/>
          <w:sz w:val="26"/>
          <w:szCs w:val="26"/>
        </w:rPr>
        <w:t xml:space="preserve">  </w:t>
      </w:r>
      <w:r w:rsidRPr="0059512A">
        <w:rPr>
          <w:sz w:val="26"/>
          <w:szCs w:val="26"/>
        </w:rPr>
        <w:t xml:space="preserve">Citizens’ St. 4 at 13-14.  </w:t>
      </w:r>
    </w:p>
    <w:p w14:paraId="3C6B8BAF" w14:textId="77777777" w:rsidR="001D4A1D" w:rsidRPr="0059512A" w:rsidRDefault="001D4A1D" w:rsidP="0059512A">
      <w:pPr>
        <w:widowControl/>
        <w:spacing w:line="360" w:lineRule="auto"/>
        <w:ind w:firstLine="1440"/>
        <w:rPr>
          <w:sz w:val="26"/>
          <w:szCs w:val="26"/>
        </w:rPr>
      </w:pPr>
    </w:p>
    <w:p w14:paraId="04DA8335" w14:textId="77777777" w:rsidR="001D4A1D" w:rsidRPr="0059512A" w:rsidRDefault="001D4A1D" w:rsidP="0059512A">
      <w:pPr>
        <w:widowControl/>
        <w:spacing w:line="360" w:lineRule="auto"/>
        <w:ind w:firstLine="1440"/>
        <w:rPr>
          <w:sz w:val="26"/>
          <w:szCs w:val="26"/>
        </w:rPr>
      </w:pPr>
      <w:r w:rsidRPr="0059512A">
        <w:rPr>
          <w:color w:val="000000" w:themeColor="text1"/>
          <w:sz w:val="26"/>
          <w:szCs w:val="26"/>
        </w:rPr>
        <w:t>The Company provided nine-month data for the FTY (as of September 30, 2019), which showed a FTY amount of $367,362 and an annualized amount of $489,816.  Applying a 3% inflation adjustment to the FTY annualized amount, Citizens’ calculated a new claim of $504,510 for the FPFTY.  Citizens’ St. 1-R at 4.  The Company argued that its claim i</w:t>
      </w:r>
      <w:r w:rsidRPr="0059512A">
        <w:rPr>
          <w:sz w:val="26"/>
          <w:szCs w:val="26"/>
        </w:rPr>
        <w:t>s conservative and projected future tree trimming costs will be higher, based upon contractor bids and the escalation for contracting services because of the existence of the Borer.  Citizens’ St. 4-R at 6.</w:t>
      </w:r>
    </w:p>
    <w:p w14:paraId="4DE8386F" w14:textId="77777777" w:rsidR="001D4A1D" w:rsidRPr="0059512A" w:rsidRDefault="001D4A1D" w:rsidP="0059512A">
      <w:pPr>
        <w:widowControl/>
        <w:spacing w:line="360" w:lineRule="auto"/>
        <w:ind w:firstLine="1440"/>
        <w:rPr>
          <w:sz w:val="26"/>
          <w:szCs w:val="26"/>
        </w:rPr>
      </w:pPr>
    </w:p>
    <w:p w14:paraId="38AF4E82" w14:textId="30378ECC" w:rsidR="001D4A1D" w:rsidRPr="0059512A" w:rsidRDefault="001D4A1D" w:rsidP="00595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rPr>
          <w:rFonts w:eastAsiaTheme="minorHAnsi"/>
          <w:b/>
          <w:bCs/>
          <w:sz w:val="26"/>
          <w:szCs w:val="26"/>
        </w:rPr>
      </w:pPr>
      <w:r w:rsidRPr="0059512A">
        <w:rPr>
          <w:rFonts w:eastAsiaTheme="minorHAnsi"/>
          <w:color w:val="000000" w:themeColor="text1"/>
          <w:sz w:val="26"/>
          <w:szCs w:val="26"/>
        </w:rPr>
        <w:t xml:space="preserve">I&amp;E recommended a downward adjustment of $9,564 to Citizens’ claim, </w:t>
      </w:r>
      <w:r w:rsidRPr="0059512A">
        <w:rPr>
          <w:rFonts w:eastAsiaTheme="minorHAnsi"/>
          <w:sz w:val="26"/>
          <w:szCs w:val="26"/>
        </w:rPr>
        <w:t xml:space="preserve">arguing that the Company experienced a fluctuating trend in material expense from 2016 through 2018.  I&amp;E asserted that Citizens’ did not support the significant increase of </w:t>
      </w:r>
      <w:r w:rsidRPr="0059512A">
        <w:rPr>
          <w:rFonts w:eastAsiaTheme="minorHAnsi"/>
          <w:sz w:val="26"/>
          <w:szCs w:val="26"/>
        </w:rPr>
        <w:lastRenderedPageBreak/>
        <w:t>25.15% from the HTY material expense to the FPFTY material expense.  I&amp;E</w:t>
      </w:r>
      <w:r w:rsidR="00916C05">
        <w:rPr>
          <w:rFonts w:eastAsiaTheme="minorHAnsi"/>
          <w:sz w:val="26"/>
          <w:szCs w:val="26"/>
        </w:rPr>
        <w:t xml:space="preserve"> </w:t>
      </w:r>
      <w:r w:rsidRPr="0059512A">
        <w:rPr>
          <w:rFonts w:eastAsiaTheme="minorHAnsi"/>
          <w:sz w:val="26"/>
          <w:szCs w:val="26"/>
        </w:rPr>
        <w:t>St. 1 at 17</w:t>
      </w:r>
      <w:r w:rsidR="000D2FD0">
        <w:rPr>
          <w:rFonts w:eastAsiaTheme="minorHAnsi"/>
          <w:sz w:val="26"/>
          <w:szCs w:val="26"/>
        </w:rPr>
        <w:noBreakHyphen/>
      </w:r>
      <w:r w:rsidRPr="0059512A">
        <w:rPr>
          <w:rFonts w:eastAsiaTheme="minorHAnsi"/>
          <w:sz w:val="26"/>
          <w:szCs w:val="26"/>
        </w:rPr>
        <w:t xml:space="preserve">18.  I&amp;E noted that Citizens’ claimed that material and contractor costs are the same, but I&amp;E alleged that there is no clear substantiation or breakdown of material expense to verify this claim.  I&amp;E did not dispute the increase to the contractor subcategory or any other subcategory of cost for the FTY and FPFTY.  I&amp;E R.B. at 12. </w:t>
      </w:r>
    </w:p>
    <w:p w14:paraId="63BC0535" w14:textId="77777777" w:rsidR="003972FD" w:rsidRPr="0059512A" w:rsidRDefault="003972FD" w:rsidP="00595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rPr>
          <w:rFonts w:eastAsiaTheme="minorHAnsi"/>
          <w:sz w:val="26"/>
          <w:szCs w:val="26"/>
        </w:rPr>
      </w:pPr>
    </w:p>
    <w:p w14:paraId="3863B555" w14:textId="3A4B3B9C" w:rsidR="001D4A1D" w:rsidRPr="0059512A" w:rsidRDefault="001D4A1D" w:rsidP="0059512A">
      <w:pPr>
        <w:widowControl/>
        <w:spacing w:line="360" w:lineRule="auto"/>
        <w:ind w:firstLine="1440"/>
        <w:rPr>
          <w:rFonts w:eastAsiaTheme="minorHAnsi" w:cstheme="minorBidi"/>
          <w:sz w:val="26"/>
          <w:szCs w:val="26"/>
        </w:rPr>
      </w:pPr>
      <w:r w:rsidRPr="0059512A">
        <w:rPr>
          <w:rFonts w:eastAsiaTheme="minorHAnsi"/>
          <w:sz w:val="26"/>
          <w:szCs w:val="26"/>
        </w:rPr>
        <w:t xml:space="preserve">The OCA recommended a downward adjustment of $40,652 to Citizens’ claim, arguing there has been a significant variance in vegetation management costs.  The OCA used a three-year average methodology to </w:t>
      </w:r>
      <w:r w:rsidRPr="0059512A">
        <w:rPr>
          <w:sz w:val="26"/>
          <w:szCs w:val="26"/>
        </w:rPr>
        <w:t>average the vegetation management contractor costs, concluding with a $40,652 reduction to Citizens’ claim</w:t>
      </w:r>
      <w:r w:rsidRPr="0059512A">
        <w:rPr>
          <w:rFonts w:eastAsiaTheme="minorHAnsi"/>
          <w:sz w:val="26"/>
          <w:szCs w:val="26"/>
        </w:rPr>
        <w:t>.  OCA M.B. at</w:t>
      </w:r>
      <w:r w:rsidR="000D2FD0">
        <w:rPr>
          <w:rFonts w:eastAsiaTheme="minorHAnsi"/>
          <w:sz w:val="26"/>
          <w:szCs w:val="26"/>
        </w:rPr>
        <w:t> </w:t>
      </w:r>
      <w:r w:rsidRPr="0059512A">
        <w:rPr>
          <w:rFonts w:eastAsiaTheme="minorHAnsi"/>
          <w:sz w:val="26"/>
          <w:szCs w:val="26"/>
        </w:rPr>
        <w:t>25-26; OCA St. 1-SR at 5.</w:t>
      </w:r>
    </w:p>
    <w:p w14:paraId="383918F3" w14:textId="77777777" w:rsidR="001D4A1D" w:rsidRPr="0059512A" w:rsidRDefault="001D4A1D" w:rsidP="0059512A">
      <w:pPr>
        <w:widowControl/>
        <w:spacing w:line="360" w:lineRule="auto"/>
        <w:rPr>
          <w:b/>
          <w:bCs/>
          <w:sz w:val="26"/>
          <w:szCs w:val="26"/>
        </w:rPr>
      </w:pPr>
    </w:p>
    <w:p w14:paraId="5B500F14" w14:textId="6B4B3161" w:rsidR="001C0238" w:rsidRPr="0059512A" w:rsidRDefault="001C0238" w:rsidP="0059512A">
      <w:pPr>
        <w:pStyle w:val="ListParagraph"/>
        <w:keepNext/>
        <w:keepLines/>
        <w:widowControl/>
        <w:numPr>
          <w:ilvl w:val="0"/>
          <w:numId w:val="25"/>
        </w:numPr>
        <w:spacing w:line="360" w:lineRule="auto"/>
        <w:ind w:left="2880" w:hanging="720"/>
        <w:rPr>
          <w:b/>
          <w:bCs/>
          <w:sz w:val="26"/>
          <w:szCs w:val="26"/>
        </w:rPr>
      </w:pPr>
      <w:r w:rsidRPr="0059512A">
        <w:rPr>
          <w:b/>
          <w:bCs/>
          <w:sz w:val="26"/>
          <w:szCs w:val="26"/>
        </w:rPr>
        <w:t>Recommended Decision</w:t>
      </w:r>
    </w:p>
    <w:p w14:paraId="5B0CBA66" w14:textId="0E54C2BB" w:rsidR="00A673B4" w:rsidRPr="0059512A" w:rsidRDefault="00A673B4" w:rsidP="0059512A">
      <w:pPr>
        <w:pStyle w:val="ListParagraph"/>
        <w:keepNext/>
        <w:keepLines/>
        <w:widowControl/>
        <w:spacing w:line="360" w:lineRule="auto"/>
        <w:rPr>
          <w:b/>
          <w:bCs/>
          <w:sz w:val="26"/>
          <w:szCs w:val="26"/>
        </w:rPr>
      </w:pPr>
    </w:p>
    <w:p w14:paraId="194C0CCF" w14:textId="190B8C0C" w:rsidR="001D4A1D" w:rsidRPr="0059512A" w:rsidRDefault="001D4A1D" w:rsidP="0059512A">
      <w:pPr>
        <w:keepNext/>
        <w:keepLines/>
        <w:widowControl/>
        <w:spacing w:line="360" w:lineRule="auto"/>
        <w:ind w:firstLine="1440"/>
        <w:rPr>
          <w:rFonts w:eastAsiaTheme="minorHAnsi"/>
          <w:sz w:val="26"/>
          <w:szCs w:val="26"/>
        </w:rPr>
      </w:pPr>
      <w:r w:rsidRPr="0059512A">
        <w:rPr>
          <w:rFonts w:eastAsiaTheme="minorHAnsi"/>
          <w:bCs/>
          <w:sz w:val="26"/>
          <w:szCs w:val="26"/>
        </w:rPr>
        <w:t xml:space="preserve">The ALJs found that Citizens’ provided </w:t>
      </w:r>
      <w:r w:rsidRPr="0059512A">
        <w:rPr>
          <w:rFonts w:eastAsiaTheme="minorHAnsi"/>
          <w:sz w:val="26"/>
          <w:szCs w:val="26"/>
        </w:rPr>
        <w:t>sufficient evidence to show that the proposed increase in vegetation management expenses is due to the known and measurable change of the Borer’s impact on this Account.  According to the ALJs, the Company provided sufficient evidence to show that its contractor costs will increase in order to combat the Borer vegetation crisis.  The ALJs acknowledged the Company’s evidence that demand for contractors have increased in response to combating the Borer, based upon bids it has received from contractors.  Regarding I&amp;E’s proposal for an adjustment based off historic material expense costs from 2016-2018, the ALJs found such an approach to be inappropriate because historic costs do not factor in the new threat posed by the Borer.  Likewise, the ALJs considered the OCA’s adjustment to be inappropriate because it used historical averages without reflecting the increased expenses the Company will experience in combating the new threat posed by the Borer.  R.D. 29-30.</w:t>
      </w:r>
    </w:p>
    <w:p w14:paraId="15942670" w14:textId="77777777" w:rsidR="001D4A1D" w:rsidRPr="0059512A" w:rsidRDefault="001D4A1D" w:rsidP="0059512A">
      <w:pPr>
        <w:widowControl/>
        <w:spacing w:line="360" w:lineRule="auto"/>
        <w:rPr>
          <w:rFonts w:eastAsiaTheme="minorHAnsi"/>
          <w:sz w:val="26"/>
          <w:szCs w:val="26"/>
        </w:rPr>
      </w:pPr>
    </w:p>
    <w:p w14:paraId="6F9343DE" w14:textId="77777777" w:rsidR="001D4A1D" w:rsidRPr="0059512A" w:rsidRDefault="001D4A1D" w:rsidP="0059512A">
      <w:pPr>
        <w:widowControl/>
        <w:spacing w:line="360" w:lineRule="auto"/>
        <w:ind w:firstLine="1440"/>
        <w:rPr>
          <w:rFonts w:eastAsiaTheme="minorHAnsi"/>
          <w:sz w:val="26"/>
          <w:szCs w:val="26"/>
        </w:rPr>
      </w:pPr>
      <w:r w:rsidRPr="0059512A">
        <w:rPr>
          <w:rFonts w:eastAsiaTheme="minorHAnsi"/>
          <w:sz w:val="26"/>
          <w:szCs w:val="26"/>
        </w:rPr>
        <w:lastRenderedPageBreak/>
        <w:t>Accepting either I&amp;E’s or the OCA’s positions on this issue would run the risk of under collection of this expense, the ALJs stated.  Such under collection of this expense could affect the Company’s ability to provide safe and reasonable service to its customers.  R.D. at 30 (citing 66 Pa. C.S. § 1501).</w:t>
      </w:r>
    </w:p>
    <w:p w14:paraId="7F9F89CA" w14:textId="77777777" w:rsidR="001D4A1D" w:rsidRPr="0059512A" w:rsidRDefault="001D4A1D" w:rsidP="0059512A">
      <w:pPr>
        <w:widowControl/>
        <w:spacing w:line="360" w:lineRule="auto"/>
        <w:ind w:firstLine="1440"/>
        <w:rPr>
          <w:rFonts w:eastAsiaTheme="minorHAnsi"/>
          <w:sz w:val="26"/>
          <w:szCs w:val="26"/>
        </w:rPr>
      </w:pPr>
    </w:p>
    <w:p w14:paraId="26760B30" w14:textId="14FE12E3" w:rsidR="001D4A1D" w:rsidRPr="0059512A" w:rsidRDefault="001D4A1D" w:rsidP="0059512A">
      <w:pPr>
        <w:widowControl/>
        <w:spacing w:line="360" w:lineRule="auto"/>
        <w:ind w:firstLine="1440"/>
        <w:rPr>
          <w:rFonts w:eastAsiaTheme="minorHAnsi" w:cstheme="minorBidi"/>
          <w:sz w:val="26"/>
          <w:szCs w:val="26"/>
        </w:rPr>
      </w:pPr>
      <w:r w:rsidRPr="0059512A">
        <w:rPr>
          <w:rFonts w:eastAsiaTheme="minorHAnsi"/>
          <w:sz w:val="26"/>
          <w:szCs w:val="26"/>
        </w:rPr>
        <w:t xml:space="preserve">Thus, the ALJs recommended that the Commission approve the Company’s claim for maintenance of overhead lines/vegetation management.  The ALJs noted that the Company’s costs will be higher than what Citizens’ initially projected in its filing.  Since the Company’s original claim of $456,019 is less than what its new claim would be at </w:t>
      </w:r>
      <w:r w:rsidRPr="0059512A">
        <w:rPr>
          <w:rFonts w:eastAsiaTheme="minorHAnsi"/>
          <w:color w:val="000000" w:themeColor="text1"/>
          <w:sz w:val="26"/>
          <w:szCs w:val="26"/>
        </w:rPr>
        <w:t>$504,510</w:t>
      </w:r>
      <w:r w:rsidRPr="0059512A">
        <w:rPr>
          <w:rFonts w:eastAsiaTheme="minorHAnsi"/>
          <w:sz w:val="26"/>
          <w:szCs w:val="26"/>
        </w:rPr>
        <w:t xml:space="preserve">, the ALJs recommended an allowance of </w:t>
      </w:r>
      <w:r w:rsidRPr="0059512A">
        <w:rPr>
          <w:rFonts w:eastAsiaTheme="minorHAnsi"/>
          <w:color w:val="000000" w:themeColor="text1"/>
          <w:sz w:val="26"/>
          <w:szCs w:val="26"/>
        </w:rPr>
        <w:t>$489,816 for Account 593 (the annualized actual costs incurred during the 9-month FTY), which is the new claim minus the 3% inflation adjustment.  R.D. at 30.</w:t>
      </w:r>
    </w:p>
    <w:p w14:paraId="28422973" w14:textId="77777777" w:rsidR="001D4A1D" w:rsidRPr="0059512A" w:rsidRDefault="001D4A1D" w:rsidP="0059512A">
      <w:pPr>
        <w:widowControl/>
        <w:spacing w:line="360" w:lineRule="auto"/>
        <w:rPr>
          <w:b/>
          <w:bCs/>
          <w:sz w:val="26"/>
          <w:szCs w:val="26"/>
        </w:rPr>
      </w:pPr>
    </w:p>
    <w:p w14:paraId="3EB258FD" w14:textId="1B1ABFFE" w:rsidR="00A673B4" w:rsidRPr="0059512A" w:rsidRDefault="00A673B4" w:rsidP="0059512A">
      <w:pPr>
        <w:pStyle w:val="ListParagraph"/>
        <w:keepNext/>
        <w:widowControl/>
        <w:numPr>
          <w:ilvl w:val="0"/>
          <w:numId w:val="25"/>
        </w:numPr>
        <w:spacing w:line="360" w:lineRule="auto"/>
        <w:ind w:left="2880" w:hanging="720"/>
        <w:rPr>
          <w:b/>
          <w:bCs/>
          <w:sz w:val="26"/>
          <w:szCs w:val="26"/>
        </w:rPr>
      </w:pPr>
      <w:r w:rsidRPr="0059512A">
        <w:rPr>
          <w:b/>
          <w:bCs/>
          <w:sz w:val="26"/>
          <w:szCs w:val="26"/>
        </w:rPr>
        <w:t>Exceptions and Replies</w:t>
      </w:r>
    </w:p>
    <w:p w14:paraId="0F2A72EE" w14:textId="56A3DC2A" w:rsidR="00A673B4" w:rsidRPr="0059512A" w:rsidRDefault="00A673B4" w:rsidP="0059512A">
      <w:pPr>
        <w:pStyle w:val="ListParagraph"/>
        <w:keepNext/>
        <w:widowControl/>
        <w:spacing w:line="360" w:lineRule="auto"/>
        <w:rPr>
          <w:b/>
          <w:bCs/>
          <w:sz w:val="26"/>
          <w:szCs w:val="26"/>
        </w:rPr>
      </w:pPr>
    </w:p>
    <w:p w14:paraId="76E1E019" w14:textId="77777777" w:rsidR="001D4A1D" w:rsidRPr="0059512A" w:rsidRDefault="001D4A1D" w:rsidP="0059512A">
      <w:pPr>
        <w:pStyle w:val="ListParagraph"/>
        <w:keepNext/>
        <w:widowControl/>
        <w:spacing w:line="360" w:lineRule="auto"/>
        <w:ind w:left="0" w:firstLine="1440"/>
        <w:rPr>
          <w:sz w:val="26"/>
          <w:szCs w:val="26"/>
        </w:rPr>
      </w:pPr>
      <w:r w:rsidRPr="0059512A">
        <w:rPr>
          <w:sz w:val="26"/>
          <w:szCs w:val="26"/>
        </w:rPr>
        <w:t>In its Exception No. 2, I&amp;E submits that Citizens’ did not sufficiently demonstrate that its claim for the Material expense subcategory is justified, and therefore, maintains its contention that Account 593 is overstated by $9,564.  I&amp;E argues that based on the historical fluctuating nature of the Material expense and the Company’s inability to verify that Material is simply a further breakdown of the Contractor subcategory, the Company cannot support the significant increase of 25.15% from the HTY Material expense to the FPFTY Material expense.  I&amp;E Exc. at 5-6 (citing I&amp;E M.B. at 20-21; I&amp;E R.B. at 11-12).</w:t>
      </w:r>
    </w:p>
    <w:p w14:paraId="525F0476" w14:textId="77777777" w:rsidR="001D4A1D" w:rsidRPr="0059512A" w:rsidRDefault="001D4A1D" w:rsidP="0059512A">
      <w:pPr>
        <w:pStyle w:val="ListParagraph"/>
        <w:widowControl/>
        <w:spacing w:line="360" w:lineRule="auto"/>
        <w:ind w:left="0" w:firstLine="1440"/>
        <w:rPr>
          <w:sz w:val="26"/>
          <w:szCs w:val="26"/>
        </w:rPr>
      </w:pPr>
    </w:p>
    <w:p w14:paraId="223AF391" w14:textId="53259287" w:rsidR="001D4A1D" w:rsidRPr="0059512A" w:rsidRDefault="001D4A1D" w:rsidP="0059512A">
      <w:pPr>
        <w:pStyle w:val="ListParagraph"/>
        <w:widowControl/>
        <w:spacing w:line="360" w:lineRule="auto"/>
        <w:ind w:left="0" w:firstLine="1440"/>
        <w:rPr>
          <w:sz w:val="26"/>
          <w:szCs w:val="26"/>
        </w:rPr>
      </w:pPr>
      <w:r w:rsidRPr="0059512A">
        <w:rPr>
          <w:sz w:val="26"/>
          <w:szCs w:val="26"/>
        </w:rPr>
        <w:t xml:space="preserve">In its Exception No. 2, the OCA excepts to the ALJs’ finding, contending that it fails to account for the fact that vegetation contractor costs have, and will continue to vary by year.  The OCA maintains that its recommendation to average the vegetation management contractor costs for three years, 2016 through 2018, is reasonable.  The OCA’s proposal would result in a $40,652 decrease to the Company’s original </w:t>
      </w:r>
      <w:r w:rsidRPr="0059512A">
        <w:rPr>
          <w:sz w:val="26"/>
          <w:szCs w:val="26"/>
        </w:rPr>
        <w:lastRenderedPageBreak/>
        <w:t>Account</w:t>
      </w:r>
      <w:r w:rsidR="00455E7E">
        <w:rPr>
          <w:sz w:val="26"/>
          <w:szCs w:val="26"/>
        </w:rPr>
        <w:t> </w:t>
      </w:r>
      <w:r w:rsidRPr="0059512A">
        <w:rPr>
          <w:sz w:val="26"/>
          <w:szCs w:val="26"/>
        </w:rPr>
        <w:t>593 expense claim of $456,019.  OCA Exc. at 5-6 (citing OCA M.B. at 25; OCA R.B. at</w:t>
      </w:r>
      <w:r w:rsidR="003972FD" w:rsidRPr="0059512A">
        <w:rPr>
          <w:sz w:val="26"/>
          <w:szCs w:val="26"/>
        </w:rPr>
        <w:t> </w:t>
      </w:r>
      <w:r w:rsidRPr="0059512A">
        <w:rPr>
          <w:sz w:val="26"/>
          <w:szCs w:val="26"/>
        </w:rPr>
        <w:t>16).</w:t>
      </w:r>
    </w:p>
    <w:p w14:paraId="4A9ECD34" w14:textId="77777777" w:rsidR="001D4A1D" w:rsidRPr="0059512A" w:rsidRDefault="001D4A1D" w:rsidP="0059512A">
      <w:pPr>
        <w:pStyle w:val="ListParagraph"/>
        <w:widowControl/>
        <w:spacing w:line="360" w:lineRule="auto"/>
        <w:ind w:left="0" w:firstLine="1440"/>
        <w:rPr>
          <w:sz w:val="26"/>
          <w:szCs w:val="26"/>
        </w:rPr>
      </w:pPr>
    </w:p>
    <w:p w14:paraId="4FBF7A0C" w14:textId="2F04196F" w:rsidR="001D4A1D" w:rsidRPr="0059512A" w:rsidRDefault="001D4A1D" w:rsidP="0059512A">
      <w:pPr>
        <w:widowControl/>
        <w:spacing w:line="360" w:lineRule="auto"/>
        <w:rPr>
          <w:sz w:val="26"/>
          <w:szCs w:val="26"/>
        </w:rPr>
      </w:pPr>
      <w:r w:rsidRPr="0059512A">
        <w:rPr>
          <w:sz w:val="26"/>
          <w:szCs w:val="26"/>
        </w:rPr>
        <w:tab/>
      </w:r>
      <w:r w:rsidRPr="0059512A">
        <w:rPr>
          <w:sz w:val="26"/>
          <w:szCs w:val="26"/>
        </w:rPr>
        <w:tab/>
        <w:t>Citizens’ responds that the Commission should adopt the ALJs’ recommendation as modified by the Company’s Exception No. 3 to include the 3% inflation adjustment for the FPFTY expense.  Citizens’ contends that I&amp;E and the OCA ignore the substantial evidence supporting the higher expense projections based on increasing contractor costs and the escalating spread of the Emerald Ash Borer.  Citizens’ R. Exc. at 2-4.</w:t>
      </w:r>
    </w:p>
    <w:p w14:paraId="4B508627" w14:textId="77777777" w:rsidR="00092994" w:rsidRPr="0059512A" w:rsidRDefault="00092994" w:rsidP="0059512A">
      <w:pPr>
        <w:widowControl/>
        <w:spacing w:line="360" w:lineRule="auto"/>
        <w:rPr>
          <w:sz w:val="26"/>
          <w:szCs w:val="26"/>
        </w:rPr>
      </w:pPr>
    </w:p>
    <w:p w14:paraId="6C443176" w14:textId="1FB32328" w:rsidR="00A673B4" w:rsidRPr="0059512A" w:rsidRDefault="00A673B4" w:rsidP="0059512A">
      <w:pPr>
        <w:pStyle w:val="ListParagraph"/>
        <w:keepNext/>
        <w:widowControl/>
        <w:numPr>
          <w:ilvl w:val="0"/>
          <w:numId w:val="25"/>
        </w:numPr>
        <w:spacing w:line="360" w:lineRule="auto"/>
        <w:ind w:left="2880" w:hanging="720"/>
        <w:rPr>
          <w:b/>
          <w:bCs/>
          <w:sz w:val="26"/>
          <w:szCs w:val="26"/>
        </w:rPr>
      </w:pPr>
      <w:r w:rsidRPr="0059512A">
        <w:rPr>
          <w:b/>
          <w:bCs/>
          <w:sz w:val="26"/>
          <w:szCs w:val="26"/>
        </w:rPr>
        <w:t>Disposition</w:t>
      </w:r>
    </w:p>
    <w:bookmarkEnd w:id="106"/>
    <w:p w14:paraId="7C253A11" w14:textId="2380A1B2" w:rsidR="001C0238" w:rsidRPr="0059512A" w:rsidRDefault="001C0238" w:rsidP="0059512A">
      <w:pPr>
        <w:keepNext/>
        <w:widowControl/>
        <w:spacing w:line="360" w:lineRule="auto"/>
        <w:rPr>
          <w:sz w:val="26"/>
          <w:szCs w:val="26"/>
        </w:rPr>
      </w:pPr>
    </w:p>
    <w:p w14:paraId="54F3CE1F" w14:textId="0CCCDBB0" w:rsidR="00652911" w:rsidRPr="0059512A" w:rsidRDefault="00652911" w:rsidP="0059512A">
      <w:pPr>
        <w:keepNext/>
        <w:widowControl/>
        <w:spacing w:line="360" w:lineRule="auto"/>
        <w:ind w:firstLine="1440"/>
        <w:rPr>
          <w:rFonts w:eastAsiaTheme="minorHAnsi"/>
          <w:sz w:val="26"/>
          <w:szCs w:val="26"/>
        </w:rPr>
      </w:pPr>
      <w:bookmarkStart w:id="107" w:name="_Hlk37224254"/>
      <w:r w:rsidRPr="0059512A">
        <w:rPr>
          <w:rFonts w:eastAsiaTheme="minorHAnsi"/>
          <w:sz w:val="26"/>
          <w:szCs w:val="26"/>
        </w:rPr>
        <w:t>Upon review, we shall deny I&amp;E Exception No. 2 and OCA Exception No.</w:t>
      </w:r>
      <w:r w:rsidR="00455E7E">
        <w:rPr>
          <w:rFonts w:eastAsiaTheme="minorHAnsi"/>
          <w:sz w:val="26"/>
          <w:szCs w:val="26"/>
        </w:rPr>
        <w:t> </w:t>
      </w:r>
      <w:r w:rsidRPr="0059512A">
        <w:rPr>
          <w:rFonts w:eastAsiaTheme="minorHAnsi"/>
          <w:sz w:val="26"/>
          <w:szCs w:val="26"/>
        </w:rPr>
        <w:t>2.  We agree with the findings of the ALJs that the Company has provided sufficient evidence to establish that the proposed increase in vegetation management expenses is due to a known a</w:t>
      </w:r>
      <w:r w:rsidR="005D5374" w:rsidRPr="0059512A">
        <w:rPr>
          <w:rFonts w:eastAsiaTheme="minorHAnsi"/>
          <w:sz w:val="26"/>
          <w:szCs w:val="26"/>
        </w:rPr>
        <w:t>nd</w:t>
      </w:r>
      <w:r w:rsidRPr="0059512A">
        <w:rPr>
          <w:rFonts w:eastAsiaTheme="minorHAnsi"/>
          <w:sz w:val="26"/>
          <w:szCs w:val="26"/>
        </w:rPr>
        <w:t xml:space="preserve"> measurable change to combat the Borer vegetation crisis.  Indeed, the Company has provided evidence that its claim is conservative and that future tree trimming costs will be higher than the projected amount based on bids received from contractors and on the demand for contractor services which has escalated due to the Borer problem.  Citizens’ St. 4-R at 6.</w:t>
      </w:r>
    </w:p>
    <w:p w14:paraId="28375806" w14:textId="77777777" w:rsidR="00652911" w:rsidRPr="0059512A" w:rsidRDefault="00652911" w:rsidP="0059512A">
      <w:pPr>
        <w:widowControl/>
        <w:spacing w:line="360" w:lineRule="auto"/>
        <w:ind w:firstLine="1440"/>
        <w:rPr>
          <w:rFonts w:eastAsiaTheme="minorHAnsi"/>
          <w:sz w:val="26"/>
          <w:szCs w:val="26"/>
        </w:rPr>
      </w:pPr>
    </w:p>
    <w:p w14:paraId="6E38B312" w14:textId="77777777" w:rsidR="00652911" w:rsidRPr="0059512A" w:rsidRDefault="00652911" w:rsidP="0059512A">
      <w:pPr>
        <w:widowControl/>
        <w:spacing w:line="360" w:lineRule="auto"/>
        <w:ind w:firstLine="1440"/>
        <w:rPr>
          <w:rFonts w:eastAsiaTheme="minorHAnsi"/>
          <w:sz w:val="26"/>
          <w:szCs w:val="26"/>
        </w:rPr>
      </w:pPr>
      <w:r w:rsidRPr="0059512A">
        <w:rPr>
          <w:rFonts w:eastAsiaTheme="minorHAnsi"/>
          <w:sz w:val="26"/>
          <w:szCs w:val="26"/>
        </w:rPr>
        <w:t xml:space="preserve">We further agree that the proposals of I&amp;E and the OCA would appear to expose Citizens’ to the risk of under collection for this expense which could affect its ability to provide safe and reasonable service to its customers.  Accordingly, we shall adopt the recommended allowance of $489,816 for Account 593.  </w:t>
      </w:r>
    </w:p>
    <w:bookmarkEnd w:id="107"/>
    <w:p w14:paraId="25A05824" w14:textId="77777777" w:rsidR="001D4A1D" w:rsidRPr="0059512A" w:rsidRDefault="001D4A1D" w:rsidP="0059512A">
      <w:pPr>
        <w:widowControl/>
        <w:spacing w:line="360" w:lineRule="auto"/>
        <w:rPr>
          <w:sz w:val="26"/>
          <w:szCs w:val="26"/>
        </w:rPr>
      </w:pPr>
    </w:p>
    <w:p w14:paraId="4E41C513" w14:textId="4C895239" w:rsidR="001C0238" w:rsidRPr="0059512A" w:rsidRDefault="001C0238" w:rsidP="0059512A">
      <w:pPr>
        <w:pStyle w:val="Heading4"/>
        <w:widowControl/>
      </w:pPr>
      <w:bookmarkStart w:id="108" w:name="_Toc38629286"/>
      <w:bookmarkStart w:id="109" w:name="_Hlk35844140"/>
      <w:r w:rsidRPr="0059512A">
        <w:lastRenderedPageBreak/>
        <w:t>Operations Supervision &amp; Maintenance Expense (Account 580)</w:t>
      </w:r>
      <w:bookmarkEnd w:id="108"/>
    </w:p>
    <w:bookmarkEnd w:id="109"/>
    <w:p w14:paraId="458AAAEC" w14:textId="73CBF633" w:rsidR="001C0238" w:rsidRPr="0059512A" w:rsidRDefault="001C0238" w:rsidP="0059512A">
      <w:pPr>
        <w:keepNext/>
        <w:widowControl/>
        <w:spacing w:line="360" w:lineRule="auto"/>
        <w:rPr>
          <w:sz w:val="26"/>
          <w:szCs w:val="26"/>
        </w:rPr>
      </w:pPr>
    </w:p>
    <w:p w14:paraId="382AEA6F" w14:textId="28BC3B4F" w:rsidR="00D27A01" w:rsidRPr="0059512A" w:rsidRDefault="00A673B4" w:rsidP="0059512A">
      <w:pPr>
        <w:pStyle w:val="ListParagraph"/>
        <w:keepNext/>
        <w:widowControl/>
        <w:spacing w:line="360" w:lineRule="auto"/>
        <w:ind w:left="2880" w:hanging="720"/>
        <w:rPr>
          <w:b/>
          <w:bCs/>
          <w:sz w:val="26"/>
          <w:szCs w:val="26"/>
        </w:rPr>
      </w:pPr>
      <w:r w:rsidRPr="0059512A">
        <w:rPr>
          <w:b/>
          <w:bCs/>
          <w:sz w:val="26"/>
          <w:szCs w:val="26"/>
        </w:rPr>
        <w:t>(1)</w:t>
      </w:r>
      <w:r w:rsidRPr="0059512A">
        <w:rPr>
          <w:b/>
          <w:bCs/>
          <w:sz w:val="26"/>
          <w:szCs w:val="26"/>
        </w:rPr>
        <w:tab/>
      </w:r>
      <w:r w:rsidR="00D27A01" w:rsidRPr="0059512A">
        <w:rPr>
          <w:b/>
          <w:bCs/>
          <w:sz w:val="26"/>
          <w:szCs w:val="26"/>
        </w:rPr>
        <w:t>Positions of the Parties</w:t>
      </w:r>
    </w:p>
    <w:p w14:paraId="61707399" w14:textId="16292060" w:rsidR="00D27A01" w:rsidRPr="0059512A" w:rsidRDefault="00D27A01" w:rsidP="0059512A">
      <w:pPr>
        <w:keepNext/>
        <w:widowControl/>
        <w:spacing w:line="360" w:lineRule="auto"/>
        <w:rPr>
          <w:b/>
          <w:bCs/>
          <w:sz w:val="26"/>
          <w:szCs w:val="26"/>
        </w:rPr>
      </w:pPr>
    </w:p>
    <w:p w14:paraId="66823380" w14:textId="1AD1193C" w:rsidR="00012A0E" w:rsidRPr="0059512A" w:rsidRDefault="00012A0E" w:rsidP="0059512A">
      <w:pPr>
        <w:keepNext/>
        <w:widowControl/>
        <w:spacing w:line="360" w:lineRule="auto"/>
        <w:ind w:firstLine="1440"/>
        <w:rPr>
          <w:sz w:val="26"/>
          <w:szCs w:val="26"/>
        </w:rPr>
      </w:pPr>
      <w:r w:rsidRPr="0059512A">
        <w:rPr>
          <w:rFonts w:eastAsiaTheme="minorHAnsi"/>
          <w:bCs/>
          <w:sz w:val="26"/>
          <w:szCs w:val="26"/>
        </w:rPr>
        <w:t xml:space="preserve">Citizens’ made an original claim of </w:t>
      </w:r>
      <w:r w:rsidRPr="0059512A">
        <w:rPr>
          <w:rFonts w:eastAsiaTheme="minorHAnsi"/>
          <w:sz w:val="26"/>
          <w:szCs w:val="26"/>
        </w:rPr>
        <w:t>$144,762 for operations supervision and maintenance expense in the FPFTY.  Using nin</w:t>
      </w:r>
      <w:r w:rsidRPr="0059512A">
        <w:rPr>
          <w:color w:val="000000" w:themeColor="text1"/>
          <w:sz w:val="26"/>
          <w:szCs w:val="26"/>
        </w:rPr>
        <w:t>e-month data for the FTY (as of September 30, 2019), the Company showed a FTY amount of $91,768 with an annualized amount of $122,357.  Applying a 3% inflation adjustment to the FTY annualized amount, Citizens’ claimed $126,028 for the FPFTY for this account.  Citizens’ St. 1-R at 4.</w:t>
      </w:r>
    </w:p>
    <w:p w14:paraId="2BFE9569" w14:textId="77777777" w:rsidR="00012A0E" w:rsidRPr="0059512A" w:rsidRDefault="00012A0E" w:rsidP="0059512A">
      <w:pPr>
        <w:widowControl/>
        <w:spacing w:line="360" w:lineRule="auto"/>
        <w:ind w:firstLine="1440"/>
        <w:rPr>
          <w:rFonts w:eastAsiaTheme="minorHAnsi"/>
          <w:sz w:val="26"/>
          <w:szCs w:val="26"/>
        </w:rPr>
      </w:pPr>
    </w:p>
    <w:p w14:paraId="60B6A3CD" w14:textId="69D74067" w:rsidR="00012A0E" w:rsidRPr="0059512A" w:rsidRDefault="00012A0E" w:rsidP="00595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rPr>
          <w:rFonts w:eastAsiaTheme="minorHAnsi"/>
          <w:sz w:val="26"/>
          <w:szCs w:val="26"/>
        </w:rPr>
      </w:pPr>
      <w:r w:rsidRPr="0059512A">
        <w:rPr>
          <w:rFonts w:eastAsiaTheme="minorHAnsi"/>
          <w:sz w:val="26"/>
          <w:szCs w:val="26"/>
        </w:rPr>
        <w:t>I&amp;E recommended an adjustment of $21,644 to Citizens’ claim.  I&amp;E’s recommendation for the FPFTY was based on the annualized FTY expense of $119,532 plus a 3% inflation increase for employee payroll and benefits expense.  This reflects removal of a one-time additional payroll cost ($53,998) due to employee overlap (while Citizens’ was training a new Senior Director of Engineering and Operations) incurred in the HTY ended on December 31, 2018.  I&amp;E St. 1 at 10-11.</w:t>
      </w:r>
    </w:p>
    <w:p w14:paraId="59B6D453" w14:textId="77777777" w:rsidR="00012A0E" w:rsidRPr="0059512A" w:rsidRDefault="00012A0E" w:rsidP="0059512A">
      <w:pPr>
        <w:widowControl/>
        <w:spacing w:line="360" w:lineRule="auto"/>
        <w:ind w:firstLine="1530"/>
        <w:rPr>
          <w:rFonts w:eastAsiaTheme="minorHAnsi"/>
          <w:sz w:val="26"/>
          <w:szCs w:val="26"/>
        </w:rPr>
      </w:pPr>
    </w:p>
    <w:p w14:paraId="55FC60B9" w14:textId="616F661B" w:rsidR="00012A0E" w:rsidRPr="0059512A" w:rsidRDefault="00012A0E" w:rsidP="0059512A">
      <w:pPr>
        <w:widowControl/>
        <w:spacing w:line="360" w:lineRule="auto"/>
        <w:ind w:firstLine="1440"/>
        <w:rPr>
          <w:rFonts w:eastAsiaTheme="minorHAnsi"/>
          <w:sz w:val="26"/>
          <w:szCs w:val="26"/>
        </w:rPr>
      </w:pPr>
      <w:r w:rsidRPr="0059512A">
        <w:rPr>
          <w:rFonts w:eastAsiaTheme="minorHAnsi"/>
          <w:sz w:val="26"/>
          <w:szCs w:val="26"/>
        </w:rPr>
        <w:t>Citizens’ opposed I&amp;E’s adjustment, asserting that the Company is preparing to address a significant number of retirements in the upcoming years.  To address the retirements, Citizens’ indicated that it is implementing a long-term and methodical transition strategy that will prevent a lapse in experience and job knowledge.  The Company submitted it will incorporate additional short-term staff overlaps during 2019 and beyond.  Thus, Citizens’ claimed that the overlap is not “one-time” as it will recur in a variety of transitions.  Citizens’ M.B. at 51; Citizens’ St. 4 at 15-16.</w:t>
      </w:r>
      <w:r w:rsidR="006B04DA" w:rsidRPr="0059512A">
        <w:rPr>
          <w:rFonts w:eastAsiaTheme="minorHAnsi"/>
          <w:sz w:val="26"/>
          <w:szCs w:val="26"/>
        </w:rPr>
        <w:t xml:space="preserve">  </w:t>
      </w:r>
    </w:p>
    <w:p w14:paraId="4E177A9D" w14:textId="77777777" w:rsidR="00012A0E" w:rsidRPr="0059512A" w:rsidRDefault="00012A0E" w:rsidP="0059512A">
      <w:pPr>
        <w:widowControl/>
        <w:spacing w:line="360" w:lineRule="auto"/>
        <w:rPr>
          <w:rFonts w:eastAsiaTheme="minorHAnsi"/>
          <w:sz w:val="26"/>
          <w:szCs w:val="26"/>
        </w:rPr>
      </w:pPr>
    </w:p>
    <w:p w14:paraId="75C7B7F7" w14:textId="77777777" w:rsidR="00012A0E" w:rsidRPr="0059512A" w:rsidRDefault="00012A0E" w:rsidP="0059512A">
      <w:pPr>
        <w:widowControl/>
        <w:spacing w:line="360" w:lineRule="auto"/>
        <w:ind w:firstLine="1440"/>
        <w:rPr>
          <w:rFonts w:eastAsiaTheme="minorHAnsi"/>
          <w:sz w:val="26"/>
          <w:szCs w:val="26"/>
        </w:rPr>
      </w:pPr>
      <w:r w:rsidRPr="0059512A">
        <w:rPr>
          <w:rFonts w:eastAsiaTheme="minorHAnsi"/>
          <w:sz w:val="26"/>
          <w:szCs w:val="26"/>
        </w:rPr>
        <w:t>In response, I&amp;E argued that Citizens’ witness testimony relating to anticipated retirements does not expressly relate to this expense claim and that I&amp;E’s recommendation is justified because neither the historical nor annualized FTY experience for this expense support Citizens’ claim.  I&amp;E St. 1 at 9-11.</w:t>
      </w:r>
    </w:p>
    <w:p w14:paraId="4BC01EF0" w14:textId="2C505B6B" w:rsidR="00A673B4" w:rsidRPr="0059512A" w:rsidRDefault="00A673B4" w:rsidP="0059512A">
      <w:pPr>
        <w:pStyle w:val="ListParagraph"/>
        <w:keepNext/>
        <w:widowControl/>
        <w:spacing w:line="360" w:lineRule="auto"/>
        <w:ind w:left="2880" w:hanging="720"/>
        <w:rPr>
          <w:b/>
          <w:bCs/>
          <w:sz w:val="26"/>
          <w:szCs w:val="26"/>
        </w:rPr>
      </w:pPr>
      <w:r w:rsidRPr="0059512A">
        <w:rPr>
          <w:b/>
          <w:bCs/>
          <w:sz w:val="26"/>
          <w:szCs w:val="26"/>
        </w:rPr>
        <w:lastRenderedPageBreak/>
        <w:t>(2)</w:t>
      </w:r>
      <w:r w:rsidRPr="0059512A">
        <w:rPr>
          <w:b/>
          <w:bCs/>
          <w:sz w:val="26"/>
          <w:szCs w:val="26"/>
        </w:rPr>
        <w:tab/>
      </w:r>
      <w:r w:rsidR="00D27A01" w:rsidRPr="0059512A">
        <w:rPr>
          <w:b/>
          <w:bCs/>
          <w:sz w:val="26"/>
          <w:szCs w:val="26"/>
        </w:rPr>
        <w:t>Recommended Decision</w:t>
      </w:r>
    </w:p>
    <w:p w14:paraId="1ADA4B45" w14:textId="6FAD4A05" w:rsidR="00D27A01" w:rsidRPr="0059512A" w:rsidRDefault="00D27A01" w:rsidP="0059512A">
      <w:pPr>
        <w:keepNext/>
        <w:widowControl/>
        <w:spacing w:line="360" w:lineRule="auto"/>
        <w:rPr>
          <w:b/>
          <w:bCs/>
          <w:sz w:val="26"/>
          <w:szCs w:val="26"/>
        </w:rPr>
      </w:pPr>
    </w:p>
    <w:p w14:paraId="65FD9295" w14:textId="3A105CFF" w:rsidR="00012A0E" w:rsidRPr="0059512A" w:rsidRDefault="00012A0E" w:rsidP="0059512A">
      <w:pPr>
        <w:keepNext/>
        <w:widowControl/>
        <w:spacing w:line="360" w:lineRule="auto"/>
        <w:ind w:firstLine="1440"/>
        <w:rPr>
          <w:sz w:val="26"/>
          <w:szCs w:val="26"/>
        </w:rPr>
      </w:pPr>
      <w:r w:rsidRPr="0059512A">
        <w:rPr>
          <w:sz w:val="26"/>
          <w:szCs w:val="26"/>
        </w:rPr>
        <w:t>The ALJs agreed with I&amp;E, citing the speculative nature of employee overlap and the associated increase in payroll cost based on anticipated employee retirements.  Although generally agreeing with I&amp;E on this issue, the ALJs noted I&amp;E’s recommendation of $123,118 ($144,762 - $21,644) included a 3% inflation adjustment for the FPFTY.  Therefore, consistent with their recommendation rejecting the Company’s 3% FPFTY inflation adjustment, the ALJs recommended that the Commission allow Citizens’ to recover $119,532 of its $144,762 claim for Account 580, based on annualization of actual costs incurred during the first 6 months of the FTY (as of June 30, 2019).  The ALJs noted that annualizing actual data for the first 9 months of the FTY produces an amount of $122,357.  R.D. at 30-32.</w:t>
      </w:r>
    </w:p>
    <w:p w14:paraId="449C3338" w14:textId="77777777" w:rsidR="00092994" w:rsidRPr="0059512A" w:rsidRDefault="00092994" w:rsidP="0059512A">
      <w:pPr>
        <w:widowControl/>
        <w:spacing w:line="360" w:lineRule="auto"/>
        <w:ind w:firstLine="1440"/>
        <w:rPr>
          <w:sz w:val="26"/>
          <w:szCs w:val="26"/>
        </w:rPr>
      </w:pPr>
    </w:p>
    <w:p w14:paraId="438655D5" w14:textId="3C4DFC78" w:rsidR="00D27A01" w:rsidRPr="0059512A" w:rsidRDefault="00A673B4" w:rsidP="0059512A">
      <w:pPr>
        <w:pStyle w:val="ListParagraph"/>
        <w:keepNext/>
        <w:widowControl/>
        <w:spacing w:line="360" w:lineRule="auto"/>
        <w:ind w:left="2880" w:hanging="720"/>
        <w:rPr>
          <w:b/>
          <w:bCs/>
          <w:sz w:val="26"/>
          <w:szCs w:val="26"/>
        </w:rPr>
      </w:pPr>
      <w:r w:rsidRPr="0059512A">
        <w:rPr>
          <w:b/>
          <w:bCs/>
          <w:sz w:val="26"/>
          <w:szCs w:val="26"/>
        </w:rPr>
        <w:t>(3)</w:t>
      </w:r>
      <w:r w:rsidRPr="0059512A">
        <w:rPr>
          <w:b/>
          <w:bCs/>
          <w:sz w:val="26"/>
          <w:szCs w:val="26"/>
        </w:rPr>
        <w:tab/>
      </w:r>
      <w:r w:rsidR="00D27A01" w:rsidRPr="0059512A">
        <w:rPr>
          <w:b/>
          <w:bCs/>
          <w:sz w:val="26"/>
          <w:szCs w:val="26"/>
        </w:rPr>
        <w:t>Exceptions and Replies</w:t>
      </w:r>
    </w:p>
    <w:p w14:paraId="139795F6" w14:textId="7C97C057" w:rsidR="00D27A01" w:rsidRPr="0059512A" w:rsidRDefault="00D27A01" w:rsidP="0059512A">
      <w:pPr>
        <w:keepNext/>
        <w:widowControl/>
        <w:spacing w:line="360" w:lineRule="auto"/>
        <w:rPr>
          <w:b/>
          <w:bCs/>
          <w:sz w:val="26"/>
          <w:szCs w:val="26"/>
        </w:rPr>
      </w:pPr>
    </w:p>
    <w:p w14:paraId="37DE9196" w14:textId="2B3E2702" w:rsidR="0002018C" w:rsidRDefault="0002018C" w:rsidP="00F371E1">
      <w:pPr>
        <w:widowControl/>
        <w:spacing w:line="360" w:lineRule="auto"/>
        <w:ind w:firstLine="1440"/>
        <w:rPr>
          <w:sz w:val="26"/>
          <w:szCs w:val="26"/>
        </w:rPr>
      </w:pPr>
      <w:r w:rsidRPr="0059512A">
        <w:rPr>
          <w:sz w:val="26"/>
          <w:szCs w:val="26"/>
        </w:rPr>
        <w:t>In Citizens’ Exception No. 5, the Company submits that the ALJs erred by adjusting the Company’s claim for Account 580, contending that the ALJs failed to recognize the evidence demonstrating that employee retirements will be a significant and ongoing issue for the Company, as well as failing to include a 3% inflation adjustment.  Citizens’ claims it should not need to guarantee retirements will occur, rather, the Company has met its burden of proof for this expense, projecting more than half of Citizens’ staff is expected to retire in the next 5-10 years.  Citizens’ Exc. at 16-17.</w:t>
      </w:r>
    </w:p>
    <w:p w14:paraId="0A6B3433" w14:textId="77777777" w:rsidR="000D2FD0" w:rsidRPr="0059512A" w:rsidRDefault="000D2FD0" w:rsidP="00F371E1">
      <w:pPr>
        <w:widowControl/>
        <w:spacing w:line="360" w:lineRule="auto"/>
        <w:ind w:firstLine="1440"/>
        <w:rPr>
          <w:sz w:val="26"/>
          <w:szCs w:val="26"/>
        </w:rPr>
      </w:pPr>
    </w:p>
    <w:p w14:paraId="06BF3134" w14:textId="77777777" w:rsidR="005A13D1" w:rsidRPr="0059512A" w:rsidRDefault="0002018C" w:rsidP="00F371E1">
      <w:pPr>
        <w:widowControl/>
        <w:spacing w:line="360" w:lineRule="auto"/>
        <w:ind w:firstLine="1440"/>
        <w:rPr>
          <w:sz w:val="26"/>
          <w:szCs w:val="26"/>
        </w:rPr>
      </w:pPr>
      <w:r w:rsidRPr="0059512A">
        <w:rPr>
          <w:sz w:val="26"/>
          <w:szCs w:val="26"/>
        </w:rPr>
        <w:t>In its replies, I&amp;E submits that the ALJs were correct to agree with its recommendation, as costs for employee overlap based off anticipated employee retirements are speculative in nature.  I&amp;E R. Exc. at 6-7.</w:t>
      </w:r>
      <w:r w:rsidRPr="0059512A">
        <w:rPr>
          <w:rStyle w:val="FootnoteReference"/>
          <w:sz w:val="26"/>
          <w:szCs w:val="26"/>
        </w:rPr>
        <w:footnoteReference w:id="12"/>
      </w:r>
      <w:r w:rsidRPr="0059512A">
        <w:rPr>
          <w:sz w:val="26"/>
          <w:szCs w:val="26"/>
        </w:rPr>
        <w:t xml:space="preserve">  </w:t>
      </w:r>
    </w:p>
    <w:p w14:paraId="000975A0" w14:textId="77777777" w:rsidR="005A13D1" w:rsidRPr="0059512A" w:rsidRDefault="005A13D1" w:rsidP="00F371E1">
      <w:pPr>
        <w:widowControl/>
        <w:spacing w:line="360" w:lineRule="auto"/>
        <w:ind w:firstLine="1440"/>
        <w:rPr>
          <w:sz w:val="26"/>
          <w:szCs w:val="26"/>
        </w:rPr>
      </w:pPr>
    </w:p>
    <w:p w14:paraId="70840AEB" w14:textId="6FCF5554" w:rsidR="0002018C" w:rsidRPr="0059512A" w:rsidRDefault="0002018C" w:rsidP="0059512A">
      <w:pPr>
        <w:widowControl/>
        <w:spacing w:line="360" w:lineRule="auto"/>
        <w:ind w:firstLine="1440"/>
        <w:rPr>
          <w:sz w:val="26"/>
          <w:szCs w:val="26"/>
        </w:rPr>
      </w:pPr>
      <w:r w:rsidRPr="0059512A">
        <w:rPr>
          <w:sz w:val="26"/>
          <w:szCs w:val="26"/>
        </w:rPr>
        <w:t>Consistent with the OCA’s opposition to a 3% inflation factor which Citizens’ proposed be applied to total</w:t>
      </w:r>
      <w:r w:rsidRPr="0059512A">
        <w:rPr>
          <w:i/>
          <w:iCs/>
          <w:sz w:val="26"/>
          <w:szCs w:val="26"/>
        </w:rPr>
        <w:t xml:space="preserve"> </w:t>
      </w:r>
      <w:r w:rsidRPr="0059512A">
        <w:rPr>
          <w:sz w:val="26"/>
          <w:szCs w:val="26"/>
        </w:rPr>
        <w:t>O&amp;M expenses, the OCA submits that the ALJs correctly excluded the Company’s proposed 3% inflation adjustment to Account 580 based on an annualization of FTY expense data.  OCA R. Exc. at 10.</w:t>
      </w:r>
    </w:p>
    <w:p w14:paraId="3E60A139" w14:textId="77777777" w:rsidR="0002018C" w:rsidRPr="0059512A" w:rsidRDefault="0002018C" w:rsidP="0059512A">
      <w:pPr>
        <w:widowControl/>
        <w:spacing w:line="360" w:lineRule="auto"/>
        <w:rPr>
          <w:b/>
          <w:bCs/>
          <w:sz w:val="26"/>
          <w:szCs w:val="26"/>
        </w:rPr>
      </w:pPr>
    </w:p>
    <w:p w14:paraId="3960C014" w14:textId="79ED3E01" w:rsidR="00D27A01" w:rsidRPr="0059512A" w:rsidRDefault="00A673B4" w:rsidP="0059512A">
      <w:pPr>
        <w:pStyle w:val="ListParagraph"/>
        <w:keepNext/>
        <w:widowControl/>
        <w:spacing w:line="360" w:lineRule="auto"/>
        <w:ind w:left="2880" w:hanging="720"/>
        <w:rPr>
          <w:b/>
          <w:bCs/>
          <w:sz w:val="26"/>
          <w:szCs w:val="26"/>
        </w:rPr>
      </w:pPr>
      <w:r w:rsidRPr="0059512A">
        <w:rPr>
          <w:b/>
          <w:bCs/>
          <w:sz w:val="26"/>
          <w:szCs w:val="26"/>
        </w:rPr>
        <w:t>(4)</w:t>
      </w:r>
      <w:r w:rsidRPr="0059512A">
        <w:rPr>
          <w:b/>
          <w:bCs/>
          <w:sz w:val="26"/>
          <w:szCs w:val="26"/>
        </w:rPr>
        <w:tab/>
      </w:r>
      <w:r w:rsidR="00D27A01" w:rsidRPr="0059512A">
        <w:rPr>
          <w:b/>
          <w:bCs/>
          <w:sz w:val="26"/>
          <w:szCs w:val="26"/>
        </w:rPr>
        <w:t>Disposition</w:t>
      </w:r>
    </w:p>
    <w:p w14:paraId="72B0F3E4" w14:textId="5B00EA00" w:rsidR="001C0238" w:rsidRPr="0059512A" w:rsidRDefault="001C0238" w:rsidP="0059512A">
      <w:pPr>
        <w:keepNext/>
        <w:widowControl/>
        <w:spacing w:line="360" w:lineRule="auto"/>
        <w:rPr>
          <w:sz w:val="26"/>
          <w:szCs w:val="26"/>
        </w:rPr>
      </w:pPr>
    </w:p>
    <w:p w14:paraId="110BC015" w14:textId="1DF9EF9B" w:rsidR="00652911" w:rsidRPr="0059512A" w:rsidRDefault="00652911" w:rsidP="0059512A">
      <w:pPr>
        <w:keepNext/>
        <w:widowControl/>
        <w:spacing w:line="360" w:lineRule="auto"/>
        <w:ind w:firstLine="1440"/>
        <w:rPr>
          <w:sz w:val="26"/>
          <w:szCs w:val="26"/>
        </w:rPr>
      </w:pPr>
      <w:r w:rsidRPr="0059512A">
        <w:rPr>
          <w:sz w:val="26"/>
          <w:szCs w:val="26"/>
        </w:rPr>
        <w:t>We shall deny Citizens’ Exception No. 5 and adopt the ALJs’ recommendation.  The Company’s projection of a significant number of retirements in the next 5-10 years is speculative in nature.  As the ALJs correctly reasoned, there is no guarantee that such staff members will retire and the Company cannot establish that the proposed retirements can be expressly related to this expense claim.  Here, Citizens’ could not establish that employee turnover will occur in a variety of transitions.  Since it appears that such expenses would be imprudently incurred and abnormally overstated during the test year, the ALJs appropriately determined that the proposed expense should be disallowed and not recoverable through rates.</w:t>
      </w:r>
      <w:r w:rsidR="00EE6893" w:rsidRPr="0059512A">
        <w:rPr>
          <w:sz w:val="26"/>
          <w:szCs w:val="26"/>
        </w:rPr>
        <w:t xml:space="preserve">  </w:t>
      </w:r>
      <w:r w:rsidRPr="0059512A">
        <w:rPr>
          <w:sz w:val="26"/>
          <w:szCs w:val="26"/>
        </w:rPr>
        <w:t>Accordingly, we shall adopt an allowance of $119,532 for Account 580.</w:t>
      </w:r>
    </w:p>
    <w:p w14:paraId="183032CF" w14:textId="77777777" w:rsidR="0002018C" w:rsidRPr="0059512A" w:rsidRDefault="0002018C" w:rsidP="0059512A">
      <w:pPr>
        <w:widowControl/>
        <w:spacing w:line="360" w:lineRule="auto"/>
        <w:rPr>
          <w:sz w:val="26"/>
          <w:szCs w:val="26"/>
        </w:rPr>
      </w:pPr>
    </w:p>
    <w:p w14:paraId="4AE98378" w14:textId="49A2BA0F" w:rsidR="001C0238" w:rsidRPr="0059512A" w:rsidRDefault="001C0238" w:rsidP="0059512A">
      <w:pPr>
        <w:pStyle w:val="Heading4"/>
        <w:widowControl/>
      </w:pPr>
      <w:bookmarkStart w:id="110" w:name="_Toc38629287"/>
      <w:r w:rsidRPr="0059512A">
        <w:t>Miscellaneous Distribution Expense (Account 588)</w:t>
      </w:r>
      <w:bookmarkEnd w:id="110"/>
    </w:p>
    <w:p w14:paraId="08FCED67" w14:textId="6FF42D02" w:rsidR="001C0238" w:rsidRPr="0059512A" w:rsidRDefault="001C0238" w:rsidP="0059512A">
      <w:pPr>
        <w:keepNext/>
        <w:widowControl/>
        <w:spacing w:line="360" w:lineRule="auto"/>
        <w:rPr>
          <w:sz w:val="26"/>
          <w:szCs w:val="26"/>
        </w:rPr>
      </w:pPr>
    </w:p>
    <w:p w14:paraId="4C32A087" w14:textId="73A882DE"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(1)</w:t>
      </w:r>
      <w:r w:rsidRPr="0059512A">
        <w:rPr>
          <w:b/>
          <w:bCs/>
          <w:sz w:val="26"/>
          <w:szCs w:val="26"/>
        </w:rPr>
        <w:tab/>
      </w:r>
      <w:r w:rsidR="00D27A01" w:rsidRPr="0059512A">
        <w:rPr>
          <w:b/>
          <w:bCs/>
          <w:sz w:val="26"/>
          <w:szCs w:val="26"/>
        </w:rPr>
        <w:t>Positions of the Parties</w:t>
      </w:r>
    </w:p>
    <w:p w14:paraId="4D452D04" w14:textId="2955B26B" w:rsidR="00D27A01" w:rsidRPr="0059512A" w:rsidRDefault="00D27A01" w:rsidP="0059512A">
      <w:pPr>
        <w:keepNext/>
        <w:widowControl/>
        <w:spacing w:line="360" w:lineRule="auto"/>
        <w:rPr>
          <w:b/>
          <w:bCs/>
          <w:sz w:val="26"/>
          <w:szCs w:val="26"/>
        </w:rPr>
      </w:pPr>
    </w:p>
    <w:p w14:paraId="5D8A5D3D" w14:textId="77777777" w:rsidR="00C41A46" w:rsidRPr="0059512A" w:rsidRDefault="00C41A46" w:rsidP="0059512A">
      <w:pPr>
        <w:keepNext/>
        <w:widowControl/>
        <w:spacing w:line="360" w:lineRule="auto"/>
        <w:ind w:firstLine="1440"/>
        <w:rPr>
          <w:sz w:val="26"/>
          <w:szCs w:val="26"/>
        </w:rPr>
      </w:pPr>
      <w:r w:rsidRPr="0059512A">
        <w:rPr>
          <w:sz w:val="26"/>
          <w:szCs w:val="26"/>
        </w:rPr>
        <w:t xml:space="preserve">Citizens’ made an original claim of $275,814 </w:t>
      </w:r>
      <w:r w:rsidRPr="0059512A">
        <w:rPr>
          <w:bCs/>
          <w:sz w:val="26"/>
          <w:szCs w:val="26"/>
        </w:rPr>
        <w:t>i</w:t>
      </w:r>
      <w:r w:rsidRPr="0059512A">
        <w:rPr>
          <w:sz w:val="26"/>
          <w:szCs w:val="26"/>
        </w:rPr>
        <w:t>n the FPFTY for the miscellaneous distribution expense</w:t>
      </w:r>
      <w:r w:rsidRPr="0059512A">
        <w:t xml:space="preserve"> </w:t>
      </w:r>
      <w:r w:rsidRPr="0059512A">
        <w:rPr>
          <w:sz w:val="26"/>
          <w:szCs w:val="26"/>
        </w:rPr>
        <w:t xml:space="preserve">which includes employee salaries and wages, overhead (employee benefits), transportation, material, safety material, travel, and retiree health expenses.  </w:t>
      </w:r>
      <w:r w:rsidRPr="0059512A">
        <w:rPr>
          <w:color w:val="000000" w:themeColor="text1"/>
          <w:sz w:val="26"/>
          <w:szCs w:val="26"/>
        </w:rPr>
        <w:t xml:space="preserve">Using nine-month data for the FTY (as of September 30, 2019), the Company showed a FTY amount of $201,725 with an annualized amount of $268,967.  </w:t>
      </w:r>
      <w:r w:rsidRPr="0059512A">
        <w:rPr>
          <w:color w:val="000000" w:themeColor="text1"/>
          <w:sz w:val="26"/>
          <w:szCs w:val="26"/>
        </w:rPr>
        <w:lastRenderedPageBreak/>
        <w:t>Applying a 3% inflation adjustment to the FTY annualized amount, the Company calculated a new claim amount of $277,036 for the FPFTY.  Citizens’ St. 1-R at 4.</w:t>
      </w:r>
    </w:p>
    <w:p w14:paraId="2027CB6C" w14:textId="77777777" w:rsidR="00C41A46" w:rsidRPr="0059512A" w:rsidRDefault="00C41A46" w:rsidP="0059512A">
      <w:pPr>
        <w:widowControl/>
        <w:spacing w:line="360" w:lineRule="auto"/>
        <w:ind w:firstLine="1440"/>
        <w:jc w:val="both"/>
        <w:rPr>
          <w:sz w:val="26"/>
          <w:szCs w:val="26"/>
        </w:rPr>
      </w:pPr>
    </w:p>
    <w:p w14:paraId="31B3B50B" w14:textId="22F5B3C4" w:rsidR="00C41A46" w:rsidRPr="0059512A" w:rsidRDefault="00C41A46" w:rsidP="00595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contextualSpacing/>
        <w:rPr>
          <w:rFonts w:eastAsiaTheme="minorHAnsi"/>
          <w:sz w:val="26"/>
          <w:szCs w:val="26"/>
        </w:rPr>
      </w:pPr>
      <w:r w:rsidRPr="0059512A">
        <w:rPr>
          <w:rFonts w:eastAsiaTheme="minorHAnsi"/>
          <w:sz w:val="26"/>
          <w:szCs w:val="26"/>
        </w:rPr>
        <w:t>I&amp;E recommended a downward adjustment of $9,218 to the Company’s original claim.  In making its recommendation, I&amp;E argued that the Company’s significantly increased material expense claim in the FPFTY over the HTY expense was not justified and supported by the most recent three years’ declining expense trend.  I&amp;E St. 1 at 13.</w:t>
      </w:r>
      <w:r w:rsidR="006B04DA" w:rsidRPr="0059512A">
        <w:rPr>
          <w:rFonts w:eastAsiaTheme="minorHAnsi"/>
          <w:sz w:val="26"/>
          <w:szCs w:val="26"/>
        </w:rPr>
        <w:t xml:space="preserve">  </w:t>
      </w:r>
      <w:r w:rsidRPr="0059512A">
        <w:rPr>
          <w:rFonts w:eastAsiaTheme="minorHAnsi"/>
          <w:sz w:val="26"/>
          <w:szCs w:val="26"/>
        </w:rPr>
        <w:t>I&amp;E argue</w:t>
      </w:r>
      <w:r w:rsidR="00F26218" w:rsidRPr="0059512A">
        <w:rPr>
          <w:rFonts w:eastAsiaTheme="minorHAnsi"/>
          <w:sz w:val="26"/>
          <w:szCs w:val="26"/>
        </w:rPr>
        <w:t>d</w:t>
      </w:r>
      <w:r w:rsidRPr="0059512A">
        <w:rPr>
          <w:rFonts w:eastAsiaTheme="minorHAnsi"/>
          <w:sz w:val="26"/>
          <w:szCs w:val="26"/>
        </w:rPr>
        <w:t xml:space="preserve"> that the Company’s projection of a significant increase in material expense (40.42%) in the FTY over 2018 expense was not explained or supported when Citizens’ experienced a declining tre</w:t>
      </w:r>
      <w:r w:rsidR="005430D7">
        <w:rPr>
          <w:rFonts w:eastAsiaTheme="minorHAnsi"/>
          <w:sz w:val="26"/>
          <w:szCs w:val="26"/>
        </w:rPr>
        <w:t>n</w:t>
      </w:r>
      <w:r w:rsidRPr="0059512A">
        <w:rPr>
          <w:rFonts w:eastAsiaTheme="minorHAnsi"/>
          <w:sz w:val="26"/>
          <w:szCs w:val="26"/>
        </w:rPr>
        <w:t>d in material expense from 2016 through 2018.  I&amp;E R.B. at 11.</w:t>
      </w:r>
    </w:p>
    <w:p w14:paraId="5635336C" w14:textId="77777777" w:rsidR="00C41A46" w:rsidRPr="0059512A" w:rsidRDefault="00C41A46" w:rsidP="00595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contextualSpacing/>
        <w:rPr>
          <w:rFonts w:eastAsiaTheme="minorHAnsi"/>
          <w:sz w:val="26"/>
          <w:szCs w:val="26"/>
        </w:rPr>
      </w:pPr>
      <w:r w:rsidRPr="0059512A">
        <w:rPr>
          <w:rFonts w:eastAsiaTheme="minorHAnsi"/>
          <w:sz w:val="26"/>
          <w:szCs w:val="26"/>
        </w:rPr>
        <w:t xml:space="preserve"> </w:t>
      </w:r>
    </w:p>
    <w:p w14:paraId="52029A90" w14:textId="73F95E07" w:rsidR="00C41A46" w:rsidRPr="0059512A" w:rsidRDefault="00C41A46" w:rsidP="0059512A">
      <w:pPr>
        <w:pStyle w:val="ListParagraph"/>
        <w:widowControl/>
        <w:tabs>
          <w:tab w:val="left" w:pos="0"/>
        </w:tabs>
        <w:spacing w:line="360" w:lineRule="auto"/>
        <w:ind w:left="0" w:firstLine="1440"/>
        <w:rPr>
          <w:rFonts w:eastAsiaTheme="minorHAnsi"/>
          <w:sz w:val="26"/>
          <w:szCs w:val="26"/>
        </w:rPr>
      </w:pPr>
      <w:r w:rsidRPr="0059512A">
        <w:rPr>
          <w:rFonts w:eastAsiaTheme="minorHAnsi"/>
          <w:sz w:val="26"/>
          <w:szCs w:val="26"/>
        </w:rPr>
        <w:t xml:space="preserve">In response to I&amp;E’s proposed adjustment, Citizens’ argued that its year-to-date </w:t>
      </w:r>
      <w:r w:rsidR="005A13D1" w:rsidRPr="0059512A">
        <w:rPr>
          <w:rFonts w:eastAsiaTheme="minorHAnsi"/>
          <w:sz w:val="26"/>
          <w:szCs w:val="26"/>
        </w:rPr>
        <w:t xml:space="preserve">(YTD) </w:t>
      </w:r>
      <w:r w:rsidRPr="0059512A">
        <w:rPr>
          <w:rFonts w:eastAsiaTheme="minorHAnsi"/>
          <w:sz w:val="26"/>
          <w:szCs w:val="26"/>
        </w:rPr>
        <w:t>data from September 30, 2019, supports a FPFTY expense total of $277,036 for this expense, which is $1,221 above the Company’s claim.  Citizens’ asserted that historic averages are not controlling when the Company demonstrates FPFTY expense increases.  Citizens’ R.B. at 15.</w:t>
      </w:r>
    </w:p>
    <w:p w14:paraId="18D3D6B1" w14:textId="77777777" w:rsidR="00C41A46" w:rsidRPr="0059512A" w:rsidRDefault="00C41A46" w:rsidP="0059512A">
      <w:pPr>
        <w:widowControl/>
        <w:spacing w:line="360" w:lineRule="auto"/>
        <w:rPr>
          <w:b/>
          <w:bCs/>
          <w:sz w:val="26"/>
          <w:szCs w:val="26"/>
        </w:rPr>
      </w:pPr>
    </w:p>
    <w:p w14:paraId="71DCC15A" w14:textId="3BD7EA82"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(2)</w:t>
      </w:r>
      <w:r w:rsidRPr="0059512A">
        <w:rPr>
          <w:b/>
          <w:bCs/>
          <w:sz w:val="26"/>
          <w:szCs w:val="26"/>
        </w:rPr>
        <w:tab/>
      </w:r>
      <w:r w:rsidR="00D27A01" w:rsidRPr="0059512A">
        <w:rPr>
          <w:b/>
          <w:bCs/>
          <w:sz w:val="26"/>
          <w:szCs w:val="26"/>
        </w:rPr>
        <w:t>Recommended Decision</w:t>
      </w:r>
    </w:p>
    <w:p w14:paraId="3CF27DCD" w14:textId="4A36FB37" w:rsidR="00D27A01" w:rsidRPr="0059512A" w:rsidRDefault="00D27A01" w:rsidP="0059512A">
      <w:pPr>
        <w:keepNext/>
        <w:widowControl/>
        <w:spacing w:line="360" w:lineRule="auto"/>
        <w:rPr>
          <w:b/>
          <w:bCs/>
          <w:sz w:val="26"/>
          <w:szCs w:val="26"/>
        </w:rPr>
      </w:pPr>
    </w:p>
    <w:p w14:paraId="4FA6D3CD" w14:textId="7C3401A7" w:rsidR="00F26218" w:rsidRPr="0059512A" w:rsidRDefault="00F26218" w:rsidP="0059512A">
      <w:pPr>
        <w:keepNext/>
        <w:widowControl/>
        <w:tabs>
          <w:tab w:val="left" w:pos="0"/>
        </w:tabs>
        <w:spacing w:line="360" w:lineRule="auto"/>
        <w:ind w:firstLine="1440"/>
        <w:rPr>
          <w:sz w:val="26"/>
          <w:szCs w:val="26"/>
        </w:rPr>
      </w:pPr>
      <w:r w:rsidRPr="0059512A">
        <w:rPr>
          <w:sz w:val="26"/>
          <w:szCs w:val="26"/>
        </w:rPr>
        <w:t>The ALJs concurred with I&amp;E’s position, finding that there was insufficient evidence to support the entirety of Citizens’ original claim of $275,814 for miscellaneous distribution expense in the FPFTY, particularly considering the declining trend in the material expense subcategory experienced by the Company in recent years.  Accordingly, the ALJs recommended that the Commission allow Citizens’ to recover $268,967 of its $275,814 claim for Account 588, based on annualization of actual costs incurred during the 9-month FTY, ending September 30, 2019, excluding a 3% inflation factor.  R.D. at</w:t>
      </w:r>
      <w:r w:rsidR="003972FD" w:rsidRPr="0059512A">
        <w:rPr>
          <w:sz w:val="26"/>
          <w:szCs w:val="26"/>
        </w:rPr>
        <w:t> </w:t>
      </w:r>
      <w:r w:rsidRPr="0059512A">
        <w:rPr>
          <w:sz w:val="26"/>
          <w:szCs w:val="26"/>
        </w:rPr>
        <w:t>33.</w:t>
      </w:r>
    </w:p>
    <w:p w14:paraId="47CE47D7" w14:textId="77777777" w:rsidR="00F26218" w:rsidRPr="0059512A" w:rsidRDefault="00F26218" w:rsidP="0059512A">
      <w:pPr>
        <w:widowControl/>
        <w:spacing w:line="360" w:lineRule="auto"/>
        <w:rPr>
          <w:b/>
          <w:bCs/>
          <w:sz w:val="26"/>
          <w:szCs w:val="26"/>
        </w:rPr>
      </w:pPr>
    </w:p>
    <w:p w14:paraId="3DD0EEB9" w14:textId="3BD7F026"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lastRenderedPageBreak/>
        <w:t>(3)</w:t>
      </w:r>
      <w:r w:rsidRPr="0059512A">
        <w:rPr>
          <w:b/>
          <w:bCs/>
          <w:sz w:val="26"/>
          <w:szCs w:val="26"/>
        </w:rPr>
        <w:tab/>
      </w:r>
      <w:r w:rsidR="00D27A01" w:rsidRPr="0059512A">
        <w:rPr>
          <w:b/>
          <w:bCs/>
          <w:sz w:val="26"/>
          <w:szCs w:val="26"/>
        </w:rPr>
        <w:t>Exceptions and Replies</w:t>
      </w:r>
    </w:p>
    <w:p w14:paraId="13631377" w14:textId="384382BB" w:rsidR="00D27A01" w:rsidRPr="0059512A" w:rsidRDefault="00D27A01" w:rsidP="0059512A">
      <w:pPr>
        <w:keepNext/>
        <w:widowControl/>
        <w:spacing w:line="360" w:lineRule="auto"/>
        <w:rPr>
          <w:b/>
          <w:bCs/>
          <w:sz w:val="26"/>
          <w:szCs w:val="26"/>
        </w:rPr>
      </w:pPr>
    </w:p>
    <w:p w14:paraId="6D059045" w14:textId="77777777" w:rsidR="00F26218" w:rsidRPr="0059512A" w:rsidRDefault="00F26218" w:rsidP="0059512A">
      <w:pPr>
        <w:keepNext/>
        <w:widowControl/>
        <w:tabs>
          <w:tab w:val="left" w:pos="0"/>
        </w:tabs>
        <w:spacing w:line="360" w:lineRule="auto"/>
        <w:ind w:firstLine="1440"/>
        <w:rPr>
          <w:sz w:val="26"/>
          <w:szCs w:val="26"/>
        </w:rPr>
      </w:pPr>
      <w:r w:rsidRPr="0059512A">
        <w:rPr>
          <w:sz w:val="26"/>
          <w:szCs w:val="26"/>
        </w:rPr>
        <w:t>In Citizens’ Exception No. 6, the Company submits that the ALJs erred in excluding the 3% FPFTY adjustment from Account 588, maintaining its contention that an inflation adjustment of 3% is reasonably applied to this account because it consists primarily of labor and overhead expense that should reflect the expected increase in labor and health care costs.  Citizens’ Exc. at 17.</w:t>
      </w:r>
    </w:p>
    <w:p w14:paraId="097C8BC6" w14:textId="77777777" w:rsidR="00F26218" w:rsidRPr="0059512A" w:rsidRDefault="00F26218" w:rsidP="0059512A">
      <w:pPr>
        <w:widowControl/>
        <w:tabs>
          <w:tab w:val="left" w:pos="0"/>
        </w:tabs>
        <w:spacing w:line="360" w:lineRule="auto"/>
        <w:rPr>
          <w:sz w:val="26"/>
          <w:szCs w:val="26"/>
        </w:rPr>
      </w:pPr>
    </w:p>
    <w:p w14:paraId="0A0AE334" w14:textId="47A3AF2B" w:rsidR="00F26218" w:rsidRPr="0059512A" w:rsidRDefault="00F26218" w:rsidP="0059512A">
      <w:pPr>
        <w:widowControl/>
        <w:tabs>
          <w:tab w:val="left" w:pos="0"/>
        </w:tabs>
        <w:spacing w:line="360" w:lineRule="auto"/>
        <w:ind w:firstLine="1440"/>
        <w:rPr>
          <w:sz w:val="26"/>
          <w:szCs w:val="26"/>
        </w:rPr>
      </w:pPr>
      <w:r w:rsidRPr="0059512A">
        <w:rPr>
          <w:sz w:val="26"/>
          <w:szCs w:val="26"/>
        </w:rPr>
        <w:t>I&amp;E did not file Replies to this Exception.  However, the OCA counters that consistent with the OCA’s opposition to a 3% inflation factor which Citizens’ proposed be applied to total</w:t>
      </w:r>
      <w:r w:rsidRPr="0059512A">
        <w:rPr>
          <w:i/>
          <w:iCs/>
          <w:sz w:val="26"/>
          <w:szCs w:val="26"/>
        </w:rPr>
        <w:t xml:space="preserve"> </w:t>
      </w:r>
      <w:r w:rsidRPr="0059512A">
        <w:rPr>
          <w:sz w:val="26"/>
          <w:szCs w:val="26"/>
        </w:rPr>
        <w:t>O&amp;M expenses, the ALJs correctly excluded the Company’s proposed 3% inflation adjustment to Account 588 based on an annualization of FTY expense data.  OCA R. Exc. at 10.</w:t>
      </w:r>
    </w:p>
    <w:p w14:paraId="6EE78B27" w14:textId="77777777" w:rsidR="00F26218" w:rsidRPr="0059512A" w:rsidRDefault="00F26218" w:rsidP="0059512A">
      <w:pPr>
        <w:widowControl/>
        <w:spacing w:line="360" w:lineRule="auto"/>
        <w:rPr>
          <w:b/>
          <w:bCs/>
          <w:sz w:val="26"/>
          <w:szCs w:val="26"/>
        </w:rPr>
      </w:pPr>
    </w:p>
    <w:p w14:paraId="5AEE710E" w14:textId="4929B5E9"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(4)</w:t>
      </w:r>
      <w:r w:rsidRPr="0059512A">
        <w:rPr>
          <w:b/>
          <w:bCs/>
          <w:sz w:val="26"/>
          <w:szCs w:val="26"/>
        </w:rPr>
        <w:tab/>
      </w:r>
      <w:r w:rsidR="00D27A01" w:rsidRPr="0059512A">
        <w:rPr>
          <w:b/>
          <w:bCs/>
          <w:sz w:val="26"/>
          <w:szCs w:val="26"/>
        </w:rPr>
        <w:t>Disposition</w:t>
      </w:r>
    </w:p>
    <w:p w14:paraId="056F8FC1" w14:textId="6D83EF2B" w:rsidR="001C0238" w:rsidRPr="0059512A" w:rsidRDefault="001C0238" w:rsidP="0059512A">
      <w:pPr>
        <w:keepNext/>
        <w:widowControl/>
        <w:spacing w:line="360" w:lineRule="auto"/>
        <w:rPr>
          <w:sz w:val="26"/>
          <w:szCs w:val="26"/>
        </w:rPr>
      </w:pPr>
    </w:p>
    <w:p w14:paraId="2902B888" w14:textId="2EEE0349" w:rsidR="00652911" w:rsidRPr="0059512A" w:rsidRDefault="00652911" w:rsidP="0059512A">
      <w:pPr>
        <w:keepNext/>
        <w:widowControl/>
        <w:spacing w:line="360" w:lineRule="auto"/>
        <w:ind w:firstLine="1440"/>
        <w:rPr>
          <w:sz w:val="26"/>
          <w:szCs w:val="26"/>
        </w:rPr>
      </w:pPr>
      <w:r w:rsidRPr="0059512A">
        <w:rPr>
          <w:sz w:val="26"/>
          <w:szCs w:val="26"/>
        </w:rPr>
        <w:t>Upon review, we shall deny Citizens’ Exception No. 6.</w:t>
      </w:r>
      <w:r w:rsidR="005D5374" w:rsidRPr="0059512A">
        <w:rPr>
          <w:sz w:val="26"/>
          <w:szCs w:val="26"/>
        </w:rPr>
        <w:t xml:space="preserve">  </w:t>
      </w:r>
      <w:r w:rsidRPr="0059512A">
        <w:rPr>
          <w:sz w:val="26"/>
          <w:szCs w:val="26"/>
        </w:rPr>
        <w:t>In its Exception, the Company argues that the ALJs incorrectly rejected the proposed 3% increase</w:t>
      </w:r>
      <w:r w:rsidR="00A82644" w:rsidRPr="0059512A">
        <w:rPr>
          <w:sz w:val="26"/>
          <w:szCs w:val="26"/>
        </w:rPr>
        <w:t xml:space="preserve"> to Account 588 for the FPFTY</w:t>
      </w:r>
      <w:r w:rsidRPr="0059512A">
        <w:rPr>
          <w:sz w:val="26"/>
          <w:szCs w:val="26"/>
        </w:rPr>
        <w:t>, contending that</w:t>
      </w:r>
      <w:r w:rsidR="00A82644" w:rsidRPr="0059512A">
        <w:rPr>
          <w:sz w:val="26"/>
          <w:szCs w:val="26"/>
        </w:rPr>
        <w:t xml:space="preserve"> a 3% increase is reasonable, considering the anticipation of a 3% increase in labor expenses by the C&amp;T Enterprises Oversight Committee and the expected increase in health care expenses of at least 9%.</w:t>
      </w:r>
      <w:r w:rsidR="001F5E0B" w:rsidRPr="0059512A">
        <w:rPr>
          <w:sz w:val="26"/>
          <w:szCs w:val="26"/>
        </w:rPr>
        <w:t xml:space="preserve">  </w:t>
      </w:r>
      <w:r w:rsidRPr="0059512A">
        <w:rPr>
          <w:sz w:val="26"/>
          <w:szCs w:val="26"/>
        </w:rPr>
        <w:t>In support, the Company</w:t>
      </w:r>
      <w:r w:rsidR="00210953" w:rsidRPr="0059512A">
        <w:rPr>
          <w:sz w:val="26"/>
          <w:szCs w:val="26"/>
        </w:rPr>
        <w:t xml:space="preserve"> simply</w:t>
      </w:r>
      <w:r w:rsidRPr="0059512A">
        <w:rPr>
          <w:sz w:val="26"/>
          <w:szCs w:val="26"/>
        </w:rPr>
        <w:t xml:space="preserve"> references its arguments set forth in Citizens’ Exception No. 3, pertaining to its overall inflation adjustment request.  Citizens’ Exc. at 17.  </w:t>
      </w:r>
    </w:p>
    <w:p w14:paraId="686DFB0B" w14:textId="77777777" w:rsidR="00652911" w:rsidRPr="0059512A" w:rsidRDefault="00652911" w:rsidP="0059512A">
      <w:pPr>
        <w:widowControl/>
        <w:spacing w:line="360" w:lineRule="auto"/>
        <w:ind w:firstLine="1440"/>
        <w:rPr>
          <w:sz w:val="26"/>
          <w:szCs w:val="26"/>
        </w:rPr>
      </w:pPr>
    </w:p>
    <w:p w14:paraId="0700A257" w14:textId="46FE3255" w:rsidR="00652911" w:rsidRPr="0059512A" w:rsidRDefault="00652911" w:rsidP="0059512A">
      <w:pPr>
        <w:widowControl/>
        <w:spacing w:line="360" w:lineRule="auto"/>
        <w:ind w:firstLine="1440"/>
        <w:rPr>
          <w:sz w:val="26"/>
          <w:szCs w:val="26"/>
        </w:rPr>
      </w:pPr>
      <w:r w:rsidRPr="0059512A">
        <w:rPr>
          <w:sz w:val="26"/>
          <w:szCs w:val="26"/>
        </w:rPr>
        <w:t xml:space="preserve">However, as discussed </w:t>
      </w:r>
      <w:r w:rsidRPr="005272A3">
        <w:rPr>
          <w:sz w:val="26"/>
          <w:szCs w:val="26"/>
        </w:rPr>
        <w:t>above</w:t>
      </w:r>
      <w:r w:rsidRPr="0059512A">
        <w:rPr>
          <w:sz w:val="26"/>
          <w:szCs w:val="26"/>
        </w:rPr>
        <w:t xml:space="preserve"> in Section C.1, the Company did not meet its burden in demonstrating that its proposed blanket 3% inflation adjustment to all expenses would meet the “known and measurable” standard for increasing each FTY expense claim in the FPFTY.  Specifically, as to this account, Citizens’ did not rebut I&amp;E’s evidence showing a declining trend in material expense from 2016 through 2018.  Rather, </w:t>
      </w:r>
      <w:r w:rsidRPr="0059512A">
        <w:rPr>
          <w:sz w:val="26"/>
          <w:szCs w:val="26"/>
        </w:rPr>
        <w:lastRenderedPageBreak/>
        <w:t>the Company proposed a significant increase of 40.42% in the FTY over the 2018 expense and an additional 3% increase in the FPFTY.  In light of the Company’s inability to provide a detailed explanation and support for this significant projected increase, the ALJs appropriately recommended a reduction of $9,218 to this account.</w:t>
      </w:r>
      <w:r w:rsidR="005D5374" w:rsidRPr="0059512A">
        <w:rPr>
          <w:sz w:val="26"/>
          <w:szCs w:val="26"/>
        </w:rPr>
        <w:t xml:space="preserve">  </w:t>
      </w:r>
      <w:r w:rsidRPr="0059512A">
        <w:rPr>
          <w:sz w:val="26"/>
          <w:szCs w:val="26"/>
        </w:rPr>
        <w:t>Thus, we shall adopt an allowance of $268,967 for Account 588.</w:t>
      </w:r>
    </w:p>
    <w:p w14:paraId="797B29B2" w14:textId="77777777" w:rsidR="00F26218" w:rsidRPr="0059512A" w:rsidRDefault="00F26218" w:rsidP="0059512A">
      <w:pPr>
        <w:widowControl/>
        <w:spacing w:line="360" w:lineRule="auto"/>
        <w:rPr>
          <w:sz w:val="26"/>
          <w:szCs w:val="26"/>
        </w:rPr>
      </w:pPr>
    </w:p>
    <w:p w14:paraId="4C7CB9A8" w14:textId="70DC0CF3" w:rsidR="00A7634C" w:rsidRPr="0059512A" w:rsidRDefault="00A7634C" w:rsidP="0059512A">
      <w:pPr>
        <w:pStyle w:val="Heading4"/>
        <w:keepNext w:val="0"/>
        <w:widowControl/>
      </w:pPr>
      <w:bookmarkStart w:id="111" w:name="_Toc38629288"/>
      <w:r w:rsidRPr="0059512A">
        <w:t>Customer Records &amp; Collection Expense (Account 903)</w:t>
      </w:r>
      <w:bookmarkEnd w:id="111"/>
    </w:p>
    <w:p w14:paraId="7928FAF9" w14:textId="77777777" w:rsidR="001C0238" w:rsidRPr="0059512A" w:rsidRDefault="001C0238" w:rsidP="0059512A">
      <w:pPr>
        <w:keepLines/>
        <w:widowControl/>
        <w:spacing w:line="360" w:lineRule="auto"/>
        <w:rPr>
          <w:sz w:val="26"/>
          <w:szCs w:val="26"/>
        </w:rPr>
      </w:pPr>
    </w:p>
    <w:p w14:paraId="7C33C3D7" w14:textId="7BA9BEFE" w:rsidR="00D27A01" w:rsidRPr="0059512A" w:rsidRDefault="00FD31EC" w:rsidP="0059512A">
      <w:pPr>
        <w:pStyle w:val="ListParagraph"/>
        <w:keepLines/>
        <w:widowControl/>
        <w:spacing w:line="360" w:lineRule="auto"/>
        <w:ind w:left="2880" w:hanging="720"/>
        <w:rPr>
          <w:b/>
          <w:bCs/>
          <w:sz w:val="26"/>
          <w:szCs w:val="26"/>
        </w:rPr>
      </w:pPr>
      <w:r w:rsidRPr="0059512A">
        <w:rPr>
          <w:b/>
          <w:bCs/>
          <w:sz w:val="26"/>
          <w:szCs w:val="26"/>
        </w:rPr>
        <w:t>(1)</w:t>
      </w:r>
      <w:r w:rsidRPr="0059512A">
        <w:rPr>
          <w:b/>
          <w:bCs/>
          <w:sz w:val="26"/>
          <w:szCs w:val="26"/>
        </w:rPr>
        <w:tab/>
      </w:r>
      <w:r w:rsidR="00D27A01" w:rsidRPr="0059512A">
        <w:rPr>
          <w:b/>
          <w:bCs/>
          <w:sz w:val="26"/>
          <w:szCs w:val="26"/>
        </w:rPr>
        <w:t>Positions of the Parties</w:t>
      </w:r>
    </w:p>
    <w:p w14:paraId="68ED1599" w14:textId="3C700269" w:rsidR="00D27A01" w:rsidRPr="0059512A" w:rsidRDefault="00D27A01" w:rsidP="0059512A">
      <w:pPr>
        <w:keepLines/>
        <w:widowControl/>
        <w:spacing w:line="360" w:lineRule="auto"/>
        <w:rPr>
          <w:b/>
          <w:bCs/>
          <w:sz w:val="26"/>
          <w:szCs w:val="26"/>
        </w:rPr>
      </w:pPr>
    </w:p>
    <w:p w14:paraId="49D2EC0F" w14:textId="77777777" w:rsidR="00CC2E23" w:rsidRPr="0059512A" w:rsidRDefault="00CC2E23" w:rsidP="0059512A">
      <w:pPr>
        <w:keepLines/>
        <w:widowControl/>
        <w:spacing w:line="360" w:lineRule="auto"/>
        <w:ind w:firstLine="1440"/>
        <w:rPr>
          <w:rFonts w:eastAsiaTheme="minorHAnsi"/>
          <w:sz w:val="26"/>
          <w:szCs w:val="26"/>
        </w:rPr>
      </w:pPr>
      <w:r w:rsidRPr="0059512A">
        <w:rPr>
          <w:rFonts w:eastAsiaTheme="minorHAnsi"/>
          <w:sz w:val="26"/>
          <w:szCs w:val="26"/>
        </w:rPr>
        <w:t xml:space="preserve">Citizens’ made an original claim of $469,626 for </w:t>
      </w:r>
      <w:r w:rsidRPr="0059512A">
        <w:rPr>
          <w:rFonts w:eastAsiaTheme="minorHAnsi"/>
          <w:bCs/>
          <w:sz w:val="26"/>
          <w:szCs w:val="26"/>
        </w:rPr>
        <w:t>customer records and collection expense in the</w:t>
      </w:r>
      <w:r w:rsidRPr="0059512A">
        <w:rPr>
          <w:rFonts w:eastAsiaTheme="minorHAnsi"/>
          <w:sz w:val="26"/>
          <w:szCs w:val="26"/>
        </w:rPr>
        <w:t xml:space="preserve"> FPFTY, which included employee salaries and wages, overhead (employee benefits), transportation, and material expenses.  </w:t>
      </w:r>
      <w:r w:rsidRPr="0059512A">
        <w:rPr>
          <w:rFonts w:eastAsiaTheme="minorHAnsi"/>
          <w:color w:val="000000" w:themeColor="text1"/>
          <w:sz w:val="26"/>
          <w:szCs w:val="26"/>
        </w:rPr>
        <w:t>Nine-month data for the FTY (as of September 30, 2019) showed a FTY amount of $327,891 and an annualized amount of $437,188.  Applying a 3% inflation adjustment to the FTY annualized amount, the Company claimed a new amount of $450,304 for the FPFTY.  Citizens’ St. 1-R at 4.</w:t>
      </w:r>
    </w:p>
    <w:p w14:paraId="3BB6CB06" w14:textId="77777777" w:rsidR="00CC2E23" w:rsidRPr="0059512A" w:rsidRDefault="00CC2E23" w:rsidP="0059512A">
      <w:pPr>
        <w:widowControl/>
        <w:spacing w:line="360" w:lineRule="auto"/>
        <w:ind w:firstLine="1440"/>
        <w:rPr>
          <w:sz w:val="24"/>
          <w:szCs w:val="24"/>
        </w:rPr>
      </w:pPr>
    </w:p>
    <w:p w14:paraId="6E977B45" w14:textId="77777777" w:rsidR="00CC2E23" w:rsidRPr="0059512A" w:rsidRDefault="00CC2E23" w:rsidP="0059512A">
      <w:pPr>
        <w:widowControl/>
        <w:spacing w:line="360" w:lineRule="auto"/>
        <w:ind w:firstLine="1440"/>
        <w:rPr>
          <w:sz w:val="26"/>
          <w:szCs w:val="26"/>
        </w:rPr>
      </w:pPr>
      <w:r w:rsidRPr="0059512A">
        <w:rPr>
          <w:sz w:val="26"/>
          <w:szCs w:val="26"/>
        </w:rPr>
        <w:t>I&amp;E recommended a reduction of $13,650 to the Company’s claim.  I&amp;E claimed that Citizens’ significantly increased its material expense claim (+13.15%) in the FPFTY over the HTY expense which was not justified and supported by the most recent three years’ declining expense trend.  Rather, I&amp;E argued that the Commission should find I&amp;E’s recommended allowance for material expense based on the HTY’s expense to be appropriate because the Company experienced a declining trend in material expense from 2016 through 2018 and it did not support the significant increase in the FTY and FPFTY’s material expense claim included in the customer records and collection expense.  I&amp;E St. 1-SR at 14-15.</w:t>
      </w:r>
    </w:p>
    <w:p w14:paraId="4460FAF4" w14:textId="77777777" w:rsidR="00CC2E23" w:rsidRPr="0059512A" w:rsidRDefault="00CC2E23" w:rsidP="0059512A">
      <w:pPr>
        <w:widowControl/>
        <w:spacing w:line="360" w:lineRule="auto"/>
        <w:ind w:firstLine="1440"/>
        <w:jc w:val="both"/>
        <w:rPr>
          <w:sz w:val="26"/>
          <w:szCs w:val="26"/>
        </w:rPr>
      </w:pPr>
    </w:p>
    <w:p w14:paraId="57884A44" w14:textId="334768AB" w:rsidR="00CC2E23" w:rsidRPr="0059512A" w:rsidRDefault="00CC2E23" w:rsidP="0059512A">
      <w:pPr>
        <w:widowControl/>
        <w:spacing w:line="360" w:lineRule="auto"/>
        <w:ind w:firstLine="1440"/>
        <w:rPr>
          <w:sz w:val="26"/>
          <w:szCs w:val="26"/>
        </w:rPr>
      </w:pPr>
      <w:r w:rsidRPr="0059512A">
        <w:rPr>
          <w:sz w:val="26"/>
          <w:szCs w:val="26"/>
        </w:rPr>
        <w:t xml:space="preserve">In response, the Company stated that, if the Commission addresses the proposed adjustments on an account-by-account basis, it will accept I&amp;E’s proposed </w:t>
      </w:r>
      <w:r w:rsidRPr="0059512A">
        <w:rPr>
          <w:sz w:val="26"/>
          <w:szCs w:val="26"/>
        </w:rPr>
        <w:lastRenderedPageBreak/>
        <w:t>adjustment to Account 903, acknowledging that the total account expense is tracking below projected amounts.  Citizens’ M.B. at 52.</w:t>
      </w:r>
    </w:p>
    <w:p w14:paraId="2295F490" w14:textId="77777777" w:rsidR="00CC2E23" w:rsidRPr="0059512A" w:rsidRDefault="00CC2E23" w:rsidP="0059512A">
      <w:pPr>
        <w:widowControl/>
        <w:spacing w:line="360" w:lineRule="auto"/>
        <w:ind w:firstLine="1440"/>
        <w:rPr>
          <w:sz w:val="24"/>
          <w:szCs w:val="24"/>
        </w:rPr>
      </w:pPr>
    </w:p>
    <w:p w14:paraId="6DD3F454" w14:textId="77777777" w:rsidR="00CC2E23" w:rsidRPr="0059512A" w:rsidRDefault="00CC2E23" w:rsidP="0059512A">
      <w:pPr>
        <w:widowControl/>
        <w:spacing w:line="360" w:lineRule="auto"/>
        <w:ind w:firstLine="1440"/>
        <w:rPr>
          <w:sz w:val="26"/>
          <w:szCs w:val="26"/>
        </w:rPr>
      </w:pPr>
      <w:r w:rsidRPr="0059512A">
        <w:rPr>
          <w:sz w:val="26"/>
          <w:szCs w:val="26"/>
        </w:rPr>
        <w:t>The OCA recommended a reduction of $43,591 to the Company’s claim, submitting that it included costs which are not normal or on-going in its forecast for Account 903.  Rather, the costs related to the training of a new employee and employee overlap planned for 2019 and 2020.  The OCA asserted that the overlap expense should be removed and replaced with the 2018 labor and average material cost for the years 2016 through 2018.  OCA St. 1 at 6.</w:t>
      </w:r>
    </w:p>
    <w:p w14:paraId="389AAD2F" w14:textId="77777777" w:rsidR="00CC2E23" w:rsidRPr="0059512A" w:rsidRDefault="00CC2E23" w:rsidP="0059512A">
      <w:pPr>
        <w:widowControl/>
        <w:spacing w:line="360" w:lineRule="auto"/>
        <w:rPr>
          <w:b/>
          <w:bCs/>
          <w:sz w:val="26"/>
          <w:szCs w:val="26"/>
        </w:rPr>
      </w:pPr>
    </w:p>
    <w:p w14:paraId="6A629095" w14:textId="67699B9F"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(2)</w:t>
      </w:r>
      <w:r w:rsidRPr="0059512A">
        <w:rPr>
          <w:b/>
          <w:bCs/>
          <w:sz w:val="26"/>
          <w:szCs w:val="26"/>
        </w:rPr>
        <w:tab/>
      </w:r>
      <w:r w:rsidR="00D27A01" w:rsidRPr="0059512A">
        <w:rPr>
          <w:b/>
          <w:bCs/>
          <w:sz w:val="26"/>
          <w:szCs w:val="26"/>
        </w:rPr>
        <w:t>Recommended Decision</w:t>
      </w:r>
    </w:p>
    <w:p w14:paraId="62518396" w14:textId="53005DBC" w:rsidR="00D27A01" w:rsidRPr="0059512A" w:rsidRDefault="00D27A01" w:rsidP="0059512A">
      <w:pPr>
        <w:keepNext/>
        <w:widowControl/>
        <w:spacing w:line="360" w:lineRule="auto"/>
        <w:rPr>
          <w:b/>
          <w:bCs/>
          <w:sz w:val="26"/>
          <w:szCs w:val="26"/>
        </w:rPr>
      </w:pPr>
    </w:p>
    <w:p w14:paraId="66E3EDB0" w14:textId="77777777" w:rsidR="00CC2E23" w:rsidRPr="0059512A" w:rsidRDefault="00CC2E23" w:rsidP="0059512A">
      <w:pPr>
        <w:pStyle w:val="ListParagraph"/>
        <w:keepNext/>
        <w:widowControl/>
        <w:spacing w:line="360" w:lineRule="auto"/>
        <w:ind w:left="0" w:firstLine="1440"/>
        <w:rPr>
          <w:sz w:val="26"/>
          <w:szCs w:val="26"/>
        </w:rPr>
      </w:pPr>
      <w:r w:rsidRPr="0059512A">
        <w:rPr>
          <w:sz w:val="26"/>
          <w:szCs w:val="26"/>
        </w:rPr>
        <w:t>The ALJs concurred with I&amp;E’s position, finding that there was insufficient evidence to support the entirety of Citizens’ original claim of $469,626 for customer records and collection expense in the FPFTY, particularly considering the declining trend in the material expense subcategory experienced by the Company in recent years.  Accordingly, the ALJs recommended that the Commission allow Citizens’ to recover $437,188 of its $469,626 claim for Account 903, based on annualization of actual costs incurred during the 9-month FTY, ending September 30, 2019, excluding Citizens’ proposed inflation adjustment of 3% for the FPFTY.  R.D. at 33-34.</w:t>
      </w:r>
    </w:p>
    <w:p w14:paraId="4DDB7AAC" w14:textId="77777777" w:rsidR="00CC2E23" w:rsidRPr="0059512A" w:rsidRDefault="00CC2E23" w:rsidP="0059512A">
      <w:pPr>
        <w:widowControl/>
        <w:spacing w:line="360" w:lineRule="auto"/>
        <w:rPr>
          <w:b/>
          <w:bCs/>
          <w:sz w:val="26"/>
          <w:szCs w:val="26"/>
        </w:rPr>
      </w:pPr>
    </w:p>
    <w:p w14:paraId="6C31FB10" w14:textId="2A8B8F34"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(3)</w:t>
      </w:r>
      <w:r w:rsidRPr="0059512A">
        <w:rPr>
          <w:b/>
          <w:bCs/>
          <w:sz w:val="26"/>
          <w:szCs w:val="26"/>
        </w:rPr>
        <w:tab/>
      </w:r>
      <w:r w:rsidR="00D27A01" w:rsidRPr="0059512A">
        <w:rPr>
          <w:b/>
          <w:bCs/>
          <w:sz w:val="26"/>
          <w:szCs w:val="26"/>
        </w:rPr>
        <w:t>Exceptions and Replies</w:t>
      </w:r>
    </w:p>
    <w:p w14:paraId="54799264" w14:textId="75B0F853" w:rsidR="00D27A01" w:rsidRPr="0059512A" w:rsidRDefault="00D27A01" w:rsidP="0059512A">
      <w:pPr>
        <w:keepNext/>
        <w:widowControl/>
        <w:spacing w:line="360" w:lineRule="auto"/>
        <w:rPr>
          <w:b/>
          <w:bCs/>
          <w:sz w:val="26"/>
          <w:szCs w:val="26"/>
        </w:rPr>
      </w:pPr>
    </w:p>
    <w:p w14:paraId="5C16F0AB" w14:textId="669736DB" w:rsidR="00CC2E23" w:rsidRPr="0059512A" w:rsidRDefault="00CC2E23" w:rsidP="0059512A">
      <w:pPr>
        <w:pStyle w:val="ListParagraph"/>
        <w:keepNext/>
        <w:widowControl/>
        <w:spacing w:line="360" w:lineRule="auto"/>
        <w:ind w:left="0" w:firstLine="1440"/>
        <w:rPr>
          <w:sz w:val="26"/>
          <w:szCs w:val="26"/>
        </w:rPr>
      </w:pPr>
      <w:r w:rsidRPr="0059512A">
        <w:rPr>
          <w:sz w:val="26"/>
          <w:szCs w:val="26"/>
        </w:rPr>
        <w:t>In its Exception No. 7, Citizens’ submits that the ALJs erred in excluding the 3% FPFTY adjustment from Account 903, maintaining its contention that an inflation adjustment of 3% is reasonably applied to this account because it consists primarily of labor and overhead expense that should reflect the expected increase in labor and health care costs.</w:t>
      </w:r>
      <w:r w:rsidR="006B04DA" w:rsidRPr="0059512A">
        <w:rPr>
          <w:sz w:val="26"/>
          <w:szCs w:val="26"/>
        </w:rPr>
        <w:t xml:space="preserve">  </w:t>
      </w:r>
      <w:r w:rsidRPr="0059512A">
        <w:rPr>
          <w:sz w:val="26"/>
          <w:szCs w:val="26"/>
        </w:rPr>
        <w:t xml:space="preserve">Citizens’ Exc. at 17-18.  </w:t>
      </w:r>
    </w:p>
    <w:p w14:paraId="771BB978" w14:textId="77777777" w:rsidR="00CC2E23" w:rsidRPr="0059512A" w:rsidRDefault="00CC2E23" w:rsidP="0059512A">
      <w:pPr>
        <w:pStyle w:val="ListParagraph"/>
        <w:widowControl/>
        <w:spacing w:line="360" w:lineRule="auto"/>
        <w:ind w:left="0" w:firstLine="1440"/>
        <w:rPr>
          <w:sz w:val="26"/>
          <w:szCs w:val="26"/>
        </w:rPr>
      </w:pPr>
    </w:p>
    <w:p w14:paraId="7DA71944" w14:textId="77777777" w:rsidR="00CC2E23" w:rsidRPr="0059512A" w:rsidRDefault="00CC2E23" w:rsidP="0059512A">
      <w:pPr>
        <w:pStyle w:val="ListParagraph"/>
        <w:widowControl/>
        <w:spacing w:line="360" w:lineRule="auto"/>
        <w:ind w:left="0" w:firstLine="1440"/>
        <w:rPr>
          <w:sz w:val="26"/>
          <w:szCs w:val="26"/>
        </w:rPr>
      </w:pPr>
      <w:r w:rsidRPr="0059512A">
        <w:rPr>
          <w:sz w:val="26"/>
          <w:szCs w:val="26"/>
        </w:rPr>
        <w:lastRenderedPageBreak/>
        <w:t>In its Replies to Citizens’ Exception No. 7, consistent with the OCA’s opposition to a 3% inflation factor which Citizens’ proposed be applied to total</w:t>
      </w:r>
      <w:r w:rsidRPr="0059512A">
        <w:rPr>
          <w:i/>
          <w:iCs/>
          <w:sz w:val="26"/>
          <w:szCs w:val="26"/>
        </w:rPr>
        <w:t xml:space="preserve"> </w:t>
      </w:r>
      <w:r w:rsidRPr="0059512A">
        <w:rPr>
          <w:sz w:val="26"/>
          <w:szCs w:val="26"/>
        </w:rPr>
        <w:t>O&amp;M expenses, the OCA submits that the ALJs correctly excluded the Company’s proposed 3% inflation adjustment to Account 903 based on an annualization of FTY expense data. OCA R. Exc. at 10-11.</w:t>
      </w:r>
    </w:p>
    <w:p w14:paraId="0E813C78" w14:textId="77777777" w:rsidR="00CC2E23" w:rsidRPr="0059512A" w:rsidRDefault="00CC2E23" w:rsidP="0059512A">
      <w:pPr>
        <w:pStyle w:val="ListParagraph"/>
        <w:widowControl/>
        <w:spacing w:line="360" w:lineRule="auto"/>
        <w:ind w:left="0" w:firstLine="1440"/>
        <w:rPr>
          <w:sz w:val="26"/>
          <w:szCs w:val="26"/>
        </w:rPr>
      </w:pPr>
    </w:p>
    <w:p w14:paraId="136379AE" w14:textId="4A3AD832" w:rsidR="00CC2E23" w:rsidRPr="0059512A" w:rsidRDefault="00CC2E23" w:rsidP="0059512A">
      <w:pPr>
        <w:pStyle w:val="ListParagraph"/>
        <w:widowControl/>
        <w:spacing w:line="360" w:lineRule="auto"/>
        <w:ind w:left="0" w:firstLine="1440"/>
        <w:rPr>
          <w:sz w:val="26"/>
          <w:szCs w:val="26"/>
        </w:rPr>
      </w:pPr>
      <w:r w:rsidRPr="0059512A">
        <w:rPr>
          <w:sz w:val="26"/>
          <w:szCs w:val="26"/>
        </w:rPr>
        <w:t>In its Exception No. 3, the OCA submits that its recommendation to reduce the Company’s FPFTY expense claim of $469,626 for Account 903 by $43,597 to $426,029 more accurately reflects the expected costs that should be included in rates.  The OCA maintains that its proposed adjustment correctly reflects the removal of the labor and material costs associated with the training of new employees and employee overlap planned for 2019 and 2020, which are one-time expenses that are not normal or ongoing, and therefore should be eliminated for ratemaking purposes.  OCA Exc. No.</w:t>
      </w:r>
      <w:r w:rsidR="003972FD" w:rsidRPr="0059512A">
        <w:rPr>
          <w:sz w:val="26"/>
          <w:szCs w:val="26"/>
        </w:rPr>
        <w:t> </w:t>
      </w:r>
      <w:r w:rsidRPr="0059512A">
        <w:rPr>
          <w:sz w:val="26"/>
          <w:szCs w:val="26"/>
        </w:rPr>
        <w:t>7</w:t>
      </w:r>
      <w:r w:rsidR="003972FD" w:rsidRPr="0059512A">
        <w:rPr>
          <w:sz w:val="26"/>
          <w:szCs w:val="26"/>
        </w:rPr>
        <w:noBreakHyphen/>
      </w:r>
      <w:r w:rsidRPr="0059512A">
        <w:rPr>
          <w:sz w:val="26"/>
          <w:szCs w:val="26"/>
        </w:rPr>
        <w:t>8.</w:t>
      </w:r>
    </w:p>
    <w:p w14:paraId="4E84CAFB" w14:textId="77777777" w:rsidR="003972FD" w:rsidRPr="0059512A" w:rsidRDefault="003972FD" w:rsidP="0059512A">
      <w:pPr>
        <w:pStyle w:val="ListParagraph"/>
        <w:widowControl/>
        <w:spacing w:line="360" w:lineRule="auto"/>
        <w:ind w:left="0" w:firstLine="1440"/>
        <w:rPr>
          <w:sz w:val="26"/>
          <w:szCs w:val="26"/>
        </w:rPr>
      </w:pPr>
    </w:p>
    <w:p w14:paraId="6A3FC979" w14:textId="77777777" w:rsidR="00CC2E23" w:rsidRPr="0059512A" w:rsidRDefault="00CC2E23" w:rsidP="0059512A">
      <w:pPr>
        <w:pStyle w:val="ListParagraph"/>
        <w:widowControl/>
        <w:spacing w:line="360" w:lineRule="auto"/>
        <w:ind w:left="0" w:firstLine="1440"/>
        <w:rPr>
          <w:sz w:val="26"/>
          <w:szCs w:val="26"/>
        </w:rPr>
      </w:pPr>
      <w:r w:rsidRPr="0059512A">
        <w:rPr>
          <w:sz w:val="26"/>
          <w:szCs w:val="26"/>
        </w:rPr>
        <w:t>The Company responds to OCA Exception No. 3, opining that its testimony on future retirements supports its claim that employee training expense will continue beyond the FPFTY, and therefore, supports the adoption of the ALJs’ recommendation as modified by the Company’s Exception No. 3 to include the 3% inflation adjustment for the FPFTY expense.  Citizens’ R. Exc. at 6.</w:t>
      </w:r>
    </w:p>
    <w:p w14:paraId="1DB75135" w14:textId="77777777" w:rsidR="00CC2E23" w:rsidRPr="0059512A" w:rsidRDefault="00CC2E23" w:rsidP="0059512A">
      <w:pPr>
        <w:widowControl/>
        <w:spacing w:line="360" w:lineRule="auto"/>
        <w:rPr>
          <w:b/>
          <w:bCs/>
          <w:sz w:val="26"/>
          <w:szCs w:val="26"/>
        </w:rPr>
      </w:pPr>
    </w:p>
    <w:p w14:paraId="56F1F0A6" w14:textId="20DCF981"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(4)</w:t>
      </w:r>
      <w:r w:rsidRPr="0059512A">
        <w:rPr>
          <w:b/>
          <w:bCs/>
          <w:sz w:val="26"/>
          <w:szCs w:val="26"/>
        </w:rPr>
        <w:tab/>
      </w:r>
      <w:r w:rsidR="00D27A01" w:rsidRPr="0059512A">
        <w:rPr>
          <w:b/>
          <w:bCs/>
          <w:sz w:val="26"/>
          <w:szCs w:val="26"/>
        </w:rPr>
        <w:t>Disposition</w:t>
      </w:r>
    </w:p>
    <w:p w14:paraId="56F7FE42" w14:textId="04F70B5A" w:rsidR="001C0238" w:rsidRPr="0059512A" w:rsidRDefault="001C0238" w:rsidP="0059512A">
      <w:pPr>
        <w:keepNext/>
        <w:widowControl/>
        <w:spacing w:line="360" w:lineRule="auto"/>
        <w:rPr>
          <w:sz w:val="26"/>
          <w:szCs w:val="26"/>
        </w:rPr>
      </w:pPr>
    </w:p>
    <w:p w14:paraId="1134EDCB" w14:textId="02FCF228" w:rsidR="00DB17F1" w:rsidRPr="0059512A" w:rsidRDefault="00DB17F1" w:rsidP="0059512A">
      <w:pPr>
        <w:keepNext/>
        <w:widowControl/>
        <w:spacing w:line="360" w:lineRule="auto"/>
        <w:ind w:firstLine="1440"/>
        <w:rPr>
          <w:rFonts w:eastAsiaTheme="minorHAnsi"/>
          <w:sz w:val="26"/>
          <w:szCs w:val="26"/>
        </w:rPr>
      </w:pPr>
      <w:r w:rsidRPr="0059512A">
        <w:rPr>
          <w:rFonts w:eastAsiaTheme="minorHAnsi"/>
          <w:sz w:val="26"/>
          <w:szCs w:val="26"/>
        </w:rPr>
        <w:t xml:space="preserve">Upon review, we agree with the rationale and the recommendation of the ALJs that the Commission allow Citizens’ to recover $437,188 of its $469,626 claim for Account 903, based on annualization of actual costs incurred during the 9-month FTY, ending September 30, 2019, excluding Citizens’ proposed inflation adjustment of 3% for the FPFTY.  The </w:t>
      </w:r>
      <w:r w:rsidRPr="0059512A">
        <w:rPr>
          <w:sz w:val="26"/>
          <w:szCs w:val="26"/>
        </w:rPr>
        <w:t xml:space="preserve">ALJs agreed with I&amp;E’s position, finding that there was insufficient evidence to support the entirety of </w:t>
      </w:r>
      <w:r w:rsidR="00072BBE" w:rsidRPr="0059512A">
        <w:rPr>
          <w:sz w:val="26"/>
          <w:szCs w:val="26"/>
        </w:rPr>
        <w:t>the Company’s</w:t>
      </w:r>
      <w:r w:rsidRPr="0059512A">
        <w:rPr>
          <w:sz w:val="26"/>
          <w:szCs w:val="26"/>
        </w:rPr>
        <w:t xml:space="preserve"> original claim of $469,626 for </w:t>
      </w:r>
      <w:r w:rsidRPr="0059512A">
        <w:rPr>
          <w:sz w:val="26"/>
          <w:szCs w:val="26"/>
        </w:rPr>
        <w:lastRenderedPageBreak/>
        <w:t>customer records and collection expense in the FPFTY, particularly considering the declining trend in the material expense subcategory experienced by the Company in recent years.  Citizens</w:t>
      </w:r>
      <w:r w:rsidR="00072BBE" w:rsidRPr="0059512A">
        <w:rPr>
          <w:sz w:val="26"/>
          <w:szCs w:val="26"/>
        </w:rPr>
        <w:t>’</w:t>
      </w:r>
      <w:r w:rsidRPr="0059512A">
        <w:rPr>
          <w:sz w:val="26"/>
          <w:szCs w:val="26"/>
        </w:rPr>
        <w:t xml:space="preserve"> also indicated it accepts I&amp;E’s adjustment because Account 903 is tracking below projections.  Accordingly, we shall deny the OCA’s and Citizens’ Exceptions on this issue.  </w:t>
      </w:r>
    </w:p>
    <w:p w14:paraId="369333A7" w14:textId="77777777" w:rsidR="00DB17F1" w:rsidRPr="0059512A" w:rsidRDefault="00DB17F1" w:rsidP="0059512A">
      <w:pPr>
        <w:widowControl/>
        <w:spacing w:line="360" w:lineRule="auto"/>
        <w:ind w:firstLine="1440"/>
        <w:rPr>
          <w:rFonts w:eastAsiaTheme="minorHAnsi"/>
          <w:sz w:val="26"/>
          <w:szCs w:val="26"/>
        </w:rPr>
      </w:pPr>
    </w:p>
    <w:p w14:paraId="48315C44" w14:textId="3789E8A5" w:rsidR="00DB17F1" w:rsidRPr="0059512A" w:rsidRDefault="00DB17F1" w:rsidP="0059512A">
      <w:pPr>
        <w:widowControl/>
        <w:spacing w:line="360" w:lineRule="auto"/>
        <w:ind w:firstLine="1440"/>
        <w:rPr>
          <w:rFonts w:eastAsiaTheme="minorHAnsi"/>
          <w:sz w:val="26"/>
          <w:szCs w:val="26"/>
        </w:rPr>
      </w:pPr>
      <w:r w:rsidRPr="0059512A">
        <w:rPr>
          <w:rFonts w:eastAsiaTheme="minorHAnsi"/>
          <w:sz w:val="26"/>
          <w:szCs w:val="26"/>
        </w:rPr>
        <w:t>Additionally</w:t>
      </w:r>
      <w:r w:rsidR="00072BBE" w:rsidRPr="0059512A">
        <w:rPr>
          <w:rFonts w:eastAsiaTheme="minorHAnsi"/>
          <w:sz w:val="26"/>
          <w:szCs w:val="26"/>
        </w:rPr>
        <w:t xml:space="preserve">, </w:t>
      </w:r>
      <w:r w:rsidRPr="0059512A">
        <w:rPr>
          <w:rFonts w:eastAsiaTheme="minorHAnsi"/>
          <w:sz w:val="26"/>
          <w:szCs w:val="26"/>
        </w:rPr>
        <w:t>we agree with the ALJ</w:t>
      </w:r>
      <w:r w:rsidR="00072BBE" w:rsidRPr="0059512A">
        <w:rPr>
          <w:rFonts w:eastAsiaTheme="minorHAnsi"/>
          <w:sz w:val="26"/>
          <w:szCs w:val="26"/>
        </w:rPr>
        <w:t>s’</w:t>
      </w:r>
      <w:r w:rsidRPr="0059512A">
        <w:rPr>
          <w:rFonts w:eastAsiaTheme="minorHAnsi"/>
          <w:sz w:val="26"/>
          <w:szCs w:val="26"/>
        </w:rPr>
        <w:t xml:space="preserve"> rejection of the OCA’s recommendation to reduce the Company’s FPFTY expense claim of $469,626 for Account 903 by $43,597 to $426,029.  </w:t>
      </w:r>
      <w:r w:rsidR="00072BBE" w:rsidRPr="0059512A">
        <w:rPr>
          <w:rFonts w:eastAsiaTheme="minorHAnsi"/>
          <w:sz w:val="26"/>
          <w:szCs w:val="26"/>
        </w:rPr>
        <w:t xml:space="preserve">The </w:t>
      </w:r>
      <w:r w:rsidRPr="0059512A">
        <w:rPr>
          <w:rFonts w:eastAsiaTheme="minorHAnsi"/>
          <w:sz w:val="26"/>
          <w:szCs w:val="26"/>
        </w:rPr>
        <w:t xml:space="preserve">OCA claims this more accurately reflects the expected costs that should be included in rates.  However, we find the Company’s argument compelling </w:t>
      </w:r>
      <w:r w:rsidRPr="0059512A">
        <w:rPr>
          <w:sz w:val="26"/>
          <w:szCs w:val="26"/>
        </w:rPr>
        <w:t>that employee training expenses will continue beyond the FPFTY, and therefore, supports the adoption of the ALJs’ recommendation</w:t>
      </w:r>
      <w:r w:rsidRPr="0059512A">
        <w:rPr>
          <w:rFonts w:eastAsiaTheme="minorHAnsi"/>
          <w:sz w:val="26"/>
          <w:szCs w:val="26"/>
        </w:rPr>
        <w:t xml:space="preserve">.  </w:t>
      </w:r>
    </w:p>
    <w:p w14:paraId="0DE578DB" w14:textId="77777777" w:rsidR="00CC2E23" w:rsidRPr="0059512A" w:rsidRDefault="00CC2E23" w:rsidP="0059512A">
      <w:pPr>
        <w:widowControl/>
        <w:spacing w:line="360" w:lineRule="auto"/>
        <w:rPr>
          <w:sz w:val="26"/>
          <w:szCs w:val="26"/>
        </w:rPr>
      </w:pPr>
    </w:p>
    <w:p w14:paraId="28B00C43" w14:textId="0FAFF32B" w:rsidR="00A7634C" w:rsidRPr="0059512A" w:rsidRDefault="00A7634C" w:rsidP="0059512A">
      <w:pPr>
        <w:pStyle w:val="Heading4"/>
        <w:widowControl/>
      </w:pPr>
      <w:bookmarkStart w:id="112" w:name="_Toc38629289"/>
      <w:bookmarkStart w:id="113" w:name="_Hlk35844599"/>
      <w:r w:rsidRPr="0059512A">
        <w:t>Outside Services (Account 923)</w:t>
      </w:r>
      <w:bookmarkEnd w:id="112"/>
    </w:p>
    <w:bookmarkEnd w:id="113"/>
    <w:p w14:paraId="36627BF3" w14:textId="77777777" w:rsidR="001C0238" w:rsidRPr="0059512A" w:rsidRDefault="001C0238" w:rsidP="0059512A">
      <w:pPr>
        <w:keepNext/>
        <w:widowControl/>
        <w:spacing w:line="360" w:lineRule="auto"/>
        <w:rPr>
          <w:sz w:val="26"/>
          <w:szCs w:val="26"/>
        </w:rPr>
      </w:pPr>
    </w:p>
    <w:p w14:paraId="78A0EF35" w14:textId="6973FCF4"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(1)</w:t>
      </w:r>
      <w:r w:rsidRPr="0059512A">
        <w:rPr>
          <w:b/>
          <w:bCs/>
          <w:sz w:val="26"/>
          <w:szCs w:val="26"/>
        </w:rPr>
        <w:tab/>
      </w:r>
      <w:r w:rsidR="00D27A01" w:rsidRPr="0059512A">
        <w:rPr>
          <w:b/>
          <w:bCs/>
          <w:sz w:val="26"/>
          <w:szCs w:val="26"/>
        </w:rPr>
        <w:t>Positions of the Parties</w:t>
      </w:r>
    </w:p>
    <w:p w14:paraId="5105C44E" w14:textId="7984762A" w:rsidR="00D27A01" w:rsidRPr="0059512A" w:rsidRDefault="00D27A01" w:rsidP="0059512A">
      <w:pPr>
        <w:keepNext/>
        <w:widowControl/>
        <w:spacing w:line="360" w:lineRule="auto"/>
        <w:rPr>
          <w:b/>
          <w:bCs/>
          <w:sz w:val="26"/>
          <w:szCs w:val="26"/>
        </w:rPr>
      </w:pPr>
    </w:p>
    <w:p w14:paraId="01C447C3" w14:textId="3734DCC2" w:rsidR="00CA732F" w:rsidRPr="0059512A" w:rsidRDefault="00CA732F" w:rsidP="0059512A">
      <w:pPr>
        <w:keepNext/>
        <w:widowControl/>
        <w:spacing w:line="360" w:lineRule="auto"/>
        <w:ind w:firstLine="1440"/>
        <w:rPr>
          <w:sz w:val="26"/>
          <w:szCs w:val="26"/>
        </w:rPr>
      </w:pPr>
      <w:r w:rsidRPr="0059512A">
        <w:rPr>
          <w:sz w:val="26"/>
          <w:szCs w:val="26"/>
        </w:rPr>
        <w:t xml:space="preserve">Citizens’ made an original claim of $81,370 for </w:t>
      </w:r>
      <w:r w:rsidRPr="0059512A">
        <w:rPr>
          <w:bCs/>
          <w:sz w:val="26"/>
          <w:szCs w:val="26"/>
        </w:rPr>
        <w:t xml:space="preserve">outside services </w:t>
      </w:r>
      <w:r w:rsidRPr="0059512A">
        <w:rPr>
          <w:sz w:val="26"/>
          <w:szCs w:val="26"/>
        </w:rPr>
        <w:t>in the FPFTY, which included accounting and legal services.  Thereafter, the Company utilized n</w:t>
      </w:r>
      <w:r w:rsidRPr="0059512A">
        <w:rPr>
          <w:color w:val="000000" w:themeColor="text1"/>
          <w:sz w:val="26"/>
          <w:szCs w:val="26"/>
        </w:rPr>
        <w:t>ine-month data for the FTY (as of September 30, 2019) for a FTY amount of $47,175</w:t>
      </w:r>
      <w:r w:rsidR="005A13D1" w:rsidRPr="0059512A">
        <w:rPr>
          <w:color w:val="000000" w:themeColor="text1"/>
          <w:sz w:val="26"/>
          <w:szCs w:val="26"/>
        </w:rPr>
        <w:t>,</w:t>
      </w:r>
      <w:r w:rsidRPr="0059512A">
        <w:rPr>
          <w:color w:val="000000" w:themeColor="text1"/>
          <w:sz w:val="26"/>
          <w:szCs w:val="26"/>
        </w:rPr>
        <w:t xml:space="preserve"> and calculated an annualized amount of $62,900.  Applying a 3% inflation adjustment to the FTY annualized amount, the Company claimed a new amount of $64,787 for the FPFTY.  Citizens’ St. 1-R at 4.</w:t>
      </w:r>
    </w:p>
    <w:p w14:paraId="6201BF68" w14:textId="77777777" w:rsidR="00CA732F" w:rsidRPr="0059512A" w:rsidRDefault="00CA732F" w:rsidP="0059512A">
      <w:pPr>
        <w:widowControl/>
        <w:spacing w:line="360" w:lineRule="auto"/>
        <w:ind w:firstLine="1440"/>
        <w:rPr>
          <w:sz w:val="26"/>
          <w:szCs w:val="26"/>
        </w:rPr>
      </w:pPr>
    </w:p>
    <w:p w14:paraId="7818E221" w14:textId="62FDE3FC" w:rsidR="00CA732F" w:rsidRPr="0059512A" w:rsidRDefault="00CA732F" w:rsidP="0059512A">
      <w:pPr>
        <w:widowControl/>
        <w:spacing w:line="360" w:lineRule="auto"/>
        <w:ind w:firstLine="1440"/>
        <w:rPr>
          <w:rFonts w:eastAsiaTheme="minorHAnsi"/>
          <w:sz w:val="26"/>
          <w:szCs w:val="26"/>
        </w:rPr>
      </w:pPr>
      <w:r w:rsidRPr="0059512A">
        <w:rPr>
          <w:rFonts w:eastAsiaTheme="minorHAnsi"/>
          <w:sz w:val="26"/>
          <w:szCs w:val="26"/>
        </w:rPr>
        <w:t xml:space="preserve">I&amp;E recommended a reduction of $25,380 to Citizens’ original claim, which reflects the removal of one-time legal expenses incurred in the HTY and is reasonably consistent with the last three years’ expense level.  Specifically, I&amp;E noted that the Company’s historic outside services for 2016, 2017, and 2018 (after adjusting the one-time legal expense) were $53,612, $52,217, and $55,762.  I&amp;E argued that the </w:t>
      </w:r>
      <w:r w:rsidRPr="0059512A">
        <w:rPr>
          <w:rFonts w:eastAsiaTheme="minorHAnsi"/>
          <w:sz w:val="26"/>
          <w:szCs w:val="26"/>
        </w:rPr>
        <w:lastRenderedPageBreak/>
        <w:t>Company’s claim for the significant increased level of legal expense in the FPFTY is improper because it has not explained the reason for the large increase in legal expenses in the FTY (after adjusting the one-time legal expense).  I&amp;E St. 1 at 19-20; I&amp;E M.B. at</w:t>
      </w:r>
      <w:r w:rsidR="003972FD" w:rsidRPr="0059512A">
        <w:rPr>
          <w:rFonts w:eastAsiaTheme="minorHAnsi"/>
          <w:sz w:val="26"/>
          <w:szCs w:val="26"/>
        </w:rPr>
        <w:t> </w:t>
      </w:r>
      <w:r w:rsidRPr="0059512A">
        <w:rPr>
          <w:rFonts w:eastAsiaTheme="minorHAnsi"/>
          <w:sz w:val="26"/>
          <w:szCs w:val="26"/>
        </w:rPr>
        <w:t>22.</w:t>
      </w:r>
    </w:p>
    <w:p w14:paraId="6DA80BAA" w14:textId="77777777" w:rsidR="00CA732F" w:rsidRPr="0059512A" w:rsidRDefault="00CA732F" w:rsidP="0059512A">
      <w:pPr>
        <w:widowControl/>
        <w:spacing w:line="360" w:lineRule="auto"/>
        <w:ind w:firstLine="1440"/>
        <w:rPr>
          <w:rFonts w:eastAsiaTheme="minorHAnsi"/>
          <w:sz w:val="26"/>
          <w:szCs w:val="26"/>
        </w:rPr>
      </w:pPr>
    </w:p>
    <w:p w14:paraId="62D46660" w14:textId="4BFD06F6" w:rsidR="00CA732F" w:rsidRPr="0059512A" w:rsidRDefault="00CA732F" w:rsidP="0059512A">
      <w:pPr>
        <w:widowControl/>
        <w:spacing w:line="360" w:lineRule="auto"/>
        <w:ind w:firstLine="1440"/>
        <w:rPr>
          <w:rFonts w:eastAsia="Calibri"/>
          <w:color w:val="000000"/>
          <w:sz w:val="26"/>
          <w:szCs w:val="26"/>
        </w:rPr>
      </w:pPr>
      <w:r w:rsidRPr="0059512A">
        <w:rPr>
          <w:rFonts w:eastAsiaTheme="minorHAnsi"/>
          <w:sz w:val="26"/>
          <w:szCs w:val="26"/>
        </w:rPr>
        <w:t xml:space="preserve">The OCA recommended a reduction of </w:t>
      </w:r>
      <w:r w:rsidRPr="0059512A">
        <w:rPr>
          <w:sz w:val="26"/>
          <w:szCs w:val="26"/>
        </w:rPr>
        <w:t xml:space="preserve">$28,456 to the Company’s original claim arguing that Citizens’ did remove all one-time expenses from its claim.  The OCA argued that the Company’s annualized FTY expense amount is $18,470 below the Company’s claim for FPFTY, which indicates that the Company’s claim is likely higher than what will actually be incurred.  Instead, the OCA </w:t>
      </w:r>
      <w:r w:rsidRPr="0059512A">
        <w:rPr>
          <w:rFonts w:eastAsia="Calibri"/>
          <w:color w:val="000000"/>
          <w:sz w:val="26"/>
          <w:szCs w:val="26"/>
        </w:rPr>
        <w:t xml:space="preserve">recommended an adjustment reflecting a normalized period for 2016 and 2017, and excluding 2018 to eliminate one-time expenses, which results in a reduction of $28,456. OCA M.B. at 29 (citing </w:t>
      </w:r>
      <w:r w:rsidRPr="0059512A">
        <w:rPr>
          <w:sz w:val="26"/>
          <w:szCs w:val="26"/>
        </w:rPr>
        <w:t>OCA St.</w:t>
      </w:r>
      <w:r w:rsidR="00455E7E">
        <w:rPr>
          <w:sz w:val="26"/>
          <w:szCs w:val="26"/>
        </w:rPr>
        <w:t> </w:t>
      </w:r>
      <w:r w:rsidRPr="0059512A">
        <w:rPr>
          <w:sz w:val="26"/>
          <w:szCs w:val="26"/>
        </w:rPr>
        <w:t>1-SR (Revised) at 6)</w:t>
      </w:r>
      <w:r w:rsidRPr="0059512A">
        <w:rPr>
          <w:rFonts w:eastAsia="Calibri"/>
          <w:color w:val="000000"/>
          <w:sz w:val="26"/>
          <w:szCs w:val="26"/>
        </w:rPr>
        <w:t>.</w:t>
      </w:r>
    </w:p>
    <w:p w14:paraId="054B6F03" w14:textId="77777777" w:rsidR="00CA732F" w:rsidRPr="0059512A" w:rsidRDefault="00CA732F" w:rsidP="0059512A">
      <w:pPr>
        <w:widowControl/>
        <w:spacing w:line="360" w:lineRule="auto"/>
        <w:ind w:firstLine="1440"/>
        <w:rPr>
          <w:sz w:val="26"/>
          <w:szCs w:val="26"/>
        </w:rPr>
      </w:pPr>
      <w:r w:rsidRPr="0059512A">
        <w:rPr>
          <w:sz w:val="26"/>
          <w:szCs w:val="26"/>
        </w:rPr>
        <w:t>Alternatively, Citizens’ argued that if the Commission found a downward adjustment to be reasonable, the Company contended that a claim for $64,787 is reasonable because it is the annualized 9-month (as of September 30, 2019) YTD projection, plus an inflation adjustment.  Citizens’ M.B. at 52.</w:t>
      </w:r>
    </w:p>
    <w:p w14:paraId="60F4D4DE" w14:textId="77777777" w:rsidR="00CA732F" w:rsidRPr="0059512A" w:rsidRDefault="00CA732F" w:rsidP="0059512A">
      <w:pPr>
        <w:widowControl/>
        <w:spacing w:line="360" w:lineRule="auto"/>
        <w:rPr>
          <w:b/>
          <w:bCs/>
          <w:sz w:val="26"/>
          <w:szCs w:val="26"/>
        </w:rPr>
      </w:pPr>
    </w:p>
    <w:p w14:paraId="6548CE82" w14:textId="70553293"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(2)</w:t>
      </w:r>
      <w:r w:rsidRPr="0059512A">
        <w:rPr>
          <w:b/>
          <w:bCs/>
          <w:sz w:val="26"/>
          <w:szCs w:val="26"/>
        </w:rPr>
        <w:tab/>
      </w:r>
      <w:r w:rsidR="00D27A01" w:rsidRPr="0059512A">
        <w:rPr>
          <w:b/>
          <w:bCs/>
          <w:sz w:val="26"/>
          <w:szCs w:val="26"/>
        </w:rPr>
        <w:t>Recommended Decision</w:t>
      </w:r>
    </w:p>
    <w:p w14:paraId="352739D4" w14:textId="2B973EF6" w:rsidR="00D27A01" w:rsidRPr="0059512A" w:rsidRDefault="00D27A01" w:rsidP="0059512A">
      <w:pPr>
        <w:keepNext/>
        <w:widowControl/>
        <w:spacing w:line="360" w:lineRule="auto"/>
        <w:rPr>
          <w:b/>
          <w:bCs/>
          <w:sz w:val="26"/>
          <w:szCs w:val="26"/>
        </w:rPr>
      </w:pPr>
    </w:p>
    <w:p w14:paraId="0461607F" w14:textId="77777777" w:rsidR="00CA732F" w:rsidRPr="0059512A" w:rsidRDefault="00CA732F" w:rsidP="0059512A">
      <w:pPr>
        <w:pStyle w:val="ListParagraph"/>
        <w:keepNext/>
        <w:widowControl/>
        <w:spacing w:line="360" w:lineRule="auto"/>
        <w:ind w:left="0" w:firstLine="1440"/>
        <w:rPr>
          <w:sz w:val="26"/>
          <w:szCs w:val="26"/>
        </w:rPr>
      </w:pPr>
      <w:r w:rsidRPr="0059512A">
        <w:rPr>
          <w:sz w:val="26"/>
          <w:szCs w:val="26"/>
        </w:rPr>
        <w:t xml:space="preserve">The ALJs concurred with I&amp;E’s position, finding that there was insufficient evidence to support the entirety of Citizens’ original claim of $81,370 for outside services expense in the FPFTY and finding that it was imprudently incurred in the HTY.  In particular, the ALJs found that Citizens’ forecast included an unsupported significant increase in legal expenses and that any one-time costs should be removed from its claim.  Accordingly, the ALJs recommended that the Commission allow Citizens’ to recover $62,900 of its $81,370 claim for Account 923, based on annualization of actual costs </w:t>
      </w:r>
      <w:r w:rsidRPr="0059512A">
        <w:rPr>
          <w:sz w:val="26"/>
          <w:szCs w:val="26"/>
        </w:rPr>
        <w:lastRenderedPageBreak/>
        <w:t>incurred during the first 9 months of the FTY (as of September 30, 2019), excluding Citizens’ proposed inflation adjustment of 3% for the FPFTY.  R.D. at 35-36.</w:t>
      </w:r>
    </w:p>
    <w:p w14:paraId="71609D17" w14:textId="77777777" w:rsidR="00CA732F" w:rsidRPr="0059512A" w:rsidRDefault="00CA732F" w:rsidP="0059512A">
      <w:pPr>
        <w:widowControl/>
        <w:spacing w:line="360" w:lineRule="auto"/>
        <w:rPr>
          <w:b/>
          <w:bCs/>
          <w:sz w:val="26"/>
          <w:szCs w:val="26"/>
        </w:rPr>
      </w:pPr>
    </w:p>
    <w:p w14:paraId="3CE2435F" w14:textId="17E17E9D"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(3)</w:t>
      </w:r>
      <w:r w:rsidRPr="0059512A">
        <w:rPr>
          <w:b/>
          <w:bCs/>
          <w:sz w:val="26"/>
          <w:szCs w:val="26"/>
        </w:rPr>
        <w:tab/>
      </w:r>
      <w:r w:rsidR="00D27A01" w:rsidRPr="0059512A">
        <w:rPr>
          <w:b/>
          <w:bCs/>
          <w:sz w:val="26"/>
          <w:szCs w:val="26"/>
        </w:rPr>
        <w:t>Exceptions and Replies</w:t>
      </w:r>
    </w:p>
    <w:p w14:paraId="4F3F66AE" w14:textId="7CFE21D3" w:rsidR="00D27A01" w:rsidRPr="0059512A" w:rsidRDefault="00D27A01" w:rsidP="0059512A">
      <w:pPr>
        <w:keepNext/>
        <w:widowControl/>
        <w:spacing w:line="360" w:lineRule="auto"/>
        <w:rPr>
          <w:b/>
          <w:bCs/>
          <w:sz w:val="26"/>
          <w:szCs w:val="26"/>
        </w:rPr>
      </w:pPr>
    </w:p>
    <w:p w14:paraId="17BA95FF" w14:textId="55872B7B" w:rsidR="00CA732F" w:rsidRPr="0059512A" w:rsidRDefault="00CA732F" w:rsidP="0059512A">
      <w:pPr>
        <w:pStyle w:val="ListParagraph"/>
        <w:keepNext/>
        <w:widowControl/>
        <w:spacing w:line="360" w:lineRule="auto"/>
        <w:ind w:left="0" w:firstLine="1440"/>
        <w:rPr>
          <w:sz w:val="26"/>
          <w:szCs w:val="26"/>
        </w:rPr>
      </w:pPr>
      <w:r w:rsidRPr="0059512A">
        <w:rPr>
          <w:sz w:val="26"/>
          <w:szCs w:val="26"/>
        </w:rPr>
        <w:t>In Citizens’ Exception No. 8, the Company objects to the ALJs’ characterization of its HTY legal expenses as imprudently incurred, submitting that</w:t>
      </w:r>
      <w:r w:rsidR="00855A26" w:rsidRPr="0059512A">
        <w:rPr>
          <w:sz w:val="26"/>
          <w:szCs w:val="26"/>
        </w:rPr>
        <w:t>,</w:t>
      </w:r>
      <w:r w:rsidRPr="0059512A">
        <w:rPr>
          <w:sz w:val="26"/>
          <w:szCs w:val="26"/>
        </w:rPr>
        <w:t xml:space="preserve"> while certain accounting and legal expenses in 2018 may be non-recurring in the future, nothing in the record suggests or supports that the Company acted imprudently when incurring the HTY expense for legal services.  Citizens’ Exc. at 18.</w:t>
      </w:r>
    </w:p>
    <w:p w14:paraId="6C191693" w14:textId="77777777" w:rsidR="00CA732F" w:rsidRPr="0059512A" w:rsidRDefault="00CA732F" w:rsidP="0059512A">
      <w:pPr>
        <w:pStyle w:val="ListParagraph"/>
        <w:widowControl/>
        <w:spacing w:line="360" w:lineRule="auto"/>
        <w:ind w:left="0" w:firstLine="1440"/>
        <w:rPr>
          <w:sz w:val="26"/>
          <w:szCs w:val="26"/>
        </w:rPr>
      </w:pPr>
    </w:p>
    <w:p w14:paraId="1983F56C" w14:textId="77777777" w:rsidR="00CA732F" w:rsidRPr="0059512A" w:rsidRDefault="00CA732F" w:rsidP="0059512A">
      <w:pPr>
        <w:pStyle w:val="ListParagraph"/>
        <w:widowControl/>
        <w:spacing w:line="360" w:lineRule="auto"/>
        <w:ind w:left="0" w:firstLine="1440"/>
        <w:rPr>
          <w:sz w:val="26"/>
          <w:szCs w:val="26"/>
        </w:rPr>
      </w:pPr>
      <w:r w:rsidRPr="0059512A">
        <w:rPr>
          <w:sz w:val="26"/>
          <w:szCs w:val="26"/>
        </w:rPr>
        <w:t>In its replies, the OCA submits that the Company’s arguments are confusing and lack merit.  The OCA clarifies its understanding of the ALJs’ recommendation, stating that they found the legal expenses in question to be “one-time legal expenses,” therefore it would be imprudent to include them in the HTY as they “will not occur again in the FPFTY.”  OCA R. Exc. at 11-12.</w:t>
      </w:r>
    </w:p>
    <w:p w14:paraId="766AF8FD" w14:textId="77777777" w:rsidR="00CA732F" w:rsidRPr="0059512A" w:rsidRDefault="00CA732F" w:rsidP="0059512A">
      <w:pPr>
        <w:pStyle w:val="ListParagraph"/>
        <w:widowControl/>
        <w:spacing w:line="360" w:lineRule="auto"/>
        <w:ind w:left="0"/>
        <w:rPr>
          <w:sz w:val="26"/>
          <w:szCs w:val="26"/>
        </w:rPr>
      </w:pPr>
    </w:p>
    <w:p w14:paraId="00DEEA11" w14:textId="55E08635" w:rsidR="00CA732F" w:rsidRPr="0059512A" w:rsidRDefault="00CA732F" w:rsidP="0059512A">
      <w:pPr>
        <w:pStyle w:val="ListParagraph"/>
        <w:widowControl/>
        <w:spacing w:line="360" w:lineRule="auto"/>
        <w:ind w:left="0" w:firstLine="1440"/>
        <w:rPr>
          <w:sz w:val="26"/>
          <w:szCs w:val="26"/>
        </w:rPr>
      </w:pPr>
      <w:r w:rsidRPr="0059512A">
        <w:rPr>
          <w:sz w:val="26"/>
          <w:szCs w:val="26"/>
        </w:rPr>
        <w:t>In its Exception No. 4, the OCA excepts to the ALJs’ recommendation, contending that its recommendation to reduce the Company’s FPFTY expense claim for Account 923 by $28,456 to $52,914 should be adopted.  The OCA submits that</w:t>
      </w:r>
      <w:r w:rsidR="00920B9A">
        <w:rPr>
          <w:sz w:val="26"/>
          <w:szCs w:val="26"/>
        </w:rPr>
        <w:t>,</w:t>
      </w:r>
      <w:r w:rsidRPr="0059512A">
        <w:rPr>
          <w:sz w:val="26"/>
          <w:szCs w:val="26"/>
        </w:rPr>
        <w:t xml:space="preserve"> although the ALJs agreed with I&amp;E’s position, I&amp;E’s $25,389 adjustment should also be modified to reflect more up-to-date data.  The OCA maintains that its recommended adjustment reflects a normalized period for 2016 and 2017, excluding 2018 to eliminate one-time expenses.  OCA Exc. at 8-10.  </w:t>
      </w:r>
    </w:p>
    <w:p w14:paraId="5FF6BA37" w14:textId="77777777" w:rsidR="00CA732F" w:rsidRPr="0059512A" w:rsidRDefault="00CA732F" w:rsidP="0059512A">
      <w:pPr>
        <w:widowControl/>
        <w:spacing w:line="360" w:lineRule="auto"/>
        <w:rPr>
          <w:b/>
          <w:bCs/>
          <w:sz w:val="26"/>
          <w:szCs w:val="26"/>
        </w:rPr>
      </w:pPr>
    </w:p>
    <w:p w14:paraId="4E5312E0" w14:textId="0E8735BD"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(4)</w:t>
      </w:r>
      <w:r w:rsidRPr="0059512A">
        <w:rPr>
          <w:b/>
          <w:bCs/>
          <w:sz w:val="26"/>
          <w:szCs w:val="26"/>
        </w:rPr>
        <w:tab/>
      </w:r>
      <w:r w:rsidR="00D27A01" w:rsidRPr="0059512A">
        <w:rPr>
          <w:b/>
          <w:bCs/>
          <w:sz w:val="26"/>
          <w:szCs w:val="26"/>
        </w:rPr>
        <w:t>Disposition</w:t>
      </w:r>
    </w:p>
    <w:p w14:paraId="6FF8F522" w14:textId="67F23C5B" w:rsidR="001C0238" w:rsidRPr="0059512A" w:rsidRDefault="001C0238" w:rsidP="0059512A">
      <w:pPr>
        <w:keepNext/>
        <w:widowControl/>
        <w:spacing w:line="360" w:lineRule="auto"/>
        <w:rPr>
          <w:sz w:val="26"/>
          <w:szCs w:val="26"/>
        </w:rPr>
      </w:pPr>
    </w:p>
    <w:p w14:paraId="1422414E" w14:textId="29E2C22D" w:rsidR="00072BBE" w:rsidRPr="0059512A" w:rsidRDefault="00072BBE" w:rsidP="0059512A">
      <w:pPr>
        <w:keepNext/>
        <w:widowControl/>
        <w:spacing w:line="360" w:lineRule="auto"/>
        <w:ind w:firstLine="1440"/>
        <w:rPr>
          <w:rFonts w:eastAsiaTheme="minorHAnsi"/>
          <w:sz w:val="26"/>
          <w:szCs w:val="26"/>
        </w:rPr>
      </w:pPr>
      <w:r w:rsidRPr="0059512A">
        <w:rPr>
          <w:rFonts w:eastAsiaTheme="minorHAnsi"/>
          <w:sz w:val="26"/>
          <w:szCs w:val="26"/>
        </w:rPr>
        <w:t xml:space="preserve">We are in agreement with the ALJs’ finding that there was insufficient evidence to support the entirety of Citizens’ original claim of $81,370 for outside services </w:t>
      </w:r>
      <w:r w:rsidRPr="0059512A">
        <w:rPr>
          <w:rFonts w:eastAsiaTheme="minorHAnsi"/>
          <w:sz w:val="26"/>
          <w:szCs w:val="26"/>
        </w:rPr>
        <w:lastRenderedPageBreak/>
        <w:t>expense in the FPFTY, concurring with I&amp;E’s position.  The ALJs correctly recognized that the Company’s forecast included an unsupported significant increase in legal expenses and that any one-time costs are appropriately removed from its claim.  I&amp;E based its adjustment on the annualized FTY expense as of June 30, 2019, however the ALJs noted data as of September 30, 2019</w:t>
      </w:r>
      <w:r w:rsidR="00C97694" w:rsidRPr="0059512A">
        <w:rPr>
          <w:rFonts w:eastAsiaTheme="minorHAnsi"/>
          <w:sz w:val="26"/>
          <w:szCs w:val="26"/>
        </w:rPr>
        <w:t>,</w:t>
      </w:r>
      <w:r w:rsidRPr="0059512A">
        <w:rPr>
          <w:rFonts w:eastAsiaTheme="minorHAnsi"/>
          <w:sz w:val="26"/>
          <w:szCs w:val="26"/>
        </w:rPr>
        <w:t xml:space="preserve"> is available.  Thus, the ALJs used the data as of September 30, 2019, recommending that the Commission approve an allowance of $62,900 for Account 923, which is the annualized 9-month YTD projection, minus the 3% inflation adjustment.  Accordingly, the ALJs recommended that the Commission allow Citizens’ to recover $62,900 of its $81,370 claim for Account 923, based on annualization of actual costs incurred during the first 9 months of the FTY (as of September 30, 2019) and excluding Citizens’ proposed inflation adjustment of 3% for the FPFTY.  </w:t>
      </w:r>
    </w:p>
    <w:p w14:paraId="01300BC1" w14:textId="77777777" w:rsidR="00072BBE" w:rsidRPr="0059512A" w:rsidRDefault="00072BBE" w:rsidP="0059512A">
      <w:pPr>
        <w:widowControl/>
        <w:spacing w:line="360" w:lineRule="auto"/>
        <w:ind w:firstLine="1440"/>
        <w:rPr>
          <w:rFonts w:eastAsiaTheme="minorHAnsi"/>
          <w:sz w:val="26"/>
          <w:szCs w:val="26"/>
        </w:rPr>
      </w:pPr>
    </w:p>
    <w:p w14:paraId="53026B7C" w14:textId="679CCB9A" w:rsidR="00CA732F" w:rsidRPr="0059512A" w:rsidRDefault="00C97694" w:rsidP="0059512A">
      <w:pPr>
        <w:widowControl/>
        <w:spacing w:line="360" w:lineRule="auto"/>
        <w:ind w:firstLine="1440"/>
        <w:rPr>
          <w:rFonts w:eastAsiaTheme="minorHAnsi"/>
          <w:sz w:val="26"/>
          <w:szCs w:val="26"/>
        </w:rPr>
      </w:pPr>
      <w:r w:rsidRPr="0059512A">
        <w:rPr>
          <w:rFonts w:eastAsiaTheme="minorHAnsi"/>
          <w:sz w:val="26"/>
          <w:szCs w:val="26"/>
        </w:rPr>
        <w:t>We note that the</w:t>
      </w:r>
      <w:r w:rsidR="00072BBE" w:rsidRPr="0059512A">
        <w:rPr>
          <w:rFonts w:eastAsiaTheme="minorHAnsi"/>
          <w:sz w:val="26"/>
          <w:szCs w:val="26"/>
        </w:rPr>
        <w:t xml:space="preserve"> ALJs appropriately rejected the OCA’s contention that its recommendation to reduce the Company’s FPFTY expense claim for Account 923 by $28,456 to $52,914 should be adopted.  The OCA su</w:t>
      </w:r>
      <w:r w:rsidRPr="0059512A">
        <w:rPr>
          <w:rFonts w:eastAsiaTheme="minorHAnsi"/>
          <w:sz w:val="26"/>
          <w:szCs w:val="26"/>
        </w:rPr>
        <w:t>bmitted</w:t>
      </w:r>
      <w:r w:rsidR="00072BBE" w:rsidRPr="0059512A">
        <w:rPr>
          <w:rFonts w:eastAsiaTheme="minorHAnsi"/>
          <w:sz w:val="26"/>
          <w:szCs w:val="26"/>
        </w:rPr>
        <w:t xml:space="preserve"> that</w:t>
      </w:r>
      <w:r w:rsidR="00863A54">
        <w:rPr>
          <w:rFonts w:eastAsiaTheme="minorHAnsi"/>
          <w:sz w:val="26"/>
          <w:szCs w:val="26"/>
        </w:rPr>
        <w:t>,</w:t>
      </w:r>
      <w:r w:rsidR="00072BBE" w:rsidRPr="0059512A">
        <w:rPr>
          <w:rFonts w:eastAsiaTheme="minorHAnsi"/>
          <w:sz w:val="26"/>
          <w:szCs w:val="26"/>
        </w:rPr>
        <w:t xml:space="preserve"> although the ALJs agreed with I&amp;E’s position, they chose to modify I&amp;E’s $25,389 adjustment, in order to reflect more up-to-date data.  The OCA maintains that its recommended adjustment reflects a normalized period for 2016 and 2017, excluding 2018 to eliminate one-time expenses.  We disagree with the OCA using a normalized period for 2016 and 2017, excluding 2018, as the FTY, ending September 30, 2019, is the most recent data.  Additionally, using the annualized period ending September 30, 2019, eliminates the OCA’s concern about one-time expenses in the projected FTY.  Consequently, we shall deny the OCA’s Exceptions on this issue and will allow Citizens to recover $62,900 of its $81,370 claim for Account 923, based on annualization of actual costs incurred during the first 9 months of the FTY (as of September 30, 2019) and excluding the Company’s proposed inflation adjustment of 3% for the FPFTY.</w:t>
      </w:r>
    </w:p>
    <w:p w14:paraId="7E4EAC2F" w14:textId="77777777" w:rsidR="00072BBE" w:rsidRPr="0059512A" w:rsidRDefault="00072BBE" w:rsidP="0059512A">
      <w:pPr>
        <w:widowControl/>
        <w:spacing w:line="360" w:lineRule="auto"/>
        <w:rPr>
          <w:sz w:val="26"/>
          <w:szCs w:val="26"/>
        </w:rPr>
      </w:pPr>
    </w:p>
    <w:p w14:paraId="0893C380" w14:textId="7FD9CF9F" w:rsidR="00A7634C" w:rsidRPr="0059512A" w:rsidRDefault="00A7634C" w:rsidP="0059512A">
      <w:pPr>
        <w:pStyle w:val="Heading4"/>
        <w:widowControl/>
      </w:pPr>
      <w:bookmarkStart w:id="114" w:name="_Toc38629290"/>
      <w:bookmarkStart w:id="115" w:name="_Hlk35844652"/>
      <w:r w:rsidRPr="0059512A">
        <w:lastRenderedPageBreak/>
        <w:t>Employee Pension &amp; Benefits (Account 926)</w:t>
      </w:r>
      <w:bookmarkEnd w:id="114"/>
    </w:p>
    <w:bookmarkEnd w:id="115"/>
    <w:p w14:paraId="5C64BB01" w14:textId="2CCE67B0" w:rsidR="00A7634C" w:rsidRPr="0059512A" w:rsidRDefault="00A7634C" w:rsidP="0059512A">
      <w:pPr>
        <w:keepNext/>
        <w:widowControl/>
        <w:spacing w:line="360" w:lineRule="auto"/>
        <w:rPr>
          <w:sz w:val="26"/>
          <w:szCs w:val="26"/>
        </w:rPr>
      </w:pPr>
    </w:p>
    <w:p w14:paraId="58A0FCF9" w14:textId="5E44A57B"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(1)</w:t>
      </w:r>
      <w:r w:rsidRPr="0059512A">
        <w:rPr>
          <w:b/>
          <w:bCs/>
          <w:sz w:val="26"/>
          <w:szCs w:val="26"/>
        </w:rPr>
        <w:tab/>
      </w:r>
      <w:r w:rsidR="00D27A01" w:rsidRPr="0059512A">
        <w:rPr>
          <w:b/>
          <w:bCs/>
          <w:sz w:val="26"/>
          <w:szCs w:val="26"/>
        </w:rPr>
        <w:t>Positions of the Parties</w:t>
      </w:r>
    </w:p>
    <w:p w14:paraId="3315C356" w14:textId="32616C5E" w:rsidR="00D27A01" w:rsidRPr="0059512A" w:rsidRDefault="00D27A01" w:rsidP="0059512A">
      <w:pPr>
        <w:keepNext/>
        <w:widowControl/>
        <w:spacing w:line="360" w:lineRule="auto"/>
        <w:rPr>
          <w:b/>
          <w:bCs/>
          <w:sz w:val="26"/>
          <w:szCs w:val="26"/>
        </w:rPr>
      </w:pPr>
    </w:p>
    <w:p w14:paraId="7BC8044C" w14:textId="77777777" w:rsidR="003F04B8" w:rsidRPr="0059512A" w:rsidRDefault="003F04B8" w:rsidP="0059512A">
      <w:pPr>
        <w:keepNext/>
        <w:widowControl/>
        <w:spacing w:line="360" w:lineRule="auto"/>
        <w:ind w:firstLine="1440"/>
        <w:rPr>
          <w:sz w:val="26"/>
          <w:szCs w:val="26"/>
        </w:rPr>
      </w:pPr>
      <w:r w:rsidRPr="0059512A">
        <w:rPr>
          <w:rFonts w:eastAsiaTheme="minorHAnsi"/>
          <w:sz w:val="26"/>
          <w:szCs w:val="26"/>
        </w:rPr>
        <w:t>Citizens’ made an original claim of $10,300 for employee pension and benefits in the FPFTY.  The Company then used n</w:t>
      </w:r>
      <w:r w:rsidRPr="0059512A">
        <w:rPr>
          <w:color w:val="000000" w:themeColor="text1"/>
          <w:sz w:val="26"/>
          <w:szCs w:val="26"/>
        </w:rPr>
        <w:t>ine-month data for the FTY (as of September 30, 2019) showing a total of $11,931 and an annualized amount of $15,908.  Applying a 3% inflation adjustment to the FTY annualized amount, Citizens’ submitted a new claim amount of $16,385 for the FPFTY.  Citizens’ St. 1-R at 4.</w:t>
      </w:r>
    </w:p>
    <w:p w14:paraId="4359DFC1" w14:textId="77777777" w:rsidR="003F04B8" w:rsidRPr="0059512A" w:rsidRDefault="003F04B8" w:rsidP="0059512A">
      <w:pPr>
        <w:widowControl/>
        <w:spacing w:line="360" w:lineRule="auto"/>
        <w:rPr>
          <w:rFonts w:eastAsiaTheme="minorHAnsi"/>
          <w:sz w:val="26"/>
          <w:szCs w:val="26"/>
        </w:rPr>
      </w:pPr>
    </w:p>
    <w:p w14:paraId="69E9CA99" w14:textId="3D98299D" w:rsidR="003F04B8" w:rsidRPr="0059512A" w:rsidRDefault="003F04B8" w:rsidP="0059512A">
      <w:pPr>
        <w:widowControl/>
        <w:spacing w:line="360" w:lineRule="auto"/>
        <w:ind w:firstLine="1440"/>
        <w:rPr>
          <w:sz w:val="26"/>
          <w:szCs w:val="26"/>
        </w:rPr>
      </w:pPr>
      <w:r w:rsidRPr="0059512A">
        <w:rPr>
          <w:sz w:val="26"/>
          <w:szCs w:val="26"/>
        </w:rPr>
        <w:t>The OCA recommended a reduction of $8,039 to the Company’s original claim.  The OCA noted that this account includes employee appreciation expenses such as employee gifts, Christmas parties, picnics, and retirement parties.  Noting that in 2018, the Company spent $1,150 on a retirement party and $3,270 on a Christmas party, the OCA proposed to disallow such expenses, claiming that they do not enhance service to customers and should not be supported by rates.  After eliminating such expenses, and leaving expenses such as coffee, equipment lease, national night out, and a safety breakfast as the remaining employee appreciation expenses, Citizens’ claim should be set at $2,261 for the FPFTY.  OCA St. 1 at 8.</w:t>
      </w:r>
      <w:r w:rsidR="006B04DA" w:rsidRPr="0059512A">
        <w:rPr>
          <w:sz w:val="26"/>
          <w:szCs w:val="26"/>
        </w:rPr>
        <w:t xml:space="preserve">  </w:t>
      </w:r>
    </w:p>
    <w:p w14:paraId="490E4778" w14:textId="77777777" w:rsidR="003F04B8" w:rsidRPr="0059512A" w:rsidRDefault="003F04B8" w:rsidP="0059512A">
      <w:pPr>
        <w:widowControl/>
        <w:spacing w:line="360" w:lineRule="auto"/>
        <w:ind w:firstLine="1440"/>
        <w:rPr>
          <w:sz w:val="26"/>
          <w:szCs w:val="26"/>
        </w:rPr>
      </w:pPr>
    </w:p>
    <w:p w14:paraId="43D8920C" w14:textId="77777777" w:rsidR="003F04B8" w:rsidRPr="0059512A" w:rsidRDefault="003F04B8" w:rsidP="0059512A">
      <w:pPr>
        <w:widowControl/>
        <w:spacing w:line="360" w:lineRule="auto"/>
        <w:ind w:firstLine="1440"/>
        <w:rPr>
          <w:sz w:val="26"/>
          <w:szCs w:val="26"/>
        </w:rPr>
      </w:pPr>
      <w:r w:rsidRPr="0059512A">
        <w:rPr>
          <w:sz w:val="26"/>
          <w:szCs w:val="26"/>
        </w:rPr>
        <w:t xml:space="preserve">The OCA argued that the Commission has consistently disallowed entertainment expenses for parties because they are not necessary for the provision of public utility service.  OCA M.B. at 30 (citing </w:t>
      </w:r>
      <w:r w:rsidRPr="0059512A">
        <w:rPr>
          <w:i/>
          <w:iCs/>
          <w:sz w:val="26"/>
          <w:szCs w:val="26"/>
        </w:rPr>
        <w:t>Pa. PUC v. Pennsylvania-American Water Co.</w:t>
      </w:r>
      <w:r w:rsidRPr="0059512A">
        <w:rPr>
          <w:sz w:val="26"/>
          <w:szCs w:val="26"/>
        </w:rPr>
        <w:t>, Docket No. R-922428, 1993 WL 854381 (Order entered April 21, 1993) (</w:t>
      </w:r>
      <w:r w:rsidRPr="0059512A">
        <w:rPr>
          <w:i/>
          <w:iCs/>
          <w:sz w:val="26"/>
          <w:szCs w:val="26"/>
        </w:rPr>
        <w:t>PAWC 1993</w:t>
      </w:r>
      <w:r w:rsidRPr="0059512A">
        <w:rPr>
          <w:sz w:val="26"/>
          <w:szCs w:val="26"/>
        </w:rPr>
        <w:t xml:space="preserve">); and </w:t>
      </w:r>
      <w:r w:rsidRPr="0059512A">
        <w:rPr>
          <w:i/>
          <w:iCs/>
          <w:sz w:val="26"/>
          <w:szCs w:val="26"/>
        </w:rPr>
        <w:t>Pa. PUC v. Citizens’ Utilities Water Co. of Pa.</w:t>
      </w:r>
      <w:r w:rsidRPr="0059512A">
        <w:rPr>
          <w:sz w:val="26"/>
          <w:szCs w:val="26"/>
        </w:rPr>
        <w:t>, Docket No. R-953300C0001-0072, 1996 WL 350828 (Order entered March 29, 1996) (</w:t>
      </w:r>
      <w:bookmarkStart w:id="116" w:name="_Hlk37076160"/>
      <w:r w:rsidRPr="0059512A">
        <w:rPr>
          <w:i/>
          <w:iCs/>
          <w:sz w:val="26"/>
          <w:szCs w:val="26"/>
        </w:rPr>
        <w:t>Citizens’ 1996</w:t>
      </w:r>
      <w:bookmarkEnd w:id="116"/>
      <w:r w:rsidRPr="0059512A">
        <w:rPr>
          <w:sz w:val="26"/>
          <w:szCs w:val="26"/>
        </w:rPr>
        <w:t xml:space="preserve">)).  </w:t>
      </w:r>
    </w:p>
    <w:p w14:paraId="6667ACD3" w14:textId="77777777" w:rsidR="003F04B8" w:rsidRPr="0059512A" w:rsidRDefault="003F04B8" w:rsidP="0059512A">
      <w:pPr>
        <w:widowControl/>
        <w:spacing w:line="360" w:lineRule="auto"/>
        <w:rPr>
          <w:rFonts w:eastAsiaTheme="minorHAnsi"/>
          <w:sz w:val="26"/>
          <w:szCs w:val="26"/>
        </w:rPr>
      </w:pPr>
    </w:p>
    <w:p w14:paraId="5E870E9D" w14:textId="325E0C05" w:rsidR="003F04B8" w:rsidRPr="0059512A" w:rsidRDefault="003F04B8" w:rsidP="0059512A">
      <w:pPr>
        <w:widowControl/>
        <w:spacing w:line="360" w:lineRule="auto"/>
        <w:ind w:firstLine="1440"/>
        <w:rPr>
          <w:b/>
          <w:bCs/>
          <w:sz w:val="26"/>
          <w:szCs w:val="26"/>
        </w:rPr>
      </w:pPr>
      <w:r w:rsidRPr="0059512A">
        <w:rPr>
          <w:rFonts w:eastAsiaTheme="minorHAnsi"/>
          <w:sz w:val="26"/>
          <w:szCs w:val="26"/>
        </w:rPr>
        <w:t xml:space="preserve">In response, Citizens’ argued that the employee activity expenses relate to employee recognition events which the Commission has permitted.  The Company </w:t>
      </w:r>
      <w:r w:rsidRPr="0059512A">
        <w:rPr>
          <w:rFonts w:eastAsiaTheme="minorHAnsi"/>
          <w:sz w:val="26"/>
          <w:szCs w:val="26"/>
        </w:rPr>
        <w:lastRenderedPageBreak/>
        <w:t xml:space="preserve">emphasized that the special events are to recognize the employees’ hard work and dedication, as well as to boost employee engagement and the morale of the overall workforce.  Citizens’ M.B. at 53-54 (citing </w:t>
      </w:r>
      <w:r w:rsidRPr="0059512A">
        <w:rPr>
          <w:rFonts w:eastAsiaTheme="minorHAnsi"/>
          <w:i/>
          <w:iCs/>
          <w:color w:val="000000" w:themeColor="text1"/>
          <w:sz w:val="26"/>
          <w:szCs w:val="26"/>
        </w:rPr>
        <w:t xml:space="preserve">UGI Order </w:t>
      </w:r>
      <w:r w:rsidRPr="0059512A">
        <w:rPr>
          <w:rFonts w:eastAsiaTheme="minorHAnsi"/>
          <w:color w:val="000000" w:themeColor="text1"/>
          <w:sz w:val="26"/>
          <w:szCs w:val="26"/>
        </w:rPr>
        <w:t xml:space="preserve">and Citizens’ St. 4-R at 7).  </w:t>
      </w:r>
    </w:p>
    <w:p w14:paraId="3F3B1A79" w14:textId="77777777" w:rsidR="003F04B8" w:rsidRPr="0059512A" w:rsidRDefault="003F04B8" w:rsidP="0059512A">
      <w:pPr>
        <w:widowControl/>
        <w:spacing w:line="360" w:lineRule="auto"/>
        <w:rPr>
          <w:b/>
          <w:bCs/>
          <w:sz w:val="26"/>
          <w:szCs w:val="26"/>
        </w:rPr>
      </w:pPr>
    </w:p>
    <w:p w14:paraId="64F37CC7" w14:textId="1520D29E"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(2)</w:t>
      </w:r>
      <w:r w:rsidRPr="0059512A">
        <w:rPr>
          <w:b/>
          <w:bCs/>
          <w:sz w:val="26"/>
          <w:szCs w:val="26"/>
        </w:rPr>
        <w:tab/>
      </w:r>
      <w:r w:rsidR="00D27A01" w:rsidRPr="0059512A">
        <w:rPr>
          <w:b/>
          <w:bCs/>
          <w:sz w:val="26"/>
          <w:szCs w:val="26"/>
        </w:rPr>
        <w:t>Recommended Decision</w:t>
      </w:r>
    </w:p>
    <w:p w14:paraId="6C06C385" w14:textId="1782B3E8" w:rsidR="00D27A01" w:rsidRPr="0059512A" w:rsidRDefault="00D27A01" w:rsidP="0059512A">
      <w:pPr>
        <w:keepNext/>
        <w:widowControl/>
        <w:spacing w:line="360" w:lineRule="auto"/>
        <w:rPr>
          <w:b/>
          <w:bCs/>
          <w:sz w:val="26"/>
          <w:szCs w:val="26"/>
        </w:rPr>
      </w:pPr>
    </w:p>
    <w:p w14:paraId="61B9ECB0" w14:textId="77777777" w:rsidR="00E92DF2" w:rsidRPr="0059512A" w:rsidRDefault="00E92DF2" w:rsidP="0059512A">
      <w:pPr>
        <w:pStyle w:val="ListParagraph"/>
        <w:keepNext/>
        <w:widowControl/>
        <w:spacing w:line="360" w:lineRule="auto"/>
        <w:ind w:left="0" w:firstLine="1440"/>
        <w:rPr>
          <w:sz w:val="26"/>
          <w:szCs w:val="26"/>
        </w:rPr>
      </w:pPr>
      <w:r w:rsidRPr="0059512A">
        <w:rPr>
          <w:sz w:val="26"/>
          <w:szCs w:val="26"/>
        </w:rPr>
        <w:t xml:space="preserve">The ALJs agreed with Citizens’, finding that the Company’s approach is consistent with the precedent upheld in the </w:t>
      </w:r>
      <w:r w:rsidRPr="0059512A">
        <w:rPr>
          <w:i/>
          <w:iCs/>
          <w:sz w:val="26"/>
          <w:szCs w:val="26"/>
        </w:rPr>
        <w:t>UGI Order.</w:t>
      </w:r>
      <w:r w:rsidRPr="0059512A">
        <w:rPr>
          <w:sz w:val="26"/>
          <w:szCs w:val="26"/>
        </w:rPr>
        <w:t xml:space="preserve">  Specifically, the ALJs found that there was sufficient evidence to show that the employee activity costs in question are employee recognition costs and can therefore be claimed as an expense.  Therefore, the ALJs recommended that Citizens’ be permitted to recover the cost of employee pension and benefits in the amount of $15,908, based on annualization of actual costs incurred during the first 9 months of the FTY (as of September 30, 2019) excluding Citizens’ proposed inflation adjustment of 3% for the FPFTY.  R.D. at 38-40.</w:t>
      </w:r>
    </w:p>
    <w:p w14:paraId="45ACC176" w14:textId="77777777" w:rsidR="000949EC" w:rsidRPr="0059512A" w:rsidRDefault="000949EC" w:rsidP="0059512A">
      <w:pPr>
        <w:widowControl/>
        <w:spacing w:line="360" w:lineRule="auto"/>
        <w:rPr>
          <w:b/>
          <w:bCs/>
          <w:sz w:val="26"/>
          <w:szCs w:val="26"/>
        </w:rPr>
      </w:pPr>
    </w:p>
    <w:p w14:paraId="2239191A" w14:textId="39DB06F1"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(3)</w:t>
      </w:r>
      <w:r w:rsidRPr="0059512A">
        <w:rPr>
          <w:b/>
          <w:bCs/>
          <w:sz w:val="26"/>
          <w:szCs w:val="26"/>
        </w:rPr>
        <w:tab/>
      </w:r>
      <w:r w:rsidR="00D27A01" w:rsidRPr="0059512A">
        <w:rPr>
          <w:b/>
          <w:bCs/>
          <w:sz w:val="26"/>
          <w:szCs w:val="26"/>
        </w:rPr>
        <w:t>Exceptions and Replies</w:t>
      </w:r>
    </w:p>
    <w:p w14:paraId="22A62DDC" w14:textId="77777777" w:rsidR="00092994" w:rsidRPr="0059512A" w:rsidRDefault="00092994" w:rsidP="0059512A">
      <w:pPr>
        <w:pStyle w:val="ListParagraph"/>
        <w:keepNext/>
        <w:widowControl/>
        <w:spacing w:line="360" w:lineRule="auto"/>
        <w:ind w:left="2880" w:hanging="720"/>
        <w:rPr>
          <w:b/>
          <w:bCs/>
          <w:sz w:val="26"/>
          <w:szCs w:val="26"/>
        </w:rPr>
      </w:pPr>
    </w:p>
    <w:p w14:paraId="687FF4A9" w14:textId="3C19746E" w:rsidR="00E92DF2" w:rsidRPr="0059512A" w:rsidRDefault="00E92DF2" w:rsidP="0059512A">
      <w:pPr>
        <w:pStyle w:val="ListParagraph"/>
        <w:keepNext/>
        <w:widowControl/>
        <w:spacing w:line="360" w:lineRule="auto"/>
        <w:ind w:left="0" w:firstLine="1440"/>
        <w:rPr>
          <w:sz w:val="26"/>
          <w:szCs w:val="26"/>
        </w:rPr>
      </w:pPr>
      <w:r w:rsidRPr="0059512A">
        <w:rPr>
          <w:sz w:val="26"/>
          <w:szCs w:val="26"/>
        </w:rPr>
        <w:t>In OCA Exception No. 5, the OCA criticizes the ALJs’ recommendation, contending that it is an unnecessary departure from Commission precedent.  OCA Exc. at</w:t>
      </w:r>
      <w:r w:rsidR="000D2FD0">
        <w:rPr>
          <w:sz w:val="26"/>
          <w:szCs w:val="26"/>
        </w:rPr>
        <w:t> </w:t>
      </w:r>
      <w:r w:rsidRPr="0059512A">
        <w:rPr>
          <w:sz w:val="26"/>
          <w:szCs w:val="26"/>
        </w:rPr>
        <w:t xml:space="preserve">11 (citing </w:t>
      </w:r>
      <w:r w:rsidRPr="0059512A">
        <w:rPr>
          <w:i/>
          <w:iCs/>
          <w:sz w:val="26"/>
          <w:szCs w:val="26"/>
        </w:rPr>
        <w:t>PAWC 1993</w:t>
      </w:r>
      <w:r w:rsidRPr="0059512A">
        <w:rPr>
          <w:sz w:val="26"/>
          <w:szCs w:val="26"/>
        </w:rPr>
        <w:t xml:space="preserve"> and</w:t>
      </w:r>
      <w:r w:rsidRPr="0059512A">
        <w:rPr>
          <w:i/>
          <w:iCs/>
          <w:sz w:val="26"/>
          <w:szCs w:val="26"/>
        </w:rPr>
        <w:t xml:space="preserve"> Citizens’ 1996</w:t>
      </w:r>
      <w:r w:rsidRPr="0059512A">
        <w:rPr>
          <w:sz w:val="26"/>
          <w:szCs w:val="26"/>
        </w:rPr>
        <w:t>).  The OCA submits that its proposal to disallow $8,039 of the Company’s original $10,300 FPFTY claim for Account 926 properly eliminates expenses related to certain events (retirement and holiday events) because they do not serve to enhance service to customers and should not be supported by rates.  OCA Exc. at 11-12.</w:t>
      </w:r>
    </w:p>
    <w:p w14:paraId="0FD9E0AC" w14:textId="77777777" w:rsidR="00E92DF2" w:rsidRPr="0059512A" w:rsidRDefault="00E92DF2" w:rsidP="0059512A">
      <w:pPr>
        <w:pStyle w:val="ListParagraph"/>
        <w:widowControl/>
        <w:spacing w:line="360" w:lineRule="auto"/>
        <w:ind w:left="0" w:firstLine="1440"/>
        <w:rPr>
          <w:sz w:val="26"/>
          <w:szCs w:val="26"/>
        </w:rPr>
      </w:pPr>
    </w:p>
    <w:p w14:paraId="348CE1D4" w14:textId="0205C596" w:rsidR="00E92DF2" w:rsidRPr="0059512A" w:rsidRDefault="00E92DF2" w:rsidP="0059512A">
      <w:pPr>
        <w:pStyle w:val="ListParagraph"/>
        <w:widowControl/>
        <w:spacing w:line="360" w:lineRule="auto"/>
        <w:ind w:left="0" w:firstLine="1440"/>
        <w:rPr>
          <w:sz w:val="26"/>
          <w:szCs w:val="26"/>
        </w:rPr>
      </w:pPr>
      <w:r w:rsidRPr="0059512A">
        <w:rPr>
          <w:sz w:val="26"/>
          <w:szCs w:val="26"/>
        </w:rPr>
        <w:t xml:space="preserve">Citizens’ replies that, corroborated by Commission precedent </w:t>
      </w:r>
      <w:r w:rsidR="00855A26" w:rsidRPr="0059512A">
        <w:rPr>
          <w:sz w:val="26"/>
          <w:szCs w:val="26"/>
        </w:rPr>
        <w:t>in</w:t>
      </w:r>
      <w:r w:rsidRPr="0059512A">
        <w:rPr>
          <w:sz w:val="26"/>
          <w:szCs w:val="26"/>
        </w:rPr>
        <w:t xml:space="preserve"> the </w:t>
      </w:r>
      <w:r w:rsidRPr="0059512A">
        <w:rPr>
          <w:i/>
          <w:iCs/>
          <w:sz w:val="26"/>
          <w:szCs w:val="26"/>
        </w:rPr>
        <w:t>UGI Order</w:t>
      </w:r>
      <w:r w:rsidRPr="000D2FD0">
        <w:rPr>
          <w:sz w:val="26"/>
          <w:szCs w:val="26"/>
        </w:rPr>
        <w:t>,</w:t>
      </w:r>
      <w:r w:rsidRPr="0059512A">
        <w:rPr>
          <w:i/>
          <w:iCs/>
          <w:sz w:val="26"/>
          <w:szCs w:val="26"/>
        </w:rPr>
        <w:t xml:space="preserve"> </w:t>
      </w:r>
      <w:r w:rsidRPr="0059512A">
        <w:rPr>
          <w:sz w:val="26"/>
          <w:szCs w:val="26"/>
        </w:rPr>
        <w:t>the ALJs properly approved the employee activity costs in question, which have been proven by the Company to be costs of recognition events intended to recognize the achievements of the Company’s staff in order to bolster morale and, ultimately</w:t>
      </w:r>
      <w:r w:rsidR="00855A26" w:rsidRPr="0059512A">
        <w:rPr>
          <w:sz w:val="26"/>
          <w:szCs w:val="26"/>
        </w:rPr>
        <w:t>,</w:t>
      </w:r>
      <w:r w:rsidRPr="0059512A">
        <w:rPr>
          <w:sz w:val="26"/>
          <w:szCs w:val="26"/>
        </w:rPr>
        <w:t xml:space="preserve"> </w:t>
      </w:r>
      <w:r w:rsidRPr="0059512A">
        <w:rPr>
          <w:sz w:val="26"/>
          <w:szCs w:val="26"/>
        </w:rPr>
        <w:lastRenderedPageBreak/>
        <w:t>incentivize high levels of customer service.  Accordingly, Citizens’ submits that the Commission should deny the OCA’s Exception on this issue and adopt the ALJs’ recommendation as modified by the Company’s Exception No. 3</w:t>
      </w:r>
      <w:r w:rsidR="005A13D1" w:rsidRPr="0059512A">
        <w:rPr>
          <w:sz w:val="26"/>
          <w:szCs w:val="26"/>
        </w:rPr>
        <w:t>,</w:t>
      </w:r>
      <w:r w:rsidRPr="0059512A">
        <w:rPr>
          <w:sz w:val="26"/>
          <w:szCs w:val="26"/>
        </w:rPr>
        <w:t xml:space="preserve"> to include the 3% inflation adjustment for the FPFTY expense.  Citizens’ R. Exc. at 6-7.</w:t>
      </w:r>
    </w:p>
    <w:p w14:paraId="4005A297" w14:textId="77777777" w:rsidR="00E92DF2" w:rsidRPr="0059512A" w:rsidRDefault="00E92DF2" w:rsidP="0059512A">
      <w:pPr>
        <w:widowControl/>
        <w:spacing w:line="360" w:lineRule="auto"/>
        <w:rPr>
          <w:b/>
          <w:bCs/>
          <w:sz w:val="26"/>
          <w:szCs w:val="26"/>
        </w:rPr>
      </w:pPr>
    </w:p>
    <w:p w14:paraId="0384C2D4" w14:textId="77A3D1AE" w:rsidR="00D27A01" w:rsidRPr="0059512A" w:rsidRDefault="00FD31EC" w:rsidP="0059512A">
      <w:pPr>
        <w:pStyle w:val="ListParagraph"/>
        <w:keepLines/>
        <w:widowControl/>
        <w:spacing w:line="360" w:lineRule="auto"/>
        <w:ind w:left="2880" w:hanging="720"/>
        <w:rPr>
          <w:b/>
          <w:bCs/>
          <w:sz w:val="26"/>
          <w:szCs w:val="26"/>
        </w:rPr>
      </w:pPr>
      <w:r w:rsidRPr="0059512A">
        <w:rPr>
          <w:b/>
          <w:bCs/>
          <w:sz w:val="26"/>
          <w:szCs w:val="26"/>
        </w:rPr>
        <w:t>(4)</w:t>
      </w:r>
      <w:r w:rsidRPr="0059512A">
        <w:rPr>
          <w:b/>
          <w:bCs/>
          <w:sz w:val="26"/>
          <w:szCs w:val="26"/>
        </w:rPr>
        <w:tab/>
      </w:r>
      <w:r w:rsidR="00D27A01" w:rsidRPr="0059512A">
        <w:rPr>
          <w:b/>
          <w:bCs/>
          <w:sz w:val="26"/>
          <w:szCs w:val="26"/>
        </w:rPr>
        <w:t>Disposition</w:t>
      </w:r>
    </w:p>
    <w:p w14:paraId="056C8FA7" w14:textId="6F4492B1" w:rsidR="00A7634C" w:rsidRPr="0059512A" w:rsidRDefault="00A7634C" w:rsidP="0059512A">
      <w:pPr>
        <w:keepLines/>
        <w:widowControl/>
        <w:spacing w:line="360" w:lineRule="auto"/>
        <w:rPr>
          <w:sz w:val="26"/>
          <w:szCs w:val="26"/>
        </w:rPr>
      </w:pPr>
    </w:p>
    <w:p w14:paraId="3E234A13" w14:textId="6B3E17E5" w:rsidR="002423C7" w:rsidRPr="0059512A" w:rsidRDefault="002423C7" w:rsidP="00455E7E">
      <w:pPr>
        <w:widowControl/>
        <w:spacing w:line="360" w:lineRule="auto"/>
        <w:ind w:firstLine="1440"/>
        <w:rPr>
          <w:rFonts w:eastAsiaTheme="minorHAnsi"/>
          <w:iCs/>
          <w:sz w:val="26"/>
          <w:szCs w:val="26"/>
        </w:rPr>
      </w:pPr>
      <w:r w:rsidRPr="0059512A">
        <w:rPr>
          <w:rFonts w:eastAsiaTheme="minorHAnsi"/>
          <w:sz w:val="26"/>
          <w:szCs w:val="26"/>
        </w:rPr>
        <w:t xml:space="preserve">Upon review, we agree with the ALJs’ finding that the Company’s approach is consistent with the precedent upheld in the </w:t>
      </w:r>
      <w:r w:rsidRPr="0059512A">
        <w:rPr>
          <w:rFonts w:eastAsiaTheme="minorHAnsi"/>
          <w:i/>
          <w:iCs/>
          <w:sz w:val="26"/>
          <w:szCs w:val="26"/>
        </w:rPr>
        <w:t>UGI Order.</w:t>
      </w:r>
      <w:r w:rsidRPr="0059512A">
        <w:rPr>
          <w:rFonts w:eastAsiaTheme="minorHAnsi"/>
          <w:iCs/>
          <w:sz w:val="26"/>
          <w:szCs w:val="26"/>
        </w:rPr>
        <w:t xml:space="preserve">  By finding that there was sufficient evidence to show that the employee activity costs in question are employee recognition costs and can therefore be claimed as an expense, the ALJs properly approved the employee activity costs in question.  Further, Citizens’ proved costs of the recognition events intended to recognize the achievements of the Company’s staff in order to bolster morale and, ultimately incentivize high levels of customer service.  </w:t>
      </w:r>
    </w:p>
    <w:p w14:paraId="6ADD9DCE" w14:textId="77777777" w:rsidR="002423C7" w:rsidRPr="0059512A" w:rsidRDefault="002423C7" w:rsidP="0059512A">
      <w:pPr>
        <w:widowControl/>
        <w:spacing w:line="360" w:lineRule="auto"/>
        <w:ind w:firstLine="1440"/>
        <w:rPr>
          <w:rFonts w:eastAsiaTheme="minorHAnsi"/>
          <w:iCs/>
          <w:sz w:val="26"/>
          <w:szCs w:val="26"/>
        </w:rPr>
      </w:pPr>
    </w:p>
    <w:p w14:paraId="52FBDF0C" w14:textId="48700A32" w:rsidR="002423C7" w:rsidRPr="0059512A" w:rsidRDefault="002423C7" w:rsidP="0059512A">
      <w:pPr>
        <w:widowControl/>
        <w:spacing w:line="360" w:lineRule="auto"/>
        <w:ind w:firstLine="1440"/>
        <w:rPr>
          <w:rFonts w:eastAsiaTheme="minorHAnsi"/>
          <w:sz w:val="26"/>
          <w:szCs w:val="26"/>
        </w:rPr>
      </w:pPr>
      <w:r w:rsidRPr="0059512A">
        <w:rPr>
          <w:rFonts w:eastAsiaTheme="minorHAnsi"/>
          <w:sz w:val="26"/>
          <w:szCs w:val="26"/>
        </w:rPr>
        <w:t xml:space="preserve">The OCA contends that the ALJs’ decision is an unnecessary departure from Commission precedent.  However, the OCA does not substantiate its claim that the Company’s </w:t>
      </w:r>
      <w:r w:rsidRPr="0059512A">
        <w:rPr>
          <w:rFonts w:eastAsiaTheme="minorHAnsi"/>
          <w:iCs/>
          <w:sz w:val="26"/>
          <w:szCs w:val="26"/>
        </w:rPr>
        <w:t>employee recognition costs</w:t>
      </w:r>
      <w:r w:rsidRPr="0059512A">
        <w:rPr>
          <w:rFonts w:eastAsiaTheme="minorHAnsi"/>
          <w:sz w:val="26"/>
          <w:szCs w:val="26"/>
        </w:rPr>
        <w:t xml:space="preserve"> do not serve to enhance service to customers and should not be supported by rates.  Therefore, we adopt the ALJs’ recommendation that Citizens’ be permitted to recover the cost of employee pension and benefits in the amount of $15,908, based on annualization of actual costs incurred during the first 9 months of the FTY (as of September 30, 2019) excluding Citizens’ proposed inflation adjustment of 3% for the FPFTY.  Accordingly, we shall deny the OCA’s Exceptions on this issue.</w:t>
      </w:r>
    </w:p>
    <w:p w14:paraId="34BC9048" w14:textId="77777777" w:rsidR="00E92DF2" w:rsidRPr="0059512A" w:rsidRDefault="00E92DF2" w:rsidP="0059512A">
      <w:pPr>
        <w:widowControl/>
        <w:spacing w:line="360" w:lineRule="auto"/>
        <w:rPr>
          <w:sz w:val="26"/>
          <w:szCs w:val="26"/>
        </w:rPr>
      </w:pPr>
    </w:p>
    <w:p w14:paraId="490A0FB2" w14:textId="549EA984" w:rsidR="00A7634C" w:rsidRPr="0059512A" w:rsidRDefault="00A7634C" w:rsidP="0059512A">
      <w:pPr>
        <w:pStyle w:val="Heading4"/>
        <w:widowControl/>
      </w:pPr>
      <w:bookmarkStart w:id="117" w:name="_Toc38629291"/>
      <w:r w:rsidRPr="0059512A">
        <w:lastRenderedPageBreak/>
        <w:t>Rate Case Expense – Normalization Period</w:t>
      </w:r>
      <w:bookmarkEnd w:id="117"/>
    </w:p>
    <w:p w14:paraId="0F39A960" w14:textId="32238278" w:rsidR="00A7634C" w:rsidRPr="0059512A" w:rsidRDefault="00A7634C" w:rsidP="0059512A">
      <w:pPr>
        <w:keepNext/>
        <w:widowControl/>
        <w:spacing w:line="360" w:lineRule="auto"/>
        <w:rPr>
          <w:sz w:val="26"/>
          <w:szCs w:val="26"/>
        </w:rPr>
      </w:pPr>
    </w:p>
    <w:p w14:paraId="43EAA7B8" w14:textId="5ED71C0E" w:rsidR="00D27A01" w:rsidRPr="0059512A" w:rsidRDefault="00FD31EC" w:rsidP="0059512A">
      <w:pPr>
        <w:pStyle w:val="ListParagraph"/>
        <w:keepNext/>
        <w:widowControl/>
        <w:spacing w:line="360" w:lineRule="auto"/>
        <w:ind w:left="2880" w:hanging="720"/>
        <w:rPr>
          <w:b/>
          <w:bCs/>
          <w:sz w:val="26"/>
          <w:szCs w:val="26"/>
        </w:rPr>
      </w:pPr>
      <w:bookmarkStart w:id="118" w:name="_Hlk35844745"/>
      <w:r w:rsidRPr="0059512A">
        <w:rPr>
          <w:b/>
          <w:bCs/>
          <w:sz w:val="26"/>
          <w:szCs w:val="26"/>
        </w:rPr>
        <w:t>(1)</w:t>
      </w:r>
      <w:r w:rsidRPr="0059512A">
        <w:rPr>
          <w:b/>
          <w:bCs/>
          <w:sz w:val="26"/>
          <w:szCs w:val="26"/>
        </w:rPr>
        <w:tab/>
      </w:r>
      <w:r w:rsidR="00D27A01" w:rsidRPr="0059512A">
        <w:rPr>
          <w:b/>
          <w:bCs/>
          <w:sz w:val="26"/>
          <w:szCs w:val="26"/>
        </w:rPr>
        <w:t>Positions of the Parties</w:t>
      </w:r>
    </w:p>
    <w:p w14:paraId="1C31240C" w14:textId="49C3E0A5" w:rsidR="00D27A01" w:rsidRPr="0059512A" w:rsidRDefault="00D27A01" w:rsidP="0059512A">
      <w:pPr>
        <w:keepNext/>
        <w:widowControl/>
        <w:spacing w:line="360" w:lineRule="auto"/>
        <w:rPr>
          <w:b/>
          <w:bCs/>
          <w:sz w:val="26"/>
          <w:szCs w:val="26"/>
        </w:rPr>
      </w:pPr>
    </w:p>
    <w:p w14:paraId="1D3778EF" w14:textId="77777777" w:rsidR="00F50E85" w:rsidRPr="0059512A" w:rsidRDefault="00F50E85" w:rsidP="0059512A">
      <w:pPr>
        <w:keepNext/>
        <w:widowControl/>
        <w:spacing w:line="360" w:lineRule="auto"/>
        <w:ind w:firstLine="1440"/>
        <w:rPr>
          <w:sz w:val="26"/>
          <w:szCs w:val="26"/>
        </w:rPr>
      </w:pPr>
      <w:r w:rsidRPr="0059512A">
        <w:rPr>
          <w:sz w:val="26"/>
          <w:szCs w:val="26"/>
        </w:rPr>
        <w:t xml:space="preserve">Citizens’ claimed a Rate Case Expense of $326,000, to be normalized over 36 months resulting in a normalized claim of $108,667.  Citizens’ acknowledged </w:t>
      </w:r>
      <w:r w:rsidRPr="0059512A">
        <w:rPr>
          <w:color w:val="000000"/>
          <w:sz w:val="26"/>
          <w:szCs w:val="26"/>
        </w:rPr>
        <w:t xml:space="preserve">that the average filing interval for its last three rate cases is 48 months but explained that 48 months is neither the most typical filing frequency nor the Company’s anticipated time frame before the next base rate filing.  Citizens’ noted that its filing intervals have been </w:t>
      </w:r>
      <w:r w:rsidRPr="0059512A">
        <w:rPr>
          <w:sz w:val="26"/>
          <w:szCs w:val="26"/>
        </w:rPr>
        <w:t>37 months, 75 months and 34 months, and asserted that rejecting its claim to normalize the Rate Case Expense over 36 months would penalize it for being able to forego a rate case for 3.25 additional years (75 months - 36 months).  In addition, Citizens’ argued that the Company’s continued expenses related to tree trimming, capital replacements, and other reliability enhancing projects, combined with the Company’s limited prospects for load growth, results in a reasonable expectation of a 36-month period between rate cases.  Citizens’ St. 1-R at 5; Citizens’ St. 4-R at 5.</w:t>
      </w:r>
    </w:p>
    <w:p w14:paraId="74273254" w14:textId="77777777" w:rsidR="00F50E85" w:rsidRPr="0059512A" w:rsidRDefault="00F50E85" w:rsidP="0059512A">
      <w:pPr>
        <w:widowControl/>
        <w:spacing w:line="360" w:lineRule="auto"/>
        <w:ind w:firstLine="1440"/>
        <w:contextualSpacing/>
        <w:rPr>
          <w:rFonts w:eastAsiaTheme="minorHAnsi"/>
          <w:sz w:val="26"/>
          <w:szCs w:val="26"/>
        </w:rPr>
      </w:pPr>
    </w:p>
    <w:p w14:paraId="2D787660" w14:textId="37BD8B03" w:rsidR="00F50E85" w:rsidRPr="0059512A" w:rsidRDefault="00F50E85" w:rsidP="0059512A">
      <w:pPr>
        <w:widowControl/>
        <w:spacing w:line="360" w:lineRule="auto"/>
        <w:ind w:firstLine="1440"/>
        <w:contextualSpacing/>
        <w:rPr>
          <w:rFonts w:eastAsiaTheme="minorHAnsi"/>
          <w:sz w:val="26"/>
          <w:szCs w:val="26"/>
        </w:rPr>
      </w:pPr>
      <w:r w:rsidRPr="0059512A">
        <w:rPr>
          <w:rFonts w:eastAsiaTheme="minorHAnsi"/>
          <w:sz w:val="26"/>
          <w:szCs w:val="26"/>
        </w:rPr>
        <w:t xml:space="preserve">In support, Citizens’ cited to cases for the proposition that, while historic filing frequency is a factor considered in determining the normalization for rate case normalization, it is not the only factor the Commission considers.  Citizens’ M.B. at 55 (citing </w:t>
      </w:r>
      <w:r w:rsidRPr="0059512A">
        <w:rPr>
          <w:rFonts w:eastAsiaTheme="minorHAnsi"/>
          <w:i/>
          <w:sz w:val="26"/>
          <w:szCs w:val="26"/>
        </w:rPr>
        <w:t xml:space="preserve">Butler Township Water Co. v. </w:t>
      </w:r>
      <w:r w:rsidRPr="0059512A">
        <w:rPr>
          <w:rFonts w:eastAsiaTheme="minorHAnsi"/>
          <w:i/>
          <w:iCs/>
          <w:sz w:val="26"/>
          <w:szCs w:val="26"/>
        </w:rPr>
        <w:t>Pa. PUC</w:t>
      </w:r>
      <w:r w:rsidRPr="00455E7E">
        <w:rPr>
          <w:rFonts w:eastAsiaTheme="minorHAnsi"/>
          <w:iCs/>
          <w:sz w:val="26"/>
          <w:szCs w:val="26"/>
        </w:rPr>
        <w:t>,</w:t>
      </w:r>
      <w:r w:rsidRPr="0059512A">
        <w:rPr>
          <w:rFonts w:eastAsiaTheme="minorHAnsi"/>
          <w:i/>
          <w:sz w:val="26"/>
          <w:szCs w:val="26"/>
        </w:rPr>
        <w:t xml:space="preserve"> </w:t>
      </w:r>
      <w:r w:rsidRPr="0059512A">
        <w:rPr>
          <w:rFonts w:eastAsiaTheme="minorHAnsi"/>
          <w:sz w:val="26"/>
          <w:szCs w:val="26"/>
        </w:rPr>
        <w:t xml:space="preserve">473 A.2d 219 (Pa. Cmwlth. 1984); and </w:t>
      </w:r>
      <w:r w:rsidRPr="0059512A">
        <w:rPr>
          <w:rFonts w:eastAsiaTheme="minorHAnsi"/>
          <w:i/>
          <w:iCs/>
          <w:sz w:val="26"/>
          <w:szCs w:val="26"/>
        </w:rPr>
        <w:t>UGI Order</w:t>
      </w:r>
      <w:r w:rsidRPr="0059512A">
        <w:rPr>
          <w:rFonts w:eastAsiaTheme="minorHAnsi"/>
          <w:sz w:val="26"/>
          <w:szCs w:val="26"/>
        </w:rPr>
        <w:t>).</w:t>
      </w:r>
    </w:p>
    <w:p w14:paraId="7D8AC089" w14:textId="77777777" w:rsidR="00092994" w:rsidRPr="0059512A" w:rsidRDefault="00092994" w:rsidP="0059512A">
      <w:pPr>
        <w:widowControl/>
        <w:spacing w:line="360" w:lineRule="auto"/>
        <w:ind w:firstLine="1440"/>
        <w:contextualSpacing/>
        <w:rPr>
          <w:rFonts w:eastAsiaTheme="minorHAnsi"/>
          <w:sz w:val="26"/>
          <w:szCs w:val="26"/>
        </w:rPr>
      </w:pPr>
    </w:p>
    <w:p w14:paraId="0161FAE0" w14:textId="572292DC" w:rsidR="00F50E85" w:rsidRPr="0059512A" w:rsidRDefault="00F50E85" w:rsidP="0059512A">
      <w:pPr>
        <w:widowControl/>
        <w:spacing w:line="360" w:lineRule="auto"/>
        <w:ind w:firstLine="1440"/>
        <w:rPr>
          <w:sz w:val="26"/>
          <w:szCs w:val="26"/>
        </w:rPr>
      </w:pPr>
      <w:r w:rsidRPr="0059512A">
        <w:rPr>
          <w:sz w:val="26"/>
          <w:szCs w:val="26"/>
        </w:rPr>
        <w:t xml:space="preserve">I&amp;E recommended that the Company’s claim for Rate Case Expense of $326,000 be normalized over a period of 48 months resulting in a normalized claim of $81,500.  I&amp;E argued that normalization of the rate case expense should be based on historic evidence of the Company’s filing frequency.  I&amp;E also objected to the claimed basis for a 36-month normalization period arguing that tree trimming and normal capital replacements are routine operational costs.  According to I&amp;E, the cost of such activities </w:t>
      </w:r>
      <w:r w:rsidRPr="0059512A">
        <w:rPr>
          <w:sz w:val="26"/>
          <w:szCs w:val="26"/>
        </w:rPr>
        <w:lastRenderedPageBreak/>
        <w:t>are normally forecast in the annual budget and do not merit deviation from the Commission’s endorsed practice of reviewing historical filing frequency.  I&amp;E M.B. at</w:t>
      </w:r>
      <w:r w:rsidR="000D2FD0">
        <w:rPr>
          <w:sz w:val="26"/>
          <w:szCs w:val="26"/>
        </w:rPr>
        <w:t> </w:t>
      </w:r>
      <w:r w:rsidRPr="0059512A">
        <w:rPr>
          <w:sz w:val="26"/>
          <w:szCs w:val="26"/>
        </w:rPr>
        <w:t xml:space="preserve">25 (citing in part to </w:t>
      </w:r>
      <w:r w:rsidRPr="0059512A">
        <w:rPr>
          <w:i/>
          <w:iCs/>
          <w:sz w:val="26"/>
          <w:szCs w:val="26"/>
        </w:rPr>
        <w:t xml:space="preserve">Pa. PUC </w:t>
      </w:r>
      <w:r w:rsidRPr="0059512A">
        <w:rPr>
          <w:i/>
          <w:sz w:val="26"/>
          <w:szCs w:val="26"/>
        </w:rPr>
        <w:t>v. Emporium Water Co.</w:t>
      </w:r>
      <w:r w:rsidRPr="0059512A">
        <w:rPr>
          <w:sz w:val="26"/>
          <w:szCs w:val="26"/>
        </w:rPr>
        <w:t>, Docket No. R-2014-2402324 (Order entered January 28, 2015)); I&amp;E St. 1-SR at 6.</w:t>
      </w:r>
    </w:p>
    <w:p w14:paraId="26E2071E" w14:textId="77777777" w:rsidR="00F50E85" w:rsidRPr="0059512A" w:rsidRDefault="00F50E85" w:rsidP="0059512A">
      <w:pPr>
        <w:widowControl/>
        <w:spacing w:line="360" w:lineRule="auto"/>
        <w:ind w:firstLine="1440"/>
        <w:jc w:val="both"/>
        <w:rPr>
          <w:sz w:val="26"/>
          <w:szCs w:val="26"/>
        </w:rPr>
      </w:pPr>
    </w:p>
    <w:p w14:paraId="4837D607" w14:textId="2E36C5C0" w:rsidR="00F50E85" w:rsidRPr="0059512A" w:rsidRDefault="00F50E85" w:rsidP="0059512A">
      <w:pPr>
        <w:widowControl/>
        <w:spacing w:line="360" w:lineRule="auto"/>
        <w:ind w:firstLine="1440"/>
        <w:rPr>
          <w:rFonts w:eastAsiaTheme="minorHAnsi" w:cstheme="minorBidi"/>
          <w:sz w:val="24"/>
          <w:szCs w:val="24"/>
        </w:rPr>
      </w:pPr>
      <w:r w:rsidRPr="0059512A">
        <w:rPr>
          <w:rFonts w:eastAsiaTheme="minorHAnsi" w:cstheme="minorBidi"/>
          <w:sz w:val="26"/>
          <w:szCs w:val="26"/>
        </w:rPr>
        <w:t xml:space="preserve">The OCA argued that </w:t>
      </w:r>
      <w:r w:rsidR="00855A26" w:rsidRPr="0059512A">
        <w:rPr>
          <w:rFonts w:eastAsiaTheme="minorHAnsi" w:cstheme="minorBidi"/>
          <w:sz w:val="26"/>
          <w:szCs w:val="26"/>
        </w:rPr>
        <w:t>the Company’s</w:t>
      </w:r>
      <w:r w:rsidRPr="0059512A">
        <w:rPr>
          <w:rFonts w:eastAsiaTheme="minorHAnsi" w:cstheme="minorBidi"/>
          <w:sz w:val="26"/>
          <w:szCs w:val="26"/>
        </w:rPr>
        <w:t xml:space="preserve"> claim for Rate Case Expense of $326,000 should be normalized over a period of 45 months resulting in a normalized claim of $86,933.  According to the OCA, 45 months is the average period of</w:t>
      </w:r>
      <w:r w:rsidR="00855A26" w:rsidRPr="0059512A">
        <w:rPr>
          <w:rFonts w:eastAsiaTheme="minorHAnsi" w:cstheme="minorBidi"/>
          <w:sz w:val="26"/>
          <w:szCs w:val="26"/>
        </w:rPr>
        <w:t xml:space="preserve"> the</w:t>
      </w:r>
      <w:r w:rsidRPr="0059512A">
        <w:rPr>
          <w:rFonts w:eastAsiaTheme="minorHAnsi" w:cstheme="minorBidi"/>
          <w:sz w:val="26"/>
          <w:szCs w:val="26"/>
        </w:rPr>
        <w:t xml:space="preserve"> last four rate cases</w:t>
      </w:r>
      <w:r w:rsidR="00855A26" w:rsidRPr="0059512A">
        <w:rPr>
          <w:rFonts w:eastAsiaTheme="minorHAnsi" w:cstheme="minorBidi"/>
          <w:sz w:val="26"/>
          <w:szCs w:val="26"/>
        </w:rPr>
        <w:t xml:space="preserve"> of Citizens’</w:t>
      </w:r>
      <w:r w:rsidRPr="0059512A">
        <w:rPr>
          <w:rFonts w:eastAsiaTheme="minorHAnsi" w:cstheme="minorBidi"/>
          <w:sz w:val="26"/>
          <w:szCs w:val="26"/>
        </w:rPr>
        <w:t>, including this present case.  The OCA stated that for normalization of the Rate Case Expense, the Commission uses the average period between rate cases.  The OCA also asserted that this method is not done to penalize a Company from filing a rate case; rather, it is a way to match the expense recovery over the average period of time when cases are filed.  OCA St. 1-SR (Revised) at 11.</w:t>
      </w:r>
    </w:p>
    <w:p w14:paraId="4A8BFE54" w14:textId="77777777" w:rsidR="00F50E85" w:rsidRPr="0059512A" w:rsidRDefault="00F50E85" w:rsidP="0059512A">
      <w:pPr>
        <w:widowControl/>
        <w:spacing w:line="360" w:lineRule="auto"/>
        <w:rPr>
          <w:b/>
          <w:bCs/>
          <w:sz w:val="26"/>
          <w:szCs w:val="26"/>
        </w:rPr>
      </w:pPr>
    </w:p>
    <w:p w14:paraId="2440B0E9" w14:textId="1AB3B88B"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(2)</w:t>
      </w:r>
      <w:r w:rsidRPr="0059512A">
        <w:rPr>
          <w:b/>
          <w:bCs/>
          <w:sz w:val="26"/>
          <w:szCs w:val="26"/>
        </w:rPr>
        <w:tab/>
      </w:r>
      <w:r w:rsidR="00D27A01" w:rsidRPr="0059512A">
        <w:rPr>
          <w:b/>
          <w:bCs/>
          <w:sz w:val="26"/>
          <w:szCs w:val="26"/>
        </w:rPr>
        <w:t>Recommended Decision</w:t>
      </w:r>
    </w:p>
    <w:p w14:paraId="60CF983C" w14:textId="05CC0E58" w:rsidR="00D27A01" w:rsidRPr="0059512A" w:rsidRDefault="00D27A01" w:rsidP="0059512A">
      <w:pPr>
        <w:keepNext/>
        <w:widowControl/>
        <w:spacing w:line="360" w:lineRule="auto"/>
        <w:rPr>
          <w:b/>
          <w:bCs/>
          <w:sz w:val="26"/>
          <w:szCs w:val="26"/>
        </w:rPr>
      </w:pPr>
    </w:p>
    <w:p w14:paraId="434A7F8B" w14:textId="4B13CCAA" w:rsidR="00F50E85" w:rsidRPr="0059512A" w:rsidRDefault="00F50E85" w:rsidP="0059512A">
      <w:pPr>
        <w:pStyle w:val="ListParagraph"/>
        <w:keepNext/>
        <w:widowControl/>
        <w:spacing w:line="360" w:lineRule="auto"/>
        <w:ind w:left="0" w:firstLine="1440"/>
        <w:rPr>
          <w:sz w:val="26"/>
          <w:szCs w:val="26"/>
        </w:rPr>
      </w:pPr>
      <w:r w:rsidRPr="0059512A">
        <w:rPr>
          <w:sz w:val="26"/>
          <w:szCs w:val="26"/>
        </w:rPr>
        <w:t xml:space="preserve">The ALJs recommended adoption of </w:t>
      </w:r>
      <w:r w:rsidR="00855A26" w:rsidRPr="0059512A">
        <w:rPr>
          <w:sz w:val="26"/>
          <w:szCs w:val="26"/>
        </w:rPr>
        <w:t>the Company’s</w:t>
      </w:r>
      <w:r w:rsidRPr="0059512A">
        <w:rPr>
          <w:sz w:val="26"/>
          <w:szCs w:val="26"/>
        </w:rPr>
        <w:t xml:space="preserve"> proposal to normalize its total rate case expense claim of $326,000 over 36 months, consistent with the anticipated frequency of base rate proceedings going forward, resulting in a normalized claim of $108,667.  </w:t>
      </w:r>
      <w:r w:rsidRPr="0059512A">
        <w:rPr>
          <w:color w:val="000000" w:themeColor="text1"/>
          <w:sz w:val="26"/>
          <w:szCs w:val="26"/>
        </w:rPr>
        <w:t xml:space="preserve">The ALJs found that the record supports a deviation from the general principle that history of rate filings represents the best evidence for normalization of rate case expense.  Here, the ALJs determined that the record supports a finding that the Company’s proposed use of a three-year normalization period for rate case expense is appropriate and that a longer period between rate proceedings is unlikely.  Specifically, the ALJs were persuaded that the Company’s </w:t>
      </w:r>
      <w:r w:rsidRPr="0059512A">
        <w:rPr>
          <w:sz w:val="26"/>
          <w:szCs w:val="26"/>
        </w:rPr>
        <w:t>expenses relating to tree trimming, capital replacements, and other reliability enhancing projects, in addition to the Company</w:t>
      </w:r>
      <w:r w:rsidR="00855A26" w:rsidRPr="0059512A">
        <w:rPr>
          <w:sz w:val="26"/>
          <w:szCs w:val="26"/>
        </w:rPr>
        <w:t>’</w:t>
      </w:r>
      <w:r w:rsidRPr="0059512A">
        <w:rPr>
          <w:sz w:val="26"/>
          <w:szCs w:val="26"/>
        </w:rPr>
        <w:t>s limited prospects for load growth, lead to the likelihood of another rate case filing occurring within the next three years as opposed to four years.  R.D. at 42-43.</w:t>
      </w:r>
    </w:p>
    <w:p w14:paraId="1C0BD589" w14:textId="77777777" w:rsidR="00F50E85" w:rsidRPr="0059512A" w:rsidRDefault="00F50E85" w:rsidP="0059512A">
      <w:pPr>
        <w:pStyle w:val="ListParagraph"/>
        <w:widowControl/>
        <w:spacing w:line="360" w:lineRule="auto"/>
        <w:ind w:left="0" w:firstLine="1440"/>
        <w:rPr>
          <w:sz w:val="26"/>
          <w:szCs w:val="26"/>
        </w:rPr>
      </w:pPr>
    </w:p>
    <w:p w14:paraId="2615C110" w14:textId="41201609" w:rsidR="00F50E85" w:rsidRPr="0059512A" w:rsidRDefault="00F50E85" w:rsidP="0059512A">
      <w:pPr>
        <w:pStyle w:val="ListParagraph"/>
        <w:widowControl/>
        <w:spacing w:line="360" w:lineRule="auto"/>
        <w:ind w:left="0" w:firstLine="1440"/>
        <w:rPr>
          <w:color w:val="000000" w:themeColor="text1"/>
          <w:sz w:val="26"/>
          <w:szCs w:val="26"/>
        </w:rPr>
      </w:pPr>
      <w:r w:rsidRPr="0059512A">
        <w:rPr>
          <w:sz w:val="26"/>
          <w:szCs w:val="26"/>
        </w:rPr>
        <w:lastRenderedPageBreak/>
        <w:t xml:space="preserve">The ALJs also opined that </w:t>
      </w:r>
      <w:r w:rsidR="00855A26" w:rsidRPr="0059512A">
        <w:rPr>
          <w:sz w:val="26"/>
          <w:szCs w:val="26"/>
        </w:rPr>
        <w:t xml:space="preserve">the </w:t>
      </w:r>
      <w:r w:rsidRPr="0059512A">
        <w:rPr>
          <w:sz w:val="26"/>
          <w:szCs w:val="26"/>
        </w:rPr>
        <w:t xml:space="preserve">proposed three-year normalization period is consistent with the Commission’s recent affirmation in the </w:t>
      </w:r>
      <w:r w:rsidRPr="0059512A">
        <w:rPr>
          <w:i/>
          <w:iCs/>
          <w:sz w:val="26"/>
          <w:szCs w:val="26"/>
        </w:rPr>
        <w:t>UGI Order</w:t>
      </w:r>
      <w:r w:rsidRPr="0059512A">
        <w:rPr>
          <w:sz w:val="26"/>
          <w:szCs w:val="26"/>
        </w:rPr>
        <w:t xml:space="preserve"> that rate case expense normalization period may be based on future expectations, explaining that a longer period between rate proceedings is unlikely, considering the lack of forecast future load growth, increased capital expenses and tree trimming costs.  The ALJs reasoned that accepting the proposals of either I&amp;E or the OCA would likely result in an under collection because Citizens’ will likely file a rate case within the next three years.  The ALJs concluded, “[i]t </w:t>
      </w:r>
      <w:r w:rsidRPr="0059512A">
        <w:rPr>
          <w:color w:val="000000" w:themeColor="text1"/>
          <w:sz w:val="26"/>
          <w:szCs w:val="26"/>
        </w:rPr>
        <w:t xml:space="preserve">is more likely that Citizens’ will file a rate case within the next three years as opposed to the next four years, given the history of Citizens’ filings not factoring in the 75-month outlier.”  R.D. at 43. </w:t>
      </w:r>
    </w:p>
    <w:p w14:paraId="06FA28CC" w14:textId="77777777" w:rsidR="003972FD" w:rsidRPr="0059512A" w:rsidRDefault="003972FD" w:rsidP="0059512A">
      <w:pPr>
        <w:pStyle w:val="ListParagraph"/>
        <w:widowControl/>
        <w:spacing w:line="360" w:lineRule="auto"/>
        <w:ind w:left="0" w:firstLine="1440"/>
        <w:rPr>
          <w:color w:val="000000" w:themeColor="text1"/>
          <w:sz w:val="26"/>
          <w:szCs w:val="26"/>
        </w:rPr>
      </w:pPr>
    </w:p>
    <w:p w14:paraId="17101B7A" w14:textId="0FCA8AD0" w:rsidR="00D27A01" w:rsidRPr="0059512A" w:rsidRDefault="00FD31EC" w:rsidP="0059512A">
      <w:pPr>
        <w:pStyle w:val="ListParagraph"/>
        <w:keepNext/>
        <w:widowControl/>
        <w:spacing w:line="360" w:lineRule="auto"/>
        <w:ind w:left="2790" w:hanging="630"/>
        <w:rPr>
          <w:b/>
          <w:bCs/>
          <w:sz w:val="26"/>
          <w:szCs w:val="26"/>
        </w:rPr>
      </w:pPr>
      <w:r w:rsidRPr="0059512A">
        <w:rPr>
          <w:b/>
          <w:bCs/>
          <w:sz w:val="26"/>
          <w:szCs w:val="26"/>
        </w:rPr>
        <w:t>(3)</w:t>
      </w:r>
      <w:r w:rsidRPr="0059512A">
        <w:rPr>
          <w:b/>
          <w:bCs/>
          <w:sz w:val="26"/>
          <w:szCs w:val="26"/>
        </w:rPr>
        <w:tab/>
      </w:r>
      <w:r w:rsidR="00D27A01" w:rsidRPr="0059512A">
        <w:rPr>
          <w:b/>
          <w:bCs/>
          <w:sz w:val="26"/>
          <w:szCs w:val="26"/>
        </w:rPr>
        <w:t>Exceptions and Replies</w:t>
      </w:r>
    </w:p>
    <w:p w14:paraId="5FFADD74" w14:textId="2022EC93" w:rsidR="00D27A01" w:rsidRPr="0059512A" w:rsidRDefault="00D27A01" w:rsidP="0059512A">
      <w:pPr>
        <w:keepNext/>
        <w:widowControl/>
        <w:spacing w:line="360" w:lineRule="auto"/>
        <w:rPr>
          <w:b/>
          <w:bCs/>
          <w:sz w:val="26"/>
          <w:szCs w:val="26"/>
        </w:rPr>
      </w:pPr>
    </w:p>
    <w:p w14:paraId="588ED992" w14:textId="45FBBF33" w:rsidR="00F50E85" w:rsidRPr="0059512A" w:rsidRDefault="00F50E85" w:rsidP="0059512A">
      <w:pPr>
        <w:keepNext/>
        <w:widowControl/>
        <w:spacing w:line="360" w:lineRule="auto"/>
        <w:ind w:firstLine="1440"/>
        <w:contextualSpacing/>
        <w:rPr>
          <w:sz w:val="26"/>
          <w:szCs w:val="26"/>
        </w:rPr>
      </w:pPr>
      <w:r w:rsidRPr="0059512A">
        <w:rPr>
          <w:sz w:val="26"/>
          <w:szCs w:val="26"/>
        </w:rPr>
        <w:t xml:space="preserve">In its Exception No. 3, I&amp;E objects to the ALJs’ recommendation and maintains that a normalization period of 48 months, based on the Company’s last three base rate case filings and resulting in a normalized claim of $81,500, is appropriate.  I&amp;E argues that deviating from reviewing historical filing frequency is inappropriate in this proceeding.  In support, I&amp;E contends that tree trimming and normal capital replacements – which the ALJs found to have supported the three-year time normalization period – are routine operational costs, which are normally forecast in an annual budget.  Additionally, I&amp;E submitted that the Recommended Decision provides </w:t>
      </w:r>
      <w:r w:rsidR="00855A26" w:rsidRPr="0059512A">
        <w:rPr>
          <w:sz w:val="26"/>
          <w:szCs w:val="26"/>
        </w:rPr>
        <w:t xml:space="preserve">an </w:t>
      </w:r>
      <w:r w:rsidRPr="0059512A">
        <w:rPr>
          <w:sz w:val="26"/>
          <w:szCs w:val="26"/>
        </w:rPr>
        <w:t xml:space="preserve">allowance for additional tree trimming costs and that the Company’s claims of limited load growth and change in industry are conclusory statements lacking record support.  I&amp;E Exc. at 6-7.  </w:t>
      </w:r>
    </w:p>
    <w:p w14:paraId="65E2DDFE" w14:textId="77777777" w:rsidR="003972FD" w:rsidRPr="0059512A" w:rsidRDefault="003972FD" w:rsidP="0059512A">
      <w:pPr>
        <w:keepNext/>
        <w:widowControl/>
        <w:spacing w:line="360" w:lineRule="auto"/>
        <w:ind w:firstLine="1440"/>
        <w:contextualSpacing/>
        <w:rPr>
          <w:sz w:val="26"/>
          <w:szCs w:val="26"/>
        </w:rPr>
      </w:pPr>
    </w:p>
    <w:p w14:paraId="7B3D9B90" w14:textId="77777777" w:rsidR="00F50E85" w:rsidRPr="0059512A" w:rsidRDefault="00F50E85" w:rsidP="0059512A">
      <w:pPr>
        <w:widowControl/>
        <w:spacing w:line="360" w:lineRule="auto"/>
        <w:ind w:firstLine="1440"/>
        <w:contextualSpacing/>
        <w:rPr>
          <w:sz w:val="26"/>
          <w:szCs w:val="26"/>
        </w:rPr>
      </w:pPr>
      <w:r w:rsidRPr="0059512A">
        <w:rPr>
          <w:sz w:val="26"/>
          <w:szCs w:val="26"/>
        </w:rPr>
        <w:t xml:space="preserve">I&amp;E also attempts to distinguish the Commission’s decision in the </w:t>
      </w:r>
      <w:r w:rsidRPr="0059512A">
        <w:rPr>
          <w:i/>
          <w:iCs/>
          <w:sz w:val="26"/>
          <w:szCs w:val="26"/>
        </w:rPr>
        <w:t>UGI Order</w:t>
      </w:r>
      <w:r w:rsidRPr="0059512A">
        <w:rPr>
          <w:sz w:val="26"/>
          <w:szCs w:val="26"/>
        </w:rPr>
        <w:t xml:space="preserve"> arguing that Citizens’ has provided no quantifiable or otherwise specific bases or projections why the proposed 36-month normalization period is appropriate.  </w:t>
      </w:r>
      <w:r w:rsidRPr="0059512A">
        <w:rPr>
          <w:i/>
          <w:iCs/>
          <w:sz w:val="26"/>
          <w:szCs w:val="26"/>
        </w:rPr>
        <w:t>Id.</w:t>
      </w:r>
      <w:r w:rsidRPr="0059512A">
        <w:rPr>
          <w:sz w:val="26"/>
          <w:szCs w:val="26"/>
        </w:rPr>
        <w:t xml:space="preserve"> at 7.  </w:t>
      </w:r>
    </w:p>
    <w:p w14:paraId="0585E83D" w14:textId="77777777" w:rsidR="00F50E85" w:rsidRPr="0059512A" w:rsidRDefault="00F50E85" w:rsidP="0059512A">
      <w:pPr>
        <w:widowControl/>
        <w:spacing w:line="360" w:lineRule="auto"/>
        <w:ind w:left="720" w:firstLine="720"/>
        <w:contextualSpacing/>
        <w:rPr>
          <w:sz w:val="26"/>
          <w:szCs w:val="26"/>
        </w:rPr>
      </w:pPr>
    </w:p>
    <w:p w14:paraId="7D2B28A0" w14:textId="77777777" w:rsidR="00F50E85" w:rsidRPr="0059512A" w:rsidRDefault="00F50E85" w:rsidP="0059512A">
      <w:pPr>
        <w:widowControl/>
        <w:spacing w:line="360" w:lineRule="auto"/>
        <w:ind w:firstLine="1440"/>
        <w:contextualSpacing/>
        <w:rPr>
          <w:sz w:val="26"/>
          <w:szCs w:val="26"/>
        </w:rPr>
      </w:pPr>
      <w:r w:rsidRPr="0059512A">
        <w:rPr>
          <w:sz w:val="26"/>
          <w:szCs w:val="26"/>
        </w:rPr>
        <w:lastRenderedPageBreak/>
        <w:t>In its Exception No. 6, the OCA also excepts to the ALJs’ recommendation and maintains that a normalization period of 45 months, based on the average time between the Company’s last four rate case filings, including this case, resulting in a normalized claim of $86,933, is appropriate.  Like I&amp;E, the OCA argues that the practice of utilizing historic filing frequency to establish the normalization period for rate case expense should not be deviated from.  OCA Exc. at 12-13.</w:t>
      </w:r>
    </w:p>
    <w:p w14:paraId="7BC2725D" w14:textId="77777777" w:rsidR="00F50E85" w:rsidRPr="0059512A" w:rsidRDefault="00F50E85" w:rsidP="0059512A">
      <w:pPr>
        <w:widowControl/>
        <w:spacing w:line="360" w:lineRule="auto"/>
        <w:ind w:firstLine="1440"/>
        <w:contextualSpacing/>
        <w:rPr>
          <w:sz w:val="26"/>
          <w:szCs w:val="26"/>
        </w:rPr>
      </w:pPr>
    </w:p>
    <w:p w14:paraId="3BE089EF" w14:textId="248487DE" w:rsidR="00F50E85" w:rsidRPr="0059512A" w:rsidRDefault="00F50E85" w:rsidP="0059512A">
      <w:pPr>
        <w:widowControl/>
        <w:spacing w:line="360" w:lineRule="auto"/>
        <w:ind w:firstLine="1440"/>
        <w:contextualSpacing/>
        <w:rPr>
          <w:sz w:val="26"/>
          <w:szCs w:val="26"/>
        </w:rPr>
      </w:pPr>
      <w:r w:rsidRPr="0059512A">
        <w:rPr>
          <w:sz w:val="26"/>
          <w:szCs w:val="26"/>
        </w:rPr>
        <w:t>In its replies, Citizens’ urges the Commission to accept the ALJs’ recommendation to approve its claim for rate case expense to be normalized over a 36</w:t>
      </w:r>
      <w:r w:rsidR="000D2FD0">
        <w:rPr>
          <w:sz w:val="26"/>
          <w:szCs w:val="26"/>
        </w:rPr>
        <w:noBreakHyphen/>
      </w:r>
      <w:r w:rsidRPr="0059512A">
        <w:rPr>
          <w:sz w:val="26"/>
          <w:szCs w:val="26"/>
        </w:rPr>
        <w:t xml:space="preserve">month period, </w:t>
      </w:r>
      <w:r w:rsidR="00855A26" w:rsidRPr="0059512A">
        <w:rPr>
          <w:sz w:val="26"/>
          <w:szCs w:val="26"/>
        </w:rPr>
        <w:t>reiterating</w:t>
      </w:r>
      <w:r w:rsidRPr="0059512A">
        <w:rPr>
          <w:sz w:val="26"/>
          <w:szCs w:val="26"/>
        </w:rPr>
        <w:t xml:space="preserve"> its argument regarding the prospective nature of ratemaking, which allows for the consideration of factors other than simply the historic filing frequency of a utility, such as its limited prospects for load growth, increased capital expenses and tree trimming costs.  Citizens’ R. Exc. at 4-5.</w:t>
      </w:r>
    </w:p>
    <w:p w14:paraId="6E1B4899" w14:textId="77777777" w:rsidR="003972FD" w:rsidRPr="0059512A" w:rsidRDefault="003972FD" w:rsidP="0059512A">
      <w:pPr>
        <w:widowControl/>
        <w:spacing w:line="360" w:lineRule="auto"/>
        <w:ind w:firstLine="1440"/>
        <w:contextualSpacing/>
        <w:rPr>
          <w:sz w:val="26"/>
          <w:szCs w:val="26"/>
        </w:rPr>
      </w:pPr>
    </w:p>
    <w:p w14:paraId="30185FC8" w14:textId="4F86817E" w:rsidR="00F50E85" w:rsidRPr="0059512A" w:rsidRDefault="00F50E85" w:rsidP="0059512A">
      <w:pPr>
        <w:widowControl/>
        <w:spacing w:line="360" w:lineRule="auto"/>
        <w:ind w:firstLine="1440"/>
        <w:contextualSpacing/>
        <w:rPr>
          <w:sz w:val="26"/>
          <w:szCs w:val="26"/>
        </w:rPr>
      </w:pPr>
      <w:r w:rsidRPr="0059512A">
        <w:rPr>
          <w:sz w:val="26"/>
          <w:szCs w:val="26"/>
        </w:rPr>
        <w:t xml:space="preserve">The Company also challenges the assertions of I&amp;E and the OCA by stating that historic filing frequency is only one factor the Commission considers in determining rate case normalization.  According to Citizens’, the goal of ratemaking is prospective in nature and the Commission may consider other factors to ensure its final decision reasonably reflects future conditions when new rates take effect.  </w:t>
      </w:r>
      <w:r w:rsidRPr="0059512A">
        <w:rPr>
          <w:i/>
          <w:iCs/>
          <w:sz w:val="26"/>
          <w:szCs w:val="26"/>
        </w:rPr>
        <w:t>Id.</w:t>
      </w:r>
      <w:r w:rsidRPr="0059512A">
        <w:rPr>
          <w:sz w:val="26"/>
          <w:szCs w:val="26"/>
        </w:rPr>
        <w:t xml:space="preserve"> at 5.  </w:t>
      </w:r>
    </w:p>
    <w:p w14:paraId="28EFB73B" w14:textId="77777777" w:rsidR="00F50E85" w:rsidRPr="0059512A" w:rsidRDefault="00F50E85" w:rsidP="0059512A">
      <w:pPr>
        <w:widowControl/>
        <w:spacing w:line="360" w:lineRule="auto"/>
        <w:rPr>
          <w:b/>
          <w:bCs/>
          <w:sz w:val="26"/>
          <w:szCs w:val="26"/>
        </w:rPr>
      </w:pPr>
    </w:p>
    <w:p w14:paraId="360E8594" w14:textId="5F486F1D"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(4)</w:t>
      </w:r>
      <w:r w:rsidRPr="0059512A">
        <w:rPr>
          <w:b/>
          <w:bCs/>
          <w:sz w:val="26"/>
          <w:szCs w:val="26"/>
        </w:rPr>
        <w:tab/>
      </w:r>
      <w:r w:rsidR="00D27A01" w:rsidRPr="0059512A">
        <w:rPr>
          <w:b/>
          <w:bCs/>
          <w:sz w:val="26"/>
          <w:szCs w:val="26"/>
        </w:rPr>
        <w:t>Disposition</w:t>
      </w:r>
    </w:p>
    <w:bookmarkEnd w:id="118"/>
    <w:p w14:paraId="17511116" w14:textId="79E2B317" w:rsidR="00A7634C" w:rsidRPr="0059512A" w:rsidRDefault="00A7634C" w:rsidP="0059512A">
      <w:pPr>
        <w:keepNext/>
        <w:widowControl/>
        <w:spacing w:line="360" w:lineRule="auto"/>
        <w:rPr>
          <w:sz w:val="26"/>
          <w:szCs w:val="26"/>
        </w:rPr>
      </w:pPr>
    </w:p>
    <w:p w14:paraId="5410DBCC" w14:textId="00BDBA6B" w:rsidR="00D946D1" w:rsidRPr="0059512A" w:rsidRDefault="00D946D1" w:rsidP="0059512A">
      <w:pPr>
        <w:keepNext/>
        <w:widowControl/>
        <w:spacing w:line="360" w:lineRule="auto"/>
        <w:ind w:firstLine="1440"/>
        <w:rPr>
          <w:rFonts w:eastAsiaTheme="minorHAnsi"/>
          <w:sz w:val="26"/>
          <w:szCs w:val="26"/>
        </w:rPr>
      </w:pPr>
      <w:r w:rsidRPr="0059512A">
        <w:rPr>
          <w:rFonts w:eastAsiaTheme="minorHAnsi"/>
          <w:sz w:val="26"/>
          <w:szCs w:val="26"/>
        </w:rPr>
        <w:t xml:space="preserve">We agree with the ALJs’ recommendation that Citizens’ be permitted to normalize its rate case expense claim of $326,000 over a 36-month period.  We find merit in the Company’s assertion that it is likely to file its next rate case within 3 years, as opposed to a longer time period and the record in this case supports such a conclusion.  R.D. at 40-43.  </w:t>
      </w:r>
    </w:p>
    <w:p w14:paraId="09A555D8" w14:textId="77777777" w:rsidR="00987D41" w:rsidRPr="0059512A" w:rsidRDefault="00987D41" w:rsidP="0059512A">
      <w:pPr>
        <w:widowControl/>
        <w:spacing w:line="360" w:lineRule="auto"/>
        <w:ind w:firstLine="1440"/>
        <w:rPr>
          <w:rFonts w:eastAsiaTheme="minorHAnsi"/>
          <w:sz w:val="26"/>
          <w:szCs w:val="26"/>
        </w:rPr>
      </w:pPr>
    </w:p>
    <w:p w14:paraId="25CD09A3" w14:textId="0B2B0717" w:rsidR="00D946D1" w:rsidRPr="0059512A" w:rsidRDefault="00D946D1" w:rsidP="0059512A">
      <w:pPr>
        <w:widowControl/>
        <w:spacing w:line="360" w:lineRule="auto"/>
        <w:ind w:firstLine="1440"/>
        <w:rPr>
          <w:rFonts w:eastAsiaTheme="minorHAnsi"/>
          <w:sz w:val="26"/>
          <w:szCs w:val="26"/>
        </w:rPr>
      </w:pPr>
      <w:r w:rsidRPr="0059512A">
        <w:rPr>
          <w:rFonts w:eastAsiaTheme="minorHAnsi"/>
          <w:sz w:val="26"/>
          <w:szCs w:val="26"/>
        </w:rPr>
        <w:lastRenderedPageBreak/>
        <w:t xml:space="preserve">As asserted by Citizens’, we find that I&amp;E and the OCA each failed in their Exceptions to account for record evidence supporting the Company’s proposed normalization period.  Citizens’ R. Exc. at </w:t>
      </w:r>
      <w:r w:rsidR="00987D41" w:rsidRPr="0059512A">
        <w:rPr>
          <w:rFonts w:eastAsiaTheme="minorHAnsi"/>
          <w:sz w:val="26"/>
          <w:szCs w:val="26"/>
        </w:rPr>
        <w:t>4-5</w:t>
      </w:r>
      <w:r w:rsidRPr="0059512A">
        <w:rPr>
          <w:rFonts w:eastAsiaTheme="minorHAnsi"/>
          <w:sz w:val="26"/>
          <w:szCs w:val="26"/>
        </w:rPr>
        <w:t>.  Contrary to the claims of I&amp;E and</w:t>
      </w:r>
      <w:r w:rsidR="00297030" w:rsidRPr="0059512A">
        <w:rPr>
          <w:rFonts w:eastAsiaTheme="minorHAnsi"/>
          <w:sz w:val="26"/>
          <w:szCs w:val="26"/>
        </w:rPr>
        <w:t xml:space="preserve"> the</w:t>
      </w:r>
      <w:r w:rsidRPr="0059512A">
        <w:rPr>
          <w:rFonts w:eastAsiaTheme="minorHAnsi"/>
          <w:sz w:val="26"/>
          <w:szCs w:val="26"/>
        </w:rPr>
        <w:t xml:space="preserve"> OCA, substantial evidence exists to support deviation from the Commission’s common practice of setting a normalization period for </w:t>
      </w:r>
      <w:bookmarkStart w:id="119" w:name="_Hlk35608644"/>
      <w:r w:rsidRPr="0059512A">
        <w:rPr>
          <w:rFonts w:eastAsiaTheme="minorHAnsi"/>
          <w:sz w:val="26"/>
          <w:szCs w:val="26"/>
        </w:rPr>
        <w:t xml:space="preserve">rate case expense </w:t>
      </w:r>
      <w:bookmarkEnd w:id="119"/>
      <w:r w:rsidRPr="0059512A">
        <w:rPr>
          <w:rFonts w:eastAsiaTheme="minorHAnsi"/>
          <w:sz w:val="26"/>
          <w:szCs w:val="26"/>
        </w:rPr>
        <w:t xml:space="preserve">based only on historic filing frequency.  We note that this practice of relying on historic filing frequency is not an absolute and each case should be decided on the basis of evidence of historic filing frequency and future expectations.  Examination of the record in this case indicates that both historic frequency and future expectations support the 36-month period used by the Company and adopted in the R.D. </w:t>
      </w:r>
      <w:r w:rsidRPr="0059512A">
        <w:rPr>
          <w:rFonts w:eastAsiaTheme="minorHAnsi"/>
          <w:iCs/>
          <w:sz w:val="26"/>
          <w:szCs w:val="26"/>
        </w:rPr>
        <w:t xml:space="preserve"> </w:t>
      </w:r>
      <w:r w:rsidR="00987D41" w:rsidRPr="0059512A">
        <w:rPr>
          <w:rFonts w:eastAsiaTheme="minorHAnsi"/>
          <w:sz w:val="26"/>
          <w:szCs w:val="26"/>
        </w:rPr>
        <w:t>Citizens’</w:t>
      </w:r>
      <w:r w:rsidRPr="0059512A">
        <w:rPr>
          <w:rFonts w:eastAsiaTheme="minorHAnsi"/>
          <w:sz w:val="26"/>
          <w:szCs w:val="26"/>
        </w:rPr>
        <w:t xml:space="preserve"> M.B. at </w:t>
      </w:r>
      <w:r w:rsidR="00987D41" w:rsidRPr="0059512A">
        <w:rPr>
          <w:rFonts w:eastAsiaTheme="minorHAnsi"/>
          <w:sz w:val="26"/>
          <w:szCs w:val="26"/>
        </w:rPr>
        <w:t>55-57</w:t>
      </w:r>
      <w:r w:rsidRPr="0059512A">
        <w:rPr>
          <w:rFonts w:eastAsiaTheme="minorHAnsi"/>
          <w:sz w:val="26"/>
          <w:szCs w:val="26"/>
        </w:rPr>
        <w:t>.</w:t>
      </w:r>
    </w:p>
    <w:p w14:paraId="45F7749A" w14:textId="77777777" w:rsidR="00D946D1" w:rsidRPr="0059512A" w:rsidRDefault="00D946D1" w:rsidP="0059512A">
      <w:pPr>
        <w:widowControl/>
        <w:spacing w:line="360" w:lineRule="auto"/>
        <w:ind w:firstLine="1440"/>
        <w:rPr>
          <w:rFonts w:eastAsiaTheme="minorHAnsi"/>
          <w:sz w:val="26"/>
          <w:szCs w:val="26"/>
        </w:rPr>
      </w:pPr>
    </w:p>
    <w:p w14:paraId="41410F3D" w14:textId="334A5419" w:rsidR="00D946D1" w:rsidRPr="0059512A" w:rsidRDefault="00D946D1" w:rsidP="0059512A">
      <w:pPr>
        <w:widowControl/>
        <w:spacing w:line="360" w:lineRule="auto"/>
        <w:ind w:firstLine="1440"/>
        <w:rPr>
          <w:rFonts w:eastAsiaTheme="minorHAnsi"/>
          <w:sz w:val="26"/>
          <w:szCs w:val="26"/>
        </w:rPr>
      </w:pPr>
      <w:r w:rsidRPr="0059512A">
        <w:rPr>
          <w:rFonts w:eastAsiaTheme="minorHAnsi"/>
          <w:sz w:val="26"/>
          <w:szCs w:val="26"/>
        </w:rPr>
        <w:t>We note further that this proceeding is premised on the use of a FPFTY and the recognition that certain expenses may be based on future expectations.  Consistent with our determination in</w:t>
      </w:r>
      <w:r w:rsidR="00987D41" w:rsidRPr="0059512A">
        <w:rPr>
          <w:rFonts w:eastAsiaTheme="minorHAnsi"/>
          <w:sz w:val="26"/>
          <w:szCs w:val="26"/>
        </w:rPr>
        <w:t xml:space="preserve"> the</w:t>
      </w:r>
      <w:r w:rsidRPr="0059512A">
        <w:rPr>
          <w:rFonts w:eastAsiaTheme="minorHAnsi"/>
          <w:sz w:val="26"/>
          <w:szCs w:val="26"/>
        </w:rPr>
        <w:t xml:space="preserve"> </w:t>
      </w:r>
      <w:r w:rsidRPr="0059512A">
        <w:rPr>
          <w:rFonts w:eastAsiaTheme="minorHAnsi"/>
          <w:i/>
          <w:sz w:val="26"/>
          <w:szCs w:val="26"/>
        </w:rPr>
        <w:t>UGI</w:t>
      </w:r>
      <w:r w:rsidR="00987D41" w:rsidRPr="0059512A">
        <w:rPr>
          <w:rFonts w:eastAsiaTheme="minorHAnsi"/>
          <w:i/>
          <w:sz w:val="26"/>
          <w:szCs w:val="26"/>
        </w:rPr>
        <w:t xml:space="preserve"> Order</w:t>
      </w:r>
      <w:r w:rsidRPr="00F371E1">
        <w:rPr>
          <w:rFonts w:eastAsiaTheme="minorHAnsi"/>
          <w:iCs/>
          <w:sz w:val="26"/>
          <w:szCs w:val="26"/>
        </w:rPr>
        <w:t>,</w:t>
      </w:r>
      <w:r w:rsidRPr="0059512A">
        <w:rPr>
          <w:rFonts w:eastAsiaTheme="minorHAnsi"/>
          <w:i/>
          <w:sz w:val="26"/>
          <w:szCs w:val="26"/>
        </w:rPr>
        <w:t xml:space="preserve"> </w:t>
      </w:r>
      <w:r w:rsidRPr="0059512A">
        <w:rPr>
          <w:rFonts w:eastAsiaTheme="minorHAnsi"/>
          <w:sz w:val="26"/>
          <w:szCs w:val="26"/>
        </w:rPr>
        <w:t>the normalization period for rate case expense is one of those expenses.  Thus, we may depart from the common practice of setting a normalization period base</w:t>
      </w:r>
      <w:r w:rsidR="009D7C38">
        <w:rPr>
          <w:rFonts w:eastAsiaTheme="minorHAnsi"/>
          <w:sz w:val="26"/>
          <w:szCs w:val="26"/>
        </w:rPr>
        <w:t>d</w:t>
      </w:r>
      <w:r w:rsidRPr="0059512A">
        <w:rPr>
          <w:rFonts w:eastAsiaTheme="minorHAnsi"/>
          <w:sz w:val="26"/>
          <w:szCs w:val="26"/>
        </w:rPr>
        <w:t xml:space="preserve"> on historic filing frequency where substantial evidence exists to support a different normalization period.  Such is the case here, where </w:t>
      </w:r>
      <w:r w:rsidR="00987D41" w:rsidRPr="0059512A">
        <w:rPr>
          <w:rFonts w:eastAsiaTheme="minorHAnsi"/>
          <w:sz w:val="26"/>
          <w:szCs w:val="26"/>
        </w:rPr>
        <w:t>Citizens’</w:t>
      </w:r>
      <w:r w:rsidRPr="0059512A">
        <w:rPr>
          <w:rFonts w:eastAsiaTheme="minorHAnsi"/>
          <w:sz w:val="26"/>
          <w:szCs w:val="26"/>
        </w:rPr>
        <w:t xml:space="preserve"> has enumerated convincingly the reasons that support a shortened filing frequency cycle.</w:t>
      </w:r>
    </w:p>
    <w:p w14:paraId="77F26216" w14:textId="77777777" w:rsidR="00D946D1" w:rsidRPr="0059512A" w:rsidRDefault="00D946D1" w:rsidP="0059512A">
      <w:pPr>
        <w:widowControl/>
        <w:spacing w:line="360" w:lineRule="auto"/>
        <w:ind w:firstLine="1440"/>
        <w:rPr>
          <w:rFonts w:eastAsiaTheme="minorHAnsi"/>
          <w:sz w:val="26"/>
          <w:szCs w:val="26"/>
        </w:rPr>
      </w:pPr>
    </w:p>
    <w:p w14:paraId="28A9D869" w14:textId="20DDAF56" w:rsidR="00D946D1" w:rsidRPr="0059512A" w:rsidRDefault="00D946D1" w:rsidP="0059512A">
      <w:pPr>
        <w:widowControl/>
        <w:spacing w:line="360" w:lineRule="auto"/>
        <w:ind w:firstLine="1440"/>
        <w:rPr>
          <w:rFonts w:eastAsiaTheme="minorHAnsi"/>
          <w:sz w:val="26"/>
          <w:szCs w:val="26"/>
        </w:rPr>
      </w:pPr>
      <w:r w:rsidRPr="0059512A">
        <w:rPr>
          <w:rFonts w:eastAsiaTheme="minorHAnsi"/>
          <w:sz w:val="26"/>
          <w:szCs w:val="26"/>
        </w:rPr>
        <w:t xml:space="preserve">Accordingly, we approve </w:t>
      </w:r>
      <w:r w:rsidR="00987D41" w:rsidRPr="0059512A">
        <w:rPr>
          <w:rFonts w:eastAsiaTheme="minorHAnsi"/>
          <w:sz w:val="26"/>
          <w:szCs w:val="26"/>
        </w:rPr>
        <w:t>Citizens’</w:t>
      </w:r>
      <w:r w:rsidRPr="0059512A">
        <w:rPr>
          <w:rFonts w:eastAsiaTheme="minorHAnsi"/>
          <w:sz w:val="26"/>
          <w:szCs w:val="26"/>
        </w:rPr>
        <w:t xml:space="preserve"> total rate case expense claim of $</w:t>
      </w:r>
      <w:r w:rsidR="00987D41" w:rsidRPr="0059512A">
        <w:rPr>
          <w:rFonts w:eastAsiaTheme="minorHAnsi"/>
          <w:sz w:val="26"/>
          <w:szCs w:val="26"/>
        </w:rPr>
        <w:t>326,000</w:t>
      </w:r>
      <w:r w:rsidRPr="0059512A">
        <w:rPr>
          <w:rFonts w:eastAsiaTheme="minorHAnsi"/>
          <w:sz w:val="26"/>
          <w:szCs w:val="26"/>
        </w:rPr>
        <w:t xml:space="preserve"> to be normalized over 3 years, consistent with its historic and anticipated frequency of base rate proceedings, and with prior Commission proceedings.  This would result in a normalized claim of $</w:t>
      </w:r>
      <w:r w:rsidR="00987D41" w:rsidRPr="0059512A">
        <w:rPr>
          <w:rFonts w:eastAsiaTheme="minorHAnsi"/>
          <w:sz w:val="26"/>
          <w:szCs w:val="26"/>
        </w:rPr>
        <w:t>108,667</w:t>
      </w:r>
      <w:r w:rsidRPr="0059512A">
        <w:rPr>
          <w:rFonts w:eastAsiaTheme="minorHAnsi"/>
          <w:sz w:val="26"/>
          <w:szCs w:val="26"/>
        </w:rPr>
        <w:t xml:space="preserve">.  </w:t>
      </w:r>
      <w:r w:rsidR="00987D41" w:rsidRPr="0059512A">
        <w:rPr>
          <w:rFonts w:eastAsiaTheme="minorHAnsi"/>
          <w:sz w:val="26"/>
          <w:szCs w:val="26"/>
        </w:rPr>
        <w:t>Citizens’</w:t>
      </w:r>
      <w:r w:rsidRPr="0059512A">
        <w:rPr>
          <w:rFonts w:eastAsiaTheme="minorHAnsi"/>
          <w:sz w:val="26"/>
          <w:szCs w:val="26"/>
        </w:rPr>
        <w:t xml:space="preserve"> St. 4-R at 5</w:t>
      </w:r>
      <w:r w:rsidR="004B24E0">
        <w:rPr>
          <w:rFonts w:eastAsiaTheme="minorHAnsi"/>
          <w:sz w:val="26"/>
          <w:szCs w:val="26"/>
        </w:rPr>
        <w:t>;</w:t>
      </w:r>
      <w:r w:rsidRPr="0059512A">
        <w:rPr>
          <w:rFonts w:eastAsiaTheme="minorHAnsi"/>
          <w:sz w:val="26"/>
          <w:szCs w:val="26"/>
        </w:rPr>
        <w:t xml:space="preserve">  </w:t>
      </w:r>
      <w:r w:rsidR="00987D41" w:rsidRPr="0059512A">
        <w:rPr>
          <w:rFonts w:eastAsiaTheme="minorHAnsi"/>
          <w:sz w:val="26"/>
          <w:szCs w:val="26"/>
        </w:rPr>
        <w:t>Citizens’</w:t>
      </w:r>
      <w:r w:rsidRPr="0059512A">
        <w:rPr>
          <w:rFonts w:eastAsiaTheme="minorHAnsi"/>
          <w:sz w:val="26"/>
          <w:szCs w:val="26"/>
        </w:rPr>
        <w:t xml:space="preserve"> R. Exc. at </w:t>
      </w:r>
      <w:r w:rsidR="00987D41" w:rsidRPr="0059512A">
        <w:rPr>
          <w:rFonts w:eastAsiaTheme="minorHAnsi"/>
          <w:sz w:val="26"/>
          <w:szCs w:val="26"/>
        </w:rPr>
        <w:t>4-5</w:t>
      </w:r>
      <w:r w:rsidRPr="0059512A">
        <w:rPr>
          <w:rFonts w:eastAsiaTheme="minorHAnsi"/>
          <w:sz w:val="26"/>
          <w:szCs w:val="26"/>
        </w:rPr>
        <w:t xml:space="preserve">; </w:t>
      </w:r>
      <w:r w:rsidR="00987D41" w:rsidRPr="0059512A">
        <w:rPr>
          <w:rFonts w:eastAsiaTheme="minorHAnsi"/>
          <w:sz w:val="26"/>
          <w:szCs w:val="26"/>
        </w:rPr>
        <w:t>Citizens’</w:t>
      </w:r>
      <w:r w:rsidRPr="0059512A">
        <w:rPr>
          <w:rFonts w:eastAsiaTheme="minorHAnsi"/>
          <w:sz w:val="26"/>
          <w:szCs w:val="26"/>
        </w:rPr>
        <w:t xml:space="preserve"> M.B. at </w:t>
      </w:r>
      <w:r w:rsidR="00987D41" w:rsidRPr="0059512A">
        <w:rPr>
          <w:rFonts w:eastAsiaTheme="minorHAnsi"/>
          <w:sz w:val="26"/>
          <w:szCs w:val="26"/>
        </w:rPr>
        <w:t>54-57</w:t>
      </w:r>
      <w:r w:rsidRPr="0059512A">
        <w:rPr>
          <w:rFonts w:eastAsiaTheme="minorHAnsi"/>
          <w:sz w:val="26"/>
          <w:szCs w:val="26"/>
        </w:rPr>
        <w:t xml:space="preserve">; R.D. </w:t>
      </w:r>
      <w:r w:rsidR="00987D41" w:rsidRPr="0059512A">
        <w:rPr>
          <w:rFonts w:eastAsiaTheme="minorHAnsi"/>
          <w:sz w:val="26"/>
          <w:szCs w:val="26"/>
        </w:rPr>
        <w:t>40-43</w:t>
      </w:r>
      <w:r w:rsidRPr="0059512A">
        <w:rPr>
          <w:rFonts w:eastAsiaTheme="minorHAnsi"/>
          <w:sz w:val="26"/>
          <w:szCs w:val="26"/>
        </w:rPr>
        <w:t>.</w:t>
      </w:r>
    </w:p>
    <w:p w14:paraId="08FD6C39" w14:textId="77777777" w:rsidR="00F50E85" w:rsidRPr="0059512A" w:rsidRDefault="00F50E85" w:rsidP="0059512A">
      <w:pPr>
        <w:widowControl/>
        <w:spacing w:line="360" w:lineRule="auto"/>
        <w:rPr>
          <w:sz w:val="26"/>
          <w:szCs w:val="26"/>
        </w:rPr>
      </w:pPr>
    </w:p>
    <w:p w14:paraId="2E98F980" w14:textId="31CC4050" w:rsidR="00D47961" w:rsidRPr="0059512A" w:rsidRDefault="00D47961" w:rsidP="0059512A">
      <w:pPr>
        <w:pStyle w:val="Heading4"/>
        <w:widowControl/>
      </w:pPr>
      <w:bookmarkStart w:id="120" w:name="_Toc38629292"/>
      <w:r w:rsidRPr="0059512A">
        <w:lastRenderedPageBreak/>
        <w:t>Depreciation Expense</w:t>
      </w:r>
      <w:bookmarkEnd w:id="120"/>
    </w:p>
    <w:p w14:paraId="0C14F839" w14:textId="1B835C2E" w:rsidR="00A7634C" w:rsidRPr="0059512A" w:rsidRDefault="00A7634C" w:rsidP="0059512A">
      <w:pPr>
        <w:keepNext/>
        <w:widowControl/>
        <w:spacing w:line="360" w:lineRule="auto"/>
        <w:rPr>
          <w:sz w:val="26"/>
          <w:szCs w:val="26"/>
        </w:rPr>
      </w:pPr>
    </w:p>
    <w:p w14:paraId="477AFA42" w14:textId="45D42DFE" w:rsidR="00D27A01" w:rsidRPr="0059512A" w:rsidRDefault="00FD31EC" w:rsidP="0059512A">
      <w:pPr>
        <w:pStyle w:val="ListParagraph"/>
        <w:keepNext/>
        <w:widowControl/>
        <w:spacing w:line="360" w:lineRule="auto"/>
        <w:ind w:left="2880" w:hanging="720"/>
        <w:rPr>
          <w:b/>
          <w:bCs/>
          <w:sz w:val="26"/>
          <w:szCs w:val="26"/>
        </w:rPr>
      </w:pPr>
      <w:bookmarkStart w:id="121" w:name="_Hlk35846770"/>
      <w:r w:rsidRPr="0059512A">
        <w:rPr>
          <w:b/>
          <w:bCs/>
          <w:sz w:val="26"/>
          <w:szCs w:val="26"/>
        </w:rPr>
        <w:t>(1)</w:t>
      </w:r>
      <w:r w:rsidRPr="0059512A">
        <w:rPr>
          <w:b/>
          <w:bCs/>
          <w:sz w:val="26"/>
          <w:szCs w:val="26"/>
        </w:rPr>
        <w:tab/>
      </w:r>
      <w:r w:rsidR="00D27A01" w:rsidRPr="0059512A">
        <w:rPr>
          <w:b/>
          <w:bCs/>
          <w:sz w:val="26"/>
          <w:szCs w:val="26"/>
        </w:rPr>
        <w:t>Positions of the Parties</w:t>
      </w:r>
    </w:p>
    <w:p w14:paraId="53DFA133" w14:textId="6EC061D9" w:rsidR="00D27A01" w:rsidRPr="0059512A" w:rsidRDefault="00D27A01" w:rsidP="0059512A">
      <w:pPr>
        <w:keepNext/>
        <w:widowControl/>
        <w:spacing w:line="360" w:lineRule="auto"/>
        <w:rPr>
          <w:b/>
          <w:bCs/>
          <w:sz w:val="26"/>
          <w:szCs w:val="26"/>
        </w:rPr>
      </w:pPr>
    </w:p>
    <w:p w14:paraId="124C6AB8" w14:textId="2531ED44" w:rsidR="009501A6" w:rsidRPr="0059512A" w:rsidRDefault="009501A6" w:rsidP="0059512A">
      <w:pPr>
        <w:keepNext/>
        <w:widowControl/>
        <w:spacing w:line="360" w:lineRule="auto"/>
        <w:ind w:firstLine="1440"/>
        <w:jc w:val="both"/>
        <w:rPr>
          <w:rFonts w:eastAsiaTheme="minorHAnsi"/>
          <w:color w:val="000000" w:themeColor="text1"/>
          <w:sz w:val="26"/>
          <w:szCs w:val="26"/>
        </w:rPr>
      </w:pPr>
      <w:r w:rsidRPr="0059512A">
        <w:rPr>
          <w:rFonts w:eastAsiaTheme="minorHAnsi"/>
          <w:color w:val="000000" w:themeColor="text1"/>
          <w:sz w:val="26"/>
          <w:szCs w:val="26"/>
        </w:rPr>
        <w:t xml:space="preserve">As a result of the Company’s use of the end of test year rate base, Citizens’ has based its test year depreciation expense on the projected balance of plant in service as of the end of the FPFTY.  </w:t>
      </w:r>
      <w:r w:rsidRPr="0059512A">
        <w:rPr>
          <w:rFonts w:eastAsiaTheme="minorHAnsi"/>
          <w:sz w:val="26"/>
          <w:szCs w:val="26"/>
        </w:rPr>
        <w:t>Citizens’ St. 1-R at 13.</w:t>
      </w:r>
      <w:r w:rsidR="006B04DA" w:rsidRPr="0059512A">
        <w:rPr>
          <w:rFonts w:eastAsiaTheme="minorHAnsi"/>
          <w:sz w:val="26"/>
          <w:szCs w:val="26"/>
        </w:rPr>
        <w:t xml:space="preserve">  </w:t>
      </w:r>
    </w:p>
    <w:p w14:paraId="18A6C0E8" w14:textId="77777777" w:rsidR="009501A6" w:rsidRPr="0059512A" w:rsidRDefault="009501A6" w:rsidP="0059512A">
      <w:pPr>
        <w:widowControl/>
        <w:spacing w:line="360" w:lineRule="auto"/>
        <w:ind w:firstLine="1440"/>
        <w:jc w:val="both"/>
        <w:rPr>
          <w:rFonts w:eastAsiaTheme="minorHAnsi"/>
          <w:color w:val="000000" w:themeColor="text1"/>
          <w:sz w:val="26"/>
          <w:szCs w:val="26"/>
        </w:rPr>
      </w:pPr>
    </w:p>
    <w:p w14:paraId="50433043" w14:textId="74D29FB8" w:rsidR="009501A6" w:rsidRDefault="009501A6" w:rsidP="0059512A">
      <w:pPr>
        <w:pStyle w:val="ListParagraph"/>
        <w:widowControl/>
        <w:spacing w:line="360" w:lineRule="auto"/>
        <w:ind w:left="0" w:firstLine="1440"/>
        <w:rPr>
          <w:rFonts w:eastAsiaTheme="minorHAnsi"/>
          <w:sz w:val="26"/>
          <w:szCs w:val="26"/>
        </w:rPr>
      </w:pPr>
      <w:r w:rsidRPr="0059512A">
        <w:rPr>
          <w:rFonts w:eastAsiaTheme="minorHAnsi"/>
          <w:color w:val="000000" w:themeColor="text1"/>
          <w:sz w:val="26"/>
          <w:szCs w:val="26"/>
        </w:rPr>
        <w:t xml:space="preserve">The OCA recommended an adjustment to the depreciation expense in order to reflect its proposed use of an average test year rate base instead of the Company’s proposed end of test year rate base.  The OCA asserted that the Company should base its depreciation expense on average plant in service in the FPFTY.  Thus, the OCA submitted that the Company should use an average test year rate base; the OCA claimed that the accumulated depreciation expense should be reduced by </w:t>
      </w:r>
      <w:r w:rsidRPr="0059512A">
        <w:rPr>
          <w:rFonts w:eastAsiaTheme="minorHAnsi"/>
          <w:sz w:val="26"/>
          <w:szCs w:val="26"/>
        </w:rPr>
        <w:t>$22,663</w:t>
      </w:r>
      <w:r w:rsidRPr="0059512A">
        <w:rPr>
          <w:rFonts w:eastAsiaTheme="minorHAnsi"/>
          <w:color w:val="000000" w:themeColor="text1"/>
          <w:sz w:val="26"/>
          <w:szCs w:val="26"/>
        </w:rPr>
        <w:t xml:space="preserve">.  </w:t>
      </w:r>
      <w:r w:rsidRPr="0059512A">
        <w:rPr>
          <w:rFonts w:eastAsiaTheme="minorHAnsi"/>
          <w:sz w:val="26"/>
          <w:szCs w:val="26"/>
        </w:rPr>
        <w:t>OCA R.B. at</w:t>
      </w:r>
      <w:r w:rsidR="00455E7E">
        <w:rPr>
          <w:rFonts w:eastAsiaTheme="minorHAnsi"/>
          <w:sz w:val="26"/>
          <w:szCs w:val="26"/>
        </w:rPr>
        <w:t> </w:t>
      </w:r>
      <w:r w:rsidRPr="0059512A">
        <w:rPr>
          <w:rFonts w:eastAsiaTheme="minorHAnsi"/>
          <w:sz w:val="26"/>
          <w:szCs w:val="26"/>
        </w:rPr>
        <w:t>21; OCA St. 2 at 7-8.</w:t>
      </w:r>
    </w:p>
    <w:p w14:paraId="4F465585" w14:textId="77777777" w:rsidR="00780984" w:rsidRPr="0059512A" w:rsidRDefault="00780984" w:rsidP="0059512A">
      <w:pPr>
        <w:pStyle w:val="ListParagraph"/>
        <w:widowControl/>
        <w:spacing w:line="360" w:lineRule="auto"/>
        <w:ind w:left="0" w:firstLine="1440"/>
        <w:rPr>
          <w:rFonts w:eastAsiaTheme="minorHAnsi"/>
          <w:sz w:val="26"/>
          <w:szCs w:val="26"/>
        </w:rPr>
      </w:pPr>
    </w:p>
    <w:p w14:paraId="4537F898" w14:textId="5DDE8E70"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(2)</w:t>
      </w:r>
      <w:r w:rsidRPr="0059512A">
        <w:rPr>
          <w:b/>
          <w:bCs/>
          <w:sz w:val="26"/>
          <w:szCs w:val="26"/>
        </w:rPr>
        <w:tab/>
      </w:r>
      <w:r w:rsidR="00D27A01" w:rsidRPr="0059512A">
        <w:rPr>
          <w:b/>
          <w:bCs/>
          <w:sz w:val="26"/>
          <w:szCs w:val="26"/>
        </w:rPr>
        <w:t>Recommended Decision</w:t>
      </w:r>
    </w:p>
    <w:p w14:paraId="0F48BB9C" w14:textId="2E238E1D" w:rsidR="00D27A01" w:rsidRPr="0059512A" w:rsidRDefault="00D27A01" w:rsidP="0059512A">
      <w:pPr>
        <w:keepNext/>
        <w:widowControl/>
        <w:spacing w:line="360" w:lineRule="auto"/>
        <w:rPr>
          <w:b/>
          <w:bCs/>
          <w:sz w:val="26"/>
          <w:szCs w:val="26"/>
        </w:rPr>
      </w:pPr>
    </w:p>
    <w:p w14:paraId="7B84C1A5" w14:textId="77777777" w:rsidR="009501A6" w:rsidRPr="0059512A" w:rsidRDefault="009501A6" w:rsidP="0059512A">
      <w:pPr>
        <w:pStyle w:val="ListParagraph"/>
        <w:keepNext/>
        <w:widowControl/>
        <w:spacing w:line="360" w:lineRule="auto"/>
        <w:ind w:left="0" w:firstLine="1350"/>
        <w:rPr>
          <w:sz w:val="26"/>
          <w:szCs w:val="26"/>
        </w:rPr>
      </w:pPr>
      <w:r w:rsidRPr="0059512A">
        <w:rPr>
          <w:sz w:val="26"/>
          <w:szCs w:val="26"/>
        </w:rPr>
        <w:t>Consistent with their recommendation that Citizens’ be permitted to utilize end-of-year methodology in its FPFTY, the ALJs recommended that the Commission adopt Citizens’ claim for depreciation expense.  R.D. at 44-45.</w:t>
      </w:r>
    </w:p>
    <w:p w14:paraId="1B600ABF" w14:textId="77777777" w:rsidR="009501A6" w:rsidRPr="0059512A" w:rsidRDefault="009501A6" w:rsidP="0059512A">
      <w:pPr>
        <w:widowControl/>
        <w:spacing w:line="360" w:lineRule="auto"/>
        <w:rPr>
          <w:b/>
          <w:bCs/>
          <w:sz w:val="26"/>
          <w:szCs w:val="26"/>
        </w:rPr>
      </w:pPr>
    </w:p>
    <w:p w14:paraId="745201B9" w14:textId="6256BE14"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(3)</w:t>
      </w:r>
      <w:r w:rsidRPr="0059512A">
        <w:rPr>
          <w:b/>
          <w:bCs/>
          <w:sz w:val="26"/>
          <w:szCs w:val="26"/>
        </w:rPr>
        <w:tab/>
      </w:r>
      <w:r w:rsidR="00D27A01" w:rsidRPr="0059512A">
        <w:rPr>
          <w:b/>
          <w:bCs/>
          <w:sz w:val="26"/>
          <w:szCs w:val="26"/>
        </w:rPr>
        <w:t>Exceptions and Replies</w:t>
      </w:r>
    </w:p>
    <w:p w14:paraId="0918FCF0" w14:textId="2D362468" w:rsidR="00D27A01" w:rsidRPr="0059512A" w:rsidRDefault="00D27A01" w:rsidP="0059512A">
      <w:pPr>
        <w:keepNext/>
        <w:widowControl/>
        <w:spacing w:line="360" w:lineRule="auto"/>
        <w:rPr>
          <w:b/>
          <w:bCs/>
          <w:sz w:val="26"/>
          <w:szCs w:val="26"/>
        </w:rPr>
      </w:pPr>
    </w:p>
    <w:p w14:paraId="2BCA31C7" w14:textId="77777777" w:rsidR="009501A6" w:rsidRPr="0059512A" w:rsidRDefault="009501A6" w:rsidP="0059512A">
      <w:pPr>
        <w:pStyle w:val="ListParagraph"/>
        <w:keepNext/>
        <w:widowControl/>
        <w:spacing w:line="360" w:lineRule="auto"/>
        <w:ind w:left="0" w:firstLine="1440"/>
        <w:rPr>
          <w:sz w:val="26"/>
          <w:szCs w:val="26"/>
        </w:rPr>
      </w:pPr>
      <w:r w:rsidRPr="0059512A">
        <w:rPr>
          <w:sz w:val="26"/>
          <w:szCs w:val="26"/>
        </w:rPr>
        <w:t xml:space="preserve">In its Exception No. 1, the OCA argues that if the Commission adopts the OCA’s proposed use of the average rate base, the depreciation expense should be adjusted accordingly.  Specifically, the OCA submits that Citizens’ FPFTY claim for depreciation expense of $1,029,328 should be reduced by $22,663 in order to reflect the </w:t>
      </w:r>
      <w:r w:rsidRPr="0059512A">
        <w:rPr>
          <w:sz w:val="26"/>
          <w:szCs w:val="26"/>
        </w:rPr>
        <w:lastRenderedPageBreak/>
        <w:t xml:space="preserve">OCA’s proposed use of the average rate base methodology as opposed to the Company’s proposed end-of-year methodology.  OCA Exc. at 2-5.  </w:t>
      </w:r>
    </w:p>
    <w:p w14:paraId="06E4637B" w14:textId="77777777" w:rsidR="009501A6" w:rsidRPr="0059512A" w:rsidRDefault="009501A6" w:rsidP="0059512A">
      <w:pPr>
        <w:pStyle w:val="ListParagraph"/>
        <w:widowControl/>
        <w:spacing w:line="360" w:lineRule="auto"/>
        <w:ind w:left="0" w:firstLine="1440"/>
        <w:rPr>
          <w:sz w:val="26"/>
          <w:szCs w:val="26"/>
        </w:rPr>
      </w:pPr>
    </w:p>
    <w:p w14:paraId="02C92467" w14:textId="3F8E0D5E" w:rsidR="009501A6" w:rsidRPr="0059512A" w:rsidRDefault="009501A6" w:rsidP="0059512A">
      <w:pPr>
        <w:pStyle w:val="ListParagraph"/>
        <w:widowControl/>
        <w:spacing w:line="360" w:lineRule="auto"/>
        <w:ind w:left="0" w:firstLine="1440"/>
        <w:rPr>
          <w:sz w:val="26"/>
          <w:szCs w:val="26"/>
        </w:rPr>
      </w:pPr>
      <w:r w:rsidRPr="0059512A">
        <w:rPr>
          <w:sz w:val="26"/>
          <w:szCs w:val="26"/>
        </w:rPr>
        <w:t>The Company responds that, consistent with its use of the end</w:t>
      </w:r>
      <w:r w:rsidR="005A13D1" w:rsidRPr="0059512A">
        <w:rPr>
          <w:sz w:val="26"/>
          <w:szCs w:val="26"/>
        </w:rPr>
        <w:t>-</w:t>
      </w:r>
      <w:r w:rsidRPr="0059512A">
        <w:rPr>
          <w:sz w:val="26"/>
          <w:szCs w:val="26"/>
        </w:rPr>
        <w:t>of</w:t>
      </w:r>
      <w:r w:rsidR="005A13D1" w:rsidRPr="0059512A">
        <w:rPr>
          <w:sz w:val="26"/>
          <w:szCs w:val="26"/>
        </w:rPr>
        <w:t>-</w:t>
      </w:r>
      <w:r w:rsidRPr="0059512A">
        <w:rPr>
          <w:sz w:val="26"/>
          <w:szCs w:val="26"/>
        </w:rPr>
        <w:t>test year rate base, Citizens’ has appropriately based its FPFTY depreciation expense on the projected balance of plant in service as of the end of the FPFTY.  Citizens’ R. Exc. at</w:t>
      </w:r>
      <w:r w:rsidR="003972FD" w:rsidRPr="0059512A">
        <w:rPr>
          <w:sz w:val="26"/>
          <w:szCs w:val="26"/>
        </w:rPr>
        <w:t> </w:t>
      </w:r>
      <w:r w:rsidRPr="0059512A">
        <w:rPr>
          <w:sz w:val="26"/>
          <w:szCs w:val="26"/>
        </w:rPr>
        <w:t>15</w:t>
      </w:r>
      <w:r w:rsidR="003972FD" w:rsidRPr="0059512A">
        <w:rPr>
          <w:sz w:val="26"/>
          <w:szCs w:val="26"/>
        </w:rPr>
        <w:noBreakHyphen/>
      </w:r>
      <w:r w:rsidRPr="0059512A">
        <w:rPr>
          <w:sz w:val="26"/>
          <w:szCs w:val="26"/>
        </w:rPr>
        <w:t>16.</w:t>
      </w:r>
    </w:p>
    <w:p w14:paraId="111F6FFE" w14:textId="77777777" w:rsidR="009501A6" w:rsidRPr="0059512A" w:rsidRDefault="009501A6" w:rsidP="0059512A">
      <w:pPr>
        <w:widowControl/>
        <w:spacing w:line="360" w:lineRule="auto"/>
        <w:rPr>
          <w:b/>
          <w:bCs/>
          <w:sz w:val="26"/>
          <w:szCs w:val="26"/>
        </w:rPr>
      </w:pPr>
    </w:p>
    <w:p w14:paraId="1EAC37DD" w14:textId="3EED8A77" w:rsidR="00D27A01" w:rsidRPr="0059512A" w:rsidRDefault="00FD31EC" w:rsidP="0059512A">
      <w:pPr>
        <w:pStyle w:val="ListParagraph"/>
        <w:keepNext/>
        <w:widowControl/>
        <w:spacing w:line="360" w:lineRule="auto"/>
        <w:ind w:left="2880" w:hanging="720"/>
        <w:rPr>
          <w:b/>
          <w:bCs/>
          <w:sz w:val="26"/>
          <w:szCs w:val="26"/>
        </w:rPr>
      </w:pPr>
      <w:r w:rsidRPr="0059512A">
        <w:rPr>
          <w:b/>
          <w:bCs/>
          <w:sz w:val="26"/>
          <w:szCs w:val="26"/>
        </w:rPr>
        <w:t>(4)</w:t>
      </w:r>
      <w:r w:rsidRPr="0059512A">
        <w:rPr>
          <w:b/>
          <w:bCs/>
          <w:sz w:val="26"/>
          <w:szCs w:val="26"/>
        </w:rPr>
        <w:tab/>
      </w:r>
      <w:r w:rsidR="00D27A01" w:rsidRPr="0059512A">
        <w:rPr>
          <w:b/>
          <w:bCs/>
          <w:sz w:val="26"/>
          <w:szCs w:val="26"/>
        </w:rPr>
        <w:t>Disposition</w:t>
      </w:r>
    </w:p>
    <w:bookmarkEnd w:id="121"/>
    <w:p w14:paraId="02D7951D" w14:textId="5194E9A7" w:rsidR="005F28A1" w:rsidRPr="0059512A" w:rsidRDefault="005F28A1" w:rsidP="0059512A">
      <w:pPr>
        <w:keepNext/>
        <w:widowControl/>
        <w:spacing w:line="360" w:lineRule="auto"/>
        <w:rPr>
          <w:sz w:val="26"/>
          <w:szCs w:val="26"/>
        </w:rPr>
      </w:pPr>
    </w:p>
    <w:p w14:paraId="6F13BA88" w14:textId="29041548" w:rsidR="002A25E8" w:rsidRPr="0059512A" w:rsidRDefault="002A25E8" w:rsidP="0059512A">
      <w:pPr>
        <w:keepNext/>
        <w:widowControl/>
        <w:spacing w:line="360" w:lineRule="auto"/>
        <w:ind w:firstLine="1440"/>
        <w:rPr>
          <w:rFonts w:eastAsiaTheme="minorHAnsi"/>
          <w:sz w:val="26"/>
          <w:szCs w:val="26"/>
        </w:rPr>
      </w:pPr>
      <w:r w:rsidRPr="0059512A">
        <w:rPr>
          <w:rFonts w:eastAsiaTheme="minorHAnsi"/>
          <w:sz w:val="26"/>
          <w:szCs w:val="26"/>
        </w:rPr>
        <w:t>For the reasons set forth in our disposition of the issue pertaining to the</w:t>
      </w:r>
      <w:r w:rsidR="00824316" w:rsidRPr="0059512A">
        <w:rPr>
          <w:rFonts w:eastAsiaTheme="minorHAnsi"/>
          <w:sz w:val="26"/>
          <w:szCs w:val="26"/>
        </w:rPr>
        <w:t xml:space="preserve"> OCA’s recommended adjustment to rate base, reflective of its advocacy for an average rate base approach, as opposed to the Company’s end-of-year methodology, </w:t>
      </w:r>
      <w:r w:rsidR="00824316" w:rsidRPr="0059512A">
        <w:rPr>
          <w:rFonts w:eastAsiaTheme="minorHAnsi"/>
          <w:i/>
          <w:iCs/>
          <w:sz w:val="26"/>
          <w:szCs w:val="26"/>
        </w:rPr>
        <w:t>supra</w:t>
      </w:r>
      <w:r w:rsidR="00824316" w:rsidRPr="0059512A">
        <w:rPr>
          <w:rFonts w:eastAsiaTheme="minorHAnsi"/>
          <w:sz w:val="26"/>
          <w:szCs w:val="26"/>
        </w:rPr>
        <w:t>, we find that the ALJs properly permitted Citizens’ to use the end-of-year methodology in its FPFTY.  Accordingly, we shall deny the Exception of the OCA on this issue and adopt the Company’s annual depreciation expense for the FPFTY in the amount of $1,029,328.</w:t>
      </w:r>
    </w:p>
    <w:p w14:paraId="46F201D1" w14:textId="77777777" w:rsidR="009501A6" w:rsidRPr="0059512A" w:rsidRDefault="009501A6" w:rsidP="0059512A">
      <w:pPr>
        <w:widowControl/>
        <w:spacing w:line="360" w:lineRule="auto"/>
        <w:rPr>
          <w:sz w:val="26"/>
          <w:szCs w:val="26"/>
        </w:rPr>
      </w:pPr>
    </w:p>
    <w:p w14:paraId="43CAF17B" w14:textId="1A9E2517" w:rsidR="00DA2034" w:rsidRPr="0059512A" w:rsidRDefault="004A05C0" w:rsidP="0059512A">
      <w:pPr>
        <w:pStyle w:val="Heading2"/>
        <w:keepNext w:val="0"/>
        <w:widowControl/>
      </w:pPr>
      <w:bookmarkStart w:id="122" w:name="_Toc38629293"/>
      <w:r w:rsidRPr="0059512A">
        <w:t xml:space="preserve">Fair </w:t>
      </w:r>
      <w:r w:rsidR="00DA2034" w:rsidRPr="0059512A">
        <w:t>Rate of Return</w:t>
      </w:r>
      <w:bookmarkEnd w:id="122"/>
    </w:p>
    <w:p w14:paraId="4374FCB6" w14:textId="6DAFA90E" w:rsidR="00493914" w:rsidRPr="0059512A" w:rsidRDefault="00493914" w:rsidP="0059512A">
      <w:pPr>
        <w:keepLines/>
        <w:widowControl/>
        <w:spacing w:line="360" w:lineRule="auto"/>
        <w:rPr>
          <w:sz w:val="26"/>
          <w:szCs w:val="26"/>
        </w:rPr>
      </w:pPr>
    </w:p>
    <w:p w14:paraId="3CD42811" w14:textId="77604049" w:rsidR="003752E0" w:rsidRPr="0059512A" w:rsidRDefault="003752E0" w:rsidP="0059512A">
      <w:pPr>
        <w:pStyle w:val="Heading3"/>
        <w:keepLines/>
        <w:numPr>
          <w:ilvl w:val="0"/>
          <w:numId w:val="22"/>
        </w:numPr>
        <w:ind w:left="1440" w:hanging="720"/>
      </w:pPr>
      <w:bookmarkStart w:id="123" w:name="_Toc38629294"/>
      <w:r w:rsidRPr="0059512A">
        <w:t>Cost of Common Equity</w:t>
      </w:r>
      <w:bookmarkEnd w:id="123"/>
    </w:p>
    <w:p w14:paraId="06F55EBF" w14:textId="35AD9869" w:rsidR="003752E0" w:rsidRPr="0059512A" w:rsidRDefault="003752E0" w:rsidP="0059512A">
      <w:pPr>
        <w:keepLines/>
        <w:widowControl/>
        <w:spacing w:line="360" w:lineRule="auto"/>
        <w:rPr>
          <w:sz w:val="26"/>
          <w:szCs w:val="26"/>
        </w:rPr>
      </w:pPr>
    </w:p>
    <w:p w14:paraId="6258B40B" w14:textId="77777777" w:rsidR="001B0107" w:rsidRPr="0059512A" w:rsidRDefault="001B0107" w:rsidP="0059512A">
      <w:pPr>
        <w:pStyle w:val="ListParagraph"/>
        <w:keepLines/>
        <w:widowControl/>
        <w:spacing w:line="360" w:lineRule="auto"/>
        <w:ind w:left="2160" w:hanging="720"/>
        <w:rPr>
          <w:b/>
          <w:bCs/>
          <w:sz w:val="26"/>
          <w:szCs w:val="26"/>
        </w:rPr>
      </w:pPr>
      <w:r w:rsidRPr="0059512A">
        <w:rPr>
          <w:b/>
          <w:bCs/>
          <w:sz w:val="26"/>
          <w:szCs w:val="26"/>
        </w:rPr>
        <w:t>a.</w:t>
      </w:r>
      <w:r w:rsidRPr="0059512A">
        <w:rPr>
          <w:b/>
          <w:bCs/>
          <w:sz w:val="26"/>
          <w:szCs w:val="26"/>
        </w:rPr>
        <w:tab/>
        <w:t>Positions of the Parties</w:t>
      </w:r>
    </w:p>
    <w:p w14:paraId="5FBCBA5A" w14:textId="77777777" w:rsidR="001B0107" w:rsidRPr="0059512A" w:rsidRDefault="001B0107" w:rsidP="0059512A">
      <w:pPr>
        <w:keepLines/>
        <w:widowControl/>
        <w:spacing w:line="360" w:lineRule="auto"/>
        <w:rPr>
          <w:sz w:val="26"/>
          <w:szCs w:val="26"/>
        </w:rPr>
      </w:pPr>
    </w:p>
    <w:p w14:paraId="0182D0A8" w14:textId="739C4284" w:rsidR="005330F1" w:rsidRPr="0059512A" w:rsidRDefault="005330F1" w:rsidP="0059512A">
      <w:pPr>
        <w:keepLines/>
        <w:widowControl/>
        <w:spacing w:line="360" w:lineRule="auto"/>
        <w:ind w:firstLine="1440"/>
        <w:rPr>
          <w:sz w:val="26"/>
          <w:szCs w:val="26"/>
        </w:rPr>
      </w:pPr>
      <w:r w:rsidRPr="0059512A">
        <w:rPr>
          <w:sz w:val="26"/>
          <w:szCs w:val="26"/>
        </w:rPr>
        <w:t xml:space="preserve">In the instant proceeding, Citizens’, I&amp;E and the OCA presented </w:t>
      </w:r>
      <w:r w:rsidR="00AA625D">
        <w:rPr>
          <w:sz w:val="26"/>
          <w:szCs w:val="26"/>
        </w:rPr>
        <w:t xml:space="preserve">their respective </w:t>
      </w:r>
      <w:r w:rsidRPr="0059512A">
        <w:rPr>
          <w:sz w:val="26"/>
          <w:szCs w:val="26"/>
        </w:rPr>
        <w:t xml:space="preserve"> position</w:t>
      </w:r>
      <w:r w:rsidR="00AA625D">
        <w:rPr>
          <w:sz w:val="26"/>
          <w:szCs w:val="26"/>
        </w:rPr>
        <w:t>s</w:t>
      </w:r>
      <w:r w:rsidRPr="0059512A">
        <w:rPr>
          <w:sz w:val="26"/>
          <w:szCs w:val="26"/>
        </w:rPr>
        <w:t xml:space="preserve"> on reasonable rate of ROE.  The OSBA did not take a position.  The following table summarizes the cost of common equity claims made and the methodologies used by the Parties in the proceeding:</w:t>
      </w:r>
    </w:p>
    <w:p w14:paraId="6DFA91CC" w14:textId="77777777" w:rsidR="0077533D" w:rsidRPr="0059512A" w:rsidRDefault="0077533D" w:rsidP="0059512A">
      <w:pPr>
        <w:widowControl/>
        <w:spacing w:line="360" w:lineRule="auto"/>
        <w:ind w:firstLine="1440"/>
        <w:rPr>
          <w:sz w:val="26"/>
          <w:szCs w:val="26"/>
        </w:rPr>
      </w:pPr>
    </w:p>
    <w:tbl>
      <w:tblPr>
        <w:tblW w:w="8876" w:type="dxa"/>
        <w:jc w:val="center"/>
        <w:tblLook w:val="04A0" w:firstRow="1" w:lastRow="0" w:firstColumn="1" w:lastColumn="0" w:noHBand="0" w:noVBand="1"/>
      </w:tblPr>
      <w:tblGrid>
        <w:gridCol w:w="1294"/>
        <w:gridCol w:w="1576"/>
        <w:gridCol w:w="1080"/>
        <w:gridCol w:w="990"/>
        <w:gridCol w:w="1260"/>
        <w:gridCol w:w="1488"/>
        <w:gridCol w:w="1188"/>
      </w:tblGrid>
      <w:tr w:rsidR="004015D1" w:rsidRPr="0059512A" w14:paraId="22961D5B" w14:textId="77777777" w:rsidTr="004015D1">
        <w:trPr>
          <w:trHeight w:val="315"/>
          <w:jc w:val="center"/>
        </w:trPr>
        <w:tc>
          <w:tcPr>
            <w:tcW w:w="1294" w:type="dxa"/>
            <w:tcBorders>
              <w:top w:val="single" w:sz="8" w:space="0" w:color="auto"/>
              <w:left w:val="single" w:sz="8" w:space="0" w:color="auto"/>
              <w:bottom w:val="single" w:sz="8" w:space="0" w:color="auto"/>
              <w:right w:val="nil"/>
            </w:tcBorders>
            <w:shd w:val="clear" w:color="auto" w:fill="auto"/>
            <w:vAlign w:val="bottom"/>
            <w:hideMark/>
          </w:tcPr>
          <w:p w14:paraId="7D03FD41" w14:textId="77777777" w:rsidR="004015D1" w:rsidRPr="0059512A" w:rsidRDefault="004015D1" w:rsidP="0059512A">
            <w:pPr>
              <w:keepNext/>
              <w:keepLines/>
              <w:widowControl/>
              <w:contextualSpacing/>
              <w:jc w:val="center"/>
              <w:rPr>
                <w:b/>
                <w:bCs/>
                <w:color w:val="000000"/>
                <w:sz w:val="26"/>
                <w:szCs w:val="26"/>
              </w:rPr>
            </w:pPr>
            <w:r w:rsidRPr="0059512A">
              <w:rPr>
                <w:b/>
                <w:bCs/>
                <w:color w:val="000000"/>
                <w:sz w:val="26"/>
                <w:szCs w:val="26"/>
              </w:rPr>
              <w:lastRenderedPageBreak/>
              <w:t>Party</w:t>
            </w:r>
          </w:p>
        </w:tc>
        <w:tc>
          <w:tcPr>
            <w:tcW w:w="157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D17B2BB" w14:textId="77777777" w:rsidR="004015D1" w:rsidRPr="0059512A" w:rsidRDefault="004015D1" w:rsidP="0059512A">
            <w:pPr>
              <w:keepNext/>
              <w:keepLines/>
              <w:widowControl/>
              <w:contextualSpacing/>
              <w:jc w:val="center"/>
              <w:rPr>
                <w:b/>
                <w:bCs/>
                <w:color w:val="000000"/>
                <w:sz w:val="26"/>
                <w:szCs w:val="26"/>
              </w:rPr>
            </w:pPr>
            <w:r w:rsidRPr="0059512A">
              <w:rPr>
                <w:b/>
                <w:bCs/>
                <w:color w:val="000000"/>
                <w:sz w:val="26"/>
                <w:szCs w:val="26"/>
              </w:rPr>
              <w:t>DCF</w:t>
            </w:r>
          </w:p>
        </w:tc>
        <w:tc>
          <w:tcPr>
            <w:tcW w:w="1080" w:type="dxa"/>
            <w:tcBorders>
              <w:top w:val="single" w:sz="8" w:space="0" w:color="auto"/>
              <w:left w:val="nil"/>
              <w:bottom w:val="single" w:sz="8" w:space="0" w:color="auto"/>
              <w:right w:val="nil"/>
            </w:tcBorders>
            <w:shd w:val="clear" w:color="auto" w:fill="auto"/>
            <w:vAlign w:val="bottom"/>
            <w:hideMark/>
          </w:tcPr>
          <w:p w14:paraId="31307D30" w14:textId="77777777" w:rsidR="004015D1" w:rsidRPr="0059512A" w:rsidRDefault="004015D1" w:rsidP="0059512A">
            <w:pPr>
              <w:keepNext/>
              <w:keepLines/>
              <w:widowControl/>
              <w:contextualSpacing/>
              <w:jc w:val="center"/>
              <w:rPr>
                <w:b/>
                <w:bCs/>
                <w:color w:val="000000"/>
                <w:sz w:val="26"/>
                <w:szCs w:val="26"/>
              </w:rPr>
            </w:pPr>
            <w:r w:rsidRPr="0059512A">
              <w:rPr>
                <w:b/>
                <w:bCs/>
                <w:color w:val="000000"/>
                <w:sz w:val="26"/>
                <w:szCs w:val="26"/>
              </w:rPr>
              <w:t>CAPM</w:t>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C3F5854" w14:textId="4E93C337" w:rsidR="004015D1" w:rsidRPr="0059512A" w:rsidRDefault="004015D1" w:rsidP="0059512A">
            <w:pPr>
              <w:keepNext/>
              <w:keepLines/>
              <w:widowControl/>
              <w:contextualSpacing/>
              <w:jc w:val="center"/>
              <w:rPr>
                <w:b/>
                <w:bCs/>
                <w:color w:val="000000"/>
                <w:sz w:val="26"/>
                <w:szCs w:val="26"/>
              </w:rPr>
            </w:pPr>
            <w:r w:rsidRPr="0059512A">
              <w:rPr>
                <w:b/>
                <w:bCs/>
                <w:color w:val="000000"/>
                <w:sz w:val="26"/>
                <w:szCs w:val="26"/>
              </w:rPr>
              <w:t>RPM</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14:paraId="152C69B5" w14:textId="77777777" w:rsidR="004015D1" w:rsidRPr="0059512A" w:rsidRDefault="004015D1" w:rsidP="0059512A">
            <w:pPr>
              <w:keepNext/>
              <w:keepLines/>
              <w:widowControl/>
              <w:contextualSpacing/>
              <w:jc w:val="center"/>
              <w:rPr>
                <w:b/>
                <w:bCs/>
                <w:color w:val="000000"/>
                <w:sz w:val="26"/>
                <w:szCs w:val="26"/>
              </w:rPr>
            </w:pPr>
            <w:r w:rsidRPr="0059512A">
              <w:rPr>
                <w:b/>
                <w:bCs/>
                <w:color w:val="000000"/>
                <w:sz w:val="26"/>
                <w:szCs w:val="26"/>
              </w:rPr>
              <w:t>CAPM / ECAPM</w:t>
            </w:r>
          </w:p>
        </w:tc>
        <w:tc>
          <w:tcPr>
            <w:tcW w:w="1488" w:type="dxa"/>
            <w:tcBorders>
              <w:top w:val="single" w:sz="4" w:space="0" w:color="auto"/>
              <w:left w:val="single" w:sz="4" w:space="0" w:color="auto"/>
              <w:bottom w:val="single" w:sz="4" w:space="0" w:color="auto"/>
              <w:right w:val="single" w:sz="4" w:space="0" w:color="auto"/>
            </w:tcBorders>
            <w:vAlign w:val="bottom"/>
          </w:tcPr>
          <w:p w14:paraId="70974531" w14:textId="4FADDD1A" w:rsidR="004015D1" w:rsidRPr="0059512A" w:rsidRDefault="004015D1" w:rsidP="0059512A">
            <w:pPr>
              <w:keepNext/>
              <w:keepLines/>
              <w:widowControl/>
              <w:contextualSpacing/>
              <w:jc w:val="center"/>
              <w:rPr>
                <w:b/>
                <w:bCs/>
                <w:color w:val="000000"/>
                <w:sz w:val="26"/>
                <w:szCs w:val="26"/>
              </w:rPr>
            </w:pPr>
            <w:r w:rsidRPr="0059512A">
              <w:rPr>
                <w:b/>
                <w:bCs/>
                <w:color w:val="000000"/>
                <w:sz w:val="26"/>
                <w:szCs w:val="26"/>
              </w:rPr>
              <w:t>CE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DFFA67" w14:textId="4C1C312C" w:rsidR="004015D1" w:rsidRPr="0059512A" w:rsidRDefault="004015D1" w:rsidP="0059512A">
            <w:pPr>
              <w:keepNext/>
              <w:keepLines/>
              <w:widowControl/>
              <w:contextualSpacing/>
              <w:jc w:val="center"/>
              <w:rPr>
                <w:b/>
                <w:bCs/>
                <w:color w:val="000000"/>
                <w:sz w:val="26"/>
                <w:szCs w:val="26"/>
              </w:rPr>
            </w:pPr>
            <w:r w:rsidRPr="0059512A">
              <w:rPr>
                <w:b/>
                <w:bCs/>
                <w:color w:val="000000"/>
                <w:sz w:val="26"/>
                <w:szCs w:val="26"/>
              </w:rPr>
              <w:t>ROE</w:t>
            </w:r>
          </w:p>
        </w:tc>
      </w:tr>
      <w:tr w:rsidR="004015D1" w:rsidRPr="0059512A" w14:paraId="754DD93C" w14:textId="77777777" w:rsidTr="00F371E1">
        <w:trPr>
          <w:trHeight w:val="792"/>
          <w:jc w:val="center"/>
        </w:trPr>
        <w:tc>
          <w:tcPr>
            <w:tcW w:w="1294" w:type="dxa"/>
            <w:tcBorders>
              <w:top w:val="nil"/>
              <w:left w:val="single" w:sz="8" w:space="0" w:color="auto"/>
              <w:bottom w:val="nil"/>
              <w:right w:val="nil"/>
            </w:tcBorders>
            <w:shd w:val="clear" w:color="auto" w:fill="auto"/>
            <w:vAlign w:val="center"/>
            <w:hideMark/>
          </w:tcPr>
          <w:p w14:paraId="73F10106" w14:textId="77777777" w:rsidR="004015D1" w:rsidRPr="0059512A" w:rsidRDefault="004015D1" w:rsidP="0059512A">
            <w:pPr>
              <w:keepNext/>
              <w:keepLines/>
              <w:widowControl/>
              <w:contextualSpacing/>
              <w:rPr>
                <w:b/>
                <w:bCs/>
                <w:color w:val="000000"/>
                <w:sz w:val="26"/>
                <w:szCs w:val="26"/>
              </w:rPr>
            </w:pPr>
            <w:r w:rsidRPr="0059512A">
              <w:rPr>
                <w:b/>
                <w:bCs/>
                <w:color w:val="000000"/>
                <w:sz w:val="26"/>
                <w:szCs w:val="26"/>
              </w:rPr>
              <w:t>Citizens’</w:t>
            </w:r>
          </w:p>
        </w:tc>
        <w:tc>
          <w:tcPr>
            <w:tcW w:w="1576" w:type="dxa"/>
            <w:tcBorders>
              <w:top w:val="nil"/>
              <w:left w:val="single" w:sz="8" w:space="0" w:color="auto"/>
              <w:bottom w:val="nil"/>
              <w:right w:val="single" w:sz="8" w:space="0" w:color="auto"/>
            </w:tcBorders>
            <w:shd w:val="clear" w:color="auto" w:fill="auto"/>
            <w:vAlign w:val="center"/>
            <w:hideMark/>
          </w:tcPr>
          <w:p w14:paraId="7FC142A1" w14:textId="77777777" w:rsidR="004015D1" w:rsidRPr="0059512A" w:rsidRDefault="004015D1" w:rsidP="0059512A">
            <w:pPr>
              <w:keepNext/>
              <w:keepLines/>
              <w:widowControl/>
              <w:contextualSpacing/>
              <w:jc w:val="center"/>
              <w:rPr>
                <w:color w:val="000000"/>
                <w:sz w:val="26"/>
                <w:szCs w:val="26"/>
              </w:rPr>
            </w:pPr>
            <w:r w:rsidRPr="0059512A">
              <w:rPr>
                <w:color w:val="000000"/>
                <w:sz w:val="26"/>
                <w:szCs w:val="26"/>
              </w:rPr>
              <w:t>8.27%</w:t>
            </w:r>
          </w:p>
        </w:tc>
        <w:tc>
          <w:tcPr>
            <w:tcW w:w="1080" w:type="dxa"/>
            <w:tcBorders>
              <w:top w:val="nil"/>
              <w:left w:val="nil"/>
              <w:bottom w:val="nil"/>
              <w:right w:val="nil"/>
            </w:tcBorders>
            <w:shd w:val="clear" w:color="auto" w:fill="auto"/>
            <w:vAlign w:val="center"/>
            <w:hideMark/>
          </w:tcPr>
          <w:p w14:paraId="342619A5" w14:textId="77777777" w:rsidR="004015D1" w:rsidRPr="0059512A" w:rsidRDefault="004015D1" w:rsidP="0059512A">
            <w:pPr>
              <w:keepNext/>
              <w:keepLines/>
              <w:widowControl/>
              <w:contextualSpacing/>
              <w:jc w:val="center"/>
              <w:rPr>
                <w:color w:val="000000"/>
                <w:sz w:val="26"/>
                <w:szCs w:val="26"/>
              </w:rPr>
            </w:pPr>
            <w:r w:rsidRPr="0059512A">
              <w:rPr>
                <w:color w:val="000000"/>
                <w:sz w:val="26"/>
                <w:szCs w:val="26"/>
              </w:rPr>
              <w:t>8.27%</w:t>
            </w:r>
          </w:p>
        </w:tc>
        <w:tc>
          <w:tcPr>
            <w:tcW w:w="990" w:type="dxa"/>
            <w:tcBorders>
              <w:top w:val="nil"/>
              <w:left w:val="single" w:sz="8" w:space="0" w:color="auto"/>
              <w:bottom w:val="nil"/>
              <w:right w:val="single" w:sz="8" w:space="0" w:color="auto"/>
            </w:tcBorders>
            <w:shd w:val="clear" w:color="auto" w:fill="auto"/>
            <w:vAlign w:val="center"/>
            <w:hideMark/>
          </w:tcPr>
          <w:p w14:paraId="34B28BDC" w14:textId="5BE7262B" w:rsidR="004015D1" w:rsidRPr="0059512A" w:rsidRDefault="004015D1" w:rsidP="0059512A">
            <w:pPr>
              <w:keepNext/>
              <w:keepLines/>
              <w:widowControl/>
              <w:contextualSpacing/>
              <w:jc w:val="center"/>
              <w:rPr>
                <w:color w:val="000000"/>
                <w:sz w:val="26"/>
                <w:szCs w:val="26"/>
              </w:rPr>
            </w:pPr>
            <w:r w:rsidRPr="0059512A">
              <w:rPr>
                <w:color w:val="000000"/>
                <w:sz w:val="26"/>
                <w:szCs w:val="26"/>
              </w:rPr>
              <w:t>9.57%</w:t>
            </w:r>
          </w:p>
        </w:tc>
        <w:tc>
          <w:tcPr>
            <w:tcW w:w="1260" w:type="dxa"/>
            <w:tcBorders>
              <w:top w:val="nil"/>
              <w:left w:val="nil"/>
              <w:bottom w:val="nil"/>
              <w:right w:val="single" w:sz="4" w:space="0" w:color="auto"/>
            </w:tcBorders>
            <w:shd w:val="clear" w:color="auto" w:fill="auto"/>
            <w:vAlign w:val="center"/>
            <w:hideMark/>
          </w:tcPr>
          <w:p w14:paraId="40AC4440" w14:textId="77777777" w:rsidR="004015D1" w:rsidRPr="0059512A" w:rsidRDefault="004015D1" w:rsidP="0059512A">
            <w:pPr>
              <w:keepNext/>
              <w:keepLines/>
              <w:widowControl/>
              <w:contextualSpacing/>
              <w:jc w:val="center"/>
              <w:rPr>
                <w:color w:val="000000"/>
                <w:sz w:val="26"/>
                <w:szCs w:val="26"/>
              </w:rPr>
            </w:pPr>
            <w:r w:rsidRPr="0059512A">
              <w:rPr>
                <w:color w:val="000000"/>
                <w:sz w:val="26"/>
                <w:szCs w:val="26"/>
              </w:rPr>
              <w:t>8.82%</w:t>
            </w:r>
          </w:p>
        </w:tc>
        <w:tc>
          <w:tcPr>
            <w:tcW w:w="1488" w:type="dxa"/>
            <w:tcBorders>
              <w:top w:val="single" w:sz="4" w:space="0" w:color="auto"/>
              <w:left w:val="single" w:sz="4" w:space="0" w:color="auto"/>
              <w:bottom w:val="single" w:sz="4" w:space="0" w:color="auto"/>
              <w:right w:val="single" w:sz="4" w:space="0" w:color="auto"/>
            </w:tcBorders>
            <w:vAlign w:val="center"/>
          </w:tcPr>
          <w:p w14:paraId="01C4D054" w14:textId="3259CE9F" w:rsidR="004015D1" w:rsidRPr="0059512A" w:rsidRDefault="004015D1" w:rsidP="0059512A">
            <w:pPr>
              <w:keepNext/>
              <w:keepLines/>
              <w:widowControl/>
              <w:contextualSpacing/>
              <w:jc w:val="center"/>
              <w:rPr>
                <w:color w:val="000000"/>
                <w:sz w:val="26"/>
                <w:szCs w:val="26"/>
              </w:rPr>
            </w:pPr>
            <w:r w:rsidRPr="0059512A">
              <w:rPr>
                <w:color w:val="000000"/>
                <w:sz w:val="26"/>
                <w:szCs w:val="26"/>
              </w:rPr>
              <w:t>9.43%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3101C" w14:textId="76464B54" w:rsidR="004015D1" w:rsidRPr="0059512A" w:rsidRDefault="004015D1" w:rsidP="0059512A">
            <w:pPr>
              <w:keepNext/>
              <w:keepLines/>
              <w:widowControl/>
              <w:contextualSpacing/>
              <w:jc w:val="center"/>
              <w:rPr>
                <w:color w:val="000000"/>
                <w:sz w:val="26"/>
                <w:szCs w:val="26"/>
              </w:rPr>
            </w:pPr>
            <w:r w:rsidRPr="0059512A">
              <w:rPr>
                <w:color w:val="000000"/>
                <w:sz w:val="26"/>
                <w:szCs w:val="26"/>
              </w:rPr>
              <w:t>10.30%</w:t>
            </w:r>
            <w:r w:rsidRPr="0059512A">
              <w:rPr>
                <w:rStyle w:val="FootnoteReference"/>
                <w:color w:val="000000"/>
                <w:sz w:val="26"/>
                <w:szCs w:val="26"/>
              </w:rPr>
              <w:footnoteReference w:id="13"/>
            </w:r>
          </w:p>
        </w:tc>
      </w:tr>
      <w:tr w:rsidR="004015D1" w:rsidRPr="0059512A" w14:paraId="5A23B53D" w14:textId="77777777" w:rsidTr="00F371E1">
        <w:trPr>
          <w:trHeight w:val="792"/>
          <w:jc w:val="center"/>
        </w:trPr>
        <w:tc>
          <w:tcPr>
            <w:tcW w:w="1294" w:type="dxa"/>
            <w:tcBorders>
              <w:top w:val="single" w:sz="8" w:space="0" w:color="auto"/>
              <w:left w:val="single" w:sz="8" w:space="0" w:color="auto"/>
              <w:bottom w:val="single" w:sz="8" w:space="0" w:color="auto"/>
              <w:right w:val="nil"/>
            </w:tcBorders>
            <w:shd w:val="clear" w:color="auto" w:fill="auto"/>
            <w:vAlign w:val="center"/>
            <w:hideMark/>
          </w:tcPr>
          <w:p w14:paraId="4693D58C" w14:textId="77777777" w:rsidR="004015D1" w:rsidRPr="0059512A" w:rsidRDefault="004015D1" w:rsidP="0059512A">
            <w:pPr>
              <w:keepNext/>
              <w:keepLines/>
              <w:widowControl/>
              <w:contextualSpacing/>
              <w:rPr>
                <w:b/>
                <w:bCs/>
                <w:color w:val="000000"/>
                <w:sz w:val="26"/>
                <w:szCs w:val="26"/>
              </w:rPr>
            </w:pPr>
            <w:r w:rsidRPr="0059512A">
              <w:rPr>
                <w:b/>
                <w:bCs/>
                <w:color w:val="000000"/>
                <w:sz w:val="26"/>
                <w:szCs w:val="26"/>
              </w:rPr>
              <w:t>I&amp;E</w:t>
            </w:r>
          </w:p>
        </w:tc>
        <w:tc>
          <w:tcPr>
            <w:tcW w:w="15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74345A" w14:textId="77777777" w:rsidR="004015D1" w:rsidRPr="0059512A" w:rsidRDefault="004015D1" w:rsidP="0059512A">
            <w:pPr>
              <w:keepNext/>
              <w:keepLines/>
              <w:widowControl/>
              <w:contextualSpacing/>
              <w:jc w:val="center"/>
              <w:rPr>
                <w:color w:val="000000"/>
                <w:sz w:val="26"/>
                <w:szCs w:val="26"/>
              </w:rPr>
            </w:pPr>
            <w:r w:rsidRPr="0059512A">
              <w:rPr>
                <w:color w:val="000000"/>
                <w:sz w:val="26"/>
                <w:szCs w:val="26"/>
              </w:rPr>
              <w:t>8.10%</w:t>
            </w:r>
          </w:p>
        </w:tc>
        <w:tc>
          <w:tcPr>
            <w:tcW w:w="1080" w:type="dxa"/>
            <w:tcBorders>
              <w:top w:val="single" w:sz="8" w:space="0" w:color="auto"/>
              <w:left w:val="nil"/>
              <w:bottom w:val="single" w:sz="8" w:space="0" w:color="auto"/>
              <w:right w:val="nil"/>
            </w:tcBorders>
            <w:shd w:val="clear" w:color="auto" w:fill="auto"/>
            <w:vAlign w:val="center"/>
            <w:hideMark/>
          </w:tcPr>
          <w:p w14:paraId="75092806" w14:textId="77777777" w:rsidR="004015D1" w:rsidRPr="0059512A" w:rsidRDefault="004015D1" w:rsidP="0059512A">
            <w:pPr>
              <w:keepNext/>
              <w:keepLines/>
              <w:widowControl/>
              <w:contextualSpacing/>
              <w:jc w:val="center"/>
              <w:rPr>
                <w:color w:val="000000"/>
                <w:sz w:val="26"/>
                <w:szCs w:val="26"/>
              </w:rPr>
            </w:pPr>
            <w:r w:rsidRPr="0059512A">
              <w:rPr>
                <w:color w:val="000000"/>
                <w:sz w:val="26"/>
                <w:szCs w:val="26"/>
              </w:rPr>
              <w:t>7.59%</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516B62" w14:textId="77777777" w:rsidR="004015D1" w:rsidRPr="0059512A" w:rsidRDefault="004015D1" w:rsidP="0059512A">
            <w:pPr>
              <w:keepNext/>
              <w:keepLines/>
              <w:widowControl/>
              <w:contextualSpacing/>
              <w:jc w:val="center"/>
              <w:rPr>
                <w:color w:val="000000"/>
                <w:sz w:val="26"/>
                <w:szCs w:val="26"/>
              </w:rPr>
            </w:pPr>
          </w:p>
        </w:tc>
        <w:tc>
          <w:tcPr>
            <w:tcW w:w="1260" w:type="dxa"/>
            <w:tcBorders>
              <w:top w:val="single" w:sz="8" w:space="0" w:color="auto"/>
              <w:left w:val="nil"/>
              <w:bottom w:val="single" w:sz="8" w:space="0" w:color="auto"/>
              <w:right w:val="single" w:sz="4" w:space="0" w:color="auto"/>
            </w:tcBorders>
            <w:shd w:val="clear" w:color="auto" w:fill="auto"/>
            <w:vAlign w:val="center"/>
            <w:hideMark/>
          </w:tcPr>
          <w:p w14:paraId="7D917C85" w14:textId="77777777" w:rsidR="004015D1" w:rsidRPr="0059512A" w:rsidRDefault="004015D1" w:rsidP="0059512A">
            <w:pPr>
              <w:keepNext/>
              <w:keepLines/>
              <w:widowControl/>
              <w:contextualSpacing/>
              <w:jc w:val="center"/>
              <w:rPr>
                <w:color w:val="000000"/>
                <w:sz w:val="26"/>
                <w:szCs w:val="26"/>
              </w:rPr>
            </w:pPr>
          </w:p>
        </w:tc>
        <w:tc>
          <w:tcPr>
            <w:tcW w:w="1488" w:type="dxa"/>
            <w:tcBorders>
              <w:top w:val="single" w:sz="4" w:space="0" w:color="auto"/>
              <w:left w:val="single" w:sz="4" w:space="0" w:color="auto"/>
              <w:bottom w:val="single" w:sz="4" w:space="0" w:color="auto"/>
              <w:right w:val="single" w:sz="4" w:space="0" w:color="auto"/>
            </w:tcBorders>
          </w:tcPr>
          <w:p w14:paraId="13A64A17" w14:textId="77777777" w:rsidR="004015D1" w:rsidRPr="0059512A" w:rsidRDefault="004015D1" w:rsidP="0059512A">
            <w:pPr>
              <w:keepNext/>
              <w:keepLines/>
              <w:widowControl/>
              <w:contextualSpacing/>
              <w:jc w:val="center"/>
              <w:rPr>
                <w:color w:val="000000"/>
                <w:sz w:val="26"/>
                <w:szCs w:val="26"/>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623" w14:textId="7678CEE6" w:rsidR="004015D1" w:rsidRPr="0059512A" w:rsidRDefault="004015D1" w:rsidP="0059512A">
            <w:pPr>
              <w:keepNext/>
              <w:keepLines/>
              <w:widowControl/>
              <w:contextualSpacing/>
              <w:jc w:val="center"/>
              <w:rPr>
                <w:color w:val="000000"/>
                <w:sz w:val="26"/>
                <w:szCs w:val="26"/>
              </w:rPr>
            </w:pPr>
            <w:r w:rsidRPr="0059512A">
              <w:rPr>
                <w:color w:val="000000"/>
                <w:sz w:val="26"/>
                <w:szCs w:val="26"/>
              </w:rPr>
              <w:t>8.10%</w:t>
            </w:r>
          </w:p>
        </w:tc>
      </w:tr>
      <w:tr w:rsidR="004015D1" w:rsidRPr="0059512A" w14:paraId="5C4ACA63" w14:textId="77777777" w:rsidTr="00F371E1">
        <w:trPr>
          <w:trHeight w:val="792"/>
          <w:jc w:val="center"/>
        </w:trPr>
        <w:tc>
          <w:tcPr>
            <w:tcW w:w="1294" w:type="dxa"/>
            <w:tcBorders>
              <w:top w:val="nil"/>
              <w:left w:val="single" w:sz="8" w:space="0" w:color="auto"/>
              <w:bottom w:val="single" w:sz="8" w:space="0" w:color="auto"/>
              <w:right w:val="nil"/>
            </w:tcBorders>
            <w:shd w:val="clear" w:color="auto" w:fill="auto"/>
            <w:vAlign w:val="center"/>
            <w:hideMark/>
          </w:tcPr>
          <w:p w14:paraId="26ECCDE9" w14:textId="77777777" w:rsidR="004015D1" w:rsidRPr="0059512A" w:rsidRDefault="004015D1" w:rsidP="0059512A">
            <w:pPr>
              <w:keepNext/>
              <w:keepLines/>
              <w:widowControl/>
              <w:contextualSpacing/>
              <w:rPr>
                <w:b/>
                <w:bCs/>
                <w:color w:val="000000"/>
                <w:sz w:val="26"/>
                <w:szCs w:val="26"/>
              </w:rPr>
            </w:pPr>
            <w:r w:rsidRPr="0059512A">
              <w:rPr>
                <w:b/>
                <w:bCs/>
                <w:color w:val="000000"/>
                <w:sz w:val="26"/>
                <w:szCs w:val="26"/>
              </w:rPr>
              <w:t>OCA</w:t>
            </w:r>
          </w:p>
        </w:tc>
        <w:tc>
          <w:tcPr>
            <w:tcW w:w="1576" w:type="dxa"/>
            <w:tcBorders>
              <w:top w:val="nil"/>
              <w:left w:val="single" w:sz="8" w:space="0" w:color="auto"/>
              <w:bottom w:val="single" w:sz="8" w:space="0" w:color="auto"/>
              <w:right w:val="single" w:sz="8" w:space="0" w:color="auto"/>
            </w:tcBorders>
            <w:shd w:val="clear" w:color="auto" w:fill="auto"/>
            <w:vAlign w:val="center"/>
            <w:hideMark/>
          </w:tcPr>
          <w:p w14:paraId="65A43AEF" w14:textId="6C5D29F9" w:rsidR="004015D1" w:rsidRPr="0059512A" w:rsidRDefault="004015D1" w:rsidP="0059512A">
            <w:pPr>
              <w:keepNext/>
              <w:keepLines/>
              <w:widowControl/>
              <w:contextualSpacing/>
              <w:jc w:val="center"/>
              <w:rPr>
                <w:color w:val="000000"/>
                <w:sz w:val="26"/>
                <w:szCs w:val="26"/>
              </w:rPr>
            </w:pPr>
            <w:r w:rsidRPr="0059512A">
              <w:rPr>
                <w:color w:val="000000"/>
                <w:sz w:val="26"/>
                <w:szCs w:val="26"/>
              </w:rPr>
              <w:t>8.16 - 8.51%</w:t>
            </w:r>
          </w:p>
        </w:tc>
        <w:tc>
          <w:tcPr>
            <w:tcW w:w="2070" w:type="dxa"/>
            <w:gridSpan w:val="2"/>
            <w:tcBorders>
              <w:top w:val="nil"/>
              <w:left w:val="nil"/>
              <w:bottom w:val="single" w:sz="8" w:space="0" w:color="auto"/>
              <w:right w:val="single" w:sz="8" w:space="0" w:color="auto"/>
            </w:tcBorders>
            <w:shd w:val="clear" w:color="auto" w:fill="auto"/>
            <w:vAlign w:val="center"/>
            <w:hideMark/>
          </w:tcPr>
          <w:p w14:paraId="6875D41D" w14:textId="4A3CB546" w:rsidR="004015D1" w:rsidRPr="0059512A" w:rsidRDefault="004015D1" w:rsidP="0059512A">
            <w:pPr>
              <w:keepNext/>
              <w:keepLines/>
              <w:widowControl/>
              <w:contextualSpacing/>
              <w:jc w:val="center"/>
              <w:rPr>
                <w:color w:val="000000"/>
                <w:sz w:val="26"/>
                <w:szCs w:val="26"/>
              </w:rPr>
            </w:pPr>
            <w:r w:rsidRPr="0059512A">
              <w:rPr>
                <w:color w:val="000000"/>
                <w:sz w:val="26"/>
                <w:szCs w:val="26"/>
              </w:rPr>
              <w:t>8.76% - 8.92%</w:t>
            </w:r>
          </w:p>
        </w:tc>
        <w:tc>
          <w:tcPr>
            <w:tcW w:w="1260" w:type="dxa"/>
            <w:tcBorders>
              <w:top w:val="nil"/>
              <w:left w:val="nil"/>
              <w:bottom w:val="single" w:sz="8" w:space="0" w:color="auto"/>
              <w:right w:val="single" w:sz="4" w:space="0" w:color="auto"/>
            </w:tcBorders>
            <w:shd w:val="clear" w:color="auto" w:fill="auto"/>
            <w:vAlign w:val="center"/>
            <w:hideMark/>
          </w:tcPr>
          <w:p w14:paraId="0B574EF4" w14:textId="77777777" w:rsidR="004015D1" w:rsidRPr="0059512A" w:rsidRDefault="004015D1" w:rsidP="00F371E1">
            <w:pPr>
              <w:keepNext/>
              <w:keepLines/>
              <w:widowControl/>
              <w:contextualSpacing/>
              <w:jc w:val="center"/>
              <w:rPr>
                <w:color w:val="000000"/>
                <w:sz w:val="26"/>
                <w:szCs w:val="26"/>
              </w:rPr>
            </w:pPr>
          </w:p>
        </w:tc>
        <w:tc>
          <w:tcPr>
            <w:tcW w:w="1488" w:type="dxa"/>
            <w:tcBorders>
              <w:top w:val="single" w:sz="4" w:space="0" w:color="auto"/>
              <w:left w:val="single" w:sz="4" w:space="0" w:color="auto"/>
              <w:bottom w:val="single" w:sz="4" w:space="0" w:color="auto"/>
              <w:right w:val="single" w:sz="4" w:space="0" w:color="auto"/>
            </w:tcBorders>
          </w:tcPr>
          <w:p w14:paraId="4088E7B8" w14:textId="77777777" w:rsidR="004015D1" w:rsidRPr="0059512A" w:rsidRDefault="004015D1" w:rsidP="0059512A">
            <w:pPr>
              <w:keepNext/>
              <w:keepLines/>
              <w:widowControl/>
              <w:contextualSpacing/>
              <w:jc w:val="center"/>
              <w:rPr>
                <w:color w:val="000000"/>
                <w:sz w:val="26"/>
                <w:szCs w:val="26"/>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CA821" w14:textId="6D751A90" w:rsidR="004015D1" w:rsidRPr="0059512A" w:rsidRDefault="004015D1" w:rsidP="0059512A">
            <w:pPr>
              <w:keepNext/>
              <w:keepLines/>
              <w:widowControl/>
              <w:contextualSpacing/>
              <w:jc w:val="center"/>
              <w:rPr>
                <w:color w:val="000000"/>
                <w:sz w:val="26"/>
                <w:szCs w:val="26"/>
              </w:rPr>
            </w:pPr>
            <w:r w:rsidRPr="0059512A">
              <w:rPr>
                <w:color w:val="000000"/>
                <w:sz w:val="26"/>
                <w:szCs w:val="26"/>
              </w:rPr>
              <w:t>8.38%</w:t>
            </w:r>
            <w:r w:rsidRPr="0059512A">
              <w:rPr>
                <w:rStyle w:val="FootnoteReference"/>
                <w:color w:val="000000"/>
                <w:sz w:val="26"/>
                <w:szCs w:val="26"/>
              </w:rPr>
              <w:footnoteReference w:id="14"/>
            </w:r>
          </w:p>
        </w:tc>
      </w:tr>
    </w:tbl>
    <w:p w14:paraId="1BDB2EB9" w14:textId="77777777" w:rsidR="00123D21" w:rsidRPr="00F371E1" w:rsidRDefault="00123D21" w:rsidP="00F371E1">
      <w:pPr>
        <w:widowControl/>
        <w:spacing w:line="360" w:lineRule="auto"/>
        <w:rPr>
          <w:sz w:val="26"/>
          <w:szCs w:val="26"/>
        </w:rPr>
      </w:pPr>
    </w:p>
    <w:p w14:paraId="56AC651A" w14:textId="584BBCEF" w:rsidR="00123D21" w:rsidRDefault="00123D21" w:rsidP="0059512A">
      <w:pPr>
        <w:widowControl/>
        <w:spacing w:line="360" w:lineRule="auto"/>
        <w:ind w:firstLine="1440"/>
        <w:rPr>
          <w:sz w:val="26"/>
          <w:szCs w:val="26"/>
        </w:rPr>
      </w:pPr>
      <w:r w:rsidRPr="0059512A">
        <w:rPr>
          <w:sz w:val="26"/>
          <w:szCs w:val="26"/>
        </w:rPr>
        <w:t xml:space="preserve">As indicated in the table above, Citizens’ recommended a 10.30% ROE, which is based on its proposed capital structure of 49.33% long term debt and 50.67% common equity.  </w:t>
      </w:r>
    </w:p>
    <w:p w14:paraId="6C9C130F" w14:textId="77777777" w:rsidR="00780984" w:rsidRPr="0059512A" w:rsidRDefault="00780984" w:rsidP="0059512A">
      <w:pPr>
        <w:widowControl/>
        <w:spacing w:line="360" w:lineRule="auto"/>
        <w:ind w:firstLine="1440"/>
        <w:rPr>
          <w:sz w:val="26"/>
          <w:szCs w:val="26"/>
        </w:rPr>
      </w:pPr>
    </w:p>
    <w:p w14:paraId="309503AC" w14:textId="5650C495" w:rsidR="00123D21" w:rsidRPr="0059512A" w:rsidRDefault="00123D21" w:rsidP="0059512A">
      <w:pPr>
        <w:widowControl/>
        <w:spacing w:line="360" w:lineRule="auto"/>
        <w:ind w:firstLine="1440"/>
        <w:rPr>
          <w:sz w:val="26"/>
          <w:szCs w:val="26"/>
        </w:rPr>
      </w:pPr>
      <w:r w:rsidRPr="0059512A">
        <w:rPr>
          <w:sz w:val="26"/>
          <w:szCs w:val="26"/>
        </w:rPr>
        <w:t>The OCA recommended a fair overall rate of return of 6.64%, which includes an ROE of 8.38%.  The OCA stated the Company’s request on equity of 10.30% is inappropriate and should be rejected because it is in excess of objective assessment of investor market requirements in the current economic environment.  The OCA noted that its DCF analysis was checked by the CAPM.  OCA M.B. at 35-36.</w:t>
      </w:r>
    </w:p>
    <w:p w14:paraId="56BB9639" w14:textId="5437DC92" w:rsidR="00123D21" w:rsidRPr="0059512A" w:rsidRDefault="00123D21" w:rsidP="0059512A">
      <w:pPr>
        <w:widowControl/>
        <w:spacing w:line="360" w:lineRule="auto"/>
        <w:rPr>
          <w:sz w:val="26"/>
          <w:szCs w:val="26"/>
        </w:rPr>
      </w:pPr>
    </w:p>
    <w:p w14:paraId="22F731A6" w14:textId="15F15D09" w:rsidR="00123D21" w:rsidRPr="0059512A" w:rsidRDefault="00123D21" w:rsidP="0059512A">
      <w:pPr>
        <w:widowControl/>
        <w:spacing w:line="360" w:lineRule="auto"/>
        <w:ind w:firstLine="1440"/>
        <w:rPr>
          <w:sz w:val="26"/>
          <w:szCs w:val="26"/>
        </w:rPr>
      </w:pPr>
      <w:r w:rsidRPr="0059512A">
        <w:rPr>
          <w:sz w:val="26"/>
          <w:szCs w:val="26"/>
        </w:rPr>
        <w:t>I&amp;E recommended a 6.50% overall rate of return and an 8.10% ROE.  In addition, I&amp;E noted it used the DCF methodology and the CAPM method to verify the reasonableness of the DCF results.  I&amp;E M.B. at 27-28.</w:t>
      </w:r>
    </w:p>
    <w:p w14:paraId="7E15BCC1" w14:textId="77777777" w:rsidR="00123D21" w:rsidRPr="0059512A" w:rsidRDefault="00123D21" w:rsidP="0059512A">
      <w:pPr>
        <w:widowControl/>
        <w:spacing w:line="360" w:lineRule="auto"/>
        <w:rPr>
          <w:sz w:val="26"/>
          <w:szCs w:val="26"/>
        </w:rPr>
      </w:pPr>
    </w:p>
    <w:p w14:paraId="78B5E3FD" w14:textId="2B0A1120" w:rsidR="00123D21" w:rsidRPr="0059512A" w:rsidRDefault="00123D21" w:rsidP="0059512A">
      <w:pPr>
        <w:widowControl/>
        <w:spacing w:line="360" w:lineRule="auto"/>
        <w:ind w:firstLine="1440"/>
        <w:rPr>
          <w:sz w:val="26"/>
          <w:szCs w:val="26"/>
        </w:rPr>
      </w:pPr>
      <w:r w:rsidRPr="0059512A">
        <w:rPr>
          <w:sz w:val="26"/>
          <w:szCs w:val="26"/>
        </w:rPr>
        <w:t>The Company’s recommended 10.30% ROE is based on Citizens’ witness D’Ascendis applying several cost of common equity models (DCF, CAPM, and the</w:t>
      </w:r>
      <w:r w:rsidR="0054447E" w:rsidRPr="0059512A">
        <w:rPr>
          <w:sz w:val="26"/>
          <w:szCs w:val="26"/>
        </w:rPr>
        <w:t xml:space="preserve"> </w:t>
      </w:r>
      <w:r w:rsidRPr="0059512A">
        <w:rPr>
          <w:sz w:val="26"/>
          <w:szCs w:val="26"/>
        </w:rPr>
        <w:t xml:space="preserve">RPM) to the market data of the electric proxy group.  Further, Mr. D’Ascendis applied </w:t>
      </w:r>
      <w:r w:rsidRPr="0059512A">
        <w:rPr>
          <w:sz w:val="26"/>
          <w:szCs w:val="26"/>
        </w:rPr>
        <w:lastRenderedPageBreak/>
        <w:t>the DCF model, RPM, and the CAPM to domestic, non-price regulated entities comparable in total risk to the electric utility proxy groups (non-price regulated proxy groups).  The Company note</w:t>
      </w:r>
      <w:r w:rsidR="00855A26" w:rsidRPr="0059512A">
        <w:rPr>
          <w:sz w:val="26"/>
          <w:szCs w:val="26"/>
        </w:rPr>
        <w:t>d</w:t>
      </w:r>
      <w:r w:rsidRPr="0059512A">
        <w:rPr>
          <w:sz w:val="26"/>
          <w:szCs w:val="26"/>
        </w:rPr>
        <w:t xml:space="preserve"> that this “multiple models” approach is consistent with best practices supported by the Commission’s policy of relying primarily on the DCF but referencing other models to ensure the overall ROE recommendation is reasonable.  Citizens’ M.B. at 62-64 (citing Citizens’ St. 2 at 4-5).</w:t>
      </w:r>
      <w:r w:rsidRPr="0059512A">
        <w:rPr>
          <w:sz w:val="26"/>
          <w:szCs w:val="26"/>
          <w:vertAlign w:val="superscript"/>
        </w:rPr>
        <w:footnoteReference w:id="15"/>
      </w:r>
    </w:p>
    <w:p w14:paraId="21B1706B" w14:textId="01B541CF" w:rsidR="00123D21" w:rsidRPr="0059512A" w:rsidRDefault="00123D21" w:rsidP="0059512A">
      <w:pPr>
        <w:widowControl/>
        <w:spacing w:line="360" w:lineRule="auto"/>
        <w:rPr>
          <w:sz w:val="26"/>
          <w:szCs w:val="26"/>
        </w:rPr>
      </w:pPr>
    </w:p>
    <w:p w14:paraId="22F93DBC" w14:textId="77086534" w:rsidR="005A0926" w:rsidRPr="0059512A" w:rsidRDefault="005A0926" w:rsidP="0059512A">
      <w:pPr>
        <w:widowControl/>
        <w:spacing w:line="360" w:lineRule="auto"/>
        <w:ind w:firstLine="1440"/>
        <w:rPr>
          <w:sz w:val="26"/>
          <w:szCs w:val="26"/>
        </w:rPr>
      </w:pPr>
      <w:r w:rsidRPr="0059512A">
        <w:rPr>
          <w:sz w:val="26"/>
          <w:szCs w:val="26"/>
        </w:rPr>
        <w:t xml:space="preserve">Citizens’ presented the results derived from D’Ascendis’ methodology as Exh._(DWD-1R), Sch. 1R at 2.  Citizens’ St. 2 at 4-5.  </w:t>
      </w:r>
    </w:p>
    <w:p w14:paraId="181F6DEF" w14:textId="08C92EFD" w:rsidR="00B925D0" w:rsidRPr="0059512A" w:rsidRDefault="00B925D0" w:rsidP="0059512A">
      <w:pPr>
        <w:widowControl/>
        <w:spacing w:line="360" w:lineRule="auto"/>
        <w:ind w:firstLine="1440"/>
        <w:rPr>
          <w:sz w:val="26"/>
          <w:szCs w:val="26"/>
        </w:rPr>
      </w:pPr>
    </w:p>
    <w:p w14:paraId="5BB5C0A5" w14:textId="1BB55FB8" w:rsidR="00B925D0" w:rsidRPr="0059512A" w:rsidRDefault="00B925D0" w:rsidP="0059512A">
      <w:pPr>
        <w:widowControl/>
        <w:spacing w:line="360" w:lineRule="auto"/>
        <w:ind w:firstLine="1440"/>
        <w:contextualSpacing/>
        <w:rPr>
          <w:sz w:val="26"/>
          <w:szCs w:val="26"/>
        </w:rPr>
      </w:pPr>
      <w:r w:rsidRPr="0059512A">
        <w:rPr>
          <w:sz w:val="26"/>
          <w:szCs w:val="26"/>
        </w:rPr>
        <w:t>Citizens’ opined that in setting a utility’s ROE, it is important to utilize multiple models, because limiting the focus to any one model may result in understating the utility’s cost of equity.  Thus, in the Company’s view, the use of multiple models adds reliability to the estimation of the common equity cost rate.  According to Citizens’, the prudence of using multiple cost of common equity models is supported by both financial literature and regulatory precedent.  Therefore, in addition to the DCF and CAPM methods, Citizens’ proposed the use of two additional methods, outlined below.  Citizens’ M.B. at 73-76.</w:t>
      </w:r>
    </w:p>
    <w:p w14:paraId="1825E738" w14:textId="01240CDD" w:rsidR="00B925D0" w:rsidRPr="0059512A" w:rsidRDefault="00B925D0" w:rsidP="0059512A">
      <w:pPr>
        <w:widowControl/>
        <w:spacing w:line="360" w:lineRule="auto"/>
        <w:ind w:firstLine="1440"/>
        <w:contextualSpacing/>
        <w:rPr>
          <w:sz w:val="26"/>
          <w:szCs w:val="26"/>
        </w:rPr>
      </w:pPr>
    </w:p>
    <w:p w14:paraId="5F0E32A1" w14:textId="2236C603" w:rsidR="00B925D0" w:rsidRPr="0059512A" w:rsidRDefault="00B925D0" w:rsidP="0059512A">
      <w:pPr>
        <w:widowControl/>
        <w:spacing w:line="360" w:lineRule="auto"/>
        <w:ind w:firstLine="1440"/>
        <w:contextualSpacing/>
        <w:rPr>
          <w:sz w:val="26"/>
          <w:szCs w:val="26"/>
        </w:rPr>
      </w:pPr>
      <w:r w:rsidRPr="0059512A">
        <w:rPr>
          <w:sz w:val="26"/>
          <w:szCs w:val="26"/>
        </w:rPr>
        <w:t xml:space="preserve">In addition to using the DCF and CAPM models, Citizens’ conducted a risk premium (RP) analysis.  Citizens’ argued that an RP analysis seeks to quantify the additional ROE demanded by investors to account for the greater equity investment risk as compared to debt capital.  Citizens’ stated that under an RP analysis, the cost of common equity equals the expected cost rate for long-term capital, plus a risk premium over that cost rate, to compensate common shareholders for the added risk of being unsecured and last-in-line for any claim on the corporation's assets and earnings upon </w:t>
      </w:r>
      <w:r w:rsidRPr="0059512A">
        <w:rPr>
          <w:sz w:val="26"/>
          <w:szCs w:val="26"/>
        </w:rPr>
        <w:lastRenderedPageBreak/>
        <w:t>liquidation.  Citizens’ explained that its RP analysis averaged the results of two analyses.  The first analysis was the Predictive Risk Premium Model (PRPM), which directly estimates the risk premium for equity capital investment based on an evaluation of the actual variance between historical equity risk premiums.  The second analysis was the total market RP approach, which relies on known metrics to develop prospective RP model cost rates.  Citizens’ determined a PRPM cost rate of 9.</w:t>
      </w:r>
      <w:r w:rsidR="00F022CF" w:rsidRPr="0059512A">
        <w:rPr>
          <w:sz w:val="26"/>
          <w:szCs w:val="26"/>
        </w:rPr>
        <w:t>69</w:t>
      </w:r>
      <w:r w:rsidRPr="0059512A">
        <w:rPr>
          <w:sz w:val="26"/>
          <w:szCs w:val="26"/>
        </w:rPr>
        <w:t>% for its proxy group, and a total market RP cost rate of 9.4</w:t>
      </w:r>
      <w:r w:rsidR="00F022CF" w:rsidRPr="0059512A">
        <w:rPr>
          <w:sz w:val="26"/>
          <w:szCs w:val="26"/>
        </w:rPr>
        <w:t>4</w:t>
      </w:r>
      <w:r w:rsidRPr="0059512A">
        <w:rPr>
          <w:sz w:val="26"/>
          <w:szCs w:val="26"/>
        </w:rPr>
        <w:t>%, for a combined RP cost of capital of 9.</w:t>
      </w:r>
      <w:r w:rsidR="00F022CF" w:rsidRPr="0059512A">
        <w:rPr>
          <w:sz w:val="26"/>
          <w:szCs w:val="26"/>
        </w:rPr>
        <w:t>57</w:t>
      </w:r>
      <w:r w:rsidRPr="0059512A">
        <w:rPr>
          <w:sz w:val="26"/>
          <w:szCs w:val="26"/>
        </w:rPr>
        <w:t xml:space="preserve">%.  </w:t>
      </w:r>
      <w:r w:rsidR="00F022CF" w:rsidRPr="0059512A">
        <w:rPr>
          <w:sz w:val="26"/>
          <w:szCs w:val="26"/>
        </w:rPr>
        <w:t>Citizens’</w:t>
      </w:r>
      <w:r w:rsidRPr="0059512A">
        <w:rPr>
          <w:sz w:val="26"/>
          <w:szCs w:val="26"/>
        </w:rPr>
        <w:t xml:space="preserve"> M.B. at </w:t>
      </w:r>
      <w:r w:rsidR="00F022CF" w:rsidRPr="0059512A">
        <w:rPr>
          <w:sz w:val="26"/>
          <w:szCs w:val="26"/>
        </w:rPr>
        <w:t>67-68</w:t>
      </w:r>
      <w:r w:rsidRPr="0059512A">
        <w:rPr>
          <w:sz w:val="26"/>
          <w:szCs w:val="26"/>
        </w:rPr>
        <w:t xml:space="preserve">; </w:t>
      </w:r>
      <w:r w:rsidR="00F022CF" w:rsidRPr="0059512A">
        <w:rPr>
          <w:sz w:val="26"/>
          <w:szCs w:val="26"/>
        </w:rPr>
        <w:t>Citizens’</w:t>
      </w:r>
      <w:r w:rsidRPr="0059512A">
        <w:rPr>
          <w:sz w:val="26"/>
          <w:szCs w:val="26"/>
        </w:rPr>
        <w:t xml:space="preserve"> St. 2-R, Exhibit _DWD-1R, Sch. DWD-1R at </w:t>
      </w:r>
      <w:r w:rsidR="00F022CF" w:rsidRPr="0059512A">
        <w:rPr>
          <w:sz w:val="26"/>
          <w:szCs w:val="26"/>
        </w:rPr>
        <w:t>27</w:t>
      </w:r>
      <w:r w:rsidRPr="0059512A">
        <w:rPr>
          <w:sz w:val="26"/>
          <w:szCs w:val="26"/>
        </w:rPr>
        <w:t>.</w:t>
      </w:r>
    </w:p>
    <w:p w14:paraId="291C4620" w14:textId="420D865A" w:rsidR="00B925D0" w:rsidRPr="0059512A" w:rsidRDefault="00B925D0" w:rsidP="0059512A">
      <w:pPr>
        <w:widowControl/>
        <w:spacing w:line="360" w:lineRule="auto"/>
        <w:ind w:firstLine="1440"/>
        <w:rPr>
          <w:sz w:val="26"/>
          <w:szCs w:val="26"/>
        </w:rPr>
      </w:pPr>
    </w:p>
    <w:p w14:paraId="103AEDE3" w14:textId="3ED66CA7" w:rsidR="00EC0F06" w:rsidRPr="0059512A" w:rsidRDefault="00EC0F06" w:rsidP="0059512A">
      <w:pPr>
        <w:widowControl/>
        <w:spacing w:line="360" w:lineRule="auto"/>
        <w:ind w:firstLine="1440"/>
        <w:rPr>
          <w:sz w:val="26"/>
          <w:szCs w:val="26"/>
        </w:rPr>
      </w:pPr>
      <w:r w:rsidRPr="0059512A">
        <w:rPr>
          <w:sz w:val="26"/>
          <w:szCs w:val="26"/>
        </w:rPr>
        <w:t xml:space="preserve">Citizens’ also conducted a CE analysis in which it calculated equity cost rates based on the application of the above-referenced DCF, RP, and CAPM models to a proxy group of domestic, non-price regulated companies.  Citizens’ reasoned that this CE method provides a valuable indicator of anticipated investor returns for public utilities.  Citizens’ opined that, because the purpose of rate regulation is to be a substitute for marketplace competition, non-price regulated firms operating in the competitive marketplace make an excellent proxy, </w:t>
      </w:r>
      <w:r w:rsidRPr="0059512A">
        <w:rPr>
          <w:iCs/>
          <w:sz w:val="26"/>
          <w:szCs w:val="26"/>
        </w:rPr>
        <w:t>if they are comparable in total risk to the gas proxy group</w:t>
      </w:r>
      <w:r w:rsidRPr="0059512A">
        <w:rPr>
          <w:i/>
          <w:sz w:val="26"/>
          <w:szCs w:val="26"/>
        </w:rPr>
        <w:t xml:space="preserve"> </w:t>
      </w:r>
      <w:r w:rsidRPr="0059512A">
        <w:rPr>
          <w:sz w:val="26"/>
          <w:szCs w:val="26"/>
        </w:rPr>
        <w:t>being used to estimate the cost of common equity.  Therefore, Citizens’ alleged that this information is relevant to the Commission's consideration of an appropriate ROE for the Company.  Citizens’ explained that applying its DCF, RPM, and CAPM analyses to its non-price regulated proxy group resulted in a CE cost of common equity of 9.</w:t>
      </w:r>
      <w:r w:rsidR="004405B3" w:rsidRPr="0059512A">
        <w:rPr>
          <w:sz w:val="26"/>
          <w:szCs w:val="26"/>
        </w:rPr>
        <w:t>43</w:t>
      </w:r>
      <w:r w:rsidRPr="0059512A">
        <w:rPr>
          <w:sz w:val="26"/>
          <w:szCs w:val="26"/>
        </w:rPr>
        <w:t xml:space="preserve">%.  Citizens’ M.B. at </w:t>
      </w:r>
      <w:r w:rsidR="004405B3" w:rsidRPr="0059512A">
        <w:rPr>
          <w:sz w:val="26"/>
          <w:szCs w:val="26"/>
        </w:rPr>
        <w:t>69-72</w:t>
      </w:r>
      <w:r w:rsidRPr="0059512A">
        <w:rPr>
          <w:sz w:val="26"/>
          <w:szCs w:val="26"/>
        </w:rPr>
        <w:t>.</w:t>
      </w:r>
    </w:p>
    <w:p w14:paraId="1BE7FD7E" w14:textId="567C59C8" w:rsidR="00B925D0" w:rsidRPr="0059512A" w:rsidRDefault="00B925D0" w:rsidP="0059512A">
      <w:pPr>
        <w:widowControl/>
        <w:spacing w:line="360" w:lineRule="auto"/>
        <w:ind w:firstLine="1440"/>
        <w:rPr>
          <w:sz w:val="26"/>
          <w:szCs w:val="26"/>
        </w:rPr>
      </w:pPr>
    </w:p>
    <w:p w14:paraId="1096BAF7" w14:textId="05B760B7" w:rsidR="004405B3" w:rsidRPr="0059512A" w:rsidRDefault="004405B3" w:rsidP="0059512A">
      <w:pPr>
        <w:widowControl/>
        <w:spacing w:line="360" w:lineRule="auto"/>
        <w:ind w:firstLine="1440"/>
        <w:contextualSpacing/>
        <w:rPr>
          <w:sz w:val="26"/>
          <w:szCs w:val="26"/>
        </w:rPr>
      </w:pPr>
      <w:r w:rsidRPr="0059512A">
        <w:rPr>
          <w:sz w:val="26"/>
          <w:szCs w:val="26"/>
        </w:rPr>
        <w:t>The OCA also utilized an RP</w:t>
      </w:r>
      <w:r w:rsidR="000F7C29" w:rsidRPr="0059512A">
        <w:rPr>
          <w:sz w:val="26"/>
          <w:szCs w:val="26"/>
        </w:rPr>
        <w:t>M</w:t>
      </w:r>
      <w:r w:rsidRPr="0059512A">
        <w:rPr>
          <w:sz w:val="26"/>
          <w:szCs w:val="26"/>
        </w:rPr>
        <w:t xml:space="preserve"> and explained that the basic RP model consists of a bond yield plus a risk premium.  The OCA submitted that, while the RPM, like the CAPM, has limitations when compared to the use of the DCF model, the RPM, nonetheless, provides an additional secondary method reasonableness measure in comparison to the DCF results.  As previously noted, the OCA combined its CAPM and RPM analyses and determined a CAPM/RPM median of 8.76% and average of 8.92%, </w:t>
      </w:r>
      <w:r w:rsidRPr="0059512A">
        <w:rPr>
          <w:sz w:val="26"/>
          <w:szCs w:val="26"/>
        </w:rPr>
        <w:lastRenderedPageBreak/>
        <w:t>which, it asserted, confirms the validity of the OCA’s DCF results, because they provide upper limits not to be exceeded.  OCA M.B. at 51-54.</w:t>
      </w:r>
    </w:p>
    <w:p w14:paraId="018F4E88" w14:textId="77777777" w:rsidR="004405B3" w:rsidRPr="0059512A" w:rsidRDefault="004405B3" w:rsidP="0059512A">
      <w:pPr>
        <w:widowControl/>
        <w:spacing w:line="360" w:lineRule="auto"/>
        <w:ind w:firstLine="1440"/>
        <w:contextualSpacing/>
        <w:rPr>
          <w:sz w:val="26"/>
          <w:szCs w:val="26"/>
        </w:rPr>
      </w:pPr>
    </w:p>
    <w:p w14:paraId="71C45EBE" w14:textId="16D308F9" w:rsidR="004405B3" w:rsidRPr="0059512A" w:rsidRDefault="004405B3" w:rsidP="0059512A">
      <w:pPr>
        <w:widowControl/>
        <w:spacing w:line="360" w:lineRule="auto"/>
        <w:ind w:firstLine="1440"/>
        <w:contextualSpacing/>
        <w:rPr>
          <w:sz w:val="26"/>
          <w:szCs w:val="26"/>
        </w:rPr>
      </w:pPr>
      <w:r w:rsidRPr="0059512A">
        <w:rPr>
          <w:sz w:val="26"/>
          <w:szCs w:val="26"/>
        </w:rPr>
        <w:t xml:space="preserve">The OCA opposed the Company’s use of the CE method.  The OCA submitted that, contrary to the Company’s assertions, the Company’s proxy group of non-price regulated companies is not similar in risk to its proxy group of </w:t>
      </w:r>
      <w:r w:rsidR="006E2732" w:rsidRPr="0059512A">
        <w:rPr>
          <w:sz w:val="26"/>
          <w:szCs w:val="26"/>
        </w:rPr>
        <w:t>electric</w:t>
      </w:r>
      <w:r w:rsidRPr="0059512A">
        <w:rPr>
          <w:sz w:val="26"/>
          <w:szCs w:val="26"/>
        </w:rPr>
        <w:t xml:space="preserve"> utilities.  Rather, the OCA alleged that the common equity cost estimates for Citizens’ non-price regulated proxy group is systematically higher than its utility common equity cost estimates by 66 to 208 basis points.  As such, the OCA submitted that non-price regulated proxy group results should be given no weight in determining the Company’s allowed ROE.  OCA M.B. at 58.</w:t>
      </w:r>
    </w:p>
    <w:p w14:paraId="157386BA" w14:textId="77777777" w:rsidR="004405B3" w:rsidRPr="0059512A" w:rsidRDefault="004405B3" w:rsidP="0059512A">
      <w:pPr>
        <w:widowControl/>
        <w:spacing w:line="360" w:lineRule="auto"/>
        <w:ind w:firstLine="1440"/>
        <w:contextualSpacing/>
        <w:rPr>
          <w:sz w:val="26"/>
          <w:szCs w:val="26"/>
        </w:rPr>
      </w:pPr>
    </w:p>
    <w:p w14:paraId="0C045B93" w14:textId="3BAD062F" w:rsidR="004405B3" w:rsidRPr="0059512A" w:rsidRDefault="004405B3" w:rsidP="0059512A">
      <w:pPr>
        <w:widowControl/>
        <w:spacing w:line="360" w:lineRule="auto"/>
        <w:ind w:firstLine="1440"/>
        <w:contextualSpacing/>
        <w:rPr>
          <w:sz w:val="26"/>
          <w:szCs w:val="26"/>
        </w:rPr>
      </w:pPr>
      <w:r w:rsidRPr="0059512A">
        <w:rPr>
          <w:sz w:val="26"/>
          <w:szCs w:val="26"/>
        </w:rPr>
        <w:t>I&amp;E opposed both the use of the RPM and the CE method.  I&amp;E claimed that the RPM is a simplified version of the CAPM.  Therefore, I&amp;E took the position that, in addition to posing the same pitfalls as the CAPM,</w:t>
      </w:r>
      <w:r w:rsidRPr="0059512A">
        <w:rPr>
          <w:i/>
          <w:iCs/>
          <w:sz w:val="26"/>
          <w:szCs w:val="26"/>
        </w:rPr>
        <w:t xml:space="preserve"> </w:t>
      </w:r>
      <w:r w:rsidRPr="0059512A">
        <w:rPr>
          <w:sz w:val="26"/>
          <w:szCs w:val="26"/>
        </w:rPr>
        <w:t xml:space="preserve">the RPM does not recognize company-specific risk through beta.  With regard to the CE method, I&amp;E argued that determining which non-regulated companies are comparable in risk to </w:t>
      </w:r>
      <w:r w:rsidR="006E2732" w:rsidRPr="0059512A">
        <w:rPr>
          <w:sz w:val="26"/>
          <w:szCs w:val="26"/>
        </w:rPr>
        <w:t>electric</w:t>
      </w:r>
      <w:r w:rsidRPr="0059512A">
        <w:rPr>
          <w:sz w:val="26"/>
          <w:szCs w:val="26"/>
        </w:rPr>
        <w:t xml:space="preserve"> utilities is subjective, and that it is debatable whether historic accounting values are representative of the future.  I&amp;E claimed that, because the Commission has long recognized this problem, the historic usage of the CE method in this regulatory forum has been minima1.  I&amp;E M.B. at </w:t>
      </w:r>
      <w:r w:rsidR="006E2732" w:rsidRPr="0059512A">
        <w:rPr>
          <w:sz w:val="26"/>
          <w:szCs w:val="26"/>
        </w:rPr>
        <w:t>39</w:t>
      </w:r>
      <w:r w:rsidRPr="0059512A">
        <w:rPr>
          <w:sz w:val="26"/>
          <w:szCs w:val="26"/>
        </w:rPr>
        <w:t>.</w:t>
      </w:r>
    </w:p>
    <w:p w14:paraId="21AA51C8" w14:textId="1E102640" w:rsidR="005A0926" w:rsidRPr="0059512A" w:rsidRDefault="005A0926" w:rsidP="0059512A">
      <w:pPr>
        <w:widowControl/>
        <w:spacing w:line="360" w:lineRule="auto"/>
        <w:rPr>
          <w:sz w:val="26"/>
          <w:szCs w:val="26"/>
        </w:rPr>
      </w:pPr>
    </w:p>
    <w:p w14:paraId="3E2A9A2C" w14:textId="77777777" w:rsidR="001B0107" w:rsidRPr="0059512A" w:rsidRDefault="001B0107" w:rsidP="0059512A">
      <w:pPr>
        <w:pStyle w:val="ListParagraph"/>
        <w:keepNext/>
        <w:widowControl/>
        <w:spacing w:line="360" w:lineRule="auto"/>
        <w:ind w:left="2160" w:hanging="720"/>
        <w:rPr>
          <w:b/>
          <w:bCs/>
          <w:sz w:val="26"/>
          <w:szCs w:val="26"/>
        </w:rPr>
      </w:pPr>
      <w:r w:rsidRPr="0059512A">
        <w:rPr>
          <w:b/>
          <w:bCs/>
          <w:sz w:val="26"/>
          <w:szCs w:val="26"/>
        </w:rPr>
        <w:t>b.</w:t>
      </w:r>
      <w:r w:rsidRPr="0059512A">
        <w:rPr>
          <w:b/>
          <w:bCs/>
          <w:sz w:val="26"/>
          <w:szCs w:val="26"/>
        </w:rPr>
        <w:tab/>
        <w:t>Recommended Decision</w:t>
      </w:r>
    </w:p>
    <w:p w14:paraId="6C981F64" w14:textId="77777777" w:rsidR="005A0926" w:rsidRPr="0059512A" w:rsidRDefault="005A0926" w:rsidP="0059512A">
      <w:pPr>
        <w:keepNext/>
        <w:widowControl/>
        <w:spacing w:line="360" w:lineRule="auto"/>
        <w:rPr>
          <w:sz w:val="26"/>
          <w:szCs w:val="26"/>
        </w:rPr>
      </w:pPr>
    </w:p>
    <w:p w14:paraId="40057AE1" w14:textId="5EE2030D" w:rsidR="00123D21" w:rsidRPr="0059512A" w:rsidRDefault="001B0107" w:rsidP="0059512A">
      <w:pPr>
        <w:keepNext/>
        <w:widowControl/>
        <w:spacing w:line="360" w:lineRule="auto"/>
        <w:ind w:firstLine="1440"/>
        <w:rPr>
          <w:sz w:val="26"/>
          <w:szCs w:val="26"/>
        </w:rPr>
      </w:pPr>
      <w:r w:rsidRPr="0059512A">
        <w:rPr>
          <w:sz w:val="26"/>
          <w:szCs w:val="26"/>
        </w:rPr>
        <w:t xml:space="preserve">The ALJs agreed with the recommendation of I&amp;E and the OCA that the DCF and CAPM models are the preferred models to determine an appropriate cost of common equity and did not see a reason to deviate from those methods.  The ALJs referenced the Commission’s reliance on the DCF model in a prior proceeding.  Specifically, in </w:t>
      </w:r>
      <w:r w:rsidRPr="0059512A">
        <w:rPr>
          <w:i/>
          <w:iCs/>
          <w:sz w:val="26"/>
          <w:szCs w:val="26"/>
        </w:rPr>
        <w:t>Pa. PUC v. PPL Electric Utilities Corporation</w:t>
      </w:r>
      <w:r w:rsidRPr="000666DF">
        <w:rPr>
          <w:iCs/>
          <w:sz w:val="26"/>
          <w:szCs w:val="26"/>
        </w:rPr>
        <w:t>,</w:t>
      </w:r>
      <w:r w:rsidRPr="0059512A">
        <w:rPr>
          <w:i/>
          <w:sz w:val="26"/>
          <w:szCs w:val="26"/>
        </w:rPr>
        <w:t xml:space="preserve"> </w:t>
      </w:r>
      <w:r w:rsidRPr="0059512A">
        <w:rPr>
          <w:iCs/>
          <w:sz w:val="26"/>
          <w:szCs w:val="26"/>
        </w:rPr>
        <w:t xml:space="preserve">Docket No. </w:t>
      </w:r>
      <w:r w:rsidRPr="0059512A">
        <w:rPr>
          <w:iCs/>
          <w:sz w:val="26"/>
          <w:szCs w:val="26"/>
        </w:rPr>
        <w:lastRenderedPageBreak/>
        <w:t>R</w:t>
      </w:r>
      <w:r w:rsidR="000666DF">
        <w:rPr>
          <w:iCs/>
          <w:sz w:val="26"/>
          <w:szCs w:val="26"/>
        </w:rPr>
        <w:noBreakHyphen/>
      </w:r>
      <w:r w:rsidRPr="0059512A">
        <w:rPr>
          <w:iCs/>
          <w:sz w:val="26"/>
          <w:szCs w:val="26"/>
        </w:rPr>
        <w:t>2012</w:t>
      </w:r>
      <w:r w:rsidR="000666DF">
        <w:rPr>
          <w:iCs/>
          <w:sz w:val="26"/>
          <w:szCs w:val="26"/>
        </w:rPr>
        <w:noBreakHyphen/>
      </w:r>
      <w:r w:rsidRPr="0059512A">
        <w:rPr>
          <w:iCs/>
          <w:sz w:val="26"/>
          <w:szCs w:val="26"/>
        </w:rPr>
        <w:t>2290597 (Order entered December 28, 2012) (</w:t>
      </w:r>
      <w:r w:rsidR="004C2E92" w:rsidRPr="0059512A">
        <w:rPr>
          <w:i/>
          <w:sz w:val="26"/>
          <w:szCs w:val="26"/>
        </w:rPr>
        <w:t xml:space="preserve">2012 </w:t>
      </w:r>
      <w:r w:rsidRPr="0059512A">
        <w:rPr>
          <w:i/>
          <w:iCs/>
          <w:sz w:val="26"/>
          <w:szCs w:val="26"/>
        </w:rPr>
        <w:t>PPL Order</w:t>
      </w:r>
      <w:r w:rsidRPr="0059512A">
        <w:rPr>
          <w:iCs/>
          <w:sz w:val="26"/>
          <w:szCs w:val="26"/>
        </w:rPr>
        <w:t>)</w:t>
      </w:r>
      <w:r w:rsidR="005A13D1" w:rsidRPr="0059512A">
        <w:rPr>
          <w:iCs/>
          <w:sz w:val="26"/>
          <w:szCs w:val="26"/>
        </w:rPr>
        <w:t>,</w:t>
      </w:r>
      <w:r w:rsidRPr="0059512A">
        <w:rPr>
          <w:i/>
          <w:sz w:val="26"/>
          <w:szCs w:val="26"/>
        </w:rPr>
        <w:t xml:space="preserve"> </w:t>
      </w:r>
      <w:r w:rsidRPr="0059512A">
        <w:rPr>
          <w:sz w:val="26"/>
          <w:szCs w:val="26"/>
        </w:rPr>
        <w:t xml:space="preserve">the Commission explained that the DCF method applied to a barometer group of similar utility companies has historically been the primary determinant to estimate the cost of equity.  Further, the Commission stated the DCF model assumes that the market price of a stock is the present value of the future benefits of holding the stock, and these benefits are the future cash flows of holding the stock.  Therefore, the Commission determined that because dollars received in the future are worth less than present day dollars, the cash flow must be “discounted” back to the present value at the investors rate of return.  R.D. at 51-52 (citing </w:t>
      </w:r>
      <w:r w:rsidR="004C2E92" w:rsidRPr="0059512A">
        <w:rPr>
          <w:i/>
          <w:iCs/>
          <w:sz w:val="26"/>
          <w:szCs w:val="26"/>
        </w:rPr>
        <w:t>2012</w:t>
      </w:r>
      <w:r w:rsidR="004C2E92" w:rsidRPr="0059512A">
        <w:rPr>
          <w:sz w:val="26"/>
          <w:szCs w:val="26"/>
        </w:rPr>
        <w:t xml:space="preserve"> </w:t>
      </w:r>
      <w:r w:rsidRPr="0059512A">
        <w:rPr>
          <w:i/>
          <w:iCs/>
          <w:sz w:val="26"/>
          <w:szCs w:val="26"/>
        </w:rPr>
        <w:t xml:space="preserve">PPL Order </w:t>
      </w:r>
      <w:r w:rsidRPr="0059512A">
        <w:rPr>
          <w:sz w:val="26"/>
          <w:szCs w:val="26"/>
        </w:rPr>
        <w:t>at 96-97).</w:t>
      </w:r>
    </w:p>
    <w:p w14:paraId="7E9A36A3" w14:textId="23225978" w:rsidR="001B0107" w:rsidRPr="0059512A" w:rsidRDefault="001B0107" w:rsidP="0059512A">
      <w:pPr>
        <w:widowControl/>
        <w:spacing w:line="360" w:lineRule="auto"/>
        <w:rPr>
          <w:sz w:val="26"/>
          <w:szCs w:val="26"/>
        </w:rPr>
      </w:pPr>
    </w:p>
    <w:p w14:paraId="133F2539" w14:textId="2FD3D67E" w:rsidR="00A76FD8" w:rsidRPr="0059512A" w:rsidRDefault="00A76FD8" w:rsidP="0059512A">
      <w:pPr>
        <w:widowControl/>
        <w:spacing w:line="360" w:lineRule="auto"/>
        <w:ind w:firstLine="1440"/>
        <w:rPr>
          <w:sz w:val="26"/>
          <w:szCs w:val="26"/>
        </w:rPr>
      </w:pPr>
      <w:r w:rsidRPr="0059512A">
        <w:rPr>
          <w:sz w:val="26"/>
          <w:szCs w:val="26"/>
        </w:rPr>
        <w:t xml:space="preserve">The ALJs further referenced a more recent proceeding that relied on the DCF method and denied giving equal weight to other methods.  In </w:t>
      </w:r>
      <w:r w:rsidRPr="0059512A">
        <w:rPr>
          <w:iCs/>
          <w:sz w:val="26"/>
          <w:szCs w:val="26"/>
        </w:rPr>
        <w:t>the</w:t>
      </w:r>
      <w:r w:rsidRPr="0059512A">
        <w:rPr>
          <w:i/>
          <w:sz w:val="26"/>
          <w:szCs w:val="26"/>
        </w:rPr>
        <w:t xml:space="preserve"> UGI Order</w:t>
      </w:r>
      <w:r w:rsidRPr="0059512A">
        <w:rPr>
          <w:sz w:val="26"/>
          <w:szCs w:val="26"/>
        </w:rPr>
        <w:t xml:space="preserve">, the ALJs adopted the positions of I&amp;E and the OCA that the DCF method should be the primary method used to determine the cost of common equity, and that the results of the CAPM should be used for comparative purposes with the DCF results.  Similar to the proceeding for the </w:t>
      </w:r>
      <w:r w:rsidRPr="0059512A">
        <w:rPr>
          <w:i/>
          <w:iCs/>
          <w:sz w:val="26"/>
          <w:szCs w:val="26"/>
        </w:rPr>
        <w:t>UGI Order</w:t>
      </w:r>
      <w:r w:rsidRPr="0059512A">
        <w:rPr>
          <w:sz w:val="26"/>
          <w:szCs w:val="26"/>
        </w:rPr>
        <w:t xml:space="preserve">, the ALJs in the instant proceeding did not see a reason to deviate from the historical, preferred methodology.  R.D. at 52 (citing </w:t>
      </w:r>
      <w:r w:rsidRPr="0059512A">
        <w:rPr>
          <w:i/>
          <w:iCs/>
          <w:sz w:val="26"/>
          <w:szCs w:val="26"/>
        </w:rPr>
        <w:t xml:space="preserve">UGI Order </w:t>
      </w:r>
      <w:r w:rsidRPr="0059512A">
        <w:rPr>
          <w:sz w:val="26"/>
          <w:szCs w:val="26"/>
        </w:rPr>
        <w:t>at</w:t>
      </w:r>
      <w:r w:rsidR="003972FD" w:rsidRPr="0059512A">
        <w:rPr>
          <w:sz w:val="26"/>
          <w:szCs w:val="26"/>
        </w:rPr>
        <w:t> </w:t>
      </w:r>
      <w:r w:rsidRPr="0059512A">
        <w:rPr>
          <w:sz w:val="26"/>
          <w:szCs w:val="26"/>
        </w:rPr>
        <w:t>103</w:t>
      </w:r>
      <w:r w:rsidR="003972FD" w:rsidRPr="0059512A">
        <w:rPr>
          <w:sz w:val="26"/>
          <w:szCs w:val="26"/>
        </w:rPr>
        <w:noBreakHyphen/>
      </w:r>
      <w:r w:rsidRPr="0059512A">
        <w:rPr>
          <w:sz w:val="26"/>
          <w:szCs w:val="26"/>
        </w:rPr>
        <w:t xml:space="preserve">106).  </w:t>
      </w:r>
    </w:p>
    <w:p w14:paraId="77CF03FE" w14:textId="77777777" w:rsidR="00A76FD8" w:rsidRPr="0059512A" w:rsidRDefault="00A76FD8" w:rsidP="0059512A">
      <w:pPr>
        <w:widowControl/>
        <w:spacing w:line="360" w:lineRule="auto"/>
        <w:rPr>
          <w:sz w:val="26"/>
          <w:szCs w:val="26"/>
        </w:rPr>
      </w:pPr>
    </w:p>
    <w:p w14:paraId="6777FC67" w14:textId="77777777" w:rsidR="003928DC" w:rsidRPr="0059512A" w:rsidRDefault="003928DC" w:rsidP="00780984">
      <w:pPr>
        <w:pStyle w:val="ListParagraph"/>
        <w:widowControl/>
        <w:spacing w:line="360" w:lineRule="auto"/>
        <w:ind w:left="2160" w:hanging="720"/>
        <w:rPr>
          <w:b/>
          <w:bCs/>
          <w:sz w:val="26"/>
          <w:szCs w:val="26"/>
        </w:rPr>
      </w:pPr>
      <w:r w:rsidRPr="0059512A">
        <w:rPr>
          <w:b/>
          <w:bCs/>
          <w:sz w:val="26"/>
          <w:szCs w:val="26"/>
        </w:rPr>
        <w:t>c.</w:t>
      </w:r>
      <w:r w:rsidRPr="0059512A">
        <w:rPr>
          <w:b/>
          <w:bCs/>
          <w:sz w:val="26"/>
          <w:szCs w:val="26"/>
        </w:rPr>
        <w:tab/>
        <w:t>Exceptions and Replies</w:t>
      </w:r>
    </w:p>
    <w:p w14:paraId="11967108" w14:textId="1D2C1613" w:rsidR="001B0107" w:rsidRPr="0059512A" w:rsidRDefault="001B0107" w:rsidP="00780984">
      <w:pPr>
        <w:widowControl/>
        <w:spacing w:line="360" w:lineRule="auto"/>
        <w:rPr>
          <w:sz w:val="26"/>
          <w:szCs w:val="26"/>
        </w:rPr>
      </w:pPr>
    </w:p>
    <w:p w14:paraId="69035C65" w14:textId="66C4C56A" w:rsidR="00F7601A" w:rsidRPr="0059512A" w:rsidRDefault="00F7601A" w:rsidP="00780984">
      <w:pPr>
        <w:widowControl/>
        <w:spacing w:line="360" w:lineRule="auto"/>
        <w:ind w:firstLine="1440"/>
        <w:rPr>
          <w:sz w:val="26"/>
          <w:szCs w:val="26"/>
        </w:rPr>
      </w:pPr>
      <w:r w:rsidRPr="0059512A">
        <w:rPr>
          <w:sz w:val="26"/>
          <w:szCs w:val="26"/>
        </w:rPr>
        <w:t>In its Exception</w:t>
      </w:r>
      <w:r w:rsidR="00855A26" w:rsidRPr="0059512A">
        <w:rPr>
          <w:sz w:val="26"/>
          <w:szCs w:val="26"/>
        </w:rPr>
        <w:t xml:space="preserve"> No. 9</w:t>
      </w:r>
      <w:r w:rsidRPr="0059512A">
        <w:rPr>
          <w:sz w:val="26"/>
          <w:szCs w:val="26"/>
        </w:rPr>
        <w:t>, Citizens’ argues that in developing a</w:t>
      </w:r>
      <w:r w:rsidR="004D1944">
        <w:rPr>
          <w:sz w:val="26"/>
          <w:szCs w:val="26"/>
        </w:rPr>
        <w:t>n</w:t>
      </w:r>
      <w:r w:rsidRPr="0059512A">
        <w:rPr>
          <w:sz w:val="26"/>
          <w:szCs w:val="26"/>
        </w:rPr>
        <w:t xml:space="preserve"> ROE that is based solely on the Company’s DCF analysis, the ALJs erred in declining to consider multiple methods to determine the appropriate ROE for the Company.  According to Citizens’, the record in this proceeding presents evidence regarding market-to-book (M/B) ratios that demonstrates solely relying on DCF results in the current market environment will understate the appropriate rate of return for the Company by more than 100-basis points.  The Company believes that the Commission should incorporate the </w:t>
      </w:r>
      <w:r w:rsidRPr="0059512A">
        <w:rPr>
          <w:sz w:val="26"/>
          <w:szCs w:val="26"/>
        </w:rPr>
        <w:lastRenderedPageBreak/>
        <w:t>multiple evidence models presented by Company witness D’Ascendis in determining Citizens appropriate ROE.  Citizens’ Exc. at 18-22.</w:t>
      </w:r>
    </w:p>
    <w:p w14:paraId="40FC83E1" w14:textId="77777777" w:rsidR="00F7601A" w:rsidRPr="0059512A" w:rsidRDefault="00F7601A" w:rsidP="0059512A">
      <w:pPr>
        <w:widowControl/>
        <w:spacing w:line="360" w:lineRule="auto"/>
        <w:rPr>
          <w:sz w:val="26"/>
          <w:szCs w:val="26"/>
        </w:rPr>
      </w:pPr>
    </w:p>
    <w:p w14:paraId="325C2BE0" w14:textId="5FB00598" w:rsidR="00F7601A" w:rsidRPr="0059512A" w:rsidRDefault="00F7601A" w:rsidP="0059512A">
      <w:pPr>
        <w:widowControl/>
        <w:spacing w:line="360" w:lineRule="auto"/>
        <w:ind w:firstLine="1440"/>
        <w:rPr>
          <w:sz w:val="26"/>
          <w:szCs w:val="26"/>
        </w:rPr>
      </w:pPr>
      <w:r w:rsidRPr="0059512A">
        <w:rPr>
          <w:sz w:val="26"/>
          <w:szCs w:val="26"/>
        </w:rPr>
        <w:t xml:space="preserve">Citizens’ claims that the record evidence presents DCF results that will understate the appropriate rate of return for the Company.  Citizens’ explains that even though the Recommended Decision quoted select material from the Commission’s decision in the </w:t>
      </w:r>
      <w:r w:rsidRPr="0059512A">
        <w:rPr>
          <w:i/>
          <w:iCs/>
          <w:sz w:val="26"/>
          <w:szCs w:val="26"/>
        </w:rPr>
        <w:t>UGI Order</w:t>
      </w:r>
      <w:r w:rsidRPr="0059512A">
        <w:rPr>
          <w:sz w:val="26"/>
          <w:szCs w:val="26"/>
        </w:rPr>
        <w:t xml:space="preserve">, language from the </w:t>
      </w:r>
      <w:r w:rsidRPr="0059512A">
        <w:rPr>
          <w:i/>
          <w:iCs/>
          <w:sz w:val="26"/>
          <w:szCs w:val="26"/>
        </w:rPr>
        <w:t>UGI Order</w:t>
      </w:r>
      <w:r w:rsidRPr="0059512A">
        <w:rPr>
          <w:sz w:val="26"/>
          <w:szCs w:val="26"/>
        </w:rPr>
        <w:t xml:space="preserve"> that demonstrates the Commission will consider other methods where appropriate is not included in the Recommended Decision.  Specifically, the Company references language from the </w:t>
      </w:r>
      <w:r w:rsidRPr="0059512A">
        <w:rPr>
          <w:i/>
          <w:iCs/>
          <w:sz w:val="26"/>
          <w:szCs w:val="26"/>
        </w:rPr>
        <w:t>UGI Order</w:t>
      </w:r>
      <w:r w:rsidRPr="0059512A">
        <w:rPr>
          <w:sz w:val="26"/>
          <w:szCs w:val="26"/>
        </w:rPr>
        <w:t xml:space="preserve"> that indicates other cost of equity methods, to some degree, will be considered by the Commission, to determine the reasonableness of equity return, where evidence based on those other methods indicates the results of the DCF method may understate the utility’s current cost of equity capital.  Citizens’ Exc. at 19 (citing Citizens’ M.B. at 74; </w:t>
      </w:r>
      <w:r w:rsidRPr="0059512A">
        <w:rPr>
          <w:i/>
          <w:iCs/>
          <w:sz w:val="26"/>
          <w:szCs w:val="26"/>
        </w:rPr>
        <w:t>UGI Order</w:t>
      </w:r>
      <w:r w:rsidRPr="0059512A">
        <w:rPr>
          <w:sz w:val="26"/>
          <w:szCs w:val="26"/>
        </w:rPr>
        <w:t xml:space="preserve"> at 104-105).  </w:t>
      </w:r>
    </w:p>
    <w:p w14:paraId="150C01C0" w14:textId="77777777" w:rsidR="00F7601A" w:rsidRPr="0059512A" w:rsidRDefault="00F7601A" w:rsidP="0059512A">
      <w:pPr>
        <w:widowControl/>
        <w:spacing w:line="360" w:lineRule="auto"/>
        <w:rPr>
          <w:sz w:val="26"/>
          <w:szCs w:val="26"/>
        </w:rPr>
      </w:pPr>
    </w:p>
    <w:p w14:paraId="08ABE045" w14:textId="3E5E3FA5" w:rsidR="00F7601A" w:rsidRPr="0059512A" w:rsidRDefault="00F7601A" w:rsidP="0059512A">
      <w:pPr>
        <w:widowControl/>
        <w:spacing w:line="360" w:lineRule="auto"/>
        <w:ind w:firstLine="1440"/>
        <w:rPr>
          <w:sz w:val="26"/>
          <w:szCs w:val="26"/>
        </w:rPr>
      </w:pPr>
      <w:r w:rsidRPr="0059512A">
        <w:rPr>
          <w:sz w:val="26"/>
          <w:szCs w:val="26"/>
        </w:rPr>
        <w:t>Citizens’ presents Mr. D’Ascendis’ analysis of M/B ratios of the combined I&amp;E and the OCA electric utility proxy groups, and notes the M/B value for the combined proxy group has significantly exceeded the 1.65 ten</w:t>
      </w:r>
      <w:r w:rsidR="007C1501" w:rsidRPr="0059512A">
        <w:rPr>
          <w:sz w:val="26"/>
          <w:szCs w:val="26"/>
        </w:rPr>
        <w:t>-</w:t>
      </w:r>
      <w:r w:rsidRPr="0059512A">
        <w:rPr>
          <w:sz w:val="26"/>
          <w:szCs w:val="26"/>
        </w:rPr>
        <w:t>year average, with particularly high M/B ratios since 2018.  Further, the Company explains the DCF model assumes a M/B ratio of 1.0, meaning the model will overstate, or understate, the required ROE if the actual M/B value of the proxy group diverges from 1.0.  Citizens’ Exc. at 19-20 (citing Citizens’ M.B. at 75).  However, the Company continues, this effect is mitigated when the M/B ratio is at, or close to, 1.0.  Therefore, Citizens’ submits that based on Mr. D’Ascendis’ M/B ratio analysis in the current environment, the DCF model will understate the ROE for the Company.  Citizens’ Exc. at 20.</w:t>
      </w:r>
    </w:p>
    <w:p w14:paraId="44C76F6A" w14:textId="77777777" w:rsidR="00F7601A" w:rsidRPr="0059512A" w:rsidRDefault="00F7601A" w:rsidP="0059512A">
      <w:pPr>
        <w:widowControl/>
        <w:spacing w:line="360" w:lineRule="auto"/>
        <w:rPr>
          <w:sz w:val="26"/>
          <w:szCs w:val="26"/>
        </w:rPr>
      </w:pPr>
    </w:p>
    <w:p w14:paraId="3209FFC3" w14:textId="381463CF" w:rsidR="00F7601A" w:rsidRPr="0059512A" w:rsidRDefault="00F7601A" w:rsidP="0059512A">
      <w:pPr>
        <w:widowControl/>
        <w:spacing w:line="360" w:lineRule="auto"/>
        <w:ind w:firstLine="1440"/>
        <w:rPr>
          <w:sz w:val="26"/>
          <w:szCs w:val="26"/>
        </w:rPr>
      </w:pPr>
      <w:r w:rsidRPr="0059512A">
        <w:rPr>
          <w:sz w:val="26"/>
          <w:szCs w:val="26"/>
        </w:rPr>
        <w:t xml:space="preserve">The Company adds that “extensive supporting evidence” was presented by Mr. D’Ascendis to corroborate his M/B analysis.  According to Citizens’, Mr. D’Ascendis reviewed financial literature concluding that when the M/B ratio of a stock </w:t>
      </w:r>
      <w:r w:rsidRPr="0059512A">
        <w:rPr>
          <w:sz w:val="26"/>
          <w:szCs w:val="26"/>
        </w:rPr>
        <w:lastRenderedPageBreak/>
        <w:t>exceeds “unity,” the application of the standard DCF model to utility stocks understates the investor’s anticipated return.  Further, Citizens’ claims I&amp;E and the OCA’s ROE results are unreasonable because Mr. D’Ascendis applied the I&amp;E and the OCA cost rates to book value instead of market value, which reduced the I&amp;E and the OCA growth rates from 4.69% and 5.15% at market value, to 0.23% and 0.81% at book value.  The Company also asserts that Mr. D’Ascendis applied the I&amp;E and the OCA DCF models to the book value capital structure of the respective proxy group.  Citizens</w:t>
      </w:r>
      <w:r w:rsidR="00071143" w:rsidRPr="0059512A">
        <w:rPr>
          <w:sz w:val="26"/>
          <w:szCs w:val="26"/>
        </w:rPr>
        <w:t>’</w:t>
      </w:r>
      <w:r w:rsidRPr="0059512A">
        <w:rPr>
          <w:sz w:val="26"/>
          <w:szCs w:val="26"/>
        </w:rPr>
        <w:t xml:space="preserve"> explains that because the Recommended Decision relies on a DCF model with a market value capital structure, Mr. D’Ascendis’ application corrected “the apples-to-oranges result of the R.D.” and, therefore, increases the DCF ROEs for I&amp;E and the OCA more than 100-basis points.  Citizens’ Exc. at 21 (citing Citizens’ M.B. at 76). </w:t>
      </w:r>
    </w:p>
    <w:p w14:paraId="44A5B5E7" w14:textId="77777777" w:rsidR="00F7601A" w:rsidRPr="0059512A" w:rsidRDefault="00F7601A" w:rsidP="0059512A">
      <w:pPr>
        <w:widowControl/>
        <w:spacing w:line="360" w:lineRule="auto"/>
        <w:rPr>
          <w:sz w:val="26"/>
          <w:szCs w:val="26"/>
        </w:rPr>
      </w:pPr>
    </w:p>
    <w:p w14:paraId="50B6E62A" w14:textId="4EE94861" w:rsidR="00F7601A" w:rsidRPr="0059512A" w:rsidRDefault="00F7601A" w:rsidP="0059512A">
      <w:pPr>
        <w:widowControl/>
        <w:spacing w:line="360" w:lineRule="auto"/>
        <w:ind w:firstLine="1440"/>
        <w:rPr>
          <w:sz w:val="26"/>
          <w:szCs w:val="26"/>
        </w:rPr>
      </w:pPr>
      <w:r w:rsidRPr="0059512A">
        <w:rPr>
          <w:sz w:val="26"/>
          <w:szCs w:val="26"/>
        </w:rPr>
        <w:t>Citizens’ is of the opinion that while the Recommended Decision does establish the recommended ROE at the high end of a standard deviation range based on the average of Citizens’ mean and median constant growth DCF results, it declines to consider analysis based on other models proposed by the Company, even though the results of the other models indicate the DCF results may be understated.  Accordingly, the Company requests the Commission grant its Exception and develop a</w:t>
      </w:r>
      <w:r w:rsidR="004D1944">
        <w:rPr>
          <w:sz w:val="26"/>
          <w:szCs w:val="26"/>
        </w:rPr>
        <w:t>n</w:t>
      </w:r>
      <w:r w:rsidRPr="0059512A">
        <w:rPr>
          <w:sz w:val="26"/>
          <w:szCs w:val="26"/>
        </w:rPr>
        <w:t xml:space="preserve"> ROE that is based on the proposed models and does not include a size adjustment.  Citizens Exc. at</w:t>
      </w:r>
      <w:r w:rsidR="000666DF">
        <w:rPr>
          <w:sz w:val="26"/>
          <w:szCs w:val="26"/>
        </w:rPr>
        <w:t> </w:t>
      </w:r>
      <w:r w:rsidRPr="0059512A">
        <w:rPr>
          <w:sz w:val="26"/>
          <w:szCs w:val="26"/>
        </w:rPr>
        <w:t xml:space="preserve">21-22 (citing R.D. at 52, 73-74).  </w:t>
      </w:r>
    </w:p>
    <w:p w14:paraId="46D29850" w14:textId="77777777" w:rsidR="003972FD" w:rsidRPr="0059512A" w:rsidRDefault="003972FD" w:rsidP="0059512A">
      <w:pPr>
        <w:widowControl/>
        <w:spacing w:line="360" w:lineRule="auto"/>
        <w:ind w:firstLine="1440"/>
        <w:rPr>
          <w:sz w:val="26"/>
          <w:szCs w:val="26"/>
        </w:rPr>
      </w:pPr>
    </w:p>
    <w:p w14:paraId="13A8A89C" w14:textId="059B8990" w:rsidR="00F7601A" w:rsidRPr="0059512A" w:rsidRDefault="00F7601A" w:rsidP="0059512A">
      <w:pPr>
        <w:widowControl/>
        <w:spacing w:line="360" w:lineRule="auto"/>
        <w:ind w:firstLine="1440"/>
        <w:rPr>
          <w:sz w:val="26"/>
          <w:szCs w:val="26"/>
        </w:rPr>
      </w:pPr>
      <w:r w:rsidRPr="0059512A">
        <w:rPr>
          <w:sz w:val="26"/>
          <w:szCs w:val="26"/>
        </w:rPr>
        <w:t xml:space="preserve">In its Replies to </w:t>
      </w:r>
      <w:r w:rsidR="00071143" w:rsidRPr="0059512A">
        <w:rPr>
          <w:sz w:val="26"/>
          <w:szCs w:val="26"/>
        </w:rPr>
        <w:t>Citizens’</w:t>
      </w:r>
      <w:r w:rsidRPr="0059512A">
        <w:rPr>
          <w:sz w:val="26"/>
          <w:szCs w:val="26"/>
        </w:rPr>
        <w:t xml:space="preserve"> Exception No. 9, the OCA submits that the ALJs correctly rejected the Company’s deviation from the preferred methods in determining the cost of common equity.  The OCA cites </w:t>
      </w:r>
      <w:r w:rsidRPr="0059512A">
        <w:rPr>
          <w:i/>
          <w:sz w:val="26"/>
          <w:szCs w:val="26"/>
        </w:rPr>
        <w:t>Pa. P</w:t>
      </w:r>
      <w:r w:rsidR="00071143" w:rsidRPr="0059512A">
        <w:rPr>
          <w:i/>
          <w:sz w:val="26"/>
          <w:szCs w:val="26"/>
        </w:rPr>
        <w:t>UC</w:t>
      </w:r>
      <w:r w:rsidRPr="0059512A">
        <w:rPr>
          <w:i/>
          <w:sz w:val="26"/>
          <w:szCs w:val="26"/>
        </w:rPr>
        <w:t xml:space="preserve"> v. Pennsylvania American Water Company</w:t>
      </w:r>
      <w:r w:rsidRPr="0059512A">
        <w:rPr>
          <w:sz w:val="26"/>
          <w:szCs w:val="26"/>
        </w:rPr>
        <w:t xml:space="preserve">, Docket Nos. R-00038304, </w:t>
      </w:r>
      <w:r w:rsidRPr="0059512A">
        <w:rPr>
          <w:i/>
          <w:sz w:val="26"/>
          <w:szCs w:val="26"/>
        </w:rPr>
        <w:t>et al.</w:t>
      </w:r>
      <w:r w:rsidRPr="0059512A">
        <w:rPr>
          <w:sz w:val="26"/>
          <w:szCs w:val="26"/>
        </w:rPr>
        <w:t xml:space="preserve"> (Order entered January 29, 2004</w:t>
      </w:r>
      <w:r w:rsidR="000666DF">
        <w:rPr>
          <w:sz w:val="26"/>
          <w:szCs w:val="26"/>
        </w:rPr>
        <w:t>)</w:t>
      </w:r>
      <w:r w:rsidRPr="0059512A">
        <w:rPr>
          <w:sz w:val="26"/>
          <w:szCs w:val="26"/>
        </w:rPr>
        <w:t xml:space="preserve"> (</w:t>
      </w:r>
      <w:r w:rsidRPr="0059512A">
        <w:rPr>
          <w:i/>
          <w:iCs/>
          <w:sz w:val="26"/>
          <w:szCs w:val="26"/>
        </w:rPr>
        <w:t>PAWC</w:t>
      </w:r>
      <w:r w:rsidR="00071143" w:rsidRPr="0059512A">
        <w:rPr>
          <w:i/>
          <w:sz w:val="26"/>
          <w:szCs w:val="26"/>
        </w:rPr>
        <w:t xml:space="preserve"> </w:t>
      </w:r>
      <w:r w:rsidRPr="0059512A">
        <w:rPr>
          <w:i/>
          <w:sz w:val="26"/>
          <w:szCs w:val="26"/>
        </w:rPr>
        <w:t>Order</w:t>
      </w:r>
      <w:r w:rsidRPr="0059512A">
        <w:rPr>
          <w:sz w:val="26"/>
          <w:szCs w:val="26"/>
        </w:rPr>
        <w:t xml:space="preserve">), where the Commission, based on several historical decisions, determined that the DCF method is the preferred method of analysis to determine a market based common equity cost rate.  OCA R. Exc. at 12-13 (citing </w:t>
      </w:r>
      <w:r w:rsidRPr="0059512A">
        <w:rPr>
          <w:i/>
          <w:iCs/>
          <w:sz w:val="26"/>
          <w:szCs w:val="26"/>
        </w:rPr>
        <w:t>PAWC Order</w:t>
      </w:r>
      <w:r w:rsidRPr="0059512A">
        <w:rPr>
          <w:sz w:val="26"/>
          <w:szCs w:val="26"/>
        </w:rPr>
        <w:t xml:space="preserve"> at 83).  The OCA further cites the </w:t>
      </w:r>
      <w:r w:rsidRPr="0059512A">
        <w:rPr>
          <w:i/>
          <w:iCs/>
          <w:sz w:val="26"/>
          <w:szCs w:val="26"/>
        </w:rPr>
        <w:t>UGI Order</w:t>
      </w:r>
      <w:r w:rsidRPr="0059512A">
        <w:rPr>
          <w:sz w:val="26"/>
          <w:szCs w:val="26"/>
        </w:rPr>
        <w:t xml:space="preserve">, where the Commission affirmed its reliance on the DCF method, </w:t>
      </w:r>
      <w:r w:rsidRPr="0059512A">
        <w:rPr>
          <w:sz w:val="26"/>
          <w:szCs w:val="26"/>
        </w:rPr>
        <w:lastRenderedPageBreak/>
        <w:t>and stated it found no reason to deviate from the use of the DCF method.  OCA R. Exc. at</w:t>
      </w:r>
      <w:r w:rsidR="000666DF">
        <w:rPr>
          <w:sz w:val="26"/>
          <w:szCs w:val="26"/>
        </w:rPr>
        <w:t> </w:t>
      </w:r>
      <w:r w:rsidRPr="0059512A">
        <w:rPr>
          <w:sz w:val="26"/>
          <w:szCs w:val="26"/>
        </w:rPr>
        <w:t xml:space="preserve">13 (citing </w:t>
      </w:r>
      <w:r w:rsidRPr="0059512A">
        <w:rPr>
          <w:i/>
          <w:iCs/>
          <w:sz w:val="26"/>
          <w:szCs w:val="26"/>
        </w:rPr>
        <w:t>UGI Order</w:t>
      </w:r>
      <w:r w:rsidRPr="0059512A">
        <w:rPr>
          <w:sz w:val="26"/>
          <w:szCs w:val="26"/>
        </w:rPr>
        <w:t xml:space="preserve"> at 106).  According to the OCA, the Commission has stated, “on numerous occasions</w:t>
      </w:r>
      <w:r w:rsidR="00855A26" w:rsidRPr="0059512A">
        <w:rPr>
          <w:sz w:val="26"/>
          <w:szCs w:val="26"/>
        </w:rPr>
        <w:t>,</w:t>
      </w:r>
      <w:r w:rsidRPr="0059512A">
        <w:rPr>
          <w:sz w:val="26"/>
          <w:szCs w:val="26"/>
        </w:rPr>
        <w:t>” its preference to rely upon the DCF methodology over other methods in determining the rate of return.</w:t>
      </w:r>
      <w:r w:rsidRPr="0059512A">
        <w:rPr>
          <w:sz w:val="26"/>
          <w:szCs w:val="26"/>
          <w:vertAlign w:val="superscript"/>
        </w:rPr>
        <w:footnoteReference w:id="16"/>
      </w:r>
      <w:r w:rsidRPr="0059512A">
        <w:rPr>
          <w:sz w:val="26"/>
          <w:szCs w:val="26"/>
        </w:rPr>
        <w:t xml:space="preserve">  OCA R. Exc. at 14.</w:t>
      </w:r>
    </w:p>
    <w:p w14:paraId="485929DC" w14:textId="77777777" w:rsidR="00F7601A" w:rsidRPr="0059512A" w:rsidRDefault="00F7601A" w:rsidP="0059512A">
      <w:pPr>
        <w:widowControl/>
        <w:spacing w:line="360" w:lineRule="auto"/>
        <w:rPr>
          <w:sz w:val="26"/>
          <w:szCs w:val="26"/>
        </w:rPr>
      </w:pPr>
    </w:p>
    <w:p w14:paraId="1FA7B7D0" w14:textId="3F67FB0C" w:rsidR="00F7601A" w:rsidRPr="0059512A" w:rsidRDefault="00F7601A" w:rsidP="0059512A">
      <w:pPr>
        <w:widowControl/>
        <w:spacing w:line="360" w:lineRule="auto"/>
        <w:ind w:firstLine="1440"/>
        <w:rPr>
          <w:sz w:val="26"/>
          <w:szCs w:val="26"/>
        </w:rPr>
      </w:pPr>
      <w:r w:rsidRPr="0059512A">
        <w:rPr>
          <w:sz w:val="26"/>
          <w:szCs w:val="26"/>
        </w:rPr>
        <w:t xml:space="preserve">The OCA suggests that Citizens’ contention that reliance on the DCF alone would “understate the appropriate rate of return” disregards the use of the CAPM, which as the ALJs stated, is a verification of the DCF results.  OCA R. Exc. at 14 (citing Citizens’ Exc. at 19; R.D. at 56).  The OCA also cites a quote from the </w:t>
      </w:r>
      <w:r w:rsidRPr="0059512A">
        <w:rPr>
          <w:i/>
          <w:iCs/>
          <w:sz w:val="26"/>
          <w:szCs w:val="26"/>
        </w:rPr>
        <w:t>PAWC Order</w:t>
      </w:r>
      <w:r w:rsidRPr="0059512A">
        <w:rPr>
          <w:sz w:val="26"/>
          <w:szCs w:val="26"/>
        </w:rPr>
        <w:t xml:space="preserve"> that describes the DCF model from a leading treatise on public utility ratemaking.  OCA R.</w:t>
      </w:r>
      <w:r w:rsidR="00D14C1A">
        <w:rPr>
          <w:sz w:val="26"/>
          <w:szCs w:val="26"/>
        </w:rPr>
        <w:t> </w:t>
      </w:r>
      <w:r w:rsidRPr="0059512A">
        <w:rPr>
          <w:sz w:val="26"/>
          <w:szCs w:val="26"/>
        </w:rPr>
        <w:t xml:space="preserve">Exc. at 14-15 (citing </w:t>
      </w:r>
      <w:r w:rsidRPr="0059512A">
        <w:rPr>
          <w:i/>
          <w:iCs/>
          <w:sz w:val="26"/>
          <w:szCs w:val="26"/>
        </w:rPr>
        <w:t>PAWC Order</w:t>
      </w:r>
      <w:r w:rsidRPr="0059512A">
        <w:rPr>
          <w:sz w:val="26"/>
          <w:szCs w:val="26"/>
        </w:rPr>
        <w:t>).  Further, the OCA contests the accuracy of</w:t>
      </w:r>
      <w:r w:rsidR="00855A26" w:rsidRPr="0059512A">
        <w:rPr>
          <w:sz w:val="26"/>
          <w:szCs w:val="26"/>
        </w:rPr>
        <w:t xml:space="preserve"> the Company’s</w:t>
      </w:r>
      <w:r w:rsidRPr="0059512A">
        <w:rPr>
          <w:sz w:val="26"/>
          <w:szCs w:val="26"/>
        </w:rPr>
        <w:t xml:space="preserve"> suggestion that the ALJs established the recommended ROE at the high end of the standard deviation range based on the average of the Company’s mean and median constant growth DCF results.  Rather, the OCA argues that the use of the high end standard deviation is the ALJ</w:t>
      </w:r>
      <w:r w:rsidR="00E63494" w:rsidRPr="0059512A">
        <w:rPr>
          <w:sz w:val="26"/>
          <w:szCs w:val="26"/>
        </w:rPr>
        <w:t>s’</w:t>
      </w:r>
      <w:r w:rsidRPr="0059512A">
        <w:rPr>
          <w:sz w:val="26"/>
          <w:szCs w:val="26"/>
        </w:rPr>
        <w:t xml:space="preserve"> attempt to acknowledge “the risk of a smaller utility.”  </w:t>
      </w:r>
      <w:r w:rsidRPr="0059512A">
        <w:rPr>
          <w:i/>
          <w:iCs/>
          <w:sz w:val="26"/>
          <w:szCs w:val="26"/>
        </w:rPr>
        <w:t>Id.</w:t>
      </w:r>
      <w:r w:rsidRPr="0059512A">
        <w:rPr>
          <w:sz w:val="26"/>
          <w:szCs w:val="26"/>
        </w:rPr>
        <w:t xml:space="preserve"> (citing Citizens’ Exc. at 21; R.D. at 51, 74).</w:t>
      </w:r>
    </w:p>
    <w:p w14:paraId="004366B5" w14:textId="77777777" w:rsidR="00F7601A" w:rsidRPr="0059512A" w:rsidRDefault="00F7601A" w:rsidP="0059512A">
      <w:pPr>
        <w:widowControl/>
        <w:spacing w:line="360" w:lineRule="auto"/>
        <w:rPr>
          <w:sz w:val="26"/>
          <w:szCs w:val="26"/>
        </w:rPr>
      </w:pPr>
    </w:p>
    <w:p w14:paraId="3F579CBC" w14:textId="63964B52" w:rsidR="001B0107" w:rsidRPr="0059512A" w:rsidRDefault="00F7601A" w:rsidP="0059512A">
      <w:pPr>
        <w:widowControl/>
        <w:spacing w:line="360" w:lineRule="auto"/>
        <w:ind w:firstLine="1440"/>
        <w:rPr>
          <w:sz w:val="26"/>
          <w:szCs w:val="26"/>
        </w:rPr>
      </w:pPr>
      <w:r w:rsidRPr="0059512A">
        <w:rPr>
          <w:sz w:val="26"/>
          <w:szCs w:val="26"/>
        </w:rPr>
        <w:t xml:space="preserve">In its Replies to Exception No. 9, I&amp;E avers that the ALJs correctly declined to accept Citizens’ M/B ratio analysis to determine ROE, and that the ALJs did not err by relying primarily on a DCF analysis that was verified by CAPM.  Further, I&amp;E asserts </w:t>
      </w:r>
      <w:r w:rsidR="00855A26" w:rsidRPr="0059512A">
        <w:rPr>
          <w:sz w:val="26"/>
          <w:szCs w:val="26"/>
        </w:rPr>
        <w:t>the Company’s</w:t>
      </w:r>
      <w:r w:rsidRPr="0059512A">
        <w:rPr>
          <w:sz w:val="26"/>
          <w:szCs w:val="26"/>
        </w:rPr>
        <w:t xml:space="preserve"> Exception depends on </w:t>
      </w:r>
      <w:r w:rsidR="00B31DC9" w:rsidRPr="0059512A">
        <w:rPr>
          <w:sz w:val="26"/>
          <w:szCs w:val="26"/>
        </w:rPr>
        <w:t>the Company’s</w:t>
      </w:r>
      <w:r w:rsidRPr="0059512A">
        <w:rPr>
          <w:sz w:val="26"/>
          <w:szCs w:val="26"/>
        </w:rPr>
        <w:t xml:space="preserve"> M/B ratio analysis, which I&amp;E believes is insufficient support to demonstrate that the DCF results are understated, or that the expected utility returns for investors should be set on a basis other than book value.  Moreover, I&amp;E argues the ALJs should not be expected to use, or equally weight, any method offered to verify the results of the DCF analysis.  In addition, I&amp;E references the </w:t>
      </w:r>
      <w:r w:rsidRPr="0059512A">
        <w:rPr>
          <w:i/>
          <w:iCs/>
          <w:sz w:val="26"/>
          <w:szCs w:val="26"/>
        </w:rPr>
        <w:t>UGI Order</w:t>
      </w:r>
      <w:r w:rsidRPr="0059512A">
        <w:rPr>
          <w:sz w:val="26"/>
          <w:szCs w:val="26"/>
        </w:rPr>
        <w:t xml:space="preserve"> proceeding in acknowledging the consistency of the Commission to </w:t>
      </w:r>
      <w:r w:rsidRPr="0059512A">
        <w:rPr>
          <w:sz w:val="26"/>
          <w:szCs w:val="26"/>
        </w:rPr>
        <w:lastRenderedPageBreak/>
        <w:t>utilize the CAPM method as a check for the DCF analysis.  I&amp;E R. Exc. at 7-8 (citing Citizens’ Exc. at 19-22; I&amp;E M.B. at 46-47).</w:t>
      </w:r>
    </w:p>
    <w:p w14:paraId="17D475BD" w14:textId="77777777" w:rsidR="00092994" w:rsidRPr="0059512A" w:rsidRDefault="00092994" w:rsidP="0059512A">
      <w:pPr>
        <w:widowControl/>
        <w:spacing w:line="360" w:lineRule="auto"/>
        <w:ind w:firstLine="1440"/>
        <w:rPr>
          <w:sz w:val="26"/>
          <w:szCs w:val="26"/>
        </w:rPr>
      </w:pPr>
    </w:p>
    <w:p w14:paraId="4C3EDC72" w14:textId="77777777" w:rsidR="000E05F3" w:rsidRPr="0059512A" w:rsidRDefault="000E05F3" w:rsidP="0059512A">
      <w:pPr>
        <w:pStyle w:val="ListParagraph"/>
        <w:keepNext/>
        <w:widowControl/>
        <w:spacing w:line="360" w:lineRule="auto"/>
        <w:ind w:left="2160" w:hanging="720"/>
        <w:rPr>
          <w:b/>
          <w:bCs/>
          <w:sz w:val="26"/>
          <w:szCs w:val="26"/>
        </w:rPr>
      </w:pPr>
      <w:r w:rsidRPr="0059512A">
        <w:rPr>
          <w:b/>
          <w:bCs/>
          <w:sz w:val="26"/>
          <w:szCs w:val="26"/>
        </w:rPr>
        <w:t>d.</w:t>
      </w:r>
      <w:r w:rsidRPr="0059512A">
        <w:rPr>
          <w:b/>
          <w:bCs/>
          <w:sz w:val="26"/>
          <w:szCs w:val="26"/>
        </w:rPr>
        <w:tab/>
        <w:t>Disposition</w:t>
      </w:r>
    </w:p>
    <w:p w14:paraId="7C076C4A" w14:textId="4F89C167" w:rsidR="001B0107" w:rsidRPr="0059512A" w:rsidRDefault="001B0107" w:rsidP="0059512A">
      <w:pPr>
        <w:keepNext/>
        <w:widowControl/>
        <w:spacing w:line="360" w:lineRule="auto"/>
        <w:rPr>
          <w:sz w:val="26"/>
          <w:szCs w:val="26"/>
        </w:rPr>
      </w:pPr>
    </w:p>
    <w:p w14:paraId="41244F2E" w14:textId="5F285F2E" w:rsidR="00DD50D7" w:rsidRPr="0059512A" w:rsidRDefault="00DD50D7" w:rsidP="0059512A">
      <w:pPr>
        <w:keepNext/>
        <w:widowControl/>
        <w:spacing w:line="360" w:lineRule="auto"/>
        <w:ind w:firstLine="1440"/>
        <w:contextualSpacing/>
        <w:rPr>
          <w:sz w:val="26"/>
          <w:szCs w:val="26"/>
        </w:rPr>
      </w:pPr>
      <w:r w:rsidRPr="0059512A">
        <w:rPr>
          <w:sz w:val="26"/>
          <w:szCs w:val="26"/>
        </w:rPr>
        <w:t xml:space="preserve">Upon our consideration of the record evidence, we agree with the finding of the ALJs that the Company’s cost of equity in this proceeding should primarily be based upon the use of the DCF methodology and that the results of the CAPM analysis should be used as a comparison to the DCF results.  R.D. at 51-52.  At the outset, we note the validity of the Company’s argument, in its Exceptions, that in the </w:t>
      </w:r>
      <w:r w:rsidRPr="0059512A">
        <w:rPr>
          <w:i/>
          <w:iCs/>
          <w:sz w:val="26"/>
          <w:szCs w:val="26"/>
        </w:rPr>
        <w:t xml:space="preserve">UGI Order, </w:t>
      </w:r>
      <w:r w:rsidRPr="0059512A">
        <w:rPr>
          <w:sz w:val="26"/>
          <w:szCs w:val="26"/>
        </w:rPr>
        <w:t xml:space="preserve">we stated that when evidence based on other cost of equity methods indicates that the reliance on only the DCF results may understate the utility’s cost of equity capital, we would give credence to those other methods, to an extent, in evaluating the appropriate range of reasonableness in setting an ROE.  Citizens’ Exc. at 19; </w:t>
      </w:r>
      <w:r w:rsidRPr="0059512A">
        <w:rPr>
          <w:i/>
          <w:iCs/>
          <w:sz w:val="26"/>
          <w:szCs w:val="26"/>
        </w:rPr>
        <w:t>UGI Order</w:t>
      </w:r>
      <w:r w:rsidRPr="0059512A">
        <w:rPr>
          <w:sz w:val="26"/>
          <w:szCs w:val="26"/>
        </w:rPr>
        <w:t xml:space="preserve"> at</w:t>
      </w:r>
      <w:r w:rsidRPr="0059512A">
        <w:rPr>
          <w:i/>
          <w:iCs/>
          <w:sz w:val="26"/>
          <w:szCs w:val="26"/>
        </w:rPr>
        <w:t xml:space="preserve"> </w:t>
      </w:r>
      <w:r w:rsidRPr="0059512A">
        <w:rPr>
          <w:sz w:val="26"/>
          <w:szCs w:val="26"/>
        </w:rPr>
        <w:t xml:space="preserve">104-105.  However, in the </w:t>
      </w:r>
      <w:r w:rsidRPr="0059512A">
        <w:rPr>
          <w:i/>
          <w:iCs/>
          <w:sz w:val="26"/>
          <w:szCs w:val="26"/>
        </w:rPr>
        <w:t>UGI Order</w:t>
      </w:r>
      <w:r w:rsidRPr="009A01E7">
        <w:rPr>
          <w:sz w:val="26"/>
          <w:szCs w:val="26"/>
        </w:rPr>
        <w:t>,</w:t>
      </w:r>
      <w:r w:rsidRPr="0059512A">
        <w:rPr>
          <w:i/>
          <w:iCs/>
          <w:sz w:val="26"/>
          <w:szCs w:val="26"/>
        </w:rPr>
        <w:t xml:space="preserve"> </w:t>
      </w:r>
      <w:r w:rsidRPr="0059512A">
        <w:rPr>
          <w:sz w:val="26"/>
          <w:szCs w:val="26"/>
        </w:rPr>
        <w:t xml:space="preserve">we also found that UGI failed to demonstrate on the record that the DCF method understated its ROE or that the other methods it proffered served as an aid in arriving at the appropriate cost of common equity.  </w:t>
      </w:r>
      <w:r w:rsidRPr="0059512A">
        <w:rPr>
          <w:i/>
          <w:iCs/>
          <w:sz w:val="26"/>
          <w:szCs w:val="26"/>
        </w:rPr>
        <w:t xml:space="preserve">UGI Order </w:t>
      </w:r>
      <w:r w:rsidRPr="0059512A">
        <w:rPr>
          <w:sz w:val="26"/>
          <w:szCs w:val="26"/>
        </w:rPr>
        <w:t>at 105-106.  We likewise find in the instan</w:t>
      </w:r>
      <w:r w:rsidR="005D5374" w:rsidRPr="0059512A">
        <w:rPr>
          <w:sz w:val="26"/>
          <w:szCs w:val="26"/>
        </w:rPr>
        <w:t>t</w:t>
      </w:r>
      <w:r w:rsidRPr="0059512A">
        <w:rPr>
          <w:sz w:val="26"/>
          <w:szCs w:val="26"/>
        </w:rPr>
        <w:t xml:space="preserve"> case that Citizens’ has failed to present a valid reason for why the other methods it has proffered should be given equal weight to the DCF method.  </w:t>
      </w:r>
    </w:p>
    <w:p w14:paraId="28FE76A6" w14:textId="77777777" w:rsidR="00DD50D7" w:rsidRPr="0059512A" w:rsidRDefault="00DD50D7" w:rsidP="0059512A">
      <w:pPr>
        <w:widowControl/>
        <w:spacing w:line="360" w:lineRule="auto"/>
        <w:ind w:firstLine="1440"/>
        <w:contextualSpacing/>
        <w:rPr>
          <w:sz w:val="26"/>
          <w:szCs w:val="26"/>
        </w:rPr>
      </w:pPr>
    </w:p>
    <w:p w14:paraId="451A771A" w14:textId="227EF067" w:rsidR="00DD50D7" w:rsidRPr="0059512A" w:rsidRDefault="00DD50D7" w:rsidP="0059512A">
      <w:pPr>
        <w:widowControl/>
        <w:spacing w:line="360" w:lineRule="auto"/>
        <w:ind w:firstLine="1440"/>
        <w:contextualSpacing/>
        <w:rPr>
          <w:sz w:val="26"/>
          <w:szCs w:val="26"/>
        </w:rPr>
      </w:pPr>
      <w:r w:rsidRPr="0059512A">
        <w:rPr>
          <w:sz w:val="26"/>
          <w:szCs w:val="26"/>
        </w:rPr>
        <w:t xml:space="preserve">First, we are not persuaded by the Company’s argument that the difference between the market value of a utility’s stock and its book value causes the DCF method to undervalue the rate of return when the M/B ratio of a given stock exceeds unity.  Citizens’ M.B. at 75-76; </w:t>
      </w:r>
      <w:r w:rsidR="00DC07B0" w:rsidRPr="0059512A">
        <w:rPr>
          <w:sz w:val="26"/>
          <w:szCs w:val="26"/>
        </w:rPr>
        <w:t>Citizens’</w:t>
      </w:r>
      <w:r w:rsidRPr="0059512A">
        <w:rPr>
          <w:sz w:val="26"/>
          <w:szCs w:val="26"/>
        </w:rPr>
        <w:t xml:space="preserve"> St. 2-R at 11-12.  Rather, as I&amp;E highlighted, the Company’s argument assumes that investors are unaware of the difference between the book value and the market value.  The record indicates that the forecasted growth rates used in the DCF method are set by analysts based on current conditions, as well as future expectations for the stock.  The stock market is impacted by regulatory policies and by economic and financial conditions.  Therefore, while an M/B ratio greater than 1.0 </w:t>
      </w:r>
      <w:r w:rsidRPr="0059512A">
        <w:rPr>
          <w:sz w:val="26"/>
          <w:szCs w:val="26"/>
        </w:rPr>
        <w:lastRenderedPageBreak/>
        <w:t>implies that investors expect future cash flows to be more valuable than the historical accounting value of the company, an M/B ratio of less than 1.0 could result either when the stock market is in depression or when the company is underperforming.</w:t>
      </w:r>
      <w:r w:rsidR="006B04DA" w:rsidRPr="0059512A">
        <w:rPr>
          <w:sz w:val="26"/>
          <w:szCs w:val="26"/>
        </w:rPr>
        <w:t xml:space="preserve">  </w:t>
      </w:r>
      <w:r w:rsidR="0054447E" w:rsidRPr="0059512A">
        <w:rPr>
          <w:sz w:val="26"/>
          <w:szCs w:val="26"/>
        </w:rPr>
        <w:t>I&amp;E</w:t>
      </w:r>
      <w:r w:rsidRPr="0059512A">
        <w:rPr>
          <w:sz w:val="26"/>
          <w:szCs w:val="26"/>
        </w:rPr>
        <w:t xml:space="preserve"> St. 2</w:t>
      </w:r>
      <w:r w:rsidR="009A01E7">
        <w:rPr>
          <w:sz w:val="26"/>
          <w:szCs w:val="26"/>
        </w:rPr>
        <w:noBreakHyphen/>
      </w:r>
      <w:r w:rsidR="0054447E" w:rsidRPr="0059512A">
        <w:rPr>
          <w:sz w:val="26"/>
          <w:szCs w:val="26"/>
        </w:rPr>
        <w:t>S</w:t>
      </w:r>
      <w:r w:rsidRPr="0059512A">
        <w:rPr>
          <w:sz w:val="26"/>
          <w:szCs w:val="26"/>
        </w:rPr>
        <w:t xml:space="preserve">R at </w:t>
      </w:r>
      <w:r w:rsidR="0054447E" w:rsidRPr="0059512A">
        <w:rPr>
          <w:sz w:val="26"/>
          <w:szCs w:val="26"/>
        </w:rPr>
        <w:t>12-13</w:t>
      </w:r>
      <w:r w:rsidRPr="0059512A">
        <w:rPr>
          <w:sz w:val="26"/>
          <w:szCs w:val="26"/>
        </w:rPr>
        <w:t>.  Therefore, in establishing a</w:t>
      </w:r>
      <w:r w:rsidR="004D1944">
        <w:rPr>
          <w:sz w:val="26"/>
          <w:szCs w:val="26"/>
        </w:rPr>
        <w:t>n</w:t>
      </w:r>
      <w:r w:rsidRPr="0059512A">
        <w:rPr>
          <w:sz w:val="26"/>
          <w:szCs w:val="26"/>
        </w:rPr>
        <w:t xml:space="preserve"> ROE for regulatory purposes, we find that it is not appropriate to evaluate the results of the DCF using an M/B ratio.</w:t>
      </w:r>
    </w:p>
    <w:p w14:paraId="2357EE26" w14:textId="77777777" w:rsidR="00DD50D7" w:rsidRPr="0059512A" w:rsidRDefault="00DD50D7" w:rsidP="0059512A">
      <w:pPr>
        <w:widowControl/>
        <w:spacing w:line="360" w:lineRule="auto"/>
        <w:ind w:firstLine="1440"/>
        <w:contextualSpacing/>
        <w:rPr>
          <w:sz w:val="26"/>
          <w:szCs w:val="26"/>
        </w:rPr>
      </w:pPr>
    </w:p>
    <w:p w14:paraId="7F57E923" w14:textId="6EF1C550" w:rsidR="00DD50D7" w:rsidRPr="0059512A" w:rsidRDefault="00DD50D7" w:rsidP="0059512A">
      <w:pPr>
        <w:widowControl/>
        <w:spacing w:line="360" w:lineRule="auto"/>
        <w:ind w:firstLine="1440"/>
        <w:contextualSpacing/>
        <w:rPr>
          <w:sz w:val="26"/>
          <w:szCs w:val="26"/>
        </w:rPr>
      </w:pPr>
      <w:r w:rsidRPr="0059512A">
        <w:rPr>
          <w:sz w:val="26"/>
          <w:szCs w:val="26"/>
        </w:rPr>
        <w:t>Second, as to the RP</w:t>
      </w:r>
      <w:r w:rsidR="0054447E" w:rsidRPr="0059512A">
        <w:rPr>
          <w:sz w:val="26"/>
          <w:szCs w:val="26"/>
        </w:rPr>
        <w:t>M</w:t>
      </w:r>
      <w:r w:rsidRPr="0059512A">
        <w:rPr>
          <w:sz w:val="26"/>
          <w:szCs w:val="26"/>
        </w:rPr>
        <w:t xml:space="preserve"> </w:t>
      </w:r>
      <w:r w:rsidR="0054447E" w:rsidRPr="0059512A">
        <w:rPr>
          <w:sz w:val="26"/>
          <w:szCs w:val="26"/>
        </w:rPr>
        <w:t>approach</w:t>
      </w:r>
      <w:r w:rsidRPr="0059512A">
        <w:rPr>
          <w:sz w:val="26"/>
          <w:szCs w:val="26"/>
        </w:rPr>
        <w:t>, the record indicates</w:t>
      </w:r>
      <w:r w:rsidR="000F7C29" w:rsidRPr="0059512A">
        <w:rPr>
          <w:sz w:val="26"/>
          <w:szCs w:val="26"/>
        </w:rPr>
        <w:t xml:space="preserve"> the Company’s PRPM</w:t>
      </w:r>
      <w:r w:rsidRPr="0059512A">
        <w:rPr>
          <w:sz w:val="26"/>
          <w:szCs w:val="26"/>
        </w:rPr>
        <w:t xml:space="preserve"> </w:t>
      </w:r>
      <w:r w:rsidR="000F7C29" w:rsidRPr="0059512A">
        <w:rPr>
          <w:sz w:val="26"/>
          <w:szCs w:val="26"/>
        </w:rPr>
        <w:t>analysis</w:t>
      </w:r>
      <w:r w:rsidRPr="0059512A">
        <w:rPr>
          <w:sz w:val="26"/>
          <w:szCs w:val="26"/>
        </w:rPr>
        <w:t>, which it used as an input in developing its RP</w:t>
      </w:r>
      <w:r w:rsidR="0054447E" w:rsidRPr="0059512A">
        <w:rPr>
          <w:sz w:val="26"/>
          <w:szCs w:val="26"/>
        </w:rPr>
        <w:t>M</w:t>
      </w:r>
      <w:r w:rsidRPr="0059512A">
        <w:rPr>
          <w:sz w:val="26"/>
          <w:szCs w:val="26"/>
        </w:rPr>
        <w:t xml:space="preserve"> cost of equity,</w:t>
      </w:r>
      <w:r w:rsidR="000F7C29" w:rsidRPr="0059512A">
        <w:rPr>
          <w:sz w:val="26"/>
          <w:szCs w:val="26"/>
        </w:rPr>
        <w:t xml:space="preserve"> is a specialized form of the RPM</w:t>
      </w:r>
      <w:r w:rsidRPr="0059512A">
        <w:rPr>
          <w:sz w:val="26"/>
          <w:szCs w:val="26"/>
        </w:rPr>
        <w:t xml:space="preserve">.  </w:t>
      </w:r>
      <w:r w:rsidR="002770B4" w:rsidRPr="0059512A">
        <w:rPr>
          <w:sz w:val="26"/>
          <w:szCs w:val="26"/>
        </w:rPr>
        <w:t>Citizens’</w:t>
      </w:r>
      <w:r w:rsidRPr="0059512A">
        <w:rPr>
          <w:sz w:val="26"/>
          <w:szCs w:val="26"/>
        </w:rPr>
        <w:t xml:space="preserve"> St. 2 at 20-21</w:t>
      </w:r>
      <w:r w:rsidR="009B5151">
        <w:rPr>
          <w:sz w:val="26"/>
          <w:szCs w:val="26"/>
        </w:rPr>
        <w:t>;</w:t>
      </w:r>
      <w:r w:rsidR="000F7C29" w:rsidRPr="0059512A">
        <w:rPr>
          <w:sz w:val="26"/>
          <w:szCs w:val="26"/>
        </w:rPr>
        <w:t xml:space="preserve"> </w:t>
      </w:r>
      <w:r w:rsidRPr="0059512A">
        <w:rPr>
          <w:sz w:val="26"/>
          <w:szCs w:val="26"/>
        </w:rPr>
        <w:t>I&amp;E St. 2 at 3</w:t>
      </w:r>
      <w:r w:rsidR="002770B4" w:rsidRPr="0059512A">
        <w:rPr>
          <w:sz w:val="26"/>
          <w:szCs w:val="26"/>
        </w:rPr>
        <w:t>2-33</w:t>
      </w:r>
      <w:r w:rsidRPr="0059512A">
        <w:rPr>
          <w:sz w:val="26"/>
          <w:szCs w:val="26"/>
        </w:rPr>
        <w:t>.  Further, as noted above, the RP</w:t>
      </w:r>
      <w:r w:rsidR="002770B4" w:rsidRPr="0059512A">
        <w:rPr>
          <w:sz w:val="26"/>
          <w:szCs w:val="26"/>
        </w:rPr>
        <w:t>M</w:t>
      </w:r>
      <w:r w:rsidRPr="0059512A">
        <w:rPr>
          <w:sz w:val="26"/>
          <w:szCs w:val="26"/>
        </w:rPr>
        <w:t xml:space="preserve"> is an indirect measure of the cost of equity, because it does not recognize company-specific risk through beta.  In addition, the RP</w:t>
      </w:r>
      <w:r w:rsidR="002770B4" w:rsidRPr="0059512A">
        <w:rPr>
          <w:sz w:val="26"/>
          <w:szCs w:val="26"/>
        </w:rPr>
        <w:t>M</w:t>
      </w:r>
      <w:r w:rsidRPr="0059512A">
        <w:rPr>
          <w:sz w:val="26"/>
          <w:szCs w:val="26"/>
        </w:rPr>
        <w:t xml:space="preserve"> relies on the use of historic data that may not accurately represent the current or future economic conditions.  For these reasons, we find that </w:t>
      </w:r>
      <w:r w:rsidR="002770B4" w:rsidRPr="0059512A">
        <w:rPr>
          <w:sz w:val="26"/>
          <w:szCs w:val="26"/>
        </w:rPr>
        <w:t>Citizens’</w:t>
      </w:r>
      <w:r w:rsidRPr="0059512A">
        <w:rPr>
          <w:sz w:val="26"/>
          <w:szCs w:val="26"/>
        </w:rPr>
        <w:t xml:space="preserve"> has failed to demonstrate that any weight should be given to its use of the RP</w:t>
      </w:r>
      <w:r w:rsidR="002770B4" w:rsidRPr="0059512A">
        <w:rPr>
          <w:sz w:val="26"/>
          <w:szCs w:val="26"/>
        </w:rPr>
        <w:t>M</w:t>
      </w:r>
      <w:r w:rsidRPr="0059512A">
        <w:rPr>
          <w:sz w:val="26"/>
          <w:szCs w:val="26"/>
        </w:rPr>
        <w:t xml:space="preserve"> in setting an appropriate cost of equity.</w:t>
      </w:r>
    </w:p>
    <w:p w14:paraId="6A97F2E7" w14:textId="77777777" w:rsidR="00DD50D7" w:rsidRPr="0059512A" w:rsidRDefault="00DD50D7" w:rsidP="0059512A">
      <w:pPr>
        <w:widowControl/>
        <w:spacing w:line="360" w:lineRule="auto"/>
        <w:ind w:firstLine="1440"/>
        <w:contextualSpacing/>
        <w:rPr>
          <w:sz w:val="26"/>
          <w:szCs w:val="26"/>
        </w:rPr>
      </w:pPr>
    </w:p>
    <w:p w14:paraId="624E6640" w14:textId="212CFE4D" w:rsidR="00DD50D7" w:rsidRPr="0059512A" w:rsidRDefault="00DD50D7" w:rsidP="0059512A">
      <w:pPr>
        <w:widowControl/>
        <w:spacing w:line="360" w:lineRule="auto"/>
        <w:ind w:firstLine="1440"/>
        <w:contextualSpacing/>
        <w:rPr>
          <w:sz w:val="26"/>
          <w:szCs w:val="26"/>
        </w:rPr>
      </w:pPr>
      <w:r w:rsidRPr="0059512A">
        <w:rPr>
          <w:sz w:val="26"/>
          <w:szCs w:val="26"/>
        </w:rPr>
        <w:t xml:space="preserve">Third, we reject the Company’s use of the CE method.  As both I&amp;E and the OCA pointed out, the CE method utilizes data for non-regulated firms.  Thus, by its very nature, determining which companies are comparable under the CE method is entirely subjective.  In addition, the record evidence indicates that the proxy group of domestic, non-price regulated companies that </w:t>
      </w:r>
      <w:r w:rsidR="002770B4" w:rsidRPr="0059512A">
        <w:rPr>
          <w:sz w:val="26"/>
          <w:szCs w:val="26"/>
        </w:rPr>
        <w:t>Citizens’</w:t>
      </w:r>
      <w:r w:rsidRPr="0059512A">
        <w:rPr>
          <w:sz w:val="26"/>
          <w:szCs w:val="26"/>
        </w:rPr>
        <w:t xml:space="preserve"> utilized in conducting its CE method included such companies as Campbell’s Soup, Hershey Co., and General Mills.  </w:t>
      </w:r>
      <w:r w:rsidR="002770B4" w:rsidRPr="0059512A">
        <w:rPr>
          <w:sz w:val="26"/>
          <w:szCs w:val="26"/>
        </w:rPr>
        <w:t>Citizens’</w:t>
      </w:r>
      <w:r w:rsidRPr="0059512A">
        <w:rPr>
          <w:sz w:val="26"/>
          <w:szCs w:val="26"/>
        </w:rPr>
        <w:t xml:space="preserve"> St. 2, Exh_DWD-1, Sch. DWD-7 at 6.  Each of these companies operate in industries that are very different from a utility company and have significantly more competition, which would require a higher return for the associated additional risk.  Indeed, as the OCA noted, </w:t>
      </w:r>
      <w:r w:rsidR="002770B4" w:rsidRPr="0059512A">
        <w:rPr>
          <w:sz w:val="26"/>
          <w:szCs w:val="26"/>
        </w:rPr>
        <w:t>the Company’s</w:t>
      </w:r>
      <w:r w:rsidRPr="0059512A">
        <w:rPr>
          <w:sz w:val="26"/>
          <w:szCs w:val="26"/>
        </w:rPr>
        <w:t xml:space="preserve"> common equity cost estimates for its non-price regulated proxy group are systematically higher than the Company’s utility common equity cost estimates by between 66 and 208 basis points, indicating that the two proxy groups are not similar in risk.  OCA M.B. at </w:t>
      </w:r>
      <w:r w:rsidR="00627835" w:rsidRPr="0059512A">
        <w:rPr>
          <w:sz w:val="26"/>
          <w:szCs w:val="26"/>
        </w:rPr>
        <w:t>58</w:t>
      </w:r>
      <w:r w:rsidRPr="0059512A">
        <w:rPr>
          <w:sz w:val="26"/>
          <w:szCs w:val="26"/>
        </w:rPr>
        <w:t>.</w:t>
      </w:r>
    </w:p>
    <w:p w14:paraId="74B59963" w14:textId="77777777" w:rsidR="00DD50D7" w:rsidRPr="0059512A" w:rsidRDefault="00DD50D7" w:rsidP="0059512A">
      <w:pPr>
        <w:widowControl/>
        <w:spacing w:line="360" w:lineRule="auto"/>
        <w:ind w:firstLine="1440"/>
        <w:contextualSpacing/>
        <w:rPr>
          <w:sz w:val="26"/>
          <w:szCs w:val="26"/>
        </w:rPr>
      </w:pPr>
    </w:p>
    <w:p w14:paraId="75CA59A2" w14:textId="39B52EA0" w:rsidR="00DD50D7" w:rsidRPr="0059512A" w:rsidRDefault="00DD50D7" w:rsidP="0059512A">
      <w:pPr>
        <w:widowControl/>
        <w:spacing w:line="360" w:lineRule="auto"/>
        <w:ind w:firstLine="1440"/>
        <w:contextualSpacing/>
        <w:rPr>
          <w:sz w:val="26"/>
          <w:szCs w:val="26"/>
        </w:rPr>
      </w:pPr>
      <w:r w:rsidRPr="0059512A">
        <w:rPr>
          <w:sz w:val="26"/>
          <w:szCs w:val="26"/>
        </w:rPr>
        <w:lastRenderedPageBreak/>
        <w:t>Additionally, as both I&amp;E and the OCA noted, we have expressly endorsed the use of the DCF method as the primary method for setting a utility’s cost of equity capital in several other rate proceedings that have come before the Commission.  For example, in addition to our recent decision in</w:t>
      </w:r>
      <w:r w:rsidR="00B37732" w:rsidRPr="0059512A">
        <w:rPr>
          <w:sz w:val="26"/>
          <w:szCs w:val="26"/>
        </w:rPr>
        <w:t xml:space="preserve"> the</w:t>
      </w:r>
      <w:r w:rsidRPr="0059512A">
        <w:rPr>
          <w:sz w:val="26"/>
          <w:szCs w:val="26"/>
        </w:rPr>
        <w:t xml:space="preserve"> </w:t>
      </w:r>
      <w:r w:rsidRPr="0059512A">
        <w:rPr>
          <w:i/>
          <w:iCs/>
          <w:sz w:val="26"/>
          <w:szCs w:val="26"/>
        </w:rPr>
        <w:t>UGI</w:t>
      </w:r>
      <w:r w:rsidR="00B37732" w:rsidRPr="0059512A">
        <w:rPr>
          <w:i/>
          <w:iCs/>
          <w:sz w:val="26"/>
          <w:szCs w:val="26"/>
        </w:rPr>
        <w:t xml:space="preserve"> Order</w:t>
      </w:r>
      <w:r w:rsidRPr="0059512A">
        <w:rPr>
          <w:sz w:val="26"/>
          <w:szCs w:val="26"/>
        </w:rPr>
        <w:t>,</w:t>
      </w:r>
      <w:r w:rsidRPr="0059512A">
        <w:rPr>
          <w:i/>
          <w:iCs/>
          <w:sz w:val="26"/>
          <w:szCs w:val="26"/>
        </w:rPr>
        <w:t xml:space="preserve"> </w:t>
      </w:r>
      <w:r w:rsidRPr="0059512A">
        <w:rPr>
          <w:sz w:val="26"/>
          <w:szCs w:val="26"/>
        </w:rPr>
        <w:t xml:space="preserve">we affirmed the use of the DCF as our preferred methodology in </w:t>
      </w:r>
      <w:r w:rsidR="00B37732" w:rsidRPr="0059512A">
        <w:rPr>
          <w:sz w:val="26"/>
          <w:szCs w:val="26"/>
        </w:rPr>
        <w:t xml:space="preserve">the </w:t>
      </w:r>
      <w:r w:rsidR="004C2E92" w:rsidRPr="0059512A">
        <w:rPr>
          <w:i/>
          <w:iCs/>
          <w:sz w:val="26"/>
          <w:szCs w:val="26"/>
        </w:rPr>
        <w:t>2012</w:t>
      </w:r>
      <w:r w:rsidR="004C2E92" w:rsidRPr="0059512A">
        <w:rPr>
          <w:sz w:val="26"/>
          <w:szCs w:val="26"/>
        </w:rPr>
        <w:t xml:space="preserve"> </w:t>
      </w:r>
      <w:r w:rsidRPr="0059512A">
        <w:rPr>
          <w:i/>
          <w:sz w:val="26"/>
          <w:szCs w:val="26"/>
        </w:rPr>
        <w:t>P</w:t>
      </w:r>
      <w:r w:rsidR="00B37732" w:rsidRPr="0059512A">
        <w:rPr>
          <w:i/>
          <w:sz w:val="26"/>
          <w:szCs w:val="26"/>
        </w:rPr>
        <w:t>PL Order</w:t>
      </w:r>
      <w:r w:rsidRPr="0059512A">
        <w:rPr>
          <w:sz w:val="26"/>
          <w:szCs w:val="26"/>
        </w:rPr>
        <w:t xml:space="preserve">, and again, more recently, in </w:t>
      </w:r>
      <w:r w:rsidRPr="0059512A">
        <w:rPr>
          <w:i/>
          <w:sz w:val="26"/>
          <w:szCs w:val="26"/>
        </w:rPr>
        <w:t>Pa. PUC, et. al v. City of Dubois-Bureau of Water</w:t>
      </w:r>
      <w:r w:rsidRPr="0059512A">
        <w:rPr>
          <w:sz w:val="26"/>
          <w:szCs w:val="26"/>
        </w:rPr>
        <w:t>, Docket No. R</w:t>
      </w:r>
      <w:r w:rsidRPr="0059512A">
        <w:rPr>
          <w:sz w:val="26"/>
          <w:szCs w:val="26"/>
        </w:rPr>
        <w:noBreakHyphen/>
        <w:t>2016</w:t>
      </w:r>
      <w:r w:rsidRPr="0059512A">
        <w:rPr>
          <w:sz w:val="26"/>
          <w:szCs w:val="26"/>
        </w:rPr>
        <w:noBreakHyphen/>
        <w:t xml:space="preserve">2554150, </w:t>
      </w:r>
      <w:r w:rsidRPr="0059512A">
        <w:rPr>
          <w:i/>
          <w:sz w:val="26"/>
          <w:szCs w:val="26"/>
        </w:rPr>
        <w:t>et. al.</w:t>
      </w:r>
      <w:r w:rsidRPr="0059512A">
        <w:rPr>
          <w:sz w:val="26"/>
          <w:szCs w:val="26"/>
        </w:rPr>
        <w:t xml:space="preserve"> (Order entered March 28, 2017).  Because </w:t>
      </w:r>
      <w:r w:rsidR="00B37732" w:rsidRPr="0059512A">
        <w:rPr>
          <w:sz w:val="26"/>
          <w:szCs w:val="26"/>
        </w:rPr>
        <w:t>Citizens’</w:t>
      </w:r>
      <w:r w:rsidRPr="0059512A">
        <w:rPr>
          <w:sz w:val="26"/>
          <w:szCs w:val="26"/>
        </w:rPr>
        <w:t xml:space="preserve"> has not presented substantial evidence on the record that would cause us to deviate from the use of the DCF method as the primary ROE setting method in the instant case, we shall reject the Company’s arguments.  Accordingly, </w:t>
      </w:r>
      <w:r w:rsidR="00B37732" w:rsidRPr="0059512A">
        <w:rPr>
          <w:sz w:val="26"/>
          <w:szCs w:val="26"/>
        </w:rPr>
        <w:t>Citizens’</w:t>
      </w:r>
      <w:r w:rsidRPr="0059512A">
        <w:rPr>
          <w:sz w:val="26"/>
          <w:szCs w:val="26"/>
        </w:rPr>
        <w:t xml:space="preserve"> Exception No. </w:t>
      </w:r>
      <w:r w:rsidR="00B37732" w:rsidRPr="0059512A">
        <w:rPr>
          <w:sz w:val="26"/>
          <w:szCs w:val="26"/>
        </w:rPr>
        <w:t>9</w:t>
      </w:r>
      <w:r w:rsidRPr="0059512A">
        <w:rPr>
          <w:sz w:val="26"/>
          <w:szCs w:val="26"/>
        </w:rPr>
        <w:t xml:space="preserve"> is denied and we adopt the ALJs’ recommendation that the Company’s cost of equity in this proceeding should primarily be based upon the use of the DCF methodology and that the results of the CAPM analysis should be used as a comparison to the DCF results.</w:t>
      </w:r>
      <w:r w:rsidR="006B04DA" w:rsidRPr="0059512A">
        <w:rPr>
          <w:sz w:val="26"/>
          <w:szCs w:val="26"/>
        </w:rPr>
        <w:t xml:space="preserve">  </w:t>
      </w:r>
    </w:p>
    <w:p w14:paraId="06F9AE69" w14:textId="77777777" w:rsidR="000E05F3" w:rsidRPr="0059512A" w:rsidRDefault="000E05F3" w:rsidP="0059512A">
      <w:pPr>
        <w:widowControl/>
        <w:spacing w:line="360" w:lineRule="auto"/>
        <w:rPr>
          <w:sz w:val="26"/>
          <w:szCs w:val="26"/>
        </w:rPr>
      </w:pPr>
    </w:p>
    <w:p w14:paraId="6C364472" w14:textId="4A911E7F" w:rsidR="00537FE1" w:rsidRPr="0059512A" w:rsidRDefault="00FB6D6F" w:rsidP="0059512A">
      <w:pPr>
        <w:pStyle w:val="Heading3"/>
        <w:keepNext/>
        <w:ind w:left="1440" w:hanging="720"/>
      </w:pPr>
      <w:bookmarkStart w:id="124" w:name="_Toc38629295"/>
      <w:r w:rsidRPr="0059512A">
        <w:t>Return on Common Equity</w:t>
      </w:r>
      <w:r w:rsidR="001B0107" w:rsidRPr="0059512A">
        <w:t xml:space="preserve">: </w:t>
      </w:r>
      <w:r w:rsidR="000F2F32">
        <w:t xml:space="preserve"> </w:t>
      </w:r>
      <w:r w:rsidR="005330F1" w:rsidRPr="0059512A">
        <w:t>Size Adjustment</w:t>
      </w:r>
      <w:bookmarkEnd w:id="124"/>
    </w:p>
    <w:p w14:paraId="69178900" w14:textId="46C2C821" w:rsidR="007E51B6" w:rsidRPr="0059512A" w:rsidRDefault="007E51B6" w:rsidP="0059512A">
      <w:pPr>
        <w:keepNext/>
        <w:widowControl/>
        <w:spacing w:line="360" w:lineRule="auto"/>
        <w:rPr>
          <w:sz w:val="26"/>
          <w:szCs w:val="26"/>
        </w:rPr>
      </w:pPr>
    </w:p>
    <w:p w14:paraId="1F98A69F" w14:textId="77777777" w:rsidR="000E05F3" w:rsidRPr="0059512A" w:rsidRDefault="000E05F3" w:rsidP="0059512A">
      <w:pPr>
        <w:pStyle w:val="ListParagraph"/>
        <w:keepNext/>
        <w:widowControl/>
        <w:spacing w:line="360" w:lineRule="auto"/>
        <w:ind w:left="2160" w:hanging="720"/>
        <w:rPr>
          <w:b/>
          <w:bCs/>
          <w:sz w:val="26"/>
          <w:szCs w:val="26"/>
        </w:rPr>
      </w:pPr>
      <w:bookmarkStart w:id="125" w:name="_Hlk37158896"/>
      <w:r w:rsidRPr="0059512A">
        <w:rPr>
          <w:b/>
          <w:bCs/>
          <w:sz w:val="26"/>
          <w:szCs w:val="26"/>
        </w:rPr>
        <w:t>a.</w:t>
      </w:r>
      <w:r w:rsidRPr="0059512A">
        <w:rPr>
          <w:b/>
          <w:bCs/>
          <w:sz w:val="26"/>
          <w:szCs w:val="26"/>
        </w:rPr>
        <w:tab/>
        <w:t>Positions of the Parties</w:t>
      </w:r>
    </w:p>
    <w:p w14:paraId="3E3CDAC8" w14:textId="1633574E" w:rsidR="000E05F3" w:rsidRPr="0059512A" w:rsidRDefault="000E05F3" w:rsidP="0059512A">
      <w:pPr>
        <w:keepNext/>
        <w:widowControl/>
        <w:spacing w:line="360" w:lineRule="auto"/>
        <w:ind w:left="1440" w:hanging="720"/>
        <w:rPr>
          <w:b/>
          <w:bCs/>
          <w:sz w:val="26"/>
          <w:szCs w:val="26"/>
        </w:rPr>
      </w:pPr>
    </w:p>
    <w:p w14:paraId="49219AFB" w14:textId="77777777" w:rsidR="00FD1A0E" w:rsidRPr="0059512A" w:rsidRDefault="00FD1A0E" w:rsidP="0059512A">
      <w:pPr>
        <w:keepNext/>
        <w:widowControl/>
        <w:spacing w:line="360" w:lineRule="auto"/>
        <w:ind w:firstLine="1440"/>
        <w:contextualSpacing/>
        <w:rPr>
          <w:rFonts w:eastAsiaTheme="minorHAnsi"/>
          <w:sz w:val="26"/>
          <w:szCs w:val="26"/>
        </w:rPr>
      </w:pPr>
      <w:r w:rsidRPr="0059512A">
        <w:rPr>
          <w:rFonts w:eastAsiaTheme="minorHAnsi"/>
          <w:sz w:val="26"/>
          <w:szCs w:val="26"/>
        </w:rPr>
        <w:t>Citizens’ proposed a 100-basis point size adjustment to account for the additional risks associated with smaller public utilities.  The Company argued that analysis and research by witness D’Ascendis supports a 470-basis point adjustment; however, Citizens’ recommends a “conservative size adjustment” of 100-basis points.  Citizens’ M.B. at 96 (citing Citizens’ St. 2 at 45).</w:t>
      </w:r>
    </w:p>
    <w:p w14:paraId="4AA90495" w14:textId="436059F9" w:rsidR="00B32953" w:rsidRPr="0059512A" w:rsidRDefault="00B32953" w:rsidP="0059512A">
      <w:pPr>
        <w:widowControl/>
        <w:spacing w:line="360" w:lineRule="auto"/>
        <w:ind w:left="1440" w:hanging="720"/>
        <w:rPr>
          <w:sz w:val="26"/>
          <w:szCs w:val="26"/>
        </w:rPr>
      </w:pPr>
    </w:p>
    <w:p w14:paraId="6437EEC2" w14:textId="377B5030" w:rsidR="00FD1A0E" w:rsidRPr="0059512A" w:rsidRDefault="00FD1A0E" w:rsidP="0059512A">
      <w:pPr>
        <w:widowControl/>
        <w:spacing w:line="360" w:lineRule="auto"/>
        <w:ind w:firstLine="1440"/>
        <w:contextualSpacing/>
        <w:rPr>
          <w:rFonts w:eastAsiaTheme="minorHAnsi"/>
          <w:sz w:val="26"/>
          <w:szCs w:val="26"/>
        </w:rPr>
      </w:pPr>
      <w:r w:rsidRPr="0059512A">
        <w:rPr>
          <w:rFonts w:eastAsiaTheme="minorHAnsi"/>
          <w:sz w:val="26"/>
          <w:szCs w:val="26"/>
        </w:rPr>
        <w:t xml:space="preserve">Citizens’ averred that the question relevant to whether a size adjustment is necessary to appropriately reflect </w:t>
      </w:r>
      <w:r w:rsidR="00B31DC9" w:rsidRPr="0059512A">
        <w:rPr>
          <w:rFonts w:eastAsiaTheme="minorHAnsi"/>
          <w:sz w:val="26"/>
          <w:szCs w:val="26"/>
        </w:rPr>
        <w:t>the Company’s</w:t>
      </w:r>
      <w:r w:rsidRPr="0059512A">
        <w:rPr>
          <w:rFonts w:eastAsiaTheme="minorHAnsi"/>
          <w:sz w:val="26"/>
          <w:szCs w:val="26"/>
        </w:rPr>
        <w:t xml:space="preserve"> risk factors is whether </w:t>
      </w:r>
      <w:r w:rsidR="00B31DC9" w:rsidRPr="0059512A">
        <w:rPr>
          <w:rFonts w:eastAsiaTheme="minorHAnsi"/>
          <w:sz w:val="26"/>
          <w:szCs w:val="26"/>
        </w:rPr>
        <w:t>Citizens’</w:t>
      </w:r>
      <w:r w:rsidRPr="0059512A">
        <w:rPr>
          <w:rFonts w:eastAsiaTheme="minorHAnsi"/>
          <w:sz w:val="26"/>
          <w:szCs w:val="26"/>
        </w:rPr>
        <w:t xml:space="preserve"> is considerably smaller than the companies in the electric utility proxy group.  The Company explained a market capitalization analysis was conducted by witness D’Ascendis to quantify the size risk.  Citizens’ stated Mr. D’Ascendis’ analysis found </w:t>
      </w:r>
      <w:r w:rsidRPr="0059512A">
        <w:rPr>
          <w:rFonts w:eastAsiaTheme="minorHAnsi"/>
          <w:sz w:val="26"/>
          <w:szCs w:val="26"/>
        </w:rPr>
        <w:lastRenderedPageBreak/>
        <w:t xml:space="preserve">that Citizens’ had a market capitalization of $26.840 million.  The Company added that when compared with an average company market capitalization of $16,675.447 </w:t>
      </w:r>
      <w:r w:rsidR="00B31DC9" w:rsidRPr="0059512A">
        <w:rPr>
          <w:rFonts w:eastAsiaTheme="minorHAnsi"/>
          <w:sz w:val="26"/>
          <w:szCs w:val="26"/>
        </w:rPr>
        <w:t xml:space="preserve">million </w:t>
      </w:r>
      <w:r w:rsidRPr="0059512A">
        <w:rPr>
          <w:rFonts w:eastAsiaTheme="minorHAnsi"/>
          <w:sz w:val="26"/>
          <w:szCs w:val="26"/>
        </w:rPr>
        <w:t>for the electric utility proxy group, this results in the group being 621.3 times greater than the Company.  Citizens’ M.B. at 96 (citing Citizens’ St. 2 at 44).</w:t>
      </w:r>
    </w:p>
    <w:p w14:paraId="62686F1C" w14:textId="5B7B7437" w:rsidR="00FD1A0E" w:rsidRPr="0059512A" w:rsidRDefault="00FD1A0E" w:rsidP="0059512A">
      <w:pPr>
        <w:widowControl/>
        <w:spacing w:line="360" w:lineRule="auto"/>
        <w:ind w:left="1440" w:hanging="720"/>
        <w:rPr>
          <w:sz w:val="26"/>
          <w:szCs w:val="26"/>
        </w:rPr>
      </w:pPr>
    </w:p>
    <w:p w14:paraId="6848694E" w14:textId="1316C039" w:rsidR="00FD1A0E" w:rsidRPr="0059512A" w:rsidRDefault="00FD1A0E" w:rsidP="0059512A">
      <w:pPr>
        <w:widowControl/>
        <w:spacing w:line="360" w:lineRule="auto"/>
        <w:ind w:firstLine="1440"/>
        <w:contextualSpacing/>
        <w:rPr>
          <w:rFonts w:eastAsiaTheme="minorHAnsi"/>
          <w:sz w:val="26"/>
          <w:szCs w:val="26"/>
        </w:rPr>
      </w:pPr>
      <w:r w:rsidRPr="0059512A">
        <w:rPr>
          <w:rFonts w:eastAsiaTheme="minorHAnsi"/>
          <w:sz w:val="26"/>
          <w:szCs w:val="26"/>
        </w:rPr>
        <w:t>The Company revealed Mr. D’Ascendis quantified the appropriate size adjustment by relying on “size premiums for portfolios of New York Stock Exchange (NYSE), American Stock Exchange (AMEX), and NASDAQ listed companies ranked by deciles for the 1926 to 2018 period.”  The Company explained the $16.7 billion market capitalization for the electric proxy group ranked in the 2</w:t>
      </w:r>
      <w:r w:rsidRPr="0059512A">
        <w:rPr>
          <w:rFonts w:eastAsiaTheme="minorHAnsi"/>
          <w:sz w:val="26"/>
          <w:szCs w:val="26"/>
          <w:vertAlign w:val="superscript"/>
        </w:rPr>
        <w:t>nd</w:t>
      </w:r>
      <w:r w:rsidRPr="0059512A">
        <w:rPr>
          <w:rFonts w:eastAsiaTheme="minorHAnsi"/>
          <w:sz w:val="26"/>
          <w:szCs w:val="26"/>
        </w:rPr>
        <w:t xml:space="preserve"> decile, while the $26.8 million market capitalization for Citizens’ ranked in the 10</w:t>
      </w:r>
      <w:r w:rsidRPr="0059512A">
        <w:rPr>
          <w:rFonts w:eastAsiaTheme="minorHAnsi"/>
          <w:sz w:val="26"/>
          <w:szCs w:val="26"/>
          <w:vertAlign w:val="superscript"/>
        </w:rPr>
        <w:t>th</w:t>
      </w:r>
      <w:r w:rsidRPr="0059512A">
        <w:rPr>
          <w:rFonts w:eastAsiaTheme="minorHAnsi"/>
          <w:sz w:val="26"/>
          <w:szCs w:val="26"/>
        </w:rPr>
        <w:t xml:space="preserve"> decile, resulting in a size premium spread of 4.70%.  </w:t>
      </w:r>
      <w:r w:rsidRPr="0059512A">
        <w:rPr>
          <w:rFonts w:eastAsiaTheme="minorHAnsi"/>
          <w:i/>
          <w:iCs/>
          <w:sz w:val="26"/>
          <w:szCs w:val="26"/>
        </w:rPr>
        <w:t>Id.</w:t>
      </w:r>
      <w:r w:rsidRPr="0059512A">
        <w:rPr>
          <w:rFonts w:eastAsiaTheme="minorHAnsi"/>
          <w:sz w:val="26"/>
          <w:szCs w:val="26"/>
        </w:rPr>
        <w:t xml:space="preserve"> (citing Citizens’ St. 2 at 45).  Further, Citizens’ noted Mr. D’Ascendis refined his analysis to include the average market capitalizations of the I&amp;E and OCA proxy groups and found similar results.  </w:t>
      </w:r>
      <w:r w:rsidRPr="0059512A">
        <w:rPr>
          <w:rFonts w:eastAsiaTheme="minorHAnsi"/>
          <w:i/>
          <w:iCs/>
          <w:sz w:val="26"/>
          <w:szCs w:val="26"/>
        </w:rPr>
        <w:t xml:space="preserve">Id. </w:t>
      </w:r>
      <w:r w:rsidRPr="0059512A">
        <w:rPr>
          <w:rFonts w:eastAsiaTheme="minorHAnsi"/>
          <w:sz w:val="26"/>
          <w:szCs w:val="26"/>
        </w:rPr>
        <w:t xml:space="preserve">(citing Citizens’ St. 2-R at 32; Citizens’ Exh._(DWD-1R), Sch. DWD-5R.).  Accordingly, Citizens’ recommended a size adjustment of 100-basis points (or 1.00%) to the Company’s ROE.  </w:t>
      </w:r>
      <w:r w:rsidRPr="0059512A">
        <w:rPr>
          <w:rFonts w:eastAsiaTheme="minorHAnsi"/>
          <w:i/>
          <w:iCs/>
          <w:sz w:val="26"/>
          <w:szCs w:val="26"/>
        </w:rPr>
        <w:t>Id.</w:t>
      </w:r>
      <w:r w:rsidRPr="0059512A">
        <w:rPr>
          <w:rFonts w:eastAsiaTheme="minorHAnsi"/>
          <w:sz w:val="26"/>
          <w:szCs w:val="26"/>
        </w:rPr>
        <w:t xml:space="preserve"> (citing Citizens’ St. 2 at 45).</w:t>
      </w:r>
    </w:p>
    <w:p w14:paraId="2A26432A" w14:textId="77777777" w:rsidR="00FD1A0E" w:rsidRPr="0059512A" w:rsidRDefault="00FD1A0E" w:rsidP="0059512A">
      <w:pPr>
        <w:widowControl/>
        <w:spacing w:line="360" w:lineRule="auto"/>
        <w:ind w:left="1440" w:hanging="720"/>
        <w:rPr>
          <w:sz w:val="26"/>
          <w:szCs w:val="26"/>
        </w:rPr>
      </w:pPr>
    </w:p>
    <w:p w14:paraId="480862C3" w14:textId="776733DE" w:rsidR="00FD1A0E" w:rsidRPr="0059512A" w:rsidRDefault="00FD1A0E" w:rsidP="0059512A">
      <w:pPr>
        <w:widowControl/>
        <w:spacing w:line="360" w:lineRule="auto"/>
        <w:ind w:firstLine="1440"/>
        <w:contextualSpacing/>
        <w:rPr>
          <w:rFonts w:eastAsiaTheme="minorHAnsi"/>
          <w:sz w:val="26"/>
          <w:szCs w:val="26"/>
        </w:rPr>
      </w:pPr>
      <w:r w:rsidRPr="0059512A">
        <w:rPr>
          <w:rFonts w:eastAsiaTheme="minorHAnsi"/>
          <w:sz w:val="26"/>
          <w:szCs w:val="26"/>
        </w:rPr>
        <w:t xml:space="preserve">The OCA witness Dr. </w:t>
      </w:r>
      <w:r w:rsidR="005A13D1" w:rsidRPr="0059512A">
        <w:rPr>
          <w:rFonts w:eastAsiaTheme="minorHAnsi"/>
          <w:sz w:val="26"/>
          <w:szCs w:val="26"/>
        </w:rPr>
        <w:t xml:space="preserve">David S. </w:t>
      </w:r>
      <w:r w:rsidRPr="0059512A">
        <w:rPr>
          <w:rFonts w:eastAsiaTheme="minorHAnsi"/>
          <w:sz w:val="26"/>
          <w:szCs w:val="26"/>
        </w:rPr>
        <w:t xml:space="preserve">Habr testified that an additional 100-basis point adjustment to ROE would be a burden for ratepayers.  Specifically, Dr. Habr stated, upon review of a Duff &amp; Phelps study on ordinary least squares (OLS) betas and size premiums data for each size decile, positive size premiums are associated with OLS betas that are greater than one.  Dr. Habr noted that all of the utility holding companies in the proxy groups in this proceeding have betas that were calculated using OLS and have values less than one.  Therefore, Dr. Habr suggests that if any adjustment is made for size, it should be a negative adjustment.  OCA R.B. at 30-31 (citing OCA St. 3 at 29-30).  In addition, Dr. Habr commented that if a utility company chooses to operate at such a small scale that its cost of common equity is increased, there is no reason for the </w:t>
      </w:r>
      <w:r w:rsidRPr="0059512A">
        <w:rPr>
          <w:rFonts w:eastAsiaTheme="minorHAnsi"/>
          <w:sz w:val="26"/>
          <w:szCs w:val="26"/>
        </w:rPr>
        <w:lastRenderedPageBreak/>
        <w:t>company’s customers to pay for increased costs resulting from the inefficient size of the utility.  OCA M.B. at 60 (citing</w:t>
      </w:r>
      <w:r w:rsidR="00B31DC9" w:rsidRPr="0059512A">
        <w:rPr>
          <w:rFonts w:eastAsiaTheme="minorHAnsi"/>
          <w:sz w:val="26"/>
          <w:szCs w:val="26"/>
        </w:rPr>
        <w:t xml:space="preserve"> OCA St. 3 at 29-30</w:t>
      </w:r>
      <w:r w:rsidRPr="0059512A">
        <w:rPr>
          <w:rFonts w:eastAsiaTheme="minorHAnsi"/>
          <w:sz w:val="26"/>
          <w:szCs w:val="26"/>
        </w:rPr>
        <w:t>)</w:t>
      </w:r>
      <w:r w:rsidR="00B31DC9" w:rsidRPr="0059512A">
        <w:rPr>
          <w:rFonts w:eastAsiaTheme="minorHAnsi"/>
          <w:sz w:val="26"/>
          <w:szCs w:val="26"/>
        </w:rPr>
        <w:t>.</w:t>
      </w:r>
    </w:p>
    <w:p w14:paraId="5332CDEC" w14:textId="607B8557" w:rsidR="00B32953" w:rsidRPr="0059512A" w:rsidRDefault="00B32953" w:rsidP="0059512A">
      <w:pPr>
        <w:widowControl/>
        <w:spacing w:line="360" w:lineRule="auto"/>
        <w:ind w:left="1440" w:hanging="720"/>
        <w:rPr>
          <w:b/>
          <w:bCs/>
          <w:sz w:val="26"/>
          <w:szCs w:val="26"/>
        </w:rPr>
      </w:pPr>
    </w:p>
    <w:p w14:paraId="15CA1589" w14:textId="5338F82D" w:rsidR="00FD1A0E" w:rsidRPr="0059512A" w:rsidRDefault="00FD1A0E" w:rsidP="0059512A">
      <w:pPr>
        <w:widowControl/>
        <w:spacing w:line="360" w:lineRule="auto"/>
        <w:ind w:firstLine="1440"/>
        <w:contextualSpacing/>
        <w:rPr>
          <w:rFonts w:eastAsiaTheme="minorHAnsi"/>
          <w:sz w:val="26"/>
          <w:szCs w:val="26"/>
        </w:rPr>
      </w:pPr>
      <w:r w:rsidRPr="0059512A">
        <w:rPr>
          <w:rFonts w:eastAsiaTheme="minorHAnsi"/>
          <w:sz w:val="26"/>
          <w:szCs w:val="26"/>
        </w:rPr>
        <w:t xml:space="preserve">Citizens’ disputed the OCA’s position, stating </w:t>
      </w:r>
      <w:r w:rsidR="00B31DC9" w:rsidRPr="0059512A">
        <w:rPr>
          <w:rFonts w:eastAsiaTheme="minorHAnsi"/>
          <w:sz w:val="26"/>
          <w:szCs w:val="26"/>
        </w:rPr>
        <w:t>its</w:t>
      </w:r>
      <w:r w:rsidRPr="0059512A">
        <w:rPr>
          <w:rFonts w:eastAsiaTheme="minorHAnsi"/>
          <w:sz w:val="26"/>
          <w:szCs w:val="26"/>
        </w:rPr>
        <w:t xml:space="preserve"> opposition to the size adjustment lacks merit.  Citizens’ M.B. at 99.  Specifically, the Company stated that the OCA does not offer an explanation to support its contention that OLS beta is more relevant than market capitalization to assess size risk.  Further, Citizens’ offered that its calculated size premium represents the </w:t>
      </w:r>
      <w:r w:rsidRPr="0059512A">
        <w:rPr>
          <w:rFonts w:eastAsiaTheme="minorHAnsi"/>
          <w:i/>
          <w:iCs/>
          <w:sz w:val="26"/>
          <w:szCs w:val="26"/>
        </w:rPr>
        <w:t>spread</w:t>
      </w:r>
      <w:r w:rsidRPr="0059512A">
        <w:rPr>
          <w:rFonts w:eastAsiaTheme="minorHAnsi"/>
          <w:sz w:val="26"/>
          <w:szCs w:val="26"/>
        </w:rPr>
        <w:t xml:space="preserve"> between Citizens’ decile size premium and the average proxy group decile size premium.  </w:t>
      </w:r>
      <w:r w:rsidRPr="0059512A">
        <w:rPr>
          <w:rFonts w:eastAsiaTheme="minorHAnsi"/>
          <w:i/>
          <w:iCs/>
          <w:sz w:val="26"/>
          <w:szCs w:val="26"/>
        </w:rPr>
        <w:t>Id.</w:t>
      </w:r>
      <w:r w:rsidRPr="0059512A">
        <w:rPr>
          <w:rFonts w:eastAsiaTheme="minorHAnsi"/>
          <w:sz w:val="26"/>
          <w:szCs w:val="26"/>
        </w:rPr>
        <w:t xml:space="preserve"> (emphasis in original).  The spread between decile 10 and decile 1, the Company continued, remains consistent with Citizens’ proposed size adjustment of 100-basis points, as demonstrated by the size premiums chart provided in OCA’s testimony.  Citizens’ M.B. at 99.</w:t>
      </w:r>
    </w:p>
    <w:p w14:paraId="7DB73291" w14:textId="2CBB9E22" w:rsidR="00FD1A0E" w:rsidRPr="0059512A" w:rsidRDefault="00FD1A0E" w:rsidP="0059512A">
      <w:pPr>
        <w:widowControl/>
        <w:spacing w:line="360" w:lineRule="auto"/>
        <w:ind w:left="1440" w:hanging="720"/>
        <w:rPr>
          <w:b/>
          <w:bCs/>
          <w:sz w:val="26"/>
          <w:szCs w:val="26"/>
        </w:rPr>
      </w:pPr>
    </w:p>
    <w:p w14:paraId="34AE56FE" w14:textId="2ABEB449" w:rsidR="00FD1A0E" w:rsidRPr="0059512A" w:rsidRDefault="00FD1A0E" w:rsidP="0059512A">
      <w:pPr>
        <w:widowControl/>
        <w:spacing w:line="360" w:lineRule="auto"/>
        <w:ind w:firstLine="1440"/>
        <w:rPr>
          <w:rFonts w:eastAsiaTheme="minorHAnsi"/>
          <w:i/>
          <w:iCs/>
          <w:sz w:val="26"/>
          <w:szCs w:val="26"/>
        </w:rPr>
      </w:pPr>
      <w:r w:rsidRPr="0059512A">
        <w:rPr>
          <w:rFonts w:eastAsiaTheme="minorHAnsi"/>
          <w:sz w:val="26"/>
          <w:szCs w:val="26"/>
        </w:rPr>
        <w:t xml:space="preserve">In addition, Citizens’ argued that the OCA argument that public utility customers should not be required to pay higher costs through a size adjustment runs contrary to the </w:t>
      </w:r>
      <w:r w:rsidRPr="0059512A">
        <w:rPr>
          <w:rFonts w:eastAsiaTheme="minorHAnsi"/>
          <w:i/>
          <w:iCs/>
          <w:sz w:val="26"/>
          <w:szCs w:val="26"/>
        </w:rPr>
        <w:t>Bluefield</w:t>
      </w:r>
      <w:r w:rsidRPr="0059512A">
        <w:rPr>
          <w:rFonts w:eastAsiaTheme="minorHAnsi"/>
          <w:sz w:val="26"/>
          <w:szCs w:val="26"/>
        </w:rPr>
        <w:t xml:space="preserve"> standard and should not be given weight.  The Company stated that the OCA’s argument that the Company’s operations are “inefficient” should be disregarded because it does not make an effort to quantify the customer benefits of being served by a smaller public utility, such as Citizens’.  </w:t>
      </w:r>
      <w:r w:rsidRPr="0059512A">
        <w:rPr>
          <w:rFonts w:eastAsiaTheme="minorHAnsi"/>
          <w:i/>
          <w:iCs/>
          <w:sz w:val="26"/>
          <w:szCs w:val="26"/>
        </w:rPr>
        <w:t>Id.</w:t>
      </w:r>
    </w:p>
    <w:p w14:paraId="71172451" w14:textId="1FD9226D" w:rsidR="00FD1A0E" w:rsidRPr="0059512A" w:rsidRDefault="00FD1A0E" w:rsidP="0059512A">
      <w:pPr>
        <w:widowControl/>
        <w:spacing w:line="360" w:lineRule="auto"/>
        <w:ind w:firstLine="1440"/>
        <w:rPr>
          <w:rFonts w:eastAsiaTheme="minorHAnsi"/>
          <w:i/>
          <w:iCs/>
          <w:sz w:val="26"/>
          <w:szCs w:val="26"/>
        </w:rPr>
      </w:pPr>
    </w:p>
    <w:p w14:paraId="7BCC00BB" w14:textId="1870CA28" w:rsidR="00B22E2B" w:rsidRPr="0059512A" w:rsidRDefault="00B22E2B" w:rsidP="0059512A">
      <w:pPr>
        <w:widowControl/>
        <w:spacing w:line="360" w:lineRule="auto"/>
        <w:ind w:firstLine="1440"/>
        <w:contextualSpacing/>
        <w:rPr>
          <w:rFonts w:eastAsiaTheme="minorHAnsi"/>
          <w:sz w:val="26"/>
          <w:szCs w:val="26"/>
        </w:rPr>
      </w:pPr>
      <w:r w:rsidRPr="0059512A">
        <w:rPr>
          <w:rFonts w:eastAsiaTheme="minorHAnsi"/>
          <w:sz w:val="26"/>
          <w:szCs w:val="26"/>
        </w:rPr>
        <w:t xml:space="preserve">I&amp;E witness </w:t>
      </w:r>
      <w:r w:rsidR="005A13D1" w:rsidRPr="0059512A">
        <w:rPr>
          <w:rFonts w:eastAsiaTheme="minorHAnsi"/>
          <w:sz w:val="26"/>
          <w:szCs w:val="26"/>
        </w:rPr>
        <w:t xml:space="preserve">Anthony </w:t>
      </w:r>
      <w:r w:rsidRPr="0059512A">
        <w:rPr>
          <w:rFonts w:eastAsiaTheme="minorHAnsi"/>
          <w:sz w:val="26"/>
          <w:szCs w:val="26"/>
        </w:rPr>
        <w:t xml:space="preserve">Spadaccio opposed Citizens’ size adjustment claims, citing the year-to-year variance of returns for large and small capitalization stocks listed on the NYSE, AMEX, and NASDAQ.  Further, Mr. Spadaccio opined that </w:t>
      </w:r>
      <w:r w:rsidR="00B31DC9" w:rsidRPr="0059512A">
        <w:rPr>
          <w:rFonts w:eastAsiaTheme="minorHAnsi"/>
          <w:sz w:val="26"/>
          <w:szCs w:val="26"/>
        </w:rPr>
        <w:t>the Company’s</w:t>
      </w:r>
      <w:r w:rsidRPr="0059512A">
        <w:rPr>
          <w:rFonts w:eastAsiaTheme="minorHAnsi"/>
          <w:sz w:val="26"/>
          <w:szCs w:val="26"/>
        </w:rPr>
        <w:t xml:space="preserve"> size adjustment is unnecessary and not appropriate because the technical literature supporting investment adjustments related to the size of a company is not </w:t>
      </w:r>
      <w:r w:rsidRPr="0059512A">
        <w:rPr>
          <w:rFonts w:eastAsiaTheme="minorHAnsi"/>
          <w:sz w:val="26"/>
          <w:szCs w:val="26"/>
        </w:rPr>
        <w:lastRenderedPageBreak/>
        <w:t>specific to the utility industry.  In addition, Mr. Spadaccio cited an article,</w:t>
      </w:r>
      <w:r w:rsidRPr="0059512A">
        <w:rPr>
          <w:rStyle w:val="FootnoteReference"/>
          <w:rFonts w:eastAsiaTheme="minorHAnsi"/>
          <w:sz w:val="26"/>
          <w:szCs w:val="26"/>
        </w:rPr>
        <w:footnoteReference w:id="17"/>
      </w:r>
      <w:r w:rsidRPr="0059512A">
        <w:rPr>
          <w:rFonts w:eastAsiaTheme="minorHAnsi"/>
          <w:sz w:val="26"/>
          <w:szCs w:val="26"/>
        </w:rPr>
        <w:t xml:space="preserve"> stating a size adjustment for risk </w:t>
      </w:r>
      <w:r w:rsidR="00D01DF1">
        <w:rPr>
          <w:rFonts w:eastAsiaTheme="minorHAnsi"/>
          <w:sz w:val="26"/>
          <w:szCs w:val="26"/>
        </w:rPr>
        <w:t xml:space="preserve">is </w:t>
      </w:r>
      <w:r w:rsidRPr="0059512A">
        <w:rPr>
          <w:rFonts w:eastAsiaTheme="minorHAnsi"/>
          <w:sz w:val="26"/>
          <w:szCs w:val="26"/>
        </w:rPr>
        <w:t xml:space="preserve">not applicable to utility companies.  I&amp;E M.B. at 50-51.  </w:t>
      </w:r>
    </w:p>
    <w:p w14:paraId="67C8E466" w14:textId="20EF0E93" w:rsidR="00B22E2B" w:rsidRPr="0059512A" w:rsidRDefault="00B22E2B" w:rsidP="0059512A">
      <w:pPr>
        <w:widowControl/>
        <w:spacing w:line="360" w:lineRule="auto"/>
        <w:ind w:firstLine="1440"/>
        <w:contextualSpacing/>
        <w:rPr>
          <w:rFonts w:eastAsiaTheme="minorHAnsi"/>
          <w:sz w:val="26"/>
          <w:szCs w:val="26"/>
        </w:rPr>
      </w:pPr>
    </w:p>
    <w:p w14:paraId="0E0ED800" w14:textId="14EFEA72" w:rsidR="00B22E2B" w:rsidRPr="0059512A" w:rsidRDefault="00B22E2B" w:rsidP="0059512A">
      <w:pPr>
        <w:widowControl/>
        <w:spacing w:line="360" w:lineRule="auto"/>
        <w:ind w:firstLine="1440"/>
        <w:contextualSpacing/>
        <w:rPr>
          <w:rFonts w:eastAsiaTheme="minorHAnsi"/>
          <w:sz w:val="26"/>
          <w:szCs w:val="26"/>
        </w:rPr>
      </w:pPr>
      <w:r w:rsidRPr="0059512A">
        <w:rPr>
          <w:rFonts w:eastAsiaTheme="minorHAnsi"/>
          <w:sz w:val="26"/>
          <w:szCs w:val="26"/>
        </w:rPr>
        <w:t>The Company responded to I&amp;E’s argument by pointing out inaccuracies in the article cited by Mr. Spadaccio.  Specifically, Citizens’ noted the study in the article understates the impact of size risk, because the author of the article erroneously equates “a change in size to beta coefficients, which accounts for only a small percentage of diversifiable company specific risk.”  Furthermore, the Company cited a more recent article</w:t>
      </w:r>
      <w:r w:rsidRPr="0059512A">
        <w:rPr>
          <w:rStyle w:val="FootnoteReference"/>
          <w:rFonts w:eastAsiaTheme="minorHAnsi"/>
          <w:sz w:val="26"/>
          <w:szCs w:val="26"/>
        </w:rPr>
        <w:footnoteReference w:id="18"/>
      </w:r>
      <w:r w:rsidRPr="0059512A">
        <w:rPr>
          <w:rFonts w:eastAsiaTheme="minorHAnsi"/>
          <w:sz w:val="26"/>
          <w:szCs w:val="26"/>
        </w:rPr>
        <w:t xml:space="preserve"> that criticized the study in the article cited by I&amp;E.  The article cited by Citizens’ noted there is support for smaller utilities being more risky than larger ones, to the extent that water utilities are representative of all utilities.  Citizens’ M.B. at 97 (citing Citizens’ St. 2-R at 33).</w:t>
      </w:r>
    </w:p>
    <w:p w14:paraId="5301D53B" w14:textId="085E0CA8" w:rsidR="00787B4A" w:rsidRPr="0059512A" w:rsidRDefault="00787B4A" w:rsidP="0059512A">
      <w:pPr>
        <w:widowControl/>
        <w:spacing w:line="360" w:lineRule="auto"/>
        <w:ind w:firstLine="1440"/>
        <w:contextualSpacing/>
        <w:rPr>
          <w:rFonts w:eastAsiaTheme="minorHAnsi"/>
          <w:sz w:val="26"/>
          <w:szCs w:val="26"/>
        </w:rPr>
      </w:pPr>
    </w:p>
    <w:p w14:paraId="14879B15" w14:textId="77777777" w:rsidR="00336E97" w:rsidRPr="0059512A" w:rsidRDefault="00336E97" w:rsidP="0059512A">
      <w:pPr>
        <w:widowControl/>
        <w:spacing w:line="360" w:lineRule="auto"/>
        <w:ind w:firstLine="1440"/>
        <w:contextualSpacing/>
        <w:rPr>
          <w:rFonts w:eastAsiaTheme="minorHAnsi"/>
          <w:sz w:val="26"/>
          <w:szCs w:val="26"/>
        </w:rPr>
      </w:pPr>
      <w:r w:rsidRPr="0059512A">
        <w:rPr>
          <w:rFonts w:eastAsiaTheme="minorHAnsi"/>
          <w:sz w:val="26"/>
          <w:szCs w:val="26"/>
        </w:rPr>
        <w:t>I&amp;E’s response to the Company argued that the article cited by Citizens’ does not contain enough credible evidence to refute the findings cited by the author of the original article on the subject.  I&amp;E M.B. at 51-52.</w:t>
      </w:r>
    </w:p>
    <w:p w14:paraId="31553EE2" w14:textId="77777777" w:rsidR="00336E97" w:rsidRPr="0059512A" w:rsidRDefault="00336E97" w:rsidP="0059512A">
      <w:pPr>
        <w:widowControl/>
        <w:spacing w:line="360" w:lineRule="auto"/>
        <w:ind w:firstLine="1440"/>
        <w:contextualSpacing/>
        <w:rPr>
          <w:rFonts w:eastAsiaTheme="minorHAnsi"/>
          <w:sz w:val="26"/>
          <w:szCs w:val="26"/>
        </w:rPr>
      </w:pPr>
    </w:p>
    <w:p w14:paraId="2E5A3E2B" w14:textId="77777777" w:rsidR="00336E97" w:rsidRPr="0059512A" w:rsidRDefault="00336E97" w:rsidP="0059512A">
      <w:pPr>
        <w:widowControl/>
        <w:spacing w:line="360" w:lineRule="auto"/>
        <w:ind w:firstLine="1440"/>
        <w:contextualSpacing/>
        <w:rPr>
          <w:rFonts w:eastAsiaTheme="minorHAnsi"/>
          <w:sz w:val="26"/>
          <w:szCs w:val="26"/>
        </w:rPr>
      </w:pPr>
      <w:bookmarkStart w:id="126" w:name="_Hlk36179334"/>
      <w:r w:rsidRPr="0059512A">
        <w:rPr>
          <w:rFonts w:eastAsiaTheme="minorHAnsi"/>
          <w:sz w:val="26"/>
          <w:szCs w:val="26"/>
        </w:rPr>
        <w:t xml:space="preserve">Citizens’ countered by citing a study conducted by witness D’Ascendis on whether size effect is applicable to utilities.  Specifically, the Company states Mr. D’Ascendis’ study calculated the ten-year coefficient of variation of net profit (or measure of risk) and current market capitalization (or measure of size) from each of the utilities’ </w:t>
      </w:r>
      <w:r w:rsidRPr="0059512A">
        <w:rPr>
          <w:rFonts w:eastAsiaTheme="minorHAnsi"/>
          <w:i/>
          <w:iCs/>
          <w:sz w:val="26"/>
          <w:szCs w:val="26"/>
        </w:rPr>
        <w:t>Value Line Ratings &amp; Reports</w:t>
      </w:r>
      <w:r w:rsidRPr="0059512A">
        <w:rPr>
          <w:rFonts w:eastAsiaTheme="minorHAnsi"/>
          <w:sz w:val="26"/>
          <w:szCs w:val="26"/>
        </w:rPr>
        <w:t xml:space="preserve">.  Mr. D’Ascendis concluded, after ranking the companies by size and risk, that approximately 9% of the change in risk is explained by size.  Citizens’ M.B. at 98-99 (citing Citizens’ St. 2-R at 35-36).  </w:t>
      </w:r>
      <w:bookmarkEnd w:id="126"/>
    </w:p>
    <w:p w14:paraId="6CAAB673" w14:textId="77777777" w:rsidR="00B32953" w:rsidRPr="0059512A" w:rsidRDefault="00B32953" w:rsidP="0059512A">
      <w:pPr>
        <w:widowControl/>
        <w:spacing w:line="360" w:lineRule="auto"/>
        <w:rPr>
          <w:b/>
          <w:bCs/>
          <w:sz w:val="26"/>
          <w:szCs w:val="26"/>
        </w:rPr>
      </w:pPr>
    </w:p>
    <w:p w14:paraId="3FA20D43" w14:textId="77777777" w:rsidR="000E05F3" w:rsidRPr="0059512A" w:rsidRDefault="000E05F3" w:rsidP="0059512A">
      <w:pPr>
        <w:pStyle w:val="ListParagraph"/>
        <w:keepNext/>
        <w:widowControl/>
        <w:spacing w:line="360" w:lineRule="auto"/>
        <w:ind w:left="2160" w:hanging="720"/>
        <w:rPr>
          <w:b/>
          <w:bCs/>
          <w:sz w:val="26"/>
          <w:szCs w:val="26"/>
        </w:rPr>
      </w:pPr>
      <w:r w:rsidRPr="0059512A">
        <w:rPr>
          <w:b/>
          <w:bCs/>
          <w:sz w:val="26"/>
          <w:szCs w:val="26"/>
        </w:rPr>
        <w:lastRenderedPageBreak/>
        <w:t>b.</w:t>
      </w:r>
      <w:r w:rsidRPr="0059512A">
        <w:rPr>
          <w:b/>
          <w:bCs/>
          <w:sz w:val="26"/>
          <w:szCs w:val="26"/>
        </w:rPr>
        <w:tab/>
        <w:t>Recommended Decision</w:t>
      </w:r>
    </w:p>
    <w:p w14:paraId="46E39EAD" w14:textId="4020BA7A" w:rsidR="000E05F3" w:rsidRPr="0059512A" w:rsidRDefault="000E05F3" w:rsidP="0059512A">
      <w:pPr>
        <w:pStyle w:val="ListParagraph"/>
        <w:keepNext/>
        <w:widowControl/>
        <w:spacing w:line="360" w:lineRule="auto"/>
        <w:rPr>
          <w:b/>
          <w:bCs/>
          <w:sz w:val="26"/>
          <w:szCs w:val="26"/>
        </w:rPr>
      </w:pPr>
    </w:p>
    <w:p w14:paraId="158E8881" w14:textId="77777777" w:rsidR="00AB1A60" w:rsidRPr="0059512A" w:rsidRDefault="00AB1A60" w:rsidP="0059512A">
      <w:pPr>
        <w:keepNext/>
        <w:widowControl/>
        <w:spacing w:line="360" w:lineRule="auto"/>
        <w:ind w:firstLine="1440"/>
        <w:contextualSpacing/>
        <w:rPr>
          <w:sz w:val="26"/>
          <w:szCs w:val="26"/>
        </w:rPr>
      </w:pPr>
      <w:r w:rsidRPr="0059512A">
        <w:rPr>
          <w:sz w:val="26"/>
          <w:szCs w:val="26"/>
        </w:rPr>
        <w:t xml:space="preserve">The ALJs recommended Citizens’ ROE be based upon the higher end of the DCF range to ensure a market-based result is utilized, while acknowledging the risk of a smaller utility.  The ALJs stated Citizens’ is significantly smaller than the companies in the proxy group, and it would face proportionally greater financial and business risk than a larger size utility.  The ALJs concluded that a smaller company would be impacted to a greater extent by such factors as storms, the loss of large customers, or events that impact the sale of electricity.  </w:t>
      </w:r>
    </w:p>
    <w:p w14:paraId="18177E21" w14:textId="77777777" w:rsidR="00AB1A60" w:rsidRPr="0059512A" w:rsidRDefault="00AB1A60" w:rsidP="0059512A">
      <w:pPr>
        <w:widowControl/>
        <w:spacing w:line="360" w:lineRule="auto"/>
        <w:ind w:firstLine="1440"/>
        <w:contextualSpacing/>
        <w:rPr>
          <w:sz w:val="26"/>
          <w:szCs w:val="26"/>
        </w:rPr>
      </w:pPr>
    </w:p>
    <w:p w14:paraId="584E737B" w14:textId="399872F7" w:rsidR="00AB1A60" w:rsidRPr="0059512A" w:rsidRDefault="00AB1A60" w:rsidP="0059512A">
      <w:pPr>
        <w:widowControl/>
        <w:spacing w:line="360" w:lineRule="auto"/>
        <w:ind w:firstLine="1440"/>
        <w:contextualSpacing/>
        <w:rPr>
          <w:sz w:val="26"/>
          <w:szCs w:val="26"/>
        </w:rPr>
      </w:pPr>
      <w:r w:rsidRPr="0059512A">
        <w:rPr>
          <w:sz w:val="26"/>
          <w:szCs w:val="26"/>
        </w:rPr>
        <w:t xml:space="preserve">Further, the ALJs recommended use of one standard deviation range of 7.05% to 9.49%, based on the average of the Company’s mean and median constant growth DCF results.  The ALJs represented the DCF results by utilizing a 9.49% </w:t>
      </w:r>
      <w:r w:rsidR="00B31DC9" w:rsidRPr="0059512A">
        <w:rPr>
          <w:sz w:val="26"/>
          <w:szCs w:val="26"/>
        </w:rPr>
        <w:t xml:space="preserve">valuation </w:t>
      </w:r>
      <w:r w:rsidRPr="0059512A">
        <w:rPr>
          <w:sz w:val="26"/>
          <w:szCs w:val="26"/>
        </w:rPr>
        <w:t>because the top of Citizens’ range falls below the top of the range for both I&amp;E and the OCA.  R.D. at 73-74.</w:t>
      </w:r>
    </w:p>
    <w:p w14:paraId="54B11810" w14:textId="77777777" w:rsidR="00AB1A60" w:rsidRPr="0059512A" w:rsidRDefault="00AB1A60" w:rsidP="0059512A">
      <w:pPr>
        <w:widowControl/>
        <w:spacing w:line="360" w:lineRule="auto"/>
        <w:ind w:firstLine="1440"/>
        <w:contextualSpacing/>
        <w:rPr>
          <w:sz w:val="26"/>
          <w:szCs w:val="26"/>
        </w:rPr>
      </w:pPr>
    </w:p>
    <w:p w14:paraId="28F50A9C" w14:textId="77777777" w:rsidR="00AB1A60" w:rsidRPr="0059512A" w:rsidRDefault="00AB1A60" w:rsidP="0059512A">
      <w:pPr>
        <w:widowControl/>
        <w:spacing w:line="360" w:lineRule="auto"/>
        <w:ind w:firstLine="1440"/>
        <w:contextualSpacing/>
        <w:rPr>
          <w:sz w:val="26"/>
          <w:szCs w:val="26"/>
        </w:rPr>
      </w:pPr>
      <w:bookmarkStart w:id="127" w:name="_Hlk36633663"/>
      <w:r w:rsidRPr="0059512A">
        <w:rPr>
          <w:sz w:val="26"/>
          <w:szCs w:val="26"/>
        </w:rPr>
        <w:t xml:space="preserve">The following charts summarize the results of the ALJs’ recommended </w:t>
      </w:r>
      <w:bookmarkEnd w:id="127"/>
      <w:r w:rsidRPr="0059512A">
        <w:rPr>
          <w:sz w:val="26"/>
          <w:szCs w:val="26"/>
        </w:rPr>
        <w:t>standard deviation range:</w:t>
      </w:r>
    </w:p>
    <w:p w14:paraId="3C960F4D" w14:textId="77777777" w:rsidR="00B31DC9" w:rsidRPr="0059512A" w:rsidRDefault="00B31DC9" w:rsidP="0059512A">
      <w:pPr>
        <w:widowControl/>
        <w:spacing w:line="360" w:lineRule="auto"/>
        <w:contextualSpacing/>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603"/>
        <w:gridCol w:w="667"/>
        <w:gridCol w:w="932"/>
        <w:gridCol w:w="926"/>
      </w:tblGrid>
      <w:tr w:rsidR="00AB1A60" w:rsidRPr="0059512A" w14:paraId="3980CD2A" w14:textId="77777777" w:rsidTr="00674E4E">
        <w:trPr>
          <w:trHeight w:hRule="exact" w:val="312"/>
          <w:jc w:val="center"/>
        </w:trPr>
        <w:tc>
          <w:tcPr>
            <w:tcW w:w="412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D30F055" w14:textId="77777777" w:rsidR="00AB1A60" w:rsidRPr="0059512A" w:rsidRDefault="00AB1A60" w:rsidP="00780984">
            <w:pPr>
              <w:keepNext/>
              <w:keepLines/>
              <w:widowControl/>
              <w:spacing w:before="39" w:line="273" w:lineRule="exact"/>
              <w:ind w:right="1597"/>
              <w:jc w:val="right"/>
              <w:textAlignment w:val="baseline"/>
              <w:rPr>
                <w:b/>
                <w:color w:val="000000"/>
                <w:sz w:val="24"/>
              </w:rPr>
            </w:pPr>
            <w:r w:rsidRPr="0059512A">
              <w:rPr>
                <w:b/>
                <w:color w:val="000000"/>
                <w:sz w:val="24"/>
              </w:rPr>
              <w:lastRenderedPageBreak/>
              <w:t>Citizens’</w:t>
            </w:r>
          </w:p>
        </w:tc>
      </w:tr>
      <w:tr w:rsidR="00AB1A60" w:rsidRPr="0059512A" w14:paraId="0F72ECCE" w14:textId="77777777" w:rsidTr="00674E4E">
        <w:trPr>
          <w:trHeight w:hRule="exact" w:val="312"/>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4B8765" w14:textId="77777777" w:rsidR="00AB1A60" w:rsidRPr="0059512A" w:rsidRDefault="00AB1A60" w:rsidP="00780984">
            <w:pPr>
              <w:keepNext/>
              <w:keepLines/>
              <w:widowControl/>
              <w:spacing w:before="43" w:line="259" w:lineRule="exact"/>
              <w:ind w:left="115"/>
              <w:textAlignment w:val="baseline"/>
              <w:rPr>
                <w:color w:val="000000"/>
                <w:sz w:val="24"/>
              </w:rPr>
            </w:pPr>
            <w:r w:rsidRPr="0059512A">
              <w:rPr>
                <w:color w:val="000000"/>
                <w:sz w:val="24"/>
              </w:rPr>
              <w:t>STD</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95FDF0" w14:textId="77777777" w:rsidR="00AB1A60" w:rsidRPr="0059512A" w:rsidRDefault="00AB1A60" w:rsidP="00780984">
            <w:pPr>
              <w:keepNext/>
              <w:keepLines/>
              <w:widowControl/>
              <w:tabs>
                <w:tab w:val="decimal" w:pos="288"/>
              </w:tabs>
              <w:spacing w:before="43" w:line="259" w:lineRule="exact"/>
              <w:textAlignment w:val="baseline"/>
              <w:rPr>
                <w:color w:val="000000"/>
                <w:sz w:val="24"/>
              </w:rPr>
            </w:pPr>
            <w:r w:rsidRPr="0059512A">
              <w:rPr>
                <w:color w:val="000000"/>
                <w:sz w:val="24"/>
              </w:rPr>
              <w:t>1.22</w:t>
            </w:r>
          </w:p>
        </w:tc>
        <w:tc>
          <w:tcPr>
            <w:tcW w:w="185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63BCEA2" w14:textId="77777777" w:rsidR="00AB1A60" w:rsidRPr="0059512A" w:rsidRDefault="00AB1A60" w:rsidP="00780984">
            <w:pPr>
              <w:keepNext/>
              <w:keepLines/>
              <w:widowControl/>
              <w:spacing w:before="34" w:line="268" w:lineRule="exact"/>
              <w:jc w:val="center"/>
              <w:textAlignment w:val="baseline"/>
              <w:rPr>
                <w:color w:val="000000"/>
                <w:sz w:val="24"/>
              </w:rPr>
            </w:pPr>
            <w:r w:rsidRPr="0059512A">
              <w:rPr>
                <w:color w:val="000000"/>
                <w:sz w:val="24"/>
              </w:rPr>
              <w:t>Range</w:t>
            </w:r>
          </w:p>
        </w:tc>
      </w:tr>
      <w:tr w:rsidR="00AB1A60" w:rsidRPr="0059512A" w14:paraId="5A21DF7E" w14:textId="77777777" w:rsidTr="00674E4E">
        <w:trPr>
          <w:trHeight w:hRule="exact" w:val="307"/>
          <w:jc w:val="center"/>
        </w:trPr>
        <w:tc>
          <w:tcPr>
            <w:tcW w:w="227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F3470B" w14:textId="77777777" w:rsidR="00AB1A60" w:rsidRPr="0059512A" w:rsidRDefault="00AB1A60" w:rsidP="00780984">
            <w:pPr>
              <w:keepNext/>
              <w:keepLines/>
              <w:widowControl/>
              <w:spacing w:before="43" w:line="249" w:lineRule="exact"/>
              <w:ind w:right="517"/>
              <w:jc w:val="right"/>
              <w:textAlignment w:val="baseline"/>
              <w:rPr>
                <w:color w:val="000000"/>
                <w:sz w:val="24"/>
              </w:rPr>
            </w:pPr>
            <w:r w:rsidRPr="0059512A">
              <w:rPr>
                <w:color w:val="000000"/>
                <w:sz w:val="24"/>
              </w:rPr>
              <w:t>DCF Results</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F95147" w14:textId="77777777" w:rsidR="00AB1A60" w:rsidRPr="0059512A" w:rsidRDefault="00AB1A60" w:rsidP="00780984">
            <w:pPr>
              <w:keepNext/>
              <w:keepLines/>
              <w:widowControl/>
              <w:spacing w:before="43" w:line="249" w:lineRule="exact"/>
              <w:ind w:right="201"/>
              <w:jc w:val="right"/>
              <w:textAlignment w:val="baseline"/>
              <w:rPr>
                <w:color w:val="000000"/>
                <w:sz w:val="24"/>
              </w:rPr>
            </w:pPr>
            <w:r w:rsidRPr="0059512A">
              <w:rPr>
                <w:color w:val="000000"/>
                <w:sz w:val="24"/>
              </w:rPr>
              <w:t>Upper</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AFFA4A" w14:textId="77777777" w:rsidR="00AB1A60" w:rsidRPr="0059512A" w:rsidRDefault="00AB1A60" w:rsidP="00780984">
            <w:pPr>
              <w:keepNext/>
              <w:keepLines/>
              <w:widowControl/>
              <w:spacing w:before="43" w:line="249" w:lineRule="exact"/>
              <w:ind w:right="115"/>
              <w:jc w:val="right"/>
              <w:textAlignment w:val="baseline"/>
              <w:rPr>
                <w:color w:val="000000"/>
                <w:sz w:val="24"/>
              </w:rPr>
            </w:pPr>
            <w:r w:rsidRPr="0059512A">
              <w:rPr>
                <w:color w:val="000000"/>
                <w:sz w:val="24"/>
              </w:rPr>
              <w:t>Lower</w:t>
            </w:r>
          </w:p>
        </w:tc>
      </w:tr>
      <w:tr w:rsidR="00AB1A60" w:rsidRPr="0059512A" w14:paraId="05BF725A" w14:textId="77777777" w:rsidTr="00674E4E">
        <w:trPr>
          <w:trHeight w:hRule="exact" w:val="312"/>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87D337" w14:textId="77777777" w:rsidR="00AB1A60" w:rsidRPr="0059512A" w:rsidRDefault="00AB1A60" w:rsidP="00780984">
            <w:pPr>
              <w:keepNext/>
              <w:keepLines/>
              <w:widowControl/>
              <w:spacing w:before="48" w:line="254" w:lineRule="exact"/>
              <w:ind w:left="115"/>
              <w:textAlignment w:val="baseline"/>
              <w:rPr>
                <w:color w:val="000000"/>
                <w:sz w:val="24"/>
              </w:rPr>
            </w:pPr>
            <w:r w:rsidRPr="0059512A">
              <w:rPr>
                <w:color w:val="000000"/>
                <w:sz w:val="24"/>
              </w:rPr>
              <w:t>Mean (1)</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BEDB24" w14:textId="77777777" w:rsidR="00AB1A60" w:rsidRPr="0059512A" w:rsidRDefault="00AB1A60" w:rsidP="00780984">
            <w:pPr>
              <w:keepNext/>
              <w:keepLines/>
              <w:widowControl/>
              <w:tabs>
                <w:tab w:val="decimal" w:pos="288"/>
              </w:tabs>
              <w:spacing w:before="48" w:line="254" w:lineRule="exact"/>
              <w:textAlignment w:val="baseline"/>
              <w:rPr>
                <w:color w:val="000000"/>
                <w:sz w:val="24"/>
              </w:rPr>
            </w:pPr>
            <w:r w:rsidRPr="0059512A">
              <w:rPr>
                <w:color w:val="000000"/>
                <w:sz w:val="24"/>
              </w:rPr>
              <w:t>8.19</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E9DF14" w14:textId="77777777" w:rsidR="00AB1A60" w:rsidRPr="0059512A" w:rsidRDefault="00AB1A60" w:rsidP="00780984">
            <w:pPr>
              <w:keepNext/>
              <w:keepLines/>
              <w:widowControl/>
              <w:tabs>
                <w:tab w:val="decimal" w:pos="504"/>
              </w:tabs>
              <w:spacing w:before="48" w:line="254" w:lineRule="exact"/>
              <w:textAlignment w:val="baseline"/>
              <w:rPr>
                <w:color w:val="000000"/>
                <w:sz w:val="24"/>
              </w:rPr>
            </w:pPr>
            <w:r w:rsidRPr="0059512A">
              <w:rPr>
                <w:color w:val="000000"/>
                <w:sz w:val="24"/>
              </w:rPr>
              <w:t>9.41</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1FC46D" w14:textId="77777777" w:rsidR="00AB1A60" w:rsidRPr="0059512A" w:rsidRDefault="00AB1A60" w:rsidP="00780984">
            <w:pPr>
              <w:keepNext/>
              <w:keepLines/>
              <w:widowControl/>
              <w:tabs>
                <w:tab w:val="decimal" w:pos="504"/>
              </w:tabs>
              <w:spacing w:before="48" w:line="254" w:lineRule="exact"/>
              <w:textAlignment w:val="baseline"/>
              <w:rPr>
                <w:color w:val="000000"/>
                <w:sz w:val="24"/>
              </w:rPr>
            </w:pPr>
            <w:r w:rsidRPr="0059512A">
              <w:rPr>
                <w:color w:val="000000"/>
                <w:sz w:val="24"/>
              </w:rPr>
              <w:t>6.97</w:t>
            </w:r>
          </w:p>
        </w:tc>
      </w:tr>
      <w:tr w:rsidR="00AB1A60" w:rsidRPr="0059512A" w14:paraId="0A2F4614" w14:textId="77777777" w:rsidTr="00674E4E">
        <w:trPr>
          <w:trHeight w:hRule="exact" w:val="312"/>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9297A0" w14:textId="77777777" w:rsidR="00AB1A60" w:rsidRPr="0059512A" w:rsidRDefault="00AB1A60" w:rsidP="00780984">
            <w:pPr>
              <w:keepNext/>
              <w:keepLines/>
              <w:widowControl/>
              <w:spacing w:before="44" w:line="263" w:lineRule="exact"/>
              <w:ind w:left="115"/>
              <w:textAlignment w:val="baseline"/>
              <w:rPr>
                <w:color w:val="000000"/>
                <w:sz w:val="24"/>
              </w:rPr>
            </w:pPr>
            <w:r w:rsidRPr="0059512A">
              <w:rPr>
                <w:color w:val="000000"/>
                <w:sz w:val="24"/>
              </w:rPr>
              <w:t>Median (2)</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CFA00E" w14:textId="77777777" w:rsidR="00AB1A60" w:rsidRPr="0059512A" w:rsidRDefault="00AB1A60" w:rsidP="00780984">
            <w:pPr>
              <w:keepNext/>
              <w:keepLines/>
              <w:widowControl/>
              <w:tabs>
                <w:tab w:val="decimal" w:pos="288"/>
              </w:tabs>
              <w:spacing w:before="44" w:line="263" w:lineRule="exact"/>
              <w:textAlignment w:val="baseline"/>
              <w:rPr>
                <w:color w:val="000000"/>
                <w:sz w:val="24"/>
              </w:rPr>
            </w:pPr>
            <w:r w:rsidRPr="0059512A">
              <w:rPr>
                <w:color w:val="000000"/>
                <w:sz w:val="24"/>
              </w:rPr>
              <w:t>8.35</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3C0523" w14:textId="77777777" w:rsidR="00AB1A60" w:rsidRPr="0059512A" w:rsidRDefault="00AB1A60" w:rsidP="00780984">
            <w:pPr>
              <w:keepNext/>
              <w:keepLines/>
              <w:widowControl/>
              <w:tabs>
                <w:tab w:val="decimal" w:pos="504"/>
              </w:tabs>
              <w:spacing w:before="44" w:line="263" w:lineRule="exact"/>
              <w:textAlignment w:val="baseline"/>
              <w:rPr>
                <w:color w:val="000000"/>
                <w:sz w:val="24"/>
              </w:rPr>
            </w:pPr>
            <w:r w:rsidRPr="0059512A">
              <w:rPr>
                <w:color w:val="000000"/>
                <w:sz w:val="24"/>
              </w:rPr>
              <w:t>9.57</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9DF791" w14:textId="77777777" w:rsidR="00AB1A60" w:rsidRPr="0059512A" w:rsidRDefault="00AB1A60" w:rsidP="00780984">
            <w:pPr>
              <w:keepNext/>
              <w:keepLines/>
              <w:widowControl/>
              <w:tabs>
                <w:tab w:val="decimal" w:pos="504"/>
              </w:tabs>
              <w:spacing w:before="44" w:line="263" w:lineRule="exact"/>
              <w:textAlignment w:val="baseline"/>
              <w:rPr>
                <w:color w:val="000000"/>
                <w:sz w:val="24"/>
              </w:rPr>
            </w:pPr>
            <w:r w:rsidRPr="0059512A">
              <w:rPr>
                <w:color w:val="000000"/>
                <w:sz w:val="24"/>
              </w:rPr>
              <w:t>7.13</w:t>
            </w:r>
          </w:p>
        </w:tc>
      </w:tr>
      <w:tr w:rsidR="00AB1A60" w:rsidRPr="0059512A" w14:paraId="76F093FE" w14:textId="77777777" w:rsidTr="00674E4E">
        <w:trPr>
          <w:trHeight w:hRule="exact" w:val="312"/>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A01CEB" w14:textId="77777777" w:rsidR="00AB1A60" w:rsidRPr="0059512A" w:rsidRDefault="00AB1A60" w:rsidP="00780984">
            <w:pPr>
              <w:keepNext/>
              <w:keepLines/>
              <w:widowControl/>
              <w:spacing w:before="44" w:line="253" w:lineRule="exact"/>
              <w:ind w:left="115"/>
              <w:textAlignment w:val="baseline"/>
              <w:rPr>
                <w:color w:val="000000"/>
                <w:sz w:val="24"/>
              </w:rPr>
            </w:pPr>
            <w:r w:rsidRPr="0059512A">
              <w:rPr>
                <w:color w:val="000000"/>
                <w:sz w:val="24"/>
              </w:rPr>
              <w:t>Avg. (1+2)</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82514A" w14:textId="77777777" w:rsidR="00AB1A60" w:rsidRPr="0059512A" w:rsidRDefault="00AB1A60" w:rsidP="00780984">
            <w:pPr>
              <w:keepNext/>
              <w:keepLines/>
              <w:widowControl/>
              <w:tabs>
                <w:tab w:val="decimal" w:pos="288"/>
              </w:tabs>
              <w:spacing w:before="44" w:line="253" w:lineRule="exact"/>
              <w:textAlignment w:val="baseline"/>
              <w:rPr>
                <w:color w:val="000000"/>
                <w:sz w:val="24"/>
              </w:rPr>
            </w:pPr>
            <w:r w:rsidRPr="0059512A">
              <w:rPr>
                <w:color w:val="000000"/>
                <w:sz w:val="24"/>
              </w:rPr>
              <w:t>8.27</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756FA2" w14:textId="77777777" w:rsidR="00AB1A60" w:rsidRPr="0059512A" w:rsidRDefault="00AB1A60" w:rsidP="00780984">
            <w:pPr>
              <w:keepNext/>
              <w:keepLines/>
              <w:widowControl/>
              <w:tabs>
                <w:tab w:val="decimal" w:pos="504"/>
              </w:tabs>
              <w:spacing w:before="44" w:line="253" w:lineRule="exact"/>
              <w:textAlignment w:val="baseline"/>
              <w:rPr>
                <w:b/>
                <w:color w:val="000000"/>
                <w:sz w:val="24"/>
              </w:rPr>
            </w:pPr>
            <w:r w:rsidRPr="0059512A">
              <w:rPr>
                <w:b/>
                <w:color w:val="000000"/>
                <w:sz w:val="24"/>
              </w:rPr>
              <w:t>9.49</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4854F8" w14:textId="77777777" w:rsidR="00AB1A60" w:rsidRPr="0059512A" w:rsidRDefault="00AB1A60" w:rsidP="00780984">
            <w:pPr>
              <w:keepNext/>
              <w:keepLines/>
              <w:widowControl/>
              <w:tabs>
                <w:tab w:val="decimal" w:pos="504"/>
              </w:tabs>
              <w:spacing w:before="44" w:line="253" w:lineRule="exact"/>
              <w:textAlignment w:val="baseline"/>
              <w:rPr>
                <w:b/>
                <w:color w:val="000000"/>
                <w:sz w:val="24"/>
              </w:rPr>
            </w:pPr>
            <w:r w:rsidRPr="0059512A">
              <w:rPr>
                <w:b/>
                <w:color w:val="000000"/>
                <w:sz w:val="24"/>
              </w:rPr>
              <w:t>7.05</w:t>
            </w:r>
          </w:p>
        </w:tc>
      </w:tr>
    </w:tbl>
    <w:p w14:paraId="066A78AE" w14:textId="77777777" w:rsidR="00AB1A60" w:rsidRPr="0059512A" w:rsidRDefault="00AB1A60" w:rsidP="00780984">
      <w:pPr>
        <w:keepNext/>
        <w:keepLines/>
        <w:widowControl/>
        <w:spacing w:line="360" w:lineRule="auto"/>
        <w:ind w:firstLine="1440"/>
        <w:contextualSpacing/>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603"/>
        <w:gridCol w:w="667"/>
        <w:gridCol w:w="932"/>
        <w:gridCol w:w="926"/>
      </w:tblGrid>
      <w:tr w:rsidR="00AB1A60" w:rsidRPr="0059512A" w14:paraId="6410EBC8" w14:textId="77777777" w:rsidTr="00674E4E">
        <w:trPr>
          <w:trHeight w:hRule="exact" w:val="317"/>
          <w:jc w:val="center"/>
        </w:trPr>
        <w:tc>
          <w:tcPr>
            <w:tcW w:w="412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DA45300" w14:textId="77777777" w:rsidR="00AB1A60" w:rsidRPr="0059512A" w:rsidRDefault="00AB1A60" w:rsidP="00780984">
            <w:pPr>
              <w:keepNext/>
              <w:keepLines/>
              <w:widowControl/>
              <w:spacing w:before="48" w:line="269" w:lineRule="exact"/>
              <w:ind w:right="1777"/>
              <w:jc w:val="right"/>
              <w:textAlignment w:val="baseline"/>
              <w:rPr>
                <w:b/>
                <w:color w:val="000000"/>
                <w:sz w:val="24"/>
              </w:rPr>
            </w:pPr>
            <w:r w:rsidRPr="0059512A">
              <w:rPr>
                <w:b/>
                <w:color w:val="000000"/>
                <w:sz w:val="24"/>
              </w:rPr>
              <w:t>OCA</w:t>
            </w:r>
          </w:p>
        </w:tc>
      </w:tr>
      <w:tr w:rsidR="00AB1A60" w:rsidRPr="0059512A" w14:paraId="1160188A" w14:textId="77777777" w:rsidTr="00674E4E">
        <w:trPr>
          <w:trHeight w:hRule="exact" w:val="307"/>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324E1D" w14:textId="77777777" w:rsidR="00AB1A60" w:rsidRPr="0059512A" w:rsidRDefault="00AB1A60" w:rsidP="00780984">
            <w:pPr>
              <w:keepNext/>
              <w:keepLines/>
              <w:widowControl/>
              <w:spacing w:before="43" w:line="259" w:lineRule="exact"/>
              <w:ind w:left="115"/>
              <w:textAlignment w:val="baseline"/>
              <w:rPr>
                <w:color w:val="000000"/>
                <w:sz w:val="24"/>
              </w:rPr>
            </w:pPr>
            <w:r w:rsidRPr="0059512A">
              <w:rPr>
                <w:color w:val="000000"/>
                <w:sz w:val="24"/>
              </w:rPr>
              <w:t>STD</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EBB568" w14:textId="77777777" w:rsidR="00AB1A60" w:rsidRPr="0059512A" w:rsidRDefault="00AB1A60" w:rsidP="00780984">
            <w:pPr>
              <w:keepNext/>
              <w:keepLines/>
              <w:widowControl/>
              <w:tabs>
                <w:tab w:val="decimal" w:pos="288"/>
              </w:tabs>
              <w:spacing w:before="43" w:line="259" w:lineRule="exact"/>
              <w:textAlignment w:val="baseline"/>
              <w:rPr>
                <w:color w:val="000000"/>
                <w:sz w:val="24"/>
              </w:rPr>
            </w:pPr>
            <w:r w:rsidRPr="0059512A">
              <w:rPr>
                <w:color w:val="000000"/>
                <w:sz w:val="24"/>
              </w:rPr>
              <w:t>1.39</w:t>
            </w:r>
          </w:p>
        </w:tc>
        <w:tc>
          <w:tcPr>
            <w:tcW w:w="185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9B2ED3" w14:textId="77777777" w:rsidR="00AB1A60" w:rsidRPr="0059512A" w:rsidRDefault="00AB1A60" w:rsidP="00780984">
            <w:pPr>
              <w:keepNext/>
              <w:keepLines/>
              <w:widowControl/>
              <w:spacing w:line="273" w:lineRule="exact"/>
              <w:jc w:val="center"/>
              <w:textAlignment w:val="baseline"/>
              <w:rPr>
                <w:color w:val="000000"/>
                <w:sz w:val="24"/>
              </w:rPr>
            </w:pPr>
            <w:r w:rsidRPr="0059512A">
              <w:rPr>
                <w:color w:val="000000"/>
                <w:sz w:val="24"/>
              </w:rPr>
              <w:t>Range</w:t>
            </w:r>
          </w:p>
        </w:tc>
      </w:tr>
      <w:tr w:rsidR="00AB1A60" w:rsidRPr="0059512A" w14:paraId="4B387686" w14:textId="77777777" w:rsidTr="00674E4E">
        <w:trPr>
          <w:trHeight w:hRule="exact" w:val="312"/>
          <w:jc w:val="center"/>
        </w:trPr>
        <w:tc>
          <w:tcPr>
            <w:tcW w:w="227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9A2F57" w14:textId="77777777" w:rsidR="00AB1A60" w:rsidRPr="0059512A" w:rsidRDefault="00AB1A60" w:rsidP="00780984">
            <w:pPr>
              <w:keepNext/>
              <w:keepLines/>
              <w:widowControl/>
              <w:spacing w:before="44" w:line="253" w:lineRule="exact"/>
              <w:ind w:right="517"/>
              <w:jc w:val="right"/>
              <w:textAlignment w:val="baseline"/>
              <w:rPr>
                <w:color w:val="000000"/>
                <w:sz w:val="24"/>
              </w:rPr>
            </w:pPr>
            <w:r w:rsidRPr="0059512A">
              <w:rPr>
                <w:color w:val="000000"/>
                <w:sz w:val="24"/>
              </w:rPr>
              <w:t>DCF Results</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6E1D6" w14:textId="77777777" w:rsidR="00AB1A60" w:rsidRPr="0059512A" w:rsidRDefault="00AB1A60" w:rsidP="00780984">
            <w:pPr>
              <w:keepNext/>
              <w:keepLines/>
              <w:widowControl/>
              <w:spacing w:before="44" w:line="253" w:lineRule="exact"/>
              <w:ind w:right="201"/>
              <w:jc w:val="right"/>
              <w:textAlignment w:val="baseline"/>
              <w:rPr>
                <w:color w:val="000000"/>
                <w:sz w:val="24"/>
              </w:rPr>
            </w:pPr>
            <w:r w:rsidRPr="0059512A">
              <w:rPr>
                <w:color w:val="000000"/>
                <w:sz w:val="24"/>
              </w:rPr>
              <w:t>Upper</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E2C8A7" w14:textId="77777777" w:rsidR="00AB1A60" w:rsidRPr="0059512A" w:rsidRDefault="00AB1A60" w:rsidP="00780984">
            <w:pPr>
              <w:keepNext/>
              <w:keepLines/>
              <w:widowControl/>
              <w:spacing w:before="44" w:line="253" w:lineRule="exact"/>
              <w:ind w:right="115"/>
              <w:jc w:val="right"/>
              <w:textAlignment w:val="baseline"/>
              <w:rPr>
                <w:color w:val="000000"/>
                <w:sz w:val="24"/>
              </w:rPr>
            </w:pPr>
            <w:r w:rsidRPr="0059512A">
              <w:rPr>
                <w:color w:val="000000"/>
                <w:sz w:val="24"/>
              </w:rPr>
              <w:t>Lower</w:t>
            </w:r>
          </w:p>
        </w:tc>
      </w:tr>
      <w:tr w:rsidR="00AB1A60" w:rsidRPr="0059512A" w14:paraId="6F6F13E2" w14:textId="77777777" w:rsidTr="00674E4E">
        <w:trPr>
          <w:trHeight w:hRule="exact" w:val="312"/>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27D3F0" w14:textId="77777777" w:rsidR="00AB1A60" w:rsidRPr="0059512A" w:rsidRDefault="00AB1A60" w:rsidP="00780984">
            <w:pPr>
              <w:keepNext/>
              <w:keepLines/>
              <w:widowControl/>
              <w:spacing w:before="44" w:line="258" w:lineRule="exact"/>
              <w:ind w:left="115"/>
              <w:textAlignment w:val="baseline"/>
              <w:rPr>
                <w:color w:val="000000"/>
                <w:sz w:val="24"/>
              </w:rPr>
            </w:pPr>
            <w:r w:rsidRPr="0059512A">
              <w:rPr>
                <w:color w:val="000000"/>
                <w:sz w:val="24"/>
              </w:rPr>
              <w:t>Mean (1)</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FA6F30" w14:textId="77777777" w:rsidR="00AB1A60" w:rsidRPr="0059512A" w:rsidRDefault="00AB1A60" w:rsidP="00780984">
            <w:pPr>
              <w:keepNext/>
              <w:keepLines/>
              <w:widowControl/>
              <w:tabs>
                <w:tab w:val="decimal" w:pos="288"/>
              </w:tabs>
              <w:spacing w:before="44" w:line="258" w:lineRule="exact"/>
              <w:textAlignment w:val="baseline"/>
              <w:rPr>
                <w:color w:val="000000"/>
                <w:sz w:val="24"/>
              </w:rPr>
            </w:pPr>
            <w:r w:rsidRPr="0059512A">
              <w:rPr>
                <w:color w:val="000000"/>
                <w:sz w:val="24"/>
              </w:rPr>
              <w:t>8.35</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884579" w14:textId="77777777" w:rsidR="00AB1A60" w:rsidRPr="0059512A" w:rsidRDefault="00AB1A60" w:rsidP="00780984">
            <w:pPr>
              <w:keepNext/>
              <w:keepLines/>
              <w:widowControl/>
              <w:tabs>
                <w:tab w:val="decimal" w:pos="504"/>
              </w:tabs>
              <w:spacing w:before="44" w:line="258" w:lineRule="exact"/>
              <w:textAlignment w:val="baseline"/>
              <w:rPr>
                <w:color w:val="000000"/>
                <w:sz w:val="24"/>
              </w:rPr>
            </w:pPr>
            <w:r w:rsidRPr="0059512A">
              <w:rPr>
                <w:color w:val="000000"/>
                <w:sz w:val="24"/>
              </w:rPr>
              <w:t>9.74</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DE2646" w14:textId="77777777" w:rsidR="00AB1A60" w:rsidRPr="0059512A" w:rsidRDefault="00AB1A60" w:rsidP="00780984">
            <w:pPr>
              <w:keepNext/>
              <w:keepLines/>
              <w:widowControl/>
              <w:tabs>
                <w:tab w:val="decimal" w:pos="504"/>
              </w:tabs>
              <w:spacing w:before="44" w:line="258" w:lineRule="exact"/>
              <w:textAlignment w:val="baseline"/>
              <w:rPr>
                <w:color w:val="000000"/>
                <w:sz w:val="24"/>
              </w:rPr>
            </w:pPr>
            <w:r w:rsidRPr="0059512A">
              <w:rPr>
                <w:color w:val="000000"/>
                <w:sz w:val="24"/>
              </w:rPr>
              <w:t>6.96</w:t>
            </w:r>
          </w:p>
        </w:tc>
      </w:tr>
      <w:tr w:rsidR="00AB1A60" w:rsidRPr="0059512A" w14:paraId="6A721FFE" w14:textId="77777777" w:rsidTr="00674E4E">
        <w:trPr>
          <w:trHeight w:hRule="exact" w:val="322"/>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5AB7BF" w14:textId="77777777" w:rsidR="00AB1A60" w:rsidRPr="0059512A" w:rsidRDefault="00AB1A60" w:rsidP="00780984">
            <w:pPr>
              <w:keepNext/>
              <w:keepLines/>
              <w:widowControl/>
              <w:spacing w:before="58" w:line="263" w:lineRule="exact"/>
              <w:ind w:left="115"/>
              <w:textAlignment w:val="baseline"/>
              <w:rPr>
                <w:color w:val="000000"/>
                <w:sz w:val="24"/>
              </w:rPr>
            </w:pPr>
            <w:r w:rsidRPr="0059512A">
              <w:rPr>
                <w:color w:val="000000"/>
                <w:sz w:val="24"/>
              </w:rPr>
              <w:t>Median (2)</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47CA91" w14:textId="77777777" w:rsidR="00AB1A60" w:rsidRPr="0059512A" w:rsidRDefault="00AB1A60" w:rsidP="00780984">
            <w:pPr>
              <w:keepNext/>
              <w:keepLines/>
              <w:widowControl/>
              <w:tabs>
                <w:tab w:val="decimal" w:pos="288"/>
              </w:tabs>
              <w:spacing w:before="58" w:line="263" w:lineRule="exact"/>
              <w:textAlignment w:val="baseline"/>
              <w:rPr>
                <w:color w:val="000000"/>
                <w:sz w:val="24"/>
              </w:rPr>
            </w:pPr>
            <w:r w:rsidRPr="0059512A">
              <w:rPr>
                <w:color w:val="000000"/>
                <w:sz w:val="24"/>
              </w:rPr>
              <w:t>8.54</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32EEA6" w14:textId="77777777" w:rsidR="00AB1A60" w:rsidRPr="0059512A" w:rsidRDefault="00AB1A60" w:rsidP="00780984">
            <w:pPr>
              <w:keepNext/>
              <w:keepLines/>
              <w:widowControl/>
              <w:tabs>
                <w:tab w:val="decimal" w:pos="504"/>
              </w:tabs>
              <w:spacing w:before="58" w:line="263" w:lineRule="exact"/>
              <w:textAlignment w:val="baseline"/>
              <w:rPr>
                <w:color w:val="000000"/>
                <w:sz w:val="24"/>
              </w:rPr>
            </w:pPr>
            <w:r w:rsidRPr="0059512A">
              <w:rPr>
                <w:color w:val="000000"/>
                <w:sz w:val="24"/>
              </w:rPr>
              <w:t>9.93</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FA2534" w14:textId="77777777" w:rsidR="00AB1A60" w:rsidRPr="0059512A" w:rsidRDefault="00AB1A60" w:rsidP="00780984">
            <w:pPr>
              <w:keepNext/>
              <w:keepLines/>
              <w:widowControl/>
              <w:tabs>
                <w:tab w:val="decimal" w:pos="504"/>
              </w:tabs>
              <w:spacing w:before="58" w:line="263" w:lineRule="exact"/>
              <w:textAlignment w:val="baseline"/>
              <w:rPr>
                <w:color w:val="000000"/>
                <w:sz w:val="24"/>
              </w:rPr>
            </w:pPr>
            <w:r w:rsidRPr="0059512A">
              <w:rPr>
                <w:color w:val="000000"/>
                <w:sz w:val="24"/>
              </w:rPr>
              <w:t>7.15</w:t>
            </w:r>
          </w:p>
        </w:tc>
      </w:tr>
      <w:tr w:rsidR="00AB1A60" w:rsidRPr="0059512A" w14:paraId="2FC3354F" w14:textId="77777777" w:rsidTr="00674E4E">
        <w:trPr>
          <w:trHeight w:hRule="exact" w:val="331"/>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4246E3" w14:textId="77777777" w:rsidR="00AB1A60" w:rsidRPr="0059512A" w:rsidRDefault="00AB1A60" w:rsidP="00780984">
            <w:pPr>
              <w:keepNext/>
              <w:keepLines/>
              <w:widowControl/>
              <w:spacing w:before="58" w:line="273" w:lineRule="exact"/>
              <w:ind w:left="115"/>
              <w:textAlignment w:val="baseline"/>
              <w:rPr>
                <w:color w:val="000000"/>
                <w:sz w:val="24"/>
              </w:rPr>
            </w:pPr>
            <w:r w:rsidRPr="0059512A">
              <w:rPr>
                <w:color w:val="000000"/>
                <w:sz w:val="24"/>
              </w:rPr>
              <w:t>Avg. (1+2)</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A656B9" w14:textId="77777777" w:rsidR="00AB1A60" w:rsidRPr="0059512A" w:rsidRDefault="00AB1A60" w:rsidP="00780984">
            <w:pPr>
              <w:keepNext/>
              <w:keepLines/>
              <w:widowControl/>
              <w:tabs>
                <w:tab w:val="decimal" w:pos="288"/>
              </w:tabs>
              <w:spacing w:before="58" w:line="273" w:lineRule="exact"/>
              <w:textAlignment w:val="baseline"/>
              <w:rPr>
                <w:color w:val="000000"/>
                <w:sz w:val="24"/>
              </w:rPr>
            </w:pPr>
            <w:r w:rsidRPr="0059512A">
              <w:rPr>
                <w:color w:val="000000"/>
                <w:sz w:val="24"/>
              </w:rPr>
              <w:t>8.45</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59AC07" w14:textId="77777777" w:rsidR="00AB1A60" w:rsidRPr="0059512A" w:rsidRDefault="00AB1A60" w:rsidP="00780984">
            <w:pPr>
              <w:keepNext/>
              <w:keepLines/>
              <w:widowControl/>
              <w:tabs>
                <w:tab w:val="decimal" w:pos="504"/>
              </w:tabs>
              <w:spacing w:before="58" w:line="273" w:lineRule="exact"/>
              <w:textAlignment w:val="baseline"/>
              <w:rPr>
                <w:b/>
                <w:color w:val="000000"/>
                <w:sz w:val="24"/>
              </w:rPr>
            </w:pPr>
            <w:r w:rsidRPr="0059512A">
              <w:rPr>
                <w:b/>
                <w:color w:val="000000"/>
                <w:sz w:val="24"/>
              </w:rPr>
              <w:t>9.84</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298AEC" w14:textId="77777777" w:rsidR="00AB1A60" w:rsidRPr="0059512A" w:rsidRDefault="00AB1A60" w:rsidP="00780984">
            <w:pPr>
              <w:keepNext/>
              <w:keepLines/>
              <w:widowControl/>
              <w:tabs>
                <w:tab w:val="decimal" w:pos="504"/>
              </w:tabs>
              <w:spacing w:before="58" w:line="273" w:lineRule="exact"/>
              <w:textAlignment w:val="baseline"/>
              <w:rPr>
                <w:b/>
                <w:color w:val="000000"/>
                <w:sz w:val="24"/>
              </w:rPr>
            </w:pPr>
            <w:r w:rsidRPr="0059512A">
              <w:rPr>
                <w:b/>
                <w:color w:val="000000"/>
                <w:sz w:val="24"/>
              </w:rPr>
              <w:t>7.05</w:t>
            </w:r>
          </w:p>
        </w:tc>
      </w:tr>
    </w:tbl>
    <w:p w14:paraId="6EE0ECAA" w14:textId="77777777" w:rsidR="00AB1A60" w:rsidRPr="0059512A" w:rsidRDefault="00AB1A60" w:rsidP="00780984">
      <w:pPr>
        <w:keepNext/>
        <w:keepLines/>
        <w:widowControl/>
        <w:spacing w:line="360" w:lineRule="auto"/>
        <w:ind w:firstLine="720"/>
        <w:rPr>
          <w:b/>
          <w:bCs/>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603"/>
        <w:gridCol w:w="667"/>
        <w:gridCol w:w="932"/>
        <w:gridCol w:w="926"/>
      </w:tblGrid>
      <w:tr w:rsidR="00AB1A60" w:rsidRPr="0059512A" w14:paraId="5EDA3168" w14:textId="77777777" w:rsidTr="00674E4E">
        <w:trPr>
          <w:trHeight w:hRule="exact" w:val="312"/>
          <w:jc w:val="center"/>
        </w:trPr>
        <w:tc>
          <w:tcPr>
            <w:tcW w:w="412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5E43536" w14:textId="423A302B" w:rsidR="00AB1A60" w:rsidRPr="0059512A" w:rsidRDefault="00AB1A60" w:rsidP="00780984">
            <w:pPr>
              <w:keepNext/>
              <w:keepLines/>
              <w:widowControl/>
              <w:spacing w:before="48" w:line="254" w:lineRule="exact"/>
              <w:ind w:right="1777"/>
              <w:jc w:val="center"/>
              <w:textAlignment w:val="baseline"/>
              <w:rPr>
                <w:b/>
                <w:color w:val="000000"/>
                <w:sz w:val="24"/>
              </w:rPr>
            </w:pPr>
            <w:r w:rsidRPr="0059512A">
              <w:rPr>
                <w:b/>
                <w:color w:val="000000"/>
                <w:sz w:val="24"/>
              </w:rPr>
              <w:t xml:space="preserve">                         I&amp;E</w:t>
            </w:r>
          </w:p>
        </w:tc>
      </w:tr>
      <w:tr w:rsidR="00AB1A60" w:rsidRPr="0059512A" w14:paraId="7F1BABEB" w14:textId="77777777" w:rsidTr="00674E4E">
        <w:trPr>
          <w:trHeight w:hRule="exact" w:val="312"/>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A645FC" w14:textId="77777777" w:rsidR="00AB1A60" w:rsidRPr="0059512A" w:rsidRDefault="00AB1A60" w:rsidP="00780984">
            <w:pPr>
              <w:keepNext/>
              <w:keepLines/>
              <w:widowControl/>
              <w:spacing w:before="43" w:line="264" w:lineRule="exact"/>
              <w:ind w:left="115"/>
              <w:textAlignment w:val="baseline"/>
              <w:rPr>
                <w:color w:val="000000"/>
                <w:sz w:val="24"/>
              </w:rPr>
            </w:pPr>
            <w:r w:rsidRPr="0059512A">
              <w:rPr>
                <w:color w:val="000000"/>
                <w:sz w:val="24"/>
              </w:rPr>
              <w:t>STD</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D7C144" w14:textId="77777777" w:rsidR="00AB1A60" w:rsidRPr="0059512A" w:rsidRDefault="00AB1A60" w:rsidP="00780984">
            <w:pPr>
              <w:keepNext/>
              <w:keepLines/>
              <w:widowControl/>
              <w:tabs>
                <w:tab w:val="decimal" w:pos="288"/>
              </w:tabs>
              <w:spacing w:before="43" w:line="264" w:lineRule="exact"/>
              <w:textAlignment w:val="baseline"/>
              <w:rPr>
                <w:color w:val="000000"/>
                <w:sz w:val="24"/>
              </w:rPr>
            </w:pPr>
            <w:r w:rsidRPr="0059512A">
              <w:rPr>
                <w:color w:val="000000"/>
                <w:sz w:val="24"/>
              </w:rPr>
              <w:t>1.76</w:t>
            </w:r>
          </w:p>
        </w:tc>
        <w:tc>
          <w:tcPr>
            <w:tcW w:w="185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C1E3D20" w14:textId="77777777" w:rsidR="00AB1A60" w:rsidRPr="0059512A" w:rsidRDefault="00AB1A60" w:rsidP="00780984">
            <w:pPr>
              <w:keepNext/>
              <w:keepLines/>
              <w:widowControl/>
              <w:spacing w:before="34" w:line="273" w:lineRule="exact"/>
              <w:jc w:val="center"/>
              <w:textAlignment w:val="baseline"/>
              <w:rPr>
                <w:color w:val="000000"/>
                <w:sz w:val="24"/>
              </w:rPr>
            </w:pPr>
            <w:r w:rsidRPr="0059512A">
              <w:rPr>
                <w:color w:val="000000"/>
                <w:sz w:val="24"/>
              </w:rPr>
              <w:t>Range</w:t>
            </w:r>
          </w:p>
        </w:tc>
      </w:tr>
      <w:tr w:rsidR="00AB1A60" w:rsidRPr="0059512A" w14:paraId="471C53A2" w14:textId="77777777" w:rsidTr="00674E4E">
        <w:trPr>
          <w:trHeight w:hRule="exact" w:val="307"/>
          <w:jc w:val="center"/>
        </w:trPr>
        <w:tc>
          <w:tcPr>
            <w:tcW w:w="227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9F5885" w14:textId="77777777" w:rsidR="00AB1A60" w:rsidRPr="0059512A" w:rsidRDefault="00AB1A60" w:rsidP="00780984">
            <w:pPr>
              <w:keepNext/>
              <w:keepLines/>
              <w:widowControl/>
              <w:spacing w:before="43" w:line="254" w:lineRule="exact"/>
              <w:ind w:right="517"/>
              <w:jc w:val="right"/>
              <w:textAlignment w:val="baseline"/>
              <w:rPr>
                <w:color w:val="000000"/>
                <w:sz w:val="24"/>
              </w:rPr>
            </w:pPr>
            <w:r w:rsidRPr="0059512A">
              <w:rPr>
                <w:color w:val="000000"/>
                <w:sz w:val="24"/>
              </w:rPr>
              <w:t>DCF Results</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13D3C9" w14:textId="77777777" w:rsidR="00AB1A60" w:rsidRPr="0059512A" w:rsidRDefault="00AB1A60" w:rsidP="00780984">
            <w:pPr>
              <w:keepNext/>
              <w:keepLines/>
              <w:widowControl/>
              <w:spacing w:before="43" w:line="254" w:lineRule="exact"/>
              <w:ind w:right="201"/>
              <w:jc w:val="right"/>
              <w:textAlignment w:val="baseline"/>
              <w:rPr>
                <w:color w:val="000000"/>
                <w:sz w:val="24"/>
              </w:rPr>
            </w:pPr>
            <w:r w:rsidRPr="0059512A">
              <w:rPr>
                <w:color w:val="000000"/>
                <w:sz w:val="24"/>
              </w:rPr>
              <w:t>Upper</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B0AE52" w14:textId="77777777" w:rsidR="00AB1A60" w:rsidRPr="0059512A" w:rsidRDefault="00AB1A60" w:rsidP="00780984">
            <w:pPr>
              <w:keepNext/>
              <w:keepLines/>
              <w:widowControl/>
              <w:spacing w:before="43" w:line="254" w:lineRule="exact"/>
              <w:ind w:right="115"/>
              <w:jc w:val="right"/>
              <w:textAlignment w:val="baseline"/>
              <w:rPr>
                <w:color w:val="000000"/>
                <w:sz w:val="24"/>
              </w:rPr>
            </w:pPr>
            <w:r w:rsidRPr="0059512A">
              <w:rPr>
                <w:color w:val="000000"/>
                <w:sz w:val="24"/>
              </w:rPr>
              <w:t>Lower</w:t>
            </w:r>
          </w:p>
        </w:tc>
      </w:tr>
      <w:tr w:rsidR="00AB1A60" w:rsidRPr="0059512A" w14:paraId="30E6428B" w14:textId="77777777" w:rsidTr="00674E4E">
        <w:trPr>
          <w:trHeight w:hRule="exact" w:val="312"/>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C15182" w14:textId="77777777" w:rsidR="00AB1A60" w:rsidRPr="0059512A" w:rsidRDefault="00AB1A60" w:rsidP="00780984">
            <w:pPr>
              <w:keepNext/>
              <w:keepLines/>
              <w:widowControl/>
              <w:spacing w:before="48" w:line="259" w:lineRule="exact"/>
              <w:ind w:left="115"/>
              <w:textAlignment w:val="baseline"/>
              <w:rPr>
                <w:color w:val="000000"/>
                <w:sz w:val="24"/>
              </w:rPr>
            </w:pPr>
            <w:r w:rsidRPr="0059512A">
              <w:rPr>
                <w:color w:val="000000"/>
                <w:sz w:val="24"/>
              </w:rPr>
              <w:t>Mean (1)</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60B208" w14:textId="77777777" w:rsidR="00AB1A60" w:rsidRPr="0059512A" w:rsidRDefault="00AB1A60" w:rsidP="00780984">
            <w:pPr>
              <w:keepNext/>
              <w:keepLines/>
              <w:widowControl/>
              <w:tabs>
                <w:tab w:val="decimal" w:pos="288"/>
              </w:tabs>
              <w:spacing w:before="48" w:line="259" w:lineRule="exact"/>
              <w:textAlignment w:val="baseline"/>
              <w:rPr>
                <w:color w:val="000000"/>
                <w:sz w:val="24"/>
              </w:rPr>
            </w:pPr>
            <w:r w:rsidRPr="0059512A">
              <w:rPr>
                <w:color w:val="000000"/>
                <w:sz w:val="24"/>
              </w:rPr>
              <w:t>8.09</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9AB386" w14:textId="77777777" w:rsidR="00AB1A60" w:rsidRPr="0059512A" w:rsidRDefault="00AB1A60" w:rsidP="00780984">
            <w:pPr>
              <w:keepNext/>
              <w:keepLines/>
              <w:widowControl/>
              <w:tabs>
                <w:tab w:val="decimal" w:pos="504"/>
              </w:tabs>
              <w:spacing w:before="48" w:line="259" w:lineRule="exact"/>
              <w:textAlignment w:val="baseline"/>
              <w:rPr>
                <w:color w:val="000000"/>
                <w:sz w:val="24"/>
              </w:rPr>
            </w:pPr>
            <w:r w:rsidRPr="0059512A">
              <w:rPr>
                <w:color w:val="000000"/>
                <w:sz w:val="24"/>
              </w:rPr>
              <w:t>9.85</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E5F49F" w14:textId="77777777" w:rsidR="00AB1A60" w:rsidRPr="0059512A" w:rsidRDefault="00AB1A60" w:rsidP="00780984">
            <w:pPr>
              <w:keepNext/>
              <w:keepLines/>
              <w:widowControl/>
              <w:tabs>
                <w:tab w:val="decimal" w:pos="504"/>
              </w:tabs>
              <w:spacing w:before="48" w:line="259" w:lineRule="exact"/>
              <w:textAlignment w:val="baseline"/>
              <w:rPr>
                <w:color w:val="000000"/>
                <w:sz w:val="24"/>
              </w:rPr>
            </w:pPr>
            <w:r w:rsidRPr="0059512A">
              <w:rPr>
                <w:color w:val="000000"/>
                <w:sz w:val="24"/>
              </w:rPr>
              <w:t>6.34</w:t>
            </w:r>
          </w:p>
        </w:tc>
      </w:tr>
      <w:tr w:rsidR="00AB1A60" w:rsidRPr="0059512A" w14:paraId="7EE41060" w14:textId="77777777" w:rsidTr="00674E4E">
        <w:trPr>
          <w:trHeight w:hRule="exact" w:val="312"/>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938C9D" w14:textId="77777777" w:rsidR="00AB1A60" w:rsidRPr="0059512A" w:rsidRDefault="00AB1A60" w:rsidP="00780984">
            <w:pPr>
              <w:keepNext/>
              <w:keepLines/>
              <w:widowControl/>
              <w:spacing w:before="43" w:line="269" w:lineRule="exact"/>
              <w:ind w:left="115"/>
              <w:textAlignment w:val="baseline"/>
              <w:rPr>
                <w:color w:val="000000"/>
                <w:sz w:val="24"/>
              </w:rPr>
            </w:pPr>
            <w:r w:rsidRPr="0059512A">
              <w:rPr>
                <w:color w:val="000000"/>
                <w:sz w:val="24"/>
              </w:rPr>
              <w:t>Median (2)</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862CC5" w14:textId="77777777" w:rsidR="00AB1A60" w:rsidRPr="0059512A" w:rsidRDefault="00AB1A60" w:rsidP="00780984">
            <w:pPr>
              <w:keepNext/>
              <w:keepLines/>
              <w:widowControl/>
              <w:tabs>
                <w:tab w:val="decimal" w:pos="288"/>
              </w:tabs>
              <w:spacing w:before="43" w:line="269" w:lineRule="exact"/>
              <w:textAlignment w:val="baseline"/>
              <w:rPr>
                <w:color w:val="000000"/>
                <w:sz w:val="24"/>
              </w:rPr>
            </w:pPr>
            <w:r w:rsidRPr="0059512A">
              <w:rPr>
                <w:color w:val="000000"/>
                <w:sz w:val="24"/>
              </w:rPr>
              <w:t>8.32</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702ADB" w14:textId="77777777" w:rsidR="00AB1A60" w:rsidRPr="0059512A" w:rsidRDefault="00AB1A60" w:rsidP="00780984">
            <w:pPr>
              <w:keepNext/>
              <w:keepLines/>
              <w:widowControl/>
              <w:tabs>
                <w:tab w:val="decimal" w:pos="504"/>
              </w:tabs>
              <w:spacing w:before="43" w:line="269" w:lineRule="exact"/>
              <w:textAlignment w:val="baseline"/>
              <w:rPr>
                <w:color w:val="000000"/>
                <w:sz w:val="24"/>
              </w:rPr>
            </w:pPr>
            <w:r w:rsidRPr="0059512A">
              <w:rPr>
                <w:color w:val="000000"/>
                <w:sz w:val="24"/>
              </w:rPr>
              <w:t>10.08</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28CA41" w14:textId="77777777" w:rsidR="00AB1A60" w:rsidRPr="0059512A" w:rsidRDefault="00AB1A60" w:rsidP="00780984">
            <w:pPr>
              <w:keepNext/>
              <w:keepLines/>
              <w:widowControl/>
              <w:tabs>
                <w:tab w:val="decimal" w:pos="504"/>
              </w:tabs>
              <w:spacing w:before="43" w:line="269" w:lineRule="exact"/>
              <w:textAlignment w:val="baseline"/>
              <w:rPr>
                <w:color w:val="000000"/>
                <w:sz w:val="24"/>
              </w:rPr>
            </w:pPr>
            <w:r w:rsidRPr="0059512A">
              <w:rPr>
                <w:color w:val="000000"/>
                <w:sz w:val="24"/>
              </w:rPr>
              <w:t>6.56</w:t>
            </w:r>
          </w:p>
        </w:tc>
      </w:tr>
      <w:tr w:rsidR="00AB1A60" w:rsidRPr="0059512A" w14:paraId="569C3656" w14:textId="77777777" w:rsidTr="00674E4E">
        <w:trPr>
          <w:trHeight w:hRule="exact" w:val="312"/>
          <w:jc w:val="center"/>
        </w:trPr>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554151" w14:textId="77777777" w:rsidR="00AB1A60" w:rsidRPr="0059512A" w:rsidRDefault="00AB1A60" w:rsidP="00780984">
            <w:pPr>
              <w:keepNext/>
              <w:keepLines/>
              <w:widowControl/>
              <w:spacing w:before="43" w:line="259" w:lineRule="exact"/>
              <w:ind w:left="115"/>
              <w:textAlignment w:val="baseline"/>
              <w:rPr>
                <w:color w:val="000000"/>
                <w:sz w:val="24"/>
              </w:rPr>
            </w:pPr>
            <w:r w:rsidRPr="0059512A">
              <w:rPr>
                <w:color w:val="000000"/>
                <w:sz w:val="24"/>
              </w:rPr>
              <w:t>Avg. (1+2)</w:t>
            </w:r>
          </w:p>
        </w:tc>
        <w:tc>
          <w:tcPr>
            <w:tcW w:w="6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B77F70" w14:textId="77777777" w:rsidR="00AB1A60" w:rsidRPr="0059512A" w:rsidRDefault="00AB1A60" w:rsidP="00780984">
            <w:pPr>
              <w:keepNext/>
              <w:keepLines/>
              <w:widowControl/>
              <w:tabs>
                <w:tab w:val="decimal" w:pos="288"/>
              </w:tabs>
              <w:spacing w:before="43" w:line="259" w:lineRule="exact"/>
              <w:textAlignment w:val="baseline"/>
              <w:rPr>
                <w:color w:val="000000"/>
                <w:sz w:val="24"/>
              </w:rPr>
            </w:pPr>
            <w:r w:rsidRPr="0059512A">
              <w:rPr>
                <w:color w:val="000000"/>
                <w:sz w:val="24"/>
              </w:rPr>
              <w:t>8.21</w:t>
            </w:r>
          </w:p>
        </w:tc>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A0E2AC" w14:textId="77777777" w:rsidR="00AB1A60" w:rsidRPr="0059512A" w:rsidRDefault="00AB1A60" w:rsidP="00780984">
            <w:pPr>
              <w:keepNext/>
              <w:keepLines/>
              <w:widowControl/>
              <w:tabs>
                <w:tab w:val="decimal" w:pos="504"/>
              </w:tabs>
              <w:spacing w:before="43" w:line="259" w:lineRule="exact"/>
              <w:textAlignment w:val="baseline"/>
              <w:rPr>
                <w:b/>
                <w:color w:val="000000"/>
                <w:sz w:val="24"/>
              </w:rPr>
            </w:pPr>
            <w:r w:rsidRPr="0059512A">
              <w:rPr>
                <w:b/>
                <w:color w:val="000000"/>
                <w:sz w:val="24"/>
              </w:rPr>
              <w:t>9.96</w:t>
            </w:r>
          </w:p>
        </w:tc>
        <w:tc>
          <w:tcPr>
            <w:tcW w:w="9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824CB69" w14:textId="77777777" w:rsidR="00AB1A60" w:rsidRPr="0059512A" w:rsidRDefault="00AB1A60" w:rsidP="00780984">
            <w:pPr>
              <w:keepNext/>
              <w:keepLines/>
              <w:widowControl/>
              <w:tabs>
                <w:tab w:val="decimal" w:pos="504"/>
              </w:tabs>
              <w:spacing w:before="43" w:line="259" w:lineRule="exact"/>
              <w:textAlignment w:val="baseline"/>
              <w:rPr>
                <w:b/>
                <w:color w:val="000000"/>
                <w:sz w:val="24"/>
              </w:rPr>
            </w:pPr>
            <w:r w:rsidRPr="0059512A">
              <w:rPr>
                <w:b/>
                <w:color w:val="000000"/>
                <w:sz w:val="24"/>
              </w:rPr>
              <w:t>6.45</w:t>
            </w:r>
          </w:p>
        </w:tc>
      </w:tr>
    </w:tbl>
    <w:p w14:paraId="41DD6E1D" w14:textId="77777777" w:rsidR="00AB1A60" w:rsidRPr="0059512A" w:rsidRDefault="00AB1A60" w:rsidP="0059512A">
      <w:pPr>
        <w:keepNext/>
        <w:widowControl/>
        <w:spacing w:line="360" w:lineRule="auto"/>
        <w:ind w:firstLine="720"/>
        <w:rPr>
          <w:b/>
          <w:bCs/>
          <w:sz w:val="26"/>
          <w:szCs w:val="26"/>
        </w:rPr>
      </w:pPr>
    </w:p>
    <w:p w14:paraId="66D62573" w14:textId="5562DB74" w:rsidR="00AB1A60" w:rsidRPr="0059512A" w:rsidRDefault="00AB1A60" w:rsidP="00BC4DC7">
      <w:pPr>
        <w:keepNext/>
        <w:widowControl/>
        <w:spacing w:line="360" w:lineRule="auto"/>
        <w:rPr>
          <w:b/>
          <w:bCs/>
          <w:sz w:val="26"/>
          <w:szCs w:val="26"/>
        </w:rPr>
      </w:pPr>
      <w:r w:rsidRPr="0059512A">
        <w:rPr>
          <w:sz w:val="26"/>
          <w:szCs w:val="26"/>
        </w:rPr>
        <w:t>R.D. at 74.</w:t>
      </w:r>
    </w:p>
    <w:p w14:paraId="1EB5C295" w14:textId="77777777" w:rsidR="00033D4C" w:rsidRPr="0059512A" w:rsidRDefault="00033D4C" w:rsidP="00BC4DC7">
      <w:pPr>
        <w:widowControl/>
        <w:spacing w:line="360" w:lineRule="auto"/>
        <w:rPr>
          <w:b/>
          <w:bCs/>
          <w:sz w:val="26"/>
          <w:szCs w:val="26"/>
        </w:rPr>
      </w:pPr>
    </w:p>
    <w:p w14:paraId="254B3CCC" w14:textId="77777777" w:rsidR="000E05F3" w:rsidRPr="0059512A" w:rsidRDefault="000E05F3" w:rsidP="00BC4DC7">
      <w:pPr>
        <w:pStyle w:val="ListParagraph"/>
        <w:keepNext/>
        <w:widowControl/>
        <w:spacing w:line="360" w:lineRule="auto"/>
        <w:ind w:left="2160" w:hanging="720"/>
        <w:rPr>
          <w:b/>
          <w:bCs/>
          <w:sz w:val="26"/>
          <w:szCs w:val="26"/>
        </w:rPr>
      </w:pPr>
      <w:r w:rsidRPr="0059512A">
        <w:rPr>
          <w:b/>
          <w:bCs/>
          <w:sz w:val="26"/>
          <w:szCs w:val="26"/>
        </w:rPr>
        <w:t>c.</w:t>
      </w:r>
      <w:r w:rsidRPr="0059512A">
        <w:rPr>
          <w:b/>
          <w:bCs/>
          <w:sz w:val="26"/>
          <w:szCs w:val="26"/>
        </w:rPr>
        <w:tab/>
        <w:t>Exceptions and Replies</w:t>
      </w:r>
    </w:p>
    <w:p w14:paraId="526831CE" w14:textId="2D0C61CB" w:rsidR="000E05F3" w:rsidRPr="0059512A" w:rsidRDefault="000E05F3" w:rsidP="00BC4DC7">
      <w:pPr>
        <w:keepNext/>
        <w:widowControl/>
        <w:spacing w:line="360" w:lineRule="auto"/>
        <w:ind w:left="1440" w:hanging="720"/>
        <w:rPr>
          <w:b/>
          <w:bCs/>
          <w:sz w:val="26"/>
          <w:szCs w:val="26"/>
        </w:rPr>
      </w:pPr>
    </w:p>
    <w:p w14:paraId="17ED38EF" w14:textId="4C2B8772" w:rsidR="00EC61B4" w:rsidRPr="0059512A" w:rsidRDefault="00E62E3C" w:rsidP="00BC4DC7">
      <w:pPr>
        <w:keepNext/>
        <w:widowControl/>
        <w:spacing w:line="360" w:lineRule="auto"/>
        <w:ind w:firstLine="1440"/>
        <w:contextualSpacing/>
        <w:rPr>
          <w:sz w:val="26"/>
          <w:szCs w:val="26"/>
        </w:rPr>
      </w:pPr>
      <w:r w:rsidRPr="0059512A">
        <w:rPr>
          <w:sz w:val="26"/>
          <w:szCs w:val="26"/>
        </w:rPr>
        <w:t xml:space="preserve">In its Exception No. 4, </w:t>
      </w:r>
      <w:r w:rsidR="00EC61B4" w:rsidRPr="0059512A">
        <w:rPr>
          <w:sz w:val="26"/>
          <w:szCs w:val="26"/>
        </w:rPr>
        <w:t xml:space="preserve">I&amp;E avers that because Citizens’ has failed to meet its burden of proof to provide justification for a size adjustment for utility companies, the Commission should reject a size adjustment to the ROE.  Moreover, I&amp;E adds that because Citizens’ is the party with the burden of proof, the dispositive factor is that size risk for utilities has not been established.  </w:t>
      </w:r>
      <w:bookmarkStart w:id="128" w:name="_Hlk37071851"/>
      <w:r w:rsidR="00EC61B4" w:rsidRPr="0059512A">
        <w:rPr>
          <w:sz w:val="26"/>
          <w:szCs w:val="26"/>
        </w:rPr>
        <w:t>I&amp;E is of the opinion that the ALJs’ erred by finding that the evidence is substantial enough to support a size adjustment and award the Company a</w:t>
      </w:r>
      <w:r w:rsidR="004D1944">
        <w:rPr>
          <w:sz w:val="26"/>
          <w:szCs w:val="26"/>
        </w:rPr>
        <w:t>n</w:t>
      </w:r>
      <w:r w:rsidR="00EC61B4" w:rsidRPr="0059512A">
        <w:rPr>
          <w:sz w:val="26"/>
          <w:szCs w:val="26"/>
        </w:rPr>
        <w:t xml:space="preserve"> ROE at the highest point of a standard deviation range for the DCF analysis.  </w:t>
      </w:r>
      <w:bookmarkEnd w:id="128"/>
      <w:r w:rsidR="00EC61B4" w:rsidRPr="0059512A">
        <w:rPr>
          <w:sz w:val="26"/>
          <w:szCs w:val="26"/>
        </w:rPr>
        <w:t>I&amp;E further asserts that any support of size risk generally should not constitute evidence of size risk for a utility.  I&amp;E Exc. at 8-9 (citing R.D. at 72-74).</w:t>
      </w:r>
      <w:r w:rsidR="00B2092B" w:rsidRPr="0059512A">
        <w:rPr>
          <w:sz w:val="26"/>
          <w:szCs w:val="26"/>
        </w:rPr>
        <w:t xml:space="preserve">  </w:t>
      </w:r>
      <w:r w:rsidR="00EC61B4" w:rsidRPr="0059512A">
        <w:rPr>
          <w:sz w:val="26"/>
          <w:szCs w:val="26"/>
        </w:rPr>
        <w:t xml:space="preserve">I&amp;E notes the </w:t>
      </w:r>
      <w:r w:rsidR="00EC61B4" w:rsidRPr="0059512A">
        <w:rPr>
          <w:sz w:val="26"/>
          <w:szCs w:val="26"/>
        </w:rPr>
        <w:lastRenderedPageBreak/>
        <w:t xml:space="preserve">Commission’s rejection of such a size adjustment in the </w:t>
      </w:r>
      <w:r w:rsidR="00EC61B4" w:rsidRPr="0059512A">
        <w:rPr>
          <w:i/>
          <w:iCs/>
          <w:sz w:val="26"/>
          <w:szCs w:val="26"/>
        </w:rPr>
        <w:t>UGI Order</w:t>
      </w:r>
      <w:r w:rsidR="00EC61B4" w:rsidRPr="0059512A">
        <w:rPr>
          <w:sz w:val="26"/>
          <w:szCs w:val="26"/>
        </w:rPr>
        <w:t xml:space="preserve">.  </w:t>
      </w:r>
      <w:r w:rsidR="00EC61B4" w:rsidRPr="0059512A">
        <w:rPr>
          <w:i/>
          <w:iCs/>
          <w:sz w:val="26"/>
          <w:szCs w:val="26"/>
        </w:rPr>
        <w:t>Id</w:t>
      </w:r>
      <w:r w:rsidR="00EC61B4" w:rsidRPr="0059512A">
        <w:rPr>
          <w:sz w:val="26"/>
          <w:szCs w:val="26"/>
        </w:rPr>
        <w:t>.  Further, I&amp;E offers that monopoly utilities are not subject to the market-based risks that face competitive companies included in a general size adjustment analysis.  I&amp;E adds that if Citizens’ faces difficulties or unforeseen risks, the Company may request higher rates to offset increased expenses.  I&amp;E Exc. at 9.</w:t>
      </w:r>
    </w:p>
    <w:p w14:paraId="1F5F930B" w14:textId="77777777" w:rsidR="003972FD" w:rsidRPr="0059512A" w:rsidRDefault="003972FD" w:rsidP="0059512A">
      <w:pPr>
        <w:keepNext/>
        <w:widowControl/>
        <w:spacing w:line="360" w:lineRule="auto"/>
        <w:ind w:firstLine="1440"/>
        <w:contextualSpacing/>
        <w:rPr>
          <w:i/>
          <w:iCs/>
          <w:sz w:val="26"/>
          <w:szCs w:val="26"/>
        </w:rPr>
      </w:pPr>
    </w:p>
    <w:p w14:paraId="02ADDC61" w14:textId="3CF80425" w:rsidR="00EC61B4" w:rsidRPr="0059512A" w:rsidRDefault="00EC61B4" w:rsidP="0059512A">
      <w:pPr>
        <w:widowControl/>
        <w:spacing w:line="360" w:lineRule="auto"/>
        <w:ind w:firstLine="1440"/>
        <w:contextualSpacing/>
        <w:rPr>
          <w:sz w:val="26"/>
          <w:szCs w:val="26"/>
        </w:rPr>
      </w:pPr>
      <w:r w:rsidRPr="0059512A">
        <w:rPr>
          <w:sz w:val="26"/>
          <w:szCs w:val="26"/>
        </w:rPr>
        <w:t>The OCA</w:t>
      </w:r>
      <w:r w:rsidR="00E62E3C" w:rsidRPr="0059512A">
        <w:rPr>
          <w:sz w:val="26"/>
          <w:szCs w:val="26"/>
        </w:rPr>
        <w:t xml:space="preserve"> in its Exception No. 7</w:t>
      </w:r>
      <w:r w:rsidRPr="0059512A">
        <w:rPr>
          <w:sz w:val="26"/>
          <w:szCs w:val="26"/>
        </w:rPr>
        <w:t xml:space="preserve"> likewise excepts to the ALJs’ recommendation and reasoning, contending that the ALJs erred in utilizing a DCF result of 9.49% in order to accommodate the Company’s desired size adjustment.  The OCA submits that the recommendation to award a</w:t>
      </w:r>
      <w:r w:rsidR="004D1944">
        <w:rPr>
          <w:sz w:val="26"/>
          <w:szCs w:val="26"/>
        </w:rPr>
        <w:t>n</w:t>
      </w:r>
      <w:r w:rsidRPr="0059512A">
        <w:rPr>
          <w:sz w:val="26"/>
          <w:szCs w:val="26"/>
        </w:rPr>
        <w:t xml:space="preserve"> ROE of 9.74% is not consistent with the evidence or the low cost </w:t>
      </w:r>
      <w:r w:rsidR="0037700A">
        <w:rPr>
          <w:sz w:val="26"/>
          <w:szCs w:val="26"/>
        </w:rPr>
        <w:t xml:space="preserve">of </w:t>
      </w:r>
      <w:r w:rsidRPr="0059512A">
        <w:rPr>
          <w:sz w:val="26"/>
          <w:szCs w:val="26"/>
        </w:rPr>
        <w:t xml:space="preserve">capital environment.  OCA Exc. at 14, 17.  Regarding the Company’s argument that investors demand greater returns to account for the associated size risk, the OCA remains of the opinion that a size adder to ROE would be unduly burdensome for ratepayers, and the economic literature presented by the Company actually supports a downward adjustment.  OCA Exc. at 15-16 (citing R.D. at 65; OCA M.B. at 59-60; OCA St. 3 at 29-30).  Further, the OCA asserts that the ALJs’ reasoning that Citizens’ faces size risk because it is a smaller company conflicts with ratemaking principles, particularly because utilities are natural monopolies and should be treated as such.  OCA Exc. at 17 (citing R.D. at 72).  </w:t>
      </w:r>
    </w:p>
    <w:p w14:paraId="62EC2783" w14:textId="77777777" w:rsidR="00EC61B4" w:rsidRPr="0059512A" w:rsidRDefault="00EC61B4" w:rsidP="0059512A">
      <w:pPr>
        <w:widowControl/>
        <w:spacing w:line="360" w:lineRule="auto"/>
        <w:ind w:firstLine="1440"/>
        <w:contextualSpacing/>
        <w:rPr>
          <w:sz w:val="26"/>
          <w:szCs w:val="26"/>
        </w:rPr>
      </w:pPr>
    </w:p>
    <w:p w14:paraId="18B4C83A" w14:textId="75ED7BCF" w:rsidR="00EC61B4" w:rsidRPr="0059512A" w:rsidRDefault="00EC61B4" w:rsidP="0059512A">
      <w:pPr>
        <w:widowControl/>
        <w:spacing w:line="360" w:lineRule="auto"/>
        <w:ind w:firstLine="1440"/>
        <w:contextualSpacing/>
        <w:rPr>
          <w:sz w:val="26"/>
          <w:szCs w:val="26"/>
        </w:rPr>
      </w:pPr>
      <w:r w:rsidRPr="0059512A">
        <w:rPr>
          <w:sz w:val="26"/>
          <w:szCs w:val="26"/>
        </w:rPr>
        <w:t>The OCA further argues that the ALJs’ adoption of the higher end of the DCF range is a violation of the OCA’s CAPM limit</w:t>
      </w:r>
      <w:r w:rsidR="00E62E3C" w:rsidRPr="0059512A">
        <w:rPr>
          <w:sz w:val="26"/>
          <w:szCs w:val="26"/>
        </w:rPr>
        <w:t xml:space="preserve"> analysis</w:t>
      </w:r>
      <w:r w:rsidRPr="0059512A">
        <w:rPr>
          <w:sz w:val="26"/>
          <w:szCs w:val="26"/>
        </w:rPr>
        <w:t xml:space="preserve">.  Moreover, the OCA continues, the ALJs adopted the Company’s CAPM analysis, which the OCA witness Dr. Habr found to be unreasonable.  The OCA explains that the Company’s CAPM analysis relied on an average 3.36%, 30-year treasury yield, based on a period covering the second quarter of 2019 through 2029, and Dr. Habr states that the purpose of a test year in utility regulation is not to base test year costs on possible future period costs.  Rather, Dr. Habr affirms the purpose of test year costs is to match the costs incurred in a year with the </w:t>
      </w:r>
      <w:r w:rsidRPr="0059512A">
        <w:rPr>
          <w:sz w:val="26"/>
          <w:szCs w:val="26"/>
        </w:rPr>
        <w:lastRenderedPageBreak/>
        <w:t>services provided during that year.  Accordingly, the OCA offer</w:t>
      </w:r>
      <w:r w:rsidR="00E62E3C" w:rsidRPr="0059512A">
        <w:rPr>
          <w:sz w:val="26"/>
          <w:szCs w:val="26"/>
        </w:rPr>
        <w:t>s</w:t>
      </w:r>
      <w:r w:rsidRPr="0059512A">
        <w:rPr>
          <w:sz w:val="26"/>
          <w:szCs w:val="26"/>
        </w:rPr>
        <w:t xml:space="preserve"> a modified CAPM/Risk Premium analysis.  OCA Exc. at 18; OCA M.B. at 54, 56-57; OCA St. 3 at 34.</w:t>
      </w:r>
    </w:p>
    <w:p w14:paraId="6A72184F" w14:textId="77777777" w:rsidR="00EC61B4" w:rsidRPr="0059512A" w:rsidRDefault="00EC61B4" w:rsidP="0059512A">
      <w:pPr>
        <w:widowControl/>
        <w:spacing w:line="360" w:lineRule="auto"/>
        <w:ind w:firstLine="720"/>
        <w:rPr>
          <w:b/>
          <w:bCs/>
          <w:sz w:val="26"/>
          <w:szCs w:val="26"/>
        </w:rPr>
      </w:pPr>
    </w:p>
    <w:p w14:paraId="5646B3A1" w14:textId="11C3D038" w:rsidR="00EC61B4" w:rsidRPr="0059512A" w:rsidRDefault="00EC61B4" w:rsidP="0059512A">
      <w:pPr>
        <w:widowControl/>
        <w:spacing w:line="360" w:lineRule="auto"/>
        <w:ind w:firstLine="1440"/>
        <w:contextualSpacing/>
        <w:rPr>
          <w:sz w:val="26"/>
          <w:szCs w:val="26"/>
        </w:rPr>
      </w:pPr>
      <w:r w:rsidRPr="0059512A">
        <w:rPr>
          <w:sz w:val="26"/>
          <w:szCs w:val="26"/>
        </w:rPr>
        <w:t>In its Exception</w:t>
      </w:r>
      <w:r w:rsidR="00E62E3C" w:rsidRPr="0059512A">
        <w:rPr>
          <w:sz w:val="26"/>
          <w:szCs w:val="26"/>
        </w:rPr>
        <w:t xml:space="preserve"> No. 10</w:t>
      </w:r>
      <w:r w:rsidRPr="0059512A">
        <w:rPr>
          <w:sz w:val="26"/>
          <w:szCs w:val="26"/>
        </w:rPr>
        <w:t>, Citizens’ states that</w:t>
      </w:r>
      <w:r w:rsidR="002C07D8">
        <w:rPr>
          <w:sz w:val="26"/>
          <w:szCs w:val="26"/>
        </w:rPr>
        <w:t>,</w:t>
      </w:r>
      <w:r w:rsidRPr="0059512A">
        <w:rPr>
          <w:sz w:val="26"/>
          <w:szCs w:val="26"/>
        </w:rPr>
        <w:t xml:space="preserve"> in developing a recommended ROE for the Company, the ALJs erred in failing to apply the Company’s requested 100</w:t>
      </w:r>
      <w:r w:rsidR="000F2F32">
        <w:rPr>
          <w:sz w:val="26"/>
          <w:szCs w:val="26"/>
        </w:rPr>
        <w:noBreakHyphen/>
      </w:r>
      <w:r w:rsidRPr="0059512A">
        <w:rPr>
          <w:sz w:val="26"/>
          <w:szCs w:val="26"/>
        </w:rPr>
        <w:t>basis point adjustment for size risk to the ROE.  The Company elaborates that</w:t>
      </w:r>
      <w:r w:rsidR="006D0B5E">
        <w:rPr>
          <w:sz w:val="26"/>
          <w:szCs w:val="26"/>
        </w:rPr>
        <w:t>,</w:t>
      </w:r>
      <w:r w:rsidRPr="0059512A">
        <w:rPr>
          <w:sz w:val="26"/>
          <w:szCs w:val="26"/>
        </w:rPr>
        <w:t xml:space="preserve"> while it appreciates the acknowledgement of size risk, the Company submits that the standard deviation methodology </w:t>
      </w:r>
      <w:r w:rsidRPr="0059512A">
        <w:rPr>
          <w:iCs/>
          <w:sz w:val="26"/>
          <w:szCs w:val="26"/>
        </w:rPr>
        <w:t>developed by the ALJs results in a</w:t>
      </w:r>
      <w:r w:rsidR="004D1944">
        <w:rPr>
          <w:iCs/>
          <w:sz w:val="26"/>
          <w:szCs w:val="26"/>
        </w:rPr>
        <w:t>n</w:t>
      </w:r>
      <w:r w:rsidRPr="0059512A">
        <w:rPr>
          <w:iCs/>
          <w:sz w:val="26"/>
          <w:szCs w:val="26"/>
        </w:rPr>
        <w:t xml:space="preserve"> ROE that is commensurate with the ROEs established for much larger EDCs, and does not truly reflect Citizens’ size risk.  Therefore, Citizens’ asserts that to accurately account for the Company’s size risk, the Commission should approve the Company's proposed size adjustment, subject to the maximum proposed ROE of 10.30%.  </w:t>
      </w:r>
      <w:r w:rsidRPr="0059512A">
        <w:rPr>
          <w:sz w:val="26"/>
          <w:szCs w:val="26"/>
        </w:rPr>
        <w:t xml:space="preserve">Citizens’ Exc. at 22-23 (citing R.D. at 72, 74).  </w:t>
      </w:r>
    </w:p>
    <w:p w14:paraId="10388DBC" w14:textId="77777777" w:rsidR="0044492E" w:rsidRPr="0059512A" w:rsidRDefault="0044492E" w:rsidP="0059512A">
      <w:pPr>
        <w:widowControl/>
        <w:spacing w:line="360" w:lineRule="auto"/>
        <w:ind w:firstLine="1440"/>
        <w:contextualSpacing/>
        <w:rPr>
          <w:sz w:val="26"/>
          <w:szCs w:val="26"/>
        </w:rPr>
      </w:pPr>
    </w:p>
    <w:p w14:paraId="71660A2B" w14:textId="70A57C9D" w:rsidR="00EC61B4" w:rsidRPr="0059512A" w:rsidRDefault="00EC61B4" w:rsidP="0059512A">
      <w:pPr>
        <w:widowControl/>
        <w:spacing w:line="360" w:lineRule="auto"/>
        <w:ind w:firstLine="1440"/>
        <w:contextualSpacing/>
        <w:rPr>
          <w:sz w:val="26"/>
          <w:szCs w:val="26"/>
        </w:rPr>
      </w:pPr>
      <w:bookmarkStart w:id="129" w:name="_Hlk36698396"/>
      <w:r w:rsidRPr="0059512A">
        <w:rPr>
          <w:sz w:val="26"/>
          <w:szCs w:val="26"/>
        </w:rPr>
        <w:t>Citizens’ is of the opinion that the process of setting a</w:t>
      </w:r>
      <w:r w:rsidR="0006589E">
        <w:rPr>
          <w:sz w:val="26"/>
          <w:szCs w:val="26"/>
        </w:rPr>
        <w:t>n</w:t>
      </w:r>
      <w:r w:rsidRPr="0059512A">
        <w:rPr>
          <w:sz w:val="26"/>
          <w:szCs w:val="26"/>
        </w:rPr>
        <w:t xml:space="preserve"> ROE within a standard deviation of the mean or median DCF results does not reflect size risk.  The Company explains that the Commission applied the standard deviation method (setting a</w:t>
      </w:r>
      <w:r w:rsidR="0006589E">
        <w:rPr>
          <w:sz w:val="26"/>
          <w:szCs w:val="26"/>
        </w:rPr>
        <w:t>n</w:t>
      </w:r>
      <w:r w:rsidRPr="0059512A">
        <w:rPr>
          <w:sz w:val="26"/>
          <w:szCs w:val="26"/>
        </w:rPr>
        <w:t xml:space="preserve"> ROE within a standard deviation range of median or mean DCF results) in developing the ROE for purposes of calculating the Distribution System Improvement Charge (DSIC) for an electric utility, and DSICs are primarily applicable to large EDCs.  Therefore, the Company believes the Commission should apply a size adjustment to the result of the standard deviation method approved by the Recommended Decision.  Citizens’ Exc. at 23 (citing Citizens’ M.B. at 85).  </w:t>
      </w:r>
    </w:p>
    <w:p w14:paraId="5D18C2E6" w14:textId="77777777" w:rsidR="00935A09" w:rsidRPr="0059512A" w:rsidRDefault="00935A09" w:rsidP="0059512A">
      <w:pPr>
        <w:widowControl/>
        <w:spacing w:line="360" w:lineRule="auto"/>
        <w:ind w:firstLine="1440"/>
        <w:contextualSpacing/>
        <w:rPr>
          <w:sz w:val="26"/>
          <w:szCs w:val="26"/>
        </w:rPr>
      </w:pPr>
    </w:p>
    <w:p w14:paraId="72A0F5ED" w14:textId="2435262C" w:rsidR="00EC61B4" w:rsidRPr="0059512A" w:rsidRDefault="00EC61B4" w:rsidP="0059512A">
      <w:pPr>
        <w:widowControl/>
        <w:spacing w:line="360" w:lineRule="auto"/>
        <w:ind w:firstLine="1440"/>
        <w:contextualSpacing/>
        <w:rPr>
          <w:sz w:val="26"/>
          <w:szCs w:val="26"/>
        </w:rPr>
      </w:pPr>
      <w:r w:rsidRPr="0059512A">
        <w:rPr>
          <w:sz w:val="26"/>
          <w:szCs w:val="26"/>
        </w:rPr>
        <w:t xml:space="preserve">Further, Citizens’ remains of the opinion that the results of its analysis of the Company’s size risk relative to the proxy group companies corroborates the reasonableness of the Company’s proposed 100-basis point adjustment.  Citizens’ reiterates that Company witness D’Ascendis calculated a 4.70%, or 470-basis point, size premium spread between the Company and the proxy group of companies.  Therefore, Citizens’ avers that the Commission should apply the 100-basis point size adjustment to </w:t>
      </w:r>
      <w:r w:rsidRPr="0059512A">
        <w:rPr>
          <w:sz w:val="26"/>
          <w:szCs w:val="26"/>
        </w:rPr>
        <w:lastRenderedPageBreak/>
        <w:t>any ROE that the Commission would otherwise award to a larger EDC.  Citizens’ Exc. at</w:t>
      </w:r>
      <w:r w:rsidR="000F2F32">
        <w:rPr>
          <w:sz w:val="26"/>
          <w:szCs w:val="26"/>
        </w:rPr>
        <w:t> </w:t>
      </w:r>
      <w:r w:rsidRPr="0059512A">
        <w:rPr>
          <w:sz w:val="26"/>
          <w:szCs w:val="26"/>
        </w:rPr>
        <w:t>23-24 (citing Citizens’ M.B. at 96).</w:t>
      </w:r>
    </w:p>
    <w:p w14:paraId="24076AED" w14:textId="77777777" w:rsidR="00EC61B4" w:rsidRPr="0059512A" w:rsidRDefault="00EC61B4" w:rsidP="0059512A">
      <w:pPr>
        <w:widowControl/>
        <w:spacing w:line="360" w:lineRule="auto"/>
        <w:ind w:firstLine="1440"/>
        <w:contextualSpacing/>
        <w:rPr>
          <w:sz w:val="26"/>
          <w:szCs w:val="26"/>
        </w:rPr>
      </w:pPr>
    </w:p>
    <w:p w14:paraId="01CA55B1" w14:textId="676AC9B2" w:rsidR="00EC61B4" w:rsidRDefault="00EC61B4" w:rsidP="0059512A">
      <w:pPr>
        <w:widowControl/>
        <w:spacing w:line="360" w:lineRule="auto"/>
        <w:ind w:firstLine="1440"/>
        <w:contextualSpacing/>
        <w:rPr>
          <w:sz w:val="26"/>
          <w:szCs w:val="26"/>
        </w:rPr>
      </w:pPr>
      <w:bookmarkStart w:id="130" w:name="_Hlk36984719"/>
      <w:r w:rsidRPr="0059512A">
        <w:rPr>
          <w:sz w:val="26"/>
          <w:szCs w:val="26"/>
        </w:rPr>
        <w:t>Citizens’ replies that both arguments by I&amp;E and the OCA should be rejected because they are misguided and lack support.  Citizens’ adds that granting their Exceptions would improperly result in a historically low ROE for a regulated utility.  Citizens’ R. Exc. at 8 (citing I&amp;E Exc. at 9; OCA Exc. at 16, 18; Citizens’ M.B. at</w:t>
      </w:r>
      <w:r w:rsidR="0044492E" w:rsidRPr="0059512A">
        <w:rPr>
          <w:sz w:val="26"/>
          <w:szCs w:val="26"/>
        </w:rPr>
        <w:t> </w:t>
      </w:r>
      <w:r w:rsidRPr="0059512A">
        <w:rPr>
          <w:sz w:val="26"/>
          <w:szCs w:val="26"/>
        </w:rPr>
        <w:t>77</w:t>
      </w:r>
      <w:r w:rsidR="0044492E" w:rsidRPr="0059512A">
        <w:rPr>
          <w:sz w:val="26"/>
          <w:szCs w:val="26"/>
        </w:rPr>
        <w:noBreakHyphen/>
      </w:r>
      <w:r w:rsidRPr="0059512A">
        <w:rPr>
          <w:sz w:val="26"/>
          <w:szCs w:val="26"/>
        </w:rPr>
        <w:t xml:space="preserve">78).  </w:t>
      </w:r>
    </w:p>
    <w:p w14:paraId="06C8AB94" w14:textId="77777777" w:rsidR="00587B17" w:rsidRPr="0059512A" w:rsidRDefault="00587B17" w:rsidP="0059512A">
      <w:pPr>
        <w:widowControl/>
        <w:spacing w:line="360" w:lineRule="auto"/>
        <w:ind w:firstLine="1440"/>
        <w:contextualSpacing/>
        <w:rPr>
          <w:sz w:val="26"/>
          <w:szCs w:val="26"/>
        </w:rPr>
      </w:pPr>
    </w:p>
    <w:p w14:paraId="4A46209F" w14:textId="0142E2CF" w:rsidR="00EC61B4" w:rsidRPr="0059512A" w:rsidRDefault="00EC61B4" w:rsidP="0059512A">
      <w:pPr>
        <w:widowControl/>
        <w:spacing w:line="360" w:lineRule="auto"/>
        <w:ind w:firstLine="1440"/>
        <w:contextualSpacing/>
        <w:rPr>
          <w:sz w:val="26"/>
          <w:szCs w:val="26"/>
        </w:rPr>
      </w:pPr>
      <w:r w:rsidRPr="0059512A">
        <w:rPr>
          <w:sz w:val="26"/>
          <w:szCs w:val="26"/>
        </w:rPr>
        <w:t xml:space="preserve">In response to I&amp;E’s claim </w:t>
      </w:r>
      <w:r w:rsidR="005A13D1" w:rsidRPr="0059512A">
        <w:rPr>
          <w:sz w:val="26"/>
          <w:szCs w:val="26"/>
        </w:rPr>
        <w:t xml:space="preserve">that </w:t>
      </w:r>
      <w:r w:rsidRPr="0059512A">
        <w:rPr>
          <w:sz w:val="26"/>
          <w:szCs w:val="26"/>
        </w:rPr>
        <w:t xml:space="preserve">the Company failed to meet its burden of showing size risk exists for utilities, Citizens’ replies that the ALJs appropriately determined I&amp;E failed to support its counterargument that even if small companies face size risk, utilities are exempt.  Citizens’ R. Exc. at 8-9 (citing I&amp;E Exc. at 8-9; R.D. at 72; </w:t>
      </w:r>
      <w:r w:rsidRPr="0059512A">
        <w:rPr>
          <w:rFonts w:eastAsiaTheme="minorHAnsi"/>
          <w:i/>
          <w:sz w:val="26"/>
          <w:szCs w:val="26"/>
        </w:rPr>
        <w:t>Pa. PUC v. Duquesne Light Company</w:t>
      </w:r>
      <w:r w:rsidRPr="0059512A">
        <w:rPr>
          <w:rFonts w:eastAsiaTheme="minorHAnsi"/>
          <w:sz w:val="26"/>
          <w:szCs w:val="26"/>
        </w:rPr>
        <w:t>, Docket No</w:t>
      </w:r>
      <w:r w:rsidR="00E62E3C" w:rsidRPr="0059512A">
        <w:rPr>
          <w:rFonts w:eastAsiaTheme="minorHAnsi"/>
          <w:sz w:val="26"/>
          <w:szCs w:val="26"/>
        </w:rPr>
        <w:t>s</w:t>
      </w:r>
      <w:r w:rsidRPr="0059512A">
        <w:rPr>
          <w:rFonts w:eastAsiaTheme="minorHAnsi"/>
          <w:sz w:val="26"/>
          <w:szCs w:val="26"/>
        </w:rPr>
        <w:t>. R-2018-3000124</w:t>
      </w:r>
      <w:r w:rsidR="00E62E3C" w:rsidRPr="0059512A">
        <w:rPr>
          <w:rFonts w:eastAsiaTheme="minorHAnsi"/>
          <w:sz w:val="26"/>
          <w:szCs w:val="26"/>
        </w:rPr>
        <w:t xml:space="preserve">, </w:t>
      </w:r>
      <w:r w:rsidR="00E62E3C" w:rsidRPr="0059512A">
        <w:rPr>
          <w:rFonts w:eastAsiaTheme="minorHAnsi"/>
          <w:i/>
          <w:iCs/>
          <w:sz w:val="26"/>
          <w:szCs w:val="26"/>
        </w:rPr>
        <w:t>et al.</w:t>
      </w:r>
      <w:r w:rsidRPr="0059512A">
        <w:rPr>
          <w:rFonts w:eastAsiaTheme="minorHAnsi"/>
          <w:sz w:val="26"/>
          <w:szCs w:val="26"/>
        </w:rPr>
        <w:t xml:space="preserve"> (Order entered December 20, 2018) at 71</w:t>
      </w:r>
      <w:r w:rsidRPr="0059512A">
        <w:rPr>
          <w:sz w:val="26"/>
          <w:szCs w:val="26"/>
        </w:rPr>
        <w:t xml:space="preserve">).  Citizens’ further states that in contrast to I&amp;E’s Exception, Company witness D’Ascendis conducted an unrebutted analysis that presents unrebutted evidence of an inverse relationship between utility size and risk.  Citizens’ R. Exc. at 9-10 (citing Citizens’ M.B. at 98-99).  </w:t>
      </w:r>
    </w:p>
    <w:bookmarkEnd w:id="130"/>
    <w:p w14:paraId="7F5E4BE0" w14:textId="77777777" w:rsidR="00EC61B4" w:rsidRPr="0059512A" w:rsidRDefault="00EC61B4" w:rsidP="0059512A">
      <w:pPr>
        <w:widowControl/>
        <w:spacing w:line="360" w:lineRule="auto"/>
        <w:ind w:firstLine="1440"/>
        <w:contextualSpacing/>
        <w:rPr>
          <w:sz w:val="26"/>
          <w:szCs w:val="26"/>
        </w:rPr>
      </w:pPr>
    </w:p>
    <w:p w14:paraId="5F91D898" w14:textId="53C94D01" w:rsidR="00EC61B4" w:rsidRPr="0059512A" w:rsidRDefault="00EC61B4" w:rsidP="0059512A">
      <w:pPr>
        <w:widowControl/>
        <w:spacing w:line="360" w:lineRule="auto"/>
        <w:ind w:firstLine="1440"/>
        <w:contextualSpacing/>
        <w:rPr>
          <w:sz w:val="26"/>
          <w:szCs w:val="26"/>
        </w:rPr>
      </w:pPr>
      <w:r w:rsidRPr="0059512A">
        <w:rPr>
          <w:sz w:val="26"/>
          <w:szCs w:val="26"/>
        </w:rPr>
        <w:t>Similarly, Citizens’ replies that the OCA fails to support its contentions that the ALJs’ conclusion that a size adjustment is warranted and the ALJs’ adoption of the standard deviation method to account for the Company’s size risk.</w:t>
      </w:r>
      <w:r w:rsidR="00B2092B" w:rsidRPr="0059512A">
        <w:rPr>
          <w:sz w:val="26"/>
          <w:szCs w:val="26"/>
        </w:rPr>
        <w:t xml:space="preserve">  </w:t>
      </w:r>
      <w:r w:rsidRPr="0059512A">
        <w:rPr>
          <w:sz w:val="26"/>
          <w:szCs w:val="26"/>
        </w:rPr>
        <w:t>Citizens’ R. Exc. at</w:t>
      </w:r>
      <w:r w:rsidR="000F2F32">
        <w:rPr>
          <w:sz w:val="26"/>
          <w:szCs w:val="26"/>
        </w:rPr>
        <w:t> </w:t>
      </w:r>
      <w:r w:rsidRPr="0059512A">
        <w:rPr>
          <w:sz w:val="26"/>
          <w:szCs w:val="26"/>
        </w:rPr>
        <w:t>10 (citing OCA Exc. at 15-18).  Citizens’ adds that as concluded in the Company’s Main Brief, the OCA’s argument that adjusting for size risk for the Company is inappropriate defies logic because the size adjustment is intended to reflect the size premium spread.  Citizens’ R. Exc. at 10-11 (citing Citizens’ M.B. at 99).  Further, Citizens’ remains of the opinion that the OC</w:t>
      </w:r>
      <w:r w:rsidR="00E62E3C" w:rsidRPr="0059512A">
        <w:rPr>
          <w:sz w:val="26"/>
          <w:szCs w:val="26"/>
        </w:rPr>
        <w:t>A</w:t>
      </w:r>
      <w:r w:rsidRPr="0059512A">
        <w:rPr>
          <w:sz w:val="26"/>
          <w:szCs w:val="26"/>
        </w:rPr>
        <w:t>’s CAPM/Risk Premium model is an unfounded analysis that does not utilize a risk-free rate based on a forecast period.  Citizens R. Exc. at 12 (citing Citizens’ M.B. at 87-88; Citizens’ St. 2-R at 56-57).</w:t>
      </w:r>
    </w:p>
    <w:p w14:paraId="202E971F" w14:textId="77777777" w:rsidR="00EC61B4" w:rsidRPr="0059512A" w:rsidRDefault="00EC61B4" w:rsidP="0059512A">
      <w:pPr>
        <w:widowControl/>
        <w:spacing w:line="360" w:lineRule="auto"/>
        <w:ind w:firstLine="1440"/>
        <w:contextualSpacing/>
        <w:rPr>
          <w:sz w:val="26"/>
          <w:szCs w:val="26"/>
        </w:rPr>
      </w:pPr>
      <w:r w:rsidRPr="0059512A">
        <w:rPr>
          <w:sz w:val="26"/>
          <w:szCs w:val="26"/>
        </w:rPr>
        <w:lastRenderedPageBreak/>
        <w:t>In its Replies, I&amp;E requests that the Commission reject Citizens’ Exception to adjust the Company’s ROE to 10.30% because Citizens’ has not demonstrated the ALJs erred by not further adjusting the Company’s size adjustment.</w:t>
      </w:r>
      <w:r w:rsidRPr="0059512A">
        <w:rPr>
          <w:rStyle w:val="FootnoteReference"/>
          <w:sz w:val="26"/>
          <w:szCs w:val="26"/>
        </w:rPr>
        <w:footnoteReference w:id="19"/>
      </w:r>
      <w:r w:rsidRPr="0059512A">
        <w:rPr>
          <w:sz w:val="26"/>
          <w:szCs w:val="26"/>
        </w:rPr>
        <w:t xml:space="preserve">  I&amp;E elaborates that the Company is asking the Commission to abandon any methodological analysis and conclude that the ALJs’ recommended ROE is similar to DSIC ROEs, from which an additional size adjustment is necessary.  Further, I&amp;E claims that Citizens’ provides no reasoning as to why the Company should be awarded the upper end of one standard deviation of its DCF analysis, other than stating the Commission determines the ROE for DSICs using the same method.  Moreover, I&amp;E asserts that the Company’s reliance on the standard DSIC ROE for electric utilities is misplaced because it does not account for any specific facts or analyses in the instant proceeding.  I&amp;E R. Exc. at 8-10 (citing Citizens’ Exc. at 22-24; I&amp;E R.B. at 17-19).</w:t>
      </w:r>
    </w:p>
    <w:p w14:paraId="3668481E" w14:textId="77777777" w:rsidR="00EC61B4" w:rsidRPr="0059512A" w:rsidRDefault="00EC61B4" w:rsidP="0059512A">
      <w:pPr>
        <w:widowControl/>
        <w:spacing w:line="360" w:lineRule="auto"/>
        <w:ind w:firstLine="1440"/>
        <w:contextualSpacing/>
        <w:rPr>
          <w:sz w:val="26"/>
          <w:szCs w:val="26"/>
        </w:rPr>
      </w:pPr>
    </w:p>
    <w:p w14:paraId="59A38827" w14:textId="38A51A11" w:rsidR="00EC61B4" w:rsidRPr="0059512A" w:rsidRDefault="00EC61B4" w:rsidP="0059512A">
      <w:pPr>
        <w:widowControl/>
        <w:spacing w:line="360" w:lineRule="auto"/>
        <w:ind w:firstLine="1440"/>
        <w:contextualSpacing/>
        <w:rPr>
          <w:sz w:val="26"/>
          <w:szCs w:val="26"/>
        </w:rPr>
      </w:pPr>
      <w:r w:rsidRPr="0059512A">
        <w:rPr>
          <w:sz w:val="26"/>
          <w:szCs w:val="26"/>
        </w:rPr>
        <w:t>In its Replies, the OCA similarly states that the Company’s request for a 100-basis point adjustment should be denied by the ALJ</w:t>
      </w:r>
      <w:r w:rsidR="005A13D1" w:rsidRPr="0059512A">
        <w:rPr>
          <w:sz w:val="26"/>
          <w:szCs w:val="26"/>
        </w:rPr>
        <w:t>s</w:t>
      </w:r>
      <w:r w:rsidRPr="0059512A">
        <w:rPr>
          <w:sz w:val="26"/>
          <w:szCs w:val="26"/>
        </w:rPr>
        <w:t>.  To justify rejecting such an adjustment, the OCA references the testimony of witness Dr. Habr, in which he explained why Citizens’ should not be awarded a size premium and if any adjustment is made for size, it should be a negative adjustment rather than positive.</w:t>
      </w:r>
      <w:r w:rsidR="00B2092B" w:rsidRPr="0059512A">
        <w:rPr>
          <w:sz w:val="26"/>
          <w:szCs w:val="26"/>
        </w:rPr>
        <w:t xml:space="preserve">  </w:t>
      </w:r>
      <w:r w:rsidRPr="0059512A">
        <w:rPr>
          <w:sz w:val="26"/>
          <w:szCs w:val="26"/>
        </w:rPr>
        <w:t xml:space="preserve">OCA R. Exc. at 15-17 (citing OCA St. 3 at 29-30).  The OCA notes that I&amp;E opposes the size adjustment as well, referencing the I&amp;E witness testimony of Mr. Spadaccio that challenged the applicability of utility industry source material.  OCA R. Exc. at 17 (citing I&amp;E St. 2 at 41-42).  Further, the OCA remains in a state of disagreement with the ALJs’ conclusion that Citizens’ faces size risk because it is a smaller company, and the ALJs’ recommendation based on a DCF result of 9.49%, particularly to reflect a size adjustment for the Company.  OCA R. Exc. at 17-19 (citing R.D. at 72, 74; OCA M.B. at 44, 54).  </w:t>
      </w:r>
    </w:p>
    <w:bookmarkEnd w:id="129"/>
    <w:p w14:paraId="11D65182" w14:textId="77777777" w:rsidR="005143F4" w:rsidRPr="0059512A" w:rsidRDefault="005143F4" w:rsidP="0059512A">
      <w:pPr>
        <w:widowControl/>
        <w:spacing w:line="360" w:lineRule="auto"/>
        <w:rPr>
          <w:b/>
          <w:bCs/>
          <w:sz w:val="26"/>
          <w:szCs w:val="26"/>
        </w:rPr>
      </w:pPr>
    </w:p>
    <w:p w14:paraId="398466B7" w14:textId="329A8B71" w:rsidR="00537FE1" w:rsidRPr="0059512A" w:rsidRDefault="000E05F3" w:rsidP="0059512A">
      <w:pPr>
        <w:keepNext/>
        <w:widowControl/>
        <w:spacing w:line="360" w:lineRule="auto"/>
        <w:ind w:left="2160" w:hanging="720"/>
        <w:rPr>
          <w:b/>
          <w:bCs/>
          <w:sz w:val="26"/>
          <w:szCs w:val="26"/>
        </w:rPr>
      </w:pPr>
      <w:r w:rsidRPr="0059512A">
        <w:rPr>
          <w:b/>
          <w:bCs/>
          <w:sz w:val="26"/>
          <w:szCs w:val="26"/>
        </w:rPr>
        <w:lastRenderedPageBreak/>
        <w:t>d.</w:t>
      </w:r>
      <w:r w:rsidRPr="0059512A">
        <w:rPr>
          <w:b/>
          <w:bCs/>
          <w:sz w:val="26"/>
          <w:szCs w:val="26"/>
        </w:rPr>
        <w:tab/>
        <w:t>Disposition</w:t>
      </w:r>
    </w:p>
    <w:bookmarkEnd w:id="125"/>
    <w:p w14:paraId="5405EB6A" w14:textId="7FA176F0" w:rsidR="000E05F3" w:rsidRPr="0059512A" w:rsidRDefault="000E05F3" w:rsidP="0059512A">
      <w:pPr>
        <w:keepNext/>
        <w:widowControl/>
        <w:spacing w:line="360" w:lineRule="auto"/>
        <w:rPr>
          <w:sz w:val="26"/>
          <w:szCs w:val="26"/>
        </w:rPr>
      </w:pPr>
    </w:p>
    <w:p w14:paraId="792B6125" w14:textId="4DD7FD51" w:rsidR="00593228" w:rsidRPr="0059512A" w:rsidRDefault="00593228" w:rsidP="0059512A">
      <w:pPr>
        <w:keepNext/>
        <w:widowControl/>
        <w:spacing w:line="360" w:lineRule="auto"/>
        <w:ind w:firstLine="1440"/>
        <w:contextualSpacing/>
        <w:rPr>
          <w:sz w:val="26"/>
          <w:szCs w:val="26"/>
        </w:rPr>
      </w:pPr>
      <w:r w:rsidRPr="0059512A">
        <w:rPr>
          <w:sz w:val="26"/>
          <w:szCs w:val="26"/>
        </w:rPr>
        <w:t xml:space="preserve">Based upon the evidence of record, we agree with the recommendation of the ALJs that the Company be awarded a DCF cost of common equity of 9.49%, which is one standard deviation above </w:t>
      </w:r>
      <w:r w:rsidR="00451F3E" w:rsidRPr="0059512A">
        <w:rPr>
          <w:sz w:val="26"/>
          <w:szCs w:val="26"/>
        </w:rPr>
        <w:t>the average of the mean and median proxy group ROE from the Company’s DCF analysis</w:t>
      </w:r>
      <w:r w:rsidRPr="0059512A">
        <w:rPr>
          <w:sz w:val="26"/>
          <w:szCs w:val="26"/>
        </w:rPr>
        <w:t>.  In so doing, we recognize that</w:t>
      </w:r>
      <w:r w:rsidR="00451F3E" w:rsidRPr="0059512A">
        <w:rPr>
          <w:sz w:val="26"/>
          <w:szCs w:val="26"/>
        </w:rPr>
        <w:t xml:space="preserve"> the Company’s</w:t>
      </w:r>
      <w:r w:rsidRPr="0059512A">
        <w:rPr>
          <w:sz w:val="26"/>
          <w:szCs w:val="26"/>
        </w:rPr>
        <w:t xml:space="preserve"> size is a factor in assessing its ability to attract capital.  Accordingly, we shall reject </w:t>
      </w:r>
      <w:r w:rsidR="00451F3E" w:rsidRPr="0059512A">
        <w:rPr>
          <w:sz w:val="26"/>
          <w:szCs w:val="26"/>
        </w:rPr>
        <w:t xml:space="preserve">Citizens’ </w:t>
      </w:r>
      <w:r w:rsidRPr="0059512A">
        <w:rPr>
          <w:sz w:val="26"/>
          <w:szCs w:val="26"/>
        </w:rPr>
        <w:t xml:space="preserve">Exception No. </w:t>
      </w:r>
      <w:r w:rsidR="00451F3E" w:rsidRPr="0059512A">
        <w:rPr>
          <w:sz w:val="26"/>
          <w:szCs w:val="26"/>
        </w:rPr>
        <w:t>10</w:t>
      </w:r>
      <w:r w:rsidRPr="0059512A">
        <w:rPr>
          <w:sz w:val="26"/>
          <w:szCs w:val="26"/>
        </w:rPr>
        <w:t xml:space="preserve">, I&amp;E’s Exception No. 4, and the OCA’s Exception No. </w:t>
      </w:r>
      <w:r w:rsidR="00451F3E" w:rsidRPr="0059512A">
        <w:rPr>
          <w:sz w:val="26"/>
          <w:szCs w:val="26"/>
        </w:rPr>
        <w:t>7</w:t>
      </w:r>
      <w:r w:rsidRPr="0059512A">
        <w:rPr>
          <w:sz w:val="26"/>
          <w:szCs w:val="26"/>
        </w:rPr>
        <w:t xml:space="preserve">, consistent with the following discussion.  </w:t>
      </w:r>
    </w:p>
    <w:p w14:paraId="721DF2ED" w14:textId="77777777" w:rsidR="0044492E" w:rsidRPr="0059512A" w:rsidRDefault="0044492E" w:rsidP="0059512A">
      <w:pPr>
        <w:keepNext/>
        <w:widowControl/>
        <w:spacing w:line="360" w:lineRule="auto"/>
        <w:ind w:firstLine="1440"/>
        <w:contextualSpacing/>
        <w:rPr>
          <w:sz w:val="26"/>
          <w:szCs w:val="26"/>
        </w:rPr>
      </w:pPr>
    </w:p>
    <w:p w14:paraId="103AC294" w14:textId="19BBF9EB" w:rsidR="00593228" w:rsidRPr="0059512A" w:rsidRDefault="00593228" w:rsidP="0059512A">
      <w:pPr>
        <w:widowControl/>
        <w:spacing w:line="360" w:lineRule="auto"/>
        <w:ind w:firstLine="1440"/>
        <w:contextualSpacing/>
        <w:rPr>
          <w:sz w:val="26"/>
          <w:szCs w:val="26"/>
        </w:rPr>
      </w:pPr>
      <w:r w:rsidRPr="0059512A">
        <w:rPr>
          <w:sz w:val="26"/>
          <w:szCs w:val="26"/>
        </w:rPr>
        <w:t xml:space="preserve">We are not convinced by the arguments of I&amp;E and the OCA that the ALJs erred in awarding a size adjustment to </w:t>
      </w:r>
      <w:r w:rsidR="00451F3E" w:rsidRPr="0059512A">
        <w:rPr>
          <w:sz w:val="26"/>
          <w:szCs w:val="26"/>
        </w:rPr>
        <w:t>Citizens’</w:t>
      </w:r>
      <w:r w:rsidRPr="0059512A">
        <w:rPr>
          <w:sz w:val="26"/>
          <w:szCs w:val="26"/>
        </w:rPr>
        <w:t xml:space="preserve">.  Rather, we are of the same opinion as the ALJs that </w:t>
      </w:r>
      <w:r w:rsidR="00451F3E" w:rsidRPr="0059512A">
        <w:rPr>
          <w:sz w:val="26"/>
          <w:szCs w:val="26"/>
        </w:rPr>
        <w:t xml:space="preserve">the Company’s </w:t>
      </w:r>
      <w:r w:rsidRPr="0059512A">
        <w:rPr>
          <w:sz w:val="26"/>
          <w:szCs w:val="26"/>
        </w:rPr>
        <w:t>witness Mr. D’Ascendis offered persuasive record evidence that there is a general inverse relationship between size and risk, such that smaller companies like</w:t>
      </w:r>
      <w:r w:rsidR="00451F3E" w:rsidRPr="0059512A">
        <w:rPr>
          <w:sz w:val="26"/>
          <w:szCs w:val="26"/>
        </w:rPr>
        <w:t xml:space="preserve"> Citizens’</w:t>
      </w:r>
      <w:r w:rsidRPr="0059512A">
        <w:rPr>
          <w:sz w:val="26"/>
          <w:szCs w:val="26"/>
        </w:rPr>
        <w:t xml:space="preserve"> face greater risk.  In this regard, Mr. D’Ascendis testified that smaller companies face greater business risk because they have fewer resources to enable them to handle significant events that affect their sales, revenues, and earnings.  Therefore, the loss of revenues from a few larger customers would have a greater effect on a small company than on a bigger company that has a larger and more diverse customer base.  </w:t>
      </w:r>
      <w:r w:rsidR="00451F3E" w:rsidRPr="0059512A">
        <w:rPr>
          <w:sz w:val="26"/>
          <w:szCs w:val="26"/>
        </w:rPr>
        <w:t>Citizens’</w:t>
      </w:r>
      <w:r w:rsidRPr="0059512A">
        <w:rPr>
          <w:sz w:val="26"/>
          <w:szCs w:val="26"/>
        </w:rPr>
        <w:t xml:space="preserve"> St. 2 at 41-42.  Accordingly, we find it intuitive that, because smaller firms are riskier, investors will generally demand greater returns to compensate for greater assumed risk.  Further, because the record evidence demonstrates that </w:t>
      </w:r>
      <w:r w:rsidR="00451F3E" w:rsidRPr="0059512A">
        <w:rPr>
          <w:sz w:val="26"/>
          <w:szCs w:val="26"/>
        </w:rPr>
        <w:t>Citizens’</w:t>
      </w:r>
      <w:r w:rsidRPr="0059512A">
        <w:rPr>
          <w:sz w:val="26"/>
          <w:szCs w:val="26"/>
        </w:rPr>
        <w:t xml:space="preserve"> is significantly smaller in size when compared to the </w:t>
      </w:r>
      <w:r w:rsidR="00451F3E" w:rsidRPr="0059512A">
        <w:rPr>
          <w:sz w:val="26"/>
          <w:szCs w:val="26"/>
        </w:rPr>
        <w:t>EDC</w:t>
      </w:r>
      <w:r w:rsidRPr="0059512A">
        <w:rPr>
          <w:sz w:val="26"/>
          <w:szCs w:val="26"/>
        </w:rPr>
        <w:t>s in its proxy group, we find that this weighs in favor of awarding the Company a size adjustment.</w:t>
      </w:r>
    </w:p>
    <w:p w14:paraId="39475E3D" w14:textId="77777777" w:rsidR="00593228" w:rsidRPr="0059512A" w:rsidRDefault="00593228" w:rsidP="0059512A">
      <w:pPr>
        <w:widowControl/>
        <w:spacing w:line="360" w:lineRule="auto"/>
        <w:ind w:firstLine="1440"/>
        <w:contextualSpacing/>
        <w:rPr>
          <w:sz w:val="26"/>
          <w:szCs w:val="26"/>
        </w:rPr>
      </w:pPr>
    </w:p>
    <w:p w14:paraId="017A822F" w14:textId="1499A6EA" w:rsidR="00593228" w:rsidRPr="0059512A" w:rsidRDefault="00593228" w:rsidP="0059512A">
      <w:pPr>
        <w:widowControl/>
        <w:spacing w:line="360" w:lineRule="auto"/>
        <w:ind w:firstLine="1440"/>
        <w:contextualSpacing/>
        <w:rPr>
          <w:sz w:val="26"/>
          <w:szCs w:val="26"/>
        </w:rPr>
      </w:pPr>
      <w:r w:rsidRPr="0059512A">
        <w:rPr>
          <w:sz w:val="26"/>
          <w:szCs w:val="26"/>
        </w:rPr>
        <w:t xml:space="preserve">At the same time, however, we echo the ALJs that the Parties have presented offsetting arguments such that there is not substantial evidence to determine whether size is specifically a risk for utilities.  As I&amp;E and the OCA both noted, the technical literature presented by </w:t>
      </w:r>
      <w:r w:rsidR="00451F3E" w:rsidRPr="0059512A">
        <w:rPr>
          <w:sz w:val="26"/>
          <w:szCs w:val="26"/>
        </w:rPr>
        <w:t>Citizens’</w:t>
      </w:r>
      <w:r w:rsidRPr="0059512A">
        <w:rPr>
          <w:sz w:val="26"/>
          <w:szCs w:val="26"/>
        </w:rPr>
        <w:t xml:space="preserve"> is not specific to the utility industry and also </w:t>
      </w:r>
      <w:r w:rsidRPr="0059512A">
        <w:rPr>
          <w:sz w:val="26"/>
          <w:szCs w:val="26"/>
        </w:rPr>
        <w:lastRenderedPageBreak/>
        <w:t xml:space="preserve">may not definitively support a size adjustment.  Additionally, as I&amp;E observed, the empirical study undertaken by </w:t>
      </w:r>
      <w:r w:rsidR="00451F3E" w:rsidRPr="0059512A">
        <w:rPr>
          <w:sz w:val="26"/>
          <w:szCs w:val="26"/>
        </w:rPr>
        <w:t>the Company’s</w:t>
      </w:r>
      <w:r w:rsidRPr="0059512A">
        <w:rPr>
          <w:sz w:val="26"/>
          <w:szCs w:val="26"/>
        </w:rPr>
        <w:t xml:space="preserve"> witness Mr. D’Ascendis illustrates the difficulty in predicting the risk effect of a company’s size.  More specifically, while Mr. D’Ascendis used market information from the NYSE, the AMEX, and the NASDAQ, we find that I&amp;E offered evidence indicating that for certain periods, large-capitalization stocks have outperformed small-capitalization stocks such that there is not sufficient correlation to prove that size is a specific risk for utilities.  </w:t>
      </w:r>
      <w:r w:rsidR="00253880">
        <w:rPr>
          <w:sz w:val="26"/>
          <w:szCs w:val="26"/>
        </w:rPr>
        <w:t>I</w:t>
      </w:r>
      <w:r w:rsidRPr="0059512A">
        <w:rPr>
          <w:sz w:val="26"/>
          <w:szCs w:val="26"/>
        </w:rPr>
        <w:t xml:space="preserve">&amp;E St. 2-SR at </w:t>
      </w:r>
      <w:r w:rsidR="00451F3E" w:rsidRPr="0059512A">
        <w:rPr>
          <w:sz w:val="26"/>
          <w:szCs w:val="26"/>
        </w:rPr>
        <w:t>23-24</w:t>
      </w:r>
      <w:r w:rsidRPr="0059512A">
        <w:rPr>
          <w:sz w:val="26"/>
          <w:szCs w:val="26"/>
        </w:rPr>
        <w:t>.  Therefore, we are not persuaded by</w:t>
      </w:r>
      <w:r w:rsidR="00435CF2" w:rsidRPr="0059512A">
        <w:rPr>
          <w:sz w:val="26"/>
          <w:szCs w:val="26"/>
        </w:rPr>
        <w:t xml:space="preserve"> the Company’s</w:t>
      </w:r>
      <w:r w:rsidRPr="0059512A">
        <w:rPr>
          <w:sz w:val="26"/>
          <w:szCs w:val="26"/>
        </w:rPr>
        <w:t xml:space="preserve"> argument that the ALJs erred by not awarding </w:t>
      </w:r>
      <w:r w:rsidR="00435CF2" w:rsidRPr="0059512A">
        <w:rPr>
          <w:sz w:val="26"/>
          <w:szCs w:val="26"/>
        </w:rPr>
        <w:t>Citizens’</w:t>
      </w:r>
      <w:r w:rsidRPr="0059512A">
        <w:rPr>
          <w:sz w:val="26"/>
          <w:szCs w:val="26"/>
        </w:rPr>
        <w:t xml:space="preserve"> a greater size adjustment.  For this reason, we decline to award an explicit 100-basis point size adjustment, as advocated by </w:t>
      </w:r>
      <w:r w:rsidR="00435CF2" w:rsidRPr="0059512A">
        <w:rPr>
          <w:sz w:val="26"/>
          <w:szCs w:val="26"/>
        </w:rPr>
        <w:t>Citizens’</w:t>
      </w:r>
      <w:r w:rsidRPr="0059512A">
        <w:rPr>
          <w:sz w:val="26"/>
          <w:szCs w:val="26"/>
        </w:rPr>
        <w:t xml:space="preserve">.  </w:t>
      </w:r>
    </w:p>
    <w:p w14:paraId="5A119E58" w14:textId="77777777" w:rsidR="001D7A0A" w:rsidRPr="0059512A" w:rsidRDefault="001D7A0A" w:rsidP="0059512A">
      <w:pPr>
        <w:widowControl/>
        <w:spacing w:line="360" w:lineRule="auto"/>
        <w:ind w:firstLine="1440"/>
        <w:contextualSpacing/>
        <w:rPr>
          <w:sz w:val="26"/>
          <w:szCs w:val="26"/>
        </w:rPr>
      </w:pPr>
    </w:p>
    <w:p w14:paraId="53E0FBEC" w14:textId="7B35ADE2" w:rsidR="00593228" w:rsidRPr="0059512A" w:rsidRDefault="00593228" w:rsidP="0059512A">
      <w:pPr>
        <w:widowControl/>
        <w:spacing w:line="360" w:lineRule="auto"/>
        <w:ind w:firstLine="1440"/>
        <w:contextualSpacing/>
        <w:rPr>
          <w:sz w:val="26"/>
          <w:szCs w:val="26"/>
        </w:rPr>
      </w:pPr>
      <w:r w:rsidRPr="0059512A">
        <w:rPr>
          <w:sz w:val="26"/>
          <w:szCs w:val="26"/>
        </w:rPr>
        <w:t xml:space="preserve">Consistent with the foregoing discussion, like the ALJs, we shall not specify an exact size adjustment.  Instead, we shall adopt the ALJs’ recommendation that </w:t>
      </w:r>
      <w:r w:rsidR="00435CF2" w:rsidRPr="0059512A">
        <w:rPr>
          <w:sz w:val="26"/>
          <w:szCs w:val="26"/>
        </w:rPr>
        <w:t>Citizens’</w:t>
      </w:r>
      <w:r w:rsidRPr="0059512A">
        <w:rPr>
          <w:sz w:val="26"/>
          <w:szCs w:val="26"/>
        </w:rPr>
        <w:t xml:space="preserve"> be awarded a DCF cost of common equity of 9.</w:t>
      </w:r>
      <w:r w:rsidR="00435CF2" w:rsidRPr="0059512A">
        <w:rPr>
          <w:sz w:val="26"/>
          <w:szCs w:val="26"/>
        </w:rPr>
        <w:t>49</w:t>
      </w:r>
      <w:r w:rsidRPr="0059512A">
        <w:rPr>
          <w:sz w:val="26"/>
          <w:szCs w:val="26"/>
        </w:rPr>
        <w:t>%</w:t>
      </w:r>
      <w:r w:rsidR="00435CF2" w:rsidRPr="0059512A">
        <w:rPr>
          <w:sz w:val="26"/>
          <w:szCs w:val="26"/>
        </w:rPr>
        <w:t xml:space="preserve">.  </w:t>
      </w:r>
      <w:r w:rsidRPr="0059512A">
        <w:rPr>
          <w:sz w:val="26"/>
          <w:szCs w:val="26"/>
        </w:rPr>
        <w:t>In our view, this cost of equity is reasonable and strikes an appropriate balance by recognizing the general inverse relationship between a company’s size and its risk, while acknowledging that there is not substantial evidence in the record to prove that an explicit size basis point adjustment is warranted in this case.</w:t>
      </w:r>
    </w:p>
    <w:p w14:paraId="3CE6DC62" w14:textId="77777777" w:rsidR="005143F4" w:rsidRPr="0059512A" w:rsidRDefault="005143F4" w:rsidP="0059512A">
      <w:pPr>
        <w:widowControl/>
        <w:spacing w:line="360" w:lineRule="auto"/>
        <w:rPr>
          <w:sz w:val="26"/>
          <w:szCs w:val="26"/>
        </w:rPr>
      </w:pPr>
    </w:p>
    <w:p w14:paraId="71A04C87" w14:textId="0ACED560" w:rsidR="00C6198E" w:rsidRPr="0059512A" w:rsidRDefault="00FB6D6F" w:rsidP="0059512A">
      <w:pPr>
        <w:pStyle w:val="Heading3"/>
        <w:keepNext/>
        <w:ind w:left="1440" w:hanging="720"/>
      </w:pPr>
      <w:bookmarkStart w:id="131" w:name="_Toc38629296"/>
      <w:bookmarkStart w:id="132" w:name="_Hlk35847456"/>
      <w:r w:rsidRPr="0059512A">
        <w:t>Return on Common Equity</w:t>
      </w:r>
      <w:r w:rsidR="001B0107" w:rsidRPr="0059512A">
        <w:t xml:space="preserve">: </w:t>
      </w:r>
      <w:r w:rsidR="00C6198E" w:rsidRPr="0059512A">
        <w:t>Management Effectiveness Adjustment</w:t>
      </w:r>
      <w:bookmarkEnd w:id="131"/>
    </w:p>
    <w:p w14:paraId="6AD1C48F" w14:textId="12A190DD" w:rsidR="00537FE1" w:rsidRPr="0059512A" w:rsidRDefault="00537FE1" w:rsidP="0059512A">
      <w:pPr>
        <w:keepNext/>
        <w:widowControl/>
        <w:spacing w:line="360" w:lineRule="auto"/>
        <w:rPr>
          <w:sz w:val="26"/>
          <w:szCs w:val="26"/>
        </w:rPr>
      </w:pPr>
    </w:p>
    <w:p w14:paraId="14EAF8DA" w14:textId="77777777" w:rsidR="000E05F3" w:rsidRPr="0059512A" w:rsidRDefault="000E05F3" w:rsidP="0059512A">
      <w:pPr>
        <w:pStyle w:val="ListParagraph"/>
        <w:keepNext/>
        <w:widowControl/>
        <w:spacing w:line="360" w:lineRule="auto"/>
        <w:ind w:left="2160" w:hanging="720"/>
        <w:rPr>
          <w:b/>
          <w:bCs/>
          <w:sz w:val="26"/>
          <w:szCs w:val="26"/>
        </w:rPr>
      </w:pPr>
      <w:bookmarkStart w:id="133" w:name="_Hlk37159026"/>
      <w:bookmarkEnd w:id="132"/>
      <w:r w:rsidRPr="0059512A">
        <w:rPr>
          <w:b/>
          <w:bCs/>
          <w:sz w:val="26"/>
          <w:szCs w:val="26"/>
        </w:rPr>
        <w:t>a.</w:t>
      </w:r>
      <w:r w:rsidRPr="0059512A">
        <w:rPr>
          <w:b/>
          <w:bCs/>
          <w:sz w:val="26"/>
          <w:szCs w:val="26"/>
        </w:rPr>
        <w:tab/>
      </w:r>
      <w:bookmarkStart w:id="134" w:name="_Hlk37159014"/>
      <w:r w:rsidRPr="0059512A">
        <w:rPr>
          <w:b/>
          <w:bCs/>
          <w:sz w:val="26"/>
          <w:szCs w:val="26"/>
        </w:rPr>
        <w:t>Positions of the Parties</w:t>
      </w:r>
    </w:p>
    <w:p w14:paraId="15598BBB" w14:textId="4DEBAA4B" w:rsidR="000E05F3" w:rsidRPr="0059512A" w:rsidRDefault="000E05F3" w:rsidP="0059512A">
      <w:pPr>
        <w:keepNext/>
        <w:widowControl/>
        <w:spacing w:line="360" w:lineRule="auto"/>
        <w:ind w:left="1440" w:hanging="720"/>
        <w:rPr>
          <w:b/>
          <w:bCs/>
          <w:sz w:val="26"/>
          <w:szCs w:val="26"/>
        </w:rPr>
      </w:pPr>
    </w:p>
    <w:p w14:paraId="25411CE6" w14:textId="77777777" w:rsidR="0045468F" w:rsidRPr="0059512A" w:rsidRDefault="0045468F" w:rsidP="0059512A">
      <w:pPr>
        <w:keepNext/>
        <w:widowControl/>
        <w:spacing w:line="360" w:lineRule="auto"/>
        <w:ind w:firstLine="1440"/>
        <w:rPr>
          <w:rFonts w:eastAsiaTheme="minorHAnsi"/>
          <w:sz w:val="26"/>
          <w:szCs w:val="26"/>
        </w:rPr>
      </w:pPr>
      <w:r w:rsidRPr="0059512A">
        <w:rPr>
          <w:rFonts w:eastAsiaTheme="minorHAnsi"/>
          <w:sz w:val="26"/>
          <w:szCs w:val="26"/>
        </w:rPr>
        <w:t>Citizens’ requested a 25-basis point management effectiveness adjustment to the cost of common equity.  Both I&amp;E and the OCA opposed any allowance for management effectiveness, generally on the basis that the utility company should not be rewarded for doing what it is required to do under the Code.</w:t>
      </w:r>
    </w:p>
    <w:p w14:paraId="4DFE63FE" w14:textId="77777777" w:rsidR="0045468F" w:rsidRPr="0059512A" w:rsidRDefault="0045468F" w:rsidP="0059512A">
      <w:pPr>
        <w:widowControl/>
        <w:spacing w:line="360" w:lineRule="auto"/>
        <w:ind w:firstLine="1440"/>
        <w:rPr>
          <w:rFonts w:eastAsiaTheme="minorHAnsi"/>
          <w:sz w:val="26"/>
          <w:szCs w:val="26"/>
        </w:rPr>
      </w:pPr>
    </w:p>
    <w:p w14:paraId="334EE935" w14:textId="542F0F05" w:rsidR="0045468F" w:rsidRPr="0059512A" w:rsidRDefault="0045468F" w:rsidP="0059512A">
      <w:pPr>
        <w:widowControl/>
        <w:spacing w:line="360" w:lineRule="auto"/>
        <w:ind w:firstLine="1440"/>
        <w:rPr>
          <w:rFonts w:eastAsiaTheme="minorHAnsi"/>
          <w:sz w:val="26"/>
          <w:szCs w:val="26"/>
        </w:rPr>
      </w:pPr>
      <w:r w:rsidRPr="0059512A">
        <w:rPr>
          <w:rFonts w:eastAsiaTheme="minorHAnsi"/>
          <w:sz w:val="26"/>
          <w:szCs w:val="26"/>
        </w:rPr>
        <w:lastRenderedPageBreak/>
        <w:t>Citizens’ submitted that, in accordance with Section 523 of the Code, 66</w:t>
      </w:r>
      <w:r w:rsidR="000F2F32">
        <w:rPr>
          <w:rFonts w:eastAsiaTheme="minorHAnsi"/>
          <w:sz w:val="26"/>
          <w:szCs w:val="26"/>
        </w:rPr>
        <w:t> </w:t>
      </w:r>
      <w:r w:rsidRPr="0059512A">
        <w:rPr>
          <w:rFonts w:eastAsiaTheme="minorHAnsi"/>
          <w:sz w:val="26"/>
          <w:szCs w:val="26"/>
        </w:rPr>
        <w:t>Pa. C.S. § 523, the Commission is required to consider management effectiveness in setting a utility’s rates.  The Company claimed the following initiatives and accomplishments warrant a performance adjustment: (1) low number of customer complain</w:t>
      </w:r>
      <w:r w:rsidR="00E62E3C" w:rsidRPr="0059512A">
        <w:rPr>
          <w:rFonts w:eastAsiaTheme="minorHAnsi"/>
          <w:sz w:val="26"/>
          <w:szCs w:val="26"/>
        </w:rPr>
        <w:t>t</w:t>
      </w:r>
      <w:r w:rsidRPr="0059512A">
        <w:rPr>
          <w:rFonts w:eastAsiaTheme="minorHAnsi"/>
          <w:sz w:val="26"/>
          <w:szCs w:val="26"/>
        </w:rPr>
        <w:t>s; (2) favorable customer feedback; (3) high responsiveness to customer support calls and in energizing new service locations; (4) excellent reliability metrics; (5)</w:t>
      </w:r>
      <w:r w:rsidR="000F2F32">
        <w:rPr>
          <w:rFonts w:eastAsiaTheme="minorHAnsi"/>
          <w:sz w:val="26"/>
          <w:szCs w:val="26"/>
        </w:rPr>
        <w:t> </w:t>
      </w:r>
      <w:r w:rsidRPr="0059512A">
        <w:rPr>
          <w:rFonts w:eastAsiaTheme="minorHAnsi"/>
          <w:sz w:val="26"/>
          <w:szCs w:val="26"/>
        </w:rPr>
        <w:t xml:space="preserve">no reportable injuries; (6) technological improvements in customer service by offering </w:t>
      </w:r>
      <w:r w:rsidR="00707B58" w:rsidRPr="0059512A">
        <w:rPr>
          <w:rFonts w:eastAsiaTheme="minorHAnsi"/>
          <w:sz w:val="26"/>
          <w:szCs w:val="26"/>
        </w:rPr>
        <w:t>“</w:t>
      </w:r>
      <w:r w:rsidRPr="0059512A">
        <w:rPr>
          <w:rFonts w:eastAsiaTheme="minorHAnsi"/>
          <w:sz w:val="26"/>
          <w:szCs w:val="26"/>
        </w:rPr>
        <w:t>Smarthub</w:t>
      </w:r>
      <w:r w:rsidR="00707B58" w:rsidRPr="0059512A">
        <w:rPr>
          <w:rFonts w:eastAsiaTheme="minorHAnsi"/>
          <w:sz w:val="26"/>
          <w:szCs w:val="26"/>
        </w:rPr>
        <w:t>”</w:t>
      </w:r>
      <w:r w:rsidRPr="0059512A">
        <w:rPr>
          <w:rFonts w:eastAsiaTheme="minorHAnsi"/>
          <w:sz w:val="26"/>
          <w:szCs w:val="26"/>
        </w:rPr>
        <w:t xml:space="preserve"> use to customers and providing line crews with tablets; (7) increased pole attachment billing; (8) recognition as a “Tree Line USA” utility</w:t>
      </w:r>
      <w:r w:rsidR="000F2F32">
        <w:rPr>
          <w:rFonts w:eastAsiaTheme="minorHAnsi"/>
          <w:sz w:val="26"/>
          <w:szCs w:val="26"/>
        </w:rPr>
        <w:t>;</w:t>
      </w:r>
      <w:r w:rsidRPr="0059512A">
        <w:rPr>
          <w:rStyle w:val="FootnoteReference"/>
          <w:rFonts w:eastAsiaTheme="minorHAnsi"/>
          <w:sz w:val="26"/>
          <w:szCs w:val="26"/>
        </w:rPr>
        <w:footnoteReference w:id="20"/>
      </w:r>
      <w:r w:rsidRPr="0059512A">
        <w:rPr>
          <w:rFonts w:eastAsiaTheme="minorHAnsi"/>
          <w:sz w:val="26"/>
          <w:szCs w:val="26"/>
        </w:rPr>
        <w:t xml:space="preserve"> (9) replacement of 40% of all streetlights in its service area with LED lights; and (10) continued significant capital investment of approximately $1.4 million per annum.  Citizens’ M.B. at 90 (citing Citizens’ St. 4 at 9-12).</w:t>
      </w:r>
    </w:p>
    <w:p w14:paraId="7555593D" w14:textId="77777777" w:rsidR="0045468F" w:rsidRPr="0059512A" w:rsidRDefault="0045468F" w:rsidP="0059512A">
      <w:pPr>
        <w:widowControl/>
        <w:spacing w:line="360" w:lineRule="auto"/>
        <w:ind w:firstLine="1440"/>
        <w:rPr>
          <w:rFonts w:eastAsiaTheme="minorHAnsi"/>
          <w:sz w:val="26"/>
          <w:szCs w:val="26"/>
        </w:rPr>
      </w:pPr>
    </w:p>
    <w:p w14:paraId="664D61D5" w14:textId="4F9F6ED4" w:rsidR="0045468F" w:rsidRPr="0059512A" w:rsidRDefault="0045468F" w:rsidP="0059512A">
      <w:pPr>
        <w:widowControl/>
        <w:spacing w:line="360" w:lineRule="auto"/>
        <w:ind w:firstLine="1440"/>
        <w:rPr>
          <w:rFonts w:eastAsiaTheme="minorHAnsi"/>
          <w:sz w:val="26"/>
          <w:szCs w:val="26"/>
        </w:rPr>
      </w:pPr>
      <w:r w:rsidRPr="0059512A">
        <w:rPr>
          <w:rFonts w:eastAsiaTheme="minorHAnsi"/>
          <w:sz w:val="26"/>
          <w:szCs w:val="26"/>
        </w:rPr>
        <w:t xml:space="preserve">Further, Citizens’ described some of the aforementioned achievements in more detail, to highlight the weight of the Company’s accomplishments.  The Company noted, </w:t>
      </w:r>
      <w:r w:rsidRPr="0059512A">
        <w:rPr>
          <w:rFonts w:eastAsiaTheme="minorHAnsi"/>
          <w:i/>
          <w:iCs/>
          <w:sz w:val="26"/>
          <w:szCs w:val="26"/>
        </w:rPr>
        <w:t>inter alia</w:t>
      </w:r>
      <w:r w:rsidRPr="0059512A">
        <w:rPr>
          <w:rFonts w:eastAsiaTheme="minorHAnsi"/>
          <w:sz w:val="26"/>
          <w:szCs w:val="26"/>
        </w:rPr>
        <w:t xml:space="preserve">: </w:t>
      </w:r>
      <w:r w:rsidR="005A13D1" w:rsidRPr="0059512A">
        <w:rPr>
          <w:rFonts w:eastAsiaTheme="minorHAnsi"/>
          <w:sz w:val="26"/>
          <w:szCs w:val="26"/>
        </w:rPr>
        <w:t xml:space="preserve">(1) </w:t>
      </w:r>
      <w:r w:rsidRPr="0059512A">
        <w:rPr>
          <w:rFonts w:eastAsiaTheme="minorHAnsi"/>
          <w:sz w:val="26"/>
          <w:szCs w:val="26"/>
        </w:rPr>
        <w:t>each informal complaint between 2016-2018 was dismissed in 19 days or less by the Commission;</w:t>
      </w:r>
      <w:r w:rsidR="005A13D1" w:rsidRPr="0059512A">
        <w:rPr>
          <w:rFonts w:eastAsiaTheme="minorHAnsi"/>
          <w:sz w:val="26"/>
          <w:szCs w:val="26"/>
        </w:rPr>
        <w:t xml:space="preserve"> (2)</w:t>
      </w:r>
      <w:r w:rsidRPr="0059512A">
        <w:rPr>
          <w:rFonts w:eastAsiaTheme="minorHAnsi"/>
          <w:sz w:val="26"/>
          <w:szCs w:val="26"/>
        </w:rPr>
        <w:t xml:space="preserve"> regarding high responsiveness, Citizens’ responded to 97% of customer phone calls within thirty seconds; </w:t>
      </w:r>
      <w:r w:rsidR="005A13D1" w:rsidRPr="0059512A">
        <w:rPr>
          <w:rFonts w:eastAsiaTheme="minorHAnsi"/>
          <w:sz w:val="26"/>
          <w:szCs w:val="26"/>
        </w:rPr>
        <w:t xml:space="preserve">(3) </w:t>
      </w:r>
      <w:r w:rsidRPr="0059512A">
        <w:rPr>
          <w:rFonts w:eastAsiaTheme="minorHAnsi"/>
          <w:sz w:val="26"/>
          <w:szCs w:val="26"/>
        </w:rPr>
        <w:t xml:space="preserve">reliability metrics in 2018 indicate the Company met, or exceeded, all Commission reliability objectives; </w:t>
      </w:r>
      <w:r w:rsidR="005A13D1" w:rsidRPr="0059512A">
        <w:rPr>
          <w:rFonts w:eastAsiaTheme="minorHAnsi"/>
          <w:sz w:val="26"/>
          <w:szCs w:val="26"/>
        </w:rPr>
        <w:t>(4)</w:t>
      </w:r>
      <w:r w:rsidR="000F2F32">
        <w:rPr>
          <w:rFonts w:eastAsiaTheme="minorHAnsi"/>
          <w:sz w:val="26"/>
          <w:szCs w:val="26"/>
        </w:rPr>
        <w:t> </w:t>
      </w:r>
      <w:r w:rsidRPr="0059512A">
        <w:rPr>
          <w:rFonts w:eastAsiaTheme="minorHAnsi"/>
          <w:sz w:val="26"/>
          <w:szCs w:val="26"/>
        </w:rPr>
        <w:t>Citizens’ realized a 9.2% increase in pole attachment billing from 2018 to 2019;</w:t>
      </w:r>
      <w:r w:rsidR="005A13D1" w:rsidRPr="0059512A">
        <w:rPr>
          <w:rFonts w:eastAsiaTheme="minorHAnsi"/>
          <w:sz w:val="26"/>
          <w:szCs w:val="26"/>
        </w:rPr>
        <w:t xml:space="preserve"> (5)</w:t>
      </w:r>
      <w:r w:rsidR="000F2F32">
        <w:rPr>
          <w:rFonts w:eastAsiaTheme="minorHAnsi"/>
          <w:sz w:val="26"/>
          <w:szCs w:val="26"/>
        </w:rPr>
        <w:t> </w:t>
      </w:r>
      <w:r w:rsidRPr="0059512A">
        <w:rPr>
          <w:rFonts w:eastAsiaTheme="minorHAnsi"/>
          <w:sz w:val="26"/>
          <w:szCs w:val="26"/>
        </w:rPr>
        <w:t>an increase in revenues from pole attachment billing aided Citizens’ in offsetting increased distribution system expenses and reducing the revenue requirement to be recovered from ratepayers; and</w:t>
      </w:r>
      <w:r w:rsidR="005A13D1" w:rsidRPr="0059512A">
        <w:rPr>
          <w:rFonts w:eastAsiaTheme="minorHAnsi"/>
          <w:sz w:val="26"/>
          <w:szCs w:val="26"/>
        </w:rPr>
        <w:t xml:space="preserve"> (6)</w:t>
      </w:r>
      <w:r w:rsidRPr="0059512A">
        <w:rPr>
          <w:rFonts w:eastAsiaTheme="minorHAnsi"/>
          <w:sz w:val="26"/>
          <w:szCs w:val="26"/>
        </w:rPr>
        <w:t xml:space="preserve"> the Company’s continued investment of approximately $1.4 million per annum in system replacement and improvements.  Citizens M.B. at 90-91 (citing</w:t>
      </w:r>
      <w:r w:rsidR="00E62E3C" w:rsidRPr="0059512A">
        <w:rPr>
          <w:rFonts w:eastAsiaTheme="minorHAnsi"/>
          <w:sz w:val="26"/>
          <w:szCs w:val="26"/>
        </w:rPr>
        <w:t xml:space="preserve"> Citizens’ St. 4 </w:t>
      </w:r>
      <w:r w:rsidRPr="0059512A">
        <w:rPr>
          <w:rFonts w:eastAsiaTheme="minorHAnsi"/>
          <w:sz w:val="26"/>
          <w:szCs w:val="26"/>
        </w:rPr>
        <w:t>at Exhs. _(JK-1), _(JK-3)).</w:t>
      </w:r>
    </w:p>
    <w:p w14:paraId="41AF1F24" w14:textId="77777777" w:rsidR="0045468F" w:rsidRPr="0059512A" w:rsidRDefault="0045468F" w:rsidP="0059512A">
      <w:pPr>
        <w:widowControl/>
        <w:spacing w:line="360" w:lineRule="auto"/>
        <w:ind w:firstLine="1440"/>
        <w:rPr>
          <w:rFonts w:eastAsiaTheme="minorHAnsi"/>
          <w:sz w:val="26"/>
          <w:szCs w:val="26"/>
        </w:rPr>
      </w:pPr>
    </w:p>
    <w:p w14:paraId="764A7E18" w14:textId="77777777" w:rsidR="0045468F" w:rsidRPr="0059512A" w:rsidRDefault="0045468F" w:rsidP="0059512A">
      <w:pPr>
        <w:widowControl/>
        <w:spacing w:line="360" w:lineRule="auto"/>
        <w:ind w:firstLine="1440"/>
        <w:rPr>
          <w:rFonts w:eastAsiaTheme="minorHAnsi"/>
          <w:sz w:val="26"/>
          <w:szCs w:val="26"/>
        </w:rPr>
      </w:pPr>
      <w:bookmarkStart w:id="135" w:name="_Hlk36183302"/>
      <w:r w:rsidRPr="0059512A">
        <w:rPr>
          <w:rFonts w:eastAsiaTheme="minorHAnsi"/>
          <w:sz w:val="26"/>
          <w:szCs w:val="26"/>
        </w:rPr>
        <w:lastRenderedPageBreak/>
        <w:t>The OCA contested the descriptions offered by the Company, adding that any successful company must take these actions to efficiently maintain its operations and provide satisfactory customer service.  Moreover, the OCA continued, regulated utilities are expected to operate efficiently and should not be given a reward for meeting its expectations.  OCA M.B. at 60 (citing OCA St. 3 at 31).</w:t>
      </w:r>
    </w:p>
    <w:bookmarkEnd w:id="135"/>
    <w:p w14:paraId="22D44CA4" w14:textId="77777777" w:rsidR="0045468F" w:rsidRPr="0059512A" w:rsidRDefault="0045468F" w:rsidP="0059512A">
      <w:pPr>
        <w:widowControl/>
        <w:spacing w:line="360" w:lineRule="auto"/>
        <w:ind w:firstLine="1440"/>
        <w:rPr>
          <w:rFonts w:eastAsiaTheme="minorHAnsi"/>
          <w:sz w:val="26"/>
          <w:szCs w:val="26"/>
        </w:rPr>
      </w:pPr>
    </w:p>
    <w:p w14:paraId="44C472AE" w14:textId="214A4B3F" w:rsidR="00BE67B5" w:rsidRPr="0059512A" w:rsidRDefault="0045468F" w:rsidP="0059512A">
      <w:pPr>
        <w:widowControl/>
        <w:spacing w:line="360" w:lineRule="auto"/>
        <w:ind w:firstLine="1440"/>
        <w:rPr>
          <w:rFonts w:eastAsiaTheme="minorHAnsi"/>
          <w:sz w:val="26"/>
          <w:szCs w:val="26"/>
        </w:rPr>
      </w:pPr>
      <w:r w:rsidRPr="0059512A">
        <w:rPr>
          <w:rFonts w:eastAsiaTheme="minorHAnsi"/>
          <w:sz w:val="26"/>
          <w:szCs w:val="26"/>
        </w:rPr>
        <w:t xml:space="preserve">I&amp;E echoed the position of the OCA and asserted that true management effectiveness is earning a higher return through its efficient use of resources and cost cutting measures.  I&amp;E noted that greater net income resulting from growth, cost savings, and true efficiency in management and operations is available to be passed on to shareholders.  Accordingly, I&amp;E averred the Company should not be granted additional basis points for having provided adequate, efficient, safe, and reasonable service, as required by 66 Pa. C.S. </w:t>
      </w:r>
      <w:bookmarkStart w:id="136" w:name="_Hlk35328667"/>
      <w:r w:rsidRPr="0059512A">
        <w:rPr>
          <w:sz w:val="26"/>
          <w:szCs w:val="26"/>
        </w:rPr>
        <w:t>§</w:t>
      </w:r>
      <w:bookmarkEnd w:id="136"/>
      <w:r w:rsidRPr="0059512A">
        <w:rPr>
          <w:sz w:val="26"/>
          <w:szCs w:val="26"/>
        </w:rPr>
        <w:t xml:space="preserve"> 1501</w:t>
      </w:r>
      <w:r w:rsidRPr="0059512A">
        <w:rPr>
          <w:rFonts w:eastAsiaTheme="minorHAnsi"/>
          <w:sz w:val="26"/>
          <w:szCs w:val="26"/>
        </w:rPr>
        <w:t>.  I&amp;E M.B. at 50-51 (citing I&amp;E St. 2 at 43).</w:t>
      </w:r>
    </w:p>
    <w:p w14:paraId="3A358348" w14:textId="77777777" w:rsidR="00092994" w:rsidRPr="0059512A" w:rsidRDefault="00092994" w:rsidP="0059512A">
      <w:pPr>
        <w:widowControl/>
        <w:spacing w:line="360" w:lineRule="auto"/>
        <w:ind w:firstLine="1440"/>
        <w:rPr>
          <w:rFonts w:eastAsiaTheme="minorHAnsi"/>
          <w:sz w:val="26"/>
          <w:szCs w:val="26"/>
        </w:rPr>
      </w:pPr>
    </w:p>
    <w:p w14:paraId="275231D1" w14:textId="77777777" w:rsidR="000E05F3" w:rsidRPr="0059512A" w:rsidRDefault="000E05F3" w:rsidP="0059512A">
      <w:pPr>
        <w:pStyle w:val="ListParagraph"/>
        <w:keepNext/>
        <w:widowControl/>
        <w:spacing w:line="360" w:lineRule="auto"/>
        <w:ind w:left="2160" w:hanging="720"/>
        <w:rPr>
          <w:b/>
          <w:bCs/>
          <w:sz w:val="26"/>
          <w:szCs w:val="26"/>
        </w:rPr>
      </w:pPr>
      <w:r w:rsidRPr="0059512A">
        <w:rPr>
          <w:b/>
          <w:bCs/>
          <w:sz w:val="26"/>
          <w:szCs w:val="26"/>
        </w:rPr>
        <w:t>b.</w:t>
      </w:r>
      <w:r w:rsidRPr="0059512A">
        <w:rPr>
          <w:b/>
          <w:bCs/>
          <w:sz w:val="26"/>
          <w:szCs w:val="26"/>
        </w:rPr>
        <w:tab/>
        <w:t>Recommended Decision</w:t>
      </w:r>
    </w:p>
    <w:p w14:paraId="174DF133" w14:textId="0431AFA8" w:rsidR="000E05F3" w:rsidRPr="0059512A" w:rsidRDefault="000E05F3" w:rsidP="0059512A">
      <w:pPr>
        <w:pStyle w:val="ListParagraph"/>
        <w:keepNext/>
        <w:widowControl/>
        <w:spacing w:line="360" w:lineRule="auto"/>
        <w:rPr>
          <w:b/>
          <w:bCs/>
          <w:sz w:val="26"/>
          <w:szCs w:val="26"/>
        </w:rPr>
      </w:pPr>
    </w:p>
    <w:p w14:paraId="012C7E60" w14:textId="65A52763" w:rsidR="0045468F" w:rsidRPr="0059512A" w:rsidRDefault="0045468F" w:rsidP="0059512A">
      <w:pPr>
        <w:pStyle w:val="ListParagraph"/>
        <w:keepNext/>
        <w:widowControl/>
        <w:spacing w:line="360" w:lineRule="auto"/>
        <w:ind w:left="0" w:firstLine="1440"/>
        <w:rPr>
          <w:b/>
          <w:bCs/>
          <w:sz w:val="26"/>
          <w:szCs w:val="26"/>
        </w:rPr>
      </w:pPr>
      <w:r w:rsidRPr="0059512A">
        <w:rPr>
          <w:sz w:val="26"/>
          <w:szCs w:val="26"/>
        </w:rPr>
        <w:t xml:space="preserve">The ALJs agreed with </w:t>
      </w:r>
      <w:r w:rsidR="00E62E3C" w:rsidRPr="0059512A">
        <w:rPr>
          <w:sz w:val="26"/>
          <w:szCs w:val="26"/>
        </w:rPr>
        <w:t>Citizens’</w:t>
      </w:r>
      <w:r w:rsidRPr="0059512A">
        <w:rPr>
          <w:sz w:val="26"/>
          <w:szCs w:val="26"/>
        </w:rPr>
        <w:t xml:space="preserve"> and recommended approval of </w:t>
      </w:r>
      <w:r w:rsidR="00E62E3C" w:rsidRPr="0059512A">
        <w:rPr>
          <w:sz w:val="26"/>
          <w:szCs w:val="26"/>
        </w:rPr>
        <w:t>the Company’s</w:t>
      </w:r>
      <w:r w:rsidRPr="0059512A">
        <w:rPr>
          <w:sz w:val="26"/>
          <w:szCs w:val="26"/>
        </w:rPr>
        <w:t xml:space="preserve"> request that it be given a 25-basis point addition to its cost of common equity due to management effectiveness.  Further, the ALJs noted a particularly remarkable or extraordinary level of efficiency or effectiveness or customer service is required for the Commission to award a management effectiveness adjustment.  Moreover, the ALJs opined that there is simply no record evidence in this proceeding demonstrating that the </w:t>
      </w:r>
      <w:r w:rsidR="0003429E">
        <w:rPr>
          <w:sz w:val="26"/>
          <w:szCs w:val="26"/>
        </w:rPr>
        <w:t>C</w:t>
      </w:r>
      <w:r w:rsidRPr="0059512A">
        <w:rPr>
          <w:sz w:val="26"/>
          <w:szCs w:val="26"/>
        </w:rPr>
        <w:t>ompany operated in an inefficient or ineffective manner, or that it does not provide very good service to its customers.  R.D. at 77.</w:t>
      </w:r>
    </w:p>
    <w:p w14:paraId="40E23217" w14:textId="77777777" w:rsidR="0045468F" w:rsidRPr="0059512A" w:rsidRDefault="0045468F" w:rsidP="0059512A">
      <w:pPr>
        <w:pStyle w:val="ListParagraph"/>
        <w:widowControl/>
        <w:spacing w:line="360" w:lineRule="auto"/>
        <w:rPr>
          <w:b/>
          <w:bCs/>
          <w:sz w:val="26"/>
          <w:szCs w:val="26"/>
        </w:rPr>
      </w:pPr>
    </w:p>
    <w:p w14:paraId="242AF5F0" w14:textId="77777777" w:rsidR="000E05F3" w:rsidRPr="0059512A" w:rsidRDefault="000E05F3" w:rsidP="0059512A">
      <w:pPr>
        <w:pStyle w:val="ListParagraph"/>
        <w:keepNext/>
        <w:widowControl/>
        <w:spacing w:line="360" w:lineRule="auto"/>
        <w:ind w:left="2160" w:hanging="720"/>
        <w:rPr>
          <w:b/>
          <w:bCs/>
          <w:sz w:val="26"/>
          <w:szCs w:val="26"/>
        </w:rPr>
      </w:pPr>
      <w:r w:rsidRPr="0059512A">
        <w:rPr>
          <w:b/>
          <w:bCs/>
          <w:sz w:val="26"/>
          <w:szCs w:val="26"/>
        </w:rPr>
        <w:t>c.</w:t>
      </w:r>
      <w:r w:rsidRPr="0059512A">
        <w:rPr>
          <w:b/>
          <w:bCs/>
          <w:sz w:val="26"/>
          <w:szCs w:val="26"/>
        </w:rPr>
        <w:tab/>
        <w:t>Exceptions and Replies</w:t>
      </w:r>
    </w:p>
    <w:p w14:paraId="1F29CBCF" w14:textId="172E176B" w:rsidR="000E05F3" w:rsidRPr="0059512A" w:rsidRDefault="000E05F3" w:rsidP="0059512A">
      <w:pPr>
        <w:keepNext/>
        <w:widowControl/>
        <w:spacing w:line="360" w:lineRule="auto"/>
        <w:ind w:left="1440" w:hanging="720"/>
        <w:rPr>
          <w:b/>
          <w:bCs/>
          <w:sz w:val="26"/>
          <w:szCs w:val="26"/>
        </w:rPr>
      </w:pPr>
    </w:p>
    <w:p w14:paraId="52A69B78" w14:textId="2ADE678D" w:rsidR="001A67DF" w:rsidRPr="0059512A" w:rsidRDefault="00E62E3C" w:rsidP="0059512A">
      <w:pPr>
        <w:keepNext/>
        <w:widowControl/>
        <w:spacing w:line="360" w:lineRule="auto"/>
        <w:ind w:firstLine="1440"/>
        <w:rPr>
          <w:sz w:val="26"/>
          <w:szCs w:val="26"/>
        </w:rPr>
      </w:pPr>
      <w:r w:rsidRPr="0059512A">
        <w:rPr>
          <w:sz w:val="26"/>
          <w:szCs w:val="26"/>
        </w:rPr>
        <w:t>In its Exception No. 8, t</w:t>
      </w:r>
      <w:r w:rsidR="001A67DF" w:rsidRPr="0059512A">
        <w:rPr>
          <w:sz w:val="26"/>
          <w:szCs w:val="26"/>
        </w:rPr>
        <w:t xml:space="preserve">he OCA argues that the Commission should expect its regulated utilities to provide safe, adequate, efficient, and reasonable service in </w:t>
      </w:r>
      <w:r w:rsidR="001A67DF" w:rsidRPr="0059512A">
        <w:rPr>
          <w:sz w:val="26"/>
          <w:szCs w:val="26"/>
        </w:rPr>
        <w:lastRenderedPageBreak/>
        <w:t>accordance with the utilities’ public service obligation.  Therefore, the OCA continues, a management effectiveness adjustment should only be awarded in truly exceptional circumstances after careful consideration.  The OCA submits that Citizens’ failed to demonstrate that such circumstances exist in the present case.  OCA Exc. at 19-20 (citing OCA M.B. at 60-63; OCA R.B. at 30-32).</w:t>
      </w:r>
    </w:p>
    <w:p w14:paraId="5CA7257B" w14:textId="77777777" w:rsidR="001A67DF" w:rsidRPr="0059512A" w:rsidRDefault="001A67DF" w:rsidP="0059512A">
      <w:pPr>
        <w:widowControl/>
        <w:spacing w:line="360" w:lineRule="auto"/>
        <w:ind w:firstLine="720"/>
        <w:rPr>
          <w:b/>
          <w:bCs/>
          <w:sz w:val="26"/>
          <w:szCs w:val="26"/>
        </w:rPr>
      </w:pPr>
    </w:p>
    <w:p w14:paraId="1355C630" w14:textId="05916239" w:rsidR="001A67DF" w:rsidRPr="0059512A" w:rsidRDefault="001A67DF" w:rsidP="0059512A">
      <w:pPr>
        <w:widowControl/>
        <w:spacing w:line="360" w:lineRule="auto"/>
        <w:ind w:firstLine="720"/>
        <w:rPr>
          <w:sz w:val="26"/>
          <w:szCs w:val="26"/>
        </w:rPr>
      </w:pPr>
      <w:r w:rsidRPr="0059512A">
        <w:rPr>
          <w:sz w:val="26"/>
          <w:szCs w:val="26"/>
        </w:rPr>
        <w:tab/>
      </w:r>
      <w:r w:rsidR="00E62E3C" w:rsidRPr="0059512A">
        <w:rPr>
          <w:sz w:val="26"/>
          <w:szCs w:val="26"/>
        </w:rPr>
        <w:t xml:space="preserve">In its Exception No. 5, </w:t>
      </w:r>
      <w:r w:rsidRPr="0059512A">
        <w:rPr>
          <w:sz w:val="26"/>
          <w:szCs w:val="26"/>
        </w:rPr>
        <w:t>I&amp;E excepts to the ALJs’ recommendation and argues that no utility company should reap additional rewards for simply meeting its obligations to provide safe and reliable service.  However, I&amp;E contends that</w:t>
      </w:r>
      <w:r w:rsidR="006D61E4">
        <w:rPr>
          <w:sz w:val="26"/>
          <w:szCs w:val="26"/>
        </w:rPr>
        <w:t>,</w:t>
      </w:r>
      <w:r w:rsidRPr="0059512A">
        <w:rPr>
          <w:sz w:val="26"/>
          <w:szCs w:val="26"/>
        </w:rPr>
        <w:t xml:space="preserve"> should the Commission find evidence</w:t>
      </w:r>
      <w:r w:rsidR="000D2EFC" w:rsidRPr="0059512A">
        <w:rPr>
          <w:sz w:val="26"/>
          <w:szCs w:val="26"/>
        </w:rPr>
        <w:t xml:space="preserve"> that</w:t>
      </w:r>
      <w:r w:rsidRPr="0059512A">
        <w:rPr>
          <w:sz w:val="26"/>
          <w:szCs w:val="26"/>
        </w:rPr>
        <w:t xml:space="preserve"> merits awarding ROE basis points, consistent with the Commission’s decision in the </w:t>
      </w:r>
      <w:r w:rsidRPr="0059512A">
        <w:rPr>
          <w:i/>
          <w:iCs/>
          <w:sz w:val="26"/>
          <w:szCs w:val="26"/>
        </w:rPr>
        <w:t>UGI Order</w:t>
      </w:r>
      <w:r w:rsidRPr="0059512A">
        <w:rPr>
          <w:sz w:val="26"/>
          <w:szCs w:val="26"/>
        </w:rPr>
        <w:t xml:space="preserve">, the Commission should award no more than five basis points.  I&amp;E Exc. at 10-11 (citing R.D. at 77; </w:t>
      </w:r>
      <w:r w:rsidRPr="0059512A">
        <w:rPr>
          <w:rFonts w:eastAsiaTheme="minorHAnsi"/>
          <w:sz w:val="26"/>
          <w:szCs w:val="26"/>
        </w:rPr>
        <w:t xml:space="preserve">I&amp;E St. 2-SR at 26; </w:t>
      </w:r>
      <w:r w:rsidRPr="0059512A">
        <w:rPr>
          <w:sz w:val="26"/>
          <w:szCs w:val="26"/>
        </w:rPr>
        <w:t>I&amp;E M.B. at</w:t>
      </w:r>
      <w:r w:rsidR="000F2F32">
        <w:rPr>
          <w:sz w:val="26"/>
          <w:szCs w:val="26"/>
        </w:rPr>
        <w:t> </w:t>
      </w:r>
      <w:r w:rsidRPr="0059512A">
        <w:rPr>
          <w:sz w:val="26"/>
          <w:szCs w:val="26"/>
        </w:rPr>
        <w:t>50-51).</w:t>
      </w:r>
    </w:p>
    <w:p w14:paraId="5CA0E57E" w14:textId="77777777" w:rsidR="001A67DF" w:rsidRPr="0059512A" w:rsidRDefault="001A67DF" w:rsidP="0059512A">
      <w:pPr>
        <w:widowControl/>
        <w:spacing w:line="360" w:lineRule="auto"/>
        <w:ind w:firstLine="720"/>
        <w:rPr>
          <w:sz w:val="26"/>
          <w:szCs w:val="26"/>
        </w:rPr>
      </w:pPr>
    </w:p>
    <w:p w14:paraId="23910C9C" w14:textId="6FF021A6" w:rsidR="001A67DF" w:rsidRPr="0059512A" w:rsidRDefault="001A67DF" w:rsidP="0059512A">
      <w:pPr>
        <w:widowControl/>
        <w:spacing w:line="360" w:lineRule="auto"/>
        <w:ind w:firstLine="720"/>
        <w:rPr>
          <w:sz w:val="26"/>
          <w:szCs w:val="26"/>
        </w:rPr>
      </w:pPr>
      <w:r w:rsidRPr="0059512A">
        <w:rPr>
          <w:sz w:val="26"/>
          <w:szCs w:val="26"/>
        </w:rPr>
        <w:tab/>
        <w:t>Citizens’ replies that the similar arguments of I&amp;E and the OCA should be rejected because the ALJs correctly weighed the indicators of the Company’s service and found merit in awarding the Company’s performance.  Citizens’ R. Exc. at 13 (citing R.D. at 75-77; I&amp;E Exc. at 10-11; OCA Exc. at 19-20).  Citizens’ notes that it clarified its efforts to provide customer service and innovation above and beyond its regulatory obligations.</w:t>
      </w:r>
      <w:r w:rsidR="000D2EFC" w:rsidRPr="0059512A">
        <w:rPr>
          <w:sz w:val="26"/>
          <w:szCs w:val="26"/>
        </w:rPr>
        <w:t xml:space="preserve">  Citizens’ R. Exc. at 13 </w:t>
      </w:r>
      <w:r w:rsidRPr="0059512A">
        <w:rPr>
          <w:sz w:val="26"/>
          <w:szCs w:val="26"/>
        </w:rPr>
        <w:t>(citing Citizens’ M.B. at 89-92).  Citizens’ adds that while the Commission awarded a smaller performance adjustment i</w:t>
      </w:r>
      <w:r w:rsidR="00EB26B8" w:rsidRPr="0059512A">
        <w:rPr>
          <w:sz w:val="26"/>
          <w:szCs w:val="26"/>
        </w:rPr>
        <w:t>n</w:t>
      </w:r>
      <w:r w:rsidRPr="0059512A">
        <w:rPr>
          <w:sz w:val="26"/>
          <w:szCs w:val="26"/>
        </w:rPr>
        <w:t xml:space="preserve"> the </w:t>
      </w:r>
      <w:r w:rsidRPr="0059512A">
        <w:rPr>
          <w:i/>
          <w:iCs/>
          <w:sz w:val="26"/>
          <w:szCs w:val="26"/>
        </w:rPr>
        <w:t>UGI Order</w:t>
      </w:r>
      <w:r w:rsidRPr="0059512A">
        <w:rPr>
          <w:sz w:val="26"/>
          <w:szCs w:val="26"/>
        </w:rPr>
        <w:t>, the Company submits that the record in the instant proceeding reflects a greater degree of innovation, particularly involving the adoption of new technologies.  Citizens’ R. Exc. at</w:t>
      </w:r>
      <w:r w:rsidR="001D7A0A" w:rsidRPr="0059512A">
        <w:rPr>
          <w:sz w:val="26"/>
          <w:szCs w:val="26"/>
        </w:rPr>
        <w:t> </w:t>
      </w:r>
      <w:r w:rsidRPr="0059512A">
        <w:rPr>
          <w:sz w:val="26"/>
          <w:szCs w:val="26"/>
        </w:rPr>
        <w:t>14.</w:t>
      </w:r>
    </w:p>
    <w:p w14:paraId="7E291ECF" w14:textId="77777777" w:rsidR="001A67DF" w:rsidRPr="0059512A" w:rsidRDefault="001A67DF" w:rsidP="0059512A">
      <w:pPr>
        <w:widowControl/>
        <w:spacing w:line="360" w:lineRule="auto"/>
        <w:rPr>
          <w:b/>
          <w:bCs/>
          <w:sz w:val="26"/>
          <w:szCs w:val="26"/>
        </w:rPr>
      </w:pPr>
    </w:p>
    <w:p w14:paraId="217C92F3" w14:textId="77777777" w:rsidR="000E05F3" w:rsidRPr="0059512A" w:rsidRDefault="000E05F3" w:rsidP="0059512A">
      <w:pPr>
        <w:keepNext/>
        <w:widowControl/>
        <w:spacing w:line="360" w:lineRule="auto"/>
        <w:ind w:left="2160" w:hanging="720"/>
        <w:rPr>
          <w:b/>
          <w:bCs/>
          <w:sz w:val="26"/>
          <w:szCs w:val="26"/>
        </w:rPr>
      </w:pPr>
      <w:r w:rsidRPr="0059512A">
        <w:rPr>
          <w:b/>
          <w:bCs/>
          <w:sz w:val="26"/>
          <w:szCs w:val="26"/>
        </w:rPr>
        <w:lastRenderedPageBreak/>
        <w:t>d.</w:t>
      </w:r>
      <w:r w:rsidRPr="0059512A">
        <w:rPr>
          <w:b/>
          <w:bCs/>
          <w:sz w:val="26"/>
          <w:szCs w:val="26"/>
        </w:rPr>
        <w:tab/>
        <w:t>Disposition</w:t>
      </w:r>
    </w:p>
    <w:bookmarkEnd w:id="133"/>
    <w:bookmarkEnd w:id="134"/>
    <w:p w14:paraId="75609F75" w14:textId="1E250A9C" w:rsidR="00537FE1" w:rsidRPr="0059512A" w:rsidRDefault="00537FE1" w:rsidP="0059512A">
      <w:pPr>
        <w:keepNext/>
        <w:widowControl/>
        <w:spacing w:line="360" w:lineRule="auto"/>
        <w:rPr>
          <w:sz w:val="26"/>
          <w:szCs w:val="26"/>
        </w:rPr>
      </w:pPr>
    </w:p>
    <w:p w14:paraId="52F09D98" w14:textId="77777777" w:rsidR="00897667" w:rsidRPr="0059512A" w:rsidRDefault="00897667" w:rsidP="0059512A">
      <w:pPr>
        <w:keepNext/>
        <w:widowControl/>
        <w:autoSpaceDE w:val="0"/>
        <w:autoSpaceDN w:val="0"/>
        <w:spacing w:line="360" w:lineRule="auto"/>
        <w:ind w:firstLine="1440"/>
        <w:contextualSpacing/>
        <w:rPr>
          <w:sz w:val="26"/>
          <w:szCs w:val="26"/>
        </w:rPr>
      </w:pPr>
      <w:r w:rsidRPr="0059512A">
        <w:rPr>
          <w:sz w:val="26"/>
          <w:szCs w:val="26"/>
        </w:rPr>
        <w:t>Pursuant to the Code, the Commission may reward utilities through rates for their performance.  In pertinent part, Section 523 of the Code, 66 Pa. C.S. § 523 provides:</w:t>
      </w:r>
    </w:p>
    <w:p w14:paraId="73DAAF3A" w14:textId="77777777" w:rsidR="00897667" w:rsidRPr="0059512A" w:rsidRDefault="00897667" w:rsidP="0059512A">
      <w:pPr>
        <w:widowControl/>
        <w:autoSpaceDE w:val="0"/>
        <w:autoSpaceDN w:val="0"/>
        <w:spacing w:line="360" w:lineRule="auto"/>
        <w:contextualSpacing/>
        <w:rPr>
          <w:sz w:val="26"/>
          <w:szCs w:val="26"/>
        </w:rPr>
      </w:pPr>
    </w:p>
    <w:p w14:paraId="27812A33" w14:textId="77777777" w:rsidR="00897667" w:rsidRPr="0059512A" w:rsidRDefault="00897667" w:rsidP="0059512A">
      <w:pPr>
        <w:widowControl/>
        <w:autoSpaceDE w:val="0"/>
        <w:autoSpaceDN w:val="0"/>
        <w:ind w:left="1440" w:right="1440"/>
        <w:contextualSpacing/>
        <w:rPr>
          <w:b/>
          <w:sz w:val="26"/>
          <w:szCs w:val="26"/>
        </w:rPr>
      </w:pPr>
      <w:r w:rsidRPr="0059512A">
        <w:rPr>
          <w:b/>
          <w:sz w:val="26"/>
          <w:szCs w:val="26"/>
        </w:rPr>
        <w:t>§ 523.  Performance factor consideration.</w:t>
      </w:r>
    </w:p>
    <w:p w14:paraId="213CB02F" w14:textId="77777777" w:rsidR="00897667" w:rsidRPr="0059512A" w:rsidRDefault="00897667" w:rsidP="0059512A">
      <w:pPr>
        <w:widowControl/>
        <w:autoSpaceDE w:val="0"/>
        <w:autoSpaceDN w:val="0"/>
        <w:ind w:left="1440" w:right="1440"/>
        <w:contextualSpacing/>
        <w:rPr>
          <w:sz w:val="26"/>
          <w:szCs w:val="26"/>
        </w:rPr>
      </w:pPr>
    </w:p>
    <w:p w14:paraId="303FC3C2" w14:textId="77777777" w:rsidR="00897667" w:rsidRPr="0059512A" w:rsidRDefault="00897667" w:rsidP="0059512A">
      <w:pPr>
        <w:widowControl/>
        <w:autoSpaceDE w:val="0"/>
        <w:autoSpaceDN w:val="0"/>
        <w:ind w:left="1440" w:right="1440"/>
        <w:contextualSpacing/>
        <w:rPr>
          <w:sz w:val="26"/>
          <w:szCs w:val="26"/>
        </w:rPr>
      </w:pPr>
      <w:r w:rsidRPr="0059512A">
        <w:rPr>
          <w:sz w:val="26"/>
          <w:szCs w:val="26"/>
        </w:rPr>
        <w:t>(a)</w:t>
      </w:r>
      <w:r w:rsidRPr="0059512A">
        <w:rPr>
          <w:sz w:val="26"/>
          <w:szCs w:val="26"/>
        </w:rPr>
        <w:tab/>
      </w:r>
      <w:r w:rsidRPr="0059512A">
        <w:rPr>
          <w:b/>
          <w:sz w:val="26"/>
          <w:szCs w:val="26"/>
        </w:rPr>
        <w:t>Considerations.</w:t>
      </w:r>
      <w:r w:rsidRPr="0059512A">
        <w:rPr>
          <w:sz w:val="26"/>
          <w:szCs w:val="26"/>
        </w:rPr>
        <w:t xml:space="preserve"> – The Commission shall consider, in addition to all other relevant evidence of record, the efficiency, effectiveness and adequacy of service of each utility when determining just and reasonable rates under this title.  On the basis of the commission’s consideration of such evidence, it shall give effect to this section by making such adjustments to specific components of the utility’s claimed cost of service as it may determine to be proper and appropriate.  Any adjustment made under this section shall be made on the basis of specific findings upon evidence of record, which findings shall be set forth explicitly, together with their underlying rationale, in the final order of the commission.</w:t>
      </w:r>
    </w:p>
    <w:p w14:paraId="1945A44C" w14:textId="77777777" w:rsidR="00897667" w:rsidRPr="0059512A" w:rsidRDefault="00897667" w:rsidP="0059512A">
      <w:pPr>
        <w:widowControl/>
        <w:autoSpaceDE w:val="0"/>
        <w:autoSpaceDN w:val="0"/>
        <w:ind w:left="1440" w:right="1440"/>
        <w:contextualSpacing/>
        <w:rPr>
          <w:sz w:val="26"/>
          <w:szCs w:val="26"/>
        </w:rPr>
      </w:pPr>
    </w:p>
    <w:p w14:paraId="1FBCC1A4" w14:textId="77777777" w:rsidR="00897667" w:rsidRPr="0059512A" w:rsidRDefault="00897667" w:rsidP="0059512A">
      <w:pPr>
        <w:widowControl/>
        <w:autoSpaceDE w:val="0"/>
        <w:autoSpaceDN w:val="0"/>
        <w:ind w:left="1440" w:right="1440"/>
        <w:contextualSpacing/>
        <w:rPr>
          <w:sz w:val="26"/>
          <w:szCs w:val="26"/>
        </w:rPr>
      </w:pPr>
      <w:r w:rsidRPr="0059512A">
        <w:rPr>
          <w:sz w:val="26"/>
          <w:szCs w:val="26"/>
        </w:rPr>
        <w:t>(b)</w:t>
      </w:r>
      <w:r w:rsidRPr="0059512A">
        <w:rPr>
          <w:sz w:val="26"/>
          <w:szCs w:val="26"/>
        </w:rPr>
        <w:tab/>
      </w:r>
      <w:r w:rsidRPr="0059512A">
        <w:rPr>
          <w:b/>
          <w:sz w:val="26"/>
          <w:szCs w:val="26"/>
        </w:rPr>
        <w:t>Fixed utilities.</w:t>
      </w:r>
      <w:r w:rsidRPr="0059512A">
        <w:rPr>
          <w:sz w:val="26"/>
          <w:szCs w:val="26"/>
        </w:rPr>
        <w:t xml:space="preserve"> – As part of its duties pursuant to subsection (a), the commission shall set forth criteria by which it will evaluate future fixed utility performance and in assessing the performance of a fixed utility pursuant to subsection (a), the commission shall consider specifically the following:</w:t>
      </w:r>
    </w:p>
    <w:p w14:paraId="275D75BD" w14:textId="77777777" w:rsidR="00897667" w:rsidRPr="0059512A" w:rsidRDefault="00897667" w:rsidP="0059512A">
      <w:pPr>
        <w:widowControl/>
        <w:autoSpaceDE w:val="0"/>
        <w:autoSpaceDN w:val="0"/>
        <w:ind w:left="1440" w:right="1440"/>
        <w:contextualSpacing/>
        <w:rPr>
          <w:sz w:val="26"/>
          <w:szCs w:val="26"/>
        </w:rPr>
      </w:pPr>
    </w:p>
    <w:p w14:paraId="477AA03D" w14:textId="77777777" w:rsidR="00897667" w:rsidRPr="0059512A" w:rsidRDefault="00897667" w:rsidP="0059512A">
      <w:pPr>
        <w:widowControl/>
        <w:autoSpaceDE w:val="0"/>
        <w:autoSpaceDN w:val="0"/>
        <w:ind w:left="1440" w:right="1440"/>
        <w:contextualSpacing/>
        <w:rPr>
          <w:sz w:val="26"/>
          <w:szCs w:val="26"/>
        </w:rPr>
      </w:pPr>
      <w:r w:rsidRPr="0059512A">
        <w:rPr>
          <w:sz w:val="26"/>
          <w:szCs w:val="26"/>
        </w:rPr>
        <w:t>(1)</w:t>
      </w:r>
      <w:r w:rsidRPr="0059512A">
        <w:rPr>
          <w:sz w:val="26"/>
          <w:szCs w:val="26"/>
        </w:rPr>
        <w:tab/>
        <w:t>Management effectiveness and operating efficiency as measured by an audit pursuant to Section 516 (relating to audits of certain utilities) to the extent that the audit or portions of the audit have been properly introduced by a party into the record of the proceeding in accordance with applicable rules of evidence and procedure.</w:t>
      </w:r>
    </w:p>
    <w:p w14:paraId="46621010" w14:textId="77777777" w:rsidR="00897667" w:rsidRPr="0059512A" w:rsidRDefault="00897667" w:rsidP="0059512A">
      <w:pPr>
        <w:widowControl/>
        <w:autoSpaceDE w:val="0"/>
        <w:autoSpaceDN w:val="0"/>
        <w:ind w:left="1440" w:right="1440"/>
        <w:contextualSpacing/>
        <w:rPr>
          <w:sz w:val="26"/>
          <w:szCs w:val="26"/>
        </w:rPr>
      </w:pPr>
    </w:p>
    <w:p w14:paraId="3B0F0FBA" w14:textId="77777777" w:rsidR="00897667" w:rsidRPr="0059512A" w:rsidRDefault="00897667" w:rsidP="0059512A">
      <w:pPr>
        <w:widowControl/>
        <w:autoSpaceDE w:val="0"/>
        <w:autoSpaceDN w:val="0"/>
        <w:ind w:left="1440" w:right="1440"/>
        <w:contextualSpacing/>
        <w:jc w:val="center"/>
        <w:rPr>
          <w:sz w:val="26"/>
          <w:szCs w:val="26"/>
        </w:rPr>
      </w:pPr>
      <w:r w:rsidRPr="0059512A">
        <w:rPr>
          <w:sz w:val="26"/>
          <w:szCs w:val="26"/>
        </w:rPr>
        <w:t>* * *</w:t>
      </w:r>
    </w:p>
    <w:p w14:paraId="4BDB2B36" w14:textId="77777777" w:rsidR="00897667" w:rsidRPr="0059512A" w:rsidRDefault="00897667" w:rsidP="0059512A">
      <w:pPr>
        <w:widowControl/>
        <w:autoSpaceDE w:val="0"/>
        <w:autoSpaceDN w:val="0"/>
        <w:ind w:left="1440" w:right="1440"/>
        <w:contextualSpacing/>
        <w:rPr>
          <w:sz w:val="26"/>
          <w:szCs w:val="26"/>
        </w:rPr>
      </w:pPr>
    </w:p>
    <w:p w14:paraId="32158BE3" w14:textId="77777777" w:rsidR="00897667" w:rsidRPr="0059512A" w:rsidRDefault="00897667" w:rsidP="0059512A">
      <w:pPr>
        <w:widowControl/>
        <w:autoSpaceDE w:val="0"/>
        <w:autoSpaceDN w:val="0"/>
        <w:ind w:left="1440" w:right="1440"/>
        <w:contextualSpacing/>
        <w:rPr>
          <w:sz w:val="26"/>
          <w:szCs w:val="26"/>
        </w:rPr>
      </w:pPr>
      <w:r w:rsidRPr="0059512A">
        <w:rPr>
          <w:sz w:val="26"/>
          <w:szCs w:val="26"/>
        </w:rPr>
        <w:t>(4)</w:t>
      </w:r>
      <w:r w:rsidRPr="0059512A">
        <w:rPr>
          <w:sz w:val="26"/>
          <w:szCs w:val="26"/>
        </w:rPr>
        <w:tab/>
        <w:t xml:space="preserve">Action or failure to act to encourage development of cost-effective energy supply alternatives such as conservation </w:t>
      </w:r>
      <w:r w:rsidRPr="0059512A">
        <w:rPr>
          <w:sz w:val="26"/>
          <w:szCs w:val="26"/>
        </w:rPr>
        <w:lastRenderedPageBreak/>
        <w:t>or load management, cogeneration or small power production for electric and gas utilities.</w:t>
      </w:r>
    </w:p>
    <w:p w14:paraId="7FA45210" w14:textId="77777777" w:rsidR="00897667" w:rsidRPr="0059512A" w:rsidRDefault="00897667" w:rsidP="0059512A">
      <w:pPr>
        <w:widowControl/>
        <w:autoSpaceDE w:val="0"/>
        <w:autoSpaceDN w:val="0"/>
        <w:ind w:left="1440" w:right="1440"/>
        <w:contextualSpacing/>
        <w:rPr>
          <w:sz w:val="26"/>
          <w:szCs w:val="26"/>
        </w:rPr>
      </w:pPr>
    </w:p>
    <w:p w14:paraId="5DED1E68" w14:textId="77777777" w:rsidR="00897667" w:rsidRPr="0059512A" w:rsidRDefault="00897667" w:rsidP="0059512A">
      <w:pPr>
        <w:widowControl/>
        <w:autoSpaceDE w:val="0"/>
        <w:autoSpaceDN w:val="0"/>
        <w:ind w:left="1440" w:right="1440"/>
        <w:contextualSpacing/>
        <w:jc w:val="center"/>
        <w:rPr>
          <w:sz w:val="26"/>
          <w:szCs w:val="26"/>
        </w:rPr>
      </w:pPr>
      <w:r w:rsidRPr="0059512A">
        <w:rPr>
          <w:sz w:val="26"/>
          <w:szCs w:val="26"/>
        </w:rPr>
        <w:t>* * *</w:t>
      </w:r>
    </w:p>
    <w:p w14:paraId="6CB45984" w14:textId="77777777" w:rsidR="00897667" w:rsidRPr="0059512A" w:rsidRDefault="00897667" w:rsidP="0059512A">
      <w:pPr>
        <w:widowControl/>
        <w:autoSpaceDE w:val="0"/>
        <w:autoSpaceDN w:val="0"/>
        <w:ind w:left="1440" w:right="1440"/>
        <w:contextualSpacing/>
        <w:rPr>
          <w:sz w:val="26"/>
          <w:szCs w:val="26"/>
        </w:rPr>
      </w:pPr>
    </w:p>
    <w:p w14:paraId="5DDAFFB5" w14:textId="77777777" w:rsidR="00897667" w:rsidRPr="0059512A" w:rsidRDefault="00897667" w:rsidP="0059512A">
      <w:pPr>
        <w:widowControl/>
        <w:autoSpaceDE w:val="0"/>
        <w:autoSpaceDN w:val="0"/>
        <w:ind w:left="1440" w:right="1440"/>
        <w:contextualSpacing/>
        <w:rPr>
          <w:sz w:val="26"/>
          <w:szCs w:val="26"/>
        </w:rPr>
      </w:pPr>
      <w:r w:rsidRPr="0059512A">
        <w:rPr>
          <w:sz w:val="26"/>
          <w:szCs w:val="26"/>
        </w:rPr>
        <w:t>(7)</w:t>
      </w:r>
      <w:r w:rsidRPr="0059512A">
        <w:rPr>
          <w:sz w:val="26"/>
          <w:szCs w:val="26"/>
        </w:rPr>
        <w:tab/>
        <w:t>Any other relevant and material evidence of efficiency, effectiveness and adequacy of service.</w:t>
      </w:r>
    </w:p>
    <w:p w14:paraId="3590AC2E" w14:textId="77777777" w:rsidR="00897667" w:rsidRPr="0059512A" w:rsidRDefault="00897667" w:rsidP="000F2F32">
      <w:pPr>
        <w:widowControl/>
        <w:autoSpaceDE w:val="0"/>
        <w:autoSpaceDN w:val="0"/>
        <w:spacing w:line="480" w:lineRule="auto"/>
        <w:ind w:left="1440" w:right="1440"/>
        <w:contextualSpacing/>
        <w:rPr>
          <w:sz w:val="26"/>
          <w:szCs w:val="26"/>
        </w:rPr>
      </w:pPr>
    </w:p>
    <w:p w14:paraId="036BF60B" w14:textId="2D849A12" w:rsidR="00A620F3" w:rsidRPr="0059512A" w:rsidRDefault="00897667" w:rsidP="0059512A">
      <w:pPr>
        <w:widowControl/>
        <w:spacing w:line="360" w:lineRule="auto"/>
        <w:ind w:firstLine="1440"/>
        <w:contextualSpacing/>
        <w:rPr>
          <w:iCs/>
          <w:sz w:val="26"/>
          <w:szCs w:val="26"/>
        </w:rPr>
      </w:pPr>
      <w:r w:rsidRPr="0059512A">
        <w:rPr>
          <w:sz w:val="26"/>
          <w:szCs w:val="26"/>
        </w:rPr>
        <w:t xml:space="preserve">In considering the record evidence and arguments before us, along with the Exceptions and Reply Exceptions of the Parties, we are persuaded by the arguments of Citizens’ regarding its management performance and the initiatives it has undertaken to improve its operations to increase reliability, increase attention to customer needs and customer satisfaction, and increase the overall effectiveness of the Company’s service.  We are particularly cognizant of Citizens’ initiatives in, </w:t>
      </w:r>
      <w:r w:rsidRPr="0059512A">
        <w:rPr>
          <w:i/>
          <w:iCs/>
          <w:sz w:val="26"/>
          <w:szCs w:val="26"/>
        </w:rPr>
        <w:t>inter alia</w:t>
      </w:r>
      <w:r w:rsidRPr="0059512A">
        <w:rPr>
          <w:sz w:val="26"/>
          <w:szCs w:val="26"/>
        </w:rPr>
        <w:t xml:space="preserve">: </w:t>
      </w:r>
      <w:r w:rsidRPr="0059512A">
        <w:rPr>
          <w:iCs/>
          <w:sz w:val="26"/>
          <w:szCs w:val="26"/>
        </w:rPr>
        <w:t xml:space="preserve">(1) </w:t>
      </w:r>
      <w:r w:rsidR="00A620F3" w:rsidRPr="0059512A">
        <w:rPr>
          <w:iCs/>
          <w:sz w:val="26"/>
          <w:szCs w:val="26"/>
        </w:rPr>
        <w:t>systematically replacing its aging distribution infrastructure, including replacing aged poles, increasing conductor size to provide greater operating flexibility and reliability, replacing underground cable, reconductoring to increase capacity and reliability, and relocating lines for reliability improvement; (2) making technological improvements in customer service by offering “Smarthub” use to customers to allow them to pay bills and track their usage electronically and providing line crews with tablets; (3) lowering customer complaints; (4) responding quickly to customer support calls and in energizing new service locations; (5) pole attachment billing</w:t>
      </w:r>
      <w:r w:rsidR="00B001D5" w:rsidRPr="0059512A">
        <w:rPr>
          <w:iCs/>
          <w:sz w:val="26"/>
          <w:szCs w:val="26"/>
        </w:rPr>
        <w:t xml:space="preserve"> through an electronic attachment mapping and audit project during 2018</w:t>
      </w:r>
      <w:r w:rsidR="00A620F3" w:rsidRPr="0059512A">
        <w:rPr>
          <w:iCs/>
          <w:sz w:val="26"/>
          <w:szCs w:val="26"/>
        </w:rPr>
        <w:t>; and (5)</w:t>
      </w:r>
      <w:r w:rsidR="00B001D5" w:rsidRPr="0059512A">
        <w:rPr>
          <w:iCs/>
          <w:sz w:val="26"/>
          <w:szCs w:val="26"/>
        </w:rPr>
        <w:t xml:space="preserve"> continuing its commitment to proper tree pruning techniques which result in a more efficient vegetation management program and healthier trees.  Citizens’ M.B. at 90-92.</w:t>
      </w:r>
    </w:p>
    <w:p w14:paraId="0E99C17B" w14:textId="77777777" w:rsidR="00897667" w:rsidRPr="0059512A" w:rsidRDefault="00897667" w:rsidP="0059512A">
      <w:pPr>
        <w:widowControl/>
        <w:spacing w:line="360" w:lineRule="auto"/>
        <w:contextualSpacing/>
        <w:rPr>
          <w:sz w:val="26"/>
          <w:szCs w:val="26"/>
        </w:rPr>
      </w:pPr>
    </w:p>
    <w:p w14:paraId="5AA64C12" w14:textId="531781F9" w:rsidR="001A67DF" w:rsidRPr="0059512A" w:rsidRDefault="00897667" w:rsidP="0059512A">
      <w:pPr>
        <w:widowControl/>
        <w:spacing w:line="360" w:lineRule="auto"/>
        <w:ind w:firstLine="1440"/>
        <w:rPr>
          <w:sz w:val="26"/>
          <w:szCs w:val="26"/>
        </w:rPr>
      </w:pPr>
      <w:r w:rsidRPr="0059512A">
        <w:rPr>
          <w:sz w:val="26"/>
          <w:szCs w:val="26"/>
        </w:rPr>
        <w:t xml:space="preserve">We are of the opinion that the above initiatives of the Company warrant consideration as a factor in our final cost of equity allowance such that we will grant a management effectiveness adjustment.  However, similar to our recent decision in </w:t>
      </w:r>
      <w:r w:rsidR="00B001D5" w:rsidRPr="0059512A">
        <w:rPr>
          <w:sz w:val="26"/>
          <w:szCs w:val="26"/>
        </w:rPr>
        <w:t xml:space="preserve">the </w:t>
      </w:r>
      <w:r w:rsidRPr="0059512A">
        <w:rPr>
          <w:i/>
          <w:iCs/>
          <w:sz w:val="26"/>
          <w:szCs w:val="26"/>
        </w:rPr>
        <w:t>UGI</w:t>
      </w:r>
      <w:r w:rsidR="00B001D5" w:rsidRPr="0059512A">
        <w:rPr>
          <w:i/>
          <w:iCs/>
          <w:sz w:val="26"/>
          <w:szCs w:val="26"/>
        </w:rPr>
        <w:t xml:space="preserve"> Order</w:t>
      </w:r>
      <w:r w:rsidRPr="0059512A">
        <w:rPr>
          <w:i/>
          <w:iCs/>
          <w:sz w:val="26"/>
          <w:szCs w:val="26"/>
        </w:rPr>
        <w:t>,</w:t>
      </w:r>
      <w:r w:rsidRPr="0059512A">
        <w:rPr>
          <w:sz w:val="26"/>
          <w:szCs w:val="26"/>
        </w:rPr>
        <w:t xml:space="preserve"> we shall not grant the full 25-basis point adjustment requested by </w:t>
      </w:r>
      <w:r w:rsidR="00B001D5" w:rsidRPr="0059512A">
        <w:rPr>
          <w:sz w:val="26"/>
          <w:szCs w:val="26"/>
        </w:rPr>
        <w:t>Citizens’</w:t>
      </w:r>
      <w:r w:rsidRPr="0059512A">
        <w:rPr>
          <w:sz w:val="26"/>
          <w:szCs w:val="26"/>
        </w:rPr>
        <w:t xml:space="preserve"> and recommended by the ALJs.  Rather, we shall apply a 5-basis point (</w:t>
      </w:r>
      <w:r w:rsidRPr="0059512A">
        <w:rPr>
          <w:i/>
          <w:sz w:val="26"/>
          <w:szCs w:val="26"/>
        </w:rPr>
        <w:t>i.e.</w:t>
      </w:r>
      <w:r w:rsidRPr="0059512A">
        <w:rPr>
          <w:sz w:val="26"/>
          <w:szCs w:val="26"/>
        </w:rPr>
        <w:t xml:space="preserve">, 0.05%) </w:t>
      </w:r>
      <w:r w:rsidRPr="0059512A">
        <w:rPr>
          <w:sz w:val="26"/>
          <w:szCs w:val="26"/>
        </w:rPr>
        <w:lastRenderedPageBreak/>
        <w:t xml:space="preserve">adjustment to </w:t>
      </w:r>
      <w:r w:rsidR="00B001D5" w:rsidRPr="0059512A">
        <w:rPr>
          <w:sz w:val="26"/>
          <w:szCs w:val="26"/>
        </w:rPr>
        <w:t>the Company’s</w:t>
      </w:r>
      <w:r w:rsidRPr="0059512A">
        <w:rPr>
          <w:sz w:val="26"/>
          <w:szCs w:val="26"/>
        </w:rPr>
        <w:t xml:space="preserve"> rate of return on equity.  </w:t>
      </w:r>
      <w:r w:rsidRPr="0059512A">
        <w:rPr>
          <w:i/>
          <w:iCs/>
          <w:sz w:val="26"/>
          <w:szCs w:val="26"/>
        </w:rPr>
        <w:t>See UGI</w:t>
      </w:r>
      <w:r w:rsidR="00B001D5" w:rsidRPr="0059512A">
        <w:rPr>
          <w:i/>
          <w:iCs/>
          <w:sz w:val="26"/>
          <w:szCs w:val="26"/>
        </w:rPr>
        <w:t xml:space="preserve"> Order</w:t>
      </w:r>
      <w:r w:rsidRPr="0059512A">
        <w:rPr>
          <w:sz w:val="26"/>
          <w:szCs w:val="26"/>
        </w:rPr>
        <w:t xml:space="preserve"> at 113-</w:t>
      </w:r>
      <w:r w:rsidR="00B001D5" w:rsidRPr="0059512A">
        <w:rPr>
          <w:sz w:val="26"/>
          <w:szCs w:val="26"/>
        </w:rPr>
        <w:t>1</w:t>
      </w:r>
      <w:r w:rsidRPr="0059512A">
        <w:rPr>
          <w:sz w:val="26"/>
          <w:szCs w:val="26"/>
        </w:rPr>
        <w:t>15.  In our view, this adjustment is supported by the record as reasonable, appropriate, and conservative based on Section 523 of the Code and better serves the public interest</w:t>
      </w:r>
      <w:r w:rsidRPr="0059512A">
        <w:rPr>
          <w:i/>
          <w:iCs/>
          <w:sz w:val="26"/>
          <w:szCs w:val="26"/>
        </w:rPr>
        <w:t xml:space="preserve">.  </w:t>
      </w:r>
      <w:r w:rsidRPr="0059512A">
        <w:rPr>
          <w:sz w:val="26"/>
          <w:szCs w:val="26"/>
        </w:rPr>
        <w:t>Accordingly, we shall grant the Exceptions of I&amp;E and the OCA, in part, and deny them, in part, and modify the recommendation of the ALJs on this issue.</w:t>
      </w:r>
    </w:p>
    <w:p w14:paraId="10881386" w14:textId="77777777" w:rsidR="00897667" w:rsidRPr="0059512A" w:rsidRDefault="00897667" w:rsidP="0059512A">
      <w:pPr>
        <w:widowControl/>
        <w:spacing w:line="360" w:lineRule="auto"/>
        <w:rPr>
          <w:sz w:val="26"/>
          <w:szCs w:val="26"/>
        </w:rPr>
      </w:pPr>
    </w:p>
    <w:p w14:paraId="30D7D0F1" w14:textId="1EF796FF" w:rsidR="003D4A2A" w:rsidRPr="0059512A" w:rsidRDefault="003D4A2A" w:rsidP="0059512A">
      <w:pPr>
        <w:pStyle w:val="Heading3"/>
        <w:keepNext/>
        <w:ind w:left="1440" w:hanging="720"/>
      </w:pPr>
      <w:bookmarkStart w:id="137" w:name="_Toc38629297"/>
      <w:r w:rsidRPr="0059512A">
        <w:t>Rate of Return on Common Equity</w:t>
      </w:r>
      <w:bookmarkEnd w:id="137"/>
    </w:p>
    <w:p w14:paraId="627782F8" w14:textId="77777777" w:rsidR="003D4A2A" w:rsidRPr="0059512A" w:rsidRDefault="003D4A2A" w:rsidP="0059512A">
      <w:pPr>
        <w:keepNext/>
        <w:widowControl/>
        <w:spacing w:line="360" w:lineRule="auto"/>
        <w:rPr>
          <w:sz w:val="26"/>
          <w:szCs w:val="26"/>
        </w:rPr>
      </w:pPr>
    </w:p>
    <w:p w14:paraId="36484EC4" w14:textId="77777777" w:rsidR="000E05F3" w:rsidRPr="0059512A" w:rsidRDefault="000E05F3" w:rsidP="0059512A">
      <w:pPr>
        <w:pStyle w:val="ListParagraph"/>
        <w:keepNext/>
        <w:widowControl/>
        <w:spacing w:line="360" w:lineRule="auto"/>
        <w:ind w:left="2160" w:hanging="720"/>
        <w:rPr>
          <w:b/>
          <w:bCs/>
          <w:sz w:val="26"/>
          <w:szCs w:val="26"/>
        </w:rPr>
      </w:pPr>
      <w:r w:rsidRPr="0059512A">
        <w:rPr>
          <w:b/>
          <w:bCs/>
          <w:sz w:val="26"/>
          <w:szCs w:val="26"/>
        </w:rPr>
        <w:t>a.</w:t>
      </w:r>
      <w:r w:rsidRPr="0059512A">
        <w:rPr>
          <w:b/>
          <w:bCs/>
          <w:sz w:val="26"/>
          <w:szCs w:val="26"/>
        </w:rPr>
        <w:tab/>
        <w:t>Positions of the Parties</w:t>
      </w:r>
    </w:p>
    <w:p w14:paraId="0F027921" w14:textId="4E87E28E" w:rsidR="000E05F3" w:rsidRPr="0059512A" w:rsidRDefault="000E05F3" w:rsidP="0059512A">
      <w:pPr>
        <w:keepNext/>
        <w:widowControl/>
        <w:spacing w:line="360" w:lineRule="auto"/>
        <w:ind w:left="1440" w:hanging="720"/>
        <w:rPr>
          <w:b/>
          <w:bCs/>
          <w:sz w:val="26"/>
          <w:szCs w:val="26"/>
        </w:rPr>
      </w:pPr>
    </w:p>
    <w:p w14:paraId="5A676AEA" w14:textId="05728DCB" w:rsidR="00EB640B" w:rsidRPr="0059512A" w:rsidRDefault="00EB640B" w:rsidP="0059512A">
      <w:pPr>
        <w:keepNext/>
        <w:widowControl/>
        <w:spacing w:after="200" w:line="360" w:lineRule="auto"/>
        <w:ind w:firstLine="1440"/>
        <w:contextualSpacing/>
        <w:rPr>
          <w:rFonts w:eastAsiaTheme="minorHAnsi"/>
          <w:sz w:val="26"/>
          <w:szCs w:val="26"/>
        </w:rPr>
      </w:pPr>
      <w:r w:rsidRPr="0059512A">
        <w:rPr>
          <w:rFonts w:eastAsiaTheme="minorHAnsi"/>
          <w:sz w:val="26"/>
          <w:szCs w:val="26"/>
        </w:rPr>
        <w:t>As noted above, four methods of determining the cost of equity were presented for inclusion in the record in this proceeding:  DCF, CAPM, RP</w:t>
      </w:r>
      <w:r w:rsidR="007F2E48" w:rsidRPr="0059512A">
        <w:rPr>
          <w:rFonts w:eastAsiaTheme="minorHAnsi"/>
          <w:sz w:val="26"/>
          <w:szCs w:val="26"/>
        </w:rPr>
        <w:t>M</w:t>
      </w:r>
      <w:r w:rsidRPr="0059512A">
        <w:rPr>
          <w:rFonts w:eastAsiaTheme="minorHAnsi"/>
          <w:sz w:val="26"/>
          <w:szCs w:val="26"/>
        </w:rPr>
        <w:t xml:space="preserve">, and CE.  Citizens’ relied on each of these methodologies in presenting its recommended rate of return on equity of 10.30%.  This figure is inclusive of the requested performance factor adjustment of </w:t>
      </w:r>
      <w:r w:rsidR="00EF654F" w:rsidRPr="0059512A">
        <w:rPr>
          <w:rFonts w:eastAsiaTheme="minorHAnsi"/>
          <w:sz w:val="26"/>
          <w:szCs w:val="26"/>
        </w:rPr>
        <w:t>0.</w:t>
      </w:r>
      <w:r w:rsidR="00B001D5" w:rsidRPr="0059512A">
        <w:rPr>
          <w:rFonts w:eastAsiaTheme="minorHAnsi"/>
          <w:sz w:val="26"/>
          <w:szCs w:val="26"/>
        </w:rPr>
        <w:t>25</w:t>
      </w:r>
      <w:r w:rsidRPr="0059512A">
        <w:rPr>
          <w:rFonts w:eastAsiaTheme="minorHAnsi"/>
          <w:sz w:val="26"/>
          <w:szCs w:val="26"/>
        </w:rPr>
        <w:t>%.  Citizens’ M.B. at 10, 64.</w:t>
      </w:r>
    </w:p>
    <w:p w14:paraId="16B645DE" w14:textId="77777777" w:rsidR="001F62F8" w:rsidRPr="0059512A" w:rsidRDefault="001F62F8" w:rsidP="0059512A">
      <w:pPr>
        <w:keepNext/>
        <w:widowControl/>
        <w:spacing w:after="200" w:line="360" w:lineRule="auto"/>
        <w:ind w:firstLine="1440"/>
        <w:contextualSpacing/>
        <w:rPr>
          <w:rFonts w:eastAsiaTheme="minorHAnsi"/>
          <w:sz w:val="26"/>
          <w:szCs w:val="26"/>
        </w:rPr>
      </w:pPr>
    </w:p>
    <w:p w14:paraId="4C7D6774" w14:textId="77777777" w:rsidR="00EB640B" w:rsidRPr="0059512A" w:rsidRDefault="00EB640B" w:rsidP="0059512A">
      <w:pPr>
        <w:widowControl/>
        <w:spacing w:after="200" w:line="360" w:lineRule="auto"/>
        <w:contextualSpacing/>
        <w:rPr>
          <w:rFonts w:eastAsiaTheme="minorHAnsi"/>
          <w:sz w:val="26"/>
          <w:szCs w:val="26"/>
        </w:rPr>
      </w:pPr>
      <w:r w:rsidRPr="0059512A">
        <w:rPr>
          <w:rFonts w:eastAsiaTheme="minorHAnsi"/>
          <w:sz w:val="26"/>
          <w:szCs w:val="26"/>
        </w:rPr>
        <w:tab/>
      </w:r>
      <w:r w:rsidRPr="0059512A">
        <w:rPr>
          <w:rFonts w:eastAsiaTheme="minorHAnsi"/>
          <w:sz w:val="26"/>
          <w:szCs w:val="26"/>
        </w:rPr>
        <w:tab/>
        <w:t>As previously discussed, both I&amp;E and the OCA took issue with the Company’s analysis in arriving at the proposed cost of equity and argued that equal weight should not be given to the four different methodologies as Citizens’ did in its evaluation.  Additionally, both I&amp;E and the OCA submitted that the Commission has indicated a preference for using the DCF method to establish reasonable common equity costs.  I&amp;E M.B. at 30, 37-38; OCA M.B. at 41, 54-55.</w:t>
      </w:r>
    </w:p>
    <w:p w14:paraId="01F69BD2" w14:textId="77777777" w:rsidR="00EB640B" w:rsidRPr="0059512A" w:rsidRDefault="00EB640B" w:rsidP="0059512A">
      <w:pPr>
        <w:widowControl/>
        <w:spacing w:after="200" w:line="360" w:lineRule="auto"/>
        <w:contextualSpacing/>
        <w:rPr>
          <w:rFonts w:eastAsiaTheme="minorHAnsi"/>
          <w:sz w:val="26"/>
          <w:szCs w:val="26"/>
        </w:rPr>
      </w:pPr>
    </w:p>
    <w:p w14:paraId="6CC4701F" w14:textId="3CAE8031" w:rsidR="00EB640B" w:rsidRPr="0059512A" w:rsidRDefault="00EB640B" w:rsidP="0059512A">
      <w:pPr>
        <w:widowControl/>
        <w:spacing w:after="200" w:line="360" w:lineRule="auto"/>
        <w:contextualSpacing/>
        <w:rPr>
          <w:rFonts w:eastAsiaTheme="minorHAnsi"/>
          <w:sz w:val="26"/>
          <w:szCs w:val="26"/>
        </w:rPr>
      </w:pPr>
      <w:r w:rsidRPr="0059512A">
        <w:rPr>
          <w:rFonts w:eastAsiaTheme="minorHAnsi"/>
          <w:sz w:val="26"/>
          <w:szCs w:val="26"/>
        </w:rPr>
        <w:tab/>
      </w:r>
      <w:r w:rsidRPr="0059512A">
        <w:rPr>
          <w:rFonts w:eastAsiaTheme="minorHAnsi"/>
          <w:sz w:val="26"/>
          <w:szCs w:val="26"/>
        </w:rPr>
        <w:tab/>
        <w:t>As a result of its DCF analysis, I&amp;E recommended a cost of common equity of 8.10%.  I&amp;E note</w:t>
      </w:r>
      <w:r w:rsidR="00AF5BD8" w:rsidRPr="0059512A">
        <w:rPr>
          <w:rFonts w:eastAsiaTheme="minorHAnsi"/>
          <w:sz w:val="26"/>
          <w:szCs w:val="26"/>
        </w:rPr>
        <w:t>d</w:t>
      </w:r>
      <w:r w:rsidRPr="0059512A">
        <w:rPr>
          <w:rFonts w:eastAsiaTheme="minorHAnsi"/>
          <w:sz w:val="26"/>
          <w:szCs w:val="26"/>
        </w:rPr>
        <w:t xml:space="preserve"> that its analysis recognizes the time value of money, is forward looking, and has regulatory acceptance.  I&amp;E M.B. at 31, 51.</w:t>
      </w:r>
    </w:p>
    <w:p w14:paraId="470E553E" w14:textId="77777777" w:rsidR="00EB640B" w:rsidRPr="0059512A" w:rsidRDefault="00EB640B" w:rsidP="0059512A">
      <w:pPr>
        <w:widowControl/>
        <w:spacing w:after="200" w:line="360" w:lineRule="auto"/>
        <w:contextualSpacing/>
        <w:rPr>
          <w:rFonts w:eastAsiaTheme="minorHAnsi"/>
          <w:sz w:val="26"/>
          <w:szCs w:val="26"/>
        </w:rPr>
      </w:pPr>
    </w:p>
    <w:p w14:paraId="4E0B307C" w14:textId="69102016" w:rsidR="00EB640B" w:rsidRPr="0059512A" w:rsidRDefault="00EB640B" w:rsidP="0059512A">
      <w:pPr>
        <w:widowControl/>
        <w:spacing w:line="360" w:lineRule="auto"/>
        <w:ind w:firstLine="1440"/>
        <w:rPr>
          <w:b/>
          <w:bCs/>
          <w:sz w:val="26"/>
          <w:szCs w:val="26"/>
        </w:rPr>
      </w:pPr>
      <w:r w:rsidRPr="0059512A">
        <w:rPr>
          <w:rFonts w:eastAsiaTheme="minorHAnsi"/>
          <w:sz w:val="26"/>
          <w:szCs w:val="26"/>
        </w:rPr>
        <w:lastRenderedPageBreak/>
        <w:t>The OCA recommended an 8.38% return on common equity primarily based on the results of its DCF model.  The OCA note</w:t>
      </w:r>
      <w:r w:rsidR="00AF5BD8" w:rsidRPr="0059512A">
        <w:rPr>
          <w:rFonts w:eastAsiaTheme="minorHAnsi"/>
          <w:sz w:val="26"/>
          <w:szCs w:val="26"/>
        </w:rPr>
        <w:t>d</w:t>
      </w:r>
      <w:r w:rsidRPr="0059512A">
        <w:rPr>
          <w:rFonts w:eastAsiaTheme="minorHAnsi"/>
          <w:sz w:val="26"/>
          <w:szCs w:val="26"/>
        </w:rPr>
        <w:t xml:space="preserve"> that its recommendation is reasonably in line with the current economic conditions.  OCA M.B. at 40.</w:t>
      </w:r>
      <w:r w:rsidRPr="0059512A">
        <w:rPr>
          <w:rFonts w:eastAsiaTheme="minorHAnsi"/>
          <w:sz w:val="26"/>
          <w:szCs w:val="26"/>
        </w:rPr>
        <w:tab/>
      </w:r>
    </w:p>
    <w:p w14:paraId="7AB04A6A" w14:textId="77777777" w:rsidR="00EB640B" w:rsidRPr="0059512A" w:rsidRDefault="00EB640B" w:rsidP="0059512A">
      <w:pPr>
        <w:widowControl/>
        <w:spacing w:line="360" w:lineRule="auto"/>
        <w:ind w:left="1440" w:hanging="720"/>
        <w:rPr>
          <w:b/>
          <w:bCs/>
          <w:sz w:val="26"/>
          <w:szCs w:val="26"/>
        </w:rPr>
      </w:pPr>
    </w:p>
    <w:p w14:paraId="6CEDA088" w14:textId="77777777" w:rsidR="000E05F3" w:rsidRPr="0059512A" w:rsidRDefault="000E05F3" w:rsidP="0059512A">
      <w:pPr>
        <w:pStyle w:val="ListParagraph"/>
        <w:keepNext/>
        <w:widowControl/>
        <w:spacing w:line="360" w:lineRule="auto"/>
        <w:ind w:left="2160" w:hanging="720"/>
        <w:rPr>
          <w:b/>
          <w:bCs/>
          <w:sz w:val="26"/>
          <w:szCs w:val="26"/>
        </w:rPr>
      </w:pPr>
      <w:r w:rsidRPr="0059512A">
        <w:rPr>
          <w:b/>
          <w:bCs/>
          <w:sz w:val="26"/>
          <w:szCs w:val="26"/>
        </w:rPr>
        <w:t>b.</w:t>
      </w:r>
      <w:r w:rsidRPr="0059512A">
        <w:rPr>
          <w:b/>
          <w:bCs/>
          <w:sz w:val="26"/>
          <w:szCs w:val="26"/>
        </w:rPr>
        <w:tab/>
        <w:t>Recommended Decision</w:t>
      </w:r>
    </w:p>
    <w:p w14:paraId="73346E6D" w14:textId="512D3572" w:rsidR="000E05F3" w:rsidRPr="0059512A" w:rsidRDefault="000E05F3" w:rsidP="0059512A">
      <w:pPr>
        <w:pStyle w:val="ListParagraph"/>
        <w:keepNext/>
        <w:widowControl/>
        <w:spacing w:line="360" w:lineRule="auto"/>
        <w:rPr>
          <w:b/>
          <w:bCs/>
          <w:sz w:val="26"/>
          <w:szCs w:val="26"/>
        </w:rPr>
      </w:pPr>
    </w:p>
    <w:p w14:paraId="4E684A67" w14:textId="62EA32F7" w:rsidR="0020694F" w:rsidRPr="0059512A" w:rsidRDefault="0020694F" w:rsidP="0059512A">
      <w:pPr>
        <w:pStyle w:val="ListParagraph"/>
        <w:keepNext/>
        <w:widowControl/>
        <w:spacing w:line="360" w:lineRule="auto"/>
        <w:ind w:left="0" w:firstLine="1440"/>
        <w:rPr>
          <w:b/>
          <w:bCs/>
          <w:sz w:val="26"/>
          <w:szCs w:val="26"/>
        </w:rPr>
      </w:pPr>
      <w:r w:rsidRPr="0059512A">
        <w:rPr>
          <w:rFonts w:eastAsiaTheme="minorHAnsi"/>
          <w:sz w:val="26"/>
          <w:szCs w:val="26"/>
        </w:rPr>
        <w:t xml:space="preserve">As noted previously, the ALJs relied on the DCF method, and utilized the CAPM as a comparison.  Accordingly, the ALJs used the top of Citizens’ DCF range of 9.49%, noting that it reflects Citizens’ status as a company of many magnitudes smaller than the companies in the proxy group.  Further, the ALJs granted the Company’s request for a management effectiveness adjustment of </w:t>
      </w:r>
      <w:r w:rsidR="00EF654F" w:rsidRPr="0059512A">
        <w:rPr>
          <w:rFonts w:eastAsiaTheme="minorHAnsi"/>
          <w:sz w:val="26"/>
          <w:szCs w:val="26"/>
        </w:rPr>
        <w:t>0.</w:t>
      </w:r>
      <w:r w:rsidR="00B001D5" w:rsidRPr="0059512A">
        <w:rPr>
          <w:rFonts w:eastAsiaTheme="minorHAnsi"/>
          <w:sz w:val="26"/>
          <w:szCs w:val="26"/>
        </w:rPr>
        <w:t>25</w:t>
      </w:r>
      <w:r w:rsidRPr="0059512A">
        <w:rPr>
          <w:rFonts w:eastAsiaTheme="minorHAnsi"/>
          <w:sz w:val="26"/>
          <w:szCs w:val="26"/>
        </w:rPr>
        <w:t xml:space="preserve">%, resulting in a recommended ROE of 9.74%.  R.D. at 78.  </w:t>
      </w:r>
    </w:p>
    <w:p w14:paraId="6CBFC8BF" w14:textId="77777777" w:rsidR="0020694F" w:rsidRPr="0059512A" w:rsidRDefault="0020694F" w:rsidP="0059512A">
      <w:pPr>
        <w:pStyle w:val="ListParagraph"/>
        <w:widowControl/>
        <w:spacing w:line="360" w:lineRule="auto"/>
        <w:rPr>
          <w:b/>
          <w:bCs/>
          <w:sz w:val="26"/>
          <w:szCs w:val="26"/>
        </w:rPr>
      </w:pPr>
    </w:p>
    <w:p w14:paraId="3D7D3087" w14:textId="77777777" w:rsidR="000E05F3" w:rsidRPr="0059512A" w:rsidRDefault="000E05F3" w:rsidP="0059512A">
      <w:pPr>
        <w:pStyle w:val="ListParagraph"/>
        <w:keepNext/>
        <w:widowControl/>
        <w:spacing w:line="360" w:lineRule="auto"/>
        <w:ind w:left="2160" w:hanging="720"/>
        <w:rPr>
          <w:b/>
          <w:bCs/>
          <w:sz w:val="26"/>
          <w:szCs w:val="26"/>
        </w:rPr>
      </w:pPr>
      <w:r w:rsidRPr="0059512A">
        <w:rPr>
          <w:b/>
          <w:bCs/>
          <w:sz w:val="26"/>
          <w:szCs w:val="26"/>
        </w:rPr>
        <w:t>c.</w:t>
      </w:r>
      <w:r w:rsidRPr="0059512A">
        <w:rPr>
          <w:b/>
          <w:bCs/>
          <w:sz w:val="26"/>
          <w:szCs w:val="26"/>
        </w:rPr>
        <w:tab/>
        <w:t>Exceptions and Replies</w:t>
      </w:r>
    </w:p>
    <w:p w14:paraId="06BB784C" w14:textId="3284C39C" w:rsidR="000E05F3" w:rsidRPr="0059512A" w:rsidRDefault="000E05F3" w:rsidP="0059512A">
      <w:pPr>
        <w:keepNext/>
        <w:widowControl/>
        <w:spacing w:line="360" w:lineRule="auto"/>
        <w:ind w:left="1440" w:hanging="720"/>
        <w:rPr>
          <w:b/>
          <w:bCs/>
          <w:sz w:val="26"/>
          <w:szCs w:val="26"/>
        </w:rPr>
      </w:pPr>
    </w:p>
    <w:p w14:paraId="5F26CB49" w14:textId="313636A0" w:rsidR="0020694F" w:rsidRPr="0059512A" w:rsidRDefault="0020694F" w:rsidP="0059512A">
      <w:pPr>
        <w:keepNext/>
        <w:widowControl/>
        <w:spacing w:after="200" w:line="360" w:lineRule="auto"/>
        <w:ind w:firstLine="1440"/>
        <w:contextualSpacing/>
        <w:rPr>
          <w:sz w:val="26"/>
          <w:szCs w:val="26"/>
        </w:rPr>
      </w:pPr>
      <w:r w:rsidRPr="0059512A">
        <w:rPr>
          <w:sz w:val="26"/>
          <w:szCs w:val="26"/>
        </w:rPr>
        <w:t xml:space="preserve">As discussed </w:t>
      </w:r>
      <w:r w:rsidRPr="0059512A">
        <w:rPr>
          <w:i/>
          <w:iCs/>
          <w:sz w:val="26"/>
          <w:szCs w:val="26"/>
        </w:rPr>
        <w:t>supra</w:t>
      </w:r>
      <w:r w:rsidRPr="0059512A">
        <w:rPr>
          <w:sz w:val="26"/>
          <w:szCs w:val="26"/>
        </w:rPr>
        <w:t>, I&amp;E and the OCA disagree with the ALJs’ finding</w:t>
      </w:r>
      <w:r w:rsidR="00A11182" w:rsidRPr="0059512A">
        <w:rPr>
          <w:sz w:val="26"/>
          <w:szCs w:val="26"/>
        </w:rPr>
        <w:t xml:space="preserve"> and argue</w:t>
      </w:r>
      <w:r w:rsidRPr="0059512A">
        <w:rPr>
          <w:sz w:val="26"/>
          <w:szCs w:val="26"/>
        </w:rPr>
        <w:t xml:space="preserve"> that </w:t>
      </w:r>
      <w:r w:rsidR="00A11182" w:rsidRPr="0059512A">
        <w:rPr>
          <w:sz w:val="26"/>
          <w:szCs w:val="26"/>
        </w:rPr>
        <w:t>the record lacks substantial evidence</w:t>
      </w:r>
      <w:r w:rsidRPr="0059512A">
        <w:rPr>
          <w:sz w:val="26"/>
          <w:szCs w:val="26"/>
        </w:rPr>
        <w:t xml:space="preserve"> to </w:t>
      </w:r>
      <w:r w:rsidR="00707B58" w:rsidRPr="0059512A">
        <w:rPr>
          <w:sz w:val="26"/>
          <w:szCs w:val="26"/>
        </w:rPr>
        <w:t xml:space="preserve">support </w:t>
      </w:r>
      <w:r w:rsidR="00A11182" w:rsidRPr="0059512A">
        <w:rPr>
          <w:sz w:val="26"/>
          <w:szCs w:val="26"/>
        </w:rPr>
        <w:t xml:space="preserve">either </w:t>
      </w:r>
      <w:r w:rsidR="00707B58" w:rsidRPr="0059512A">
        <w:rPr>
          <w:sz w:val="26"/>
          <w:szCs w:val="26"/>
        </w:rPr>
        <w:t xml:space="preserve">a DCF result of 9.49% in order to accommodate the Company’s desired size adjustment or </w:t>
      </w:r>
      <w:r w:rsidR="00A11182" w:rsidRPr="0059512A">
        <w:rPr>
          <w:sz w:val="26"/>
          <w:szCs w:val="26"/>
        </w:rPr>
        <w:t xml:space="preserve">the additional </w:t>
      </w:r>
      <w:r w:rsidR="00EF654F" w:rsidRPr="0059512A">
        <w:rPr>
          <w:sz w:val="26"/>
          <w:szCs w:val="26"/>
        </w:rPr>
        <w:t>0.</w:t>
      </w:r>
      <w:r w:rsidR="00A11182" w:rsidRPr="0059512A">
        <w:rPr>
          <w:sz w:val="26"/>
          <w:szCs w:val="26"/>
        </w:rPr>
        <w:t>25% management effectiveness adjustment requested to award the Company an ROE of</w:t>
      </w:r>
      <w:r w:rsidR="000F2F32">
        <w:rPr>
          <w:sz w:val="26"/>
          <w:szCs w:val="26"/>
        </w:rPr>
        <w:t> </w:t>
      </w:r>
      <w:r w:rsidR="00A11182" w:rsidRPr="0059512A">
        <w:rPr>
          <w:sz w:val="26"/>
          <w:szCs w:val="26"/>
        </w:rPr>
        <w:t xml:space="preserve">9.74%.  </w:t>
      </w:r>
      <w:r w:rsidRPr="0059512A">
        <w:rPr>
          <w:sz w:val="26"/>
          <w:szCs w:val="26"/>
        </w:rPr>
        <w:t>I&amp;E Exc. at 8-9; OCA Exc. at 14, 18-19.</w:t>
      </w:r>
    </w:p>
    <w:p w14:paraId="2B68616D" w14:textId="77777777" w:rsidR="00707B58" w:rsidRPr="0059512A" w:rsidRDefault="00707B58" w:rsidP="0059512A">
      <w:pPr>
        <w:widowControl/>
        <w:spacing w:line="360" w:lineRule="auto"/>
        <w:rPr>
          <w:rFonts w:eastAsiaTheme="minorHAnsi"/>
          <w:sz w:val="26"/>
          <w:szCs w:val="26"/>
        </w:rPr>
      </w:pPr>
    </w:p>
    <w:p w14:paraId="6102B980" w14:textId="77777777" w:rsidR="000E05F3" w:rsidRPr="0059512A" w:rsidRDefault="000E05F3" w:rsidP="0059512A">
      <w:pPr>
        <w:keepNext/>
        <w:widowControl/>
        <w:spacing w:line="360" w:lineRule="auto"/>
        <w:ind w:left="2160" w:hanging="720"/>
        <w:rPr>
          <w:b/>
          <w:bCs/>
          <w:sz w:val="26"/>
          <w:szCs w:val="26"/>
        </w:rPr>
      </w:pPr>
      <w:r w:rsidRPr="0059512A">
        <w:rPr>
          <w:b/>
          <w:bCs/>
          <w:sz w:val="26"/>
          <w:szCs w:val="26"/>
        </w:rPr>
        <w:t>d.</w:t>
      </w:r>
      <w:r w:rsidRPr="0059512A">
        <w:rPr>
          <w:b/>
          <w:bCs/>
          <w:sz w:val="26"/>
          <w:szCs w:val="26"/>
        </w:rPr>
        <w:tab/>
        <w:t>Disposition</w:t>
      </w:r>
    </w:p>
    <w:p w14:paraId="68BE4AFA" w14:textId="09DF1755" w:rsidR="000A62E4" w:rsidRPr="0059512A" w:rsidRDefault="000A62E4" w:rsidP="0059512A">
      <w:pPr>
        <w:keepNext/>
        <w:widowControl/>
        <w:spacing w:line="360" w:lineRule="auto"/>
        <w:rPr>
          <w:sz w:val="26"/>
          <w:szCs w:val="26"/>
        </w:rPr>
      </w:pPr>
    </w:p>
    <w:p w14:paraId="4810572F" w14:textId="608F96B4" w:rsidR="00B001D5" w:rsidRPr="0059512A" w:rsidRDefault="00B001D5" w:rsidP="0059512A">
      <w:pPr>
        <w:keepNext/>
        <w:widowControl/>
        <w:spacing w:line="360" w:lineRule="auto"/>
        <w:ind w:firstLine="1440"/>
        <w:contextualSpacing/>
        <w:rPr>
          <w:sz w:val="26"/>
          <w:szCs w:val="26"/>
        </w:rPr>
      </w:pPr>
      <w:r w:rsidRPr="0059512A">
        <w:rPr>
          <w:sz w:val="26"/>
          <w:szCs w:val="26"/>
        </w:rPr>
        <w:t>We have previously determined above that, consistent with Commission precedent, we shall use the DCF method as the primary method in establishing the Company’s cost of common equity and shall use the results of the CAPM method as a comparison to our DCF results.  Therefore, we have adopted the ALJs’ recommendation to use a DCF cost of common equity rate of 9.</w:t>
      </w:r>
      <w:r w:rsidR="00C35D7A" w:rsidRPr="0059512A">
        <w:rPr>
          <w:sz w:val="26"/>
          <w:szCs w:val="26"/>
        </w:rPr>
        <w:t>49</w:t>
      </w:r>
      <w:r w:rsidRPr="0059512A">
        <w:rPr>
          <w:sz w:val="26"/>
          <w:szCs w:val="26"/>
        </w:rPr>
        <w:t xml:space="preserve">% to account for the fact that </w:t>
      </w:r>
      <w:r w:rsidR="00C35D7A" w:rsidRPr="0059512A">
        <w:rPr>
          <w:sz w:val="26"/>
          <w:szCs w:val="26"/>
        </w:rPr>
        <w:t>Citizens’</w:t>
      </w:r>
      <w:r w:rsidRPr="0059512A">
        <w:rPr>
          <w:sz w:val="26"/>
          <w:szCs w:val="26"/>
        </w:rPr>
        <w:t xml:space="preserve"> is a smaller utility.  Additionally, we have determined that </w:t>
      </w:r>
      <w:r w:rsidR="00C35D7A" w:rsidRPr="0059512A">
        <w:rPr>
          <w:sz w:val="26"/>
          <w:szCs w:val="26"/>
        </w:rPr>
        <w:t>Citizens’</w:t>
      </w:r>
      <w:r w:rsidRPr="0059512A">
        <w:rPr>
          <w:sz w:val="26"/>
          <w:szCs w:val="26"/>
        </w:rPr>
        <w:t xml:space="preserve"> should receive a </w:t>
      </w:r>
      <w:r w:rsidRPr="0059512A">
        <w:rPr>
          <w:sz w:val="26"/>
          <w:szCs w:val="26"/>
        </w:rPr>
        <w:lastRenderedPageBreak/>
        <w:t>5</w:t>
      </w:r>
      <w:r w:rsidR="000F2F32">
        <w:rPr>
          <w:sz w:val="26"/>
          <w:szCs w:val="26"/>
        </w:rPr>
        <w:noBreakHyphen/>
      </w:r>
      <w:r w:rsidRPr="0059512A">
        <w:rPr>
          <w:sz w:val="26"/>
          <w:szCs w:val="26"/>
        </w:rPr>
        <w:t xml:space="preserve">basis point upward adjustment to its cost of common equity because it has demonstrated management effectiveness.  This is in lieu of the 25-basis point adjustment recommended by the ALJs.  </w:t>
      </w:r>
    </w:p>
    <w:p w14:paraId="35ED713A" w14:textId="77777777" w:rsidR="00B001D5" w:rsidRPr="0059512A" w:rsidRDefault="00B001D5" w:rsidP="0059512A">
      <w:pPr>
        <w:widowControl/>
        <w:spacing w:line="360" w:lineRule="auto"/>
        <w:ind w:firstLine="1440"/>
        <w:contextualSpacing/>
        <w:rPr>
          <w:sz w:val="26"/>
          <w:szCs w:val="26"/>
        </w:rPr>
      </w:pPr>
    </w:p>
    <w:p w14:paraId="711D9F06" w14:textId="61D75CFB" w:rsidR="00B001D5" w:rsidRPr="0059512A" w:rsidRDefault="00B001D5" w:rsidP="0059512A">
      <w:pPr>
        <w:widowControl/>
        <w:spacing w:line="360" w:lineRule="auto"/>
        <w:ind w:firstLine="1440"/>
        <w:contextualSpacing/>
        <w:rPr>
          <w:sz w:val="26"/>
          <w:szCs w:val="26"/>
        </w:rPr>
      </w:pPr>
      <w:r w:rsidRPr="0059512A">
        <w:rPr>
          <w:sz w:val="26"/>
          <w:szCs w:val="26"/>
        </w:rPr>
        <w:t xml:space="preserve">Finally, we shall reject the Exception of the OCA that </w:t>
      </w:r>
      <w:r w:rsidRPr="0059512A">
        <w:rPr>
          <w:iCs/>
          <w:sz w:val="26"/>
          <w:szCs w:val="26"/>
        </w:rPr>
        <w:t xml:space="preserve">the ALJs’ recommendation that the Company’s DCF cost rate be set at </w:t>
      </w:r>
      <w:r w:rsidR="00CD6696" w:rsidRPr="0059512A">
        <w:rPr>
          <w:iCs/>
          <w:sz w:val="26"/>
          <w:szCs w:val="26"/>
        </w:rPr>
        <w:t>the higher end of the DCF range</w:t>
      </w:r>
      <w:r w:rsidRPr="0059512A">
        <w:rPr>
          <w:iCs/>
          <w:sz w:val="26"/>
          <w:szCs w:val="26"/>
        </w:rPr>
        <w:t xml:space="preserve"> violates the OCA’s CAPM</w:t>
      </w:r>
      <w:r w:rsidR="00C26CC7" w:rsidRPr="0059512A">
        <w:rPr>
          <w:iCs/>
          <w:sz w:val="26"/>
          <w:szCs w:val="26"/>
        </w:rPr>
        <w:t>/RP</w:t>
      </w:r>
      <w:r w:rsidRPr="0059512A">
        <w:rPr>
          <w:iCs/>
          <w:sz w:val="26"/>
          <w:szCs w:val="26"/>
        </w:rPr>
        <w:t xml:space="preserve"> limits.</w:t>
      </w:r>
      <w:r w:rsidRPr="0059512A">
        <w:rPr>
          <w:sz w:val="26"/>
          <w:szCs w:val="26"/>
        </w:rPr>
        <w:t xml:space="preserve">  First, while we have determined that the CAPM should be used as a secondary method to check for the reasonableness of the DCF results, we have rejected the use of the RP method in any regard in this proceeding.  Second, as </w:t>
      </w:r>
      <w:r w:rsidR="00C26CC7" w:rsidRPr="0059512A">
        <w:rPr>
          <w:sz w:val="26"/>
          <w:szCs w:val="26"/>
        </w:rPr>
        <w:t>Citizens’</w:t>
      </w:r>
      <w:r w:rsidRPr="0059512A">
        <w:rPr>
          <w:sz w:val="26"/>
          <w:szCs w:val="26"/>
        </w:rPr>
        <w:t xml:space="preserve"> points out, the OCA’s argument would undermine the purpose of adding a size adjustment, which is to award a</w:t>
      </w:r>
      <w:r w:rsidR="0006589E">
        <w:rPr>
          <w:sz w:val="26"/>
          <w:szCs w:val="26"/>
        </w:rPr>
        <w:t>n</w:t>
      </w:r>
      <w:r w:rsidRPr="0059512A">
        <w:rPr>
          <w:sz w:val="26"/>
          <w:szCs w:val="26"/>
        </w:rPr>
        <w:t xml:space="preserve"> ROE that is greater than the result of the stand-alone ROE analysis given that smaller utilities face greater risk than larger utilities.  It would also ignore the record evidence regarding the initiatives undertaken by the Company, which warrant that its ROE be increased to recognize its management effectiveness.  Therefore, although we will not award the 10.</w:t>
      </w:r>
      <w:r w:rsidR="00C26CC7" w:rsidRPr="0059512A">
        <w:rPr>
          <w:sz w:val="26"/>
          <w:szCs w:val="26"/>
        </w:rPr>
        <w:t>3</w:t>
      </w:r>
      <w:r w:rsidRPr="0059512A">
        <w:rPr>
          <w:sz w:val="26"/>
          <w:szCs w:val="26"/>
        </w:rPr>
        <w:t>0% ROE that the Company has requested, we have found that the record supports a higher ROE than what has been recommended by either the OCA or I&amp;E.  Accordingly, we shall set a cost of equity rate of 9.</w:t>
      </w:r>
      <w:r w:rsidR="00C26CC7" w:rsidRPr="0059512A">
        <w:rPr>
          <w:sz w:val="26"/>
          <w:szCs w:val="26"/>
        </w:rPr>
        <w:t>54</w:t>
      </w:r>
      <w:r w:rsidRPr="0059512A">
        <w:rPr>
          <w:sz w:val="26"/>
          <w:szCs w:val="26"/>
        </w:rPr>
        <w:t xml:space="preserve">% for </w:t>
      </w:r>
      <w:r w:rsidR="00C26CC7" w:rsidRPr="0059512A">
        <w:rPr>
          <w:sz w:val="26"/>
          <w:szCs w:val="26"/>
        </w:rPr>
        <w:t>Citizens’</w:t>
      </w:r>
      <w:r w:rsidRPr="0059512A">
        <w:rPr>
          <w:sz w:val="26"/>
          <w:szCs w:val="26"/>
        </w:rPr>
        <w:t xml:space="preserve">, inclusive of the management effectiveness adjustment.  All Exceptions to the contrary are denied.  </w:t>
      </w:r>
    </w:p>
    <w:p w14:paraId="4E8EBB8B" w14:textId="77777777" w:rsidR="0020694F" w:rsidRPr="0059512A" w:rsidRDefault="0020694F" w:rsidP="0059512A">
      <w:pPr>
        <w:widowControl/>
        <w:spacing w:line="360" w:lineRule="auto"/>
        <w:rPr>
          <w:sz w:val="26"/>
          <w:szCs w:val="26"/>
        </w:rPr>
      </w:pPr>
    </w:p>
    <w:p w14:paraId="01A09D02" w14:textId="66143ABD" w:rsidR="00F41D92" w:rsidRPr="0059512A" w:rsidRDefault="00F41D92" w:rsidP="0059512A">
      <w:pPr>
        <w:pStyle w:val="Heading3"/>
        <w:keepNext/>
        <w:ind w:left="1440" w:hanging="720"/>
      </w:pPr>
      <w:bookmarkStart w:id="138" w:name="_Toc38629298"/>
      <w:r w:rsidRPr="0059512A">
        <w:t>Overall Rate of Return</w:t>
      </w:r>
      <w:bookmarkEnd w:id="138"/>
    </w:p>
    <w:p w14:paraId="695F1520" w14:textId="3F645393" w:rsidR="000A62E4" w:rsidRPr="0059512A" w:rsidRDefault="000A62E4" w:rsidP="0059512A">
      <w:pPr>
        <w:keepNext/>
        <w:widowControl/>
        <w:spacing w:line="360" w:lineRule="auto"/>
        <w:rPr>
          <w:sz w:val="26"/>
          <w:szCs w:val="26"/>
        </w:rPr>
      </w:pPr>
    </w:p>
    <w:p w14:paraId="78C3F3E1" w14:textId="04DF67FE" w:rsidR="00F41D92" w:rsidRPr="0059512A" w:rsidRDefault="00462CFC" w:rsidP="0059512A">
      <w:pPr>
        <w:pStyle w:val="ListParagraph"/>
        <w:keepNext/>
        <w:widowControl/>
        <w:spacing w:line="360" w:lineRule="auto"/>
        <w:ind w:left="2160" w:hanging="720"/>
        <w:rPr>
          <w:b/>
          <w:bCs/>
          <w:sz w:val="26"/>
          <w:szCs w:val="26"/>
        </w:rPr>
      </w:pPr>
      <w:bookmarkStart w:id="139" w:name="_Hlk37157598"/>
      <w:bookmarkStart w:id="140" w:name="_Hlk37158818"/>
      <w:bookmarkStart w:id="141" w:name="_Hlk35847790"/>
      <w:r w:rsidRPr="0059512A">
        <w:rPr>
          <w:b/>
          <w:bCs/>
          <w:sz w:val="26"/>
          <w:szCs w:val="26"/>
        </w:rPr>
        <w:t>a.</w:t>
      </w:r>
      <w:r w:rsidRPr="0059512A">
        <w:rPr>
          <w:b/>
          <w:bCs/>
          <w:sz w:val="26"/>
          <w:szCs w:val="26"/>
        </w:rPr>
        <w:tab/>
      </w:r>
      <w:r w:rsidR="00F41D92" w:rsidRPr="0059512A">
        <w:rPr>
          <w:b/>
          <w:bCs/>
          <w:sz w:val="26"/>
          <w:szCs w:val="26"/>
        </w:rPr>
        <w:t>Positions of the Parties</w:t>
      </w:r>
    </w:p>
    <w:bookmarkEnd w:id="139"/>
    <w:p w14:paraId="10700397" w14:textId="06973EF3" w:rsidR="00F41D92" w:rsidRPr="0059512A" w:rsidRDefault="00F41D92" w:rsidP="0059512A">
      <w:pPr>
        <w:keepNext/>
        <w:widowControl/>
        <w:spacing w:line="360" w:lineRule="auto"/>
        <w:ind w:left="1440" w:hanging="720"/>
        <w:rPr>
          <w:b/>
          <w:bCs/>
          <w:sz w:val="26"/>
          <w:szCs w:val="26"/>
        </w:rPr>
      </w:pPr>
    </w:p>
    <w:p w14:paraId="773E50A8" w14:textId="77777777" w:rsidR="000F6864" w:rsidRPr="0059512A" w:rsidRDefault="000F6864" w:rsidP="0059512A">
      <w:pPr>
        <w:keepNext/>
        <w:widowControl/>
        <w:spacing w:after="200" w:line="360" w:lineRule="auto"/>
        <w:ind w:firstLine="1440"/>
        <w:contextualSpacing/>
        <w:rPr>
          <w:rFonts w:eastAsiaTheme="minorHAnsi"/>
          <w:sz w:val="26"/>
          <w:szCs w:val="26"/>
        </w:rPr>
      </w:pPr>
      <w:r w:rsidRPr="0059512A">
        <w:rPr>
          <w:rFonts w:eastAsiaTheme="minorHAnsi"/>
          <w:sz w:val="26"/>
          <w:szCs w:val="26"/>
        </w:rPr>
        <w:t>Citizens’ claimed that it should be permitted to earn a 7.62 % overall rate of return, including a 10.30% return on common equity.  Citizens’ M.B. at 100.</w:t>
      </w:r>
    </w:p>
    <w:p w14:paraId="2CA9331F" w14:textId="77777777" w:rsidR="000F6864" w:rsidRPr="0059512A" w:rsidRDefault="000F6864" w:rsidP="0059512A">
      <w:pPr>
        <w:widowControl/>
        <w:spacing w:after="200" w:line="360" w:lineRule="auto"/>
        <w:contextualSpacing/>
        <w:rPr>
          <w:rFonts w:eastAsiaTheme="minorHAnsi"/>
          <w:sz w:val="26"/>
          <w:szCs w:val="26"/>
        </w:rPr>
      </w:pPr>
    </w:p>
    <w:p w14:paraId="721AE9ED" w14:textId="77777777" w:rsidR="000F6864" w:rsidRPr="0059512A" w:rsidRDefault="000F6864" w:rsidP="0059512A">
      <w:pPr>
        <w:widowControl/>
        <w:spacing w:after="200" w:line="360" w:lineRule="auto"/>
        <w:contextualSpacing/>
        <w:rPr>
          <w:rFonts w:eastAsiaTheme="minorHAnsi"/>
          <w:sz w:val="26"/>
          <w:szCs w:val="26"/>
        </w:rPr>
      </w:pPr>
      <w:bookmarkStart w:id="142" w:name="_Hlk37075801"/>
      <w:r w:rsidRPr="0059512A">
        <w:rPr>
          <w:rFonts w:eastAsiaTheme="minorHAnsi"/>
          <w:sz w:val="26"/>
          <w:szCs w:val="26"/>
        </w:rPr>
        <w:lastRenderedPageBreak/>
        <w:tab/>
      </w:r>
      <w:r w:rsidRPr="0059512A">
        <w:rPr>
          <w:rFonts w:eastAsiaTheme="minorHAnsi"/>
          <w:sz w:val="26"/>
          <w:szCs w:val="26"/>
        </w:rPr>
        <w:tab/>
        <w:t>I&amp;E recommended that Citizens’ should be afforded the opportunity to earn an overall rate of return of 6.50%.  This recommended overall rate of return is comprised of an 8.10% rate of return on equity.  I&amp;E M.B. at 51.</w:t>
      </w:r>
    </w:p>
    <w:bookmarkEnd w:id="142"/>
    <w:p w14:paraId="0D8D15BF" w14:textId="77777777" w:rsidR="000F6864" w:rsidRPr="0059512A" w:rsidRDefault="000F6864" w:rsidP="0059512A">
      <w:pPr>
        <w:widowControl/>
        <w:spacing w:after="200" w:line="360" w:lineRule="auto"/>
        <w:contextualSpacing/>
        <w:rPr>
          <w:rFonts w:eastAsiaTheme="minorHAnsi"/>
          <w:sz w:val="26"/>
          <w:szCs w:val="26"/>
        </w:rPr>
      </w:pPr>
    </w:p>
    <w:p w14:paraId="7888028C" w14:textId="77777777" w:rsidR="000F6864" w:rsidRPr="0059512A" w:rsidRDefault="000F6864" w:rsidP="0059512A">
      <w:pPr>
        <w:widowControl/>
        <w:spacing w:after="200" w:line="360" w:lineRule="auto"/>
        <w:contextualSpacing/>
        <w:rPr>
          <w:rFonts w:eastAsiaTheme="minorHAnsi"/>
          <w:sz w:val="26"/>
          <w:szCs w:val="26"/>
        </w:rPr>
      </w:pPr>
      <w:r w:rsidRPr="0059512A">
        <w:rPr>
          <w:rFonts w:eastAsiaTheme="minorHAnsi"/>
          <w:sz w:val="26"/>
          <w:szCs w:val="26"/>
        </w:rPr>
        <w:tab/>
      </w:r>
      <w:r w:rsidRPr="0059512A">
        <w:rPr>
          <w:rFonts w:eastAsiaTheme="minorHAnsi"/>
          <w:sz w:val="26"/>
          <w:szCs w:val="26"/>
        </w:rPr>
        <w:tab/>
        <w:t>The OCA proffered that the Commission should allow Citizens’ the opportunity to earn an 8.38% return on common equity and a 6.64% overall return on its rate base.  OCA M.B. at 63.</w:t>
      </w:r>
    </w:p>
    <w:p w14:paraId="505C0C9D" w14:textId="77777777" w:rsidR="000F6864" w:rsidRPr="0059512A" w:rsidRDefault="000F6864" w:rsidP="0059512A">
      <w:pPr>
        <w:widowControl/>
        <w:spacing w:line="360" w:lineRule="auto"/>
        <w:rPr>
          <w:b/>
          <w:bCs/>
          <w:sz w:val="26"/>
          <w:szCs w:val="26"/>
        </w:rPr>
      </w:pPr>
    </w:p>
    <w:p w14:paraId="34466D48" w14:textId="340F1CE6" w:rsidR="00F41D92" w:rsidRPr="0059512A" w:rsidRDefault="00462CFC" w:rsidP="0059512A">
      <w:pPr>
        <w:pStyle w:val="ListParagraph"/>
        <w:keepNext/>
        <w:widowControl/>
        <w:spacing w:line="360" w:lineRule="auto"/>
        <w:ind w:left="2160" w:hanging="720"/>
        <w:rPr>
          <w:b/>
          <w:bCs/>
          <w:sz w:val="26"/>
          <w:szCs w:val="26"/>
        </w:rPr>
      </w:pPr>
      <w:bookmarkStart w:id="143" w:name="_Hlk37157753"/>
      <w:r w:rsidRPr="0059512A">
        <w:rPr>
          <w:b/>
          <w:bCs/>
          <w:sz w:val="26"/>
          <w:szCs w:val="26"/>
        </w:rPr>
        <w:t>b.</w:t>
      </w:r>
      <w:r w:rsidRPr="0059512A">
        <w:rPr>
          <w:b/>
          <w:bCs/>
          <w:sz w:val="26"/>
          <w:szCs w:val="26"/>
        </w:rPr>
        <w:tab/>
      </w:r>
      <w:r w:rsidR="00F41D92" w:rsidRPr="0059512A">
        <w:rPr>
          <w:b/>
          <w:bCs/>
          <w:sz w:val="26"/>
          <w:szCs w:val="26"/>
        </w:rPr>
        <w:t>Recommended Decision</w:t>
      </w:r>
    </w:p>
    <w:bookmarkEnd w:id="143"/>
    <w:p w14:paraId="0E800D5C" w14:textId="1569F4EE" w:rsidR="00F41D92" w:rsidRPr="0059512A" w:rsidRDefault="00F41D92" w:rsidP="0059512A">
      <w:pPr>
        <w:pStyle w:val="ListParagraph"/>
        <w:keepNext/>
        <w:widowControl/>
        <w:spacing w:line="360" w:lineRule="auto"/>
        <w:rPr>
          <w:b/>
          <w:bCs/>
          <w:sz w:val="26"/>
          <w:szCs w:val="26"/>
        </w:rPr>
      </w:pPr>
    </w:p>
    <w:p w14:paraId="6CAC8C28" w14:textId="77777777" w:rsidR="000F6864" w:rsidRPr="0059512A" w:rsidRDefault="000F6864" w:rsidP="0059512A">
      <w:pPr>
        <w:keepNext/>
        <w:widowControl/>
        <w:spacing w:after="200" w:line="360" w:lineRule="auto"/>
        <w:ind w:firstLine="1440"/>
        <w:contextualSpacing/>
        <w:rPr>
          <w:rFonts w:eastAsiaTheme="minorHAnsi"/>
          <w:sz w:val="26"/>
          <w:szCs w:val="26"/>
        </w:rPr>
      </w:pPr>
      <w:r w:rsidRPr="0059512A">
        <w:rPr>
          <w:rFonts w:eastAsiaTheme="minorHAnsi"/>
          <w:sz w:val="26"/>
          <w:szCs w:val="26"/>
        </w:rPr>
        <w:t>The ALJs determined a cost rate of common equity of 9.74% is appropriate.  The ALJs noted the Parties do not dispute a capital structure consisting of 49.33% debt and 50.67% equity, nor do the Parties disagree to a cost of debt of 4.86%.  Accordingly, the ALJs recommended an overall rate of return that will result in just and reasonable rates of 7.34%.  The ALJs outlined this weighted average cost of capital as follows:</w:t>
      </w:r>
    </w:p>
    <w:p w14:paraId="3289C11C" w14:textId="30458F6B" w:rsidR="000F6864" w:rsidRPr="0059512A" w:rsidRDefault="000F6864" w:rsidP="0059512A">
      <w:pPr>
        <w:keepNext/>
        <w:widowControl/>
        <w:spacing w:after="200" w:line="360" w:lineRule="auto"/>
        <w:contextualSpacing/>
        <w:rPr>
          <w:rFonts w:eastAsiaTheme="minorHAnsi"/>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064"/>
        <w:gridCol w:w="2430"/>
        <w:gridCol w:w="1902"/>
        <w:gridCol w:w="1266"/>
      </w:tblGrid>
      <w:tr w:rsidR="000F6864" w:rsidRPr="0059512A" w14:paraId="1968FA6C" w14:textId="77777777" w:rsidTr="00F90103">
        <w:trPr>
          <w:trHeight w:hRule="exact" w:val="489"/>
          <w:jc w:val="center"/>
        </w:trPr>
        <w:tc>
          <w:tcPr>
            <w:tcW w:w="2064" w:type="dxa"/>
            <w:tcBorders>
              <w:top w:val="single" w:sz="5" w:space="0" w:color="000000"/>
              <w:left w:val="single" w:sz="5" w:space="0" w:color="000000"/>
              <w:bottom w:val="single" w:sz="5" w:space="0" w:color="000000"/>
              <w:right w:val="single" w:sz="5" w:space="0" w:color="000000"/>
            </w:tcBorders>
            <w:vAlign w:val="center"/>
          </w:tcPr>
          <w:p w14:paraId="69C21C45" w14:textId="71D2DC7E" w:rsidR="000F6864" w:rsidRPr="00F90103" w:rsidRDefault="00F90103" w:rsidP="00D14C1A">
            <w:pPr>
              <w:rPr>
                <w:b/>
                <w:bCs/>
                <w:sz w:val="26"/>
                <w:szCs w:val="26"/>
              </w:rPr>
            </w:pPr>
            <w:r w:rsidRPr="00F90103">
              <w:rPr>
                <w:b/>
                <w:bCs/>
                <w:sz w:val="26"/>
                <w:szCs w:val="26"/>
              </w:rPr>
              <w:t xml:space="preserve"> </w:t>
            </w:r>
            <w:r w:rsidR="000F6864" w:rsidRPr="00F90103">
              <w:rPr>
                <w:b/>
                <w:bCs/>
                <w:sz w:val="26"/>
                <w:szCs w:val="26"/>
              </w:rPr>
              <w:t>Description</w:t>
            </w:r>
          </w:p>
        </w:tc>
        <w:tc>
          <w:tcPr>
            <w:tcW w:w="2430" w:type="dxa"/>
            <w:tcBorders>
              <w:top w:val="single" w:sz="5" w:space="0" w:color="000000"/>
              <w:left w:val="single" w:sz="5" w:space="0" w:color="000000"/>
              <w:bottom w:val="single" w:sz="5" w:space="0" w:color="000000"/>
              <w:right w:val="single" w:sz="5" w:space="0" w:color="000000"/>
            </w:tcBorders>
            <w:vAlign w:val="center"/>
          </w:tcPr>
          <w:p w14:paraId="56C37FBF" w14:textId="4161C8B2" w:rsidR="000F6864" w:rsidRPr="00F90103" w:rsidRDefault="00F90103" w:rsidP="00D14C1A">
            <w:pPr>
              <w:rPr>
                <w:b/>
                <w:bCs/>
                <w:sz w:val="26"/>
                <w:szCs w:val="26"/>
              </w:rPr>
            </w:pPr>
            <w:r w:rsidRPr="00F90103">
              <w:rPr>
                <w:b/>
                <w:bCs/>
                <w:sz w:val="26"/>
                <w:szCs w:val="26"/>
              </w:rPr>
              <w:t xml:space="preserve"> </w:t>
            </w:r>
            <w:r w:rsidR="000F6864" w:rsidRPr="00F90103">
              <w:rPr>
                <w:b/>
                <w:bCs/>
                <w:sz w:val="26"/>
                <w:szCs w:val="26"/>
              </w:rPr>
              <w:t>Capitalization Ratio</w:t>
            </w:r>
          </w:p>
        </w:tc>
        <w:tc>
          <w:tcPr>
            <w:tcW w:w="1902" w:type="dxa"/>
            <w:tcBorders>
              <w:top w:val="single" w:sz="5" w:space="0" w:color="000000"/>
              <w:left w:val="single" w:sz="5" w:space="0" w:color="000000"/>
              <w:bottom w:val="single" w:sz="5" w:space="0" w:color="000000"/>
              <w:right w:val="single" w:sz="5" w:space="0" w:color="000000"/>
            </w:tcBorders>
            <w:vAlign w:val="center"/>
          </w:tcPr>
          <w:p w14:paraId="2508A5D2" w14:textId="7FF51A05" w:rsidR="000F6864" w:rsidRPr="00F90103" w:rsidRDefault="00F90103" w:rsidP="00D14C1A">
            <w:pPr>
              <w:rPr>
                <w:b/>
                <w:bCs/>
                <w:sz w:val="26"/>
                <w:szCs w:val="26"/>
              </w:rPr>
            </w:pPr>
            <w:r w:rsidRPr="00F90103">
              <w:rPr>
                <w:b/>
                <w:bCs/>
                <w:sz w:val="26"/>
                <w:szCs w:val="26"/>
              </w:rPr>
              <w:t xml:space="preserve"> </w:t>
            </w:r>
            <w:r w:rsidR="000F6864" w:rsidRPr="00F90103">
              <w:rPr>
                <w:b/>
                <w:bCs/>
                <w:sz w:val="26"/>
                <w:szCs w:val="26"/>
              </w:rPr>
              <w:t>Embedded Cost</w:t>
            </w:r>
          </w:p>
        </w:tc>
        <w:tc>
          <w:tcPr>
            <w:tcW w:w="1266" w:type="dxa"/>
            <w:tcBorders>
              <w:top w:val="single" w:sz="5" w:space="0" w:color="000000"/>
              <w:left w:val="single" w:sz="5" w:space="0" w:color="000000"/>
              <w:bottom w:val="single" w:sz="5" w:space="0" w:color="000000"/>
              <w:right w:val="single" w:sz="5" w:space="0" w:color="000000"/>
            </w:tcBorders>
            <w:vAlign w:val="center"/>
          </w:tcPr>
          <w:p w14:paraId="57CE1E30" w14:textId="78F43696" w:rsidR="000F6864" w:rsidRPr="00F90103" w:rsidRDefault="00F90103" w:rsidP="00D14C1A">
            <w:pPr>
              <w:rPr>
                <w:b/>
                <w:bCs/>
                <w:sz w:val="26"/>
                <w:szCs w:val="26"/>
              </w:rPr>
            </w:pPr>
            <w:r w:rsidRPr="00F90103">
              <w:rPr>
                <w:b/>
                <w:bCs/>
                <w:sz w:val="26"/>
                <w:szCs w:val="26"/>
              </w:rPr>
              <w:t xml:space="preserve"> </w:t>
            </w:r>
            <w:r w:rsidR="000F6864" w:rsidRPr="00F90103">
              <w:rPr>
                <w:b/>
                <w:bCs/>
                <w:sz w:val="26"/>
                <w:szCs w:val="26"/>
              </w:rPr>
              <w:t>Return-%</w:t>
            </w:r>
          </w:p>
        </w:tc>
      </w:tr>
      <w:tr w:rsidR="000F6864" w:rsidRPr="0059512A" w14:paraId="68F7C436" w14:textId="77777777" w:rsidTr="00F90103">
        <w:trPr>
          <w:trHeight w:hRule="exact" w:val="427"/>
          <w:jc w:val="center"/>
        </w:trPr>
        <w:tc>
          <w:tcPr>
            <w:tcW w:w="2064" w:type="dxa"/>
            <w:tcBorders>
              <w:top w:val="single" w:sz="5" w:space="0" w:color="000000"/>
              <w:left w:val="single" w:sz="5" w:space="0" w:color="000000"/>
              <w:bottom w:val="single" w:sz="5" w:space="0" w:color="000000"/>
              <w:right w:val="single" w:sz="5" w:space="0" w:color="000000"/>
            </w:tcBorders>
            <w:vAlign w:val="center"/>
          </w:tcPr>
          <w:p w14:paraId="6B5BB2AF" w14:textId="67E68829" w:rsidR="000F6864" w:rsidRPr="00F90103" w:rsidRDefault="00F90103" w:rsidP="00D14C1A">
            <w:pPr>
              <w:rPr>
                <w:sz w:val="26"/>
                <w:szCs w:val="26"/>
              </w:rPr>
            </w:pPr>
            <w:r w:rsidRPr="00F90103">
              <w:rPr>
                <w:sz w:val="26"/>
                <w:szCs w:val="26"/>
              </w:rPr>
              <w:t xml:space="preserve"> </w:t>
            </w:r>
            <w:r w:rsidR="000F6864" w:rsidRPr="00F90103">
              <w:rPr>
                <w:sz w:val="26"/>
                <w:szCs w:val="26"/>
              </w:rPr>
              <w:t>Long-Term Debt</w:t>
            </w:r>
          </w:p>
        </w:tc>
        <w:tc>
          <w:tcPr>
            <w:tcW w:w="2430" w:type="dxa"/>
            <w:tcBorders>
              <w:top w:val="single" w:sz="5" w:space="0" w:color="000000"/>
              <w:left w:val="single" w:sz="5" w:space="0" w:color="000000"/>
              <w:bottom w:val="single" w:sz="5" w:space="0" w:color="000000"/>
              <w:right w:val="single" w:sz="5" w:space="0" w:color="000000"/>
            </w:tcBorders>
            <w:vAlign w:val="center"/>
          </w:tcPr>
          <w:p w14:paraId="37E2DF48" w14:textId="613B19E7" w:rsidR="000F6864" w:rsidRPr="00F90103" w:rsidRDefault="000F6864" w:rsidP="00F90103">
            <w:pPr>
              <w:jc w:val="center"/>
              <w:rPr>
                <w:sz w:val="26"/>
                <w:szCs w:val="26"/>
              </w:rPr>
            </w:pPr>
            <w:r w:rsidRPr="00F90103">
              <w:rPr>
                <w:sz w:val="26"/>
                <w:szCs w:val="26"/>
              </w:rPr>
              <w:t>49.33%</w:t>
            </w:r>
          </w:p>
        </w:tc>
        <w:tc>
          <w:tcPr>
            <w:tcW w:w="1902" w:type="dxa"/>
            <w:tcBorders>
              <w:top w:val="single" w:sz="5" w:space="0" w:color="000000"/>
              <w:left w:val="single" w:sz="5" w:space="0" w:color="000000"/>
              <w:bottom w:val="single" w:sz="5" w:space="0" w:color="000000"/>
              <w:right w:val="single" w:sz="5" w:space="0" w:color="000000"/>
            </w:tcBorders>
            <w:vAlign w:val="center"/>
          </w:tcPr>
          <w:p w14:paraId="159CA2CD" w14:textId="335DACD4" w:rsidR="000F6864" w:rsidRPr="00F90103" w:rsidRDefault="000F6864" w:rsidP="00F90103">
            <w:pPr>
              <w:jc w:val="center"/>
              <w:rPr>
                <w:sz w:val="26"/>
                <w:szCs w:val="26"/>
              </w:rPr>
            </w:pPr>
            <w:r w:rsidRPr="00F90103">
              <w:rPr>
                <w:sz w:val="26"/>
                <w:szCs w:val="26"/>
              </w:rPr>
              <w:t>4.86%</w:t>
            </w:r>
          </w:p>
        </w:tc>
        <w:tc>
          <w:tcPr>
            <w:tcW w:w="1266" w:type="dxa"/>
            <w:tcBorders>
              <w:top w:val="single" w:sz="5" w:space="0" w:color="000000"/>
              <w:left w:val="single" w:sz="5" w:space="0" w:color="000000"/>
              <w:bottom w:val="single" w:sz="5" w:space="0" w:color="000000"/>
              <w:right w:val="single" w:sz="5" w:space="0" w:color="000000"/>
            </w:tcBorders>
            <w:vAlign w:val="center"/>
          </w:tcPr>
          <w:p w14:paraId="351E5D8D" w14:textId="2BBC08CC" w:rsidR="000F6864" w:rsidRPr="00F90103" w:rsidRDefault="000F6864" w:rsidP="00F90103">
            <w:pPr>
              <w:jc w:val="center"/>
              <w:rPr>
                <w:sz w:val="26"/>
                <w:szCs w:val="26"/>
              </w:rPr>
            </w:pPr>
            <w:r w:rsidRPr="00F90103">
              <w:rPr>
                <w:sz w:val="26"/>
                <w:szCs w:val="26"/>
              </w:rPr>
              <w:t>2.40%</w:t>
            </w:r>
          </w:p>
        </w:tc>
      </w:tr>
      <w:tr w:rsidR="000F6864" w:rsidRPr="0059512A" w14:paraId="6264BDA1" w14:textId="77777777" w:rsidTr="00F90103">
        <w:trPr>
          <w:trHeight w:hRule="exact" w:val="423"/>
          <w:jc w:val="center"/>
        </w:trPr>
        <w:tc>
          <w:tcPr>
            <w:tcW w:w="2064" w:type="dxa"/>
            <w:tcBorders>
              <w:top w:val="single" w:sz="5" w:space="0" w:color="000000"/>
              <w:left w:val="single" w:sz="5" w:space="0" w:color="000000"/>
              <w:bottom w:val="single" w:sz="5" w:space="0" w:color="000000"/>
              <w:right w:val="single" w:sz="5" w:space="0" w:color="000000"/>
            </w:tcBorders>
            <w:vAlign w:val="center"/>
          </w:tcPr>
          <w:p w14:paraId="042F2B3B" w14:textId="2624ABFB" w:rsidR="000F6864" w:rsidRPr="00F90103" w:rsidRDefault="00F90103" w:rsidP="00D14C1A">
            <w:pPr>
              <w:rPr>
                <w:sz w:val="26"/>
                <w:szCs w:val="26"/>
              </w:rPr>
            </w:pPr>
            <w:r w:rsidRPr="00F90103">
              <w:rPr>
                <w:sz w:val="26"/>
                <w:szCs w:val="26"/>
              </w:rPr>
              <w:t xml:space="preserve"> </w:t>
            </w:r>
            <w:r w:rsidR="000F6864" w:rsidRPr="00F90103">
              <w:rPr>
                <w:sz w:val="26"/>
                <w:szCs w:val="26"/>
              </w:rPr>
              <w:t>Common Equity</w:t>
            </w:r>
          </w:p>
        </w:tc>
        <w:tc>
          <w:tcPr>
            <w:tcW w:w="2430" w:type="dxa"/>
            <w:tcBorders>
              <w:top w:val="single" w:sz="5" w:space="0" w:color="000000"/>
              <w:left w:val="single" w:sz="5" w:space="0" w:color="000000"/>
              <w:bottom w:val="single" w:sz="5" w:space="0" w:color="000000"/>
              <w:right w:val="single" w:sz="5" w:space="0" w:color="000000"/>
            </w:tcBorders>
            <w:vAlign w:val="center"/>
          </w:tcPr>
          <w:p w14:paraId="209A2138" w14:textId="67AA5465" w:rsidR="000F6864" w:rsidRPr="00F90103" w:rsidRDefault="000F6864" w:rsidP="00F90103">
            <w:pPr>
              <w:jc w:val="center"/>
              <w:rPr>
                <w:sz w:val="26"/>
                <w:szCs w:val="26"/>
              </w:rPr>
            </w:pPr>
            <w:r w:rsidRPr="00F90103">
              <w:rPr>
                <w:sz w:val="26"/>
                <w:szCs w:val="26"/>
              </w:rPr>
              <w:t>50.67%</w:t>
            </w:r>
          </w:p>
        </w:tc>
        <w:tc>
          <w:tcPr>
            <w:tcW w:w="1902" w:type="dxa"/>
            <w:tcBorders>
              <w:top w:val="single" w:sz="5" w:space="0" w:color="000000"/>
              <w:left w:val="single" w:sz="5" w:space="0" w:color="000000"/>
              <w:bottom w:val="single" w:sz="5" w:space="0" w:color="000000"/>
              <w:right w:val="single" w:sz="5" w:space="0" w:color="000000"/>
            </w:tcBorders>
            <w:vAlign w:val="center"/>
          </w:tcPr>
          <w:p w14:paraId="53F93051" w14:textId="0C74A22D" w:rsidR="000F6864" w:rsidRPr="00F90103" w:rsidRDefault="000F6864" w:rsidP="00F90103">
            <w:pPr>
              <w:jc w:val="center"/>
              <w:rPr>
                <w:sz w:val="26"/>
                <w:szCs w:val="26"/>
              </w:rPr>
            </w:pPr>
            <w:r w:rsidRPr="00F90103">
              <w:rPr>
                <w:sz w:val="26"/>
                <w:szCs w:val="26"/>
              </w:rPr>
              <w:t>9.74%</w:t>
            </w:r>
          </w:p>
        </w:tc>
        <w:tc>
          <w:tcPr>
            <w:tcW w:w="1266" w:type="dxa"/>
            <w:tcBorders>
              <w:top w:val="single" w:sz="5" w:space="0" w:color="000000"/>
              <w:left w:val="single" w:sz="5" w:space="0" w:color="000000"/>
              <w:bottom w:val="single" w:sz="5" w:space="0" w:color="000000"/>
              <w:right w:val="single" w:sz="5" w:space="0" w:color="000000"/>
            </w:tcBorders>
            <w:vAlign w:val="center"/>
          </w:tcPr>
          <w:p w14:paraId="19BF7E80" w14:textId="717E5902" w:rsidR="000F6864" w:rsidRPr="00F90103" w:rsidRDefault="000F6864" w:rsidP="00F90103">
            <w:pPr>
              <w:jc w:val="center"/>
              <w:rPr>
                <w:sz w:val="26"/>
                <w:szCs w:val="26"/>
              </w:rPr>
            </w:pPr>
            <w:r w:rsidRPr="00F90103">
              <w:rPr>
                <w:sz w:val="26"/>
                <w:szCs w:val="26"/>
              </w:rPr>
              <w:t>4.94%</w:t>
            </w:r>
          </w:p>
        </w:tc>
      </w:tr>
      <w:tr w:rsidR="000F6864" w:rsidRPr="0059512A" w14:paraId="41449769" w14:textId="77777777" w:rsidTr="00F90103">
        <w:trPr>
          <w:trHeight w:hRule="exact" w:val="427"/>
          <w:jc w:val="center"/>
        </w:trPr>
        <w:tc>
          <w:tcPr>
            <w:tcW w:w="2064" w:type="dxa"/>
            <w:tcBorders>
              <w:top w:val="single" w:sz="5" w:space="0" w:color="000000"/>
              <w:left w:val="single" w:sz="5" w:space="0" w:color="000000"/>
              <w:bottom w:val="single" w:sz="5" w:space="0" w:color="000000"/>
              <w:right w:val="single" w:sz="5" w:space="0" w:color="000000"/>
            </w:tcBorders>
            <w:vAlign w:val="center"/>
          </w:tcPr>
          <w:p w14:paraId="4DCBAE1E" w14:textId="1B65A982" w:rsidR="000F6864" w:rsidRPr="00F90103" w:rsidRDefault="00F90103" w:rsidP="00D14C1A">
            <w:pPr>
              <w:rPr>
                <w:sz w:val="26"/>
                <w:szCs w:val="26"/>
              </w:rPr>
            </w:pPr>
            <w:r w:rsidRPr="00F90103">
              <w:rPr>
                <w:sz w:val="26"/>
                <w:szCs w:val="26"/>
              </w:rPr>
              <w:t xml:space="preserve"> </w:t>
            </w:r>
            <w:r w:rsidR="000F6864" w:rsidRPr="00F90103">
              <w:rPr>
                <w:sz w:val="26"/>
                <w:szCs w:val="26"/>
              </w:rPr>
              <w:t>Total</w:t>
            </w:r>
          </w:p>
        </w:tc>
        <w:tc>
          <w:tcPr>
            <w:tcW w:w="2430" w:type="dxa"/>
            <w:tcBorders>
              <w:top w:val="single" w:sz="5" w:space="0" w:color="000000"/>
              <w:left w:val="single" w:sz="5" w:space="0" w:color="000000"/>
              <w:bottom w:val="single" w:sz="5" w:space="0" w:color="000000"/>
              <w:right w:val="single" w:sz="5" w:space="0" w:color="000000"/>
            </w:tcBorders>
            <w:vAlign w:val="center"/>
          </w:tcPr>
          <w:p w14:paraId="19E38C91" w14:textId="17299891" w:rsidR="000F6864" w:rsidRPr="00F90103" w:rsidRDefault="000F6864" w:rsidP="00F90103">
            <w:pPr>
              <w:jc w:val="center"/>
              <w:rPr>
                <w:sz w:val="26"/>
                <w:szCs w:val="26"/>
              </w:rPr>
            </w:pPr>
            <w:r w:rsidRPr="00F90103">
              <w:rPr>
                <w:sz w:val="26"/>
                <w:szCs w:val="26"/>
              </w:rPr>
              <w:t>100.00%</w:t>
            </w:r>
          </w:p>
        </w:tc>
        <w:tc>
          <w:tcPr>
            <w:tcW w:w="1902" w:type="dxa"/>
            <w:tcBorders>
              <w:top w:val="single" w:sz="5" w:space="0" w:color="000000"/>
              <w:left w:val="single" w:sz="5" w:space="0" w:color="000000"/>
              <w:bottom w:val="single" w:sz="5" w:space="0" w:color="000000"/>
              <w:right w:val="single" w:sz="5" w:space="0" w:color="000000"/>
            </w:tcBorders>
            <w:vAlign w:val="center"/>
          </w:tcPr>
          <w:p w14:paraId="49945E15" w14:textId="31CEA973" w:rsidR="000F6864" w:rsidRPr="00F90103" w:rsidRDefault="000F6864" w:rsidP="00F90103">
            <w:pPr>
              <w:jc w:val="center"/>
              <w:rPr>
                <w:sz w:val="26"/>
                <w:szCs w:val="26"/>
              </w:rPr>
            </w:pPr>
          </w:p>
        </w:tc>
        <w:tc>
          <w:tcPr>
            <w:tcW w:w="1266" w:type="dxa"/>
            <w:tcBorders>
              <w:top w:val="single" w:sz="5" w:space="0" w:color="000000"/>
              <w:left w:val="single" w:sz="5" w:space="0" w:color="000000"/>
              <w:bottom w:val="single" w:sz="5" w:space="0" w:color="000000"/>
              <w:right w:val="single" w:sz="5" w:space="0" w:color="000000"/>
            </w:tcBorders>
            <w:vAlign w:val="center"/>
          </w:tcPr>
          <w:p w14:paraId="5BEA2970" w14:textId="60477226" w:rsidR="000F6864" w:rsidRPr="00F90103" w:rsidRDefault="000F6864" w:rsidP="00F90103">
            <w:pPr>
              <w:jc w:val="center"/>
              <w:rPr>
                <w:sz w:val="26"/>
                <w:szCs w:val="26"/>
              </w:rPr>
            </w:pPr>
            <w:r w:rsidRPr="00F90103">
              <w:rPr>
                <w:sz w:val="26"/>
                <w:szCs w:val="26"/>
              </w:rPr>
              <w:t>7.34%</w:t>
            </w:r>
          </w:p>
        </w:tc>
      </w:tr>
    </w:tbl>
    <w:p w14:paraId="7F717C4B" w14:textId="77777777" w:rsidR="000F6864" w:rsidRPr="0059512A" w:rsidRDefault="000F6864" w:rsidP="0059512A">
      <w:pPr>
        <w:keepNext/>
        <w:widowControl/>
        <w:spacing w:after="200" w:line="360" w:lineRule="auto"/>
        <w:contextualSpacing/>
        <w:rPr>
          <w:rFonts w:eastAsiaTheme="minorHAnsi"/>
          <w:sz w:val="26"/>
          <w:szCs w:val="26"/>
        </w:rPr>
      </w:pPr>
    </w:p>
    <w:p w14:paraId="3FBA51B1" w14:textId="77777777" w:rsidR="000F6864" w:rsidRPr="0059512A" w:rsidRDefault="000F6864" w:rsidP="0059512A">
      <w:pPr>
        <w:keepNext/>
        <w:widowControl/>
        <w:spacing w:after="200" w:line="360" w:lineRule="auto"/>
        <w:contextualSpacing/>
        <w:rPr>
          <w:rFonts w:eastAsiaTheme="minorHAnsi"/>
          <w:sz w:val="26"/>
          <w:szCs w:val="26"/>
        </w:rPr>
      </w:pPr>
      <w:r w:rsidRPr="0059512A">
        <w:rPr>
          <w:rFonts w:eastAsiaTheme="minorHAnsi"/>
          <w:sz w:val="26"/>
          <w:szCs w:val="26"/>
        </w:rPr>
        <w:t>R.D. at 78-79.</w:t>
      </w:r>
    </w:p>
    <w:p w14:paraId="077EBA26" w14:textId="77777777" w:rsidR="000F6864" w:rsidRPr="0059512A" w:rsidRDefault="000F6864" w:rsidP="0059512A">
      <w:pPr>
        <w:widowControl/>
        <w:spacing w:line="360" w:lineRule="auto"/>
        <w:rPr>
          <w:b/>
          <w:bCs/>
          <w:sz w:val="26"/>
          <w:szCs w:val="26"/>
        </w:rPr>
      </w:pPr>
    </w:p>
    <w:p w14:paraId="00927ADC" w14:textId="198C3F3F" w:rsidR="00F41D92" w:rsidRPr="0059512A" w:rsidRDefault="00462CFC" w:rsidP="0059512A">
      <w:pPr>
        <w:pStyle w:val="ListParagraph"/>
        <w:keepNext/>
        <w:widowControl/>
        <w:spacing w:line="360" w:lineRule="auto"/>
        <w:ind w:left="2160" w:hanging="720"/>
        <w:rPr>
          <w:b/>
          <w:bCs/>
          <w:sz w:val="26"/>
          <w:szCs w:val="26"/>
        </w:rPr>
      </w:pPr>
      <w:r w:rsidRPr="0059512A">
        <w:rPr>
          <w:b/>
          <w:bCs/>
          <w:sz w:val="26"/>
          <w:szCs w:val="26"/>
        </w:rPr>
        <w:t>c.</w:t>
      </w:r>
      <w:r w:rsidRPr="0059512A">
        <w:rPr>
          <w:b/>
          <w:bCs/>
          <w:sz w:val="26"/>
          <w:szCs w:val="26"/>
        </w:rPr>
        <w:tab/>
      </w:r>
      <w:r w:rsidR="00F41D92" w:rsidRPr="0059512A">
        <w:rPr>
          <w:b/>
          <w:bCs/>
          <w:sz w:val="26"/>
          <w:szCs w:val="26"/>
        </w:rPr>
        <w:t>Exceptions and Replies</w:t>
      </w:r>
    </w:p>
    <w:p w14:paraId="0CDB2A31" w14:textId="567AAB9A" w:rsidR="00F41D92" w:rsidRPr="0059512A" w:rsidRDefault="00F41D92" w:rsidP="0059512A">
      <w:pPr>
        <w:keepNext/>
        <w:widowControl/>
        <w:spacing w:line="360" w:lineRule="auto"/>
        <w:ind w:left="1440" w:hanging="720"/>
        <w:rPr>
          <w:b/>
          <w:bCs/>
          <w:sz w:val="26"/>
          <w:szCs w:val="26"/>
        </w:rPr>
      </w:pPr>
    </w:p>
    <w:p w14:paraId="0E58991D" w14:textId="48273EC9" w:rsidR="00D4695C" w:rsidRPr="0059512A" w:rsidRDefault="00D4695C" w:rsidP="0059512A">
      <w:pPr>
        <w:keepNext/>
        <w:widowControl/>
        <w:spacing w:line="360" w:lineRule="auto"/>
        <w:ind w:firstLine="1440"/>
        <w:rPr>
          <w:rFonts w:eastAsiaTheme="minorHAnsi"/>
          <w:sz w:val="26"/>
          <w:szCs w:val="26"/>
        </w:rPr>
      </w:pPr>
      <w:r w:rsidRPr="0059512A">
        <w:rPr>
          <w:rFonts w:eastAsiaTheme="minorHAnsi"/>
          <w:sz w:val="26"/>
          <w:szCs w:val="26"/>
        </w:rPr>
        <w:t xml:space="preserve">Consistent with its Exception to the ALJs’ recommended cost of common equity, Citizens’ submits that to ensure the Company has an opportunity to earn a reasonable rate of return, the Commission should consider and develop an unadjusted </w:t>
      </w:r>
      <w:r w:rsidRPr="0059512A">
        <w:rPr>
          <w:rFonts w:eastAsiaTheme="minorHAnsi"/>
          <w:sz w:val="26"/>
          <w:szCs w:val="26"/>
        </w:rPr>
        <w:lastRenderedPageBreak/>
        <w:t>ROE based on the multiple alternative analyses developed by Mr.</w:t>
      </w:r>
      <w:r w:rsidR="000C2361" w:rsidRPr="000C2361">
        <w:rPr>
          <w:sz w:val="26"/>
          <w:szCs w:val="26"/>
        </w:rPr>
        <w:t xml:space="preserve"> </w:t>
      </w:r>
      <w:r w:rsidR="000C2361" w:rsidRPr="0059512A">
        <w:rPr>
          <w:sz w:val="26"/>
          <w:szCs w:val="26"/>
        </w:rPr>
        <w:t>D’Ascendis</w:t>
      </w:r>
      <w:r w:rsidRPr="0059512A">
        <w:rPr>
          <w:rFonts w:eastAsiaTheme="minorHAnsi"/>
          <w:sz w:val="26"/>
          <w:szCs w:val="26"/>
        </w:rPr>
        <w:t>.  Citizens’ Exc. at 18-22.</w:t>
      </w:r>
    </w:p>
    <w:p w14:paraId="77F6A940" w14:textId="2C6326D5" w:rsidR="00D4695C" w:rsidRPr="0059512A" w:rsidRDefault="00D4695C" w:rsidP="0059512A">
      <w:pPr>
        <w:widowControl/>
        <w:spacing w:line="360" w:lineRule="auto"/>
        <w:rPr>
          <w:rFonts w:eastAsiaTheme="minorHAnsi"/>
          <w:sz w:val="26"/>
          <w:szCs w:val="26"/>
        </w:rPr>
      </w:pPr>
    </w:p>
    <w:p w14:paraId="4CC7F389" w14:textId="77777777" w:rsidR="00D4695C" w:rsidRPr="0059512A" w:rsidRDefault="00D4695C" w:rsidP="0059512A">
      <w:pPr>
        <w:widowControl/>
        <w:spacing w:line="360" w:lineRule="auto"/>
        <w:rPr>
          <w:rFonts w:eastAsiaTheme="minorHAnsi"/>
          <w:iCs/>
          <w:sz w:val="26"/>
          <w:szCs w:val="26"/>
        </w:rPr>
      </w:pPr>
      <w:r w:rsidRPr="0059512A">
        <w:rPr>
          <w:rFonts w:eastAsiaTheme="minorHAnsi"/>
          <w:sz w:val="26"/>
          <w:szCs w:val="26"/>
        </w:rPr>
        <w:tab/>
      </w:r>
      <w:r w:rsidRPr="0059512A">
        <w:rPr>
          <w:rFonts w:eastAsiaTheme="minorHAnsi"/>
          <w:sz w:val="26"/>
          <w:szCs w:val="26"/>
        </w:rPr>
        <w:tab/>
        <w:t xml:space="preserve">The remaining Party’s Exceptions and each Party’s Replies to Exceptions on this issue are based on their respective Exceptions and Replies to Exceptions regarding the cost of common equity, </w:t>
      </w:r>
      <w:r w:rsidRPr="0059512A">
        <w:rPr>
          <w:rFonts w:eastAsiaTheme="minorHAnsi"/>
          <w:i/>
          <w:sz w:val="26"/>
          <w:szCs w:val="26"/>
        </w:rPr>
        <w:t>supra.</w:t>
      </w:r>
    </w:p>
    <w:p w14:paraId="059DFDED" w14:textId="77777777" w:rsidR="000F6864" w:rsidRPr="0059512A" w:rsidRDefault="000F6864" w:rsidP="0059512A">
      <w:pPr>
        <w:widowControl/>
        <w:spacing w:line="360" w:lineRule="auto"/>
        <w:rPr>
          <w:b/>
          <w:bCs/>
          <w:sz w:val="26"/>
          <w:szCs w:val="26"/>
        </w:rPr>
      </w:pPr>
    </w:p>
    <w:p w14:paraId="4EEE54C5" w14:textId="69357CF5" w:rsidR="00F41D92" w:rsidRPr="0059512A" w:rsidRDefault="00462CFC" w:rsidP="0059512A">
      <w:pPr>
        <w:pStyle w:val="ListParagraph"/>
        <w:keepNext/>
        <w:widowControl/>
        <w:spacing w:line="360" w:lineRule="auto"/>
        <w:ind w:left="2160" w:hanging="720"/>
        <w:rPr>
          <w:b/>
          <w:bCs/>
          <w:sz w:val="26"/>
          <w:szCs w:val="26"/>
        </w:rPr>
      </w:pPr>
      <w:r w:rsidRPr="0059512A">
        <w:rPr>
          <w:b/>
          <w:bCs/>
          <w:sz w:val="26"/>
          <w:szCs w:val="26"/>
        </w:rPr>
        <w:t>d.</w:t>
      </w:r>
      <w:r w:rsidRPr="0059512A">
        <w:rPr>
          <w:b/>
          <w:bCs/>
          <w:sz w:val="26"/>
          <w:szCs w:val="26"/>
        </w:rPr>
        <w:tab/>
      </w:r>
      <w:r w:rsidR="00F41D92" w:rsidRPr="0059512A">
        <w:rPr>
          <w:b/>
          <w:bCs/>
          <w:sz w:val="26"/>
          <w:szCs w:val="26"/>
        </w:rPr>
        <w:t>Disposition</w:t>
      </w:r>
      <w:bookmarkEnd w:id="140"/>
    </w:p>
    <w:bookmarkEnd w:id="141"/>
    <w:p w14:paraId="727C3504" w14:textId="296CCD8D" w:rsidR="00CC77A3" w:rsidRPr="0059512A" w:rsidRDefault="00CC77A3" w:rsidP="0059512A">
      <w:pPr>
        <w:keepNext/>
        <w:widowControl/>
        <w:spacing w:line="360" w:lineRule="auto"/>
        <w:rPr>
          <w:sz w:val="26"/>
          <w:szCs w:val="26"/>
        </w:rPr>
      </w:pPr>
    </w:p>
    <w:p w14:paraId="7286B5E7" w14:textId="425F0ABD" w:rsidR="009660FA" w:rsidRPr="0059512A" w:rsidRDefault="009660FA" w:rsidP="0059512A">
      <w:pPr>
        <w:keepNext/>
        <w:widowControl/>
        <w:spacing w:after="200" w:line="360" w:lineRule="auto"/>
        <w:ind w:firstLine="1440"/>
        <w:contextualSpacing/>
        <w:rPr>
          <w:rFonts w:eastAsiaTheme="minorHAnsi"/>
          <w:sz w:val="26"/>
          <w:szCs w:val="26"/>
        </w:rPr>
      </w:pPr>
      <w:r w:rsidRPr="0059512A">
        <w:rPr>
          <w:rFonts w:eastAsiaTheme="minorHAnsi"/>
          <w:sz w:val="26"/>
          <w:szCs w:val="26"/>
        </w:rPr>
        <w:t>For the reasons discussed above, we have modified the ALJs’ recommendation as to the appropriate cost of common equity for Citizens’.  This, in turn, modifies the ALJs’ recommended overall rate of return.  The following table summarizes our final determinations regarding the Company’s capital structure, cost of debt, and cost of common equity, as well as the resulting weighted costs.  As this table indicates, we shall set an authorized overall rate of return for Citizens’ of 7.23%.</w:t>
      </w:r>
    </w:p>
    <w:p w14:paraId="34FD438C" w14:textId="77777777" w:rsidR="009660FA" w:rsidRPr="0059512A" w:rsidRDefault="009660FA" w:rsidP="0059512A">
      <w:pPr>
        <w:widowControl/>
        <w:spacing w:after="200" w:line="360" w:lineRule="auto"/>
        <w:ind w:firstLine="1440"/>
        <w:contextualSpacing/>
        <w:rPr>
          <w:rFonts w:eastAsiaTheme="minorHAnsi"/>
          <w:sz w:val="26"/>
          <w:szCs w:val="26"/>
        </w:rPr>
      </w:pPr>
    </w:p>
    <w:tbl>
      <w:tblPr>
        <w:tblW w:w="8090" w:type="dxa"/>
        <w:jc w:val="center"/>
        <w:tblLook w:val="04A0" w:firstRow="1" w:lastRow="0" w:firstColumn="1" w:lastColumn="0" w:noHBand="0" w:noVBand="1"/>
      </w:tblPr>
      <w:tblGrid>
        <w:gridCol w:w="1880"/>
        <w:gridCol w:w="2790"/>
        <w:gridCol w:w="1530"/>
        <w:gridCol w:w="1890"/>
      </w:tblGrid>
      <w:tr w:rsidR="009660FA" w:rsidRPr="0059512A" w14:paraId="54074648" w14:textId="77777777" w:rsidTr="00297030">
        <w:trPr>
          <w:trHeight w:val="360"/>
          <w:jc w:val="center"/>
        </w:trPr>
        <w:tc>
          <w:tcPr>
            <w:tcW w:w="1880" w:type="dxa"/>
            <w:tcBorders>
              <w:top w:val="single" w:sz="8" w:space="0" w:color="auto"/>
              <w:left w:val="single" w:sz="8" w:space="0" w:color="auto"/>
              <w:bottom w:val="single" w:sz="8" w:space="0" w:color="auto"/>
              <w:right w:val="nil"/>
            </w:tcBorders>
            <w:shd w:val="clear" w:color="auto" w:fill="auto"/>
            <w:hideMark/>
          </w:tcPr>
          <w:p w14:paraId="73152999" w14:textId="77777777" w:rsidR="009660FA" w:rsidRPr="0059512A" w:rsidRDefault="009660FA" w:rsidP="0059512A">
            <w:pPr>
              <w:keepNext/>
              <w:keepLines/>
              <w:widowControl/>
              <w:contextualSpacing/>
              <w:jc w:val="center"/>
              <w:rPr>
                <w:b/>
                <w:bCs/>
                <w:color w:val="000000"/>
                <w:sz w:val="26"/>
                <w:szCs w:val="26"/>
              </w:rPr>
            </w:pPr>
            <w:r w:rsidRPr="0059512A">
              <w:rPr>
                <w:b/>
                <w:bCs/>
                <w:color w:val="000000"/>
                <w:sz w:val="26"/>
                <w:szCs w:val="26"/>
              </w:rPr>
              <w:t>Capital Type</w:t>
            </w:r>
          </w:p>
        </w:tc>
        <w:tc>
          <w:tcPr>
            <w:tcW w:w="2790" w:type="dxa"/>
            <w:tcBorders>
              <w:top w:val="single" w:sz="8" w:space="0" w:color="auto"/>
              <w:left w:val="single" w:sz="8" w:space="0" w:color="auto"/>
              <w:bottom w:val="single" w:sz="8" w:space="0" w:color="auto"/>
              <w:right w:val="single" w:sz="8" w:space="0" w:color="auto"/>
            </w:tcBorders>
            <w:shd w:val="clear" w:color="auto" w:fill="auto"/>
            <w:hideMark/>
          </w:tcPr>
          <w:p w14:paraId="0DE9C753" w14:textId="77777777" w:rsidR="009660FA" w:rsidRPr="0059512A" w:rsidRDefault="009660FA" w:rsidP="0059512A">
            <w:pPr>
              <w:keepNext/>
              <w:keepLines/>
              <w:widowControl/>
              <w:contextualSpacing/>
              <w:jc w:val="center"/>
              <w:rPr>
                <w:b/>
                <w:bCs/>
                <w:color w:val="000000"/>
                <w:sz w:val="26"/>
                <w:szCs w:val="26"/>
              </w:rPr>
            </w:pPr>
            <w:r w:rsidRPr="0059512A">
              <w:rPr>
                <w:b/>
                <w:bCs/>
                <w:color w:val="000000"/>
                <w:sz w:val="26"/>
                <w:szCs w:val="26"/>
              </w:rPr>
              <w:t>Capitalization Ratio</w:t>
            </w:r>
          </w:p>
        </w:tc>
        <w:tc>
          <w:tcPr>
            <w:tcW w:w="1530" w:type="dxa"/>
            <w:tcBorders>
              <w:top w:val="single" w:sz="8" w:space="0" w:color="auto"/>
              <w:left w:val="nil"/>
              <w:bottom w:val="single" w:sz="8" w:space="0" w:color="auto"/>
              <w:right w:val="single" w:sz="8" w:space="0" w:color="auto"/>
            </w:tcBorders>
            <w:shd w:val="clear" w:color="auto" w:fill="auto"/>
            <w:hideMark/>
          </w:tcPr>
          <w:p w14:paraId="5C906EA0" w14:textId="77777777" w:rsidR="009660FA" w:rsidRPr="0059512A" w:rsidRDefault="009660FA" w:rsidP="0059512A">
            <w:pPr>
              <w:keepNext/>
              <w:keepLines/>
              <w:widowControl/>
              <w:contextualSpacing/>
              <w:jc w:val="center"/>
              <w:rPr>
                <w:b/>
                <w:bCs/>
                <w:color w:val="000000"/>
                <w:sz w:val="26"/>
                <w:szCs w:val="26"/>
              </w:rPr>
            </w:pPr>
            <w:r w:rsidRPr="0059512A">
              <w:rPr>
                <w:b/>
                <w:bCs/>
                <w:color w:val="000000"/>
                <w:sz w:val="26"/>
                <w:szCs w:val="26"/>
              </w:rPr>
              <w:t>Cost Rate</w:t>
            </w:r>
          </w:p>
        </w:tc>
        <w:tc>
          <w:tcPr>
            <w:tcW w:w="1890" w:type="dxa"/>
            <w:tcBorders>
              <w:top w:val="single" w:sz="8" w:space="0" w:color="auto"/>
              <w:left w:val="nil"/>
              <w:bottom w:val="single" w:sz="8" w:space="0" w:color="auto"/>
              <w:right w:val="single" w:sz="8" w:space="0" w:color="auto"/>
            </w:tcBorders>
            <w:shd w:val="clear" w:color="auto" w:fill="auto"/>
            <w:hideMark/>
          </w:tcPr>
          <w:p w14:paraId="2BF0E829" w14:textId="77777777" w:rsidR="009660FA" w:rsidRPr="0059512A" w:rsidRDefault="009660FA" w:rsidP="0059512A">
            <w:pPr>
              <w:keepNext/>
              <w:keepLines/>
              <w:widowControl/>
              <w:contextualSpacing/>
              <w:jc w:val="center"/>
              <w:rPr>
                <w:b/>
                <w:bCs/>
                <w:color w:val="000000"/>
                <w:sz w:val="26"/>
                <w:szCs w:val="26"/>
              </w:rPr>
            </w:pPr>
            <w:r w:rsidRPr="0059512A">
              <w:rPr>
                <w:b/>
                <w:bCs/>
                <w:color w:val="000000"/>
                <w:sz w:val="26"/>
                <w:szCs w:val="26"/>
              </w:rPr>
              <w:t>Rate of Return</w:t>
            </w:r>
          </w:p>
        </w:tc>
      </w:tr>
      <w:tr w:rsidR="009660FA" w:rsidRPr="0059512A" w14:paraId="1D6CEF9E" w14:textId="77777777" w:rsidTr="00297030">
        <w:trPr>
          <w:trHeight w:val="345"/>
          <w:jc w:val="center"/>
        </w:trPr>
        <w:tc>
          <w:tcPr>
            <w:tcW w:w="1880" w:type="dxa"/>
            <w:tcBorders>
              <w:top w:val="nil"/>
              <w:left w:val="single" w:sz="8" w:space="0" w:color="auto"/>
              <w:bottom w:val="nil"/>
              <w:right w:val="nil"/>
            </w:tcBorders>
            <w:shd w:val="clear" w:color="auto" w:fill="auto"/>
            <w:noWrap/>
            <w:vAlign w:val="bottom"/>
            <w:hideMark/>
          </w:tcPr>
          <w:p w14:paraId="36202CBF" w14:textId="77777777" w:rsidR="009660FA" w:rsidRPr="00F90103" w:rsidRDefault="009660FA" w:rsidP="0059512A">
            <w:pPr>
              <w:keepNext/>
              <w:keepLines/>
              <w:widowControl/>
              <w:contextualSpacing/>
              <w:rPr>
                <w:color w:val="000000"/>
                <w:sz w:val="26"/>
                <w:szCs w:val="26"/>
              </w:rPr>
            </w:pPr>
            <w:r w:rsidRPr="00F90103">
              <w:rPr>
                <w:color w:val="000000"/>
                <w:sz w:val="26"/>
                <w:szCs w:val="26"/>
              </w:rPr>
              <w:t>Debt</w:t>
            </w:r>
          </w:p>
        </w:tc>
        <w:tc>
          <w:tcPr>
            <w:tcW w:w="2790" w:type="dxa"/>
            <w:tcBorders>
              <w:top w:val="nil"/>
              <w:left w:val="single" w:sz="8" w:space="0" w:color="auto"/>
              <w:bottom w:val="nil"/>
              <w:right w:val="single" w:sz="8" w:space="0" w:color="auto"/>
            </w:tcBorders>
            <w:shd w:val="clear" w:color="auto" w:fill="auto"/>
            <w:noWrap/>
            <w:vAlign w:val="bottom"/>
            <w:hideMark/>
          </w:tcPr>
          <w:p w14:paraId="0B616725" w14:textId="6DDCAA4C" w:rsidR="009660FA" w:rsidRPr="0059512A" w:rsidRDefault="009660FA" w:rsidP="0059512A">
            <w:pPr>
              <w:keepNext/>
              <w:keepLines/>
              <w:widowControl/>
              <w:contextualSpacing/>
              <w:jc w:val="center"/>
              <w:rPr>
                <w:color w:val="000000"/>
                <w:sz w:val="26"/>
                <w:szCs w:val="26"/>
              </w:rPr>
            </w:pPr>
            <w:r w:rsidRPr="0059512A">
              <w:rPr>
                <w:color w:val="000000"/>
                <w:sz w:val="26"/>
                <w:szCs w:val="26"/>
              </w:rPr>
              <w:t>49.33%</w:t>
            </w:r>
          </w:p>
        </w:tc>
        <w:tc>
          <w:tcPr>
            <w:tcW w:w="1530" w:type="dxa"/>
            <w:tcBorders>
              <w:top w:val="nil"/>
              <w:left w:val="nil"/>
              <w:bottom w:val="nil"/>
              <w:right w:val="single" w:sz="8" w:space="0" w:color="auto"/>
            </w:tcBorders>
            <w:shd w:val="clear" w:color="auto" w:fill="auto"/>
            <w:noWrap/>
            <w:vAlign w:val="bottom"/>
            <w:hideMark/>
          </w:tcPr>
          <w:p w14:paraId="32BE9C0E" w14:textId="64B4C492" w:rsidR="009660FA" w:rsidRPr="0059512A" w:rsidRDefault="002C0C85" w:rsidP="0059512A">
            <w:pPr>
              <w:keepNext/>
              <w:keepLines/>
              <w:widowControl/>
              <w:contextualSpacing/>
              <w:jc w:val="center"/>
              <w:rPr>
                <w:color w:val="000000"/>
                <w:sz w:val="26"/>
                <w:szCs w:val="26"/>
              </w:rPr>
            </w:pPr>
            <w:r w:rsidRPr="0059512A">
              <w:rPr>
                <w:color w:val="000000"/>
                <w:sz w:val="26"/>
                <w:szCs w:val="26"/>
              </w:rPr>
              <w:t>4.86</w:t>
            </w:r>
            <w:r w:rsidR="009660FA" w:rsidRPr="0059512A">
              <w:rPr>
                <w:color w:val="000000"/>
                <w:sz w:val="26"/>
                <w:szCs w:val="26"/>
              </w:rPr>
              <w:t>%</w:t>
            </w:r>
          </w:p>
        </w:tc>
        <w:tc>
          <w:tcPr>
            <w:tcW w:w="1890" w:type="dxa"/>
            <w:tcBorders>
              <w:top w:val="nil"/>
              <w:left w:val="nil"/>
              <w:bottom w:val="nil"/>
              <w:right w:val="single" w:sz="8" w:space="0" w:color="auto"/>
            </w:tcBorders>
            <w:shd w:val="clear" w:color="auto" w:fill="auto"/>
            <w:noWrap/>
            <w:vAlign w:val="bottom"/>
            <w:hideMark/>
          </w:tcPr>
          <w:p w14:paraId="5575A5F8" w14:textId="0E2431FD" w:rsidR="009660FA" w:rsidRPr="0059512A" w:rsidRDefault="009660FA" w:rsidP="0059512A">
            <w:pPr>
              <w:keepNext/>
              <w:keepLines/>
              <w:widowControl/>
              <w:contextualSpacing/>
              <w:jc w:val="center"/>
              <w:rPr>
                <w:color w:val="000000"/>
                <w:sz w:val="26"/>
                <w:szCs w:val="26"/>
              </w:rPr>
            </w:pPr>
            <w:r w:rsidRPr="0059512A">
              <w:rPr>
                <w:color w:val="000000"/>
                <w:sz w:val="26"/>
                <w:szCs w:val="26"/>
              </w:rPr>
              <w:t>2.</w:t>
            </w:r>
            <w:r w:rsidR="002C0C85" w:rsidRPr="0059512A">
              <w:rPr>
                <w:color w:val="000000"/>
                <w:sz w:val="26"/>
                <w:szCs w:val="26"/>
              </w:rPr>
              <w:t>40</w:t>
            </w:r>
            <w:r w:rsidRPr="0059512A">
              <w:rPr>
                <w:color w:val="000000"/>
                <w:sz w:val="26"/>
                <w:szCs w:val="26"/>
              </w:rPr>
              <w:t>%</w:t>
            </w:r>
          </w:p>
        </w:tc>
      </w:tr>
      <w:tr w:rsidR="009660FA" w:rsidRPr="0059512A" w14:paraId="10BC7FB2" w14:textId="77777777" w:rsidTr="00297030">
        <w:trPr>
          <w:trHeight w:val="345"/>
          <w:jc w:val="center"/>
        </w:trPr>
        <w:tc>
          <w:tcPr>
            <w:tcW w:w="1880" w:type="dxa"/>
            <w:tcBorders>
              <w:top w:val="single" w:sz="8" w:space="0" w:color="auto"/>
              <w:left w:val="single" w:sz="8" w:space="0" w:color="auto"/>
              <w:bottom w:val="single" w:sz="8" w:space="0" w:color="auto"/>
              <w:right w:val="nil"/>
            </w:tcBorders>
            <w:shd w:val="clear" w:color="auto" w:fill="auto"/>
            <w:noWrap/>
            <w:vAlign w:val="bottom"/>
            <w:hideMark/>
          </w:tcPr>
          <w:p w14:paraId="77312FAD" w14:textId="77777777" w:rsidR="009660FA" w:rsidRPr="00F90103" w:rsidRDefault="009660FA" w:rsidP="0059512A">
            <w:pPr>
              <w:keepNext/>
              <w:keepLines/>
              <w:widowControl/>
              <w:contextualSpacing/>
              <w:rPr>
                <w:color w:val="000000"/>
                <w:sz w:val="26"/>
                <w:szCs w:val="26"/>
              </w:rPr>
            </w:pPr>
            <w:r w:rsidRPr="00F90103">
              <w:rPr>
                <w:color w:val="000000"/>
                <w:sz w:val="26"/>
                <w:szCs w:val="26"/>
              </w:rPr>
              <w:t>Equity</w:t>
            </w:r>
          </w:p>
        </w:tc>
        <w:tc>
          <w:tcPr>
            <w:tcW w:w="27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FEF14A" w14:textId="2FF50366" w:rsidR="009660FA" w:rsidRPr="0059512A" w:rsidRDefault="009660FA" w:rsidP="0059512A">
            <w:pPr>
              <w:keepNext/>
              <w:keepLines/>
              <w:widowControl/>
              <w:contextualSpacing/>
              <w:jc w:val="center"/>
              <w:rPr>
                <w:color w:val="000000"/>
                <w:sz w:val="26"/>
                <w:szCs w:val="26"/>
              </w:rPr>
            </w:pPr>
            <w:r w:rsidRPr="0059512A">
              <w:rPr>
                <w:color w:val="000000"/>
                <w:sz w:val="26"/>
                <w:szCs w:val="26"/>
              </w:rPr>
              <w:t>5</w:t>
            </w:r>
            <w:r w:rsidR="002C0C85" w:rsidRPr="0059512A">
              <w:rPr>
                <w:color w:val="000000"/>
                <w:sz w:val="26"/>
                <w:szCs w:val="26"/>
              </w:rPr>
              <w:t>0.67</w:t>
            </w:r>
            <w:r w:rsidRPr="0059512A">
              <w:rPr>
                <w:color w:val="000000"/>
                <w:sz w:val="26"/>
                <w:szCs w:val="26"/>
              </w:rPr>
              <w:t>%</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337B7E06" w14:textId="44D39BD7" w:rsidR="009660FA" w:rsidRPr="0059512A" w:rsidRDefault="002C0C85" w:rsidP="0059512A">
            <w:pPr>
              <w:keepNext/>
              <w:keepLines/>
              <w:widowControl/>
              <w:contextualSpacing/>
              <w:jc w:val="center"/>
              <w:rPr>
                <w:color w:val="000000"/>
                <w:sz w:val="26"/>
                <w:szCs w:val="26"/>
              </w:rPr>
            </w:pPr>
            <w:r w:rsidRPr="0059512A">
              <w:rPr>
                <w:color w:val="000000"/>
                <w:sz w:val="26"/>
                <w:szCs w:val="26"/>
              </w:rPr>
              <w:t>9.54</w:t>
            </w:r>
            <w:r w:rsidR="009660FA" w:rsidRPr="0059512A">
              <w:rPr>
                <w:color w:val="000000"/>
                <w:sz w:val="26"/>
                <w:szCs w:val="26"/>
              </w:rPr>
              <w:t>%</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14:paraId="239E735D" w14:textId="07C140D8" w:rsidR="009660FA" w:rsidRPr="0059512A" w:rsidRDefault="002C0C85" w:rsidP="0059512A">
            <w:pPr>
              <w:keepNext/>
              <w:keepLines/>
              <w:widowControl/>
              <w:contextualSpacing/>
              <w:jc w:val="center"/>
              <w:rPr>
                <w:color w:val="000000"/>
                <w:sz w:val="26"/>
                <w:szCs w:val="26"/>
              </w:rPr>
            </w:pPr>
            <w:r w:rsidRPr="0059512A">
              <w:rPr>
                <w:color w:val="000000"/>
                <w:sz w:val="26"/>
                <w:szCs w:val="26"/>
              </w:rPr>
              <w:t>4.83</w:t>
            </w:r>
            <w:r w:rsidR="009660FA" w:rsidRPr="0059512A">
              <w:rPr>
                <w:color w:val="000000"/>
                <w:sz w:val="26"/>
                <w:szCs w:val="26"/>
              </w:rPr>
              <w:t>%</w:t>
            </w:r>
          </w:p>
        </w:tc>
      </w:tr>
      <w:tr w:rsidR="009660FA" w:rsidRPr="0059512A" w14:paraId="589C4846" w14:textId="77777777" w:rsidTr="00297030">
        <w:trPr>
          <w:trHeight w:val="345"/>
          <w:jc w:val="center"/>
        </w:trPr>
        <w:tc>
          <w:tcPr>
            <w:tcW w:w="1880" w:type="dxa"/>
            <w:tcBorders>
              <w:top w:val="nil"/>
              <w:left w:val="single" w:sz="8" w:space="0" w:color="auto"/>
              <w:bottom w:val="single" w:sz="8" w:space="0" w:color="auto"/>
              <w:right w:val="nil"/>
            </w:tcBorders>
            <w:shd w:val="clear" w:color="auto" w:fill="auto"/>
            <w:noWrap/>
            <w:vAlign w:val="bottom"/>
            <w:hideMark/>
          </w:tcPr>
          <w:p w14:paraId="2A7B7907" w14:textId="77777777" w:rsidR="009660FA" w:rsidRPr="00F90103" w:rsidRDefault="009660FA" w:rsidP="0059512A">
            <w:pPr>
              <w:keepNext/>
              <w:keepLines/>
              <w:widowControl/>
              <w:contextualSpacing/>
              <w:rPr>
                <w:color w:val="000000"/>
                <w:sz w:val="26"/>
                <w:szCs w:val="26"/>
              </w:rPr>
            </w:pPr>
            <w:r w:rsidRPr="00F90103">
              <w:rPr>
                <w:color w:val="000000"/>
                <w:sz w:val="26"/>
                <w:szCs w:val="26"/>
              </w:rPr>
              <w:t>Total</w:t>
            </w:r>
          </w:p>
        </w:tc>
        <w:tc>
          <w:tcPr>
            <w:tcW w:w="2790" w:type="dxa"/>
            <w:tcBorders>
              <w:top w:val="nil"/>
              <w:left w:val="single" w:sz="8" w:space="0" w:color="auto"/>
              <w:bottom w:val="single" w:sz="8" w:space="0" w:color="auto"/>
              <w:right w:val="single" w:sz="8" w:space="0" w:color="auto"/>
            </w:tcBorders>
            <w:shd w:val="clear" w:color="auto" w:fill="auto"/>
            <w:noWrap/>
            <w:vAlign w:val="bottom"/>
            <w:hideMark/>
          </w:tcPr>
          <w:p w14:paraId="5DDEBF35" w14:textId="77777777" w:rsidR="009660FA" w:rsidRPr="00F90103" w:rsidRDefault="009660FA" w:rsidP="0059512A">
            <w:pPr>
              <w:keepNext/>
              <w:keepLines/>
              <w:widowControl/>
              <w:contextualSpacing/>
              <w:jc w:val="center"/>
              <w:rPr>
                <w:color w:val="000000"/>
                <w:sz w:val="26"/>
                <w:szCs w:val="26"/>
              </w:rPr>
            </w:pPr>
            <w:r w:rsidRPr="00F90103">
              <w:rPr>
                <w:color w:val="000000"/>
                <w:sz w:val="26"/>
                <w:szCs w:val="26"/>
              </w:rPr>
              <w:t>100.00%</w:t>
            </w:r>
          </w:p>
        </w:tc>
        <w:tc>
          <w:tcPr>
            <w:tcW w:w="1530" w:type="dxa"/>
            <w:tcBorders>
              <w:top w:val="nil"/>
              <w:left w:val="nil"/>
              <w:bottom w:val="single" w:sz="8" w:space="0" w:color="auto"/>
              <w:right w:val="single" w:sz="8" w:space="0" w:color="auto"/>
            </w:tcBorders>
            <w:shd w:val="clear" w:color="auto" w:fill="auto"/>
            <w:noWrap/>
            <w:vAlign w:val="bottom"/>
            <w:hideMark/>
          </w:tcPr>
          <w:p w14:paraId="455A40E6" w14:textId="77777777" w:rsidR="009660FA" w:rsidRPr="00F90103" w:rsidRDefault="009660FA" w:rsidP="0059512A">
            <w:pPr>
              <w:keepNext/>
              <w:keepLines/>
              <w:widowControl/>
              <w:contextualSpacing/>
              <w:jc w:val="center"/>
              <w:rPr>
                <w:color w:val="000000"/>
                <w:sz w:val="26"/>
                <w:szCs w:val="26"/>
              </w:rPr>
            </w:pPr>
            <w:r w:rsidRPr="00F90103">
              <w:rPr>
                <w:color w:val="000000"/>
                <w:sz w:val="26"/>
                <w:szCs w:val="26"/>
              </w:rPr>
              <w:t> </w:t>
            </w:r>
          </w:p>
        </w:tc>
        <w:tc>
          <w:tcPr>
            <w:tcW w:w="1890" w:type="dxa"/>
            <w:tcBorders>
              <w:top w:val="nil"/>
              <w:left w:val="nil"/>
              <w:bottom w:val="single" w:sz="8" w:space="0" w:color="auto"/>
              <w:right w:val="single" w:sz="8" w:space="0" w:color="auto"/>
            </w:tcBorders>
            <w:shd w:val="clear" w:color="auto" w:fill="auto"/>
            <w:noWrap/>
            <w:vAlign w:val="bottom"/>
            <w:hideMark/>
          </w:tcPr>
          <w:p w14:paraId="32789FEE" w14:textId="43F4D689" w:rsidR="009660FA" w:rsidRPr="00F90103" w:rsidRDefault="002C0C85" w:rsidP="0059512A">
            <w:pPr>
              <w:keepNext/>
              <w:keepLines/>
              <w:widowControl/>
              <w:contextualSpacing/>
              <w:jc w:val="center"/>
              <w:rPr>
                <w:color w:val="000000"/>
                <w:sz w:val="26"/>
                <w:szCs w:val="26"/>
              </w:rPr>
            </w:pPr>
            <w:r w:rsidRPr="00F90103">
              <w:rPr>
                <w:color w:val="000000"/>
                <w:sz w:val="26"/>
                <w:szCs w:val="26"/>
              </w:rPr>
              <w:t>7.23</w:t>
            </w:r>
            <w:r w:rsidR="009660FA" w:rsidRPr="00F90103">
              <w:rPr>
                <w:color w:val="000000"/>
                <w:sz w:val="26"/>
                <w:szCs w:val="26"/>
              </w:rPr>
              <w:t>%</w:t>
            </w:r>
          </w:p>
        </w:tc>
      </w:tr>
    </w:tbl>
    <w:p w14:paraId="7D5922E1" w14:textId="21674ED7" w:rsidR="009660FA" w:rsidRDefault="009660FA" w:rsidP="00BC4DC7">
      <w:pPr>
        <w:widowControl/>
        <w:rPr>
          <w:sz w:val="26"/>
          <w:szCs w:val="26"/>
        </w:rPr>
      </w:pPr>
    </w:p>
    <w:p w14:paraId="134849FA" w14:textId="77777777" w:rsidR="00BC4DC7" w:rsidRPr="0059512A" w:rsidRDefault="00BC4DC7" w:rsidP="00BC4DC7">
      <w:pPr>
        <w:widowControl/>
        <w:spacing w:line="360" w:lineRule="auto"/>
        <w:rPr>
          <w:sz w:val="26"/>
          <w:szCs w:val="26"/>
        </w:rPr>
      </w:pPr>
    </w:p>
    <w:p w14:paraId="49F21FC8" w14:textId="68DA6D7D" w:rsidR="00DA2034" w:rsidRPr="0059512A" w:rsidRDefault="00DA2034" w:rsidP="00BC4DC7">
      <w:pPr>
        <w:pStyle w:val="Heading2"/>
        <w:widowControl/>
      </w:pPr>
      <w:bookmarkStart w:id="144" w:name="_Toc38629299"/>
      <w:r w:rsidRPr="0059512A">
        <w:t>Rate Structure</w:t>
      </w:r>
      <w:bookmarkEnd w:id="144"/>
    </w:p>
    <w:p w14:paraId="59DDB121" w14:textId="6A092C56" w:rsidR="00DA2034" w:rsidRPr="0059512A" w:rsidRDefault="00DA2034" w:rsidP="00BC4DC7">
      <w:pPr>
        <w:keepNext/>
        <w:widowControl/>
        <w:spacing w:line="360" w:lineRule="auto"/>
        <w:rPr>
          <w:sz w:val="26"/>
          <w:szCs w:val="26"/>
        </w:rPr>
      </w:pPr>
    </w:p>
    <w:p w14:paraId="13A79076" w14:textId="504E17F4" w:rsidR="00B50B22" w:rsidRPr="0059512A" w:rsidRDefault="00B50B22" w:rsidP="00BC4DC7">
      <w:pPr>
        <w:keepNext/>
        <w:widowControl/>
        <w:spacing w:after="200" w:line="360" w:lineRule="auto"/>
        <w:ind w:firstLine="1440"/>
        <w:contextualSpacing/>
        <w:rPr>
          <w:rFonts w:eastAsiaTheme="minorHAnsi"/>
          <w:sz w:val="26"/>
          <w:szCs w:val="26"/>
        </w:rPr>
      </w:pPr>
      <w:r w:rsidRPr="0059512A">
        <w:rPr>
          <w:rFonts w:eastAsiaTheme="minorHAnsi"/>
          <w:sz w:val="26"/>
          <w:szCs w:val="26"/>
        </w:rPr>
        <w:t>This section of the Opinion and Order addresses</w:t>
      </w:r>
      <w:r w:rsidR="0026134F" w:rsidRPr="0059512A">
        <w:rPr>
          <w:rFonts w:eastAsiaTheme="minorHAnsi"/>
          <w:sz w:val="26"/>
          <w:szCs w:val="26"/>
        </w:rPr>
        <w:t xml:space="preserve"> the ALJs’ contested recommendations pertaining to</w:t>
      </w:r>
      <w:r w:rsidRPr="0059512A">
        <w:rPr>
          <w:rFonts w:eastAsiaTheme="minorHAnsi"/>
          <w:sz w:val="26"/>
          <w:szCs w:val="26"/>
        </w:rPr>
        <w:t xml:space="preserve"> cost of service, </w:t>
      </w:r>
      <w:r w:rsidR="0026134F" w:rsidRPr="0059512A">
        <w:rPr>
          <w:rFonts w:eastAsiaTheme="minorHAnsi"/>
          <w:sz w:val="26"/>
          <w:szCs w:val="26"/>
        </w:rPr>
        <w:t xml:space="preserve">revenue allocation, and </w:t>
      </w:r>
      <w:r w:rsidRPr="0059512A">
        <w:rPr>
          <w:rFonts w:eastAsiaTheme="minorHAnsi"/>
          <w:sz w:val="26"/>
          <w:szCs w:val="26"/>
        </w:rPr>
        <w:t>rate design.  When a utility files for a rate increase</w:t>
      </w:r>
      <w:r w:rsidR="0005164D" w:rsidRPr="0059512A">
        <w:rPr>
          <w:rFonts w:eastAsiaTheme="minorHAnsi"/>
          <w:sz w:val="26"/>
          <w:szCs w:val="26"/>
        </w:rPr>
        <w:t xml:space="preserve"> and the proposed increase exceeds </w:t>
      </w:r>
      <w:r w:rsidR="00CB7E78" w:rsidRPr="0059512A">
        <w:rPr>
          <w:rFonts w:eastAsiaTheme="minorHAnsi"/>
          <w:sz w:val="26"/>
          <w:szCs w:val="26"/>
        </w:rPr>
        <w:t>$1</w:t>
      </w:r>
      <w:r w:rsidR="0005164D" w:rsidRPr="0059512A">
        <w:rPr>
          <w:rFonts w:eastAsiaTheme="minorHAnsi"/>
          <w:sz w:val="26"/>
          <w:szCs w:val="26"/>
        </w:rPr>
        <w:t xml:space="preserve"> million</w:t>
      </w:r>
      <w:r w:rsidRPr="0059512A">
        <w:rPr>
          <w:rFonts w:eastAsiaTheme="minorHAnsi"/>
          <w:sz w:val="26"/>
          <w:szCs w:val="26"/>
        </w:rPr>
        <w:t xml:space="preserve">, </w:t>
      </w:r>
      <w:r w:rsidR="0005164D" w:rsidRPr="0059512A">
        <w:rPr>
          <w:rFonts w:eastAsiaTheme="minorHAnsi"/>
          <w:sz w:val="26"/>
          <w:szCs w:val="26"/>
        </w:rPr>
        <w:t xml:space="preserve">the utility must include with its filing an allocated class cost-of-service study (ACCOSS) in which it assigns to each customer class a rate based upon operating costs that it incurred in providing that service.  </w:t>
      </w:r>
      <w:r w:rsidRPr="0059512A">
        <w:rPr>
          <w:rFonts w:eastAsiaTheme="minorHAnsi"/>
          <w:sz w:val="26"/>
          <w:szCs w:val="26"/>
        </w:rPr>
        <w:t xml:space="preserve">52 Pa. Code § 53.53; </w:t>
      </w:r>
      <w:r w:rsidRPr="0059512A">
        <w:rPr>
          <w:rFonts w:eastAsiaTheme="minorHAnsi"/>
          <w:i/>
          <w:sz w:val="26"/>
          <w:szCs w:val="26"/>
        </w:rPr>
        <w:t>Lloyd v. Pa. PUC</w:t>
      </w:r>
      <w:r w:rsidRPr="000F2F32">
        <w:rPr>
          <w:rFonts w:eastAsiaTheme="minorHAnsi"/>
          <w:iCs/>
          <w:sz w:val="26"/>
          <w:szCs w:val="26"/>
        </w:rPr>
        <w:t>,</w:t>
      </w:r>
      <w:r w:rsidRPr="0059512A">
        <w:rPr>
          <w:rFonts w:eastAsiaTheme="minorHAnsi"/>
          <w:i/>
          <w:sz w:val="26"/>
          <w:szCs w:val="26"/>
        </w:rPr>
        <w:t xml:space="preserve"> </w:t>
      </w:r>
      <w:r w:rsidRPr="0059512A">
        <w:rPr>
          <w:rFonts w:eastAsiaTheme="minorHAnsi"/>
          <w:sz w:val="26"/>
          <w:szCs w:val="26"/>
        </w:rPr>
        <w:t xml:space="preserve">904 A.2d 1010, 1015 </w:t>
      </w:r>
      <w:r w:rsidRPr="0059512A">
        <w:rPr>
          <w:rFonts w:eastAsiaTheme="minorHAnsi"/>
          <w:sz w:val="26"/>
          <w:szCs w:val="26"/>
        </w:rPr>
        <w:lastRenderedPageBreak/>
        <w:t>(Pa. Cmwlth. 2006) (</w:t>
      </w:r>
      <w:r w:rsidRPr="0059512A">
        <w:rPr>
          <w:rFonts w:eastAsiaTheme="minorHAnsi"/>
          <w:i/>
          <w:sz w:val="26"/>
          <w:szCs w:val="26"/>
        </w:rPr>
        <w:t>Lloyd</w:t>
      </w:r>
      <w:r w:rsidRPr="0059512A">
        <w:rPr>
          <w:rFonts w:eastAsiaTheme="minorHAnsi"/>
          <w:sz w:val="26"/>
          <w:szCs w:val="26"/>
        </w:rPr>
        <w:t>).  Public utility rates should enable the utility to recover its cost of service and should allocate this cost among its customers.  These rates are required by statute to be just, reasonable and non-discriminatory.  66 Pa. C.S. §§ 1301, 2804(10).</w:t>
      </w:r>
    </w:p>
    <w:p w14:paraId="7B4573C0" w14:textId="77777777" w:rsidR="0005164D" w:rsidRPr="0059512A" w:rsidRDefault="0005164D" w:rsidP="0059512A">
      <w:pPr>
        <w:widowControl/>
        <w:spacing w:line="360" w:lineRule="auto"/>
        <w:rPr>
          <w:sz w:val="26"/>
          <w:szCs w:val="26"/>
        </w:rPr>
      </w:pPr>
    </w:p>
    <w:p w14:paraId="4B2FBF48" w14:textId="63900D9C" w:rsidR="00A14F65" w:rsidRPr="0059512A" w:rsidRDefault="00A14F65" w:rsidP="0059512A">
      <w:pPr>
        <w:pStyle w:val="Heading3"/>
        <w:keepNext/>
        <w:numPr>
          <w:ilvl w:val="0"/>
          <w:numId w:val="13"/>
        </w:numPr>
        <w:ind w:left="1440" w:hanging="720"/>
      </w:pPr>
      <w:bookmarkStart w:id="145" w:name="_Toc38629300"/>
      <w:bookmarkStart w:id="146" w:name="_Hlk35848145"/>
      <w:r w:rsidRPr="0059512A">
        <w:t>Allocated Class Cost of Service Study</w:t>
      </w:r>
      <w:bookmarkEnd w:id="145"/>
    </w:p>
    <w:bookmarkEnd w:id="146"/>
    <w:p w14:paraId="2AF196B8" w14:textId="0B48CC65" w:rsidR="00FF6F40" w:rsidRPr="0059512A" w:rsidRDefault="00FF6F40" w:rsidP="0059512A">
      <w:pPr>
        <w:keepNext/>
        <w:widowControl/>
        <w:spacing w:line="360" w:lineRule="auto"/>
        <w:rPr>
          <w:sz w:val="26"/>
          <w:szCs w:val="26"/>
        </w:rPr>
      </w:pPr>
    </w:p>
    <w:p w14:paraId="45D187EA" w14:textId="7CAF37A4" w:rsidR="007D523C" w:rsidRPr="0059512A" w:rsidRDefault="00064658" w:rsidP="0059512A">
      <w:pPr>
        <w:keepNext/>
        <w:widowControl/>
        <w:spacing w:line="360" w:lineRule="auto"/>
        <w:ind w:firstLine="1440"/>
        <w:rPr>
          <w:sz w:val="26"/>
          <w:szCs w:val="26"/>
        </w:rPr>
      </w:pPr>
      <w:r w:rsidRPr="0059512A">
        <w:rPr>
          <w:sz w:val="26"/>
          <w:szCs w:val="26"/>
        </w:rPr>
        <w:t>An ACCOSS is a benchmark for evaluating customer class cost responsibility with the</w:t>
      </w:r>
      <w:r w:rsidR="009F19EF" w:rsidRPr="0059512A">
        <w:rPr>
          <w:sz w:val="26"/>
          <w:szCs w:val="26"/>
        </w:rPr>
        <w:t xml:space="preserve"> fundamental purpose o</w:t>
      </w:r>
      <w:r w:rsidRPr="0059512A">
        <w:rPr>
          <w:sz w:val="26"/>
          <w:szCs w:val="26"/>
        </w:rPr>
        <w:t>f</w:t>
      </w:r>
      <w:r w:rsidR="009F19EF" w:rsidRPr="0059512A">
        <w:rPr>
          <w:sz w:val="26"/>
          <w:szCs w:val="26"/>
        </w:rPr>
        <w:t xml:space="preserve"> aid</w:t>
      </w:r>
      <w:r w:rsidRPr="0059512A">
        <w:rPr>
          <w:sz w:val="26"/>
          <w:szCs w:val="26"/>
        </w:rPr>
        <w:t>ing</w:t>
      </w:r>
      <w:r w:rsidR="009F19EF" w:rsidRPr="0059512A">
        <w:rPr>
          <w:sz w:val="26"/>
          <w:szCs w:val="26"/>
        </w:rPr>
        <w:t xml:space="preserve"> in the accurate and reasonable design of rates by identifying all the capital and operating costs incurred by the utility in serving its customers, and then directly assigning or allocating these costs to each individual rate class based on established principles of cost</w:t>
      </w:r>
      <w:r w:rsidR="000D2EFC" w:rsidRPr="0059512A">
        <w:rPr>
          <w:sz w:val="26"/>
          <w:szCs w:val="26"/>
        </w:rPr>
        <w:t>-</w:t>
      </w:r>
      <w:r w:rsidR="009F19EF" w:rsidRPr="0059512A">
        <w:rPr>
          <w:sz w:val="26"/>
          <w:szCs w:val="26"/>
        </w:rPr>
        <w:t>causation</w:t>
      </w:r>
      <w:r w:rsidRPr="0059512A">
        <w:rPr>
          <w:sz w:val="26"/>
          <w:szCs w:val="26"/>
        </w:rPr>
        <w:t xml:space="preserve">.  </w:t>
      </w:r>
    </w:p>
    <w:p w14:paraId="51CD4B08" w14:textId="77777777" w:rsidR="007D523C" w:rsidRPr="0059512A" w:rsidRDefault="007D523C" w:rsidP="0059512A">
      <w:pPr>
        <w:widowControl/>
        <w:spacing w:line="360" w:lineRule="auto"/>
        <w:ind w:firstLine="1440"/>
        <w:rPr>
          <w:sz w:val="26"/>
          <w:szCs w:val="26"/>
        </w:rPr>
      </w:pPr>
    </w:p>
    <w:p w14:paraId="07046B72" w14:textId="23423D98" w:rsidR="00C108DA" w:rsidRPr="0059512A" w:rsidRDefault="007D523C" w:rsidP="0059512A">
      <w:pPr>
        <w:widowControl/>
        <w:spacing w:line="360" w:lineRule="auto"/>
        <w:ind w:firstLine="1440"/>
        <w:rPr>
          <w:sz w:val="26"/>
          <w:szCs w:val="26"/>
        </w:rPr>
      </w:pPr>
      <w:r w:rsidRPr="0059512A">
        <w:rPr>
          <w:sz w:val="26"/>
          <w:szCs w:val="26"/>
        </w:rPr>
        <w:t>Although not required under Commission Regulations to submit an ACCOSS for a rate increase under $1 million, Citizens’ prepared and presented its ACCOSS for its FPFTY in Schedules E through E-5D of Citizens’ Exhibit_(HSG-1), showing the development of the allocation factors used in performing the functionalization, classification, and class allocation procedures within its ACCOSS on Schedules D through D6 of Citizens’ Exhibit_(HSG-1).  Citizens’ present</w:t>
      </w:r>
      <w:r w:rsidR="00965F20" w:rsidRPr="0059512A">
        <w:rPr>
          <w:sz w:val="26"/>
          <w:szCs w:val="26"/>
        </w:rPr>
        <w:t>ed</w:t>
      </w:r>
      <w:r w:rsidRPr="0059512A">
        <w:rPr>
          <w:sz w:val="26"/>
          <w:szCs w:val="26"/>
        </w:rPr>
        <w:t xml:space="preserve"> its cost of service and quantifies the revenue deficiency based on operating costs and revenues, as adjusted for the FPFTY.  Citizens’ Exh._(HSG-1), Sch. E-1, line 28</w:t>
      </w:r>
      <w:r w:rsidR="00965F20" w:rsidRPr="0059512A">
        <w:rPr>
          <w:sz w:val="26"/>
          <w:szCs w:val="26"/>
        </w:rPr>
        <w:t xml:space="preserve">; Citizens’ Exh._(HSG-1), Sch. E-1A at 6, line 185.  </w:t>
      </w:r>
      <w:r w:rsidR="00A367AD" w:rsidRPr="0059512A">
        <w:rPr>
          <w:sz w:val="26"/>
          <w:szCs w:val="26"/>
        </w:rPr>
        <w:t>Despite having updated its ROE and overall rate of return claims in rebuttal testimony, as previously indicated, t</w:t>
      </w:r>
      <w:r w:rsidR="00C108DA" w:rsidRPr="0059512A">
        <w:rPr>
          <w:sz w:val="26"/>
          <w:szCs w:val="26"/>
        </w:rPr>
        <w:t>he Company’s ACCOSS reflect</w:t>
      </w:r>
      <w:r w:rsidR="00A367AD" w:rsidRPr="0059512A">
        <w:rPr>
          <w:sz w:val="26"/>
          <w:szCs w:val="26"/>
        </w:rPr>
        <w:t>s</w:t>
      </w:r>
      <w:r w:rsidR="00C108DA" w:rsidRPr="0059512A">
        <w:rPr>
          <w:sz w:val="26"/>
          <w:szCs w:val="26"/>
        </w:rPr>
        <w:t xml:space="preserve"> its as-filed overall rate of return claim of 8.05%.  Specifically, the Company’s calculated cost of equity was reduced from 11.15% to 10.30%, reducing its overall rate of return claim from 8.05% to 7.62%.  Citizens’ St. 2-R at 2.  The Company’s revised revenue increase request of approximately $701,000 reflected this rate of return revision, as well as rate base adjustments to its as-filed request of $792,246.  Citizens’ St. 1-R at 2.  However, Citizens’ indicated that it has not revised its ACCOSS</w:t>
      </w:r>
      <w:r w:rsidR="00D36068" w:rsidRPr="0059512A">
        <w:rPr>
          <w:sz w:val="26"/>
          <w:szCs w:val="26"/>
        </w:rPr>
        <w:t xml:space="preserve"> (Citizens’ </w:t>
      </w:r>
      <w:r w:rsidR="00D36068" w:rsidRPr="0059512A">
        <w:rPr>
          <w:sz w:val="26"/>
          <w:szCs w:val="26"/>
        </w:rPr>
        <w:lastRenderedPageBreak/>
        <w:t>Exh._(HSG-1), Sch. E)</w:t>
      </w:r>
      <w:r w:rsidR="00C108DA" w:rsidRPr="0059512A">
        <w:rPr>
          <w:sz w:val="26"/>
          <w:szCs w:val="26"/>
        </w:rPr>
        <w:t>, proposed revenue allocation</w:t>
      </w:r>
      <w:r w:rsidR="00D36068" w:rsidRPr="0059512A">
        <w:rPr>
          <w:sz w:val="26"/>
          <w:szCs w:val="26"/>
        </w:rPr>
        <w:t xml:space="preserve"> (</w:t>
      </w:r>
      <w:bookmarkStart w:id="147" w:name="_Hlk36721612"/>
      <w:r w:rsidR="00D36068" w:rsidRPr="0059512A">
        <w:rPr>
          <w:sz w:val="26"/>
          <w:szCs w:val="26"/>
        </w:rPr>
        <w:t>Citizens’ Exh._(HSG-1), Sch. B6</w:t>
      </w:r>
      <w:r w:rsidR="000F2F32">
        <w:rPr>
          <w:sz w:val="26"/>
          <w:szCs w:val="26"/>
        </w:rPr>
        <w:noBreakHyphen/>
      </w:r>
      <w:r w:rsidR="00D36068" w:rsidRPr="0059512A">
        <w:rPr>
          <w:sz w:val="26"/>
          <w:szCs w:val="26"/>
        </w:rPr>
        <w:t>4</w:t>
      </w:r>
      <w:bookmarkEnd w:id="147"/>
      <w:r w:rsidR="00D36068" w:rsidRPr="0059512A">
        <w:rPr>
          <w:sz w:val="26"/>
          <w:szCs w:val="26"/>
        </w:rPr>
        <w:t>, line 24)</w:t>
      </w:r>
      <w:r w:rsidR="00C108DA" w:rsidRPr="0059512A">
        <w:rPr>
          <w:sz w:val="26"/>
          <w:szCs w:val="26"/>
        </w:rPr>
        <w:t>, or requested rates</w:t>
      </w:r>
      <w:r w:rsidR="00D36068" w:rsidRPr="0059512A">
        <w:rPr>
          <w:sz w:val="26"/>
          <w:szCs w:val="26"/>
        </w:rPr>
        <w:t xml:space="preserve"> (Citizens’ Exh._(HSG-1), Sch. B6-3)</w:t>
      </w:r>
      <w:r w:rsidR="00C108DA" w:rsidRPr="0059512A">
        <w:rPr>
          <w:sz w:val="26"/>
          <w:szCs w:val="26"/>
        </w:rPr>
        <w:t xml:space="preserve"> to be reflective of its revised revenue increase request.  Citizens’ St. 1-R at 2.  </w:t>
      </w:r>
    </w:p>
    <w:p w14:paraId="6DAB024F" w14:textId="77777777" w:rsidR="004C5D71" w:rsidRPr="0059512A" w:rsidRDefault="004C5D71" w:rsidP="0059512A">
      <w:pPr>
        <w:widowControl/>
        <w:spacing w:line="360" w:lineRule="auto"/>
        <w:ind w:firstLine="1440"/>
        <w:rPr>
          <w:sz w:val="26"/>
          <w:szCs w:val="26"/>
        </w:rPr>
      </w:pPr>
    </w:p>
    <w:p w14:paraId="5ADD7D8E" w14:textId="68A06B01" w:rsidR="00064658" w:rsidRPr="0059512A" w:rsidRDefault="00AD35A0" w:rsidP="0059512A">
      <w:pPr>
        <w:widowControl/>
        <w:spacing w:line="360" w:lineRule="auto"/>
        <w:ind w:firstLine="1440"/>
        <w:rPr>
          <w:sz w:val="26"/>
          <w:szCs w:val="26"/>
        </w:rPr>
      </w:pPr>
      <w:r w:rsidRPr="0059512A">
        <w:rPr>
          <w:sz w:val="26"/>
          <w:szCs w:val="26"/>
        </w:rPr>
        <w:t xml:space="preserve">Nevertheless, </w:t>
      </w:r>
      <w:r w:rsidR="00991426" w:rsidRPr="0059512A">
        <w:rPr>
          <w:sz w:val="26"/>
          <w:szCs w:val="26"/>
        </w:rPr>
        <w:t>the Company’s ACCOSS provided class revenues</w:t>
      </w:r>
      <w:r w:rsidR="00DE7C76" w:rsidRPr="0059512A">
        <w:rPr>
          <w:sz w:val="26"/>
          <w:szCs w:val="26"/>
        </w:rPr>
        <w:t xml:space="preserve"> at proposed rates</w:t>
      </w:r>
      <w:r w:rsidR="00991426" w:rsidRPr="0059512A">
        <w:rPr>
          <w:sz w:val="26"/>
          <w:szCs w:val="26"/>
        </w:rPr>
        <w:t xml:space="preserve"> based upon equalized rates of return (all classes’ revenue produce the proposed overall rate of return (8.05%)), which can be used as a rough target for apportioning class revenue increases.  </w:t>
      </w:r>
      <w:r w:rsidR="00F12774" w:rsidRPr="0059512A">
        <w:rPr>
          <w:sz w:val="26"/>
          <w:szCs w:val="26"/>
        </w:rPr>
        <w:t>Citizens’ Exh._(HSG-1), Sch. E-1, lines 13</w:t>
      </w:r>
      <w:r w:rsidR="00E87B08" w:rsidRPr="0059512A">
        <w:rPr>
          <w:sz w:val="26"/>
          <w:szCs w:val="26"/>
        </w:rPr>
        <w:t xml:space="preserve"> and </w:t>
      </w:r>
      <w:r w:rsidR="00F12774" w:rsidRPr="0059512A">
        <w:rPr>
          <w:sz w:val="26"/>
          <w:szCs w:val="26"/>
        </w:rPr>
        <w:t>26.</w:t>
      </w:r>
      <w:r w:rsidR="006A0974" w:rsidRPr="0059512A">
        <w:rPr>
          <w:sz w:val="26"/>
          <w:szCs w:val="26"/>
        </w:rPr>
        <w:t xml:space="preserve">  The results of such a study can be utilized to determine the relative cost of service for each class and help determine the individual class revenue requirements and, to the extent a particular class is above or below the system average rate of return, show the additional revenues each class is to receive or conversely the additional revenues that each class is to contribute to the Company’s overall revenues.</w:t>
      </w:r>
      <w:r w:rsidR="00E87B08" w:rsidRPr="0059512A">
        <w:rPr>
          <w:sz w:val="26"/>
          <w:szCs w:val="26"/>
        </w:rPr>
        <w:t xml:space="preserve">  Citizens’ Exh._(HSG-1), Sch. E-1, line</w:t>
      </w:r>
      <w:r w:rsidR="000F2F32">
        <w:rPr>
          <w:sz w:val="26"/>
          <w:szCs w:val="26"/>
        </w:rPr>
        <w:t> </w:t>
      </w:r>
      <w:r w:rsidR="00E87B08" w:rsidRPr="0059512A">
        <w:rPr>
          <w:sz w:val="26"/>
          <w:szCs w:val="26"/>
        </w:rPr>
        <w:t>28.</w:t>
      </w:r>
      <w:r w:rsidR="006A0974" w:rsidRPr="0059512A">
        <w:rPr>
          <w:sz w:val="26"/>
          <w:szCs w:val="26"/>
        </w:rPr>
        <w:t xml:space="preserve">  In addition to the relative provision of revenues, relative rate</w:t>
      </w:r>
      <w:r w:rsidR="009D7DC7" w:rsidRPr="0059512A">
        <w:rPr>
          <w:sz w:val="26"/>
          <w:szCs w:val="26"/>
        </w:rPr>
        <w:t>s</w:t>
      </w:r>
      <w:r w:rsidR="006A0974" w:rsidRPr="0059512A">
        <w:rPr>
          <w:sz w:val="26"/>
          <w:szCs w:val="26"/>
        </w:rPr>
        <w:t xml:space="preserve"> of return </w:t>
      </w:r>
      <w:r w:rsidR="009D7DC7" w:rsidRPr="0059512A">
        <w:rPr>
          <w:sz w:val="26"/>
          <w:szCs w:val="26"/>
        </w:rPr>
        <w:t>are</w:t>
      </w:r>
      <w:r w:rsidR="006A0974" w:rsidRPr="0059512A">
        <w:rPr>
          <w:sz w:val="26"/>
          <w:szCs w:val="26"/>
        </w:rPr>
        <w:t xml:space="preserve"> also provided which shows how the rate of return for each class compares to the system average rate of return, </w:t>
      </w:r>
      <w:r w:rsidR="009D7DC7" w:rsidRPr="0059512A">
        <w:rPr>
          <w:sz w:val="26"/>
          <w:szCs w:val="26"/>
        </w:rPr>
        <w:t>indicating</w:t>
      </w:r>
      <w:r w:rsidR="006A0974" w:rsidRPr="0059512A">
        <w:rPr>
          <w:sz w:val="26"/>
          <w:szCs w:val="26"/>
        </w:rPr>
        <w:t xml:space="preserve"> if each class is either under-paying or over-paying its allocated cost of service.</w:t>
      </w:r>
      <w:r w:rsidR="00DE7C76" w:rsidRPr="0059512A">
        <w:rPr>
          <w:sz w:val="26"/>
          <w:szCs w:val="26"/>
        </w:rPr>
        <w:t xml:space="preserve">  </w:t>
      </w:r>
      <w:r w:rsidR="00DB64D0" w:rsidRPr="0059512A">
        <w:rPr>
          <w:sz w:val="26"/>
          <w:szCs w:val="26"/>
        </w:rPr>
        <w:t>This information is then used to determine the manner in which the proposed r</w:t>
      </w:r>
      <w:r w:rsidR="000B268C" w:rsidRPr="0059512A">
        <w:rPr>
          <w:sz w:val="26"/>
          <w:szCs w:val="26"/>
        </w:rPr>
        <w:t>evenue</w:t>
      </w:r>
      <w:r w:rsidR="00DB64D0" w:rsidRPr="0059512A">
        <w:rPr>
          <w:sz w:val="26"/>
          <w:szCs w:val="26"/>
        </w:rPr>
        <w:t xml:space="preserve"> increase should be allocated among the various rate classes with the goal of moving each rate class towards the system average rate of return.</w:t>
      </w:r>
      <w:r w:rsidR="00376845" w:rsidRPr="0059512A">
        <w:rPr>
          <w:sz w:val="26"/>
          <w:szCs w:val="26"/>
        </w:rPr>
        <w:t xml:space="preserve">  </w:t>
      </w:r>
      <w:r w:rsidR="00DE7C76" w:rsidRPr="0059512A">
        <w:rPr>
          <w:sz w:val="26"/>
          <w:szCs w:val="26"/>
        </w:rPr>
        <w:t xml:space="preserve">Citizens’ Exh._(HSG-1), Sch. B6-4, lines 24-48.  </w:t>
      </w:r>
      <w:r w:rsidR="00723C0D" w:rsidRPr="0059512A">
        <w:rPr>
          <w:sz w:val="26"/>
          <w:szCs w:val="26"/>
        </w:rPr>
        <w:t xml:space="preserve">As Schedule B6-4 </w:t>
      </w:r>
      <w:r w:rsidR="00687E94" w:rsidRPr="0059512A">
        <w:rPr>
          <w:sz w:val="26"/>
          <w:szCs w:val="26"/>
        </w:rPr>
        <w:t>demonstrates</w:t>
      </w:r>
      <w:r w:rsidR="00723C0D" w:rsidRPr="0059512A">
        <w:rPr>
          <w:sz w:val="26"/>
          <w:szCs w:val="26"/>
        </w:rPr>
        <w:t xml:space="preserve">, </w:t>
      </w:r>
      <w:r w:rsidR="00687E94" w:rsidRPr="0059512A">
        <w:rPr>
          <w:sz w:val="26"/>
          <w:szCs w:val="26"/>
        </w:rPr>
        <w:t xml:space="preserve">the results at equalized rates of return do not necessarily dictate the exact levels of class revenues proposed.  </w:t>
      </w:r>
      <w:r w:rsidR="001C318A" w:rsidRPr="0059512A">
        <w:rPr>
          <w:sz w:val="26"/>
          <w:szCs w:val="26"/>
        </w:rPr>
        <w:t>As the ALJs noted</w:t>
      </w:r>
      <w:r w:rsidR="00692EBE" w:rsidRPr="0059512A">
        <w:rPr>
          <w:sz w:val="26"/>
          <w:szCs w:val="26"/>
        </w:rPr>
        <w:t>,</w:t>
      </w:r>
      <w:r w:rsidR="001C318A" w:rsidRPr="0059512A">
        <w:rPr>
          <w:sz w:val="26"/>
          <w:szCs w:val="26"/>
        </w:rPr>
        <w:t xml:space="preserve"> t</w:t>
      </w:r>
      <w:r w:rsidR="00687E94" w:rsidRPr="0059512A">
        <w:rPr>
          <w:sz w:val="26"/>
          <w:szCs w:val="26"/>
        </w:rPr>
        <w:t xml:space="preserve">he proposed class revenues may depart from the equalized rates of return in order to recognize </w:t>
      </w:r>
      <w:r w:rsidR="001C318A" w:rsidRPr="0059512A">
        <w:rPr>
          <w:sz w:val="26"/>
          <w:szCs w:val="26"/>
        </w:rPr>
        <w:t xml:space="preserve">a number of factors, including such things as the value of service, gradualism, and conservation considerations.  However, the ALJs noted that in </w:t>
      </w:r>
      <w:r w:rsidR="001C318A" w:rsidRPr="0059512A">
        <w:rPr>
          <w:i/>
          <w:iCs/>
          <w:sz w:val="26"/>
          <w:szCs w:val="26"/>
        </w:rPr>
        <w:t>Lloyd</w:t>
      </w:r>
      <w:r w:rsidR="001C318A" w:rsidRPr="0059512A">
        <w:rPr>
          <w:sz w:val="26"/>
          <w:szCs w:val="26"/>
        </w:rPr>
        <w:t xml:space="preserve">, the Commonwealth Court determined that cost of service is the “polestar” of ratemaking.  R.D. at </w:t>
      </w:r>
      <w:r w:rsidR="00F222D0" w:rsidRPr="0059512A">
        <w:rPr>
          <w:sz w:val="26"/>
          <w:szCs w:val="26"/>
        </w:rPr>
        <w:t xml:space="preserve">86.  </w:t>
      </w:r>
    </w:p>
    <w:p w14:paraId="2B2E7793" w14:textId="77777777" w:rsidR="009F19EF" w:rsidRPr="0059512A" w:rsidRDefault="009F19EF" w:rsidP="0059512A">
      <w:pPr>
        <w:widowControl/>
        <w:spacing w:line="360" w:lineRule="auto"/>
        <w:rPr>
          <w:sz w:val="26"/>
          <w:szCs w:val="26"/>
        </w:rPr>
      </w:pPr>
    </w:p>
    <w:p w14:paraId="74FEC521" w14:textId="6F3150DB" w:rsidR="00A14F65" w:rsidRPr="0059512A" w:rsidRDefault="000E45FB" w:rsidP="0059512A">
      <w:pPr>
        <w:pStyle w:val="ListParagraph"/>
        <w:keepNext/>
        <w:widowControl/>
        <w:spacing w:line="360" w:lineRule="auto"/>
        <w:ind w:left="2160" w:hanging="720"/>
        <w:rPr>
          <w:b/>
          <w:bCs/>
          <w:sz w:val="26"/>
          <w:szCs w:val="26"/>
        </w:rPr>
      </w:pPr>
      <w:bookmarkStart w:id="148" w:name="_Hlk35848179"/>
      <w:r w:rsidRPr="0059512A">
        <w:rPr>
          <w:b/>
          <w:bCs/>
          <w:sz w:val="26"/>
          <w:szCs w:val="26"/>
        </w:rPr>
        <w:lastRenderedPageBreak/>
        <w:t>a.</w:t>
      </w:r>
      <w:r w:rsidRPr="0059512A">
        <w:rPr>
          <w:b/>
          <w:bCs/>
          <w:sz w:val="26"/>
          <w:szCs w:val="26"/>
        </w:rPr>
        <w:tab/>
      </w:r>
      <w:r w:rsidR="00A14F65" w:rsidRPr="0059512A">
        <w:rPr>
          <w:b/>
          <w:bCs/>
          <w:sz w:val="26"/>
          <w:szCs w:val="26"/>
        </w:rPr>
        <w:t>Positions of the Parties</w:t>
      </w:r>
    </w:p>
    <w:p w14:paraId="6CDD8895" w14:textId="112FC8BE" w:rsidR="00A14F65" w:rsidRPr="0059512A" w:rsidRDefault="00A14F65" w:rsidP="0059512A">
      <w:pPr>
        <w:keepNext/>
        <w:widowControl/>
        <w:spacing w:line="360" w:lineRule="auto"/>
        <w:ind w:left="1440" w:hanging="720"/>
        <w:rPr>
          <w:b/>
          <w:bCs/>
          <w:sz w:val="26"/>
          <w:szCs w:val="26"/>
        </w:rPr>
      </w:pPr>
    </w:p>
    <w:p w14:paraId="5228AF6B" w14:textId="150971C2" w:rsidR="002B2A68" w:rsidRPr="0059512A" w:rsidRDefault="008B75E1" w:rsidP="0059512A">
      <w:pPr>
        <w:keepNext/>
        <w:widowControl/>
        <w:spacing w:line="360" w:lineRule="auto"/>
        <w:ind w:firstLine="1440"/>
        <w:rPr>
          <w:sz w:val="26"/>
          <w:szCs w:val="26"/>
        </w:rPr>
      </w:pPr>
      <w:r w:rsidRPr="0059512A">
        <w:rPr>
          <w:sz w:val="26"/>
          <w:szCs w:val="26"/>
        </w:rPr>
        <w:t>Howard</w:t>
      </w:r>
      <w:r w:rsidR="000D2EFC" w:rsidRPr="0059512A">
        <w:rPr>
          <w:sz w:val="26"/>
          <w:szCs w:val="26"/>
        </w:rPr>
        <w:t xml:space="preserve"> S.</w:t>
      </w:r>
      <w:r w:rsidRPr="0059512A">
        <w:rPr>
          <w:sz w:val="26"/>
          <w:szCs w:val="26"/>
        </w:rPr>
        <w:t xml:space="preserve"> Gorman testified on behalf of Citizens’ regarding the Company’s ACCOSS, arguing that the ACCOSS presented </w:t>
      </w:r>
      <w:r w:rsidR="003D0186" w:rsidRPr="0059512A">
        <w:rPr>
          <w:sz w:val="26"/>
          <w:szCs w:val="26"/>
        </w:rPr>
        <w:t>in Schedule E of Citizens’ Exhibit_(HSG-1) is reasonable and</w:t>
      </w:r>
      <w:r w:rsidR="002B2A68" w:rsidRPr="0059512A">
        <w:rPr>
          <w:sz w:val="26"/>
          <w:szCs w:val="26"/>
        </w:rPr>
        <w:t xml:space="preserve"> is consistent</w:t>
      </w:r>
      <w:r w:rsidR="003D0186" w:rsidRPr="0059512A">
        <w:rPr>
          <w:sz w:val="26"/>
          <w:szCs w:val="26"/>
        </w:rPr>
        <w:t xml:space="preserve"> with the methodology </w:t>
      </w:r>
      <w:r w:rsidR="002B2A68" w:rsidRPr="0059512A">
        <w:rPr>
          <w:sz w:val="26"/>
          <w:szCs w:val="26"/>
        </w:rPr>
        <w:t>used by other Pennsylvania electric utilities and Commission precedent in base rate proceedings.  Citizens’ M.B. at 104-105; Citizens’ R.B. at 38</w:t>
      </w:r>
      <w:r w:rsidR="000D2EFC" w:rsidRPr="0059512A">
        <w:rPr>
          <w:sz w:val="26"/>
          <w:szCs w:val="26"/>
        </w:rPr>
        <w:t>.</w:t>
      </w:r>
    </w:p>
    <w:p w14:paraId="150273FB" w14:textId="1F088ED6" w:rsidR="00B977B0" w:rsidRPr="0059512A" w:rsidRDefault="00B977B0" w:rsidP="0059512A">
      <w:pPr>
        <w:widowControl/>
        <w:spacing w:line="360" w:lineRule="auto"/>
        <w:rPr>
          <w:sz w:val="26"/>
          <w:szCs w:val="26"/>
        </w:rPr>
      </w:pPr>
    </w:p>
    <w:p w14:paraId="3D410C90" w14:textId="497D1B74" w:rsidR="00D07BDF" w:rsidRPr="0059512A" w:rsidRDefault="008327E8" w:rsidP="0059512A">
      <w:pPr>
        <w:widowControl/>
        <w:spacing w:line="360" w:lineRule="auto"/>
        <w:ind w:firstLine="1440"/>
        <w:rPr>
          <w:sz w:val="26"/>
          <w:szCs w:val="26"/>
        </w:rPr>
      </w:pPr>
      <w:r w:rsidRPr="0059512A">
        <w:rPr>
          <w:sz w:val="26"/>
          <w:szCs w:val="26"/>
        </w:rPr>
        <w:t>Citizens’</w:t>
      </w:r>
      <w:r w:rsidR="00D07BDF" w:rsidRPr="0059512A">
        <w:rPr>
          <w:sz w:val="26"/>
          <w:szCs w:val="26"/>
        </w:rPr>
        <w:t xml:space="preserve"> explained that </w:t>
      </w:r>
      <w:r w:rsidRPr="0059512A">
        <w:rPr>
          <w:sz w:val="26"/>
          <w:szCs w:val="26"/>
        </w:rPr>
        <w:t>cost of service analys</w:t>
      </w:r>
      <w:r w:rsidR="002A07B1" w:rsidRPr="0059512A">
        <w:rPr>
          <w:sz w:val="26"/>
          <w:szCs w:val="26"/>
        </w:rPr>
        <w:t>es</w:t>
      </w:r>
      <w:r w:rsidRPr="0059512A">
        <w:rPr>
          <w:sz w:val="26"/>
          <w:szCs w:val="26"/>
        </w:rPr>
        <w:t xml:space="preserve"> are developed to assign and allocate the Company’s rate base, revenues and expenses among its customer classes based primarily upon the principle of cost</w:t>
      </w:r>
      <w:r w:rsidR="000D2EFC" w:rsidRPr="0059512A">
        <w:rPr>
          <w:sz w:val="26"/>
          <w:szCs w:val="26"/>
        </w:rPr>
        <w:t>-</w:t>
      </w:r>
      <w:r w:rsidRPr="0059512A">
        <w:rPr>
          <w:sz w:val="26"/>
          <w:szCs w:val="26"/>
        </w:rPr>
        <w:t>causation, which its ACCOSS has</w:t>
      </w:r>
      <w:r w:rsidR="00C11117" w:rsidRPr="0059512A">
        <w:rPr>
          <w:sz w:val="26"/>
          <w:szCs w:val="26"/>
        </w:rPr>
        <w:t xml:space="preserve"> appropriately</w:t>
      </w:r>
      <w:r w:rsidRPr="0059512A">
        <w:rPr>
          <w:sz w:val="26"/>
          <w:szCs w:val="26"/>
        </w:rPr>
        <w:t xml:space="preserve"> done by following the traditional three step process: (1) </w:t>
      </w:r>
      <w:r w:rsidR="001F6138" w:rsidRPr="0059512A">
        <w:rPr>
          <w:i/>
          <w:iCs/>
          <w:sz w:val="26"/>
          <w:szCs w:val="26"/>
        </w:rPr>
        <w:t>functionalization</w:t>
      </w:r>
      <w:r w:rsidR="001F6138" w:rsidRPr="0059512A">
        <w:rPr>
          <w:sz w:val="26"/>
          <w:szCs w:val="26"/>
        </w:rPr>
        <w:t xml:space="preserve">: dividing rate base and expense elements of the cost of service into categories that relate to the operations of the Company; (2) </w:t>
      </w:r>
      <w:r w:rsidR="001F6138" w:rsidRPr="0059512A">
        <w:rPr>
          <w:i/>
          <w:iCs/>
          <w:sz w:val="26"/>
          <w:szCs w:val="26"/>
        </w:rPr>
        <w:t>cost classification</w:t>
      </w:r>
      <w:r w:rsidR="001F6138" w:rsidRPr="0059512A">
        <w:rPr>
          <w:sz w:val="26"/>
          <w:szCs w:val="26"/>
        </w:rPr>
        <w:t>: dividing functionalized rate base and expense elements into demand, commodity, or customer related components based upon principles of cost</w:t>
      </w:r>
      <w:r w:rsidR="000D2EFC" w:rsidRPr="0059512A">
        <w:rPr>
          <w:sz w:val="26"/>
          <w:szCs w:val="26"/>
        </w:rPr>
        <w:t>-</w:t>
      </w:r>
      <w:r w:rsidR="001F6138" w:rsidRPr="0059512A">
        <w:rPr>
          <w:sz w:val="26"/>
          <w:szCs w:val="26"/>
        </w:rPr>
        <w:t xml:space="preserve">causation; and (3) </w:t>
      </w:r>
      <w:r w:rsidR="001F6138" w:rsidRPr="0059512A">
        <w:rPr>
          <w:i/>
          <w:iCs/>
          <w:sz w:val="26"/>
          <w:szCs w:val="26"/>
        </w:rPr>
        <w:t>cost allocation</w:t>
      </w:r>
      <w:r w:rsidR="001F6138" w:rsidRPr="0059512A">
        <w:rPr>
          <w:sz w:val="26"/>
          <w:szCs w:val="26"/>
        </w:rPr>
        <w:t xml:space="preserve">: allocating costs </w:t>
      </w:r>
      <w:r w:rsidR="002E1FA0" w:rsidRPr="0059512A">
        <w:rPr>
          <w:sz w:val="26"/>
          <w:szCs w:val="26"/>
        </w:rPr>
        <w:t>among the customer classes on the basis of the most appropriate measure of demand, energy or customers, in proportion to each class’ share of the various allocation measures</w:t>
      </w:r>
      <w:r w:rsidR="001F6138" w:rsidRPr="0059512A">
        <w:rPr>
          <w:sz w:val="26"/>
          <w:szCs w:val="26"/>
        </w:rPr>
        <w:t>.</w:t>
      </w:r>
      <w:r w:rsidR="000D2EFC" w:rsidRPr="0059512A">
        <w:rPr>
          <w:sz w:val="26"/>
          <w:szCs w:val="26"/>
        </w:rPr>
        <w:t xml:space="preserve">  Citizens’ M.B.</w:t>
      </w:r>
      <w:r w:rsidR="00D873E1" w:rsidRPr="0059512A">
        <w:rPr>
          <w:sz w:val="26"/>
          <w:szCs w:val="26"/>
        </w:rPr>
        <w:t xml:space="preserve"> at 103.</w:t>
      </w:r>
    </w:p>
    <w:p w14:paraId="0493EE28" w14:textId="77777777" w:rsidR="00344C92" w:rsidRPr="0059512A" w:rsidRDefault="00344C92" w:rsidP="0059512A">
      <w:pPr>
        <w:widowControl/>
        <w:spacing w:line="360" w:lineRule="auto"/>
        <w:rPr>
          <w:sz w:val="26"/>
          <w:szCs w:val="26"/>
        </w:rPr>
      </w:pPr>
    </w:p>
    <w:p w14:paraId="29E049B1" w14:textId="4C1BC1E0" w:rsidR="009D5FDC" w:rsidRPr="0059512A" w:rsidRDefault="007D26A3" w:rsidP="0059512A">
      <w:pPr>
        <w:widowControl/>
        <w:spacing w:line="360" w:lineRule="auto"/>
        <w:ind w:firstLine="1440"/>
        <w:rPr>
          <w:sz w:val="26"/>
          <w:szCs w:val="26"/>
        </w:rPr>
      </w:pPr>
      <w:r w:rsidRPr="0059512A">
        <w:rPr>
          <w:sz w:val="26"/>
          <w:szCs w:val="26"/>
        </w:rPr>
        <w:t>Citizens’</w:t>
      </w:r>
      <w:r w:rsidR="00420BC4" w:rsidRPr="0059512A">
        <w:rPr>
          <w:sz w:val="26"/>
          <w:szCs w:val="26"/>
        </w:rPr>
        <w:t xml:space="preserve"> further</w:t>
      </w:r>
      <w:r w:rsidRPr="0059512A">
        <w:rPr>
          <w:sz w:val="26"/>
          <w:szCs w:val="26"/>
        </w:rPr>
        <w:t xml:space="preserve"> explained that</w:t>
      </w:r>
      <w:r w:rsidR="00344C92" w:rsidRPr="0059512A">
        <w:rPr>
          <w:sz w:val="26"/>
          <w:szCs w:val="26"/>
        </w:rPr>
        <w:t xml:space="preserve"> </w:t>
      </w:r>
      <w:r w:rsidR="00EA6688" w:rsidRPr="0059512A">
        <w:rPr>
          <w:sz w:val="26"/>
          <w:szCs w:val="26"/>
        </w:rPr>
        <w:t>within the framework of its</w:t>
      </w:r>
      <w:r w:rsidR="00151D9A" w:rsidRPr="0059512A">
        <w:rPr>
          <w:sz w:val="26"/>
          <w:szCs w:val="26"/>
        </w:rPr>
        <w:t xml:space="preserve"> </w:t>
      </w:r>
      <w:r w:rsidR="00EA6688" w:rsidRPr="0059512A">
        <w:rPr>
          <w:sz w:val="26"/>
          <w:szCs w:val="26"/>
        </w:rPr>
        <w:t>ACCOSS, distribution facilities (</w:t>
      </w:r>
      <w:r w:rsidR="00EA6688" w:rsidRPr="0059512A">
        <w:rPr>
          <w:i/>
          <w:iCs/>
          <w:sz w:val="26"/>
          <w:szCs w:val="26"/>
        </w:rPr>
        <w:t>e.g</w:t>
      </w:r>
      <w:r w:rsidR="00EA6688" w:rsidRPr="0059512A">
        <w:rPr>
          <w:sz w:val="26"/>
          <w:szCs w:val="26"/>
        </w:rPr>
        <w:t xml:space="preserve">., transformers, conductors, poles, towers, and underground conduit) were functionalized as either primary or secondary facilities.  Citizens’ witness, Mr. Gorman, classified the primary facilities (that are designed to move power from the transmission system to secondary distribution facilities) as demand-related.  </w:t>
      </w:r>
      <w:r w:rsidR="00F062CB" w:rsidRPr="0059512A">
        <w:rPr>
          <w:sz w:val="26"/>
          <w:szCs w:val="26"/>
        </w:rPr>
        <w:t>However, s</w:t>
      </w:r>
      <w:r w:rsidR="00EA6688" w:rsidRPr="0059512A">
        <w:rPr>
          <w:sz w:val="26"/>
          <w:szCs w:val="26"/>
        </w:rPr>
        <w:t>econdary</w:t>
      </w:r>
      <w:r w:rsidR="00945DBF" w:rsidRPr="0059512A">
        <w:rPr>
          <w:sz w:val="26"/>
          <w:szCs w:val="26"/>
        </w:rPr>
        <w:t xml:space="preserve"> upstream distribution facilities, such as poles, towers and fixtures (Account</w:t>
      </w:r>
      <w:r w:rsidR="000F2F32">
        <w:rPr>
          <w:sz w:val="26"/>
          <w:szCs w:val="26"/>
        </w:rPr>
        <w:t> </w:t>
      </w:r>
      <w:r w:rsidR="00945DBF" w:rsidRPr="0059512A">
        <w:rPr>
          <w:sz w:val="26"/>
          <w:szCs w:val="26"/>
        </w:rPr>
        <w:t>364); overhead conductors and devices (Account 365); underground conduits and conductors (Account 366) and transformers (Account 368),</w:t>
      </w:r>
      <w:r w:rsidR="00EA6688" w:rsidRPr="0059512A">
        <w:rPr>
          <w:sz w:val="26"/>
          <w:szCs w:val="26"/>
        </w:rPr>
        <w:t xml:space="preserve"> were classified as </w:t>
      </w:r>
      <w:r w:rsidR="00945DBF" w:rsidRPr="0059512A">
        <w:rPr>
          <w:sz w:val="26"/>
          <w:szCs w:val="26"/>
        </w:rPr>
        <w:t>customer and/or demand-related</w:t>
      </w:r>
      <w:r w:rsidR="00F062CB" w:rsidRPr="0059512A">
        <w:rPr>
          <w:sz w:val="26"/>
          <w:szCs w:val="26"/>
        </w:rPr>
        <w:t xml:space="preserve">.  </w:t>
      </w:r>
      <w:r w:rsidR="009D5FDC" w:rsidRPr="0059512A">
        <w:rPr>
          <w:sz w:val="26"/>
          <w:szCs w:val="26"/>
        </w:rPr>
        <w:t xml:space="preserve">In order to determine the customer-related portions of </w:t>
      </w:r>
      <w:r w:rsidR="009D5FDC" w:rsidRPr="0059512A">
        <w:rPr>
          <w:sz w:val="26"/>
          <w:szCs w:val="26"/>
        </w:rPr>
        <w:lastRenderedPageBreak/>
        <w:t xml:space="preserve">line transformers the Company employed a “minimum </w:t>
      </w:r>
      <w:r w:rsidR="00FA76A9" w:rsidRPr="0059512A">
        <w:rPr>
          <w:sz w:val="26"/>
          <w:szCs w:val="26"/>
        </w:rPr>
        <w:t>size</w:t>
      </w:r>
      <w:r w:rsidR="009D5FDC" w:rsidRPr="0059512A">
        <w:rPr>
          <w:sz w:val="26"/>
          <w:szCs w:val="26"/>
        </w:rPr>
        <w:t xml:space="preserve">” method.  For the remaining secondary distribution </w:t>
      </w:r>
      <w:r w:rsidR="00191B1A" w:rsidRPr="0059512A">
        <w:rPr>
          <w:sz w:val="26"/>
          <w:szCs w:val="26"/>
        </w:rPr>
        <w:t>plant,</w:t>
      </w:r>
      <w:r w:rsidR="009D5FDC" w:rsidRPr="0059512A">
        <w:rPr>
          <w:sz w:val="26"/>
          <w:szCs w:val="26"/>
        </w:rPr>
        <w:t xml:space="preserve"> a “zero-load analysis” was used to estimate the customer-related portions.  </w:t>
      </w:r>
      <w:r w:rsidR="00C7439F" w:rsidRPr="0059512A">
        <w:rPr>
          <w:sz w:val="26"/>
          <w:szCs w:val="26"/>
        </w:rPr>
        <w:t>Citizens’ St. 1 at 17-2</w:t>
      </w:r>
      <w:r w:rsidR="00D300CF" w:rsidRPr="0059512A">
        <w:rPr>
          <w:sz w:val="26"/>
          <w:szCs w:val="26"/>
        </w:rPr>
        <w:t>1</w:t>
      </w:r>
      <w:r w:rsidR="00C7439F" w:rsidRPr="0059512A">
        <w:rPr>
          <w:sz w:val="26"/>
          <w:szCs w:val="26"/>
        </w:rPr>
        <w:t xml:space="preserve">.  </w:t>
      </w:r>
    </w:p>
    <w:p w14:paraId="69F625C5" w14:textId="77777777" w:rsidR="006A2BCD" w:rsidRPr="0059512A" w:rsidRDefault="006A2BCD" w:rsidP="0059512A">
      <w:pPr>
        <w:widowControl/>
        <w:spacing w:line="360" w:lineRule="auto"/>
        <w:ind w:firstLine="1440"/>
        <w:rPr>
          <w:sz w:val="26"/>
          <w:szCs w:val="26"/>
        </w:rPr>
      </w:pPr>
    </w:p>
    <w:p w14:paraId="7EA75598" w14:textId="52CA8C87" w:rsidR="0085353C" w:rsidRPr="0059512A" w:rsidRDefault="0085353C" w:rsidP="0059512A">
      <w:pPr>
        <w:widowControl/>
        <w:spacing w:line="360" w:lineRule="auto"/>
        <w:ind w:firstLine="1440"/>
        <w:rPr>
          <w:sz w:val="26"/>
          <w:szCs w:val="26"/>
        </w:rPr>
      </w:pPr>
      <w:r w:rsidRPr="0059512A">
        <w:rPr>
          <w:sz w:val="26"/>
          <w:szCs w:val="26"/>
        </w:rPr>
        <w:t xml:space="preserve">Citizens’ argued that the </w:t>
      </w:r>
      <w:r w:rsidR="001E6CA0" w:rsidRPr="0059512A">
        <w:rPr>
          <w:sz w:val="26"/>
          <w:szCs w:val="26"/>
        </w:rPr>
        <w:t xml:space="preserve">utilization </w:t>
      </w:r>
      <w:r w:rsidR="00C51D6F" w:rsidRPr="0059512A">
        <w:rPr>
          <w:sz w:val="26"/>
          <w:szCs w:val="26"/>
        </w:rPr>
        <w:t>of “minimum system” classification methods</w:t>
      </w:r>
      <w:r w:rsidR="001E6CA0" w:rsidRPr="0059512A">
        <w:rPr>
          <w:sz w:val="26"/>
          <w:szCs w:val="26"/>
        </w:rPr>
        <w:t xml:space="preserve"> </w:t>
      </w:r>
      <w:r w:rsidR="005A3059">
        <w:rPr>
          <w:sz w:val="26"/>
          <w:szCs w:val="26"/>
        </w:rPr>
        <w:t>are</w:t>
      </w:r>
      <w:r w:rsidR="00CC7815" w:rsidRPr="0059512A">
        <w:rPr>
          <w:sz w:val="26"/>
          <w:szCs w:val="26"/>
        </w:rPr>
        <w:t xml:space="preserve"> </w:t>
      </w:r>
      <w:r w:rsidR="001E6CA0" w:rsidRPr="0059512A">
        <w:rPr>
          <w:sz w:val="26"/>
          <w:szCs w:val="26"/>
        </w:rPr>
        <w:t xml:space="preserve">appropriate means of classifying </w:t>
      </w:r>
      <w:r w:rsidR="00CE2A7A" w:rsidRPr="0059512A">
        <w:rPr>
          <w:sz w:val="26"/>
          <w:szCs w:val="26"/>
        </w:rPr>
        <w:t xml:space="preserve">the </w:t>
      </w:r>
      <w:r w:rsidR="001E6CA0" w:rsidRPr="0059512A">
        <w:rPr>
          <w:sz w:val="26"/>
          <w:szCs w:val="26"/>
        </w:rPr>
        <w:t>costs</w:t>
      </w:r>
      <w:r w:rsidR="00CE2A7A" w:rsidRPr="0059512A">
        <w:rPr>
          <w:sz w:val="26"/>
          <w:szCs w:val="26"/>
        </w:rPr>
        <w:t xml:space="preserve"> of </w:t>
      </w:r>
      <w:r w:rsidR="005D6A3D" w:rsidRPr="0059512A">
        <w:rPr>
          <w:sz w:val="26"/>
          <w:szCs w:val="26"/>
        </w:rPr>
        <w:t xml:space="preserve">secondary distribution plant </w:t>
      </w:r>
      <w:r w:rsidR="00CE2A7A" w:rsidRPr="0059512A">
        <w:rPr>
          <w:sz w:val="26"/>
          <w:szCs w:val="26"/>
        </w:rPr>
        <w:t>upstream</w:t>
      </w:r>
      <w:r w:rsidR="005D6A3D" w:rsidRPr="0059512A">
        <w:rPr>
          <w:sz w:val="26"/>
          <w:szCs w:val="26"/>
        </w:rPr>
        <w:t xml:space="preserve"> of meters and services,</w:t>
      </w:r>
      <w:r w:rsidR="001E6CA0" w:rsidRPr="0059512A">
        <w:rPr>
          <w:sz w:val="26"/>
          <w:szCs w:val="26"/>
        </w:rPr>
        <w:t xml:space="preserve"> in order to recognize that </w:t>
      </w:r>
      <w:r w:rsidR="00CE2A7A" w:rsidRPr="0059512A">
        <w:rPr>
          <w:sz w:val="26"/>
          <w:szCs w:val="26"/>
        </w:rPr>
        <w:t>such</w:t>
      </w:r>
      <w:r w:rsidR="001E6CA0" w:rsidRPr="0059512A">
        <w:rPr>
          <w:sz w:val="26"/>
          <w:szCs w:val="26"/>
        </w:rPr>
        <w:t xml:space="preserve"> costs are partially driven by the number of customers, and</w:t>
      </w:r>
      <w:r w:rsidR="005D6A3D" w:rsidRPr="0059512A">
        <w:rPr>
          <w:sz w:val="26"/>
          <w:szCs w:val="26"/>
        </w:rPr>
        <w:t xml:space="preserve"> are</w:t>
      </w:r>
      <w:r w:rsidR="001E6CA0" w:rsidRPr="0059512A">
        <w:rPr>
          <w:sz w:val="26"/>
          <w:szCs w:val="26"/>
        </w:rPr>
        <w:t xml:space="preserve"> therefor</w:t>
      </w:r>
      <w:r w:rsidR="00E019EE" w:rsidRPr="0059512A">
        <w:rPr>
          <w:sz w:val="26"/>
          <w:szCs w:val="26"/>
        </w:rPr>
        <w:t xml:space="preserve">e </w:t>
      </w:r>
      <w:r w:rsidR="005D6A3D" w:rsidRPr="0059512A">
        <w:rPr>
          <w:sz w:val="26"/>
          <w:szCs w:val="26"/>
        </w:rPr>
        <w:t>customer-related</w:t>
      </w:r>
      <w:r w:rsidR="001E6CA0" w:rsidRPr="0059512A">
        <w:rPr>
          <w:sz w:val="26"/>
          <w:szCs w:val="26"/>
        </w:rPr>
        <w:t>.</w:t>
      </w:r>
      <w:r w:rsidR="006A623A" w:rsidRPr="0059512A">
        <w:rPr>
          <w:sz w:val="26"/>
          <w:szCs w:val="26"/>
        </w:rPr>
        <w:t xml:space="preserve">  Citizens’ M.B. at 104.  </w:t>
      </w:r>
      <w:r w:rsidR="000F1730" w:rsidRPr="0059512A">
        <w:rPr>
          <w:sz w:val="26"/>
          <w:szCs w:val="26"/>
        </w:rPr>
        <w:t>“Minimum system” methods attempt to estimate the cost to replicate the configuration of an existing distribution system</w:t>
      </w:r>
      <w:r w:rsidR="0038003E" w:rsidRPr="0059512A">
        <w:rPr>
          <w:sz w:val="26"/>
          <w:szCs w:val="26"/>
        </w:rPr>
        <w:t>,</w:t>
      </w:r>
      <w:r w:rsidR="000F1730" w:rsidRPr="0059512A">
        <w:rPr>
          <w:sz w:val="26"/>
          <w:szCs w:val="26"/>
        </w:rPr>
        <w:t xml:space="preserve"> assuming that system was built to serve minimal or zero load.  As previously indicated, Citizens’ employed two approaches in estimating the cost of this hypothetical minimum distribution system</w:t>
      </w:r>
      <w:r w:rsidR="00517991" w:rsidRPr="0059512A">
        <w:rPr>
          <w:sz w:val="26"/>
          <w:szCs w:val="26"/>
        </w:rPr>
        <w:t>.  T</w:t>
      </w:r>
      <w:r w:rsidR="000F1730" w:rsidRPr="0059512A">
        <w:rPr>
          <w:sz w:val="26"/>
          <w:szCs w:val="26"/>
        </w:rPr>
        <w:t xml:space="preserve">he “minimum size” approach </w:t>
      </w:r>
      <w:r w:rsidR="0038003E" w:rsidRPr="0059512A">
        <w:rPr>
          <w:sz w:val="26"/>
          <w:szCs w:val="26"/>
        </w:rPr>
        <w:t xml:space="preserve">the Company </w:t>
      </w:r>
      <w:r w:rsidR="00517991" w:rsidRPr="0059512A">
        <w:rPr>
          <w:sz w:val="26"/>
          <w:szCs w:val="26"/>
        </w:rPr>
        <w:t xml:space="preserve">used to </w:t>
      </w:r>
      <w:r w:rsidR="004378CE" w:rsidRPr="0059512A">
        <w:rPr>
          <w:sz w:val="26"/>
          <w:szCs w:val="26"/>
        </w:rPr>
        <w:t xml:space="preserve">determine the customer-related portion of </w:t>
      </w:r>
      <w:r w:rsidR="00517991" w:rsidRPr="0059512A">
        <w:rPr>
          <w:sz w:val="26"/>
          <w:szCs w:val="26"/>
        </w:rPr>
        <w:t xml:space="preserve">line transformers attempts to estimate the cost of </w:t>
      </w:r>
      <w:r w:rsidR="001C53A5" w:rsidRPr="0059512A">
        <w:rPr>
          <w:sz w:val="26"/>
          <w:szCs w:val="26"/>
        </w:rPr>
        <w:t xml:space="preserve">reconstructing the distribution system with </w:t>
      </w:r>
      <w:r w:rsidR="00517991" w:rsidRPr="0059512A">
        <w:rPr>
          <w:sz w:val="26"/>
          <w:szCs w:val="26"/>
        </w:rPr>
        <w:t>the smallest-size equipment</w:t>
      </w:r>
      <w:r w:rsidR="00CB146B" w:rsidRPr="0059512A">
        <w:rPr>
          <w:sz w:val="26"/>
          <w:szCs w:val="26"/>
        </w:rPr>
        <w:t xml:space="preserve"> </w:t>
      </w:r>
      <w:r w:rsidR="001C53A5" w:rsidRPr="0059512A">
        <w:rPr>
          <w:sz w:val="26"/>
          <w:szCs w:val="26"/>
        </w:rPr>
        <w:t>possible</w:t>
      </w:r>
      <w:r w:rsidR="00517991" w:rsidRPr="0059512A">
        <w:rPr>
          <w:sz w:val="26"/>
          <w:szCs w:val="26"/>
        </w:rPr>
        <w:t xml:space="preserve">, which was determined to be a 50 </w:t>
      </w:r>
      <w:r w:rsidR="008037F7" w:rsidRPr="0059512A">
        <w:rPr>
          <w:sz w:val="26"/>
          <w:szCs w:val="26"/>
        </w:rPr>
        <w:t>kil</w:t>
      </w:r>
      <w:r w:rsidR="000D055A" w:rsidRPr="0059512A">
        <w:rPr>
          <w:sz w:val="26"/>
          <w:szCs w:val="26"/>
        </w:rPr>
        <w:t>o</w:t>
      </w:r>
      <w:r w:rsidR="008037F7" w:rsidRPr="0059512A">
        <w:rPr>
          <w:sz w:val="26"/>
          <w:szCs w:val="26"/>
        </w:rPr>
        <w:t>volt-amperes (</w:t>
      </w:r>
      <w:r w:rsidR="00517991" w:rsidRPr="0059512A">
        <w:rPr>
          <w:sz w:val="26"/>
          <w:szCs w:val="26"/>
        </w:rPr>
        <w:t>kVA</w:t>
      </w:r>
      <w:r w:rsidR="008037F7" w:rsidRPr="0059512A">
        <w:rPr>
          <w:sz w:val="26"/>
          <w:szCs w:val="26"/>
        </w:rPr>
        <w:t>)</w:t>
      </w:r>
      <w:r w:rsidR="00517991" w:rsidRPr="0059512A">
        <w:rPr>
          <w:sz w:val="26"/>
          <w:szCs w:val="26"/>
        </w:rPr>
        <w:t xml:space="preserve"> transformer serving four customers, or one-fo</w:t>
      </w:r>
      <w:r w:rsidR="00EB26B8" w:rsidRPr="0059512A">
        <w:rPr>
          <w:sz w:val="26"/>
          <w:szCs w:val="26"/>
        </w:rPr>
        <w:t>u</w:t>
      </w:r>
      <w:r w:rsidR="00517991" w:rsidRPr="0059512A">
        <w:rPr>
          <w:sz w:val="26"/>
          <w:szCs w:val="26"/>
        </w:rPr>
        <w:t xml:space="preserve">rth of a 50 kVA transformer.  </w:t>
      </w:r>
      <w:r w:rsidR="007D4719" w:rsidRPr="0059512A">
        <w:rPr>
          <w:sz w:val="26"/>
          <w:szCs w:val="26"/>
        </w:rPr>
        <w:t>Alternatively, the “zero-load analysis</w:t>
      </w:r>
      <w:r w:rsidR="000F2F32">
        <w:rPr>
          <w:sz w:val="26"/>
          <w:szCs w:val="26"/>
        </w:rPr>
        <w:t>,</w:t>
      </w:r>
      <w:r w:rsidR="007D4719" w:rsidRPr="0059512A">
        <w:rPr>
          <w:sz w:val="26"/>
          <w:szCs w:val="26"/>
        </w:rPr>
        <w:t>”</w:t>
      </w:r>
      <w:r w:rsidR="0038003E" w:rsidRPr="0059512A">
        <w:rPr>
          <w:sz w:val="26"/>
          <w:szCs w:val="26"/>
        </w:rPr>
        <w:t xml:space="preserve"> which </w:t>
      </w:r>
      <w:r w:rsidR="006A623A" w:rsidRPr="0059512A">
        <w:rPr>
          <w:sz w:val="26"/>
          <w:szCs w:val="26"/>
        </w:rPr>
        <w:t>Citizens’</w:t>
      </w:r>
      <w:r w:rsidR="0038003E" w:rsidRPr="0059512A">
        <w:rPr>
          <w:sz w:val="26"/>
          <w:szCs w:val="26"/>
        </w:rPr>
        <w:t xml:space="preserve"> used to </w:t>
      </w:r>
      <w:r w:rsidR="00EB6AA8" w:rsidRPr="0059512A">
        <w:rPr>
          <w:sz w:val="26"/>
          <w:szCs w:val="26"/>
        </w:rPr>
        <w:t>determine the customer-related portion of</w:t>
      </w:r>
      <w:r w:rsidR="0038003E" w:rsidRPr="0059512A">
        <w:rPr>
          <w:sz w:val="26"/>
          <w:szCs w:val="26"/>
        </w:rPr>
        <w:t xml:space="preserve"> the remaining secondary</w:t>
      </w:r>
      <w:r w:rsidR="00EB6AA8" w:rsidRPr="0059512A">
        <w:rPr>
          <w:sz w:val="26"/>
          <w:szCs w:val="26"/>
        </w:rPr>
        <w:t xml:space="preserve"> distribution plant,</w:t>
      </w:r>
      <w:r w:rsidR="0038003E" w:rsidRPr="0059512A">
        <w:rPr>
          <w:sz w:val="26"/>
          <w:szCs w:val="26"/>
        </w:rPr>
        <w:t xml:space="preserve"> </w:t>
      </w:r>
      <w:r w:rsidR="007D4719" w:rsidRPr="0059512A">
        <w:rPr>
          <w:sz w:val="26"/>
          <w:szCs w:val="26"/>
        </w:rPr>
        <w:t>attempts to estimate the portion of the costs required to serve a customer with minimum or no load.  Under either approach, the cost</w:t>
      </w:r>
      <w:r w:rsidR="00EB6AA8" w:rsidRPr="0059512A">
        <w:rPr>
          <w:sz w:val="26"/>
          <w:szCs w:val="26"/>
        </w:rPr>
        <w:t>s</w:t>
      </w:r>
      <w:r w:rsidR="007D4719" w:rsidRPr="0059512A">
        <w:rPr>
          <w:sz w:val="26"/>
          <w:szCs w:val="26"/>
        </w:rPr>
        <w:t xml:space="preserve"> of the hypothetical minimum distribution system were classified as customer-related, with the remaining portion of the costs classified as demand-related.</w:t>
      </w:r>
      <w:r w:rsidR="00994C42" w:rsidRPr="0059512A">
        <w:rPr>
          <w:sz w:val="26"/>
          <w:szCs w:val="26"/>
        </w:rPr>
        <w:t xml:space="preserve">  Citizens’ St. 1 at 21.  </w:t>
      </w:r>
    </w:p>
    <w:p w14:paraId="066FD909" w14:textId="265C67F5" w:rsidR="00EA6688" w:rsidRPr="0059512A" w:rsidRDefault="00EA6688" w:rsidP="0059512A">
      <w:pPr>
        <w:widowControl/>
        <w:spacing w:line="360" w:lineRule="auto"/>
        <w:rPr>
          <w:sz w:val="26"/>
          <w:szCs w:val="26"/>
        </w:rPr>
      </w:pPr>
    </w:p>
    <w:p w14:paraId="635E0226" w14:textId="4730270C" w:rsidR="00AA7172" w:rsidRPr="0059512A" w:rsidRDefault="006A2BCD" w:rsidP="0059512A">
      <w:pPr>
        <w:widowControl/>
        <w:spacing w:line="360" w:lineRule="auto"/>
        <w:ind w:firstLine="1440"/>
        <w:rPr>
          <w:sz w:val="26"/>
          <w:szCs w:val="26"/>
        </w:rPr>
      </w:pPr>
      <w:r w:rsidRPr="0059512A">
        <w:rPr>
          <w:sz w:val="26"/>
          <w:szCs w:val="26"/>
        </w:rPr>
        <w:t>Citizens’ pointed out that its methodology is consistent with methods approved in</w:t>
      </w:r>
      <w:r w:rsidRPr="0059512A">
        <w:rPr>
          <w:i/>
          <w:iCs/>
          <w:sz w:val="26"/>
          <w:szCs w:val="26"/>
        </w:rPr>
        <w:t xml:space="preserve"> </w:t>
      </w:r>
      <w:bookmarkStart w:id="149" w:name="_Hlk37157894"/>
      <w:r w:rsidR="00A76FD8" w:rsidRPr="0059512A">
        <w:rPr>
          <w:sz w:val="26"/>
          <w:szCs w:val="26"/>
        </w:rPr>
        <w:t xml:space="preserve">the </w:t>
      </w:r>
      <w:r w:rsidR="004C2E92" w:rsidRPr="0059512A">
        <w:rPr>
          <w:i/>
          <w:iCs/>
          <w:sz w:val="26"/>
          <w:szCs w:val="26"/>
        </w:rPr>
        <w:t>2012</w:t>
      </w:r>
      <w:r w:rsidR="004C2E92" w:rsidRPr="0059512A">
        <w:rPr>
          <w:sz w:val="26"/>
          <w:szCs w:val="26"/>
        </w:rPr>
        <w:t xml:space="preserve"> </w:t>
      </w:r>
      <w:r w:rsidRPr="0059512A">
        <w:rPr>
          <w:i/>
          <w:iCs/>
          <w:sz w:val="26"/>
          <w:szCs w:val="26"/>
        </w:rPr>
        <w:t>PPL Order</w:t>
      </w:r>
      <w:bookmarkEnd w:id="149"/>
      <w:r w:rsidRPr="0059512A">
        <w:rPr>
          <w:sz w:val="26"/>
          <w:szCs w:val="26"/>
        </w:rPr>
        <w:t xml:space="preserve"> and the </w:t>
      </w:r>
      <w:r w:rsidRPr="0059512A">
        <w:rPr>
          <w:i/>
          <w:iCs/>
          <w:sz w:val="26"/>
          <w:szCs w:val="26"/>
        </w:rPr>
        <w:t>UGI Order</w:t>
      </w:r>
      <w:r w:rsidR="00700B11" w:rsidRPr="0059512A">
        <w:rPr>
          <w:sz w:val="26"/>
          <w:szCs w:val="26"/>
        </w:rPr>
        <w:t xml:space="preserve">.  Specifically, the </w:t>
      </w:r>
      <w:r w:rsidR="00700B11" w:rsidRPr="0059512A">
        <w:rPr>
          <w:i/>
          <w:iCs/>
          <w:sz w:val="26"/>
          <w:szCs w:val="26"/>
        </w:rPr>
        <w:t>UGI Order</w:t>
      </w:r>
      <w:r w:rsidRPr="0059512A">
        <w:rPr>
          <w:sz w:val="26"/>
          <w:szCs w:val="26"/>
        </w:rPr>
        <w:t xml:space="preserve"> found that the minimum system method is consistent with the National Association of Regulatory Commissioners (NARUC) Electric Utility Cost Allocation Manual (NARUC Manual), which states that distribution costs should be either customer related, demand related, or a combination of both.  Essentially, Citizens’ argued that absent the use of a </w:t>
      </w:r>
      <w:r w:rsidRPr="0059512A">
        <w:rPr>
          <w:sz w:val="26"/>
          <w:szCs w:val="26"/>
        </w:rPr>
        <w:lastRenderedPageBreak/>
        <w:t>“minimum system” classification method</w:t>
      </w:r>
      <w:r w:rsidR="00AA7172" w:rsidRPr="0059512A">
        <w:rPr>
          <w:sz w:val="26"/>
          <w:szCs w:val="26"/>
        </w:rPr>
        <w:t>, the distribution costs are incorrectly allocated to each class</w:t>
      </w:r>
      <w:r w:rsidR="00946FC1" w:rsidRPr="0059512A">
        <w:rPr>
          <w:sz w:val="26"/>
          <w:szCs w:val="26"/>
        </w:rPr>
        <w:t xml:space="preserve">.  </w:t>
      </w:r>
      <w:r w:rsidR="0040153E" w:rsidRPr="0059512A">
        <w:rPr>
          <w:sz w:val="26"/>
          <w:szCs w:val="26"/>
        </w:rPr>
        <w:t>Citizens’ M.B. at 104-105</w:t>
      </w:r>
      <w:r w:rsidR="00946FC1" w:rsidRPr="0059512A">
        <w:rPr>
          <w:sz w:val="26"/>
          <w:szCs w:val="26"/>
        </w:rPr>
        <w:t>.</w:t>
      </w:r>
    </w:p>
    <w:p w14:paraId="7CCB61F7" w14:textId="3A2431AC" w:rsidR="0022301F" w:rsidRPr="0059512A" w:rsidRDefault="0022301F" w:rsidP="0059512A">
      <w:pPr>
        <w:widowControl/>
        <w:spacing w:line="360" w:lineRule="auto"/>
        <w:ind w:firstLine="1440"/>
        <w:rPr>
          <w:sz w:val="26"/>
          <w:szCs w:val="26"/>
        </w:rPr>
      </w:pPr>
    </w:p>
    <w:p w14:paraId="199275B8" w14:textId="1BCD9D9F" w:rsidR="00344C92" w:rsidRPr="0059512A" w:rsidRDefault="00471AC2" w:rsidP="0059512A">
      <w:pPr>
        <w:widowControl/>
        <w:spacing w:line="360" w:lineRule="auto"/>
        <w:ind w:firstLine="1440"/>
        <w:rPr>
          <w:sz w:val="26"/>
          <w:szCs w:val="26"/>
        </w:rPr>
      </w:pPr>
      <w:r w:rsidRPr="0059512A">
        <w:rPr>
          <w:sz w:val="26"/>
          <w:szCs w:val="26"/>
        </w:rPr>
        <w:t xml:space="preserve">The OCA was the only party that opposed Citizens’ ACCOSS.  </w:t>
      </w:r>
      <w:r w:rsidR="005B2A6C" w:rsidRPr="0059512A">
        <w:rPr>
          <w:sz w:val="26"/>
          <w:szCs w:val="26"/>
        </w:rPr>
        <w:t>T</w:t>
      </w:r>
      <w:r w:rsidR="00BC38BA" w:rsidRPr="0059512A">
        <w:rPr>
          <w:sz w:val="26"/>
          <w:szCs w:val="26"/>
        </w:rPr>
        <w:t>he OCA took issue with two components of the Company’s ACCOSS</w:t>
      </w:r>
      <w:r w:rsidR="005B2A6C" w:rsidRPr="0059512A">
        <w:rPr>
          <w:sz w:val="26"/>
          <w:szCs w:val="26"/>
        </w:rPr>
        <w:t xml:space="preserve">, namely, </w:t>
      </w:r>
      <w:r w:rsidR="00B516C0" w:rsidRPr="0059512A">
        <w:rPr>
          <w:sz w:val="26"/>
          <w:szCs w:val="26"/>
        </w:rPr>
        <w:t>(1) the</w:t>
      </w:r>
      <w:r w:rsidR="006C3018" w:rsidRPr="0059512A">
        <w:rPr>
          <w:sz w:val="26"/>
          <w:szCs w:val="26"/>
        </w:rPr>
        <w:t xml:space="preserve"> consideration and</w:t>
      </w:r>
      <w:r w:rsidR="00B516C0" w:rsidRPr="0059512A">
        <w:rPr>
          <w:sz w:val="26"/>
          <w:szCs w:val="26"/>
        </w:rPr>
        <w:t xml:space="preserve"> </w:t>
      </w:r>
      <w:r w:rsidR="00AE43F0" w:rsidRPr="0059512A">
        <w:rPr>
          <w:sz w:val="26"/>
          <w:szCs w:val="26"/>
        </w:rPr>
        <w:t>reflection</w:t>
      </w:r>
      <w:r w:rsidR="006C3018" w:rsidRPr="0059512A">
        <w:rPr>
          <w:sz w:val="26"/>
          <w:szCs w:val="26"/>
        </w:rPr>
        <w:t xml:space="preserve"> of the loss of load and the corresponding</w:t>
      </w:r>
      <w:r w:rsidR="00AE43F0" w:rsidRPr="0059512A">
        <w:rPr>
          <w:sz w:val="26"/>
          <w:szCs w:val="26"/>
        </w:rPr>
        <w:t xml:space="preserve"> reduction in revenue</w:t>
      </w:r>
      <w:r w:rsidR="006C3018" w:rsidRPr="0059512A">
        <w:rPr>
          <w:sz w:val="26"/>
          <w:szCs w:val="26"/>
        </w:rPr>
        <w:t xml:space="preserve"> associated</w:t>
      </w:r>
      <w:r w:rsidR="00AE43F0" w:rsidRPr="0059512A">
        <w:rPr>
          <w:sz w:val="26"/>
          <w:szCs w:val="26"/>
        </w:rPr>
        <w:t xml:space="preserve"> with the </w:t>
      </w:r>
      <w:r w:rsidR="006C3018" w:rsidRPr="0059512A">
        <w:rPr>
          <w:sz w:val="26"/>
          <w:szCs w:val="26"/>
        </w:rPr>
        <w:t xml:space="preserve">anticipated </w:t>
      </w:r>
      <w:r w:rsidR="00AE43F0" w:rsidRPr="0059512A">
        <w:rPr>
          <w:sz w:val="26"/>
          <w:szCs w:val="26"/>
        </w:rPr>
        <w:t xml:space="preserve">completion of a </w:t>
      </w:r>
      <w:r w:rsidR="00517FEB" w:rsidRPr="0059512A">
        <w:rPr>
          <w:sz w:val="26"/>
          <w:szCs w:val="26"/>
        </w:rPr>
        <w:t>3 MW</w:t>
      </w:r>
      <w:r w:rsidR="00AE43F0" w:rsidRPr="0059512A">
        <w:rPr>
          <w:sz w:val="26"/>
          <w:szCs w:val="26"/>
        </w:rPr>
        <w:t xml:space="preserve"> solar installation at </w:t>
      </w:r>
      <w:r w:rsidR="00B516C0" w:rsidRPr="0059512A">
        <w:rPr>
          <w:sz w:val="26"/>
          <w:szCs w:val="26"/>
        </w:rPr>
        <w:t>Bucknell,</w:t>
      </w:r>
      <w:r w:rsidR="006C340E" w:rsidRPr="0059512A">
        <w:rPr>
          <w:rStyle w:val="FootnoteReference"/>
          <w:sz w:val="26"/>
          <w:szCs w:val="26"/>
        </w:rPr>
        <w:footnoteReference w:id="21"/>
      </w:r>
      <w:r w:rsidR="00B516C0" w:rsidRPr="0059512A">
        <w:rPr>
          <w:sz w:val="26"/>
          <w:szCs w:val="26"/>
        </w:rPr>
        <w:t xml:space="preserve"> and (2) the classification of secondary portions of distribution plant (Accounts 264, 365, and 366) and transformers (Account 368) as customer-related.  OCA M.B. at 68-69.  </w:t>
      </w:r>
    </w:p>
    <w:p w14:paraId="733DFDCB" w14:textId="2C3E4CEF" w:rsidR="00344C92" w:rsidRPr="0059512A" w:rsidRDefault="00344C92" w:rsidP="0059512A">
      <w:pPr>
        <w:widowControl/>
        <w:spacing w:line="360" w:lineRule="auto"/>
        <w:ind w:firstLine="1440"/>
        <w:rPr>
          <w:sz w:val="26"/>
          <w:szCs w:val="26"/>
        </w:rPr>
      </w:pPr>
    </w:p>
    <w:p w14:paraId="6D1A2DC9" w14:textId="6E1BC5B5" w:rsidR="00344C92" w:rsidRPr="0059512A" w:rsidRDefault="00C77CE6" w:rsidP="0059512A">
      <w:pPr>
        <w:widowControl/>
        <w:spacing w:line="360" w:lineRule="auto"/>
        <w:ind w:firstLine="1440"/>
        <w:rPr>
          <w:sz w:val="26"/>
          <w:szCs w:val="26"/>
        </w:rPr>
      </w:pPr>
      <w:r w:rsidRPr="0059512A">
        <w:rPr>
          <w:sz w:val="26"/>
          <w:szCs w:val="26"/>
        </w:rPr>
        <w:t>According to the OCA, the Company’s ACCOSS improperly classified upstream secondary distribution plant as both customer-related and demand-related.  In the OCA’s view</w:t>
      </w:r>
      <w:r w:rsidR="00AD6DA9" w:rsidRPr="0059512A">
        <w:rPr>
          <w:sz w:val="26"/>
          <w:szCs w:val="26"/>
        </w:rPr>
        <w:t>,</w:t>
      </w:r>
      <w:r w:rsidRPr="0059512A">
        <w:rPr>
          <w:sz w:val="26"/>
          <w:szCs w:val="26"/>
        </w:rPr>
        <w:t xml:space="preserve"> primary, as well as secondary, distribution plant are demand-related investments and classification of these costs as partially customer-related is not reasonable.  </w:t>
      </w:r>
      <w:r w:rsidR="007D5FAA" w:rsidRPr="0059512A">
        <w:rPr>
          <w:sz w:val="26"/>
          <w:szCs w:val="26"/>
        </w:rPr>
        <w:t>The OCA submitted that</w:t>
      </w:r>
      <w:r w:rsidR="0019174A" w:rsidRPr="0059512A">
        <w:rPr>
          <w:sz w:val="26"/>
          <w:szCs w:val="26"/>
        </w:rPr>
        <w:t xml:space="preserve"> the Company’s use of “minimum system” classification methods are flawed.  Specifically, the OCA contended that the Company’s “minimum size” method fails to reflect how coincident load drives the transformer costs</w:t>
      </w:r>
      <w:r w:rsidR="005B7942" w:rsidRPr="0059512A">
        <w:rPr>
          <w:sz w:val="26"/>
          <w:szCs w:val="26"/>
        </w:rPr>
        <w:t xml:space="preserve">, nor does the Company’s analysis account for the load-carrying capability of the hypothetical minimum system.  Likewise, the OCA argued that the Company’s “zero-load analysis” fails to account for how the distribution system is engineered and how it is designed to work on a day-to-day basis, </w:t>
      </w:r>
      <w:r w:rsidR="008037F7" w:rsidRPr="0059512A">
        <w:rPr>
          <w:sz w:val="26"/>
          <w:szCs w:val="26"/>
        </w:rPr>
        <w:t>submitting that</w:t>
      </w:r>
      <w:r w:rsidR="005B7942" w:rsidRPr="0059512A">
        <w:rPr>
          <w:sz w:val="26"/>
          <w:szCs w:val="26"/>
        </w:rPr>
        <w:t xml:space="preserve"> secondary distribution plant costs are incurred to meet the coincident loads of customers and the size and costs are a function of the diversity of customers’ loads and expected future coincident loads.  OCA M.B. at 68-76; OCA R.B. at 33-37.</w:t>
      </w:r>
    </w:p>
    <w:p w14:paraId="0A8CC457" w14:textId="77777777" w:rsidR="0019174A" w:rsidRPr="0059512A" w:rsidRDefault="0019174A" w:rsidP="0059512A">
      <w:pPr>
        <w:widowControl/>
        <w:spacing w:line="360" w:lineRule="auto"/>
        <w:rPr>
          <w:sz w:val="26"/>
          <w:szCs w:val="26"/>
        </w:rPr>
      </w:pPr>
    </w:p>
    <w:p w14:paraId="79F78D58" w14:textId="5E32B7B3" w:rsidR="008F7689" w:rsidRPr="0059512A" w:rsidRDefault="009B1E61" w:rsidP="0059512A">
      <w:pPr>
        <w:widowControl/>
        <w:spacing w:line="360" w:lineRule="auto"/>
        <w:ind w:firstLine="1440"/>
        <w:rPr>
          <w:sz w:val="26"/>
          <w:szCs w:val="26"/>
        </w:rPr>
      </w:pPr>
      <w:r w:rsidRPr="0059512A">
        <w:rPr>
          <w:sz w:val="26"/>
          <w:szCs w:val="26"/>
        </w:rPr>
        <w:lastRenderedPageBreak/>
        <w:t>Therefore, the OCA proffered an alternative ACCOSS, which it contended more closely adheres to cost</w:t>
      </w:r>
      <w:r w:rsidR="000D2EFC" w:rsidRPr="0059512A">
        <w:rPr>
          <w:sz w:val="26"/>
          <w:szCs w:val="26"/>
        </w:rPr>
        <w:t>-</w:t>
      </w:r>
      <w:r w:rsidRPr="0059512A">
        <w:rPr>
          <w:sz w:val="26"/>
          <w:szCs w:val="26"/>
        </w:rPr>
        <w:t xml:space="preserve">causation principles.  More specifically, the OCA recommended that Citizens’ should be required to classify </w:t>
      </w:r>
      <w:r w:rsidR="007157CB" w:rsidRPr="0059512A">
        <w:rPr>
          <w:sz w:val="26"/>
          <w:szCs w:val="26"/>
        </w:rPr>
        <w:t>one hundred percent</w:t>
      </w:r>
      <w:r w:rsidRPr="0059512A">
        <w:rPr>
          <w:sz w:val="26"/>
          <w:szCs w:val="26"/>
        </w:rPr>
        <w:t xml:space="preserve"> of its upstream primary and secondary distribution plant as demand-related.</w:t>
      </w:r>
      <w:r w:rsidR="002330BF" w:rsidRPr="0059512A">
        <w:rPr>
          <w:sz w:val="26"/>
          <w:szCs w:val="26"/>
        </w:rPr>
        <w:t xml:space="preserve">  Further, as previously alluded to, the OCA proposed an additional modification to reflect its opposition to the claimed reduction in revenue associated with the anticipated completion of</w:t>
      </w:r>
      <w:r w:rsidR="00497677" w:rsidRPr="0059512A">
        <w:rPr>
          <w:sz w:val="26"/>
          <w:szCs w:val="26"/>
        </w:rPr>
        <w:t xml:space="preserve"> the</w:t>
      </w:r>
      <w:r w:rsidR="002330BF" w:rsidRPr="0059512A">
        <w:rPr>
          <w:sz w:val="26"/>
          <w:szCs w:val="26"/>
        </w:rPr>
        <w:t xml:space="preserve"> solar installation at Bucknell.</w:t>
      </w:r>
      <w:r w:rsidR="00BF5113" w:rsidRPr="0059512A">
        <w:rPr>
          <w:sz w:val="26"/>
          <w:szCs w:val="26"/>
        </w:rPr>
        <w:t xml:space="preserve">  OCA St. 4 at 16.</w:t>
      </w:r>
      <w:r w:rsidR="00293920" w:rsidRPr="0059512A">
        <w:rPr>
          <w:sz w:val="26"/>
          <w:szCs w:val="26"/>
        </w:rPr>
        <w:t xml:space="preserve">  </w:t>
      </w:r>
    </w:p>
    <w:p w14:paraId="0F7B56C1" w14:textId="77777777" w:rsidR="008F7689" w:rsidRPr="0059512A" w:rsidRDefault="008F7689" w:rsidP="0059512A">
      <w:pPr>
        <w:widowControl/>
        <w:spacing w:line="360" w:lineRule="auto"/>
        <w:ind w:firstLine="1440"/>
        <w:rPr>
          <w:sz w:val="26"/>
          <w:szCs w:val="26"/>
        </w:rPr>
      </w:pPr>
    </w:p>
    <w:p w14:paraId="236BEAEA" w14:textId="0403CE84" w:rsidR="00344C92" w:rsidRPr="0059512A" w:rsidRDefault="00293920" w:rsidP="0059512A">
      <w:pPr>
        <w:widowControl/>
        <w:spacing w:line="360" w:lineRule="auto"/>
        <w:ind w:firstLine="1440"/>
        <w:rPr>
          <w:sz w:val="26"/>
          <w:szCs w:val="26"/>
        </w:rPr>
      </w:pPr>
      <w:r w:rsidRPr="0059512A">
        <w:rPr>
          <w:sz w:val="26"/>
          <w:szCs w:val="26"/>
        </w:rPr>
        <w:t>Maintaining its position, as to the reasonableness of its ACCOSS, Citizens’ explained that the changes noted by the OCA and incorporated into</w:t>
      </w:r>
      <w:r w:rsidR="008F7689" w:rsidRPr="0059512A">
        <w:rPr>
          <w:sz w:val="26"/>
          <w:szCs w:val="26"/>
        </w:rPr>
        <w:t xml:space="preserve"> the</w:t>
      </w:r>
      <w:r w:rsidRPr="0059512A">
        <w:rPr>
          <w:sz w:val="26"/>
          <w:szCs w:val="26"/>
        </w:rPr>
        <w:t xml:space="preserve"> OCA’s alternative ACCOSS do not have a significant impact on the relative rates of return</w:t>
      </w:r>
      <w:r w:rsidR="00497677" w:rsidRPr="0059512A">
        <w:rPr>
          <w:sz w:val="26"/>
          <w:szCs w:val="26"/>
        </w:rPr>
        <w:t>, as</w:t>
      </w:r>
      <w:r w:rsidRPr="0059512A">
        <w:rPr>
          <w:sz w:val="26"/>
          <w:szCs w:val="26"/>
        </w:rPr>
        <w:t xml:space="preserve"> shown in</w:t>
      </w:r>
      <w:r w:rsidR="008F7689" w:rsidRPr="0059512A">
        <w:rPr>
          <w:sz w:val="26"/>
          <w:szCs w:val="26"/>
        </w:rPr>
        <w:t xml:space="preserve"> Table 2 o</w:t>
      </w:r>
      <w:r w:rsidR="00497677" w:rsidRPr="0059512A">
        <w:rPr>
          <w:sz w:val="26"/>
          <w:szCs w:val="26"/>
        </w:rPr>
        <w:t>n</w:t>
      </w:r>
      <w:r w:rsidR="008F7689" w:rsidRPr="0059512A">
        <w:rPr>
          <w:sz w:val="26"/>
          <w:szCs w:val="26"/>
        </w:rPr>
        <w:t xml:space="preserve"> page 16 of OCA </w:t>
      </w:r>
      <w:r w:rsidR="00497677" w:rsidRPr="0059512A">
        <w:rPr>
          <w:sz w:val="26"/>
          <w:szCs w:val="26"/>
        </w:rPr>
        <w:t>Statement No.</w:t>
      </w:r>
      <w:r w:rsidR="008F7689" w:rsidRPr="0059512A">
        <w:rPr>
          <w:sz w:val="26"/>
          <w:szCs w:val="26"/>
        </w:rPr>
        <w:t xml:space="preserve"> 4.  Therefore, the effect on revenue allocation, which is the primary purpose of the ACCOSS, is also very small.  Citizens’ St. 1-R at 14.  </w:t>
      </w:r>
    </w:p>
    <w:p w14:paraId="56933D07" w14:textId="77777777" w:rsidR="0026134F" w:rsidRPr="0059512A" w:rsidRDefault="0026134F" w:rsidP="0059512A">
      <w:pPr>
        <w:keepNext/>
        <w:widowControl/>
        <w:spacing w:line="360" w:lineRule="auto"/>
        <w:rPr>
          <w:b/>
          <w:bCs/>
          <w:sz w:val="26"/>
          <w:szCs w:val="26"/>
        </w:rPr>
      </w:pPr>
    </w:p>
    <w:p w14:paraId="09CDB73D" w14:textId="75FCEE98" w:rsidR="00A14F65" w:rsidRPr="0059512A" w:rsidRDefault="000E45FB" w:rsidP="0059512A">
      <w:pPr>
        <w:pStyle w:val="ListParagraph"/>
        <w:keepNext/>
        <w:widowControl/>
        <w:spacing w:line="360" w:lineRule="auto"/>
        <w:ind w:left="2160" w:hanging="720"/>
        <w:rPr>
          <w:b/>
          <w:bCs/>
          <w:sz w:val="26"/>
          <w:szCs w:val="26"/>
        </w:rPr>
      </w:pPr>
      <w:r w:rsidRPr="0059512A">
        <w:rPr>
          <w:b/>
          <w:bCs/>
          <w:sz w:val="26"/>
          <w:szCs w:val="26"/>
        </w:rPr>
        <w:t>b.</w:t>
      </w:r>
      <w:r w:rsidRPr="0059512A">
        <w:rPr>
          <w:b/>
          <w:bCs/>
          <w:sz w:val="26"/>
          <w:szCs w:val="26"/>
        </w:rPr>
        <w:tab/>
      </w:r>
      <w:r w:rsidR="00A14F65" w:rsidRPr="0059512A">
        <w:rPr>
          <w:b/>
          <w:bCs/>
          <w:sz w:val="26"/>
          <w:szCs w:val="26"/>
        </w:rPr>
        <w:t>Recommended Decision</w:t>
      </w:r>
    </w:p>
    <w:p w14:paraId="33FB636C" w14:textId="2A609BF2" w:rsidR="00A14F65" w:rsidRPr="0059512A" w:rsidRDefault="00A14F65" w:rsidP="0059512A">
      <w:pPr>
        <w:pStyle w:val="ListParagraph"/>
        <w:keepNext/>
        <w:widowControl/>
        <w:spacing w:line="360" w:lineRule="auto"/>
        <w:rPr>
          <w:b/>
          <w:bCs/>
          <w:sz w:val="26"/>
          <w:szCs w:val="26"/>
        </w:rPr>
      </w:pPr>
    </w:p>
    <w:p w14:paraId="3D7CC744" w14:textId="22B3F7E6" w:rsidR="005C6554" w:rsidRPr="0059512A" w:rsidRDefault="005C6554" w:rsidP="0059512A">
      <w:pPr>
        <w:pStyle w:val="ListParagraph"/>
        <w:keepNext/>
        <w:widowControl/>
        <w:spacing w:line="360" w:lineRule="auto"/>
        <w:ind w:left="0" w:firstLine="1440"/>
        <w:rPr>
          <w:sz w:val="26"/>
          <w:szCs w:val="26"/>
        </w:rPr>
      </w:pPr>
      <w:r w:rsidRPr="0059512A">
        <w:rPr>
          <w:sz w:val="26"/>
          <w:szCs w:val="26"/>
        </w:rPr>
        <w:t xml:space="preserve">The ALJs </w:t>
      </w:r>
      <w:bookmarkStart w:id="150" w:name="_Hlk38005838"/>
      <w:r w:rsidRPr="0059512A">
        <w:rPr>
          <w:sz w:val="26"/>
          <w:szCs w:val="26"/>
        </w:rPr>
        <w:t>recommended that the Company’s ACCOSS, excluding the inclusion of the solar revenue loss due to the installation at Bucknell, should be accepted and used as a guide to set rates in this proceeding, and that the OCA’s alternative ACCOSS should be denied</w:t>
      </w:r>
      <w:bookmarkEnd w:id="150"/>
      <w:r w:rsidRPr="0059512A">
        <w:rPr>
          <w:sz w:val="26"/>
          <w:szCs w:val="26"/>
        </w:rPr>
        <w:t xml:space="preserve">.  The ALJs found that the methods utilized by Citizens’ in this proceeding are consistent with the NARUC Manual, as well as methods approved by the Commission in the </w:t>
      </w:r>
      <w:r w:rsidRPr="0059512A">
        <w:rPr>
          <w:i/>
          <w:iCs/>
          <w:sz w:val="26"/>
          <w:szCs w:val="26"/>
        </w:rPr>
        <w:t>UGI Order</w:t>
      </w:r>
      <w:r w:rsidRPr="0059512A">
        <w:rPr>
          <w:sz w:val="26"/>
          <w:szCs w:val="26"/>
        </w:rPr>
        <w:t xml:space="preserve"> and the </w:t>
      </w:r>
      <w:r w:rsidR="004C2E92" w:rsidRPr="0059512A">
        <w:rPr>
          <w:i/>
          <w:iCs/>
          <w:sz w:val="26"/>
          <w:szCs w:val="26"/>
        </w:rPr>
        <w:t>2012</w:t>
      </w:r>
      <w:r w:rsidR="004C2E92" w:rsidRPr="0059512A">
        <w:rPr>
          <w:sz w:val="26"/>
          <w:szCs w:val="26"/>
        </w:rPr>
        <w:t xml:space="preserve"> </w:t>
      </w:r>
      <w:r w:rsidRPr="0059512A">
        <w:rPr>
          <w:i/>
          <w:iCs/>
          <w:sz w:val="26"/>
          <w:szCs w:val="26"/>
        </w:rPr>
        <w:t>PPL Order</w:t>
      </w:r>
      <w:r w:rsidRPr="0059512A">
        <w:rPr>
          <w:sz w:val="26"/>
          <w:szCs w:val="26"/>
        </w:rPr>
        <w:t xml:space="preserve">.  R.D. at 90-92.  </w:t>
      </w:r>
    </w:p>
    <w:p w14:paraId="706E182B" w14:textId="77777777" w:rsidR="00780179" w:rsidRPr="0059512A" w:rsidRDefault="00780179" w:rsidP="0059512A">
      <w:pPr>
        <w:widowControl/>
        <w:spacing w:line="360" w:lineRule="auto"/>
        <w:rPr>
          <w:b/>
          <w:bCs/>
          <w:sz w:val="26"/>
          <w:szCs w:val="26"/>
        </w:rPr>
      </w:pPr>
    </w:p>
    <w:p w14:paraId="4E21EBEB" w14:textId="3FF442DF" w:rsidR="00A14F65" w:rsidRPr="0059512A" w:rsidRDefault="000E45FB" w:rsidP="0059512A">
      <w:pPr>
        <w:pStyle w:val="ListParagraph"/>
        <w:keepNext/>
        <w:widowControl/>
        <w:spacing w:line="360" w:lineRule="auto"/>
        <w:ind w:left="2160" w:hanging="720"/>
        <w:rPr>
          <w:b/>
          <w:bCs/>
          <w:sz w:val="26"/>
          <w:szCs w:val="26"/>
        </w:rPr>
      </w:pPr>
      <w:r w:rsidRPr="0059512A">
        <w:rPr>
          <w:b/>
          <w:bCs/>
          <w:sz w:val="26"/>
          <w:szCs w:val="26"/>
        </w:rPr>
        <w:t>c.</w:t>
      </w:r>
      <w:r w:rsidRPr="0059512A">
        <w:rPr>
          <w:b/>
          <w:bCs/>
          <w:sz w:val="26"/>
          <w:szCs w:val="26"/>
        </w:rPr>
        <w:tab/>
      </w:r>
      <w:r w:rsidR="00A14F65" w:rsidRPr="0059512A">
        <w:rPr>
          <w:b/>
          <w:bCs/>
          <w:sz w:val="26"/>
          <w:szCs w:val="26"/>
        </w:rPr>
        <w:t>Exceptions and Replies</w:t>
      </w:r>
    </w:p>
    <w:p w14:paraId="06646D5E" w14:textId="48228B40" w:rsidR="00A14F65" w:rsidRPr="0059512A" w:rsidRDefault="00A14F65" w:rsidP="0059512A">
      <w:pPr>
        <w:keepNext/>
        <w:widowControl/>
        <w:spacing w:line="360" w:lineRule="auto"/>
        <w:ind w:left="1440" w:hanging="720"/>
        <w:rPr>
          <w:b/>
          <w:bCs/>
          <w:sz w:val="26"/>
          <w:szCs w:val="26"/>
        </w:rPr>
      </w:pPr>
    </w:p>
    <w:p w14:paraId="7044F58E" w14:textId="5A16AF11" w:rsidR="00C75804" w:rsidRPr="0059512A" w:rsidRDefault="00E57D4C" w:rsidP="0059512A">
      <w:pPr>
        <w:keepNext/>
        <w:widowControl/>
        <w:spacing w:line="360" w:lineRule="auto"/>
        <w:ind w:firstLine="1440"/>
        <w:rPr>
          <w:sz w:val="26"/>
          <w:szCs w:val="26"/>
        </w:rPr>
      </w:pPr>
      <w:r w:rsidRPr="0059512A">
        <w:rPr>
          <w:sz w:val="26"/>
          <w:szCs w:val="26"/>
        </w:rPr>
        <w:t xml:space="preserve">In its Exception No. 9, the OCA submits that the ALJs erred by recommending the adoption of the Company’s ACCOSS.  </w:t>
      </w:r>
      <w:r w:rsidR="007533FB" w:rsidRPr="0059512A">
        <w:rPr>
          <w:sz w:val="26"/>
          <w:szCs w:val="26"/>
        </w:rPr>
        <w:t>The OCA remains of the opinion that its own proposed ACCOSS more accurately follows the principles of cost</w:t>
      </w:r>
      <w:r w:rsidR="000D2EFC" w:rsidRPr="0059512A">
        <w:rPr>
          <w:sz w:val="26"/>
          <w:szCs w:val="26"/>
        </w:rPr>
        <w:t>-</w:t>
      </w:r>
      <w:r w:rsidR="007533FB" w:rsidRPr="0059512A">
        <w:rPr>
          <w:sz w:val="26"/>
          <w:szCs w:val="26"/>
        </w:rPr>
        <w:t xml:space="preserve">causation, maintaining its contention that it is inappropriate to classify any portion of </w:t>
      </w:r>
      <w:r w:rsidR="007533FB" w:rsidRPr="0059512A">
        <w:rPr>
          <w:sz w:val="26"/>
          <w:szCs w:val="26"/>
        </w:rPr>
        <w:lastRenderedPageBreak/>
        <w:t xml:space="preserve">secondary upstream distribution plant, such as poles, towers and fixtures (Account 364); overhead conductors and devices (Account 365); underground conduits and conductors (Account 366) and transformers (Account 368) as customer related, but rather should be classified one-hundred percent as demand-related.  </w:t>
      </w:r>
      <w:r w:rsidR="00C70C76" w:rsidRPr="0059512A">
        <w:rPr>
          <w:sz w:val="26"/>
          <w:szCs w:val="26"/>
        </w:rPr>
        <w:t xml:space="preserve">According to the OCA, there is no direct relationship between the number of customers and the size or the cost of poles or conductors.  Rather, the OCA submits that poles, wires, and transformers are designed in order to meet the loads placed on them.  Therefore, the OCA asserts that assigning costs for these facilities based on the number of customers is not consistent with how the system was designed or operated in everyday use.  OCA Exc. at 20-25.  </w:t>
      </w:r>
    </w:p>
    <w:p w14:paraId="424061B0" w14:textId="3AF08158" w:rsidR="00835771" w:rsidRPr="0059512A" w:rsidRDefault="00835771" w:rsidP="0059512A">
      <w:pPr>
        <w:widowControl/>
        <w:spacing w:line="360" w:lineRule="auto"/>
        <w:ind w:firstLine="1440"/>
        <w:rPr>
          <w:sz w:val="26"/>
          <w:szCs w:val="26"/>
        </w:rPr>
      </w:pPr>
    </w:p>
    <w:p w14:paraId="379ECFBB" w14:textId="0216CFB7" w:rsidR="00835771" w:rsidRPr="0059512A" w:rsidRDefault="00835771" w:rsidP="0059512A">
      <w:pPr>
        <w:widowControl/>
        <w:spacing w:line="360" w:lineRule="auto"/>
        <w:ind w:firstLine="1440"/>
        <w:rPr>
          <w:sz w:val="26"/>
          <w:szCs w:val="26"/>
        </w:rPr>
      </w:pPr>
      <w:r w:rsidRPr="0059512A">
        <w:rPr>
          <w:sz w:val="26"/>
          <w:szCs w:val="26"/>
        </w:rPr>
        <w:t xml:space="preserve">The OCA argues that the ALJs erred in their reliance on the </w:t>
      </w:r>
      <w:r w:rsidRPr="0059512A">
        <w:rPr>
          <w:i/>
          <w:iCs/>
          <w:sz w:val="26"/>
          <w:szCs w:val="26"/>
        </w:rPr>
        <w:t>UGI Order</w:t>
      </w:r>
      <w:r w:rsidRPr="0059512A">
        <w:rPr>
          <w:sz w:val="26"/>
          <w:szCs w:val="26"/>
        </w:rPr>
        <w:t xml:space="preserve"> and the </w:t>
      </w:r>
      <w:r w:rsidR="004C2E92" w:rsidRPr="0059512A">
        <w:rPr>
          <w:i/>
          <w:iCs/>
          <w:sz w:val="26"/>
          <w:szCs w:val="26"/>
        </w:rPr>
        <w:t>2012</w:t>
      </w:r>
      <w:r w:rsidR="004C2E92" w:rsidRPr="0059512A">
        <w:rPr>
          <w:sz w:val="26"/>
          <w:szCs w:val="26"/>
        </w:rPr>
        <w:t xml:space="preserve"> </w:t>
      </w:r>
      <w:r w:rsidRPr="0059512A">
        <w:rPr>
          <w:i/>
          <w:iCs/>
          <w:sz w:val="26"/>
          <w:szCs w:val="26"/>
        </w:rPr>
        <w:t>PPL Order</w:t>
      </w:r>
      <w:r w:rsidRPr="0059512A">
        <w:rPr>
          <w:sz w:val="26"/>
          <w:szCs w:val="26"/>
        </w:rPr>
        <w:t xml:space="preserve"> and reiterates its argument that the ALJs did not appropriately consider the flaws in the Company’s “zero-load analysis</w:t>
      </w:r>
      <w:r w:rsidR="00A701A6" w:rsidRPr="0059512A">
        <w:rPr>
          <w:sz w:val="26"/>
          <w:szCs w:val="26"/>
        </w:rPr>
        <w:t>,” which it claims has no basis in how secondary distribution costs are actually incurred or the reason for the incurrence of such costs.</w:t>
      </w:r>
      <w:r w:rsidR="00B5691A" w:rsidRPr="0059512A">
        <w:rPr>
          <w:sz w:val="26"/>
          <w:szCs w:val="26"/>
        </w:rPr>
        <w:t xml:space="preserve">  The OCA also submits that even if it is determined that some portion of secondary plant is customer related, the Company’s “minimum size” method used to determine the customer percentage for line transformers is flawed.  In this regard, the OCA reasons that </w:t>
      </w:r>
      <w:r w:rsidR="0042518E" w:rsidRPr="0059512A">
        <w:rPr>
          <w:sz w:val="26"/>
          <w:szCs w:val="26"/>
        </w:rPr>
        <w:t>Citizens’ has presented no evidence to demonstrate the correlation between the length or mileage of the Company’s secondary distribution system and the number of customers served by the system</w:t>
      </w:r>
      <w:r w:rsidR="00F76C31" w:rsidRPr="0059512A">
        <w:rPr>
          <w:sz w:val="26"/>
          <w:szCs w:val="26"/>
        </w:rPr>
        <w:t>, nor does the Company’s methodology reflect how coincident load drives the transformer costs</w:t>
      </w:r>
      <w:r w:rsidR="0042518E" w:rsidRPr="0059512A">
        <w:rPr>
          <w:sz w:val="26"/>
          <w:szCs w:val="26"/>
        </w:rPr>
        <w:t xml:space="preserve">.  Furthermore, Citizens’ contends that the size of the transformer </w:t>
      </w:r>
      <w:r w:rsidR="00F76C31" w:rsidRPr="0059512A">
        <w:rPr>
          <w:sz w:val="26"/>
          <w:szCs w:val="26"/>
        </w:rPr>
        <w:t>that has been deemed minimum, in fact, has significant load carrying capability, which the Company’s analysis does not account for.</w:t>
      </w:r>
      <w:r w:rsidR="00493C79" w:rsidRPr="0059512A">
        <w:rPr>
          <w:sz w:val="26"/>
          <w:szCs w:val="26"/>
        </w:rPr>
        <w:t xml:space="preserve">  OCA Exc. at</w:t>
      </w:r>
      <w:r w:rsidR="001F62F8" w:rsidRPr="0059512A">
        <w:rPr>
          <w:sz w:val="26"/>
          <w:szCs w:val="26"/>
        </w:rPr>
        <w:t> </w:t>
      </w:r>
      <w:r w:rsidR="00493C79" w:rsidRPr="0059512A">
        <w:rPr>
          <w:sz w:val="26"/>
          <w:szCs w:val="26"/>
        </w:rPr>
        <w:t xml:space="preserve">22-25.  </w:t>
      </w:r>
    </w:p>
    <w:p w14:paraId="67D8470C" w14:textId="6F2A9490" w:rsidR="00986CF6" w:rsidRPr="0059512A" w:rsidRDefault="00986CF6" w:rsidP="0059512A">
      <w:pPr>
        <w:widowControl/>
        <w:spacing w:line="360" w:lineRule="auto"/>
        <w:ind w:firstLine="1440"/>
        <w:rPr>
          <w:sz w:val="26"/>
          <w:szCs w:val="26"/>
        </w:rPr>
      </w:pPr>
    </w:p>
    <w:p w14:paraId="4F924628" w14:textId="47DA6305" w:rsidR="00986CF6" w:rsidRPr="0059512A" w:rsidRDefault="00BC1684" w:rsidP="0059512A">
      <w:pPr>
        <w:widowControl/>
        <w:spacing w:line="360" w:lineRule="auto"/>
        <w:ind w:firstLine="1440"/>
        <w:rPr>
          <w:sz w:val="26"/>
          <w:szCs w:val="26"/>
        </w:rPr>
      </w:pPr>
      <w:r w:rsidRPr="0059512A">
        <w:rPr>
          <w:sz w:val="26"/>
          <w:szCs w:val="26"/>
        </w:rPr>
        <w:t xml:space="preserve">In its Replies to Exceptions, </w:t>
      </w:r>
      <w:r w:rsidR="001F3EFC" w:rsidRPr="0059512A">
        <w:rPr>
          <w:sz w:val="26"/>
          <w:szCs w:val="26"/>
        </w:rPr>
        <w:t xml:space="preserve">Citizens’ maintains that in developing its ACCOSS it adhered to public accounting practices, demonstrated by its use of the minimum system method and zero-load analysis, which recognizes that upstream secondary distribution plant contains customer costs and that such secondary plant </w:t>
      </w:r>
      <w:r w:rsidR="001F3EFC" w:rsidRPr="0059512A">
        <w:rPr>
          <w:sz w:val="26"/>
          <w:szCs w:val="26"/>
        </w:rPr>
        <w:lastRenderedPageBreak/>
        <w:t>facilities are partially driven by the number of customers.  Citizens’ contends that the adjustments and alternatives proposed by the OCA attempt to ignore cost</w:t>
      </w:r>
      <w:r w:rsidR="000D2EFC" w:rsidRPr="0059512A">
        <w:rPr>
          <w:sz w:val="26"/>
          <w:szCs w:val="26"/>
        </w:rPr>
        <w:t>-</w:t>
      </w:r>
      <w:r w:rsidR="001F3EFC" w:rsidRPr="0059512A">
        <w:rPr>
          <w:sz w:val="26"/>
          <w:szCs w:val="26"/>
        </w:rPr>
        <w:t xml:space="preserve">causation and are contrary to Commission precedent, which should not be deviated from.  Therefore, Citizens’ argues that the OCA’s Exception should be denied, as the ALJs have properly recognized that the OCA has simply continued to advance arguments that have been repeatedly rejected by the Commission, </w:t>
      </w:r>
      <w:r w:rsidR="001F3EFC" w:rsidRPr="0059512A">
        <w:rPr>
          <w:i/>
          <w:iCs/>
          <w:sz w:val="26"/>
          <w:szCs w:val="26"/>
        </w:rPr>
        <w:t>i.e</w:t>
      </w:r>
      <w:r w:rsidR="001F3EFC" w:rsidRPr="0059512A">
        <w:rPr>
          <w:sz w:val="26"/>
          <w:szCs w:val="26"/>
        </w:rPr>
        <w:t xml:space="preserve">., the </w:t>
      </w:r>
      <w:r w:rsidR="001F3EFC" w:rsidRPr="0059512A">
        <w:rPr>
          <w:i/>
          <w:iCs/>
          <w:sz w:val="26"/>
          <w:szCs w:val="26"/>
        </w:rPr>
        <w:t>UGI Order</w:t>
      </w:r>
      <w:r w:rsidR="001F3EFC" w:rsidRPr="0059512A">
        <w:rPr>
          <w:sz w:val="26"/>
          <w:szCs w:val="26"/>
        </w:rPr>
        <w:t xml:space="preserve"> and the </w:t>
      </w:r>
      <w:r w:rsidR="004C2E92" w:rsidRPr="0059512A">
        <w:rPr>
          <w:i/>
          <w:iCs/>
          <w:sz w:val="26"/>
          <w:szCs w:val="26"/>
        </w:rPr>
        <w:t xml:space="preserve">2012 </w:t>
      </w:r>
      <w:r w:rsidR="001F3EFC" w:rsidRPr="0059512A">
        <w:rPr>
          <w:i/>
          <w:iCs/>
          <w:sz w:val="26"/>
          <w:szCs w:val="26"/>
        </w:rPr>
        <w:t>PPL Order</w:t>
      </w:r>
      <w:r w:rsidR="001F3EFC" w:rsidRPr="0059512A">
        <w:rPr>
          <w:sz w:val="26"/>
          <w:szCs w:val="26"/>
        </w:rPr>
        <w:t xml:space="preserve">.  Citizens’ R. Exc. at 16-20. </w:t>
      </w:r>
    </w:p>
    <w:p w14:paraId="67733C06" w14:textId="77777777" w:rsidR="00C75804" w:rsidRPr="0059512A" w:rsidRDefault="00C75804" w:rsidP="0059512A">
      <w:pPr>
        <w:widowControl/>
        <w:spacing w:line="360" w:lineRule="auto"/>
        <w:ind w:left="1440" w:hanging="720"/>
        <w:rPr>
          <w:b/>
          <w:bCs/>
          <w:sz w:val="26"/>
          <w:szCs w:val="26"/>
        </w:rPr>
      </w:pPr>
    </w:p>
    <w:p w14:paraId="55C45E34" w14:textId="1A3A956E" w:rsidR="00A14F65" w:rsidRPr="0059512A" w:rsidRDefault="000E45FB" w:rsidP="0059512A">
      <w:pPr>
        <w:pStyle w:val="ListParagraph"/>
        <w:keepNext/>
        <w:widowControl/>
        <w:spacing w:line="360" w:lineRule="auto"/>
        <w:ind w:left="2160" w:hanging="720"/>
        <w:rPr>
          <w:b/>
          <w:bCs/>
          <w:sz w:val="26"/>
          <w:szCs w:val="26"/>
        </w:rPr>
      </w:pPr>
      <w:r w:rsidRPr="0059512A">
        <w:rPr>
          <w:b/>
          <w:bCs/>
          <w:sz w:val="26"/>
          <w:szCs w:val="26"/>
        </w:rPr>
        <w:t>d.</w:t>
      </w:r>
      <w:r w:rsidRPr="0059512A">
        <w:rPr>
          <w:b/>
          <w:bCs/>
          <w:sz w:val="26"/>
          <w:szCs w:val="26"/>
        </w:rPr>
        <w:tab/>
      </w:r>
      <w:r w:rsidR="00A14F65" w:rsidRPr="0059512A">
        <w:rPr>
          <w:b/>
          <w:bCs/>
          <w:sz w:val="26"/>
          <w:szCs w:val="26"/>
        </w:rPr>
        <w:t>Disposition</w:t>
      </w:r>
    </w:p>
    <w:p w14:paraId="54835EF9" w14:textId="516FE8A0" w:rsidR="001014FF" w:rsidRPr="0059512A" w:rsidRDefault="001014FF" w:rsidP="0059512A">
      <w:pPr>
        <w:pStyle w:val="ListParagraph"/>
        <w:keepNext/>
        <w:widowControl/>
        <w:spacing w:line="360" w:lineRule="auto"/>
        <w:ind w:left="2160" w:hanging="720"/>
        <w:rPr>
          <w:b/>
          <w:bCs/>
          <w:sz w:val="26"/>
          <w:szCs w:val="26"/>
        </w:rPr>
      </w:pPr>
    </w:p>
    <w:p w14:paraId="4D3C18E4" w14:textId="237FAC8E" w:rsidR="001014FF" w:rsidRPr="0059512A" w:rsidRDefault="001014FF" w:rsidP="0059512A">
      <w:pPr>
        <w:pStyle w:val="ListParagraph"/>
        <w:keepNext/>
        <w:widowControl/>
        <w:spacing w:line="360" w:lineRule="auto"/>
        <w:ind w:left="0" w:firstLine="1440"/>
        <w:rPr>
          <w:sz w:val="26"/>
          <w:szCs w:val="26"/>
        </w:rPr>
      </w:pPr>
      <w:r w:rsidRPr="0059512A">
        <w:rPr>
          <w:sz w:val="26"/>
          <w:szCs w:val="26"/>
        </w:rPr>
        <w:t>The Commission uses the results from cost of service studies as a guide in developing appropriate customer class rates.  Nevertheless, as we have stated in past rate decisions, cost of service studies are tools to be used in the ultimate design of customer rates, but they are necessarily subject to the philosophies of the analysts preparing them.  We therefore emphasize that appropriate judgment and discretion is required in analyzing the cost of service studies and using them to help set the final customer class rates based on the evidentiary record.</w:t>
      </w:r>
    </w:p>
    <w:bookmarkEnd w:id="148"/>
    <w:p w14:paraId="2578CFD0" w14:textId="12FC1C5B" w:rsidR="004470E5" w:rsidRPr="0059512A" w:rsidRDefault="004470E5" w:rsidP="0059512A">
      <w:pPr>
        <w:widowControl/>
        <w:spacing w:line="360" w:lineRule="auto"/>
        <w:rPr>
          <w:sz w:val="26"/>
          <w:szCs w:val="26"/>
        </w:rPr>
      </w:pPr>
    </w:p>
    <w:p w14:paraId="754467EE" w14:textId="77777777" w:rsidR="00D4695C" w:rsidRPr="0059512A" w:rsidRDefault="00D4695C" w:rsidP="0059512A">
      <w:pPr>
        <w:widowControl/>
        <w:spacing w:after="200" w:line="360" w:lineRule="auto"/>
        <w:ind w:firstLine="1440"/>
        <w:contextualSpacing/>
        <w:rPr>
          <w:rFonts w:eastAsiaTheme="minorHAnsi"/>
          <w:sz w:val="26"/>
          <w:szCs w:val="26"/>
        </w:rPr>
      </w:pPr>
      <w:r w:rsidRPr="0059512A">
        <w:rPr>
          <w:rFonts w:eastAsiaTheme="minorHAnsi"/>
          <w:sz w:val="26"/>
          <w:szCs w:val="26"/>
        </w:rPr>
        <w:t>We agree with the ALJs’ recommendation that Citizens’ proposed ACCOSS, without the inclusion of the Bucknell solar revenue loss, be approved, and the OCA’s arguments be rejected.  We do not find merit in the OCA’s position and Exceptions on this issue, and we are not persuaded by the arguments the OCA presented in support of its recommended alternative ACCOSS methodology.  R.D. at 90-92.</w:t>
      </w:r>
    </w:p>
    <w:p w14:paraId="5C541BE2" w14:textId="77777777" w:rsidR="00D4695C" w:rsidRPr="0059512A" w:rsidRDefault="00D4695C" w:rsidP="0059512A">
      <w:pPr>
        <w:widowControl/>
        <w:spacing w:after="200" w:line="360" w:lineRule="auto"/>
        <w:ind w:firstLine="1440"/>
        <w:contextualSpacing/>
        <w:rPr>
          <w:rFonts w:eastAsiaTheme="minorHAnsi"/>
          <w:sz w:val="26"/>
          <w:szCs w:val="26"/>
        </w:rPr>
      </w:pPr>
    </w:p>
    <w:p w14:paraId="21BE81D9" w14:textId="0F3EDAF8" w:rsidR="00D4695C" w:rsidRPr="0059512A" w:rsidRDefault="00D4695C" w:rsidP="0059512A">
      <w:pPr>
        <w:widowControl/>
        <w:spacing w:after="200" w:line="360" w:lineRule="auto"/>
        <w:ind w:firstLine="1440"/>
        <w:contextualSpacing/>
        <w:rPr>
          <w:rFonts w:eastAsiaTheme="minorHAnsi"/>
          <w:sz w:val="26"/>
          <w:szCs w:val="26"/>
        </w:rPr>
      </w:pPr>
      <w:r w:rsidRPr="0059512A">
        <w:rPr>
          <w:rFonts w:eastAsiaTheme="minorHAnsi"/>
          <w:sz w:val="26"/>
          <w:szCs w:val="26"/>
        </w:rPr>
        <w:t xml:space="preserve">As Citizens’ pointed out, we note the OCA presented its contention that secondary distribution plant should be classified as 100% demand related in the </w:t>
      </w:r>
      <w:r w:rsidRPr="0059512A">
        <w:rPr>
          <w:rFonts w:eastAsiaTheme="minorHAnsi"/>
          <w:i/>
          <w:iCs/>
          <w:sz w:val="26"/>
          <w:szCs w:val="26"/>
        </w:rPr>
        <w:t>UGI Order</w:t>
      </w:r>
      <w:r w:rsidRPr="0059512A">
        <w:rPr>
          <w:rFonts w:eastAsiaTheme="minorHAnsi"/>
          <w:sz w:val="26"/>
          <w:szCs w:val="26"/>
        </w:rPr>
        <w:t xml:space="preserve"> and </w:t>
      </w:r>
      <w:r w:rsidR="004C2E92" w:rsidRPr="0059512A">
        <w:rPr>
          <w:rFonts w:eastAsiaTheme="minorHAnsi"/>
          <w:i/>
          <w:iCs/>
          <w:sz w:val="26"/>
          <w:szCs w:val="26"/>
        </w:rPr>
        <w:t xml:space="preserve">2012 </w:t>
      </w:r>
      <w:r w:rsidRPr="0059512A">
        <w:rPr>
          <w:rFonts w:eastAsiaTheme="minorHAnsi"/>
          <w:i/>
          <w:iCs/>
          <w:sz w:val="26"/>
          <w:szCs w:val="26"/>
        </w:rPr>
        <w:t>PPL</w:t>
      </w:r>
      <w:r w:rsidRPr="0059512A">
        <w:rPr>
          <w:rFonts w:eastAsiaTheme="minorHAnsi"/>
          <w:i/>
          <w:sz w:val="26"/>
          <w:szCs w:val="26"/>
        </w:rPr>
        <w:t xml:space="preserve"> Order</w:t>
      </w:r>
      <w:r w:rsidRPr="0059512A">
        <w:rPr>
          <w:rFonts w:eastAsiaTheme="minorHAnsi"/>
          <w:sz w:val="26"/>
          <w:szCs w:val="26"/>
        </w:rPr>
        <w:t xml:space="preserve"> proceedings, and we rejected the OCA’s argument in those prior proceedings</w:t>
      </w:r>
      <w:r w:rsidRPr="0059512A">
        <w:rPr>
          <w:rFonts w:eastAsiaTheme="minorHAnsi"/>
          <w:i/>
          <w:sz w:val="26"/>
          <w:szCs w:val="26"/>
        </w:rPr>
        <w:t xml:space="preserve">.  </w:t>
      </w:r>
      <w:bookmarkStart w:id="151" w:name="_Hlk37997732"/>
      <w:r w:rsidRPr="0059512A">
        <w:rPr>
          <w:rFonts w:eastAsiaTheme="minorHAnsi"/>
          <w:iCs/>
          <w:sz w:val="26"/>
          <w:szCs w:val="26"/>
        </w:rPr>
        <w:t>Citizens’ R. Exc. at 18</w:t>
      </w:r>
      <w:r w:rsidRPr="0059512A">
        <w:rPr>
          <w:rFonts w:eastAsiaTheme="minorHAnsi"/>
          <w:i/>
          <w:sz w:val="26"/>
          <w:szCs w:val="26"/>
        </w:rPr>
        <w:t xml:space="preserve">.  </w:t>
      </w:r>
      <w:bookmarkEnd w:id="151"/>
      <w:r w:rsidRPr="0059512A">
        <w:rPr>
          <w:rFonts w:eastAsiaTheme="minorHAnsi"/>
          <w:sz w:val="26"/>
          <w:szCs w:val="26"/>
        </w:rPr>
        <w:t xml:space="preserve">We agree with the ALJs’ conclusion that the </w:t>
      </w:r>
      <w:r w:rsidRPr="0059512A">
        <w:rPr>
          <w:rFonts w:eastAsiaTheme="minorHAnsi"/>
          <w:sz w:val="26"/>
          <w:szCs w:val="26"/>
        </w:rPr>
        <w:lastRenderedPageBreak/>
        <w:t>OCA did not present convincing arguments in this proceeding that would cause us to re</w:t>
      </w:r>
      <w:r w:rsidRPr="0059512A">
        <w:rPr>
          <w:rFonts w:eastAsiaTheme="minorHAnsi"/>
          <w:sz w:val="26"/>
          <w:szCs w:val="26"/>
        </w:rPr>
        <w:noBreakHyphen/>
        <w:t xml:space="preserve">evaluate our determinations in the </w:t>
      </w:r>
      <w:r w:rsidRPr="0059512A">
        <w:rPr>
          <w:rFonts w:eastAsiaTheme="minorHAnsi"/>
          <w:i/>
          <w:iCs/>
          <w:sz w:val="26"/>
          <w:szCs w:val="26"/>
        </w:rPr>
        <w:t>UGI Order</w:t>
      </w:r>
      <w:r w:rsidRPr="0059512A">
        <w:rPr>
          <w:rFonts w:eastAsiaTheme="minorHAnsi"/>
          <w:sz w:val="26"/>
          <w:szCs w:val="26"/>
        </w:rPr>
        <w:t xml:space="preserve"> or </w:t>
      </w:r>
      <w:r w:rsidRPr="0059512A">
        <w:rPr>
          <w:rFonts w:eastAsiaTheme="minorHAnsi"/>
          <w:i/>
          <w:sz w:val="26"/>
          <w:szCs w:val="26"/>
        </w:rPr>
        <w:t>2012 PPL Order</w:t>
      </w:r>
      <w:r w:rsidRPr="0059512A">
        <w:rPr>
          <w:rFonts w:eastAsiaTheme="minorHAnsi"/>
          <w:sz w:val="26"/>
          <w:szCs w:val="26"/>
        </w:rPr>
        <w:t>.  R.D. at 91.</w:t>
      </w:r>
    </w:p>
    <w:p w14:paraId="24882605" w14:textId="77777777" w:rsidR="00D4695C" w:rsidRPr="0059512A" w:rsidRDefault="00D4695C" w:rsidP="0059512A">
      <w:pPr>
        <w:widowControl/>
        <w:spacing w:after="200" w:line="360" w:lineRule="auto"/>
        <w:ind w:firstLine="1440"/>
        <w:contextualSpacing/>
        <w:rPr>
          <w:rFonts w:eastAsiaTheme="minorHAnsi"/>
          <w:sz w:val="26"/>
          <w:szCs w:val="26"/>
        </w:rPr>
      </w:pPr>
    </w:p>
    <w:p w14:paraId="16274C89" w14:textId="1C1BC790" w:rsidR="00D4695C" w:rsidRPr="0059512A" w:rsidRDefault="00D4695C" w:rsidP="0059512A">
      <w:pPr>
        <w:widowControl/>
        <w:spacing w:after="200" w:line="360" w:lineRule="auto"/>
        <w:ind w:firstLine="1440"/>
        <w:contextualSpacing/>
        <w:rPr>
          <w:rFonts w:eastAsiaTheme="minorHAnsi"/>
          <w:sz w:val="26"/>
          <w:szCs w:val="26"/>
        </w:rPr>
      </w:pPr>
      <w:r w:rsidRPr="0059512A">
        <w:rPr>
          <w:rFonts w:eastAsiaTheme="minorHAnsi"/>
          <w:sz w:val="26"/>
          <w:szCs w:val="26"/>
        </w:rPr>
        <w:t xml:space="preserve">As Citizens’ further noted, we observe that the minimum system approach methodology employed by the Company is the same methodology approved for UGI in the </w:t>
      </w:r>
      <w:r w:rsidRPr="0059512A">
        <w:rPr>
          <w:rFonts w:eastAsiaTheme="minorHAnsi"/>
          <w:i/>
          <w:iCs/>
          <w:sz w:val="26"/>
          <w:szCs w:val="26"/>
        </w:rPr>
        <w:t>UGI Order</w:t>
      </w:r>
      <w:r w:rsidRPr="0059512A">
        <w:rPr>
          <w:rFonts w:eastAsiaTheme="minorHAnsi"/>
          <w:sz w:val="26"/>
          <w:szCs w:val="26"/>
        </w:rPr>
        <w:t xml:space="preserve"> proceeding.  </w:t>
      </w:r>
      <w:r w:rsidRPr="0059512A">
        <w:rPr>
          <w:rFonts w:eastAsiaTheme="minorHAnsi"/>
          <w:iCs/>
          <w:sz w:val="26"/>
          <w:szCs w:val="26"/>
        </w:rPr>
        <w:t>Citizens’ R. Exc</w:t>
      </w:r>
      <w:r w:rsidRPr="0059512A">
        <w:rPr>
          <w:rFonts w:eastAsiaTheme="minorHAnsi"/>
          <w:i/>
          <w:sz w:val="26"/>
          <w:szCs w:val="26"/>
        </w:rPr>
        <w:t>.</w:t>
      </w:r>
      <w:r w:rsidRPr="0059512A">
        <w:rPr>
          <w:rFonts w:eastAsiaTheme="minorHAnsi"/>
          <w:iCs/>
          <w:sz w:val="26"/>
          <w:szCs w:val="26"/>
        </w:rPr>
        <w:t xml:space="preserve"> at 18-19.</w:t>
      </w:r>
      <w:r w:rsidRPr="0059512A">
        <w:rPr>
          <w:rFonts w:eastAsiaTheme="minorHAnsi"/>
          <w:i/>
          <w:sz w:val="26"/>
          <w:szCs w:val="26"/>
        </w:rPr>
        <w:t xml:space="preserve">  </w:t>
      </w:r>
      <w:r w:rsidRPr="0059512A">
        <w:rPr>
          <w:rFonts w:eastAsiaTheme="minorHAnsi"/>
          <w:sz w:val="26"/>
          <w:szCs w:val="26"/>
        </w:rPr>
        <w:t xml:space="preserve">The Commission has affirmed the use of the “minimum system method” as the accepted approach to classify and allocate distribution system costs in prior proceedings.  </w:t>
      </w:r>
      <w:r w:rsidRPr="0059512A">
        <w:rPr>
          <w:rFonts w:eastAsiaTheme="minorHAnsi"/>
          <w:i/>
          <w:sz w:val="26"/>
          <w:szCs w:val="26"/>
        </w:rPr>
        <w:t>See</w:t>
      </w:r>
      <w:r w:rsidR="006F2C9C" w:rsidRPr="0059512A">
        <w:rPr>
          <w:rFonts w:eastAsiaTheme="minorHAnsi"/>
          <w:i/>
          <w:sz w:val="26"/>
          <w:szCs w:val="26"/>
        </w:rPr>
        <w:t>,</w:t>
      </w:r>
      <w:r w:rsidRPr="0059512A">
        <w:rPr>
          <w:rFonts w:eastAsiaTheme="minorHAnsi"/>
          <w:i/>
          <w:sz w:val="26"/>
          <w:szCs w:val="26"/>
        </w:rPr>
        <w:t xml:space="preserve"> UGI Order, supra; see also 2012 PPL Order, supra</w:t>
      </w:r>
      <w:r w:rsidRPr="0059512A">
        <w:rPr>
          <w:rFonts w:eastAsiaTheme="minorHAnsi"/>
          <w:sz w:val="26"/>
          <w:szCs w:val="26"/>
        </w:rPr>
        <w:t>;</w:t>
      </w:r>
      <w:r w:rsidRPr="0059512A">
        <w:rPr>
          <w:rFonts w:eastAsiaTheme="minorHAnsi"/>
          <w:i/>
          <w:sz w:val="26"/>
          <w:szCs w:val="26"/>
        </w:rPr>
        <w:t xml:space="preserve"> see also, Pa. PUC v. PPL Electric Utilities Corp</w:t>
      </w:r>
      <w:r w:rsidRPr="0059512A">
        <w:rPr>
          <w:rFonts w:eastAsiaTheme="minorHAnsi"/>
          <w:sz w:val="26"/>
          <w:szCs w:val="26"/>
        </w:rPr>
        <w:t>., Docket No. R-2010-2161694 (Order entered December 21, 2010) (</w:t>
      </w:r>
      <w:r w:rsidRPr="0059512A">
        <w:rPr>
          <w:rFonts w:eastAsiaTheme="minorHAnsi"/>
          <w:i/>
          <w:sz w:val="26"/>
          <w:szCs w:val="26"/>
        </w:rPr>
        <w:t>2010 PPL Order</w:t>
      </w:r>
      <w:r w:rsidRPr="0059512A">
        <w:rPr>
          <w:rFonts w:eastAsiaTheme="minorHAnsi"/>
          <w:sz w:val="26"/>
          <w:szCs w:val="26"/>
        </w:rPr>
        <w:t xml:space="preserve">).  We agree with the ALJs that Citizens’ ACCOSS is consistent with the NARUC Manual and more accurately reflects adherence to cost-causation principles than the ACCOSS methodology proposed by the OCA.  </w:t>
      </w:r>
      <w:r w:rsidRPr="0059512A">
        <w:rPr>
          <w:rFonts w:eastAsiaTheme="minorHAnsi"/>
          <w:iCs/>
          <w:sz w:val="26"/>
          <w:szCs w:val="26"/>
        </w:rPr>
        <w:t>Moreover, we share the opinion of the ALJs that</w:t>
      </w:r>
      <w:r w:rsidRPr="0059512A">
        <w:rPr>
          <w:rFonts w:eastAsiaTheme="minorHAnsi"/>
          <w:i/>
          <w:sz w:val="26"/>
          <w:szCs w:val="26"/>
        </w:rPr>
        <w:t xml:space="preserve"> </w:t>
      </w:r>
      <w:r w:rsidRPr="0059512A">
        <w:rPr>
          <w:rFonts w:eastAsiaTheme="minorHAnsi"/>
          <w:sz w:val="26"/>
          <w:szCs w:val="26"/>
        </w:rPr>
        <w:t>the Company’s utilization of the “minimum system method” and “zero-load analysis” in its ACCOSS methodology is reasonable and in accordance with Commission precedent.  R.D. at</w:t>
      </w:r>
      <w:r w:rsidR="005B3BE9">
        <w:rPr>
          <w:rFonts w:eastAsiaTheme="minorHAnsi"/>
          <w:sz w:val="26"/>
          <w:szCs w:val="26"/>
        </w:rPr>
        <w:t> </w:t>
      </w:r>
      <w:r w:rsidRPr="0059512A">
        <w:rPr>
          <w:rFonts w:eastAsiaTheme="minorHAnsi"/>
          <w:sz w:val="26"/>
          <w:szCs w:val="26"/>
        </w:rPr>
        <w:t>90</w:t>
      </w:r>
      <w:r w:rsidRPr="0059512A">
        <w:rPr>
          <w:rFonts w:eastAsiaTheme="minorHAnsi"/>
          <w:sz w:val="26"/>
          <w:szCs w:val="26"/>
        </w:rPr>
        <w:noBreakHyphen/>
        <w:t>92.  Accordingly, we shall deny Exception No. 9 of the OCA regarding Citizens’ ACCOSS.</w:t>
      </w:r>
    </w:p>
    <w:p w14:paraId="6CD87A24" w14:textId="77777777" w:rsidR="00475F3C" w:rsidRPr="0059512A" w:rsidRDefault="00475F3C" w:rsidP="0059512A">
      <w:pPr>
        <w:widowControl/>
        <w:spacing w:line="360" w:lineRule="auto"/>
        <w:rPr>
          <w:sz w:val="26"/>
          <w:szCs w:val="26"/>
        </w:rPr>
      </w:pPr>
    </w:p>
    <w:p w14:paraId="0DCB1885" w14:textId="47A0EE12" w:rsidR="004470E5" w:rsidRPr="0059512A" w:rsidRDefault="00A14F65" w:rsidP="005B3BE9">
      <w:pPr>
        <w:pStyle w:val="Heading3"/>
        <w:keepNext/>
        <w:ind w:left="1440" w:hanging="720"/>
      </w:pPr>
      <w:bookmarkStart w:id="152" w:name="_Hlk35848236"/>
      <w:bookmarkStart w:id="153" w:name="_Toc38629301"/>
      <w:r w:rsidRPr="0059512A">
        <w:t>Revenue Allocation</w:t>
      </w:r>
      <w:bookmarkEnd w:id="152"/>
      <w:bookmarkEnd w:id="153"/>
    </w:p>
    <w:p w14:paraId="03DA120B" w14:textId="77777777" w:rsidR="00092994" w:rsidRPr="0059512A" w:rsidRDefault="00092994" w:rsidP="005B3BE9">
      <w:pPr>
        <w:keepNext/>
        <w:widowControl/>
        <w:spacing w:line="360" w:lineRule="auto"/>
        <w:rPr>
          <w:sz w:val="26"/>
          <w:szCs w:val="26"/>
        </w:rPr>
      </w:pPr>
    </w:p>
    <w:p w14:paraId="49D01D8C" w14:textId="7AB23F3F" w:rsidR="00A14F65" w:rsidRPr="0059512A" w:rsidRDefault="000E45FB" w:rsidP="005B3BE9">
      <w:pPr>
        <w:pStyle w:val="ListParagraph"/>
        <w:keepNext/>
        <w:widowControl/>
        <w:spacing w:line="360" w:lineRule="auto"/>
        <w:ind w:left="2160" w:hanging="720"/>
        <w:rPr>
          <w:b/>
          <w:bCs/>
          <w:sz w:val="26"/>
          <w:szCs w:val="26"/>
        </w:rPr>
      </w:pPr>
      <w:bookmarkStart w:id="154" w:name="_Hlk35848339"/>
      <w:r w:rsidRPr="0059512A">
        <w:rPr>
          <w:b/>
          <w:bCs/>
          <w:sz w:val="26"/>
          <w:szCs w:val="26"/>
        </w:rPr>
        <w:t>a.</w:t>
      </w:r>
      <w:r w:rsidRPr="0059512A">
        <w:rPr>
          <w:b/>
          <w:bCs/>
          <w:sz w:val="26"/>
          <w:szCs w:val="26"/>
        </w:rPr>
        <w:tab/>
      </w:r>
      <w:r w:rsidR="00A14F65" w:rsidRPr="0059512A">
        <w:rPr>
          <w:b/>
          <w:bCs/>
          <w:sz w:val="26"/>
          <w:szCs w:val="26"/>
        </w:rPr>
        <w:t>Positions of the Parties</w:t>
      </w:r>
    </w:p>
    <w:p w14:paraId="500A5B4D" w14:textId="418F44EA" w:rsidR="00A14F65" w:rsidRPr="0059512A" w:rsidRDefault="00A14F65" w:rsidP="005B3BE9">
      <w:pPr>
        <w:keepNext/>
        <w:widowControl/>
        <w:spacing w:line="360" w:lineRule="auto"/>
        <w:ind w:left="1440" w:hanging="720"/>
        <w:rPr>
          <w:b/>
          <w:bCs/>
          <w:sz w:val="26"/>
          <w:szCs w:val="26"/>
        </w:rPr>
      </w:pPr>
    </w:p>
    <w:p w14:paraId="7B46DC6B" w14:textId="7F0F9ED9" w:rsidR="003E405A" w:rsidRPr="0059512A" w:rsidRDefault="00462C35" w:rsidP="005B3BE9">
      <w:pPr>
        <w:keepNext/>
        <w:widowControl/>
        <w:spacing w:line="360" w:lineRule="auto"/>
        <w:ind w:firstLine="1440"/>
        <w:rPr>
          <w:sz w:val="26"/>
          <w:szCs w:val="26"/>
        </w:rPr>
      </w:pPr>
      <w:r w:rsidRPr="0059512A">
        <w:rPr>
          <w:sz w:val="26"/>
          <w:szCs w:val="26"/>
        </w:rPr>
        <w:t xml:space="preserve">Citizens’ submitted that under </w:t>
      </w:r>
      <w:r w:rsidRPr="0059512A">
        <w:rPr>
          <w:i/>
          <w:sz w:val="26"/>
          <w:szCs w:val="26"/>
        </w:rPr>
        <w:t>Lloyd, supra,</w:t>
      </w:r>
      <w:r w:rsidRPr="0059512A">
        <w:rPr>
          <w:sz w:val="26"/>
          <w:szCs w:val="26"/>
        </w:rPr>
        <w:t xml:space="preserve"> cost of service is the “polestar” of utility rates and a proposed revenue allocation will only be found to be reasonable where it moves distribution rates for each class closer to the full cost of providing service.  Therefore, r</w:t>
      </w:r>
      <w:r w:rsidR="0070279D" w:rsidRPr="0059512A">
        <w:rPr>
          <w:sz w:val="26"/>
          <w:szCs w:val="26"/>
        </w:rPr>
        <w:t xml:space="preserve">egarding revenue allocation, Citizens’ submitted that it prioritized cost of service principles, while reflecting gradualism.  Specifically, Citizens’ </w:t>
      </w:r>
      <w:r w:rsidR="003E405A" w:rsidRPr="0059512A">
        <w:rPr>
          <w:sz w:val="26"/>
          <w:szCs w:val="26"/>
        </w:rPr>
        <w:t>based the reasonableness of its proposed revenue allocation on the significant progress made by each rate class toward the system average rate of return</w:t>
      </w:r>
      <w:r w:rsidR="000366D7" w:rsidRPr="0059512A">
        <w:rPr>
          <w:sz w:val="26"/>
          <w:szCs w:val="26"/>
        </w:rPr>
        <w:t>,</w:t>
      </w:r>
      <w:r w:rsidR="003E405A" w:rsidRPr="0059512A">
        <w:rPr>
          <w:sz w:val="26"/>
          <w:szCs w:val="26"/>
        </w:rPr>
        <w:t xml:space="preserve"> with no class receiving an </w:t>
      </w:r>
      <w:r w:rsidR="003E405A" w:rsidRPr="0059512A">
        <w:rPr>
          <w:sz w:val="26"/>
          <w:szCs w:val="26"/>
        </w:rPr>
        <w:lastRenderedPageBreak/>
        <w:t>increase greater than 1.</w:t>
      </w:r>
      <w:r w:rsidR="00706D3A" w:rsidRPr="0059512A">
        <w:rPr>
          <w:sz w:val="26"/>
          <w:szCs w:val="26"/>
        </w:rPr>
        <w:t>6</w:t>
      </w:r>
      <w:r w:rsidR="003E405A" w:rsidRPr="0059512A">
        <w:rPr>
          <w:sz w:val="26"/>
          <w:szCs w:val="26"/>
        </w:rPr>
        <w:t xml:space="preserve"> times the</w:t>
      </w:r>
      <w:r w:rsidR="00706D3A" w:rsidRPr="0059512A">
        <w:rPr>
          <w:sz w:val="26"/>
          <w:szCs w:val="26"/>
        </w:rPr>
        <w:t xml:space="preserve"> system</w:t>
      </w:r>
      <w:r w:rsidR="003E405A" w:rsidRPr="0059512A">
        <w:rPr>
          <w:sz w:val="26"/>
          <w:szCs w:val="26"/>
        </w:rPr>
        <w:t xml:space="preserve"> average, meeting the goals of moving each class closer to</w:t>
      </w:r>
      <w:r w:rsidR="0066658F" w:rsidRPr="0059512A">
        <w:rPr>
          <w:sz w:val="26"/>
          <w:szCs w:val="26"/>
        </w:rPr>
        <w:t>ward their respective</w:t>
      </w:r>
      <w:r w:rsidR="003E405A" w:rsidRPr="0059512A">
        <w:rPr>
          <w:sz w:val="26"/>
          <w:szCs w:val="26"/>
        </w:rPr>
        <w:t xml:space="preserve"> cost</w:t>
      </w:r>
      <w:r w:rsidR="0066658F" w:rsidRPr="0059512A">
        <w:rPr>
          <w:sz w:val="26"/>
          <w:szCs w:val="26"/>
        </w:rPr>
        <w:t>s</w:t>
      </w:r>
      <w:r w:rsidR="003E405A" w:rsidRPr="0059512A">
        <w:rPr>
          <w:sz w:val="26"/>
          <w:szCs w:val="26"/>
        </w:rPr>
        <w:t xml:space="preserve"> of service, while mitigating extreme impacts.</w:t>
      </w:r>
      <w:r w:rsidR="00AE5EBD" w:rsidRPr="0059512A">
        <w:rPr>
          <w:sz w:val="26"/>
          <w:szCs w:val="26"/>
        </w:rPr>
        <w:t xml:space="preserve">  Citizens’ M.B. at 106-108.  </w:t>
      </w:r>
    </w:p>
    <w:p w14:paraId="3D7B28C0" w14:textId="09C023B0" w:rsidR="006474A4" w:rsidRPr="0059512A" w:rsidRDefault="006474A4" w:rsidP="0059512A">
      <w:pPr>
        <w:widowControl/>
        <w:spacing w:line="360" w:lineRule="auto"/>
        <w:ind w:firstLine="1440"/>
        <w:rPr>
          <w:sz w:val="26"/>
          <w:szCs w:val="26"/>
        </w:rPr>
      </w:pPr>
    </w:p>
    <w:p w14:paraId="044CC6A7" w14:textId="2E855E2B" w:rsidR="005B0CEC" w:rsidRPr="0059512A" w:rsidRDefault="005F3F9B" w:rsidP="0059512A">
      <w:pPr>
        <w:widowControl/>
        <w:spacing w:line="360" w:lineRule="auto"/>
        <w:ind w:firstLine="1440"/>
        <w:rPr>
          <w:sz w:val="26"/>
          <w:szCs w:val="26"/>
        </w:rPr>
      </w:pPr>
      <w:r w:rsidRPr="0059512A">
        <w:rPr>
          <w:rFonts w:eastAsiaTheme="minorHAnsi"/>
          <w:sz w:val="26"/>
          <w:szCs w:val="26"/>
        </w:rPr>
        <w:t xml:space="preserve">Therefore, Citizens’ </w:t>
      </w:r>
      <w:r w:rsidR="006E0748" w:rsidRPr="0059512A">
        <w:rPr>
          <w:rFonts w:eastAsiaTheme="minorHAnsi"/>
          <w:sz w:val="26"/>
          <w:szCs w:val="26"/>
        </w:rPr>
        <w:t>asserted</w:t>
      </w:r>
      <w:r w:rsidRPr="0059512A">
        <w:rPr>
          <w:rFonts w:eastAsiaTheme="minorHAnsi"/>
          <w:sz w:val="26"/>
          <w:szCs w:val="26"/>
        </w:rPr>
        <w:t xml:space="preserve"> that its proposed revenue allocation is consistent with regulatory practice and precedent, including </w:t>
      </w:r>
      <w:r w:rsidRPr="0059512A">
        <w:rPr>
          <w:rFonts w:eastAsiaTheme="minorHAnsi"/>
          <w:i/>
          <w:sz w:val="26"/>
          <w:szCs w:val="26"/>
        </w:rPr>
        <w:t>Lloyd</w:t>
      </w:r>
      <w:r w:rsidRPr="0059512A">
        <w:rPr>
          <w:rFonts w:eastAsiaTheme="minorHAnsi"/>
          <w:iCs/>
          <w:sz w:val="26"/>
          <w:szCs w:val="26"/>
        </w:rPr>
        <w:t>,</w:t>
      </w:r>
      <w:r w:rsidRPr="0059512A">
        <w:rPr>
          <w:rFonts w:eastAsiaTheme="minorHAnsi"/>
          <w:i/>
          <w:sz w:val="26"/>
          <w:szCs w:val="26"/>
        </w:rPr>
        <w:t xml:space="preserve"> </w:t>
      </w:r>
      <w:r w:rsidRPr="0059512A">
        <w:rPr>
          <w:rFonts w:eastAsiaTheme="minorHAnsi"/>
          <w:sz w:val="26"/>
          <w:szCs w:val="26"/>
        </w:rPr>
        <w:t xml:space="preserve">and allocates revenues consistent with the cost to serve each class.  </w:t>
      </w:r>
      <w:r w:rsidR="00E822BA" w:rsidRPr="0059512A">
        <w:rPr>
          <w:sz w:val="26"/>
          <w:szCs w:val="26"/>
        </w:rPr>
        <w:t>Rate class</w:t>
      </w:r>
      <w:r w:rsidR="00070BE3" w:rsidRPr="0059512A">
        <w:rPr>
          <w:sz w:val="26"/>
          <w:szCs w:val="26"/>
        </w:rPr>
        <w:t>es</w:t>
      </w:r>
      <w:r w:rsidR="00E822BA" w:rsidRPr="0059512A">
        <w:rPr>
          <w:sz w:val="26"/>
          <w:szCs w:val="26"/>
        </w:rPr>
        <w:t xml:space="preserve"> </w:t>
      </w:r>
      <w:r w:rsidR="00BA4149" w:rsidRPr="0059512A">
        <w:rPr>
          <w:sz w:val="26"/>
          <w:szCs w:val="26"/>
        </w:rPr>
        <w:t>RS</w:t>
      </w:r>
      <w:r w:rsidR="00E822BA" w:rsidRPr="0059512A">
        <w:rPr>
          <w:sz w:val="26"/>
          <w:szCs w:val="26"/>
        </w:rPr>
        <w:t xml:space="preserve"> (Residential Service)</w:t>
      </w:r>
      <w:r w:rsidR="00070BE3" w:rsidRPr="0059512A">
        <w:rPr>
          <w:sz w:val="26"/>
          <w:szCs w:val="26"/>
        </w:rPr>
        <w:t>, SH</w:t>
      </w:r>
      <w:r w:rsidR="005B3BE9">
        <w:rPr>
          <w:sz w:val="26"/>
          <w:szCs w:val="26"/>
        </w:rPr>
        <w:t> </w:t>
      </w:r>
      <w:r w:rsidR="00070BE3" w:rsidRPr="0059512A">
        <w:rPr>
          <w:sz w:val="26"/>
          <w:szCs w:val="26"/>
        </w:rPr>
        <w:t>(Space Heating), and MB</w:t>
      </w:r>
      <w:r w:rsidR="000D2EFC" w:rsidRPr="0059512A">
        <w:rPr>
          <w:sz w:val="26"/>
          <w:szCs w:val="26"/>
        </w:rPr>
        <w:t xml:space="preserve">L </w:t>
      </w:r>
      <w:r w:rsidR="00BA4149" w:rsidRPr="0059512A">
        <w:rPr>
          <w:sz w:val="26"/>
          <w:szCs w:val="26"/>
        </w:rPr>
        <w:t>received increase</w:t>
      </w:r>
      <w:r w:rsidR="00070BE3" w:rsidRPr="0059512A">
        <w:rPr>
          <w:sz w:val="26"/>
          <w:szCs w:val="26"/>
        </w:rPr>
        <w:t>s</w:t>
      </w:r>
      <w:r w:rsidR="00BA4149" w:rsidRPr="0059512A">
        <w:rPr>
          <w:sz w:val="26"/>
          <w:szCs w:val="26"/>
        </w:rPr>
        <w:t xml:space="preserve"> intended to move th</w:t>
      </w:r>
      <w:r w:rsidR="00070BE3" w:rsidRPr="0059512A">
        <w:rPr>
          <w:sz w:val="26"/>
          <w:szCs w:val="26"/>
        </w:rPr>
        <w:t>eir</w:t>
      </w:r>
      <w:r w:rsidR="00BA4149" w:rsidRPr="0059512A">
        <w:rPr>
          <w:sz w:val="26"/>
          <w:szCs w:val="26"/>
        </w:rPr>
        <w:t xml:space="preserve"> class</w:t>
      </w:r>
      <w:r w:rsidR="00070BE3" w:rsidRPr="0059512A">
        <w:rPr>
          <w:sz w:val="26"/>
          <w:szCs w:val="26"/>
        </w:rPr>
        <w:t>es</w:t>
      </w:r>
      <w:r w:rsidR="00BA4149" w:rsidRPr="0059512A">
        <w:rPr>
          <w:sz w:val="26"/>
          <w:szCs w:val="26"/>
        </w:rPr>
        <w:t xml:space="preserve"> toward parity with the overall </w:t>
      </w:r>
      <w:r w:rsidR="00E822BA" w:rsidRPr="0059512A">
        <w:rPr>
          <w:sz w:val="26"/>
          <w:szCs w:val="26"/>
        </w:rPr>
        <w:t>total rate of</w:t>
      </w:r>
      <w:r w:rsidR="00BA4149" w:rsidRPr="0059512A">
        <w:rPr>
          <w:sz w:val="26"/>
          <w:szCs w:val="26"/>
        </w:rPr>
        <w:t xml:space="preserve"> return.  </w:t>
      </w:r>
      <w:r w:rsidR="00070BE3" w:rsidRPr="0059512A">
        <w:rPr>
          <w:sz w:val="26"/>
          <w:szCs w:val="26"/>
        </w:rPr>
        <w:t>The limit on the increases proposed for t</w:t>
      </w:r>
      <w:r w:rsidR="00BA4149" w:rsidRPr="0059512A">
        <w:rPr>
          <w:sz w:val="26"/>
          <w:szCs w:val="26"/>
        </w:rPr>
        <w:t xml:space="preserve">he </w:t>
      </w:r>
      <w:r w:rsidR="00E822BA" w:rsidRPr="0059512A">
        <w:rPr>
          <w:sz w:val="26"/>
          <w:szCs w:val="26"/>
        </w:rPr>
        <w:t>GLP-1 and OL (Outdoor Lighting Service)</w:t>
      </w:r>
      <w:r w:rsidR="00BA4149" w:rsidRPr="0059512A">
        <w:rPr>
          <w:sz w:val="26"/>
          <w:szCs w:val="26"/>
        </w:rPr>
        <w:t xml:space="preserve"> rate classes </w:t>
      </w:r>
      <w:r w:rsidR="00070BE3" w:rsidRPr="0059512A">
        <w:rPr>
          <w:sz w:val="26"/>
          <w:szCs w:val="26"/>
        </w:rPr>
        <w:t>is the Company’s effort to lower the relative rates of return for these classes</w:t>
      </w:r>
      <w:r w:rsidR="002A31D7" w:rsidRPr="0059512A">
        <w:rPr>
          <w:sz w:val="26"/>
          <w:szCs w:val="26"/>
        </w:rPr>
        <w:t>, which, according to the Company’s ACCOSS, are</w:t>
      </w:r>
      <w:r w:rsidR="00941BF3" w:rsidRPr="0059512A">
        <w:rPr>
          <w:sz w:val="26"/>
          <w:szCs w:val="26"/>
        </w:rPr>
        <w:t xml:space="preserve"> currently</w:t>
      </w:r>
      <w:r w:rsidR="002A31D7" w:rsidRPr="0059512A">
        <w:rPr>
          <w:sz w:val="26"/>
          <w:szCs w:val="26"/>
        </w:rPr>
        <w:t xml:space="preserve"> generating revenue that are greater than their respective cost to serve.</w:t>
      </w:r>
      <w:r w:rsidR="00160AA5" w:rsidRPr="0059512A">
        <w:rPr>
          <w:sz w:val="26"/>
          <w:szCs w:val="26"/>
        </w:rPr>
        <w:t xml:space="preserve">  As shown below, </w:t>
      </w:r>
      <w:r w:rsidR="00F4066C" w:rsidRPr="0059512A">
        <w:rPr>
          <w:sz w:val="26"/>
          <w:szCs w:val="26"/>
        </w:rPr>
        <w:t xml:space="preserve">Citizens’ has opted to propose a revenue reduction for the </w:t>
      </w:r>
      <w:r w:rsidR="005B0CEC" w:rsidRPr="0059512A">
        <w:rPr>
          <w:sz w:val="26"/>
          <w:szCs w:val="26"/>
        </w:rPr>
        <w:t>GLP</w:t>
      </w:r>
      <w:r w:rsidR="005B3BE9">
        <w:rPr>
          <w:sz w:val="26"/>
          <w:szCs w:val="26"/>
        </w:rPr>
        <w:noBreakHyphen/>
      </w:r>
      <w:r w:rsidR="005B0CEC" w:rsidRPr="0059512A">
        <w:rPr>
          <w:sz w:val="26"/>
          <w:szCs w:val="26"/>
        </w:rPr>
        <w:t>3</w:t>
      </w:r>
      <w:r w:rsidR="00070BE3" w:rsidRPr="0059512A">
        <w:rPr>
          <w:sz w:val="26"/>
          <w:szCs w:val="26"/>
        </w:rPr>
        <w:t xml:space="preserve"> rate class.  </w:t>
      </w:r>
    </w:p>
    <w:p w14:paraId="7E35BB35" w14:textId="77777777" w:rsidR="0027313B" w:rsidRPr="0059512A" w:rsidRDefault="0027313B" w:rsidP="0059512A">
      <w:pPr>
        <w:widowControl/>
        <w:spacing w:line="360" w:lineRule="auto"/>
        <w:rPr>
          <w:sz w:val="26"/>
          <w:szCs w:val="26"/>
        </w:rPr>
      </w:pPr>
    </w:p>
    <w:tbl>
      <w:tblPr>
        <w:tblW w:w="8478"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00"/>
        <w:gridCol w:w="1980"/>
        <w:gridCol w:w="1620"/>
        <w:gridCol w:w="1553"/>
      </w:tblGrid>
      <w:tr w:rsidR="0027313B" w:rsidRPr="0059512A" w14:paraId="0F5DBE57" w14:textId="77777777" w:rsidTr="005B3BE9">
        <w:trPr>
          <w:trHeight w:val="548"/>
        </w:trPr>
        <w:tc>
          <w:tcPr>
            <w:tcW w:w="8478" w:type="dxa"/>
            <w:gridSpan w:val="5"/>
            <w:tcBorders>
              <w:bottom w:val="single" w:sz="4" w:space="0" w:color="auto"/>
            </w:tcBorders>
            <w:vAlign w:val="center"/>
          </w:tcPr>
          <w:p w14:paraId="2F55F326" w14:textId="174A813A" w:rsidR="0027313B" w:rsidRPr="0059512A" w:rsidRDefault="0027313B" w:rsidP="005B3BE9">
            <w:pPr>
              <w:widowControl/>
              <w:ind w:left="360"/>
              <w:jc w:val="center"/>
              <w:rPr>
                <w:b/>
                <w:sz w:val="26"/>
                <w:szCs w:val="26"/>
              </w:rPr>
            </w:pPr>
            <w:r w:rsidRPr="0059512A">
              <w:rPr>
                <w:b/>
                <w:sz w:val="26"/>
                <w:szCs w:val="26"/>
              </w:rPr>
              <w:t>Citizens’ Proposed Revenue Distribution</w:t>
            </w:r>
          </w:p>
        </w:tc>
      </w:tr>
      <w:tr w:rsidR="003C3EB7" w:rsidRPr="0059512A" w14:paraId="5A8B51EE" w14:textId="77777777" w:rsidTr="005B3BE9">
        <w:trPr>
          <w:trHeight w:val="503"/>
        </w:trPr>
        <w:tc>
          <w:tcPr>
            <w:tcW w:w="1525" w:type="dxa"/>
            <w:tcBorders>
              <w:bottom w:val="single" w:sz="4" w:space="0" w:color="auto"/>
            </w:tcBorders>
            <w:vAlign w:val="bottom"/>
          </w:tcPr>
          <w:p w14:paraId="1A5BD8AA" w14:textId="77777777" w:rsidR="0027313B" w:rsidRPr="0059512A" w:rsidRDefault="0027313B" w:rsidP="005B3BE9">
            <w:pPr>
              <w:widowControl/>
              <w:rPr>
                <w:b/>
                <w:sz w:val="26"/>
                <w:szCs w:val="26"/>
              </w:rPr>
            </w:pPr>
            <w:r w:rsidRPr="0059512A">
              <w:rPr>
                <w:b/>
                <w:sz w:val="26"/>
                <w:szCs w:val="26"/>
              </w:rPr>
              <w:t>Class</w:t>
            </w:r>
          </w:p>
        </w:tc>
        <w:tc>
          <w:tcPr>
            <w:tcW w:w="1800" w:type="dxa"/>
            <w:tcBorders>
              <w:bottom w:val="single" w:sz="4" w:space="0" w:color="auto"/>
            </w:tcBorders>
            <w:vAlign w:val="bottom"/>
          </w:tcPr>
          <w:p w14:paraId="5093A90E" w14:textId="77777777" w:rsidR="0027313B" w:rsidRPr="0059512A" w:rsidRDefault="0027313B" w:rsidP="005B3BE9">
            <w:pPr>
              <w:widowControl/>
              <w:jc w:val="center"/>
              <w:rPr>
                <w:b/>
                <w:sz w:val="26"/>
                <w:szCs w:val="26"/>
              </w:rPr>
            </w:pPr>
            <w:r w:rsidRPr="0059512A">
              <w:rPr>
                <w:b/>
                <w:sz w:val="26"/>
                <w:szCs w:val="26"/>
              </w:rPr>
              <w:t>Present Rates</w:t>
            </w:r>
          </w:p>
        </w:tc>
        <w:tc>
          <w:tcPr>
            <w:tcW w:w="1980" w:type="dxa"/>
            <w:tcBorders>
              <w:bottom w:val="single" w:sz="4" w:space="0" w:color="auto"/>
            </w:tcBorders>
            <w:vAlign w:val="bottom"/>
          </w:tcPr>
          <w:p w14:paraId="4BC959DF" w14:textId="77777777" w:rsidR="0027313B" w:rsidRPr="0059512A" w:rsidRDefault="0027313B" w:rsidP="005B3BE9">
            <w:pPr>
              <w:widowControl/>
              <w:jc w:val="center"/>
              <w:rPr>
                <w:b/>
                <w:sz w:val="26"/>
                <w:szCs w:val="26"/>
              </w:rPr>
            </w:pPr>
            <w:r w:rsidRPr="0059512A">
              <w:rPr>
                <w:b/>
                <w:sz w:val="26"/>
                <w:szCs w:val="26"/>
              </w:rPr>
              <w:t>Proposed Rates</w:t>
            </w:r>
          </w:p>
        </w:tc>
        <w:tc>
          <w:tcPr>
            <w:tcW w:w="1620" w:type="dxa"/>
            <w:tcBorders>
              <w:bottom w:val="single" w:sz="4" w:space="0" w:color="auto"/>
            </w:tcBorders>
            <w:vAlign w:val="bottom"/>
          </w:tcPr>
          <w:p w14:paraId="0689AD69" w14:textId="77777777" w:rsidR="0027313B" w:rsidRPr="0059512A" w:rsidRDefault="0027313B" w:rsidP="005B3BE9">
            <w:pPr>
              <w:widowControl/>
              <w:jc w:val="center"/>
              <w:rPr>
                <w:b/>
                <w:sz w:val="26"/>
                <w:szCs w:val="26"/>
              </w:rPr>
            </w:pPr>
            <w:r w:rsidRPr="0059512A">
              <w:rPr>
                <w:b/>
                <w:sz w:val="26"/>
                <w:szCs w:val="26"/>
              </w:rPr>
              <w:t>Increase</w:t>
            </w:r>
          </w:p>
        </w:tc>
        <w:tc>
          <w:tcPr>
            <w:tcW w:w="1553" w:type="dxa"/>
            <w:tcBorders>
              <w:bottom w:val="single" w:sz="4" w:space="0" w:color="auto"/>
            </w:tcBorders>
            <w:vAlign w:val="bottom"/>
          </w:tcPr>
          <w:p w14:paraId="6ACE501C" w14:textId="77777777" w:rsidR="0027313B" w:rsidRPr="0059512A" w:rsidRDefault="0027313B" w:rsidP="005B3BE9">
            <w:pPr>
              <w:widowControl/>
              <w:jc w:val="center"/>
              <w:rPr>
                <w:b/>
                <w:sz w:val="26"/>
                <w:szCs w:val="26"/>
              </w:rPr>
            </w:pPr>
            <w:r w:rsidRPr="0059512A">
              <w:rPr>
                <w:b/>
                <w:sz w:val="26"/>
                <w:szCs w:val="26"/>
              </w:rPr>
              <w:t>Increase</w:t>
            </w:r>
          </w:p>
          <w:p w14:paraId="07E44081" w14:textId="77777777" w:rsidR="0027313B" w:rsidRPr="0059512A" w:rsidRDefault="0027313B" w:rsidP="005B3BE9">
            <w:pPr>
              <w:widowControl/>
              <w:jc w:val="center"/>
              <w:rPr>
                <w:b/>
                <w:sz w:val="26"/>
                <w:szCs w:val="26"/>
              </w:rPr>
            </w:pPr>
            <w:r w:rsidRPr="0059512A">
              <w:rPr>
                <w:b/>
                <w:sz w:val="26"/>
                <w:szCs w:val="26"/>
              </w:rPr>
              <w:t>Percent</w:t>
            </w:r>
          </w:p>
        </w:tc>
      </w:tr>
      <w:tr w:rsidR="003C3EB7" w:rsidRPr="0059512A" w14:paraId="21C6DC84" w14:textId="77777777" w:rsidTr="005B3BE9">
        <w:trPr>
          <w:trHeight w:val="422"/>
        </w:trPr>
        <w:tc>
          <w:tcPr>
            <w:tcW w:w="1525" w:type="dxa"/>
            <w:tcBorders>
              <w:top w:val="single" w:sz="4" w:space="0" w:color="auto"/>
              <w:left w:val="single" w:sz="4" w:space="0" w:color="auto"/>
              <w:bottom w:val="nil"/>
              <w:right w:val="single" w:sz="4" w:space="0" w:color="auto"/>
            </w:tcBorders>
            <w:vAlign w:val="bottom"/>
          </w:tcPr>
          <w:p w14:paraId="2DD2F2BA" w14:textId="77777777" w:rsidR="0027313B" w:rsidRPr="0059512A" w:rsidRDefault="0027313B" w:rsidP="005B3BE9">
            <w:pPr>
              <w:widowControl/>
              <w:rPr>
                <w:sz w:val="26"/>
                <w:szCs w:val="26"/>
              </w:rPr>
            </w:pPr>
            <w:r w:rsidRPr="0059512A">
              <w:rPr>
                <w:sz w:val="26"/>
                <w:szCs w:val="26"/>
              </w:rPr>
              <w:t>RS</w:t>
            </w:r>
          </w:p>
        </w:tc>
        <w:tc>
          <w:tcPr>
            <w:tcW w:w="1800" w:type="dxa"/>
            <w:tcBorders>
              <w:top w:val="single" w:sz="4" w:space="0" w:color="auto"/>
              <w:left w:val="single" w:sz="4" w:space="0" w:color="auto"/>
              <w:bottom w:val="nil"/>
              <w:right w:val="single" w:sz="4" w:space="0" w:color="auto"/>
            </w:tcBorders>
            <w:vAlign w:val="bottom"/>
          </w:tcPr>
          <w:p w14:paraId="10B68631" w14:textId="346FDA99" w:rsidR="0027313B" w:rsidRPr="0059512A" w:rsidRDefault="0027313B" w:rsidP="005B3BE9">
            <w:pPr>
              <w:widowControl/>
              <w:rPr>
                <w:sz w:val="26"/>
                <w:szCs w:val="26"/>
              </w:rPr>
            </w:pPr>
            <w:r w:rsidRPr="0059512A">
              <w:rPr>
                <w:sz w:val="26"/>
                <w:szCs w:val="26"/>
              </w:rPr>
              <w:t>$</w:t>
            </w:r>
            <w:r w:rsidR="00365AAC" w:rsidRPr="0059512A">
              <w:rPr>
                <w:sz w:val="26"/>
                <w:szCs w:val="26"/>
              </w:rPr>
              <w:t>2,647,362</w:t>
            </w:r>
          </w:p>
        </w:tc>
        <w:tc>
          <w:tcPr>
            <w:tcW w:w="1980" w:type="dxa"/>
            <w:tcBorders>
              <w:top w:val="single" w:sz="4" w:space="0" w:color="auto"/>
              <w:left w:val="single" w:sz="4" w:space="0" w:color="auto"/>
              <w:bottom w:val="nil"/>
              <w:right w:val="single" w:sz="4" w:space="0" w:color="auto"/>
            </w:tcBorders>
            <w:vAlign w:val="bottom"/>
          </w:tcPr>
          <w:p w14:paraId="4546B741" w14:textId="635D0723" w:rsidR="0027313B" w:rsidRPr="0059512A" w:rsidRDefault="0027313B" w:rsidP="005B3BE9">
            <w:pPr>
              <w:widowControl/>
              <w:rPr>
                <w:sz w:val="26"/>
                <w:szCs w:val="26"/>
              </w:rPr>
            </w:pPr>
            <w:r w:rsidRPr="0059512A">
              <w:rPr>
                <w:sz w:val="26"/>
                <w:szCs w:val="26"/>
              </w:rPr>
              <w:t>$</w:t>
            </w:r>
            <w:r w:rsidR="00365AAC" w:rsidRPr="0059512A">
              <w:rPr>
                <w:sz w:val="26"/>
                <w:szCs w:val="26"/>
              </w:rPr>
              <w:t>3,314,765</w:t>
            </w:r>
          </w:p>
        </w:tc>
        <w:tc>
          <w:tcPr>
            <w:tcW w:w="1620" w:type="dxa"/>
            <w:tcBorders>
              <w:top w:val="single" w:sz="4" w:space="0" w:color="auto"/>
              <w:left w:val="single" w:sz="4" w:space="0" w:color="auto"/>
              <w:bottom w:val="nil"/>
              <w:right w:val="single" w:sz="4" w:space="0" w:color="auto"/>
            </w:tcBorders>
            <w:vAlign w:val="bottom"/>
          </w:tcPr>
          <w:p w14:paraId="44F10DF5" w14:textId="3CE3C8E9" w:rsidR="0027313B" w:rsidRPr="0059512A" w:rsidRDefault="0027313B" w:rsidP="005B3BE9">
            <w:pPr>
              <w:widowControl/>
              <w:rPr>
                <w:sz w:val="26"/>
                <w:szCs w:val="26"/>
              </w:rPr>
            </w:pPr>
            <w:r w:rsidRPr="0059512A">
              <w:rPr>
                <w:sz w:val="26"/>
                <w:szCs w:val="26"/>
              </w:rPr>
              <w:t>$</w:t>
            </w:r>
            <w:r w:rsidR="00365AAC" w:rsidRPr="0059512A">
              <w:rPr>
                <w:sz w:val="26"/>
                <w:szCs w:val="26"/>
              </w:rPr>
              <w:t>667,403</w:t>
            </w:r>
          </w:p>
        </w:tc>
        <w:tc>
          <w:tcPr>
            <w:tcW w:w="1553" w:type="dxa"/>
            <w:tcBorders>
              <w:top w:val="single" w:sz="4" w:space="0" w:color="auto"/>
              <w:left w:val="single" w:sz="4" w:space="0" w:color="auto"/>
              <w:bottom w:val="nil"/>
              <w:right w:val="single" w:sz="4" w:space="0" w:color="auto"/>
            </w:tcBorders>
            <w:vAlign w:val="bottom"/>
          </w:tcPr>
          <w:p w14:paraId="6EB14592" w14:textId="5B081752" w:rsidR="0027313B" w:rsidRPr="0059512A" w:rsidRDefault="00365AAC" w:rsidP="005B3BE9">
            <w:pPr>
              <w:widowControl/>
              <w:jc w:val="center"/>
              <w:rPr>
                <w:sz w:val="26"/>
                <w:szCs w:val="26"/>
              </w:rPr>
            </w:pPr>
            <w:r w:rsidRPr="0059512A">
              <w:rPr>
                <w:sz w:val="26"/>
                <w:szCs w:val="26"/>
              </w:rPr>
              <w:t>25.2</w:t>
            </w:r>
            <w:r w:rsidR="0027313B" w:rsidRPr="0059512A">
              <w:rPr>
                <w:sz w:val="26"/>
                <w:szCs w:val="26"/>
              </w:rPr>
              <w:t>%</w:t>
            </w:r>
          </w:p>
        </w:tc>
      </w:tr>
      <w:tr w:rsidR="003C3EB7" w:rsidRPr="0059512A" w14:paraId="3A2DA67D" w14:textId="77777777" w:rsidTr="005B3BE9">
        <w:trPr>
          <w:trHeight w:val="207"/>
        </w:trPr>
        <w:tc>
          <w:tcPr>
            <w:tcW w:w="1525" w:type="dxa"/>
            <w:tcBorders>
              <w:top w:val="nil"/>
              <w:left w:val="single" w:sz="4" w:space="0" w:color="auto"/>
              <w:bottom w:val="nil"/>
              <w:right w:val="single" w:sz="4" w:space="0" w:color="auto"/>
            </w:tcBorders>
            <w:vAlign w:val="bottom"/>
          </w:tcPr>
          <w:p w14:paraId="65066BC6" w14:textId="4B2A5D7E" w:rsidR="0027313B" w:rsidRPr="0059512A" w:rsidRDefault="0027313B" w:rsidP="005B3BE9">
            <w:pPr>
              <w:widowControl/>
              <w:rPr>
                <w:sz w:val="26"/>
                <w:szCs w:val="26"/>
              </w:rPr>
            </w:pPr>
          </w:p>
        </w:tc>
        <w:tc>
          <w:tcPr>
            <w:tcW w:w="1800" w:type="dxa"/>
            <w:tcBorders>
              <w:top w:val="nil"/>
              <w:left w:val="single" w:sz="4" w:space="0" w:color="auto"/>
              <w:bottom w:val="nil"/>
              <w:right w:val="single" w:sz="4" w:space="0" w:color="auto"/>
            </w:tcBorders>
            <w:vAlign w:val="bottom"/>
          </w:tcPr>
          <w:p w14:paraId="42617122" w14:textId="04131DE1" w:rsidR="0027313B" w:rsidRPr="0059512A" w:rsidRDefault="0027313B" w:rsidP="005B3BE9">
            <w:pPr>
              <w:widowControl/>
              <w:rPr>
                <w:sz w:val="26"/>
                <w:szCs w:val="26"/>
              </w:rPr>
            </w:pPr>
          </w:p>
        </w:tc>
        <w:tc>
          <w:tcPr>
            <w:tcW w:w="1980" w:type="dxa"/>
            <w:tcBorders>
              <w:top w:val="nil"/>
              <w:left w:val="single" w:sz="4" w:space="0" w:color="auto"/>
              <w:bottom w:val="nil"/>
              <w:right w:val="single" w:sz="4" w:space="0" w:color="auto"/>
            </w:tcBorders>
            <w:vAlign w:val="bottom"/>
          </w:tcPr>
          <w:p w14:paraId="2F3DF5E7" w14:textId="67D4B345" w:rsidR="0027313B" w:rsidRPr="0059512A" w:rsidRDefault="0027313B" w:rsidP="005B3BE9">
            <w:pPr>
              <w:widowControl/>
              <w:rPr>
                <w:sz w:val="26"/>
                <w:szCs w:val="26"/>
              </w:rPr>
            </w:pPr>
          </w:p>
        </w:tc>
        <w:tc>
          <w:tcPr>
            <w:tcW w:w="1620" w:type="dxa"/>
            <w:tcBorders>
              <w:top w:val="nil"/>
              <w:left w:val="single" w:sz="4" w:space="0" w:color="auto"/>
              <w:bottom w:val="nil"/>
              <w:right w:val="single" w:sz="4" w:space="0" w:color="auto"/>
            </w:tcBorders>
            <w:vAlign w:val="bottom"/>
          </w:tcPr>
          <w:p w14:paraId="770F5C82" w14:textId="471F5FEE" w:rsidR="0027313B" w:rsidRPr="0059512A" w:rsidRDefault="0027313B" w:rsidP="005B3BE9">
            <w:pPr>
              <w:widowControl/>
              <w:rPr>
                <w:sz w:val="26"/>
                <w:szCs w:val="26"/>
              </w:rPr>
            </w:pPr>
          </w:p>
        </w:tc>
        <w:tc>
          <w:tcPr>
            <w:tcW w:w="1553" w:type="dxa"/>
            <w:tcBorders>
              <w:top w:val="nil"/>
              <w:left w:val="single" w:sz="4" w:space="0" w:color="auto"/>
              <w:bottom w:val="nil"/>
              <w:right w:val="single" w:sz="4" w:space="0" w:color="auto"/>
            </w:tcBorders>
            <w:vAlign w:val="bottom"/>
          </w:tcPr>
          <w:p w14:paraId="235CCCE8" w14:textId="48F5D0A3" w:rsidR="0027313B" w:rsidRPr="0059512A" w:rsidRDefault="0027313B" w:rsidP="005B3BE9">
            <w:pPr>
              <w:widowControl/>
              <w:jc w:val="center"/>
              <w:rPr>
                <w:sz w:val="26"/>
                <w:szCs w:val="26"/>
              </w:rPr>
            </w:pPr>
          </w:p>
        </w:tc>
      </w:tr>
      <w:tr w:rsidR="003C3EB7" w:rsidRPr="0059512A" w14:paraId="7061BCCD" w14:textId="77777777" w:rsidTr="005B3BE9">
        <w:trPr>
          <w:trHeight w:val="360"/>
        </w:trPr>
        <w:tc>
          <w:tcPr>
            <w:tcW w:w="1525" w:type="dxa"/>
            <w:tcBorders>
              <w:top w:val="nil"/>
              <w:left w:val="single" w:sz="4" w:space="0" w:color="auto"/>
              <w:bottom w:val="nil"/>
              <w:right w:val="single" w:sz="4" w:space="0" w:color="auto"/>
            </w:tcBorders>
            <w:vAlign w:val="bottom"/>
          </w:tcPr>
          <w:p w14:paraId="0458EAD2" w14:textId="5A27B51E" w:rsidR="0027313B" w:rsidRPr="0059512A" w:rsidRDefault="00365AAC" w:rsidP="005B3BE9">
            <w:pPr>
              <w:widowControl/>
              <w:rPr>
                <w:sz w:val="26"/>
                <w:szCs w:val="26"/>
              </w:rPr>
            </w:pPr>
            <w:r w:rsidRPr="0059512A">
              <w:rPr>
                <w:sz w:val="26"/>
                <w:szCs w:val="26"/>
              </w:rPr>
              <w:t>GLP-1</w:t>
            </w:r>
          </w:p>
        </w:tc>
        <w:tc>
          <w:tcPr>
            <w:tcW w:w="1800" w:type="dxa"/>
            <w:tcBorders>
              <w:top w:val="nil"/>
              <w:left w:val="single" w:sz="4" w:space="0" w:color="auto"/>
              <w:bottom w:val="nil"/>
              <w:right w:val="single" w:sz="4" w:space="0" w:color="auto"/>
            </w:tcBorders>
            <w:vAlign w:val="bottom"/>
          </w:tcPr>
          <w:p w14:paraId="623532DC" w14:textId="27E960BC" w:rsidR="0027313B" w:rsidRPr="0059512A" w:rsidRDefault="0027313B" w:rsidP="005B3BE9">
            <w:pPr>
              <w:widowControl/>
              <w:rPr>
                <w:sz w:val="26"/>
                <w:szCs w:val="26"/>
              </w:rPr>
            </w:pPr>
            <w:r w:rsidRPr="0059512A">
              <w:rPr>
                <w:sz w:val="26"/>
                <w:szCs w:val="26"/>
              </w:rPr>
              <w:t>$</w:t>
            </w:r>
            <w:r w:rsidR="00365AAC" w:rsidRPr="0059512A">
              <w:rPr>
                <w:sz w:val="26"/>
                <w:szCs w:val="26"/>
              </w:rPr>
              <w:t>917,008</w:t>
            </w:r>
          </w:p>
        </w:tc>
        <w:tc>
          <w:tcPr>
            <w:tcW w:w="1980" w:type="dxa"/>
            <w:tcBorders>
              <w:top w:val="nil"/>
              <w:left w:val="single" w:sz="4" w:space="0" w:color="auto"/>
              <w:bottom w:val="nil"/>
              <w:right w:val="single" w:sz="4" w:space="0" w:color="auto"/>
            </w:tcBorders>
            <w:vAlign w:val="bottom"/>
          </w:tcPr>
          <w:p w14:paraId="2DED0115" w14:textId="70DA1F97" w:rsidR="0027313B" w:rsidRPr="0059512A" w:rsidRDefault="0027313B" w:rsidP="005B3BE9">
            <w:pPr>
              <w:widowControl/>
              <w:rPr>
                <w:sz w:val="26"/>
                <w:szCs w:val="26"/>
              </w:rPr>
            </w:pPr>
            <w:r w:rsidRPr="0059512A">
              <w:rPr>
                <w:sz w:val="26"/>
                <w:szCs w:val="26"/>
              </w:rPr>
              <w:t>$</w:t>
            </w:r>
            <w:r w:rsidR="00365AAC" w:rsidRPr="0059512A">
              <w:rPr>
                <w:sz w:val="26"/>
                <w:szCs w:val="26"/>
              </w:rPr>
              <w:t>1,055,954</w:t>
            </w:r>
          </w:p>
        </w:tc>
        <w:tc>
          <w:tcPr>
            <w:tcW w:w="1620" w:type="dxa"/>
            <w:tcBorders>
              <w:top w:val="nil"/>
              <w:left w:val="single" w:sz="4" w:space="0" w:color="auto"/>
              <w:bottom w:val="nil"/>
              <w:right w:val="single" w:sz="4" w:space="0" w:color="auto"/>
            </w:tcBorders>
            <w:vAlign w:val="bottom"/>
          </w:tcPr>
          <w:p w14:paraId="784F5054" w14:textId="20EDA4F4" w:rsidR="0027313B" w:rsidRPr="0059512A" w:rsidRDefault="0027313B" w:rsidP="005B3BE9">
            <w:pPr>
              <w:widowControl/>
              <w:rPr>
                <w:sz w:val="26"/>
                <w:szCs w:val="26"/>
              </w:rPr>
            </w:pPr>
            <w:r w:rsidRPr="0059512A">
              <w:rPr>
                <w:sz w:val="26"/>
                <w:szCs w:val="26"/>
              </w:rPr>
              <w:t>$</w:t>
            </w:r>
            <w:r w:rsidR="00365AAC" w:rsidRPr="0059512A">
              <w:rPr>
                <w:sz w:val="26"/>
                <w:szCs w:val="26"/>
              </w:rPr>
              <w:t>138,946</w:t>
            </w:r>
          </w:p>
        </w:tc>
        <w:tc>
          <w:tcPr>
            <w:tcW w:w="1553" w:type="dxa"/>
            <w:tcBorders>
              <w:top w:val="nil"/>
              <w:left w:val="single" w:sz="4" w:space="0" w:color="auto"/>
              <w:bottom w:val="nil"/>
              <w:right w:val="single" w:sz="4" w:space="0" w:color="auto"/>
            </w:tcBorders>
            <w:vAlign w:val="bottom"/>
          </w:tcPr>
          <w:p w14:paraId="15C98E38" w14:textId="54C44BA9" w:rsidR="0027313B" w:rsidRPr="0059512A" w:rsidRDefault="00365AAC" w:rsidP="005B3BE9">
            <w:pPr>
              <w:widowControl/>
              <w:jc w:val="center"/>
              <w:rPr>
                <w:sz w:val="26"/>
                <w:szCs w:val="26"/>
              </w:rPr>
            </w:pPr>
            <w:r w:rsidRPr="0059512A">
              <w:rPr>
                <w:sz w:val="26"/>
                <w:szCs w:val="26"/>
              </w:rPr>
              <w:t>15.2</w:t>
            </w:r>
            <w:r w:rsidR="0027313B" w:rsidRPr="0059512A">
              <w:rPr>
                <w:sz w:val="26"/>
                <w:szCs w:val="26"/>
              </w:rPr>
              <w:t>%</w:t>
            </w:r>
          </w:p>
        </w:tc>
      </w:tr>
      <w:tr w:rsidR="003C3EB7" w:rsidRPr="0059512A" w14:paraId="6175BF95" w14:textId="77777777" w:rsidTr="005B3BE9">
        <w:trPr>
          <w:trHeight w:val="198"/>
        </w:trPr>
        <w:tc>
          <w:tcPr>
            <w:tcW w:w="1525" w:type="dxa"/>
            <w:tcBorders>
              <w:top w:val="nil"/>
              <w:left w:val="single" w:sz="4" w:space="0" w:color="auto"/>
              <w:bottom w:val="nil"/>
              <w:right w:val="single" w:sz="4" w:space="0" w:color="auto"/>
            </w:tcBorders>
            <w:vAlign w:val="bottom"/>
          </w:tcPr>
          <w:p w14:paraId="70950918" w14:textId="22A6B939" w:rsidR="0027313B" w:rsidRPr="0059512A" w:rsidRDefault="0027313B" w:rsidP="005B3BE9">
            <w:pPr>
              <w:widowControl/>
              <w:rPr>
                <w:sz w:val="26"/>
                <w:szCs w:val="26"/>
              </w:rPr>
            </w:pPr>
          </w:p>
        </w:tc>
        <w:tc>
          <w:tcPr>
            <w:tcW w:w="1800" w:type="dxa"/>
            <w:tcBorders>
              <w:top w:val="nil"/>
              <w:left w:val="single" w:sz="4" w:space="0" w:color="auto"/>
              <w:bottom w:val="nil"/>
              <w:right w:val="single" w:sz="4" w:space="0" w:color="auto"/>
            </w:tcBorders>
            <w:vAlign w:val="bottom"/>
          </w:tcPr>
          <w:p w14:paraId="208ACB0B" w14:textId="5420F719" w:rsidR="0027313B" w:rsidRPr="0059512A" w:rsidRDefault="0027313B" w:rsidP="005B3BE9">
            <w:pPr>
              <w:widowControl/>
              <w:rPr>
                <w:sz w:val="26"/>
                <w:szCs w:val="26"/>
              </w:rPr>
            </w:pPr>
          </w:p>
        </w:tc>
        <w:tc>
          <w:tcPr>
            <w:tcW w:w="1980" w:type="dxa"/>
            <w:tcBorders>
              <w:top w:val="nil"/>
              <w:left w:val="single" w:sz="4" w:space="0" w:color="auto"/>
              <w:bottom w:val="nil"/>
              <w:right w:val="single" w:sz="4" w:space="0" w:color="auto"/>
            </w:tcBorders>
            <w:vAlign w:val="bottom"/>
          </w:tcPr>
          <w:p w14:paraId="079C1913" w14:textId="1DDAB079" w:rsidR="0027313B" w:rsidRPr="0059512A" w:rsidRDefault="0027313B" w:rsidP="005B3BE9">
            <w:pPr>
              <w:widowControl/>
              <w:rPr>
                <w:sz w:val="26"/>
                <w:szCs w:val="26"/>
              </w:rPr>
            </w:pPr>
          </w:p>
        </w:tc>
        <w:tc>
          <w:tcPr>
            <w:tcW w:w="1620" w:type="dxa"/>
            <w:tcBorders>
              <w:top w:val="nil"/>
              <w:left w:val="single" w:sz="4" w:space="0" w:color="auto"/>
              <w:bottom w:val="nil"/>
              <w:right w:val="single" w:sz="4" w:space="0" w:color="auto"/>
            </w:tcBorders>
            <w:vAlign w:val="bottom"/>
          </w:tcPr>
          <w:p w14:paraId="0A7AAA99" w14:textId="2FC5594D" w:rsidR="0027313B" w:rsidRPr="0059512A" w:rsidRDefault="0027313B" w:rsidP="005B3BE9">
            <w:pPr>
              <w:widowControl/>
              <w:rPr>
                <w:sz w:val="26"/>
                <w:szCs w:val="26"/>
              </w:rPr>
            </w:pPr>
          </w:p>
        </w:tc>
        <w:tc>
          <w:tcPr>
            <w:tcW w:w="1553" w:type="dxa"/>
            <w:tcBorders>
              <w:top w:val="nil"/>
              <w:left w:val="single" w:sz="4" w:space="0" w:color="auto"/>
              <w:bottom w:val="nil"/>
              <w:right w:val="single" w:sz="4" w:space="0" w:color="auto"/>
            </w:tcBorders>
            <w:vAlign w:val="bottom"/>
          </w:tcPr>
          <w:p w14:paraId="1EEF6801" w14:textId="4FAB0817" w:rsidR="0027313B" w:rsidRPr="0059512A" w:rsidRDefault="0027313B" w:rsidP="005B3BE9">
            <w:pPr>
              <w:widowControl/>
              <w:jc w:val="center"/>
              <w:rPr>
                <w:sz w:val="26"/>
                <w:szCs w:val="26"/>
              </w:rPr>
            </w:pPr>
          </w:p>
        </w:tc>
      </w:tr>
      <w:tr w:rsidR="003C3EB7" w:rsidRPr="0059512A" w14:paraId="124823F8" w14:textId="77777777" w:rsidTr="005B3BE9">
        <w:trPr>
          <w:trHeight w:val="360"/>
        </w:trPr>
        <w:tc>
          <w:tcPr>
            <w:tcW w:w="1525" w:type="dxa"/>
            <w:tcBorders>
              <w:top w:val="nil"/>
              <w:left w:val="single" w:sz="4" w:space="0" w:color="auto"/>
              <w:bottom w:val="nil"/>
              <w:right w:val="single" w:sz="4" w:space="0" w:color="auto"/>
            </w:tcBorders>
            <w:vAlign w:val="bottom"/>
          </w:tcPr>
          <w:p w14:paraId="7D43B36E" w14:textId="3929FEE5" w:rsidR="0027313B" w:rsidRPr="0059512A" w:rsidRDefault="0027313B" w:rsidP="005B3BE9">
            <w:pPr>
              <w:widowControl/>
              <w:rPr>
                <w:sz w:val="26"/>
                <w:szCs w:val="26"/>
              </w:rPr>
            </w:pPr>
            <w:r w:rsidRPr="0059512A">
              <w:rPr>
                <w:sz w:val="26"/>
                <w:szCs w:val="26"/>
              </w:rPr>
              <w:t>G</w:t>
            </w:r>
            <w:r w:rsidR="00365AAC" w:rsidRPr="0059512A">
              <w:rPr>
                <w:sz w:val="26"/>
                <w:szCs w:val="26"/>
              </w:rPr>
              <w:t>LP-3</w:t>
            </w:r>
          </w:p>
        </w:tc>
        <w:tc>
          <w:tcPr>
            <w:tcW w:w="1800" w:type="dxa"/>
            <w:tcBorders>
              <w:top w:val="nil"/>
              <w:left w:val="single" w:sz="4" w:space="0" w:color="auto"/>
              <w:bottom w:val="nil"/>
              <w:right w:val="single" w:sz="4" w:space="0" w:color="auto"/>
            </w:tcBorders>
            <w:vAlign w:val="bottom"/>
          </w:tcPr>
          <w:p w14:paraId="29479047" w14:textId="098F8E69" w:rsidR="0027313B" w:rsidRPr="0059512A" w:rsidRDefault="0027313B" w:rsidP="005B3BE9">
            <w:pPr>
              <w:widowControl/>
              <w:rPr>
                <w:sz w:val="26"/>
                <w:szCs w:val="26"/>
              </w:rPr>
            </w:pPr>
            <w:r w:rsidRPr="0059512A">
              <w:rPr>
                <w:sz w:val="26"/>
                <w:szCs w:val="26"/>
              </w:rPr>
              <w:t>$</w:t>
            </w:r>
            <w:r w:rsidR="00365AAC" w:rsidRPr="0059512A">
              <w:rPr>
                <w:sz w:val="26"/>
                <w:szCs w:val="26"/>
              </w:rPr>
              <w:t>1,110,186</w:t>
            </w:r>
          </w:p>
        </w:tc>
        <w:tc>
          <w:tcPr>
            <w:tcW w:w="1980" w:type="dxa"/>
            <w:tcBorders>
              <w:top w:val="nil"/>
              <w:left w:val="single" w:sz="4" w:space="0" w:color="auto"/>
              <w:bottom w:val="nil"/>
              <w:right w:val="single" w:sz="4" w:space="0" w:color="auto"/>
            </w:tcBorders>
            <w:vAlign w:val="bottom"/>
          </w:tcPr>
          <w:p w14:paraId="3976BD73" w14:textId="3562A16A" w:rsidR="0027313B" w:rsidRPr="0059512A" w:rsidRDefault="0027313B" w:rsidP="005B3BE9">
            <w:pPr>
              <w:widowControl/>
              <w:rPr>
                <w:sz w:val="26"/>
                <w:szCs w:val="26"/>
              </w:rPr>
            </w:pPr>
            <w:r w:rsidRPr="0059512A">
              <w:rPr>
                <w:sz w:val="26"/>
                <w:szCs w:val="26"/>
              </w:rPr>
              <w:t>$</w:t>
            </w:r>
            <w:r w:rsidR="00365AAC" w:rsidRPr="0059512A">
              <w:rPr>
                <w:sz w:val="26"/>
                <w:szCs w:val="26"/>
              </w:rPr>
              <w:t>1,074,356</w:t>
            </w:r>
          </w:p>
        </w:tc>
        <w:tc>
          <w:tcPr>
            <w:tcW w:w="1620" w:type="dxa"/>
            <w:tcBorders>
              <w:top w:val="nil"/>
              <w:left w:val="single" w:sz="4" w:space="0" w:color="auto"/>
              <w:bottom w:val="nil"/>
              <w:right w:val="single" w:sz="4" w:space="0" w:color="auto"/>
            </w:tcBorders>
            <w:vAlign w:val="bottom"/>
          </w:tcPr>
          <w:p w14:paraId="1B4EAD76" w14:textId="06D50136" w:rsidR="0027313B" w:rsidRPr="0059512A" w:rsidRDefault="00365AAC" w:rsidP="005B3BE9">
            <w:pPr>
              <w:widowControl/>
              <w:rPr>
                <w:sz w:val="26"/>
                <w:szCs w:val="26"/>
              </w:rPr>
            </w:pPr>
            <w:r w:rsidRPr="0059512A">
              <w:rPr>
                <w:sz w:val="26"/>
                <w:szCs w:val="26"/>
              </w:rPr>
              <w:t>($35,830)</w:t>
            </w:r>
          </w:p>
        </w:tc>
        <w:tc>
          <w:tcPr>
            <w:tcW w:w="1553" w:type="dxa"/>
            <w:tcBorders>
              <w:top w:val="nil"/>
              <w:left w:val="single" w:sz="4" w:space="0" w:color="auto"/>
              <w:bottom w:val="nil"/>
              <w:right w:val="single" w:sz="4" w:space="0" w:color="auto"/>
            </w:tcBorders>
            <w:vAlign w:val="bottom"/>
          </w:tcPr>
          <w:p w14:paraId="346142B0" w14:textId="7C1C8EE4" w:rsidR="0027313B" w:rsidRPr="0059512A" w:rsidRDefault="00365AAC" w:rsidP="005B3BE9">
            <w:pPr>
              <w:widowControl/>
              <w:jc w:val="center"/>
              <w:rPr>
                <w:sz w:val="26"/>
                <w:szCs w:val="26"/>
              </w:rPr>
            </w:pPr>
            <w:r w:rsidRPr="0059512A">
              <w:rPr>
                <w:sz w:val="26"/>
                <w:szCs w:val="26"/>
              </w:rPr>
              <w:t>(3.2</w:t>
            </w:r>
            <w:r w:rsidR="0027313B" w:rsidRPr="0059512A">
              <w:rPr>
                <w:sz w:val="26"/>
                <w:szCs w:val="26"/>
              </w:rPr>
              <w:t>%</w:t>
            </w:r>
            <w:r w:rsidRPr="0059512A">
              <w:rPr>
                <w:sz w:val="26"/>
                <w:szCs w:val="26"/>
              </w:rPr>
              <w:t>)</w:t>
            </w:r>
          </w:p>
        </w:tc>
      </w:tr>
      <w:tr w:rsidR="003C3EB7" w:rsidRPr="0059512A" w14:paraId="2DD3067F" w14:textId="77777777" w:rsidTr="005B3BE9">
        <w:trPr>
          <w:trHeight w:val="162"/>
        </w:trPr>
        <w:tc>
          <w:tcPr>
            <w:tcW w:w="1525" w:type="dxa"/>
            <w:tcBorders>
              <w:top w:val="nil"/>
              <w:left w:val="single" w:sz="4" w:space="0" w:color="auto"/>
              <w:bottom w:val="nil"/>
              <w:right w:val="single" w:sz="4" w:space="0" w:color="auto"/>
            </w:tcBorders>
            <w:vAlign w:val="bottom"/>
          </w:tcPr>
          <w:p w14:paraId="7498A640" w14:textId="5FFCF27B" w:rsidR="0027313B" w:rsidRPr="0059512A" w:rsidRDefault="0027313B" w:rsidP="005B3BE9">
            <w:pPr>
              <w:widowControl/>
              <w:rPr>
                <w:sz w:val="26"/>
                <w:szCs w:val="26"/>
              </w:rPr>
            </w:pPr>
          </w:p>
        </w:tc>
        <w:tc>
          <w:tcPr>
            <w:tcW w:w="1800" w:type="dxa"/>
            <w:tcBorders>
              <w:top w:val="nil"/>
              <w:left w:val="single" w:sz="4" w:space="0" w:color="auto"/>
              <w:bottom w:val="nil"/>
              <w:right w:val="single" w:sz="4" w:space="0" w:color="auto"/>
            </w:tcBorders>
            <w:vAlign w:val="bottom"/>
          </w:tcPr>
          <w:p w14:paraId="1F2ED831" w14:textId="7133C1DC" w:rsidR="0027313B" w:rsidRPr="0059512A" w:rsidRDefault="0027313B" w:rsidP="005B3BE9">
            <w:pPr>
              <w:widowControl/>
              <w:rPr>
                <w:sz w:val="26"/>
                <w:szCs w:val="26"/>
              </w:rPr>
            </w:pPr>
          </w:p>
        </w:tc>
        <w:tc>
          <w:tcPr>
            <w:tcW w:w="1980" w:type="dxa"/>
            <w:tcBorders>
              <w:top w:val="nil"/>
              <w:left w:val="single" w:sz="4" w:space="0" w:color="auto"/>
              <w:bottom w:val="nil"/>
              <w:right w:val="single" w:sz="4" w:space="0" w:color="auto"/>
            </w:tcBorders>
            <w:vAlign w:val="bottom"/>
          </w:tcPr>
          <w:p w14:paraId="63289BDA" w14:textId="3E9FDF71" w:rsidR="0027313B" w:rsidRPr="0059512A" w:rsidRDefault="0027313B" w:rsidP="005B3BE9">
            <w:pPr>
              <w:widowControl/>
              <w:rPr>
                <w:sz w:val="26"/>
                <w:szCs w:val="26"/>
              </w:rPr>
            </w:pPr>
          </w:p>
        </w:tc>
        <w:tc>
          <w:tcPr>
            <w:tcW w:w="1620" w:type="dxa"/>
            <w:tcBorders>
              <w:top w:val="nil"/>
              <w:left w:val="single" w:sz="4" w:space="0" w:color="auto"/>
              <w:bottom w:val="nil"/>
              <w:right w:val="single" w:sz="4" w:space="0" w:color="auto"/>
            </w:tcBorders>
            <w:vAlign w:val="bottom"/>
          </w:tcPr>
          <w:p w14:paraId="27EFE20C" w14:textId="1DE2581D" w:rsidR="0027313B" w:rsidRPr="0059512A" w:rsidRDefault="0027313B" w:rsidP="005B3BE9">
            <w:pPr>
              <w:widowControl/>
              <w:rPr>
                <w:sz w:val="26"/>
                <w:szCs w:val="26"/>
              </w:rPr>
            </w:pPr>
          </w:p>
        </w:tc>
        <w:tc>
          <w:tcPr>
            <w:tcW w:w="1553" w:type="dxa"/>
            <w:tcBorders>
              <w:top w:val="nil"/>
              <w:left w:val="single" w:sz="4" w:space="0" w:color="auto"/>
              <w:bottom w:val="nil"/>
              <w:right w:val="single" w:sz="4" w:space="0" w:color="auto"/>
            </w:tcBorders>
            <w:vAlign w:val="bottom"/>
          </w:tcPr>
          <w:p w14:paraId="38BFB6C2" w14:textId="2476ABEA" w:rsidR="0027313B" w:rsidRPr="0059512A" w:rsidRDefault="0027313B" w:rsidP="005B3BE9">
            <w:pPr>
              <w:widowControl/>
              <w:jc w:val="center"/>
              <w:rPr>
                <w:sz w:val="26"/>
                <w:szCs w:val="26"/>
              </w:rPr>
            </w:pPr>
          </w:p>
        </w:tc>
      </w:tr>
      <w:tr w:rsidR="003C3EB7" w:rsidRPr="0059512A" w14:paraId="6F09FC2B" w14:textId="77777777" w:rsidTr="005B3BE9">
        <w:trPr>
          <w:trHeight w:val="360"/>
        </w:trPr>
        <w:tc>
          <w:tcPr>
            <w:tcW w:w="1525" w:type="dxa"/>
            <w:tcBorders>
              <w:top w:val="nil"/>
              <w:left w:val="single" w:sz="4" w:space="0" w:color="auto"/>
              <w:bottom w:val="nil"/>
              <w:right w:val="single" w:sz="4" w:space="0" w:color="auto"/>
            </w:tcBorders>
            <w:vAlign w:val="bottom"/>
          </w:tcPr>
          <w:p w14:paraId="13ACFDB2" w14:textId="21BEA511" w:rsidR="0027313B" w:rsidRPr="0059512A" w:rsidRDefault="00365AAC" w:rsidP="005B3BE9">
            <w:pPr>
              <w:widowControl/>
              <w:rPr>
                <w:sz w:val="26"/>
                <w:szCs w:val="26"/>
              </w:rPr>
            </w:pPr>
            <w:r w:rsidRPr="0059512A">
              <w:rPr>
                <w:sz w:val="26"/>
                <w:szCs w:val="26"/>
              </w:rPr>
              <w:t>SH</w:t>
            </w:r>
          </w:p>
        </w:tc>
        <w:tc>
          <w:tcPr>
            <w:tcW w:w="1800" w:type="dxa"/>
            <w:tcBorders>
              <w:top w:val="nil"/>
              <w:left w:val="single" w:sz="4" w:space="0" w:color="auto"/>
              <w:bottom w:val="nil"/>
              <w:right w:val="single" w:sz="4" w:space="0" w:color="auto"/>
            </w:tcBorders>
            <w:vAlign w:val="bottom"/>
          </w:tcPr>
          <w:p w14:paraId="6E8D5B0C" w14:textId="0B4A42B2" w:rsidR="0027313B" w:rsidRPr="0059512A" w:rsidRDefault="0027313B" w:rsidP="005B3BE9">
            <w:pPr>
              <w:widowControl/>
              <w:rPr>
                <w:sz w:val="26"/>
                <w:szCs w:val="26"/>
              </w:rPr>
            </w:pPr>
            <w:r w:rsidRPr="0059512A">
              <w:rPr>
                <w:sz w:val="26"/>
                <w:szCs w:val="26"/>
              </w:rPr>
              <w:t>$</w:t>
            </w:r>
            <w:r w:rsidR="00365AAC" w:rsidRPr="0059512A">
              <w:rPr>
                <w:sz w:val="26"/>
                <w:szCs w:val="26"/>
              </w:rPr>
              <w:t>24,362</w:t>
            </w:r>
          </w:p>
        </w:tc>
        <w:tc>
          <w:tcPr>
            <w:tcW w:w="1980" w:type="dxa"/>
            <w:tcBorders>
              <w:top w:val="nil"/>
              <w:left w:val="single" w:sz="4" w:space="0" w:color="auto"/>
              <w:bottom w:val="nil"/>
              <w:right w:val="single" w:sz="4" w:space="0" w:color="auto"/>
            </w:tcBorders>
            <w:vAlign w:val="bottom"/>
          </w:tcPr>
          <w:p w14:paraId="3FEABCD7" w14:textId="2633E866" w:rsidR="0027313B" w:rsidRPr="0059512A" w:rsidRDefault="0027313B" w:rsidP="005B3BE9">
            <w:pPr>
              <w:widowControl/>
              <w:rPr>
                <w:sz w:val="26"/>
                <w:szCs w:val="26"/>
              </w:rPr>
            </w:pPr>
            <w:r w:rsidRPr="0059512A">
              <w:rPr>
                <w:sz w:val="26"/>
                <w:szCs w:val="26"/>
              </w:rPr>
              <w:t>$</w:t>
            </w:r>
            <w:r w:rsidR="00365AAC" w:rsidRPr="0059512A">
              <w:rPr>
                <w:sz w:val="26"/>
                <w:szCs w:val="26"/>
              </w:rPr>
              <w:t>30,254</w:t>
            </w:r>
          </w:p>
        </w:tc>
        <w:tc>
          <w:tcPr>
            <w:tcW w:w="1620" w:type="dxa"/>
            <w:tcBorders>
              <w:top w:val="nil"/>
              <w:left w:val="single" w:sz="4" w:space="0" w:color="auto"/>
              <w:bottom w:val="nil"/>
              <w:right w:val="single" w:sz="4" w:space="0" w:color="auto"/>
            </w:tcBorders>
            <w:vAlign w:val="bottom"/>
          </w:tcPr>
          <w:p w14:paraId="2B5B6A16" w14:textId="308773DC" w:rsidR="0027313B" w:rsidRPr="0059512A" w:rsidRDefault="0027313B" w:rsidP="005B3BE9">
            <w:pPr>
              <w:widowControl/>
              <w:rPr>
                <w:sz w:val="26"/>
                <w:szCs w:val="26"/>
              </w:rPr>
            </w:pPr>
            <w:r w:rsidRPr="0059512A">
              <w:rPr>
                <w:sz w:val="26"/>
                <w:szCs w:val="26"/>
              </w:rPr>
              <w:t>$</w:t>
            </w:r>
            <w:r w:rsidR="00365AAC" w:rsidRPr="0059512A">
              <w:rPr>
                <w:sz w:val="26"/>
                <w:szCs w:val="26"/>
              </w:rPr>
              <w:t>5,892</w:t>
            </w:r>
          </w:p>
        </w:tc>
        <w:tc>
          <w:tcPr>
            <w:tcW w:w="1553" w:type="dxa"/>
            <w:tcBorders>
              <w:top w:val="nil"/>
              <w:left w:val="single" w:sz="4" w:space="0" w:color="auto"/>
              <w:bottom w:val="nil"/>
              <w:right w:val="single" w:sz="4" w:space="0" w:color="auto"/>
            </w:tcBorders>
            <w:vAlign w:val="bottom"/>
          </w:tcPr>
          <w:p w14:paraId="6D0189A2" w14:textId="73DBAFBD" w:rsidR="0027313B" w:rsidRPr="0059512A" w:rsidRDefault="00365AAC" w:rsidP="005B3BE9">
            <w:pPr>
              <w:widowControl/>
              <w:jc w:val="center"/>
              <w:rPr>
                <w:sz w:val="26"/>
                <w:szCs w:val="26"/>
              </w:rPr>
            </w:pPr>
            <w:r w:rsidRPr="0059512A">
              <w:rPr>
                <w:sz w:val="26"/>
                <w:szCs w:val="26"/>
              </w:rPr>
              <w:t>24.2</w:t>
            </w:r>
            <w:r w:rsidR="0027313B" w:rsidRPr="0059512A">
              <w:rPr>
                <w:sz w:val="26"/>
                <w:szCs w:val="26"/>
              </w:rPr>
              <w:t>%</w:t>
            </w:r>
          </w:p>
        </w:tc>
      </w:tr>
      <w:tr w:rsidR="003C3EB7" w:rsidRPr="0059512A" w14:paraId="7E03DF58" w14:textId="77777777" w:rsidTr="005B3BE9">
        <w:trPr>
          <w:trHeight w:val="135"/>
        </w:trPr>
        <w:tc>
          <w:tcPr>
            <w:tcW w:w="1525" w:type="dxa"/>
            <w:tcBorders>
              <w:top w:val="nil"/>
              <w:left w:val="single" w:sz="4" w:space="0" w:color="auto"/>
              <w:bottom w:val="nil"/>
              <w:right w:val="single" w:sz="4" w:space="0" w:color="auto"/>
            </w:tcBorders>
            <w:vAlign w:val="bottom"/>
          </w:tcPr>
          <w:p w14:paraId="6D1BE23F" w14:textId="589251DF" w:rsidR="0027313B" w:rsidRPr="0059512A" w:rsidRDefault="0027313B" w:rsidP="005B3BE9">
            <w:pPr>
              <w:widowControl/>
              <w:rPr>
                <w:sz w:val="26"/>
                <w:szCs w:val="26"/>
              </w:rPr>
            </w:pPr>
          </w:p>
        </w:tc>
        <w:tc>
          <w:tcPr>
            <w:tcW w:w="1800" w:type="dxa"/>
            <w:tcBorders>
              <w:top w:val="nil"/>
              <w:left w:val="single" w:sz="4" w:space="0" w:color="auto"/>
              <w:bottom w:val="nil"/>
              <w:right w:val="single" w:sz="4" w:space="0" w:color="auto"/>
            </w:tcBorders>
            <w:vAlign w:val="bottom"/>
          </w:tcPr>
          <w:p w14:paraId="61C388FD" w14:textId="60387213" w:rsidR="0027313B" w:rsidRPr="0059512A" w:rsidRDefault="0027313B" w:rsidP="005B3BE9">
            <w:pPr>
              <w:widowControl/>
              <w:rPr>
                <w:sz w:val="26"/>
                <w:szCs w:val="26"/>
              </w:rPr>
            </w:pPr>
          </w:p>
        </w:tc>
        <w:tc>
          <w:tcPr>
            <w:tcW w:w="1980" w:type="dxa"/>
            <w:tcBorders>
              <w:top w:val="nil"/>
              <w:left w:val="single" w:sz="4" w:space="0" w:color="auto"/>
              <w:bottom w:val="nil"/>
              <w:right w:val="single" w:sz="4" w:space="0" w:color="auto"/>
            </w:tcBorders>
            <w:vAlign w:val="bottom"/>
          </w:tcPr>
          <w:p w14:paraId="256B46BA" w14:textId="73F8C861" w:rsidR="0027313B" w:rsidRPr="0059512A" w:rsidRDefault="0027313B" w:rsidP="005B3BE9">
            <w:pPr>
              <w:widowControl/>
              <w:rPr>
                <w:sz w:val="26"/>
                <w:szCs w:val="26"/>
              </w:rPr>
            </w:pPr>
          </w:p>
        </w:tc>
        <w:tc>
          <w:tcPr>
            <w:tcW w:w="1620" w:type="dxa"/>
            <w:tcBorders>
              <w:top w:val="nil"/>
              <w:left w:val="single" w:sz="4" w:space="0" w:color="auto"/>
              <w:bottom w:val="nil"/>
              <w:right w:val="single" w:sz="4" w:space="0" w:color="auto"/>
            </w:tcBorders>
            <w:vAlign w:val="bottom"/>
          </w:tcPr>
          <w:p w14:paraId="1F8507DE" w14:textId="5666712C" w:rsidR="0027313B" w:rsidRPr="0059512A" w:rsidRDefault="0027313B" w:rsidP="005B3BE9">
            <w:pPr>
              <w:widowControl/>
              <w:rPr>
                <w:sz w:val="26"/>
                <w:szCs w:val="26"/>
              </w:rPr>
            </w:pPr>
          </w:p>
        </w:tc>
        <w:tc>
          <w:tcPr>
            <w:tcW w:w="1553" w:type="dxa"/>
            <w:tcBorders>
              <w:top w:val="nil"/>
              <w:left w:val="single" w:sz="4" w:space="0" w:color="auto"/>
              <w:bottom w:val="nil"/>
              <w:right w:val="single" w:sz="4" w:space="0" w:color="auto"/>
            </w:tcBorders>
            <w:vAlign w:val="bottom"/>
          </w:tcPr>
          <w:p w14:paraId="4D8B8F43" w14:textId="656C39AF" w:rsidR="0027313B" w:rsidRPr="0059512A" w:rsidRDefault="0027313B" w:rsidP="005B3BE9">
            <w:pPr>
              <w:widowControl/>
              <w:jc w:val="center"/>
              <w:rPr>
                <w:sz w:val="26"/>
                <w:szCs w:val="26"/>
              </w:rPr>
            </w:pPr>
          </w:p>
        </w:tc>
      </w:tr>
      <w:tr w:rsidR="003C3EB7" w:rsidRPr="0059512A" w14:paraId="0123DC72" w14:textId="77777777" w:rsidTr="005B3BE9">
        <w:trPr>
          <w:trHeight w:val="360"/>
        </w:trPr>
        <w:tc>
          <w:tcPr>
            <w:tcW w:w="1525" w:type="dxa"/>
            <w:tcBorders>
              <w:top w:val="nil"/>
              <w:left w:val="single" w:sz="4" w:space="0" w:color="auto"/>
              <w:bottom w:val="nil"/>
              <w:right w:val="single" w:sz="4" w:space="0" w:color="auto"/>
            </w:tcBorders>
            <w:vAlign w:val="bottom"/>
          </w:tcPr>
          <w:p w14:paraId="759C2349" w14:textId="2BFEBD22" w:rsidR="0027313B" w:rsidRPr="0059512A" w:rsidRDefault="00365AAC" w:rsidP="005B3BE9">
            <w:pPr>
              <w:widowControl/>
              <w:rPr>
                <w:sz w:val="26"/>
                <w:szCs w:val="26"/>
              </w:rPr>
            </w:pPr>
            <w:r w:rsidRPr="0059512A">
              <w:rPr>
                <w:sz w:val="26"/>
                <w:szCs w:val="26"/>
              </w:rPr>
              <w:t>MBL</w:t>
            </w:r>
          </w:p>
        </w:tc>
        <w:tc>
          <w:tcPr>
            <w:tcW w:w="1800" w:type="dxa"/>
            <w:tcBorders>
              <w:top w:val="nil"/>
              <w:left w:val="single" w:sz="4" w:space="0" w:color="auto"/>
              <w:bottom w:val="nil"/>
              <w:right w:val="single" w:sz="4" w:space="0" w:color="auto"/>
            </w:tcBorders>
            <w:vAlign w:val="bottom"/>
          </w:tcPr>
          <w:p w14:paraId="02028C27" w14:textId="56FFF831" w:rsidR="0027313B" w:rsidRPr="0059512A" w:rsidRDefault="0027313B" w:rsidP="005B3BE9">
            <w:pPr>
              <w:widowControl/>
              <w:rPr>
                <w:sz w:val="26"/>
                <w:szCs w:val="26"/>
              </w:rPr>
            </w:pPr>
            <w:r w:rsidRPr="0059512A">
              <w:rPr>
                <w:sz w:val="26"/>
                <w:szCs w:val="26"/>
              </w:rPr>
              <w:t>$</w:t>
            </w:r>
            <w:r w:rsidR="00365AAC" w:rsidRPr="0059512A">
              <w:rPr>
                <w:sz w:val="26"/>
                <w:szCs w:val="26"/>
              </w:rPr>
              <w:t>17,615</w:t>
            </w:r>
          </w:p>
        </w:tc>
        <w:tc>
          <w:tcPr>
            <w:tcW w:w="1980" w:type="dxa"/>
            <w:tcBorders>
              <w:top w:val="nil"/>
              <w:left w:val="single" w:sz="4" w:space="0" w:color="auto"/>
              <w:bottom w:val="nil"/>
              <w:right w:val="single" w:sz="4" w:space="0" w:color="auto"/>
            </w:tcBorders>
            <w:vAlign w:val="bottom"/>
          </w:tcPr>
          <w:p w14:paraId="36C7658C" w14:textId="0E9DA619" w:rsidR="0027313B" w:rsidRPr="0059512A" w:rsidRDefault="0027313B" w:rsidP="005B3BE9">
            <w:pPr>
              <w:widowControl/>
              <w:rPr>
                <w:sz w:val="26"/>
                <w:szCs w:val="26"/>
              </w:rPr>
            </w:pPr>
            <w:r w:rsidRPr="0059512A">
              <w:rPr>
                <w:sz w:val="26"/>
                <w:szCs w:val="26"/>
              </w:rPr>
              <w:t>$</w:t>
            </w:r>
            <w:r w:rsidR="00365AAC" w:rsidRPr="0059512A">
              <w:rPr>
                <w:sz w:val="26"/>
                <w:szCs w:val="26"/>
              </w:rPr>
              <w:t>22,233</w:t>
            </w:r>
          </w:p>
        </w:tc>
        <w:tc>
          <w:tcPr>
            <w:tcW w:w="1620" w:type="dxa"/>
            <w:tcBorders>
              <w:top w:val="nil"/>
              <w:left w:val="single" w:sz="4" w:space="0" w:color="auto"/>
              <w:bottom w:val="nil"/>
              <w:right w:val="single" w:sz="4" w:space="0" w:color="auto"/>
            </w:tcBorders>
            <w:vAlign w:val="bottom"/>
          </w:tcPr>
          <w:p w14:paraId="1A8F7A3D" w14:textId="4C0A5A3A" w:rsidR="0027313B" w:rsidRPr="0059512A" w:rsidRDefault="0027313B" w:rsidP="005B3BE9">
            <w:pPr>
              <w:widowControl/>
              <w:rPr>
                <w:sz w:val="26"/>
                <w:szCs w:val="26"/>
              </w:rPr>
            </w:pPr>
            <w:r w:rsidRPr="0059512A">
              <w:rPr>
                <w:sz w:val="26"/>
                <w:szCs w:val="26"/>
              </w:rPr>
              <w:t>$</w:t>
            </w:r>
            <w:r w:rsidR="00365AAC" w:rsidRPr="0059512A">
              <w:rPr>
                <w:sz w:val="26"/>
                <w:szCs w:val="26"/>
              </w:rPr>
              <w:t>4,618</w:t>
            </w:r>
          </w:p>
        </w:tc>
        <w:tc>
          <w:tcPr>
            <w:tcW w:w="1553" w:type="dxa"/>
            <w:tcBorders>
              <w:top w:val="nil"/>
              <w:left w:val="single" w:sz="4" w:space="0" w:color="auto"/>
              <w:bottom w:val="nil"/>
              <w:right w:val="single" w:sz="4" w:space="0" w:color="auto"/>
            </w:tcBorders>
            <w:vAlign w:val="bottom"/>
          </w:tcPr>
          <w:p w14:paraId="0D51407E" w14:textId="1A1526A3" w:rsidR="0027313B" w:rsidRPr="0059512A" w:rsidRDefault="00365AAC" w:rsidP="005B3BE9">
            <w:pPr>
              <w:widowControl/>
              <w:jc w:val="center"/>
              <w:rPr>
                <w:sz w:val="26"/>
                <w:szCs w:val="26"/>
              </w:rPr>
            </w:pPr>
            <w:r w:rsidRPr="0059512A">
              <w:rPr>
                <w:sz w:val="26"/>
                <w:szCs w:val="26"/>
              </w:rPr>
              <w:t>26.2</w:t>
            </w:r>
            <w:r w:rsidR="0027313B" w:rsidRPr="0059512A">
              <w:rPr>
                <w:sz w:val="26"/>
                <w:szCs w:val="26"/>
              </w:rPr>
              <w:t>%</w:t>
            </w:r>
          </w:p>
        </w:tc>
      </w:tr>
      <w:tr w:rsidR="003C3EB7" w:rsidRPr="0059512A" w14:paraId="503AD959" w14:textId="77777777" w:rsidTr="005B3BE9">
        <w:trPr>
          <w:trHeight w:val="80"/>
        </w:trPr>
        <w:tc>
          <w:tcPr>
            <w:tcW w:w="1525" w:type="dxa"/>
            <w:tcBorders>
              <w:top w:val="nil"/>
              <w:left w:val="single" w:sz="4" w:space="0" w:color="auto"/>
              <w:bottom w:val="nil"/>
              <w:right w:val="single" w:sz="4" w:space="0" w:color="auto"/>
            </w:tcBorders>
            <w:vAlign w:val="bottom"/>
          </w:tcPr>
          <w:p w14:paraId="57CCBD81" w14:textId="6A0924D3" w:rsidR="0027313B" w:rsidRPr="0059512A" w:rsidRDefault="0027313B" w:rsidP="005B3BE9">
            <w:pPr>
              <w:widowControl/>
              <w:rPr>
                <w:sz w:val="26"/>
                <w:szCs w:val="26"/>
              </w:rPr>
            </w:pPr>
          </w:p>
        </w:tc>
        <w:tc>
          <w:tcPr>
            <w:tcW w:w="1800" w:type="dxa"/>
            <w:tcBorders>
              <w:top w:val="nil"/>
              <w:left w:val="single" w:sz="4" w:space="0" w:color="auto"/>
              <w:bottom w:val="nil"/>
              <w:right w:val="single" w:sz="4" w:space="0" w:color="auto"/>
            </w:tcBorders>
            <w:vAlign w:val="bottom"/>
          </w:tcPr>
          <w:p w14:paraId="648EF1A0" w14:textId="4FAA6948" w:rsidR="0027313B" w:rsidRPr="0059512A" w:rsidRDefault="0027313B" w:rsidP="005B3BE9">
            <w:pPr>
              <w:widowControl/>
              <w:rPr>
                <w:sz w:val="26"/>
                <w:szCs w:val="26"/>
              </w:rPr>
            </w:pPr>
          </w:p>
        </w:tc>
        <w:tc>
          <w:tcPr>
            <w:tcW w:w="1980" w:type="dxa"/>
            <w:tcBorders>
              <w:top w:val="nil"/>
              <w:left w:val="single" w:sz="4" w:space="0" w:color="auto"/>
              <w:bottom w:val="nil"/>
              <w:right w:val="single" w:sz="4" w:space="0" w:color="auto"/>
            </w:tcBorders>
            <w:vAlign w:val="bottom"/>
          </w:tcPr>
          <w:p w14:paraId="5AD884C7" w14:textId="45B02372" w:rsidR="0027313B" w:rsidRPr="0059512A" w:rsidRDefault="0027313B" w:rsidP="005B3BE9">
            <w:pPr>
              <w:widowControl/>
              <w:rPr>
                <w:sz w:val="26"/>
                <w:szCs w:val="26"/>
              </w:rPr>
            </w:pPr>
          </w:p>
        </w:tc>
        <w:tc>
          <w:tcPr>
            <w:tcW w:w="1620" w:type="dxa"/>
            <w:tcBorders>
              <w:top w:val="nil"/>
              <w:left w:val="single" w:sz="4" w:space="0" w:color="auto"/>
              <w:bottom w:val="nil"/>
              <w:right w:val="single" w:sz="4" w:space="0" w:color="auto"/>
            </w:tcBorders>
            <w:vAlign w:val="bottom"/>
          </w:tcPr>
          <w:p w14:paraId="3F6AB796" w14:textId="192CF4A3" w:rsidR="0027313B" w:rsidRPr="0059512A" w:rsidRDefault="0027313B" w:rsidP="005B3BE9">
            <w:pPr>
              <w:widowControl/>
              <w:rPr>
                <w:sz w:val="26"/>
                <w:szCs w:val="26"/>
              </w:rPr>
            </w:pPr>
          </w:p>
        </w:tc>
        <w:tc>
          <w:tcPr>
            <w:tcW w:w="1553" w:type="dxa"/>
            <w:tcBorders>
              <w:top w:val="nil"/>
              <w:left w:val="single" w:sz="4" w:space="0" w:color="auto"/>
              <w:bottom w:val="nil"/>
              <w:right w:val="single" w:sz="4" w:space="0" w:color="auto"/>
            </w:tcBorders>
            <w:vAlign w:val="bottom"/>
          </w:tcPr>
          <w:p w14:paraId="7C11C18B" w14:textId="4A12481D" w:rsidR="0027313B" w:rsidRPr="0059512A" w:rsidRDefault="0027313B" w:rsidP="005B3BE9">
            <w:pPr>
              <w:widowControl/>
              <w:jc w:val="center"/>
              <w:rPr>
                <w:sz w:val="26"/>
                <w:szCs w:val="26"/>
              </w:rPr>
            </w:pPr>
          </w:p>
        </w:tc>
      </w:tr>
      <w:tr w:rsidR="003C3EB7" w:rsidRPr="0059512A" w14:paraId="720246BE" w14:textId="77777777" w:rsidTr="005B3BE9">
        <w:trPr>
          <w:trHeight w:val="360"/>
        </w:trPr>
        <w:tc>
          <w:tcPr>
            <w:tcW w:w="1525" w:type="dxa"/>
            <w:tcBorders>
              <w:top w:val="nil"/>
              <w:left w:val="single" w:sz="4" w:space="0" w:color="auto"/>
              <w:bottom w:val="single" w:sz="4" w:space="0" w:color="auto"/>
              <w:right w:val="single" w:sz="4" w:space="0" w:color="auto"/>
            </w:tcBorders>
            <w:vAlign w:val="bottom"/>
          </w:tcPr>
          <w:p w14:paraId="7CB0FBE0" w14:textId="4C185FA3" w:rsidR="0027313B" w:rsidRPr="0059512A" w:rsidRDefault="00365AAC" w:rsidP="005B3BE9">
            <w:pPr>
              <w:widowControl/>
              <w:rPr>
                <w:sz w:val="26"/>
                <w:szCs w:val="26"/>
              </w:rPr>
            </w:pPr>
            <w:r w:rsidRPr="0059512A">
              <w:rPr>
                <w:sz w:val="26"/>
                <w:szCs w:val="26"/>
              </w:rPr>
              <w:t>OL</w:t>
            </w:r>
          </w:p>
        </w:tc>
        <w:tc>
          <w:tcPr>
            <w:tcW w:w="1800" w:type="dxa"/>
            <w:tcBorders>
              <w:top w:val="nil"/>
              <w:left w:val="single" w:sz="4" w:space="0" w:color="auto"/>
              <w:bottom w:val="single" w:sz="4" w:space="0" w:color="auto"/>
            </w:tcBorders>
            <w:vAlign w:val="bottom"/>
          </w:tcPr>
          <w:p w14:paraId="2CBBCAB2" w14:textId="1BFDF7AD" w:rsidR="0027313B" w:rsidRPr="0059512A" w:rsidRDefault="0027313B" w:rsidP="005B3BE9">
            <w:pPr>
              <w:widowControl/>
              <w:rPr>
                <w:sz w:val="26"/>
                <w:szCs w:val="26"/>
              </w:rPr>
            </w:pPr>
            <w:r w:rsidRPr="0059512A">
              <w:rPr>
                <w:sz w:val="26"/>
                <w:szCs w:val="26"/>
              </w:rPr>
              <w:t>$</w:t>
            </w:r>
            <w:r w:rsidR="00365AAC" w:rsidRPr="0059512A">
              <w:rPr>
                <w:sz w:val="26"/>
                <w:szCs w:val="26"/>
              </w:rPr>
              <w:t>75,307</w:t>
            </w:r>
          </w:p>
        </w:tc>
        <w:tc>
          <w:tcPr>
            <w:tcW w:w="1980" w:type="dxa"/>
            <w:tcBorders>
              <w:top w:val="nil"/>
              <w:bottom w:val="single" w:sz="4" w:space="0" w:color="auto"/>
            </w:tcBorders>
            <w:vAlign w:val="bottom"/>
          </w:tcPr>
          <w:p w14:paraId="3B5BCE21" w14:textId="7B0F9388" w:rsidR="0027313B" w:rsidRPr="0059512A" w:rsidRDefault="0027313B" w:rsidP="005B3BE9">
            <w:pPr>
              <w:widowControl/>
              <w:rPr>
                <w:sz w:val="26"/>
                <w:szCs w:val="26"/>
              </w:rPr>
            </w:pPr>
            <w:r w:rsidRPr="0059512A">
              <w:rPr>
                <w:sz w:val="26"/>
                <w:szCs w:val="26"/>
              </w:rPr>
              <w:t>$</w:t>
            </w:r>
            <w:r w:rsidR="00365AAC" w:rsidRPr="0059512A">
              <w:rPr>
                <w:sz w:val="26"/>
                <w:szCs w:val="26"/>
              </w:rPr>
              <w:t>86,523</w:t>
            </w:r>
          </w:p>
        </w:tc>
        <w:tc>
          <w:tcPr>
            <w:tcW w:w="1620" w:type="dxa"/>
            <w:tcBorders>
              <w:top w:val="nil"/>
              <w:bottom w:val="single" w:sz="4" w:space="0" w:color="auto"/>
            </w:tcBorders>
            <w:vAlign w:val="bottom"/>
          </w:tcPr>
          <w:p w14:paraId="4BFF9C0F" w14:textId="001E32BD" w:rsidR="0027313B" w:rsidRPr="0059512A" w:rsidRDefault="0027313B" w:rsidP="005B3BE9">
            <w:pPr>
              <w:widowControl/>
              <w:rPr>
                <w:sz w:val="26"/>
                <w:szCs w:val="26"/>
              </w:rPr>
            </w:pPr>
            <w:r w:rsidRPr="0059512A">
              <w:rPr>
                <w:sz w:val="26"/>
                <w:szCs w:val="26"/>
              </w:rPr>
              <w:t>$</w:t>
            </w:r>
            <w:r w:rsidR="00365AAC" w:rsidRPr="0059512A">
              <w:rPr>
                <w:sz w:val="26"/>
                <w:szCs w:val="26"/>
              </w:rPr>
              <w:t>11,217</w:t>
            </w:r>
          </w:p>
        </w:tc>
        <w:tc>
          <w:tcPr>
            <w:tcW w:w="1553" w:type="dxa"/>
            <w:tcBorders>
              <w:top w:val="nil"/>
              <w:bottom w:val="single" w:sz="4" w:space="0" w:color="auto"/>
            </w:tcBorders>
            <w:vAlign w:val="bottom"/>
          </w:tcPr>
          <w:p w14:paraId="2812BDA6" w14:textId="2CA45DF0" w:rsidR="0027313B" w:rsidRPr="0059512A" w:rsidRDefault="00365AAC" w:rsidP="005B3BE9">
            <w:pPr>
              <w:widowControl/>
              <w:jc w:val="center"/>
              <w:rPr>
                <w:sz w:val="26"/>
                <w:szCs w:val="26"/>
              </w:rPr>
            </w:pPr>
            <w:r w:rsidRPr="0059512A">
              <w:rPr>
                <w:sz w:val="26"/>
                <w:szCs w:val="26"/>
              </w:rPr>
              <w:t>14.9</w:t>
            </w:r>
            <w:r w:rsidR="0027313B" w:rsidRPr="0059512A">
              <w:rPr>
                <w:sz w:val="26"/>
                <w:szCs w:val="26"/>
              </w:rPr>
              <w:t>%</w:t>
            </w:r>
          </w:p>
        </w:tc>
      </w:tr>
      <w:tr w:rsidR="003C3EB7" w:rsidRPr="0059512A" w14:paraId="0BC10390" w14:textId="77777777" w:rsidTr="00F90103">
        <w:trPr>
          <w:trHeight w:val="530"/>
        </w:trPr>
        <w:tc>
          <w:tcPr>
            <w:tcW w:w="1525" w:type="dxa"/>
            <w:tcBorders>
              <w:top w:val="single" w:sz="4" w:space="0" w:color="auto"/>
              <w:bottom w:val="single" w:sz="4" w:space="0" w:color="auto"/>
            </w:tcBorders>
            <w:vAlign w:val="bottom"/>
          </w:tcPr>
          <w:p w14:paraId="5C60E520" w14:textId="77777777" w:rsidR="0027313B" w:rsidRPr="0059512A" w:rsidRDefault="0027313B" w:rsidP="005B3BE9">
            <w:pPr>
              <w:widowControl/>
              <w:jc w:val="center"/>
              <w:rPr>
                <w:b/>
                <w:sz w:val="26"/>
                <w:szCs w:val="26"/>
              </w:rPr>
            </w:pPr>
            <w:r w:rsidRPr="0059512A">
              <w:rPr>
                <w:b/>
                <w:sz w:val="26"/>
                <w:szCs w:val="26"/>
              </w:rPr>
              <w:t>Total</w:t>
            </w:r>
          </w:p>
        </w:tc>
        <w:tc>
          <w:tcPr>
            <w:tcW w:w="1800" w:type="dxa"/>
            <w:tcBorders>
              <w:bottom w:val="single" w:sz="4" w:space="0" w:color="auto"/>
            </w:tcBorders>
            <w:vAlign w:val="bottom"/>
          </w:tcPr>
          <w:p w14:paraId="0C42F171" w14:textId="1F1BCB3F" w:rsidR="0027313B" w:rsidRPr="0059512A" w:rsidRDefault="0027313B" w:rsidP="005B3BE9">
            <w:pPr>
              <w:widowControl/>
              <w:rPr>
                <w:b/>
                <w:sz w:val="26"/>
                <w:szCs w:val="26"/>
              </w:rPr>
            </w:pPr>
            <w:r w:rsidRPr="0059512A">
              <w:rPr>
                <w:b/>
                <w:sz w:val="26"/>
                <w:szCs w:val="26"/>
              </w:rPr>
              <w:t>$</w:t>
            </w:r>
            <w:r w:rsidR="00365AAC" w:rsidRPr="0059512A">
              <w:rPr>
                <w:b/>
                <w:sz w:val="26"/>
                <w:szCs w:val="26"/>
              </w:rPr>
              <w:t>4,791,840</w:t>
            </w:r>
          </w:p>
        </w:tc>
        <w:tc>
          <w:tcPr>
            <w:tcW w:w="1980" w:type="dxa"/>
            <w:tcBorders>
              <w:bottom w:val="single" w:sz="4" w:space="0" w:color="auto"/>
            </w:tcBorders>
            <w:vAlign w:val="bottom"/>
          </w:tcPr>
          <w:p w14:paraId="7F353657" w14:textId="08C647CA" w:rsidR="0027313B" w:rsidRPr="0059512A" w:rsidRDefault="0027313B" w:rsidP="005B3BE9">
            <w:pPr>
              <w:widowControl/>
              <w:rPr>
                <w:b/>
                <w:sz w:val="26"/>
                <w:szCs w:val="26"/>
              </w:rPr>
            </w:pPr>
            <w:r w:rsidRPr="0059512A">
              <w:rPr>
                <w:b/>
                <w:sz w:val="26"/>
                <w:szCs w:val="26"/>
              </w:rPr>
              <w:t>$</w:t>
            </w:r>
            <w:r w:rsidR="00365AAC" w:rsidRPr="0059512A">
              <w:rPr>
                <w:b/>
                <w:sz w:val="26"/>
                <w:szCs w:val="26"/>
              </w:rPr>
              <w:t>5,584,085</w:t>
            </w:r>
          </w:p>
        </w:tc>
        <w:tc>
          <w:tcPr>
            <w:tcW w:w="1620" w:type="dxa"/>
            <w:tcBorders>
              <w:bottom w:val="single" w:sz="4" w:space="0" w:color="auto"/>
            </w:tcBorders>
            <w:vAlign w:val="bottom"/>
          </w:tcPr>
          <w:p w14:paraId="3772B3F2" w14:textId="1E10F3BE" w:rsidR="0027313B" w:rsidRPr="0059512A" w:rsidRDefault="0027313B" w:rsidP="005B3BE9">
            <w:pPr>
              <w:widowControl/>
              <w:rPr>
                <w:b/>
                <w:sz w:val="26"/>
                <w:szCs w:val="26"/>
              </w:rPr>
            </w:pPr>
            <w:r w:rsidRPr="0059512A">
              <w:rPr>
                <w:b/>
                <w:sz w:val="26"/>
                <w:szCs w:val="26"/>
              </w:rPr>
              <w:t>$</w:t>
            </w:r>
            <w:r w:rsidR="00365AAC" w:rsidRPr="0059512A">
              <w:rPr>
                <w:b/>
                <w:sz w:val="26"/>
                <w:szCs w:val="26"/>
              </w:rPr>
              <w:t>792,246</w:t>
            </w:r>
          </w:p>
        </w:tc>
        <w:tc>
          <w:tcPr>
            <w:tcW w:w="1553" w:type="dxa"/>
            <w:tcBorders>
              <w:bottom w:val="single" w:sz="4" w:space="0" w:color="auto"/>
            </w:tcBorders>
            <w:vAlign w:val="bottom"/>
          </w:tcPr>
          <w:p w14:paraId="466E2CFF" w14:textId="55E38088" w:rsidR="0027313B" w:rsidRPr="0059512A" w:rsidRDefault="00365AAC" w:rsidP="005B3BE9">
            <w:pPr>
              <w:widowControl/>
              <w:jc w:val="center"/>
              <w:rPr>
                <w:b/>
                <w:sz w:val="26"/>
                <w:szCs w:val="26"/>
              </w:rPr>
            </w:pPr>
            <w:r w:rsidRPr="0059512A">
              <w:rPr>
                <w:b/>
                <w:sz w:val="26"/>
                <w:szCs w:val="26"/>
              </w:rPr>
              <w:t>16.5</w:t>
            </w:r>
            <w:r w:rsidR="0027313B" w:rsidRPr="0059512A">
              <w:rPr>
                <w:b/>
                <w:sz w:val="26"/>
                <w:szCs w:val="26"/>
              </w:rPr>
              <w:t>%</w:t>
            </w:r>
          </w:p>
        </w:tc>
      </w:tr>
    </w:tbl>
    <w:p w14:paraId="048B2FB6" w14:textId="77777777" w:rsidR="0061783C" w:rsidRPr="0059512A" w:rsidRDefault="0061783C" w:rsidP="005B3BE9">
      <w:pPr>
        <w:widowControl/>
        <w:spacing w:line="360" w:lineRule="auto"/>
        <w:ind w:firstLine="1440"/>
        <w:rPr>
          <w:sz w:val="26"/>
          <w:szCs w:val="26"/>
        </w:rPr>
      </w:pPr>
    </w:p>
    <w:p w14:paraId="30539B40" w14:textId="23F38E94" w:rsidR="0070279D" w:rsidRPr="0059512A" w:rsidRDefault="00160AA5" w:rsidP="005B3BE9">
      <w:pPr>
        <w:widowControl/>
        <w:spacing w:line="360" w:lineRule="auto"/>
        <w:rPr>
          <w:sz w:val="26"/>
          <w:szCs w:val="26"/>
        </w:rPr>
      </w:pPr>
      <w:r w:rsidRPr="0059512A">
        <w:rPr>
          <w:i/>
          <w:iCs/>
          <w:sz w:val="26"/>
          <w:szCs w:val="26"/>
        </w:rPr>
        <w:t>See</w:t>
      </w:r>
      <w:r w:rsidRPr="0059512A">
        <w:rPr>
          <w:sz w:val="26"/>
          <w:szCs w:val="26"/>
        </w:rPr>
        <w:t xml:space="preserve"> </w:t>
      </w:r>
      <w:r w:rsidR="0070279D" w:rsidRPr="0059512A">
        <w:rPr>
          <w:sz w:val="26"/>
          <w:szCs w:val="26"/>
        </w:rPr>
        <w:t>Citizens’ Exh</w:t>
      </w:r>
      <w:r w:rsidR="0061783C" w:rsidRPr="0059512A">
        <w:rPr>
          <w:sz w:val="26"/>
          <w:szCs w:val="26"/>
        </w:rPr>
        <w:t>.</w:t>
      </w:r>
      <w:r w:rsidR="0070279D" w:rsidRPr="0059512A">
        <w:rPr>
          <w:sz w:val="26"/>
          <w:szCs w:val="26"/>
        </w:rPr>
        <w:t>_(HSG-1)</w:t>
      </w:r>
      <w:r w:rsidR="0061783C" w:rsidRPr="0059512A">
        <w:rPr>
          <w:sz w:val="26"/>
          <w:szCs w:val="26"/>
        </w:rPr>
        <w:t>, Sch. B6-</w:t>
      </w:r>
      <w:r w:rsidR="005F3F9B" w:rsidRPr="0059512A">
        <w:rPr>
          <w:sz w:val="26"/>
          <w:szCs w:val="26"/>
        </w:rPr>
        <w:t>1</w:t>
      </w:r>
      <w:r w:rsidR="0061783C" w:rsidRPr="0059512A">
        <w:rPr>
          <w:sz w:val="26"/>
          <w:szCs w:val="26"/>
        </w:rPr>
        <w:t>.</w:t>
      </w:r>
    </w:p>
    <w:p w14:paraId="7AA79F4B" w14:textId="4B6643F6" w:rsidR="00BA4149" w:rsidRPr="0059512A" w:rsidRDefault="005F3F9B" w:rsidP="0059512A">
      <w:pPr>
        <w:widowControl/>
        <w:spacing w:line="360" w:lineRule="auto"/>
        <w:ind w:firstLine="1440"/>
        <w:rPr>
          <w:b/>
          <w:bCs/>
          <w:sz w:val="26"/>
          <w:szCs w:val="26"/>
        </w:rPr>
      </w:pPr>
      <w:r w:rsidRPr="0059512A">
        <w:rPr>
          <w:rFonts w:eastAsiaTheme="minorHAnsi"/>
          <w:sz w:val="26"/>
          <w:szCs w:val="26"/>
        </w:rPr>
        <w:lastRenderedPageBreak/>
        <w:t>Citizens’ averred that its propos</w:t>
      </w:r>
      <w:r w:rsidR="006E0748" w:rsidRPr="0059512A">
        <w:rPr>
          <w:rFonts w:eastAsiaTheme="minorHAnsi"/>
          <w:sz w:val="26"/>
          <w:szCs w:val="26"/>
        </w:rPr>
        <w:t>ed revenue allocation among the individual rate classes, ranging from a 3.2 percent decrease for the GLP-3 rate class to a 26.2 percent increase for the MBL rate class,</w:t>
      </w:r>
      <w:r w:rsidRPr="0059512A">
        <w:rPr>
          <w:rFonts w:eastAsiaTheme="minorHAnsi"/>
          <w:sz w:val="26"/>
          <w:szCs w:val="26"/>
        </w:rPr>
        <w:t xml:space="preserve"> is reasonable and properly moves the rate</w:t>
      </w:r>
      <w:r w:rsidR="0004587B" w:rsidRPr="0059512A">
        <w:rPr>
          <w:rFonts w:eastAsiaTheme="minorHAnsi"/>
          <w:sz w:val="26"/>
          <w:szCs w:val="26"/>
        </w:rPr>
        <w:t xml:space="preserve">s </w:t>
      </w:r>
      <w:r w:rsidRPr="0059512A">
        <w:rPr>
          <w:rFonts w:eastAsiaTheme="minorHAnsi"/>
          <w:sz w:val="26"/>
          <w:szCs w:val="26"/>
        </w:rPr>
        <w:t xml:space="preserve">of return for all classes closer to the overall system average rate of return, as </w:t>
      </w:r>
      <w:r w:rsidR="0004587B" w:rsidRPr="0059512A">
        <w:rPr>
          <w:rFonts w:eastAsiaTheme="minorHAnsi"/>
          <w:sz w:val="26"/>
          <w:szCs w:val="26"/>
        </w:rPr>
        <w:t xml:space="preserve">demonstrated by the following indexed relative rates of return by </w:t>
      </w:r>
      <w:r w:rsidR="00253F2A" w:rsidRPr="0059512A">
        <w:rPr>
          <w:rFonts w:eastAsiaTheme="minorHAnsi"/>
          <w:sz w:val="26"/>
          <w:szCs w:val="26"/>
        </w:rPr>
        <w:t>customer</w:t>
      </w:r>
      <w:r w:rsidR="0004587B" w:rsidRPr="0059512A">
        <w:rPr>
          <w:rFonts w:eastAsiaTheme="minorHAnsi"/>
          <w:sz w:val="26"/>
          <w:szCs w:val="26"/>
        </w:rPr>
        <w:t xml:space="preserve"> class</w:t>
      </w:r>
      <w:r w:rsidR="00B721A7" w:rsidRPr="0059512A">
        <w:rPr>
          <w:rFonts w:eastAsiaTheme="minorHAnsi"/>
          <w:sz w:val="26"/>
          <w:szCs w:val="26"/>
        </w:rPr>
        <w:t xml:space="preserve"> at present and proposed rates</w:t>
      </w:r>
      <w:r w:rsidR="0004587B" w:rsidRPr="0059512A">
        <w:rPr>
          <w:rFonts w:eastAsiaTheme="minorHAnsi"/>
          <w:sz w:val="26"/>
          <w:szCs w:val="26"/>
        </w:rPr>
        <w:t>:</w:t>
      </w:r>
    </w:p>
    <w:p w14:paraId="6911CDB7" w14:textId="77777777" w:rsidR="00BA4149" w:rsidRPr="0059512A" w:rsidRDefault="00BA4149" w:rsidP="0059512A">
      <w:pPr>
        <w:widowControl/>
        <w:spacing w:line="360" w:lineRule="auto"/>
        <w:rPr>
          <w:b/>
          <w:bCs/>
          <w:sz w:val="26"/>
          <w:szCs w:val="26"/>
        </w:rPr>
      </w:pPr>
    </w:p>
    <w:tbl>
      <w:tblPr>
        <w:tblW w:w="5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90"/>
        <w:gridCol w:w="1980"/>
      </w:tblGrid>
      <w:tr w:rsidR="00FE299E" w:rsidRPr="0059512A" w14:paraId="6E68DA12" w14:textId="77777777" w:rsidTr="000341DE">
        <w:trPr>
          <w:trHeight w:val="503"/>
          <w:jc w:val="center"/>
        </w:trPr>
        <w:tc>
          <w:tcPr>
            <w:tcW w:w="5688" w:type="dxa"/>
            <w:gridSpan w:val="3"/>
            <w:tcBorders>
              <w:bottom w:val="single" w:sz="4" w:space="0" w:color="auto"/>
            </w:tcBorders>
            <w:vAlign w:val="center"/>
          </w:tcPr>
          <w:p w14:paraId="6F822240" w14:textId="2C84B77A" w:rsidR="00FE299E" w:rsidRPr="0059512A" w:rsidRDefault="00FE299E" w:rsidP="0059512A">
            <w:pPr>
              <w:keepNext/>
              <w:keepLines/>
              <w:widowControl/>
              <w:jc w:val="center"/>
              <w:rPr>
                <w:b/>
                <w:sz w:val="26"/>
                <w:szCs w:val="26"/>
              </w:rPr>
            </w:pPr>
            <w:bookmarkStart w:id="155" w:name="_Hlk37070453"/>
            <w:r w:rsidRPr="0059512A">
              <w:rPr>
                <w:b/>
                <w:sz w:val="26"/>
                <w:szCs w:val="26"/>
              </w:rPr>
              <w:t>Citizens’ Relative Rates of Return</w:t>
            </w:r>
          </w:p>
        </w:tc>
      </w:tr>
      <w:tr w:rsidR="00FE299E" w:rsidRPr="0059512A" w14:paraId="6741C6A8" w14:textId="77777777" w:rsidTr="000341DE">
        <w:trPr>
          <w:trHeight w:val="503"/>
          <w:jc w:val="center"/>
        </w:trPr>
        <w:tc>
          <w:tcPr>
            <w:tcW w:w="1818" w:type="dxa"/>
            <w:tcBorders>
              <w:bottom w:val="single" w:sz="4" w:space="0" w:color="auto"/>
            </w:tcBorders>
            <w:vAlign w:val="bottom"/>
          </w:tcPr>
          <w:p w14:paraId="4782E93D" w14:textId="77777777" w:rsidR="00FE299E" w:rsidRPr="0059512A" w:rsidRDefault="00FE299E" w:rsidP="0059512A">
            <w:pPr>
              <w:keepNext/>
              <w:keepLines/>
              <w:widowControl/>
              <w:rPr>
                <w:b/>
                <w:sz w:val="26"/>
                <w:szCs w:val="26"/>
              </w:rPr>
            </w:pPr>
            <w:r w:rsidRPr="0059512A">
              <w:rPr>
                <w:b/>
                <w:sz w:val="26"/>
                <w:szCs w:val="26"/>
              </w:rPr>
              <w:t>Class</w:t>
            </w:r>
          </w:p>
        </w:tc>
        <w:tc>
          <w:tcPr>
            <w:tcW w:w="1890" w:type="dxa"/>
            <w:tcBorders>
              <w:bottom w:val="single" w:sz="4" w:space="0" w:color="auto"/>
            </w:tcBorders>
            <w:vAlign w:val="bottom"/>
          </w:tcPr>
          <w:p w14:paraId="043A9704" w14:textId="7AFEC0A7" w:rsidR="00FE299E" w:rsidRPr="0059512A" w:rsidRDefault="00774737" w:rsidP="0059512A">
            <w:pPr>
              <w:keepNext/>
              <w:keepLines/>
              <w:widowControl/>
              <w:jc w:val="center"/>
              <w:rPr>
                <w:b/>
                <w:sz w:val="26"/>
                <w:szCs w:val="26"/>
              </w:rPr>
            </w:pPr>
            <w:r w:rsidRPr="0059512A">
              <w:rPr>
                <w:b/>
                <w:sz w:val="26"/>
                <w:szCs w:val="26"/>
              </w:rPr>
              <w:t>Under</w:t>
            </w:r>
          </w:p>
          <w:p w14:paraId="56C01D5D" w14:textId="77777777" w:rsidR="00FE299E" w:rsidRPr="0059512A" w:rsidRDefault="00FE299E" w:rsidP="0059512A">
            <w:pPr>
              <w:keepNext/>
              <w:keepLines/>
              <w:widowControl/>
              <w:jc w:val="center"/>
              <w:rPr>
                <w:b/>
                <w:sz w:val="26"/>
                <w:szCs w:val="26"/>
              </w:rPr>
            </w:pPr>
            <w:r w:rsidRPr="0059512A">
              <w:rPr>
                <w:b/>
                <w:sz w:val="26"/>
                <w:szCs w:val="26"/>
              </w:rPr>
              <w:t>Present Rates</w:t>
            </w:r>
          </w:p>
        </w:tc>
        <w:tc>
          <w:tcPr>
            <w:tcW w:w="1980" w:type="dxa"/>
            <w:tcBorders>
              <w:bottom w:val="single" w:sz="4" w:space="0" w:color="auto"/>
            </w:tcBorders>
            <w:vAlign w:val="bottom"/>
          </w:tcPr>
          <w:p w14:paraId="2333595F" w14:textId="4B4167F8" w:rsidR="00FE299E" w:rsidRPr="0059512A" w:rsidRDefault="00774737" w:rsidP="0059512A">
            <w:pPr>
              <w:keepNext/>
              <w:keepLines/>
              <w:widowControl/>
              <w:jc w:val="center"/>
              <w:rPr>
                <w:b/>
                <w:sz w:val="26"/>
                <w:szCs w:val="26"/>
              </w:rPr>
            </w:pPr>
            <w:r w:rsidRPr="0059512A">
              <w:rPr>
                <w:b/>
                <w:sz w:val="26"/>
                <w:szCs w:val="26"/>
              </w:rPr>
              <w:t>Under</w:t>
            </w:r>
          </w:p>
          <w:p w14:paraId="03F84A29" w14:textId="77777777" w:rsidR="00FE299E" w:rsidRPr="0059512A" w:rsidRDefault="00FE299E" w:rsidP="0059512A">
            <w:pPr>
              <w:keepNext/>
              <w:keepLines/>
              <w:widowControl/>
              <w:jc w:val="center"/>
              <w:rPr>
                <w:b/>
                <w:sz w:val="26"/>
                <w:szCs w:val="26"/>
              </w:rPr>
            </w:pPr>
            <w:r w:rsidRPr="0059512A">
              <w:rPr>
                <w:b/>
                <w:sz w:val="26"/>
                <w:szCs w:val="26"/>
              </w:rPr>
              <w:t>Proposed Rates</w:t>
            </w:r>
          </w:p>
        </w:tc>
      </w:tr>
      <w:tr w:rsidR="00FE299E" w:rsidRPr="0059512A" w14:paraId="0163A7C7" w14:textId="77777777" w:rsidTr="000341DE">
        <w:trPr>
          <w:trHeight w:val="422"/>
          <w:jc w:val="center"/>
        </w:trPr>
        <w:tc>
          <w:tcPr>
            <w:tcW w:w="1818" w:type="dxa"/>
            <w:tcBorders>
              <w:top w:val="single" w:sz="4" w:space="0" w:color="auto"/>
              <w:left w:val="single" w:sz="4" w:space="0" w:color="auto"/>
              <w:bottom w:val="nil"/>
              <w:right w:val="single" w:sz="4" w:space="0" w:color="auto"/>
            </w:tcBorders>
            <w:vAlign w:val="bottom"/>
          </w:tcPr>
          <w:p w14:paraId="616F0AF9" w14:textId="77777777" w:rsidR="00FE299E" w:rsidRPr="0059512A" w:rsidRDefault="00FE299E" w:rsidP="0059512A">
            <w:pPr>
              <w:keepNext/>
              <w:keepLines/>
              <w:widowControl/>
              <w:rPr>
                <w:sz w:val="26"/>
                <w:szCs w:val="26"/>
              </w:rPr>
            </w:pPr>
            <w:r w:rsidRPr="0059512A">
              <w:rPr>
                <w:sz w:val="26"/>
                <w:szCs w:val="26"/>
              </w:rPr>
              <w:t>RS</w:t>
            </w:r>
          </w:p>
        </w:tc>
        <w:tc>
          <w:tcPr>
            <w:tcW w:w="1890" w:type="dxa"/>
            <w:tcBorders>
              <w:top w:val="single" w:sz="4" w:space="0" w:color="auto"/>
              <w:left w:val="single" w:sz="4" w:space="0" w:color="auto"/>
              <w:bottom w:val="nil"/>
              <w:right w:val="single" w:sz="4" w:space="0" w:color="auto"/>
            </w:tcBorders>
            <w:vAlign w:val="bottom"/>
          </w:tcPr>
          <w:p w14:paraId="7C04DA87" w14:textId="3D456AA5" w:rsidR="00FE299E" w:rsidRPr="0059512A" w:rsidRDefault="00FE299E" w:rsidP="0059512A">
            <w:pPr>
              <w:keepNext/>
              <w:keepLines/>
              <w:widowControl/>
              <w:jc w:val="center"/>
              <w:rPr>
                <w:sz w:val="26"/>
                <w:szCs w:val="26"/>
              </w:rPr>
            </w:pPr>
            <w:r w:rsidRPr="0059512A">
              <w:rPr>
                <w:sz w:val="26"/>
                <w:szCs w:val="26"/>
              </w:rPr>
              <w:t>(0.39)</w:t>
            </w:r>
          </w:p>
        </w:tc>
        <w:tc>
          <w:tcPr>
            <w:tcW w:w="1980" w:type="dxa"/>
            <w:tcBorders>
              <w:top w:val="single" w:sz="4" w:space="0" w:color="auto"/>
              <w:left w:val="single" w:sz="4" w:space="0" w:color="auto"/>
              <w:bottom w:val="nil"/>
              <w:right w:val="single" w:sz="4" w:space="0" w:color="auto"/>
            </w:tcBorders>
            <w:vAlign w:val="bottom"/>
          </w:tcPr>
          <w:p w14:paraId="614078B5" w14:textId="71461A18" w:rsidR="00FE299E" w:rsidRPr="0059512A" w:rsidRDefault="00FE299E" w:rsidP="0059512A">
            <w:pPr>
              <w:keepNext/>
              <w:keepLines/>
              <w:widowControl/>
              <w:jc w:val="center"/>
              <w:rPr>
                <w:sz w:val="26"/>
                <w:szCs w:val="26"/>
              </w:rPr>
            </w:pPr>
            <w:r w:rsidRPr="0059512A">
              <w:rPr>
                <w:sz w:val="26"/>
                <w:szCs w:val="26"/>
              </w:rPr>
              <w:t>0.66</w:t>
            </w:r>
          </w:p>
        </w:tc>
      </w:tr>
      <w:tr w:rsidR="00FE299E" w:rsidRPr="0059512A" w14:paraId="46E7059A" w14:textId="77777777" w:rsidTr="00FE299E">
        <w:trPr>
          <w:trHeight w:val="423"/>
          <w:jc w:val="center"/>
        </w:trPr>
        <w:tc>
          <w:tcPr>
            <w:tcW w:w="1818" w:type="dxa"/>
            <w:tcBorders>
              <w:top w:val="nil"/>
              <w:left w:val="single" w:sz="4" w:space="0" w:color="auto"/>
              <w:bottom w:val="nil"/>
              <w:right w:val="single" w:sz="4" w:space="0" w:color="auto"/>
            </w:tcBorders>
            <w:vAlign w:val="bottom"/>
          </w:tcPr>
          <w:p w14:paraId="7118044C" w14:textId="3F468BBF" w:rsidR="00FE299E" w:rsidRPr="0059512A" w:rsidRDefault="00FE299E" w:rsidP="0059512A">
            <w:pPr>
              <w:keepNext/>
              <w:keepLines/>
              <w:widowControl/>
              <w:rPr>
                <w:sz w:val="26"/>
                <w:szCs w:val="26"/>
              </w:rPr>
            </w:pPr>
            <w:r w:rsidRPr="0059512A">
              <w:rPr>
                <w:sz w:val="26"/>
                <w:szCs w:val="26"/>
              </w:rPr>
              <w:t>GLP-1</w:t>
            </w:r>
          </w:p>
        </w:tc>
        <w:tc>
          <w:tcPr>
            <w:tcW w:w="1890" w:type="dxa"/>
            <w:tcBorders>
              <w:top w:val="nil"/>
              <w:left w:val="single" w:sz="4" w:space="0" w:color="auto"/>
              <w:bottom w:val="nil"/>
              <w:right w:val="single" w:sz="4" w:space="0" w:color="auto"/>
            </w:tcBorders>
            <w:vAlign w:val="bottom"/>
          </w:tcPr>
          <w:p w14:paraId="4169DCD5" w14:textId="67373527" w:rsidR="00FE299E" w:rsidRPr="0059512A" w:rsidRDefault="00FE299E" w:rsidP="0059512A">
            <w:pPr>
              <w:keepNext/>
              <w:keepLines/>
              <w:widowControl/>
              <w:jc w:val="center"/>
              <w:rPr>
                <w:sz w:val="26"/>
                <w:szCs w:val="26"/>
              </w:rPr>
            </w:pPr>
            <w:r w:rsidRPr="0059512A">
              <w:rPr>
                <w:sz w:val="26"/>
                <w:szCs w:val="26"/>
              </w:rPr>
              <w:t>1.87</w:t>
            </w:r>
          </w:p>
        </w:tc>
        <w:tc>
          <w:tcPr>
            <w:tcW w:w="1980" w:type="dxa"/>
            <w:tcBorders>
              <w:top w:val="nil"/>
              <w:left w:val="single" w:sz="4" w:space="0" w:color="auto"/>
              <w:bottom w:val="nil"/>
              <w:right w:val="single" w:sz="4" w:space="0" w:color="auto"/>
            </w:tcBorders>
            <w:vAlign w:val="bottom"/>
          </w:tcPr>
          <w:p w14:paraId="1549AFB9" w14:textId="3BEF0A4A" w:rsidR="00FE299E" w:rsidRPr="0059512A" w:rsidRDefault="00FE299E" w:rsidP="0059512A">
            <w:pPr>
              <w:keepNext/>
              <w:keepLines/>
              <w:widowControl/>
              <w:jc w:val="center"/>
              <w:rPr>
                <w:sz w:val="26"/>
                <w:szCs w:val="26"/>
              </w:rPr>
            </w:pPr>
            <w:r w:rsidRPr="0059512A">
              <w:rPr>
                <w:sz w:val="26"/>
                <w:szCs w:val="26"/>
              </w:rPr>
              <w:t>1.43</w:t>
            </w:r>
          </w:p>
        </w:tc>
      </w:tr>
      <w:tr w:rsidR="00FE299E" w:rsidRPr="0059512A" w14:paraId="068F2384" w14:textId="77777777" w:rsidTr="00FE299E">
        <w:trPr>
          <w:trHeight w:val="450"/>
          <w:jc w:val="center"/>
        </w:trPr>
        <w:tc>
          <w:tcPr>
            <w:tcW w:w="1818" w:type="dxa"/>
            <w:tcBorders>
              <w:top w:val="nil"/>
              <w:left w:val="single" w:sz="4" w:space="0" w:color="auto"/>
              <w:bottom w:val="nil"/>
              <w:right w:val="single" w:sz="4" w:space="0" w:color="auto"/>
            </w:tcBorders>
            <w:vAlign w:val="bottom"/>
          </w:tcPr>
          <w:p w14:paraId="347BD3A0" w14:textId="3B281A44" w:rsidR="00FE299E" w:rsidRPr="0059512A" w:rsidRDefault="00FE299E" w:rsidP="0059512A">
            <w:pPr>
              <w:keepNext/>
              <w:keepLines/>
              <w:widowControl/>
              <w:rPr>
                <w:sz w:val="26"/>
                <w:szCs w:val="26"/>
              </w:rPr>
            </w:pPr>
            <w:r w:rsidRPr="0059512A">
              <w:rPr>
                <w:sz w:val="26"/>
                <w:szCs w:val="26"/>
              </w:rPr>
              <w:t>GLP-3</w:t>
            </w:r>
          </w:p>
        </w:tc>
        <w:tc>
          <w:tcPr>
            <w:tcW w:w="1890" w:type="dxa"/>
            <w:tcBorders>
              <w:top w:val="nil"/>
              <w:left w:val="single" w:sz="4" w:space="0" w:color="auto"/>
              <w:bottom w:val="nil"/>
              <w:right w:val="single" w:sz="4" w:space="0" w:color="auto"/>
            </w:tcBorders>
            <w:vAlign w:val="bottom"/>
          </w:tcPr>
          <w:p w14:paraId="0D727C8A" w14:textId="6A811613" w:rsidR="00FE299E" w:rsidRPr="0059512A" w:rsidRDefault="00FE299E" w:rsidP="0059512A">
            <w:pPr>
              <w:keepNext/>
              <w:keepLines/>
              <w:widowControl/>
              <w:jc w:val="center"/>
              <w:rPr>
                <w:sz w:val="26"/>
                <w:szCs w:val="26"/>
              </w:rPr>
            </w:pPr>
            <w:r w:rsidRPr="0059512A">
              <w:rPr>
                <w:sz w:val="26"/>
                <w:szCs w:val="26"/>
              </w:rPr>
              <w:t>4.81</w:t>
            </w:r>
          </w:p>
        </w:tc>
        <w:tc>
          <w:tcPr>
            <w:tcW w:w="1980" w:type="dxa"/>
            <w:tcBorders>
              <w:top w:val="nil"/>
              <w:left w:val="single" w:sz="4" w:space="0" w:color="auto"/>
              <w:bottom w:val="nil"/>
              <w:right w:val="single" w:sz="4" w:space="0" w:color="auto"/>
            </w:tcBorders>
            <w:vAlign w:val="bottom"/>
          </w:tcPr>
          <w:p w14:paraId="7C2084AF" w14:textId="6F6153F2" w:rsidR="00FE299E" w:rsidRPr="0059512A" w:rsidRDefault="00FE299E" w:rsidP="0059512A">
            <w:pPr>
              <w:keepNext/>
              <w:keepLines/>
              <w:widowControl/>
              <w:jc w:val="center"/>
              <w:rPr>
                <w:sz w:val="26"/>
                <w:szCs w:val="26"/>
              </w:rPr>
            </w:pPr>
            <w:r w:rsidRPr="0059512A">
              <w:rPr>
                <w:sz w:val="26"/>
                <w:szCs w:val="26"/>
              </w:rPr>
              <w:t>2.12</w:t>
            </w:r>
          </w:p>
        </w:tc>
      </w:tr>
      <w:tr w:rsidR="00FE299E" w:rsidRPr="0059512A" w14:paraId="6C4DD61E" w14:textId="77777777" w:rsidTr="00FE299E">
        <w:trPr>
          <w:trHeight w:val="450"/>
          <w:jc w:val="center"/>
        </w:trPr>
        <w:tc>
          <w:tcPr>
            <w:tcW w:w="1818" w:type="dxa"/>
            <w:tcBorders>
              <w:top w:val="nil"/>
              <w:left w:val="single" w:sz="4" w:space="0" w:color="auto"/>
              <w:bottom w:val="nil"/>
              <w:right w:val="single" w:sz="4" w:space="0" w:color="auto"/>
            </w:tcBorders>
            <w:vAlign w:val="bottom"/>
          </w:tcPr>
          <w:p w14:paraId="08515ACB" w14:textId="4A1133AE" w:rsidR="00FE299E" w:rsidRPr="0059512A" w:rsidRDefault="00FE299E" w:rsidP="0059512A">
            <w:pPr>
              <w:keepNext/>
              <w:keepLines/>
              <w:widowControl/>
              <w:rPr>
                <w:sz w:val="26"/>
                <w:szCs w:val="26"/>
              </w:rPr>
            </w:pPr>
            <w:r w:rsidRPr="0059512A">
              <w:rPr>
                <w:sz w:val="26"/>
                <w:szCs w:val="26"/>
              </w:rPr>
              <w:t>SH</w:t>
            </w:r>
          </w:p>
        </w:tc>
        <w:tc>
          <w:tcPr>
            <w:tcW w:w="1890" w:type="dxa"/>
            <w:tcBorders>
              <w:top w:val="nil"/>
              <w:left w:val="single" w:sz="4" w:space="0" w:color="auto"/>
              <w:bottom w:val="nil"/>
              <w:right w:val="single" w:sz="4" w:space="0" w:color="auto"/>
            </w:tcBorders>
            <w:vAlign w:val="bottom"/>
          </w:tcPr>
          <w:p w14:paraId="3414E155" w14:textId="33BC2ED4" w:rsidR="00FE299E" w:rsidRPr="0059512A" w:rsidRDefault="00FE299E" w:rsidP="0059512A">
            <w:pPr>
              <w:keepNext/>
              <w:keepLines/>
              <w:widowControl/>
              <w:jc w:val="center"/>
              <w:rPr>
                <w:sz w:val="26"/>
                <w:szCs w:val="26"/>
              </w:rPr>
            </w:pPr>
            <w:r w:rsidRPr="0059512A">
              <w:rPr>
                <w:sz w:val="26"/>
                <w:szCs w:val="26"/>
              </w:rPr>
              <w:t>0.12</w:t>
            </w:r>
          </w:p>
        </w:tc>
        <w:tc>
          <w:tcPr>
            <w:tcW w:w="1980" w:type="dxa"/>
            <w:tcBorders>
              <w:top w:val="nil"/>
              <w:left w:val="single" w:sz="4" w:space="0" w:color="auto"/>
              <w:bottom w:val="nil"/>
              <w:right w:val="single" w:sz="4" w:space="0" w:color="auto"/>
            </w:tcBorders>
            <w:vAlign w:val="bottom"/>
          </w:tcPr>
          <w:p w14:paraId="20154D93" w14:textId="5C2CF26A" w:rsidR="00FE299E" w:rsidRPr="0059512A" w:rsidRDefault="00FE299E" w:rsidP="0059512A">
            <w:pPr>
              <w:keepNext/>
              <w:keepLines/>
              <w:widowControl/>
              <w:jc w:val="center"/>
              <w:rPr>
                <w:sz w:val="26"/>
                <w:szCs w:val="26"/>
              </w:rPr>
            </w:pPr>
            <w:r w:rsidRPr="0059512A">
              <w:rPr>
                <w:sz w:val="26"/>
                <w:szCs w:val="26"/>
              </w:rPr>
              <w:t>0.69</w:t>
            </w:r>
          </w:p>
        </w:tc>
      </w:tr>
      <w:tr w:rsidR="00FE299E" w:rsidRPr="0059512A" w14:paraId="16EA0216" w14:textId="77777777" w:rsidTr="00FE299E">
        <w:trPr>
          <w:trHeight w:val="450"/>
          <w:jc w:val="center"/>
        </w:trPr>
        <w:tc>
          <w:tcPr>
            <w:tcW w:w="1818" w:type="dxa"/>
            <w:tcBorders>
              <w:top w:val="nil"/>
              <w:left w:val="single" w:sz="4" w:space="0" w:color="auto"/>
              <w:bottom w:val="nil"/>
              <w:right w:val="single" w:sz="4" w:space="0" w:color="auto"/>
            </w:tcBorders>
            <w:vAlign w:val="bottom"/>
          </w:tcPr>
          <w:p w14:paraId="58E5B4F0" w14:textId="544EEA7E" w:rsidR="00FE299E" w:rsidRPr="0059512A" w:rsidRDefault="00FE299E" w:rsidP="0059512A">
            <w:pPr>
              <w:keepNext/>
              <w:keepLines/>
              <w:widowControl/>
              <w:rPr>
                <w:sz w:val="26"/>
                <w:szCs w:val="26"/>
              </w:rPr>
            </w:pPr>
            <w:r w:rsidRPr="0059512A">
              <w:rPr>
                <w:sz w:val="26"/>
                <w:szCs w:val="26"/>
              </w:rPr>
              <w:t>MBL</w:t>
            </w:r>
          </w:p>
        </w:tc>
        <w:tc>
          <w:tcPr>
            <w:tcW w:w="1890" w:type="dxa"/>
            <w:tcBorders>
              <w:top w:val="nil"/>
              <w:left w:val="single" w:sz="4" w:space="0" w:color="auto"/>
              <w:bottom w:val="nil"/>
              <w:right w:val="single" w:sz="4" w:space="0" w:color="auto"/>
            </w:tcBorders>
            <w:vAlign w:val="bottom"/>
          </w:tcPr>
          <w:p w14:paraId="7F5B3553" w14:textId="115D60C8" w:rsidR="00FE299E" w:rsidRPr="0059512A" w:rsidRDefault="00FE299E" w:rsidP="0059512A">
            <w:pPr>
              <w:keepNext/>
              <w:keepLines/>
              <w:widowControl/>
              <w:jc w:val="center"/>
              <w:rPr>
                <w:sz w:val="26"/>
                <w:szCs w:val="26"/>
              </w:rPr>
            </w:pPr>
            <w:r w:rsidRPr="0059512A">
              <w:rPr>
                <w:sz w:val="26"/>
                <w:szCs w:val="26"/>
              </w:rPr>
              <w:t>(1.37)</w:t>
            </w:r>
          </w:p>
        </w:tc>
        <w:tc>
          <w:tcPr>
            <w:tcW w:w="1980" w:type="dxa"/>
            <w:tcBorders>
              <w:top w:val="nil"/>
              <w:left w:val="single" w:sz="4" w:space="0" w:color="auto"/>
              <w:bottom w:val="nil"/>
              <w:right w:val="single" w:sz="4" w:space="0" w:color="auto"/>
            </w:tcBorders>
            <w:vAlign w:val="bottom"/>
          </w:tcPr>
          <w:p w14:paraId="69199EB2" w14:textId="783CDFBE" w:rsidR="00FE299E" w:rsidRPr="0059512A" w:rsidRDefault="00FE299E" w:rsidP="0059512A">
            <w:pPr>
              <w:keepNext/>
              <w:keepLines/>
              <w:widowControl/>
              <w:jc w:val="center"/>
              <w:rPr>
                <w:sz w:val="26"/>
                <w:szCs w:val="26"/>
              </w:rPr>
            </w:pPr>
            <w:r w:rsidRPr="0059512A">
              <w:rPr>
                <w:sz w:val="26"/>
                <w:szCs w:val="26"/>
              </w:rPr>
              <w:t>(0.51)</w:t>
            </w:r>
          </w:p>
        </w:tc>
      </w:tr>
      <w:tr w:rsidR="00FE299E" w:rsidRPr="0059512A" w14:paraId="7710DF53" w14:textId="77777777" w:rsidTr="00FE299E">
        <w:trPr>
          <w:trHeight w:val="450"/>
          <w:jc w:val="center"/>
        </w:trPr>
        <w:tc>
          <w:tcPr>
            <w:tcW w:w="1818" w:type="dxa"/>
            <w:tcBorders>
              <w:top w:val="nil"/>
              <w:left w:val="single" w:sz="4" w:space="0" w:color="auto"/>
              <w:bottom w:val="single" w:sz="4" w:space="0" w:color="auto"/>
              <w:right w:val="single" w:sz="4" w:space="0" w:color="auto"/>
            </w:tcBorders>
            <w:vAlign w:val="bottom"/>
          </w:tcPr>
          <w:p w14:paraId="5153E97C" w14:textId="6CCDD8E1" w:rsidR="00FE299E" w:rsidRPr="0059512A" w:rsidRDefault="00FE299E" w:rsidP="0059512A">
            <w:pPr>
              <w:keepNext/>
              <w:keepLines/>
              <w:widowControl/>
              <w:rPr>
                <w:sz w:val="26"/>
                <w:szCs w:val="26"/>
              </w:rPr>
            </w:pPr>
            <w:r w:rsidRPr="0059512A">
              <w:rPr>
                <w:sz w:val="26"/>
                <w:szCs w:val="26"/>
              </w:rPr>
              <w:t>OL</w:t>
            </w:r>
          </w:p>
        </w:tc>
        <w:tc>
          <w:tcPr>
            <w:tcW w:w="1890" w:type="dxa"/>
            <w:tcBorders>
              <w:top w:val="nil"/>
              <w:left w:val="single" w:sz="4" w:space="0" w:color="auto"/>
              <w:bottom w:val="single" w:sz="4" w:space="0" w:color="auto"/>
            </w:tcBorders>
            <w:vAlign w:val="bottom"/>
          </w:tcPr>
          <w:p w14:paraId="1B311D54" w14:textId="15878E84" w:rsidR="00FE299E" w:rsidRPr="0059512A" w:rsidRDefault="00FE299E" w:rsidP="0059512A">
            <w:pPr>
              <w:keepNext/>
              <w:keepLines/>
              <w:widowControl/>
              <w:jc w:val="center"/>
              <w:rPr>
                <w:sz w:val="26"/>
                <w:szCs w:val="26"/>
              </w:rPr>
            </w:pPr>
            <w:r w:rsidRPr="0059512A">
              <w:rPr>
                <w:sz w:val="26"/>
                <w:szCs w:val="26"/>
              </w:rPr>
              <w:t>2.07</w:t>
            </w:r>
          </w:p>
        </w:tc>
        <w:tc>
          <w:tcPr>
            <w:tcW w:w="1980" w:type="dxa"/>
            <w:tcBorders>
              <w:top w:val="nil"/>
              <w:bottom w:val="single" w:sz="4" w:space="0" w:color="auto"/>
            </w:tcBorders>
            <w:vAlign w:val="bottom"/>
          </w:tcPr>
          <w:p w14:paraId="463EECD7" w14:textId="51839A03" w:rsidR="00FE299E" w:rsidRPr="0059512A" w:rsidRDefault="00FE299E" w:rsidP="0059512A">
            <w:pPr>
              <w:keepNext/>
              <w:keepLines/>
              <w:widowControl/>
              <w:jc w:val="center"/>
              <w:rPr>
                <w:sz w:val="26"/>
                <w:szCs w:val="26"/>
              </w:rPr>
            </w:pPr>
            <w:r w:rsidRPr="0059512A">
              <w:rPr>
                <w:sz w:val="26"/>
                <w:szCs w:val="26"/>
              </w:rPr>
              <w:t>1.32</w:t>
            </w:r>
          </w:p>
        </w:tc>
      </w:tr>
      <w:tr w:rsidR="00FE299E" w:rsidRPr="0059512A" w14:paraId="5D78D0A8" w14:textId="77777777" w:rsidTr="00F90103">
        <w:trPr>
          <w:trHeight w:val="458"/>
          <w:jc w:val="center"/>
        </w:trPr>
        <w:tc>
          <w:tcPr>
            <w:tcW w:w="1818" w:type="dxa"/>
            <w:tcBorders>
              <w:top w:val="single" w:sz="4" w:space="0" w:color="auto"/>
              <w:bottom w:val="single" w:sz="4" w:space="0" w:color="auto"/>
            </w:tcBorders>
            <w:vAlign w:val="bottom"/>
          </w:tcPr>
          <w:p w14:paraId="5D547095" w14:textId="77777777" w:rsidR="00FE299E" w:rsidRPr="0059512A" w:rsidRDefault="00FE299E" w:rsidP="0059512A">
            <w:pPr>
              <w:keepNext/>
              <w:keepLines/>
              <w:widowControl/>
              <w:jc w:val="center"/>
              <w:rPr>
                <w:b/>
                <w:sz w:val="26"/>
                <w:szCs w:val="26"/>
              </w:rPr>
            </w:pPr>
            <w:r w:rsidRPr="0059512A">
              <w:rPr>
                <w:b/>
                <w:sz w:val="26"/>
                <w:szCs w:val="26"/>
              </w:rPr>
              <w:t>Total</w:t>
            </w:r>
          </w:p>
        </w:tc>
        <w:tc>
          <w:tcPr>
            <w:tcW w:w="1890" w:type="dxa"/>
            <w:tcBorders>
              <w:bottom w:val="single" w:sz="4" w:space="0" w:color="auto"/>
            </w:tcBorders>
            <w:vAlign w:val="bottom"/>
          </w:tcPr>
          <w:p w14:paraId="0B6FE0AB" w14:textId="77777777" w:rsidR="00FE299E" w:rsidRPr="0059512A" w:rsidRDefault="00FE299E" w:rsidP="0059512A">
            <w:pPr>
              <w:keepNext/>
              <w:keepLines/>
              <w:widowControl/>
              <w:jc w:val="center"/>
              <w:rPr>
                <w:b/>
                <w:sz w:val="26"/>
                <w:szCs w:val="26"/>
              </w:rPr>
            </w:pPr>
            <w:r w:rsidRPr="0059512A">
              <w:rPr>
                <w:b/>
                <w:sz w:val="26"/>
                <w:szCs w:val="26"/>
              </w:rPr>
              <w:t>1.00</w:t>
            </w:r>
          </w:p>
        </w:tc>
        <w:tc>
          <w:tcPr>
            <w:tcW w:w="1980" w:type="dxa"/>
            <w:tcBorders>
              <w:bottom w:val="single" w:sz="4" w:space="0" w:color="auto"/>
            </w:tcBorders>
            <w:vAlign w:val="bottom"/>
          </w:tcPr>
          <w:p w14:paraId="5E0AC01C" w14:textId="77777777" w:rsidR="00FE299E" w:rsidRPr="0059512A" w:rsidRDefault="00FE299E" w:rsidP="0059512A">
            <w:pPr>
              <w:keepNext/>
              <w:keepLines/>
              <w:widowControl/>
              <w:jc w:val="center"/>
              <w:rPr>
                <w:b/>
                <w:sz w:val="26"/>
                <w:szCs w:val="26"/>
              </w:rPr>
            </w:pPr>
            <w:r w:rsidRPr="0059512A">
              <w:rPr>
                <w:b/>
                <w:sz w:val="26"/>
                <w:szCs w:val="26"/>
              </w:rPr>
              <w:t>1.00</w:t>
            </w:r>
          </w:p>
        </w:tc>
      </w:tr>
      <w:bookmarkEnd w:id="155"/>
    </w:tbl>
    <w:p w14:paraId="0D4AA1B0" w14:textId="77777777" w:rsidR="007157CB" w:rsidRPr="0059512A" w:rsidRDefault="007157CB" w:rsidP="005B3BE9">
      <w:pPr>
        <w:widowControl/>
        <w:spacing w:line="480" w:lineRule="auto"/>
        <w:rPr>
          <w:b/>
          <w:bCs/>
          <w:sz w:val="26"/>
          <w:szCs w:val="26"/>
        </w:rPr>
      </w:pPr>
    </w:p>
    <w:p w14:paraId="559E7018" w14:textId="51B19BBB" w:rsidR="0082049A" w:rsidRPr="0059512A" w:rsidRDefault="00616063" w:rsidP="0059512A">
      <w:pPr>
        <w:widowControl/>
        <w:spacing w:line="360" w:lineRule="auto"/>
        <w:rPr>
          <w:sz w:val="26"/>
          <w:szCs w:val="26"/>
        </w:rPr>
      </w:pPr>
      <w:r w:rsidRPr="0059512A">
        <w:rPr>
          <w:i/>
          <w:iCs/>
          <w:sz w:val="26"/>
          <w:szCs w:val="26"/>
        </w:rPr>
        <w:t>See</w:t>
      </w:r>
      <w:r w:rsidRPr="0059512A">
        <w:rPr>
          <w:sz w:val="26"/>
          <w:szCs w:val="26"/>
        </w:rPr>
        <w:t xml:space="preserve"> </w:t>
      </w:r>
      <w:r w:rsidR="00822151" w:rsidRPr="0059512A">
        <w:rPr>
          <w:sz w:val="26"/>
          <w:szCs w:val="26"/>
        </w:rPr>
        <w:t>Citizens’ Exh._(HSG-1), Sch</w:t>
      </w:r>
      <w:r w:rsidR="00454EB9" w:rsidRPr="0059512A">
        <w:rPr>
          <w:sz w:val="26"/>
          <w:szCs w:val="26"/>
        </w:rPr>
        <w:t>.</w:t>
      </w:r>
      <w:r w:rsidR="00822151" w:rsidRPr="0059512A">
        <w:rPr>
          <w:sz w:val="26"/>
          <w:szCs w:val="26"/>
        </w:rPr>
        <w:t xml:space="preserve"> B6-4, lines 8 and 33.</w:t>
      </w:r>
      <w:r w:rsidR="00F75651" w:rsidRPr="0059512A">
        <w:rPr>
          <w:sz w:val="26"/>
          <w:szCs w:val="26"/>
        </w:rPr>
        <w:t xml:space="preserve">  Furthermore, based on the results of the Company’s ACCOSS, Citizens’ illustrated the effect its proposed revenue allocation would have on the “subsidies” paid and received by each rate class</w:t>
      </w:r>
      <w:r w:rsidR="0082049A" w:rsidRPr="0059512A">
        <w:rPr>
          <w:sz w:val="26"/>
          <w:szCs w:val="26"/>
        </w:rPr>
        <w:t>, as follows:</w:t>
      </w: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90"/>
        <w:gridCol w:w="1980"/>
        <w:gridCol w:w="1597"/>
      </w:tblGrid>
      <w:tr w:rsidR="0082049A" w:rsidRPr="0059512A" w14:paraId="1066D60A" w14:textId="5E562479" w:rsidTr="0082049A">
        <w:trPr>
          <w:trHeight w:val="737"/>
          <w:jc w:val="center"/>
        </w:trPr>
        <w:tc>
          <w:tcPr>
            <w:tcW w:w="7285" w:type="dxa"/>
            <w:gridSpan w:val="4"/>
            <w:tcBorders>
              <w:bottom w:val="single" w:sz="4" w:space="0" w:color="auto"/>
            </w:tcBorders>
            <w:vAlign w:val="center"/>
          </w:tcPr>
          <w:p w14:paraId="1E16D1F7" w14:textId="77777777" w:rsidR="0082049A" w:rsidRPr="0059512A" w:rsidRDefault="0082049A" w:rsidP="0059512A">
            <w:pPr>
              <w:keepNext/>
              <w:keepLines/>
              <w:widowControl/>
              <w:jc w:val="center"/>
              <w:rPr>
                <w:b/>
                <w:sz w:val="26"/>
                <w:szCs w:val="26"/>
              </w:rPr>
            </w:pPr>
            <w:r w:rsidRPr="0059512A">
              <w:rPr>
                <w:b/>
                <w:sz w:val="26"/>
                <w:szCs w:val="26"/>
              </w:rPr>
              <w:lastRenderedPageBreak/>
              <w:t xml:space="preserve">Citizens’ </w:t>
            </w:r>
          </w:p>
          <w:p w14:paraId="29C22634" w14:textId="6C81B331" w:rsidR="0082049A" w:rsidRPr="0059512A" w:rsidRDefault="0082049A" w:rsidP="0059512A">
            <w:pPr>
              <w:keepNext/>
              <w:keepLines/>
              <w:widowControl/>
              <w:jc w:val="center"/>
              <w:rPr>
                <w:b/>
                <w:sz w:val="26"/>
                <w:szCs w:val="26"/>
              </w:rPr>
            </w:pPr>
            <w:r w:rsidRPr="0059512A">
              <w:rPr>
                <w:b/>
                <w:sz w:val="26"/>
                <w:szCs w:val="26"/>
              </w:rPr>
              <w:t>Subsidy Given (Received)</w:t>
            </w:r>
          </w:p>
        </w:tc>
      </w:tr>
      <w:tr w:rsidR="0082049A" w:rsidRPr="0059512A" w14:paraId="6DC636D6" w14:textId="1840501E" w:rsidTr="0082049A">
        <w:trPr>
          <w:trHeight w:val="503"/>
          <w:jc w:val="center"/>
        </w:trPr>
        <w:tc>
          <w:tcPr>
            <w:tcW w:w="1818" w:type="dxa"/>
            <w:tcBorders>
              <w:bottom w:val="single" w:sz="4" w:space="0" w:color="auto"/>
            </w:tcBorders>
            <w:vAlign w:val="bottom"/>
          </w:tcPr>
          <w:p w14:paraId="542DF96D" w14:textId="77777777" w:rsidR="0082049A" w:rsidRPr="0059512A" w:rsidRDefault="0082049A" w:rsidP="0059512A">
            <w:pPr>
              <w:keepNext/>
              <w:keepLines/>
              <w:widowControl/>
              <w:rPr>
                <w:b/>
                <w:sz w:val="26"/>
                <w:szCs w:val="26"/>
              </w:rPr>
            </w:pPr>
            <w:r w:rsidRPr="0059512A">
              <w:rPr>
                <w:b/>
                <w:sz w:val="26"/>
                <w:szCs w:val="26"/>
              </w:rPr>
              <w:t>Class</w:t>
            </w:r>
          </w:p>
        </w:tc>
        <w:tc>
          <w:tcPr>
            <w:tcW w:w="1890" w:type="dxa"/>
            <w:tcBorders>
              <w:bottom w:val="single" w:sz="4" w:space="0" w:color="auto"/>
            </w:tcBorders>
            <w:vAlign w:val="bottom"/>
          </w:tcPr>
          <w:p w14:paraId="02C6A27E" w14:textId="77777777" w:rsidR="0082049A" w:rsidRPr="0059512A" w:rsidRDefault="0082049A" w:rsidP="0059512A">
            <w:pPr>
              <w:keepNext/>
              <w:keepLines/>
              <w:widowControl/>
              <w:jc w:val="center"/>
              <w:rPr>
                <w:b/>
                <w:sz w:val="26"/>
                <w:szCs w:val="26"/>
              </w:rPr>
            </w:pPr>
            <w:r w:rsidRPr="0059512A">
              <w:rPr>
                <w:b/>
                <w:sz w:val="26"/>
                <w:szCs w:val="26"/>
              </w:rPr>
              <w:t>Under</w:t>
            </w:r>
          </w:p>
          <w:p w14:paraId="195471B9" w14:textId="77777777" w:rsidR="0082049A" w:rsidRPr="0059512A" w:rsidRDefault="0082049A" w:rsidP="0059512A">
            <w:pPr>
              <w:keepNext/>
              <w:keepLines/>
              <w:widowControl/>
              <w:jc w:val="center"/>
              <w:rPr>
                <w:b/>
                <w:sz w:val="26"/>
                <w:szCs w:val="26"/>
              </w:rPr>
            </w:pPr>
            <w:r w:rsidRPr="0059512A">
              <w:rPr>
                <w:b/>
                <w:sz w:val="26"/>
                <w:szCs w:val="26"/>
              </w:rPr>
              <w:t>Present Rates</w:t>
            </w:r>
          </w:p>
        </w:tc>
        <w:tc>
          <w:tcPr>
            <w:tcW w:w="1980" w:type="dxa"/>
            <w:tcBorders>
              <w:bottom w:val="single" w:sz="4" w:space="0" w:color="auto"/>
            </w:tcBorders>
            <w:vAlign w:val="bottom"/>
          </w:tcPr>
          <w:p w14:paraId="579B97A8" w14:textId="77777777" w:rsidR="0082049A" w:rsidRPr="0059512A" w:rsidRDefault="0082049A" w:rsidP="0059512A">
            <w:pPr>
              <w:keepNext/>
              <w:keepLines/>
              <w:widowControl/>
              <w:jc w:val="center"/>
              <w:rPr>
                <w:b/>
                <w:sz w:val="26"/>
                <w:szCs w:val="26"/>
              </w:rPr>
            </w:pPr>
            <w:r w:rsidRPr="0059512A">
              <w:rPr>
                <w:b/>
                <w:sz w:val="26"/>
                <w:szCs w:val="26"/>
              </w:rPr>
              <w:t>Under</w:t>
            </w:r>
          </w:p>
          <w:p w14:paraId="0715E386" w14:textId="77777777" w:rsidR="0082049A" w:rsidRPr="0059512A" w:rsidRDefault="0082049A" w:rsidP="0059512A">
            <w:pPr>
              <w:keepNext/>
              <w:keepLines/>
              <w:widowControl/>
              <w:jc w:val="center"/>
              <w:rPr>
                <w:b/>
                <w:sz w:val="26"/>
                <w:szCs w:val="26"/>
              </w:rPr>
            </w:pPr>
            <w:r w:rsidRPr="0059512A">
              <w:rPr>
                <w:b/>
                <w:sz w:val="26"/>
                <w:szCs w:val="26"/>
              </w:rPr>
              <w:t>Proposed Rates</w:t>
            </w:r>
          </w:p>
        </w:tc>
        <w:tc>
          <w:tcPr>
            <w:tcW w:w="1597" w:type="dxa"/>
            <w:tcBorders>
              <w:bottom w:val="single" w:sz="4" w:space="0" w:color="auto"/>
            </w:tcBorders>
          </w:tcPr>
          <w:p w14:paraId="764E3D5A" w14:textId="11CCDB6B" w:rsidR="0082049A" w:rsidRPr="0059512A" w:rsidRDefault="0082049A" w:rsidP="0059512A">
            <w:pPr>
              <w:keepNext/>
              <w:keepLines/>
              <w:widowControl/>
              <w:jc w:val="center"/>
              <w:rPr>
                <w:b/>
                <w:sz w:val="26"/>
                <w:szCs w:val="26"/>
              </w:rPr>
            </w:pPr>
            <w:r w:rsidRPr="0059512A">
              <w:rPr>
                <w:b/>
                <w:sz w:val="26"/>
                <w:szCs w:val="26"/>
              </w:rPr>
              <w:t>Reduction in Subsidy</w:t>
            </w:r>
          </w:p>
        </w:tc>
      </w:tr>
      <w:tr w:rsidR="0082049A" w:rsidRPr="0059512A" w14:paraId="4A1FFE70" w14:textId="32949736" w:rsidTr="000341DE">
        <w:trPr>
          <w:trHeight w:val="422"/>
          <w:jc w:val="center"/>
        </w:trPr>
        <w:tc>
          <w:tcPr>
            <w:tcW w:w="1818" w:type="dxa"/>
            <w:tcBorders>
              <w:top w:val="single" w:sz="4" w:space="0" w:color="auto"/>
              <w:left w:val="single" w:sz="4" w:space="0" w:color="auto"/>
              <w:bottom w:val="nil"/>
              <w:right w:val="single" w:sz="4" w:space="0" w:color="auto"/>
            </w:tcBorders>
            <w:vAlign w:val="bottom"/>
          </w:tcPr>
          <w:p w14:paraId="6832A18E" w14:textId="77777777" w:rsidR="0082049A" w:rsidRPr="0059512A" w:rsidRDefault="0082049A" w:rsidP="0059512A">
            <w:pPr>
              <w:keepNext/>
              <w:keepLines/>
              <w:widowControl/>
              <w:rPr>
                <w:sz w:val="26"/>
                <w:szCs w:val="26"/>
              </w:rPr>
            </w:pPr>
            <w:r w:rsidRPr="0059512A">
              <w:rPr>
                <w:sz w:val="26"/>
                <w:szCs w:val="26"/>
              </w:rPr>
              <w:t>RS</w:t>
            </w:r>
          </w:p>
        </w:tc>
        <w:tc>
          <w:tcPr>
            <w:tcW w:w="1890" w:type="dxa"/>
            <w:tcBorders>
              <w:top w:val="single" w:sz="4" w:space="0" w:color="auto"/>
              <w:left w:val="single" w:sz="4" w:space="0" w:color="auto"/>
              <w:bottom w:val="nil"/>
              <w:right w:val="single" w:sz="4" w:space="0" w:color="auto"/>
            </w:tcBorders>
            <w:vAlign w:val="bottom"/>
          </w:tcPr>
          <w:p w14:paraId="796CC17D" w14:textId="6D49AF53" w:rsidR="0082049A" w:rsidRPr="0059512A" w:rsidRDefault="0082049A" w:rsidP="0059512A">
            <w:pPr>
              <w:keepNext/>
              <w:keepLines/>
              <w:widowControl/>
              <w:jc w:val="center"/>
              <w:rPr>
                <w:sz w:val="26"/>
                <w:szCs w:val="26"/>
              </w:rPr>
            </w:pPr>
            <w:r w:rsidRPr="0059512A">
              <w:rPr>
                <w:sz w:val="26"/>
                <w:szCs w:val="26"/>
              </w:rPr>
              <w:t>($352,004)</w:t>
            </w:r>
          </w:p>
        </w:tc>
        <w:tc>
          <w:tcPr>
            <w:tcW w:w="1980" w:type="dxa"/>
            <w:tcBorders>
              <w:top w:val="single" w:sz="4" w:space="0" w:color="auto"/>
              <w:left w:val="single" w:sz="4" w:space="0" w:color="auto"/>
              <w:bottom w:val="nil"/>
              <w:right w:val="single" w:sz="4" w:space="0" w:color="auto"/>
            </w:tcBorders>
            <w:vAlign w:val="bottom"/>
          </w:tcPr>
          <w:p w14:paraId="5C47D0BE" w14:textId="671C478A" w:rsidR="0082049A" w:rsidRPr="0059512A" w:rsidRDefault="0082049A" w:rsidP="0059512A">
            <w:pPr>
              <w:keepNext/>
              <w:keepLines/>
              <w:widowControl/>
              <w:jc w:val="center"/>
              <w:rPr>
                <w:sz w:val="26"/>
                <w:szCs w:val="26"/>
              </w:rPr>
            </w:pPr>
            <w:r w:rsidRPr="0059512A">
              <w:rPr>
                <w:sz w:val="26"/>
                <w:szCs w:val="26"/>
              </w:rPr>
              <w:t>($222,659)</w:t>
            </w:r>
          </w:p>
        </w:tc>
        <w:tc>
          <w:tcPr>
            <w:tcW w:w="1597" w:type="dxa"/>
            <w:tcBorders>
              <w:top w:val="single" w:sz="4" w:space="0" w:color="auto"/>
              <w:left w:val="single" w:sz="4" w:space="0" w:color="auto"/>
              <w:bottom w:val="nil"/>
              <w:right w:val="single" w:sz="4" w:space="0" w:color="auto"/>
            </w:tcBorders>
            <w:vAlign w:val="bottom"/>
          </w:tcPr>
          <w:p w14:paraId="0979D3A7" w14:textId="71C090C2" w:rsidR="0082049A" w:rsidRPr="0059512A" w:rsidRDefault="0082049A" w:rsidP="0059512A">
            <w:pPr>
              <w:keepNext/>
              <w:keepLines/>
              <w:widowControl/>
              <w:jc w:val="center"/>
              <w:rPr>
                <w:sz w:val="26"/>
                <w:szCs w:val="26"/>
              </w:rPr>
            </w:pPr>
            <w:r w:rsidRPr="0059512A">
              <w:rPr>
                <w:sz w:val="26"/>
                <w:szCs w:val="26"/>
              </w:rPr>
              <w:t>37%</w:t>
            </w:r>
          </w:p>
        </w:tc>
      </w:tr>
      <w:tr w:rsidR="0082049A" w:rsidRPr="0059512A" w14:paraId="01F907EB" w14:textId="21B969C3" w:rsidTr="000341DE">
        <w:trPr>
          <w:trHeight w:val="423"/>
          <w:jc w:val="center"/>
        </w:trPr>
        <w:tc>
          <w:tcPr>
            <w:tcW w:w="1818" w:type="dxa"/>
            <w:tcBorders>
              <w:top w:val="nil"/>
              <w:left w:val="single" w:sz="4" w:space="0" w:color="auto"/>
              <w:bottom w:val="nil"/>
              <w:right w:val="single" w:sz="4" w:space="0" w:color="auto"/>
            </w:tcBorders>
            <w:vAlign w:val="bottom"/>
          </w:tcPr>
          <w:p w14:paraId="4870DA5D" w14:textId="77777777" w:rsidR="0082049A" w:rsidRPr="0059512A" w:rsidRDefault="0082049A" w:rsidP="0059512A">
            <w:pPr>
              <w:keepNext/>
              <w:keepLines/>
              <w:widowControl/>
              <w:rPr>
                <w:sz w:val="26"/>
                <w:szCs w:val="26"/>
              </w:rPr>
            </w:pPr>
            <w:r w:rsidRPr="0059512A">
              <w:rPr>
                <w:sz w:val="26"/>
                <w:szCs w:val="26"/>
              </w:rPr>
              <w:t>GLP-1</w:t>
            </w:r>
          </w:p>
        </w:tc>
        <w:tc>
          <w:tcPr>
            <w:tcW w:w="1890" w:type="dxa"/>
            <w:tcBorders>
              <w:top w:val="nil"/>
              <w:left w:val="single" w:sz="4" w:space="0" w:color="auto"/>
              <w:bottom w:val="nil"/>
              <w:right w:val="single" w:sz="4" w:space="0" w:color="auto"/>
            </w:tcBorders>
            <w:vAlign w:val="bottom"/>
          </w:tcPr>
          <w:p w14:paraId="2C760D29" w14:textId="68CBBEFE" w:rsidR="0082049A" w:rsidRPr="0059512A" w:rsidRDefault="0082049A" w:rsidP="0059512A">
            <w:pPr>
              <w:keepNext/>
              <w:keepLines/>
              <w:widowControl/>
              <w:jc w:val="center"/>
              <w:rPr>
                <w:sz w:val="26"/>
                <w:szCs w:val="26"/>
              </w:rPr>
            </w:pPr>
            <w:r w:rsidRPr="0059512A">
              <w:rPr>
                <w:sz w:val="26"/>
                <w:szCs w:val="26"/>
              </w:rPr>
              <w:t>$75,880</w:t>
            </w:r>
          </w:p>
        </w:tc>
        <w:tc>
          <w:tcPr>
            <w:tcW w:w="1980" w:type="dxa"/>
            <w:tcBorders>
              <w:top w:val="nil"/>
              <w:left w:val="single" w:sz="4" w:space="0" w:color="auto"/>
              <w:bottom w:val="nil"/>
              <w:right w:val="single" w:sz="4" w:space="0" w:color="auto"/>
            </w:tcBorders>
            <w:vAlign w:val="bottom"/>
          </w:tcPr>
          <w:p w14:paraId="47E39C89" w14:textId="6ABBB391" w:rsidR="0082049A" w:rsidRPr="0059512A" w:rsidRDefault="0082049A" w:rsidP="0059512A">
            <w:pPr>
              <w:keepNext/>
              <w:keepLines/>
              <w:widowControl/>
              <w:jc w:val="center"/>
              <w:rPr>
                <w:sz w:val="26"/>
                <w:szCs w:val="26"/>
              </w:rPr>
            </w:pPr>
            <w:r w:rsidRPr="0059512A">
              <w:rPr>
                <w:sz w:val="26"/>
                <w:szCs w:val="26"/>
              </w:rPr>
              <w:t>$75,669</w:t>
            </w:r>
          </w:p>
        </w:tc>
        <w:tc>
          <w:tcPr>
            <w:tcW w:w="1597" w:type="dxa"/>
            <w:tcBorders>
              <w:top w:val="nil"/>
              <w:left w:val="single" w:sz="4" w:space="0" w:color="auto"/>
              <w:bottom w:val="nil"/>
              <w:right w:val="single" w:sz="4" w:space="0" w:color="auto"/>
            </w:tcBorders>
            <w:vAlign w:val="bottom"/>
          </w:tcPr>
          <w:p w14:paraId="611B2B3D" w14:textId="387D2415" w:rsidR="0082049A" w:rsidRPr="0059512A" w:rsidRDefault="0082049A" w:rsidP="0059512A">
            <w:pPr>
              <w:keepNext/>
              <w:keepLines/>
              <w:widowControl/>
              <w:jc w:val="center"/>
              <w:rPr>
                <w:sz w:val="26"/>
                <w:szCs w:val="26"/>
              </w:rPr>
            </w:pPr>
            <w:r w:rsidRPr="0059512A">
              <w:rPr>
                <w:sz w:val="26"/>
                <w:szCs w:val="26"/>
              </w:rPr>
              <w:t>0%</w:t>
            </w:r>
          </w:p>
        </w:tc>
      </w:tr>
      <w:tr w:rsidR="0082049A" w:rsidRPr="0059512A" w14:paraId="1E54B750" w14:textId="6A56B559" w:rsidTr="000341DE">
        <w:trPr>
          <w:trHeight w:val="450"/>
          <w:jc w:val="center"/>
        </w:trPr>
        <w:tc>
          <w:tcPr>
            <w:tcW w:w="1818" w:type="dxa"/>
            <w:tcBorders>
              <w:top w:val="nil"/>
              <w:left w:val="single" w:sz="4" w:space="0" w:color="auto"/>
              <w:bottom w:val="nil"/>
              <w:right w:val="single" w:sz="4" w:space="0" w:color="auto"/>
            </w:tcBorders>
            <w:vAlign w:val="bottom"/>
          </w:tcPr>
          <w:p w14:paraId="49B1752C" w14:textId="77777777" w:rsidR="0082049A" w:rsidRPr="0059512A" w:rsidRDefault="0082049A" w:rsidP="0059512A">
            <w:pPr>
              <w:keepNext/>
              <w:keepLines/>
              <w:widowControl/>
              <w:rPr>
                <w:sz w:val="26"/>
                <w:szCs w:val="26"/>
              </w:rPr>
            </w:pPr>
            <w:r w:rsidRPr="0059512A">
              <w:rPr>
                <w:sz w:val="26"/>
                <w:szCs w:val="26"/>
              </w:rPr>
              <w:t>GLP-3</w:t>
            </w:r>
          </w:p>
        </w:tc>
        <w:tc>
          <w:tcPr>
            <w:tcW w:w="1890" w:type="dxa"/>
            <w:tcBorders>
              <w:top w:val="nil"/>
              <w:left w:val="single" w:sz="4" w:space="0" w:color="auto"/>
              <w:bottom w:val="nil"/>
              <w:right w:val="single" w:sz="4" w:space="0" w:color="auto"/>
            </w:tcBorders>
            <w:vAlign w:val="bottom"/>
          </w:tcPr>
          <w:p w14:paraId="37E8F8AC" w14:textId="6447C2AC" w:rsidR="0082049A" w:rsidRPr="0059512A" w:rsidRDefault="0082049A" w:rsidP="0059512A">
            <w:pPr>
              <w:keepNext/>
              <w:keepLines/>
              <w:widowControl/>
              <w:jc w:val="center"/>
              <w:rPr>
                <w:sz w:val="26"/>
                <w:szCs w:val="26"/>
              </w:rPr>
            </w:pPr>
            <w:r w:rsidRPr="0059512A">
              <w:rPr>
                <w:sz w:val="26"/>
                <w:szCs w:val="26"/>
              </w:rPr>
              <w:t>$293,121</w:t>
            </w:r>
          </w:p>
        </w:tc>
        <w:tc>
          <w:tcPr>
            <w:tcW w:w="1980" w:type="dxa"/>
            <w:tcBorders>
              <w:top w:val="nil"/>
              <w:left w:val="single" w:sz="4" w:space="0" w:color="auto"/>
              <w:bottom w:val="nil"/>
              <w:right w:val="single" w:sz="4" w:space="0" w:color="auto"/>
            </w:tcBorders>
            <w:vAlign w:val="bottom"/>
          </w:tcPr>
          <w:p w14:paraId="7F98A73C" w14:textId="67C423E4" w:rsidR="0082049A" w:rsidRPr="0059512A" w:rsidRDefault="0082049A" w:rsidP="0059512A">
            <w:pPr>
              <w:keepNext/>
              <w:keepLines/>
              <w:widowControl/>
              <w:jc w:val="center"/>
              <w:rPr>
                <w:sz w:val="26"/>
                <w:szCs w:val="26"/>
              </w:rPr>
            </w:pPr>
            <w:r w:rsidRPr="0059512A">
              <w:rPr>
                <w:sz w:val="26"/>
                <w:szCs w:val="26"/>
              </w:rPr>
              <w:t>$175,639</w:t>
            </w:r>
          </w:p>
        </w:tc>
        <w:tc>
          <w:tcPr>
            <w:tcW w:w="1597" w:type="dxa"/>
            <w:tcBorders>
              <w:top w:val="nil"/>
              <w:left w:val="single" w:sz="4" w:space="0" w:color="auto"/>
              <w:bottom w:val="nil"/>
              <w:right w:val="single" w:sz="4" w:space="0" w:color="auto"/>
            </w:tcBorders>
            <w:vAlign w:val="bottom"/>
          </w:tcPr>
          <w:p w14:paraId="1B7810A5" w14:textId="503517A1" w:rsidR="0082049A" w:rsidRPr="0059512A" w:rsidRDefault="0082049A" w:rsidP="0059512A">
            <w:pPr>
              <w:keepNext/>
              <w:keepLines/>
              <w:widowControl/>
              <w:jc w:val="center"/>
              <w:rPr>
                <w:sz w:val="26"/>
                <w:szCs w:val="26"/>
              </w:rPr>
            </w:pPr>
            <w:r w:rsidRPr="0059512A">
              <w:rPr>
                <w:sz w:val="26"/>
                <w:szCs w:val="26"/>
              </w:rPr>
              <w:t>40%</w:t>
            </w:r>
          </w:p>
        </w:tc>
      </w:tr>
      <w:tr w:rsidR="0082049A" w:rsidRPr="0059512A" w14:paraId="0C0A9796" w14:textId="68234056" w:rsidTr="000341DE">
        <w:trPr>
          <w:trHeight w:val="450"/>
          <w:jc w:val="center"/>
        </w:trPr>
        <w:tc>
          <w:tcPr>
            <w:tcW w:w="1818" w:type="dxa"/>
            <w:tcBorders>
              <w:top w:val="nil"/>
              <w:left w:val="single" w:sz="4" w:space="0" w:color="auto"/>
              <w:bottom w:val="nil"/>
              <w:right w:val="single" w:sz="4" w:space="0" w:color="auto"/>
            </w:tcBorders>
            <w:vAlign w:val="bottom"/>
          </w:tcPr>
          <w:p w14:paraId="33093E1F" w14:textId="77777777" w:rsidR="0082049A" w:rsidRPr="0059512A" w:rsidRDefault="0082049A" w:rsidP="0059512A">
            <w:pPr>
              <w:keepNext/>
              <w:keepLines/>
              <w:widowControl/>
              <w:rPr>
                <w:sz w:val="26"/>
                <w:szCs w:val="26"/>
              </w:rPr>
            </w:pPr>
            <w:r w:rsidRPr="0059512A">
              <w:rPr>
                <w:sz w:val="26"/>
                <w:szCs w:val="26"/>
              </w:rPr>
              <w:t>SH</w:t>
            </w:r>
          </w:p>
        </w:tc>
        <w:tc>
          <w:tcPr>
            <w:tcW w:w="1890" w:type="dxa"/>
            <w:tcBorders>
              <w:top w:val="nil"/>
              <w:left w:val="single" w:sz="4" w:space="0" w:color="auto"/>
              <w:bottom w:val="nil"/>
              <w:right w:val="single" w:sz="4" w:space="0" w:color="auto"/>
            </w:tcBorders>
            <w:vAlign w:val="bottom"/>
          </w:tcPr>
          <w:p w14:paraId="04A0FEBC" w14:textId="298D1BCE" w:rsidR="0082049A" w:rsidRPr="0059512A" w:rsidRDefault="0082049A" w:rsidP="0059512A">
            <w:pPr>
              <w:keepNext/>
              <w:keepLines/>
              <w:widowControl/>
              <w:jc w:val="center"/>
              <w:rPr>
                <w:sz w:val="26"/>
                <w:szCs w:val="26"/>
              </w:rPr>
            </w:pPr>
            <w:r w:rsidRPr="0059512A">
              <w:rPr>
                <w:sz w:val="26"/>
                <w:szCs w:val="26"/>
              </w:rPr>
              <w:t>($2,163)</w:t>
            </w:r>
          </w:p>
        </w:tc>
        <w:tc>
          <w:tcPr>
            <w:tcW w:w="1980" w:type="dxa"/>
            <w:tcBorders>
              <w:top w:val="nil"/>
              <w:left w:val="single" w:sz="4" w:space="0" w:color="auto"/>
              <w:bottom w:val="nil"/>
              <w:right w:val="single" w:sz="4" w:space="0" w:color="auto"/>
            </w:tcBorders>
            <w:vAlign w:val="bottom"/>
          </w:tcPr>
          <w:p w14:paraId="2F59331C" w14:textId="64514B4A" w:rsidR="0082049A" w:rsidRPr="0059512A" w:rsidRDefault="0082049A" w:rsidP="0059512A">
            <w:pPr>
              <w:keepNext/>
              <w:keepLines/>
              <w:widowControl/>
              <w:jc w:val="center"/>
              <w:rPr>
                <w:sz w:val="26"/>
                <w:szCs w:val="26"/>
              </w:rPr>
            </w:pPr>
            <w:r w:rsidRPr="0059512A">
              <w:rPr>
                <w:sz w:val="26"/>
                <w:szCs w:val="26"/>
              </w:rPr>
              <w:t>($1,972)</w:t>
            </w:r>
          </w:p>
        </w:tc>
        <w:tc>
          <w:tcPr>
            <w:tcW w:w="1597" w:type="dxa"/>
            <w:tcBorders>
              <w:top w:val="nil"/>
              <w:left w:val="single" w:sz="4" w:space="0" w:color="auto"/>
              <w:bottom w:val="nil"/>
              <w:right w:val="single" w:sz="4" w:space="0" w:color="auto"/>
            </w:tcBorders>
            <w:vAlign w:val="bottom"/>
          </w:tcPr>
          <w:p w14:paraId="2B681E80" w14:textId="33A05526" w:rsidR="0082049A" w:rsidRPr="0059512A" w:rsidRDefault="0082049A" w:rsidP="0059512A">
            <w:pPr>
              <w:keepNext/>
              <w:keepLines/>
              <w:widowControl/>
              <w:jc w:val="center"/>
              <w:rPr>
                <w:sz w:val="26"/>
                <w:szCs w:val="26"/>
              </w:rPr>
            </w:pPr>
            <w:r w:rsidRPr="0059512A">
              <w:rPr>
                <w:sz w:val="26"/>
                <w:szCs w:val="26"/>
              </w:rPr>
              <w:t>29%</w:t>
            </w:r>
          </w:p>
        </w:tc>
      </w:tr>
      <w:tr w:rsidR="0082049A" w:rsidRPr="0059512A" w14:paraId="744FDAA7" w14:textId="5466E69F" w:rsidTr="000341DE">
        <w:trPr>
          <w:trHeight w:val="450"/>
          <w:jc w:val="center"/>
        </w:trPr>
        <w:tc>
          <w:tcPr>
            <w:tcW w:w="1818" w:type="dxa"/>
            <w:tcBorders>
              <w:top w:val="nil"/>
              <w:left w:val="single" w:sz="4" w:space="0" w:color="auto"/>
              <w:bottom w:val="nil"/>
              <w:right w:val="single" w:sz="4" w:space="0" w:color="auto"/>
            </w:tcBorders>
            <w:vAlign w:val="bottom"/>
          </w:tcPr>
          <w:p w14:paraId="0D6603E0" w14:textId="77777777" w:rsidR="0082049A" w:rsidRPr="0059512A" w:rsidRDefault="0082049A" w:rsidP="0059512A">
            <w:pPr>
              <w:keepNext/>
              <w:keepLines/>
              <w:widowControl/>
              <w:rPr>
                <w:sz w:val="26"/>
                <w:szCs w:val="26"/>
              </w:rPr>
            </w:pPr>
            <w:r w:rsidRPr="0059512A">
              <w:rPr>
                <w:sz w:val="26"/>
                <w:szCs w:val="26"/>
              </w:rPr>
              <w:t>MBL</w:t>
            </w:r>
          </w:p>
        </w:tc>
        <w:tc>
          <w:tcPr>
            <w:tcW w:w="1890" w:type="dxa"/>
            <w:tcBorders>
              <w:top w:val="nil"/>
              <w:left w:val="single" w:sz="4" w:space="0" w:color="auto"/>
              <w:bottom w:val="nil"/>
              <w:right w:val="single" w:sz="4" w:space="0" w:color="auto"/>
            </w:tcBorders>
            <w:vAlign w:val="bottom"/>
          </w:tcPr>
          <w:p w14:paraId="1DAF6C90" w14:textId="1A378EEC" w:rsidR="0082049A" w:rsidRPr="0059512A" w:rsidRDefault="0082049A" w:rsidP="0059512A">
            <w:pPr>
              <w:keepNext/>
              <w:keepLines/>
              <w:widowControl/>
              <w:jc w:val="center"/>
              <w:rPr>
                <w:sz w:val="26"/>
                <w:szCs w:val="26"/>
              </w:rPr>
            </w:pPr>
            <w:r w:rsidRPr="0059512A">
              <w:rPr>
                <w:sz w:val="26"/>
                <w:szCs w:val="26"/>
              </w:rPr>
              <w:t>($26,224)</w:t>
            </w:r>
          </w:p>
        </w:tc>
        <w:tc>
          <w:tcPr>
            <w:tcW w:w="1980" w:type="dxa"/>
            <w:tcBorders>
              <w:top w:val="nil"/>
              <w:left w:val="single" w:sz="4" w:space="0" w:color="auto"/>
              <w:bottom w:val="nil"/>
              <w:right w:val="single" w:sz="4" w:space="0" w:color="auto"/>
            </w:tcBorders>
            <w:vAlign w:val="bottom"/>
          </w:tcPr>
          <w:p w14:paraId="6DE48F06" w14:textId="3FC3E048" w:rsidR="0082049A" w:rsidRPr="0059512A" w:rsidRDefault="0082049A" w:rsidP="0059512A">
            <w:pPr>
              <w:keepNext/>
              <w:keepLines/>
              <w:widowControl/>
              <w:jc w:val="center"/>
              <w:rPr>
                <w:sz w:val="26"/>
                <w:szCs w:val="26"/>
              </w:rPr>
            </w:pPr>
            <w:r w:rsidRPr="0059512A">
              <w:rPr>
                <w:sz w:val="26"/>
                <w:szCs w:val="26"/>
              </w:rPr>
              <w:t>($34,017)</w:t>
            </w:r>
          </w:p>
        </w:tc>
        <w:tc>
          <w:tcPr>
            <w:tcW w:w="1597" w:type="dxa"/>
            <w:tcBorders>
              <w:top w:val="nil"/>
              <w:left w:val="single" w:sz="4" w:space="0" w:color="auto"/>
              <w:bottom w:val="nil"/>
              <w:right w:val="single" w:sz="4" w:space="0" w:color="auto"/>
            </w:tcBorders>
            <w:vAlign w:val="bottom"/>
          </w:tcPr>
          <w:p w14:paraId="0AAA3E9A" w14:textId="0885BABB" w:rsidR="0082049A" w:rsidRPr="0059512A" w:rsidRDefault="0082049A" w:rsidP="0059512A">
            <w:pPr>
              <w:keepNext/>
              <w:keepLines/>
              <w:widowControl/>
              <w:jc w:val="center"/>
              <w:rPr>
                <w:sz w:val="26"/>
                <w:szCs w:val="26"/>
              </w:rPr>
            </w:pPr>
            <w:r w:rsidRPr="0059512A">
              <w:rPr>
                <w:sz w:val="26"/>
                <w:szCs w:val="26"/>
              </w:rPr>
              <w:t>(30%)</w:t>
            </w:r>
          </w:p>
        </w:tc>
      </w:tr>
      <w:tr w:rsidR="0082049A" w:rsidRPr="0059512A" w14:paraId="222FECDF" w14:textId="40304F72" w:rsidTr="0082049A">
        <w:trPr>
          <w:trHeight w:val="450"/>
          <w:jc w:val="center"/>
        </w:trPr>
        <w:tc>
          <w:tcPr>
            <w:tcW w:w="1818" w:type="dxa"/>
            <w:tcBorders>
              <w:top w:val="nil"/>
              <w:left w:val="single" w:sz="4" w:space="0" w:color="auto"/>
              <w:bottom w:val="single" w:sz="4" w:space="0" w:color="auto"/>
              <w:right w:val="single" w:sz="4" w:space="0" w:color="auto"/>
            </w:tcBorders>
            <w:vAlign w:val="bottom"/>
          </w:tcPr>
          <w:p w14:paraId="36843413" w14:textId="77777777" w:rsidR="0082049A" w:rsidRPr="0059512A" w:rsidRDefault="0082049A" w:rsidP="0059512A">
            <w:pPr>
              <w:keepNext/>
              <w:keepLines/>
              <w:widowControl/>
              <w:rPr>
                <w:sz w:val="26"/>
                <w:szCs w:val="26"/>
              </w:rPr>
            </w:pPr>
            <w:r w:rsidRPr="0059512A">
              <w:rPr>
                <w:sz w:val="26"/>
                <w:szCs w:val="26"/>
              </w:rPr>
              <w:t>OL</w:t>
            </w:r>
          </w:p>
        </w:tc>
        <w:tc>
          <w:tcPr>
            <w:tcW w:w="1890" w:type="dxa"/>
            <w:tcBorders>
              <w:top w:val="nil"/>
              <w:left w:val="single" w:sz="4" w:space="0" w:color="auto"/>
              <w:bottom w:val="single" w:sz="4" w:space="0" w:color="auto"/>
            </w:tcBorders>
            <w:vAlign w:val="bottom"/>
          </w:tcPr>
          <w:p w14:paraId="08CE9D0A" w14:textId="25F6E681" w:rsidR="0082049A" w:rsidRPr="0059512A" w:rsidRDefault="0082049A" w:rsidP="0059512A">
            <w:pPr>
              <w:keepNext/>
              <w:keepLines/>
              <w:widowControl/>
              <w:jc w:val="center"/>
              <w:rPr>
                <w:sz w:val="26"/>
                <w:szCs w:val="26"/>
              </w:rPr>
            </w:pPr>
            <w:r w:rsidRPr="0059512A">
              <w:rPr>
                <w:sz w:val="26"/>
                <w:szCs w:val="26"/>
              </w:rPr>
              <w:t>$11,990</w:t>
            </w:r>
          </w:p>
        </w:tc>
        <w:tc>
          <w:tcPr>
            <w:tcW w:w="1980" w:type="dxa"/>
            <w:tcBorders>
              <w:top w:val="nil"/>
              <w:bottom w:val="single" w:sz="4" w:space="0" w:color="auto"/>
            </w:tcBorders>
            <w:vAlign w:val="bottom"/>
          </w:tcPr>
          <w:p w14:paraId="796B3DD4" w14:textId="5D442916" w:rsidR="0082049A" w:rsidRPr="0059512A" w:rsidRDefault="0082049A" w:rsidP="0059512A">
            <w:pPr>
              <w:keepNext/>
              <w:keepLines/>
              <w:widowControl/>
              <w:jc w:val="center"/>
              <w:rPr>
                <w:sz w:val="26"/>
                <w:szCs w:val="26"/>
              </w:rPr>
            </w:pPr>
            <w:r w:rsidRPr="0059512A">
              <w:rPr>
                <w:sz w:val="26"/>
                <w:szCs w:val="26"/>
              </w:rPr>
              <w:t>$7,340</w:t>
            </w:r>
          </w:p>
        </w:tc>
        <w:tc>
          <w:tcPr>
            <w:tcW w:w="1597" w:type="dxa"/>
            <w:tcBorders>
              <w:top w:val="nil"/>
              <w:bottom w:val="single" w:sz="4" w:space="0" w:color="auto"/>
            </w:tcBorders>
            <w:vAlign w:val="bottom"/>
          </w:tcPr>
          <w:p w14:paraId="1864966B" w14:textId="6AB0829A" w:rsidR="0082049A" w:rsidRPr="0059512A" w:rsidRDefault="0082049A" w:rsidP="0059512A">
            <w:pPr>
              <w:keepNext/>
              <w:keepLines/>
              <w:widowControl/>
              <w:jc w:val="center"/>
              <w:rPr>
                <w:sz w:val="26"/>
                <w:szCs w:val="26"/>
              </w:rPr>
            </w:pPr>
            <w:r w:rsidRPr="0059512A">
              <w:rPr>
                <w:sz w:val="26"/>
                <w:szCs w:val="26"/>
              </w:rPr>
              <w:t>39%</w:t>
            </w:r>
          </w:p>
        </w:tc>
      </w:tr>
      <w:tr w:rsidR="0082049A" w:rsidRPr="0059512A" w14:paraId="014B7DFB" w14:textId="65EB3DB7" w:rsidTr="0082049A">
        <w:trPr>
          <w:trHeight w:val="503"/>
          <w:jc w:val="center"/>
        </w:trPr>
        <w:tc>
          <w:tcPr>
            <w:tcW w:w="1818" w:type="dxa"/>
            <w:tcBorders>
              <w:top w:val="single" w:sz="4" w:space="0" w:color="auto"/>
              <w:bottom w:val="single" w:sz="4" w:space="0" w:color="auto"/>
            </w:tcBorders>
            <w:vAlign w:val="bottom"/>
          </w:tcPr>
          <w:p w14:paraId="239EEE6C" w14:textId="77777777" w:rsidR="0082049A" w:rsidRPr="0059512A" w:rsidRDefault="0082049A" w:rsidP="0059512A">
            <w:pPr>
              <w:keepNext/>
              <w:keepLines/>
              <w:widowControl/>
              <w:jc w:val="center"/>
              <w:rPr>
                <w:b/>
                <w:sz w:val="26"/>
                <w:szCs w:val="26"/>
              </w:rPr>
            </w:pPr>
            <w:r w:rsidRPr="0059512A">
              <w:rPr>
                <w:b/>
                <w:sz w:val="26"/>
                <w:szCs w:val="26"/>
              </w:rPr>
              <w:t>Total</w:t>
            </w:r>
          </w:p>
        </w:tc>
        <w:tc>
          <w:tcPr>
            <w:tcW w:w="1890" w:type="dxa"/>
            <w:tcBorders>
              <w:bottom w:val="single" w:sz="4" w:space="0" w:color="auto"/>
            </w:tcBorders>
            <w:vAlign w:val="bottom"/>
          </w:tcPr>
          <w:p w14:paraId="232D5CAF" w14:textId="7EBED0E8" w:rsidR="0082049A" w:rsidRPr="0059512A" w:rsidRDefault="0082049A" w:rsidP="0059512A">
            <w:pPr>
              <w:keepNext/>
              <w:keepLines/>
              <w:widowControl/>
              <w:jc w:val="center"/>
              <w:rPr>
                <w:b/>
                <w:sz w:val="26"/>
                <w:szCs w:val="26"/>
              </w:rPr>
            </w:pPr>
            <w:r w:rsidRPr="0059512A">
              <w:rPr>
                <w:b/>
                <w:sz w:val="26"/>
                <w:szCs w:val="26"/>
              </w:rPr>
              <w:t>$0</w:t>
            </w:r>
          </w:p>
        </w:tc>
        <w:tc>
          <w:tcPr>
            <w:tcW w:w="1980" w:type="dxa"/>
            <w:tcBorders>
              <w:bottom w:val="single" w:sz="4" w:space="0" w:color="auto"/>
            </w:tcBorders>
            <w:vAlign w:val="bottom"/>
          </w:tcPr>
          <w:p w14:paraId="1E4968F0" w14:textId="021510FC" w:rsidR="0082049A" w:rsidRPr="0059512A" w:rsidRDefault="0082049A" w:rsidP="0059512A">
            <w:pPr>
              <w:keepNext/>
              <w:keepLines/>
              <w:widowControl/>
              <w:jc w:val="center"/>
              <w:rPr>
                <w:b/>
                <w:sz w:val="26"/>
                <w:szCs w:val="26"/>
              </w:rPr>
            </w:pPr>
            <w:r w:rsidRPr="0059512A">
              <w:rPr>
                <w:b/>
                <w:sz w:val="26"/>
                <w:szCs w:val="26"/>
              </w:rPr>
              <w:t>$0</w:t>
            </w:r>
          </w:p>
        </w:tc>
        <w:tc>
          <w:tcPr>
            <w:tcW w:w="1597" w:type="dxa"/>
            <w:tcBorders>
              <w:bottom w:val="nil"/>
              <w:right w:val="nil"/>
            </w:tcBorders>
          </w:tcPr>
          <w:p w14:paraId="0CAB9430" w14:textId="77777777" w:rsidR="0082049A" w:rsidRPr="0059512A" w:rsidRDefault="0082049A" w:rsidP="0059512A">
            <w:pPr>
              <w:keepNext/>
              <w:keepLines/>
              <w:widowControl/>
              <w:jc w:val="center"/>
              <w:rPr>
                <w:b/>
                <w:sz w:val="26"/>
                <w:szCs w:val="26"/>
              </w:rPr>
            </w:pPr>
          </w:p>
        </w:tc>
      </w:tr>
    </w:tbl>
    <w:p w14:paraId="22335420" w14:textId="77777777" w:rsidR="0082049A" w:rsidRPr="0059512A" w:rsidRDefault="0082049A" w:rsidP="0059512A">
      <w:pPr>
        <w:keepNext/>
        <w:widowControl/>
        <w:spacing w:line="360" w:lineRule="auto"/>
        <w:rPr>
          <w:sz w:val="26"/>
          <w:szCs w:val="26"/>
        </w:rPr>
      </w:pPr>
    </w:p>
    <w:p w14:paraId="2B7643EF" w14:textId="25B03837" w:rsidR="00BA4149" w:rsidRPr="0059512A" w:rsidRDefault="00454EB9" w:rsidP="0059512A">
      <w:pPr>
        <w:keepNext/>
        <w:widowControl/>
        <w:spacing w:line="360" w:lineRule="auto"/>
        <w:rPr>
          <w:sz w:val="26"/>
          <w:szCs w:val="26"/>
        </w:rPr>
      </w:pPr>
      <w:r w:rsidRPr="0059512A">
        <w:rPr>
          <w:i/>
          <w:iCs/>
          <w:sz w:val="26"/>
          <w:szCs w:val="26"/>
        </w:rPr>
        <w:t>See</w:t>
      </w:r>
      <w:r w:rsidRPr="0059512A">
        <w:rPr>
          <w:sz w:val="26"/>
          <w:szCs w:val="26"/>
        </w:rPr>
        <w:t xml:space="preserve"> Citizens’ Exh._(HSG-1), Sch. B6-4, lines 42-44.  </w:t>
      </w:r>
    </w:p>
    <w:p w14:paraId="36AECEB6" w14:textId="77777777" w:rsidR="009D7340" w:rsidRPr="0059512A" w:rsidRDefault="009D7340" w:rsidP="0059512A">
      <w:pPr>
        <w:widowControl/>
        <w:spacing w:line="360" w:lineRule="auto"/>
        <w:rPr>
          <w:sz w:val="26"/>
          <w:szCs w:val="26"/>
        </w:rPr>
      </w:pPr>
    </w:p>
    <w:p w14:paraId="531A4EDD" w14:textId="73C1EC01" w:rsidR="00580E63" w:rsidRPr="0059512A" w:rsidRDefault="00580E63" w:rsidP="0059512A">
      <w:pPr>
        <w:widowControl/>
        <w:spacing w:line="360" w:lineRule="auto"/>
        <w:ind w:firstLine="1440"/>
        <w:rPr>
          <w:sz w:val="26"/>
          <w:szCs w:val="26"/>
        </w:rPr>
      </w:pPr>
      <w:r w:rsidRPr="0059512A">
        <w:rPr>
          <w:sz w:val="26"/>
          <w:szCs w:val="26"/>
        </w:rPr>
        <w:t xml:space="preserve">Based on its ACCOSS, Citizens’ proposed that the GLP-3 class should receive a decrease in revenue (target revenue compared to revenue at present rates) for the FPFTY.  Conversely, I&amp;E, the OCA, and the OSBA are in agreement that no rate class should receive a decrease.  However, each of these opposing </w:t>
      </w:r>
      <w:r w:rsidR="000D2EFC" w:rsidRPr="0059512A">
        <w:rPr>
          <w:sz w:val="26"/>
          <w:szCs w:val="26"/>
        </w:rPr>
        <w:t>P</w:t>
      </w:r>
      <w:r w:rsidRPr="0059512A">
        <w:rPr>
          <w:sz w:val="26"/>
          <w:szCs w:val="26"/>
        </w:rPr>
        <w:t xml:space="preserve">arties offered a different proposal for which class(es) should benefit from not giving a decrease to the GLP-3 class.  </w:t>
      </w:r>
    </w:p>
    <w:p w14:paraId="2964E3B9" w14:textId="5119AA3F" w:rsidR="00580E63" w:rsidRPr="0059512A" w:rsidRDefault="00580E63" w:rsidP="0059512A">
      <w:pPr>
        <w:widowControl/>
        <w:spacing w:line="360" w:lineRule="auto"/>
        <w:ind w:left="1440" w:hanging="720"/>
        <w:rPr>
          <w:b/>
          <w:bCs/>
          <w:sz w:val="26"/>
          <w:szCs w:val="26"/>
        </w:rPr>
      </w:pPr>
    </w:p>
    <w:p w14:paraId="6F44CAD0" w14:textId="49286B0F" w:rsidR="00832538" w:rsidRPr="0059512A" w:rsidRDefault="00CC3165" w:rsidP="0059512A">
      <w:pPr>
        <w:widowControl/>
        <w:spacing w:line="360" w:lineRule="auto"/>
        <w:ind w:firstLine="1440"/>
        <w:rPr>
          <w:sz w:val="26"/>
          <w:szCs w:val="26"/>
        </w:rPr>
      </w:pPr>
      <w:r w:rsidRPr="0059512A">
        <w:rPr>
          <w:sz w:val="26"/>
          <w:szCs w:val="26"/>
        </w:rPr>
        <w:t xml:space="preserve">Based on Citizens’ ACCOSS, I&amp;E recommended rate class GLP-3 be allocated neither an increase nor decrease under proposed rates.  Rather, </w:t>
      </w:r>
      <w:r w:rsidR="002C7DF3" w:rsidRPr="0059512A">
        <w:rPr>
          <w:sz w:val="26"/>
          <w:szCs w:val="26"/>
        </w:rPr>
        <w:t>I&amp;E proposed a revenue allocation which eliminates the</w:t>
      </w:r>
      <w:r w:rsidRPr="0059512A">
        <w:rPr>
          <w:sz w:val="26"/>
          <w:szCs w:val="26"/>
        </w:rPr>
        <w:t xml:space="preserve"> proposed</w:t>
      </w:r>
      <w:r w:rsidR="002C7DF3" w:rsidRPr="0059512A">
        <w:rPr>
          <w:sz w:val="26"/>
          <w:szCs w:val="26"/>
        </w:rPr>
        <w:t xml:space="preserve"> $35,830 reduction in revenue for the GLP-3 class and </w:t>
      </w:r>
      <w:r w:rsidR="00327F7F" w:rsidRPr="0059512A">
        <w:rPr>
          <w:sz w:val="26"/>
          <w:szCs w:val="26"/>
        </w:rPr>
        <w:t>reallocates</w:t>
      </w:r>
      <w:r w:rsidRPr="0059512A">
        <w:rPr>
          <w:sz w:val="26"/>
          <w:szCs w:val="26"/>
        </w:rPr>
        <w:t xml:space="preserve"> it</w:t>
      </w:r>
      <w:r w:rsidR="002C7DF3" w:rsidRPr="0059512A">
        <w:rPr>
          <w:sz w:val="26"/>
          <w:szCs w:val="26"/>
        </w:rPr>
        <w:t xml:space="preserve"> </w:t>
      </w:r>
      <w:r w:rsidR="00327F7F" w:rsidRPr="0059512A">
        <w:rPr>
          <w:sz w:val="26"/>
          <w:szCs w:val="26"/>
        </w:rPr>
        <w:t>between</w:t>
      </w:r>
      <w:r w:rsidR="002C7DF3" w:rsidRPr="0059512A">
        <w:rPr>
          <w:sz w:val="26"/>
          <w:szCs w:val="26"/>
        </w:rPr>
        <w:t xml:space="preserve"> the GLP-1 and OL classes</w:t>
      </w:r>
      <w:r w:rsidR="00327F7F" w:rsidRPr="0059512A">
        <w:rPr>
          <w:sz w:val="26"/>
          <w:szCs w:val="26"/>
        </w:rPr>
        <w:t xml:space="preserve">.  I&amp;E argued that its approach is more reasonable since it allows </w:t>
      </w:r>
      <w:r w:rsidR="00A729CE" w:rsidRPr="0059512A">
        <w:rPr>
          <w:sz w:val="26"/>
          <w:szCs w:val="26"/>
        </w:rPr>
        <w:t>more</w:t>
      </w:r>
      <w:r w:rsidR="00327F7F" w:rsidRPr="0059512A">
        <w:rPr>
          <w:sz w:val="26"/>
          <w:szCs w:val="26"/>
        </w:rPr>
        <w:t xml:space="preserve"> rate stability for the GLP-3 class by allowing costs to “catch up” to rates more gradually</w:t>
      </w:r>
      <w:r w:rsidR="00A729CE" w:rsidRPr="0059512A">
        <w:rPr>
          <w:sz w:val="26"/>
          <w:szCs w:val="26"/>
        </w:rPr>
        <w:t>, facilitates greater movement towards cost of service for the GLP-1 and OL classes</w:t>
      </w:r>
      <w:r w:rsidR="00B85B7B" w:rsidRPr="0059512A">
        <w:rPr>
          <w:sz w:val="26"/>
          <w:szCs w:val="26"/>
        </w:rPr>
        <w:t>, both of which have relative rates of return above 1.0</w:t>
      </w:r>
      <w:r w:rsidR="00A729CE" w:rsidRPr="0059512A">
        <w:rPr>
          <w:sz w:val="26"/>
          <w:szCs w:val="26"/>
        </w:rPr>
        <w:t>, and attains these benefits without</w:t>
      </w:r>
      <w:r w:rsidR="00997C13" w:rsidRPr="0059512A">
        <w:rPr>
          <w:sz w:val="26"/>
          <w:szCs w:val="26"/>
        </w:rPr>
        <w:t xml:space="preserve"> negatively affecting</w:t>
      </w:r>
      <w:r w:rsidR="00711AB1" w:rsidRPr="0059512A">
        <w:rPr>
          <w:sz w:val="26"/>
          <w:szCs w:val="26"/>
        </w:rPr>
        <w:t xml:space="preserve"> any of Citizens’ other rate classes.  I&amp;E M.B. at </w:t>
      </w:r>
      <w:r w:rsidR="001A4119" w:rsidRPr="0059512A">
        <w:rPr>
          <w:sz w:val="26"/>
          <w:szCs w:val="26"/>
        </w:rPr>
        <w:t>53-59</w:t>
      </w:r>
      <w:r w:rsidR="00711AB1" w:rsidRPr="0059512A">
        <w:rPr>
          <w:sz w:val="26"/>
          <w:szCs w:val="26"/>
        </w:rPr>
        <w:t xml:space="preserve">.  </w:t>
      </w:r>
    </w:p>
    <w:p w14:paraId="4F3C3EB6" w14:textId="012FBFF6" w:rsidR="00053709" w:rsidRPr="0059512A" w:rsidRDefault="002E00E4" w:rsidP="0059512A">
      <w:pPr>
        <w:widowControl/>
        <w:spacing w:line="360" w:lineRule="auto"/>
        <w:ind w:firstLine="1440"/>
        <w:rPr>
          <w:sz w:val="26"/>
          <w:szCs w:val="26"/>
        </w:rPr>
      </w:pPr>
      <w:r w:rsidRPr="0059512A">
        <w:rPr>
          <w:sz w:val="26"/>
          <w:szCs w:val="26"/>
        </w:rPr>
        <w:lastRenderedPageBreak/>
        <w:t>Of the $35,8</w:t>
      </w:r>
      <w:r w:rsidR="00EC2129" w:rsidRPr="0059512A">
        <w:rPr>
          <w:sz w:val="26"/>
          <w:szCs w:val="26"/>
        </w:rPr>
        <w:t>30</w:t>
      </w:r>
      <w:r w:rsidRPr="0059512A">
        <w:rPr>
          <w:sz w:val="26"/>
          <w:szCs w:val="26"/>
        </w:rPr>
        <w:t xml:space="preserve"> reallocated from the GLP-3 rate class, I&amp;E originally recommended </w:t>
      </w:r>
      <w:r w:rsidR="00891B2D" w:rsidRPr="0059512A">
        <w:rPr>
          <w:sz w:val="26"/>
          <w:szCs w:val="26"/>
        </w:rPr>
        <w:t>that</w:t>
      </w:r>
      <w:r w:rsidR="000D2EFC" w:rsidRPr="0059512A">
        <w:rPr>
          <w:sz w:val="26"/>
          <w:szCs w:val="26"/>
        </w:rPr>
        <w:t>:</w:t>
      </w:r>
      <w:r w:rsidR="00891B2D" w:rsidRPr="0059512A">
        <w:rPr>
          <w:sz w:val="26"/>
          <w:szCs w:val="26"/>
        </w:rPr>
        <w:t xml:space="preserve"> </w:t>
      </w:r>
      <w:r w:rsidRPr="0059512A">
        <w:rPr>
          <w:sz w:val="26"/>
          <w:szCs w:val="26"/>
        </w:rPr>
        <w:t xml:space="preserve">(1) the first </w:t>
      </w:r>
      <w:r w:rsidR="001A4119" w:rsidRPr="0059512A">
        <w:rPr>
          <w:sz w:val="26"/>
          <w:szCs w:val="26"/>
        </w:rPr>
        <w:t>$10,500 be allocated to the OL class</w:t>
      </w:r>
      <w:r w:rsidR="000D2EFC" w:rsidRPr="0059512A">
        <w:rPr>
          <w:sz w:val="26"/>
          <w:szCs w:val="26"/>
        </w:rPr>
        <w:t>;</w:t>
      </w:r>
      <w:r w:rsidR="001A4119" w:rsidRPr="0059512A">
        <w:rPr>
          <w:sz w:val="26"/>
          <w:szCs w:val="26"/>
        </w:rPr>
        <w:t xml:space="preserve"> and</w:t>
      </w:r>
      <w:r w:rsidR="000D2EFC" w:rsidRPr="0059512A">
        <w:rPr>
          <w:sz w:val="26"/>
          <w:szCs w:val="26"/>
        </w:rPr>
        <w:t>,</w:t>
      </w:r>
      <w:r w:rsidR="001A4119" w:rsidRPr="0059512A">
        <w:rPr>
          <w:sz w:val="26"/>
          <w:szCs w:val="26"/>
        </w:rPr>
        <w:t xml:space="preserve"> (2) the remaining $25,316 be applied to the GLP-1 rate class.</w:t>
      </w:r>
      <w:r w:rsidR="00EC2129" w:rsidRPr="0059512A">
        <w:rPr>
          <w:rStyle w:val="FootnoteReference"/>
          <w:sz w:val="26"/>
          <w:szCs w:val="26"/>
        </w:rPr>
        <w:footnoteReference w:id="22"/>
      </w:r>
      <w:r w:rsidR="001A4119" w:rsidRPr="0059512A">
        <w:rPr>
          <w:sz w:val="26"/>
          <w:szCs w:val="26"/>
        </w:rPr>
        <w:t xml:space="preserve">  </w:t>
      </w:r>
      <w:r w:rsidR="001A4119" w:rsidRPr="0059512A">
        <w:rPr>
          <w:i/>
          <w:iCs/>
          <w:sz w:val="26"/>
          <w:szCs w:val="26"/>
        </w:rPr>
        <w:t>Id.</w:t>
      </w:r>
      <w:r w:rsidR="001A4119" w:rsidRPr="0059512A">
        <w:rPr>
          <w:sz w:val="26"/>
          <w:szCs w:val="26"/>
        </w:rPr>
        <w:t xml:space="preserve"> at 53.  </w:t>
      </w:r>
      <w:r w:rsidR="00B85B7B" w:rsidRPr="0059512A">
        <w:rPr>
          <w:sz w:val="26"/>
          <w:szCs w:val="26"/>
        </w:rPr>
        <w:t>As I&amp;E explained in its Main Brief, if a rate class has a relative</w:t>
      </w:r>
      <w:r w:rsidR="00273B62" w:rsidRPr="0059512A">
        <w:rPr>
          <w:sz w:val="26"/>
          <w:szCs w:val="26"/>
        </w:rPr>
        <w:t xml:space="preserve"> rate of</w:t>
      </w:r>
      <w:r w:rsidR="00B85B7B" w:rsidRPr="0059512A">
        <w:rPr>
          <w:sz w:val="26"/>
          <w:szCs w:val="26"/>
        </w:rPr>
        <w:t xml:space="preserve"> return greater than 1.0, that class is generating revenue greater than its cost to serve.  I&amp;E M.B. at 56.  Therefore,</w:t>
      </w:r>
      <w:r w:rsidR="00AE20FA" w:rsidRPr="0059512A">
        <w:rPr>
          <w:sz w:val="26"/>
          <w:szCs w:val="26"/>
        </w:rPr>
        <w:t xml:space="preserve"> although I&amp;E acknowledged that its recommendation does not move the GLP-3 class towards a relative rate of return of 1.0 as aggressively as the Company’s proposal,</w:t>
      </w:r>
      <w:r w:rsidR="00B85B7B" w:rsidRPr="0059512A">
        <w:rPr>
          <w:sz w:val="26"/>
          <w:szCs w:val="26"/>
        </w:rPr>
        <w:t xml:space="preserve"> </w:t>
      </w:r>
      <w:r w:rsidR="00273B62" w:rsidRPr="0059512A">
        <w:rPr>
          <w:sz w:val="26"/>
          <w:szCs w:val="26"/>
        </w:rPr>
        <w:t>I&amp;E explained that its method for reducing the relative rate</w:t>
      </w:r>
      <w:r w:rsidR="00AE20FA" w:rsidRPr="0059512A">
        <w:rPr>
          <w:sz w:val="26"/>
          <w:szCs w:val="26"/>
        </w:rPr>
        <w:t>s</w:t>
      </w:r>
      <w:r w:rsidR="00273B62" w:rsidRPr="0059512A">
        <w:rPr>
          <w:sz w:val="26"/>
          <w:szCs w:val="26"/>
        </w:rPr>
        <w:t xml:space="preserve"> of return for the GLP-3, GLP-1, and OL rate classes is more reasonabl</w:t>
      </w:r>
      <w:r w:rsidR="00AE20FA" w:rsidRPr="0059512A">
        <w:rPr>
          <w:sz w:val="26"/>
          <w:szCs w:val="26"/>
        </w:rPr>
        <w:t>e</w:t>
      </w:r>
      <w:r w:rsidR="000F111D" w:rsidRPr="0059512A">
        <w:rPr>
          <w:sz w:val="26"/>
          <w:szCs w:val="26"/>
        </w:rPr>
        <w:t xml:space="preserve"> since it effectively moves rate class GLP-3 closer to its cost of service, while assigning further rate relief to rate classes OL and GLP-1, </w:t>
      </w:r>
      <w:r w:rsidR="00AE20FA" w:rsidRPr="0059512A">
        <w:rPr>
          <w:sz w:val="26"/>
          <w:szCs w:val="26"/>
        </w:rPr>
        <w:t>as demonstrated by the following table:</w:t>
      </w:r>
    </w:p>
    <w:p w14:paraId="6CC07CF7" w14:textId="77777777" w:rsidR="00F90103" w:rsidRPr="0059512A" w:rsidRDefault="00F90103" w:rsidP="00F90103">
      <w:pPr>
        <w:widowControl/>
        <w:spacing w:line="360" w:lineRule="auto"/>
        <w:rPr>
          <w:sz w:val="26"/>
          <w:szCs w:val="26"/>
        </w:rPr>
      </w:pPr>
    </w:p>
    <w:tbl>
      <w:tblPr>
        <w:tblW w:w="7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1842"/>
        <w:gridCol w:w="603"/>
        <w:gridCol w:w="2360"/>
      </w:tblGrid>
      <w:tr w:rsidR="00665BAB" w:rsidRPr="0059512A" w14:paraId="513061F9" w14:textId="77777777" w:rsidTr="00665BAB">
        <w:trPr>
          <w:trHeight w:val="570"/>
          <w:jc w:val="center"/>
        </w:trPr>
        <w:tc>
          <w:tcPr>
            <w:tcW w:w="7860" w:type="dxa"/>
            <w:gridSpan w:val="5"/>
            <w:shd w:val="clear" w:color="auto" w:fill="auto"/>
            <w:vAlign w:val="center"/>
          </w:tcPr>
          <w:p w14:paraId="00722687" w14:textId="77777777" w:rsidR="00665BAB" w:rsidRPr="0059512A" w:rsidRDefault="00665BAB" w:rsidP="00F90103">
            <w:pPr>
              <w:keepNext/>
              <w:keepLines/>
              <w:widowControl/>
              <w:tabs>
                <w:tab w:val="center" w:pos="-2430"/>
              </w:tabs>
              <w:suppressAutoHyphens/>
              <w:jc w:val="center"/>
              <w:rPr>
                <w:rFonts w:eastAsiaTheme="minorHAnsi"/>
                <w:b/>
                <w:bCs/>
                <w:sz w:val="26"/>
                <w:szCs w:val="26"/>
              </w:rPr>
            </w:pPr>
            <w:r w:rsidRPr="0059512A">
              <w:rPr>
                <w:rFonts w:eastAsiaTheme="minorHAnsi"/>
                <w:b/>
                <w:bCs/>
                <w:sz w:val="26"/>
                <w:szCs w:val="26"/>
              </w:rPr>
              <w:lastRenderedPageBreak/>
              <w:t>Change in Percent Increase</w:t>
            </w:r>
          </w:p>
          <w:p w14:paraId="363CAFC8" w14:textId="77777777" w:rsidR="00665BAB" w:rsidRPr="0059512A" w:rsidRDefault="00665BAB" w:rsidP="00F90103">
            <w:pPr>
              <w:keepNext/>
              <w:keepLines/>
              <w:widowControl/>
              <w:tabs>
                <w:tab w:val="center" w:pos="-2430"/>
              </w:tabs>
              <w:suppressAutoHyphens/>
              <w:jc w:val="center"/>
              <w:rPr>
                <w:rFonts w:eastAsiaTheme="minorHAnsi"/>
                <w:sz w:val="26"/>
                <w:szCs w:val="26"/>
              </w:rPr>
            </w:pPr>
            <w:r w:rsidRPr="0059512A">
              <w:rPr>
                <w:rFonts w:eastAsiaTheme="minorHAnsi"/>
                <w:sz w:val="26"/>
                <w:szCs w:val="26"/>
              </w:rPr>
              <w:t>(I&amp;E Ex. No. 3, Sch. 14, line 39)</w:t>
            </w:r>
          </w:p>
        </w:tc>
      </w:tr>
      <w:tr w:rsidR="00665BAB" w:rsidRPr="0059512A" w14:paraId="7A21A90F" w14:textId="77777777" w:rsidTr="00D272E8">
        <w:trPr>
          <w:trHeight w:val="425"/>
          <w:jc w:val="center"/>
        </w:trPr>
        <w:tc>
          <w:tcPr>
            <w:tcW w:w="1525" w:type="dxa"/>
            <w:shd w:val="clear" w:color="auto" w:fill="auto"/>
            <w:vAlign w:val="center"/>
          </w:tcPr>
          <w:p w14:paraId="482B7C5A"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Rate Class</w:t>
            </w:r>
          </w:p>
        </w:tc>
        <w:tc>
          <w:tcPr>
            <w:tcW w:w="3372" w:type="dxa"/>
            <w:gridSpan w:val="2"/>
            <w:shd w:val="clear" w:color="auto" w:fill="auto"/>
            <w:vAlign w:val="center"/>
          </w:tcPr>
          <w:p w14:paraId="474E5BF1"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Company As-Filed</w:t>
            </w:r>
          </w:p>
        </w:tc>
        <w:tc>
          <w:tcPr>
            <w:tcW w:w="2963" w:type="dxa"/>
            <w:gridSpan w:val="2"/>
            <w:shd w:val="clear" w:color="auto" w:fill="auto"/>
            <w:vAlign w:val="center"/>
          </w:tcPr>
          <w:p w14:paraId="2429FED3"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I&amp;E Recommended</w:t>
            </w:r>
          </w:p>
        </w:tc>
      </w:tr>
      <w:tr w:rsidR="00665BAB" w:rsidRPr="0059512A" w14:paraId="6097C9E7" w14:textId="77777777" w:rsidTr="00D272E8">
        <w:trPr>
          <w:trHeight w:val="425"/>
          <w:jc w:val="center"/>
        </w:trPr>
        <w:tc>
          <w:tcPr>
            <w:tcW w:w="1525" w:type="dxa"/>
            <w:shd w:val="clear" w:color="auto" w:fill="auto"/>
            <w:vAlign w:val="center"/>
          </w:tcPr>
          <w:p w14:paraId="785F9E6E"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GLP-3</w:t>
            </w:r>
          </w:p>
        </w:tc>
        <w:tc>
          <w:tcPr>
            <w:tcW w:w="3372" w:type="dxa"/>
            <w:gridSpan w:val="2"/>
            <w:shd w:val="clear" w:color="auto" w:fill="auto"/>
            <w:vAlign w:val="center"/>
          </w:tcPr>
          <w:p w14:paraId="074DD714"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(3.2%)</w:t>
            </w:r>
          </w:p>
        </w:tc>
        <w:tc>
          <w:tcPr>
            <w:tcW w:w="2963" w:type="dxa"/>
            <w:gridSpan w:val="2"/>
            <w:shd w:val="clear" w:color="auto" w:fill="auto"/>
            <w:vAlign w:val="center"/>
          </w:tcPr>
          <w:p w14:paraId="5040CA25"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0.0%</w:t>
            </w:r>
          </w:p>
        </w:tc>
      </w:tr>
      <w:tr w:rsidR="00665BAB" w:rsidRPr="0059512A" w14:paraId="42696A65" w14:textId="77777777" w:rsidTr="00D272E8">
        <w:trPr>
          <w:trHeight w:val="425"/>
          <w:jc w:val="center"/>
        </w:trPr>
        <w:tc>
          <w:tcPr>
            <w:tcW w:w="1525" w:type="dxa"/>
            <w:shd w:val="clear" w:color="auto" w:fill="auto"/>
            <w:vAlign w:val="center"/>
          </w:tcPr>
          <w:p w14:paraId="3A29824D"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OL</w:t>
            </w:r>
          </w:p>
        </w:tc>
        <w:tc>
          <w:tcPr>
            <w:tcW w:w="3372" w:type="dxa"/>
            <w:gridSpan w:val="2"/>
            <w:shd w:val="clear" w:color="auto" w:fill="auto"/>
            <w:vAlign w:val="center"/>
          </w:tcPr>
          <w:p w14:paraId="6578A694"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14.9%</w:t>
            </w:r>
          </w:p>
        </w:tc>
        <w:tc>
          <w:tcPr>
            <w:tcW w:w="2963" w:type="dxa"/>
            <w:gridSpan w:val="2"/>
            <w:shd w:val="clear" w:color="auto" w:fill="auto"/>
            <w:vAlign w:val="center"/>
          </w:tcPr>
          <w:p w14:paraId="609B571A"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1.0%</w:t>
            </w:r>
          </w:p>
        </w:tc>
      </w:tr>
      <w:tr w:rsidR="00665BAB" w:rsidRPr="0059512A" w14:paraId="125F43A2" w14:textId="77777777" w:rsidTr="00D272E8">
        <w:trPr>
          <w:trHeight w:val="425"/>
          <w:jc w:val="center"/>
        </w:trPr>
        <w:tc>
          <w:tcPr>
            <w:tcW w:w="1525" w:type="dxa"/>
            <w:shd w:val="clear" w:color="auto" w:fill="auto"/>
            <w:vAlign w:val="center"/>
          </w:tcPr>
          <w:p w14:paraId="61237862"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GLP-1</w:t>
            </w:r>
          </w:p>
        </w:tc>
        <w:tc>
          <w:tcPr>
            <w:tcW w:w="3372" w:type="dxa"/>
            <w:gridSpan w:val="2"/>
            <w:shd w:val="clear" w:color="auto" w:fill="auto"/>
            <w:vAlign w:val="center"/>
          </w:tcPr>
          <w:p w14:paraId="28CE43AF"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15.2%</w:t>
            </w:r>
          </w:p>
        </w:tc>
        <w:tc>
          <w:tcPr>
            <w:tcW w:w="2963" w:type="dxa"/>
            <w:gridSpan w:val="2"/>
            <w:shd w:val="clear" w:color="auto" w:fill="auto"/>
            <w:vAlign w:val="center"/>
          </w:tcPr>
          <w:p w14:paraId="0C0762A0"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12.4%</w:t>
            </w:r>
          </w:p>
        </w:tc>
      </w:tr>
      <w:tr w:rsidR="00665BAB" w:rsidRPr="0059512A" w14:paraId="2F1B56DD" w14:textId="77777777" w:rsidTr="00665BAB">
        <w:trPr>
          <w:trHeight w:val="570"/>
          <w:jc w:val="center"/>
        </w:trPr>
        <w:tc>
          <w:tcPr>
            <w:tcW w:w="7860" w:type="dxa"/>
            <w:gridSpan w:val="5"/>
            <w:shd w:val="clear" w:color="auto" w:fill="auto"/>
            <w:vAlign w:val="center"/>
          </w:tcPr>
          <w:p w14:paraId="6BB25778" w14:textId="77777777" w:rsidR="00665BAB" w:rsidRPr="0059512A" w:rsidRDefault="00665BAB" w:rsidP="00F90103">
            <w:pPr>
              <w:keepNext/>
              <w:keepLines/>
              <w:widowControl/>
              <w:tabs>
                <w:tab w:val="center" w:pos="-2430"/>
              </w:tabs>
              <w:suppressAutoHyphens/>
              <w:jc w:val="center"/>
              <w:rPr>
                <w:rFonts w:eastAsiaTheme="minorHAnsi"/>
                <w:b/>
                <w:bCs/>
                <w:sz w:val="26"/>
                <w:szCs w:val="26"/>
              </w:rPr>
            </w:pPr>
            <w:r w:rsidRPr="0059512A">
              <w:rPr>
                <w:rFonts w:eastAsiaTheme="minorHAnsi"/>
                <w:b/>
                <w:bCs/>
                <w:sz w:val="26"/>
                <w:szCs w:val="26"/>
              </w:rPr>
              <w:t>Change in Relative Rate of Return</w:t>
            </w:r>
          </w:p>
          <w:p w14:paraId="33D28A95" w14:textId="77777777" w:rsidR="00665BAB" w:rsidRPr="0059512A" w:rsidRDefault="00665BAB" w:rsidP="00F90103">
            <w:pPr>
              <w:keepNext/>
              <w:keepLines/>
              <w:widowControl/>
              <w:tabs>
                <w:tab w:val="center" w:pos="-2430"/>
              </w:tabs>
              <w:suppressAutoHyphens/>
              <w:jc w:val="center"/>
              <w:rPr>
                <w:rFonts w:eastAsiaTheme="minorHAnsi"/>
                <w:sz w:val="26"/>
                <w:szCs w:val="26"/>
              </w:rPr>
            </w:pPr>
            <w:r w:rsidRPr="0059512A">
              <w:rPr>
                <w:rFonts w:eastAsiaTheme="minorHAnsi"/>
                <w:sz w:val="26"/>
                <w:szCs w:val="26"/>
              </w:rPr>
              <w:t>(I&amp;E Ex. No. 3, Sch. 14, lines 8, 34-35)</w:t>
            </w:r>
          </w:p>
        </w:tc>
      </w:tr>
      <w:tr w:rsidR="00665BAB" w:rsidRPr="0059512A" w14:paraId="5FAF28FD" w14:textId="77777777" w:rsidTr="00665BAB">
        <w:trPr>
          <w:trHeight w:val="425"/>
          <w:jc w:val="center"/>
        </w:trPr>
        <w:tc>
          <w:tcPr>
            <w:tcW w:w="1525" w:type="dxa"/>
            <w:shd w:val="clear" w:color="auto" w:fill="auto"/>
            <w:vAlign w:val="center"/>
          </w:tcPr>
          <w:p w14:paraId="46E022DE"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Rate Class</w:t>
            </w:r>
          </w:p>
        </w:tc>
        <w:tc>
          <w:tcPr>
            <w:tcW w:w="1530" w:type="dxa"/>
            <w:shd w:val="clear" w:color="auto" w:fill="auto"/>
            <w:vAlign w:val="center"/>
          </w:tcPr>
          <w:p w14:paraId="1FA67C89"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Present Rate</w:t>
            </w:r>
          </w:p>
        </w:tc>
        <w:tc>
          <w:tcPr>
            <w:tcW w:w="2445" w:type="dxa"/>
            <w:gridSpan w:val="2"/>
            <w:shd w:val="clear" w:color="auto" w:fill="auto"/>
            <w:vAlign w:val="center"/>
          </w:tcPr>
          <w:p w14:paraId="51045E19"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Company As-Filed</w:t>
            </w:r>
          </w:p>
        </w:tc>
        <w:tc>
          <w:tcPr>
            <w:tcW w:w="2360" w:type="dxa"/>
            <w:shd w:val="clear" w:color="auto" w:fill="auto"/>
            <w:vAlign w:val="center"/>
          </w:tcPr>
          <w:p w14:paraId="2F9AC61E"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I&amp;E Recommended</w:t>
            </w:r>
          </w:p>
        </w:tc>
      </w:tr>
      <w:tr w:rsidR="00665BAB" w:rsidRPr="0059512A" w14:paraId="75737C1E" w14:textId="77777777" w:rsidTr="00665BAB">
        <w:trPr>
          <w:trHeight w:val="425"/>
          <w:jc w:val="center"/>
        </w:trPr>
        <w:tc>
          <w:tcPr>
            <w:tcW w:w="1525" w:type="dxa"/>
            <w:shd w:val="clear" w:color="auto" w:fill="auto"/>
            <w:vAlign w:val="center"/>
          </w:tcPr>
          <w:p w14:paraId="5DC465AC"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GLP-3</w:t>
            </w:r>
          </w:p>
        </w:tc>
        <w:tc>
          <w:tcPr>
            <w:tcW w:w="1530" w:type="dxa"/>
            <w:shd w:val="clear" w:color="auto" w:fill="auto"/>
            <w:vAlign w:val="center"/>
          </w:tcPr>
          <w:p w14:paraId="527D69AD"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4.81</w:t>
            </w:r>
          </w:p>
        </w:tc>
        <w:tc>
          <w:tcPr>
            <w:tcW w:w="2445" w:type="dxa"/>
            <w:gridSpan w:val="2"/>
            <w:shd w:val="clear" w:color="auto" w:fill="auto"/>
            <w:vAlign w:val="center"/>
          </w:tcPr>
          <w:p w14:paraId="304BE4CB"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2.12</w:t>
            </w:r>
          </w:p>
        </w:tc>
        <w:tc>
          <w:tcPr>
            <w:tcW w:w="2360" w:type="dxa"/>
            <w:shd w:val="clear" w:color="auto" w:fill="auto"/>
            <w:vAlign w:val="center"/>
          </w:tcPr>
          <w:p w14:paraId="6A951C81"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2.28</w:t>
            </w:r>
          </w:p>
        </w:tc>
      </w:tr>
      <w:tr w:rsidR="00665BAB" w:rsidRPr="0059512A" w14:paraId="4C43ADEB" w14:textId="77777777" w:rsidTr="00665BAB">
        <w:trPr>
          <w:trHeight w:val="425"/>
          <w:jc w:val="center"/>
        </w:trPr>
        <w:tc>
          <w:tcPr>
            <w:tcW w:w="1525" w:type="dxa"/>
            <w:shd w:val="clear" w:color="auto" w:fill="auto"/>
            <w:vAlign w:val="center"/>
          </w:tcPr>
          <w:p w14:paraId="6A6D8362"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OL</w:t>
            </w:r>
          </w:p>
        </w:tc>
        <w:tc>
          <w:tcPr>
            <w:tcW w:w="1530" w:type="dxa"/>
            <w:shd w:val="clear" w:color="auto" w:fill="auto"/>
            <w:vAlign w:val="center"/>
          </w:tcPr>
          <w:p w14:paraId="06562371"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2.07</w:t>
            </w:r>
          </w:p>
        </w:tc>
        <w:tc>
          <w:tcPr>
            <w:tcW w:w="2445" w:type="dxa"/>
            <w:gridSpan w:val="2"/>
            <w:shd w:val="clear" w:color="auto" w:fill="auto"/>
            <w:vAlign w:val="center"/>
          </w:tcPr>
          <w:p w14:paraId="319A5B8D"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1.32</w:t>
            </w:r>
          </w:p>
        </w:tc>
        <w:tc>
          <w:tcPr>
            <w:tcW w:w="2360" w:type="dxa"/>
            <w:shd w:val="clear" w:color="auto" w:fill="auto"/>
            <w:vAlign w:val="center"/>
          </w:tcPr>
          <w:p w14:paraId="09B6FE3A"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1.00</w:t>
            </w:r>
          </w:p>
        </w:tc>
      </w:tr>
      <w:tr w:rsidR="00665BAB" w:rsidRPr="0059512A" w14:paraId="5A616B67" w14:textId="77777777" w:rsidTr="00665BAB">
        <w:trPr>
          <w:trHeight w:val="425"/>
          <w:jc w:val="center"/>
        </w:trPr>
        <w:tc>
          <w:tcPr>
            <w:tcW w:w="1525" w:type="dxa"/>
            <w:shd w:val="clear" w:color="auto" w:fill="auto"/>
            <w:vAlign w:val="center"/>
          </w:tcPr>
          <w:p w14:paraId="5B73E8B6"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GLP-1</w:t>
            </w:r>
          </w:p>
        </w:tc>
        <w:tc>
          <w:tcPr>
            <w:tcW w:w="1530" w:type="dxa"/>
            <w:shd w:val="clear" w:color="auto" w:fill="auto"/>
            <w:vAlign w:val="center"/>
          </w:tcPr>
          <w:p w14:paraId="08B36DE1"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1.87</w:t>
            </w:r>
          </w:p>
        </w:tc>
        <w:tc>
          <w:tcPr>
            <w:tcW w:w="2445" w:type="dxa"/>
            <w:gridSpan w:val="2"/>
            <w:shd w:val="clear" w:color="auto" w:fill="auto"/>
            <w:vAlign w:val="center"/>
          </w:tcPr>
          <w:p w14:paraId="668B0975"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1.43</w:t>
            </w:r>
          </w:p>
        </w:tc>
        <w:tc>
          <w:tcPr>
            <w:tcW w:w="2360" w:type="dxa"/>
            <w:shd w:val="clear" w:color="auto" w:fill="auto"/>
            <w:vAlign w:val="center"/>
          </w:tcPr>
          <w:p w14:paraId="7EF6BA99"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1.33</w:t>
            </w:r>
          </w:p>
        </w:tc>
      </w:tr>
      <w:tr w:rsidR="00665BAB" w:rsidRPr="0059512A" w14:paraId="71C5F543" w14:textId="77777777" w:rsidTr="00665BAB">
        <w:trPr>
          <w:trHeight w:val="570"/>
          <w:jc w:val="center"/>
        </w:trPr>
        <w:tc>
          <w:tcPr>
            <w:tcW w:w="7860" w:type="dxa"/>
            <w:gridSpan w:val="5"/>
            <w:shd w:val="clear" w:color="auto" w:fill="auto"/>
            <w:vAlign w:val="center"/>
          </w:tcPr>
          <w:p w14:paraId="666236F1" w14:textId="77777777" w:rsidR="00665BAB" w:rsidRPr="0059512A" w:rsidRDefault="00665BAB" w:rsidP="00F90103">
            <w:pPr>
              <w:keepNext/>
              <w:keepLines/>
              <w:widowControl/>
              <w:tabs>
                <w:tab w:val="center" w:pos="-2430"/>
              </w:tabs>
              <w:suppressAutoHyphens/>
              <w:jc w:val="center"/>
              <w:rPr>
                <w:rFonts w:eastAsiaTheme="minorHAnsi"/>
                <w:b/>
                <w:bCs/>
                <w:sz w:val="26"/>
                <w:szCs w:val="26"/>
              </w:rPr>
            </w:pPr>
            <w:r w:rsidRPr="0059512A">
              <w:rPr>
                <w:rFonts w:eastAsiaTheme="minorHAnsi"/>
                <w:b/>
                <w:bCs/>
                <w:sz w:val="26"/>
                <w:szCs w:val="26"/>
              </w:rPr>
              <w:t>Change in Subsidy Received (Given)</w:t>
            </w:r>
          </w:p>
          <w:p w14:paraId="60E2A44D" w14:textId="77777777" w:rsidR="00665BAB" w:rsidRPr="0059512A" w:rsidRDefault="00665BAB" w:rsidP="00F90103">
            <w:pPr>
              <w:keepNext/>
              <w:keepLines/>
              <w:widowControl/>
              <w:tabs>
                <w:tab w:val="center" w:pos="-2430"/>
              </w:tabs>
              <w:suppressAutoHyphens/>
              <w:jc w:val="center"/>
              <w:rPr>
                <w:rFonts w:eastAsiaTheme="minorHAnsi"/>
                <w:sz w:val="26"/>
                <w:szCs w:val="26"/>
              </w:rPr>
            </w:pPr>
            <w:r w:rsidRPr="0059512A">
              <w:rPr>
                <w:rFonts w:eastAsiaTheme="minorHAnsi"/>
                <w:sz w:val="26"/>
                <w:szCs w:val="26"/>
              </w:rPr>
              <w:t>(I&amp;E Ex. No. 3, Sch. 14, lines 41-42)</w:t>
            </w:r>
          </w:p>
        </w:tc>
      </w:tr>
      <w:tr w:rsidR="00665BAB" w:rsidRPr="0059512A" w14:paraId="2A4BB4F7" w14:textId="77777777" w:rsidTr="00665BAB">
        <w:trPr>
          <w:trHeight w:val="425"/>
          <w:jc w:val="center"/>
        </w:trPr>
        <w:tc>
          <w:tcPr>
            <w:tcW w:w="1525" w:type="dxa"/>
            <w:shd w:val="clear" w:color="auto" w:fill="auto"/>
            <w:vAlign w:val="center"/>
          </w:tcPr>
          <w:p w14:paraId="525EFCA1"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Rate Class</w:t>
            </w:r>
          </w:p>
        </w:tc>
        <w:tc>
          <w:tcPr>
            <w:tcW w:w="3372" w:type="dxa"/>
            <w:gridSpan w:val="2"/>
            <w:shd w:val="clear" w:color="auto" w:fill="auto"/>
            <w:vAlign w:val="center"/>
          </w:tcPr>
          <w:p w14:paraId="210E9EE8"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Company As-Filed</w:t>
            </w:r>
          </w:p>
        </w:tc>
        <w:tc>
          <w:tcPr>
            <w:tcW w:w="2963" w:type="dxa"/>
            <w:gridSpan w:val="2"/>
            <w:shd w:val="clear" w:color="auto" w:fill="auto"/>
            <w:vAlign w:val="center"/>
          </w:tcPr>
          <w:p w14:paraId="48F2EBC5"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I&amp;E Recommended</w:t>
            </w:r>
          </w:p>
        </w:tc>
      </w:tr>
      <w:tr w:rsidR="00665BAB" w:rsidRPr="0059512A" w14:paraId="1F9C991D" w14:textId="77777777" w:rsidTr="00665BAB">
        <w:trPr>
          <w:trHeight w:val="438"/>
          <w:jc w:val="center"/>
        </w:trPr>
        <w:tc>
          <w:tcPr>
            <w:tcW w:w="1525" w:type="dxa"/>
            <w:shd w:val="clear" w:color="auto" w:fill="auto"/>
            <w:vAlign w:val="center"/>
          </w:tcPr>
          <w:p w14:paraId="356A3DC0"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GLP-3</w:t>
            </w:r>
          </w:p>
        </w:tc>
        <w:tc>
          <w:tcPr>
            <w:tcW w:w="3372" w:type="dxa"/>
            <w:gridSpan w:val="2"/>
            <w:shd w:val="clear" w:color="auto" w:fill="auto"/>
            <w:vAlign w:val="center"/>
          </w:tcPr>
          <w:p w14:paraId="47CFB64E"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40%</w:t>
            </w:r>
          </w:p>
        </w:tc>
        <w:tc>
          <w:tcPr>
            <w:tcW w:w="2963" w:type="dxa"/>
            <w:gridSpan w:val="2"/>
            <w:shd w:val="clear" w:color="auto" w:fill="auto"/>
            <w:vAlign w:val="center"/>
          </w:tcPr>
          <w:p w14:paraId="0691BA16"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32%</w:t>
            </w:r>
          </w:p>
        </w:tc>
      </w:tr>
      <w:tr w:rsidR="00665BAB" w:rsidRPr="0059512A" w14:paraId="3CC4294E" w14:textId="77777777" w:rsidTr="00665BAB">
        <w:trPr>
          <w:trHeight w:val="425"/>
          <w:jc w:val="center"/>
        </w:trPr>
        <w:tc>
          <w:tcPr>
            <w:tcW w:w="1525" w:type="dxa"/>
            <w:shd w:val="clear" w:color="auto" w:fill="auto"/>
            <w:vAlign w:val="center"/>
          </w:tcPr>
          <w:p w14:paraId="55AAAD13"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OL</w:t>
            </w:r>
          </w:p>
        </w:tc>
        <w:tc>
          <w:tcPr>
            <w:tcW w:w="3372" w:type="dxa"/>
            <w:gridSpan w:val="2"/>
            <w:shd w:val="clear" w:color="auto" w:fill="auto"/>
            <w:vAlign w:val="center"/>
          </w:tcPr>
          <w:p w14:paraId="0FBE8CF2"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39%</w:t>
            </w:r>
          </w:p>
        </w:tc>
        <w:tc>
          <w:tcPr>
            <w:tcW w:w="2963" w:type="dxa"/>
            <w:gridSpan w:val="2"/>
            <w:shd w:val="clear" w:color="auto" w:fill="auto"/>
            <w:vAlign w:val="center"/>
          </w:tcPr>
          <w:p w14:paraId="1C31C7A1"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99%</w:t>
            </w:r>
          </w:p>
        </w:tc>
      </w:tr>
      <w:tr w:rsidR="00665BAB" w:rsidRPr="0059512A" w14:paraId="39FB1046" w14:textId="77777777" w:rsidTr="00665BAB">
        <w:trPr>
          <w:trHeight w:val="411"/>
          <w:jc w:val="center"/>
        </w:trPr>
        <w:tc>
          <w:tcPr>
            <w:tcW w:w="1525" w:type="dxa"/>
            <w:shd w:val="clear" w:color="auto" w:fill="auto"/>
            <w:vAlign w:val="center"/>
          </w:tcPr>
          <w:p w14:paraId="4C71698E"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GLP-1</w:t>
            </w:r>
          </w:p>
        </w:tc>
        <w:tc>
          <w:tcPr>
            <w:tcW w:w="3372" w:type="dxa"/>
            <w:gridSpan w:val="2"/>
            <w:shd w:val="clear" w:color="auto" w:fill="auto"/>
            <w:vAlign w:val="center"/>
          </w:tcPr>
          <w:p w14:paraId="35EB4CB8"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0%</w:t>
            </w:r>
          </w:p>
        </w:tc>
        <w:tc>
          <w:tcPr>
            <w:tcW w:w="2963" w:type="dxa"/>
            <w:gridSpan w:val="2"/>
            <w:shd w:val="clear" w:color="auto" w:fill="auto"/>
            <w:vAlign w:val="center"/>
          </w:tcPr>
          <w:p w14:paraId="1EEB0A69" w14:textId="77777777" w:rsidR="00665BAB" w:rsidRPr="00F90103" w:rsidRDefault="00665BAB" w:rsidP="00F90103">
            <w:pPr>
              <w:keepNext/>
              <w:keepLines/>
              <w:widowControl/>
              <w:rPr>
                <w:rFonts w:eastAsiaTheme="minorHAnsi"/>
                <w:sz w:val="26"/>
                <w:szCs w:val="26"/>
              </w:rPr>
            </w:pPr>
            <w:r w:rsidRPr="00F90103">
              <w:rPr>
                <w:rFonts w:eastAsiaTheme="minorHAnsi"/>
                <w:sz w:val="26"/>
                <w:szCs w:val="26"/>
              </w:rPr>
              <w:t>23%</w:t>
            </w:r>
          </w:p>
        </w:tc>
      </w:tr>
    </w:tbl>
    <w:p w14:paraId="0805DA6D" w14:textId="77777777" w:rsidR="00AE20FA" w:rsidRPr="0059512A" w:rsidRDefault="00AE20FA" w:rsidP="0059512A">
      <w:pPr>
        <w:keepNext/>
        <w:widowControl/>
        <w:spacing w:line="360" w:lineRule="auto"/>
        <w:ind w:firstLine="1440"/>
        <w:rPr>
          <w:sz w:val="26"/>
          <w:szCs w:val="26"/>
        </w:rPr>
      </w:pPr>
    </w:p>
    <w:p w14:paraId="64F5E75D" w14:textId="0A139290" w:rsidR="00832538" w:rsidRPr="0059512A" w:rsidRDefault="00665BAB" w:rsidP="0059512A">
      <w:pPr>
        <w:keepNext/>
        <w:widowControl/>
        <w:spacing w:line="360" w:lineRule="auto"/>
        <w:rPr>
          <w:sz w:val="26"/>
          <w:szCs w:val="26"/>
        </w:rPr>
      </w:pPr>
      <w:r w:rsidRPr="0059512A">
        <w:rPr>
          <w:sz w:val="26"/>
          <w:szCs w:val="26"/>
        </w:rPr>
        <w:t xml:space="preserve">I&amp;E M.B. at 56.  </w:t>
      </w:r>
    </w:p>
    <w:p w14:paraId="1D90A71B" w14:textId="51678914" w:rsidR="00997C13" w:rsidRPr="0059512A" w:rsidRDefault="00997C13" w:rsidP="0059512A">
      <w:pPr>
        <w:widowControl/>
        <w:spacing w:line="360" w:lineRule="auto"/>
        <w:ind w:firstLine="1440"/>
        <w:rPr>
          <w:sz w:val="26"/>
          <w:szCs w:val="26"/>
        </w:rPr>
      </w:pPr>
    </w:p>
    <w:p w14:paraId="1F90ED4B" w14:textId="0508FB41" w:rsidR="00973175" w:rsidRPr="0059512A" w:rsidRDefault="00F511F0" w:rsidP="0059512A">
      <w:pPr>
        <w:widowControl/>
        <w:spacing w:line="360" w:lineRule="auto"/>
        <w:ind w:firstLine="1440"/>
        <w:rPr>
          <w:sz w:val="26"/>
          <w:szCs w:val="26"/>
        </w:rPr>
      </w:pPr>
      <w:r w:rsidRPr="0059512A">
        <w:rPr>
          <w:sz w:val="26"/>
          <w:szCs w:val="26"/>
        </w:rPr>
        <w:t xml:space="preserve">After considering other </w:t>
      </w:r>
      <w:r w:rsidR="00EB26B8" w:rsidRPr="0059512A">
        <w:rPr>
          <w:sz w:val="26"/>
          <w:szCs w:val="26"/>
        </w:rPr>
        <w:t>P</w:t>
      </w:r>
      <w:r w:rsidRPr="0059512A">
        <w:rPr>
          <w:sz w:val="26"/>
          <w:szCs w:val="26"/>
        </w:rPr>
        <w:t xml:space="preserve">arities’ positions, I&amp;E accepted the OSBA’s recommendation that the rate class with the higher relative rate of return should receive more rate relief.  I&amp;E thereby modified its original recommendation to provide greater relief to the GLP-1 rate class.  </w:t>
      </w:r>
      <w:r w:rsidR="00CB58FB" w:rsidRPr="0059512A">
        <w:rPr>
          <w:sz w:val="26"/>
          <w:szCs w:val="26"/>
        </w:rPr>
        <w:t xml:space="preserve">Accepting this aspect of the OSBA’s recommendation, I&amp;E stated that the $35,830 in excess revenue reallocated from the GLP-3 class should be allocated based </w:t>
      </w:r>
      <w:r w:rsidR="002C7DF3" w:rsidRPr="0059512A">
        <w:rPr>
          <w:sz w:val="26"/>
          <w:szCs w:val="26"/>
        </w:rPr>
        <w:t>on the percent</w:t>
      </w:r>
      <w:r w:rsidR="00832538" w:rsidRPr="0059512A">
        <w:rPr>
          <w:sz w:val="26"/>
          <w:szCs w:val="26"/>
        </w:rPr>
        <w:t xml:space="preserve"> increase the GLP-1 and OL rate classes are proposed to receive prior to any overall scale back.</w:t>
      </w:r>
      <w:r w:rsidR="00CB58FB" w:rsidRPr="0059512A">
        <w:rPr>
          <w:sz w:val="26"/>
          <w:szCs w:val="26"/>
        </w:rPr>
        <w:t xml:space="preserve">  I&amp;E M.B. at 58-59.</w:t>
      </w:r>
    </w:p>
    <w:p w14:paraId="449B9B12" w14:textId="77777777" w:rsidR="0080444D" w:rsidRPr="0059512A" w:rsidRDefault="0080444D" w:rsidP="0059512A">
      <w:pPr>
        <w:widowControl/>
        <w:spacing w:line="360" w:lineRule="auto"/>
        <w:ind w:firstLine="1440"/>
        <w:rPr>
          <w:sz w:val="26"/>
          <w:szCs w:val="26"/>
        </w:rPr>
      </w:pPr>
    </w:p>
    <w:p w14:paraId="1FB2FC8A" w14:textId="777BD485" w:rsidR="00973175" w:rsidRPr="0059512A" w:rsidRDefault="001114DE" w:rsidP="0059512A">
      <w:pPr>
        <w:widowControl/>
        <w:spacing w:line="360" w:lineRule="auto"/>
        <w:ind w:firstLine="1440"/>
        <w:rPr>
          <w:sz w:val="26"/>
          <w:szCs w:val="26"/>
        </w:rPr>
      </w:pPr>
      <w:r w:rsidRPr="0059512A">
        <w:rPr>
          <w:sz w:val="26"/>
          <w:szCs w:val="26"/>
        </w:rPr>
        <w:lastRenderedPageBreak/>
        <w:t xml:space="preserve">Both the OCA and the OSBA agreed with I&amp;E that rate class GLP-3 should not be allocated a rate decrease; however, the OCA and the OSBA both disagreed with I&amp;E regarding the allocation of the excess $35,830 revenue from the GLP-3 class.  </w:t>
      </w:r>
    </w:p>
    <w:p w14:paraId="512E9B9E" w14:textId="0414CE00" w:rsidR="001114DE" w:rsidRPr="0059512A" w:rsidRDefault="001114DE" w:rsidP="0059512A">
      <w:pPr>
        <w:widowControl/>
        <w:spacing w:line="360" w:lineRule="auto"/>
        <w:ind w:firstLine="1440"/>
        <w:rPr>
          <w:sz w:val="26"/>
          <w:szCs w:val="26"/>
        </w:rPr>
      </w:pPr>
    </w:p>
    <w:p w14:paraId="2D2F820F" w14:textId="0B8ACB02" w:rsidR="001114DE" w:rsidRPr="0059512A" w:rsidRDefault="002D34A4" w:rsidP="0059512A">
      <w:pPr>
        <w:widowControl/>
        <w:spacing w:line="360" w:lineRule="auto"/>
        <w:ind w:firstLine="1440"/>
        <w:rPr>
          <w:sz w:val="26"/>
          <w:szCs w:val="26"/>
        </w:rPr>
      </w:pPr>
      <w:r w:rsidRPr="0059512A">
        <w:rPr>
          <w:sz w:val="26"/>
          <w:szCs w:val="26"/>
        </w:rPr>
        <w:t xml:space="preserve">The OCA echoed I&amp;E’s contention that such a rate decrease for the GLP-3 class when others’ rates are increasing is not appropriate.  The OCA argued that the Commission recognized such a consideration in the </w:t>
      </w:r>
      <w:r w:rsidR="004C2E92" w:rsidRPr="0059512A">
        <w:rPr>
          <w:i/>
          <w:iCs/>
          <w:sz w:val="26"/>
          <w:szCs w:val="26"/>
        </w:rPr>
        <w:t xml:space="preserve">2012 </w:t>
      </w:r>
      <w:r w:rsidRPr="0059512A">
        <w:rPr>
          <w:i/>
          <w:iCs/>
          <w:sz w:val="26"/>
          <w:szCs w:val="26"/>
        </w:rPr>
        <w:t>PPL Order</w:t>
      </w:r>
      <w:r w:rsidRPr="0059512A">
        <w:rPr>
          <w:sz w:val="26"/>
          <w:szCs w:val="26"/>
        </w:rPr>
        <w:t xml:space="preserve">, finding that “as a matter of fairness, those customer classes that have not been allotted any rate increase via the Company’s original revenue allocation should not receive rate decreases as argued by the OSBA and PPLICA.”  OCA M.B. at 79-80 (citing </w:t>
      </w:r>
      <w:r w:rsidR="004C2E92" w:rsidRPr="0059512A">
        <w:rPr>
          <w:i/>
          <w:iCs/>
          <w:sz w:val="26"/>
          <w:szCs w:val="26"/>
        </w:rPr>
        <w:t>2012</w:t>
      </w:r>
      <w:r w:rsidR="004C2E92" w:rsidRPr="0059512A">
        <w:rPr>
          <w:sz w:val="26"/>
          <w:szCs w:val="26"/>
        </w:rPr>
        <w:t xml:space="preserve"> </w:t>
      </w:r>
      <w:r w:rsidRPr="0059512A">
        <w:rPr>
          <w:i/>
          <w:iCs/>
          <w:sz w:val="26"/>
          <w:szCs w:val="26"/>
        </w:rPr>
        <w:t>PPL Order</w:t>
      </w:r>
      <w:r w:rsidRPr="0059512A">
        <w:rPr>
          <w:sz w:val="26"/>
          <w:szCs w:val="26"/>
        </w:rPr>
        <w:t xml:space="preserve"> at 124).</w:t>
      </w:r>
      <w:r w:rsidR="00536270" w:rsidRPr="0059512A">
        <w:rPr>
          <w:sz w:val="26"/>
          <w:szCs w:val="26"/>
        </w:rPr>
        <w:t xml:space="preserve">  Therefore, the OCA recommended that the rate decrease proposed for the GLP-3 rate class be eliminated and proportionally distributed to the rate classes receiving an increase that is greater than or equal to 1.5 times (rounded) the system average increase.  OCA M.B. at 80 (citing OCA St. 4 at 21-22).  </w:t>
      </w:r>
      <w:r w:rsidR="000E4FBB" w:rsidRPr="0059512A">
        <w:rPr>
          <w:sz w:val="26"/>
          <w:szCs w:val="26"/>
        </w:rPr>
        <w:t xml:space="preserve">The OCA’s recommendations are summarized in </w:t>
      </w:r>
      <w:r w:rsidR="002C5DAD" w:rsidRPr="0059512A">
        <w:rPr>
          <w:sz w:val="26"/>
          <w:szCs w:val="26"/>
        </w:rPr>
        <w:t>Table 6 of OCA Statement No. 4, as follows</w:t>
      </w:r>
      <w:r w:rsidR="000E4FBB" w:rsidRPr="0059512A">
        <w:rPr>
          <w:sz w:val="26"/>
          <w:szCs w:val="26"/>
        </w:rPr>
        <w:t>:</w:t>
      </w:r>
    </w:p>
    <w:p w14:paraId="14FD4380" w14:textId="1F14B48A" w:rsidR="002D34A4" w:rsidRPr="0059512A" w:rsidRDefault="002D34A4" w:rsidP="005B3BE9">
      <w:pPr>
        <w:widowControl/>
        <w:ind w:firstLine="1440"/>
        <w:rPr>
          <w:sz w:val="26"/>
          <w:szCs w:val="26"/>
        </w:rPr>
      </w:pPr>
    </w:p>
    <w:tbl>
      <w:tblPr>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94"/>
        <w:gridCol w:w="1755"/>
        <w:gridCol w:w="1941"/>
        <w:gridCol w:w="1486"/>
        <w:gridCol w:w="1484"/>
      </w:tblGrid>
      <w:tr w:rsidR="00D16903" w:rsidRPr="0059512A" w14:paraId="1F75DC52" w14:textId="77777777" w:rsidTr="00D16903">
        <w:trPr>
          <w:trHeight w:val="18"/>
          <w:jc w:val="center"/>
        </w:trPr>
        <w:tc>
          <w:tcPr>
            <w:tcW w:w="8460" w:type="dxa"/>
            <w:gridSpan w:val="5"/>
            <w:tcBorders>
              <w:top w:val="single" w:sz="12" w:space="0" w:color="auto"/>
              <w:left w:val="nil"/>
              <w:bottom w:val="single" w:sz="4" w:space="0" w:color="auto"/>
              <w:right w:val="nil"/>
            </w:tcBorders>
          </w:tcPr>
          <w:p w14:paraId="59AEBC2C" w14:textId="77777777" w:rsidR="00D16903" w:rsidRPr="0059512A" w:rsidRDefault="00D16903" w:rsidP="005B3BE9">
            <w:pPr>
              <w:widowControl/>
              <w:spacing w:before="80" w:after="80"/>
              <w:jc w:val="center"/>
              <w:rPr>
                <w:rFonts w:eastAsiaTheme="minorHAnsi"/>
                <w:b/>
                <w:sz w:val="26"/>
                <w:szCs w:val="26"/>
              </w:rPr>
            </w:pPr>
            <w:r w:rsidRPr="0059512A">
              <w:rPr>
                <w:rFonts w:eastAsiaTheme="minorHAnsi"/>
                <w:b/>
                <w:sz w:val="26"/>
                <w:szCs w:val="26"/>
              </w:rPr>
              <w:t>Table 6. Citizens’ Electric Company of Lewisburg, PA –</w:t>
            </w:r>
            <w:r w:rsidRPr="0059512A">
              <w:rPr>
                <w:rFonts w:eastAsiaTheme="minorHAnsi"/>
                <w:b/>
                <w:sz w:val="26"/>
                <w:szCs w:val="26"/>
              </w:rPr>
              <w:br/>
              <w:t>OCA Proposed Revenue Distribution</w:t>
            </w:r>
          </w:p>
        </w:tc>
      </w:tr>
      <w:tr w:rsidR="00D16903" w:rsidRPr="0059512A" w14:paraId="592A80B7" w14:textId="77777777" w:rsidTr="00D16903">
        <w:trPr>
          <w:trHeight w:val="18"/>
          <w:jc w:val="center"/>
        </w:trPr>
        <w:tc>
          <w:tcPr>
            <w:tcW w:w="1794" w:type="dxa"/>
            <w:tcBorders>
              <w:top w:val="single" w:sz="4" w:space="0" w:color="auto"/>
              <w:left w:val="nil"/>
              <w:bottom w:val="single" w:sz="4" w:space="0" w:color="auto"/>
              <w:right w:val="nil"/>
            </w:tcBorders>
            <w:vAlign w:val="bottom"/>
          </w:tcPr>
          <w:p w14:paraId="079204B1" w14:textId="77777777" w:rsidR="00D16903" w:rsidRPr="0059512A" w:rsidRDefault="00D16903" w:rsidP="005B3BE9">
            <w:pPr>
              <w:widowControl/>
              <w:rPr>
                <w:rFonts w:eastAsiaTheme="minorHAnsi"/>
                <w:sz w:val="26"/>
                <w:szCs w:val="26"/>
              </w:rPr>
            </w:pPr>
            <w:r w:rsidRPr="0059512A">
              <w:rPr>
                <w:rFonts w:eastAsiaTheme="minorHAnsi"/>
                <w:sz w:val="26"/>
                <w:szCs w:val="26"/>
              </w:rPr>
              <w:t>Rate Class</w:t>
            </w:r>
          </w:p>
        </w:tc>
        <w:tc>
          <w:tcPr>
            <w:tcW w:w="1755" w:type="dxa"/>
            <w:tcBorders>
              <w:top w:val="single" w:sz="4" w:space="0" w:color="auto"/>
              <w:left w:val="nil"/>
              <w:bottom w:val="single" w:sz="4" w:space="0" w:color="auto"/>
              <w:right w:val="nil"/>
            </w:tcBorders>
            <w:vAlign w:val="bottom"/>
          </w:tcPr>
          <w:p w14:paraId="07CAB80C" w14:textId="77777777" w:rsidR="00D16903" w:rsidRPr="0059512A" w:rsidRDefault="00D16903" w:rsidP="005B3BE9">
            <w:pPr>
              <w:widowControl/>
              <w:rPr>
                <w:rFonts w:eastAsiaTheme="minorHAnsi"/>
                <w:sz w:val="26"/>
                <w:szCs w:val="26"/>
              </w:rPr>
            </w:pPr>
            <w:r w:rsidRPr="0059512A">
              <w:rPr>
                <w:rFonts w:eastAsiaTheme="minorHAnsi"/>
                <w:sz w:val="26"/>
                <w:szCs w:val="26"/>
              </w:rPr>
              <w:t>Present Rates</w:t>
            </w:r>
          </w:p>
        </w:tc>
        <w:tc>
          <w:tcPr>
            <w:tcW w:w="1941" w:type="dxa"/>
            <w:tcBorders>
              <w:top w:val="single" w:sz="4" w:space="0" w:color="auto"/>
              <w:left w:val="nil"/>
              <w:bottom w:val="single" w:sz="4" w:space="0" w:color="auto"/>
              <w:right w:val="nil"/>
            </w:tcBorders>
            <w:vAlign w:val="bottom"/>
          </w:tcPr>
          <w:p w14:paraId="07034B40" w14:textId="77777777" w:rsidR="00D16903" w:rsidRPr="0059512A" w:rsidRDefault="00D16903" w:rsidP="005B3BE9">
            <w:pPr>
              <w:widowControl/>
              <w:rPr>
                <w:rFonts w:eastAsiaTheme="minorHAnsi"/>
                <w:sz w:val="26"/>
                <w:szCs w:val="26"/>
              </w:rPr>
            </w:pPr>
            <w:r w:rsidRPr="0059512A">
              <w:rPr>
                <w:rFonts w:eastAsiaTheme="minorHAnsi"/>
                <w:sz w:val="26"/>
                <w:szCs w:val="26"/>
              </w:rPr>
              <w:t>Proposed Rates</w:t>
            </w:r>
          </w:p>
        </w:tc>
        <w:tc>
          <w:tcPr>
            <w:tcW w:w="1486" w:type="dxa"/>
            <w:tcBorders>
              <w:top w:val="single" w:sz="4" w:space="0" w:color="auto"/>
              <w:left w:val="nil"/>
              <w:bottom w:val="single" w:sz="4" w:space="0" w:color="auto"/>
              <w:right w:val="nil"/>
            </w:tcBorders>
            <w:vAlign w:val="bottom"/>
          </w:tcPr>
          <w:p w14:paraId="246A9425" w14:textId="77777777" w:rsidR="00D16903" w:rsidRPr="0059512A" w:rsidRDefault="00D16903" w:rsidP="005B3BE9">
            <w:pPr>
              <w:widowControl/>
              <w:rPr>
                <w:rFonts w:eastAsiaTheme="minorHAnsi"/>
                <w:sz w:val="26"/>
                <w:szCs w:val="26"/>
              </w:rPr>
            </w:pPr>
            <w:r w:rsidRPr="0059512A">
              <w:rPr>
                <w:rFonts w:eastAsiaTheme="minorHAnsi"/>
                <w:sz w:val="26"/>
                <w:szCs w:val="26"/>
              </w:rPr>
              <w:t>Increase</w:t>
            </w:r>
          </w:p>
        </w:tc>
        <w:tc>
          <w:tcPr>
            <w:tcW w:w="1484" w:type="dxa"/>
            <w:tcBorders>
              <w:top w:val="single" w:sz="4" w:space="0" w:color="auto"/>
              <w:left w:val="nil"/>
              <w:bottom w:val="single" w:sz="4" w:space="0" w:color="auto"/>
              <w:right w:val="nil"/>
            </w:tcBorders>
            <w:vAlign w:val="bottom"/>
          </w:tcPr>
          <w:p w14:paraId="27C20445" w14:textId="77777777" w:rsidR="00D16903" w:rsidRPr="0059512A" w:rsidRDefault="00D16903" w:rsidP="005B3BE9">
            <w:pPr>
              <w:widowControl/>
              <w:rPr>
                <w:rFonts w:eastAsiaTheme="minorHAnsi"/>
                <w:sz w:val="26"/>
                <w:szCs w:val="26"/>
              </w:rPr>
            </w:pPr>
            <w:r w:rsidRPr="0059512A">
              <w:rPr>
                <w:rFonts w:eastAsiaTheme="minorHAnsi"/>
                <w:sz w:val="26"/>
                <w:szCs w:val="26"/>
              </w:rPr>
              <w:t>Percent</w:t>
            </w:r>
          </w:p>
        </w:tc>
      </w:tr>
      <w:tr w:rsidR="00D16903" w:rsidRPr="0059512A" w14:paraId="5B5B184C" w14:textId="77777777" w:rsidTr="00D16903">
        <w:trPr>
          <w:trHeight w:val="18"/>
          <w:jc w:val="center"/>
        </w:trPr>
        <w:tc>
          <w:tcPr>
            <w:tcW w:w="1794" w:type="dxa"/>
            <w:tcBorders>
              <w:top w:val="single" w:sz="4" w:space="0" w:color="auto"/>
              <w:left w:val="nil"/>
              <w:bottom w:val="nil"/>
              <w:right w:val="nil"/>
            </w:tcBorders>
          </w:tcPr>
          <w:p w14:paraId="4E98C86B" w14:textId="77777777" w:rsidR="00D16903" w:rsidRPr="0059512A" w:rsidRDefault="00D16903" w:rsidP="005B3BE9">
            <w:pPr>
              <w:widowControl/>
              <w:tabs>
                <w:tab w:val="left" w:pos="302"/>
              </w:tabs>
              <w:spacing w:before="60" w:after="60"/>
              <w:rPr>
                <w:rFonts w:eastAsiaTheme="minorHAnsi"/>
                <w:sz w:val="26"/>
                <w:szCs w:val="26"/>
              </w:rPr>
            </w:pPr>
            <w:r w:rsidRPr="0059512A">
              <w:rPr>
                <w:rFonts w:eastAsiaTheme="minorHAnsi"/>
                <w:sz w:val="26"/>
                <w:szCs w:val="26"/>
              </w:rPr>
              <w:t>RS</w:t>
            </w:r>
          </w:p>
        </w:tc>
        <w:tc>
          <w:tcPr>
            <w:tcW w:w="1755" w:type="dxa"/>
            <w:tcBorders>
              <w:top w:val="single" w:sz="4" w:space="0" w:color="auto"/>
              <w:left w:val="nil"/>
              <w:bottom w:val="nil"/>
              <w:right w:val="nil"/>
            </w:tcBorders>
          </w:tcPr>
          <w:p w14:paraId="564D85D7" w14:textId="77777777" w:rsidR="00D16903" w:rsidRPr="0059512A" w:rsidRDefault="00D16903" w:rsidP="005B3BE9">
            <w:pPr>
              <w:widowControl/>
              <w:tabs>
                <w:tab w:val="decimal" w:pos="1090"/>
              </w:tabs>
              <w:spacing w:before="60" w:after="60"/>
              <w:rPr>
                <w:rFonts w:eastAsiaTheme="minorHAnsi"/>
                <w:sz w:val="26"/>
                <w:szCs w:val="26"/>
              </w:rPr>
            </w:pPr>
            <w:r w:rsidRPr="0059512A">
              <w:rPr>
                <w:rFonts w:eastAsiaTheme="minorHAnsi"/>
                <w:sz w:val="26"/>
                <w:szCs w:val="26"/>
              </w:rPr>
              <w:t>$2,647,362</w:t>
            </w:r>
          </w:p>
        </w:tc>
        <w:tc>
          <w:tcPr>
            <w:tcW w:w="1941" w:type="dxa"/>
            <w:tcBorders>
              <w:top w:val="single" w:sz="4" w:space="0" w:color="auto"/>
              <w:left w:val="nil"/>
              <w:bottom w:val="nil"/>
              <w:right w:val="nil"/>
            </w:tcBorders>
            <w:vAlign w:val="bottom"/>
          </w:tcPr>
          <w:p w14:paraId="77146231" w14:textId="77777777" w:rsidR="00D16903" w:rsidRPr="0059512A" w:rsidRDefault="00D16903" w:rsidP="005B3BE9">
            <w:pPr>
              <w:widowControl/>
              <w:spacing w:before="60" w:after="60"/>
              <w:rPr>
                <w:rFonts w:eastAsiaTheme="minorHAnsi"/>
                <w:sz w:val="26"/>
                <w:szCs w:val="26"/>
              </w:rPr>
            </w:pPr>
            <w:r w:rsidRPr="0059512A">
              <w:rPr>
                <w:rFonts w:eastAsiaTheme="minorHAnsi"/>
                <w:sz w:val="26"/>
                <w:szCs w:val="26"/>
              </w:rPr>
              <w:t>$3,279,887</w:t>
            </w:r>
          </w:p>
        </w:tc>
        <w:tc>
          <w:tcPr>
            <w:tcW w:w="1486" w:type="dxa"/>
            <w:tcBorders>
              <w:top w:val="single" w:sz="4" w:space="0" w:color="auto"/>
              <w:left w:val="nil"/>
              <w:bottom w:val="nil"/>
              <w:right w:val="nil"/>
            </w:tcBorders>
            <w:vAlign w:val="bottom"/>
          </w:tcPr>
          <w:p w14:paraId="6407F0E1" w14:textId="77777777" w:rsidR="00D16903" w:rsidRPr="0059512A" w:rsidRDefault="00D16903" w:rsidP="005B3BE9">
            <w:pPr>
              <w:widowControl/>
              <w:tabs>
                <w:tab w:val="decimal" w:pos="640"/>
              </w:tabs>
              <w:spacing w:before="60" w:after="60"/>
              <w:rPr>
                <w:rFonts w:eastAsiaTheme="minorHAnsi"/>
                <w:sz w:val="26"/>
                <w:szCs w:val="26"/>
              </w:rPr>
            </w:pPr>
            <w:r w:rsidRPr="0059512A">
              <w:rPr>
                <w:rFonts w:eastAsiaTheme="minorHAnsi"/>
                <w:sz w:val="26"/>
                <w:szCs w:val="26"/>
              </w:rPr>
              <w:t>$632,525</w:t>
            </w:r>
          </w:p>
        </w:tc>
        <w:tc>
          <w:tcPr>
            <w:tcW w:w="1484" w:type="dxa"/>
            <w:tcBorders>
              <w:top w:val="single" w:sz="4" w:space="0" w:color="auto"/>
              <w:left w:val="nil"/>
              <w:bottom w:val="nil"/>
              <w:right w:val="nil"/>
            </w:tcBorders>
            <w:vAlign w:val="bottom"/>
          </w:tcPr>
          <w:p w14:paraId="1FB0C3FA" w14:textId="77777777" w:rsidR="00D16903" w:rsidRPr="0059512A" w:rsidRDefault="00D16903" w:rsidP="005B3BE9">
            <w:pPr>
              <w:widowControl/>
              <w:tabs>
                <w:tab w:val="decimal" w:pos="534"/>
              </w:tabs>
              <w:spacing w:before="60" w:after="60"/>
              <w:rPr>
                <w:rFonts w:eastAsiaTheme="minorHAnsi"/>
                <w:sz w:val="26"/>
                <w:szCs w:val="26"/>
              </w:rPr>
            </w:pPr>
            <w:r w:rsidRPr="0059512A">
              <w:rPr>
                <w:rFonts w:eastAsiaTheme="minorHAnsi"/>
                <w:sz w:val="26"/>
                <w:szCs w:val="26"/>
              </w:rPr>
              <w:t>23.9%</w:t>
            </w:r>
          </w:p>
        </w:tc>
      </w:tr>
      <w:tr w:rsidR="00D16903" w:rsidRPr="0059512A" w14:paraId="4D68C1FA" w14:textId="77777777" w:rsidTr="00D16903">
        <w:trPr>
          <w:trHeight w:val="18"/>
          <w:jc w:val="center"/>
        </w:trPr>
        <w:tc>
          <w:tcPr>
            <w:tcW w:w="1794" w:type="dxa"/>
            <w:tcBorders>
              <w:top w:val="nil"/>
              <w:left w:val="nil"/>
              <w:bottom w:val="nil"/>
              <w:right w:val="nil"/>
            </w:tcBorders>
          </w:tcPr>
          <w:p w14:paraId="50C00A94" w14:textId="77777777" w:rsidR="00D16903" w:rsidRPr="0059512A" w:rsidRDefault="00D16903" w:rsidP="005B3BE9">
            <w:pPr>
              <w:widowControl/>
              <w:tabs>
                <w:tab w:val="left" w:pos="302"/>
              </w:tabs>
              <w:spacing w:before="60" w:after="60"/>
              <w:rPr>
                <w:rFonts w:eastAsiaTheme="minorHAnsi"/>
                <w:sz w:val="26"/>
                <w:szCs w:val="26"/>
              </w:rPr>
            </w:pPr>
            <w:r w:rsidRPr="0059512A">
              <w:rPr>
                <w:rFonts w:eastAsiaTheme="minorHAnsi"/>
                <w:sz w:val="26"/>
                <w:szCs w:val="26"/>
              </w:rPr>
              <w:t>SH</w:t>
            </w:r>
          </w:p>
        </w:tc>
        <w:tc>
          <w:tcPr>
            <w:tcW w:w="1755" w:type="dxa"/>
            <w:tcBorders>
              <w:top w:val="nil"/>
              <w:left w:val="nil"/>
              <w:bottom w:val="nil"/>
              <w:right w:val="nil"/>
            </w:tcBorders>
          </w:tcPr>
          <w:p w14:paraId="7262A9FA" w14:textId="77777777" w:rsidR="00D16903" w:rsidRPr="0059512A" w:rsidRDefault="00D16903" w:rsidP="005B3BE9">
            <w:pPr>
              <w:widowControl/>
              <w:tabs>
                <w:tab w:val="decimal" w:pos="1090"/>
              </w:tabs>
              <w:spacing w:before="60" w:after="60"/>
              <w:rPr>
                <w:rFonts w:eastAsiaTheme="minorHAnsi"/>
                <w:sz w:val="26"/>
                <w:szCs w:val="26"/>
              </w:rPr>
            </w:pPr>
            <w:r w:rsidRPr="0059512A">
              <w:rPr>
                <w:rFonts w:eastAsiaTheme="minorHAnsi"/>
                <w:sz w:val="26"/>
                <w:szCs w:val="26"/>
              </w:rPr>
              <w:t>24,362</w:t>
            </w:r>
          </w:p>
        </w:tc>
        <w:tc>
          <w:tcPr>
            <w:tcW w:w="1941" w:type="dxa"/>
            <w:tcBorders>
              <w:top w:val="nil"/>
              <w:left w:val="nil"/>
              <w:bottom w:val="nil"/>
              <w:right w:val="nil"/>
            </w:tcBorders>
            <w:vAlign w:val="bottom"/>
          </w:tcPr>
          <w:p w14:paraId="4E1FD055" w14:textId="77777777" w:rsidR="00D16903" w:rsidRPr="0059512A" w:rsidRDefault="00D16903" w:rsidP="005B3BE9">
            <w:pPr>
              <w:widowControl/>
              <w:spacing w:before="60" w:after="60"/>
              <w:rPr>
                <w:rFonts w:eastAsiaTheme="minorHAnsi"/>
                <w:sz w:val="26"/>
                <w:szCs w:val="26"/>
              </w:rPr>
            </w:pPr>
            <w:r w:rsidRPr="0059512A">
              <w:rPr>
                <w:rFonts w:eastAsiaTheme="minorHAnsi"/>
                <w:sz w:val="26"/>
                <w:szCs w:val="26"/>
              </w:rPr>
              <w:t>29,945</w:t>
            </w:r>
          </w:p>
        </w:tc>
        <w:tc>
          <w:tcPr>
            <w:tcW w:w="1486" w:type="dxa"/>
            <w:tcBorders>
              <w:top w:val="nil"/>
              <w:left w:val="nil"/>
              <w:bottom w:val="nil"/>
              <w:right w:val="nil"/>
            </w:tcBorders>
            <w:vAlign w:val="bottom"/>
          </w:tcPr>
          <w:p w14:paraId="3588381A" w14:textId="77777777" w:rsidR="00D16903" w:rsidRPr="0059512A" w:rsidRDefault="00D16903" w:rsidP="005B3BE9">
            <w:pPr>
              <w:widowControl/>
              <w:tabs>
                <w:tab w:val="decimal" w:pos="640"/>
              </w:tabs>
              <w:spacing w:before="60" w:after="60"/>
              <w:rPr>
                <w:rFonts w:eastAsiaTheme="minorHAnsi"/>
                <w:sz w:val="26"/>
                <w:szCs w:val="26"/>
              </w:rPr>
            </w:pPr>
            <w:r w:rsidRPr="0059512A">
              <w:rPr>
                <w:rFonts w:eastAsiaTheme="minorHAnsi"/>
                <w:sz w:val="26"/>
                <w:szCs w:val="26"/>
              </w:rPr>
              <w:t>5,583</w:t>
            </w:r>
          </w:p>
        </w:tc>
        <w:tc>
          <w:tcPr>
            <w:tcW w:w="1484" w:type="dxa"/>
            <w:tcBorders>
              <w:top w:val="nil"/>
              <w:left w:val="nil"/>
              <w:bottom w:val="nil"/>
              <w:right w:val="nil"/>
            </w:tcBorders>
            <w:vAlign w:val="bottom"/>
          </w:tcPr>
          <w:p w14:paraId="45DD1483" w14:textId="77777777" w:rsidR="00D16903" w:rsidRPr="0059512A" w:rsidRDefault="00D16903" w:rsidP="005B3BE9">
            <w:pPr>
              <w:widowControl/>
              <w:tabs>
                <w:tab w:val="decimal" w:pos="534"/>
              </w:tabs>
              <w:spacing w:before="60" w:after="60"/>
              <w:rPr>
                <w:rFonts w:eastAsiaTheme="minorHAnsi"/>
                <w:sz w:val="26"/>
                <w:szCs w:val="26"/>
              </w:rPr>
            </w:pPr>
            <w:r w:rsidRPr="0059512A">
              <w:rPr>
                <w:rFonts w:eastAsiaTheme="minorHAnsi"/>
                <w:sz w:val="26"/>
                <w:szCs w:val="26"/>
              </w:rPr>
              <w:t>22.9</w:t>
            </w:r>
          </w:p>
        </w:tc>
      </w:tr>
      <w:tr w:rsidR="00D16903" w:rsidRPr="0059512A" w14:paraId="4B7E9F3D" w14:textId="77777777" w:rsidTr="00D16903">
        <w:trPr>
          <w:trHeight w:val="18"/>
          <w:jc w:val="center"/>
        </w:trPr>
        <w:tc>
          <w:tcPr>
            <w:tcW w:w="1794" w:type="dxa"/>
            <w:tcBorders>
              <w:top w:val="nil"/>
              <w:left w:val="nil"/>
              <w:bottom w:val="nil"/>
              <w:right w:val="nil"/>
            </w:tcBorders>
          </w:tcPr>
          <w:p w14:paraId="46E66C3C" w14:textId="77777777" w:rsidR="00D16903" w:rsidRPr="0059512A" w:rsidRDefault="00D16903" w:rsidP="005B3BE9">
            <w:pPr>
              <w:widowControl/>
              <w:tabs>
                <w:tab w:val="left" w:pos="302"/>
              </w:tabs>
              <w:spacing w:before="60" w:after="60"/>
              <w:rPr>
                <w:rFonts w:eastAsiaTheme="minorHAnsi"/>
                <w:sz w:val="26"/>
                <w:szCs w:val="26"/>
              </w:rPr>
            </w:pPr>
            <w:r w:rsidRPr="0059512A">
              <w:rPr>
                <w:rFonts w:eastAsiaTheme="minorHAnsi"/>
                <w:sz w:val="26"/>
                <w:szCs w:val="26"/>
              </w:rPr>
              <w:t>GLP -1</w:t>
            </w:r>
          </w:p>
        </w:tc>
        <w:tc>
          <w:tcPr>
            <w:tcW w:w="1755" w:type="dxa"/>
            <w:tcBorders>
              <w:top w:val="nil"/>
              <w:left w:val="nil"/>
              <w:bottom w:val="nil"/>
              <w:right w:val="nil"/>
            </w:tcBorders>
          </w:tcPr>
          <w:p w14:paraId="10D32087" w14:textId="77777777" w:rsidR="00D16903" w:rsidRPr="0059512A" w:rsidRDefault="00D16903" w:rsidP="005B3BE9">
            <w:pPr>
              <w:widowControl/>
              <w:tabs>
                <w:tab w:val="decimal" w:pos="1090"/>
              </w:tabs>
              <w:spacing w:before="60" w:after="60"/>
              <w:rPr>
                <w:rFonts w:eastAsiaTheme="minorHAnsi"/>
                <w:color w:val="000000"/>
                <w:sz w:val="26"/>
                <w:szCs w:val="26"/>
              </w:rPr>
            </w:pPr>
            <w:r w:rsidRPr="0059512A">
              <w:rPr>
                <w:rFonts w:eastAsiaTheme="minorHAnsi"/>
                <w:sz w:val="26"/>
                <w:szCs w:val="26"/>
              </w:rPr>
              <w:t>917,008</w:t>
            </w:r>
          </w:p>
        </w:tc>
        <w:tc>
          <w:tcPr>
            <w:tcW w:w="1941" w:type="dxa"/>
            <w:tcBorders>
              <w:top w:val="nil"/>
              <w:left w:val="nil"/>
              <w:bottom w:val="nil"/>
              <w:right w:val="nil"/>
            </w:tcBorders>
            <w:vAlign w:val="bottom"/>
          </w:tcPr>
          <w:p w14:paraId="0E938FA5" w14:textId="77777777" w:rsidR="00D16903" w:rsidRPr="0059512A" w:rsidRDefault="00D16903" w:rsidP="005B3BE9">
            <w:pPr>
              <w:widowControl/>
              <w:spacing w:before="60" w:after="60"/>
              <w:rPr>
                <w:rFonts w:eastAsiaTheme="minorHAnsi"/>
                <w:sz w:val="26"/>
                <w:szCs w:val="26"/>
              </w:rPr>
            </w:pPr>
            <w:r w:rsidRPr="0059512A">
              <w:rPr>
                <w:rFonts w:eastAsiaTheme="minorHAnsi"/>
                <w:sz w:val="26"/>
                <w:szCs w:val="26"/>
              </w:rPr>
              <w:t>1,055,971</w:t>
            </w:r>
          </w:p>
        </w:tc>
        <w:tc>
          <w:tcPr>
            <w:tcW w:w="1486" w:type="dxa"/>
            <w:tcBorders>
              <w:top w:val="nil"/>
              <w:left w:val="nil"/>
              <w:bottom w:val="nil"/>
              <w:right w:val="nil"/>
            </w:tcBorders>
            <w:vAlign w:val="bottom"/>
          </w:tcPr>
          <w:p w14:paraId="4DFA740C" w14:textId="77777777" w:rsidR="00D16903" w:rsidRPr="0059512A" w:rsidRDefault="00D16903" w:rsidP="005B3BE9">
            <w:pPr>
              <w:widowControl/>
              <w:tabs>
                <w:tab w:val="decimal" w:pos="640"/>
              </w:tabs>
              <w:spacing w:before="60" w:after="60"/>
              <w:rPr>
                <w:rFonts w:eastAsiaTheme="minorHAnsi"/>
                <w:sz w:val="26"/>
                <w:szCs w:val="26"/>
              </w:rPr>
            </w:pPr>
            <w:r w:rsidRPr="0059512A">
              <w:rPr>
                <w:rFonts w:eastAsiaTheme="minorHAnsi"/>
                <w:sz w:val="26"/>
                <w:szCs w:val="26"/>
              </w:rPr>
              <w:t>138,963</w:t>
            </w:r>
          </w:p>
        </w:tc>
        <w:tc>
          <w:tcPr>
            <w:tcW w:w="1484" w:type="dxa"/>
            <w:tcBorders>
              <w:top w:val="nil"/>
              <w:left w:val="nil"/>
              <w:bottom w:val="nil"/>
              <w:right w:val="nil"/>
            </w:tcBorders>
            <w:vAlign w:val="bottom"/>
          </w:tcPr>
          <w:p w14:paraId="1C42D8A9" w14:textId="77777777" w:rsidR="00D16903" w:rsidRPr="0059512A" w:rsidRDefault="00D16903" w:rsidP="005B3BE9">
            <w:pPr>
              <w:widowControl/>
              <w:tabs>
                <w:tab w:val="decimal" w:pos="534"/>
              </w:tabs>
              <w:spacing w:before="60" w:after="60"/>
              <w:rPr>
                <w:rFonts w:eastAsiaTheme="minorHAnsi"/>
                <w:sz w:val="26"/>
                <w:szCs w:val="26"/>
              </w:rPr>
            </w:pPr>
            <w:r w:rsidRPr="0059512A">
              <w:rPr>
                <w:rFonts w:eastAsiaTheme="minorHAnsi"/>
                <w:sz w:val="26"/>
                <w:szCs w:val="26"/>
              </w:rPr>
              <w:t>15.2</w:t>
            </w:r>
          </w:p>
        </w:tc>
      </w:tr>
      <w:tr w:rsidR="00D16903" w:rsidRPr="0059512A" w14:paraId="2321DEC0" w14:textId="77777777" w:rsidTr="00D16903">
        <w:trPr>
          <w:trHeight w:val="18"/>
          <w:jc w:val="center"/>
        </w:trPr>
        <w:tc>
          <w:tcPr>
            <w:tcW w:w="1794" w:type="dxa"/>
            <w:tcBorders>
              <w:top w:val="nil"/>
              <w:left w:val="nil"/>
              <w:bottom w:val="nil"/>
              <w:right w:val="nil"/>
            </w:tcBorders>
          </w:tcPr>
          <w:p w14:paraId="53AFCAD0" w14:textId="77777777" w:rsidR="00D16903" w:rsidRPr="0059512A" w:rsidRDefault="00D16903" w:rsidP="005B3BE9">
            <w:pPr>
              <w:widowControl/>
              <w:tabs>
                <w:tab w:val="left" w:pos="302"/>
              </w:tabs>
              <w:spacing w:before="60" w:after="60"/>
              <w:rPr>
                <w:rFonts w:eastAsiaTheme="minorHAnsi"/>
                <w:sz w:val="26"/>
                <w:szCs w:val="26"/>
              </w:rPr>
            </w:pPr>
            <w:r w:rsidRPr="0059512A">
              <w:rPr>
                <w:rFonts w:eastAsiaTheme="minorHAnsi"/>
                <w:sz w:val="26"/>
                <w:szCs w:val="26"/>
              </w:rPr>
              <w:t>GLP -3</w:t>
            </w:r>
          </w:p>
        </w:tc>
        <w:tc>
          <w:tcPr>
            <w:tcW w:w="1755" w:type="dxa"/>
            <w:tcBorders>
              <w:top w:val="nil"/>
              <w:left w:val="nil"/>
              <w:bottom w:val="nil"/>
              <w:right w:val="nil"/>
            </w:tcBorders>
          </w:tcPr>
          <w:p w14:paraId="1A047DBC" w14:textId="77777777" w:rsidR="00D16903" w:rsidRPr="0059512A" w:rsidRDefault="00D16903" w:rsidP="005B3BE9">
            <w:pPr>
              <w:widowControl/>
              <w:tabs>
                <w:tab w:val="decimal" w:pos="1090"/>
              </w:tabs>
              <w:spacing w:before="60" w:after="60"/>
              <w:rPr>
                <w:rFonts w:eastAsiaTheme="minorHAnsi"/>
                <w:sz w:val="26"/>
                <w:szCs w:val="26"/>
              </w:rPr>
            </w:pPr>
            <w:r w:rsidRPr="0059512A">
              <w:rPr>
                <w:rFonts w:eastAsiaTheme="minorHAnsi"/>
                <w:color w:val="000000"/>
                <w:sz w:val="26"/>
                <w:szCs w:val="26"/>
              </w:rPr>
              <w:t>1,110,186</w:t>
            </w:r>
          </w:p>
        </w:tc>
        <w:tc>
          <w:tcPr>
            <w:tcW w:w="1941" w:type="dxa"/>
            <w:tcBorders>
              <w:top w:val="nil"/>
              <w:left w:val="nil"/>
              <w:bottom w:val="nil"/>
              <w:right w:val="nil"/>
            </w:tcBorders>
            <w:vAlign w:val="bottom"/>
          </w:tcPr>
          <w:p w14:paraId="3958458D" w14:textId="77777777" w:rsidR="00D16903" w:rsidRPr="0059512A" w:rsidRDefault="00D16903" w:rsidP="005B3BE9">
            <w:pPr>
              <w:widowControl/>
              <w:spacing w:before="60" w:after="60"/>
              <w:rPr>
                <w:rFonts w:eastAsiaTheme="minorHAnsi"/>
                <w:sz w:val="26"/>
                <w:szCs w:val="26"/>
              </w:rPr>
            </w:pPr>
            <w:r w:rsidRPr="0059512A">
              <w:rPr>
                <w:rFonts w:eastAsiaTheme="minorHAnsi"/>
                <w:sz w:val="26"/>
                <w:szCs w:val="26"/>
              </w:rPr>
              <w:t>1,110,186</w:t>
            </w:r>
          </w:p>
        </w:tc>
        <w:tc>
          <w:tcPr>
            <w:tcW w:w="1486" w:type="dxa"/>
            <w:tcBorders>
              <w:top w:val="nil"/>
              <w:left w:val="nil"/>
              <w:bottom w:val="nil"/>
              <w:right w:val="nil"/>
            </w:tcBorders>
            <w:vAlign w:val="bottom"/>
          </w:tcPr>
          <w:p w14:paraId="0A710B2B" w14:textId="77777777" w:rsidR="00D16903" w:rsidRPr="0059512A" w:rsidRDefault="00D16903" w:rsidP="005B3BE9">
            <w:pPr>
              <w:widowControl/>
              <w:tabs>
                <w:tab w:val="decimal" w:pos="640"/>
              </w:tabs>
              <w:spacing w:before="60" w:after="60"/>
              <w:rPr>
                <w:rFonts w:eastAsiaTheme="minorHAnsi"/>
                <w:sz w:val="26"/>
                <w:szCs w:val="26"/>
              </w:rPr>
            </w:pPr>
            <w:r w:rsidRPr="0059512A">
              <w:rPr>
                <w:rFonts w:eastAsiaTheme="minorHAnsi"/>
                <w:sz w:val="26"/>
                <w:szCs w:val="26"/>
              </w:rPr>
              <w:t>0</w:t>
            </w:r>
          </w:p>
        </w:tc>
        <w:tc>
          <w:tcPr>
            <w:tcW w:w="1484" w:type="dxa"/>
            <w:tcBorders>
              <w:top w:val="nil"/>
              <w:left w:val="nil"/>
              <w:bottom w:val="nil"/>
              <w:right w:val="nil"/>
            </w:tcBorders>
            <w:vAlign w:val="bottom"/>
          </w:tcPr>
          <w:p w14:paraId="2DC6150A" w14:textId="77777777" w:rsidR="00D16903" w:rsidRPr="0059512A" w:rsidRDefault="00D16903" w:rsidP="005B3BE9">
            <w:pPr>
              <w:widowControl/>
              <w:tabs>
                <w:tab w:val="decimal" w:pos="534"/>
              </w:tabs>
              <w:spacing w:before="60" w:after="60"/>
              <w:rPr>
                <w:rFonts w:eastAsiaTheme="minorHAnsi"/>
                <w:sz w:val="26"/>
                <w:szCs w:val="26"/>
              </w:rPr>
            </w:pPr>
            <w:r w:rsidRPr="0059512A">
              <w:rPr>
                <w:rFonts w:eastAsiaTheme="minorHAnsi"/>
                <w:sz w:val="26"/>
                <w:szCs w:val="26"/>
              </w:rPr>
              <w:t>0.0</w:t>
            </w:r>
          </w:p>
        </w:tc>
      </w:tr>
      <w:tr w:rsidR="00D16903" w:rsidRPr="0059512A" w14:paraId="5E88F4C8" w14:textId="77777777" w:rsidTr="00D16903">
        <w:trPr>
          <w:trHeight w:val="18"/>
          <w:jc w:val="center"/>
        </w:trPr>
        <w:tc>
          <w:tcPr>
            <w:tcW w:w="1794" w:type="dxa"/>
            <w:tcBorders>
              <w:top w:val="nil"/>
              <w:left w:val="nil"/>
              <w:bottom w:val="nil"/>
              <w:right w:val="nil"/>
            </w:tcBorders>
          </w:tcPr>
          <w:p w14:paraId="656B357A" w14:textId="77777777" w:rsidR="00D16903" w:rsidRPr="0059512A" w:rsidRDefault="00D16903" w:rsidP="005B3BE9">
            <w:pPr>
              <w:widowControl/>
              <w:tabs>
                <w:tab w:val="left" w:pos="302"/>
              </w:tabs>
              <w:spacing w:before="60" w:after="60"/>
              <w:rPr>
                <w:rFonts w:eastAsiaTheme="minorHAnsi"/>
                <w:sz w:val="26"/>
                <w:szCs w:val="26"/>
              </w:rPr>
            </w:pPr>
            <w:r w:rsidRPr="0059512A">
              <w:rPr>
                <w:rFonts w:eastAsiaTheme="minorHAnsi"/>
                <w:sz w:val="26"/>
                <w:szCs w:val="26"/>
              </w:rPr>
              <w:t>MBL</w:t>
            </w:r>
          </w:p>
        </w:tc>
        <w:tc>
          <w:tcPr>
            <w:tcW w:w="1755" w:type="dxa"/>
            <w:tcBorders>
              <w:top w:val="nil"/>
              <w:left w:val="nil"/>
              <w:bottom w:val="nil"/>
              <w:right w:val="nil"/>
            </w:tcBorders>
          </w:tcPr>
          <w:p w14:paraId="5CEF7F55" w14:textId="77777777" w:rsidR="00D16903" w:rsidRPr="0059512A" w:rsidRDefault="00D16903" w:rsidP="005B3BE9">
            <w:pPr>
              <w:widowControl/>
              <w:tabs>
                <w:tab w:val="decimal" w:pos="1090"/>
              </w:tabs>
              <w:spacing w:before="60" w:after="60"/>
              <w:rPr>
                <w:rFonts w:eastAsiaTheme="minorHAnsi"/>
                <w:color w:val="000000"/>
                <w:sz w:val="26"/>
                <w:szCs w:val="26"/>
              </w:rPr>
            </w:pPr>
            <w:r w:rsidRPr="0059512A">
              <w:rPr>
                <w:rFonts w:eastAsiaTheme="minorHAnsi"/>
                <w:color w:val="000000"/>
                <w:sz w:val="26"/>
                <w:szCs w:val="26"/>
              </w:rPr>
              <w:t>17,615</w:t>
            </w:r>
          </w:p>
        </w:tc>
        <w:tc>
          <w:tcPr>
            <w:tcW w:w="1941" w:type="dxa"/>
            <w:tcBorders>
              <w:top w:val="nil"/>
              <w:left w:val="nil"/>
              <w:bottom w:val="nil"/>
              <w:right w:val="nil"/>
            </w:tcBorders>
            <w:vAlign w:val="bottom"/>
          </w:tcPr>
          <w:p w14:paraId="6AF4BCF0" w14:textId="77777777" w:rsidR="00D16903" w:rsidRPr="0059512A" w:rsidRDefault="00D16903" w:rsidP="005B3BE9">
            <w:pPr>
              <w:widowControl/>
              <w:spacing w:before="60" w:after="60"/>
              <w:rPr>
                <w:rFonts w:eastAsiaTheme="minorHAnsi"/>
                <w:sz w:val="26"/>
                <w:szCs w:val="26"/>
              </w:rPr>
            </w:pPr>
            <w:r w:rsidRPr="0059512A">
              <w:rPr>
                <w:rFonts w:eastAsiaTheme="minorHAnsi"/>
                <w:sz w:val="26"/>
                <w:szCs w:val="26"/>
              </w:rPr>
              <w:t>22,001</w:t>
            </w:r>
          </w:p>
        </w:tc>
        <w:tc>
          <w:tcPr>
            <w:tcW w:w="1486" w:type="dxa"/>
            <w:tcBorders>
              <w:top w:val="nil"/>
              <w:left w:val="nil"/>
              <w:bottom w:val="nil"/>
              <w:right w:val="nil"/>
            </w:tcBorders>
            <w:vAlign w:val="bottom"/>
          </w:tcPr>
          <w:p w14:paraId="4A0133F4" w14:textId="77777777" w:rsidR="00D16903" w:rsidRPr="0059512A" w:rsidRDefault="00D16903" w:rsidP="005B3BE9">
            <w:pPr>
              <w:widowControl/>
              <w:tabs>
                <w:tab w:val="decimal" w:pos="640"/>
              </w:tabs>
              <w:spacing w:before="60" w:after="60"/>
              <w:rPr>
                <w:rFonts w:eastAsiaTheme="minorHAnsi"/>
                <w:sz w:val="26"/>
                <w:szCs w:val="26"/>
              </w:rPr>
            </w:pPr>
            <w:r w:rsidRPr="0059512A">
              <w:rPr>
                <w:rFonts w:eastAsiaTheme="minorHAnsi"/>
                <w:sz w:val="26"/>
                <w:szCs w:val="26"/>
              </w:rPr>
              <w:t>4,386</w:t>
            </w:r>
          </w:p>
        </w:tc>
        <w:tc>
          <w:tcPr>
            <w:tcW w:w="1484" w:type="dxa"/>
            <w:tcBorders>
              <w:top w:val="nil"/>
              <w:left w:val="nil"/>
              <w:bottom w:val="nil"/>
              <w:right w:val="nil"/>
            </w:tcBorders>
            <w:vAlign w:val="bottom"/>
          </w:tcPr>
          <w:p w14:paraId="2B32FFB8" w14:textId="77777777" w:rsidR="00D16903" w:rsidRPr="0059512A" w:rsidRDefault="00D16903" w:rsidP="005B3BE9">
            <w:pPr>
              <w:widowControl/>
              <w:tabs>
                <w:tab w:val="decimal" w:pos="534"/>
              </w:tabs>
              <w:spacing w:before="60" w:after="60"/>
              <w:rPr>
                <w:rFonts w:eastAsiaTheme="minorHAnsi"/>
                <w:sz w:val="26"/>
                <w:szCs w:val="26"/>
              </w:rPr>
            </w:pPr>
            <w:r w:rsidRPr="0059512A">
              <w:rPr>
                <w:rFonts w:eastAsiaTheme="minorHAnsi"/>
                <w:sz w:val="26"/>
                <w:szCs w:val="26"/>
              </w:rPr>
              <w:t>24.9</w:t>
            </w:r>
          </w:p>
        </w:tc>
      </w:tr>
      <w:tr w:rsidR="00D16903" w:rsidRPr="0059512A" w14:paraId="43C548E3" w14:textId="77777777" w:rsidTr="00D16903">
        <w:trPr>
          <w:trHeight w:val="18"/>
          <w:jc w:val="center"/>
        </w:trPr>
        <w:tc>
          <w:tcPr>
            <w:tcW w:w="1794" w:type="dxa"/>
            <w:tcBorders>
              <w:top w:val="nil"/>
              <w:left w:val="nil"/>
              <w:bottom w:val="single" w:sz="4" w:space="0" w:color="auto"/>
              <w:right w:val="nil"/>
            </w:tcBorders>
          </w:tcPr>
          <w:p w14:paraId="47238CAD" w14:textId="0411FDDB" w:rsidR="00D16903" w:rsidRPr="0059512A" w:rsidRDefault="00D16903" w:rsidP="005B3BE9">
            <w:pPr>
              <w:widowControl/>
              <w:tabs>
                <w:tab w:val="left" w:pos="302"/>
              </w:tabs>
              <w:spacing w:before="60" w:after="60"/>
              <w:rPr>
                <w:rFonts w:eastAsiaTheme="minorHAnsi"/>
                <w:sz w:val="26"/>
                <w:szCs w:val="26"/>
                <w:vertAlign w:val="superscript"/>
              </w:rPr>
            </w:pPr>
            <w:r w:rsidRPr="0059512A">
              <w:rPr>
                <w:rFonts w:eastAsiaTheme="minorHAnsi"/>
                <w:sz w:val="26"/>
                <w:szCs w:val="26"/>
              </w:rPr>
              <w:t>OL</w:t>
            </w:r>
            <w:r w:rsidRPr="0059512A">
              <w:rPr>
                <w:rStyle w:val="FootnoteReference"/>
                <w:rFonts w:eastAsiaTheme="minorHAnsi"/>
                <w:sz w:val="26"/>
                <w:szCs w:val="26"/>
              </w:rPr>
              <w:footnoteReference w:id="23"/>
            </w:r>
          </w:p>
        </w:tc>
        <w:tc>
          <w:tcPr>
            <w:tcW w:w="1755" w:type="dxa"/>
            <w:tcBorders>
              <w:top w:val="nil"/>
              <w:left w:val="nil"/>
              <w:bottom w:val="single" w:sz="4" w:space="0" w:color="auto"/>
              <w:right w:val="nil"/>
            </w:tcBorders>
          </w:tcPr>
          <w:p w14:paraId="39D89187" w14:textId="77777777" w:rsidR="00D16903" w:rsidRPr="0059512A" w:rsidRDefault="00D16903" w:rsidP="005B3BE9">
            <w:pPr>
              <w:widowControl/>
              <w:tabs>
                <w:tab w:val="decimal" w:pos="1090"/>
              </w:tabs>
              <w:spacing w:before="60" w:after="60"/>
              <w:rPr>
                <w:rFonts w:eastAsiaTheme="minorHAnsi"/>
                <w:sz w:val="26"/>
                <w:szCs w:val="26"/>
              </w:rPr>
            </w:pPr>
            <w:r w:rsidRPr="0059512A">
              <w:rPr>
                <w:rFonts w:eastAsiaTheme="minorHAnsi"/>
                <w:sz w:val="26"/>
                <w:szCs w:val="26"/>
              </w:rPr>
              <w:t>73,307</w:t>
            </w:r>
          </w:p>
        </w:tc>
        <w:tc>
          <w:tcPr>
            <w:tcW w:w="1941" w:type="dxa"/>
            <w:tcBorders>
              <w:top w:val="nil"/>
              <w:left w:val="nil"/>
              <w:bottom w:val="single" w:sz="4" w:space="0" w:color="auto"/>
              <w:right w:val="nil"/>
            </w:tcBorders>
            <w:vAlign w:val="bottom"/>
          </w:tcPr>
          <w:p w14:paraId="4453C93A" w14:textId="77777777" w:rsidR="00D16903" w:rsidRPr="0059512A" w:rsidRDefault="00D16903" w:rsidP="005B3BE9">
            <w:pPr>
              <w:widowControl/>
              <w:spacing w:before="60" w:after="60"/>
              <w:rPr>
                <w:rFonts w:eastAsiaTheme="minorHAnsi"/>
                <w:sz w:val="26"/>
                <w:szCs w:val="26"/>
              </w:rPr>
            </w:pPr>
            <w:r w:rsidRPr="0059512A">
              <w:rPr>
                <w:rFonts w:eastAsiaTheme="minorHAnsi"/>
                <w:sz w:val="26"/>
                <w:szCs w:val="26"/>
              </w:rPr>
              <w:t>86,532</w:t>
            </w:r>
          </w:p>
        </w:tc>
        <w:tc>
          <w:tcPr>
            <w:tcW w:w="1486" w:type="dxa"/>
            <w:tcBorders>
              <w:top w:val="nil"/>
              <w:left w:val="nil"/>
              <w:bottom w:val="single" w:sz="4" w:space="0" w:color="auto"/>
              <w:right w:val="nil"/>
            </w:tcBorders>
            <w:vAlign w:val="bottom"/>
          </w:tcPr>
          <w:p w14:paraId="5D5B8019" w14:textId="77777777" w:rsidR="00D16903" w:rsidRPr="0059512A" w:rsidRDefault="00D16903" w:rsidP="005B3BE9">
            <w:pPr>
              <w:widowControl/>
              <w:tabs>
                <w:tab w:val="decimal" w:pos="640"/>
              </w:tabs>
              <w:spacing w:before="60" w:after="60"/>
              <w:rPr>
                <w:rFonts w:eastAsiaTheme="minorHAnsi"/>
                <w:sz w:val="26"/>
                <w:szCs w:val="26"/>
              </w:rPr>
            </w:pPr>
            <w:r w:rsidRPr="0059512A">
              <w:rPr>
                <w:rFonts w:eastAsiaTheme="minorHAnsi"/>
                <w:sz w:val="26"/>
                <w:szCs w:val="26"/>
              </w:rPr>
              <w:t>11,225</w:t>
            </w:r>
          </w:p>
        </w:tc>
        <w:tc>
          <w:tcPr>
            <w:tcW w:w="1484" w:type="dxa"/>
            <w:tcBorders>
              <w:top w:val="nil"/>
              <w:left w:val="nil"/>
              <w:bottom w:val="single" w:sz="4" w:space="0" w:color="auto"/>
              <w:right w:val="nil"/>
            </w:tcBorders>
            <w:vAlign w:val="bottom"/>
          </w:tcPr>
          <w:p w14:paraId="1A4E2A9B" w14:textId="77777777" w:rsidR="00D16903" w:rsidRPr="0059512A" w:rsidRDefault="00D16903" w:rsidP="005B3BE9">
            <w:pPr>
              <w:widowControl/>
              <w:tabs>
                <w:tab w:val="decimal" w:pos="534"/>
              </w:tabs>
              <w:spacing w:before="60" w:after="60"/>
              <w:rPr>
                <w:rFonts w:eastAsiaTheme="minorHAnsi"/>
                <w:sz w:val="26"/>
                <w:szCs w:val="26"/>
              </w:rPr>
            </w:pPr>
            <w:r w:rsidRPr="0059512A">
              <w:rPr>
                <w:rFonts w:eastAsiaTheme="minorHAnsi"/>
                <w:sz w:val="26"/>
                <w:szCs w:val="26"/>
              </w:rPr>
              <w:t>14.9</w:t>
            </w:r>
          </w:p>
        </w:tc>
      </w:tr>
      <w:tr w:rsidR="00D16903" w:rsidRPr="0059512A" w14:paraId="48088275" w14:textId="77777777" w:rsidTr="00D16903">
        <w:trPr>
          <w:trHeight w:val="18"/>
          <w:jc w:val="center"/>
        </w:trPr>
        <w:tc>
          <w:tcPr>
            <w:tcW w:w="1794" w:type="dxa"/>
            <w:tcBorders>
              <w:top w:val="single" w:sz="4" w:space="0" w:color="auto"/>
              <w:left w:val="nil"/>
              <w:bottom w:val="single" w:sz="12" w:space="0" w:color="auto"/>
              <w:right w:val="nil"/>
            </w:tcBorders>
          </w:tcPr>
          <w:p w14:paraId="0289F85F" w14:textId="77777777" w:rsidR="00D16903" w:rsidRPr="0059512A" w:rsidRDefault="00D16903" w:rsidP="005B3BE9">
            <w:pPr>
              <w:widowControl/>
              <w:tabs>
                <w:tab w:val="left" w:pos="302"/>
              </w:tabs>
              <w:spacing w:before="60" w:after="60"/>
              <w:rPr>
                <w:rFonts w:eastAsiaTheme="minorHAnsi"/>
                <w:b/>
                <w:sz w:val="26"/>
                <w:szCs w:val="26"/>
              </w:rPr>
            </w:pPr>
            <w:r w:rsidRPr="0059512A">
              <w:rPr>
                <w:rFonts w:eastAsiaTheme="minorHAnsi"/>
                <w:b/>
                <w:sz w:val="26"/>
                <w:szCs w:val="26"/>
              </w:rPr>
              <w:t>Total:</w:t>
            </w:r>
          </w:p>
        </w:tc>
        <w:tc>
          <w:tcPr>
            <w:tcW w:w="1755" w:type="dxa"/>
            <w:tcBorders>
              <w:top w:val="single" w:sz="4" w:space="0" w:color="auto"/>
              <w:left w:val="nil"/>
              <w:bottom w:val="single" w:sz="12" w:space="0" w:color="auto"/>
              <w:right w:val="nil"/>
            </w:tcBorders>
          </w:tcPr>
          <w:p w14:paraId="020A0811" w14:textId="77777777" w:rsidR="00D16903" w:rsidRPr="0059512A" w:rsidRDefault="00D16903" w:rsidP="005B3BE9">
            <w:pPr>
              <w:widowControl/>
              <w:tabs>
                <w:tab w:val="decimal" w:pos="1090"/>
              </w:tabs>
              <w:spacing w:before="60" w:after="60"/>
              <w:rPr>
                <w:rFonts w:eastAsiaTheme="minorHAnsi"/>
                <w:b/>
                <w:sz w:val="26"/>
                <w:szCs w:val="26"/>
              </w:rPr>
            </w:pPr>
            <w:r w:rsidRPr="0059512A">
              <w:rPr>
                <w:rFonts w:eastAsiaTheme="minorHAnsi"/>
                <w:b/>
                <w:sz w:val="26"/>
                <w:szCs w:val="26"/>
              </w:rPr>
              <w:t>$4,791,840</w:t>
            </w:r>
          </w:p>
        </w:tc>
        <w:tc>
          <w:tcPr>
            <w:tcW w:w="1941" w:type="dxa"/>
            <w:tcBorders>
              <w:top w:val="single" w:sz="4" w:space="0" w:color="auto"/>
              <w:left w:val="nil"/>
              <w:bottom w:val="single" w:sz="12" w:space="0" w:color="auto"/>
              <w:right w:val="nil"/>
            </w:tcBorders>
            <w:vAlign w:val="bottom"/>
          </w:tcPr>
          <w:p w14:paraId="55E42674" w14:textId="77777777" w:rsidR="00D16903" w:rsidRPr="0059512A" w:rsidRDefault="00D16903" w:rsidP="005B3BE9">
            <w:pPr>
              <w:widowControl/>
              <w:spacing w:before="60" w:after="60"/>
              <w:rPr>
                <w:rFonts w:eastAsiaTheme="minorHAnsi"/>
                <w:b/>
                <w:sz w:val="26"/>
                <w:szCs w:val="26"/>
              </w:rPr>
            </w:pPr>
            <w:r w:rsidRPr="0059512A">
              <w:rPr>
                <w:rFonts w:eastAsiaTheme="minorHAnsi"/>
                <w:b/>
                <w:sz w:val="26"/>
                <w:szCs w:val="26"/>
              </w:rPr>
              <w:t>$5,584,522</w:t>
            </w:r>
          </w:p>
        </w:tc>
        <w:tc>
          <w:tcPr>
            <w:tcW w:w="1486" w:type="dxa"/>
            <w:tcBorders>
              <w:top w:val="single" w:sz="4" w:space="0" w:color="auto"/>
              <w:left w:val="nil"/>
              <w:bottom w:val="single" w:sz="12" w:space="0" w:color="auto"/>
              <w:right w:val="nil"/>
            </w:tcBorders>
            <w:vAlign w:val="bottom"/>
          </w:tcPr>
          <w:p w14:paraId="2CA41C69" w14:textId="77777777" w:rsidR="00D16903" w:rsidRPr="0059512A" w:rsidRDefault="00D16903" w:rsidP="005B3BE9">
            <w:pPr>
              <w:widowControl/>
              <w:tabs>
                <w:tab w:val="decimal" w:pos="750"/>
              </w:tabs>
              <w:spacing w:before="60" w:after="60"/>
              <w:rPr>
                <w:rFonts w:eastAsiaTheme="minorHAnsi"/>
                <w:b/>
                <w:sz w:val="26"/>
                <w:szCs w:val="26"/>
              </w:rPr>
            </w:pPr>
            <w:r w:rsidRPr="0059512A">
              <w:rPr>
                <w:rFonts w:eastAsiaTheme="minorHAnsi"/>
                <w:b/>
                <w:sz w:val="26"/>
                <w:szCs w:val="26"/>
              </w:rPr>
              <w:t>$792,682</w:t>
            </w:r>
          </w:p>
        </w:tc>
        <w:tc>
          <w:tcPr>
            <w:tcW w:w="1484" w:type="dxa"/>
            <w:tcBorders>
              <w:top w:val="single" w:sz="4" w:space="0" w:color="auto"/>
              <w:left w:val="nil"/>
              <w:bottom w:val="single" w:sz="12" w:space="0" w:color="auto"/>
              <w:right w:val="nil"/>
            </w:tcBorders>
            <w:vAlign w:val="bottom"/>
          </w:tcPr>
          <w:p w14:paraId="2EE2A609" w14:textId="77777777" w:rsidR="00D16903" w:rsidRPr="0059512A" w:rsidRDefault="00D16903" w:rsidP="005B3BE9">
            <w:pPr>
              <w:widowControl/>
              <w:tabs>
                <w:tab w:val="decimal" w:pos="534"/>
              </w:tabs>
              <w:spacing w:before="60" w:after="60"/>
              <w:rPr>
                <w:rFonts w:eastAsiaTheme="minorHAnsi"/>
                <w:b/>
                <w:sz w:val="26"/>
                <w:szCs w:val="26"/>
              </w:rPr>
            </w:pPr>
            <w:r w:rsidRPr="0059512A">
              <w:rPr>
                <w:rFonts w:eastAsiaTheme="minorHAnsi"/>
                <w:b/>
                <w:sz w:val="26"/>
                <w:szCs w:val="26"/>
              </w:rPr>
              <w:t>16.5%</w:t>
            </w:r>
          </w:p>
        </w:tc>
      </w:tr>
    </w:tbl>
    <w:p w14:paraId="42171642" w14:textId="77777777" w:rsidR="005B3BE9" w:rsidRDefault="005B3BE9" w:rsidP="005B3BE9">
      <w:pPr>
        <w:widowControl/>
        <w:spacing w:line="360" w:lineRule="auto"/>
        <w:rPr>
          <w:i/>
          <w:iCs/>
          <w:sz w:val="26"/>
          <w:szCs w:val="26"/>
        </w:rPr>
      </w:pPr>
    </w:p>
    <w:p w14:paraId="3118B408" w14:textId="56E908B6" w:rsidR="000E4FBB" w:rsidRPr="0059512A" w:rsidRDefault="002C5DAD" w:rsidP="005B3BE9">
      <w:pPr>
        <w:widowControl/>
        <w:spacing w:line="360" w:lineRule="auto"/>
        <w:rPr>
          <w:sz w:val="26"/>
          <w:szCs w:val="26"/>
        </w:rPr>
      </w:pPr>
      <w:r w:rsidRPr="0059512A">
        <w:rPr>
          <w:sz w:val="26"/>
          <w:szCs w:val="26"/>
        </w:rPr>
        <w:t xml:space="preserve"> OCA St. 4 at 21.  </w:t>
      </w:r>
    </w:p>
    <w:p w14:paraId="7332FF9A" w14:textId="2237A7D7" w:rsidR="000E4FBB" w:rsidRPr="0059512A" w:rsidRDefault="00111F0F" w:rsidP="0059512A">
      <w:pPr>
        <w:widowControl/>
        <w:spacing w:line="360" w:lineRule="auto"/>
        <w:ind w:firstLine="1440"/>
        <w:rPr>
          <w:sz w:val="26"/>
          <w:szCs w:val="26"/>
        </w:rPr>
      </w:pPr>
      <w:r w:rsidRPr="0059512A">
        <w:rPr>
          <w:sz w:val="26"/>
          <w:szCs w:val="26"/>
        </w:rPr>
        <w:lastRenderedPageBreak/>
        <w:t xml:space="preserve">After considering other </w:t>
      </w:r>
      <w:r w:rsidR="00EB26B8" w:rsidRPr="0059512A">
        <w:rPr>
          <w:sz w:val="26"/>
          <w:szCs w:val="26"/>
        </w:rPr>
        <w:t>Parties</w:t>
      </w:r>
      <w:r w:rsidRPr="0059512A">
        <w:rPr>
          <w:sz w:val="26"/>
          <w:szCs w:val="26"/>
        </w:rPr>
        <w:t xml:space="preserve">’ positions and evaluating the impact that its recommendation would have on the MBL class, the OCA acknowledged that </w:t>
      </w:r>
      <w:r w:rsidR="00A84480" w:rsidRPr="0059512A">
        <w:rPr>
          <w:sz w:val="26"/>
          <w:szCs w:val="26"/>
        </w:rPr>
        <w:t>its proposal</w:t>
      </w:r>
      <w:r w:rsidR="00AC4CF4" w:rsidRPr="0059512A">
        <w:rPr>
          <w:sz w:val="26"/>
          <w:szCs w:val="26"/>
        </w:rPr>
        <w:t xml:space="preserve"> would cause revenue recognition from the MBL class to move slightly away from the cost of service (1.7%), as shown on Table 1-S of OCA Statement No. 4-SR, as follows:</w:t>
      </w:r>
    </w:p>
    <w:p w14:paraId="4A9444F3" w14:textId="77777777" w:rsidR="00AC4CF4" w:rsidRPr="0059512A" w:rsidRDefault="00AC4CF4" w:rsidP="0059512A">
      <w:pPr>
        <w:widowControl/>
        <w:spacing w:line="360" w:lineRule="auto"/>
        <w:ind w:firstLine="1440"/>
        <w:rPr>
          <w:sz w:val="26"/>
          <w:szCs w:val="26"/>
        </w:rPr>
      </w:pPr>
    </w:p>
    <w:tbl>
      <w:tblPr>
        <w:tblStyle w:val="TableGrid1"/>
        <w:tblW w:w="79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160"/>
        <w:gridCol w:w="2600"/>
        <w:gridCol w:w="1540"/>
      </w:tblGrid>
      <w:tr w:rsidR="000E4FBB" w:rsidRPr="00F90103" w14:paraId="31E0B95E" w14:textId="77777777" w:rsidTr="00282FDF">
        <w:trPr>
          <w:trHeight w:val="1335"/>
          <w:jc w:val="center"/>
        </w:trPr>
        <w:tc>
          <w:tcPr>
            <w:tcW w:w="7920" w:type="dxa"/>
            <w:gridSpan w:val="4"/>
            <w:tcBorders>
              <w:top w:val="single" w:sz="8" w:space="0" w:color="auto"/>
              <w:bottom w:val="single" w:sz="4" w:space="0" w:color="auto"/>
            </w:tcBorders>
          </w:tcPr>
          <w:p w14:paraId="273B8818" w14:textId="37B7F18D" w:rsidR="000E4FBB" w:rsidRPr="00F90103" w:rsidRDefault="000E4FBB" w:rsidP="0059512A">
            <w:pPr>
              <w:keepNext/>
              <w:keepLines/>
              <w:widowControl/>
              <w:spacing w:before="80" w:after="80"/>
              <w:jc w:val="center"/>
              <w:rPr>
                <w:sz w:val="26"/>
                <w:szCs w:val="26"/>
                <w:vertAlign w:val="superscript"/>
              </w:rPr>
            </w:pPr>
            <w:r w:rsidRPr="00F90103">
              <w:rPr>
                <w:b/>
                <w:bCs/>
                <w:sz w:val="26"/>
                <w:szCs w:val="26"/>
              </w:rPr>
              <w:t xml:space="preserve">Table 1-S. </w:t>
            </w:r>
            <w:r w:rsidRPr="00F90103">
              <w:rPr>
                <w:b/>
                <w:bCs/>
                <w:sz w:val="26"/>
                <w:szCs w:val="26"/>
              </w:rPr>
              <w:br/>
              <w:t>Citizens’ Electric Company of Lewisburg, PA</w:t>
            </w:r>
            <w:r w:rsidRPr="00F90103">
              <w:rPr>
                <w:b/>
                <w:bCs/>
                <w:sz w:val="26"/>
                <w:szCs w:val="26"/>
              </w:rPr>
              <w:br/>
              <w:t>Percentage of Cost of Service Recovered at</w:t>
            </w:r>
            <w:r w:rsidRPr="00F90103">
              <w:rPr>
                <w:b/>
                <w:bCs/>
                <w:sz w:val="26"/>
                <w:szCs w:val="26"/>
              </w:rPr>
              <w:br/>
              <w:t>Present and OCA Proposed Revenues</w:t>
            </w:r>
            <w:r w:rsidR="00A84480" w:rsidRPr="00F90103">
              <w:rPr>
                <w:rStyle w:val="FootnoteReference"/>
                <w:b/>
                <w:bCs/>
                <w:sz w:val="26"/>
                <w:szCs w:val="26"/>
              </w:rPr>
              <w:footnoteReference w:id="24"/>
            </w:r>
          </w:p>
        </w:tc>
      </w:tr>
      <w:tr w:rsidR="000E4FBB" w:rsidRPr="00F90103" w14:paraId="3E4387D7" w14:textId="77777777" w:rsidTr="00282FDF">
        <w:trPr>
          <w:trHeight w:val="572"/>
          <w:jc w:val="center"/>
        </w:trPr>
        <w:tc>
          <w:tcPr>
            <w:tcW w:w="1620" w:type="dxa"/>
            <w:tcBorders>
              <w:top w:val="single" w:sz="4" w:space="0" w:color="auto"/>
              <w:bottom w:val="single" w:sz="4" w:space="0" w:color="auto"/>
            </w:tcBorders>
            <w:vAlign w:val="bottom"/>
          </w:tcPr>
          <w:p w14:paraId="15340AEA" w14:textId="05224A81" w:rsidR="000E4FBB" w:rsidRPr="00F90103" w:rsidRDefault="000E4FBB" w:rsidP="00282FDF">
            <w:pPr>
              <w:keepNext/>
              <w:keepLines/>
              <w:widowControl/>
              <w:rPr>
                <w:b/>
                <w:bCs/>
                <w:sz w:val="26"/>
                <w:szCs w:val="26"/>
              </w:rPr>
            </w:pPr>
            <w:r w:rsidRPr="00F90103">
              <w:rPr>
                <w:b/>
                <w:bCs/>
                <w:sz w:val="26"/>
                <w:szCs w:val="26"/>
              </w:rPr>
              <w:t>Rate Class</w:t>
            </w:r>
          </w:p>
        </w:tc>
        <w:tc>
          <w:tcPr>
            <w:tcW w:w="2160" w:type="dxa"/>
            <w:tcBorders>
              <w:top w:val="single" w:sz="4" w:space="0" w:color="auto"/>
              <w:bottom w:val="single" w:sz="4" w:space="0" w:color="auto"/>
            </w:tcBorders>
            <w:vAlign w:val="bottom"/>
          </w:tcPr>
          <w:p w14:paraId="08937C97" w14:textId="77777777" w:rsidR="000E4FBB" w:rsidRPr="00F90103" w:rsidRDefault="000E4FBB" w:rsidP="0059512A">
            <w:pPr>
              <w:keepNext/>
              <w:keepLines/>
              <w:widowControl/>
              <w:jc w:val="center"/>
              <w:rPr>
                <w:b/>
                <w:bCs/>
                <w:sz w:val="26"/>
                <w:szCs w:val="26"/>
              </w:rPr>
            </w:pPr>
            <w:r w:rsidRPr="00F90103">
              <w:rPr>
                <w:b/>
                <w:bCs/>
                <w:sz w:val="26"/>
                <w:szCs w:val="26"/>
              </w:rPr>
              <w:t>Present Rates</w:t>
            </w:r>
          </w:p>
        </w:tc>
        <w:tc>
          <w:tcPr>
            <w:tcW w:w="2600" w:type="dxa"/>
            <w:tcBorders>
              <w:top w:val="single" w:sz="4" w:space="0" w:color="auto"/>
              <w:bottom w:val="single" w:sz="4" w:space="0" w:color="auto"/>
            </w:tcBorders>
            <w:vAlign w:val="bottom"/>
          </w:tcPr>
          <w:p w14:paraId="1D1F6E92" w14:textId="77777777" w:rsidR="000E4FBB" w:rsidRPr="00F90103" w:rsidRDefault="000E4FBB" w:rsidP="0059512A">
            <w:pPr>
              <w:keepNext/>
              <w:keepLines/>
              <w:widowControl/>
              <w:jc w:val="center"/>
              <w:rPr>
                <w:b/>
                <w:bCs/>
                <w:sz w:val="26"/>
                <w:szCs w:val="26"/>
              </w:rPr>
            </w:pPr>
            <w:r w:rsidRPr="00F90103">
              <w:rPr>
                <w:b/>
                <w:bCs/>
                <w:sz w:val="26"/>
                <w:szCs w:val="26"/>
              </w:rPr>
              <w:t>OCA Proposed Rates</w:t>
            </w:r>
          </w:p>
        </w:tc>
        <w:tc>
          <w:tcPr>
            <w:tcW w:w="1540" w:type="dxa"/>
            <w:tcBorders>
              <w:top w:val="single" w:sz="4" w:space="0" w:color="auto"/>
              <w:bottom w:val="single" w:sz="4" w:space="0" w:color="auto"/>
            </w:tcBorders>
            <w:vAlign w:val="bottom"/>
          </w:tcPr>
          <w:p w14:paraId="59E195FA" w14:textId="77777777" w:rsidR="000E4FBB" w:rsidRPr="00F90103" w:rsidRDefault="000E4FBB" w:rsidP="0059512A">
            <w:pPr>
              <w:keepNext/>
              <w:keepLines/>
              <w:widowControl/>
              <w:jc w:val="center"/>
              <w:rPr>
                <w:b/>
                <w:bCs/>
                <w:sz w:val="26"/>
                <w:szCs w:val="26"/>
              </w:rPr>
            </w:pPr>
            <w:r w:rsidRPr="00F90103">
              <w:rPr>
                <w:b/>
                <w:bCs/>
                <w:sz w:val="26"/>
                <w:szCs w:val="26"/>
              </w:rPr>
              <w:t xml:space="preserve"> Change</w:t>
            </w:r>
          </w:p>
        </w:tc>
      </w:tr>
      <w:tr w:rsidR="000E4FBB" w:rsidRPr="00F90103" w14:paraId="695FA6C4" w14:textId="77777777" w:rsidTr="00282FDF">
        <w:trPr>
          <w:trHeight w:val="425"/>
          <w:jc w:val="center"/>
        </w:trPr>
        <w:tc>
          <w:tcPr>
            <w:tcW w:w="1620" w:type="dxa"/>
            <w:tcBorders>
              <w:top w:val="single" w:sz="4" w:space="0" w:color="auto"/>
            </w:tcBorders>
          </w:tcPr>
          <w:p w14:paraId="3FBF0BC9" w14:textId="77777777" w:rsidR="000E4FBB" w:rsidRPr="00F90103" w:rsidRDefault="000E4FBB" w:rsidP="0059512A">
            <w:pPr>
              <w:keepNext/>
              <w:keepLines/>
              <w:widowControl/>
              <w:spacing w:before="60" w:after="60"/>
              <w:rPr>
                <w:sz w:val="26"/>
                <w:szCs w:val="26"/>
              </w:rPr>
            </w:pPr>
            <w:r w:rsidRPr="00F90103">
              <w:rPr>
                <w:sz w:val="26"/>
                <w:szCs w:val="26"/>
              </w:rPr>
              <w:t>RS</w:t>
            </w:r>
          </w:p>
        </w:tc>
        <w:tc>
          <w:tcPr>
            <w:tcW w:w="2160" w:type="dxa"/>
            <w:tcBorders>
              <w:top w:val="single" w:sz="4" w:space="0" w:color="auto"/>
            </w:tcBorders>
            <w:vAlign w:val="bottom"/>
          </w:tcPr>
          <w:p w14:paraId="1F33FF34" w14:textId="77777777" w:rsidR="000E4FBB" w:rsidRPr="00F90103" w:rsidRDefault="000E4FBB" w:rsidP="0059512A">
            <w:pPr>
              <w:keepNext/>
              <w:keepLines/>
              <w:widowControl/>
              <w:tabs>
                <w:tab w:val="decimal" w:pos="701"/>
              </w:tabs>
              <w:spacing w:before="60" w:after="60"/>
              <w:rPr>
                <w:sz w:val="26"/>
                <w:szCs w:val="26"/>
              </w:rPr>
            </w:pPr>
            <w:r w:rsidRPr="00F90103">
              <w:rPr>
                <w:color w:val="000000"/>
                <w:sz w:val="26"/>
                <w:szCs w:val="26"/>
              </w:rPr>
              <w:t>84.3%</w:t>
            </w:r>
          </w:p>
        </w:tc>
        <w:tc>
          <w:tcPr>
            <w:tcW w:w="2600" w:type="dxa"/>
            <w:tcBorders>
              <w:top w:val="single" w:sz="4" w:space="0" w:color="auto"/>
            </w:tcBorders>
            <w:vAlign w:val="bottom"/>
          </w:tcPr>
          <w:p w14:paraId="28D237EC" w14:textId="77777777" w:rsidR="000E4FBB" w:rsidRPr="00F90103" w:rsidRDefault="000E4FBB" w:rsidP="0059512A">
            <w:pPr>
              <w:keepNext/>
              <w:keepLines/>
              <w:widowControl/>
              <w:tabs>
                <w:tab w:val="decimal" w:pos="727"/>
              </w:tabs>
              <w:spacing w:before="60" w:after="60"/>
              <w:rPr>
                <w:sz w:val="26"/>
                <w:szCs w:val="26"/>
              </w:rPr>
            </w:pPr>
            <w:r w:rsidRPr="00F90103">
              <w:rPr>
                <w:color w:val="000000"/>
                <w:sz w:val="26"/>
                <w:szCs w:val="26"/>
              </w:rPr>
              <w:t>90.2%</w:t>
            </w:r>
          </w:p>
        </w:tc>
        <w:tc>
          <w:tcPr>
            <w:tcW w:w="1540" w:type="dxa"/>
            <w:tcBorders>
              <w:top w:val="single" w:sz="4" w:space="0" w:color="auto"/>
            </w:tcBorders>
            <w:vAlign w:val="bottom"/>
          </w:tcPr>
          <w:p w14:paraId="23B81DE5" w14:textId="77777777" w:rsidR="000E4FBB" w:rsidRPr="00F90103" w:rsidRDefault="000E4FBB" w:rsidP="0059512A">
            <w:pPr>
              <w:keepNext/>
              <w:keepLines/>
              <w:widowControl/>
              <w:tabs>
                <w:tab w:val="decimal" w:pos="524"/>
              </w:tabs>
              <w:spacing w:before="60" w:after="60"/>
              <w:rPr>
                <w:sz w:val="26"/>
                <w:szCs w:val="26"/>
              </w:rPr>
            </w:pPr>
            <w:r w:rsidRPr="00F90103">
              <w:rPr>
                <w:color w:val="000000"/>
                <w:sz w:val="26"/>
                <w:szCs w:val="26"/>
              </w:rPr>
              <w:t>5.8%</w:t>
            </w:r>
          </w:p>
        </w:tc>
      </w:tr>
      <w:tr w:rsidR="000E4FBB" w:rsidRPr="00F90103" w14:paraId="09EA1DD8" w14:textId="77777777" w:rsidTr="00282FDF">
        <w:trPr>
          <w:trHeight w:val="425"/>
          <w:jc w:val="center"/>
        </w:trPr>
        <w:tc>
          <w:tcPr>
            <w:tcW w:w="1620" w:type="dxa"/>
          </w:tcPr>
          <w:p w14:paraId="158D9F79" w14:textId="77777777" w:rsidR="000E4FBB" w:rsidRPr="00F90103" w:rsidRDefault="000E4FBB" w:rsidP="0059512A">
            <w:pPr>
              <w:keepNext/>
              <w:keepLines/>
              <w:widowControl/>
              <w:spacing w:before="60" w:after="60"/>
              <w:rPr>
                <w:sz w:val="26"/>
                <w:szCs w:val="26"/>
              </w:rPr>
            </w:pPr>
            <w:r w:rsidRPr="00F90103">
              <w:rPr>
                <w:sz w:val="26"/>
                <w:szCs w:val="26"/>
              </w:rPr>
              <w:t>SH</w:t>
            </w:r>
          </w:p>
        </w:tc>
        <w:tc>
          <w:tcPr>
            <w:tcW w:w="2160" w:type="dxa"/>
            <w:vAlign w:val="bottom"/>
          </w:tcPr>
          <w:p w14:paraId="752B9881" w14:textId="77777777" w:rsidR="000E4FBB" w:rsidRPr="00F90103" w:rsidRDefault="000E4FBB" w:rsidP="0059512A">
            <w:pPr>
              <w:keepNext/>
              <w:keepLines/>
              <w:widowControl/>
              <w:tabs>
                <w:tab w:val="decimal" w:pos="701"/>
              </w:tabs>
              <w:spacing w:before="60" w:after="60"/>
              <w:rPr>
                <w:sz w:val="26"/>
                <w:szCs w:val="26"/>
              </w:rPr>
            </w:pPr>
            <w:r w:rsidRPr="00F90103">
              <w:rPr>
                <w:color w:val="000000"/>
                <w:sz w:val="26"/>
                <w:szCs w:val="26"/>
              </w:rPr>
              <w:t>86.3</w:t>
            </w:r>
          </w:p>
        </w:tc>
        <w:tc>
          <w:tcPr>
            <w:tcW w:w="2600" w:type="dxa"/>
            <w:vAlign w:val="bottom"/>
          </w:tcPr>
          <w:p w14:paraId="24868BDE" w14:textId="77777777" w:rsidR="000E4FBB" w:rsidRPr="00F90103" w:rsidRDefault="000E4FBB" w:rsidP="0059512A">
            <w:pPr>
              <w:keepNext/>
              <w:keepLines/>
              <w:widowControl/>
              <w:tabs>
                <w:tab w:val="decimal" w:pos="727"/>
              </w:tabs>
              <w:spacing w:before="60" w:after="60"/>
              <w:rPr>
                <w:sz w:val="26"/>
                <w:szCs w:val="26"/>
              </w:rPr>
            </w:pPr>
            <w:r w:rsidRPr="00F90103">
              <w:rPr>
                <w:color w:val="000000"/>
                <w:sz w:val="26"/>
                <w:szCs w:val="26"/>
              </w:rPr>
              <w:t>90.4</w:t>
            </w:r>
          </w:p>
        </w:tc>
        <w:tc>
          <w:tcPr>
            <w:tcW w:w="1540" w:type="dxa"/>
            <w:vAlign w:val="bottom"/>
          </w:tcPr>
          <w:p w14:paraId="58B098FE" w14:textId="77777777" w:rsidR="000E4FBB" w:rsidRPr="00F90103" w:rsidRDefault="000E4FBB" w:rsidP="0059512A">
            <w:pPr>
              <w:keepNext/>
              <w:keepLines/>
              <w:widowControl/>
              <w:tabs>
                <w:tab w:val="decimal" w:pos="524"/>
              </w:tabs>
              <w:spacing w:before="60" w:after="60"/>
              <w:rPr>
                <w:sz w:val="26"/>
                <w:szCs w:val="26"/>
              </w:rPr>
            </w:pPr>
            <w:r w:rsidRPr="00F90103">
              <w:rPr>
                <w:color w:val="000000"/>
                <w:sz w:val="26"/>
                <w:szCs w:val="26"/>
              </w:rPr>
              <w:t>4.1</w:t>
            </w:r>
          </w:p>
        </w:tc>
      </w:tr>
      <w:tr w:rsidR="000E4FBB" w:rsidRPr="00F90103" w14:paraId="6A1ED00E" w14:textId="77777777" w:rsidTr="00282FDF">
        <w:trPr>
          <w:trHeight w:val="425"/>
          <w:jc w:val="center"/>
        </w:trPr>
        <w:tc>
          <w:tcPr>
            <w:tcW w:w="1620" w:type="dxa"/>
          </w:tcPr>
          <w:p w14:paraId="7587AB93" w14:textId="77777777" w:rsidR="000E4FBB" w:rsidRPr="00F90103" w:rsidRDefault="000E4FBB" w:rsidP="0059512A">
            <w:pPr>
              <w:keepNext/>
              <w:keepLines/>
              <w:widowControl/>
              <w:spacing w:before="60" w:after="60"/>
              <w:rPr>
                <w:sz w:val="26"/>
                <w:szCs w:val="26"/>
              </w:rPr>
            </w:pPr>
            <w:r w:rsidRPr="00F90103">
              <w:rPr>
                <w:sz w:val="26"/>
                <w:szCs w:val="26"/>
              </w:rPr>
              <w:t>GLP-1</w:t>
            </w:r>
          </w:p>
        </w:tc>
        <w:tc>
          <w:tcPr>
            <w:tcW w:w="2160" w:type="dxa"/>
            <w:vAlign w:val="bottom"/>
          </w:tcPr>
          <w:p w14:paraId="70CE2ADF" w14:textId="77777777" w:rsidR="000E4FBB" w:rsidRPr="00F90103" w:rsidRDefault="000E4FBB" w:rsidP="0059512A">
            <w:pPr>
              <w:keepNext/>
              <w:keepLines/>
              <w:widowControl/>
              <w:tabs>
                <w:tab w:val="decimal" w:pos="701"/>
              </w:tabs>
              <w:spacing w:before="60" w:after="60"/>
              <w:rPr>
                <w:sz w:val="26"/>
                <w:szCs w:val="26"/>
              </w:rPr>
            </w:pPr>
            <w:r w:rsidRPr="00F90103">
              <w:rPr>
                <w:color w:val="000000"/>
                <w:sz w:val="26"/>
                <w:szCs w:val="26"/>
              </w:rPr>
              <w:t>113.1</w:t>
            </w:r>
          </w:p>
        </w:tc>
        <w:tc>
          <w:tcPr>
            <w:tcW w:w="2600" w:type="dxa"/>
            <w:vAlign w:val="bottom"/>
          </w:tcPr>
          <w:p w14:paraId="304FB29C" w14:textId="77777777" w:rsidR="000E4FBB" w:rsidRPr="00F90103" w:rsidRDefault="000E4FBB" w:rsidP="0059512A">
            <w:pPr>
              <w:keepNext/>
              <w:keepLines/>
              <w:widowControl/>
              <w:tabs>
                <w:tab w:val="decimal" w:pos="727"/>
              </w:tabs>
              <w:spacing w:before="60" w:after="60"/>
              <w:rPr>
                <w:sz w:val="26"/>
                <w:szCs w:val="26"/>
              </w:rPr>
            </w:pPr>
            <w:r w:rsidRPr="00F90103">
              <w:rPr>
                <w:color w:val="000000"/>
                <w:sz w:val="26"/>
                <w:szCs w:val="26"/>
              </w:rPr>
              <w:t>111.6</w:t>
            </w:r>
          </w:p>
        </w:tc>
        <w:tc>
          <w:tcPr>
            <w:tcW w:w="1540" w:type="dxa"/>
            <w:vAlign w:val="bottom"/>
          </w:tcPr>
          <w:p w14:paraId="7C83DF6A" w14:textId="77777777" w:rsidR="000E4FBB" w:rsidRPr="00F90103" w:rsidRDefault="000E4FBB" w:rsidP="0059512A">
            <w:pPr>
              <w:keepNext/>
              <w:keepLines/>
              <w:widowControl/>
              <w:tabs>
                <w:tab w:val="decimal" w:pos="524"/>
              </w:tabs>
              <w:spacing w:before="60" w:after="60"/>
              <w:rPr>
                <w:sz w:val="26"/>
                <w:szCs w:val="26"/>
              </w:rPr>
            </w:pPr>
            <w:r w:rsidRPr="00F90103">
              <w:rPr>
                <w:color w:val="000000"/>
                <w:sz w:val="26"/>
                <w:szCs w:val="26"/>
              </w:rPr>
              <w:t>(1.5)</w:t>
            </w:r>
          </w:p>
        </w:tc>
      </w:tr>
      <w:tr w:rsidR="000E4FBB" w:rsidRPr="00F90103" w14:paraId="762F4D24" w14:textId="77777777" w:rsidTr="00282FDF">
        <w:trPr>
          <w:trHeight w:val="410"/>
          <w:jc w:val="center"/>
        </w:trPr>
        <w:tc>
          <w:tcPr>
            <w:tcW w:w="1620" w:type="dxa"/>
            <w:vAlign w:val="bottom"/>
          </w:tcPr>
          <w:p w14:paraId="3B208E51" w14:textId="77777777" w:rsidR="000E4FBB" w:rsidRPr="00F90103" w:rsidRDefault="000E4FBB" w:rsidP="0059512A">
            <w:pPr>
              <w:keepNext/>
              <w:keepLines/>
              <w:widowControl/>
              <w:spacing w:before="60" w:after="60"/>
              <w:rPr>
                <w:sz w:val="26"/>
                <w:szCs w:val="26"/>
              </w:rPr>
            </w:pPr>
            <w:r w:rsidRPr="00F90103">
              <w:rPr>
                <w:color w:val="000000"/>
                <w:sz w:val="26"/>
                <w:szCs w:val="26"/>
              </w:rPr>
              <w:t>GLP-3</w:t>
            </w:r>
          </w:p>
        </w:tc>
        <w:tc>
          <w:tcPr>
            <w:tcW w:w="2160" w:type="dxa"/>
            <w:vAlign w:val="bottom"/>
          </w:tcPr>
          <w:p w14:paraId="6B007C1C" w14:textId="77777777" w:rsidR="000E4FBB" w:rsidRPr="00F90103" w:rsidRDefault="000E4FBB" w:rsidP="0059512A">
            <w:pPr>
              <w:keepNext/>
              <w:keepLines/>
              <w:widowControl/>
              <w:tabs>
                <w:tab w:val="decimal" w:pos="701"/>
              </w:tabs>
              <w:spacing w:before="60" w:after="60"/>
              <w:rPr>
                <w:sz w:val="26"/>
                <w:szCs w:val="26"/>
              </w:rPr>
            </w:pPr>
            <w:r w:rsidRPr="00F90103">
              <w:rPr>
                <w:color w:val="000000"/>
                <w:sz w:val="26"/>
                <w:szCs w:val="26"/>
              </w:rPr>
              <w:t>158.5</w:t>
            </w:r>
          </w:p>
        </w:tc>
        <w:tc>
          <w:tcPr>
            <w:tcW w:w="2600" w:type="dxa"/>
            <w:vAlign w:val="bottom"/>
          </w:tcPr>
          <w:p w14:paraId="0CA63157" w14:textId="77777777" w:rsidR="000E4FBB" w:rsidRPr="00F90103" w:rsidRDefault="000E4FBB" w:rsidP="0059512A">
            <w:pPr>
              <w:keepNext/>
              <w:keepLines/>
              <w:widowControl/>
              <w:tabs>
                <w:tab w:val="decimal" w:pos="727"/>
              </w:tabs>
              <w:spacing w:before="60" w:after="60"/>
              <w:rPr>
                <w:sz w:val="26"/>
                <w:szCs w:val="26"/>
              </w:rPr>
            </w:pPr>
            <w:r w:rsidRPr="00F90103">
              <w:rPr>
                <w:color w:val="000000"/>
                <w:sz w:val="26"/>
                <w:szCs w:val="26"/>
              </w:rPr>
              <w:t>135.3</w:t>
            </w:r>
          </w:p>
        </w:tc>
        <w:tc>
          <w:tcPr>
            <w:tcW w:w="1540" w:type="dxa"/>
            <w:vAlign w:val="bottom"/>
          </w:tcPr>
          <w:p w14:paraId="5EBF911F" w14:textId="77777777" w:rsidR="000E4FBB" w:rsidRPr="00F90103" w:rsidRDefault="000E4FBB" w:rsidP="0059512A">
            <w:pPr>
              <w:keepNext/>
              <w:keepLines/>
              <w:widowControl/>
              <w:tabs>
                <w:tab w:val="decimal" w:pos="524"/>
              </w:tabs>
              <w:spacing w:before="60" w:after="60"/>
              <w:rPr>
                <w:sz w:val="26"/>
                <w:szCs w:val="26"/>
              </w:rPr>
            </w:pPr>
            <w:r w:rsidRPr="00F90103">
              <w:rPr>
                <w:color w:val="000000"/>
                <w:sz w:val="26"/>
                <w:szCs w:val="26"/>
              </w:rPr>
              <w:t>(23.2)</w:t>
            </w:r>
          </w:p>
        </w:tc>
      </w:tr>
      <w:tr w:rsidR="000E4FBB" w:rsidRPr="00F90103" w14:paraId="3A8C7305" w14:textId="77777777" w:rsidTr="00282FDF">
        <w:trPr>
          <w:trHeight w:val="425"/>
          <w:jc w:val="center"/>
        </w:trPr>
        <w:tc>
          <w:tcPr>
            <w:tcW w:w="1620" w:type="dxa"/>
            <w:vAlign w:val="bottom"/>
          </w:tcPr>
          <w:p w14:paraId="0FAF5A16" w14:textId="77777777" w:rsidR="000E4FBB" w:rsidRPr="00F90103" w:rsidRDefault="000E4FBB" w:rsidP="0059512A">
            <w:pPr>
              <w:keepNext/>
              <w:keepLines/>
              <w:widowControl/>
              <w:spacing w:before="60" w:after="60"/>
              <w:rPr>
                <w:sz w:val="26"/>
                <w:szCs w:val="26"/>
              </w:rPr>
            </w:pPr>
            <w:r w:rsidRPr="00F90103">
              <w:rPr>
                <w:color w:val="000000"/>
                <w:sz w:val="26"/>
                <w:szCs w:val="26"/>
              </w:rPr>
              <w:t>MBL</w:t>
            </w:r>
          </w:p>
        </w:tc>
        <w:tc>
          <w:tcPr>
            <w:tcW w:w="2160" w:type="dxa"/>
            <w:vAlign w:val="bottom"/>
          </w:tcPr>
          <w:p w14:paraId="551FC925" w14:textId="77777777" w:rsidR="000E4FBB" w:rsidRPr="00F90103" w:rsidRDefault="000E4FBB" w:rsidP="0059512A">
            <w:pPr>
              <w:keepNext/>
              <w:keepLines/>
              <w:widowControl/>
              <w:tabs>
                <w:tab w:val="decimal" w:pos="701"/>
              </w:tabs>
              <w:spacing w:before="60" w:after="60"/>
              <w:rPr>
                <w:sz w:val="26"/>
                <w:szCs w:val="26"/>
              </w:rPr>
            </w:pPr>
            <w:r w:rsidRPr="00F90103">
              <w:rPr>
                <w:color w:val="000000"/>
                <w:sz w:val="26"/>
                <w:szCs w:val="26"/>
              </w:rPr>
              <w:t>32.5</w:t>
            </w:r>
          </w:p>
        </w:tc>
        <w:tc>
          <w:tcPr>
            <w:tcW w:w="2600" w:type="dxa"/>
            <w:vAlign w:val="bottom"/>
          </w:tcPr>
          <w:p w14:paraId="3F747166" w14:textId="77777777" w:rsidR="000E4FBB" w:rsidRPr="00F90103" w:rsidRDefault="000E4FBB" w:rsidP="0059512A">
            <w:pPr>
              <w:keepNext/>
              <w:keepLines/>
              <w:widowControl/>
              <w:tabs>
                <w:tab w:val="decimal" w:pos="727"/>
              </w:tabs>
              <w:spacing w:before="60" w:after="60"/>
              <w:rPr>
                <w:sz w:val="26"/>
                <w:szCs w:val="26"/>
              </w:rPr>
            </w:pPr>
            <w:r w:rsidRPr="00F90103">
              <w:rPr>
                <w:color w:val="000000"/>
                <w:sz w:val="26"/>
                <w:szCs w:val="26"/>
              </w:rPr>
              <w:t>30.8</w:t>
            </w:r>
          </w:p>
        </w:tc>
        <w:tc>
          <w:tcPr>
            <w:tcW w:w="1540" w:type="dxa"/>
            <w:vAlign w:val="bottom"/>
          </w:tcPr>
          <w:p w14:paraId="712F318A" w14:textId="77777777" w:rsidR="000E4FBB" w:rsidRPr="00F90103" w:rsidRDefault="000E4FBB" w:rsidP="0059512A">
            <w:pPr>
              <w:keepNext/>
              <w:keepLines/>
              <w:widowControl/>
              <w:tabs>
                <w:tab w:val="decimal" w:pos="524"/>
              </w:tabs>
              <w:spacing w:before="60" w:after="60"/>
              <w:rPr>
                <w:sz w:val="26"/>
                <w:szCs w:val="26"/>
              </w:rPr>
            </w:pPr>
            <w:r w:rsidRPr="00F90103">
              <w:rPr>
                <w:color w:val="000000"/>
                <w:sz w:val="26"/>
                <w:szCs w:val="26"/>
              </w:rPr>
              <w:t>(1.7)</w:t>
            </w:r>
          </w:p>
        </w:tc>
      </w:tr>
      <w:tr w:rsidR="000E4FBB" w:rsidRPr="00F90103" w14:paraId="021A4903" w14:textId="77777777" w:rsidTr="00282FDF">
        <w:trPr>
          <w:trHeight w:val="425"/>
          <w:jc w:val="center"/>
        </w:trPr>
        <w:tc>
          <w:tcPr>
            <w:tcW w:w="1620" w:type="dxa"/>
            <w:tcBorders>
              <w:bottom w:val="single" w:sz="4" w:space="0" w:color="auto"/>
            </w:tcBorders>
            <w:vAlign w:val="bottom"/>
          </w:tcPr>
          <w:p w14:paraId="39255245" w14:textId="77777777" w:rsidR="000E4FBB" w:rsidRPr="00F90103" w:rsidRDefault="000E4FBB" w:rsidP="0059512A">
            <w:pPr>
              <w:keepNext/>
              <w:keepLines/>
              <w:widowControl/>
              <w:spacing w:before="60" w:after="60"/>
              <w:rPr>
                <w:sz w:val="26"/>
                <w:szCs w:val="26"/>
              </w:rPr>
            </w:pPr>
            <w:r w:rsidRPr="00F90103">
              <w:rPr>
                <w:color w:val="000000"/>
                <w:sz w:val="26"/>
                <w:szCs w:val="26"/>
              </w:rPr>
              <w:t>OL</w:t>
            </w:r>
          </w:p>
        </w:tc>
        <w:tc>
          <w:tcPr>
            <w:tcW w:w="2160" w:type="dxa"/>
            <w:tcBorders>
              <w:bottom w:val="single" w:sz="4" w:space="0" w:color="auto"/>
            </w:tcBorders>
            <w:vAlign w:val="bottom"/>
          </w:tcPr>
          <w:p w14:paraId="67D1F788" w14:textId="77777777" w:rsidR="000E4FBB" w:rsidRPr="00F90103" w:rsidRDefault="000E4FBB" w:rsidP="0059512A">
            <w:pPr>
              <w:keepNext/>
              <w:keepLines/>
              <w:widowControl/>
              <w:tabs>
                <w:tab w:val="decimal" w:pos="701"/>
              </w:tabs>
              <w:spacing w:before="60" w:after="60"/>
              <w:rPr>
                <w:sz w:val="26"/>
                <w:szCs w:val="26"/>
              </w:rPr>
            </w:pPr>
            <w:r w:rsidRPr="00F90103">
              <w:rPr>
                <w:color w:val="000000"/>
                <w:sz w:val="26"/>
                <w:szCs w:val="26"/>
              </w:rPr>
              <w:t>128.6</w:t>
            </w:r>
          </w:p>
        </w:tc>
        <w:tc>
          <w:tcPr>
            <w:tcW w:w="2600" w:type="dxa"/>
            <w:tcBorders>
              <w:bottom w:val="single" w:sz="4" w:space="0" w:color="auto"/>
            </w:tcBorders>
            <w:vAlign w:val="bottom"/>
          </w:tcPr>
          <w:p w14:paraId="7D120DC5" w14:textId="77777777" w:rsidR="000E4FBB" w:rsidRPr="00F90103" w:rsidRDefault="000E4FBB" w:rsidP="0059512A">
            <w:pPr>
              <w:keepNext/>
              <w:keepLines/>
              <w:widowControl/>
              <w:tabs>
                <w:tab w:val="decimal" w:pos="727"/>
              </w:tabs>
              <w:spacing w:before="60" w:after="60"/>
              <w:rPr>
                <w:sz w:val="26"/>
                <w:szCs w:val="26"/>
              </w:rPr>
            </w:pPr>
            <w:r w:rsidRPr="00F90103">
              <w:rPr>
                <w:color w:val="000000"/>
                <w:sz w:val="26"/>
                <w:szCs w:val="26"/>
              </w:rPr>
              <w:t>114.0</w:t>
            </w:r>
          </w:p>
        </w:tc>
        <w:tc>
          <w:tcPr>
            <w:tcW w:w="1540" w:type="dxa"/>
            <w:tcBorders>
              <w:bottom w:val="single" w:sz="4" w:space="0" w:color="auto"/>
            </w:tcBorders>
            <w:vAlign w:val="bottom"/>
          </w:tcPr>
          <w:p w14:paraId="38A737F3" w14:textId="77777777" w:rsidR="000E4FBB" w:rsidRPr="00F90103" w:rsidRDefault="000E4FBB" w:rsidP="0059512A">
            <w:pPr>
              <w:keepNext/>
              <w:keepLines/>
              <w:widowControl/>
              <w:tabs>
                <w:tab w:val="decimal" w:pos="524"/>
              </w:tabs>
              <w:spacing w:before="60" w:after="60"/>
              <w:rPr>
                <w:sz w:val="26"/>
                <w:szCs w:val="26"/>
              </w:rPr>
            </w:pPr>
            <w:r w:rsidRPr="00F90103">
              <w:rPr>
                <w:color w:val="000000"/>
                <w:sz w:val="26"/>
                <w:szCs w:val="26"/>
              </w:rPr>
              <w:t>(14.6)</w:t>
            </w:r>
          </w:p>
        </w:tc>
      </w:tr>
      <w:tr w:rsidR="000E4FBB" w:rsidRPr="00F90103" w14:paraId="2D91E7DE" w14:textId="77777777" w:rsidTr="00282FDF">
        <w:trPr>
          <w:trHeight w:val="425"/>
          <w:jc w:val="center"/>
        </w:trPr>
        <w:tc>
          <w:tcPr>
            <w:tcW w:w="1620" w:type="dxa"/>
            <w:tcBorders>
              <w:top w:val="single" w:sz="4" w:space="0" w:color="auto"/>
              <w:bottom w:val="single" w:sz="8" w:space="0" w:color="auto"/>
            </w:tcBorders>
            <w:vAlign w:val="bottom"/>
          </w:tcPr>
          <w:p w14:paraId="456FA280" w14:textId="77777777" w:rsidR="000E4FBB" w:rsidRPr="00F90103" w:rsidRDefault="000E4FBB" w:rsidP="0059512A">
            <w:pPr>
              <w:keepNext/>
              <w:keepLines/>
              <w:widowControl/>
              <w:spacing w:before="60" w:after="60"/>
              <w:rPr>
                <w:b/>
                <w:bCs/>
                <w:sz w:val="26"/>
                <w:szCs w:val="26"/>
              </w:rPr>
            </w:pPr>
            <w:r w:rsidRPr="00F90103">
              <w:rPr>
                <w:b/>
                <w:bCs/>
                <w:color w:val="000000"/>
                <w:sz w:val="26"/>
                <w:szCs w:val="26"/>
              </w:rPr>
              <w:t>TOTAL:</w:t>
            </w:r>
          </w:p>
        </w:tc>
        <w:tc>
          <w:tcPr>
            <w:tcW w:w="2160" w:type="dxa"/>
            <w:tcBorders>
              <w:top w:val="single" w:sz="4" w:space="0" w:color="auto"/>
              <w:bottom w:val="single" w:sz="8" w:space="0" w:color="auto"/>
            </w:tcBorders>
            <w:vAlign w:val="bottom"/>
          </w:tcPr>
          <w:p w14:paraId="66B9DAFF" w14:textId="77777777" w:rsidR="000E4FBB" w:rsidRPr="00F90103" w:rsidRDefault="000E4FBB" w:rsidP="0059512A">
            <w:pPr>
              <w:keepNext/>
              <w:keepLines/>
              <w:widowControl/>
              <w:tabs>
                <w:tab w:val="decimal" w:pos="701"/>
              </w:tabs>
              <w:spacing w:before="60" w:after="60"/>
              <w:rPr>
                <w:b/>
                <w:bCs/>
                <w:sz w:val="26"/>
                <w:szCs w:val="26"/>
              </w:rPr>
            </w:pPr>
            <w:r w:rsidRPr="00F90103">
              <w:rPr>
                <w:b/>
                <w:bCs/>
                <w:color w:val="000000"/>
                <w:sz w:val="26"/>
                <w:szCs w:val="26"/>
              </w:rPr>
              <w:t>100.0%</w:t>
            </w:r>
          </w:p>
        </w:tc>
        <w:tc>
          <w:tcPr>
            <w:tcW w:w="2600" w:type="dxa"/>
            <w:tcBorders>
              <w:top w:val="single" w:sz="4" w:space="0" w:color="auto"/>
              <w:bottom w:val="single" w:sz="8" w:space="0" w:color="auto"/>
            </w:tcBorders>
            <w:vAlign w:val="bottom"/>
          </w:tcPr>
          <w:p w14:paraId="031358F5" w14:textId="77777777" w:rsidR="000E4FBB" w:rsidRPr="00F90103" w:rsidRDefault="000E4FBB" w:rsidP="0059512A">
            <w:pPr>
              <w:keepNext/>
              <w:keepLines/>
              <w:widowControl/>
              <w:tabs>
                <w:tab w:val="decimal" w:pos="727"/>
              </w:tabs>
              <w:spacing w:before="60" w:after="60"/>
              <w:rPr>
                <w:b/>
                <w:bCs/>
                <w:sz w:val="26"/>
                <w:szCs w:val="26"/>
              </w:rPr>
            </w:pPr>
            <w:r w:rsidRPr="00F90103">
              <w:rPr>
                <w:b/>
                <w:bCs/>
                <w:color w:val="000000"/>
                <w:sz w:val="26"/>
                <w:szCs w:val="26"/>
              </w:rPr>
              <w:t>100.0%</w:t>
            </w:r>
          </w:p>
        </w:tc>
        <w:tc>
          <w:tcPr>
            <w:tcW w:w="1540" w:type="dxa"/>
            <w:tcBorders>
              <w:top w:val="single" w:sz="4" w:space="0" w:color="auto"/>
              <w:bottom w:val="single" w:sz="8" w:space="0" w:color="auto"/>
            </w:tcBorders>
            <w:vAlign w:val="bottom"/>
          </w:tcPr>
          <w:p w14:paraId="18486D32" w14:textId="77777777" w:rsidR="000E4FBB" w:rsidRPr="00F90103" w:rsidRDefault="000E4FBB" w:rsidP="0059512A">
            <w:pPr>
              <w:keepNext/>
              <w:keepLines/>
              <w:widowControl/>
              <w:tabs>
                <w:tab w:val="decimal" w:pos="524"/>
              </w:tabs>
              <w:spacing w:before="60" w:after="60"/>
              <w:rPr>
                <w:b/>
                <w:bCs/>
                <w:sz w:val="26"/>
                <w:szCs w:val="26"/>
              </w:rPr>
            </w:pPr>
            <w:r w:rsidRPr="00F90103">
              <w:rPr>
                <w:b/>
                <w:bCs/>
                <w:color w:val="000000"/>
                <w:sz w:val="26"/>
                <w:szCs w:val="26"/>
              </w:rPr>
              <w:t>0.0%</w:t>
            </w:r>
          </w:p>
        </w:tc>
      </w:tr>
    </w:tbl>
    <w:p w14:paraId="25AD8E8D" w14:textId="77777777" w:rsidR="00DA685C" w:rsidRPr="00282FDF" w:rsidRDefault="00DA685C" w:rsidP="0059512A">
      <w:pPr>
        <w:widowControl/>
        <w:spacing w:line="360" w:lineRule="auto"/>
        <w:rPr>
          <w:sz w:val="26"/>
          <w:szCs w:val="26"/>
        </w:rPr>
      </w:pPr>
    </w:p>
    <w:p w14:paraId="7912EF3A" w14:textId="2C695D3F" w:rsidR="00AC4CF4" w:rsidRPr="0059512A" w:rsidRDefault="00AC4CF4" w:rsidP="0059512A">
      <w:pPr>
        <w:widowControl/>
        <w:spacing w:line="360" w:lineRule="auto"/>
        <w:rPr>
          <w:sz w:val="26"/>
          <w:szCs w:val="26"/>
        </w:rPr>
      </w:pPr>
      <w:r w:rsidRPr="0059512A">
        <w:rPr>
          <w:sz w:val="26"/>
          <w:szCs w:val="26"/>
        </w:rPr>
        <w:t xml:space="preserve">OCA St. 4-SR at 13.  </w:t>
      </w:r>
      <w:r w:rsidR="00DA685C" w:rsidRPr="0059512A">
        <w:rPr>
          <w:sz w:val="26"/>
          <w:szCs w:val="26"/>
        </w:rPr>
        <w:t xml:space="preserve">Therefore, </w:t>
      </w:r>
      <w:r w:rsidR="00561146" w:rsidRPr="0059512A">
        <w:rPr>
          <w:sz w:val="26"/>
          <w:szCs w:val="26"/>
        </w:rPr>
        <w:t>the OCA submitted that its recommend</w:t>
      </w:r>
      <w:r w:rsidR="00B43DA9" w:rsidRPr="0059512A">
        <w:rPr>
          <w:sz w:val="26"/>
          <w:szCs w:val="26"/>
        </w:rPr>
        <w:t>ed</w:t>
      </w:r>
      <w:r w:rsidR="00561146" w:rsidRPr="0059512A">
        <w:rPr>
          <w:sz w:val="26"/>
          <w:szCs w:val="26"/>
        </w:rPr>
        <w:t xml:space="preserve"> revenue allocation could be modified to eliminate the MBL class from a share of the rate reduction associated with eliminating the decrease to the GLP-3 rate class, essentially reallocating $245 from rate class MBL to other customer classes.  OCA M.B. at 83 (citing OCA St. 4-SR at 13).  </w:t>
      </w:r>
    </w:p>
    <w:p w14:paraId="6C618070" w14:textId="73893D6C" w:rsidR="00B43DA9" w:rsidRPr="0059512A" w:rsidRDefault="00B43DA9" w:rsidP="0059512A">
      <w:pPr>
        <w:widowControl/>
        <w:spacing w:line="360" w:lineRule="auto"/>
        <w:rPr>
          <w:sz w:val="26"/>
          <w:szCs w:val="26"/>
        </w:rPr>
      </w:pPr>
    </w:p>
    <w:p w14:paraId="7306586F" w14:textId="2CF87511" w:rsidR="00B43DA9" w:rsidRPr="0059512A" w:rsidRDefault="00A3105A" w:rsidP="0059512A">
      <w:pPr>
        <w:widowControl/>
        <w:spacing w:line="360" w:lineRule="auto"/>
        <w:ind w:firstLine="1440"/>
        <w:rPr>
          <w:sz w:val="26"/>
          <w:szCs w:val="26"/>
        </w:rPr>
      </w:pPr>
      <w:r w:rsidRPr="0059512A">
        <w:rPr>
          <w:sz w:val="26"/>
          <w:szCs w:val="26"/>
        </w:rPr>
        <w:lastRenderedPageBreak/>
        <w:t xml:space="preserve">The OSBA likewise recommended that no class receive a decrease, proposing to reallocate the decrease to the GLP-3 class that the Company proposed </w:t>
      </w:r>
      <w:r w:rsidR="00225C83" w:rsidRPr="0059512A">
        <w:rPr>
          <w:sz w:val="26"/>
          <w:szCs w:val="26"/>
        </w:rPr>
        <w:t>among other classes</w:t>
      </w:r>
      <w:r w:rsidR="004D082C" w:rsidRPr="0059512A">
        <w:rPr>
          <w:sz w:val="26"/>
          <w:szCs w:val="26"/>
        </w:rPr>
        <w:t>, while limiting the rate increase for rate class MBL</w:t>
      </w:r>
      <w:r w:rsidR="00225C83" w:rsidRPr="0059512A">
        <w:rPr>
          <w:sz w:val="26"/>
          <w:szCs w:val="26"/>
        </w:rPr>
        <w:t>.</w:t>
      </w:r>
      <w:r w:rsidR="004D082C" w:rsidRPr="0059512A">
        <w:rPr>
          <w:sz w:val="26"/>
          <w:szCs w:val="26"/>
        </w:rPr>
        <w:t xml:space="preserve">  OSBA M.B. at</w:t>
      </w:r>
      <w:r w:rsidR="005B3BE9">
        <w:rPr>
          <w:sz w:val="26"/>
          <w:szCs w:val="26"/>
        </w:rPr>
        <w:t> </w:t>
      </w:r>
      <w:r w:rsidR="004D082C" w:rsidRPr="0059512A">
        <w:rPr>
          <w:sz w:val="26"/>
          <w:szCs w:val="26"/>
        </w:rPr>
        <w:t>8.</w:t>
      </w:r>
      <w:r w:rsidR="00225C83" w:rsidRPr="0059512A">
        <w:rPr>
          <w:sz w:val="26"/>
          <w:szCs w:val="26"/>
        </w:rPr>
        <w:t xml:space="preserve">  </w:t>
      </w:r>
      <w:r w:rsidR="004D082C" w:rsidRPr="0059512A">
        <w:rPr>
          <w:sz w:val="26"/>
          <w:szCs w:val="26"/>
        </w:rPr>
        <w:t xml:space="preserve">The OSBA </w:t>
      </w:r>
      <w:r w:rsidR="0045338E" w:rsidRPr="0059512A">
        <w:rPr>
          <w:sz w:val="26"/>
          <w:szCs w:val="26"/>
        </w:rPr>
        <w:t>proposed to measure toward cost of service by measur</w:t>
      </w:r>
      <w:r w:rsidR="00CC5C96" w:rsidRPr="0059512A">
        <w:rPr>
          <w:sz w:val="26"/>
          <w:szCs w:val="26"/>
        </w:rPr>
        <w:t xml:space="preserve">ing the change in the absolute level of class subsidies at present and proposed rates, rather than changes in relative rates of return.  OSBA M.B. at 6-8.  Under this measure, the OSBA argued that classes GLP-1 and MBL did not move closer to cost of service under the Company’s proposal.  OSBA St. 1 at 6-7.  </w:t>
      </w:r>
      <w:r w:rsidR="004D082C" w:rsidRPr="0059512A">
        <w:rPr>
          <w:sz w:val="26"/>
          <w:szCs w:val="26"/>
        </w:rPr>
        <w:t>The OSBA’s recommendation resulted in the following revenue allocation, as shown in Schedule BK-3(C) of OSBA Statement No. 1:</w:t>
      </w:r>
    </w:p>
    <w:p w14:paraId="6EB98397" w14:textId="5DFA2300" w:rsidR="00CC5C96" w:rsidRPr="0059512A" w:rsidRDefault="00CC5C96" w:rsidP="005B3BE9">
      <w:pPr>
        <w:widowControl/>
        <w:rPr>
          <w:b/>
          <w:bCs/>
          <w:sz w:val="26"/>
          <w:szCs w:val="26"/>
        </w:rPr>
      </w:pPr>
    </w:p>
    <w:tbl>
      <w:tblPr>
        <w:tblStyle w:val="TableGrid"/>
        <w:tblW w:w="0" w:type="auto"/>
        <w:jc w:val="center"/>
        <w:tblLook w:val="04A0" w:firstRow="1" w:lastRow="0" w:firstColumn="1" w:lastColumn="0" w:noHBand="0" w:noVBand="1"/>
      </w:tblPr>
      <w:tblGrid>
        <w:gridCol w:w="2875"/>
        <w:gridCol w:w="2250"/>
        <w:gridCol w:w="2980"/>
      </w:tblGrid>
      <w:tr w:rsidR="00CC5C96" w:rsidRPr="0059512A" w14:paraId="6D66CD6D" w14:textId="77777777" w:rsidTr="00861160">
        <w:trPr>
          <w:trHeight w:val="1610"/>
          <w:jc w:val="center"/>
        </w:trPr>
        <w:tc>
          <w:tcPr>
            <w:tcW w:w="8105" w:type="dxa"/>
            <w:gridSpan w:val="3"/>
          </w:tcPr>
          <w:p w14:paraId="0D361DEF" w14:textId="7C719D92" w:rsidR="0097281D" w:rsidRPr="0059512A" w:rsidRDefault="0097281D" w:rsidP="00812468">
            <w:pPr>
              <w:keepNext/>
              <w:keepLines/>
              <w:widowControl/>
              <w:spacing w:before="120" w:line="236" w:lineRule="exact"/>
              <w:jc w:val="center"/>
              <w:textAlignment w:val="baseline"/>
              <w:rPr>
                <w:rFonts w:eastAsia="Arial"/>
                <w:b/>
                <w:color w:val="000000"/>
                <w:sz w:val="26"/>
                <w:szCs w:val="26"/>
              </w:rPr>
            </w:pPr>
            <w:r w:rsidRPr="0059512A">
              <w:rPr>
                <w:rFonts w:eastAsia="Arial"/>
                <w:b/>
                <w:color w:val="000000"/>
                <w:sz w:val="26"/>
                <w:szCs w:val="26"/>
              </w:rPr>
              <w:lastRenderedPageBreak/>
              <w:t>CITIZENS</w:t>
            </w:r>
            <w:r w:rsidR="00812468">
              <w:rPr>
                <w:rFonts w:eastAsia="Arial"/>
                <w:b/>
                <w:color w:val="000000"/>
                <w:sz w:val="26"/>
                <w:szCs w:val="26"/>
              </w:rPr>
              <w:t>’</w:t>
            </w:r>
            <w:r w:rsidRPr="0059512A">
              <w:rPr>
                <w:rFonts w:eastAsia="Arial"/>
                <w:b/>
                <w:color w:val="000000"/>
                <w:sz w:val="26"/>
                <w:szCs w:val="26"/>
              </w:rPr>
              <w:t xml:space="preserve"> ELECTRIC COMPANY OF LEWISBURG, PA</w:t>
            </w:r>
          </w:p>
          <w:p w14:paraId="0C95E45F" w14:textId="693B3DAA" w:rsidR="00CC5C96" w:rsidRPr="0059512A" w:rsidRDefault="0097281D" w:rsidP="00861160">
            <w:pPr>
              <w:keepNext/>
              <w:keepLines/>
              <w:widowControl/>
              <w:spacing w:before="200" w:line="263" w:lineRule="exact"/>
              <w:jc w:val="center"/>
              <w:textAlignment w:val="baseline"/>
              <w:rPr>
                <w:rFonts w:eastAsia="Arial"/>
                <w:color w:val="000000"/>
                <w:sz w:val="26"/>
                <w:szCs w:val="26"/>
              </w:rPr>
            </w:pPr>
            <w:r w:rsidRPr="0059512A">
              <w:rPr>
                <w:rFonts w:eastAsia="Arial"/>
                <w:color w:val="000000"/>
                <w:sz w:val="26"/>
                <w:szCs w:val="26"/>
              </w:rPr>
              <w:t>OSBA Recommended Allocation of the Company</w:t>
            </w:r>
            <w:r w:rsidR="00812468">
              <w:rPr>
                <w:rFonts w:eastAsia="Arial"/>
                <w:color w:val="000000"/>
                <w:sz w:val="26"/>
                <w:szCs w:val="26"/>
              </w:rPr>
              <w:t>’</w:t>
            </w:r>
            <w:r w:rsidRPr="0059512A">
              <w:rPr>
                <w:rFonts w:eastAsia="Arial"/>
                <w:color w:val="000000"/>
                <w:sz w:val="26"/>
                <w:szCs w:val="26"/>
              </w:rPr>
              <w:t xml:space="preserve">s </w:t>
            </w:r>
            <w:r w:rsidRPr="0059512A">
              <w:rPr>
                <w:rFonts w:eastAsia="Arial"/>
                <w:color w:val="000000"/>
                <w:sz w:val="26"/>
                <w:szCs w:val="26"/>
              </w:rPr>
              <w:br/>
              <w:t xml:space="preserve">Requested Increase in Distribution Revenue </w:t>
            </w:r>
            <w:r w:rsidRPr="0059512A">
              <w:rPr>
                <w:rFonts w:eastAsia="Arial"/>
                <w:color w:val="000000"/>
                <w:sz w:val="26"/>
                <w:szCs w:val="26"/>
              </w:rPr>
              <w:br/>
            </w:r>
            <w:r w:rsidRPr="0059512A">
              <w:rPr>
                <w:rFonts w:eastAsia="Arial"/>
                <w:color w:val="000000"/>
                <w:sz w:val="26"/>
                <w:szCs w:val="26"/>
                <w:u w:val="single"/>
              </w:rPr>
              <w:t>(FPFTY Ending December 31,</w:t>
            </w:r>
            <w:r w:rsidR="00812468">
              <w:rPr>
                <w:rFonts w:eastAsia="Arial"/>
                <w:color w:val="000000"/>
                <w:sz w:val="26"/>
                <w:szCs w:val="26"/>
                <w:u w:val="single"/>
              </w:rPr>
              <w:t xml:space="preserve"> </w:t>
            </w:r>
            <w:r w:rsidRPr="0059512A">
              <w:rPr>
                <w:rFonts w:eastAsia="Arial"/>
                <w:color w:val="000000"/>
                <w:sz w:val="26"/>
                <w:szCs w:val="26"/>
                <w:u w:val="single"/>
              </w:rPr>
              <w:t>2020)</w:t>
            </w:r>
          </w:p>
        </w:tc>
      </w:tr>
      <w:tr w:rsidR="00CC5C96" w:rsidRPr="0059512A" w14:paraId="0BA155BF" w14:textId="77777777" w:rsidTr="0097281D">
        <w:trPr>
          <w:trHeight w:val="4490"/>
          <w:jc w:val="center"/>
        </w:trPr>
        <w:tc>
          <w:tcPr>
            <w:tcW w:w="8105" w:type="dxa"/>
            <w:gridSpan w:val="3"/>
          </w:tcPr>
          <w:tbl>
            <w:tblPr>
              <w:tblW w:w="0" w:type="auto"/>
              <w:jc w:val="center"/>
              <w:tblCellMar>
                <w:left w:w="0" w:type="dxa"/>
                <w:right w:w="0" w:type="dxa"/>
              </w:tblCellMar>
              <w:tblLook w:val="04A0" w:firstRow="1" w:lastRow="0" w:firstColumn="1" w:lastColumn="0" w:noHBand="0" w:noVBand="1"/>
            </w:tblPr>
            <w:tblGrid>
              <w:gridCol w:w="519"/>
              <w:gridCol w:w="2366"/>
              <w:gridCol w:w="1426"/>
              <w:gridCol w:w="1550"/>
              <w:gridCol w:w="1091"/>
            </w:tblGrid>
            <w:tr w:rsidR="0097281D" w:rsidRPr="0059512A" w14:paraId="6276053A" w14:textId="77777777" w:rsidTr="005B3BE9">
              <w:trPr>
                <w:trHeight w:hRule="exact" w:val="936"/>
                <w:jc w:val="center"/>
              </w:trPr>
              <w:tc>
                <w:tcPr>
                  <w:tcW w:w="519" w:type="dxa"/>
                  <w:vMerge w:val="restart"/>
                  <w:tcBorders>
                    <w:top w:val="none" w:sz="0" w:space="0" w:color="020000"/>
                    <w:left w:val="none" w:sz="0" w:space="0" w:color="020000"/>
                    <w:bottom w:val="single" w:sz="0" w:space="0" w:color="000000"/>
                    <w:right w:val="none" w:sz="0" w:space="0" w:color="020000"/>
                  </w:tcBorders>
                  <w:vAlign w:val="bottom"/>
                </w:tcPr>
                <w:p w14:paraId="5EC4E5CC" w14:textId="77777777" w:rsidR="0097281D" w:rsidRPr="0059512A" w:rsidRDefault="0097281D" w:rsidP="00812468">
                  <w:pPr>
                    <w:keepNext/>
                    <w:keepLines/>
                    <w:widowControl/>
                    <w:spacing w:before="956" w:line="219" w:lineRule="exact"/>
                    <w:jc w:val="center"/>
                    <w:textAlignment w:val="baseline"/>
                    <w:rPr>
                      <w:rFonts w:eastAsia="Arial"/>
                      <w:color w:val="000000"/>
                      <w:sz w:val="26"/>
                      <w:szCs w:val="26"/>
                    </w:rPr>
                  </w:pPr>
                  <w:r w:rsidRPr="0059512A">
                    <w:rPr>
                      <w:rFonts w:eastAsia="Arial"/>
                      <w:color w:val="000000"/>
                      <w:sz w:val="26"/>
                      <w:szCs w:val="26"/>
                    </w:rPr>
                    <w:t>Line</w:t>
                  </w:r>
                </w:p>
              </w:tc>
              <w:tc>
                <w:tcPr>
                  <w:tcW w:w="2366" w:type="dxa"/>
                  <w:vMerge w:val="restart"/>
                  <w:tcBorders>
                    <w:top w:val="none" w:sz="0" w:space="0" w:color="020000"/>
                    <w:left w:val="none" w:sz="0" w:space="0" w:color="020000"/>
                    <w:bottom w:val="single" w:sz="0" w:space="0" w:color="000000"/>
                    <w:right w:val="none" w:sz="0" w:space="0" w:color="020000"/>
                  </w:tcBorders>
                  <w:vAlign w:val="bottom"/>
                </w:tcPr>
                <w:p w14:paraId="42B09B26" w14:textId="77777777" w:rsidR="0097281D" w:rsidRPr="0059512A" w:rsidRDefault="0097281D" w:rsidP="00812468">
                  <w:pPr>
                    <w:keepNext/>
                    <w:keepLines/>
                    <w:widowControl/>
                    <w:spacing w:before="956" w:line="219" w:lineRule="exact"/>
                    <w:ind w:left="220"/>
                    <w:jc w:val="center"/>
                    <w:textAlignment w:val="baseline"/>
                    <w:rPr>
                      <w:rFonts w:eastAsia="Arial"/>
                      <w:color w:val="000000"/>
                      <w:sz w:val="26"/>
                      <w:szCs w:val="26"/>
                    </w:rPr>
                  </w:pPr>
                  <w:r w:rsidRPr="0059512A">
                    <w:rPr>
                      <w:rFonts w:eastAsia="Arial"/>
                      <w:color w:val="000000"/>
                      <w:sz w:val="26"/>
                      <w:szCs w:val="26"/>
                    </w:rPr>
                    <w:t>Classification</w:t>
                  </w:r>
                </w:p>
              </w:tc>
              <w:tc>
                <w:tcPr>
                  <w:tcW w:w="1426" w:type="dxa"/>
                  <w:vMerge w:val="restart"/>
                  <w:tcBorders>
                    <w:top w:val="none" w:sz="0" w:space="0" w:color="020000"/>
                    <w:left w:val="none" w:sz="0" w:space="0" w:color="020000"/>
                    <w:bottom w:val="single" w:sz="0" w:space="0" w:color="000000"/>
                  </w:tcBorders>
                  <w:vAlign w:val="bottom"/>
                </w:tcPr>
                <w:p w14:paraId="0C3CEB0E" w14:textId="77777777" w:rsidR="0097281D" w:rsidRPr="0059512A" w:rsidRDefault="0097281D" w:rsidP="00812468">
                  <w:pPr>
                    <w:keepNext/>
                    <w:keepLines/>
                    <w:widowControl/>
                    <w:spacing w:before="383" w:line="264" w:lineRule="exact"/>
                    <w:jc w:val="center"/>
                    <w:textAlignment w:val="baseline"/>
                    <w:rPr>
                      <w:rFonts w:eastAsia="Arial"/>
                      <w:color w:val="000000"/>
                      <w:sz w:val="26"/>
                      <w:szCs w:val="26"/>
                    </w:rPr>
                  </w:pPr>
                  <w:r w:rsidRPr="0059512A">
                    <w:rPr>
                      <w:rFonts w:eastAsia="Arial"/>
                      <w:color w:val="000000"/>
                      <w:sz w:val="26"/>
                      <w:szCs w:val="26"/>
                    </w:rPr>
                    <w:t xml:space="preserve">Present </w:t>
                  </w:r>
                  <w:r w:rsidRPr="0059512A">
                    <w:rPr>
                      <w:rFonts w:eastAsia="Arial"/>
                      <w:color w:val="000000"/>
                      <w:sz w:val="26"/>
                      <w:szCs w:val="26"/>
                    </w:rPr>
                    <w:br/>
                    <w:t xml:space="preserve">Base </w:t>
                  </w:r>
                  <w:r w:rsidRPr="0059512A">
                    <w:rPr>
                      <w:rFonts w:eastAsia="Arial"/>
                      <w:color w:val="000000"/>
                      <w:sz w:val="26"/>
                      <w:szCs w:val="26"/>
                    </w:rPr>
                    <w:br/>
                    <w:t>Revenue</w:t>
                  </w:r>
                </w:p>
              </w:tc>
              <w:tc>
                <w:tcPr>
                  <w:tcW w:w="2641" w:type="dxa"/>
                  <w:gridSpan w:val="2"/>
                  <w:vAlign w:val="bottom"/>
                </w:tcPr>
                <w:p w14:paraId="1812414B" w14:textId="78F659F7" w:rsidR="0097281D" w:rsidRPr="0059512A" w:rsidRDefault="0095501C" w:rsidP="00812468">
                  <w:pPr>
                    <w:keepNext/>
                    <w:keepLines/>
                    <w:widowControl/>
                    <w:spacing w:before="424" w:line="246" w:lineRule="exact"/>
                    <w:jc w:val="center"/>
                    <w:textAlignment w:val="baseline"/>
                    <w:rPr>
                      <w:rFonts w:eastAsia="Arial"/>
                      <w:color w:val="000000"/>
                      <w:sz w:val="26"/>
                      <w:szCs w:val="26"/>
                    </w:rPr>
                  </w:pPr>
                  <w:r w:rsidRPr="0059512A">
                    <w:rPr>
                      <w:rFonts w:eastAsia="Arial"/>
                      <w:color w:val="000000"/>
                      <w:sz w:val="26"/>
                      <w:szCs w:val="26"/>
                    </w:rPr>
                    <w:t xml:space="preserve">   </w:t>
                  </w:r>
                  <w:r w:rsidR="0097281D" w:rsidRPr="0059512A">
                    <w:rPr>
                      <w:rFonts w:eastAsia="Arial"/>
                      <w:color w:val="000000"/>
                      <w:sz w:val="26"/>
                      <w:szCs w:val="26"/>
                    </w:rPr>
                    <w:t>OSBA</w:t>
                  </w:r>
                </w:p>
                <w:p w14:paraId="0F5F9F7C" w14:textId="493ADB48" w:rsidR="0097281D" w:rsidRPr="0059512A" w:rsidRDefault="0097281D" w:rsidP="00812468">
                  <w:pPr>
                    <w:keepNext/>
                    <w:keepLines/>
                    <w:widowControl/>
                    <w:spacing w:after="14" w:line="246" w:lineRule="exact"/>
                    <w:jc w:val="center"/>
                    <w:textAlignment w:val="baseline"/>
                    <w:rPr>
                      <w:rFonts w:eastAsia="Arial"/>
                      <w:color w:val="000000"/>
                      <w:sz w:val="26"/>
                      <w:szCs w:val="26"/>
                    </w:rPr>
                  </w:pPr>
                  <w:r w:rsidRPr="0059512A">
                    <w:rPr>
                      <w:rFonts w:eastAsia="Arial"/>
                      <w:color w:val="000000"/>
                      <w:sz w:val="26"/>
                      <w:szCs w:val="26"/>
                    </w:rPr>
                    <w:t xml:space="preserve">Recommended </w:t>
                  </w:r>
                  <w:r w:rsidR="0095501C" w:rsidRPr="0059512A">
                    <w:rPr>
                      <w:rFonts w:eastAsia="Arial"/>
                      <w:color w:val="000000"/>
                      <w:sz w:val="26"/>
                      <w:szCs w:val="26"/>
                    </w:rPr>
                    <w:t xml:space="preserve">  I</w:t>
                  </w:r>
                  <w:r w:rsidRPr="0059512A">
                    <w:rPr>
                      <w:rFonts w:eastAsia="Arial"/>
                      <w:color w:val="000000"/>
                      <w:sz w:val="26"/>
                      <w:szCs w:val="26"/>
                    </w:rPr>
                    <w:t>ncrease</w:t>
                  </w:r>
                </w:p>
              </w:tc>
            </w:tr>
            <w:tr w:rsidR="0097281D" w:rsidRPr="0059512A" w14:paraId="1485FB5C" w14:textId="77777777" w:rsidTr="005B3BE9">
              <w:trPr>
                <w:trHeight w:hRule="exact" w:val="245"/>
                <w:jc w:val="center"/>
              </w:trPr>
              <w:tc>
                <w:tcPr>
                  <w:tcW w:w="519" w:type="dxa"/>
                  <w:vMerge/>
                  <w:tcBorders>
                    <w:top w:val="single" w:sz="0" w:space="0" w:color="000000"/>
                    <w:left w:val="none" w:sz="0" w:space="0" w:color="020000"/>
                    <w:bottom w:val="single" w:sz="7" w:space="0" w:color="000000"/>
                    <w:right w:val="none" w:sz="0" w:space="0" w:color="020000"/>
                  </w:tcBorders>
                  <w:vAlign w:val="bottom"/>
                </w:tcPr>
                <w:p w14:paraId="64B37037" w14:textId="77777777" w:rsidR="0097281D" w:rsidRPr="0059512A" w:rsidRDefault="0097281D" w:rsidP="00812468">
                  <w:pPr>
                    <w:keepNext/>
                    <w:keepLines/>
                    <w:widowControl/>
                    <w:rPr>
                      <w:sz w:val="26"/>
                      <w:szCs w:val="26"/>
                    </w:rPr>
                  </w:pPr>
                </w:p>
              </w:tc>
              <w:tc>
                <w:tcPr>
                  <w:tcW w:w="2366" w:type="dxa"/>
                  <w:vMerge/>
                  <w:tcBorders>
                    <w:top w:val="single" w:sz="0" w:space="0" w:color="000000"/>
                    <w:left w:val="none" w:sz="0" w:space="0" w:color="020000"/>
                    <w:bottom w:val="single" w:sz="7" w:space="0" w:color="000000"/>
                    <w:right w:val="none" w:sz="0" w:space="0" w:color="020000"/>
                  </w:tcBorders>
                  <w:vAlign w:val="bottom"/>
                </w:tcPr>
                <w:p w14:paraId="52E4C845" w14:textId="77777777" w:rsidR="0097281D" w:rsidRPr="0059512A" w:rsidRDefault="0097281D" w:rsidP="00812468">
                  <w:pPr>
                    <w:keepNext/>
                    <w:keepLines/>
                    <w:widowControl/>
                    <w:rPr>
                      <w:sz w:val="26"/>
                      <w:szCs w:val="26"/>
                    </w:rPr>
                  </w:pPr>
                </w:p>
              </w:tc>
              <w:tc>
                <w:tcPr>
                  <w:tcW w:w="1426" w:type="dxa"/>
                  <w:vMerge/>
                  <w:tcBorders>
                    <w:top w:val="single" w:sz="0" w:space="0" w:color="000000"/>
                    <w:left w:val="none" w:sz="0" w:space="0" w:color="020000"/>
                    <w:bottom w:val="single" w:sz="7" w:space="0" w:color="000000"/>
                    <w:right w:val="none" w:sz="0" w:space="0" w:color="020000"/>
                  </w:tcBorders>
                  <w:vAlign w:val="bottom"/>
                </w:tcPr>
                <w:p w14:paraId="2DE3D430" w14:textId="77777777" w:rsidR="0097281D" w:rsidRPr="0059512A" w:rsidRDefault="0097281D" w:rsidP="00812468">
                  <w:pPr>
                    <w:keepNext/>
                    <w:keepLines/>
                    <w:widowControl/>
                    <w:rPr>
                      <w:sz w:val="26"/>
                      <w:szCs w:val="26"/>
                    </w:rPr>
                  </w:pPr>
                </w:p>
              </w:tc>
              <w:tc>
                <w:tcPr>
                  <w:tcW w:w="1550" w:type="dxa"/>
                  <w:tcBorders>
                    <w:left w:val="none" w:sz="0" w:space="0" w:color="020000"/>
                    <w:bottom w:val="single" w:sz="7" w:space="0" w:color="000000"/>
                    <w:right w:val="none" w:sz="0" w:space="0" w:color="020000"/>
                  </w:tcBorders>
                  <w:vAlign w:val="center"/>
                </w:tcPr>
                <w:p w14:paraId="184FF61A" w14:textId="77777777" w:rsidR="0097281D" w:rsidRPr="0059512A" w:rsidRDefault="0097281D" w:rsidP="00812468">
                  <w:pPr>
                    <w:keepNext/>
                    <w:keepLines/>
                    <w:widowControl/>
                    <w:spacing w:line="222" w:lineRule="exact"/>
                    <w:jc w:val="center"/>
                    <w:textAlignment w:val="baseline"/>
                    <w:rPr>
                      <w:rFonts w:eastAsia="Arial"/>
                      <w:color w:val="000000"/>
                      <w:sz w:val="26"/>
                      <w:szCs w:val="26"/>
                    </w:rPr>
                  </w:pPr>
                  <w:r w:rsidRPr="0059512A">
                    <w:rPr>
                      <w:rFonts w:eastAsia="Arial"/>
                      <w:color w:val="000000"/>
                      <w:sz w:val="26"/>
                      <w:szCs w:val="26"/>
                    </w:rPr>
                    <w:t>Amount</w:t>
                  </w:r>
                </w:p>
              </w:tc>
              <w:tc>
                <w:tcPr>
                  <w:tcW w:w="1091" w:type="dxa"/>
                  <w:tcBorders>
                    <w:left w:val="none" w:sz="0" w:space="0" w:color="020000"/>
                    <w:bottom w:val="single" w:sz="7" w:space="0" w:color="000000"/>
                    <w:right w:val="none" w:sz="0" w:space="0" w:color="020000"/>
                  </w:tcBorders>
                  <w:vAlign w:val="center"/>
                </w:tcPr>
                <w:p w14:paraId="4EA113EB" w14:textId="7E050114" w:rsidR="0097281D" w:rsidRPr="0059512A" w:rsidRDefault="0095501C" w:rsidP="00812468">
                  <w:pPr>
                    <w:keepNext/>
                    <w:keepLines/>
                    <w:widowControl/>
                    <w:spacing w:line="229" w:lineRule="exact"/>
                    <w:jc w:val="center"/>
                    <w:textAlignment w:val="baseline"/>
                    <w:rPr>
                      <w:rFonts w:eastAsia="Arial"/>
                      <w:color w:val="000000"/>
                      <w:sz w:val="26"/>
                      <w:szCs w:val="26"/>
                    </w:rPr>
                  </w:pPr>
                  <w:r w:rsidRPr="0059512A">
                    <w:rPr>
                      <w:rFonts w:eastAsia="Arial"/>
                      <w:color w:val="000000"/>
                      <w:sz w:val="26"/>
                      <w:szCs w:val="26"/>
                    </w:rPr>
                    <w:t xml:space="preserve">   </w:t>
                  </w:r>
                  <w:r w:rsidR="0097281D" w:rsidRPr="0059512A">
                    <w:rPr>
                      <w:rFonts w:eastAsia="Arial"/>
                      <w:color w:val="000000"/>
                      <w:sz w:val="26"/>
                      <w:szCs w:val="26"/>
                    </w:rPr>
                    <w:t>Percent</w:t>
                  </w:r>
                </w:p>
              </w:tc>
            </w:tr>
            <w:tr w:rsidR="0097281D" w:rsidRPr="0059512A" w14:paraId="3755FC36" w14:textId="77777777" w:rsidTr="00812468">
              <w:trPr>
                <w:trHeight w:hRule="exact" w:val="412"/>
                <w:jc w:val="center"/>
              </w:trPr>
              <w:tc>
                <w:tcPr>
                  <w:tcW w:w="519" w:type="dxa"/>
                  <w:tcBorders>
                    <w:top w:val="single" w:sz="7" w:space="0" w:color="000000"/>
                    <w:left w:val="none" w:sz="0" w:space="0" w:color="020000"/>
                    <w:bottom w:val="none" w:sz="0" w:space="0" w:color="020000"/>
                    <w:right w:val="none" w:sz="0" w:space="0" w:color="020000"/>
                  </w:tcBorders>
                </w:tcPr>
                <w:p w14:paraId="7308BBDB" w14:textId="77777777" w:rsidR="0097281D" w:rsidRPr="0059512A" w:rsidRDefault="0097281D" w:rsidP="00812468">
                  <w:pPr>
                    <w:keepNext/>
                    <w:keepLines/>
                    <w:widowControl/>
                    <w:textAlignment w:val="baseline"/>
                    <w:rPr>
                      <w:rFonts w:eastAsia="Arial"/>
                      <w:color w:val="000000"/>
                      <w:sz w:val="26"/>
                      <w:szCs w:val="26"/>
                    </w:rPr>
                  </w:pPr>
                  <w:r w:rsidRPr="0059512A">
                    <w:rPr>
                      <w:rFonts w:eastAsia="Arial"/>
                      <w:color w:val="000000"/>
                      <w:sz w:val="26"/>
                      <w:szCs w:val="26"/>
                    </w:rPr>
                    <w:t xml:space="preserve"> </w:t>
                  </w:r>
                </w:p>
              </w:tc>
              <w:tc>
                <w:tcPr>
                  <w:tcW w:w="2366" w:type="dxa"/>
                  <w:tcBorders>
                    <w:top w:val="single" w:sz="7" w:space="0" w:color="000000"/>
                    <w:left w:val="none" w:sz="0" w:space="0" w:color="020000"/>
                    <w:bottom w:val="none" w:sz="0" w:space="0" w:color="020000"/>
                    <w:right w:val="none" w:sz="0" w:space="0" w:color="020000"/>
                  </w:tcBorders>
                </w:tcPr>
                <w:p w14:paraId="311BACAE" w14:textId="77777777" w:rsidR="0097281D" w:rsidRPr="0059512A" w:rsidRDefault="0097281D" w:rsidP="00812468">
                  <w:pPr>
                    <w:keepNext/>
                    <w:keepLines/>
                    <w:widowControl/>
                    <w:textAlignment w:val="baseline"/>
                    <w:rPr>
                      <w:rFonts w:eastAsia="Arial"/>
                      <w:color w:val="000000"/>
                      <w:sz w:val="26"/>
                      <w:szCs w:val="26"/>
                    </w:rPr>
                  </w:pPr>
                  <w:r w:rsidRPr="0059512A">
                    <w:rPr>
                      <w:rFonts w:eastAsia="Arial"/>
                      <w:color w:val="000000"/>
                      <w:sz w:val="26"/>
                      <w:szCs w:val="26"/>
                    </w:rPr>
                    <w:t xml:space="preserve"> </w:t>
                  </w:r>
                </w:p>
              </w:tc>
              <w:tc>
                <w:tcPr>
                  <w:tcW w:w="1426" w:type="dxa"/>
                  <w:tcBorders>
                    <w:top w:val="single" w:sz="7" w:space="0" w:color="000000"/>
                    <w:left w:val="none" w:sz="0" w:space="0" w:color="020000"/>
                    <w:bottom w:val="none" w:sz="0" w:space="0" w:color="020000"/>
                    <w:right w:val="none" w:sz="0" w:space="0" w:color="020000"/>
                  </w:tcBorders>
                  <w:vAlign w:val="center"/>
                </w:tcPr>
                <w:p w14:paraId="0DBC6D40" w14:textId="77777777" w:rsidR="0097281D" w:rsidRPr="00812468" w:rsidRDefault="0097281D" w:rsidP="00812468">
                  <w:pPr>
                    <w:keepNext/>
                    <w:keepLines/>
                    <w:jc w:val="center"/>
                    <w:rPr>
                      <w:rFonts w:eastAsia="Arial"/>
                      <w:sz w:val="26"/>
                      <w:szCs w:val="26"/>
                    </w:rPr>
                  </w:pPr>
                  <w:r w:rsidRPr="00812468">
                    <w:rPr>
                      <w:rFonts w:eastAsia="Arial"/>
                      <w:sz w:val="26"/>
                      <w:szCs w:val="26"/>
                    </w:rPr>
                    <w:t>1</w:t>
                  </w:r>
                </w:p>
              </w:tc>
              <w:tc>
                <w:tcPr>
                  <w:tcW w:w="1550" w:type="dxa"/>
                  <w:tcBorders>
                    <w:top w:val="single" w:sz="7" w:space="0" w:color="000000"/>
                    <w:left w:val="none" w:sz="0" w:space="0" w:color="020000"/>
                    <w:bottom w:val="none" w:sz="0" w:space="0" w:color="020000"/>
                    <w:right w:val="none" w:sz="0" w:space="0" w:color="020000"/>
                  </w:tcBorders>
                  <w:vAlign w:val="center"/>
                </w:tcPr>
                <w:p w14:paraId="10B7E228" w14:textId="77777777" w:rsidR="0097281D" w:rsidRPr="00812468" w:rsidRDefault="0097281D" w:rsidP="00812468">
                  <w:pPr>
                    <w:keepNext/>
                    <w:keepLines/>
                    <w:jc w:val="center"/>
                    <w:rPr>
                      <w:rFonts w:eastAsia="Arial"/>
                      <w:sz w:val="26"/>
                      <w:szCs w:val="26"/>
                    </w:rPr>
                  </w:pPr>
                  <w:r w:rsidRPr="00812468">
                    <w:rPr>
                      <w:rFonts w:eastAsia="Arial"/>
                      <w:sz w:val="26"/>
                      <w:szCs w:val="26"/>
                    </w:rPr>
                    <w:t>2</w:t>
                  </w:r>
                </w:p>
              </w:tc>
              <w:tc>
                <w:tcPr>
                  <w:tcW w:w="1091" w:type="dxa"/>
                  <w:tcBorders>
                    <w:top w:val="single" w:sz="7" w:space="0" w:color="000000"/>
                    <w:left w:val="none" w:sz="0" w:space="0" w:color="020000"/>
                    <w:bottom w:val="none" w:sz="0" w:space="0" w:color="020000"/>
                    <w:right w:val="none" w:sz="0" w:space="0" w:color="020000"/>
                  </w:tcBorders>
                  <w:vAlign w:val="center"/>
                </w:tcPr>
                <w:p w14:paraId="796BCAF4" w14:textId="16E15DC7" w:rsidR="0097281D" w:rsidRPr="00812468" w:rsidRDefault="0097281D" w:rsidP="00812468">
                  <w:pPr>
                    <w:keepNext/>
                    <w:keepLines/>
                    <w:jc w:val="center"/>
                    <w:rPr>
                      <w:rFonts w:eastAsia="Arial"/>
                      <w:sz w:val="26"/>
                      <w:szCs w:val="26"/>
                    </w:rPr>
                  </w:pPr>
                  <w:r w:rsidRPr="00812468">
                    <w:rPr>
                      <w:rFonts w:eastAsia="Arial"/>
                      <w:sz w:val="26"/>
                      <w:szCs w:val="26"/>
                    </w:rPr>
                    <w:t>3</w:t>
                  </w:r>
                </w:p>
              </w:tc>
            </w:tr>
            <w:tr w:rsidR="0097281D" w:rsidRPr="0059512A" w14:paraId="40C2FCD0" w14:textId="77777777" w:rsidTr="00812468">
              <w:trPr>
                <w:trHeight w:hRule="exact" w:val="533"/>
                <w:jc w:val="center"/>
              </w:trPr>
              <w:tc>
                <w:tcPr>
                  <w:tcW w:w="519" w:type="dxa"/>
                  <w:tcBorders>
                    <w:top w:val="none" w:sz="0" w:space="0" w:color="020000"/>
                    <w:left w:val="none" w:sz="0" w:space="0" w:color="020000"/>
                    <w:bottom w:val="none" w:sz="0" w:space="0" w:color="020000"/>
                    <w:right w:val="none" w:sz="0" w:space="0" w:color="020000"/>
                  </w:tcBorders>
                  <w:vAlign w:val="center"/>
                </w:tcPr>
                <w:p w14:paraId="78B969F9" w14:textId="77777777" w:rsidR="0097281D" w:rsidRPr="00812468" w:rsidRDefault="0097281D" w:rsidP="00812468">
                  <w:pPr>
                    <w:keepNext/>
                    <w:keepLines/>
                    <w:jc w:val="center"/>
                    <w:rPr>
                      <w:rFonts w:eastAsia="Arial"/>
                      <w:sz w:val="26"/>
                      <w:szCs w:val="26"/>
                    </w:rPr>
                  </w:pPr>
                  <w:r w:rsidRPr="00812468">
                    <w:rPr>
                      <w:rFonts w:eastAsia="Arial"/>
                      <w:sz w:val="26"/>
                      <w:szCs w:val="26"/>
                    </w:rPr>
                    <w:t>1</w:t>
                  </w:r>
                </w:p>
              </w:tc>
              <w:tc>
                <w:tcPr>
                  <w:tcW w:w="2366" w:type="dxa"/>
                  <w:tcBorders>
                    <w:top w:val="none" w:sz="0" w:space="0" w:color="020000"/>
                    <w:left w:val="none" w:sz="0" w:space="0" w:color="020000"/>
                    <w:bottom w:val="none" w:sz="0" w:space="0" w:color="020000"/>
                    <w:right w:val="none" w:sz="0" w:space="0" w:color="020000"/>
                  </w:tcBorders>
                  <w:vAlign w:val="center"/>
                </w:tcPr>
                <w:p w14:paraId="7C2364CC" w14:textId="77777777" w:rsidR="0097281D" w:rsidRPr="00812468" w:rsidRDefault="0097281D" w:rsidP="00812468">
                  <w:pPr>
                    <w:keepNext/>
                    <w:keepLines/>
                    <w:rPr>
                      <w:rFonts w:eastAsia="Arial"/>
                      <w:sz w:val="26"/>
                      <w:szCs w:val="26"/>
                    </w:rPr>
                  </w:pPr>
                  <w:r w:rsidRPr="00812468">
                    <w:rPr>
                      <w:rFonts w:eastAsia="Arial"/>
                      <w:sz w:val="26"/>
                      <w:szCs w:val="26"/>
                    </w:rPr>
                    <w:t>Residential</w:t>
                  </w:r>
                </w:p>
              </w:tc>
              <w:tc>
                <w:tcPr>
                  <w:tcW w:w="1426" w:type="dxa"/>
                  <w:tcBorders>
                    <w:top w:val="none" w:sz="0" w:space="0" w:color="020000"/>
                    <w:left w:val="none" w:sz="0" w:space="0" w:color="020000"/>
                    <w:bottom w:val="none" w:sz="0" w:space="0" w:color="020000"/>
                    <w:right w:val="none" w:sz="0" w:space="0" w:color="020000"/>
                  </w:tcBorders>
                  <w:vAlign w:val="center"/>
                </w:tcPr>
                <w:p w14:paraId="74DEE350" w14:textId="77777777" w:rsidR="0097281D" w:rsidRPr="00812468" w:rsidRDefault="0097281D" w:rsidP="00812468">
                  <w:pPr>
                    <w:keepNext/>
                    <w:keepLines/>
                    <w:jc w:val="right"/>
                    <w:rPr>
                      <w:rFonts w:eastAsia="Arial"/>
                      <w:sz w:val="26"/>
                      <w:szCs w:val="26"/>
                    </w:rPr>
                  </w:pPr>
                  <w:r w:rsidRPr="00812468">
                    <w:rPr>
                      <w:rFonts w:eastAsia="Arial"/>
                      <w:sz w:val="26"/>
                      <w:szCs w:val="26"/>
                    </w:rPr>
                    <w:t>$2,647,362</w:t>
                  </w:r>
                </w:p>
              </w:tc>
              <w:tc>
                <w:tcPr>
                  <w:tcW w:w="1550" w:type="dxa"/>
                  <w:tcBorders>
                    <w:top w:val="none" w:sz="0" w:space="0" w:color="020000"/>
                    <w:left w:val="none" w:sz="0" w:space="0" w:color="020000"/>
                    <w:bottom w:val="none" w:sz="0" w:space="0" w:color="020000"/>
                    <w:right w:val="none" w:sz="0" w:space="0" w:color="020000"/>
                  </w:tcBorders>
                  <w:vAlign w:val="center"/>
                </w:tcPr>
                <w:p w14:paraId="25C361FC" w14:textId="77777777" w:rsidR="0097281D" w:rsidRPr="00812468" w:rsidRDefault="0097281D" w:rsidP="00812468">
                  <w:pPr>
                    <w:keepNext/>
                    <w:keepLines/>
                    <w:jc w:val="right"/>
                    <w:rPr>
                      <w:rFonts w:eastAsia="Arial"/>
                      <w:sz w:val="26"/>
                      <w:szCs w:val="26"/>
                    </w:rPr>
                  </w:pPr>
                  <w:r w:rsidRPr="00812468">
                    <w:rPr>
                      <w:rFonts w:eastAsia="Arial"/>
                      <w:sz w:val="26"/>
                      <w:szCs w:val="26"/>
                    </w:rPr>
                    <w:t>$694,038</w:t>
                  </w:r>
                </w:p>
              </w:tc>
              <w:tc>
                <w:tcPr>
                  <w:tcW w:w="1091" w:type="dxa"/>
                  <w:tcBorders>
                    <w:top w:val="none" w:sz="0" w:space="0" w:color="020000"/>
                    <w:left w:val="none" w:sz="0" w:space="0" w:color="020000"/>
                    <w:bottom w:val="none" w:sz="0" w:space="0" w:color="020000"/>
                    <w:right w:val="none" w:sz="0" w:space="0" w:color="020000"/>
                  </w:tcBorders>
                  <w:vAlign w:val="center"/>
                </w:tcPr>
                <w:p w14:paraId="5392C601" w14:textId="77777777" w:rsidR="0097281D" w:rsidRPr="00812468" w:rsidRDefault="0097281D" w:rsidP="00812468">
                  <w:pPr>
                    <w:keepNext/>
                    <w:keepLines/>
                    <w:jc w:val="right"/>
                    <w:rPr>
                      <w:rFonts w:eastAsia="Arial"/>
                      <w:sz w:val="26"/>
                      <w:szCs w:val="26"/>
                    </w:rPr>
                  </w:pPr>
                  <w:r w:rsidRPr="00812468">
                    <w:rPr>
                      <w:rFonts w:eastAsia="Arial"/>
                      <w:sz w:val="26"/>
                      <w:szCs w:val="26"/>
                    </w:rPr>
                    <w:t>26.2%</w:t>
                  </w:r>
                </w:p>
              </w:tc>
            </w:tr>
            <w:tr w:rsidR="0097281D" w:rsidRPr="0059512A" w14:paraId="5238E971" w14:textId="77777777" w:rsidTr="00812468">
              <w:trPr>
                <w:trHeight w:hRule="exact" w:val="538"/>
                <w:jc w:val="center"/>
              </w:trPr>
              <w:tc>
                <w:tcPr>
                  <w:tcW w:w="519" w:type="dxa"/>
                  <w:tcBorders>
                    <w:top w:val="none" w:sz="0" w:space="0" w:color="020000"/>
                    <w:left w:val="none" w:sz="0" w:space="0" w:color="020000"/>
                    <w:bottom w:val="none" w:sz="0" w:space="0" w:color="020000"/>
                    <w:right w:val="none" w:sz="0" w:space="0" w:color="020000"/>
                  </w:tcBorders>
                  <w:vAlign w:val="center"/>
                </w:tcPr>
                <w:p w14:paraId="13699959" w14:textId="77777777" w:rsidR="0097281D" w:rsidRPr="00812468" w:rsidRDefault="0097281D" w:rsidP="00812468">
                  <w:pPr>
                    <w:keepNext/>
                    <w:keepLines/>
                    <w:jc w:val="center"/>
                    <w:rPr>
                      <w:rFonts w:eastAsia="Arial"/>
                      <w:sz w:val="26"/>
                      <w:szCs w:val="26"/>
                    </w:rPr>
                  </w:pPr>
                  <w:r w:rsidRPr="00812468">
                    <w:rPr>
                      <w:rFonts w:eastAsia="Arial"/>
                      <w:sz w:val="26"/>
                      <w:szCs w:val="26"/>
                    </w:rPr>
                    <w:t>2</w:t>
                  </w:r>
                </w:p>
              </w:tc>
              <w:tc>
                <w:tcPr>
                  <w:tcW w:w="2366" w:type="dxa"/>
                  <w:tcBorders>
                    <w:top w:val="none" w:sz="0" w:space="0" w:color="020000"/>
                    <w:left w:val="none" w:sz="0" w:space="0" w:color="020000"/>
                    <w:bottom w:val="none" w:sz="0" w:space="0" w:color="020000"/>
                    <w:right w:val="none" w:sz="0" w:space="0" w:color="020000"/>
                  </w:tcBorders>
                  <w:vAlign w:val="center"/>
                </w:tcPr>
                <w:p w14:paraId="552CA061" w14:textId="77777777" w:rsidR="0097281D" w:rsidRPr="00812468" w:rsidRDefault="0097281D" w:rsidP="00812468">
                  <w:pPr>
                    <w:keepNext/>
                    <w:keepLines/>
                    <w:rPr>
                      <w:rFonts w:eastAsia="Arial"/>
                      <w:sz w:val="26"/>
                      <w:szCs w:val="26"/>
                    </w:rPr>
                  </w:pPr>
                  <w:r w:rsidRPr="00812468">
                    <w:rPr>
                      <w:rFonts w:eastAsia="Arial"/>
                      <w:sz w:val="26"/>
                      <w:szCs w:val="26"/>
                    </w:rPr>
                    <w:t>Space Heating</w:t>
                  </w:r>
                </w:p>
              </w:tc>
              <w:tc>
                <w:tcPr>
                  <w:tcW w:w="1426" w:type="dxa"/>
                  <w:tcBorders>
                    <w:top w:val="none" w:sz="0" w:space="0" w:color="020000"/>
                    <w:left w:val="none" w:sz="0" w:space="0" w:color="020000"/>
                    <w:bottom w:val="none" w:sz="0" w:space="0" w:color="020000"/>
                    <w:right w:val="none" w:sz="0" w:space="0" w:color="020000"/>
                  </w:tcBorders>
                  <w:vAlign w:val="center"/>
                </w:tcPr>
                <w:p w14:paraId="2C119A28" w14:textId="77777777" w:rsidR="0097281D" w:rsidRPr="00812468" w:rsidRDefault="0097281D" w:rsidP="00812468">
                  <w:pPr>
                    <w:keepNext/>
                    <w:keepLines/>
                    <w:jc w:val="right"/>
                    <w:rPr>
                      <w:rFonts w:eastAsia="Arial"/>
                      <w:sz w:val="26"/>
                      <w:szCs w:val="26"/>
                    </w:rPr>
                  </w:pPr>
                  <w:r w:rsidRPr="00812468">
                    <w:rPr>
                      <w:rFonts w:eastAsia="Arial"/>
                      <w:sz w:val="26"/>
                      <w:szCs w:val="26"/>
                    </w:rPr>
                    <w:t>$24,362</w:t>
                  </w:r>
                </w:p>
              </w:tc>
              <w:tc>
                <w:tcPr>
                  <w:tcW w:w="1550" w:type="dxa"/>
                  <w:tcBorders>
                    <w:top w:val="none" w:sz="0" w:space="0" w:color="020000"/>
                    <w:left w:val="none" w:sz="0" w:space="0" w:color="020000"/>
                    <w:bottom w:val="none" w:sz="0" w:space="0" w:color="020000"/>
                    <w:right w:val="none" w:sz="0" w:space="0" w:color="020000"/>
                  </w:tcBorders>
                  <w:vAlign w:val="center"/>
                </w:tcPr>
                <w:p w14:paraId="3A53C01B" w14:textId="77777777" w:rsidR="0097281D" w:rsidRPr="00812468" w:rsidRDefault="0097281D" w:rsidP="00812468">
                  <w:pPr>
                    <w:keepNext/>
                    <w:keepLines/>
                    <w:jc w:val="right"/>
                    <w:rPr>
                      <w:rFonts w:eastAsia="Arial"/>
                      <w:sz w:val="26"/>
                      <w:szCs w:val="26"/>
                    </w:rPr>
                  </w:pPr>
                  <w:r w:rsidRPr="00812468">
                    <w:rPr>
                      <w:rFonts w:eastAsia="Arial"/>
                      <w:sz w:val="26"/>
                      <w:szCs w:val="26"/>
                    </w:rPr>
                    <w:t>$6,387</w:t>
                  </w:r>
                </w:p>
              </w:tc>
              <w:tc>
                <w:tcPr>
                  <w:tcW w:w="1091" w:type="dxa"/>
                  <w:tcBorders>
                    <w:top w:val="none" w:sz="0" w:space="0" w:color="020000"/>
                    <w:left w:val="none" w:sz="0" w:space="0" w:color="020000"/>
                    <w:bottom w:val="none" w:sz="0" w:space="0" w:color="020000"/>
                    <w:right w:val="none" w:sz="0" w:space="0" w:color="020000"/>
                  </w:tcBorders>
                  <w:vAlign w:val="center"/>
                </w:tcPr>
                <w:p w14:paraId="39FDA1E7" w14:textId="77777777" w:rsidR="0097281D" w:rsidRPr="00812468" w:rsidRDefault="0097281D" w:rsidP="00812468">
                  <w:pPr>
                    <w:keepNext/>
                    <w:keepLines/>
                    <w:jc w:val="right"/>
                    <w:rPr>
                      <w:rFonts w:eastAsia="Arial"/>
                      <w:sz w:val="26"/>
                      <w:szCs w:val="26"/>
                    </w:rPr>
                  </w:pPr>
                  <w:r w:rsidRPr="00812468">
                    <w:rPr>
                      <w:rFonts w:eastAsia="Arial"/>
                      <w:sz w:val="26"/>
                      <w:szCs w:val="26"/>
                    </w:rPr>
                    <w:t>26.2%</w:t>
                  </w:r>
                </w:p>
              </w:tc>
            </w:tr>
            <w:tr w:rsidR="0097281D" w:rsidRPr="0059512A" w14:paraId="2865D85A" w14:textId="77777777" w:rsidTr="00812468">
              <w:trPr>
                <w:trHeight w:hRule="exact" w:val="540"/>
                <w:jc w:val="center"/>
              </w:trPr>
              <w:tc>
                <w:tcPr>
                  <w:tcW w:w="519" w:type="dxa"/>
                  <w:tcBorders>
                    <w:top w:val="none" w:sz="0" w:space="0" w:color="020000"/>
                    <w:left w:val="none" w:sz="0" w:space="0" w:color="020000"/>
                    <w:bottom w:val="none" w:sz="0" w:space="0" w:color="020000"/>
                    <w:right w:val="none" w:sz="0" w:space="0" w:color="020000"/>
                  </w:tcBorders>
                  <w:vAlign w:val="center"/>
                </w:tcPr>
                <w:p w14:paraId="6C607BAD" w14:textId="77777777" w:rsidR="0097281D" w:rsidRPr="00812468" w:rsidRDefault="0097281D" w:rsidP="00812468">
                  <w:pPr>
                    <w:keepNext/>
                    <w:keepLines/>
                    <w:jc w:val="center"/>
                    <w:rPr>
                      <w:rFonts w:eastAsia="Arial"/>
                      <w:sz w:val="26"/>
                      <w:szCs w:val="26"/>
                    </w:rPr>
                  </w:pPr>
                  <w:r w:rsidRPr="00812468">
                    <w:rPr>
                      <w:rFonts w:eastAsia="Arial"/>
                      <w:sz w:val="26"/>
                      <w:szCs w:val="26"/>
                    </w:rPr>
                    <w:t>3</w:t>
                  </w:r>
                </w:p>
              </w:tc>
              <w:tc>
                <w:tcPr>
                  <w:tcW w:w="2366" w:type="dxa"/>
                  <w:tcBorders>
                    <w:top w:val="none" w:sz="0" w:space="0" w:color="020000"/>
                    <w:left w:val="none" w:sz="0" w:space="0" w:color="020000"/>
                    <w:bottom w:val="none" w:sz="0" w:space="0" w:color="020000"/>
                    <w:right w:val="none" w:sz="0" w:space="0" w:color="020000"/>
                  </w:tcBorders>
                  <w:vAlign w:val="center"/>
                </w:tcPr>
                <w:p w14:paraId="4C757DB4" w14:textId="77777777" w:rsidR="0097281D" w:rsidRPr="00812468" w:rsidRDefault="0097281D" w:rsidP="00812468">
                  <w:pPr>
                    <w:keepNext/>
                    <w:keepLines/>
                    <w:rPr>
                      <w:rFonts w:eastAsia="Arial"/>
                      <w:sz w:val="26"/>
                      <w:szCs w:val="26"/>
                    </w:rPr>
                  </w:pPr>
                  <w:r w:rsidRPr="00812468">
                    <w:rPr>
                      <w:rFonts w:eastAsia="Arial"/>
                      <w:sz w:val="26"/>
                      <w:szCs w:val="26"/>
                    </w:rPr>
                    <w:t>GLP-1</w:t>
                  </w:r>
                </w:p>
              </w:tc>
              <w:tc>
                <w:tcPr>
                  <w:tcW w:w="1426" w:type="dxa"/>
                  <w:tcBorders>
                    <w:top w:val="none" w:sz="0" w:space="0" w:color="020000"/>
                    <w:left w:val="none" w:sz="0" w:space="0" w:color="020000"/>
                    <w:bottom w:val="none" w:sz="0" w:space="0" w:color="020000"/>
                    <w:right w:val="none" w:sz="0" w:space="0" w:color="020000"/>
                  </w:tcBorders>
                  <w:vAlign w:val="center"/>
                </w:tcPr>
                <w:p w14:paraId="526444EC" w14:textId="77777777" w:rsidR="0097281D" w:rsidRPr="00812468" w:rsidRDefault="0097281D" w:rsidP="00812468">
                  <w:pPr>
                    <w:keepNext/>
                    <w:keepLines/>
                    <w:jc w:val="right"/>
                    <w:rPr>
                      <w:rFonts w:eastAsia="Arial"/>
                      <w:sz w:val="26"/>
                      <w:szCs w:val="26"/>
                    </w:rPr>
                  </w:pPr>
                  <w:r w:rsidRPr="00812468">
                    <w:rPr>
                      <w:rFonts w:eastAsia="Arial"/>
                      <w:sz w:val="26"/>
                      <w:szCs w:val="26"/>
                    </w:rPr>
                    <w:t>$917,008</w:t>
                  </w:r>
                </w:p>
              </w:tc>
              <w:tc>
                <w:tcPr>
                  <w:tcW w:w="1550" w:type="dxa"/>
                  <w:tcBorders>
                    <w:top w:val="none" w:sz="0" w:space="0" w:color="020000"/>
                    <w:left w:val="none" w:sz="0" w:space="0" w:color="020000"/>
                    <w:bottom w:val="none" w:sz="0" w:space="0" w:color="020000"/>
                    <w:right w:val="none" w:sz="0" w:space="0" w:color="020000"/>
                  </w:tcBorders>
                  <w:vAlign w:val="center"/>
                </w:tcPr>
                <w:p w14:paraId="6BB4E61A" w14:textId="77777777" w:rsidR="0097281D" w:rsidRPr="00812468" w:rsidRDefault="0097281D" w:rsidP="00812468">
                  <w:pPr>
                    <w:keepNext/>
                    <w:keepLines/>
                    <w:jc w:val="right"/>
                    <w:rPr>
                      <w:rFonts w:eastAsia="Arial"/>
                      <w:sz w:val="26"/>
                      <w:szCs w:val="26"/>
                    </w:rPr>
                  </w:pPr>
                  <w:r w:rsidRPr="00812468">
                    <w:rPr>
                      <w:rFonts w:eastAsia="Arial"/>
                      <w:sz w:val="26"/>
                      <w:szCs w:val="26"/>
                    </w:rPr>
                    <w:t>$82,772</w:t>
                  </w:r>
                </w:p>
              </w:tc>
              <w:tc>
                <w:tcPr>
                  <w:tcW w:w="1091" w:type="dxa"/>
                  <w:tcBorders>
                    <w:top w:val="none" w:sz="0" w:space="0" w:color="020000"/>
                    <w:left w:val="none" w:sz="0" w:space="0" w:color="020000"/>
                    <w:bottom w:val="none" w:sz="0" w:space="0" w:color="020000"/>
                    <w:right w:val="none" w:sz="0" w:space="0" w:color="020000"/>
                  </w:tcBorders>
                  <w:vAlign w:val="center"/>
                </w:tcPr>
                <w:p w14:paraId="15EC6185" w14:textId="77777777" w:rsidR="0097281D" w:rsidRPr="00812468" w:rsidRDefault="0097281D" w:rsidP="00812468">
                  <w:pPr>
                    <w:keepNext/>
                    <w:keepLines/>
                    <w:jc w:val="right"/>
                    <w:rPr>
                      <w:rFonts w:eastAsia="Arial"/>
                      <w:sz w:val="26"/>
                      <w:szCs w:val="26"/>
                    </w:rPr>
                  </w:pPr>
                  <w:r w:rsidRPr="00812468">
                    <w:rPr>
                      <w:rFonts w:eastAsia="Arial"/>
                      <w:sz w:val="26"/>
                      <w:szCs w:val="26"/>
                    </w:rPr>
                    <w:t>9.0%</w:t>
                  </w:r>
                </w:p>
              </w:tc>
            </w:tr>
            <w:tr w:rsidR="0097281D" w:rsidRPr="0059512A" w14:paraId="0D492CCA" w14:textId="77777777" w:rsidTr="00812468">
              <w:trPr>
                <w:trHeight w:hRule="exact" w:val="528"/>
                <w:jc w:val="center"/>
              </w:trPr>
              <w:tc>
                <w:tcPr>
                  <w:tcW w:w="519" w:type="dxa"/>
                  <w:tcBorders>
                    <w:top w:val="none" w:sz="0" w:space="0" w:color="020000"/>
                    <w:left w:val="none" w:sz="0" w:space="0" w:color="020000"/>
                    <w:bottom w:val="none" w:sz="0" w:space="0" w:color="020000"/>
                    <w:right w:val="none" w:sz="0" w:space="0" w:color="020000"/>
                  </w:tcBorders>
                  <w:vAlign w:val="center"/>
                </w:tcPr>
                <w:p w14:paraId="6629AE8A" w14:textId="77777777" w:rsidR="0097281D" w:rsidRPr="00812468" w:rsidRDefault="0097281D" w:rsidP="00812468">
                  <w:pPr>
                    <w:keepNext/>
                    <w:keepLines/>
                    <w:jc w:val="center"/>
                    <w:rPr>
                      <w:rFonts w:eastAsia="Arial"/>
                      <w:sz w:val="26"/>
                      <w:szCs w:val="26"/>
                    </w:rPr>
                  </w:pPr>
                  <w:r w:rsidRPr="00812468">
                    <w:rPr>
                      <w:rFonts w:eastAsia="Arial"/>
                      <w:sz w:val="26"/>
                      <w:szCs w:val="26"/>
                    </w:rPr>
                    <w:t>4</w:t>
                  </w:r>
                </w:p>
              </w:tc>
              <w:tc>
                <w:tcPr>
                  <w:tcW w:w="2366" w:type="dxa"/>
                  <w:tcBorders>
                    <w:top w:val="none" w:sz="0" w:space="0" w:color="020000"/>
                    <w:left w:val="none" w:sz="0" w:space="0" w:color="020000"/>
                    <w:bottom w:val="none" w:sz="0" w:space="0" w:color="020000"/>
                    <w:right w:val="none" w:sz="0" w:space="0" w:color="020000"/>
                  </w:tcBorders>
                  <w:vAlign w:val="center"/>
                </w:tcPr>
                <w:p w14:paraId="6819C6A9" w14:textId="77777777" w:rsidR="0097281D" w:rsidRPr="00812468" w:rsidRDefault="0097281D" w:rsidP="00812468">
                  <w:pPr>
                    <w:keepNext/>
                    <w:keepLines/>
                    <w:rPr>
                      <w:rFonts w:eastAsia="Arial"/>
                      <w:sz w:val="26"/>
                      <w:szCs w:val="26"/>
                    </w:rPr>
                  </w:pPr>
                  <w:r w:rsidRPr="00812468">
                    <w:rPr>
                      <w:rFonts w:eastAsia="Arial"/>
                      <w:sz w:val="26"/>
                      <w:szCs w:val="26"/>
                    </w:rPr>
                    <w:t>GLP-3</w:t>
                  </w:r>
                </w:p>
              </w:tc>
              <w:tc>
                <w:tcPr>
                  <w:tcW w:w="1426" w:type="dxa"/>
                  <w:tcBorders>
                    <w:top w:val="none" w:sz="0" w:space="0" w:color="020000"/>
                    <w:left w:val="none" w:sz="0" w:space="0" w:color="020000"/>
                    <w:bottom w:val="none" w:sz="0" w:space="0" w:color="020000"/>
                    <w:right w:val="none" w:sz="0" w:space="0" w:color="020000"/>
                  </w:tcBorders>
                  <w:vAlign w:val="center"/>
                </w:tcPr>
                <w:p w14:paraId="3FE73C21" w14:textId="77777777" w:rsidR="0097281D" w:rsidRPr="00812468" w:rsidRDefault="0097281D" w:rsidP="00812468">
                  <w:pPr>
                    <w:keepNext/>
                    <w:keepLines/>
                    <w:jc w:val="right"/>
                    <w:rPr>
                      <w:rFonts w:eastAsia="Arial"/>
                      <w:sz w:val="26"/>
                      <w:szCs w:val="26"/>
                    </w:rPr>
                  </w:pPr>
                  <w:r w:rsidRPr="00812468">
                    <w:rPr>
                      <w:rFonts w:eastAsia="Arial"/>
                      <w:sz w:val="26"/>
                      <w:szCs w:val="26"/>
                    </w:rPr>
                    <w:t>$1,110,186</w:t>
                  </w:r>
                </w:p>
              </w:tc>
              <w:tc>
                <w:tcPr>
                  <w:tcW w:w="1550" w:type="dxa"/>
                  <w:tcBorders>
                    <w:top w:val="none" w:sz="0" w:space="0" w:color="020000"/>
                    <w:left w:val="none" w:sz="0" w:space="0" w:color="020000"/>
                    <w:bottom w:val="none" w:sz="0" w:space="0" w:color="020000"/>
                    <w:right w:val="none" w:sz="0" w:space="0" w:color="020000"/>
                  </w:tcBorders>
                  <w:vAlign w:val="center"/>
                </w:tcPr>
                <w:p w14:paraId="24FA85B2" w14:textId="77777777" w:rsidR="0097281D" w:rsidRPr="00812468" w:rsidRDefault="0097281D" w:rsidP="00812468">
                  <w:pPr>
                    <w:keepNext/>
                    <w:keepLines/>
                    <w:jc w:val="right"/>
                    <w:rPr>
                      <w:rFonts w:eastAsia="Arial"/>
                      <w:sz w:val="26"/>
                      <w:szCs w:val="26"/>
                    </w:rPr>
                  </w:pPr>
                  <w:r w:rsidRPr="00812468">
                    <w:rPr>
                      <w:rFonts w:eastAsia="Arial"/>
                      <w:sz w:val="26"/>
                      <w:szCs w:val="26"/>
                    </w:rPr>
                    <w:t>$0</w:t>
                  </w:r>
                </w:p>
              </w:tc>
              <w:tc>
                <w:tcPr>
                  <w:tcW w:w="1091" w:type="dxa"/>
                  <w:tcBorders>
                    <w:top w:val="none" w:sz="0" w:space="0" w:color="020000"/>
                    <w:left w:val="none" w:sz="0" w:space="0" w:color="020000"/>
                    <w:bottom w:val="none" w:sz="0" w:space="0" w:color="020000"/>
                    <w:right w:val="none" w:sz="0" w:space="0" w:color="020000"/>
                  </w:tcBorders>
                  <w:vAlign w:val="center"/>
                </w:tcPr>
                <w:p w14:paraId="39E7D0FC" w14:textId="77777777" w:rsidR="0097281D" w:rsidRPr="00812468" w:rsidRDefault="0097281D" w:rsidP="00812468">
                  <w:pPr>
                    <w:keepNext/>
                    <w:keepLines/>
                    <w:jc w:val="right"/>
                    <w:rPr>
                      <w:rFonts w:eastAsia="Arial"/>
                      <w:sz w:val="26"/>
                      <w:szCs w:val="26"/>
                    </w:rPr>
                  </w:pPr>
                  <w:r w:rsidRPr="00812468">
                    <w:rPr>
                      <w:rFonts w:eastAsia="Arial"/>
                      <w:sz w:val="26"/>
                      <w:szCs w:val="26"/>
                    </w:rPr>
                    <w:t>0.0%</w:t>
                  </w:r>
                </w:p>
              </w:tc>
            </w:tr>
            <w:tr w:rsidR="0097281D" w:rsidRPr="0059512A" w14:paraId="0CA1E5AE" w14:textId="77777777" w:rsidTr="00812468">
              <w:trPr>
                <w:trHeight w:hRule="exact" w:val="533"/>
                <w:jc w:val="center"/>
              </w:trPr>
              <w:tc>
                <w:tcPr>
                  <w:tcW w:w="519" w:type="dxa"/>
                  <w:tcBorders>
                    <w:top w:val="none" w:sz="0" w:space="0" w:color="020000"/>
                    <w:left w:val="none" w:sz="0" w:space="0" w:color="020000"/>
                    <w:bottom w:val="none" w:sz="0" w:space="0" w:color="020000"/>
                    <w:right w:val="none" w:sz="0" w:space="0" w:color="020000"/>
                  </w:tcBorders>
                  <w:vAlign w:val="center"/>
                </w:tcPr>
                <w:p w14:paraId="4B4801AC" w14:textId="77777777" w:rsidR="0097281D" w:rsidRPr="00812468" w:rsidRDefault="0097281D" w:rsidP="00812468">
                  <w:pPr>
                    <w:keepNext/>
                    <w:keepLines/>
                    <w:jc w:val="center"/>
                    <w:rPr>
                      <w:rFonts w:eastAsia="Arial"/>
                      <w:sz w:val="26"/>
                      <w:szCs w:val="26"/>
                    </w:rPr>
                  </w:pPr>
                  <w:r w:rsidRPr="00812468">
                    <w:rPr>
                      <w:rFonts w:eastAsia="Arial"/>
                      <w:sz w:val="26"/>
                      <w:szCs w:val="26"/>
                    </w:rPr>
                    <w:t>5</w:t>
                  </w:r>
                </w:p>
              </w:tc>
              <w:tc>
                <w:tcPr>
                  <w:tcW w:w="2366" w:type="dxa"/>
                  <w:tcBorders>
                    <w:top w:val="none" w:sz="0" w:space="0" w:color="020000"/>
                    <w:left w:val="none" w:sz="0" w:space="0" w:color="020000"/>
                    <w:bottom w:val="none" w:sz="0" w:space="0" w:color="020000"/>
                    <w:right w:val="none" w:sz="0" w:space="0" w:color="020000"/>
                  </w:tcBorders>
                  <w:vAlign w:val="center"/>
                </w:tcPr>
                <w:p w14:paraId="2474F77B" w14:textId="77777777" w:rsidR="0097281D" w:rsidRPr="00812468" w:rsidRDefault="0097281D" w:rsidP="00812468">
                  <w:pPr>
                    <w:keepNext/>
                    <w:keepLines/>
                    <w:rPr>
                      <w:rFonts w:eastAsia="Arial"/>
                      <w:sz w:val="26"/>
                      <w:szCs w:val="26"/>
                    </w:rPr>
                  </w:pPr>
                  <w:r w:rsidRPr="00812468">
                    <w:rPr>
                      <w:rFonts w:eastAsia="Arial"/>
                      <w:sz w:val="26"/>
                      <w:szCs w:val="26"/>
                    </w:rPr>
                    <w:t>Municipal Lighting</w:t>
                  </w:r>
                </w:p>
              </w:tc>
              <w:tc>
                <w:tcPr>
                  <w:tcW w:w="1426" w:type="dxa"/>
                  <w:tcBorders>
                    <w:top w:val="none" w:sz="0" w:space="0" w:color="020000"/>
                    <w:left w:val="none" w:sz="0" w:space="0" w:color="020000"/>
                    <w:bottom w:val="none" w:sz="0" w:space="0" w:color="020000"/>
                    <w:right w:val="none" w:sz="0" w:space="0" w:color="020000"/>
                  </w:tcBorders>
                  <w:vAlign w:val="center"/>
                </w:tcPr>
                <w:p w14:paraId="3646F4EA" w14:textId="77777777" w:rsidR="0097281D" w:rsidRPr="00812468" w:rsidRDefault="0097281D" w:rsidP="00812468">
                  <w:pPr>
                    <w:keepNext/>
                    <w:keepLines/>
                    <w:jc w:val="right"/>
                    <w:rPr>
                      <w:rFonts w:eastAsia="Arial"/>
                      <w:sz w:val="26"/>
                      <w:szCs w:val="26"/>
                    </w:rPr>
                  </w:pPr>
                  <w:r w:rsidRPr="00812468">
                    <w:rPr>
                      <w:rFonts w:eastAsia="Arial"/>
                      <w:sz w:val="26"/>
                      <w:szCs w:val="26"/>
                    </w:rPr>
                    <w:t>$17,615</w:t>
                  </w:r>
                </w:p>
              </w:tc>
              <w:tc>
                <w:tcPr>
                  <w:tcW w:w="1550" w:type="dxa"/>
                  <w:tcBorders>
                    <w:top w:val="none" w:sz="0" w:space="0" w:color="020000"/>
                    <w:left w:val="none" w:sz="0" w:space="0" w:color="020000"/>
                    <w:bottom w:val="none" w:sz="0" w:space="0" w:color="020000"/>
                    <w:right w:val="none" w:sz="0" w:space="0" w:color="020000"/>
                  </w:tcBorders>
                  <w:vAlign w:val="center"/>
                </w:tcPr>
                <w:p w14:paraId="5B2E7692" w14:textId="77777777" w:rsidR="0097281D" w:rsidRPr="00812468" w:rsidRDefault="0097281D" w:rsidP="00812468">
                  <w:pPr>
                    <w:keepNext/>
                    <w:keepLines/>
                    <w:jc w:val="right"/>
                    <w:rPr>
                      <w:rFonts w:eastAsia="Arial"/>
                      <w:sz w:val="26"/>
                      <w:szCs w:val="26"/>
                    </w:rPr>
                  </w:pPr>
                  <w:r w:rsidRPr="00812468">
                    <w:rPr>
                      <w:rFonts w:eastAsia="Arial"/>
                      <w:sz w:val="26"/>
                      <w:szCs w:val="26"/>
                    </w:rPr>
                    <w:t>$4,618</w:t>
                  </w:r>
                </w:p>
              </w:tc>
              <w:tc>
                <w:tcPr>
                  <w:tcW w:w="1091" w:type="dxa"/>
                  <w:tcBorders>
                    <w:top w:val="none" w:sz="0" w:space="0" w:color="020000"/>
                    <w:left w:val="none" w:sz="0" w:space="0" w:color="020000"/>
                    <w:bottom w:val="none" w:sz="0" w:space="0" w:color="020000"/>
                    <w:right w:val="none" w:sz="0" w:space="0" w:color="020000"/>
                  </w:tcBorders>
                  <w:vAlign w:val="center"/>
                </w:tcPr>
                <w:p w14:paraId="20879668" w14:textId="77777777" w:rsidR="0097281D" w:rsidRPr="00812468" w:rsidRDefault="0097281D" w:rsidP="00812468">
                  <w:pPr>
                    <w:keepNext/>
                    <w:keepLines/>
                    <w:jc w:val="right"/>
                    <w:rPr>
                      <w:rFonts w:eastAsia="Arial"/>
                      <w:sz w:val="26"/>
                      <w:szCs w:val="26"/>
                    </w:rPr>
                  </w:pPr>
                  <w:r w:rsidRPr="00812468">
                    <w:rPr>
                      <w:rFonts w:eastAsia="Arial"/>
                      <w:sz w:val="26"/>
                      <w:szCs w:val="26"/>
                    </w:rPr>
                    <w:t>26.2%</w:t>
                  </w:r>
                </w:p>
              </w:tc>
            </w:tr>
            <w:tr w:rsidR="0097281D" w:rsidRPr="0059512A" w14:paraId="29B7DC67" w14:textId="77777777" w:rsidTr="00812468">
              <w:trPr>
                <w:trHeight w:hRule="exact" w:val="477"/>
                <w:jc w:val="center"/>
              </w:trPr>
              <w:tc>
                <w:tcPr>
                  <w:tcW w:w="519" w:type="dxa"/>
                  <w:tcBorders>
                    <w:top w:val="none" w:sz="0" w:space="0" w:color="020000"/>
                    <w:left w:val="none" w:sz="0" w:space="0" w:color="020000"/>
                    <w:bottom w:val="none" w:sz="0" w:space="0" w:color="020000"/>
                    <w:right w:val="none" w:sz="0" w:space="0" w:color="020000"/>
                  </w:tcBorders>
                  <w:vAlign w:val="center"/>
                </w:tcPr>
                <w:p w14:paraId="39F50C25" w14:textId="77777777" w:rsidR="0097281D" w:rsidRPr="00812468" w:rsidRDefault="0097281D" w:rsidP="00812468">
                  <w:pPr>
                    <w:keepNext/>
                    <w:keepLines/>
                    <w:jc w:val="center"/>
                    <w:rPr>
                      <w:rFonts w:eastAsia="Arial"/>
                      <w:sz w:val="26"/>
                      <w:szCs w:val="26"/>
                    </w:rPr>
                  </w:pPr>
                  <w:r w:rsidRPr="00812468">
                    <w:rPr>
                      <w:rFonts w:eastAsia="Arial"/>
                      <w:sz w:val="26"/>
                      <w:szCs w:val="26"/>
                    </w:rPr>
                    <w:t>6</w:t>
                  </w:r>
                </w:p>
              </w:tc>
              <w:tc>
                <w:tcPr>
                  <w:tcW w:w="2366" w:type="dxa"/>
                  <w:tcBorders>
                    <w:top w:val="none" w:sz="0" w:space="0" w:color="020000"/>
                    <w:left w:val="none" w:sz="0" w:space="0" w:color="020000"/>
                    <w:bottom w:val="none" w:sz="0" w:space="0" w:color="020000"/>
                    <w:right w:val="none" w:sz="0" w:space="0" w:color="020000"/>
                  </w:tcBorders>
                  <w:vAlign w:val="center"/>
                </w:tcPr>
                <w:p w14:paraId="08DFA94F" w14:textId="77777777" w:rsidR="0097281D" w:rsidRPr="00812468" w:rsidRDefault="0097281D" w:rsidP="00812468">
                  <w:pPr>
                    <w:keepNext/>
                    <w:keepLines/>
                    <w:rPr>
                      <w:rFonts w:eastAsia="Arial"/>
                      <w:sz w:val="26"/>
                      <w:szCs w:val="26"/>
                    </w:rPr>
                  </w:pPr>
                  <w:r w:rsidRPr="00812468">
                    <w:rPr>
                      <w:rFonts w:eastAsia="Arial"/>
                      <w:sz w:val="26"/>
                      <w:szCs w:val="26"/>
                    </w:rPr>
                    <w:t>Outdoor Lighting</w:t>
                  </w:r>
                </w:p>
              </w:tc>
              <w:tc>
                <w:tcPr>
                  <w:tcW w:w="1426" w:type="dxa"/>
                  <w:tcBorders>
                    <w:top w:val="none" w:sz="0" w:space="0" w:color="020000"/>
                    <w:left w:val="none" w:sz="0" w:space="0" w:color="020000"/>
                    <w:bottom w:val="single" w:sz="7" w:space="0" w:color="000000"/>
                    <w:right w:val="none" w:sz="0" w:space="0" w:color="020000"/>
                  </w:tcBorders>
                  <w:vAlign w:val="center"/>
                </w:tcPr>
                <w:p w14:paraId="076EE237" w14:textId="77777777" w:rsidR="0097281D" w:rsidRPr="00812468" w:rsidRDefault="0097281D" w:rsidP="00812468">
                  <w:pPr>
                    <w:keepNext/>
                    <w:keepLines/>
                    <w:jc w:val="right"/>
                    <w:rPr>
                      <w:rFonts w:eastAsia="Arial"/>
                      <w:sz w:val="26"/>
                      <w:szCs w:val="26"/>
                    </w:rPr>
                  </w:pPr>
                  <w:r w:rsidRPr="00812468">
                    <w:rPr>
                      <w:rFonts w:eastAsia="Arial"/>
                      <w:sz w:val="26"/>
                      <w:szCs w:val="26"/>
                    </w:rPr>
                    <w:t>$75.307</w:t>
                  </w:r>
                </w:p>
              </w:tc>
              <w:tc>
                <w:tcPr>
                  <w:tcW w:w="1550" w:type="dxa"/>
                  <w:tcBorders>
                    <w:top w:val="none" w:sz="0" w:space="0" w:color="020000"/>
                    <w:left w:val="none" w:sz="0" w:space="0" w:color="020000"/>
                    <w:bottom w:val="single" w:sz="7" w:space="0" w:color="000000"/>
                    <w:right w:val="none" w:sz="0" w:space="0" w:color="020000"/>
                  </w:tcBorders>
                  <w:vAlign w:val="center"/>
                </w:tcPr>
                <w:p w14:paraId="43E91965" w14:textId="77777777" w:rsidR="0097281D" w:rsidRPr="00812468" w:rsidRDefault="0097281D" w:rsidP="00812468">
                  <w:pPr>
                    <w:keepNext/>
                    <w:keepLines/>
                    <w:jc w:val="right"/>
                    <w:rPr>
                      <w:rFonts w:eastAsia="Arial"/>
                      <w:sz w:val="26"/>
                      <w:szCs w:val="26"/>
                    </w:rPr>
                  </w:pPr>
                  <w:r w:rsidRPr="00812468">
                    <w:rPr>
                      <w:rFonts w:eastAsia="Arial"/>
                      <w:sz w:val="26"/>
                      <w:szCs w:val="26"/>
                    </w:rPr>
                    <w:t>$4,880</w:t>
                  </w:r>
                </w:p>
              </w:tc>
              <w:tc>
                <w:tcPr>
                  <w:tcW w:w="1091" w:type="dxa"/>
                  <w:tcBorders>
                    <w:top w:val="none" w:sz="0" w:space="0" w:color="020000"/>
                    <w:left w:val="none" w:sz="0" w:space="0" w:color="020000"/>
                    <w:bottom w:val="none" w:sz="0" w:space="0" w:color="020000"/>
                    <w:right w:val="none" w:sz="0" w:space="0" w:color="020000"/>
                  </w:tcBorders>
                  <w:vAlign w:val="center"/>
                </w:tcPr>
                <w:p w14:paraId="6080011F" w14:textId="77777777" w:rsidR="0097281D" w:rsidRPr="00812468" w:rsidRDefault="0097281D" w:rsidP="00812468">
                  <w:pPr>
                    <w:keepNext/>
                    <w:keepLines/>
                    <w:jc w:val="right"/>
                    <w:rPr>
                      <w:rFonts w:eastAsia="Arial"/>
                      <w:sz w:val="26"/>
                      <w:szCs w:val="26"/>
                    </w:rPr>
                  </w:pPr>
                  <w:r w:rsidRPr="00812468">
                    <w:rPr>
                      <w:rFonts w:eastAsia="Arial"/>
                      <w:sz w:val="26"/>
                      <w:szCs w:val="26"/>
                    </w:rPr>
                    <w:t>6.5%</w:t>
                  </w:r>
                </w:p>
              </w:tc>
            </w:tr>
            <w:tr w:rsidR="0097281D" w:rsidRPr="0059512A" w14:paraId="1F748747" w14:textId="77777777" w:rsidTr="00812468">
              <w:trPr>
                <w:trHeight w:hRule="exact" w:val="575"/>
                <w:jc w:val="center"/>
              </w:trPr>
              <w:tc>
                <w:tcPr>
                  <w:tcW w:w="519" w:type="dxa"/>
                  <w:tcBorders>
                    <w:top w:val="none" w:sz="0" w:space="0" w:color="020000"/>
                    <w:left w:val="none" w:sz="0" w:space="0" w:color="020000"/>
                    <w:bottom w:val="none" w:sz="0" w:space="0" w:color="020000"/>
                    <w:right w:val="none" w:sz="0" w:space="0" w:color="020000"/>
                  </w:tcBorders>
                  <w:vAlign w:val="center"/>
                </w:tcPr>
                <w:p w14:paraId="0D8F229A" w14:textId="77777777" w:rsidR="0097281D" w:rsidRPr="00812468" w:rsidRDefault="0097281D" w:rsidP="00812468">
                  <w:pPr>
                    <w:keepNext/>
                    <w:keepLines/>
                    <w:jc w:val="center"/>
                    <w:rPr>
                      <w:rFonts w:eastAsia="Arial"/>
                      <w:sz w:val="26"/>
                      <w:szCs w:val="26"/>
                    </w:rPr>
                  </w:pPr>
                  <w:r w:rsidRPr="00812468">
                    <w:rPr>
                      <w:rFonts w:eastAsia="Arial"/>
                      <w:sz w:val="26"/>
                      <w:szCs w:val="26"/>
                    </w:rPr>
                    <w:t>7</w:t>
                  </w:r>
                </w:p>
              </w:tc>
              <w:tc>
                <w:tcPr>
                  <w:tcW w:w="2366" w:type="dxa"/>
                  <w:tcBorders>
                    <w:top w:val="none" w:sz="0" w:space="0" w:color="020000"/>
                    <w:left w:val="none" w:sz="0" w:space="0" w:color="020000"/>
                    <w:bottom w:val="none" w:sz="0" w:space="0" w:color="020000"/>
                    <w:right w:val="none" w:sz="0" w:space="0" w:color="020000"/>
                  </w:tcBorders>
                  <w:vAlign w:val="center"/>
                </w:tcPr>
                <w:p w14:paraId="472F36DA" w14:textId="0BDA02E1" w:rsidR="0097281D" w:rsidRPr="00812468" w:rsidRDefault="0097281D" w:rsidP="00812468">
                  <w:pPr>
                    <w:keepNext/>
                    <w:keepLines/>
                    <w:rPr>
                      <w:rFonts w:eastAsia="Arial"/>
                      <w:sz w:val="26"/>
                      <w:szCs w:val="26"/>
                    </w:rPr>
                  </w:pPr>
                  <w:r w:rsidRPr="00812468">
                    <w:rPr>
                      <w:rFonts w:eastAsia="Arial"/>
                      <w:sz w:val="26"/>
                      <w:szCs w:val="26"/>
                    </w:rPr>
                    <w:t>Total Rate Revenue</w:t>
                  </w:r>
                </w:p>
              </w:tc>
              <w:tc>
                <w:tcPr>
                  <w:tcW w:w="1426" w:type="dxa"/>
                  <w:tcBorders>
                    <w:top w:val="single" w:sz="7" w:space="0" w:color="000000"/>
                    <w:left w:val="none" w:sz="0" w:space="0" w:color="020000"/>
                    <w:right w:val="none" w:sz="0" w:space="0" w:color="020000"/>
                  </w:tcBorders>
                  <w:vAlign w:val="center"/>
                </w:tcPr>
                <w:p w14:paraId="795818EA" w14:textId="77777777" w:rsidR="0097281D" w:rsidRPr="00812468" w:rsidRDefault="0097281D" w:rsidP="00812468">
                  <w:pPr>
                    <w:keepNext/>
                    <w:keepLines/>
                    <w:jc w:val="right"/>
                    <w:rPr>
                      <w:rFonts w:eastAsia="Arial"/>
                      <w:sz w:val="26"/>
                      <w:szCs w:val="26"/>
                    </w:rPr>
                  </w:pPr>
                  <w:r w:rsidRPr="00812468">
                    <w:rPr>
                      <w:rFonts w:eastAsia="Arial"/>
                      <w:sz w:val="26"/>
                      <w:szCs w:val="26"/>
                    </w:rPr>
                    <w:t>$4,791,840</w:t>
                  </w:r>
                </w:p>
              </w:tc>
              <w:tc>
                <w:tcPr>
                  <w:tcW w:w="1550" w:type="dxa"/>
                  <w:tcBorders>
                    <w:top w:val="single" w:sz="7" w:space="0" w:color="000000"/>
                    <w:left w:val="none" w:sz="0" w:space="0" w:color="020000"/>
                    <w:right w:val="none" w:sz="0" w:space="0" w:color="020000"/>
                  </w:tcBorders>
                  <w:vAlign w:val="center"/>
                </w:tcPr>
                <w:p w14:paraId="43C0D367" w14:textId="77777777" w:rsidR="0097281D" w:rsidRPr="00812468" w:rsidRDefault="0097281D" w:rsidP="00812468">
                  <w:pPr>
                    <w:keepNext/>
                    <w:keepLines/>
                    <w:jc w:val="right"/>
                    <w:rPr>
                      <w:rFonts w:eastAsia="Arial"/>
                      <w:sz w:val="26"/>
                      <w:szCs w:val="26"/>
                    </w:rPr>
                  </w:pPr>
                  <w:r w:rsidRPr="00812468">
                    <w:rPr>
                      <w:rFonts w:eastAsia="Arial"/>
                      <w:sz w:val="26"/>
                      <w:szCs w:val="26"/>
                    </w:rPr>
                    <w:t>$792,695</w:t>
                  </w:r>
                </w:p>
              </w:tc>
              <w:tc>
                <w:tcPr>
                  <w:tcW w:w="1091" w:type="dxa"/>
                  <w:tcBorders>
                    <w:top w:val="none" w:sz="0" w:space="0" w:color="020000"/>
                    <w:left w:val="none" w:sz="0" w:space="0" w:color="020000"/>
                    <w:bottom w:val="none" w:sz="0" w:space="0" w:color="020000"/>
                    <w:right w:val="none" w:sz="0" w:space="0" w:color="020000"/>
                  </w:tcBorders>
                  <w:vAlign w:val="center"/>
                </w:tcPr>
                <w:p w14:paraId="577ADCC6" w14:textId="77777777" w:rsidR="0097281D" w:rsidRPr="00812468" w:rsidRDefault="0097281D" w:rsidP="00812468">
                  <w:pPr>
                    <w:keepNext/>
                    <w:keepLines/>
                    <w:jc w:val="right"/>
                    <w:rPr>
                      <w:rFonts w:eastAsia="Arial"/>
                      <w:sz w:val="26"/>
                      <w:szCs w:val="26"/>
                    </w:rPr>
                  </w:pPr>
                  <w:r w:rsidRPr="00812468">
                    <w:rPr>
                      <w:rFonts w:eastAsia="Arial"/>
                      <w:sz w:val="26"/>
                      <w:szCs w:val="26"/>
                    </w:rPr>
                    <w:t>16.5%</w:t>
                  </w:r>
                </w:p>
              </w:tc>
            </w:tr>
            <w:tr w:rsidR="0097281D" w:rsidRPr="0059512A" w14:paraId="6E3EA0CF" w14:textId="77777777" w:rsidTr="00812468">
              <w:trPr>
                <w:trHeight w:hRule="exact" w:val="513"/>
                <w:jc w:val="center"/>
              </w:trPr>
              <w:tc>
                <w:tcPr>
                  <w:tcW w:w="519" w:type="dxa"/>
                  <w:tcBorders>
                    <w:top w:val="none" w:sz="0" w:space="0" w:color="020000"/>
                    <w:left w:val="none" w:sz="0" w:space="0" w:color="020000"/>
                    <w:bottom w:val="none" w:sz="0" w:space="0" w:color="020000"/>
                    <w:right w:val="none" w:sz="0" w:space="0" w:color="020000"/>
                  </w:tcBorders>
                  <w:vAlign w:val="center"/>
                </w:tcPr>
                <w:p w14:paraId="54765F1F" w14:textId="77777777" w:rsidR="0097281D" w:rsidRPr="00812468" w:rsidRDefault="0097281D" w:rsidP="00812468">
                  <w:pPr>
                    <w:keepNext/>
                    <w:keepLines/>
                    <w:jc w:val="center"/>
                    <w:rPr>
                      <w:rFonts w:eastAsia="Arial"/>
                      <w:sz w:val="26"/>
                      <w:szCs w:val="26"/>
                    </w:rPr>
                  </w:pPr>
                  <w:r w:rsidRPr="00812468">
                    <w:rPr>
                      <w:rFonts w:eastAsia="Arial"/>
                      <w:sz w:val="26"/>
                      <w:szCs w:val="26"/>
                    </w:rPr>
                    <w:t>8</w:t>
                  </w:r>
                </w:p>
              </w:tc>
              <w:tc>
                <w:tcPr>
                  <w:tcW w:w="2366" w:type="dxa"/>
                  <w:tcBorders>
                    <w:top w:val="none" w:sz="0" w:space="0" w:color="020000"/>
                    <w:left w:val="none" w:sz="0" w:space="0" w:color="020000"/>
                    <w:bottom w:val="none" w:sz="0" w:space="0" w:color="020000"/>
                  </w:tcBorders>
                  <w:vAlign w:val="center"/>
                </w:tcPr>
                <w:p w14:paraId="5C2C082B" w14:textId="77777777" w:rsidR="0097281D" w:rsidRPr="00812468" w:rsidRDefault="0097281D" w:rsidP="00812468">
                  <w:pPr>
                    <w:keepNext/>
                    <w:keepLines/>
                    <w:rPr>
                      <w:rFonts w:eastAsia="Arial"/>
                      <w:sz w:val="26"/>
                      <w:szCs w:val="26"/>
                    </w:rPr>
                  </w:pPr>
                  <w:r w:rsidRPr="00812468">
                    <w:rPr>
                      <w:rFonts w:eastAsia="Arial"/>
                      <w:sz w:val="26"/>
                      <w:szCs w:val="26"/>
                    </w:rPr>
                    <w:t>Other Revenue</w:t>
                  </w:r>
                </w:p>
              </w:tc>
              <w:tc>
                <w:tcPr>
                  <w:tcW w:w="1426" w:type="dxa"/>
                  <w:tcBorders>
                    <w:bottom w:val="single" w:sz="4" w:space="0" w:color="auto"/>
                  </w:tcBorders>
                  <w:vAlign w:val="center"/>
                </w:tcPr>
                <w:p w14:paraId="204246A5" w14:textId="77777777" w:rsidR="0097281D" w:rsidRPr="00812468" w:rsidRDefault="0097281D" w:rsidP="00812468">
                  <w:pPr>
                    <w:keepNext/>
                    <w:keepLines/>
                    <w:jc w:val="right"/>
                    <w:rPr>
                      <w:rFonts w:eastAsia="Arial"/>
                      <w:sz w:val="26"/>
                      <w:szCs w:val="26"/>
                    </w:rPr>
                  </w:pPr>
                  <w:r w:rsidRPr="00812468">
                    <w:rPr>
                      <w:rFonts w:eastAsia="Arial"/>
                      <w:sz w:val="26"/>
                      <w:szCs w:val="26"/>
                    </w:rPr>
                    <w:t>$68.568</w:t>
                  </w:r>
                </w:p>
              </w:tc>
              <w:tc>
                <w:tcPr>
                  <w:tcW w:w="1550" w:type="dxa"/>
                  <w:tcBorders>
                    <w:bottom w:val="single" w:sz="4" w:space="0" w:color="auto"/>
                  </w:tcBorders>
                  <w:vAlign w:val="center"/>
                </w:tcPr>
                <w:p w14:paraId="299CE66F" w14:textId="39CBB5E5" w:rsidR="0097281D" w:rsidRPr="00812468" w:rsidRDefault="0097281D" w:rsidP="00812468">
                  <w:pPr>
                    <w:keepNext/>
                    <w:keepLines/>
                    <w:jc w:val="right"/>
                    <w:rPr>
                      <w:rFonts w:eastAsia="Arial"/>
                      <w:sz w:val="26"/>
                      <w:szCs w:val="26"/>
                    </w:rPr>
                  </w:pPr>
                  <w:r w:rsidRPr="00812468">
                    <w:rPr>
                      <w:rFonts w:eastAsia="Arial"/>
                      <w:sz w:val="26"/>
                      <w:szCs w:val="26"/>
                    </w:rPr>
                    <w:t>$0</w:t>
                  </w:r>
                </w:p>
              </w:tc>
              <w:tc>
                <w:tcPr>
                  <w:tcW w:w="1091" w:type="dxa"/>
                  <w:tcBorders>
                    <w:top w:val="none" w:sz="0" w:space="0" w:color="020000"/>
                    <w:left w:val="nil"/>
                    <w:bottom w:val="none" w:sz="0" w:space="0" w:color="020000"/>
                    <w:right w:val="none" w:sz="0" w:space="0" w:color="020000"/>
                  </w:tcBorders>
                  <w:vAlign w:val="center"/>
                </w:tcPr>
                <w:p w14:paraId="0340F689" w14:textId="77777777" w:rsidR="0097281D" w:rsidRPr="00812468" w:rsidRDefault="0097281D" w:rsidP="00812468">
                  <w:pPr>
                    <w:keepNext/>
                    <w:keepLines/>
                    <w:jc w:val="right"/>
                    <w:rPr>
                      <w:rFonts w:eastAsia="Arial"/>
                      <w:sz w:val="26"/>
                      <w:szCs w:val="26"/>
                    </w:rPr>
                  </w:pPr>
                  <w:r w:rsidRPr="00812468">
                    <w:rPr>
                      <w:rFonts w:eastAsia="Arial"/>
                      <w:sz w:val="26"/>
                      <w:szCs w:val="26"/>
                    </w:rPr>
                    <w:t>0.0%</w:t>
                  </w:r>
                </w:p>
              </w:tc>
            </w:tr>
            <w:tr w:rsidR="0097281D" w:rsidRPr="0059512A" w14:paraId="238C957C" w14:textId="77777777" w:rsidTr="00812468">
              <w:trPr>
                <w:trHeight w:hRule="exact" w:val="637"/>
                <w:jc w:val="center"/>
              </w:trPr>
              <w:tc>
                <w:tcPr>
                  <w:tcW w:w="519" w:type="dxa"/>
                  <w:tcBorders>
                    <w:top w:val="none" w:sz="0" w:space="0" w:color="020000"/>
                    <w:left w:val="none" w:sz="0" w:space="0" w:color="020000"/>
                    <w:bottom w:val="none" w:sz="0" w:space="0" w:color="020000"/>
                    <w:right w:val="none" w:sz="0" w:space="0" w:color="020000"/>
                  </w:tcBorders>
                  <w:vAlign w:val="center"/>
                </w:tcPr>
                <w:p w14:paraId="73AC2A7F" w14:textId="77777777" w:rsidR="0097281D" w:rsidRPr="00812468" w:rsidRDefault="0097281D" w:rsidP="00812468">
                  <w:pPr>
                    <w:keepNext/>
                    <w:keepLines/>
                    <w:jc w:val="center"/>
                    <w:rPr>
                      <w:rFonts w:eastAsia="Arial"/>
                      <w:sz w:val="26"/>
                      <w:szCs w:val="26"/>
                    </w:rPr>
                  </w:pPr>
                  <w:r w:rsidRPr="00812468">
                    <w:rPr>
                      <w:rFonts w:eastAsia="Arial"/>
                      <w:sz w:val="26"/>
                      <w:szCs w:val="26"/>
                    </w:rPr>
                    <w:t>9</w:t>
                  </w:r>
                </w:p>
              </w:tc>
              <w:tc>
                <w:tcPr>
                  <w:tcW w:w="2366" w:type="dxa"/>
                  <w:tcBorders>
                    <w:top w:val="none" w:sz="0" w:space="0" w:color="020000"/>
                    <w:left w:val="none" w:sz="0" w:space="0" w:color="020000"/>
                    <w:bottom w:val="none" w:sz="0" w:space="0" w:color="020000"/>
                    <w:right w:val="none" w:sz="0" w:space="0" w:color="020000"/>
                  </w:tcBorders>
                  <w:vAlign w:val="center"/>
                </w:tcPr>
                <w:p w14:paraId="2EE7404D" w14:textId="6E70ED7B" w:rsidR="0097281D" w:rsidRPr="00812468" w:rsidRDefault="0097281D" w:rsidP="00812468">
                  <w:pPr>
                    <w:keepNext/>
                    <w:keepLines/>
                    <w:rPr>
                      <w:rFonts w:eastAsia="Arial"/>
                      <w:sz w:val="26"/>
                      <w:szCs w:val="26"/>
                    </w:rPr>
                  </w:pPr>
                  <w:r w:rsidRPr="00812468">
                    <w:rPr>
                      <w:rFonts w:eastAsia="Arial"/>
                      <w:sz w:val="26"/>
                      <w:szCs w:val="26"/>
                    </w:rPr>
                    <w:t>Total Company</w:t>
                  </w:r>
                </w:p>
              </w:tc>
              <w:tc>
                <w:tcPr>
                  <w:tcW w:w="1426" w:type="dxa"/>
                  <w:tcBorders>
                    <w:top w:val="single" w:sz="4" w:space="0" w:color="auto"/>
                    <w:left w:val="none" w:sz="0" w:space="0" w:color="020000"/>
                    <w:bottom w:val="none" w:sz="0" w:space="0" w:color="020000"/>
                    <w:right w:val="none" w:sz="0" w:space="0" w:color="020000"/>
                  </w:tcBorders>
                  <w:vAlign w:val="center"/>
                </w:tcPr>
                <w:p w14:paraId="789A8EAE" w14:textId="77777777" w:rsidR="0097281D" w:rsidRPr="00812468" w:rsidRDefault="0097281D" w:rsidP="00812468">
                  <w:pPr>
                    <w:keepNext/>
                    <w:keepLines/>
                    <w:jc w:val="right"/>
                    <w:rPr>
                      <w:rFonts w:eastAsia="Arial"/>
                      <w:sz w:val="26"/>
                      <w:szCs w:val="26"/>
                    </w:rPr>
                  </w:pPr>
                  <w:r w:rsidRPr="00812468">
                    <w:rPr>
                      <w:rFonts w:eastAsia="Arial"/>
                      <w:sz w:val="26"/>
                      <w:szCs w:val="26"/>
                    </w:rPr>
                    <w:t>$4,860,408</w:t>
                  </w:r>
                </w:p>
              </w:tc>
              <w:tc>
                <w:tcPr>
                  <w:tcW w:w="1550" w:type="dxa"/>
                  <w:tcBorders>
                    <w:top w:val="single" w:sz="4" w:space="0" w:color="auto"/>
                    <w:left w:val="none" w:sz="0" w:space="0" w:color="020000"/>
                    <w:bottom w:val="none" w:sz="0" w:space="0" w:color="020000"/>
                    <w:right w:val="none" w:sz="0" w:space="0" w:color="020000"/>
                  </w:tcBorders>
                  <w:vAlign w:val="center"/>
                </w:tcPr>
                <w:p w14:paraId="5C6098B4" w14:textId="77777777" w:rsidR="0097281D" w:rsidRPr="00812468" w:rsidRDefault="0097281D" w:rsidP="00812468">
                  <w:pPr>
                    <w:keepNext/>
                    <w:keepLines/>
                    <w:jc w:val="right"/>
                    <w:rPr>
                      <w:rFonts w:eastAsia="Arial"/>
                      <w:sz w:val="26"/>
                      <w:szCs w:val="26"/>
                    </w:rPr>
                  </w:pPr>
                  <w:r w:rsidRPr="00812468">
                    <w:rPr>
                      <w:rFonts w:eastAsia="Arial"/>
                      <w:sz w:val="26"/>
                      <w:szCs w:val="26"/>
                    </w:rPr>
                    <w:t>$792,695</w:t>
                  </w:r>
                </w:p>
              </w:tc>
              <w:tc>
                <w:tcPr>
                  <w:tcW w:w="1091" w:type="dxa"/>
                  <w:tcBorders>
                    <w:top w:val="none" w:sz="0" w:space="0" w:color="020000"/>
                    <w:left w:val="none" w:sz="0" w:space="0" w:color="020000"/>
                    <w:bottom w:val="none" w:sz="0" w:space="0" w:color="020000"/>
                    <w:right w:val="none" w:sz="0" w:space="0" w:color="020000"/>
                  </w:tcBorders>
                  <w:vAlign w:val="center"/>
                </w:tcPr>
                <w:p w14:paraId="00CF1606" w14:textId="77777777" w:rsidR="0097281D" w:rsidRPr="00812468" w:rsidRDefault="0097281D" w:rsidP="00812468">
                  <w:pPr>
                    <w:keepNext/>
                    <w:keepLines/>
                    <w:jc w:val="right"/>
                    <w:rPr>
                      <w:rFonts w:eastAsia="Arial"/>
                      <w:sz w:val="26"/>
                      <w:szCs w:val="26"/>
                    </w:rPr>
                  </w:pPr>
                  <w:r w:rsidRPr="00812468">
                    <w:rPr>
                      <w:rFonts w:eastAsia="Arial"/>
                      <w:sz w:val="26"/>
                      <w:szCs w:val="26"/>
                    </w:rPr>
                    <w:t>16.3%</w:t>
                  </w:r>
                </w:p>
              </w:tc>
            </w:tr>
          </w:tbl>
          <w:p w14:paraId="1BE3C24A" w14:textId="77777777" w:rsidR="00CC5C96" w:rsidRPr="0059512A" w:rsidRDefault="00CC5C96" w:rsidP="00812468">
            <w:pPr>
              <w:pStyle w:val="ListParagraph"/>
              <w:keepNext/>
              <w:keepLines/>
              <w:widowControl/>
              <w:spacing w:line="360" w:lineRule="auto"/>
              <w:ind w:left="0"/>
              <w:rPr>
                <w:b/>
                <w:bCs/>
                <w:sz w:val="26"/>
                <w:szCs w:val="26"/>
              </w:rPr>
            </w:pPr>
          </w:p>
        </w:tc>
      </w:tr>
      <w:tr w:rsidR="00CC5C96" w:rsidRPr="0059512A" w14:paraId="435F1BBE" w14:textId="77777777" w:rsidTr="00381666">
        <w:trPr>
          <w:gridBefore w:val="1"/>
          <w:gridAfter w:val="1"/>
          <w:wBefore w:w="2875" w:type="dxa"/>
          <w:wAfter w:w="2980" w:type="dxa"/>
          <w:trHeight w:val="620"/>
          <w:jc w:val="center"/>
        </w:trPr>
        <w:tc>
          <w:tcPr>
            <w:tcW w:w="2250" w:type="dxa"/>
            <w:tcBorders>
              <w:top w:val="nil"/>
              <w:left w:val="nil"/>
              <w:bottom w:val="nil"/>
              <w:right w:val="nil"/>
            </w:tcBorders>
          </w:tcPr>
          <w:p w14:paraId="15DE3129" w14:textId="609488E0" w:rsidR="0097281D" w:rsidRPr="0059512A" w:rsidRDefault="0097281D" w:rsidP="00812468">
            <w:pPr>
              <w:keepNext/>
              <w:keepLines/>
              <w:widowControl/>
              <w:spacing w:before="2" w:line="198" w:lineRule="exact"/>
              <w:textAlignment w:val="baseline"/>
              <w:rPr>
                <w:rFonts w:ascii="Arial" w:eastAsia="Arial" w:hAnsi="Arial"/>
                <w:color w:val="000000"/>
                <w:sz w:val="18"/>
              </w:rPr>
            </w:pPr>
            <w:r w:rsidRPr="0059512A">
              <w:rPr>
                <w:rFonts w:ascii="Arial" w:eastAsia="Arial" w:hAnsi="Arial"/>
                <w:color w:val="000000"/>
                <w:sz w:val="18"/>
              </w:rPr>
              <w:t>Source: Exh (HSG-1),</w:t>
            </w:r>
            <w:r w:rsidR="00861160">
              <w:rPr>
                <w:rFonts w:ascii="Arial" w:eastAsia="Arial" w:hAnsi="Arial"/>
                <w:color w:val="000000"/>
                <w:sz w:val="18"/>
              </w:rPr>
              <w:t xml:space="preserve"> </w:t>
            </w:r>
          </w:p>
          <w:p w14:paraId="47633117" w14:textId="463B4789" w:rsidR="00CC5C96" w:rsidRPr="0059512A" w:rsidRDefault="0097281D" w:rsidP="00812468">
            <w:pPr>
              <w:keepNext/>
              <w:keepLines/>
              <w:widowControl/>
              <w:spacing w:before="67" w:line="198" w:lineRule="exact"/>
              <w:textAlignment w:val="baseline"/>
              <w:rPr>
                <w:rFonts w:ascii="Arial" w:eastAsia="Arial" w:hAnsi="Arial"/>
                <w:color w:val="000000"/>
                <w:sz w:val="18"/>
              </w:rPr>
            </w:pPr>
            <w:r w:rsidRPr="0059512A">
              <w:rPr>
                <w:rFonts w:ascii="Arial" w:eastAsia="Arial" w:hAnsi="Arial"/>
                <w:color w:val="000000"/>
                <w:sz w:val="18"/>
              </w:rPr>
              <w:t xml:space="preserve">                Sch. B6-1</w:t>
            </w:r>
          </w:p>
        </w:tc>
      </w:tr>
    </w:tbl>
    <w:p w14:paraId="1E405BBB" w14:textId="77777777" w:rsidR="00F43E08" w:rsidRPr="0059512A" w:rsidRDefault="00F43E08" w:rsidP="00861160">
      <w:pPr>
        <w:keepNext/>
        <w:keepLines/>
        <w:widowControl/>
        <w:rPr>
          <w:i/>
          <w:iCs/>
          <w:sz w:val="26"/>
          <w:szCs w:val="26"/>
        </w:rPr>
      </w:pPr>
    </w:p>
    <w:p w14:paraId="6905FEDD" w14:textId="4C449C61" w:rsidR="004019EB" w:rsidRPr="0059512A" w:rsidRDefault="00F43E08" w:rsidP="00694745">
      <w:pPr>
        <w:keepNext/>
        <w:keepLines/>
        <w:widowControl/>
        <w:spacing w:line="360" w:lineRule="auto"/>
        <w:rPr>
          <w:sz w:val="26"/>
          <w:szCs w:val="26"/>
        </w:rPr>
      </w:pPr>
      <w:r w:rsidRPr="0059512A">
        <w:rPr>
          <w:sz w:val="26"/>
          <w:szCs w:val="26"/>
        </w:rPr>
        <w:t>OSBA St. 1, Sch. BK-3(C).</w:t>
      </w:r>
    </w:p>
    <w:p w14:paraId="6FC64AA1" w14:textId="77777777" w:rsidR="00F43E08" w:rsidRPr="0059512A" w:rsidRDefault="00F43E08" w:rsidP="00694745">
      <w:pPr>
        <w:widowControl/>
        <w:spacing w:line="360" w:lineRule="auto"/>
        <w:rPr>
          <w:sz w:val="26"/>
          <w:szCs w:val="26"/>
        </w:rPr>
      </w:pPr>
    </w:p>
    <w:p w14:paraId="385D71D7" w14:textId="00C7C951" w:rsidR="00A14F65" w:rsidRPr="0059512A" w:rsidRDefault="000E45FB" w:rsidP="00694745">
      <w:pPr>
        <w:pStyle w:val="ListParagraph"/>
        <w:keepNext/>
        <w:widowControl/>
        <w:spacing w:line="360" w:lineRule="auto"/>
        <w:ind w:left="2160" w:hanging="720"/>
        <w:rPr>
          <w:b/>
          <w:bCs/>
          <w:sz w:val="26"/>
          <w:szCs w:val="26"/>
        </w:rPr>
      </w:pPr>
      <w:r w:rsidRPr="0059512A">
        <w:rPr>
          <w:b/>
          <w:bCs/>
          <w:sz w:val="26"/>
          <w:szCs w:val="26"/>
        </w:rPr>
        <w:t>b.</w:t>
      </w:r>
      <w:r w:rsidRPr="0059512A">
        <w:rPr>
          <w:b/>
          <w:bCs/>
          <w:sz w:val="26"/>
          <w:szCs w:val="26"/>
        </w:rPr>
        <w:tab/>
      </w:r>
      <w:r w:rsidR="00A14F65" w:rsidRPr="0059512A">
        <w:rPr>
          <w:b/>
          <w:bCs/>
          <w:sz w:val="26"/>
          <w:szCs w:val="26"/>
        </w:rPr>
        <w:t>Recommended Decision</w:t>
      </w:r>
    </w:p>
    <w:p w14:paraId="7D2DEC22" w14:textId="1B3B2E3B" w:rsidR="00FD799E" w:rsidRPr="0059512A" w:rsidRDefault="00FD799E" w:rsidP="00694745">
      <w:pPr>
        <w:keepNext/>
        <w:widowControl/>
        <w:spacing w:line="360" w:lineRule="auto"/>
        <w:rPr>
          <w:b/>
          <w:bCs/>
          <w:sz w:val="26"/>
          <w:szCs w:val="26"/>
        </w:rPr>
      </w:pPr>
    </w:p>
    <w:p w14:paraId="48695D02" w14:textId="024939F6" w:rsidR="008E6128" w:rsidRPr="0059512A" w:rsidRDefault="003E295F" w:rsidP="00694745">
      <w:pPr>
        <w:keepNext/>
        <w:widowControl/>
        <w:spacing w:line="360" w:lineRule="auto"/>
        <w:ind w:firstLine="1440"/>
        <w:rPr>
          <w:b/>
          <w:bCs/>
          <w:sz w:val="26"/>
          <w:szCs w:val="26"/>
        </w:rPr>
      </w:pPr>
      <w:r w:rsidRPr="0059512A">
        <w:rPr>
          <w:sz w:val="26"/>
          <w:szCs w:val="26"/>
        </w:rPr>
        <w:t>Although the ALJs generally rejected the position that there should never be a rate decrease for a rate class while rates are increasing for other</w:t>
      </w:r>
      <w:r w:rsidR="000D2EFC" w:rsidRPr="0059512A">
        <w:rPr>
          <w:sz w:val="26"/>
          <w:szCs w:val="26"/>
        </w:rPr>
        <w:t>s</w:t>
      </w:r>
      <w:r w:rsidRPr="0059512A">
        <w:rPr>
          <w:sz w:val="26"/>
          <w:szCs w:val="26"/>
        </w:rPr>
        <w:t xml:space="preserve">, the ALJs did not approve </w:t>
      </w:r>
      <w:r w:rsidR="00EB26B8" w:rsidRPr="0059512A">
        <w:rPr>
          <w:sz w:val="26"/>
          <w:szCs w:val="26"/>
        </w:rPr>
        <w:t>the Company’s</w:t>
      </w:r>
      <w:r w:rsidRPr="0059512A">
        <w:rPr>
          <w:sz w:val="26"/>
          <w:szCs w:val="26"/>
        </w:rPr>
        <w:t xml:space="preserve"> proposed rate decrease for the GLP-3 class.  </w:t>
      </w:r>
      <w:r w:rsidR="008E6128" w:rsidRPr="0059512A">
        <w:rPr>
          <w:sz w:val="26"/>
          <w:szCs w:val="26"/>
        </w:rPr>
        <w:t xml:space="preserve">The ALJs recommended that I&amp;E’s revenue allocation, which modifies </w:t>
      </w:r>
      <w:r w:rsidR="00EB26B8" w:rsidRPr="0059512A">
        <w:rPr>
          <w:sz w:val="26"/>
          <w:szCs w:val="26"/>
        </w:rPr>
        <w:t>the Company’s</w:t>
      </w:r>
      <w:r w:rsidR="008E6128" w:rsidRPr="0059512A">
        <w:rPr>
          <w:sz w:val="26"/>
          <w:szCs w:val="26"/>
        </w:rPr>
        <w:t xml:space="preserve"> proposed revenue allocation by eliminating the $35,830 reduction in revenue from the GLP-3 class </w:t>
      </w:r>
      <w:r w:rsidR="008E6128" w:rsidRPr="0059512A">
        <w:rPr>
          <w:sz w:val="26"/>
          <w:szCs w:val="26"/>
        </w:rPr>
        <w:lastRenderedPageBreak/>
        <w:t>and reallocating the $35,830 in excess revenue to the GLP-1 and OL classes based on the percent increase the GLP-1 and OL rate classes are proposed to receive prior to any overall scale back, should be adopted.  The ALJs opined that this proposal most closely reflects the actual cost of service to the various customer classes, most reasonably moves distribution rates for each class closer to the full cost of providing service and most thoroughly considers factors such as gradualism, rate shock, rate continuity, competitive concerns, and principles of fundamental fairness in reaching a fair determination.  R.D.</w:t>
      </w:r>
      <w:r w:rsidR="00861160">
        <w:rPr>
          <w:sz w:val="26"/>
          <w:szCs w:val="26"/>
        </w:rPr>
        <w:t> </w:t>
      </w:r>
      <w:r w:rsidR="008E6128" w:rsidRPr="0059512A">
        <w:rPr>
          <w:sz w:val="26"/>
          <w:szCs w:val="26"/>
        </w:rPr>
        <w:t>at</w:t>
      </w:r>
      <w:r w:rsidR="002D021E" w:rsidRPr="0059512A">
        <w:rPr>
          <w:sz w:val="26"/>
          <w:szCs w:val="26"/>
        </w:rPr>
        <w:t> </w:t>
      </w:r>
      <w:r w:rsidRPr="0059512A">
        <w:rPr>
          <w:sz w:val="26"/>
          <w:szCs w:val="26"/>
        </w:rPr>
        <w:t>104</w:t>
      </w:r>
      <w:r w:rsidR="008E6128" w:rsidRPr="0059512A">
        <w:rPr>
          <w:sz w:val="26"/>
          <w:szCs w:val="26"/>
        </w:rPr>
        <w:t>-106</w:t>
      </w:r>
      <w:r w:rsidRPr="0059512A">
        <w:rPr>
          <w:sz w:val="26"/>
          <w:szCs w:val="26"/>
        </w:rPr>
        <w:t xml:space="preserve">.  </w:t>
      </w:r>
    </w:p>
    <w:p w14:paraId="73E508EA" w14:textId="77777777" w:rsidR="00A14F65" w:rsidRPr="0059512A" w:rsidRDefault="00A14F65" w:rsidP="0059512A">
      <w:pPr>
        <w:pStyle w:val="ListParagraph"/>
        <w:widowControl/>
        <w:spacing w:line="360" w:lineRule="auto"/>
        <w:rPr>
          <w:b/>
          <w:bCs/>
          <w:sz w:val="26"/>
          <w:szCs w:val="26"/>
        </w:rPr>
      </w:pPr>
    </w:p>
    <w:p w14:paraId="3493E19C" w14:textId="31F2AFDE" w:rsidR="00A14F65" w:rsidRPr="0059512A" w:rsidRDefault="000E45FB" w:rsidP="0059512A">
      <w:pPr>
        <w:pStyle w:val="ListParagraph"/>
        <w:keepNext/>
        <w:widowControl/>
        <w:spacing w:line="360" w:lineRule="auto"/>
        <w:ind w:left="2160" w:hanging="720"/>
        <w:rPr>
          <w:b/>
          <w:bCs/>
          <w:sz w:val="26"/>
          <w:szCs w:val="26"/>
        </w:rPr>
      </w:pPr>
      <w:r w:rsidRPr="0059512A">
        <w:rPr>
          <w:b/>
          <w:bCs/>
          <w:sz w:val="26"/>
          <w:szCs w:val="26"/>
        </w:rPr>
        <w:t>c.</w:t>
      </w:r>
      <w:r w:rsidRPr="0059512A">
        <w:rPr>
          <w:b/>
          <w:bCs/>
          <w:sz w:val="26"/>
          <w:szCs w:val="26"/>
        </w:rPr>
        <w:tab/>
      </w:r>
      <w:r w:rsidR="00A14F65" w:rsidRPr="0059512A">
        <w:rPr>
          <w:b/>
          <w:bCs/>
          <w:sz w:val="26"/>
          <w:szCs w:val="26"/>
        </w:rPr>
        <w:t>Exceptions and Replies</w:t>
      </w:r>
    </w:p>
    <w:p w14:paraId="2842E707" w14:textId="6675A10B" w:rsidR="00A14F65" w:rsidRPr="0059512A" w:rsidRDefault="00A14F65" w:rsidP="0059512A">
      <w:pPr>
        <w:keepNext/>
        <w:widowControl/>
        <w:spacing w:line="360" w:lineRule="auto"/>
        <w:ind w:left="1440" w:hanging="720"/>
        <w:rPr>
          <w:b/>
          <w:bCs/>
          <w:sz w:val="26"/>
          <w:szCs w:val="26"/>
        </w:rPr>
      </w:pPr>
    </w:p>
    <w:p w14:paraId="49B010D7" w14:textId="540BC3E6" w:rsidR="003E295F" w:rsidRPr="0059512A" w:rsidRDefault="00FC7785" w:rsidP="0059512A">
      <w:pPr>
        <w:keepNext/>
        <w:widowControl/>
        <w:spacing w:line="360" w:lineRule="auto"/>
        <w:ind w:firstLine="1440"/>
        <w:rPr>
          <w:sz w:val="26"/>
          <w:szCs w:val="26"/>
        </w:rPr>
      </w:pPr>
      <w:r w:rsidRPr="0059512A">
        <w:rPr>
          <w:sz w:val="26"/>
          <w:szCs w:val="26"/>
        </w:rPr>
        <w:t>In its Exception No. 10, the OCA submits that the Commission should reject the ALJs’ recommendation and adopt the OCA’s proposed revenue allocation.  The OCA agrees with I&amp;E that a rate decrease for the GLP-3 rate class when other rate classes are experiencing significant rate increases is not appropriate.  However, the OCA disagrees with I&amp;E’s proposed redistribution to different rate classes, and alternatively recommended that the rate decrease proposed for the GLP-3 class should be proportionately redistributed to the rate classes receiving an increase that is greater than or equal to 1.5 times the system average increase.  The OCA asserts that</w:t>
      </w:r>
      <w:r w:rsidR="00B67D65">
        <w:rPr>
          <w:sz w:val="26"/>
          <w:szCs w:val="26"/>
        </w:rPr>
        <w:t>,</w:t>
      </w:r>
      <w:r w:rsidRPr="0059512A">
        <w:rPr>
          <w:sz w:val="26"/>
          <w:szCs w:val="26"/>
        </w:rPr>
        <w:t xml:space="preserve"> while cost of service should guide the Commission when setting rates, other ratemaking principles such as gradualism, rate shock avoidance, and basic fairness should not be abandoned.  OCA Exc. at 25-28.</w:t>
      </w:r>
    </w:p>
    <w:p w14:paraId="0CC5C147" w14:textId="199474F2" w:rsidR="00FC7785" w:rsidRPr="0059512A" w:rsidRDefault="00FC7785" w:rsidP="0059512A">
      <w:pPr>
        <w:widowControl/>
        <w:spacing w:line="360" w:lineRule="auto"/>
        <w:ind w:firstLine="1440"/>
        <w:rPr>
          <w:sz w:val="26"/>
          <w:szCs w:val="26"/>
        </w:rPr>
      </w:pPr>
    </w:p>
    <w:p w14:paraId="6F572B92" w14:textId="2DC9C452" w:rsidR="00FC7785" w:rsidRPr="0059512A" w:rsidRDefault="0098318A" w:rsidP="0059512A">
      <w:pPr>
        <w:widowControl/>
        <w:spacing w:line="360" w:lineRule="auto"/>
        <w:ind w:firstLine="1440"/>
        <w:rPr>
          <w:sz w:val="26"/>
          <w:szCs w:val="26"/>
        </w:rPr>
      </w:pPr>
      <w:r w:rsidRPr="0059512A">
        <w:rPr>
          <w:sz w:val="26"/>
          <w:szCs w:val="26"/>
        </w:rPr>
        <w:t xml:space="preserve">In its Exception No. 11, </w:t>
      </w:r>
      <w:r w:rsidR="00FC7785" w:rsidRPr="0059512A">
        <w:rPr>
          <w:sz w:val="26"/>
          <w:szCs w:val="26"/>
        </w:rPr>
        <w:t xml:space="preserve">Citizens’ also excepts to the ALJs’ recommendation, contending that the ALJs erred in approving a revenue allocation that fails to adequately move all customers towards cost of service, and maintaining that a rate decrease for class GLP-3 is appropriate and corroborated by the Commission’s decision in the </w:t>
      </w:r>
      <w:r w:rsidR="00FC7785" w:rsidRPr="0059512A">
        <w:rPr>
          <w:i/>
          <w:iCs/>
          <w:sz w:val="26"/>
          <w:szCs w:val="26"/>
        </w:rPr>
        <w:t>UGI Order</w:t>
      </w:r>
      <w:r w:rsidR="00FC7785" w:rsidRPr="0059512A">
        <w:rPr>
          <w:sz w:val="26"/>
          <w:szCs w:val="26"/>
        </w:rPr>
        <w:t xml:space="preserve"> granting a rate decrease to a rate class.  The Company contends that the </w:t>
      </w:r>
      <w:r w:rsidR="00FC7785" w:rsidRPr="0059512A">
        <w:rPr>
          <w:sz w:val="26"/>
          <w:szCs w:val="26"/>
        </w:rPr>
        <w:lastRenderedPageBreak/>
        <w:t xml:space="preserve">ALJs’ recommendation fails to sufficiently move rate schedule GLP-3 towards cost of service.  Citizens’ Exc. at 24-25.  </w:t>
      </w:r>
    </w:p>
    <w:p w14:paraId="1AF148FE" w14:textId="3589F3B1" w:rsidR="00FC7785" w:rsidRPr="0059512A" w:rsidRDefault="00FC7785" w:rsidP="0059512A">
      <w:pPr>
        <w:widowControl/>
        <w:spacing w:line="360" w:lineRule="auto"/>
        <w:ind w:firstLine="1440"/>
        <w:rPr>
          <w:sz w:val="26"/>
          <w:szCs w:val="26"/>
        </w:rPr>
      </w:pPr>
    </w:p>
    <w:p w14:paraId="0856A8B8" w14:textId="19A9583C" w:rsidR="00FC7785" w:rsidRPr="0059512A" w:rsidRDefault="00FC7785" w:rsidP="0059512A">
      <w:pPr>
        <w:widowControl/>
        <w:spacing w:line="360" w:lineRule="auto"/>
        <w:ind w:firstLine="1440"/>
        <w:rPr>
          <w:sz w:val="26"/>
          <w:szCs w:val="26"/>
        </w:rPr>
      </w:pPr>
      <w:r w:rsidRPr="0059512A">
        <w:rPr>
          <w:sz w:val="26"/>
          <w:szCs w:val="26"/>
        </w:rPr>
        <w:t xml:space="preserve">In its reply to OCA Exception No. 10, Citizens’ reiterates its request that the Commission approve its proposed revenue allocation, which specifically implements a rate decrease for the GLP-3 class, as it moves all classes closer to the cost-of-service and avoids extreme rate impacts.  Citizens’ R. Exc. at 20.  </w:t>
      </w:r>
    </w:p>
    <w:p w14:paraId="10AAAD52" w14:textId="7EC7ED1D" w:rsidR="00FC7785" w:rsidRPr="0059512A" w:rsidRDefault="00FC7785" w:rsidP="0059512A">
      <w:pPr>
        <w:widowControl/>
        <w:spacing w:line="360" w:lineRule="auto"/>
        <w:ind w:firstLine="1440"/>
        <w:rPr>
          <w:sz w:val="26"/>
          <w:szCs w:val="26"/>
        </w:rPr>
      </w:pPr>
    </w:p>
    <w:p w14:paraId="56E078EE" w14:textId="0804EEE6" w:rsidR="00FC7785" w:rsidRPr="0059512A" w:rsidRDefault="0098318A" w:rsidP="0059512A">
      <w:pPr>
        <w:widowControl/>
        <w:spacing w:line="360" w:lineRule="auto"/>
        <w:ind w:firstLine="1440"/>
        <w:rPr>
          <w:sz w:val="26"/>
          <w:szCs w:val="26"/>
        </w:rPr>
      </w:pPr>
      <w:r w:rsidRPr="0059512A">
        <w:rPr>
          <w:sz w:val="26"/>
          <w:szCs w:val="26"/>
        </w:rPr>
        <w:t xml:space="preserve">In its reply to Citizens’ Exception No. 11, the OCA requests that Citizens’ Exception No. 11 be denied, maintaining that a rate decrease for the GLP-3 rate class is not appropriate.  OCA R. Exc. at 19-20.  </w:t>
      </w:r>
    </w:p>
    <w:p w14:paraId="73C67FB4" w14:textId="327D3A41" w:rsidR="003E295F" w:rsidRPr="0059512A" w:rsidRDefault="003E295F" w:rsidP="0059512A">
      <w:pPr>
        <w:widowControl/>
        <w:spacing w:line="360" w:lineRule="auto"/>
        <w:ind w:left="1440" w:hanging="720"/>
        <w:rPr>
          <w:b/>
          <w:bCs/>
          <w:sz w:val="26"/>
          <w:szCs w:val="26"/>
        </w:rPr>
      </w:pPr>
    </w:p>
    <w:p w14:paraId="09308BC9" w14:textId="38CDE4E5" w:rsidR="0098318A" w:rsidRPr="0059512A" w:rsidRDefault="0098318A" w:rsidP="0059512A">
      <w:pPr>
        <w:widowControl/>
        <w:spacing w:line="360" w:lineRule="auto"/>
        <w:ind w:firstLine="1440"/>
        <w:rPr>
          <w:b/>
          <w:bCs/>
          <w:sz w:val="26"/>
          <w:szCs w:val="26"/>
        </w:rPr>
      </w:pPr>
      <w:r w:rsidRPr="0059512A">
        <w:rPr>
          <w:sz w:val="26"/>
          <w:szCs w:val="26"/>
        </w:rPr>
        <w:t>In its reply to OCA Exception No.10, I&amp;E maintains that its proposal most fairly allocates revenue, appropriately moving classes towards their cost of service.  I&amp;E argues the reasonableness of its proposal in that it provides relief to the only two rate classes whose relative rates of return are above 1.0 (GLP-1 and OL) whereas the OCA’s recommendation would provide relief to classes whose relative rates of return are below</w:t>
      </w:r>
      <w:r w:rsidR="00861160">
        <w:rPr>
          <w:sz w:val="26"/>
          <w:szCs w:val="26"/>
        </w:rPr>
        <w:t> </w:t>
      </w:r>
      <w:r w:rsidRPr="0059512A">
        <w:rPr>
          <w:sz w:val="26"/>
          <w:szCs w:val="26"/>
        </w:rPr>
        <w:t xml:space="preserve">1.0, </w:t>
      </w:r>
      <w:r w:rsidRPr="0059512A">
        <w:rPr>
          <w:i/>
          <w:iCs/>
          <w:sz w:val="26"/>
          <w:szCs w:val="26"/>
        </w:rPr>
        <w:t>i.e.</w:t>
      </w:r>
      <w:r w:rsidRPr="0059512A">
        <w:rPr>
          <w:sz w:val="26"/>
          <w:szCs w:val="26"/>
        </w:rPr>
        <w:t>, classes not generating sufficient revenue to cover the cost incurred by the utility in providing service to those classes.  I&amp;E R. Exc. at 10-11.</w:t>
      </w:r>
    </w:p>
    <w:p w14:paraId="10952054" w14:textId="05CB79CD" w:rsidR="00FC7785" w:rsidRPr="0059512A" w:rsidRDefault="00FC7785" w:rsidP="0059512A">
      <w:pPr>
        <w:widowControl/>
        <w:spacing w:line="360" w:lineRule="auto"/>
        <w:ind w:left="1440" w:hanging="720"/>
        <w:rPr>
          <w:b/>
          <w:bCs/>
          <w:sz w:val="26"/>
          <w:szCs w:val="26"/>
        </w:rPr>
      </w:pPr>
    </w:p>
    <w:p w14:paraId="6A0C5615" w14:textId="371A6FE7" w:rsidR="0098318A" w:rsidRPr="0059512A" w:rsidRDefault="0098318A" w:rsidP="0059512A">
      <w:pPr>
        <w:widowControl/>
        <w:spacing w:line="360" w:lineRule="auto"/>
        <w:ind w:firstLine="1440"/>
        <w:rPr>
          <w:b/>
          <w:bCs/>
          <w:sz w:val="26"/>
          <w:szCs w:val="26"/>
        </w:rPr>
      </w:pPr>
      <w:r w:rsidRPr="0059512A">
        <w:rPr>
          <w:sz w:val="26"/>
          <w:szCs w:val="26"/>
        </w:rPr>
        <w:t>In its Replies to Citizens’ Exception No. 11 and the OCA’s Exception No. 10, the OSBA submits that the ALJs properly rejected the proposed revenue allocations of Citizens’ and the OCA in favor of I&amp;E’s proposal, which, although not identical to the OSBA’s proposal, better balances the factors set out in</w:t>
      </w:r>
      <w:r w:rsidRPr="0059512A">
        <w:rPr>
          <w:i/>
          <w:iCs/>
          <w:sz w:val="26"/>
          <w:szCs w:val="26"/>
        </w:rPr>
        <w:t xml:space="preserve"> Lloyd </w:t>
      </w:r>
      <w:r w:rsidRPr="0059512A">
        <w:rPr>
          <w:sz w:val="26"/>
          <w:szCs w:val="26"/>
        </w:rPr>
        <w:t>and the goal of moving all customer classes closer to cost of service than the proposals of Citizens’ and the OCA</w:t>
      </w:r>
      <w:r w:rsidR="000C6768" w:rsidRPr="0059512A">
        <w:rPr>
          <w:sz w:val="26"/>
          <w:szCs w:val="26"/>
        </w:rPr>
        <w:t xml:space="preserve">.  </w:t>
      </w:r>
      <w:bookmarkStart w:id="156" w:name="_Hlk38106228"/>
      <w:r w:rsidR="000C6768" w:rsidRPr="0059512A">
        <w:rPr>
          <w:sz w:val="26"/>
          <w:szCs w:val="26"/>
        </w:rPr>
        <w:t>OSBA R. Exc. at 3-5</w:t>
      </w:r>
      <w:bookmarkEnd w:id="156"/>
      <w:r w:rsidR="000C6768" w:rsidRPr="0059512A">
        <w:rPr>
          <w:sz w:val="26"/>
          <w:szCs w:val="26"/>
        </w:rPr>
        <w:t xml:space="preserve">.  </w:t>
      </w:r>
    </w:p>
    <w:p w14:paraId="32FCBACA" w14:textId="77777777" w:rsidR="00FC7785" w:rsidRPr="0059512A" w:rsidRDefault="00FC7785" w:rsidP="0059512A">
      <w:pPr>
        <w:widowControl/>
        <w:spacing w:line="360" w:lineRule="auto"/>
        <w:ind w:left="1440" w:hanging="720"/>
        <w:rPr>
          <w:b/>
          <w:bCs/>
          <w:sz w:val="26"/>
          <w:szCs w:val="26"/>
        </w:rPr>
      </w:pPr>
    </w:p>
    <w:p w14:paraId="29A5CAB7" w14:textId="61FC3572" w:rsidR="00A14F65" w:rsidRPr="0059512A" w:rsidRDefault="000E45FB" w:rsidP="00861160">
      <w:pPr>
        <w:pStyle w:val="ListParagraph"/>
        <w:keepNext/>
        <w:keepLines/>
        <w:widowControl/>
        <w:spacing w:line="360" w:lineRule="auto"/>
        <w:ind w:left="2160" w:hanging="720"/>
        <w:rPr>
          <w:b/>
          <w:bCs/>
          <w:sz w:val="26"/>
          <w:szCs w:val="26"/>
        </w:rPr>
      </w:pPr>
      <w:r w:rsidRPr="0059512A">
        <w:rPr>
          <w:b/>
          <w:bCs/>
          <w:sz w:val="26"/>
          <w:szCs w:val="26"/>
        </w:rPr>
        <w:lastRenderedPageBreak/>
        <w:t>d.</w:t>
      </w:r>
      <w:r w:rsidRPr="0059512A">
        <w:rPr>
          <w:b/>
          <w:bCs/>
          <w:sz w:val="26"/>
          <w:szCs w:val="26"/>
        </w:rPr>
        <w:tab/>
      </w:r>
      <w:r w:rsidR="00A14F65" w:rsidRPr="0059512A">
        <w:rPr>
          <w:b/>
          <w:bCs/>
          <w:sz w:val="26"/>
          <w:szCs w:val="26"/>
        </w:rPr>
        <w:t>Disposition</w:t>
      </w:r>
    </w:p>
    <w:p w14:paraId="239B4FCD" w14:textId="450A9045" w:rsidR="00940F5B" w:rsidRPr="0059512A" w:rsidRDefault="00940F5B" w:rsidP="00861160">
      <w:pPr>
        <w:pStyle w:val="ListParagraph"/>
        <w:keepNext/>
        <w:keepLines/>
        <w:widowControl/>
        <w:spacing w:line="360" w:lineRule="auto"/>
        <w:ind w:left="2160" w:hanging="720"/>
        <w:rPr>
          <w:b/>
          <w:bCs/>
          <w:sz w:val="26"/>
          <w:szCs w:val="26"/>
        </w:rPr>
      </w:pPr>
    </w:p>
    <w:p w14:paraId="2EEB4BC3" w14:textId="632EAA41" w:rsidR="00940F5B" w:rsidRPr="0059512A" w:rsidRDefault="00940F5B" w:rsidP="00861160">
      <w:pPr>
        <w:keepNext/>
        <w:keepLines/>
        <w:widowControl/>
        <w:spacing w:line="360" w:lineRule="auto"/>
        <w:ind w:firstLine="1440"/>
        <w:rPr>
          <w:sz w:val="26"/>
          <w:szCs w:val="26"/>
        </w:rPr>
      </w:pPr>
      <w:r w:rsidRPr="0059512A">
        <w:rPr>
          <w:sz w:val="26"/>
          <w:szCs w:val="26"/>
        </w:rPr>
        <w:t>Once an appropriate cost of service study has been adopted, the rate design process may begin, which involves two primary functions.  The first step is the determination of inter-class rates, which involves the assignment of the revenue requirement between the various customer classes.  The second step in the rate design process is the allocation of any class rate increase (or decrease) among the various intra-class rate elements.  In this step, we must examine the manner in which the class revenue requirement will be collected from customers.</w:t>
      </w:r>
    </w:p>
    <w:p w14:paraId="104670AF" w14:textId="795DA0B8" w:rsidR="005B5216" w:rsidRPr="0059512A" w:rsidRDefault="005B5216" w:rsidP="0059512A">
      <w:pPr>
        <w:widowControl/>
        <w:spacing w:line="360" w:lineRule="auto"/>
        <w:ind w:firstLine="1440"/>
        <w:rPr>
          <w:sz w:val="26"/>
          <w:szCs w:val="26"/>
        </w:rPr>
      </w:pPr>
    </w:p>
    <w:p w14:paraId="5B731C8A" w14:textId="7F490F3E" w:rsidR="00135557" w:rsidRPr="0059512A" w:rsidRDefault="005B5216" w:rsidP="0059512A">
      <w:pPr>
        <w:widowControl/>
        <w:spacing w:line="360" w:lineRule="auto"/>
        <w:ind w:firstLine="1440"/>
        <w:rPr>
          <w:sz w:val="26"/>
          <w:szCs w:val="26"/>
        </w:rPr>
      </w:pPr>
      <w:r w:rsidRPr="0059512A">
        <w:rPr>
          <w:sz w:val="26"/>
          <w:szCs w:val="26"/>
        </w:rPr>
        <w:t xml:space="preserve">Therefore, based upon our prior determination and discussion, </w:t>
      </w:r>
      <w:r w:rsidRPr="0059512A">
        <w:rPr>
          <w:i/>
          <w:iCs/>
          <w:sz w:val="26"/>
          <w:szCs w:val="26"/>
        </w:rPr>
        <w:t>supra</w:t>
      </w:r>
      <w:r w:rsidRPr="0059512A">
        <w:rPr>
          <w:sz w:val="26"/>
          <w:szCs w:val="26"/>
        </w:rPr>
        <w:t xml:space="preserve">, </w:t>
      </w:r>
      <w:bookmarkEnd w:id="154"/>
      <w:r w:rsidR="00135557" w:rsidRPr="0059512A">
        <w:rPr>
          <w:sz w:val="26"/>
          <w:szCs w:val="26"/>
        </w:rPr>
        <w:t xml:space="preserve">we have accepted Citizens’ ACCOSS, excluding the Bucknell solar revenue loss, as reasonable, consistent with Commission precedent and in adherence with the methods set forth in the NARUC Manual.  In developing its proposed revenue allocation, Citizens’ cited the following objectives: (1) to move each class closer to its cost of service, as computed in the ACCOSS; and (2) to mitigate extreme rate impacts on rate classes and on customer subgroups.  Citizens’ St. 1 at 29-30.  Accordingly, as discussed </w:t>
      </w:r>
      <w:r w:rsidR="00135557" w:rsidRPr="0059512A">
        <w:rPr>
          <w:i/>
          <w:iCs/>
          <w:sz w:val="26"/>
          <w:szCs w:val="26"/>
        </w:rPr>
        <w:t>infra</w:t>
      </w:r>
      <w:r w:rsidR="00135557" w:rsidRPr="0059512A">
        <w:rPr>
          <w:sz w:val="26"/>
          <w:szCs w:val="26"/>
        </w:rPr>
        <w:t xml:space="preserve">, we find that Citizens’ revenue allocation proposal is consistent with </w:t>
      </w:r>
      <w:r w:rsidR="00135557" w:rsidRPr="0059512A">
        <w:rPr>
          <w:i/>
          <w:sz w:val="26"/>
          <w:szCs w:val="26"/>
        </w:rPr>
        <w:t xml:space="preserve">Lloyd </w:t>
      </w:r>
      <w:r w:rsidR="00135557" w:rsidRPr="0059512A">
        <w:rPr>
          <w:sz w:val="26"/>
          <w:szCs w:val="26"/>
        </w:rPr>
        <w:t>and moves all rate classes closer to cost of service in a reasonable manner.</w:t>
      </w:r>
    </w:p>
    <w:p w14:paraId="6A1AD011" w14:textId="77777777" w:rsidR="00135557" w:rsidRPr="0059512A" w:rsidRDefault="00135557" w:rsidP="0059512A">
      <w:pPr>
        <w:widowControl/>
        <w:spacing w:line="360" w:lineRule="auto"/>
        <w:rPr>
          <w:sz w:val="26"/>
          <w:szCs w:val="26"/>
        </w:rPr>
      </w:pPr>
    </w:p>
    <w:p w14:paraId="21AD18A2" w14:textId="6535F780" w:rsidR="00135557" w:rsidRPr="0059512A" w:rsidRDefault="00135557" w:rsidP="0059512A">
      <w:pPr>
        <w:widowControl/>
        <w:spacing w:line="360" w:lineRule="auto"/>
        <w:ind w:firstLine="1440"/>
        <w:rPr>
          <w:sz w:val="26"/>
          <w:szCs w:val="26"/>
        </w:rPr>
      </w:pPr>
      <w:r w:rsidRPr="0059512A">
        <w:rPr>
          <w:sz w:val="26"/>
          <w:szCs w:val="26"/>
        </w:rPr>
        <w:t>Before us are three divergent positions regarding the appropriate distribution of the Company’s requested revenue increase among its customer classes, with the actual numbers to be based on the proportionate adoption of the actual revenue requirement approved.</w:t>
      </w:r>
      <w:r w:rsidR="00C97694" w:rsidRPr="0059512A">
        <w:rPr>
          <w:sz w:val="26"/>
          <w:szCs w:val="26"/>
        </w:rPr>
        <w:t xml:space="preserve">  </w:t>
      </w:r>
      <w:r w:rsidRPr="0059512A">
        <w:rPr>
          <w:sz w:val="26"/>
          <w:szCs w:val="26"/>
        </w:rPr>
        <w:t>The methods that were employed by each Party in consideration of their respective proposals have been summarized by I&amp;E witness Cline as follows:</w:t>
      </w:r>
    </w:p>
    <w:p w14:paraId="0896CD61" w14:textId="77777777" w:rsidR="00135557" w:rsidRPr="0059512A" w:rsidRDefault="00135557" w:rsidP="00861160">
      <w:pPr>
        <w:widowControl/>
        <w:rPr>
          <w:sz w:val="26"/>
          <w:szCs w:val="26"/>
        </w:rPr>
      </w:pPr>
    </w:p>
    <w:p w14:paraId="1C51C381" w14:textId="77777777" w:rsidR="00135557" w:rsidRPr="0059512A" w:rsidRDefault="00135557" w:rsidP="0059512A">
      <w:pPr>
        <w:keepNext/>
        <w:widowControl/>
        <w:ind w:left="1440" w:right="1440"/>
        <w:rPr>
          <w:sz w:val="26"/>
          <w:szCs w:val="26"/>
        </w:rPr>
      </w:pPr>
      <w:r w:rsidRPr="0059512A">
        <w:rPr>
          <w:sz w:val="26"/>
          <w:szCs w:val="26"/>
        </w:rPr>
        <w:t xml:space="preserve">If a rate class has a relative rate of return of less than 1.0, that class is not generating sufficient revenue to recover the costs the utility spends to serve that class.  The solution in this instance would be to increase rates for that rate class in order </w:t>
      </w:r>
      <w:r w:rsidRPr="0059512A">
        <w:rPr>
          <w:sz w:val="26"/>
          <w:szCs w:val="26"/>
        </w:rPr>
        <w:lastRenderedPageBreak/>
        <w:t>to generate more revenue to cover its cost to serve.  In the event a rate class has a relative rate of return of greater than 1.0, that class is generating revenue greater than its cost to serve.  Some possible solutions to a rate class generating revenue greater than its cost to serve are 1) to reduce the rates of that rate class to match the cost to serve, 2) to not increase or decrease rates and allow costs to “catch up” to the revenue over lime as costs inevitably increase between rate cases, or 3) propose a smaller rate increase that allows costs to “catch up” at a more gradual pace.</w:t>
      </w:r>
    </w:p>
    <w:p w14:paraId="07C5E75C" w14:textId="77777777" w:rsidR="00135557" w:rsidRPr="0059512A" w:rsidRDefault="00135557" w:rsidP="0059512A">
      <w:pPr>
        <w:keepNext/>
        <w:widowControl/>
        <w:spacing w:line="360" w:lineRule="auto"/>
        <w:rPr>
          <w:sz w:val="26"/>
          <w:szCs w:val="26"/>
        </w:rPr>
      </w:pPr>
    </w:p>
    <w:p w14:paraId="4E497070" w14:textId="77777777" w:rsidR="00135557" w:rsidRPr="0059512A" w:rsidRDefault="00135557" w:rsidP="0059512A">
      <w:pPr>
        <w:keepNext/>
        <w:widowControl/>
        <w:spacing w:line="360" w:lineRule="auto"/>
        <w:rPr>
          <w:sz w:val="26"/>
          <w:szCs w:val="26"/>
        </w:rPr>
      </w:pPr>
      <w:r w:rsidRPr="0059512A">
        <w:rPr>
          <w:sz w:val="26"/>
          <w:szCs w:val="26"/>
        </w:rPr>
        <w:t>I&amp;E St. 3 at 27.</w:t>
      </w:r>
    </w:p>
    <w:p w14:paraId="726B657B" w14:textId="77777777" w:rsidR="00135557" w:rsidRPr="0059512A" w:rsidRDefault="00135557" w:rsidP="0059512A">
      <w:pPr>
        <w:widowControl/>
        <w:spacing w:line="360" w:lineRule="auto"/>
        <w:rPr>
          <w:sz w:val="26"/>
          <w:szCs w:val="26"/>
        </w:rPr>
      </w:pPr>
    </w:p>
    <w:p w14:paraId="1D2115FF" w14:textId="13A3E4C1" w:rsidR="00135557" w:rsidRPr="0059512A" w:rsidRDefault="00135557" w:rsidP="0059512A">
      <w:pPr>
        <w:widowControl/>
        <w:spacing w:line="360" w:lineRule="auto"/>
        <w:ind w:firstLine="1440"/>
        <w:rPr>
          <w:sz w:val="26"/>
          <w:szCs w:val="26"/>
        </w:rPr>
      </w:pPr>
      <w:r w:rsidRPr="0059512A">
        <w:rPr>
          <w:sz w:val="26"/>
          <w:szCs w:val="26"/>
        </w:rPr>
        <w:t>In this instance, Citizens’ chose to increase rates for the RS, SH, and MBL rate classes by approximately 25%, while limiting the rate increases for the GLP-1 and OL rate classes and reducing the rates for the GLP-3 rate class by 3.2%.  In contrast, both the OCA and I&amp;E shared the opinion that no rate class should receive a decrease, nonetheless differing in their recommendations on how the decrease to the GLP-3 class should be reallocated.  I&amp;E’s proposal, adopted by the ALJs’ and supported by the OSBA in Reply Exceptions, sought to reallocate the decrease to the OL and the GLP-1 rate classes, while the OCA proposed to proportionally distribute the decrease among the rate classes receiving an increase that is greater than or equal to 1.5 times the system average increase.  I&amp;E St. 3 at 30; I&amp;E St. 3-SR at 18; OCA St. 4 at 21; R.D. at 104-106; OSBA R. Exc. at 3-5.  It is the OCA’s opinion that its proposal simply provides for additional gradualism and is therefore more reasonable than I&amp;E’s recommendation.  OCA St. No.</w:t>
      </w:r>
      <w:r w:rsidR="00861160">
        <w:rPr>
          <w:sz w:val="26"/>
          <w:szCs w:val="26"/>
        </w:rPr>
        <w:t> </w:t>
      </w:r>
      <w:r w:rsidRPr="0059512A">
        <w:rPr>
          <w:sz w:val="26"/>
          <w:szCs w:val="26"/>
        </w:rPr>
        <w:t xml:space="preserve">4-R at 5.  </w:t>
      </w:r>
    </w:p>
    <w:p w14:paraId="1955AA49" w14:textId="77777777" w:rsidR="00135557" w:rsidRPr="0059512A" w:rsidRDefault="00135557" w:rsidP="0059512A">
      <w:pPr>
        <w:widowControl/>
        <w:spacing w:line="360" w:lineRule="auto"/>
        <w:rPr>
          <w:sz w:val="26"/>
          <w:szCs w:val="26"/>
        </w:rPr>
      </w:pPr>
    </w:p>
    <w:p w14:paraId="06727369" w14:textId="77777777" w:rsidR="00135557" w:rsidRPr="0059512A" w:rsidRDefault="00135557" w:rsidP="0059512A">
      <w:pPr>
        <w:widowControl/>
        <w:spacing w:line="360" w:lineRule="auto"/>
        <w:ind w:firstLine="1440"/>
        <w:rPr>
          <w:sz w:val="26"/>
          <w:szCs w:val="26"/>
        </w:rPr>
      </w:pPr>
      <w:r w:rsidRPr="0059512A">
        <w:rPr>
          <w:sz w:val="26"/>
          <w:szCs w:val="26"/>
        </w:rPr>
        <w:t xml:space="preserve">As noted above, the evidence shows that, regarding the three rate classes (GLP-1, GLP-3, and OL) that are currently subsidizing the cost to serve the remaining rate classes (RS, SH, and MBL), the GLP-3 rate class currently pays significantly more than its cost of service, in comparison to the other rate classes.  Therefore, we are of the opinion that a slight reduction in rates for the GLP-3 class, as proposed by Citizens’, is </w:t>
      </w:r>
      <w:r w:rsidRPr="0059512A">
        <w:rPr>
          <w:sz w:val="26"/>
          <w:szCs w:val="26"/>
        </w:rPr>
        <w:lastRenderedPageBreak/>
        <w:t xml:space="preserve">appropriate in this instance.  As shown on page 101 of the Recommended Decision, this proposed 3.2% reduction in rates for the GLP-3 class will reduce the subsidy currently provided by 40%, while moving all rate classes toward their respective cost of service.  </w:t>
      </w:r>
    </w:p>
    <w:p w14:paraId="6FC24228" w14:textId="77777777" w:rsidR="00135557" w:rsidRPr="0059512A" w:rsidRDefault="00135557" w:rsidP="0059512A">
      <w:pPr>
        <w:widowControl/>
        <w:spacing w:line="360" w:lineRule="auto"/>
        <w:rPr>
          <w:sz w:val="26"/>
          <w:szCs w:val="26"/>
        </w:rPr>
      </w:pPr>
    </w:p>
    <w:p w14:paraId="0A70EF85" w14:textId="2E683352" w:rsidR="00135557" w:rsidRPr="0059512A" w:rsidRDefault="00135557" w:rsidP="0059512A">
      <w:pPr>
        <w:widowControl/>
        <w:spacing w:line="360" w:lineRule="auto"/>
        <w:ind w:firstLine="1440"/>
        <w:rPr>
          <w:sz w:val="26"/>
          <w:szCs w:val="26"/>
        </w:rPr>
      </w:pPr>
      <w:r w:rsidRPr="0059512A">
        <w:rPr>
          <w:sz w:val="26"/>
          <w:szCs w:val="26"/>
        </w:rPr>
        <w:t>Additionally, we also find that Citizens’ revenue allocation proposal considers the principle of gradualism.  The record indicates that although there are no definitive rules for determining what kind of rate increase would violate the principle of gradualism, one common metric that has been used by experts in the Commonwealth has been the “1.5 times” rule, wherein the maximum average rate increase for any particular class should not exceed 1.5 times the system average increase.  OCA St. 4 at 17.  In the instant case, the Company’s proposal for the MBL class is slightly above this, with a 1.6</w:t>
      </w:r>
      <w:r w:rsidR="00861160">
        <w:rPr>
          <w:sz w:val="26"/>
          <w:szCs w:val="26"/>
        </w:rPr>
        <w:t> </w:t>
      </w:r>
      <w:r w:rsidRPr="0059512A">
        <w:rPr>
          <w:sz w:val="26"/>
          <w:szCs w:val="26"/>
        </w:rPr>
        <w:t>factor (26.3% for the MBL class over 16.5% for the system average).  Nonetheless, we note that even with the 26.3% increase that the MBL class will experience under the Company’s proposal, the class’ current amount of revenue subsidy received from other classes is shown to increase by approximately 30%.  Therefore, we do not consider the Company’s proposal to be unreasonable.  Accordingly, we shall grant Citizens’ Exception No. 11, deny the OCA’s Exception No. 10, and modify the findings and recommendations of the ALJs.</w:t>
      </w:r>
    </w:p>
    <w:p w14:paraId="543DC996" w14:textId="77777777" w:rsidR="00E940E1" w:rsidRPr="0059512A" w:rsidRDefault="00E940E1" w:rsidP="0059512A">
      <w:pPr>
        <w:widowControl/>
        <w:spacing w:line="360" w:lineRule="auto"/>
        <w:rPr>
          <w:sz w:val="26"/>
          <w:szCs w:val="26"/>
        </w:rPr>
      </w:pPr>
    </w:p>
    <w:p w14:paraId="069BC190" w14:textId="72B98BFB" w:rsidR="00A14F65" w:rsidRPr="0059512A" w:rsidRDefault="00A14F65" w:rsidP="0059512A">
      <w:pPr>
        <w:pStyle w:val="Heading3"/>
        <w:keepNext/>
        <w:ind w:left="1440" w:hanging="720"/>
      </w:pPr>
      <w:bookmarkStart w:id="157" w:name="_Toc38629302"/>
      <w:r w:rsidRPr="0059512A">
        <w:t>Rate Design</w:t>
      </w:r>
      <w:bookmarkEnd w:id="157"/>
    </w:p>
    <w:p w14:paraId="018DF267" w14:textId="5EE76A1A" w:rsidR="00A14F65" w:rsidRPr="0059512A" w:rsidRDefault="00A14F65" w:rsidP="0059512A">
      <w:pPr>
        <w:keepNext/>
        <w:widowControl/>
        <w:spacing w:line="360" w:lineRule="auto"/>
        <w:rPr>
          <w:sz w:val="26"/>
          <w:szCs w:val="26"/>
        </w:rPr>
      </w:pPr>
    </w:p>
    <w:p w14:paraId="231D9E73" w14:textId="5723D32B" w:rsidR="00197FBC" w:rsidRPr="0059512A" w:rsidRDefault="00C03B54" w:rsidP="0059512A">
      <w:pPr>
        <w:keepNext/>
        <w:widowControl/>
        <w:spacing w:line="360" w:lineRule="auto"/>
        <w:ind w:firstLine="1440"/>
        <w:rPr>
          <w:sz w:val="26"/>
          <w:szCs w:val="26"/>
        </w:rPr>
      </w:pPr>
      <w:r w:rsidRPr="0059512A">
        <w:rPr>
          <w:sz w:val="26"/>
          <w:szCs w:val="26"/>
        </w:rPr>
        <w:t>The Company’s proposed rates are summarized in Schedule B7 of Citizens’ Exhibit_(HSG-1), which it argued, properly reflects the fixed and variable costs of service associated with its proposed revenue allocation.  Citizens’ propose</w:t>
      </w:r>
      <w:r w:rsidR="00434073" w:rsidRPr="0059512A">
        <w:rPr>
          <w:sz w:val="26"/>
          <w:szCs w:val="26"/>
        </w:rPr>
        <w:t>d</w:t>
      </w:r>
      <w:r w:rsidRPr="0059512A">
        <w:rPr>
          <w:sz w:val="26"/>
          <w:szCs w:val="26"/>
        </w:rPr>
        <w:t xml:space="preserve"> to increase the monthly customer charge</w:t>
      </w:r>
      <w:r w:rsidR="00197FBC" w:rsidRPr="0059512A">
        <w:rPr>
          <w:sz w:val="26"/>
          <w:szCs w:val="26"/>
        </w:rPr>
        <w:t xml:space="preserve"> as follows:</w:t>
      </w:r>
      <w:r w:rsidRPr="0059512A">
        <w:rPr>
          <w:sz w:val="26"/>
          <w:szCs w:val="26"/>
        </w:rPr>
        <w:t xml:space="preserve">  </w:t>
      </w:r>
    </w:p>
    <w:p w14:paraId="453DE341" w14:textId="7243FC9E" w:rsidR="00197FBC" w:rsidRPr="0059512A" w:rsidRDefault="00197FBC" w:rsidP="0059512A">
      <w:pPr>
        <w:widowControl/>
        <w:spacing w:line="360" w:lineRule="auto"/>
        <w:rPr>
          <w:sz w:val="26"/>
          <w:szCs w:val="26"/>
        </w:rPr>
      </w:pPr>
    </w:p>
    <w:tbl>
      <w:tblPr>
        <w:tblW w:w="6570" w:type="dxa"/>
        <w:jc w:val="center"/>
        <w:tblLayout w:type="fixed"/>
        <w:tblCellMar>
          <w:left w:w="0" w:type="dxa"/>
          <w:right w:w="0" w:type="dxa"/>
        </w:tblCellMar>
        <w:tblLook w:val="04A0" w:firstRow="1" w:lastRow="0" w:firstColumn="1" w:lastColumn="0" w:noHBand="0" w:noVBand="1"/>
      </w:tblPr>
      <w:tblGrid>
        <w:gridCol w:w="1287"/>
        <w:gridCol w:w="1683"/>
        <w:gridCol w:w="2070"/>
        <w:gridCol w:w="1530"/>
      </w:tblGrid>
      <w:tr w:rsidR="00197FBC" w:rsidRPr="0059512A" w14:paraId="5D7A9160" w14:textId="77777777" w:rsidTr="00272A77">
        <w:trPr>
          <w:trHeight w:hRule="exact" w:val="606"/>
          <w:jc w:val="center"/>
        </w:trPr>
        <w:tc>
          <w:tcPr>
            <w:tcW w:w="6570" w:type="dxa"/>
            <w:gridSpan w:val="4"/>
            <w:tcBorders>
              <w:top w:val="single" w:sz="4" w:space="0" w:color="auto"/>
              <w:left w:val="single" w:sz="4" w:space="0" w:color="auto"/>
              <w:bottom w:val="single" w:sz="4" w:space="0" w:color="auto"/>
              <w:right w:val="single" w:sz="4" w:space="0" w:color="auto"/>
            </w:tcBorders>
            <w:vAlign w:val="center"/>
          </w:tcPr>
          <w:p w14:paraId="116B53CD" w14:textId="00B2F384" w:rsidR="00197FBC" w:rsidRPr="0059512A" w:rsidRDefault="00197FBC" w:rsidP="0059512A">
            <w:pPr>
              <w:keepNext/>
              <w:keepLines/>
              <w:widowControl/>
              <w:jc w:val="center"/>
              <w:rPr>
                <w:b/>
                <w:sz w:val="26"/>
                <w:szCs w:val="26"/>
              </w:rPr>
            </w:pPr>
            <w:r w:rsidRPr="0059512A">
              <w:rPr>
                <w:b/>
                <w:sz w:val="26"/>
                <w:szCs w:val="26"/>
              </w:rPr>
              <w:lastRenderedPageBreak/>
              <w:t>Citizens’ Proposed Class Customer Charge Increases</w:t>
            </w:r>
          </w:p>
        </w:tc>
      </w:tr>
      <w:tr w:rsidR="00197FBC" w:rsidRPr="0059512A" w14:paraId="6A82250D" w14:textId="77777777" w:rsidTr="00272A77">
        <w:trPr>
          <w:trHeight w:hRule="exact" w:val="606"/>
          <w:jc w:val="center"/>
        </w:trPr>
        <w:tc>
          <w:tcPr>
            <w:tcW w:w="1287" w:type="dxa"/>
            <w:tcBorders>
              <w:top w:val="single" w:sz="4" w:space="0" w:color="auto"/>
              <w:left w:val="single" w:sz="4" w:space="0" w:color="auto"/>
            </w:tcBorders>
            <w:vAlign w:val="center"/>
          </w:tcPr>
          <w:p w14:paraId="5A671B1B" w14:textId="77777777" w:rsidR="00197FBC" w:rsidRPr="0059512A" w:rsidRDefault="00197FBC" w:rsidP="0059512A">
            <w:pPr>
              <w:keepNext/>
              <w:keepLines/>
              <w:widowControl/>
              <w:spacing w:line="360" w:lineRule="auto"/>
              <w:jc w:val="center"/>
              <w:rPr>
                <w:b/>
                <w:sz w:val="26"/>
                <w:szCs w:val="26"/>
                <w:u w:val="single"/>
              </w:rPr>
            </w:pPr>
            <w:r w:rsidRPr="0059512A">
              <w:rPr>
                <w:b/>
                <w:sz w:val="26"/>
                <w:szCs w:val="26"/>
                <w:u w:val="single"/>
              </w:rPr>
              <w:t>Rate</w:t>
            </w:r>
          </w:p>
        </w:tc>
        <w:tc>
          <w:tcPr>
            <w:tcW w:w="1683" w:type="dxa"/>
            <w:tcBorders>
              <w:top w:val="single" w:sz="4" w:space="0" w:color="auto"/>
            </w:tcBorders>
            <w:vAlign w:val="center"/>
          </w:tcPr>
          <w:p w14:paraId="4087AF8E" w14:textId="3236BF19" w:rsidR="00197FBC" w:rsidRPr="0059512A" w:rsidRDefault="00197FBC" w:rsidP="0059512A">
            <w:pPr>
              <w:keepNext/>
              <w:keepLines/>
              <w:widowControl/>
              <w:spacing w:line="360" w:lineRule="auto"/>
              <w:jc w:val="center"/>
              <w:rPr>
                <w:b/>
                <w:sz w:val="26"/>
                <w:szCs w:val="26"/>
                <w:u w:val="single"/>
              </w:rPr>
            </w:pPr>
            <w:r w:rsidRPr="0059512A">
              <w:rPr>
                <w:b/>
                <w:sz w:val="26"/>
                <w:szCs w:val="26"/>
                <w:u w:val="single"/>
              </w:rPr>
              <w:t>Present</w:t>
            </w:r>
          </w:p>
        </w:tc>
        <w:tc>
          <w:tcPr>
            <w:tcW w:w="2070" w:type="dxa"/>
            <w:tcBorders>
              <w:top w:val="single" w:sz="4" w:space="0" w:color="auto"/>
            </w:tcBorders>
            <w:vAlign w:val="center"/>
          </w:tcPr>
          <w:p w14:paraId="30669EC6" w14:textId="14F17226" w:rsidR="00197FBC" w:rsidRPr="0059512A" w:rsidRDefault="00197FBC" w:rsidP="0059512A">
            <w:pPr>
              <w:keepNext/>
              <w:keepLines/>
              <w:widowControl/>
              <w:spacing w:line="360" w:lineRule="auto"/>
              <w:jc w:val="center"/>
              <w:rPr>
                <w:b/>
                <w:sz w:val="26"/>
                <w:szCs w:val="26"/>
                <w:u w:val="single"/>
              </w:rPr>
            </w:pPr>
            <w:r w:rsidRPr="0059512A">
              <w:rPr>
                <w:b/>
                <w:sz w:val="26"/>
                <w:szCs w:val="26"/>
                <w:u w:val="single"/>
              </w:rPr>
              <w:t>Proposed</w:t>
            </w:r>
          </w:p>
        </w:tc>
        <w:tc>
          <w:tcPr>
            <w:tcW w:w="1530" w:type="dxa"/>
            <w:tcBorders>
              <w:top w:val="single" w:sz="4" w:space="0" w:color="auto"/>
              <w:right w:val="single" w:sz="4" w:space="0" w:color="auto"/>
            </w:tcBorders>
            <w:vAlign w:val="center"/>
          </w:tcPr>
          <w:p w14:paraId="6BE5D0A4" w14:textId="27630CB1" w:rsidR="00197FBC" w:rsidRPr="0059512A" w:rsidRDefault="00197FBC" w:rsidP="0059512A">
            <w:pPr>
              <w:keepNext/>
              <w:keepLines/>
              <w:widowControl/>
              <w:spacing w:line="360" w:lineRule="auto"/>
              <w:jc w:val="center"/>
              <w:rPr>
                <w:b/>
                <w:sz w:val="26"/>
                <w:szCs w:val="26"/>
                <w:u w:val="single"/>
              </w:rPr>
            </w:pPr>
            <w:r w:rsidRPr="0059512A">
              <w:rPr>
                <w:b/>
                <w:sz w:val="26"/>
                <w:szCs w:val="26"/>
                <w:u w:val="single"/>
              </w:rPr>
              <w:t>% Increase</w:t>
            </w:r>
          </w:p>
        </w:tc>
      </w:tr>
      <w:tr w:rsidR="00197FBC" w:rsidRPr="0059512A" w14:paraId="72DB4670" w14:textId="77777777" w:rsidTr="00272A77">
        <w:trPr>
          <w:trHeight w:hRule="exact" w:val="576"/>
          <w:jc w:val="center"/>
        </w:trPr>
        <w:tc>
          <w:tcPr>
            <w:tcW w:w="1287" w:type="dxa"/>
            <w:tcBorders>
              <w:left w:val="single" w:sz="4" w:space="0" w:color="auto"/>
            </w:tcBorders>
            <w:vAlign w:val="center"/>
          </w:tcPr>
          <w:p w14:paraId="1DD45F22" w14:textId="77777777" w:rsidR="00197FBC" w:rsidRPr="0059512A" w:rsidRDefault="00197FBC" w:rsidP="0059512A">
            <w:pPr>
              <w:keepNext/>
              <w:keepLines/>
              <w:widowControl/>
              <w:spacing w:line="360" w:lineRule="auto"/>
              <w:jc w:val="center"/>
              <w:rPr>
                <w:b/>
                <w:bCs/>
                <w:sz w:val="26"/>
                <w:szCs w:val="26"/>
              </w:rPr>
            </w:pPr>
            <w:r w:rsidRPr="0059512A">
              <w:rPr>
                <w:b/>
                <w:bCs/>
                <w:sz w:val="26"/>
                <w:szCs w:val="26"/>
              </w:rPr>
              <w:t>RS</w:t>
            </w:r>
          </w:p>
        </w:tc>
        <w:tc>
          <w:tcPr>
            <w:tcW w:w="1683" w:type="dxa"/>
            <w:vAlign w:val="center"/>
          </w:tcPr>
          <w:p w14:paraId="7752550B" w14:textId="77777777" w:rsidR="00197FBC" w:rsidRPr="0059512A" w:rsidRDefault="00197FBC" w:rsidP="0059512A">
            <w:pPr>
              <w:keepNext/>
              <w:keepLines/>
              <w:widowControl/>
              <w:spacing w:line="360" w:lineRule="auto"/>
              <w:jc w:val="center"/>
              <w:rPr>
                <w:sz w:val="26"/>
                <w:szCs w:val="26"/>
              </w:rPr>
            </w:pPr>
            <w:r w:rsidRPr="0059512A">
              <w:rPr>
                <w:sz w:val="26"/>
                <w:szCs w:val="26"/>
              </w:rPr>
              <w:t>$11.24</w:t>
            </w:r>
          </w:p>
        </w:tc>
        <w:tc>
          <w:tcPr>
            <w:tcW w:w="2070" w:type="dxa"/>
            <w:vAlign w:val="center"/>
          </w:tcPr>
          <w:p w14:paraId="2C9581F4" w14:textId="77777777" w:rsidR="00197FBC" w:rsidRPr="0059512A" w:rsidRDefault="00197FBC" w:rsidP="0059512A">
            <w:pPr>
              <w:keepNext/>
              <w:keepLines/>
              <w:widowControl/>
              <w:spacing w:line="360" w:lineRule="auto"/>
              <w:jc w:val="center"/>
              <w:rPr>
                <w:sz w:val="26"/>
                <w:szCs w:val="26"/>
              </w:rPr>
            </w:pPr>
            <w:r w:rsidRPr="0059512A">
              <w:rPr>
                <w:sz w:val="26"/>
                <w:szCs w:val="26"/>
              </w:rPr>
              <w:t>$15.00</w:t>
            </w:r>
          </w:p>
        </w:tc>
        <w:tc>
          <w:tcPr>
            <w:tcW w:w="1530" w:type="dxa"/>
            <w:tcBorders>
              <w:right w:val="single" w:sz="4" w:space="0" w:color="auto"/>
            </w:tcBorders>
            <w:vAlign w:val="center"/>
          </w:tcPr>
          <w:p w14:paraId="7EA74A53" w14:textId="77777777" w:rsidR="00197FBC" w:rsidRPr="0059512A" w:rsidRDefault="00197FBC" w:rsidP="00861160">
            <w:pPr>
              <w:keepNext/>
              <w:keepLines/>
              <w:widowControl/>
              <w:spacing w:line="360" w:lineRule="auto"/>
              <w:jc w:val="center"/>
              <w:rPr>
                <w:sz w:val="26"/>
                <w:szCs w:val="26"/>
              </w:rPr>
            </w:pPr>
            <w:r w:rsidRPr="0059512A">
              <w:rPr>
                <w:sz w:val="26"/>
                <w:szCs w:val="26"/>
              </w:rPr>
              <w:t>33.5%</w:t>
            </w:r>
          </w:p>
        </w:tc>
      </w:tr>
      <w:tr w:rsidR="00197FBC" w:rsidRPr="0059512A" w14:paraId="6384C954" w14:textId="77777777" w:rsidTr="00272A77">
        <w:trPr>
          <w:trHeight w:hRule="exact" w:val="576"/>
          <w:jc w:val="center"/>
        </w:trPr>
        <w:tc>
          <w:tcPr>
            <w:tcW w:w="1287" w:type="dxa"/>
            <w:tcBorders>
              <w:left w:val="single" w:sz="4" w:space="0" w:color="auto"/>
            </w:tcBorders>
            <w:vAlign w:val="center"/>
          </w:tcPr>
          <w:p w14:paraId="612A334B" w14:textId="77777777" w:rsidR="00197FBC" w:rsidRPr="0059512A" w:rsidRDefault="00197FBC" w:rsidP="0059512A">
            <w:pPr>
              <w:keepNext/>
              <w:keepLines/>
              <w:widowControl/>
              <w:spacing w:line="360" w:lineRule="auto"/>
              <w:jc w:val="center"/>
              <w:rPr>
                <w:b/>
                <w:bCs/>
                <w:sz w:val="26"/>
                <w:szCs w:val="26"/>
              </w:rPr>
            </w:pPr>
            <w:r w:rsidRPr="0059512A">
              <w:rPr>
                <w:b/>
                <w:bCs/>
                <w:sz w:val="26"/>
                <w:szCs w:val="26"/>
              </w:rPr>
              <w:t>SH</w:t>
            </w:r>
          </w:p>
        </w:tc>
        <w:tc>
          <w:tcPr>
            <w:tcW w:w="1683" w:type="dxa"/>
            <w:vAlign w:val="center"/>
          </w:tcPr>
          <w:p w14:paraId="2AFEA0C9" w14:textId="77777777" w:rsidR="00197FBC" w:rsidRPr="0059512A" w:rsidRDefault="00197FBC" w:rsidP="0059512A">
            <w:pPr>
              <w:keepNext/>
              <w:keepLines/>
              <w:widowControl/>
              <w:spacing w:line="360" w:lineRule="auto"/>
              <w:jc w:val="center"/>
              <w:rPr>
                <w:sz w:val="26"/>
                <w:szCs w:val="26"/>
              </w:rPr>
            </w:pPr>
            <w:r w:rsidRPr="0059512A">
              <w:rPr>
                <w:sz w:val="26"/>
                <w:szCs w:val="26"/>
              </w:rPr>
              <w:t>$18.57</w:t>
            </w:r>
          </w:p>
        </w:tc>
        <w:tc>
          <w:tcPr>
            <w:tcW w:w="2070" w:type="dxa"/>
            <w:vAlign w:val="center"/>
          </w:tcPr>
          <w:p w14:paraId="056AFF03" w14:textId="77777777" w:rsidR="00197FBC" w:rsidRPr="0059512A" w:rsidRDefault="00197FBC" w:rsidP="0059512A">
            <w:pPr>
              <w:keepNext/>
              <w:keepLines/>
              <w:widowControl/>
              <w:spacing w:line="360" w:lineRule="auto"/>
              <w:jc w:val="center"/>
              <w:rPr>
                <w:sz w:val="26"/>
                <w:szCs w:val="26"/>
              </w:rPr>
            </w:pPr>
            <w:r w:rsidRPr="0059512A">
              <w:rPr>
                <w:sz w:val="26"/>
                <w:szCs w:val="26"/>
              </w:rPr>
              <w:t>$24.00</w:t>
            </w:r>
          </w:p>
        </w:tc>
        <w:tc>
          <w:tcPr>
            <w:tcW w:w="1530" w:type="dxa"/>
            <w:tcBorders>
              <w:right w:val="single" w:sz="4" w:space="0" w:color="auto"/>
            </w:tcBorders>
            <w:vAlign w:val="center"/>
          </w:tcPr>
          <w:p w14:paraId="74C5CE35" w14:textId="77777777" w:rsidR="00197FBC" w:rsidRPr="0059512A" w:rsidRDefault="00197FBC" w:rsidP="00861160">
            <w:pPr>
              <w:keepNext/>
              <w:keepLines/>
              <w:widowControl/>
              <w:spacing w:line="360" w:lineRule="auto"/>
              <w:jc w:val="center"/>
              <w:rPr>
                <w:sz w:val="26"/>
                <w:szCs w:val="26"/>
              </w:rPr>
            </w:pPr>
            <w:r w:rsidRPr="0059512A">
              <w:rPr>
                <w:sz w:val="26"/>
                <w:szCs w:val="26"/>
              </w:rPr>
              <w:t>29.2%</w:t>
            </w:r>
          </w:p>
        </w:tc>
      </w:tr>
      <w:tr w:rsidR="00197FBC" w:rsidRPr="0059512A" w14:paraId="36D1E4C4" w14:textId="77777777" w:rsidTr="00272A77">
        <w:trPr>
          <w:trHeight w:hRule="exact" w:val="571"/>
          <w:jc w:val="center"/>
        </w:trPr>
        <w:tc>
          <w:tcPr>
            <w:tcW w:w="1287" w:type="dxa"/>
            <w:tcBorders>
              <w:left w:val="single" w:sz="4" w:space="0" w:color="auto"/>
            </w:tcBorders>
            <w:vAlign w:val="center"/>
          </w:tcPr>
          <w:p w14:paraId="782C81F1" w14:textId="77777777" w:rsidR="00197FBC" w:rsidRPr="0059512A" w:rsidRDefault="00197FBC" w:rsidP="0059512A">
            <w:pPr>
              <w:keepNext/>
              <w:keepLines/>
              <w:widowControl/>
              <w:spacing w:line="360" w:lineRule="auto"/>
              <w:jc w:val="center"/>
              <w:rPr>
                <w:b/>
                <w:bCs/>
                <w:sz w:val="26"/>
                <w:szCs w:val="26"/>
              </w:rPr>
            </w:pPr>
            <w:r w:rsidRPr="0059512A">
              <w:rPr>
                <w:b/>
                <w:bCs/>
                <w:sz w:val="26"/>
                <w:szCs w:val="26"/>
              </w:rPr>
              <w:t>GLP-1</w:t>
            </w:r>
          </w:p>
        </w:tc>
        <w:tc>
          <w:tcPr>
            <w:tcW w:w="1683" w:type="dxa"/>
            <w:vAlign w:val="center"/>
          </w:tcPr>
          <w:p w14:paraId="5E81E001" w14:textId="77777777" w:rsidR="00197FBC" w:rsidRPr="0059512A" w:rsidRDefault="00197FBC" w:rsidP="0059512A">
            <w:pPr>
              <w:keepNext/>
              <w:keepLines/>
              <w:widowControl/>
              <w:spacing w:line="360" w:lineRule="auto"/>
              <w:jc w:val="center"/>
              <w:rPr>
                <w:sz w:val="26"/>
                <w:szCs w:val="26"/>
              </w:rPr>
            </w:pPr>
            <w:r w:rsidRPr="0059512A">
              <w:rPr>
                <w:sz w:val="26"/>
                <w:szCs w:val="26"/>
              </w:rPr>
              <w:t>$14.17</w:t>
            </w:r>
          </w:p>
        </w:tc>
        <w:tc>
          <w:tcPr>
            <w:tcW w:w="2070" w:type="dxa"/>
            <w:vAlign w:val="center"/>
          </w:tcPr>
          <w:p w14:paraId="377B5E1B" w14:textId="77777777" w:rsidR="00197FBC" w:rsidRPr="0059512A" w:rsidRDefault="00197FBC" w:rsidP="0059512A">
            <w:pPr>
              <w:keepNext/>
              <w:keepLines/>
              <w:widowControl/>
              <w:spacing w:line="360" w:lineRule="auto"/>
              <w:jc w:val="center"/>
              <w:rPr>
                <w:sz w:val="26"/>
                <w:szCs w:val="26"/>
              </w:rPr>
            </w:pPr>
            <w:r w:rsidRPr="0059512A">
              <w:rPr>
                <w:sz w:val="26"/>
                <w:szCs w:val="26"/>
              </w:rPr>
              <w:t>$15.00</w:t>
            </w:r>
          </w:p>
        </w:tc>
        <w:tc>
          <w:tcPr>
            <w:tcW w:w="1530" w:type="dxa"/>
            <w:tcBorders>
              <w:right w:val="single" w:sz="4" w:space="0" w:color="auto"/>
            </w:tcBorders>
            <w:vAlign w:val="center"/>
          </w:tcPr>
          <w:p w14:paraId="12D60030" w14:textId="77777777" w:rsidR="00197FBC" w:rsidRPr="0059512A" w:rsidRDefault="00197FBC" w:rsidP="00861160">
            <w:pPr>
              <w:keepNext/>
              <w:keepLines/>
              <w:widowControl/>
              <w:spacing w:line="360" w:lineRule="auto"/>
              <w:jc w:val="center"/>
              <w:rPr>
                <w:sz w:val="26"/>
                <w:szCs w:val="26"/>
              </w:rPr>
            </w:pPr>
            <w:r w:rsidRPr="0059512A">
              <w:rPr>
                <w:sz w:val="26"/>
                <w:szCs w:val="26"/>
              </w:rPr>
              <w:t>5.9%</w:t>
            </w:r>
          </w:p>
        </w:tc>
      </w:tr>
      <w:tr w:rsidR="00197FBC" w:rsidRPr="0059512A" w14:paraId="320833D4" w14:textId="77777777" w:rsidTr="00272A77">
        <w:trPr>
          <w:trHeight w:hRule="exact" w:val="468"/>
          <w:jc w:val="center"/>
        </w:trPr>
        <w:tc>
          <w:tcPr>
            <w:tcW w:w="1287" w:type="dxa"/>
            <w:tcBorders>
              <w:left w:val="single" w:sz="4" w:space="0" w:color="auto"/>
              <w:bottom w:val="single" w:sz="4" w:space="0" w:color="auto"/>
            </w:tcBorders>
            <w:vAlign w:val="center"/>
          </w:tcPr>
          <w:p w14:paraId="2D41F6F1" w14:textId="77777777" w:rsidR="00197FBC" w:rsidRPr="0059512A" w:rsidRDefault="00197FBC" w:rsidP="0059512A">
            <w:pPr>
              <w:keepNext/>
              <w:keepLines/>
              <w:widowControl/>
              <w:spacing w:line="360" w:lineRule="auto"/>
              <w:jc w:val="center"/>
              <w:rPr>
                <w:b/>
                <w:bCs/>
                <w:sz w:val="26"/>
                <w:szCs w:val="26"/>
              </w:rPr>
            </w:pPr>
            <w:r w:rsidRPr="0059512A">
              <w:rPr>
                <w:b/>
                <w:bCs/>
                <w:sz w:val="26"/>
                <w:szCs w:val="26"/>
              </w:rPr>
              <w:t>GLP-3</w:t>
            </w:r>
          </w:p>
        </w:tc>
        <w:tc>
          <w:tcPr>
            <w:tcW w:w="1683" w:type="dxa"/>
            <w:tcBorders>
              <w:bottom w:val="single" w:sz="4" w:space="0" w:color="auto"/>
            </w:tcBorders>
            <w:vAlign w:val="center"/>
          </w:tcPr>
          <w:p w14:paraId="56AB36D1" w14:textId="77777777" w:rsidR="00197FBC" w:rsidRPr="0059512A" w:rsidRDefault="00197FBC" w:rsidP="0059512A">
            <w:pPr>
              <w:keepNext/>
              <w:keepLines/>
              <w:widowControl/>
              <w:spacing w:line="360" w:lineRule="auto"/>
              <w:jc w:val="center"/>
              <w:rPr>
                <w:sz w:val="26"/>
                <w:szCs w:val="26"/>
              </w:rPr>
            </w:pPr>
            <w:r w:rsidRPr="0059512A">
              <w:rPr>
                <w:sz w:val="26"/>
                <w:szCs w:val="26"/>
              </w:rPr>
              <w:t>$50.83</w:t>
            </w:r>
          </w:p>
        </w:tc>
        <w:tc>
          <w:tcPr>
            <w:tcW w:w="2070" w:type="dxa"/>
            <w:tcBorders>
              <w:bottom w:val="single" w:sz="4" w:space="0" w:color="auto"/>
            </w:tcBorders>
            <w:vAlign w:val="center"/>
          </w:tcPr>
          <w:p w14:paraId="0162E3C5" w14:textId="77777777" w:rsidR="00197FBC" w:rsidRPr="0059512A" w:rsidRDefault="00197FBC" w:rsidP="0059512A">
            <w:pPr>
              <w:keepNext/>
              <w:keepLines/>
              <w:widowControl/>
              <w:spacing w:line="360" w:lineRule="auto"/>
              <w:jc w:val="center"/>
              <w:rPr>
                <w:sz w:val="26"/>
                <w:szCs w:val="26"/>
              </w:rPr>
            </w:pPr>
            <w:r w:rsidRPr="0059512A">
              <w:rPr>
                <w:sz w:val="26"/>
                <w:szCs w:val="26"/>
              </w:rPr>
              <w:t>$51.00</w:t>
            </w:r>
          </w:p>
        </w:tc>
        <w:tc>
          <w:tcPr>
            <w:tcW w:w="1530" w:type="dxa"/>
            <w:tcBorders>
              <w:bottom w:val="single" w:sz="4" w:space="0" w:color="auto"/>
              <w:right w:val="single" w:sz="4" w:space="0" w:color="auto"/>
            </w:tcBorders>
            <w:vAlign w:val="center"/>
          </w:tcPr>
          <w:p w14:paraId="49C8A900" w14:textId="77777777" w:rsidR="00197FBC" w:rsidRPr="0059512A" w:rsidRDefault="00197FBC" w:rsidP="00861160">
            <w:pPr>
              <w:keepNext/>
              <w:keepLines/>
              <w:widowControl/>
              <w:spacing w:line="360" w:lineRule="auto"/>
              <w:jc w:val="center"/>
              <w:rPr>
                <w:sz w:val="26"/>
                <w:szCs w:val="26"/>
              </w:rPr>
            </w:pPr>
            <w:r w:rsidRPr="0059512A">
              <w:rPr>
                <w:sz w:val="26"/>
                <w:szCs w:val="26"/>
              </w:rPr>
              <w:t>0.3%</w:t>
            </w:r>
          </w:p>
        </w:tc>
      </w:tr>
    </w:tbl>
    <w:p w14:paraId="4BA8C4EF" w14:textId="77777777" w:rsidR="00EC5465" w:rsidRPr="0059512A" w:rsidRDefault="00EC5465" w:rsidP="00694745">
      <w:pPr>
        <w:widowControl/>
        <w:spacing w:line="360" w:lineRule="auto"/>
        <w:rPr>
          <w:sz w:val="26"/>
          <w:szCs w:val="26"/>
        </w:rPr>
      </w:pPr>
    </w:p>
    <w:p w14:paraId="6EDE404F" w14:textId="4A341825" w:rsidR="00833C32" w:rsidRPr="0059512A" w:rsidRDefault="00C03B54" w:rsidP="0059512A">
      <w:pPr>
        <w:widowControl/>
        <w:spacing w:line="360" w:lineRule="auto"/>
        <w:rPr>
          <w:sz w:val="26"/>
          <w:szCs w:val="26"/>
        </w:rPr>
      </w:pPr>
      <w:r w:rsidRPr="0059512A">
        <w:rPr>
          <w:sz w:val="26"/>
          <w:szCs w:val="26"/>
        </w:rPr>
        <w:t xml:space="preserve">Citizens’ Exh._(HSG-1), Sch. B7.  </w:t>
      </w:r>
      <w:r w:rsidR="00B04796" w:rsidRPr="0059512A">
        <w:rPr>
          <w:sz w:val="26"/>
          <w:szCs w:val="26"/>
        </w:rPr>
        <w:t xml:space="preserve">As shown above, </w:t>
      </w:r>
      <w:r w:rsidR="00D6766C" w:rsidRPr="0059512A">
        <w:rPr>
          <w:sz w:val="26"/>
          <w:szCs w:val="26"/>
        </w:rPr>
        <w:t>Citizen</w:t>
      </w:r>
      <w:r w:rsidR="00B04796" w:rsidRPr="0059512A">
        <w:rPr>
          <w:sz w:val="26"/>
          <w:szCs w:val="26"/>
        </w:rPr>
        <w:t>s’</w:t>
      </w:r>
      <w:r w:rsidR="00D6766C" w:rsidRPr="0059512A">
        <w:rPr>
          <w:sz w:val="26"/>
          <w:szCs w:val="26"/>
        </w:rPr>
        <w:t xml:space="preserve"> proposes to increase the monthly customer charge</w:t>
      </w:r>
      <w:r w:rsidR="00B04796" w:rsidRPr="0059512A">
        <w:rPr>
          <w:sz w:val="26"/>
          <w:szCs w:val="26"/>
        </w:rPr>
        <w:t xml:space="preserve"> for residential customers</w:t>
      </w:r>
      <w:r w:rsidR="00D6766C" w:rsidRPr="0059512A">
        <w:rPr>
          <w:sz w:val="26"/>
          <w:szCs w:val="26"/>
        </w:rPr>
        <w:t xml:space="preserve"> from $11.24 to $15.00, with the balance of the revenue target to be recovered from the volumetric kWh charge.  </w:t>
      </w:r>
      <w:r w:rsidR="00FD62B1" w:rsidRPr="0059512A">
        <w:rPr>
          <w:sz w:val="26"/>
          <w:szCs w:val="26"/>
        </w:rPr>
        <w:t>Thi</w:t>
      </w:r>
      <w:r w:rsidR="00B04796" w:rsidRPr="0059512A">
        <w:rPr>
          <w:sz w:val="26"/>
          <w:szCs w:val="26"/>
        </w:rPr>
        <w:t xml:space="preserve">s </w:t>
      </w:r>
      <w:r w:rsidR="00FD62B1" w:rsidRPr="0059512A">
        <w:rPr>
          <w:sz w:val="26"/>
          <w:szCs w:val="26"/>
        </w:rPr>
        <w:t>proposed increase</w:t>
      </w:r>
      <w:r w:rsidR="00B04796" w:rsidRPr="0059512A">
        <w:rPr>
          <w:sz w:val="26"/>
          <w:szCs w:val="26"/>
        </w:rPr>
        <w:t xml:space="preserve"> of 33.5%</w:t>
      </w:r>
      <w:r w:rsidR="00FD62B1" w:rsidRPr="0059512A">
        <w:rPr>
          <w:sz w:val="26"/>
          <w:szCs w:val="26"/>
        </w:rPr>
        <w:t xml:space="preserve"> </w:t>
      </w:r>
      <w:r w:rsidR="00410A41" w:rsidRPr="0059512A">
        <w:rPr>
          <w:sz w:val="26"/>
          <w:szCs w:val="26"/>
        </w:rPr>
        <w:t>in</w:t>
      </w:r>
      <w:r w:rsidR="00FD62B1" w:rsidRPr="0059512A">
        <w:rPr>
          <w:sz w:val="26"/>
          <w:szCs w:val="26"/>
        </w:rPr>
        <w:t xml:space="preserve"> the RS class</w:t>
      </w:r>
      <w:r w:rsidR="00410A41" w:rsidRPr="0059512A">
        <w:rPr>
          <w:sz w:val="26"/>
          <w:szCs w:val="26"/>
        </w:rPr>
        <w:t xml:space="preserve"> customer charge</w:t>
      </w:r>
      <w:r w:rsidR="00FD62B1" w:rsidRPr="0059512A">
        <w:rPr>
          <w:sz w:val="26"/>
          <w:szCs w:val="26"/>
        </w:rPr>
        <w:t xml:space="preserve"> reflects the Company’s</w:t>
      </w:r>
      <w:r w:rsidR="00D6766C" w:rsidRPr="0059512A">
        <w:rPr>
          <w:sz w:val="26"/>
          <w:szCs w:val="26"/>
        </w:rPr>
        <w:t xml:space="preserve"> propos</w:t>
      </w:r>
      <w:r w:rsidR="00FD62B1" w:rsidRPr="0059512A">
        <w:rPr>
          <w:sz w:val="26"/>
          <w:szCs w:val="26"/>
        </w:rPr>
        <w:t>al</w:t>
      </w:r>
      <w:r w:rsidR="00D6766C" w:rsidRPr="0059512A">
        <w:rPr>
          <w:sz w:val="26"/>
          <w:szCs w:val="26"/>
        </w:rPr>
        <w:t xml:space="preserve"> to begin including a small portion of demand costs (equal to the minimum demand for residential customer pursuant to the ACCOSS) through its residential monthly customer charges.  Specifically, Citizens’ proposed to base its residential customer charge on two components: (1) </w:t>
      </w:r>
      <w:r w:rsidR="00D6766C" w:rsidRPr="0059512A">
        <w:rPr>
          <w:i/>
          <w:iCs/>
          <w:sz w:val="26"/>
          <w:szCs w:val="26"/>
        </w:rPr>
        <w:t>customer-related costs</w:t>
      </w:r>
      <w:r w:rsidR="00E53905" w:rsidRPr="0059512A">
        <w:rPr>
          <w:sz w:val="26"/>
          <w:szCs w:val="26"/>
        </w:rPr>
        <w:t xml:space="preserve"> totaling $12.94</w:t>
      </w:r>
      <w:r w:rsidR="007F2BA4" w:rsidRPr="0059512A">
        <w:rPr>
          <w:rStyle w:val="FootnoteReference"/>
          <w:sz w:val="26"/>
          <w:szCs w:val="26"/>
        </w:rPr>
        <w:footnoteReference w:id="25"/>
      </w:r>
      <w:r w:rsidR="00E53905" w:rsidRPr="0059512A">
        <w:rPr>
          <w:sz w:val="26"/>
          <w:szCs w:val="26"/>
        </w:rPr>
        <w:t xml:space="preserve"> of the $15.00 proposed customer charge</w:t>
      </w:r>
      <w:r w:rsidR="00D6766C" w:rsidRPr="0059512A">
        <w:rPr>
          <w:sz w:val="26"/>
          <w:szCs w:val="26"/>
        </w:rPr>
        <w:t>, which have been historically included in the fixed monthly charge</w:t>
      </w:r>
      <w:r w:rsidR="00E53905" w:rsidRPr="0059512A">
        <w:rPr>
          <w:sz w:val="26"/>
          <w:szCs w:val="26"/>
        </w:rPr>
        <w:t xml:space="preserve">, and (2) </w:t>
      </w:r>
      <w:r w:rsidR="00E53905" w:rsidRPr="0059512A">
        <w:rPr>
          <w:i/>
          <w:iCs/>
          <w:sz w:val="26"/>
          <w:szCs w:val="26"/>
        </w:rPr>
        <w:t>demand-related costs</w:t>
      </w:r>
      <w:r w:rsidR="00E53905" w:rsidRPr="0059512A">
        <w:rPr>
          <w:sz w:val="26"/>
          <w:szCs w:val="26"/>
        </w:rPr>
        <w:t xml:space="preserve"> totaling $2.06 of the $15.00, representing a portion of residential demand costs.  Specifically, Citizens’ explained that the $2.06 represents the cost of 0.38 kW-month per user, based on the $5.40 per kW-month demand costs for the RS class set forth in Schedule E1-B of Citizens’_(HSG-1).  Citizens’ St. 1 at 32.  </w:t>
      </w:r>
    </w:p>
    <w:p w14:paraId="495302E7" w14:textId="10A338A7" w:rsidR="00410A41" w:rsidRPr="0059512A" w:rsidRDefault="00410A41" w:rsidP="0059512A">
      <w:pPr>
        <w:widowControl/>
        <w:spacing w:line="360" w:lineRule="auto"/>
        <w:rPr>
          <w:sz w:val="26"/>
          <w:szCs w:val="26"/>
        </w:rPr>
      </w:pPr>
    </w:p>
    <w:p w14:paraId="60C12540" w14:textId="37BBBDF2" w:rsidR="00410A41" w:rsidRPr="0059512A" w:rsidRDefault="00B25583" w:rsidP="0059512A">
      <w:pPr>
        <w:widowControl/>
        <w:spacing w:line="360" w:lineRule="auto"/>
        <w:ind w:firstLine="1440"/>
        <w:rPr>
          <w:sz w:val="26"/>
          <w:szCs w:val="26"/>
        </w:rPr>
      </w:pPr>
      <w:r w:rsidRPr="0059512A">
        <w:rPr>
          <w:sz w:val="26"/>
          <w:szCs w:val="26"/>
        </w:rPr>
        <w:t>The Company’s</w:t>
      </w:r>
      <w:r w:rsidR="00410A41" w:rsidRPr="0059512A">
        <w:rPr>
          <w:sz w:val="26"/>
          <w:szCs w:val="26"/>
        </w:rPr>
        <w:t xml:space="preserve"> proposed</w:t>
      </w:r>
      <w:r w:rsidR="00F550BF" w:rsidRPr="0059512A">
        <w:rPr>
          <w:sz w:val="26"/>
          <w:szCs w:val="26"/>
        </w:rPr>
        <w:t xml:space="preserve"> 29.2% increase in the SH class customer charge, from $18.57 to $24.00, reflects</w:t>
      </w:r>
      <w:r w:rsidR="00410A41" w:rsidRPr="0059512A">
        <w:rPr>
          <w:sz w:val="26"/>
          <w:szCs w:val="26"/>
        </w:rPr>
        <w:t xml:space="preserve"> a similar structure for residential space heating customers.  </w:t>
      </w:r>
      <w:r w:rsidR="00F550BF" w:rsidRPr="0059512A">
        <w:rPr>
          <w:sz w:val="26"/>
          <w:szCs w:val="26"/>
        </w:rPr>
        <w:lastRenderedPageBreak/>
        <w:t>Specifically,</w:t>
      </w:r>
      <w:r w:rsidR="009D53A0" w:rsidRPr="0059512A">
        <w:rPr>
          <w:sz w:val="26"/>
          <w:szCs w:val="26"/>
        </w:rPr>
        <w:t xml:space="preserve"> Citizens’ proposed to base its customer charge for the SH class on two components: (1) </w:t>
      </w:r>
      <w:r w:rsidR="009D53A0" w:rsidRPr="0059512A">
        <w:rPr>
          <w:i/>
          <w:iCs/>
          <w:sz w:val="26"/>
          <w:szCs w:val="26"/>
        </w:rPr>
        <w:t>customer</w:t>
      </w:r>
      <w:r w:rsidR="00E473BE" w:rsidRPr="0059512A">
        <w:rPr>
          <w:i/>
          <w:iCs/>
          <w:sz w:val="26"/>
          <w:szCs w:val="26"/>
        </w:rPr>
        <w:t>-</w:t>
      </w:r>
      <w:r w:rsidR="009D53A0" w:rsidRPr="0059512A">
        <w:rPr>
          <w:i/>
          <w:iCs/>
          <w:sz w:val="26"/>
          <w:szCs w:val="26"/>
        </w:rPr>
        <w:t>related costs</w:t>
      </w:r>
      <w:r w:rsidR="009D53A0" w:rsidRPr="0059512A">
        <w:rPr>
          <w:sz w:val="26"/>
          <w:szCs w:val="26"/>
        </w:rPr>
        <w:t xml:space="preserve"> totaling $17.96, representing the costs that have historically been included in the fixed monthly charge, and (2) </w:t>
      </w:r>
      <w:r w:rsidR="009D53A0" w:rsidRPr="0059512A">
        <w:rPr>
          <w:i/>
          <w:iCs/>
          <w:sz w:val="26"/>
          <w:szCs w:val="26"/>
        </w:rPr>
        <w:t>demand-related costs</w:t>
      </w:r>
      <w:r w:rsidR="009D53A0" w:rsidRPr="0059512A">
        <w:rPr>
          <w:sz w:val="26"/>
          <w:szCs w:val="26"/>
        </w:rPr>
        <w:t xml:space="preserve"> totaling $6.04, representing the cost of 0.95 kW-month, based on the $6.37 per kW</w:t>
      </w:r>
      <w:r w:rsidR="00861160">
        <w:rPr>
          <w:sz w:val="26"/>
          <w:szCs w:val="26"/>
        </w:rPr>
        <w:t>-</w:t>
      </w:r>
      <w:r w:rsidR="009D53A0" w:rsidRPr="0059512A">
        <w:rPr>
          <w:sz w:val="26"/>
          <w:szCs w:val="26"/>
        </w:rPr>
        <w:t xml:space="preserve">month costs for the SH class set forth in the Company’s ACCOSS.  Citizens’ St. 1 at 38.  </w:t>
      </w:r>
    </w:p>
    <w:p w14:paraId="4158B1B7" w14:textId="77777777" w:rsidR="00897F59" w:rsidRPr="0059512A" w:rsidRDefault="00897F59" w:rsidP="0059512A">
      <w:pPr>
        <w:widowControl/>
        <w:spacing w:line="360" w:lineRule="auto"/>
        <w:rPr>
          <w:sz w:val="26"/>
          <w:szCs w:val="26"/>
        </w:rPr>
      </w:pPr>
    </w:p>
    <w:p w14:paraId="3C5D19DF" w14:textId="611B2663" w:rsidR="00A14F65" w:rsidRPr="0059512A" w:rsidRDefault="000E45FB" w:rsidP="0059512A">
      <w:pPr>
        <w:pStyle w:val="ListParagraph"/>
        <w:keepNext/>
        <w:widowControl/>
        <w:spacing w:line="360" w:lineRule="auto"/>
        <w:ind w:left="2160" w:hanging="720"/>
        <w:rPr>
          <w:b/>
          <w:bCs/>
          <w:sz w:val="26"/>
          <w:szCs w:val="26"/>
        </w:rPr>
      </w:pPr>
      <w:r w:rsidRPr="0059512A">
        <w:rPr>
          <w:b/>
          <w:bCs/>
          <w:sz w:val="26"/>
          <w:szCs w:val="26"/>
        </w:rPr>
        <w:t>a.</w:t>
      </w:r>
      <w:r w:rsidRPr="0059512A">
        <w:rPr>
          <w:b/>
          <w:bCs/>
          <w:sz w:val="26"/>
          <w:szCs w:val="26"/>
        </w:rPr>
        <w:tab/>
      </w:r>
      <w:r w:rsidR="00A14F65" w:rsidRPr="0059512A">
        <w:rPr>
          <w:b/>
          <w:bCs/>
          <w:sz w:val="26"/>
          <w:szCs w:val="26"/>
        </w:rPr>
        <w:t>Positions of the Parties</w:t>
      </w:r>
    </w:p>
    <w:p w14:paraId="5AB6610B" w14:textId="4BE9BD37" w:rsidR="00A14F65" w:rsidRPr="0059512A" w:rsidRDefault="00A14F65" w:rsidP="0059512A">
      <w:pPr>
        <w:keepNext/>
        <w:widowControl/>
        <w:spacing w:line="360" w:lineRule="auto"/>
        <w:ind w:left="1440" w:hanging="720"/>
        <w:rPr>
          <w:b/>
          <w:bCs/>
          <w:sz w:val="26"/>
          <w:szCs w:val="26"/>
        </w:rPr>
      </w:pPr>
    </w:p>
    <w:p w14:paraId="05B2FF53" w14:textId="3AC09D81" w:rsidR="00053855" w:rsidRPr="0059512A" w:rsidRDefault="00053855" w:rsidP="0059512A">
      <w:pPr>
        <w:keepNext/>
        <w:widowControl/>
        <w:spacing w:line="360" w:lineRule="auto"/>
        <w:ind w:firstLine="1440"/>
        <w:rPr>
          <w:sz w:val="26"/>
          <w:szCs w:val="26"/>
        </w:rPr>
      </w:pPr>
      <w:r w:rsidRPr="0059512A">
        <w:rPr>
          <w:bCs/>
          <w:sz w:val="26"/>
          <w:szCs w:val="26"/>
        </w:rPr>
        <w:t>Citizens’ argued that m</w:t>
      </w:r>
      <w:r w:rsidRPr="0059512A">
        <w:rPr>
          <w:sz w:val="26"/>
          <w:szCs w:val="26"/>
        </w:rPr>
        <w:t xml:space="preserve">oving the residential rate design towards cost of service would require </w:t>
      </w:r>
      <w:r w:rsidR="00C1081E">
        <w:rPr>
          <w:sz w:val="26"/>
          <w:szCs w:val="26"/>
        </w:rPr>
        <w:t xml:space="preserve">the </w:t>
      </w:r>
      <w:r w:rsidRPr="0059512A">
        <w:rPr>
          <w:sz w:val="26"/>
          <w:szCs w:val="26"/>
        </w:rPr>
        <w:t xml:space="preserve">addition of a demand billing element and that incorporating demand costs into the monthly customer charge will be easier for residential customers to understand.  R.D. at 109.  To recognize cost of service in the proposal, </w:t>
      </w:r>
      <w:r w:rsidR="00872406" w:rsidRPr="0059512A">
        <w:rPr>
          <w:sz w:val="26"/>
          <w:szCs w:val="26"/>
        </w:rPr>
        <w:t>Citizens’</w:t>
      </w:r>
      <w:r w:rsidRPr="0059512A">
        <w:rPr>
          <w:sz w:val="26"/>
          <w:szCs w:val="26"/>
        </w:rPr>
        <w:t xml:space="preserve"> chose a demand level</w:t>
      </w:r>
      <w:r w:rsidR="0020440E" w:rsidRPr="0059512A">
        <w:rPr>
          <w:sz w:val="26"/>
          <w:szCs w:val="26"/>
        </w:rPr>
        <w:t xml:space="preserve"> (0.38 kW)</w:t>
      </w:r>
      <w:r w:rsidRPr="0059512A">
        <w:rPr>
          <w:sz w:val="26"/>
          <w:szCs w:val="26"/>
        </w:rPr>
        <w:t xml:space="preserve"> attained by 9</w:t>
      </w:r>
      <w:r w:rsidR="00872406" w:rsidRPr="0059512A">
        <w:rPr>
          <w:sz w:val="26"/>
          <w:szCs w:val="26"/>
        </w:rPr>
        <w:t>9</w:t>
      </w:r>
      <w:r w:rsidRPr="0059512A">
        <w:rPr>
          <w:sz w:val="26"/>
          <w:szCs w:val="26"/>
        </w:rPr>
        <w:t>% of the RS accounts at least annually,</w:t>
      </w:r>
      <w:r w:rsidR="00634F16" w:rsidRPr="0059512A">
        <w:rPr>
          <w:sz w:val="26"/>
          <w:szCs w:val="26"/>
        </w:rPr>
        <w:t xml:space="preserve"> indicating that more than 98% had demand of 1.0 kW at least once per year</w:t>
      </w:r>
      <w:r w:rsidRPr="0059512A">
        <w:rPr>
          <w:sz w:val="26"/>
          <w:szCs w:val="26"/>
        </w:rPr>
        <w:t xml:space="preserve">.  </w:t>
      </w:r>
      <w:r w:rsidR="00872406" w:rsidRPr="0059512A">
        <w:rPr>
          <w:sz w:val="26"/>
          <w:szCs w:val="26"/>
        </w:rPr>
        <w:t xml:space="preserve">Likewise, for residential space heating customers, </w:t>
      </w:r>
      <w:r w:rsidR="00634F16" w:rsidRPr="0059512A">
        <w:rPr>
          <w:sz w:val="26"/>
          <w:szCs w:val="26"/>
        </w:rPr>
        <w:t>Citizens’</w:t>
      </w:r>
      <w:r w:rsidR="00490C85" w:rsidRPr="0059512A">
        <w:rPr>
          <w:sz w:val="26"/>
          <w:szCs w:val="26"/>
        </w:rPr>
        <w:t xml:space="preserve"> argued that its</w:t>
      </w:r>
      <w:r w:rsidR="00634F16" w:rsidRPr="0059512A">
        <w:rPr>
          <w:sz w:val="26"/>
          <w:szCs w:val="26"/>
        </w:rPr>
        <w:t xml:space="preserve"> proposal to include costs equal to the monthly cost of 0.95 kW of demand in the SH class customer charge</w:t>
      </w:r>
      <w:r w:rsidR="0020440E" w:rsidRPr="0059512A">
        <w:rPr>
          <w:sz w:val="26"/>
          <w:szCs w:val="26"/>
        </w:rPr>
        <w:t xml:space="preserve"> reflects a demand level attained by </w:t>
      </w:r>
      <w:r w:rsidR="00DD6A61" w:rsidRPr="0059512A">
        <w:rPr>
          <w:sz w:val="26"/>
          <w:szCs w:val="26"/>
        </w:rPr>
        <w:t>81</w:t>
      </w:r>
      <w:r w:rsidR="0020440E" w:rsidRPr="0059512A">
        <w:rPr>
          <w:sz w:val="26"/>
          <w:szCs w:val="26"/>
        </w:rPr>
        <w:t>% of the SH accounts</w:t>
      </w:r>
      <w:r w:rsidR="00DD6A61" w:rsidRPr="0059512A">
        <w:rPr>
          <w:sz w:val="26"/>
          <w:szCs w:val="26"/>
        </w:rPr>
        <w:t xml:space="preserve"> monthly</w:t>
      </w:r>
      <w:r w:rsidR="00490C85" w:rsidRPr="0059512A">
        <w:rPr>
          <w:sz w:val="26"/>
          <w:szCs w:val="26"/>
        </w:rPr>
        <w:t xml:space="preserve"> and</w:t>
      </w:r>
      <w:r w:rsidR="00DD6A61" w:rsidRPr="0059512A">
        <w:rPr>
          <w:sz w:val="26"/>
          <w:szCs w:val="26"/>
        </w:rPr>
        <w:t xml:space="preserve"> by over 95% of the SH accounts at least once in 2018.</w:t>
      </w:r>
      <w:r w:rsidR="00490C85" w:rsidRPr="0059512A">
        <w:rPr>
          <w:sz w:val="26"/>
          <w:szCs w:val="26"/>
        </w:rPr>
        <w:t xml:space="preserve">  Citizens’ </w:t>
      </w:r>
      <w:r w:rsidRPr="0059512A">
        <w:rPr>
          <w:sz w:val="26"/>
          <w:szCs w:val="26"/>
        </w:rPr>
        <w:t xml:space="preserve">submitted this proposal reflects a gradual approach to making this transition.  R.D. at 109 (citing </w:t>
      </w:r>
      <w:r w:rsidR="00490C85" w:rsidRPr="0059512A">
        <w:rPr>
          <w:sz w:val="26"/>
          <w:szCs w:val="26"/>
        </w:rPr>
        <w:t>Citizens’</w:t>
      </w:r>
      <w:r w:rsidRPr="0059512A">
        <w:rPr>
          <w:sz w:val="26"/>
          <w:szCs w:val="26"/>
        </w:rPr>
        <w:t xml:space="preserve"> St. 1 at </w:t>
      </w:r>
      <w:r w:rsidR="00490C85" w:rsidRPr="0059512A">
        <w:rPr>
          <w:sz w:val="26"/>
          <w:szCs w:val="26"/>
        </w:rPr>
        <w:t>37-38</w:t>
      </w:r>
      <w:r w:rsidRPr="0059512A">
        <w:rPr>
          <w:sz w:val="26"/>
          <w:szCs w:val="26"/>
        </w:rPr>
        <w:t xml:space="preserve">).  </w:t>
      </w:r>
      <w:r w:rsidR="00181B65" w:rsidRPr="0059512A">
        <w:rPr>
          <w:sz w:val="26"/>
          <w:szCs w:val="26"/>
        </w:rPr>
        <w:t>Citizens’</w:t>
      </w:r>
      <w:r w:rsidRPr="0059512A">
        <w:rPr>
          <w:sz w:val="26"/>
          <w:szCs w:val="26"/>
        </w:rPr>
        <w:t xml:space="preserve"> asserted that by including only the portion of demand charges that effectively functions as the minimum demand for the affected customers, the Company realistically reflects cost-of-service principles while supporting rate stability and gradualism.  R.D. at</w:t>
      </w:r>
      <w:r w:rsidR="00861160">
        <w:rPr>
          <w:sz w:val="26"/>
          <w:szCs w:val="26"/>
        </w:rPr>
        <w:t> </w:t>
      </w:r>
      <w:r w:rsidRPr="0059512A">
        <w:rPr>
          <w:sz w:val="26"/>
          <w:szCs w:val="26"/>
        </w:rPr>
        <w:t xml:space="preserve">109 (citing </w:t>
      </w:r>
      <w:r w:rsidR="00AE5246" w:rsidRPr="0059512A">
        <w:rPr>
          <w:sz w:val="26"/>
          <w:szCs w:val="26"/>
        </w:rPr>
        <w:t>Citizens’</w:t>
      </w:r>
      <w:r w:rsidRPr="0059512A">
        <w:rPr>
          <w:sz w:val="26"/>
          <w:szCs w:val="26"/>
        </w:rPr>
        <w:t xml:space="preserve"> St</w:t>
      </w:r>
      <w:r w:rsidR="00350FFA" w:rsidRPr="0059512A">
        <w:rPr>
          <w:sz w:val="26"/>
          <w:szCs w:val="26"/>
        </w:rPr>
        <w:t>.</w:t>
      </w:r>
      <w:r w:rsidRPr="0059512A">
        <w:rPr>
          <w:sz w:val="26"/>
          <w:szCs w:val="26"/>
        </w:rPr>
        <w:t xml:space="preserve"> 1 at </w:t>
      </w:r>
      <w:r w:rsidR="00181B65" w:rsidRPr="0059512A">
        <w:rPr>
          <w:sz w:val="26"/>
          <w:szCs w:val="26"/>
        </w:rPr>
        <w:t>32</w:t>
      </w:r>
      <w:r w:rsidR="00AE5246" w:rsidRPr="0059512A">
        <w:rPr>
          <w:sz w:val="26"/>
          <w:szCs w:val="26"/>
        </w:rPr>
        <w:t>-33</w:t>
      </w:r>
      <w:r w:rsidRPr="0059512A">
        <w:rPr>
          <w:sz w:val="26"/>
          <w:szCs w:val="26"/>
        </w:rPr>
        <w:t xml:space="preserve">, </w:t>
      </w:r>
      <w:r w:rsidR="00AE5246" w:rsidRPr="0059512A">
        <w:rPr>
          <w:sz w:val="26"/>
          <w:szCs w:val="26"/>
        </w:rPr>
        <w:t>38</w:t>
      </w:r>
      <w:r w:rsidRPr="0059512A">
        <w:rPr>
          <w:sz w:val="26"/>
          <w:szCs w:val="26"/>
        </w:rPr>
        <w:t xml:space="preserve">).  </w:t>
      </w:r>
      <w:r w:rsidRPr="0059512A">
        <w:rPr>
          <w:rFonts w:eastAsia="Calibri"/>
          <w:sz w:val="26"/>
          <w:szCs w:val="26"/>
        </w:rPr>
        <w:t>By aligning rates with costs, the Company argued its proposal supports the Company</w:t>
      </w:r>
      <w:r w:rsidR="00EB26B8" w:rsidRPr="0059512A">
        <w:rPr>
          <w:rFonts w:eastAsia="Calibri"/>
          <w:sz w:val="26"/>
          <w:szCs w:val="26"/>
        </w:rPr>
        <w:t>’</w:t>
      </w:r>
      <w:r w:rsidRPr="0059512A">
        <w:rPr>
          <w:rFonts w:eastAsia="Calibri"/>
          <w:sz w:val="26"/>
          <w:szCs w:val="26"/>
        </w:rPr>
        <w:t>s ongoing efforts to invest in reliability projects.</w:t>
      </w:r>
      <w:r w:rsidRPr="0059512A">
        <w:rPr>
          <w:rFonts w:eastAsia="Calibri"/>
          <w:sz w:val="24"/>
          <w:szCs w:val="24"/>
        </w:rPr>
        <w:t xml:space="preserve">  </w:t>
      </w:r>
      <w:r w:rsidRPr="0059512A">
        <w:rPr>
          <w:sz w:val="26"/>
          <w:szCs w:val="26"/>
        </w:rPr>
        <w:t>R.D. at 11</w:t>
      </w:r>
      <w:r w:rsidR="00350FFA" w:rsidRPr="0059512A">
        <w:rPr>
          <w:sz w:val="26"/>
          <w:szCs w:val="26"/>
        </w:rPr>
        <w:t>1</w:t>
      </w:r>
      <w:r w:rsidRPr="0059512A">
        <w:rPr>
          <w:sz w:val="26"/>
          <w:szCs w:val="26"/>
        </w:rPr>
        <w:t xml:space="preserve"> (citing </w:t>
      </w:r>
      <w:r w:rsidR="00350FFA" w:rsidRPr="0059512A">
        <w:rPr>
          <w:sz w:val="26"/>
          <w:szCs w:val="26"/>
        </w:rPr>
        <w:t>Citizens’</w:t>
      </w:r>
      <w:r w:rsidRPr="0059512A">
        <w:rPr>
          <w:sz w:val="26"/>
          <w:szCs w:val="26"/>
        </w:rPr>
        <w:t xml:space="preserve"> St. 1 at </w:t>
      </w:r>
      <w:r w:rsidR="00350FFA" w:rsidRPr="0059512A">
        <w:rPr>
          <w:sz w:val="26"/>
          <w:szCs w:val="26"/>
        </w:rPr>
        <w:t>34-37</w:t>
      </w:r>
      <w:r w:rsidRPr="0059512A">
        <w:rPr>
          <w:sz w:val="26"/>
          <w:szCs w:val="26"/>
        </w:rPr>
        <w:t>).</w:t>
      </w:r>
      <w:r w:rsidR="00433507" w:rsidRPr="0059512A">
        <w:rPr>
          <w:sz w:val="26"/>
          <w:szCs w:val="26"/>
        </w:rPr>
        <w:t xml:space="preserve">  </w:t>
      </w:r>
      <w:r w:rsidR="00350FFA" w:rsidRPr="0059512A">
        <w:rPr>
          <w:sz w:val="26"/>
          <w:szCs w:val="26"/>
        </w:rPr>
        <w:t>Citizens’</w:t>
      </w:r>
      <w:r w:rsidRPr="0059512A">
        <w:rPr>
          <w:sz w:val="26"/>
          <w:szCs w:val="26"/>
        </w:rPr>
        <w:t xml:space="preserve"> argued that its proposal to include a small part of demand costs in the fixed monthly fee is reasonable, aligns closely with cost-causation principles and satisfies the 14 policy factors enumerated in the </w:t>
      </w:r>
      <w:r w:rsidR="0091074A" w:rsidRPr="0059512A">
        <w:rPr>
          <w:sz w:val="26"/>
          <w:szCs w:val="26"/>
        </w:rPr>
        <w:t xml:space="preserve">Commission’s Final Policy Statement on alternative ratemaking.  </w:t>
      </w:r>
      <w:r w:rsidR="0091074A" w:rsidRPr="0059512A">
        <w:rPr>
          <w:i/>
          <w:iCs/>
          <w:sz w:val="26"/>
          <w:szCs w:val="26"/>
        </w:rPr>
        <w:t>See, Fixed Utility Distribution Rates Policy Statement, Final Policy Statement Order</w:t>
      </w:r>
      <w:r w:rsidR="0091074A" w:rsidRPr="0059512A">
        <w:rPr>
          <w:sz w:val="26"/>
          <w:szCs w:val="26"/>
        </w:rPr>
        <w:t xml:space="preserve">, Docket No. </w:t>
      </w:r>
      <w:r w:rsidR="0091074A" w:rsidRPr="0059512A">
        <w:rPr>
          <w:sz w:val="26"/>
          <w:szCs w:val="26"/>
        </w:rPr>
        <w:lastRenderedPageBreak/>
        <w:t>M</w:t>
      </w:r>
      <w:r w:rsidR="00861160">
        <w:rPr>
          <w:sz w:val="26"/>
          <w:szCs w:val="26"/>
        </w:rPr>
        <w:noBreakHyphen/>
      </w:r>
      <w:r w:rsidR="0091074A" w:rsidRPr="0059512A">
        <w:rPr>
          <w:sz w:val="26"/>
          <w:szCs w:val="26"/>
        </w:rPr>
        <w:t>2015</w:t>
      </w:r>
      <w:r w:rsidR="00861160">
        <w:rPr>
          <w:sz w:val="26"/>
          <w:szCs w:val="26"/>
        </w:rPr>
        <w:noBreakHyphen/>
      </w:r>
      <w:r w:rsidR="0091074A" w:rsidRPr="0059512A">
        <w:rPr>
          <w:sz w:val="26"/>
          <w:szCs w:val="26"/>
        </w:rPr>
        <w:t>2518883 (Order entered July 18, 2019) (</w:t>
      </w:r>
      <w:bookmarkStart w:id="158" w:name="_Hlk37317290"/>
      <w:r w:rsidR="0091074A" w:rsidRPr="0059512A">
        <w:rPr>
          <w:i/>
          <w:iCs/>
          <w:sz w:val="26"/>
          <w:szCs w:val="26"/>
        </w:rPr>
        <w:t>Final Policy Statement</w:t>
      </w:r>
      <w:bookmarkEnd w:id="158"/>
      <w:r w:rsidR="0091074A" w:rsidRPr="0059512A">
        <w:rPr>
          <w:sz w:val="26"/>
          <w:szCs w:val="26"/>
        </w:rPr>
        <w:t>); 52 Pa. Code §§</w:t>
      </w:r>
      <w:r w:rsidR="00861160">
        <w:rPr>
          <w:sz w:val="26"/>
          <w:szCs w:val="26"/>
        </w:rPr>
        <w:t> </w:t>
      </w:r>
      <w:r w:rsidR="0091074A" w:rsidRPr="0059512A">
        <w:rPr>
          <w:sz w:val="26"/>
          <w:szCs w:val="26"/>
        </w:rPr>
        <w:t xml:space="preserve">69.3301-3302.  </w:t>
      </w:r>
      <w:r w:rsidRPr="0059512A">
        <w:rPr>
          <w:sz w:val="26"/>
          <w:szCs w:val="26"/>
        </w:rPr>
        <w:t xml:space="preserve">R.D. at </w:t>
      </w:r>
      <w:r w:rsidR="00350FFA" w:rsidRPr="0059512A">
        <w:rPr>
          <w:sz w:val="26"/>
          <w:szCs w:val="26"/>
        </w:rPr>
        <w:t>110-</w:t>
      </w:r>
      <w:r w:rsidRPr="0059512A">
        <w:rPr>
          <w:sz w:val="26"/>
          <w:szCs w:val="26"/>
        </w:rPr>
        <w:t>112 (citing</w:t>
      </w:r>
      <w:r w:rsidR="00350FFA" w:rsidRPr="0059512A">
        <w:rPr>
          <w:sz w:val="26"/>
          <w:szCs w:val="26"/>
        </w:rPr>
        <w:t xml:space="preserve"> Citizens’</w:t>
      </w:r>
      <w:r w:rsidRPr="0059512A">
        <w:rPr>
          <w:sz w:val="26"/>
          <w:szCs w:val="26"/>
        </w:rPr>
        <w:t xml:space="preserve"> St. 1 at</w:t>
      </w:r>
      <w:r w:rsidR="00433507" w:rsidRPr="0059512A">
        <w:rPr>
          <w:sz w:val="26"/>
          <w:szCs w:val="26"/>
        </w:rPr>
        <w:t xml:space="preserve"> 34-37</w:t>
      </w:r>
      <w:r w:rsidRPr="0059512A">
        <w:rPr>
          <w:sz w:val="26"/>
          <w:szCs w:val="26"/>
        </w:rPr>
        <w:t>).</w:t>
      </w:r>
    </w:p>
    <w:p w14:paraId="610CD247" w14:textId="72F0A3E7" w:rsidR="004B6516" w:rsidRPr="0059512A" w:rsidRDefault="004B6516" w:rsidP="0059512A">
      <w:pPr>
        <w:widowControl/>
        <w:spacing w:line="360" w:lineRule="auto"/>
        <w:ind w:firstLine="1440"/>
        <w:rPr>
          <w:sz w:val="26"/>
          <w:szCs w:val="26"/>
        </w:rPr>
      </w:pPr>
    </w:p>
    <w:p w14:paraId="3125C71A" w14:textId="77777777" w:rsidR="00BB3955" w:rsidRPr="0059512A" w:rsidRDefault="00684442" w:rsidP="0059512A">
      <w:pPr>
        <w:widowControl/>
        <w:spacing w:line="360" w:lineRule="auto"/>
        <w:ind w:firstLine="1440"/>
        <w:rPr>
          <w:rFonts w:eastAsia="Calibri"/>
          <w:sz w:val="26"/>
          <w:szCs w:val="26"/>
        </w:rPr>
      </w:pPr>
      <w:r w:rsidRPr="0059512A">
        <w:rPr>
          <w:rFonts w:eastAsia="Calibri"/>
          <w:sz w:val="26"/>
          <w:szCs w:val="26"/>
        </w:rPr>
        <w:t>The OCA opposed the inclusion of</w:t>
      </w:r>
      <w:r w:rsidR="008906B5" w:rsidRPr="0059512A">
        <w:rPr>
          <w:rFonts w:eastAsia="Calibri"/>
          <w:sz w:val="26"/>
          <w:szCs w:val="26"/>
        </w:rPr>
        <w:t xml:space="preserve"> any</w:t>
      </w:r>
      <w:r w:rsidRPr="0059512A">
        <w:rPr>
          <w:rFonts w:eastAsia="Calibri"/>
          <w:sz w:val="26"/>
          <w:szCs w:val="26"/>
        </w:rPr>
        <w:t xml:space="preserve"> demand-related costs in the monthly customer charge</w:t>
      </w:r>
      <w:r w:rsidR="00717721" w:rsidRPr="0059512A">
        <w:rPr>
          <w:rFonts w:eastAsia="Calibri"/>
          <w:sz w:val="26"/>
          <w:szCs w:val="26"/>
        </w:rPr>
        <w:t xml:space="preserve"> and most certainly opposed</w:t>
      </w:r>
      <w:r w:rsidRPr="0059512A">
        <w:rPr>
          <w:rFonts w:eastAsia="Calibri"/>
          <w:sz w:val="26"/>
          <w:szCs w:val="26"/>
        </w:rPr>
        <w:t xml:space="preserve"> </w:t>
      </w:r>
      <w:r w:rsidR="008906B5" w:rsidRPr="0059512A">
        <w:rPr>
          <w:rFonts w:eastAsia="Calibri"/>
          <w:sz w:val="26"/>
          <w:szCs w:val="26"/>
        </w:rPr>
        <w:t>the idea</w:t>
      </w:r>
      <w:r w:rsidRPr="0059512A">
        <w:rPr>
          <w:rFonts w:eastAsia="Calibri"/>
          <w:sz w:val="26"/>
          <w:szCs w:val="26"/>
        </w:rPr>
        <w:t xml:space="preserve"> that</w:t>
      </w:r>
      <w:r w:rsidR="00717721" w:rsidRPr="0059512A">
        <w:rPr>
          <w:rFonts w:eastAsia="Calibri"/>
          <w:sz w:val="26"/>
          <w:szCs w:val="26"/>
        </w:rPr>
        <w:t xml:space="preserve"> the inclusion of</w:t>
      </w:r>
      <w:r w:rsidRPr="0059512A">
        <w:rPr>
          <w:rFonts w:eastAsia="Calibri"/>
          <w:sz w:val="26"/>
          <w:szCs w:val="26"/>
        </w:rPr>
        <w:t xml:space="preserve"> </w:t>
      </w:r>
      <w:r w:rsidR="00717721" w:rsidRPr="0059512A">
        <w:rPr>
          <w:rFonts w:eastAsia="Calibri"/>
          <w:sz w:val="26"/>
          <w:szCs w:val="26"/>
        </w:rPr>
        <w:t xml:space="preserve">demand-related amounts should increase over time simply to attain greater revenue recognition from fixed monthly charges.  </w:t>
      </w:r>
      <w:r w:rsidRPr="0059512A">
        <w:rPr>
          <w:rFonts w:eastAsia="Calibri"/>
          <w:sz w:val="26"/>
          <w:szCs w:val="26"/>
        </w:rPr>
        <w:t xml:space="preserve">The OCA argued that the Company’s proposal marks a dramatic change in how it and the Commission have developed customer charges in the past without any support and that such a change would also alter the price signals customers have become accustomed to without any meaningful benefit.  R.D. at 112 (citing OCA St. 4 at 25-26).  </w:t>
      </w:r>
    </w:p>
    <w:p w14:paraId="60BF3CD1" w14:textId="77777777" w:rsidR="00BB3955" w:rsidRPr="0059512A" w:rsidRDefault="00BB3955" w:rsidP="0059512A">
      <w:pPr>
        <w:widowControl/>
        <w:spacing w:line="360" w:lineRule="auto"/>
        <w:ind w:firstLine="1440"/>
        <w:rPr>
          <w:rFonts w:eastAsia="Calibri"/>
          <w:sz w:val="26"/>
          <w:szCs w:val="26"/>
        </w:rPr>
      </w:pPr>
    </w:p>
    <w:p w14:paraId="236DDF4F" w14:textId="1C91366E" w:rsidR="00684442" w:rsidRPr="0059512A" w:rsidRDefault="00BB3955" w:rsidP="0059512A">
      <w:pPr>
        <w:widowControl/>
        <w:spacing w:line="360" w:lineRule="auto"/>
        <w:ind w:firstLine="1440"/>
        <w:rPr>
          <w:rFonts w:eastAsia="Calibri"/>
          <w:sz w:val="26"/>
          <w:szCs w:val="26"/>
        </w:rPr>
      </w:pPr>
      <w:r w:rsidRPr="0059512A">
        <w:rPr>
          <w:rFonts w:eastAsia="Calibri"/>
          <w:sz w:val="26"/>
          <w:szCs w:val="26"/>
        </w:rPr>
        <w:t xml:space="preserve">The OCA submitted that the Company’s proposal does not align with the goals enumerated in the </w:t>
      </w:r>
      <w:r w:rsidRPr="0059512A">
        <w:rPr>
          <w:i/>
          <w:iCs/>
          <w:sz w:val="26"/>
          <w:szCs w:val="26"/>
        </w:rPr>
        <w:t>Final Policy Statement</w:t>
      </w:r>
      <w:r w:rsidRPr="0059512A">
        <w:rPr>
          <w:sz w:val="26"/>
          <w:szCs w:val="26"/>
        </w:rPr>
        <w:t>, the main purpose of which is to promote the efficient use of electricity</w:t>
      </w:r>
      <w:r w:rsidRPr="0059512A">
        <w:rPr>
          <w:rFonts w:eastAsia="Calibri"/>
          <w:sz w:val="26"/>
          <w:szCs w:val="26"/>
        </w:rPr>
        <w:t xml:space="preserve">, rather the </w:t>
      </w:r>
      <w:r w:rsidR="00684442" w:rsidRPr="0059512A">
        <w:rPr>
          <w:rFonts w:eastAsia="Calibri"/>
          <w:sz w:val="26"/>
          <w:szCs w:val="26"/>
        </w:rPr>
        <w:t>proposed inclusion of demand</w:t>
      </w:r>
      <w:r w:rsidRPr="0059512A">
        <w:rPr>
          <w:rFonts w:eastAsia="Calibri"/>
          <w:sz w:val="26"/>
          <w:szCs w:val="26"/>
        </w:rPr>
        <w:t>-related</w:t>
      </w:r>
      <w:r w:rsidR="00684442" w:rsidRPr="0059512A">
        <w:rPr>
          <w:rFonts w:eastAsia="Calibri"/>
          <w:sz w:val="26"/>
          <w:szCs w:val="26"/>
        </w:rPr>
        <w:t xml:space="preserve"> costs as a part of the customer charge has the opposite effect because the inclusion of demand costs in the fixed customer charge prevents the customer from seeing price signals that would otherwise encourage conservation and the efficient use of electricity.  R.D. at 114</w:t>
      </w:r>
      <w:r w:rsidRPr="0059512A">
        <w:rPr>
          <w:rFonts w:eastAsia="Calibri"/>
          <w:sz w:val="26"/>
          <w:szCs w:val="26"/>
        </w:rPr>
        <w:t>-115</w:t>
      </w:r>
      <w:r w:rsidR="00684442" w:rsidRPr="0059512A">
        <w:rPr>
          <w:rFonts w:eastAsia="Calibri"/>
          <w:sz w:val="26"/>
          <w:szCs w:val="26"/>
        </w:rPr>
        <w:t xml:space="preserve"> (citing OCA St</w:t>
      </w:r>
      <w:r w:rsidRPr="0059512A">
        <w:rPr>
          <w:rFonts w:eastAsia="Calibri"/>
          <w:sz w:val="26"/>
          <w:szCs w:val="26"/>
        </w:rPr>
        <w:t>.</w:t>
      </w:r>
      <w:r w:rsidR="00684442" w:rsidRPr="0059512A">
        <w:rPr>
          <w:rFonts w:eastAsia="Calibri"/>
          <w:sz w:val="26"/>
          <w:szCs w:val="26"/>
        </w:rPr>
        <w:t xml:space="preserve"> 4 at 2</w:t>
      </w:r>
      <w:r w:rsidRPr="0059512A">
        <w:rPr>
          <w:rFonts w:eastAsia="Calibri"/>
          <w:sz w:val="26"/>
          <w:szCs w:val="26"/>
        </w:rPr>
        <w:t>6</w:t>
      </w:r>
      <w:r w:rsidR="00684442" w:rsidRPr="0059512A">
        <w:rPr>
          <w:rFonts w:eastAsia="Calibri"/>
          <w:sz w:val="26"/>
          <w:szCs w:val="26"/>
        </w:rPr>
        <w:t>).</w:t>
      </w:r>
    </w:p>
    <w:p w14:paraId="14CCDA12" w14:textId="245A1605" w:rsidR="00684442" w:rsidRPr="0059512A" w:rsidRDefault="00684442" w:rsidP="0059512A">
      <w:pPr>
        <w:widowControl/>
        <w:spacing w:line="360" w:lineRule="auto"/>
        <w:ind w:firstLine="1440"/>
        <w:rPr>
          <w:sz w:val="26"/>
          <w:szCs w:val="26"/>
        </w:rPr>
      </w:pPr>
    </w:p>
    <w:p w14:paraId="2554B6FD" w14:textId="269017A0" w:rsidR="00B43D7F" w:rsidRPr="0059512A" w:rsidRDefault="00E95940" w:rsidP="0059512A">
      <w:pPr>
        <w:widowControl/>
        <w:spacing w:line="360" w:lineRule="auto"/>
        <w:ind w:firstLine="1440"/>
        <w:rPr>
          <w:rFonts w:eastAsia="Calibri"/>
          <w:sz w:val="26"/>
          <w:szCs w:val="26"/>
        </w:rPr>
      </w:pPr>
      <w:r w:rsidRPr="0059512A">
        <w:rPr>
          <w:rFonts w:eastAsia="Calibri"/>
          <w:sz w:val="26"/>
          <w:szCs w:val="26"/>
        </w:rPr>
        <w:t>Like the OCA, I&amp;E also opposed Citizens’ proposal to include a portion of the demand-related costs in the customer charge because it will send inaccurate price signals to customers.  R.D. at 116-117 (citing I&amp;E St. 3 at 30-31).  I&amp;E proposed customer charges be limited to what can be supported b</w:t>
      </w:r>
      <w:r w:rsidR="00EB26B8" w:rsidRPr="0059512A">
        <w:rPr>
          <w:rFonts w:eastAsia="Calibri"/>
          <w:sz w:val="26"/>
          <w:szCs w:val="26"/>
        </w:rPr>
        <w:t>y the Company’s</w:t>
      </w:r>
      <w:r w:rsidRPr="0059512A">
        <w:rPr>
          <w:rFonts w:eastAsia="Calibri"/>
          <w:sz w:val="26"/>
          <w:szCs w:val="26"/>
        </w:rPr>
        <w:t xml:space="preserve"> customer cost analysis, which shows that the RS class customer charge should only be increased to approximately $13.00</w:t>
      </w:r>
      <w:r w:rsidR="00B43D7F" w:rsidRPr="0059512A">
        <w:rPr>
          <w:rFonts w:eastAsia="Calibri"/>
          <w:sz w:val="26"/>
          <w:szCs w:val="26"/>
        </w:rPr>
        <w:t xml:space="preserve"> per month</w:t>
      </w:r>
      <w:r w:rsidRPr="0059512A">
        <w:rPr>
          <w:rFonts w:eastAsia="Calibri"/>
          <w:sz w:val="26"/>
          <w:szCs w:val="26"/>
        </w:rPr>
        <w:t xml:space="preserve"> and that there is no cost basis for increasing the SH class from its existing customer charge of $18.5</w:t>
      </w:r>
      <w:r w:rsidR="00B43D7F" w:rsidRPr="0059512A">
        <w:rPr>
          <w:rFonts w:eastAsia="Calibri"/>
          <w:sz w:val="26"/>
          <w:szCs w:val="26"/>
        </w:rPr>
        <w:t xml:space="preserve">7 per month.  </w:t>
      </w:r>
      <w:r w:rsidRPr="0059512A">
        <w:rPr>
          <w:rFonts w:eastAsia="Calibri"/>
          <w:sz w:val="26"/>
          <w:szCs w:val="26"/>
        </w:rPr>
        <w:t>R.D. at 1</w:t>
      </w:r>
      <w:r w:rsidR="00B43D7F" w:rsidRPr="0059512A">
        <w:rPr>
          <w:rFonts w:eastAsia="Calibri"/>
          <w:sz w:val="26"/>
          <w:szCs w:val="26"/>
        </w:rPr>
        <w:t>17</w:t>
      </w:r>
      <w:r w:rsidRPr="0059512A">
        <w:rPr>
          <w:rFonts w:eastAsia="Calibri"/>
          <w:sz w:val="26"/>
          <w:szCs w:val="26"/>
        </w:rPr>
        <w:t xml:space="preserve"> (citing I&amp;E St.</w:t>
      </w:r>
      <w:r w:rsidR="00861160">
        <w:rPr>
          <w:rFonts w:eastAsia="Calibri"/>
          <w:sz w:val="26"/>
          <w:szCs w:val="26"/>
        </w:rPr>
        <w:t> </w:t>
      </w:r>
      <w:r w:rsidRPr="0059512A">
        <w:rPr>
          <w:rFonts w:eastAsia="Calibri"/>
          <w:sz w:val="26"/>
          <w:szCs w:val="26"/>
        </w:rPr>
        <w:t xml:space="preserve">3 at </w:t>
      </w:r>
      <w:r w:rsidR="00B43D7F" w:rsidRPr="0059512A">
        <w:rPr>
          <w:rFonts w:eastAsia="Calibri"/>
          <w:sz w:val="26"/>
          <w:szCs w:val="26"/>
        </w:rPr>
        <w:t>41</w:t>
      </w:r>
      <w:r w:rsidRPr="0059512A">
        <w:rPr>
          <w:rFonts w:eastAsia="Calibri"/>
          <w:sz w:val="26"/>
          <w:szCs w:val="26"/>
        </w:rPr>
        <w:t>).</w:t>
      </w:r>
      <w:r w:rsidR="00B43D7F" w:rsidRPr="0059512A">
        <w:rPr>
          <w:rFonts w:eastAsia="Calibri"/>
          <w:sz w:val="26"/>
          <w:szCs w:val="26"/>
        </w:rPr>
        <w:t xml:space="preserve"> </w:t>
      </w:r>
      <w:r w:rsidRPr="0059512A">
        <w:rPr>
          <w:rFonts w:eastAsia="Calibri"/>
          <w:sz w:val="26"/>
          <w:szCs w:val="26"/>
        </w:rPr>
        <w:t xml:space="preserve"> </w:t>
      </w:r>
    </w:p>
    <w:p w14:paraId="25E0FD4A" w14:textId="77777777" w:rsidR="00B43D7F" w:rsidRPr="0059512A" w:rsidRDefault="00B43D7F" w:rsidP="0059512A">
      <w:pPr>
        <w:widowControl/>
        <w:spacing w:line="360" w:lineRule="auto"/>
        <w:ind w:firstLine="1440"/>
        <w:rPr>
          <w:rFonts w:eastAsia="Calibri"/>
          <w:sz w:val="26"/>
          <w:szCs w:val="26"/>
        </w:rPr>
      </w:pPr>
    </w:p>
    <w:p w14:paraId="63EA7521" w14:textId="72AE3374" w:rsidR="00982C4A" w:rsidRPr="0059512A" w:rsidRDefault="00E95940" w:rsidP="0059512A">
      <w:pPr>
        <w:widowControl/>
        <w:spacing w:line="360" w:lineRule="auto"/>
        <w:ind w:firstLine="1440"/>
        <w:rPr>
          <w:rFonts w:eastAsia="Calibri"/>
          <w:sz w:val="26"/>
          <w:szCs w:val="26"/>
        </w:rPr>
      </w:pPr>
      <w:r w:rsidRPr="0059512A">
        <w:rPr>
          <w:rFonts w:eastAsia="Calibri"/>
          <w:sz w:val="26"/>
          <w:szCs w:val="26"/>
        </w:rPr>
        <w:lastRenderedPageBreak/>
        <w:t>Additionally,</w:t>
      </w:r>
      <w:r w:rsidR="00B43D7F" w:rsidRPr="0059512A">
        <w:rPr>
          <w:rFonts w:eastAsia="Calibri"/>
          <w:sz w:val="26"/>
          <w:szCs w:val="26"/>
        </w:rPr>
        <w:t xml:space="preserve"> </w:t>
      </w:r>
      <w:r w:rsidR="00EB26B8" w:rsidRPr="0059512A">
        <w:rPr>
          <w:rFonts w:eastAsia="Calibri"/>
          <w:sz w:val="26"/>
          <w:szCs w:val="26"/>
        </w:rPr>
        <w:t>I&amp;E addressed</w:t>
      </w:r>
      <w:r w:rsidR="00982C4A" w:rsidRPr="0059512A">
        <w:rPr>
          <w:rFonts w:eastAsia="Calibri"/>
          <w:sz w:val="26"/>
          <w:szCs w:val="26"/>
        </w:rPr>
        <w:t xml:space="preserve"> the Company</w:t>
      </w:r>
      <w:r w:rsidR="000D2EFC" w:rsidRPr="0059512A">
        <w:rPr>
          <w:rFonts w:eastAsia="Calibri"/>
          <w:sz w:val="26"/>
          <w:szCs w:val="26"/>
        </w:rPr>
        <w:t>’s</w:t>
      </w:r>
      <w:r w:rsidR="00982C4A" w:rsidRPr="0059512A">
        <w:rPr>
          <w:rFonts w:eastAsia="Calibri"/>
          <w:sz w:val="26"/>
          <w:szCs w:val="26"/>
        </w:rPr>
        <w:t xml:space="preserve"> claim that it incurs distribution system costs based on the number customers connected to the system and the peak demand the system is designed to serve</w:t>
      </w:r>
      <w:r w:rsidR="00EB26B8" w:rsidRPr="0059512A">
        <w:rPr>
          <w:rFonts w:eastAsia="Calibri"/>
          <w:sz w:val="26"/>
          <w:szCs w:val="26"/>
        </w:rPr>
        <w:t>.  In response to the Company’s contention that</w:t>
      </w:r>
      <w:r w:rsidR="00982C4A" w:rsidRPr="0059512A">
        <w:rPr>
          <w:rFonts w:eastAsia="Calibri"/>
          <w:sz w:val="26"/>
          <w:szCs w:val="26"/>
        </w:rPr>
        <w:t xml:space="preserve"> once an investment is made it is considered a fixed cost, and therefore appropriately recovered through</w:t>
      </w:r>
      <w:r w:rsidR="00F34AF1" w:rsidRPr="0059512A">
        <w:rPr>
          <w:rFonts w:eastAsia="Calibri"/>
          <w:sz w:val="26"/>
          <w:szCs w:val="26"/>
        </w:rPr>
        <w:t xml:space="preserve"> a</w:t>
      </w:r>
      <w:r w:rsidR="00982C4A" w:rsidRPr="0059512A">
        <w:rPr>
          <w:rFonts w:eastAsia="Calibri"/>
          <w:sz w:val="26"/>
          <w:szCs w:val="26"/>
        </w:rPr>
        <w:t xml:space="preserve"> fixed customer charge</w:t>
      </w:r>
      <w:r w:rsidR="00F34AF1" w:rsidRPr="0059512A">
        <w:rPr>
          <w:rFonts w:eastAsia="Calibri"/>
          <w:sz w:val="26"/>
          <w:szCs w:val="26"/>
        </w:rPr>
        <w:t>,</w:t>
      </w:r>
      <w:r w:rsidR="00A674A4" w:rsidRPr="0059512A">
        <w:rPr>
          <w:rStyle w:val="FootnoteReference"/>
          <w:rFonts w:eastAsia="Calibri"/>
          <w:sz w:val="26"/>
          <w:szCs w:val="26"/>
        </w:rPr>
        <w:footnoteReference w:id="26"/>
      </w:r>
      <w:r w:rsidR="00F34AF1" w:rsidRPr="0059512A">
        <w:rPr>
          <w:rFonts w:eastAsia="Calibri"/>
          <w:sz w:val="26"/>
          <w:szCs w:val="26"/>
        </w:rPr>
        <w:t xml:space="preserve"> I&amp;E submitted the following response:</w:t>
      </w:r>
    </w:p>
    <w:p w14:paraId="6E4A0F82" w14:textId="77777777" w:rsidR="00982C4A" w:rsidRPr="0059512A" w:rsidRDefault="00982C4A" w:rsidP="00861160">
      <w:pPr>
        <w:widowControl/>
        <w:ind w:firstLine="1440"/>
        <w:rPr>
          <w:rFonts w:eastAsia="Calibri"/>
          <w:sz w:val="26"/>
          <w:szCs w:val="26"/>
        </w:rPr>
      </w:pPr>
    </w:p>
    <w:p w14:paraId="53351361" w14:textId="77777777" w:rsidR="00F34AF1" w:rsidRPr="0059512A" w:rsidRDefault="00F34AF1" w:rsidP="0059512A">
      <w:pPr>
        <w:widowControl/>
        <w:ind w:left="1440" w:right="1440"/>
        <w:rPr>
          <w:rFonts w:eastAsia="Calibri"/>
          <w:sz w:val="26"/>
          <w:szCs w:val="26"/>
        </w:rPr>
      </w:pPr>
      <w:r w:rsidRPr="0059512A">
        <w:rPr>
          <w:rFonts w:eastAsia="Calibri"/>
          <w:sz w:val="26"/>
          <w:szCs w:val="26"/>
        </w:rPr>
        <w:t xml:space="preserve">It is correct that the energy charge does not perfectly reflect demand-related costs imposed on the system.  However, an energy charge is far superior to allocating demand-related costs to all residential customers equally through the fixed customer charge.  An investment may be considered a fixed cost once it is in service, but that does not dictate the manner in which the fixed cost should be recovered through rates.  The specific fixed costs recovered through the customer charge have historically been limited to the direct costs associated with billing an individual customer.  Each individual customer requires a meter to determine their usage and a bill to show them what they owe.  Therefore, as an example, there is a direct correlation between number of customers and the cost of meters.  There is no direct relationship between the number of customers and the size or the cost of poles, conductors, or transformers.  Those items are instead common costs that should be billed to the customer class through volumetric rates, which is the method that the Commission has approved in the past.  </w:t>
      </w:r>
    </w:p>
    <w:p w14:paraId="363547D5" w14:textId="77777777" w:rsidR="00F34AF1" w:rsidRPr="0059512A" w:rsidRDefault="00F34AF1" w:rsidP="0059512A">
      <w:pPr>
        <w:widowControl/>
        <w:ind w:left="1440" w:right="1440"/>
        <w:rPr>
          <w:rFonts w:eastAsia="Calibri"/>
          <w:sz w:val="26"/>
          <w:szCs w:val="26"/>
        </w:rPr>
      </w:pPr>
    </w:p>
    <w:p w14:paraId="351176D1" w14:textId="77777777" w:rsidR="00F34AF1" w:rsidRPr="0059512A" w:rsidRDefault="00F34AF1" w:rsidP="0059512A">
      <w:pPr>
        <w:keepNext/>
        <w:widowControl/>
        <w:ind w:left="1440" w:right="1440" w:firstLine="720"/>
        <w:rPr>
          <w:rFonts w:eastAsia="Calibri"/>
          <w:sz w:val="26"/>
          <w:szCs w:val="26"/>
        </w:rPr>
      </w:pPr>
      <w:r w:rsidRPr="0059512A">
        <w:rPr>
          <w:rFonts w:eastAsia="Calibri"/>
          <w:sz w:val="26"/>
          <w:szCs w:val="26"/>
        </w:rPr>
        <w:t xml:space="preserve">A utility’s past capital investments are depreciated over time and revenues collected through rates must be sufficient to eventually allow the company to recover these past investments.  While past capital investments are fixed in the sense that they cannot be avoided, some future capital investments can be avoided if customers reduce their energy consumption and peak demands.  Inevitably, the utility will have to make new capital investments to accommodate load growth or distribution lines to be upgraded.  Rate design has a role to play in sending appropriate price signals to guide customers’ energy consumption.  When customers are provided with variable rates that reflect these costs, they can </w:t>
      </w:r>
      <w:r w:rsidRPr="0059512A">
        <w:rPr>
          <w:rFonts w:eastAsia="Calibri"/>
          <w:sz w:val="26"/>
          <w:szCs w:val="26"/>
        </w:rPr>
        <w:lastRenderedPageBreak/>
        <w:t>choose to reduce their usage of the system to avoid these costs.  In contrast, if revenues are recovered through fixed charges, customers are sent an inaccurate message that their usage does not affect distribution system costs.</w:t>
      </w:r>
    </w:p>
    <w:p w14:paraId="4BAF1CC5" w14:textId="5DCCC710" w:rsidR="00982C4A" w:rsidRPr="0059512A" w:rsidRDefault="00982C4A" w:rsidP="0059512A">
      <w:pPr>
        <w:keepNext/>
        <w:widowControl/>
        <w:spacing w:line="360" w:lineRule="auto"/>
        <w:rPr>
          <w:rFonts w:eastAsia="Calibri"/>
          <w:sz w:val="26"/>
          <w:szCs w:val="26"/>
        </w:rPr>
      </w:pPr>
    </w:p>
    <w:p w14:paraId="13FD87F5" w14:textId="3E18EB57" w:rsidR="00F34AF1" w:rsidRPr="0059512A" w:rsidRDefault="00F34AF1" w:rsidP="0059512A">
      <w:pPr>
        <w:keepNext/>
        <w:widowControl/>
        <w:spacing w:line="360" w:lineRule="auto"/>
        <w:rPr>
          <w:rFonts w:eastAsia="Calibri"/>
          <w:sz w:val="26"/>
          <w:szCs w:val="26"/>
        </w:rPr>
      </w:pPr>
      <w:r w:rsidRPr="0059512A">
        <w:rPr>
          <w:rFonts w:eastAsia="Calibri"/>
          <w:sz w:val="26"/>
          <w:szCs w:val="26"/>
        </w:rPr>
        <w:t xml:space="preserve">I&amp;E St. 3 at 30-31.  </w:t>
      </w:r>
    </w:p>
    <w:p w14:paraId="2CBA1F51" w14:textId="77777777" w:rsidR="00E95940" w:rsidRPr="0059512A" w:rsidRDefault="00E95940" w:rsidP="0059512A">
      <w:pPr>
        <w:widowControl/>
        <w:spacing w:line="360" w:lineRule="auto"/>
        <w:rPr>
          <w:rFonts w:eastAsia="Calibri"/>
          <w:sz w:val="26"/>
          <w:szCs w:val="26"/>
        </w:rPr>
      </w:pPr>
    </w:p>
    <w:p w14:paraId="500D2050" w14:textId="2694A845" w:rsidR="00DD4D1F" w:rsidRPr="0059512A" w:rsidRDefault="00E95940" w:rsidP="0059512A">
      <w:pPr>
        <w:widowControl/>
        <w:spacing w:line="360" w:lineRule="auto"/>
        <w:ind w:firstLine="1440"/>
        <w:rPr>
          <w:bCs/>
          <w:sz w:val="26"/>
          <w:szCs w:val="26"/>
        </w:rPr>
      </w:pPr>
      <w:r w:rsidRPr="0059512A">
        <w:rPr>
          <w:sz w:val="26"/>
          <w:szCs w:val="26"/>
        </w:rPr>
        <w:t xml:space="preserve">I&amp;E also disagreed with </w:t>
      </w:r>
      <w:r w:rsidR="00A674A4" w:rsidRPr="0059512A">
        <w:rPr>
          <w:sz w:val="26"/>
          <w:szCs w:val="26"/>
        </w:rPr>
        <w:t>Citizens’</w:t>
      </w:r>
      <w:r w:rsidRPr="0059512A">
        <w:rPr>
          <w:sz w:val="26"/>
          <w:szCs w:val="26"/>
        </w:rPr>
        <w:t xml:space="preserve"> argument that the proposed adjustment to the customer charge should be considered “alternative ratemaking” and accepted by the Commission.  I&amp;E witness Cline disagreed with </w:t>
      </w:r>
      <w:r w:rsidR="002B66D1" w:rsidRPr="0059512A">
        <w:rPr>
          <w:sz w:val="26"/>
          <w:szCs w:val="26"/>
        </w:rPr>
        <w:t>Citizens’</w:t>
      </w:r>
      <w:r w:rsidRPr="0059512A">
        <w:rPr>
          <w:sz w:val="26"/>
          <w:szCs w:val="26"/>
        </w:rPr>
        <w:t xml:space="preserve"> witness Gorman that the 14 factors enumerated by the Commission in its </w:t>
      </w:r>
      <w:r w:rsidRPr="0059512A">
        <w:rPr>
          <w:i/>
          <w:iCs/>
          <w:sz w:val="26"/>
          <w:szCs w:val="26"/>
        </w:rPr>
        <w:t>Final Policy Statement</w:t>
      </w:r>
      <w:r w:rsidRPr="0059512A">
        <w:rPr>
          <w:sz w:val="26"/>
          <w:szCs w:val="26"/>
        </w:rPr>
        <w:t xml:space="preserve"> are satisfied.</w:t>
      </w:r>
      <w:r w:rsidRPr="0059512A">
        <w:rPr>
          <w:sz w:val="26"/>
          <w:szCs w:val="26"/>
          <w:vertAlign w:val="superscript"/>
        </w:rPr>
        <w:footnoteReference w:id="27"/>
      </w:r>
      <w:r w:rsidRPr="0059512A">
        <w:rPr>
          <w:sz w:val="26"/>
          <w:szCs w:val="26"/>
        </w:rPr>
        <w:t xml:space="preserve">  R.D. at </w:t>
      </w:r>
      <w:r w:rsidR="001D07C1" w:rsidRPr="0059512A">
        <w:rPr>
          <w:sz w:val="26"/>
          <w:szCs w:val="26"/>
        </w:rPr>
        <w:t>117-119</w:t>
      </w:r>
      <w:r w:rsidRPr="0059512A">
        <w:rPr>
          <w:sz w:val="26"/>
          <w:szCs w:val="26"/>
        </w:rPr>
        <w:t xml:space="preserve"> (citing </w:t>
      </w:r>
      <w:bookmarkStart w:id="159" w:name="_Hlk33002369"/>
      <w:r w:rsidRPr="0059512A">
        <w:rPr>
          <w:bCs/>
          <w:sz w:val="26"/>
          <w:szCs w:val="26"/>
        </w:rPr>
        <w:t>I&amp;E St. 3 at 35</w:t>
      </w:r>
      <w:r w:rsidR="001D07C1" w:rsidRPr="0059512A">
        <w:rPr>
          <w:bCs/>
          <w:sz w:val="26"/>
          <w:szCs w:val="26"/>
        </w:rPr>
        <w:t>-40</w:t>
      </w:r>
      <w:r w:rsidRPr="0059512A">
        <w:rPr>
          <w:bCs/>
          <w:sz w:val="26"/>
          <w:szCs w:val="26"/>
        </w:rPr>
        <w:t>).</w:t>
      </w:r>
      <w:bookmarkEnd w:id="159"/>
      <w:r w:rsidR="00DD4D1F" w:rsidRPr="0059512A">
        <w:rPr>
          <w:bCs/>
          <w:sz w:val="26"/>
          <w:szCs w:val="26"/>
        </w:rPr>
        <w:t xml:space="preserve">  I&amp;E grounded its opposition primarily on three concerns: (1) efficiency and energy conservation; (2) low-income customers; and (3)</w:t>
      </w:r>
      <w:r w:rsidR="00861160">
        <w:rPr>
          <w:bCs/>
          <w:sz w:val="26"/>
          <w:szCs w:val="26"/>
        </w:rPr>
        <w:t> </w:t>
      </w:r>
      <w:r w:rsidR="00DD4D1F" w:rsidRPr="0059512A">
        <w:rPr>
          <w:bCs/>
          <w:sz w:val="26"/>
          <w:szCs w:val="26"/>
        </w:rPr>
        <w:t>cost</w:t>
      </w:r>
      <w:r w:rsidR="000D2EFC" w:rsidRPr="0059512A">
        <w:rPr>
          <w:bCs/>
          <w:sz w:val="26"/>
          <w:szCs w:val="26"/>
        </w:rPr>
        <w:t>-</w:t>
      </w:r>
      <w:r w:rsidR="00DD4D1F" w:rsidRPr="0059512A">
        <w:rPr>
          <w:bCs/>
          <w:sz w:val="26"/>
          <w:szCs w:val="26"/>
        </w:rPr>
        <w:t xml:space="preserve">causation.  R.D. at 118 (citing I&amp;E St. 3 at 38-40).  </w:t>
      </w:r>
    </w:p>
    <w:p w14:paraId="0D54B430" w14:textId="77777777" w:rsidR="00DD4D1F" w:rsidRPr="0059512A" w:rsidRDefault="00DD4D1F" w:rsidP="0059512A">
      <w:pPr>
        <w:widowControl/>
        <w:spacing w:line="360" w:lineRule="auto"/>
        <w:ind w:firstLine="1440"/>
        <w:rPr>
          <w:bCs/>
          <w:sz w:val="26"/>
          <w:szCs w:val="26"/>
        </w:rPr>
      </w:pPr>
    </w:p>
    <w:p w14:paraId="7B5035B2" w14:textId="41A505B1" w:rsidR="00E95940" w:rsidRPr="0059512A" w:rsidRDefault="00E95940" w:rsidP="0059512A">
      <w:pPr>
        <w:widowControl/>
        <w:spacing w:line="360" w:lineRule="auto"/>
        <w:ind w:firstLine="1440"/>
        <w:rPr>
          <w:rFonts w:eastAsia="Calibri"/>
          <w:sz w:val="26"/>
          <w:szCs w:val="26"/>
        </w:rPr>
      </w:pPr>
      <w:r w:rsidRPr="0059512A">
        <w:rPr>
          <w:bCs/>
          <w:sz w:val="26"/>
          <w:szCs w:val="26"/>
        </w:rPr>
        <w:t>Last</w:t>
      </w:r>
      <w:r w:rsidR="000D2EFC" w:rsidRPr="0059512A">
        <w:rPr>
          <w:bCs/>
          <w:sz w:val="26"/>
          <w:szCs w:val="26"/>
        </w:rPr>
        <w:t>ly</w:t>
      </w:r>
      <w:r w:rsidRPr="0059512A">
        <w:rPr>
          <w:bCs/>
          <w:sz w:val="26"/>
          <w:szCs w:val="26"/>
        </w:rPr>
        <w:t xml:space="preserve">, I&amp;E argued that while </w:t>
      </w:r>
      <w:r w:rsidR="00DD4D1F" w:rsidRPr="0059512A">
        <w:rPr>
          <w:bCs/>
          <w:sz w:val="26"/>
          <w:szCs w:val="26"/>
        </w:rPr>
        <w:t>Citizens’</w:t>
      </w:r>
      <w:r w:rsidRPr="0059512A">
        <w:rPr>
          <w:bCs/>
          <w:sz w:val="26"/>
          <w:szCs w:val="26"/>
        </w:rPr>
        <w:t xml:space="preserve"> primarily justified its proposal by reference to reliability, which may have some bearing on the Commission’s analysis; however, the multiple concerns cited by I&amp;E should outweigh this singular consideration.  Therefore, I&amp;E requested that the Commission reject </w:t>
      </w:r>
      <w:r w:rsidR="004057BD" w:rsidRPr="0059512A">
        <w:rPr>
          <w:bCs/>
          <w:sz w:val="26"/>
          <w:szCs w:val="26"/>
        </w:rPr>
        <w:t>Citizens’</w:t>
      </w:r>
      <w:r w:rsidRPr="0059512A">
        <w:rPr>
          <w:bCs/>
          <w:sz w:val="26"/>
          <w:szCs w:val="26"/>
        </w:rPr>
        <w:t xml:space="preserve"> proposal to assign a portion of demand</w:t>
      </w:r>
      <w:r w:rsidR="004057BD" w:rsidRPr="0059512A">
        <w:rPr>
          <w:bCs/>
          <w:sz w:val="26"/>
          <w:szCs w:val="26"/>
        </w:rPr>
        <w:t>-related</w:t>
      </w:r>
      <w:r w:rsidRPr="0059512A">
        <w:rPr>
          <w:bCs/>
          <w:sz w:val="26"/>
          <w:szCs w:val="26"/>
        </w:rPr>
        <w:t xml:space="preserve"> </w:t>
      </w:r>
      <w:r w:rsidR="004057BD" w:rsidRPr="0059512A">
        <w:rPr>
          <w:bCs/>
          <w:sz w:val="26"/>
          <w:szCs w:val="26"/>
        </w:rPr>
        <w:t>costs</w:t>
      </w:r>
      <w:r w:rsidRPr="0059512A">
        <w:rPr>
          <w:bCs/>
          <w:sz w:val="26"/>
          <w:szCs w:val="26"/>
        </w:rPr>
        <w:t xml:space="preserve"> to </w:t>
      </w:r>
      <w:r w:rsidR="004057BD" w:rsidRPr="0059512A">
        <w:rPr>
          <w:bCs/>
          <w:sz w:val="26"/>
          <w:szCs w:val="26"/>
        </w:rPr>
        <w:t xml:space="preserve">the RS and SH class </w:t>
      </w:r>
      <w:r w:rsidRPr="0059512A">
        <w:rPr>
          <w:bCs/>
          <w:sz w:val="26"/>
          <w:szCs w:val="26"/>
        </w:rPr>
        <w:t>customer charge</w:t>
      </w:r>
      <w:r w:rsidR="004057BD" w:rsidRPr="0059512A">
        <w:rPr>
          <w:bCs/>
          <w:sz w:val="26"/>
          <w:szCs w:val="26"/>
        </w:rPr>
        <w:t>s</w:t>
      </w:r>
      <w:r w:rsidRPr="0059512A">
        <w:rPr>
          <w:bCs/>
          <w:sz w:val="26"/>
          <w:szCs w:val="26"/>
        </w:rPr>
        <w:t xml:space="preserve"> and instead adopt I&amp;E’s recommendations in accord with </w:t>
      </w:r>
      <w:r w:rsidR="004057BD" w:rsidRPr="0059512A">
        <w:rPr>
          <w:bCs/>
          <w:sz w:val="26"/>
          <w:szCs w:val="26"/>
        </w:rPr>
        <w:t>the Company’s</w:t>
      </w:r>
      <w:r w:rsidRPr="0059512A">
        <w:rPr>
          <w:bCs/>
          <w:sz w:val="26"/>
          <w:szCs w:val="26"/>
        </w:rPr>
        <w:t xml:space="preserve"> cost of service study.  R.D.</w:t>
      </w:r>
      <w:r w:rsidR="00861160">
        <w:rPr>
          <w:bCs/>
          <w:sz w:val="26"/>
          <w:szCs w:val="26"/>
        </w:rPr>
        <w:t> </w:t>
      </w:r>
      <w:r w:rsidRPr="0059512A">
        <w:rPr>
          <w:bCs/>
          <w:sz w:val="26"/>
          <w:szCs w:val="26"/>
        </w:rPr>
        <w:t>at 1</w:t>
      </w:r>
      <w:r w:rsidR="004057BD" w:rsidRPr="0059512A">
        <w:rPr>
          <w:bCs/>
          <w:sz w:val="26"/>
          <w:szCs w:val="26"/>
        </w:rPr>
        <w:t>18-119</w:t>
      </w:r>
      <w:r w:rsidRPr="0059512A">
        <w:rPr>
          <w:bCs/>
          <w:sz w:val="26"/>
          <w:szCs w:val="26"/>
        </w:rPr>
        <w:t>.</w:t>
      </w:r>
    </w:p>
    <w:p w14:paraId="5575D670" w14:textId="24B06E04" w:rsidR="00550CA4" w:rsidRPr="0059512A" w:rsidRDefault="00550CA4" w:rsidP="0059512A">
      <w:pPr>
        <w:widowControl/>
        <w:spacing w:line="360" w:lineRule="auto"/>
        <w:rPr>
          <w:sz w:val="26"/>
          <w:szCs w:val="26"/>
        </w:rPr>
      </w:pPr>
    </w:p>
    <w:p w14:paraId="1F795570" w14:textId="3BE72DA6" w:rsidR="00550CA4" w:rsidRPr="0059512A" w:rsidRDefault="00550CA4" w:rsidP="0059512A">
      <w:pPr>
        <w:widowControl/>
        <w:spacing w:line="360" w:lineRule="auto"/>
        <w:ind w:firstLine="1440"/>
        <w:rPr>
          <w:sz w:val="26"/>
          <w:szCs w:val="26"/>
        </w:rPr>
      </w:pPr>
      <w:r w:rsidRPr="0059512A">
        <w:rPr>
          <w:sz w:val="26"/>
          <w:szCs w:val="26"/>
        </w:rPr>
        <w:t xml:space="preserve">The OSBA did not take issue with the Company’s proposed rate design and stated that the proposed GLP-1 customer charge of $15.00 per month is consistent with Citizens’ customer cost benchmark analysis.  OSBA St. 1 at 10.  However, in the event that the Commission assigns a lower increase than proposed by Citizens’, the OSBA recommended that (i) the proposed GLP-1 customer charge remain unchanged at $15.00 </w:t>
      </w:r>
      <w:r w:rsidRPr="0059512A">
        <w:rPr>
          <w:sz w:val="26"/>
          <w:szCs w:val="26"/>
        </w:rPr>
        <w:lastRenderedPageBreak/>
        <w:t>per month, and (ii) the current GLP-1 energy and demand charges receive a uniform (residual) increase so as to recover the final class revenue target.  OSBA St. No. 1 at 11.</w:t>
      </w:r>
    </w:p>
    <w:p w14:paraId="341BAA1E" w14:textId="77777777" w:rsidR="00550CA4" w:rsidRPr="0059512A" w:rsidRDefault="00550CA4" w:rsidP="0059512A">
      <w:pPr>
        <w:widowControl/>
        <w:spacing w:line="360" w:lineRule="auto"/>
        <w:rPr>
          <w:b/>
          <w:bCs/>
          <w:sz w:val="26"/>
          <w:szCs w:val="26"/>
        </w:rPr>
      </w:pPr>
    </w:p>
    <w:p w14:paraId="21B5C574" w14:textId="27C39091" w:rsidR="00A14F65" w:rsidRPr="0059512A" w:rsidRDefault="000E45FB" w:rsidP="0059512A">
      <w:pPr>
        <w:pStyle w:val="ListParagraph"/>
        <w:keepNext/>
        <w:widowControl/>
        <w:spacing w:line="360" w:lineRule="auto"/>
        <w:ind w:left="2160" w:hanging="720"/>
        <w:rPr>
          <w:b/>
          <w:bCs/>
          <w:sz w:val="26"/>
          <w:szCs w:val="26"/>
        </w:rPr>
      </w:pPr>
      <w:r w:rsidRPr="0059512A">
        <w:rPr>
          <w:b/>
          <w:bCs/>
          <w:sz w:val="26"/>
          <w:szCs w:val="26"/>
        </w:rPr>
        <w:t>b.</w:t>
      </w:r>
      <w:r w:rsidRPr="0059512A">
        <w:rPr>
          <w:b/>
          <w:bCs/>
          <w:sz w:val="26"/>
          <w:szCs w:val="26"/>
        </w:rPr>
        <w:tab/>
      </w:r>
      <w:r w:rsidR="00A14F65" w:rsidRPr="0059512A">
        <w:rPr>
          <w:b/>
          <w:bCs/>
          <w:sz w:val="26"/>
          <w:szCs w:val="26"/>
        </w:rPr>
        <w:t>Recommended Decision</w:t>
      </w:r>
    </w:p>
    <w:p w14:paraId="5564C08A" w14:textId="32843092" w:rsidR="00A14F65" w:rsidRPr="0059512A" w:rsidRDefault="00A14F65" w:rsidP="0059512A">
      <w:pPr>
        <w:pStyle w:val="ListParagraph"/>
        <w:keepNext/>
        <w:widowControl/>
        <w:spacing w:line="360" w:lineRule="auto"/>
        <w:rPr>
          <w:b/>
          <w:bCs/>
          <w:sz w:val="26"/>
          <w:szCs w:val="26"/>
        </w:rPr>
      </w:pPr>
    </w:p>
    <w:p w14:paraId="5726344B" w14:textId="5AAD4983" w:rsidR="001C1729" w:rsidRPr="0059512A" w:rsidRDefault="001C1729" w:rsidP="0059512A">
      <w:pPr>
        <w:keepNext/>
        <w:widowControl/>
        <w:spacing w:line="360" w:lineRule="auto"/>
        <w:ind w:firstLine="1440"/>
        <w:rPr>
          <w:sz w:val="26"/>
          <w:szCs w:val="26"/>
        </w:rPr>
      </w:pPr>
      <w:r w:rsidRPr="0059512A">
        <w:rPr>
          <w:sz w:val="26"/>
          <w:szCs w:val="26"/>
        </w:rPr>
        <w:t xml:space="preserve">The ALJs recommended that the Commission reject </w:t>
      </w:r>
      <w:r w:rsidR="005A605B" w:rsidRPr="0059512A">
        <w:rPr>
          <w:sz w:val="26"/>
          <w:szCs w:val="26"/>
        </w:rPr>
        <w:t>Citizens’</w:t>
      </w:r>
      <w:r w:rsidRPr="0059512A">
        <w:rPr>
          <w:sz w:val="26"/>
          <w:szCs w:val="26"/>
        </w:rPr>
        <w:t xml:space="preserve"> proposal to assign a portion of demand</w:t>
      </w:r>
      <w:r w:rsidR="005A605B" w:rsidRPr="0059512A">
        <w:rPr>
          <w:sz w:val="26"/>
          <w:szCs w:val="26"/>
        </w:rPr>
        <w:t xml:space="preserve">-related </w:t>
      </w:r>
      <w:r w:rsidRPr="0059512A">
        <w:rPr>
          <w:sz w:val="26"/>
          <w:szCs w:val="26"/>
        </w:rPr>
        <w:t>c</w:t>
      </w:r>
      <w:r w:rsidR="005A605B" w:rsidRPr="0059512A">
        <w:rPr>
          <w:sz w:val="26"/>
          <w:szCs w:val="26"/>
        </w:rPr>
        <w:t>osts</w:t>
      </w:r>
      <w:r w:rsidRPr="0059512A">
        <w:rPr>
          <w:sz w:val="26"/>
          <w:szCs w:val="26"/>
        </w:rPr>
        <w:t xml:space="preserve"> to customer charges on the basis that customer charges have historically been limited to the unavoidable direct costs associated with billing an individual customer and because </w:t>
      </w:r>
      <w:r w:rsidR="005A605B" w:rsidRPr="0059512A">
        <w:rPr>
          <w:sz w:val="26"/>
          <w:szCs w:val="26"/>
        </w:rPr>
        <w:t>the Company’s</w:t>
      </w:r>
      <w:r w:rsidRPr="0059512A">
        <w:rPr>
          <w:sz w:val="26"/>
          <w:szCs w:val="26"/>
        </w:rPr>
        <w:t xml:space="preserve"> proposed customer charges are not supported by the customer cost analysis.  R.D. at 1</w:t>
      </w:r>
      <w:r w:rsidR="005A605B" w:rsidRPr="0059512A">
        <w:rPr>
          <w:sz w:val="26"/>
          <w:szCs w:val="26"/>
        </w:rPr>
        <w:t>19-120</w:t>
      </w:r>
      <w:r w:rsidRPr="0059512A">
        <w:rPr>
          <w:sz w:val="26"/>
          <w:szCs w:val="26"/>
        </w:rPr>
        <w:t xml:space="preserve">.  The ALJs rejected </w:t>
      </w:r>
      <w:r w:rsidR="00EB26B8" w:rsidRPr="0059512A">
        <w:rPr>
          <w:sz w:val="26"/>
          <w:szCs w:val="26"/>
        </w:rPr>
        <w:t>the Company’s</w:t>
      </w:r>
      <w:r w:rsidRPr="0059512A">
        <w:rPr>
          <w:sz w:val="26"/>
          <w:szCs w:val="26"/>
        </w:rPr>
        <w:t xml:space="preserve"> argument that its proposal constitutes a qualifying alternative ratemaking proposal based on their finding that the proposal would not meet the stated purpose of the Commission’s </w:t>
      </w:r>
      <w:r w:rsidRPr="0059512A">
        <w:rPr>
          <w:i/>
          <w:iCs/>
          <w:sz w:val="26"/>
          <w:szCs w:val="26"/>
        </w:rPr>
        <w:t>Final Policy Statement</w:t>
      </w:r>
      <w:r w:rsidRPr="0059512A">
        <w:rPr>
          <w:sz w:val="26"/>
          <w:szCs w:val="26"/>
        </w:rPr>
        <w:t xml:space="preserve"> at 52 Pa. Code § 69.3301, which is to encourage efficient use of electricity.  R.D. at 12</w:t>
      </w:r>
      <w:r w:rsidR="005A605B" w:rsidRPr="0059512A">
        <w:rPr>
          <w:sz w:val="26"/>
          <w:szCs w:val="26"/>
        </w:rPr>
        <w:t>0-121</w:t>
      </w:r>
      <w:r w:rsidRPr="0059512A">
        <w:rPr>
          <w:sz w:val="26"/>
          <w:szCs w:val="26"/>
        </w:rPr>
        <w:t>.  The ALJs found that the OCA and I&amp;E demonstrated that including a portion of dema</w:t>
      </w:r>
      <w:r w:rsidR="005A605B" w:rsidRPr="0059512A">
        <w:rPr>
          <w:sz w:val="26"/>
          <w:szCs w:val="26"/>
        </w:rPr>
        <w:t>nd-related costs</w:t>
      </w:r>
      <w:r w:rsidRPr="0059512A">
        <w:rPr>
          <w:sz w:val="26"/>
          <w:szCs w:val="26"/>
        </w:rPr>
        <w:t xml:space="preserve"> in the fixed customer charges will prevent customers from seeing price signals and thus have a detrimental effect on customer incentives to employ efficiency measures and distributed energy resources.  R.D. at 12</w:t>
      </w:r>
      <w:r w:rsidR="005A605B" w:rsidRPr="0059512A">
        <w:rPr>
          <w:sz w:val="26"/>
          <w:szCs w:val="26"/>
        </w:rPr>
        <w:t>0</w:t>
      </w:r>
      <w:r w:rsidRPr="0059512A">
        <w:rPr>
          <w:sz w:val="26"/>
          <w:szCs w:val="26"/>
        </w:rPr>
        <w:t xml:space="preserve">.  The ALJs also agreed with I&amp;E that low-income customers who are also low usage customers would experience a higher percentage increase to their bill under </w:t>
      </w:r>
      <w:r w:rsidR="005A605B" w:rsidRPr="0059512A">
        <w:rPr>
          <w:sz w:val="26"/>
          <w:szCs w:val="26"/>
        </w:rPr>
        <w:t>the Company’s</w:t>
      </w:r>
      <w:r w:rsidRPr="0059512A">
        <w:rPr>
          <w:sz w:val="26"/>
          <w:szCs w:val="26"/>
        </w:rPr>
        <w:t xml:space="preserve"> proposal compared to a rate established under traditional ratemaking design.  Moreover, the ALJs found that </w:t>
      </w:r>
      <w:r w:rsidR="00EB26B8" w:rsidRPr="0059512A">
        <w:rPr>
          <w:sz w:val="26"/>
          <w:szCs w:val="26"/>
        </w:rPr>
        <w:t>the Company’s</w:t>
      </w:r>
      <w:r w:rsidRPr="0059512A">
        <w:rPr>
          <w:sz w:val="26"/>
          <w:szCs w:val="26"/>
        </w:rPr>
        <w:t xml:space="preserve"> proposed rate design does not align revenues with cost</w:t>
      </w:r>
      <w:r w:rsidR="000D2EFC" w:rsidRPr="0059512A">
        <w:rPr>
          <w:sz w:val="26"/>
          <w:szCs w:val="26"/>
        </w:rPr>
        <w:t>-</w:t>
      </w:r>
      <w:r w:rsidRPr="0059512A">
        <w:rPr>
          <w:sz w:val="26"/>
          <w:szCs w:val="26"/>
        </w:rPr>
        <w:t>causation principles because it improperly counts demand costs as fixed costs and because its rate design fails to reduce intraclass cost-shifting.  R.D. at 12</w:t>
      </w:r>
      <w:r w:rsidR="005A605B" w:rsidRPr="0059512A">
        <w:rPr>
          <w:sz w:val="26"/>
          <w:szCs w:val="26"/>
        </w:rPr>
        <w:t>0-121</w:t>
      </w:r>
      <w:r w:rsidRPr="0059512A">
        <w:rPr>
          <w:sz w:val="26"/>
          <w:szCs w:val="26"/>
        </w:rPr>
        <w:t xml:space="preserve">.  The ALJs recommended that the Commission adopt I&amp;E’s proposed customer charges, which are supported by </w:t>
      </w:r>
      <w:r w:rsidR="005A605B" w:rsidRPr="0059512A">
        <w:rPr>
          <w:sz w:val="26"/>
          <w:szCs w:val="26"/>
        </w:rPr>
        <w:t>the Company’s</w:t>
      </w:r>
      <w:r w:rsidRPr="0059512A">
        <w:rPr>
          <w:sz w:val="26"/>
          <w:szCs w:val="26"/>
        </w:rPr>
        <w:t xml:space="preserve"> customer cost analysis.  R.D. at 12</w:t>
      </w:r>
      <w:r w:rsidR="005A605B" w:rsidRPr="0059512A">
        <w:rPr>
          <w:sz w:val="26"/>
          <w:szCs w:val="26"/>
        </w:rPr>
        <w:t>2</w:t>
      </w:r>
      <w:r w:rsidRPr="0059512A">
        <w:rPr>
          <w:sz w:val="26"/>
          <w:szCs w:val="26"/>
        </w:rPr>
        <w:t>.</w:t>
      </w:r>
    </w:p>
    <w:p w14:paraId="5B89F8A3" w14:textId="77777777" w:rsidR="001C1729" w:rsidRPr="0059512A" w:rsidRDefault="001C1729" w:rsidP="0059512A">
      <w:pPr>
        <w:widowControl/>
        <w:spacing w:line="360" w:lineRule="auto"/>
        <w:rPr>
          <w:b/>
          <w:bCs/>
          <w:sz w:val="26"/>
          <w:szCs w:val="26"/>
        </w:rPr>
      </w:pPr>
    </w:p>
    <w:p w14:paraId="153B6054" w14:textId="2C260A65" w:rsidR="00A14F65" w:rsidRPr="0059512A" w:rsidRDefault="000E45FB" w:rsidP="00861160">
      <w:pPr>
        <w:pStyle w:val="ListParagraph"/>
        <w:keepNext/>
        <w:keepLines/>
        <w:widowControl/>
        <w:spacing w:line="360" w:lineRule="auto"/>
        <w:ind w:left="2160" w:hanging="720"/>
        <w:rPr>
          <w:b/>
          <w:bCs/>
          <w:sz w:val="26"/>
          <w:szCs w:val="26"/>
        </w:rPr>
      </w:pPr>
      <w:r w:rsidRPr="0059512A">
        <w:rPr>
          <w:b/>
          <w:bCs/>
          <w:sz w:val="26"/>
          <w:szCs w:val="26"/>
        </w:rPr>
        <w:lastRenderedPageBreak/>
        <w:t>c.</w:t>
      </w:r>
      <w:r w:rsidRPr="0059512A">
        <w:rPr>
          <w:b/>
          <w:bCs/>
          <w:sz w:val="26"/>
          <w:szCs w:val="26"/>
        </w:rPr>
        <w:tab/>
      </w:r>
      <w:r w:rsidR="00A14F65" w:rsidRPr="0059512A">
        <w:rPr>
          <w:b/>
          <w:bCs/>
          <w:sz w:val="26"/>
          <w:szCs w:val="26"/>
        </w:rPr>
        <w:t>Exceptions and Replies</w:t>
      </w:r>
    </w:p>
    <w:p w14:paraId="21EB231A" w14:textId="6A9CD762" w:rsidR="00A14F65" w:rsidRPr="0059512A" w:rsidRDefault="00A14F65" w:rsidP="00861160">
      <w:pPr>
        <w:keepNext/>
        <w:keepLines/>
        <w:widowControl/>
        <w:spacing w:line="360" w:lineRule="auto"/>
        <w:ind w:left="1440" w:hanging="720"/>
        <w:rPr>
          <w:b/>
          <w:bCs/>
          <w:sz w:val="26"/>
          <w:szCs w:val="26"/>
        </w:rPr>
      </w:pPr>
    </w:p>
    <w:p w14:paraId="4B7CED95" w14:textId="21F65286" w:rsidR="0019697F" w:rsidRPr="0059512A" w:rsidRDefault="00E422CA" w:rsidP="00861160">
      <w:pPr>
        <w:keepNext/>
        <w:keepLines/>
        <w:widowControl/>
        <w:spacing w:line="360" w:lineRule="auto"/>
        <w:ind w:firstLine="1440"/>
        <w:rPr>
          <w:sz w:val="26"/>
          <w:szCs w:val="26"/>
        </w:rPr>
      </w:pPr>
      <w:r w:rsidRPr="0059512A">
        <w:rPr>
          <w:sz w:val="26"/>
          <w:szCs w:val="26"/>
        </w:rPr>
        <w:t xml:space="preserve">In its Exception No. 12, Citizens’ submits that the ALJs erred in rejecting the Company’s proposal to increase the fixed monthly charges for residential customers to include a portion of demand charges, maintaining that its proposal is a form of alternative ratemaking consistent with Act 58 of 2017 as well as the goals outlined by the Commission in its </w:t>
      </w:r>
      <w:r w:rsidRPr="0059512A">
        <w:rPr>
          <w:i/>
          <w:iCs/>
          <w:sz w:val="26"/>
          <w:szCs w:val="26"/>
        </w:rPr>
        <w:t>Final Policy Statement.</w:t>
      </w:r>
      <w:r w:rsidRPr="0059512A">
        <w:rPr>
          <w:sz w:val="26"/>
          <w:szCs w:val="26"/>
        </w:rPr>
        <w:t xml:space="preserve">  </w:t>
      </w:r>
      <w:r w:rsidR="0019697F" w:rsidRPr="0059512A">
        <w:rPr>
          <w:sz w:val="26"/>
          <w:szCs w:val="26"/>
        </w:rPr>
        <w:t xml:space="preserve">Citizens’ argues the ALJs erred by misapplying the flexibility afforded by the </w:t>
      </w:r>
      <w:r w:rsidR="0019697F" w:rsidRPr="0059512A">
        <w:rPr>
          <w:i/>
          <w:iCs/>
          <w:sz w:val="26"/>
          <w:szCs w:val="26"/>
        </w:rPr>
        <w:t>Final Policy Statement</w:t>
      </w:r>
      <w:r w:rsidR="0019697F" w:rsidRPr="0059512A">
        <w:rPr>
          <w:sz w:val="26"/>
          <w:szCs w:val="26"/>
        </w:rPr>
        <w:t xml:space="preserve"> by misperceiving the purpose of alternative ratemaking mechanisms as intended to unilaterally promote energy efficiency.  Citizens’ cites to </w:t>
      </w:r>
      <w:r w:rsidR="0019697F" w:rsidRPr="0059512A">
        <w:rPr>
          <w:i/>
          <w:iCs/>
          <w:sz w:val="26"/>
          <w:szCs w:val="26"/>
        </w:rPr>
        <w:t>Pa. PUC v. Aqua Pennsylvania</w:t>
      </w:r>
      <w:r w:rsidR="0019697F" w:rsidRPr="0059512A">
        <w:rPr>
          <w:i/>
          <w:iCs/>
          <w:sz w:val="26"/>
          <w:szCs w:val="26"/>
        </w:rPr>
        <w:fldChar w:fldCharType="begin"/>
      </w:r>
      <w:r w:rsidR="0019697F" w:rsidRPr="0059512A">
        <w:rPr>
          <w:sz w:val="26"/>
          <w:szCs w:val="26"/>
        </w:rPr>
        <w:instrText xml:space="preserve"> TA \l "</w:instrText>
      </w:r>
      <w:r w:rsidR="0019697F" w:rsidRPr="0059512A">
        <w:rPr>
          <w:i/>
          <w:iCs/>
          <w:sz w:val="26"/>
          <w:szCs w:val="26"/>
        </w:rPr>
        <w:instrText xml:space="preserve"> Pa. P.U.C. v. Aqua Pennsylvania, </w:instrText>
      </w:r>
      <w:r w:rsidR="0019697F" w:rsidRPr="0059512A">
        <w:rPr>
          <w:sz w:val="26"/>
          <w:szCs w:val="26"/>
        </w:rPr>
        <w:instrText>2004 Pa. PUC LEXIS 39 (Order entered August 5, 2004)" \s "</w:instrText>
      </w:r>
      <w:r w:rsidR="0019697F" w:rsidRPr="0059512A">
        <w:rPr>
          <w:i/>
          <w:iCs/>
          <w:sz w:val="26"/>
          <w:szCs w:val="26"/>
        </w:rPr>
        <w:instrText xml:space="preserve"> Pa. P.U.C. v. Aqua Pennsylvania, </w:instrText>
      </w:r>
      <w:r w:rsidR="0019697F" w:rsidRPr="0059512A">
        <w:rPr>
          <w:sz w:val="26"/>
          <w:szCs w:val="26"/>
        </w:rPr>
        <w:instrText xml:space="preserve">2004 Pa. PUC LEXIS 39 (Order entered August 5, 2004)" \c 1 </w:instrText>
      </w:r>
      <w:r w:rsidR="0019697F" w:rsidRPr="0059512A">
        <w:rPr>
          <w:i/>
          <w:iCs/>
          <w:sz w:val="26"/>
          <w:szCs w:val="26"/>
        </w:rPr>
        <w:fldChar w:fldCharType="end"/>
      </w:r>
      <w:r w:rsidR="0019697F" w:rsidRPr="0059512A">
        <w:rPr>
          <w:i/>
          <w:iCs/>
          <w:sz w:val="26"/>
          <w:szCs w:val="26"/>
        </w:rPr>
        <w:t>,</w:t>
      </w:r>
      <w:r w:rsidR="0019697F" w:rsidRPr="0059512A">
        <w:rPr>
          <w:sz w:val="26"/>
          <w:szCs w:val="26"/>
        </w:rPr>
        <w:t xml:space="preserve"> </w:t>
      </w:r>
      <w:r w:rsidR="00EB26B8" w:rsidRPr="0059512A">
        <w:rPr>
          <w:sz w:val="26"/>
          <w:szCs w:val="26"/>
        </w:rPr>
        <w:t>Docket Nos. R</w:t>
      </w:r>
      <w:r w:rsidR="00A0148D" w:rsidRPr="0059512A">
        <w:rPr>
          <w:sz w:val="26"/>
          <w:szCs w:val="26"/>
        </w:rPr>
        <w:t xml:space="preserve">-00038805, </w:t>
      </w:r>
      <w:r w:rsidR="00A0148D" w:rsidRPr="0059512A">
        <w:rPr>
          <w:i/>
          <w:iCs/>
          <w:sz w:val="26"/>
          <w:szCs w:val="26"/>
        </w:rPr>
        <w:t>et al</w:t>
      </w:r>
      <w:r w:rsidR="00A0148D" w:rsidRPr="0059512A">
        <w:rPr>
          <w:sz w:val="26"/>
          <w:szCs w:val="26"/>
        </w:rPr>
        <w:t xml:space="preserve">., </w:t>
      </w:r>
      <w:r w:rsidR="0019697F" w:rsidRPr="0059512A">
        <w:rPr>
          <w:sz w:val="26"/>
          <w:szCs w:val="26"/>
        </w:rPr>
        <w:t>2004 Pa. PUC LEXIS 39 (Order entered August 5, 2004) (</w:t>
      </w:r>
      <w:r w:rsidR="0019697F" w:rsidRPr="0059512A">
        <w:rPr>
          <w:i/>
          <w:iCs/>
          <w:sz w:val="26"/>
          <w:szCs w:val="26"/>
        </w:rPr>
        <w:t>Aqua</w:t>
      </w:r>
      <w:r w:rsidR="0019697F" w:rsidRPr="0059512A">
        <w:rPr>
          <w:sz w:val="26"/>
          <w:szCs w:val="26"/>
        </w:rPr>
        <w:t>)</w:t>
      </w:r>
      <w:r w:rsidR="0019697F" w:rsidRPr="0059512A">
        <w:rPr>
          <w:sz w:val="26"/>
          <w:szCs w:val="26"/>
        </w:rPr>
        <w:fldChar w:fldCharType="begin"/>
      </w:r>
      <w:r w:rsidR="0019697F" w:rsidRPr="0059512A">
        <w:rPr>
          <w:sz w:val="26"/>
          <w:szCs w:val="26"/>
        </w:rPr>
        <w:instrText xml:space="preserve"> TA \s "Pa. P.U.C. v. Aqua Pennsylvania, 2004 Pa. PUC LEXIS 39 (Order entered August 5, 2004)" </w:instrText>
      </w:r>
      <w:r w:rsidR="0019697F" w:rsidRPr="0059512A">
        <w:rPr>
          <w:sz w:val="26"/>
          <w:szCs w:val="26"/>
        </w:rPr>
        <w:fldChar w:fldCharType="end"/>
      </w:r>
      <w:r w:rsidR="0019697F" w:rsidRPr="0059512A">
        <w:rPr>
          <w:sz w:val="26"/>
          <w:szCs w:val="26"/>
        </w:rPr>
        <w:t xml:space="preserve">, to support its proposal.  </w:t>
      </w:r>
      <w:r w:rsidRPr="0059512A">
        <w:rPr>
          <w:sz w:val="26"/>
          <w:szCs w:val="26"/>
        </w:rPr>
        <w:t>The Company further argues that the inclusion of the minimum customer demand is consistent with cost-causation principles, retains price signals, and respects the principle of gradualism.</w:t>
      </w:r>
      <w:r w:rsidR="0019697F" w:rsidRPr="0059512A">
        <w:rPr>
          <w:sz w:val="26"/>
          <w:szCs w:val="26"/>
        </w:rPr>
        <w:t xml:space="preserve">  Citizens’ Exc. at 25-30 (citing Citizens’ M.B. at 108-115; Citizens’ R.B. at 40-46).</w:t>
      </w:r>
    </w:p>
    <w:p w14:paraId="5144F06E" w14:textId="77777777" w:rsidR="0019697F" w:rsidRPr="0059512A" w:rsidRDefault="0019697F" w:rsidP="0059512A">
      <w:pPr>
        <w:widowControl/>
        <w:spacing w:line="360" w:lineRule="auto"/>
        <w:ind w:firstLine="1440"/>
        <w:rPr>
          <w:sz w:val="26"/>
          <w:szCs w:val="26"/>
        </w:rPr>
      </w:pPr>
    </w:p>
    <w:p w14:paraId="2008D603" w14:textId="5FC351C5" w:rsidR="00F919B8" w:rsidRPr="0059512A" w:rsidRDefault="00F919B8" w:rsidP="0059512A">
      <w:pPr>
        <w:widowControl/>
        <w:spacing w:line="360" w:lineRule="auto"/>
        <w:ind w:firstLine="1440"/>
        <w:rPr>
          <w:sz w:val="26"/>
          <w:szCs w:val="26"/>
        </w:rPr>
      </w:pPr>
      <w:r w:rsidRPr="0059512A">
        <w:rPr>
          <w:sz w:val="26"/>
          <w:szCs w:val="26"/>
        </w:rPr>
        <w:t xml:space="preserve">In I&amp;E’s Replies to Citizens’ Exception No. 12, I&amp;E submits the ALJs correctly denied the Company’s proposal to recover minimum demand costs through the fixed monthly charge.  Regarding Citizens’ cite to </w:t>
      </w:r>
      <w:r w:rsidRPr="0059512A">
        <w:rPr>
          <w:i/>
          <w:iCs/>
          <w:sz w:val="26"/>
          <w:szCs w:val="26"/>
        </w:rPr>
        <w:t>Aqua</w:t>
      </w:r>
      <w:r w:rsidRPr="0059512A">
        <w:rPr>
          <w:sz w:val="26"/>
          <w:szCs w:val="26"/>
        </w:rPr>
        <w:t xml:space="preserve">, I&amp;E submits it is a limited example and Citizens’ misapplies it here as that case only applies to “general and administrative costs,” which volumetric charges are not.  Regarding the ALJs noting that customer charges have historically been limited to unavoidable direct costs associated with billing an individual customers, I&amp;E argues that Citizens’ mischaracterizes its proposal as only shifting a minimum of costs because the Company </w:t>
      </w:r>
      <w:r w:rsidRPr="0059512A">
        <w:rPr>
          <w:bCs/>
          <w:sz w:val="26"/>
          <w:szCs w:val="26"/>
        </w:rPr>
        <w:t>views its proposal as just the first step to shifting more of the volumetric charge to the customer charge in the future.  I&amp;E submits, therefore, that Citizens’ has not justified why the ALJs erred in not allowing the Company to deviate from the historic practice of limiting the customer charge to recovery of unavoidable costs.</w:t>
      </w:r>
      <w:r w:rsidRPr="0059512A">
        <w:rPr>
          <w:sz w:val="26"/>
          <w:szCs w:val="26"/>
        </w:rPr>
        <w:t xml:space="preserve">  </w:t>
      </w:r>
      <w:r w:rsidRPr="0059512A">
        <w:rPr>
          <w:bCs/>
          <w:sz w:val="26"/>
          <w:szCs w:val="26"/>
        </w:rPr>
        <w:t xml:space="preserve">As for alternative ratemaking, I&amp;E acknowledges that while energy efficiency is a consideration, the ALJs clearly considered </w:t>
      </w:r>
      <w:r w:rsidRPr="0059512A">
        <w:rPr>
          <w:bCs/>
          <w:sz w:val="26"/>
          <w:szCs w:val="26"/>
        </w:rPr>
        <w:lastRenderedPageBreak/>
        <w:t>other factors in their analysis</w:t>
      </w:r>
      <w:r w:rsidRPr="0059512A">
        <w:rPr>
          <w:sz w:val="26"/>
          <w:szCs w:val="26"/>
        </w:rPr>
        <w:t xml:space="preserve"> of the proposal.  Specifically, t</w:t>
      </w:r>
      <w:r w:rsidRPr="0059512A">
        <w:rPr>
          <w:bCs/>
          <w:sz w:val="26"/>
          <w:szCs w:val="26"/>
        </w:rPr>
        <w:t>he ALJs found, in addition to discouraging energy efficiency, the Company’s proposal does not reflect cost</w:t>
      </w:r>
      <w:r w:rsidR="000D2EFC" w:rsidRPr="0059512A">
        <w:rPr>
          <w:bCs/>
          <w:sz w:val="26"/>
          <w:szCs w:val="26"/>
        </w:rPr>
        <w:t>-</w:t>
      </w:r>
      <w:r w:rsidRPr="0059512A">
        <w:rPr>
          <w:bCs/>
          <w:sz w:val="26"/>
          <w:szCs w:val="26"/>
        </w:rPr>
        <w:t>causation principles and does not properly consider</w:t>
      </w:r>
      <w:r w:rsidRPr="0059512A">
        <w:rPr>
          <w:sz w:val="26"/>
          <w:szCs w:val="26"/>
        </w:rPr>
        <w:t xml:space="preserve"> customer impacts.  I&amp;E avers </w:t>
      </w:r>
      <w:r w:rsidR="00A0148D" w:rsidRPr="0059512A">
        <w:rPr>
          <w:sz w:val="26"/>
          <w:szCs w:val="26"/>
        </w:rPr>
        <w:t>the Company’s</w:t>
      </w:r>
      <w:r w:rsidRPr="0059512A">
        <w:rPr>
          <w:sz w:val="26"/>
          <w:szCs w:val="26"/>
        </w:rPr>
        <w:t xml:space="preserve"> primary concern here is revenue stability, and the ALJs properly acknowledged revenue stability is only one of many considerations.  Therefore, I&amp;E submits the ALJs did not err by weighing the various considerations presented by the Parties.  I&amp;E requests the Commission deny Citizens’ Exception No. 12.  I&amp;E R. Exc. at 1</w:t>
      </w:r>
      <w:r w:rsidR="00E64D77" w:rsidRPr="0059512A">
        <w:rPr>
          <w:sz w:val="26"/>
          <w:szCs w:val="26"/>
        </w:rPr>
        <w:t>2</w:t>
      </w:r>
      <w:r w:rsidRPr="0059512A">
        <w:rPr>
          <w:sz w:val="26"/>
          <w:szCs w:val="26"/>
        </w:rPr>
        <w:t>-13.</w:t>
      </w:r>
    </w:p>
    <w:p w14:paraId="0E06FE58" w14:textId="77777777" w:rsidR="00F919B8" w:rsidRPr="0059512A" w:rsidRDefault="00F919B8" w:rsidP="0059512A">
      <w:pPr>
        <w:widowControl/>
        <w:spacing w:line="360" w:lineRule="auto"/>
        <w:ind w:firstLine="1440"/>
        <w:rPr>
          <w:sz w:val="26"/>
          <w:szCs w:val="26"/>
        </w:rPr>
      </w:pPr>
    </w:p>
    <w:p w14:paraId="3D5833DC" w14:textId="1D930C10" w:rsidR="00F919B8" w:rsidRPr="0059512A" w:rsidRDefault="00F919B8" w:rsidP="0059512A">
      <w:pPr>
        <w:widowControl/>
        <w:tabs>
          <w:tab w:val="left" w:pos="1305"/>
        </w:tabs>
        <w:spacing w:line="360" w:lineRule="auto"/>
        <w:ind w:firstLine="1440"/>
        <w:rPr>
          <w:sz w:val="26"/>
          <w:szCs w:val="26"/>
        </w:rPr>
      </w:pPr>
      <w:r w:rsidRPr="0059512A">
        <w:rPr>
          <w:sz w:val="26"/>
          <w:szCs w:val="26"/>
        </w:rPr>
        <w:t xml:space="preserve">In the OCA’s Replies to </w:t>
      </w:r>
      <w:r w:rsidR="009B4776" w:rsidRPr="0059512A">
        <w:rPr>
          <w:sz w:val="26"/>
          <w:szCs w:val="26"/>
        </w:rPr>
        <w:t>Citizens’</w:t>
      </w:r>
      <w:r w:rsidRPr="0059512A">
        <w:rPr>
          <w:sz w:val="26"/>
          <w:szCs w:val="26"/>
        </w:rPr>
        <w:t xml:space="preserve"> Exception No. 1</w:t>
      </w:r>
      <w:r w:rsidR="009B4776" w:rsidRPr="0059512A">
        <w:rPr>
          <w:sz w:val="26"/>
          <w:szCs w:val="26"/>
        </w:rPr>
        <w:t>2</w:t>
      </w:r>
      <w:r w:rsidRPr="0059512A">
        <w:rPr>
          <w:sz w:val="26"/>
          <w:szCs w:val="26"/>
        </w:rPr>
        <w:t xml:space="preserve">, the OCA submits the ALJs correctly rejected </w:t>
      </w:r>
      <w:r w:rsidR="009B4776" w:rsidRPr="0059512A">
        <w:rPr>
          <w:sz w:val="26"/>
          <w:szCs w:val="26"/>
        </w:rPr>
        <w:t>the Company’s</w:t>
      </w:r>
      <w:r w:rsidRPr="0059512A">
        <w:rPr>
          <w:sz w:val="26"/>
          <w:szCs w:val="26"/>
        </w:rPr>
        <w:t xml:space="preserve"> proposal to include a demand component in the customer charge.  The OCA submits that the Company’s proposal does not align with the goals in the </w:t>
      </w:r>
      <w:r w:rsidRPr="0059512A">
        <w:rPr>
          <w:i/>
          <w:iCs/>
          <w:sz w:val="26"/>
          <w:szCs w:val="26"/>
        </w:rPr>
        <w:t>Final Policy Statement</w:t>
      </w:r>
      <w:r w:rsidRPr="0059512A">
        <w:rPr>
          <w:sz w:val="26"/>
          <w:szCs w:val="26"/>
        </w:rPr>
        <w:t xml:space="preserve">, does not retain price signals, and is not consistent with cost-causation principles.  The OCA contends that </w:t>
      </w:r>
      <w:r w:rsidR="009B4776" w:rsidRPr="0059512A">
        <w:rPr>
          <w:sz w:val="26"/>
          <w:szCs w:val="26"/>
        </w:rPr>
        <w:t>Citizens’</w:t>
      </w:r>
      <w:r w:rsidRPr="0059512A">
        <w:rPr>
          <w:sz w:val="26"/>
          <w:szCs w:val="26"/>
        </w:rPr>
        <w:t xml:space="preserve"> is incorrect in its argument that energy efficiency is not a goal of the </w:t>
      </w:r>
      <w:r w:rsidRPr="0059512A">
        <w:rPr>
          <w:i/>
          <w:iCs/>
          <w:sz w:val="26"/>
          <w:szCs w:val="26"/>
        </w:rPr>
        <w:t>Final Policy Statement</w:t>
      </w:r>
      <w:r w:rsidRPr="0059512A">
        <w:rPr>
          <w:sz w:val="26"/>
          <w:szCs w:val="26"/>
        </w:rPr>
        <w:t xml:space="preserve">.  The OCA provides that the proposal would mute the Company’s price signals by including demand charges as part of the customer charge, unduly prejudicing low usage customers, and would not provide a price signal to encourage customer conservation.  OCA R. Exc. at </w:t>
      </w:r>
      <w:r w:rsidR="009B4776" w:rsidRPr="0059512A">
        <w:rPr>
          <w:sz w:val="26"/>
          <w:szCs w:val="26"/>
        </w:rPr>
        <w:t>20</w:t>
      </w:r>
      <w:r w:rsidRPr="0059512A">
        <w:rPr>
          <w:sz w:val="26"/>
          <w:szCs w:val="26"/>
        </w:rPr>
        <w:t>-2</w:t>
      </w:r>
      <w:r w:rsidR="009B4776" w:rsidRPr="0059512A">
        <w:rPr>
          <w:sz w:val="26"/>
          <w:szCs w:val="26"/>
        </w:rPr>
        <w:t>3</w:t>
      </w:r>
      <w:r w:rsidRPr="0059512A">
        <w:rPr>
          <w:sz w:val="26"/>
          <w:szCs w:val="26"/>
        </w:rPr>
        <w:t xml:space="preserve"> (</w:t>
      </w:r>
      <w:r w:rsidR="009B4776" w:rsidRPr="0059512A">
        <w:rPr>
          <w:sz w:val="26"/>
          <w:szCs w:val="26"/>
        </w:rPr>
        <w:t xml:space="preserve">citing </w:t>
      </w:r>
      <w:r w:rsidRPr="0059512A">
        <w:rPr>
          <w:sz w:val="26"/>
          <w:szCs w:val="26"/>
        </w:rPr>
        <w:t>OCA M.B. at 83-92; OCA R.B. at 4</w:t>
      </w:r>
      <w:r w:rsidR="009B4776" w:rsidRPr="0059512A">
        <w:rPr>
          <w:sz w:val="26"/>
          <w:szCs w:val="26"/>
        </w:rPr>
        <w:t>1</w:t>
      </w:r>
      <w:r w:rsidRPr="0059512A">
        <w:rPr>
          <w:sz w:val="26"/>
          <w:szCs w:val="26"/>
        </w:rPr>
        <w:t>-44).</w:t>
      </w:r>
    </w:p>
    <w:p w14:paraId="0B235EDC" w14:textId="77777777" w:rsidR="0019697F" w:rsidRPr="0059512A" w:rsidRDefault="0019697F" w:rsidP="0059512A">
      <w:pPr>
        <w:widowControl/>
        <w:spacing w:line="360" w:lineRule="auto"/>
        <w:rPr>
          <w:b/>
          <w:bCs/>
          <w:sz w:val="26"/>
          <w:szCs w:val="26"/>
        </w:rPr>
      </w:pPr>
    </w:p>
    <w:p w14:paraId="54AE52D8" w14:textId="4855A9A6" w:rsidR="00A14F65" w:rsidRPr="0059512A" w:rsidRDefault="000E45FB" w:rsidP="0059512A">
      <w:pPr>
        <w:pStyle w:val="ListParagraph"/>
        <w:keepNext/>
        <w:widowControl/>
        <w:spacing w:line="360" w:lineRule="auto"/>
        <w:ind w:left="2160" w:hanging="720"/>
        <w:rPr>
          <w:b/>
          <w:bCs/>
          <w:sz w:val="26"/>
          <w:szCs w:val="26"/>
        </w:rPr>
      </w:pPr>
      <w:r w:rsidRPr="0059512A">
        <w:rPr>
          <w:b/>
          <w:bCs/>
          <w:sz w:val="26"/>
          <w:szCs w:val="26"/>
        </w:rPr>
        <w:t>d.</w:t>
      </w:r>
      <w:r w:rsidRPr="0059512A">
        <w:rPr>
          <w:b/>
          <w:bCs/>
          <w:sz w:val="26"/>
          <w:szCs w:val="26"/>
        </w:rPr>
        <w:tab/>
      </w:r>
      <w:r w:rsidR="00A14F65" w:rsidRPr="0059512A">
        <w:rPr>
          <w:b/>
          <w:bCs/>
          <w:sz w:val="26"/>
          <w:szCs w:val="26"/>
        </w:rPr>
        <w:t>Disposition</w:t>
      </w:r>
    </w:p>
    <w:p w14:paraId="6270616C" w14:textId="59C7910B" w:rsidR="00DA2034" w:rsidRPr="0059512A" w:rsidRDefault="00DA2034" w:rsidP="0059512A">
      <w:pPr>
        <w:keepNext/>
        <w:widowControl/>
        <w:spacing w:line="360" w:lineRule="auto"/>
        <w:rPr>
          <w:sz w:val="26"/>
          <w:szCs w:val="26"/>
        </w:rPr>
      </w:pPr>
    </w:p>
    <w:p w14:paraId="50ED4EC8" w14:textId="12565E79" w:rsidR="004C1A97" w:rsidRPr="0059512A" w:rsidRDefault="00193D5D" w:rsidP="0059512A">
      <w:pPr>
        <w:keepNext/>
        <w:widowControl/>
        <w:spacing w:line="360" w:lineRule="auto"/>
        <w:ind w:firstLine="1440"/>
        <w:rPr>
          <w:sz w:val="26"/>
          <w:szCs w:val="26"/>
        </w:rPr>
      </w:pPr>
      <w:bookmarkStart w:id="160" w:name="_Hlk37324085"/>
      <w:r w:rsidRPr="0059512A">
        <w:rPr>
          <w:rFonts w:eastAsiaTheme="minorHAnsi"/>
          <w:sz w:val="26"/>
          <w:szCs w:val="26"/>
        </w:rPr>
        <w:t>In this proceeding, Citizens’ is simply asking for greater revenue recognition from fixed monthly charges by couching their proposal as a plea for the Commission to regard its proposal as a form of alternative ratemaking</w:t>
      </w:r>
      <w:r w:rsidR="002F1C1D" w:rsidRPr="0059512A">
        <w:rPr>
          <w:rFonts w:eastAsiaTheme="minorHAnsi"/>
          <w:sz w:val="26"/>
          <w:szCs w:val="26"/>
        </w:rPr>
        <w:t xml:space="preserve">, consistent with the goals outlined in the </w:t>
      </w:r>
      <w:r w:rsidR="002F1C1D" w:rsidRPr="0059512A">
        <w:rPr>
          <w:rFonts w:eastAsiaTheme="minorHAnsi"/>
          <w:i/>
          <w:iCs/>
          <w:sz w:val="26"/>
          <w:szCs w:val="26"/>
        </w:rPr>
        <w:t>Final Policy Statement</w:t>
      </w:r>
      <w:r w:rsidR="002F1C1D" w:rsidRPr="0059512A">
        <w:rPr>
          <w:rFonts w:eastAsiaTheme="minorHAnsi"/>
          <w:sz w:val="26"/>
          <w:szCs w:val="26"/>
        </w:rPr>
        <w:t>, and engage in an exercise to enact reforms in rate design and restructuring.</w:t>
      </w:r>
      <w:r w:rsidR="002D2E32" w:rsidRPr="0059512A">
        <w:rPr>
          <w:rFonts w:eastAsiaTheme="minorHAnsi"/>
          <w:sz w:val="26"/>
          <w:szCs w:val="26"/>
        </w:rPr>
        <w:t xml:space="preserve">  </w:t>
      </w:r>
      <w:bookmarkStart w:id="161" w:name="_Hlk38200833"/>
      <w:r w:rsidR="00A1571D" w:rsidRPr="0059512A">
        <w:rPr>
          <w:rFonts w:eastAsiaTheme="minorHAnsi"/>
          <w:sz w:val="26"/>
          <w:szCs w:val="26"/>
        </w:rPr>
        <w:t xml:space="preserve">Specifically, as indicated </w:t>
      </w:r>
      <w:r w:rsidR="00A1571D" w:rsidRPr="0059512A">
        <w:rPr>
          <w:rFonts w:eastAsiaTheme="minorHAnsi"/>
          <w:i/>
          <w:iCs/>
          <w:sz w:val="26"/>
          <w:szCs w:val="26"/>
        </w:rPr>
        <w:t>supra</w:t>
      </w:r>
      <w:r w:rsidR="00A1571D" w:rsidRPr="0059512A">
        <w:rPr>
          <w:rFonts w:eastAsiaTheme="minorHAnsi"/>
          <w:sz w:val="26"/>
          <w:szCs w:val="26"/>
        </w:rPr>
        <w:t xml:space="preserve">, the Company’s proposal </w:t>
      </w:r>
      <w:r w:rsidR="00487174" w:rsidRPr="0059512A">
        <w:rPr>
          <w:rFonts w:eastAsiaTheme="minorHAnsi"/>
          <w:sz w:val="26"/>
          <w:szCs w:val="26"/>
        </w:rPr>
        <w:t>invites</w:t>
      </w:r>
      <w:r w:rsidR="007C6BD5" w:rsidRPr="0059512A">
        <w:rPr>
          <w:rFonts w:eastAsiaTheme="minorHAnsi"/>
          <w:sz w:val="26"/>
          <w:szCs w:val="26"/>
        </w:rPr>
        <w:t xml:space="preserve"> a departure from </w:t>
      </w:r>
      <w:r w:rsidR="00487174" w:rsidRPr="0059512A">
        <w:rPr>
          <w:rFonts w:eastAsiaTheme="minorHAnsi"/>
          <w:sz w:val="26"/>
          <w:szCs w:val="26"/>
        </w:rPr>
        <w:t xml:space="preserve">the traditional utility rate model, where a utility recovers </w:t>
      </w:r>
      <w:r w:rsidR="00D61309" w:rsidRPr="0059512A">
        <w:rPr>
          <w:rFonts w:eastAsiaTheme="minorHAnsi"/>
          <w:sz w:val="26"/>
          <w:szCs w:val="26"/>
        </w:rPr>
        <w:t xml:space="preserve">its customer costs, those </w:t>
      </w:r>
      <w:r w:rsidR="00AB236F" w:rsidRPr="0059512A">
        <w:rPr>
          <w:rFonts w:eastAsiaTheme="minorHAnsi"/>
          <w:sz w:val="26"/>
          <w:szCs w:val="26"/>
        </w:rPr>
        <w:t>appropriately evaluated in a customer cost analysis,</w:t>
      </w:r>
      <w:r w:rsidR="00487174" w:rsidRPr="0059512A">
        <w:rPr>
          <w:rFonts w:eastAsiaTheme="minorHAnsi"/>
          <w:sz w:val="26"/>
          <w:szCs w:val="26"/>
        </w:rPr>
        <w:t xml:space="preserve"> through a</w:t>
      </w:r>
      <w:r w:rsidR="00AB236F" w:rsidRPr="0059512A">
        <w:rPr>
          <w:rFonts w:eastAsiaTheme="minorHAnsi"/>
          <w:sz w:val="26"/>
          <w:szCs w:val="26"/>
        </w:rPr>
        <w:t xml:space="preserve"> monthly</w:t>
      </w:r>
      <w:r w:rsidR="00487174" w:rsidRPr="0059512A">
        <w:rPr>
          <w:rFonts w:eastAsiaTheme="minorHAnsi"/>
          <w:sz w:val="26"/>
          <w:szCs w:val="26"/>
        </w:rPr>
        <w:t xml:space="preserve"> customer charge with the remaining fixed distribution costs recovered </w:t>
      </w:r>
      <w:r w:rsidR="00487174" w:rsidRPr="0059512A">
        <w:rPr>
          <w:rFonts w:eastAsiaTheme="minorHAnsi"/>
          <w:sz w:val="26"/>
          <w:szCs w:val="26"/>
        </w:rPr>
        <w:lastRenderedPageBreak/>
        <w:t>through a rate that varies with usage.</w:t>
      </w:r>
      <w:r w:rsidR="00D06DB9" w:rsidRPr="0059512A">
        <w:rPr>
          <w:rFonts w:eastAsiaTheme="minorHAnsi"/>
          <w:sz w:val="26"/>
          <w:szCs w:val="26"/>
        </w:rPr>
        <w:t xml:space="preserve">  </w:t>
      </w:r>
      <w:r w:rsidR="00D06DB9" w:rsidRPr="0059512A">
        <w:rPr>
          <w:sz w:val="26"/>
          <w:szCs w:val="26"/>
        </w:rPr>
        <w:t xml:space="preserve">As noted by I&amp;E and the OCA, the specific fixed costs recovered through customer charges have historically been limited to the direct costs associated with billing an individual customer, regardless of their usage or demand characteristics.  I&amp;E St. 3 at 34; OCA St. 4 at 28.  With this in mind, we recognize </w:t>
      </w:r>
      <w:r w:rsidR="00F27FEA" w:rsidRPr="0059512A">
        <w:rPr>
          <w:sz w:val="26"/>
          <w:szCs w:val="26"/>
        </w:rPr>
        <w:t xml:space="preserve">that the Company’s request is a departure from the manner in which utilities have traditionally recovered demand-related costs, and take note of I&amp;E’s </w:t>
      </w:r>
      <w:r w:rsidR="00F12F51" w:rsidRPr="0059512A">
        <w:rPr>
          <w:sz w:val="26"/>
          <w:szCs w:val="26"/>
        </w:rPr>
        <w:t>contention</w:t>
      </w:r>
      <w:r w:rsidR="00F27FEA" w:rsidRPr="0059512A">
        <w:rPr>
          <w:sz w:val="26"/>
          <w:szCs w:val="26"/>
        </w:rPr>
        <w:t xml:space="preserve"> that </w:t>
      </w:r>
      <w:r w:rsidR="004C1A97" w:rsidRPr="0059512A">
        <w:rPr>
          <w:sz w:val="26"/>
          <w:szCs w:val="26"/>
        </w:rPr>
        <w:t>although an investment, once made, may be considered a fixed cost, it should not dictate the manner in which the fixed cost is recovered.  To this point, I&amp;E submitted that, while the energy charge does not perfectly reflect demand-related costs imposed on the system, it is far superior to allocating demand-related costs to all residential customers equally through the fixed customer charge, since there is no direct relationship between the number of customers and the common costs of poles, conductors or transformers</w:t>
      </w:r>
      <w:r w:rsidR="00BD4596" w:rsidRPr="0059512A">
        <w:rPr>
          <w:sz w:val="26"/>
          <w:szCs w:val="26"/>
        </w:rPr>
        <w:t xml:space="preserve">.  I&amp;E St. 3 at 34.  </w:t>
      </w:r>
      <w:r w:rsidR="001B71E4" w:rsidRPr="0059512A">
        <w:rPr>
          <w:sz w:val="26"/>
          <w:szCs w:val="26"/>
        </w:rPr>
        <w:t xml:space="preserve">Although we take note of this argument, we are more persuaded by the effect the Company’s proposal will have on the economics of energy efficiency and conservation and its ability to restrict how much control customers have over how much they pay, making it more difficult for customers to pay less by using less, as discussed </w:t>
      </w:r>
      <w:r w:rsidR="001B71E4" w:rsidRPr="0059512A">
        <w:rPr>
          <w:i/>
          <w:iCs/>
          <w:sz w:val="26"/>
          <w:szCs w:val="26"/>
        </w:rPr>
        <w:t>infra</w:t>
      </w:r>
      <w:r w:rsidR="001B71E4" w:rsidRPr="0059512A">
        <w:rPr>
          <w:sz w:val="26"/>
          <w:szCs w:val="26"/>
        </w:rPr>
        <w:t>.</w:t>
      </w:r>
    </w:p>
    <w:bookmarkEnd w:id="161"/>
    <w:p w14:paraId="1BD5EB9D" w14:textId="3944FE1B" w:rsidR="00B300CB" w:rsidRPr="0059512A" w:rsidRDefault="00B300CB" w:rsidP="0059512A">
      <w:pPr>
        <w:widowControl/>
        <w:spacing w:line="360" w:lineRule="auto"/>
        <w:rPr>
          <w:rFonts w:eastAsiaTheme="minorHAnsi"/>
          <w:sz w:val="26"/>
          <w:szCs w:val="26"/>
        </w:rPr>
      </w:pPr>
    </w:p>
    <w:p w14:paraId="59E7D346" w14:textId="7ED8D59B" w:rsidR="00A1571D" w:rsidRPr="0059512A" w:rsidRDefault="00A1571D" w:rsidP="0059512A">
      <w:pPr>
        <w:widowControl/>
        <w:spacing w:line="360" w:lineRule="auto"/>
        <w:ind w:firstLine="1440"/>
        <w:rPr>
          <w:rFonts w:eastAsiaTheme="minorHAnsi"/>
          <w:sz w:val="26"/>
          <w:szCs w:val="26"/>
        </w:rPr>
      </w:pPr>
      <w:r w:rsidRPr="0059512A">
        <w:rPr>
          <w:rFonts w:eastAsiaTheme="minorHAnsi"/>
          <w:sz w:val="26"/>
          <w:szCs w:val="26"/>
        </w:rPr>
        <w:t>The Company’s proposed rate realignment would shift the recovery of some of its fixed costs from the variable energy charge</w:t>
      </w:r>
      <w:r w:rsidR="007C6BD5" w:rsidRPr="0059512A">
        <w:rPr>
          <w:rFonts w:eastAsiaTheme="minorHAnsi"/>
          <w:sz w:val="26"/>
          <w:szCs w:val="26"/>
        </w:rPr>
        <w:t>s</w:t>
      </w:r>
      <w:r w:rsidRPr="0059512A">
        <w:rPr>
          <w:rFonts w:eastAsiaTheme="minorHAnsi"/>
          <w:sz w:val="26"/>
          <w:szCs w:val="26"/>
        </w:rPr>
        <w:t xml:space="preserve"> to monthly fixed</w:t>
      </w:r>
      <w:r w:rsidR="007C6BD5" w:rsidRPr="0059512A">
        <w:rPr>
          <w:rFonts w:eastAsiaTheme="minorHAnsi"/>
          <w:sz w:val="26"/>
          <w:szCs w:val="26"/>
        </w:rPr>
        <w:t xml:space="preserve"> customer</w:t>
      </w:r>
      <w:r w:rsidRPr="0059512A">
        <w:rPr>
          <w:rFonts w:eastAsiaTheme="minorHAnsi"/>
          <w:sz w:val="26"/>
          <w:szCs w:val="26"/>
        </w:rPr>
        <w:t xml:space="preserve"> charge</w:t>
      </w:r>
      <w:r w:rsidR="007C6BD5" w:rsidRPr="0059512A">
        <w:rPr>
          <w:rFonts w:eastAsiaTheme="minorHAnsi"/>
          <w:sz w:val="26"/>
          <w:szCs w:val="26"/>
        </w:rPr>
        <w:t>s</w:t>
      </w:r>
      <w:r w:rsidRPr="0059512A">
        <w:rPr>
          <w:rFonts w:eastAsiaTheme="minorHAnsi"/>
          <w:sz w:val="26"/>
          <w:szCs w:val="26"/>
        </w:rPr>
        <w:t xml:space="preserve">.  </w:t>
      </w:r>
      <w:r w:rsidR="003C7124" w:rsidRPr="0059512A">
        <w:rPr>
          <w:rFonts w:eastAsiaTheme="minorHAnsi"/>
          <w:sz w:val="26"/>
          <w:szCs w:val="26"/>
        </w:rPr>
        <w:t>F</w:t>
      </w:r>
      <w:r w:rsidRPr="0059512A">
        <w:rPr>
          <w:rFonts w:eastAsiaTheme="minorHAnsi"/>
          <w:sz w:val="26"/>
          <w:szCs w:val="26"/>
        </w:rPr>
        <w:t>ixed</w:t>
      </w:r>
      <w:r w:rsidR="003C7124" w:rsidRPr="0059512A">
        <w:rPr>
          <w:rFonts w:eastAsiaTheme="minorHAnsi"/>
          <w:sz w:val="26"/>
          <w:szCs w:val="26"/>
        </w:rPr>
        <w:t xml:space="preserve"> monthly</w:t>
      </w:r>
      <w:r w:rsidRPr="0059512A">
        <w:rPr>
          <w:rFonts w:eastAsiaTheme="minorHAnsi"/>
          <w:sz w:val="26"/>
          <w:szCs w:val="26"/>
        </w:rPr>
        <w:t xml:space="preserve"> charges have a direct relationship to the variable energy charges in classes that have no demand charge, such as</w:t>
      </w:r>
      <w:r w:rsidR="003C7124" w:rsidRPr="0059512A">
        <w:rPr>
          <w:rFonts w:eastAsiaTheme="minorHAnsi"/>
          <w:sz w:val="26"/>
          <w:szCs w:val="26"/>
        </w:rPr>
        <w:t xml:space="preserve"> the Company’s</w:t>
      </w:r>
      <w:r w:rsidRPr="0059512A">
        <w:rPr>
          <w:rFonts w:eastAsiaTheme="minorHAnsi"/>
          <w:sz w:val="26"/>
          <w:szCs w:val="26"/>
        </w:rPr>
        <w:t xml:space="preserve"> RS and SH rate classes.  Specifically, the Company’s rate design proposal includes increasing the fixed monthly customer charges for rate classes RS and SH by 33.5% ($11.24/($15-$11.24)) and 29.2% ($18.57/($24-$18.57)), respectively, and increasing the respective per kWh distribution usage rate by 21.7% ($0.02184/($0.02658-$0.02184)) and 23.3% ($0.0301/($0.03712-$0.0301)).  </w:t>
      </w:r>
      <w:r w:rsidRPr="0059512A">
        <w:rPr>
          <w:rFonts w:eastAsiaTheme="minorHAnsi"/>
          <w:i/>
          <w:iCs/>
          <w:sz w:val="26"/>
          <w:szCs w:val="26"/>
        </w:rPr>
        <w:t>See</w:t>
      </w:r>
      <w:r w:rsidRPr="0059512A">
        <w:rPr>
          <w:rFonts w:eastAsiaTheme="minorHAnsi"/>
          <w:sz w:val="26"/>
          <w:szCs w:val="26"/>
        </w:rPr>
        <w:t>, Citizens’ Exh._(HSG-1), Sch. B7.</w:t>
      </w:r>
      <w:r w:rsidR="00164E4C" w:rsidRPr="0059512A">
        <w:rPr>
          <w:rFonts w:eastAsiaTheme="minorHAnsi"/>
          <w:sz w:val="26"/>
          <w:szCs w:val="26"/>
        </w:rPr>
        <w:t xml:space="preserve">  Regardless of the level of these fixed and variable charges, the entire rate design must recover the</w:t>
      </w:r>
      <w:r w:rsidR="00B16556" w:rsidRPr="0059512A">
        <w:rPr>
          <w:rFonts w:eastAsiaTheme="minorHAnsi"/>
          <w:sz w:val="26"/>
          <w:szCs w:val="26"/>
        </w:rPr>
        <w:t xml:space="preserve"> FPFTY revenue requirement for each class.  For every dollar that is recovered via fixed charges, a dollar less needs to </w:t>
      </w:r>
      <w:r w:rsidR="00B16556" w:rsidRPr="0059512A">
        <w:rPr>
          <w:rFonts w:eastAsiaTheme="minorHAnsi"/>
          <w:sz w:val="26"/>
          <w:szCs w:val="26"/>
        </w:rPr>
        <w:lastRenderedPageBreak/>
        <w:t>be recovered from the usage charge</w:t>
      </w:r>
      <w:r w:rsidR="00464291" w:rsidRPr="0059512A">
        <w:rPr>
          <w:rFonts w:eastAsiaTheme="minorHAnsi"/>
          <w:sz w:val="26"/>
          <w:szCs w:val="26"/>
        </w:rPr>
        <w:t>s</w:t>
      </w:r>
      <w:r w:rsidR="00B16556" w:rsidRPr="0059512A">
        <w:rPr>
          <w:rFonts w:eastAsiaTheme="minorHAnsi"/>
          <w:sz w:val="26"/>
          <w:szCs w:val="26"/>
        </w:rPr>
        <w:t>.  The converse is also true; if the fixed charge is less, energy rates must be higher to recover the same amount of revenue</w:t>
      </w:r>
      <w:r w:rsidR="00046D51" w:rsidRPr="0059512A">
        <w:rPr>
          <w:rFonts w:eastAsiaTheme="minorHAnsi"/>
          <w:sz w:val="26"/>
          <w:szCs w:val="26"/>
        </w:rPr>
        <w:t>.  While the revenue to be recovered from each rate class is a separate determination, the increases proposed for the fixed customer charges should likewise take into consideration the principles of gradualism and cost of service.</w:t>
      </w:r>
    </w:p>
    <w:p w14:paraId="39E21D84" w14:textId="329313B7" w:rsidR="009A64E8" w:rsidRPr="0059512A" w:rsidRDefault="009A64E8" w:rsidP="0059512A">
      <w:pPr>
        <w:widowControl/>
        <w:spacing w:line="360" w:lineRule="auto"/>
        <w:ind w:firstLine="1440"/>
        <w:rPr>
          <w:rFonts w:eastAsiaTheme="minorHAnsi"/>
          <w:sz w:val="26"/>
          <w:szCs w:val="26"/>
        </w:rPr>
      </w:pPr>
    </w:p>
    <w:p w14:paraId="11C91903" w14:textId="40082056" w:rsidR="0039070D" w:rsidRPr="0059512A" w:rsidRDefault="009D7299" w:rsidP="0059512A">
      <w:pPr>
        <w:widowControl/>
        <w:spacing w:line="360" w:lineRule="auto"/>
        <w:ind w:firstLine="1440"/>
        <w:contextualSpacing/>
        <w:rPr>
          <w:sz w:val="26"/>
          <w:szCs w:val="26"/>
        </w:rPr>
      </w:pPr>
      <w:r w:rsidRPr="0059512A">
        <w:rPr>
          <w:sz w:val="26"/>
          <w:szCs w:val="26"/>
        </w:rPr>
        <w:t xml:space="preserve">While we commend the Company’s effort to comply with the goals of the </w:t>
      </w:r>
      <w:r w:rsidRPr="0059512A">
        <w:rPr>
          <w:i/>
          <w:iCs/>
          <w:sz w:val="26"/>
          <w:szCs w:val="26"/>
        </w:rPr>
        <w:t>Final Policy Statement</w:t>
      </w:r>
      <w:r w:rsidRPr="0059512A">
        <w:rPr>
          <w:sz w:val="26"/>
          <w:szCs w:val="26"/>
        </w:rPr>
        <w:t>, i</w:t>
      </w:r>
      <w:r w:rsidR="005A491E" w:rsidRPr="0059512A">
        <w:rPr>
          <w:sz w:val="26"/>
          <w:szCs w:val="26"/>
        </w:rPr>
        <w:t xml:space="preserve">n reviewing changes in rate design, it is important that we balance the interests of utilities and consumers.  </w:t>
      </w:r>
      <w:r w:rsidR="001673DD" w:rsidRPr="0059512A">
        <w:rPr>
          <w:sz w:val="26"/>
          <w:szCs w:val="26"/>
        </w:rPr>
        <w:t>U</w:t>
      </w:r>
      <w:r w:rsidR="005A491E" w:rsidRPr="0059512A">
        <w:rPr>
          <w:sz w:val="26"/>
          <w:szCs w:val="26"/>
        </w:rPr>
        <w:t>tilities desire to stabilize revenues in light of weather, economic and conservation factors, all of which create potential uncertainty to recovering their approved cost of service.  Further, consumers and utilities may benefit from the lower cost of capital associated with stable revenues – including lower debt costs, and lower expected return on equity by shareholders for stable revenue industries.</w:t>
      </w:r>
      <w:r w:rsidR="00FD2A9D" w:rsidRPr="0059512A">
        <w:rPr>
          <w:sz w:val="26"/>
          <w:szCs w:val="26"/>
        </w:rPr>
        <w:t xml:space="preserve">  </w:t>
      </w:r>
      <w:r w:rsidR="005A491E" w:rsidRPr="0059512A">
        <w:rPr>
          <w:sz w:val="26"/>
          <w:szCs w:val="26"/>
        </w:rPr>
        <w:t xml:space="preserve">I&amp;E and the OCA have rightfully noted the important factor that rate design plays in promoting conservation and energy efficiency.  I&amp;E St. 3 at 38-40; OCA St. 4 at 26.  </w:t>
      </w:r>
    </w:p>
    <w:p w14:paraId="7B2E5595" w14:textId="72D272CB" w:rsidR="0039070D" w:rsidRPr="0059512A" w:rsidRDefault="0039070D" w:rsidP="0059512A">
      <w:pPr>
        <w:widowControl/>
        <w:spacing w:line="360" w:lineRule="auto"/>
        <w:ind w:firstLine="1440"/>
        <w:contextualSpacing/>
        <w:rPr>
          <w:sz w:val="26"/>
          <w:szCs w:val="26"/>
        </w:rPr>
      </w:pPr>
    </w:p>
    <w:p w14:paraId="14D9EF6C" w14:textId="7EA0D70B" w:rsidR="004326A8" w:rsidRPr="0059512A" w:rsidRDefault="0039070D" w:rsidP="0059512A">
      <w:pPr>
        <w:widowControl/>
        <w:spacing w:line="360" w:lineRule="auto"/>
        <w:ind w:firstLine="1440"/>
        <w:contextualSpacing/>
        <w:rPr>
          <w:sz w:val="26"/>
          <w:szCs w:val="26"/>
        </w:rPr>
      </w:pPr>
      <w:r w:rsidRPr="0059512A">
        <w:rPr>
          <w:sz w:val="26"/>
          <w:szCs w:val="26"/>
        </w:rPr>
        <w:t xml:space="preserve">Although we acknowledge that traditional ratemaking, inherently linking revenues to sales volume, can put utility decisions at odds with public policies favoring energy efficiency, </w:t>
      </w:r>
      <w:r w:rsidR="00E45B2E" w:rsidRPr="0059512A">
        <w:rPr>
          <w:sz w:val="26"/>
          <w:szCs w:val="26"/>
        </w:rPr>
        <w:t>we agree with the ALJ</w:t>
      </w:r>
      <w:r w:rsidR="00B2212A" w:rsidRPr="0059512A">
        <w:rPr>
          <w:sz w:val="26"/>
          <w:szCs w:val="26"/>
        </w:rPr>
        <w:t>s</w:t>
      </w:r>
      <w:r w:rsidR="001673DD" w:rsidRPr="0059512A">
        <w:rPr>
          <w:sz w:val="26"/>
          <w:szCs w:val="26"/>
        </w:rPr>
        <w:t>’ reasoning</w:t>
      </w:r>
      <w:r w:rsidR="00E45B2E" w:rsidRPr="0059512A">
        <w:rPr>
          <w:sz w:val="26"/>
          <w:szCs w:val="26"/>
        </w:rPr>
        <w:t xml:space="preserve"> that revenue stability for the utility must be balanced against affordability and conservation concerns.</w:t>
      </w:r>
      <w:r w:rsidR="00125C5F" w:rsidRPr="0059512A">
        <w:rPr>
          <w:sz w:val="26"/>
          <w:szCs w:val="26"/>
        </w:rPr>
        <w:t xml:space="preserve">  R.D. at 121.</w:t>
      </w:r>
      <w:r w:rsidR="00716708" w:rsidRPr="0059512A">
        <w:rPr>
          <w:sz w:val="26"/>
          <w:szCs w:val="26"/>
        </w:rPr>
        <w:t xml:space="preserve">  As Citizens’ views</w:t>
      </w:r>
      <w:r w:rsidR="00716708" w:rsidRPr="0059512A">
        <w:rPr>
          <w:bCs/>
          <w:sz w:val="26"/>
          <w:szCs w:val="26"/>
        </w:rPr>
        <w:t xml:space="preserve"> its proposal as just the first step </w:t>
      </w:r>
      <w:r w:rsidR="00C818DA" w:rsidRPr="0059512A">
        <w:rPr>
          <w:bCs/>
          <w:sz w:val="26"/>
          <w:szCs w:val="26"/>
        </w:rPr>
        <w:t>in</w:t>
      </w:r>
      <w:r w:rsidR="00716708" w:rsidRPr="0059512A">
        <w:rPr>
          <w:bCs/>
          <w:sz w:val="26"/>
          <w:szCs w:val="26"/>
        </w:rPr>
        <w:t xml:space="preserve"> shifting more </w:t>
      </w:r>
      <w:r w:rsidR="00CC4A1A" w:rsidRPr="0059512A">
        <w:rPr>
          <w:bCs/>
          <w:sz w:val="26"/>
          <w:szCs w:val="26"/>
        </w:rPr>
        <w:t>demand-related costs</w:t>
      </w:r>
      <w:r w:rsidR="00716708" w:rsidRPr="0059512A">
        <w:rPr>
          <w:bCs/>
          <w:sz w:val="26"/>
          <w:szCs w:val="26"/>
        </w:rPr>
        <w:t xml:space="preserve"> to the customer charge,</w:t>
      </w:r>
      <w:r w:rsidR="00716708" w:rsidRPr="0059512A">
        <w:rPr>
          <w:rStyle w:val="FootnoteReference"/>
          <w:bCs/>
          <w:sz w:val="26"/>
          <w:szCs w:val="26"/>
        </w:rPr>
        <w:footnoteReference w:id="28"/>
      </w:r>
      <w:r w:rsidR="00CC4A1A" w:rsidRPr="0059512A">
        <w:rPr>
          <w:bCs/>
          <w:sz w:val="26"/>
          <w:szCs w:val="26"/>
        </w:rPr>
        <w:t xml:space="preserve"> we find that, while this shift has the effect of</w:t>
      </w:r>
      <w:r w:rsidR="001501A4" w:rsidRPr="0059512A">
        <w:rPr>
          <w:bCs/>
          <w:sz w:val="26"/>
          <w:szCs w:val="26"/>
        </w:rPr>
        <w:t xml:space="preserve"> decoupling the Company’s earnings from consumption, it also has the effect of decoupling</w:t>
      </w:r>
      <w:r w:rsidR="005E25B7" w:rsidRPr="0059512A">
        <w:rPr>
          <w:bCs/>
          <w:sz w:val="26"/>
          <w:szCs w:val="26"/>
        </w:rPr>
        <w:t xml:space="preserve"> a</w:t>
      </w:r>
      <w:r w:rsidR="001501A4" w:rsidRPr="0059512A">
        <w:rPr>
          <w:bCs/>
          <w:sz w:val="26"/>
          <w:szCs w:val="26"/>
        </w:rPr>
        <w:t xml:space="preserve"> customer’s </w:t>
      </w:r>
      <w:r w:rsidR="001501A4" w:rsidRPr="0059512A">
        <w:rPr>
          <w:bCs/>
          <w:sz w:val="26"/>
          <w:szCs w:val="26"/>
        </w:rPr>
        <w:lastRenderedPageBreak/>
        <w:t>usage from th</w:t>
      </w:r>
      <w:r w:rsidR="005E25B7" w:rsidRPr="0059512A">
        <w:rPr>
          <w:bCs/>
          <w:sz w:val="26"/>
          <w:szCs w:val="26"/>
        </w:rPr>
        <w:t>eir</w:t>
      </w:r>
      <w:r w:rsidR="001501A4" w:rsidRPr="0059512A">
        <w:rPr>
          <w:bCs/>
          <w:sz w:val="26"/>
          <w:szCs w:val="26"/>
        </w:rPr>
        <w:t xml:space="preserve"> bill</w:t>
      </w:r>
      <w:r w:rsidR="00633F53" w:rsidRPr="0059512A">
        <w:rPr>
          <w:bCs/>
          <w:sz w:val="26"/>
          <w:szCs w:val="26"/>
        </w:rPr>
        <w:t>.  This reduces the value to the customer of shifting or decreasing consumption because the avoided usage rates are lower.</w:t>
      </w:r>
      <w:r w:rsidR="006C2296" w:rsidRPr="0059512A">
        <w:rPr>
          <w:bCs/>
          <w:sz w:val="26"/>
          <w:szCs w:val="26"/>
        </w:rPr>
        <w:t xml:space="preserve">  We note that o</w:t>
      </w:r>
      <w:r w:rsidR="00633F53" w:rsidRPr="0059512A">
        <w:rPr>
          <w:bCs/>
          <w:sz w:val="26"/>
          <w:szCs w:val="26"/>
        </w:rPr>
        <w:t>ne of the objectives of good utility rate design is send</w:t>
      </w:r>
      <w:r w:rsidR="006C2296" w:rsidRPr="0059512A">
        <w:rPr>
          <w:bCs/>
          <w:sz w:val="26"/>
          <w:szCs w:val="26"/>
        </w:rPr>
        <w:t>ing</w:t>
      </w:r>
      <w:r w:rsidR="00633F53" w:rsidRPr="0059512A">
        <w:rPr>
          <w:bCs/>
          <w:sz w:val="26"/>
          <w:szCs w:val="26"/>
        </w:rPr>
        <w:t xml:space="preserve"> a</w:t>
      </w:r>
      <w:r w:rsidR="007A3402" w:rsidRPr="0059512A">
        <w:rPr>
          <w:bCs/>
          <w:sz w:val="26"/>
          <w:szCs w:val="26"/>
        </w:rPr>
        <w:t>n appropriate</w:t>
      </w:r>
      <w:r w:rsidR="00633F53" w:rsidRPr="0059512A">
        <w:rPr>
          <w:bCs/>
          <w:sz w:val="26"/>
          <w:szCs w:val="26"/>
        </w:rPr>
        <w:t xml:space="preserve"> consumption price signal to the ratepayer.  This shifting of additional costs to the customer charge and lowering variable rate</w:t>
      </w:r>
      <w:r w:rsidR="00550538" w:rsidRPr="0059512A">
        <w:rPr>
          <w:bCs/>
          <w:sz w:val="26"/>
          <w:szCs w:val="26"/>
        </w:rPr>
        <w:t>s</w:t>
      </w:r>
      <w:r w:rsidR="00633F53" w:rsidRPr="0059512A">
        <w:rPr>
          <w:bCs/>
          <w:sz w:val="26"/>
          <w:szCs w:val="26"/>
        </w:rPr>
        <w:t xml:space="preserve">, as proposed by </w:t>
      </w:r>
      <w:r w:rsidR="003D6EC0" w:rsidRPr="0059512A">
        <w:rPr>
          <w:bCs/>
          <w:sz w:val="26"/>
          <w:szCs w:val="26"/>
        </w:rPr>
        <w:t>Citizens’</w:t>
      </w:r>
      <w:r w:rsidR="00633F53" w:rsidRPr="0059512A">
        <w:rPr>
          <w:bCs/>
          <w:sz w:val="26"/>
          <w:szCs w:val="26"/>
        </w:rPr>
        <w:t xml:space="preserve">, serves to mask the marginal impact of </w:t>
      </w:r>
      <w:r w:rsidR="00C33CEB" w:rsidRPr="0059512A">
        <w:rPr>
          <w:bCs/>
          <w:sz w:val="26"/>
          <w:szCs w:val="26"/>
        </w:rPr>
        <w:t>consumption.</w:t>
      </w:r>
      <w:r w:rsidR="00550538" w:rsidRPr="0059512A">
        <w:rPr>
          <w:sz w:val="26"/>
          <w:szCs w:val="26"/>
        </w:rPr>
        <w:t xml:space="preserve">  </w:t>
      </w:r>
      <w:r w:rsidR="005A491E" w:rsidRPr="0059512A">
        <w:rPr>
          <w:sz w:val="26"/>
          <w:szCs w:val="26"/>
        </w:rPr>
        <w:t xml:space="preserve">By shifting distribution costs to the fixed customer charge component of the rates as proposed by </w:t>
      </w:r>
      <w:r w:rsidR="00550538" w:rsidRPr="0059512A">
        <w:rPr>
          <w:sz w:val="26"/>
          <w:szCs w:val="26"/>
        </w:rPr>
        <w:t>Citizens’</w:t>
      </w:r>
      <w:r w:rsidR="005A491E" w:rsidRPr="0059512A">
        <w:rPr>
          <w:sz w:val="26"/>
          <w:szCs w:val="26"/>
        </w:rPr>
        <w:t>, incentives for consumers to take charge of their energy costs by reducing usage</w:t>
      </w:r>
      <w:r w:rsidR="00550538" w:rsidRPr="0059512A">
        <w:rPr>
          <w:sz w:val="26"/>
          <w:szCs w:val="26"/>
        </w:rPr>
        <w:t xml:space="preserve"> will be stunted</w:t>
      </w:r>
      <w:r w:rsidR="005A491E" w:rsidRPr="0059512A">
        <w:rPr>
          <w:sz w:val="26"/>
          <w:szCs w:val="26"/>
        </w:rPr>
        <w:t>.</w:t>
      </w:r>
      <w:r w:rsidR="004326A8" w:rsidRPr="0059512A">
        <w:rPr>
          <w:sz w:val="26"/>
          <w:szCs w:val="26"/>
        </w:rPr>
        <w:t xml:space="preserve">  </w:t>
      </w:r>
      <w:r w:rsidR="005A491E" w:rsidRPr="0059512A">
        <w:rPr>
          <w:sz w:val="26"/>
          <w:szCs w:val="26"/>
        </w:rPr>
        <w:t xml:space="preserve">Such an anti-conservation policy </w:t>
      </w:r>
      <w:r w:rsidR="004326A8" w:rsidRPr="0059512A">
        <w:rPr>
          <w:sz w:val="26"/>
          <w:szCs w:val="26"/>
        </w:rPr>
        <w:t xml:space="preserve">is contrary to the Commission’s goals </w:t>
      </w:r>
      <w:r w:rsidR="00EE1B5D" w:rsidRPr="0059512A">
        <w:rPr>
          <w:sz w:val="26"/>
          <w:szCs w:val="26"/>
        </w:rPr>
        <w:t xml:space="preserve">outlined in the </w:t>
      </w:r>
      <w:r w:rsidR="00EE1B5D" w:rsidRPr="0059512A">
        <w:rPr>
          <w:rFonts w:eastAsiaTheme="minorHAnsi"/>
          <w:i/>
          <w:iCs/>
          <w:sz w:val="26"/>
          <w:szCs w:val="26"/>
        </w:rPr>
        <w:t xml:space="preserve">Final Policy Statement.  </w:t>
      </w:r>
    </w:p>
    <w:p w14:paraId="0FE9DA68" w14:textId="77777777" w:rsidR="005A491E" w:rsidRPr="0059512A" w:rsidRDefault="005A491E" w:rsidP="0059512A">
      <w:pPr>
        <w:widowControl/>
        <w:spacing w:line="360" w:lineRule="auto"/>
        <w:ind w:firstLine="1440"/>
        <w:rPr>
          <w:rFonts w:eastAsiaTheme="minorHAnsi"/>
          <w:sz w:val="26"/>
          <w:szCs w:val="26"/>
        </w:rPr>
      </w:pPr>
    </w:p>
    <w:p w14:paraId="72B169D9" w14:textId="06F3F58B" w:rsidR="005A491E" w:rsidRPr="0059512A" w:rsidRDefault="00DF0092" w:rsidP="0059512A">
      <w:pPr>
        <w:widowControl/>
        <w:spacing w:line="360" w:lineRule="auto"/>
        <w:ind w:firstLine="1440"/>
        <w:rPr>
          <w:rFonts w:eastAsiaTheme="minorHAnsi"/>
          <w:sz w:val="26"/>
          <w:szCs w:val="26"/>
        </w:rPr>
      </w:pPr>
      <w:r w:rsidRPr="0059512A">
        <w:rPr>
          <w:rFonts w:eastAsiaTheme="minorHAnsi"/>
          <w:sz w:val="26"/>
          <w:szCs w:val="26"/>
        </w:rPr>
        <w:t>We find compelling I&amp;E’s arguments that t</w:t>
      </w:r>
      <w:r w:rsidR="00120C5B" w:rsidRPr="0059512A">
        <w:rPr>
          <w:rFonts w:eastAsiaTheme="minorHAnsi"/>
          <w:sz w:val="26"/>
          <w:szCs w:val="26"/>
        </w:rPr>
        <w:t>he Company’s rate design direction for its RS and SH classes is poised to produce significant price increases for low usage customers</w:t>
      </w:r>
      <w:r w:rsidRPr="0059512A">
        <w:rPr>
          <w:rFonts w:eastAsiaTheme="minorHAnsi"/>
          <w:sz w:val="26"/>
          <w:szCs w:val="26"/>
        </w:rPr>
        <w:t xml:space="preserve">, which could be negatively exhibited in two ways.  </w:t>
      </w:r>
      <w:r w:rsidR="00E167C4" w:rsidRPr="0059512A">
        <w:rPr>
          <w:rFonts w:eastAsiaTheme="minorHAnsi"/>
          <w:sz w:val="26"/>
          <w:szCs w:val="26"/>
        </w:rPr>
        <w:t>First, it will serve to penalize those customers who have invested in energy efficiency and minimized their consumption.  Second, for lower income customers who have reduced their usage to fit a budget, the bill increase, associated with the shifting of costs to the customer charge, represents another obstacle to financial stability.</w:t>
      </w:r>
    </w:p>
    <w:p w14:paraId="581F8825" w14:textId="4CB6EB8D" w:rsidR="00981E78" w:rsidRPr="0059512A" w:rsidRDefault="00981E78" w:rsidP="0059512A">
      <w:pPr>
        <w:widowControl/>
        <w:spacing w:line="360" w:lineRule="auto"/>
        <w:ind w:firstLine="1440"/>
        <w:rPr>
          <w:rFonts w:eastAsiaTheme="minorHAnsi"/>
          <w:sz w:val="26"/>
          <w:szCs w:val="26"/>
        </w:rPr>
      </w:pPr>
    </w:p>
    <w:p w14:paraId="38F9B07B" w14:textId="09D029C8" w:rsidR="00981E78" w:rsidRPr="0059512A" w:rsidRDefault="00981E78" w:rsidP="0059512A">
      <w:pPr>
        <w:widowControl/>
        <w:spacing w:line="360" w:lineRule="auto"/>
        <w:ind w:firstLine="1440"/>
        <w:rPr>
          <w:rFonts w:eastAsiaTheme="minorHAnsi"/>
          <w:sz w:val="26"/>
          <w:szCs w:val="26"/>
        </w:rPr>
      </w:pPr>
      <w:r w:rsidRPr="0059512A">
        <w:rPr>
          <w:rFonts w:eastAsiaTheme="minorHAnsi"/>
          <w:sz w:val="26"/>
          <w:szCs w:val="26"/>
        </w:rPr>
        <w:t>We do not believe that this type of rate structure represents sound regulatory policy or best serves the public interest.  Movement towards significantly higher monthly fixed charges typically present public acceptability problems.  Customers resist paying a high monthly charge month after month regardless of use, especially if it does not reflect changes in their use of the product.  In other words, if customers try to reduce their energy consumption as a means of reducing their energy expense, they will expect, reasonably so, to see that reflected on their bill.  With the Company’s proposed rate design, that will not happen to the full extent that it could.  In addition, low usage customers within a customer class would experience a greater percentage increase than high usage customers.  This seems almost punitive to customers who attempt to control their usage.  Lastly, we agree with the ALJs that</w:t>
      </w:r>
      <w:r w:rsidR="00337567" w:rsidRPr="0059512A">
        <w:rPr>
          <w:rFonts w:eastAsiaTheme="minorHAnsi"/>
          <w:sz w:val="26"/>
          <w:szCs w:val="26"/>
        </w:rPr>
        <w:t xml:space="preserve"> the Company’s rate design proposal fails </w:t>
      </w:r>
      <w:r w:rsidR="00337567" w:rsidRPr="0059512A">
        <w:rPr>
          <w:rFonts w:eastAsiaTheme="minorHAnsi"/>
          <w:sz w:val="26"/>
          <w:szCs w:val="26"/>
        </w:rPr>
        <w:lastRenderedPageBreak/>
        <w:t>to reflect the sound application of cost of service principles, as the Company’s own cost of customer cost analysis shows no basis for increasing the SH class from its existing customer charge and also supports a smaller increase in the RS class than Citizens’ has proposed.</w:t>
      </w:r>
      <w:r w:rsidR="00050115" w:rsidRPr="0059512A">
        <w:rPr>
          <w:rFonts w:eastAsiaTheme="minorHAnsi"/>
          <w:sz w:val="26"/>
          <w:szCs w:val="26"/>
        </w:rPr>
        <w:t xml:space="preserve">  Therefore, we shall deny Citizens’ Exception No. 12 and adopt the ALJs’ recommendation on this issue.</w:t>
      </w:r>
    </w:p>
    <w:bookmarkEnd w:id="160"/>
    <w:p w14:paraId="0B53D819" w14:textId="77777777" w:rsidR="005A491E" w:rsidRPr="0059512A" w:rsidRDefault="005A491E" w:rsidP="0059512A">
      <w:pPr>
        <w:widowControl/>
        <w:spacing w:line="360" w:lineRule="auto"/>
        <w:rPr>
          <w:sz w:val="26"/>
          <w:szCs w:val="26"/>
        </w:rPr>
      </w:pPr>
    </w:p>
    <w:p w14:paraId="16368377" w14:textId="06225C3F" w:rsidR="00EE1811" w:rsidRPr="0059512A" w:rsidRDefault="00DA2034" w:rsidP="0059512A">
      <w:pPr>
        <w:pStyle w:val="Heading2"/>
        <w:widowControl/>
      </w:pPr>
      <w:bookmarkStart w:id="162" w:name="_Toc38629303"/>
      <w:r w:rsidRPr="0059512A">
        <w:t>Miscellaneous Issues</w:t>
      </w:r>
      <w:r w:rsidR="00CE1D00" w:rsidRPr="0059512A">
        <w:t>: Reporting Requirements</w:t>
      </w:r>
      <w:bookmarkEnd w:id="162"/>
    </w:p>
    <w:p w14:paraId="632C239B" w14:textId="2F5ED677" w:rsidR="002D0548" w:rsidRPr="0059512A" w:rsidRDefault="002D0548" w:rsidP="0059512A">
      <w:pPr>
        <w:keepNext/>
        <w:keepLines/>
        <w:widowControl/>
        <w:spacing w:line="360" w:lineRule="auto"/>
        <w:rPr>
          <w:sz w:val="26"/>
          <w:szCs w:val="26"/>
        </w:rPr>
      </w:pPr>
    </w:p>
    <w:p w14:paraId="2928AFA7" w14:textId="4B6839BC" w:rsidR="002D0548" w:rsidRPr="0059512A" w:rsidRDefault="00CE1D00" w:rsidP="0059512A">
      <w:pPr>
        <w:pStyle w:val="ListParagraph"/>
        <w:keepNext/>
        <w:keepLines/>
        <w:widowControl/>
        <w:numPr>
          <w:ilvl w:val="0"/>
          <w:numId w:val="23"/>
        </w:numPr>
        <w:spacing w:line="360" w:lineRule="auto"/>
        <w:rPr>
          <w:b/>
          <w:bCs/>
          <w:sz w:val="26"/>
          <w:szCs w:val="26"/>
        </w:rPr>
      </w:pPr>
      <w:r w:rsidRPr="0059512A">
        <w:rPr>
          <w:b/>
          <w:bCs/>
          <w:sz w:val="26"/>
          <w:szCs w:val="26"/>
        </w:rPr>
        <w:t>Positions of the Parties</w:t>
      </w:r>
    </w:p>
    <w:p w14:paraId="1434DF53" w14:textId="1F2799E8" w:rsidR="00CE1D00" w:rsidRPr="0059512A" w:rsidRDefault="00CE1D00" w:rsidP="0059512A">
      <w:pPr>
        <w:keepNext/>
        <w:keepLines/>
        <w:widowControl/>
        <w:spacing w:line="360" w:lineRule="auto"/>
        <w:ind w:left="720"/>
        <w:rPr>
          <w:b/>
          <w:bCs/>
          <w:sz w:val="26"/>
          <w:szCs w:val="26"/>
        </w:rPr>
      </w:pPr>
    </w:p>
    <w:p w14:paraId="33E76B36" w14:textId="71738067" w:rsidR="000B3290" w:rsidRPr="0059512A" w:rsidRDefault="000B3290" w:rsidP="0059512A">
      <w:pPr>
        <w:keepNext/>
        <w:widowControl/>
        <w:spacing w:line="360" w:lineRule="auto"/>
        <w:ind w:firstLine="1440"/>
        <w:rPr>
          <w:rFonts w:eastAsia="Calibri"/>
          <w:sz w:val="26"/>
          <w:szCs w:val="26"/>
        </w:rPr>
      </w:pPr>
      <w:r w:rsidRPr="0059512A">
        <w:rPr>
          <w:rFonts w:eastAsia="Calibri"/>
          <w:sz w:val="26"/>
          <w:szCs w:val="26"/>
        </w:rPr>
        <w:t xml:space="preserve">I&amp;E recommended that Citizens’ provide the Commission’s Bureaus of Technical Utility Services (TUS) and I&amp;E with an update to Citizens’ Exhibit_(HSG-1), Schedule C3(R) no later than April 1, 2020, which should include actual capital expenditures, plant additions, and retirements by month for the twelve months ending December 31, 2019.  I&amp;E stated that an additional update should be provided for actuals through December 31, 2020, no later than April 1, 2021.  I&amp;E witness Cline testified that these reports would “provide the Commission with actual data to gauge the accuracy of Citizens’ projected investments in future proceedings as has become common practice among Pennsylvania utilities as the use of the FPFTY has gained prevalence.”  I&amp;E M.B. at 65-66 (citing I&amp;E St. 3 at 10-11).  </w:t>
      </w:r>
    </w:p>
    <w:p w14:paraId="5008B8EE" w14:textId="77777777" w:rsidR="000B3290" w:rsidRPr="0059512A" w:rsidRDefault="000B3290" w:rsidP="0059512A">
      <w:pPr>
        <w:widowControl/>
        <w:spacing w:line="360" w:lineRule="auto"/>
        <w:ind w:firstLine="1440"/>
        <w:rPr>
          <w:rFonts w:eastAsia="Calibri"/>
          <w:sz w:val="26"/>
          <w:szCs w:val="26"/>
        </w:rPr>
      </w:pPr>
    </w:p>
    <w:p w14:paraId="4C694253" w14:textId="22F400B0" w:rsidR="00BF58BA" w:rsidRPr="0059512A" w:rsidRDefault="00CB68D3" w:rsidP="0059512A">
      <w:pPr>
        <w:widowControl/>
        <w:spacing w:line="360" w:lineRule="auto"/>
        <w:ind w:firstLine="1440"/>
        <w:rPr>
          <w:rFonts w:eastAsia="Calibri"/>
          <w:sz w:val="26"/>
          <w:szCs w:val="26"/>
        </w:rPr>
      </w:pPr>
      <w:r w:rsidRPr="0059512A">
        <w:rPr>
          <w:rFonts w:eastAsia="Calibri"/>
          <w:sz w:val="26"/>
          <w:szCs w:val="26"/>
        </w:rPr>
        <w:t>Citizens’</w:t>
      </w:r>
      <w:r w:rsidR="000B3290" w:rsidRPr="0059512A">
        <w:rPr>
          <w:rFonts w:eastAsia="Calibri"/>
          <w:sz w:val="26"/>
          <w:szCs w:val="26"/>
        </w:rPr>
        <w:t xml:space="preserve"> opposed the imposition of additional requirements not required by statute or regulation.  The Company noted that it submits numerous filings to the Commission each year, including the Annual Reports required by the Commission’s regulations.  </w:t>
      </w:r>
      <w:r w:rsidRPr="0059512A">
        <w:rPr>
          <w:rFonts w:eastAsia="Calibri"/>
          <w:sz w:val="26"/>
          <w:szCs w:val="26"/>
        </w:rPr>
        <w:t>Citizens’</w:t>
      </w:r>
      <w:r w:rsidR="000B3290" w:rsidRPr="0059512A">
        <w:rPr>
          <w:rFonts w:eastAsia="Calibri"/>
          <w:sz w:val="26"/>
          <w:szCs w:val="26"/>
        </w:rPr>
        <w:t xml:space="preserve"> M.B. at 11</w:t>
      </w:r>
      <w:r w:rsidRPr="0059512A">
        <w:rPr>
          <w:rFonts w:eastAsia="Calibri"/>
          <w:sz w:val="26"/>
          <w:szCs w:val="26"/>
        </w:rPr>
        <w:t>6-117</w:t>
      </w:r>
      <w:r w:rsidR="000B3290" w:rsidRPr="0059512A">
        <w:rPr>
          <w:rFonts w:eastAsia="Calibri"/>
          <w:sz w:val="26"/>
          <w:szCs w:val="26"/>
        </w:rPr>
        <w:t xml:space="preserve"> (citing 52 Pa. Code § 57.47).  </w:t>
      </w:r>
      <w:r w:rsidRPr="0059512A">
        <w:rPr>
          <w:rFonts w:eastAsia="Calibri"/>
          <w:sz w:val="26"/>
          <w:szCs w:val="26"/>
        </w:rPr>
        <w:t>Citizens’</w:t>
      </w:r>
      <w:r w:rsidR="000B3290" w:rsidRPr="0059512A">
        <w:rPr>
          <w:rFonts w:eastAsia="Calibri"/>
          <w:sz w:val="26"/>
          <w:szCs w:val="26"/>
        </w:rPr>
        <w:t xml:space="preserve"> explained that these </w:t>
      </w:r>
      <w:r w:rsidR="000D2EFC" w:rsidRPr="0059512A">
        <w:rPr>
          <w:rFonts w:eastAsia="Calibri"/>
          <w:sz w:val="26"/>
          <w:szCs w:val="26"/>
        </w:rPr>
        <w:t>A</w:t>
      </w:r>
      <w:r w:rsidR="000B3290" w:rsidRPr="0059512A">
        <w:rPr>
          <w:rFonts w:eastAsia="Calibri"/>
          <w:sz w:val="26"/>
          <w:szCs w:val="26"/>
        </w:rPr>
        <w:t xml:space="preserve">nnual Reports include detailed plant, expense, and sales data that the Commission and I&amp;E can review.  </w:t>
      </w:r>
      <w:r w:rsidRPr="0059512A">
        <w:rPr>
          <w:rFonts w:eastAsia="Calibri"/>
          <w:sz w:val="26"/>
          <w:szCs w:val="26"/>
        </w:rPr>
        <w:t>Citizens’</w:t>
      </w:r>
      <w:r w:rsidR="000B3290" w:rsidRPr="0059512A">
        <w:rPr>
          <w:rFonts w:eastAsia="Calibri"/>
          <w:sz w:val="26"/>
          <w:szCs w:val="26"/>
        </w:rPr>
        <w:t xml:space="preserve"> requested that the Commission mitigate the regulatory burden on small utilities of this reporting requirement by denying I&amp;E’s request.  </w:t>
      </w:r>
      <w:r w:rsidRPr="0059512A">
        <w:rPr>
          <w:rFonts w:eastAsia="Calibri"/>
          <w:sz w:val="26"/>
          <w:szCs w:val="26"/>
        </w:rPr>
        <w:t>Citizens’</w:t>
      </w:r>
      <w:r w:rsidR="000B3290" w:rsidRPr="0059512A">
        <w:rPr>
          <w:rFonts w:eastAsia="Calibri"/>
          <w:sz w:val="26"/>
          <w:szCs w:val="26"/>
        </w:rPr>
        <w:t xml:space="preserve"> M.B. at 1</w:t>
      </w:r>
      <w:r w:rsidRPr="0059512A">
        <w:rPr>
          <w:rFonts w:eastAsia="Calibri"/>
          <w:sz w:val="26"/>
          <w:szCs w:val="26"/>
        </w:rPr>
        <w:t>17</w:t>
      </w:r>
      <w:r w:rsidR="000B3290" w:rsidRPr="0059512A">
        <w:rPr>
          <w:rFonts w:eastAsia="Calibri"/>
          <w:sz w:val="26"/>
          <w:szCs w:val="26"/>
        </w:rPr>
        <w:t xml:space="preserve">.  </w:t>
      </w:r>
    </w:p>
    <w:p w14:paraId="737C8D63" w14:textId="5BECF451" w:rsidR="00CE1D00" w:rsidRPr="0059512A" w:rsidRDefault="00CE1D00" w:rsidP="0059512A">
      <w:pPr>
        <w:pStyle w:val="ListParagraph"/>
        <w:keepNext/>
        <w:keepLines/>
        <w:widowControl/>
        <w:numPr>
          <w:ilvl w:val="0"/>
          <w:numId w:val="23"/>
        </w:numPr>
        <w:spacing w:line="360" w:lineRule="auto"/>
        <w:rPr>
          <w:b/>
          <w:bCs/>
          <w:sz w:val="26"/>
          <w:szCs w:val="26"/>
        </w:rPr>
      </w:pPr>
      <w:r w:rsidRPr="0059512A">
        <w:rPr>
          <w:b/>
          <w:bCs/>
          <w:sz w:val="26"/>
          <w:szCs w:val="26"/>
        </w:rPr>
        <w:lastRenderedPageBreak/>
        <w:t>Recommended Decision</w:t>
      </w:r>
    </w:p>
    <w:p w14:paraId="053F028B" w14:textId="6DF17CF4" w:rsidR="00CE1D00" w:rsidRPr="0059512A" w:rsidRDefault="00CE1D00" w:rsidP="0059512A">
      <w:pPr>
        <w:pStyle w:val="ListParagraph"/>
        <w:keepNext/>
        <w:keepLines/>
        <w:widowControl/>
        <w:spacing w:line="360" w:lineRule="auto"/>
        <w:rPr>
          <w:b/>
          <w:bCs/>
          <w:sz w:val="26"/>
          <w:szCs w:val="26"/>
        </w:rPr>
      </w:pPr>
    </w:p>
    <w:p w14:paraId="528A227F" w14:textId="480E6C71" w:rsidR="00CB68D3" w:rsidRPr="0059512A" w:rsidRDefault="00CB68D3" w:rsidP="0059512A">
      <w:pPr>
        <w:keepNext/>
        <w:keepLines/>
        <w:widowControl/>
        <w:spacing w:line="360" w:lineRule="auto"/>
        <w:ind w:firstLine="1440"/>
        <w:contextualSpacing/>
        <w:rPr>
          <w:sz w:val="26"/>
          <w:szCs w:val="26"/>
        </w:rPr>
      </w:pPr>
      <w:r w:rsidRPr="0059512A">
        <w:rPr>
          <w:sz w:val="26"/>
          <w:szCs w:val="26"/>
        </w:rPr>
        <w:t xml:space="preserve">The ALJs disagreed with I&amp;E’s recommendation that the Commission require Citizens’ to provide updated filings related to its plant in service projections.  </w:t>
      </w:r>
    </w:p>
    <w:p w14:paraId="6D01156C" w14:textId="33865C41" w:rsidR="00CB68D3" w:rsidRPr="0059512A" w:rsidRDefault="00CB68D3" w:rsidP="0059512A">
      <w:pPr>
        <w:widowControl/>
        <w:spacing w:line="360" w:lineRule="auto"/>
        <w:rPr>
          <w:sz w:val="26"/>
          <w:szCs w:val="26"/>
        </w:rPr>
      </w:pPr>
      <w:r w:rsidRPr="0059512A">
        <w:rPr>
          <w:sz w:val="26"/>
          <w:szCs w:val="26"/>
        </w:rPr>
        <w:t>The ALJs noted that the Commission may include such requirements at such time as it adopts comprehensive FPFTY regulations but the ALJs will not require the reporting by Citizens’ in this proceeding.  The ALJs provided that the proceedings cited by I&amp;E in support of its request were settled and the utilities voluntarily agreed to the requested reporting.  R.D. at 124-125.</w:t>
      </w:r>
    </w:p>
    <w:p w14:paraId="448DECC0" w14:textId="77777777" w:rsidR="00236FF8" w:rsidRPr="0059512A" w:rsidRDefault="00236FF8" w:rsidP="0059512A">
      <w:pPr>
        <w:widowControl/>
        <w:spacing w:line="360" w:lineRule="auto"/>
        <w:rPr>
          <w:sz w:val="26"/>
          <w:szCs w:val="26"/>
        </w:rPr>
      </w:pPr>
    </w:p>
    <w:p w14:paraId="3A22964E" w14:textId="6C9896B6" w:rsidR="00CE1D00" w:rsidRPr="0059512A" w:rsidRDefault="00CE1D00" w:rsidP="0059512A">
      <w:pPr>
        <w:pStyle w:val="ListParagraph"/>
        <w:keepNext/>
        <w:keepLines/>
        <w:widowControl/>
        <w:numPr>
          <w:ilvl w:val="0"/>
          <w:numId w:val="23"/>
        </w:numPr>
        <w:spacing w:line="360" w:lineRule="auto"/>
        <w:rPr>
          <w:b/>
          <w:bCs/>
          <w:sz w:val="26"/>
          <w:szCs w:val="26"/>
        </w:rPr>
      </w:pPr>
      <w:r w:rsidRPr="0059512A">
        <w:rPr>
          <w:b/>
          <w:bCs/>
          <w:sz w:val="26"/>
          <w:szCs w:val="26"/>
        </w:rPr>
        <w:t>Exceptions and Replies</w:t>
      </w:r>
    </w:p>
    <w:p w14:paraId="45B0664C" w14:textId="6D072C51" w:rsidR="00CE1D00" w:rsidRPr="0059512A" w:rsidRDefault="00CE1D00" w:rsidP="0059512A">
      <w:pPr>
        <w:pStyle w:val="ListParagraph"/>
        <w:keepNext/>
        <w:keepLines/>
        <w:widowControl/>
        <w:spacing w:line="360" w:lineRule="auto"/>
        <w:rPr>
          <w:b/>
          <w:bCs/>
          <w:sz w:val="26"/>
          <w:szCs w:val="26"/>
        </w:rPr>
      </w:pPr>
    </w:p>
    <w:p w14:paraId="387C067D" w14:textId="66E04A64" w:rsidR="00CB68D3" w:rsidRPr="0059512A" w:rsidRDefault="00CB68D3" w:rsidP="0059512A">
      <w:pPr>
        <w:widowControl/>
        <w:spacing w:line="360" w:lineRule="auto"/>
        <w:ind w:firstLine="1440"/>
        <w:rPr>
          <w:sz w:val="26"/>
          <w:szCs w:val="26"/>
        </w:rPr>
      </w:pPr>
      <w:r w:rsidRPr="0059512A">
        <w:rPr>
          <w:sz w:val="26"/>
          <w:szCs w:val="26"/>
        </w:rPr>
        <w:t>In its Exception No. 6, I&amp;E submits the ALJs erred by denying I&amp;E’s recommendation that Citizens’ be required to provide certain accounting reports – specifically an update to Citizens’ Exhibit</w:t>
      </w:r>
      <w:r w:rsidR="00107A28">
        <w:rPr>
          <w:sz w:val="26"/>
          <w:szCs w:val="26"/>
        </w:rPr>
        <w:t>_</w:t>
      </w:r>
      <w:r w:rsidRPr="0059512A">
        <w:rPr>
          <w:sz w:val="26"/>
          <w:szCs w:val="26"/>
        </w:rPr>
        <w:t>(HSG-1), Schedule C3(R) no later than April</w:t>
      </w:r>
      <w:r w:rsidR="00861160">
        <w:rPr>
          <w:sz w:val="26"/>
          <w:szCs w:val="26"/>
        </w:rPr>
        <w:t> </w:t>
      </w:r>
      <w:r w:rsidRPr="0059512A">
        <w:rPr>
          <w:sz w:val="26"/>
          <w:szCs w:val="26"/>
        </w:rPr>
        <w:t>1, 2020, including actual capital expenditures, plant additions, and retirements by month for the twelve months ending December 31, 2019, followed by an additional update for actuals through December 31, 2020, no later than April 1, 2021.  I&amp;E argues that this type of reporting is needed and in the public interest until FPFTY regulations are implemented.  I&amp;E provides that this reporting will be an apples-to-apples comparison in a form directly corresponding to a schedule provided in the rate filing of what the Company is projecting and what actually will be in plant, allowing TUS and I&amp;E to review the accuracy of the Company’s projections.  This reporting will provide TUS and I&amp;E with the information and opportunity required to review the accuracy of the Company’s projections.  I&amp;E Exc. at 11-12; I&amp;E M.B. at 65-68, I&amp;E R.B. at 24-25.</w:t>
      </w:r>
    </w:p>
    <w:p w14:paraId="0911AA74" w14:textId="77777777" w:rsidR="00CB68D3" w:rsidRPr="0059512A" w:rsidRDefault="00CB68D3" w:rsidP="0059512A">
      <w:pPr>
        <w:widowControl/>
        <w:spacing w:line="360" w:lineRule="auto"/>
        <w:ind w:firstLine="1440"/>
        <w:rPr>
          <w:sz w:val="26"/>
          <w:szCs w:val="26"/>
        </w:rPr>
      </w:pPr>
    </w:p>
    <w:p w14:paraId="7A8143A4" w14:textId="6BC9E398" w:rsidR="00CB68D3" w:rsidRPr="0059512A" w:rsidRDefault="00CB68D3" w:rsidP="0059512A">
      <w:pPr>
        <w:widowControl/>
        <w:spacing w:line="360" w:lineRule="auto"/>
        <w:ind w:firstLine="1440"/>
        <w:rPr>
          <w:sz w:val="26"/>
          <w:szCs w:val="26"/>
        </w:rPr>
      </w:pPr>
      <w:r w:rsidRPr="0059512A">
        <w:rPr>
          <w:sz w:val="26"/>
          <w:szCs w:val="26"/>
        </w:rPr>
        <w:t xml:space="preserve">In Replies to I&amp;E Exception No. 6, Citizens’ states that I&amp;E’s Exception should be denied as the Recommended Decision correctly rejected I&amp;E’s recommendation that Citizens’ be required to provide certain accounting reports.  The </w:t>
      </w:r>
      <w:r w:rsidRPr="0059512A">
        <w:rPr>
          <w:sz w:val="26"/>
          <w:szCs w:val="26"/>
        </w:rPr>
        <w:lastRenderedPageBreak/>
        <w:t>Company must already submit numerous filings to the Commission including Annual Reports, which entail detailed year-end plant, expense, and sales data, and the Company provided quarterly updates following the initial rate filing in this proceeding.  Additional reporting requirements would impose an unfair regulatory burden on small utilities such as Citizens’.  Lastly, in light of the fact that the Commission has not adopted regulations that comprehensively address requirements for public utilities utilizing the FPFTY, the Company requests that it not be singled out for compliance with unique and additional reporting requirements that are not applicable to all EDCs.  The Company, therefore, requests that the Commission approve the ALJs</w:t>
      </w:r>
      <w:r w:rsidR="00A0148D" w:rsidRPr="0059512A">
        <w:rPr>
          <w:sz w:val="26"/>
          <w:szCs w:val="26"/>
        </w:rPr>
        <w:t>’</w:t>
      </w:r>
      <w:r w:rsidRPr="0059512A">
        <w:rPr>
          <w:sz w:val="26"/>
          <w:szCs w:val="26"/>
        </w:rPr>
        <w:t xml:space="preserve"> recommendation and deny I&amp;E's request for additional reporting requirements.  Citizens’ R. Exc. at 14-15; Citizens’ M.B. at 117.</w:t>
      </w:r>
    </w:p>
    <w:p w14:paraId="3B2D26BF" w14:textId="77777777" w:rsidR="00236FF8" w:rsidRPr="0059512A" w:rsidRDefault="00236FF8" w:rsidP="0059512A">
      <w:pPr>
        <w:widowControl/>
        <w:spacing w:line="360" w:lineRule="auto"/>
        <w:ind w:firstLine="1440"/>
        <w:rPr>
          <w:sz w:val="26"/>
          <w:szCs w:val="26"/>
        </w:rPr>
      </w:pPr>
    </w:p>
    <w:p w14:paraId="34DAB722" w14:textId="4DEF821E" w:rsidR="00CE1D00" w:rsidRPr="0059512A" w:rsidRDefault="00CE1D00" w:rsidP="0059512A">
      <w:pPr>
        <w:pStyle w:val="ListParagraph"/>
        <w:keepNext/>
        <w:keepLines/>
        <w:widowControl/>
        <w:numPr>
          <w:ilvl w:val="0"/>
          <w:numId w:val="23"/>
        </w:numPr>
        <w:spacing w:line="360" w:lineRule="auto"/>
        <w:rPr>
          <w:b/>
          <w:bCs/>
          <w:sz w:val="26"/>
          <w:szCs w:val="26"/>
        </w:rPr>
      </w:pPr>
      <w:r w:rsidRPr="0059512A">
        <w:rPr>
          <w:b/>
          <w:bCs/>
          <w:sz w:val="26"/>
          <w:szCs w:val="26"/>
        </w:rPr>
        <w:t>Disposition</w:t>
      </w:r>
    </w:p>
    <w:p w14:paraId="6BBF1FBB" w14:textId="33F49DD2" w:rsidR="00EE1811" w:rsidRPr="0059512A" w:rsidRDefault="00EE1811" w:rsidP="0059512A">
      <w:pPr>
        <w:keepNext/>
        <w:keepLines/>
        <w:widowControl/>
        <w:spacing w:line="360" w:lineRule="auto"/>
        <w:rPr>
          <w:sz w:val="26"/>
          <w:szCs w:val="26"/>
        </w:rPr>
      </w:pPr>
    </w:p>
    <w:p w14:paraId="6087F414" w14:textId="2E5BB9FC" w:rsidR="005A5B0C" w:rsidRPr="0059512A" w:rsidRDefault="005A5B0C" w:rsidP="0059512A">
      <w:pPr>
        <w:keepNext/>
        <w:widowControl/>
        <w:spacing w:line="360" w:lineRule="auto"/>
        <w:ind w:firstLine="1440"/>
        <w:contextualSpacing/>
        <w:rPr>
          <w:sz w:val="26"/>
          <w:szCs w:val="26"/>
        </w:rPr>
      </w:pPr>
      <w:r w:rsidRPr="0059512A">
        <w:rPr>
          <w:sz w:val="26"/>
          <w:szCs w:val="26"/>
        </w:rPr>
        <w:t>We find that, on balance, and because reporting requirements are not uniform to all EDCs, requiring additional reporting by Citizens’, is unnecessary in this case.  I&amp;E had requested that Citizens’ be required to provide TUS and I&amp;E with an update to its plant in service projections by updating Citizens’ Exhibit_(HSG-1), Schedule C3(R) showing actual capital expenditures, plant additions, and retirements by month for the twelve months ending December 31, 2019, followed by an additional update for actuals through December 31, 2020, no later than April 1, 2021.  I&amp;E Exc. at</w:t>
      </w:r>
      <w:r w:rsidR="00107A28">
        <w:rPr>
          <w:sz w:val="26"/>
          <w:szCs w:val="26"/>
        </w:rPr>
        <w:t> </w:t>
      </w:r>
      <w:r w:rsidRPr="0059512A">
        <w:rPr>
          <w:sz w:val="26"/>
          <w:szCs w:val="26"/>
        </w:rPr>
        <w:t xml:space="preserve">11-12.  This proposal was soundly rejected by the ALJs.  R.D. at 124-125.  </w:t>
      </w:r>
    </w:p>
    <w:p w14:paraId="5AAB86C5" w14:textId="77777777" w:rsidR="005A5B0C" w:rsidRPr="0059512A" w:rsidRDefault="005A5B0C" w:rsidP="0059512A">
      <w:pPr>
        <w:widowControl/>
        <w:spacing w:line="360" w:lineRule="auto"/>
        <w:ind w:firstLine="1440"/>
        <w:contextualSpacing/>
        <w:rPr>
          <w:sz w:val="26"/>
          <w:szCs w:val="26"/>
        </w:rPr>
      </w:pPr>
    </w:p>
    <w:p w14:paraId="015E15CD" w14:textId="79278AF4" w:rsidR="005A5B0C" w:rsidRPr="0059512A" w:rsidRDefault="005A5B0C" w:rsidP="0059512A">
      <w:pPr>
        <w:widowControl/>
        <w:spacing w:line="360" w:lineRule="auto"/>
        <w:ind w:firstLine="1440"/>
        <w:contextualSpacing/>
        <w:rPr>
          <w:sz w:val="26"/>
          <w:szCs w:val="26"/>
        </w:rPr>
      </w:pPr>
      <w:r w:rsidRPr="0059512A">
        <w:rPr>
          <w:sz w:val="26"/>
          <w:szCs w:val="26"/>
        </w:rPr>
        <w:t>We agree with I&amp;E that the Code provides the Commission broad power to require informational filings from utilities and that the Commission has accepted a reporting requirement such as that requested by I&amp;E in other rate proceedings.</w:t>
      </w:r>
      <w:r w:rsidR="00B2092B" w:rsidRPr="0059512A">
        <w:rPr>
          <w:sz w:val="26"/>
          <w:szCs w:val="26"/>
        </w:rPr>
        <w:t xml:space="preserve">  </w:t>
      </w:r>
      <w:r w:rsidRPr="0059512A">
        <w:rPr>
          <w:sz w:val="26"/>
          <w:szCs w:val="26"/>
        </w:rPr>
        <w:t xml:space="preserve">I&amp;E Exc. at 11-12.  However, the imposition of additional reporting requirements is not required by statute or regulation.  The ALJs noted that the Commission may include such requirements at such time as it adopts comprehensive FPFTY regulations, but the ALJs </w:t>
      </w:r>
      <w:r w:rsidR="009B6EF1" w:rsidRPr="0059512A">
        <w:rPr>
          <w:sz w:val="26"/>
          <w:szCs w:val="26"/>
        </w:rPr>
        <w:t>did</w:t>
      </w:r>
      <w:r w:rsidRPr="0059512A">
        <w:rPr>
          <w:sz w:val="26"/>
          <w:szCs w:val="26"/>
        </w:rPr>
        <w:t xml:space="preserve"> not require the reporting by Citizens’ in this proceeding.  The ALJs emphasized that </w:t>
      </w:r>
      <w:r w:rsidRPr="0059512A">
        <w:rPr>
          <w:sz w:val="26"/>
          <w:szCs w:val="26"/>
        </w:rPr>
        <w:lastRenderedPageBreak/>
        <w:t xml:space="preserve">the proceedings cited by I&amp;E in support of its request involved negotiated settlements where the utilities voluntarily agreed to the requested reporting.  R.D. at </w:t>
      </w:r>
      <w:r w:rsidR="00847C67" w:rsidRPr="0059512A">
        <w:rPr>
          <w:sz w:val="26"/>
          <w:szCs w:val="26"/>
        </w:rPr>
        <w:t>124-125</w:t>
      </w:r>
      <w:r w:rsidRPr="0059512A">
        <w:rPr>
          <w:sz w:val="26"/>
          <w:szCs w:val="26"/>
        </w:rPr>
        <w:t>.</w:t>
      </w:r>
    </w:p>
    <w:p w14:paraId="117711F9" w14:textId="77777777" w:rsidR="005A5B0C" w:rsidRPr="0059512A" w:rsidRDefault="005A5B0C" w:rsidP="0059512A">
      <w:pPr>
        <w:widowControl/>
        <w:spacing w:line="360" w:lineRule="auto"/>
        <w:ind w:firstLine="1440"/>
        <w:contextualSpacing/>
        <w:rPr>
          <w:sz w:val="26"/>
          <w:szCs w:val="26"/>
        </w:rPr>
      </w:pPr>
    </w:p>
    <w:p w14:paraId="1FF92F4A" w14:textId="1EE9154E" w:rsidR="005A5B0C" w:rsidRPr="0059512A" w:rsidRDefault="005A5B0C" w:rsidP="0059512A">
      <w:pPr>
        <w:widowControl/>
        <w:spacing w:line="360" w:lineRule="auto"/>
        <w:ind w:firstLine="1440"/>
        <w:contextualSpacing/>
        <w:rPr>
          <w:sz w:val="26"/>
          <w:szCs w:val="26"/>
        </w:rPr>
      </w:pPr>
      <w:r w:rsidRPr="0059512A">
        <w:rPr>
          <w:sz w:val="26"/>
          <w:szCs w:val="26"/>
        </w:rPr>
        <w:t>In addition, a careful review of each case is advisable when considering the imposition of reporting beyond that required in the already heavily regulated utility industry.</w:t>
      </w:r>
      <w:r w:rsidR="00B2092B" w:rsidRPr="0059512A">
        <w:rPr>
          <w:sz w:val="26"/>
          <w:szCs w:val="26"/>
        </w:rPr>
        <w:t xml:space="preserve">  </w:t>
      </w:r>
      <w:r w:rsidRPr="0059512A">
        <w:rPr>
          <w:sz w:val="26"/>
          <w:szCs w:val="26"/>
        </w:rPr>
        <w:t>The instant case is distinguishable from I&amp;E’s cited cases, in that there is no agreement by the utilities in the context of a negotiated settlement.  Further, we find that requiring such augmented reporting is not in the public interest, because we have not adopted comprehensive FPFT</w:t>
      </w:r>
      <w:r w:rsidR="00847C67" w:rsidRPr="0059512A">
        <w:rPr>
          <w:sz w:val="26"/>
          <w:szCs w:val="26"/>
        </w:rPr>
        <w:t>Y</w:t>
      </w:r>
      <w:r w:rsidRPr="0059512A">
        <w:rPr>
          <w:sz w:val="26"/>
          <w:szCs w:val="26"/>
        </w:rPr>
        <w:t xml:space="preserve"> regulations defining reporting parameters.  Finally, we find persuasive </w:t>
      </w:r>
      <w:r w:rsidR="00847C67" w:rsidRPr="0059512A">
        <w:rPr>
          <w:sz w:val="26"/>
          <w:szCs w:val="26"/>
        </w:rPr>
        <w:t>the Company’s</w:t>
      </w:r>
      <w:r w:rsidRPr="0059512A">
        <w:rPr>
          <w:sz w:val="26"/>
          <w:szCs w:val="26"/>
        </w:rPr>
        <w:t xml:space="preserve"> argument that requiring increased reporting would impose an unfair regulatory burden on a small utility.  R.D. at </w:t>
      </w:r>
      <w:r w:rsidR="00847C67" w:rsidRPr="0059512A">
        <w:rPr>
          <w:sz w:val="26"/>
          <w:szCs w:val="26"/>
        </w:rPr>
        <w:t>124-125</w:t>
      </w:r>
      <w:r w:rsidRPr="0059512A">
        <w:rPr>
          <w:sz w:val="26"/>
          <w:szCs w:val="26"/>
        </w:rPr>
        <w:t xml:space="preserve">; </w:t>
      </w:r>
      <w:r w:rsidR="00847C67" w:rsidRPr="0059512A">
        <w:rPr>
          <w:sz w:val="26"/>
          <w:szCs w:val="26"/>
        </w:rPr>
        <w:t>Citizens’</w:t>
      </w:r>
      <w:r w:rsidRPr="0059512A">
        <w:rPr>
          <w:sz w:val="26"/>
          <w:szCs w:val="26"/>
        </w:rPr>
        <w:t xml:space="preserve"> R. Exc. at</w:t>
      </w:r>
      <w:r w:rsidR="00236FF8" w:rsidRPr="0059512A">
        <w:rPr>
          <w:sz w:val="26"/>
          <w:szCs w:val="26"/>
        </w:rPr>
        <w:t> </w:t>
      </w:r>
      <w:r w:rsidR="00847C67" w:rsidRPr="0059512A">
        <w:rPr>
          <w:sz w:val="26"/>
          <w:szCs w:val="26"/>
        </w:rPr>
        <w:t>14</w:t>
      </w:r>
      <w:r w:rsidR="00236FF8" w:rsidRPr="0059512A">
        <w:rPr>
          <w:sz w:val="26"/>
          <w:szCs w:val="26"/>
        </w:rPr>
        <w:noBreakHyphen/>
      </w:r>
      <w:r w:rsidR="00847C67" w:rsidRPr="0059512A">
        <w:rPr>
          <w:sz w:val="26"/>
          <w:szCs w:val="26"/>
        </w:rPr>
        <w:t>15</w:t>
      </w:r>
      <w:r w:rsidRPr="0059512A">
        <w:rPr>
          <w:sz w:val="26"/>
          <w:szCs w:val="26"/>
        </w:rPr>
        <w:t>.</w:t>
      </w:r>
    </w:p>
    <w:p w14:paraId="3597E0D8" w14:textId="77777777" w:rsidR="005A5B0C" w:rsidRPr="0059512A" w:rsidRDefault="005A5B0C" w:rsidP="0059512A">
      <w:pPr>
        <w:widowControl/>
        <w:spacing w:line="360" w:lineRule="auto"/>
        <w:ind w:firstLine="1440"/>
        <w:contextualSpacing/>
        <w:rPr>
          <w:sz w:val="26"/>
          <w:szCs w:val="26"/>
        </w:rPr>
      </w:pPr>
    </w:p>
    <w:p w14:paraId="1E998E15" w14:textId="20701862" w:rsidR="005A5B0C" w:rsidRPr="0059512A" w:rsidRDefault="005A5B0C" w:rsidP="00BC0CFA">
      <w:pPr>
        <w:widowControl/>
        <w:spacing w:line="360" w:lineRule="auto"/>
        <w:ind w:firstLine="1440"/>
        <w:contextualSpacing/>
      </w:pPr>
      <w:r w:rsidRPr="0059512A">
        <w:rPr>
          <w:sz w:val="26"/>
          <w:szCs w:val="26"/>
        </w:rPr>
        <w:t xml:space="preserve">We observe that, consistent with the regulatory requirements for </w:t>
      </w:r>
      <w:r w:rsidR="00847C67" w:rsidRPr="0059512A">
        <w:rPr>
          <w:sz w:val="26"/>
          <w:szCs w:val="26"/>
        </w:rPr>
        <w:t>EDC</w:t>
      </w:r>
      <w:r w:rsidRPr="0059512A">
        <w:rPr>
          <w:sz w:val="26"/>
          <w:szCs w:val="26"/>
        </w:rPr>
        <w:t xml:space="preserve">s, </w:t>
      </w:r>
      <w:r w:rsidR="00847C67" w:rsidRPr="0059512A">
        <w:rPr>
          <w:sz w:val="26"/>
          <w:szCs w:val="26"/>
        </w:rPr>
        <w:t>Citizens’</w:t>
      </w:r>
      <w:r w:rsidRPr="0059512A">
        <w:rPr>
          <w:sz w:val="26"/>
          <w:szCs w:val="26"/>
        </w:rPr>
        <w:t xml:space="preserve"> already submits numerous filings to the Commission each year, providing much of the information that I&amp;E seeks.  </w:t>
      </w:r>
      <w:r w:rsidR="00847C67" w:rsidRPr="0059512A">
        <w:rPr>
          <w:sz w:val="26"/>
          <w:szCs w:val="26"/>
        </w:rPr>
        <w:t>Citizens’</w:t>
      </w:r>
      <w:r w:rsidRPr="0059512A">
        <w:rPr>
          <w:sz w:val="26"/>
          <w:szCs w:val="26"/>
        </w:rPr>
        <w:t xml:space="preserve"> R. Exc. at </w:t>
      </w:r>
      <w:r w:rsidR="00847C67" w:rsidRPr="0059512A">
        <w:rPr>
          <w:sz w:val="26"/>
          <w:szCs w:val="26"/>
        </w:rPr>
        <w:t>14-15</w:t>
      </w:r>
      <w:r w:rsidRPr="0059512A">
        <w:rPr>
          <w:sz w:val="26"/>
          <w:szCs w:val="26"/>
        </w:rPr>
        <w:t xml:space="preserve">; </w:t>
      </w:r>
      <w:r w:rsidR="00847C67" w:rsidRPr="0059512A">
        <w:rPr>
          <w:sz w:val="26"/>
          <w:szCs w:val="26"/>
        </w:rPr>
        <w:t>Citizens’</w:t>
      </w:r>
      <w:r w:rsidRPr="0059512A">
        <w:rPr>
          <w:sz w:val="26"/>
          <w:szCs w:val="26"/>
        </w:rPr>
        <w:t xml:space="preserve"> M.B at </w:t>
      </w:r>
      <w:r w:rsidR="00847C67" w:rsidRPr="0059512A">
        <w:rPr>
          <w:sz w:val="26"/>
          <w:szCs w:val="26"/>
        </w:rPr>
        <w:t>117</w:t>
      </w:r>
      <w:r w:rsidRPr="0059512A">
        <w:rPr>
          <w:sz w:val="26"/>
          <w:szCs w:val="26"/>
        </w:rPr>
        <w:t xml:space="preserve">.  Therefore, we adopt the ALJs’ recommendation on this reporting issue.  </w:t>
      </w:r>
    </w:p>
    <w:p w14:paraId="4A575B6D" w14:textId="77777777" w:rsidR="002D0548" w:rsidRPr="0059512A" w:rsidRDefault="002D0548" w:rsidP="00BC0CFA">
      <w:pPr>
        <w:keepNext/>
        <w:keepLines/>
        <w:widowControl/>
        <w:spacing w:line="360" w:lineRule="auto"/>
        <w:rPr>
          <w:sz w:val="26"/>
          <w:szCs w:val="26"/>
        </w:rPr>
      </w:pPr>
    </w:p>
    <w:p w14:paraId="2650CB59" w14:textId="77A9EBC9" w:rsidR="00073000" w:rsidRPr="0059512A" w:rsidRDefault="00073000" w:rsidP="00BC0CFA">
      <w:pPr>
        <w:pStyle w:val="Heading1"/>
        <w:keepNext/>
        <w:rPr>
          <w:szCs w:val="26"/>
        </w:rPr>
      </w:pPr>
      <w:bookmarkStart w:id="163" w:name="_Toc38629304"/>
      <w:r w:rsidRPr="0059512A">
        <w:rPr>
          <w:szCs w:val="26"/>
        </w:rPr>
        <w:t>Conclusion</w:t>
      </w:r>
      <w:bookmarkEnd w:id="163"/>
    </w:p>
    <w:p w14:paraId="167B00AE" w14:textId="1D702AD8" w:rsidR="00A05D2B" w:rsidRPr="0059512A" w:rsidRDefault="00A05D2B" w:rsidP="00BC0CFA">
      <w:pPr>
        <w:keepNext/>
        <w:widowControl/>
        <w:spacing w:line="360" w:lineRule="auto"/>
        <w:rPr>
          <w:sz w:val="26"/>
        </w:rPr>
      </w:pPr>
    </w:p>
    <w:p w14:paraId="73285AD6" w14:textId="6B8C84BA" w:rsidR="006067A0" w:rsidRPr="0059512A" w:rsidRDefault="006067A0" w:rsidP="00BC0CFA">
      <w:pPr>
        <w:keepNext/>
        <w:widowControl/>
        <w:spacing w:line="360" w:lineRule="auto"/>
        <w:ind w:firstLine="1440"/>
        <w:rPr>
          <w:sz w:val="26"/>
        </w:rPr>
      </w:pPr>
      <w:r w:rsidRPr="0059512A">
        <w:rPr>
          <w:color w:val="000000"/>
          <w:sz w:val="26"/>
          <w:szCs w:val="26"/>
        </w:rPr>
        <w:t>We have reviewed the record as developed in this proceeding, including the ALJs’ Recommended Decision and the Exceptions and Replies filed thereto.  Based upon our review, evaluation and analysis of the record evidence, we</w:t>
      </w:r>
      <w:r w:rsidRPr="0059512A">
        <w:rPr>
          <w:sz w:val="26"/>
          <w:szCs w:val="26"/>
        </w:rPr>
        <w:t xml:space="preserve"> shall grant, in part, and deny, in part, the Exceptions filed by Citizens’, I&amp;E and the OCA, and adopt the ALJs’ Recommended Decision, as modified, consistent with this Opinion and Order; </w:t>
      </w:r>
      <w:r w:rsidRPr="0059512A">
        <w:rPr>
          <w:b/>
          <w:sz w:val="26"/>
          <w:szCs w:val="26"/>
        </w:rPr>
        <w:t>THEREFORE,</w:t>
      </w:r>
    </w:p>
    <w:p w14:paraId="6F5595B8" w14:textId="1285A1D6" w:rsidR="00BA0F05" w:rsidRPr="0059512A" w:rsidRDefault="00BA0F05" w:rsidP="0059512A">
      <w:pPr>
        <w:widowControl/>
        <w:spacing w:line="360" w:lineRule="auto"/>
        <w:rPr>
          <w:sz w:val="26"/>
        </w:rPr>
      </w:pPr>
    </w:p>
    <w:p w14:paraId="3DD28D83" w14:textId="77777777" w:rsidR="006067A0" w:rsidRPr="0059512A" w:rsidRDefault="006067A0" w:rsidP="00107A28">
      <w:pPr>
        <w:keepNext/>
        <w:widowControl/>
        <w:spacing w:after="200" w:line="360" w:lineRule="auto"/>
        <w:ind w:firstLine="1440"/>
        <w:contextualSpacing/>
        <w:rPr>
          <w:rFonts w:eastAsiaTheme="minorHAnsi"/>
          <w:b/>
          <w:sz w:val="26"/>
          <w:szCs w:val="26"/>
        </w:rPr>
      </w:pPr>
      <w:r w:rsidRPr="0059512A">
        <w:rPr>
          <w:rFonts w:eastAsiaTheme="minorHAnsi"/>
          <w:b/>
          <w:sz w:val="26"/>
          <w:szCs w:val="26"/>
        </w:rPr>
        <w:lastRenderedPageBreak/>
        <w:t>IT IS ORDERED:</w:t>
      </w:r>
    </w:p>
    <w:p w14:paraId="518BA6CB" w14:textId="77777777" w:rsidR="006067A0" w:rsidRPr="0059512A" w:rsidRDefault="006067A0" w:rsidP="00107A28">
      <w:pPr>
        <w:keepNext/>
        <w:widowControl/>
        <w:spacing w:after="200" w:line="360" w:lineRule="auto"/>
        <w:ind w:firstLine="1440"/>
        <w:contextualSpacing/>
        <w:rPr>
          <w:rFonts w:eastAsiaTheme="minorHAnsi"/>
          <w:sz w:val="26"/>
          <w:szCs w:val="26"/>
        </w:rPr>
      </w:pPr>
    </w:p>
    <w:p w14:paraId="758A892B" w14:textId="52736D59" w:rsidR="006067A0" w:rsidRPr="0059512A" w:rsidRDefault="006067A0" w:rsidP="00107A28">
      <w:pPr>
        <w:keepNext/>
        <w:widowControl/>
        <w:spacing w:after="200" w:line="360" w:lineRule="auto"/>
        <w:ind w:firstLine="1440"/>
        <w:contextualSpacing/>
        <w:rPr>
          <w:rFonts w:eastAsiaTheme="minorHAnsi"/>
          <w:sz w:val="26"/>
          <w:szCs w:val="26"/>
        </w:rPr>
      </w:pPr>
      <w:r w:rsidRPr="0059512A">
        <w:rPr>
          <w:rFonts w:eastAsiaTheme="minorHAnsi"/>
          <w:sz w:val="26"/>
          <w:szCs w:val="26"/>
        </w:rPr>
        <w:t>1.</w:t>
      </w:r>
      <w:r w:rsidRPr="0059512A">
        <w:rPr>
          <w:rFonts w:eastAsiaTheme="minorHAnsi"/>
          <w:sz w:val="26"/>
          <w:szCs w:val="26"/>
        </w:rPr>
        <w:tab/>
        <w:t xml:space="preserve">That the Exceptions of the Bureau of Investigation and Enforcement, filed on March 12, 2020, </w:t>
      </w:r>
      <w:r w:rsidR="00833D56" w:rsidRPr="0059512A">
        <w:rPr>
          <w:rFonts w:eastAsiaTheme="minorHAnsi"/>
          <w:sz w:val="26"/>
          <w:szCs w:val="26"/>
        </w:rPr>
        <w:t>are</w:t>
      </w:r>
      <w:r w:rsidRPr="0059512A">
        <w:rPr>
          <w:rFonts w:eastAsiaTheme="minorHAnsi"/>
          <w:sz w:val="26"/>
          <w:szCs w:val="26"/>
        </w:rPr>
        <w:t xml:space="preserve"> </w:t>
      </w:r>
      <w:r w:rsidR="000A562E" w:rsidRPr="0059512A">
        <w:rPr>
          <w:rFonts w:eastAsiaTheme="minorHAnsi"/>
          <w:sz w:val="26"/>
          <w:szCs w:val="26"/>
        </w:rPr>
        <w:t xml:space="preserve">granted, in part, and </w:t>
      </w:r>
      <w:r w:rsidRPr="0059512A">
        <w:rPr>
          <w:rFonts w:eastAsiaTheme="minorHAnsi"/>
          <w:sz w:val="26"/>
          <w:szCs w:val="26"/>
        </w:rPr>
        <w:t>denied</w:t>
      </w:r>
      <w:r w:rsidR="000A562E" w:rsidRPr="0059512A">
        <w:rPr>
          <w:rFonts w:eastAsiaTheme="minorHAnsi"/>
          <w:sz w:val="26"/>
          <w:szCs w:val="26"/>
        </w:rPr>
        <w:t>, in part</w:t>
      </w:r>
      <w:r w:rsidRPr="0059512A">
        <w:rPr>
          <w:rFonts w:eastAsiaTheme="minorHAnsi"/>
          <w:sz w:val="26"/>
          <w:szCs w:val="26"/>
        </w:rPr>
        <w:t>, consistent with this Opinion and Order.</w:t>
      </w:r>
    </w:p>
    <w:p w14:paraId="5EBD2524" w14:textId="77777777" w:rsidR="006067A0" w:rsidRPr="0059512A" w:rsidRDefault="006067A0" w:rsidP="00107A28">
      <w:pPr>
        <w:widowControl/>
        <w:spacing w:after="200" w:line="360" w:lineRule="auto"/>
        <w:ind w:firstLine="1440"/>
        <w:contextualSpacing/>
        <w:rPr>
          <w:rFonts w:eastAsiaTheme="minorHAnsi"/>
          <w:sz w:val="26"/>
          <w:szCs w:val="26"/>
        </w:rPr>
      </w:pPr>
    </w:p>
    <w:p w14:paraId="1946ACEC" w14:textId="4926A370" w:rsidR="006067A0" w:rsidRPr="0059512A" w:rsidRDefault="006067A0" w:rsidP="00107A28">
      <w:pPr>
        <w:widowControl/>
        <w:spacing w:after="200" w:line="360" w:lineRule="auto"/>
        <w:ind w:firstLine="1440"/>
        <w:contextualSpacing/>
        <w:rPr>
          <w:rFonts w:eastAsiaTheme="minorHAnsi"/>
          <w:sz w:val="26"/>
          <w:szCs w:val="26"/>
        </w:rPr>
      </w:pPr>
      <w:r w:rsidRPr="0059512A">
        <w:rPr>
          <w:rFonts w:eastAsiaTheme="minorHAnsi"/>
          <w:sz w:val="26"/>
          <w:szCs w:val="26"/>
        </w:rPr>
        <w:t>2.</w:t>
      </w:r>
      <w:r w:rsidRPr="0059512A">
        <w:rPr>
          <w:rFonts w:eastAsiaTheme="minorHAnsi"/>
          <w:sz w:val="26"/>
          <w:szCs w:val="26"/>
        </w:rPr>
        <w:tab/>
      </w:r>
      <w:bookmarkStart w:id="164" w:name="_Hlk527442937"/>
      <w:r w:rsidRPr="0059512A">
        <w:rPr>
          <w:rFonts w:eastAsiaTheme="minorHAnsi"/>
          <w:sz w:val="26"/>
          <w:szCs w:val="26"/>
        </w:rPr>
        <w:t>That the Exceptions of</w:t>
      </w:r>
      <w:r w:rsidR="00833D56" w:rsidRPr="0059512A">
        <w:rPr>
          <w:rFonts w:eastAsiaTheme="minorHAnsi"/>
          <w:sz w:val="26"/>
          <w:szCs w:val="26"/>
        </w:rPr>
        <w:t xml:space="preserve"> Citizens’ Electric Company of Lewisburg, PA</w:t>
      </w:r>
      <w:r w:rsidRPr="0059512A">
        <w:rPr>
          <w:rFonts w:eastAsiaTheme="minorHAnsi"/>
          <w:sz w:val="26"/>
          <w:szCs w:val="26"/>
        </w:rPr>
        <w:t xml:space="preserve">, filed on </w:t>
      </w:r>
      <w:r w:rsidR="00833D56" w:rsidRPr="0059512A">
        <w:rPr>
          <w:rFonts w:eastAsiaTheme="minorHAnsi"/>
          <w:sz w:val="26"/>
          <w:szCs w:val="26"/>
        </w:rPr>
        <w:t>March</w:t>
      </w:r>
      <w:r w:rsidRPr="0059512A">
        <w:rPr>
          <w:rFonts w:eastAsiaTheme="minorHAnsi"/>
          <w:sz w:val="26"/>
          <w:szCs w:val="26"/>
        </w:rPr>
        <w:t xml:space="preserve"> 13, 20</w:t>
      </w:r>
      <w:r w:rsidR="00833D56" w:rsidRPr="0059512A">
        <w:rPr>
          <w:rFonts w:eastAsiaTheme="minorHAnsi"/>
          <w:sz w:val="26"/>
          <w:szCs w:val="26"/>
        </w:rPr>
        <w:t>20</w:t>
      </w:r>
      <w:r w:rsidRPr="0059512A">
        <w:rPr>
          <w:rFonts w:eastAsiaTheme="minorHAnsi"/>
          <w:sz w:val="26"/>
          <w:szCs w:val="26"/>
        </w:rPr>
        <w:t>, are granted, in part, and denied, in part, consistent with this Opinion and Order.</w:t>
      </w:r>
    </w:p>
    <w:bookmarkEnd w:id="164"/>
    <w:p w14:paraId="4764A137" w14:textId="77777777" w:rsidR="006067A0" w:rsidRPr="0059512A" w:rsidRDefault="006067A0" w:rsidP="00107A28">
      <w:pPr>
        <w:widowControl/>
        <w:spacing w:after="200" w:line="360" w:lineRule="auto"/>
        <w:ind w:firstLine="1440"/>
        <w:contextualSpacing/>
        <w:rPr>
          <w:rFonts w:eastAsiaTheme="minorHAnsi"/>
          <w:sz w:val="26"/>
          <w:szCs w:val="26"/>
        </w:rPr>
      </w:pPr>
    </w:p>
    <w:p w14:paraId="7A899FC1" w14:textId="1C4AA006" w:rsidR="006067A0" w:rsidRPr="0059512A" w:rsidRDefault="006067A0" w:rsidP="00107A28">
      <w:pPr>
        <w:widowControl/>
        <w:spacing w:after="200" w:line="360" w:lineRule="auto"/>
        <w:ind w:firstLine="1440"/>
        <w:contextualSpacing/>
        <w:rPr>
          <w:rFonts w:eastAsiaTheme="minorHAnsi"/>
          <w:sz w:val="26"/>
          <w:szCs w:val="26"/>
        </w:rPr>
      </w:pPr>
      <w:r w:rsidRPr="0059512A">
        <w:rPr>
          <w:rFonts w:eastAsiaTheme="minorHAnsi"/>
          <w:sz w:val="26"/>
          <w:szCs w:val="26"/>
        </w:rPr>
        <w:t>3.</w:t>
      </w:r>
      <w:r w:rsidRPr="0059512A">
        <w:rPr>
          <w:rFonts w:eastAsiaTheme="minorHAnsi"/>
          <w:sz w:val="26"/>
          <w:szCs w:val="26"/>
        </w:rPr>
        <w:tab/>
      </w:r>
      <w:bookmarkStart w:id="165" w:name="_Hlk527442965"/>
      <w:r w:rsidRPr="0059512A">
        <w:rPr>
          <w:rFonts w:eastAsiaTheme="minorHAnsi"/>
          <w:sz w:val="26"/>
          <w:szCs w:val="26"/>
        </w:rPr>
        <w:t xml:space="preserve">That the Exceptions of the Office of Consumer Advocate, filed on </w:t>
      </w:r>
      <w:r w:rsidR="00833D56" w:rsidRPr="0059512A">
        <w:rPr>
          <w:rFonts w:eastAsiaTheme="minorHAnsi"/>
          <w:sz w:val="26"/>
          <w:szCs w:val="26"/>
        </w:rPr>
        <w:t>March</w:t>
      </w:r>
      <w:r w:rsidRPr="0059512A">
        <w:rPr>
          <w:rFonts w:eastAsiaTheme="minorHAnsi"/>
          <w:sz w:val="26"/>
          <w:szCs w:val="26"/>
        </w:rPr>
        <w:t xml:space="preserve"> 13, 20</w:t>
      </w:r>
      <w:r w:rsidR="00833D56" w:rsidRPr="0059512A">
        <w:rPr>
          <w:rFonts w:eastAsiaTheme="minorHAnsi"/>
          <w:sz w:val="26"/>
          <w:szCs w:val="26"/>
        </w:rPr>
        <w:t>20</w:t>
      </w:r>
      <w:r w:rsidRPr="0059512A">
        <w:rPr>
          <w:rFonts w:eastAsiaTheme="minorHAnsi"/>
          <w:sz w:val="26"/>
          <w:szCs w:val="26"/>
        </w:rPr>
        <w:t>, are granted, in part, and denied, in part, consistent with this Opinion and Order.</w:t>
      </w:r>
    </w:p>
    <w:bookmarkEnd w:id="165"/>
    <w:p w14:paraId="19BCF14F" w14:textId="77777777" w:rsidR="006067A0" w:rsidRPr="0059512A" w:rsidRDefault="006067A0" w:rsidP="00107A28">
      <w:pPr>
        <w:widowControl/>
        <w:spacing w:after="200" w:line="360" w:lineRule="auto"/>
        <w:contextualSpacing/>
        <w:rPr>
          <w:rFonts w:eastAsiaTheme="minorHAnsi"/>
          <w:sz w:val="26"/>
          <w:szCs w:val="26"/>
        </w:rPr>
      </w:pPr>
    </w:p>
    <w:p w14:paraId="00822005" w14:textId="14E1010A" w:rsidR="006067A0" w:rsidRPr="0059512A" w:rsidRDefault="00833D56" w:rsidP="00107A28">
      <w:pPr>
        <w:widowControl/>
        <w:spacing w:after="200" w:line="360" w:lineRule="auto"/>
        <w:ind w:firstLine="1440"/>
        <w:contextualSpacing/>
        <w:rPr>
          <w:rFonts w:eastAsiaTheme="minorHAnsi"/>
          <w:sz w:val="26"/>
          <w:szCs w:val="26"/>
        </w:rPr>
      </w:pPr>
      <w:r w:rsidRPr="0059512A">
        <w:rPr>
          <w:rFonts w:eastAsiaTheme="minorHAnsi"/>
          <w:sz w:val="26"/>
          <w:szCs w:val="26"/>
        </w:rPr>
        <w:t>4</w:t>
      </w:r>
      <w:r w:rsidR="006067A0" w:rsidRPr="0059512A">
        <w:rPr>
          <w:rFonts w:eastAsiaTheme="minorHAnsi"/>
          <w:sz w:val="26"/>
          <w:szCs w:val="26"/>
        </w:rPr>
        <w:t>.</w:t>
      </w:r>
      <w:r w:rsidR="006067A0" w:rsidRPr="0059512A">
        <w:rPr>
          <w:rFonts w:eastAsiaTheme="minorHAnsi"/>
          <w:sz w:val="26"/>
          <w:szCs w:val="26"/>
        </w:rPr>
        <w:tab/>
        <w:t xml:space="preserve">That the Recommended Decision of Administrative Law Judges, Steven K. Haas and </w:t>
      </w:r>
      <w:r w:rsidRPr="0059512A">
        <w:rPr>
          <w:rFonts w:eastAsiaTheme="minorHAnsi"/>
          <w:sz w:val="26"/>
          <w:szCs w:val="26"/>
        </w:rPr>
        <w:t>Benjamin J. Myers</w:t>
      </w:r>
      <w:r w:rsidR="006067A0" w:rsidRPr="0059512A">
        <w:rPr>
          <w:rFonts w:eastAsiaTheme="minorHAnsi"/>
          <w:sz w:val="26"/>
          <w:szCs w:val="26"/>
        </w:rPr>
        <w:t xml:space="preserve">, issued on </w:t>
      </w:r>
      <w:r w:rsidRPr="0059512A">
        <w:rPr>
          <w:rFonts w:eastAsiaTheme="minorHAnsi"/>
          <w:sz w:val="26"/>
          <w:szCs w:val="26"/>
        </w:rPr>
        <w:t>February 28</w:t>
      </w:r>
      <w:r w:rsidR="006067A0" w:rsidRPr="0059512A">
        <w:rPr>
          <w:rFonts w:eastAsiaTheme="minorHAnsi"/>
          <w:sz w:val="26"/>
          <w:szCs w:val="26"/>
        </w:rPr>
        <w:t>, 20</w:t>
      </w:r>
      <w:r w:rsidRPr="0059512A">
        <w:rPr>
          <w:rFonts w:eastAsiaTheme="minorHAnsi"/>
          <w:sz w:val="26"/>
          <w:szCs w:val="26"/>
        </w:rPr>
        <w:t>20</w:t>
      </w:r>
      <w:r w:rsidR="006067A0" w:rsidRPr="0059512A">
        <w:rPr>
          <w:rFonts w:eastAsiaTheme="minorHAnsi"/>
          <w:sz w:val="26"/>
          <w:szCs w:val="26"/>
        </w:rPr>
        <w:t>, is adopted as modified by this Opinion and Order.</w:t>
      </w:r>
    </w:p>
    <w:p w14:paraId="1B131BC3" w14:textId="77777777" w:rsidR="006067A0" w:rsidRPr="0059512A" w:rsidRDefault="006067A0" w:rsidP="00107A28">
      <w:pPr>
        <w:widowControl/>
        <w:spacing w:after="200" w:line="360" w:lineRule="auto"/>
        <w:contextualSpacing/>
        <w:rPr>
          <w:rFonts w:eastAsiaTheme="minorHAnsi"/>
          <w:sz w:val="26"/>
          <w:szCs w:val="26"/>
        </w:rPr>
      </w:pPr>
    </w:p>
    <w:p w14:paraId="471CC74E" w14:textId="69AC9995" w:rsidR="006067A0" w:rsidRPr="0059512A" w:rsidRDefault="00833D56" w:rsidP="00107A28">
      <w:pPr>
        <w:widowControl/>
        <w:spacing w:after="200" w:line="360" w:lineRule="auto"/>
        <w:ind w:firstLine="1440"/>
        <w:contextualSpacing/>
        <w:rPr>
          <w:rFonts w:eastAsiaTheme="minorHAnsi"/>
          <w:sz w:val="26"/>
          <w:szCs w:val="26"/>
        </w:rPr>
      </w:pPr>
      <w:r w:rsidRPr="0059512A">
        <w:rPr>
          <w:rFonts w:eastAsiaTheme="minorHAnsi"/>
          <w:sz w:val="26"/>
          <w:szCs w:val="26"/>
        </w:rPr>
        <w:t>5</w:t>
      </w:r>
      <w:r w:rsidR="006067A0" w:rsidRPr="0059512A">
        <w:rPr>
          <w:rFonts w:eastAsiaTheme="minorHAnsi"/>
          <w:sz w:val="26"/>
          <w:szCs w:val="26"/>
        </w:rPr>
        <w:t>.</w:t>
      </w:r>
      <w:r w:rsidR="006067A0" w:rsidRPr="0059512A">
        <w:rPr>
          <w:rFonts w:eastAsiaTheme="minorHAnsi"/>
          <w:sz w:val="26"/>
          <w:szCs w:val="26"/>
        </w:rPr>
        <w:tab/>
        <w:t xml:space="preserve">That </w:t>
      </w:r>
      <w:bookmarkStart w:id="166" w:name="_Hlk527443567"/>
      <w:r w:rsidRPr="0059512A">
        <w:rPr>
          <w:rFonts w:eastAsiaTheme="minorHAnsi"/>
          <w:sz w:val="26"/>
          <w:szCs w:val="26"/>
        </w:rPr>
        <w:t>Citizens’ Electric Company of Lewisburg, PA</w:t>
      </w:r>
      <w:r w:rsidR="006067A0" w:rsidRPr="0059512A">
        <w:rPr>
          <w:rFonts w:eastAsiaTheme="minorHAnsi"/>
          <w:sz w:val="26"/>
          <w:szCs w:val="26"/>
        </w:rPr>
        <w:t xml:space="preserve"> </w:t>
      </w:r>
      <w:bookmarkEnd w:id="166"/>
      <w:r w:rsidR="006067A0" w:rsidRPr="0059512A">
        <w:rPr>
          <w:rFonts w:eastAsiaTheme="minorHAnsi"/>
          <w:sz w:val="26"/>
          <w:szCs w:val="26"/>
        </w:rPr>
        <w:t>shall not place into effect the rates, rules, and regulations contained in</w:t>
      </w:r>
      <w:r w:rsidRPr="0059512A">
        <w:rPr>
          <w:rFonts w:eastAsiaTheme="minorHAnsi"/>
          <w:sz w:val="26"/>
          <w:szCs w:val="26"/>
        </w:rPr>
        <w:t xml:space="preserve"> Supplement No. 132 to</w:t>
      </w:r>
      <w:r w:rsidR="006067A0" w:rsidRPr="0059512A">
        <w:rPr>
          <w:rFonts w:eastAsiaTheme="minorHAnsi"/>
          <w:sz w:val="26"/>
          <w:szCs w:val="26"/>
        </w:rPr>
        <w:t xml:space="preserve"> Tariff</w:t>
      </w:r>
      <w:r w:rsidRPr="0059512A">
        <w:rPr>
          <w:rFonts w:eastAsiaTheme="minorHAnsi"/>
          <w:sz w:val="26"/>
          <w:szCs w:val="26"/>
        </w:rPr>
        <w:t xml:space="preserve"> </w:t>
      </w:r>
      <w:r w:rsidR="006067A0" w:rsidRPr="0059512A">
        <w:rPr>
          <w:rFonts w:eastAsiaTheme="minorHAnsi"/>
          <w:sz w:val="26"/>
          <w:szCs w:val="26"/>
        </w:rPr>
        <w:t>Electric P</w:t>
      </w:r>
      <w:r w:rsidRPr="0059512A">
        <w:rPr>
          <w:rFonts w:eastAsiaTheme="minorHAnsi"/>
          <w:sz w:val="26"/>
          <w:szCs w:val="26"/>
        </w:rPr>
        <w:t>a</w:t>
      </w:r>
      <w:r w:rsidR="006067A0" w:rsidRPr="0059512A">
        <w:rPr>
          <w:rFonts w:eastAsiaTheme="minorHAnsi"/>
          <w:sz w:val="26"/>
          <w:szCs w:val="26"/>
        </w:rPr>
        <w:t xml:space="preserve">. P.U.C. No. </w:t>
      </w:r>
      <w:r w:rsidRPr="0059512A">
        <w:rPr>
          <w:rFonts w:eastAsiaTheme="minorHAnsi"/>
          <w:sz w:val="26"/>
          <w:szCs w:val="26"/>
        </w:rPr>
        <w:t>14</w:t>
      </w:r>
      <w:r w:rsidR="006067A0" w:rsidRPr="0059512A">
        <w:rPr>
          <w:rFonts w:eastAsiaTheme="minorHAnsi"/>
          <w:sz w:val="26"/>
          <w:szCs w:val="26"/>
        </w:rPr>
        <w:t>, as filed.</w:t>
      </w:r>
    </w:p>
    <w:p w14:paraId="3616DAE8" w14:textId="77777777" w:rsidR="006067A0" w:rsidRPr="0059512A" w:rsidRDefault="006067A0" w:rsidP="00107A28">
      <w:pPr>
        <w:widowControl/>
        <w:spacing w:after="200" w:line="360" w:lineRule="auto"/>
        <w:ind w:firstLine="1440"/>
        <w:contextualSpacing/>
        <w:rPr>
          <w:rFonts w:eastAsiaTheme="minorHAnsi"/>
          <w:sz w:val="26"/>
          <w:szCs w:val="26"/>
        </w:rPr>
      </w:pPr>
    </w:p>
    <w:p w14:paraId="25D8D717" w14:textId="667362A0" w:rsidR="006067A0" w:rsidRPr="0059512A" w:rsidRDefault="00F82C2E" w:rsidP="00107A28">
      <w:pPr>
        <w:widowControl/>
        <w:spacing w:line="360" w:lineRule="auto"/>
        <w:ind w:firstLine="1440"/>
        <w:contextualSpacing/>
        <w:rPr>
          <w:rFonts w:eastAsiaTheme="minorHAnsi"/>
          <w:sz w:val="26"/>
          <w:szCs w:val="26"/>
        </w:rPr>
      </w:pPr>
      <w:r w:rsidRPr="0059512A">
        <w:rPr>
          <w:rFonts w:eastAsiaTheme="minorHAnsi"/>
          <w:sz w:val="26"/>
          <w:szCs w:val="26"/>
        </w:rPr>
        <w:t>6</w:t>
      </w:r>
      <w:r w:rsidR="006067A0" w:rsidRPr="0059512A">
        <w:rPr>
          <w:rFonts w:eastAsiaTheme="minorHAnsi"/>
          <w:sz w:val="26"/>
          <w:szCs w:val="26"/>
        </w:rPr>
        <w:t>.</w:t>
      </w:r>
      <w:r w:rsidR="006067A0" w:rsidRPr="0059512A">
        <w:rPr>
          <w:rFonts w:eastAsiaTheme="minorHAnsi"/>
          <w:sz w:val="26"/>
          <w:szCs w:val="26"/>
        </w:rPr>
        <w:tab/>
        <w:t xml:space="preserve">That </w:t>
      </w:r>
      <w:r w:rsidR="00833D56" w:rsidRPr="0059512A">
        <w:rPr>
          <w:rFonts w:eastAsiaTheme="minorHAnsi"/>
          <w:sz w:val="26"/>
          <w:szCs w:val="26"/>
        </w:rPr>
        <w:t>Citizens’ Electric Company of Lewisburg, PA</w:t>
      </w:r>
      <w:r w:rsidR="006067A0" w:rsidRPr="0059512A">
        <w:rPr>
          <w:rFonts w:eastAsiaTheme="minorHAnsi"/>
          <w:sz w:val="26"/>
          <w:szCs w:val="26"/>
        </w:rPr>
        <w:t xml:space="preserve"> is authorized to file tariffs, tariff supplements and/or tariff revisions, on at least one day’s notice, and pursuant to the provisions of 52 Pa. Code §§ 53.1, </w:t>
      </w:r>
      <w:r w:rsidR="006067A0" w:rsidRPr="0059512A">
        <w:rPr>
          <w:rFonts w:eastAsiaTheme="minorHAnsi"/>
          <w:i/>
          <w:sz w:val="26"/>
          <w:szCs w:val="26"/>
        </w:rPr>
        <w:t>et seq.</w:t>
      </w:r>
      <w:r w:rsidR="006067A0" w:rsidRPr="00107A28">
        <w:rPr>
          <w:rFonts w:eastAsiaTheme="minorHAnsi"/>
          <w:iCs/>
          <w:sz w:val="26"/>
          <w:szCs w:val="26"/>
        </w:rPr>
        <w:t xml:space="preserve">, </w:t>
      </w:r>
      <w:r w:rsidR="006067A0" w:rsidRPr="0059512A">
        <w:rPr>
          <w:rFonts w:eastAsiaTheme="minorHAnsi"/>
          <w:sz w:val="26"/>
          <w:szCs w:val="26"/>
        </w:rPr>
        <w:t>and 53.101, designed to produce an annual distribution rate revenue increase of approximately $</w:t>
      </w:r>
      <w:r w:rsidR="000A562E" w:rsidRPr="0059512A">
        <w:rPr>
          <w:rFonts w:eastAsiaTheme="minorHAnsi"/>
          <w:sz w:val="26"/>
          <w:szCs w:val="26"/>
        </w:rPr>
        <w:t>494,749</w:t>
      </w:r>
      <w:r w:rsidR="006067A0" w:rsidRPr="0059512A">
        <w:rPr>
          <w:rFonts w:eastAsiaTheme="minorHAnsi"/>
          <w:sz w:val="26"/>
          <w:szCs w:val="26"/>
        </w:rPr>
        <w:t xml:space="preserve">, to become effective for service rendered on and after </w:t>
      </w:r>
      <w:r w:rsidRPr="0059512A">
        <w:rPr>
          <w:rFonts w:eastAsiaTheme="minorHAnsi"/>
          <w:sz w:val="26"/>
          <w:szCs w:val="26"/>
        </w:rPr>
        <w:t>May 1</w:t>
      </w:r>
      <w:r w:rsidR="006067A0" w:rsidRPr="0059512A">
        <w:rPr>
          <w:rFonts w:eastAsiaTheme="minorHAnsi"/>
          <w:sz w:val="26"/>
          <w:szCs w:val="26"/>
        </w:rPr>
        <w:t>, 20</w:t>
      </w:r>
      <w:r w:rsidRPr="0059512A">
        <w:rPr>
          <w:rFonts w:eastAsiaTheme="minorHAnsi"/>
          <w:sz w:val="26"/>
          <w:szCs w:val="26"/>
        </w:rPr>
        <w:t>20</w:t>
      </w:r>
      <w:r w:rsidR="006067A0" w:rsidRPr="0059512A">
        <w:rPr>
          <w:rFonts w:eastAsiaTheme="minorHAnsi"/>
          <w:sz w:val="26"/>
          <w:szCs w:val="26"/>
        </w:rPr>
        <w:t>.</w:t>
      </w:r>
    </w:p>
    <w:p w14:paraId="0AC05AE9" w14:textId="77777777" w:rsidR="006067A0" w:rsidRPr="0059512A" w:rsidRDefault="006067A0" w:rsidP="00107A28">
      <w:pPr>
        <w:widowControl/>
        <w:spacing w:line="360" w:lineRule="auto"/>
        <w:ind w:firstLine="1440"/>
        <w:contextualSpacing/>
        <w:rPr>
          <w:rFonts w:eastAsiaTheme="minorHAnsi"/>
          <w:sz w:val="26"/>
          <w:szCs w:val="26"/>
        </w:rPr>
      </w:pPr>
    </w:p>
    <w:p w14:paraId="106C500C" w14:textId="007376B1" w:rsidR="006067A0" w:rsidRPr="0059512A" w:rsidRDefault="00F82C2E" w:rsidP="00107A28">
      <w:pPr>
        <w:widowControl/>
        <w:spacing w:line="360" w:lineRule="auto"/>
        <w:ind w:firstLine="1440"/>
        <w:contextualSpacing/>
        <w:rPr>
          <w:rFonts w:eastAsiaTheme="minorHAnsi"/>
          <w:sz w:val="26"/>
          <w:szCs w:val="26"/>
        </w:rPr>
      </w:pPr>
      <w:r w:rsidRPr="0059512A">
        <w:rPr>
          <w:rFonts w:eastAsiaTheme="minorHAnsi"/>
          <w:sz w:val="26"/>
          <w:szCs w:val="26"/>
        </w:rPr>
        <w:lastRenderedPageBreak/>
        <w:t>7</w:t>
      </w:r>
      <w:r w:rsidR="006067A0" w:rsidRPr="0059512A">
        <w:rPr>
          <w:rFonts w:eastAsiaTheme="minorHAnsi"/>
          <w:sz w:val="26"/>
          <w:szCs w:val="26"/>
        </w:rPr>
        <w:t>.</w:t>
      </w:r>
      <w:r w:rsidR="006067A0" w:rsidRPr="0059512A">
        <w:rPr>
          <w:rFonts w:eastAsiaTheme="minorHAnsi"/>
          <w:sz w:val="26"/>
          <w:szCs w:val="26"/>
        </w:rPr>
        <w:tab/>
        <w:t xml:space="preserve">That </w:t>
      </w:r>
      <w:r w:rsidRPr="0059512A">
        <w:rPr>
          <w:rFonts w:eastAsiaTheme="minorHAnsi"/>
          <w:sz w:val="26"/>
          <w:szCs w:val="26"/>
        </w:rPr>
        <w:t>Citizens’ Electric Company of Lewisburg, PA</w:t>
      </w:r>
      <w:r w:rsidR="006067A0" w:rsidRPr="0059512A">
        <w:rPr>
          <w:rFonts w:eastAsiaTheme="minorHAnsi"/>
          <w:sz w:val="26"/>
          <w:szCs w:val="26"/>
        </w:rPr>
        <w:t xml:space="preserve"> shall file detailed calculations with its tariff filing, which shall demonstrate to the Commission’s satisfaction that the filed tariff adjustments comply with the provisions of this final Opinion and Order.</w:t>
      </w:r>
    </w:p>
    <w:p w14:paraId="2647A711" w14:textId="77777777" w:rsidR="006067A0" w:rsidRPr="0059512A" w:rsidRDefault="006067A0" w:rsidP="00107A28">
      <w:pPr>
        <w:widowControl/>
        <w:spacing w:after="200" w:line="360" w:lineRule="auto"/>
        <w:ind w:firstLine="1440"/>
        <w:contextualSpacing/>
        <w:rPr>
          <w:rFonts w:eastAsiaTheme="minorHAnsi"/>
          <w:sz w:val="26"/>
          <w:szCs w:val="26"/>
        </w:rPr>
      </w:pPr>
    </w:p>
    <w:p w14:paraId="25E0EE53" w14:textId="6EAB9332" w:rsidR="006067A0" w:rsidRPr="0059512A" w:rsidRDefault="00F82C2E" w:rsidP="00107A28">
      <w:pPr>
        <w:widowControl/>
        <w:spacing w:line="360" w:lineRule="auto"/>
        <w:ind w:firstLine="1440"/>
        <w:contextualSpacing/>
        <w:rPr>
          <w:rFonts w:eastAsiaTheme="minorHAnsi"/>
          <w:sz w:val="26"/>
          <w:szCs w:val="26"/>
        </w:rPr>
      </w:pPr>
      <w:r w:rsidRPr="0059512A">
        <w:rPr>
          <w:rFonts w:eastAsiaTheme="minorHAnsi"/>
          <w:sz w:val="26"/>
          <w:szCs w:val="26"/>
        </w:rPr>
        <w:t>8</w:t>
      </w:r>
      <w:r w:rsidR="006067A0" w:rsidRPr="0059512A">
        <w:rPr>
          <w:rFonts w:eastAsiaTheme="minorHAnsi"/>
          <w:sz w:val="26"/>
          <w:szCs w:val="26"/>
        </w:rPr>
        <w:t>.</w:t>
      </w:r>
      <w:r w:rsidR="006067A0" w:rsidRPr="0059512A">
        <w:rPr>
          <w:rFonts w:eastAsiaTheme="minorHAnsi"/>
          <w:sz w:val="26"/>
          <w:szCs w:val="26"/>
        </w:rPr>
        <w:tab/>
        <w:t xml:space="preserve">That </w:t>
      </w:r>
      <w:r w:rsidRPr="0059512A">
        <w:rPr>
          <w:rFonts w:eastAsiaTheme="minorHAnsi"/>
          <w:sz w:val="26"/>
          <w:szCs w:val="26"/>
        </w:rPr>
        <w:t>Citizens’ Electric Company of Lewisburg, PA</w:t>
      </w:r>
      <w:r w:rsidR="006067A0" w:rsidRPr="0059512A">
        <w:rPr>
          <w:rFonts w:eastAsiaTheme="minorHAnsi"/>
          <w:sz w:val="26"/>
          <w:szCs w:val="26"/>
        </w:rPr>
        <w:t xml:space="preserve"> shall allocate the authorized increase in operating distribution revenue to each customer class, and rate schedule within each customer class, in the manner prescribed in this Opinion and Order.</w:t>
      </w:r>
    </w:p>
    <w:p w14:paraId="2B9E53AE" w14:textId="72BAA925" w:rsidR="006067A0" w:rsidRPr="0059512A" w:rsidRDefault="006067A0" w:rsidP="00107A28">
      <w:pPr>
        <w:widowControl/>
        <w:spacing w:line="360" w:lineRule="auto"/>
        <w:rPr>
          <w:sz w:val="26"/>
        </w:rPr>
      </w:pPr>
    </w:p>
    <w:p w14:paraId="4546942D" w14:textId="05219412" w:rsidR="006067A0" w:rsidRPr="0059512A" w:rsidRDefault="00F82C2E" w:rsidP="00107A28">
      <w:pPr>
        <w:widowControl/>
        <w:spacing w:after="200" w:line="360" w:lineRule="auto"/>
        <w:ind w:firstLine="1440"/>
        <w:contextualSpacing/>
        <w:rPr>
          <w:rFonts w:eastAsiaTheme="minorHAnsi"/>
          <w:sz w:val="26"/>
          <w:szCs w:val="26"/>
        </w:rPr>
      </w:pPr>
      <w:r w:rsidRPr="0059512A">
        <w:rPr>
          <w:rFonts w:eastAsiaTheme="minorHAnsi"/>
          <w:sz w:val="26"/>
          <w:szCs w:val="26"/>
        </w:rPr>
        <w:t>9</w:t>
      </w:r>
      <w:r w:rsidR="006067A0" w:rsidRPr="0059512A">
        <w:rPr>
          <w:rFonts w:eastAsiaTheme="minorHAnsi"/>
          <w:sz w:val="26"/>
          <w:szCs w:val="26"/>
        </w:rPr>
        <w:t>.</w:t>
      </w:r>
      <w:r w:rsidR="006067A0" w:rsidRPr="0059512A">
        <w:rPr>
          <w:rFonts w:eastAsiaTheme="minorHAnsi"/>
          <w:sz w:val="26"/>
          <w:szCs w:val="26"/>
        </w:rPr>
        <w:tab/>
        <w:t xml:space="preserve">That, upon acceptance and approval by the Commission of the tariff supplements filed by </w:t>
      </w:r>
      <w:r w:rsidRPr="0059512A">
        <w:rPr>
          <w:rFonts w:eastAsiaTheme="minorHAnsi"/>
          <w:sz w:val="26"/>
          <w:szCs w:val="26"/>
        </w:rPr>
        <w:t>Citizens’ Electric Company of Lewisburg, PA</w:t>
      </w:r>
      <w:r w:rsidR="006067A0" w:rsidRPr="0059512A">
        <w:rPr>
          <w:rFonts w:eastAsiaTheme="minorHAnsi"/>
          <w:sz w:val="26"/>
          <w:szCs w:val="26"/>
        </w:rPr>
        <w:t xml:space="preserve">, consistent with </w:t>
      </w:r>
      <w:r w:rsidR="0008626D" w:rsidRPr="0059512A">
        <w:rPr>
          <w:rFonts w:eastAsiaTheme="minorHAnsi"/>
          <w:sz w:val="26"/>
          <w:szCs w:val="26"/>
        </w:rPr>
        <w:t>this Opinion and Order</w:t>
      </w:r>
      <w:r w:rsidR="006067A0" w:rsidRPr="0059512A">
        <w:rPr>
          <w:rFonts w:eastAsiaTheme="minorHAnsi"/>
          <w:sz w:val="26"/>
          <w:szCs w:val="26"/>
        </w:rPr>
        <w:t>, the investigation at Docket R-</w:t>
      </w:r>
      <w:r w:rsidRPr="0059512A">
        <w:rPr>
          <w:rFonts w:eastAsiaTheme="minorHAnsi"/>
          <w:sz w:val="26"/>
          <w:szCs w:val="26"/>
        </w:rPr>
        <w:t>2019-3008212</w:t>
      </w:r>
      <w:r w:rsidR="006067A0" w:rsidRPr="0059512A">
        <w:rPr>
          <w:rFonts w:eastAsiaTheme="minorHAnsi"/>
          <w:sz w:val="26"/>
          <w:szCs w:val="26"/>
        </w:rPr>
        <w:t xml:space="preserve"> be marked closed.</w:t>
      </w:r>
    </w:p>
    <w:p w14:paraId="3FAF4A81" w14:textId="77777777" w:rsidR="006067A0" w:rsidRPr="0059512A" w:rsidRDefault="006067A0" w:rsidP="00107A28">
      <w:pPr>
        <w:widowControl/>
        <w:spacing w:after="200" w:line="360" w:lineRule="auto"/>
        <w:ind w:firstLine="1440"/>
        <w:contextualSpacing/>
        <w:rPr>
          <w:rFonts w:eastAsiaTheme="minorHAnsi"/>
          <w:sz w:val="26"/>
          <w:szCs w:val="26"/>
        </w:rPr>
      </w:pPr>
    </w:p>
    <w:p w14:paraId="42CA0DA1" w14:textId="2EAC6065" w:rsidR="006067A0" w:rsidRPr="0059512A" w:rsidRDefault="006067A0" w:rsidP="00107A28">
      <w:pPr>
        <w:widowControl/>
        <w:spacing w:line="360" w:lineRule="auto"/>
        <w:ind w:firstLine="1440"/>
        <w:contextualSpacing/>
        <w:rPr>
          <w:rFonts w:eastAsiaTheme="minorHAnsi"/>
          <w:sz w:val="26"/>
          <w:szCs w:val="26"/>
        </w:rPr>
      </w:pPr>
      <w:r w:rsidRPr="0059512A">
        <w:rPr>
          <w:rFonts w:eastAsiaTheme="minorHAnsi"/>
          <w:sz w:val="26"/>
          <w:szCs w:val="26"/>
        </w:rPr>
        <w:t>1</w:t>
      </w:r>
      <w:r w:rsidR="00F82C2E" w:rsidRPr="0059512A">
        <w:rPr>
          <w:rFonts w:eastAsiaTheme="minorHAnsi"/>
          <w:sz w:val="26"/>
          <w:szCs w:val="26"/>
        </w:rPr>
        <w:t>0</w:t>
      </w:r>
      <w:r w:rsidRPr="0059512A">
        <w:rPr>
          <w:rFonts w:eastAsiaTheme="minorHAnsi"/>
          <w:sz w:val="26"/>
          <w:szCs w:val="26"/>
        </w:rPr>
        <w:t>.</w:t>
      </w:r>
      <w:r w:rsidRPr="0059512A">
        <w:rPr>
          <w:rFonts w:eastAsiaTheme="minorHAnsi"/>
          <w:sz w:val="26"/>
          <w:szCs w:val="26"/>
        </w:rPr>
        <w:tab/>
        <w:t xml:space="preserve">That </w:t>
      </w:r>
      <w:r w:rsidR="00F82C2E" w:rsidRPr="0059512A">
        <w:rPr>
          <w:rFonts w:eastAsiaTheme="minorHAnsi"/>
          <w:sz w:val="26"/>
          <w:szCs w:val="26"/>
        </w:rPr>
        <w:t>Citizens’ Electric Company of Lewisburg, PA</w:t>
      </w:r>
      <w:r w:rsidRPr="0059512A">
        <w:rPr>
          <w:rFonts w:eastAsiaTheme="minorHAnsi"/>
          <w:sz w:val="26"/>
          <w:szCs w:val="26"/>
        </w:rPr>
        <w:t xml:space="preserve"> shall comply with all directives, conclusions, and recommendations contained in the body of this Opinion and Order, which are not the subject of an individual directive in these ordering paragraphs, as fully as if they were the subject of a specific ordering paragraph.</w:t>
      </w:r>
    </w:p>
    <w:p w14:paraId="5C79C05D" w14:textId="77777777" w:rsidR="006067A0" w:rsidRPr="0059512A" w:rsidRDefault="006067A0" w:rsidP="00107A28">
      <w:pPr>
        <w:widowControl/>
        <w:spacing w:after="200" w:line="360" w:lineRule="auto"/>
        <w:ind w:firstLine="1440"/>
        <w:contextualSpacing/>
        <w:rPr>
          <w:rFonts w:eastAsiaTheme="minorHAnsi"/>
          <w:sz w:val="26"/>
          <w:szCs w:val="26"/>
        </w:rPr>
      </w:pPr>
    </w:p>
    <w:p w14:paraId="45D598AF" w14:textId="0467813C" w:rsidR="006067A0" w:rsidRPr="0059512A" w:rsidRDefault="006067A0" w:rsidP="00107A28">
      <w:pPr>
        <w:widowControl/>
        <w:spacing w:after="200" w:line="360" w:lineRule="auto"/>
        <w:ind w:firstLine="1440"/>
        <w:contextualSpacing/>
        <w:rPr>
          <w:rFonts w:eastAsiaTheme="minorHAnsi"/>
          <w:sz w:val="26"/>
          <w:szCs w:val="26"/>
        </w:rPr>
      </w:pPr>
      <w:r w:rsidRPr="0059512A">
        <w:rPr>
          <w:rFonts w:eastAsiaTheme="minorHAnsi"/>
          <w:sz w:val="26"/>
          <w:szCs w:val="26"/>
        </w:rPr>
        <w:t>1</w:t>
      </w:r>
      <w:r w:rsidR="00F82C2E" w:rsidRPr="0059512A">
        <w:rPr>
          <w:rFonts w:eastAsiaTheme="minorHAnsi"/>
          <w:sz w:val="26"/>
          <w:szCs w:val="26"/>
        </w:rPr>
        <w:t>1</w:t>
      </w:r>
      <w:r w:rsidRPr="0059512A">
        <w:rPr>
          <w:rFonts w:eastAsiaTheme="minorHAnsi"/>
          <w:sz w:val="26"/>
          <w:szCs w:val="26"/>
        </w:rPr>
        <w:t>.</w:t>
      </w:r>
      <w:r w:rsidRPr="0059512A">
        <w:rPr>
          <w:rFonts w:eastAsiaTheme="minorHAnsi"/>
          <w:sz w:val="26"/>
          <w:szCs w:val="26"/>
        </w:rPr>
        <w:tab/>
        <w:t xml:space="preserve">That the </w:t>
      </w:r>
      <w:r w:rsidR="00782CB8">
        <w:rPr>
          <w:rFonts w:eastAsiaTheme="minorHAnsi"/>
          <w:sz w:val="26"/>
          <w:szCs w:val="26"/>
        </w:rPr>
        <w:t>C</w:t>
      </w:r>
      <w:r w:rsidRPr="0059512A">
        <w:rPr>
          <w:rFonts w:eastAsiaTheme="minorHAnsi"/>
          <w:sz w:val="26"/>
          <w:szCs w:val="26"/>
        </w:rPr>
        <w:t>omplaint filed by the Office of Consumer Advocate in this proceeding at Docket Number C-201</w:t>
      </w:r>
      <w:r w:rsidR="00F82C2E" w:rsidRPr="0059512A">
        <w:rPr>
          <w:rFonts w:eastAsiaTheme="minorHAnsi"/>
          <w:sz w:val="26"/>
          <w:szCs w:val="26"/>
        </w:rPr>
        <w:t>9-3011849</w:t>
      </w:r>
      <w:r w:rsidRPr="0059512A">
        <w:rPr>
          <w:rFonts w:eastAsiaTheme="minorHAnsi"/>
          <w:sz w:val="26"/>
          <w:szCs w:val="26"/>
        </w:rPr>
        <w:t xml:space="preserve"> be dismissed and marked closed. </w:t>
      </w:r>
    </w:p>
    <w:p w14:paraId="783110D2" w14:textId="77777777" w:rsidR="000F1318" w:rsidRPr="0059512A" w:rsidRDefault="000F1318" w:rsidP="0059512A">
      <w:pPr>
        <w:widowControl/>
        <w:rPr>
          <w:sz w:val="26"/>
          <w:szCs w:val="26"/>
        </w:rPr>
      </w:pPr>
    </w:p>
    <w:p w14:paraId="0D5F48A5" w14:textId="72D3920A" w:rsidR="000F1318" w:rsidRPr="0059512A" w:rsidRDefault="00866454" w:rsidP="000F264D">
      <w:pPr>
        <w:widowControl/>
        <w:spacing w:line="360" w:lineRule="auto"/>
        <w:ind w:firstLine="5040"/>
        <w:rPr>
          <w:sz w:val="26"/>
          <w:szCs w:val="26"/>
        </w:rPr>
      </w:pPr>
      <w:r>
        <w:rPr>
          <w:rFonts w:ascii="Arial" w:hAnsi="Arial" w:cs="Arial"/>
          <w:noProof/>
          <w:sz w:val="24"/>
          <w:szCs w:val="24"/>
        </w:rPr>
        <w:drawing>
          <wp:anchor distT="0" distB="0" distL="114300" distR="114300" simplePos="0" relativeHeight="251659264" behindDoc="1" locked="0" layoutInCell="1" allowOverlap="1" wp14:anchorId="7A9CA369" wp14:editId="3E1B31E0">
            <wp:simplePos x="0" y="0"/>
            <wp:positionH relativeFrom="column">
              <wp:posOffset>3194050</wp:posOffset>
            </wp:positionH>
            <wp:positionV relativeFrom="paragraph">
              <wp:posOffset>208280</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r w:rsidR="000F1318" w:rsidRPr="0059512A">
        <w:rPr>
          <w:b/>
          <w:sz w:val="26"/>
          <w:szCs w:val="26"/>
        </w:rPr>
        <w:t>BY THE COMMISSION,</w:t>
      </w:r>
    </w:p>
    <w:p w14:paraId="1B729B44" w14:textId="026EE1A8" w:rsidR="000F1318" w:rsidRPr="0059512A" w:rsidRDefault="000F1318" w:rsidP="000F264D">
      <w:pPr>
        <w:widowControl/>
        <w:spacing w:line="360" w:lineRule="auto"/>
        <w:ind w:firstLine="5040"/>
        <w:rPr>
          <w:sz w:val="26"/>
          <w:szCs w:val="26"/>
        </w:rPr>
      </w:pPr>
    </w:p>
    <w:p w14:paraId="2665205C" w14:textId="77777777" w:rsidR="000F1318" w:rsidRPr="0059512A" w:rsidRDefault="000F1318" w:rsidP="000F264D">
      <w:pPr>
        <w:widowControl/>
        <w:ind w:firstLine="5040"/>
        <w:rPr>
          <w:sz w:val="26"/>
          <w:szCs w:val="26"/>
        </w:rPr>
      </w:pPr>
    </w:p>
    <w:p w14:paraId="10972E82" w14:textId="77777777" w:rsidR="00600F6F" w:rsidRPr="0059512A" w:rsidRDefault="00600F6F" w:rsidP="000F264D">
      <w:pPr>
        <w:widowControl/>
        <w:ind w:firstLine="5040"/>
        <w:rPr>
          <w:sz w:val="26"/>
          <w:szCs w:val="26"/>
        </w:rPr>
      </w:pPr>
      <w:r w:rsidRPr="0059512A">
        <w:rPr>
          <w:sz w:val="26"/>
          <w:szCs w:val="26"/>
        </w:rPr>
        <w:t>Rosemary Chiavetta</w:t>
      </w:r>
    </w:p>
    <w:p w14:paraId="12DFF6D7" w14:textId="77777777" w:rsidR="000F1318" w:rsidRPr="0059512A" w:rsidRDefault="000F1318" w:rsidP="000F264D">
      <w:pPr>
        <w:widowControl/>
        <w:ind w:firstLine="5040"/>
        <w:rPr>
          <w:sz w:val="26"/>
          <w:szCs w:val="26"/>
        </w:rPr>
      </w:pPr>
      <w:r w:rsidRPr="0059512A">
        <w:rPr>
          <w:sz w:val="26"/>
          <w:szCs w:val="26"/>
        </w:rPr>
        <w:t>Secretary</w:t>
      </w:r>
    </w:p>
    <w:p w14:paraId="5CF6DD13" w14:textId="77777777" w:rsidR="000F264D" w:rsidRDefault="000F264D" w:rsidP="000F264D">
      <w:pPr>
        <w:widowControl/>
        <w:rPr>
          <w:sz w:val="26"/>
          <w:szCs w:val="26"/>
        </w:rPr>
      </w:pPr>
    </w:p>
    <w:p w14:paraId="58541BBE" w14:textId="354CC38E" w:rsidR="000F1318" w:rsidRPr="0059512A" w:rsidRDefault="000F1318" w:rsidP="000F264D">
      <w:pPr>
        <w:widowControl/>
        <w:rPr>
          <w:sz w:val="26"/>
          <w:szCs w:val="26"/>
        </w:rPr>
      </w:pPr>
      <w:r w:rsidRPr="0059512A">
        <w:rPr>
          <w:sz w:val="26"/>
          <w:szCs w:val="26"/>
        </w:rPr>
        <w:t>(SEAL)</w:t>
      </w:r>
    </w:p>
    <w:p w14:paraId="2DB92430" w14:textId="77777777" w:rsidR="000F1318" w:rsidRPr="0059512A" w:rsidRDefault="000F1318" w:rsidP="0059512A">
      <w:pPr>
        <w:widowControl/>
        <w:rPr>
          <w:sz w:val="26"/>
          <w:szCs w:val="26"/>
        </w:rPr>
      </w:pPr>
    </w:p>
    <w:p w14:paraId="5DD592A5" w14:textId="1E1E2D06" w:rsidR="000D7B91" w:rsidRPr="0059512A" w:rsidRDefault="00F248A4" w:rsidP="0059512A">
      <w:pPr>
        <w:widowControl/>
        <w:rPr>
          <w:sz w:val="26"/>
          <w:szCs w:val="26"/>
        </w:rPr>
      </w:pPr>
      <w:r w:rsidRPr="0059512A">
        <w:rPr>
          <w:sz w:val="26"/>
          <w:szCs w:val="26"/>
        </w:rPr>
        <w:t>ORDER ADOPTED:</w:t>
      </w:r>
      <w:r w:rsidR="00776AD2" w:rsidRPr="0059512A">
        <w:rPr>
          <w:sz w:val="26"/>
          <w:szCs w:val="26"/>
        </w:rPr>
        <w:t xml:space="preserve">  </w:t>
      </w:r>
      <w:r w:rsidR="0092657D" w:rsidRPr="0059512A">
        <w:rPr>
          <w:sz w:val="26"/>
          <w:szCs w:val="26"/>
        </w:rPr>
        <w:t>April 16</w:t>
      </w:r>
      <w:r w:rsidR="003F19BF" w:rsidRPr="0059512A">
        <w:rPr>
          <w:sz w:val="26"/>
          <w:szCs w:val="26"/>
        </w:rPr>
        <w:t>, 20</w:t>
      </w:r>
      <w:r w:rsidR="00B104A2" w:rsidRPr="0059512A">
        <w:rPr>
          <w:sz w:val="26"/>
          <w:szCs w:val="26"/>
        </w:rPr>
        <w:t>20</w:t>
      </w:r>
    </w:p>
    <w:p w14:paraId="77DBB4DA" w14:textId="77777777" w:rsidR="000D7B91" w:rsidRPr="0059512A" w:rsidRDefault="000D7B91" w:rsidP="0059512A">
      <w:pPr>
        <w:widowControl/>
        <w:rPr>
          <w:sz w:val="26"/>
          <w:szCs w:val="26"/>
        </w:rPr>
      </w:pPr>
    </w:p>
    <w:p w14:paraId="57DFA623" w14:textId="7F621530" w:rsidR="00BC0CFA" w:rsidRDefault="000D7B91" w:rsidP="0059512A">
      <w:pPr>
        <w:widowControl/>
        <w:rPr>
          <w:sz w:val="26"/>
          <w:szCs w:val="26"/>
        </w:rPr>
        <w:sectPr w:rsidR="00BC0CFA" w:rsidSect="002B795C">
          <w:footerReference w:type="first" r:id="rId22"/>
          <w:pgSz w:w="12240" w:h="15840"/>
          <w:pgMar w:top="1440" w:right="1440" w:bottom="1440" w:left="1440" w:header="720" w:footer="720" w:gutter="0"/>
          <w:pgNumType w:start="1"/>
          <w:cols w:space="720"/>
          <w:titlePg/>
          <w:docGrid w:linePitch="360"/>
        </w:sectPr>
      </w:pPr>
      <w:r w:rsidRPr="0059512A">
        <w:rPr>
          <w:sz w:val="26"/>
          <w:szCs w:val="26"/>
        </w:rPr>
        <w:t>O</w:t>
      </w:r>
      <w:r w:rsidR="000F1318" w:rsidRPr="0059512A">
        <w:rPr>
          <w:sz w:val="26"/>
          <w:szCs w:val="26"/>
        </w:rPr>
        <w:t>RDER ENTERED:</w:t>
      </w:r>
      <w:r w:rsidR="000F1318" w:rsidRPr="00027664">
        <w:rPr>
          <w:sz w:val="26"/>
          <w:szCs w:val="26"/>
        </w:rPr>
        <w:t xml:space="preserve">  </w:t>
      </w:r>
      <w:r w:rsidR="00866454">
        <w:rPr>
          <w:sz w:val="26"/>
          <w:szCs w:val="26"/>
        </w:rPr>
        <w:t xml:space="preserve"> April 27, 2020</w:t>
      </w:r>
    </w:p>
    <w:p w14:paraId="07335A11" w14:textId="77777777" w:rsidR="007D3C2A" w:rsidRDefault="007D3C2A" w:rsidP="00533645">
      <w:pPr>
        <w:widowControl/>
        <w:rPr>
          <w:sz w:val="26"/>
          <w:szCs w:val="26"/>
        </w:rPr>
      </w:pPr>
    </w:p>
    <w:p w14:paraId="432D69A1" w14:textId="403A174F" w:rsidR="001D7C9B" w:rsidRDefault="001D7C9B" w:rsidP="00533645">
      <w:pPr>
        <w:widowControl/>
        <w:spacing w:after="200" w:line="276" w:lineRule="auto"/>
        <w:contextualSpacing/>
        <w:jc w:val="center"/>
        <w:rPr>
          <w:rFonts w:eastAsiaTheme="minorHAnsi"/>
          <w:b/>
          <w:sz w:val="26"/>
          <w:szCs w:val="26"/>
        </w:rPr>
      </w:pPr>
    </w:p>
    <w:p w14:paraId="0F9D1907" w14:textId="18D5E787" w:rsidR="001D7C9B" w:rsidRDefault="001D7C9B" w:rsidP="00533645">
      <w:pPr>
        <w:widowControl/>
        <w:spacing w:after="200" w:line="276" w:lineRule="auto"/>
        <w:contextualSpacing/>
        <w:jc w:val="center"/>
        <w:rPr>
          <w:rFonts w:eastAsiaTheme="minorHAnsi"/>
          <w:b/>
          <w:sz w:val="26"/>
          <w:szCs w:val="26"/>
        </w:rPr>
      </w:pPr>
    </w:p>
    <w:p w14:paraId="611FF28B" w14:textId="21A8A9CC" w:rsidR="001D7C9B" w:rsidRDefault="001D7C9B" w:rsidP="00533645">
      <w:pPr>
        <w:widowControl/>
        <w:spacing w:after="200" w:line="276" w:lineRule="auto"/>
        <w:contextualSpacing/>
        <w:jc w:val="center"/>
        <w:rPr>
          <w:rFonts w:eastAsiaTheme="minorHAnsi"/>
          <w:b/>
          <w:sz w:val="26"/>
          <w:szCs w:val="26"/>
        </w:rPr>
      </w:pPr>
    </w:p>
    <w:p w14:paraId="5E86AEC8" w14:textId="6FEC06EB" w:rsidR="001D7C9B" w:rsidRDefault="001D7C9B" w:rsidP="00533645">
      <w:pPr>
        <w:widowControl/>
        <w:spacing w:after="200" w:line="276" w:lineRule="auto"/>
        <w:contextualSpacing/>
        <w:jc w:val="center"/>
        <w:rPr>
          <w:rFonts w:eastAsiaTheme="minorHAnsi"/>
          <w:b/>
          <w:sz w:val="26"/>
          <w:szCs w:val="26"/>
        </w:rPr>
      </w:pPr>
    </w:p>
    <w:p w14:paraId="4CD26486" w14:textId="3E674BF6" w:rsidR="001D7C9B" w:rsidRDefault="001D7C9B" w:rsidP="00533645">
      <w:pPr>
        <w:widowControl/>
        <w:spacing w:after="200" w:line="276" w:lineRule="auto"/>
        <w:contextualSpacing/>
        <w:jc w:val="center"/>
        <w:rPr>
          <w:rFonts w:eastAsiaTheme="minorHAnsi"/>
          <w:b/>
          <w:sz w:val="26"/>
          <w:szCs w:val="26"/>
        </w:rPr>
      </w:pPr>
    </w:p>
    <w:p w14:paraId="1BD9E9B2" w14:textId="77777777" w:rsidR="001D7C9B" w:rsidRDefault="001D7C9B" w:rsidP="00533645">
      <w:pPr>
        <w:widowControl/>
        <w:spacing w:after="200" w:line="276" w:lineRule="auto"/>
        <w:contextualSpacing/>
        <w:jc w:val="center"/>
        <w:rPr>
          <w:rFonts w:eastAsiaTheme="minorHAnsi"/>
          <w:b/>
          <w:sz w:val="26"/>
          <w:szCs w:val="26"/>
        </w:rPr>
      </w:pPr>
    </w:p>
    <w:p w14:paraId="30CAD472" w14:textId="2828E030" w:rsidR="004F47A7" w:rsidRPr="004F47A7" w:rsidRDefault="004F47A7" w:rsidP="00533645">
      <w:pPr>
        <w:widowControl/>
        <w:spacing w:after="200" w:line="276" w:lineRule="auto"/>
        <w:contextualSpacing/>
        <w:jc w:val="center"/>
        <w:rPr>
          <w:rFonts w:eastAsiaTheme="minorHAnsi"/>
          <w:b/>
          <w:sz w:val="26"/>
          <w:szCs w:val="26"/>
        </w:rPr>
      </w:pPr>
      <w:r w:rsidRPr="004F47A7">
        <w:rPr>
          <w:rFonts w:eastAsiaTheme="minorHAnsi"/>
          <w:b/>
          <w:sz w:val="26"/>
          <w:szCs w:val="26"/>
        </w:rPr>
        <w:t>Pennsylvania Public Utility Commission</w:t>
      </w:r>
    </w:p>
    <w:p w14:paraId="7044ECF5" w14:textId="77777777" w:rsidR="004F47A7" w:rsidRPr="004F47A7" w:rsidRDefault="004F47A7" w:rsidP="00533645">
      <w:pPr>
        <w:widowControl/>
        <w:spacing w:after="200" w:line="276" w:lineRule="auto"/>
        <w:contextualSpacing/>
        <w:jc w:val="center"/>
        <w:rPr>
          <w:rFonts w:eastAsiaTheme="minorHAnsi"/>
          <w:b/>
          <w:sz w:val="26"/>
          <w:szCs w:val="26"/>
        </w:rPr>
      </w:pPr>
    </w:p>
    <w:p w14:paraId="1F436127" w14:textId="77777777" w:rsidR="004F47A7" w:rsidRPr="004F47A7" w:rsidRDefault="004F47A7" w:rsidP="00533645">
      <w:pPr>
        <w:widowControl/>
        <w:spacing w:after="200" w:line="276" w:lineRule="auto"/>
        <w:contextualSpacing/>
        <w:jc w:val="center"/>
        <w:rPr>
          <w:rFonts w:eastAsiaTheme="minorHAnsi"/>
          <w:b/>
          <w:sz w:val="26"/>
          <w:szCs w:val="26"/>
        </w:rPr>
      </w:pPr>
    </w:p>
    <w:p w14:paraId="76F2C93D" w14:textId="77777777" w:rsidR="004F47A7" w:rsidRPr="004F47A7" w:rsidRDefault="004F47A7" w:rsidP="00533645">
      <w:pPr>
        <w:widowControl/>
        <w:spacing w:after="200" w:line="276" w:lineRule="auto"/>
        <w:contextualSpacing/>
        <w:jc w:val="center"/>
        <w:rPr>
          <w:rFonts w:eastAsiaTheme="minorHAnsi"/>
          <w:b/>
          <w:sz w:val="26"/>
          <w:szCs w:val="26"/>
        </w:rPr>
      </w:pPr>
      <w:r w:rsidRPr="004F47A7">
        <w:rPr>
          <w:rFonts w:eastAsiaTheme="minorHAnsi"/>
          <w:b/>
          <w:sz w:val="26"/>
          <w:szCs w:val="26"/>
        </w:rPr>
        <w:t>v.</w:t>
      </w:r>
    </w:p>
    <w:p w14:paraId="5B1F3294" w14:textId="77777777" w:rsidR="004F47A7" w:rsidRPr="004F47A7" w:rsidRDefault="004F47A7" w:rsidP="00533645">
      <w:pPr>
        <w:widowControl/>
        <w:spacing w:after="200" w:line="276" w:lineRule="auto"/>
        <w:contextualSpacing/>
        <w:jc w:val="center"/>
        <w:rPr>
          <w:rFonts w:eastAsiaTheme="minorHAnsi"/>
          <w:b/>
          <w:sz w:val="26"/>
          <w:szCs w:val="26"/>
        </w:rPr>
      </w:pPr>
    </w:p>
    <w:p w14:paraId="56E436B3" w14:textId="77777777" w:rsidR="004F47A7" w:rsidRPr="004F47A7" w:rsidRDefault="004F47A7" w:rsidP="00533645">
      <w:pPr>
        <w:widowControl/>
        <w:spacing w:after="200" w:line="276" w:lineRule="auto"/>
        <w:contextualSpacing/>
        <w:jc w:val="center"/>
        <w:rPr>
          <w:rFonts w:eastAsiaTheme="minorHAnsi"/>
          <w:b/>
          <w:sz w:val="26"/>
          <w:szCs w:val="26"/>
        </w:rPr>
      </w:pPr>
    </w:p>
    <w:p w14:paraId="0C135031" w14:textId="1972AFF6" w:rsidR="004F47A7" w:rsidRPr="004F47A7" w:rsidRDefault="004F47A7" w:rsidP="00533645">
      <w:pPr>
        <w:widowControl/>
        <w:spacing w:after="200" w:line="276" w:lineRule="auto"/>
        <w:contextualSpacing/>
        <w:jc w:val="center"/>
        <w:rPr>
          <w:rFonts w:eastAsiaTheme="minorHAnsi"/>
          <w:b/>
          <w:sz w:val="26"/>
          <w:szCs w:val="26"/>
        </w:rPr>
      </w:pPr>
      <w:r>
        <w:rPr>
          <w:rFonts w:eastAsiaTheme="minorHAnsi"/>
          <w:b/>
          <w:sz w:val="26"/>
          <w:szCs w:val="26"/>
        </w:rPr>
        <w:t>Citizens’ Electric Company of Lewisburg, PA</w:t>
      </w:r>
    </w:p>
    <w:p w14:paraId="5BF80F23" w14:textId="4F08CC47" w:rsidR="004F47A7" w:rsidRPr="004F47A7" w:rsidRDefault="004F47A7" w:rsidP="00533645">
      <w:pPr>
        <w:widowControl/>
        <w:spacing w:after="200" w:line="276" w:lineRule="auto"/>
        <w:contextualSpacing/>
        <w:jc w:val="center"/>
        <w:rPr>
          <w:rFonts w:eastAsiaTheme="minorHAnsi"/>
          <w:b/>
          <w:sz w:val="26"/>
          <w:szCs w:val="26"/>
        </w:rPr>
      </w:pPr>
      <w:r w:rsidRPr="004F47A7">
        <w:rPr>
          <w:rFonts w:eastAsiaTheme="minorHAnsi"/>
          <w:b/>
          <w:sz w:val="26"/>
          <w:szCs w:val="26"/>
        </w:rPr>
        <w:t>Docket No. R-201</w:t>
      </w:r>
      <w:r>
        <w:rPr>
          <w:rFonts w:eastAsiaTheme="minorHAnsi"/>
          <w:b/>
          <w:sz w:val="26"/>
          <w:szCs w:val="26"/>
        </w:rPr>
        <w:t>9-3008212</w:t>
      </w:r>
    </w:p>
    <w:p w14:paraId="5669996A" w14:textId="77777777" w:rsidR="004F47A7" w:rsidRPr="004F47A7" w:rsidRDefault="004F47A7" w:rsidP="00533645">
      <w:pPr>
        <w:widowControl/>
        <w:spacing w:after="200" w:line="276" w:lineRule="auto"/>
        <w:contextualSpacing/>
        <w:jc w:val="center"/>
        <w:rPr>
          <w:rFonts w:eastAsiaTheme="minorHAnsi"/>
          <w:sz w:val="26"/>
          <w:szCs w:val="26"/>
        </w:rPr>
      </w:pPr>
    </w:p>
    <w:p w14:paraId="2C2F6056" w14:textId="77777777" w:rsidR="004F47A7" w:rsidRPr="004F47A7" w:rsidRDefault="004F47A7" w:rsidP="00533645">
      <w:pPr>
        <w:widowControl/>
        <w:spacing w:after="200" w:line="276" w:lineRule="auto"/>
        <w:contextualSpacing/>
        <w:jc w:val="center"/>
        <w:rPr>
          <w:rFonts w:eastAsiaTheme="minorHAnsi"/>
          <w:sz w:val="26"/>
          <w:szCs w:val="26"/>
        </w:rPr>
      </w:pPr>
    </w:p>
    <w:p w14:paraId="308F7B24" w14:textId="77777777" w:rsidR="004F47A7" w:rsidRPr="001D7C9B" w:rsidRDefault="004F47A7" w:rsidP="001D7C9B">
      <w:pPr>
        <w:pStyle w:val="Heading1"/>
        <w:numPr>
          <w:ilvl w:val="0"/>
          <w:numId w:val="0"/>
        </w:numPr>
        <w:ind w:left="1800"/>
        <w:jc w:val="left"/>
        <w:rPr>
          <w:rFonts w:eastAsiaTheme="minorHAnsi"/>
          <w:u w:val="single"/>
        </w:rPr>
      </w:pPr>
      <w:bookmarkStart w:id="167" w:name="_Toc38629305"/>
      <w:r w:rsidRPr="001D7C9B">
        <w:rPr>
          <w:rFonts w:eastAsiaTheme="minorHAnsi"/>
          <w:u w:val="single"/>
        </w:rPr>
        <w:t>Commission Tables Calculating Allowed Revenue Increase</w:t>
      </w:r>
      <w:bookmarkEnd w:id="167"/>
    </w:p>
    <w:p w14:paraId="0B73DAE4" w14:textId="77777777" w:rsidR="004F47A7" w:rsidRPr="004F47A7" w:rsidRDefault="004F47A7" w:rsidP="00533645">
      <w:pPr>
        <w:widowControl/>
        <w:spacing w:after="200" w:line="276" w:lineRule="auto"/>
        <w:contextualSpacing/>
        <w:rPr>
          <w:rFonts w:eastAsiaTheme="minorHAnsi"/>
          <w:sz w:val="26"/>
          <w:szCs w:val="26"/>
        </w:rPr>
      </w:pPr>
    </w:p>
    <w:p w14:paraId="76A102E4" w14:textId="77777777" w:rsidR="004F47A7" w:rsidRPr="004F47A7" w:rsidRDefault="004F47A7" w:rsidP="003220E8">
      <w:pPr>
        <w:widowControl/>
        <w:spacing w:after="200" w:line="276" w:lineRule="auto"/>
        <w:ind w:firstLine="2250"/>
        <w:contextualSpacing/>
        <w:rPr>
          <w:rFonts w:eastAsiaTheme="minorHAnsi"/>
          <w:b/>
          <w:sz w:val="26"/>
          <w:szCs w:val="26"/>
        </w:rPr>
      </w:pPr>
      <w:r w:rsidRPr="004F47A7">
        <w:rPr>
          <w:rFonts w:eastAsiaTheme="minorHAnsi"/>
          <w:b/>
          <w:sz w:val="26"/>
          <w:szCs w:val="26"/>
        </w:rPr>
        <w:t>Table I</w:t>
      </w:r>
      <w:r w:rsidRPr="004F47A7">
        <w:rPr>
          <w:rFonts w:eastAsiaTheme="minorHAnsi"/>
          <w:b/>
          <w:sz w:val="26"/>
          <w:szCs w:val="26"/>
        </w:rPr>
        <w:tab/>
        <w:t>Income Summary</w:t>
      </w:r>
    </w:p>
    <w:p w14:paraId="19F8C929" w14:textId="77777777" w:rsidR="004F47A7" w:rsidRPr="004F47A7" w:rsidRDefault="004F47A7" w:rsidP="003220E8">
      <w:pPr>
        <w:widowControl/>
        <w:spacing w:after="200" w:line="276" w:lineRule="auto"/>
        <w:ind w:firstLine="2250"/>
        <w:contextualSpacing/>
        <w:rPr>
          <w:rFonts w:eastAsiaTheme="minorHAnsi"/>
          <w:b/>
          <w:sz w:val="26"/>
          <w:szCs w:val="26"/>
        </w:rPr>
      </w:pPr>
      <w:r w:rsidRPr="004F47A7">
        <w:rPr>
          <w:rFonts w:eastAsiaTheme="minorHAnsi"/>
          <w:b/>
          <w:sz w:val="26"/>
          <w:szCs w:val="26"/>
        </w:rPr>
        <w:t>Table IA</w:t>
      </w:r>
      <w:r w:rsidRPr="004F47A7">
        <w:rPr>
          <w:rFonts w:eastAsiaTheme="minorHAnsi"/>
          <w:b/>
          <w:sz w:val="26"/>
          <w:szCs w:val="26"/>
        </w:rPr>
        <w:tab/>
        <w:t>Rate of Return</w:t>
      </w:r>
    </w:p>
    <w:p w14:paraId="7849E5C2" w14:textId="77777777" w:rsidR="004F47A7" w:rsidRPr="004F47A7" w:rsidRDefault="004F47A7" w:rsidP="003220E8">
      <w:pPr>
        <w:widowControl/>
        <w:spacing w:after="200" w:line="276" w:lineRule="auto"/>
        <w:ind w:firstLine="2250"/>
        <w:contextualSpacing/>
        <w:rPr>
          <w:rFonts w:eastAsiaTheme="minorHAnsi"/>
          <w:b/>
          <w:sz w:val="26"/>
          <w:szCs w:val="26"/>
        </w:rPr>
      </w:pPr>
      <w:r w:rsidRPr="004F47A7">
        <w:rPr>
          <w:rFonts w:eastAsiaTheme="minorHAnsi"/>
          <w:b/>
          <w:sz w:val="26"/>
          <w:szCs w:val="26"/>
        </w:rPr>
        <w:t>Table IB</w:t>
      </w:r>
      <w:r w:rsidRPr="004F47A7">
        <w:rPr>
          <w:rFonts w:eastAsiaTheme="minorHAnsi"/>
          <w:b/>
          <w:sz w:val="26"/>
          <w:szCs w:val="26"/>
        </w:rPr>
        <w:tab/>
        <w:t>Revenue Factor</w:t>
      </w:r>
    </w:p>
    <w:p w14:paraId="460048B3" w14:textId="77777777" w:rsidR="004F47A7" w:rsidRPr="004F47A7" w:rsidRDefault="004F47A7" w:rsidP="003220E8">
      <w:pPr>
        <w:widowControl/>
        <w:spacing w:after="200" w:line="276" w:lineRule="auto"/>
        <w:ind w:firstLine="2250"/>
        <w:contextualSpacing/>
        <w:rPr>
          <w:rFonts w:eastAsiaTheme="minorHAnsi"/>
          <w:b/>
          <w:sz w:val="26"/>
          <w:szCs w:val="26"/>
        </w:rPr>
      </w:pPr>
      <w:r w:rsidRPr="004F47A7">
        <w:rPr>
          <w:rFonts w:eastAsiaTheme="minorHAnsi"/>
          <w:b/>
          <w:sz w:val="26"/>
          <w:szCs w:val="26"/>
        </w:rPr>
        <w:t>Table II</w:t>
      </w:r>
      <w:r w:rsidRPr="004F47A7">
        <w:rPr>
          <w:rFonts w:eastAsiaTheme="minorHAnsi"/>
          <w:b/>
          <w:sz w:val="26"/>
          <w:szCs w:val="26"/>
        </w:rPr>
        <w:tab/>
        <w:t>Adjustments</w:t>
      </w:r>
    </w:p>
    <w:p w14:paraId="13F1D35F" w14:textId="77777777" w:rsidR="004F47A7" w:rsidRPr="004F47A7" w:rsidRDefault="004F47A7" w:rsidP="003220E8">
      <w:pPr>
        <w:widowControl/>
        <w:spacing w:after="200" w:line="276" w:lineRule="auto"/>
        <w:ind w:firstLine="2250"/>
        <w:contextualSpacing/>
        <w:rPr>
          <w:rFonts w:eastAsiaTheme="minorHAnsi"/>
          <w:b/>
          <w:sz w:val="26"/>
          <w:szCs w:val="26"/>
        </w:rPr>
      </w:pPr>
      <w:r w:rsidRPr="004F47A7">
        <w:rPr>
          <w:rFonts w:eastAsiaTheme="minorHAnsi"/>
          <w:b/>
          <w:sz w:val="26"/>
          <w:szCs w:val="26"/>
        </w:rPr>
        <w:t>Table III</w:t>
      </w:r>
      <w:r w:rsidRPr="004F47A7">
        <w:rPr>
          <w:rFonts w:eastAsiaTheme="minorHAnsi"/>
          <w:b/>
          <w:sz w:val="26"/>
          <w:szCs w:val="26"/>
        </w:rPr>
        <w:tab/>
        <w:t>Interest Synchronization</w:t>
      </w:r>
    </w:p>
    <w:p w14:paraId="3F469CE8" w14:textId="77777777" w:rsidR="004F47A7" w:rsidRPr="004F47A7" w:rsidRDefault="004F47A7" w:rsidP="003220E8">
      <w:pPr>
        <w:widowControl/>
        <w:spacing w:after="200" w:line="276" w:lineRule="auto"/>
        <w:ind w:firstLine="2250"/>
        <w:contextualSpacing/>
        <w:rPr>
          <w:rFonts w:eastAsiaTheme="minorHAnsi"/>
          <w:b/>
          <w:sz w:val="26"/>
          <w:szCs w:val="26"/>
        </w:rPr>
      </w:pPr>
      <w:r w:rsidRPr="004F47A7">
        <w:rPr>
          <w:rFonts w:eastAsiaTheme="minorHAnsi"/>
          <w:b/>
          <w:sz w:val="26"/>
          <w:szCs w:val="26"/>
        </w:rPr>
        <w:t xml:space="preserve">Table IV </w:t>
      </w:r>
      <w:r w:rsidRPr="004F47A7">
        <w:rPr>
          <w:rFonts w:eastAsiaTheme="minorHAnsi"/>
          <w:b/>
          <w:sz w:val="26"/>
          <w:szCs w:val="26"/>
        </w:rPr>
        <w:tab/>
        <w:t>Cash Working Capital: Interest and Dividends</w:t>
      </w:r>
    </w:p>
    <w:p w14:paraId="12FE4F5E" w14:textId="77777777" w:rsidR="004F47A7" w:rsidRPr="004F47A7" w:rsidRDefault="004F47A7" w:rsidP="003220E8">
      <w:pPr>
        <w:widowControl/>
        <w:spacing w:after="200" w:line="276" w:lineRule="auto"/>
        <w:ind w:firstLine="2250"/>
        <w:contextualSpacing/>
        <w:rPr>
          <w:rFonts w:eastAsiaTheme="minorHAnsi"/>
          <w:b/>
          <w:sz w:val="26"/>
          <w:szCs w:val="26"/>
        </w:rPr>
      </w:pPr>
      <w:r w:rsidRPr="004F47A7">
        <w:rPr>
          <w:rFonts w:eastAsiaTheme="minorHAnsi"/>
          <w:b/>
          <w:sz w:val="26"/>
          <w:szCs w:val="26"/>
        </w:rPr>
        <w:t>Table V</w:t>
      </w:r>
      <w:r w:rsidRPr="004F47A7">
        <w:rPr>
          <w:rFonts w:eastAsiaTheme="minorHAnsi"/>
          <w:b/>
          <w:sz w:val="26"/>
          <w:szCs w:val="26"/>
        </w:rPr>
        <w:tab/>
        <w:t>Cash Working Capital: Taxes</w:t>
      </w:r>
    </w:p>
    <w:p w14:paraId="41378FE2" w14:textId="77777777" w:rsidR="004F47A7" w:rsidRPr="004F47A7" w:rsidRDefault="004F47A7" w:rsidP="003220E8">
      <w:pPr>
        <w:widowControl/>
        <w:spacing w:after="200" w:line="276" w:lineRule="auto"/>
        <w:ind w:firstLine="2250"/>
        <w:contextualSpacing/>
        <w:rPr>
          <w:rFonts w:eastAsiaTheme="minorHAnsi"/>
          <w:b/>
          <w:sz w:val="26"/>
          <w:szCs w:val="26"/>
        </w:rPr>
      </w:pPr>
      <w:r w:rsidRPr="004F47A7">
        <w:rPr>
          <w:rFonts w:eastAsiaTheme="minorHAnsi"/>
          <w:b/>
          <w:sz w:val="26"/>
          <w:szCs w:val="26"/>
        </w:rPr>
        <w:t>Table VI</w:t>
      </w:r>
      <w:r w:rsidRPr="004F47A7">
        <w:rPr>
          <w:rFonts w:eastAsiaTheme="minorHAnsi"/>
          <w:b/>
          <w:sz w:val="26"/>
          <w:szCs w:val="26"/>
        </w:rPr>
        <w:tab/>
        <w:t>Cash Working Capital: O&amp;M Expense</w:t>
      </w:r>
    </w:p>
    <w:p w14:paraId="30712EA6" w14:textId="01176C40" w:rsidR="004F47A7" w:rsidRDefault="004F47A7" w:rsidP="00533645">
      <w:pPr>
        <w:widowControl/>
        <w:rPr>
          <w:sz w:val="26"/>
          <w:szCs w:val="26"/>
        </w:rPr>
      </w:pPr>
    </w:p>
    <w:p w14:paraId="3F17161A" w14:textId="77777777" w:rsidR="00E87DA7" w:rsidRDefault="00E87DA7" w:rsidP="00533645">
      <w:pPr>
        <w:widowControl/>
        <w:tabs>
          <w:tab w:val="left" w:pos="2115"/>
        </w:tabs>
        <w:rPr>
          <w:sz w:val="26"/>
          <w:szCs w:val="26"/>
        </w:rPr>
        <w:sectPr w:rsidR="00E87DA7" w:rsidSect="002B795C">
          <w:footerReference w:type="first" r:id="rId23"/>
          <w:pgSz w:w="12240" w:h="15840"/>
          <w:pgMar w:top="1440" w:right="1440" w:bottom="1440" w:left="1440" w:header="720" w:footer="720" w:gutter="0"/>
          <w:pgNumType w:start="1"/>
          <w:cols w:space="720"/>
          <w:titlePg/>
          <w:docGrid w:linePitch="360"/>
        </w:sectPr>
      </w:pPr>
    </w:p>
    <w:p w14:paraId="65AF08D3" w14:textId="02DB2A85" w:rsidR="009B66ED" w:rsidRDefault="006F77CD" w:rsidP="00533645">
      <w:pPr>
        <w:widowControl/>
        <w:tabs>
          <w:tab w:val="left" w:pos="2115"/>
        </w:tabs>
        <w:rPr>
          <w:sz w:val="26"/>
          <w:szCs w:val="26"/>
        </w:rPr>
        <w:sectPr w:rsidR="009B66ED" w:rsidSect="00AD2291">
          <w:footerReference w:type="first" r:id="rId24"/>
          <w:pgSz w:w="15840" w:h="12240" w:orient="landscape"/>
          <w:pgMar w:top="1440" w:right="1440" w:bottom="1440" w:left="1440" w:header="720" w:footer="720" w:gutter="0"/>
          <w:pgNumType w:start="1"/>
          <w:cols w:space="720"/>
          <w:titlePg/>
          <w:docGrid w:linePitch="360"/>
        </w:sectPr>
      </w:pPr>
      <w:r w:rsidRPr="006F77CD">
        <w:rPr>
          <w:noProof/>
        </w:rPr>
        <w:lastRenderedPageBreak/>
        <w:drawing>
          <wp:inline distT="0" distB="0" distL="0" distR="0" wp14:anchorId="4FE0037C" wp14:editId="55ADAD38">
            <wp:extent cx="7799070" cy="594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99070" cy="5943600"/>
                    </a:xfrm>
                    <a:prstGeom prst="rect">
                      <a:avLst/>
                    </a:prstGeom>
                    <a:noFill/>
                    <a:ln>
                      <a:noFill/>
                    </a:ln>
                  </pic:spPr>
                </pic:pic>
              </a:graphicData>
            </a:graphic>
          </wp:inline>
        </w:drawing>
      </w:r>
    </w:p>
    <w:p w14:paraId="7AA093D6" w14:textId="27400155" w:rsidR="004F47A7" w:rsidRDefault="006F77CD" w:rsidP="00533645">
      <w:pPr>
        <w:widowControl/>
        <w:tabs>
          <w:tab w:val="left" w:pos="2115"/>
        </w:tabs>
        <w:rPr>
          <w:sz w:val="26"/>
          <w:szCs w:val="26"/>
        </w:rPr>
      </w:pPr>
      <w:r w:rsidRPr="006F77CD">
        <w:rPr>
          <w:noProof/>
        </w:rPr>
        <w:lastRenderedPageBreak/>
        <w:drawing>
          <wp:inline distT="0" distB="0" distL="0" distR="0" wp14:anchorId="3B9ED36A" wp14:editId="6BE48D35">
            <wp:extent cx="8229600" cy="49872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0" cy="4987290"/>
                    </a:xfrm>
                    <a:prstGeom prst="rect">
                      <a:avLst/>
                    </a:prstGeom>
                    <a:noFill/>
                    <a:ln>
                      <a:noFill/>
                    </a:ln>
                  </pic:spPr>
                </pic:pic>
              </a:graphicData>
            </a:graphic>
          </wp:inline>
        </w:drawing>
      </w:r>
    </w:p>
    <w:p w14:paraId="2A3E1565" w14:textId="2CFAD662" w:rsidR="004F47A7" w:rsidRDefault="004F47A7" w:rsidP="00533645">
      <w:pPr>
        <w:widowControl/>
        <w:rPr>
          <w:sz w:val="26"/>
          <w:szCs w:val="26"/>
        </w:rPr>
      </w:pPr>
    </w:p>
    <w:p w14:paraId="446F590C" w14:textId="7EB7FD25" w:rsidR="004F47A7" w:rsidRDefault="004F47A7" w:rsidP="00533645">
      <w:pPr>
        <w:widowControl/>
        <w:rPr>
          <w:sz w:val="26"/>
          <w:szCs w:val="26"/>
        </w:rPr>
      </w:pPr>
    </w:p>
    <w:p w14:paraId="737761D5" w14:textId="45F13013" w:rsidR="004F47A7" w:rsidRDefault="004F47A7" w:rsidP="00533645">
      <w:pPr>
        <w:widowControl/>
        <w:rPr>
          <w:sz w:val="26"/>
          <w:szCs w:val="26"/>
        </w:rPr>
      </w:pPr>
    </w:p>
    <w:p w14:paraId="1E3E12FD" w14:textId="77777777" w:rsidR="009B66ED" w:rsidRDefault="009B66ED" w:rsidP="00533645">
      <w:pPr>
        <w:widowControl/>
        <w:rPr>
          <w:b/>
          <w:sz w:val="26"/>
        </w:rPr>
        <w:sectPr w:rsidR="009B66ED" w:rsidSect="00107A28">
          <w:footerReference w:type="first" r:id="rId27"/>
          <w:pgSz w:w="15840" w:h="12240" w:orient="landscape"/>
          <w:pgMar w:top="1440" w:right="1440" w:bottom="1440" w:left="1440" w:header="720" w:footer="720" w:gutter="0"/>
          <w:pgNumType w:start="3"/>
          <w:cols w:space="720"/>
          <w:titlePg/>
          <w:docGrid w:linePitch="360"/>
        </w:sectPr>
      </w:pPr>
    </w:p>
    <w:p w14:paraId="50CE20F1" w14:textId="57FAC7DE" w:rsidR="004F47A7" w:rsidRDefault="006F77CD" w:rsidP="00533645">
      <w:pPr>
        <w:widowControl/>
        <w:rPr>
          <w:b/>
          <w:sz w:val="26"/>
        </w:rPr>
      </w:pPr>
      <w:r w:rsidRPr="006F77CD">
        <w:rPr>
          <w:noProof/>
        </w:rPr>
        <w:lastRenderedPageBreak/>
        <w:drawing>
          <wp:inline distT="0" distB="0" distL="0" distR="0" wp14:anchorId="1D249DAD" wp14:editId="007412EA">
            <wp:extent cx="5943600" cy="59855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5985510"/>
                    </a:xfrm>
                    <a:prstGeom prst="rect">
                      <a:avLst/>
                    </a:prstGeom>
                    <a:noFill/>
                    <a:ln>
                      <a:noFill/>
                    </a:ln>
                  </pic:spPr>
                </pic:pic>
              </a:graphicData>
            </a:graphic>
          </wp:inline>
        </w:drawing>
      </w:r>
    </w:p>
    <w:p w14:paraId="2FA2EED1" w14:textId="18B0A42A" w:rsidR="004F47A7" w:rsidRDefault="004F47A7" w:rsidP="00533645">
      <w:pPr>
        <w:widowControl/>
        <w:rPr>
          <w:b/>
          <w:sz w:val="26"/>
        </w:rPr>
      </w:pPr>
    </w:p>
    <w:p w14:paraId="5235F1CE" w14:textId="77777777" w:rsidR="009B66ED" w:rsidRDefault="009B66ED" w:rsidP="00533645">
      <w:pPr>
        <w:widowControl/>
        <w:rPr>
          <w:b/>
          <w:sz w:val="26"/>
        </w:rPr>
        <w:sectPr w:rsidR="009B66ED" w:rsidSect="00107A28">
          <w:footerReference w:type="first" r:id="rId29"/>
          <w:pgSz w:w="12240" w:h="15840"/>
          <w:pgMar w:top="1440" w:right="1440" w:bottom="1440" w:left="1440" w:header="720" w:footer="720" w:gutter="0"/>
          <w:pgNumType w:start="4"/>
          <w:cols w:space="720"/>
          <w:titlePg/>
          <w:docGrid w:linePitch="360"/>
        </w:sectPr>
      </w:pPr>
    </w:p>
    <w:p w14:paraId="43DEF053" w14:textId="2ED85A2F" w:rsidR="002161E3" w:rsidRDefault="006F77CD" w:rsidP="00533645">
      <w:pPr>
        <w:widowControl/>
        <w:rPr>
          <w:b/>
          <w:sz w:val="26"/>
        </w:rPr>
        <w:sectPr w:rsidR="002161E3" w:rsidSect="00107A28">
          <w:footerReference w:type="first" r:id="rId30"/>
          <w:pgSz w:w="15840" w:h="12240" w:orient="landscape"/>
          <w:pgMar w:top="1440" w:right="1440" w:bottom="1440" w:left="1440" w:header="720" w:footer="720" w:gutter="0"/>
          <w:pgNumType w:start="5"/>
          <w:cols w:space="720"/>
          <w:titlePg/>
          <w:docGrid w:linePitch="360"/>
        </w:sectPr>
      </w:pPr>
      <w:r w:rsidRPr="006F77CD">
        <w:rPr>
          <w:noProof/>
        </w:rPr>
        <w:lastRenderedPageBreak/>
        <w:drawing>
          <wp:inline distT="0" distB="0" distL="0" distR="0" wp14:anchorId="385E2D03" wp14:editId="2A69907A">
            <wp:extent cx="7956550" cy="59436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56550" cy="5943600"/>
                    </a:xfrm>
                    <a:prstGeom prst="rect">
                      <a:avLst/>
                    </a:prstGeom>
                    <a:noFill/>
                    <a:ln>
                      <a:noFill/>
                    </a:ln>
                  </pic:spPr>
                </pic:pic>
              </a:graphicData>
            </a:graphic>
          </wp:inline>
        </w:drawing>
      </w:r>
    </w:p>
    <w:p w14:paraId="3B793C48" w14:textId="162CEBC2" w:rsidR="002161E3" w:rsidRDefault="006F77CD" w:rsidP="00533645">
      <w:pPr>
        <w:widowControl/>
        <w:rPr>
          <w:b/>
          <w:sz w:val="26"/>
        </w:rPr>
        <w:sectPr w:rsidR="002161E3" w:rsidSect="00107A28">
          <w:footerReference w:type="first" r:id="rId32"/>
          <w:pgSz w:w="12240" w:h="15840"/>
          <w:pgMar w:top="1440" w:right="1440" w:bottom="1440" w:left="1440" w:header="720" w:footer="720" w:gutter="0"/>
          <w:pgNumType w:start="6"/>
          <w:cols w:space="720"/>
          <w:titlePg/>
          <w:docGrid w:linePitch="360"/>
        </w:sectPr>
      </w:pPr>
      <w:r w:rsidRPr="006F77CD">
        <w:rPr>
          <w:noProof/>
        </w:rPr>
        <w:lastRenderedPageBreak/>
        <w:drawing>
          <wp:inline distT="0" distB="0" distL="0" distR="0" wp14:anchorId="7ABCBF82" wp14:editId="21A370D9">
            <wp:extent cx="5867400" cy="7143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67400" cy="7143750"/>
                    </a:xfrm>
                    <a:prstGeom prst="rect">
                      <a:avLst/>
                    </a:prstGeom>
                    <a:noFill/>
                    <a:ln>
                      <a:noFill/>
                    </a:ln>
                  </pic:spPr>
                </pic:pic>
              </a:graphicData>
            </a:graphic>
          </wp:inline>
        </w:drawing>
      </w:r>
    </w:p>
    <w:p w14:paraId="06BE7530" w14:textId="77777777" w:rsidR="006F77CD" w:rsidRDefault="006F77CD" w:rsidP="00533645">
      <w:pPr>
        <w:widowControl/>
        <w:rPr>
          <w:b/>
          <w:sz w:val="26"/>
        </w:rPr>
        <w:sectPr w:rsidR="006F77CD" w:rsidSect="00107A28">
          <w:footerReference w:type="first" r:id="rId34"/>
          <w:pgSz w:w="15840" w:h="12240" w:orient="landscape"/>
          <w:pgMar w:top="1440" w:right="1440" w:bottom="1440" w:left="1440" w:header="720" w:footer="720" w:gutter="0"/>
          <w:pgNumType w:start="7"/>
          <w:cols w:space="720"/>
          <w:titlePg/>
          <w:docGrid w:linePitch="360"/>
        </w:sectPr>
      </w:pPr>
      <w:r w:rsidRPr="006F77CD">
        <w:rPr>
          <w:noProof/>
        </w:rPr>
        <w:lastRenderedPageBreak/>
        <w:drawing>
          <wp:inline distT="0" distB="0" distL="0" distR="0" wp14:anchorId="2ED39DF3" wp14:editId="76CA8F4C">
            <wp:extent cx="7162165" cy="594360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62165" cy="5943600"/>
                    </a:xfrm>
                    <a:prstGeom prst="rect">
                      <a:avLst/>
                    </a:prstGeom>
                    <a:noFill/>
                    <a:ln>
                      <a:noFill/>
                    </a:ln>
                  </pic:spPr>
                </pic:pic>
              </a:graphicData>
            </a:graphic>
          </wp:inline>
        </w:drawing>
      </w:r>
    </w:p>
    <w:p w14:paraId="45E637F4" w14:textId="77777777" w:rsidR="005127F1" w:rsidRDefault="005127F1" w:rsidP="00533645">
      <w:pPr>
        <w:widowControl/>
        <w:rPr>
          <w:b/>
          <w:sz w:val="26"/>
        </w:rPr>
        <w:sectPr w:rsidR="005127F1" w:rsidSect="00107A28">
          <w:footerReference w:type="first" r:id="rId36"/>
          <w:pgSz w:w="15840" w:h="12240" w:orient="landscape"/>
          <w:pgMar w:top="1440" w:right="1440" w:bottom="1440" w:left="1440" w:header="720" w:footer="720" w:gutter="0"/>
          <w:pgNumType w:start="8"/>
          <w:cols w:space="720"/>
          <w:titlePg/>
          <w:docGrid w:linePitch="360"/>
        </w:sectPr>
      </w:pPr>
      <w:r w:rsidRPr="005127F1">
        <w:rPr>
          <w:noProof/>
        </w:rPr>
        <w:lastRenderedPageBreak/>
        <w:drawing>
          <wp:inline distT="0" distB="0" distL="0" distR="0" wp14:anchorId="090F6977" wp14:editId="246A8B16">
            <wp:extent cx="8229600" cy="47205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29600" cy="4720590"/>
                    </a:xfrm>
                    <a:prstGeom prst="rect">
                      <a:avLst/>
                    </a:prstGeom>
                    <a:noFill/>
                    <a:ln>
                      <a:noFill/>
                    </a:ln>
                  </pic:spPr>
                </pic:pic>
              </a:graphicData>
            </a:graphic>
          </wp:inline>
        </w:drawing>
      </w:r>
    </w:p>
    <w:p w14:paraId="2FE4E797" w14:textId="0C24102F" w:rsidR="004F47A7" w:rsidRDefault="005127F1" w:rsidP="00533645">
      <w:pPr>
        <w:widowControl/>
        <w:rPr>
          <w:b/>
          <w:sz w:val="26"/>
        </w:rPr>
      </w:pPr>
      <w:r w:rsidRPr="005127F1">
        <w:rPr>
          <w:noProof/>
        </w:rPr>
        <w:lastRenderedPageBreak/>
        <w:drawing>
          <wp:inline distT="0" distB="0" distL="0" distR="0" wp14:anchorId="794BD80B" wp14:editId="6E13C80E">
            <wp:extent cx="5943600" cy="55511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5551170"/>
                    </a:xfrm>
                    <a:prstGeom prst="rect">
                      <a:avLst/>
                    </a:prstGeom>
                    <a:noFill/>
                    <a:ln>
                      <a:noFill/>
                    </a:ln>
                  </pic:spPr>
                </pic:pic>
              </a:graphicData>
            </a:graphic>
          </wp:inline>
        </w:drawing>
      </w:r>
    </w:p>
    <w:p w14:paraId="2B06EAE2" w14:textId="436DB4FF" w:rsidR="004F47A7" w:rsidRDefault="004F47A7" w:rsidP="00533645">
      <w:pPr>
        <w:widowControl/>
        <w:rPr>
          <w:b/>
          <w:sz w:val="26"/>
        </w:rPr>
      </w:pPr>
    </w:p>
    <w:p w14:paraId="62C56CC2" w14:textId="4AEA2B50" w:rsidR="004F47A7" w:rsidRDefault="004F47A7" w:rsidP="00533645">
      <w:pPr>
        <w:widowControl/>
        <w:rPr>
          <w:b/>
          <w:sz w:val="26"/>
        </w:rPr>
      </w:pPr>
    </w:p>
    <w:p w14:paraId="148C77ED" w14:textId="6BE18D18" w:rsidR="004F47A7" w:rsidRDefault="004F47A7" w:rsidP="00533645">
      <w:pPr>
        <w:widowControl/>
        <w:rPr>
          <w:b/>
          <w:sz w:val="26"/>
        </w:rPr>
      </w:pPr>
    </w:p>
    <w:p w14:paraId="46EED54B" w14:textId="53797696" w:rsidR="004F47A7" w:rsidRDefault="004F47A7" w:rsidP="00533645">
      <w:pPr>
        <w:widowControl/>
        <w:rPr>
          <w:b/>
          <w:sz w:val="26"/>
        </w:rPr>
      </w:pPr>
    </w:p>
    <w:p w14:paraId="75C7383F" w14:textId="76C5CE55" w:rsidR="004F47A7" w:rsidRDefault="004F47A7" w:rsidP="00533645">
      <w:pPr>
        <w:widowControl/>
        <w:rPr>
          <w:b/>
          <w:sz w:val="26"/>
        </w:rPr>
      </w:pPr>
    </w:p>
    <w:p w14:paraId="1D89800D" w14:textId="3F023F3A" w:rsidR="004F47A7" w:rsidRDefault="004F47A7" w:rsidP="00533645">
      <w:pPr>
        <w:widowControl/>
        <w:rPr>
          <w:b/>
          <w:sz w:val="26"/>
        </w:rPr>
      </w:pPr>
    </w:p>
    <w:p w14:paraId="54405901" w14:textId="77777777" w:rsidR="004F47A7" w:rsidRDefault="004F47A7" w:rsidP="00533645">
      <w:pPr>
        <w:widowControl/>
        <w:rPr>
          <w:b/>
          <w:sz w:val="26"/>
        </w:rPr>
      </w:pPr>
    </w:p>
    <w:sectPr w:rsidR="004F47A7" w:rsidSect="00107A28">
      <w:footerReference w:type="first" r:id="rId39"/>
      <w:pgSz w:w="12240" w:h="15840"/>
      <w:pgMar w:top="1440" w:right="1440" w:bottom="1440" w:left="1440"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3D2F" w14:textId="77777777" w:rsidR="006D53B2" w:rsidRDefault="006D53B2">
      <w:r>
        <w:separator/>
      </w:r>
    </w:p>
    <w:p w14:paraId="638EFBEE" w14:textId="77777777" w:rsidR="006D53B2" w:rsidRDefault="006D53B2"/>
    <w:p w14:paraId="7F63BAB7" w14:textId="77777777" w:rsidR="006D53B2" w:rsidRDefault="006D53B2" w:rsidP="002826C5"/>
  </w:endnote>
  <w:endnote w:type="continuationSeparator" w:id="0">
    <w:p w14:paraId="632A2094" w14:textId="77777777" w:rsidR="006D53B2" w:rsidRDefault="006D53B2">
      <w:r>
        <w:continuationSeparator/>
      </w:r>
    </w:p>
    <w:p w14:paraId="6230C80C" w14:textId="77777777" w:rsidR="006D53B2" w:rsidRDefault="006D53B2"/>
    <w:p w14:paraId="04775EFC" w14:textId="77777777" w:rsidR="006D53B2" w:rsidRDefault="006D53B2" w:rsidP="002826C5"/>
  </w:endnote>
  <w:endnote w:type="continuationNotice" w:id="1">
    <w:p w14:paraId="40E6416D" w14:textId="77777777" w:rsidR="006D53B2" w:rsidRDefault="006D53B2"/>
    <w:p w14:paraId="5C68C817" w14:textId="77777777" w:rsidR="006D53B2" w:rsidRDefault="006D53B2"/>
    <w:p w14:paraId="3AD0FDDC" w14:textId="77777777" w:rsidR="006D53B2" w:rsidRDefault="006D53B2" w:rsidP="00282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372A" w14:textId="77777777" w:rsidR="008E7E23" w:rsidRDefault="008E7E23"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A25DE" w14:textId="77777777" w:rsidR="008E7E23" w:rsidRDefault="008E7E2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896882"/>
      <w:docPartObj>
        <w:docPartGallery w:val="Page Numbers (Bottom of Page)"/>
        <w:docPartUnique/>
      </w:docPartObj>
    </w:sdtPr>
    <w:sdtEndPr>
      <w:rPr>
        <w:noProof/>
        <w:sz w:val="26"/>
        <w:szCs w:val="26"/>
      </w:rPr>
    </w:sdtEndPr>
    <w:sdtContent>
      <w:p w14:paraId="3B47412F" w14:textId="2E2D299C" w:rsidR="008E7E23" w:rsidRPr="00107A28" w:rsidRDefault="008E7E23" w:rsidP="00107A28">
        <w:pPr>
          <w:pStyle w:val="Footer"/>
          <w:jc w:val="center"/>
          <w:rPr>
            <w:sz w:val="26"/>
            <w:szCs w:val="26"/>
          </w:rPr>
        </w:pPr>
        <w:r>
          <w:rPr>
            <w:sz w:val="26"/>
            <w:szCs w:val="26"/>
          </w:rPr>
          <w:t>4</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114774"/>
      <w:docPartObj>
        <w:docPartGallery w:val="Page Numbers (Bottom of Page)"/>
        <w:docPartUnique/>
      </w:docPartObj>
    </w:sdtPr>
    <w:sdtEndPr>
      <w:rPr>
        <w:noProof/>
        <w:sz w:val="26"/>
        <w:szCs w:val="26"/>
      </w:rPr>
    </w:sdtEndPr>
    <w:sdtContent>
      <w:p w14:paraId="3D514F66" w14:textId="4F46DB67" w:rsidR="008E7E23" w:rsidRPr="00107A28" w:rsidRDefault="008E7E23" w:rsidP="00107A28">
        <w:pPr>
          <w:pStyle w:val="Footer"/>
          <w:jc w:val="center"/>
          <w:rPr>
            <w:sz w:val="26"/>
            <w:szCs w:val="26"/>
          </w:rPr>
        </w:pPr>
        <w:r>
          <w:rPr>
            <w:sz w:val="26"/>
            <w:szCs w:val="26"/>
          </w:rPr>
          <w:t>5</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87511"/>
      <w:docPartObj>
        <w:docPartGallery w:val="Page Numbers (Bottom of Page)"/>
        <w:docPartUnique/>
      </w:docPartObj>
    </w:sdtPr>
    <w:sdtEndPr>
      <w:rPr>
        <w:noProof/>
        <w:sz w:val="26"/>
        <w:szCs w:val="26"/>
      </w:rPr>
    </w:sdtEndPr>
    <w:sdtContent>
      <w:p w14:paraId="644DE56F" w14:textId="6D55E918" w:rsidR="008E7E23" w:rsidRPr="00107A28" w:rsidRDefault="008E7E23" w:rsidP="00107A28">
        <w:pPr>
          <w:pStyle w:val="Footer"/>
          <w:jc w:val="center"/>
          <w:rPr>
            <w:sz w:val="26"/>
            <w:szCs w:val="26"/>
          </w:rPr>
        </w:pPr>
        <w:r>
          <w:rPr>
            <w:sz w:val="26"/>
            <w:szCs w:val="26"/>
          </w:rPr>
          <w:t>6</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77559"/>
      <w:docPartObj>
        <w:docPartGallery w:val="Page Numbers (Bottom of Page)"/>
        <w:docPartUnique/>
      </w:docPartObj>
    </w:sdtPr>
    <w:sdtEndPr>
      <w:rPr>
        <w:noProof/>
        <w:sz w:val="26"/>
        <w:szCs w:val="26"/>
      </w:rPr>
    </w:sdtEndPr>
    <w:sdtContent>
      <w:p w14:paraId="2143CE95" w14:textId="7C5B18B2" w:rsidR="008E7E23" w:rsidRPr="00107A28" w:rsidRDefault="008E7E23" w:rsidP="00107A28">
        <w:pPr>
          <w:pStyle w:val="Footer"/>
          <w:jc w:val="center"/>
          <w:rPr>
            <w:sz w:val="26"/>
            <w:szCs w:val="26"/>
          </w:rPr>
        </w:pPr>
        <w:r>
          <w:rPr>
            <w:sz w:val="26"/>
            <w:szCs w:val="26"/>
          </w:rPr>
          <w:t>7</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743395"/>
      <w:docPartObj>
        <w:docPartGallery w:val="Page Numbers (Bottom of Page)"/>
        <w:docPartUnique/>
      </w:docPartObj>
    </w:sdtPr>
    <w:sdtEndPr>
      <w:rPr>
        <w:noProof/>
        <w:sz w:val="26"/>
        <w:szCs w:val="26"/>
      </w:rPr>
    </w:sdtEndPr>
    <w:sdtContent>
      <w:p w14:paraId="15A8A8AE" w14:textId="47DE106B" w:rsidR="008E7E23" w:rsidRPr="00107A28" w:rsidRDefault="008E7E23" w:rsidP="00107A28">
        <w:pPr>
          <w:pStyle w:val="Footer"/>
          <w:jc w:val="center"/>
          <w:rPr>
            <w:sz w:val="26"/>
            <w:szCs w:val="26"/>
          </w:rPr>
        </w:pPr>
        <w:r>
          <w:rPr>
            <w:sz w:val="26"/>
            <w:szCs w:val="26"/>
          </w:rPr>
          <w:t>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473039959"/>
      <w:docPartObj>
        <w:docPartGallery w:val="Page Numbers (Bottom of Page)"/>
        <w:docPartUnique/>
      </w:docPartObj>
    </w:sdtPr>
    <w:sdtEndPr>
      <w:rPr>
        <w:noProof/>
      </w:rPr>
    </w:sdtEndPr>
    <w:sdtContent>
      <w:p w14:paraId="74A283B3" w14:textId="3C5AE79A" w:rsidR="008E7E23" w:rsidRPr="0006589E" w:rsidRDefault="008E7E23" w:rsidP="0006589E">
        <w:pPr>
          <w:pStyle w:val="Footer"/>
          <w:jc w:val="center"/>
          <w:rPr>
            <w:sz w:val="26"/>
            <w:szCs w:val="26"/>
          </w:rPr>
        </w:pPr>
        <w:r w:rsidRPr="0006589E">
          <w:rPr>
            <w:sz w:val="26"/>
            <w:szCs w:val="26"/>
          </w:rPr>
          <w:fldChar w:fldCharType="begin"/>
        </w:r>
        <w:r w:rsidRPr="0006589E">
          <w:rPr>
            <w:sz w:val="26"/>
            <w:szCs w:val="26"/>
          </w:rPr>
          <w:instrText xml:space="preserve"> PAGE   \* MERGEFORMAT </w:instrText>
        </w:r>
        <w:r w:rsidRPr="0006589E">
          <w:rPr>
            <w:sz w:val="26"/>
            <w:szCs w:val="26"/>
          </w:rPr>
          <w:fldChar w:fldCharType="separate"/>
        </w:r>
        <w:r w:rsidRPr="0006589E">
          <w:rPr>
            <w:noProof/>
            <w:sz w:val="26"/>
            <w:szCs w:val="26"/>
          </w:rPr>
          <w:t>2</w:t>
        </w:r>
        <w:r w:rsidRPr="0006589E">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2384" w14:textId="208E4A4E" w:rsidR="008E7E23" w:rsidRPr="00107A28" w:rsidRDefault="008E7E23" w:rsidP="00107A28">
    <w:pPr>
      <w:pStyle w:val="Footer"/>
      <w:jc w:val="center"/>
      <w:rPr>
        <w:sz w:val="26"/>
        <w:szCs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883539"/>
      <w:docPartObj>
        <w:docPartGallery w:val="Page Numbers (Bottom of Page)"/>
        <w:docPartUnique/>
      </w:docPartObj>
    </w:sdtPr>
    <w:sdtEndPr>
      <w:rPr>
        <w:noProof/>
        <w:sz w:val="26"/>
        <w:szCs w:val="26"/>
      </w:rPr>
    </w:sdtEndPr>
    <w:sdtContent>
      <w:p w14:paraId="3DE3F406" w14:textId="1D4E2B4B" w:rsidR="008E7E23" w:rsidRPr="002B795C" w:rsidRDefault="008E7E23" w:rsidP="002B795C">
        <w:pPr>
          <w:pStyle w:val="Footer"/>
          <w:jc w:val="center"/>
          <w:rPr>
            <w:sz w:val="26"/>
            <w:szCs w:val="26"/>
          </w:rPr>
        </w:pPr>
        <w:r w:rsidRPr="002B795C">
          <w:rPr>
            <w:sz w:val="26"/>
            <w:szCs w:val="26"/>
          </w:rPr>
          <w:fldChar w:fldCharType="begin"/>
        </w:r>
        <w:r w:rsidRPr="002B795C">
          <w:rPr>
            <w:sz w:val="26"/>
            <w:szCs w:val="26"/>
          </w:rPr>
          <w:instrText xml:space="preserve"> PAGE   \* MERGEFORMAT </w:instrText>
        </w:r>
        <w:r w:rsidRPr="002B795C">
          <w:rPr>
            <w:sz w:val="26"/>
            <w:szCs w:val="26"/>
          </w:rPr>
          <w:fldChar w:fldCharType="separate"/>
        </w:r>
        <w:r w:rsidRPr="002B795C">
          <w:rPr>
            <w:noProof/>
            <w:sz w:val="26"/>
            <w:szCs w:val="26"/>
          </w:rPr>
          <w:t>2</w:t>
        </w:r>
        <w:r w:rsidRPr="002B795C">
          <w:rPr>
            <w:noProof/>
            <w:sz w:val="26"/>
            <w:szCs w:val="2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993808"/>
      <w:docPartObj>
        <w:docPartGallery w:val="Page Numbers (Bottom of Page)"/>
        <w:docPartUnique/>
      </w:docPartObj>
    </w:sdtPr>
    <w:sdtEndPr>
      <w:rPr>
        <w:noProof/>
        <w:color w:val="FFFFFF" w:themeColor="background1"/>
        <w:sz w:val="26"/>
        <w:szCs w:val="26"/>
      </w:rPr>
    </w:sdtEndPr>
    <w:sdtContent>
      <w:p w14:paraId="175836FA" w14:textId="77777777" w:rsidR="008E7E23" w:rsidRPr="002B795C" w:rsidRDefault="008E7E23" w:rsidP="00107A28">
        <w:pPr>
          <w:pStyle w:val="Footer"/>
          <w:jc w:val="center"/>
          <w:rPr>
            <w:color w:val="FFFFFF" w:themeColor="background1"/>
            <w:sz w:val="26"/>
            <w:szCs w:val="26"/>
          </w:rPr>
        </w:pPr>
        <w:r w:rsidRPr="002B795C">
          <w:rPr>
            <w:color w:val="FFFFFF" w:themeColor="background1"/>
            <w:sz w:val="26"/>
            <w:szCs w:val="26"/>
          </w:rPr>
          <w:fldChar w:fldCharType="begin"/>
        </w:r>
        <w:r w:rsidRPr="002B795C">
          <w:rPr>
            <w:color w:val="FFFFFF" w:themeColor="background1"/>
            <w:sz w:val="26"/>
            <w:szCs w:val="26"/>
          </w:rPr>
          <w:instrText xml:space="preserve"> PAGE   \* MERGEFORMAT </w:instrText>
        </w:r>
        <w:r w:rsidRPr="002B795C">
          <w:rPr>
            <w:color w:val="FFFFFF" w:themeColor="background1"/>
            <w:sz w:val="26"/>
            <w:szCs w:val="26"/>
          </w:rPr>
          <w:fldChar w:fldCharType="separate"/>
        </w:r>
        <w:r w:rsidRPr="002B795C">
          <w:rPr>
            <w:noProof/>
            <w:color w:val="FFFFFF" w:themeColor="background1"/>
            <w:sz w:val="26"/>
            <w:szCs w:val="26"/>
          </w:rPr>
          <w:t>2</w:t>
        </w:r>
        <w:r w:rsidRPr="002B795C">
          <w:rPr>
            <w:noProof/>
            <w:color w:val="FFFFFF" w:themeColor="background1"/>
            <w:sz w:val="26"/>
            <w:szCs w:val="2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975892"/>
      <w:docPartObj>
        <w:docPartGallery w:val="Page Numbers (Bottom of Page)"/>
        <w:docPartUnique/>
      </w:docPartObj>
    </w:sdtPr>
    <w:sdtEndPr>
      <w:rPr>
        <w:noProof/>
        <w:color w:val="FFFFFF" w:themeColor="background1"/>
        <w:sz w:val="26"/>
        <w:szCs w:val="26"/>
      </w:rPr>
    </w:sdtEndPr>
    <w:sdtContent>
      <w:p w14:paraId="0D02A6BA" w14:textId="1430B853" w:rsidR="008E7E23" w:rsidRPr="002B795C" w:rsidRDefault="008E7E23" w:rsidP="00107A28">
        <w:pPr>
          <w:pStyle w:val="Footer"/>
          <w:jc w:val="center"/>
          <w:rPr>
            <w:color w:val="FFFFFF" w:themeColor="background1"/>
            <w:sz w:val="26"/>
            <w:szCs w:val="26"/>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34208"/>
      <w:docPartObj>
        <w:docPartGallery w:val="Page Numbers (Bottom of Page)"/>
        <w:docPartUnique/>
      </w:docPartObj>
    </w:sdtPr>
    <w:sdtEndPr>
      <w:rPr>
        <w:noProof/>
        <w:sz w:val="26"/>
        <w:szCs w:val="26"/>
      </w:rPr>
    </w:sdtEndPr>
    <w:sdtContent>
      <w:p w14:paraId="1D29601B" w14:textId="77777777" w:rsidR="008E7E23" w:rsidRPr="00107A28" w:rsidRDefault="008E7E23" w:rsidP="00107A28">
        <w:pPr>
          <w:pStyle w:val="Footer"/>
          <w:jc w:val="center"/>
          <w:rPr>
            <w:sz w:val="26"/>
            <w:szCs w:val="26"/>
          </w:rPr>
        </w:pPr>
        <w:r w:rsidRPr="00107A28">
          <w:rPr>
            <w:sz w:val="26"/>
            <w:szCs w:val="26"/>
          </w:rPr>
          <w:fldChar w:fldCharType="begin"/>
        </w:r>
        <w:r w:rsidRPr="00107A28">
          <w:rPr>
            <w:sz w:val="26"/>
            <w:szCs w:val="26"/>
          </w:rPr>
          <w:instrText xml:space="preserve"> PAGE   \* MERGEFORMAT </w:instrText>
        </w:r>
        <w:r w:rsidRPr="00107A28">
          <w:rPr>
            <w:sz w:val="26"/>
            <w:szCs w:val="26"/>
          </w:rPr>
          <w:fldChar w:fldCharType="separate"/>
        </w:r>
        <w:r w:rsidRPr="00107A28">
          <w:rPr>
            <w:noProof/>
            <w:sz w:val="26"/>
            <w:szCs w:val="26"/>
          </w:rPr>
          <w:t>2</w:t>
        </w:r>
        <w:r w:rsidRPr="00107A28">
          <w:rPr>
            <w:noProof/>
            <w:sz w:val="26"/>
            <w:szCs w:val="2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322615"/>
      <w:docPartObj>
        <w:docPartGallery w:val="Page Numbers (Bottom of Page)"/>
        <w:docPartUnique/>
      </w:docPartObj>
    </w:sdtPr>
    <w:sdtEndPr>
      <w:rPr>
        <w:noProof/>
        <w:sz w:val="26"/>
        <w:szCs w:val="26"/>
      </w:rPr>
    </w:sdtEndPr>
    <w:sdtContent>
      <w:p w14:paraId="076AD5BC" w14:textId="339F6EA4" w:rsidR="008E7E23" w:rsidRPr="00107A28" w:rsidRDefault="008E7E23" w:rsidP="00107A28">
        <w:pPr>
          <w:pStyle w:val="Footer"/>
          <w:jc w:val="center"/>
          <w:rPr>
            <w:sz w:val="26"/>
            <w:szCs w:val="26"/>
          </w:rPr>
        </w:pPr>
        <w:r>
          <w:rPr>
            <w:sz w:val="26"/>
            <w:szCs w:val="26"/>
          </w:rPr>
          <w:t>2</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094508"/>
      <w:docPartObj>
        <w:docPartGallery w:val="Page Numbers (Bottom of Page)"/>
        <w:docPartUnique/>
      </w:docPartObj>
    </w:sdtPr>
    <w:sdtEndPr>
      <w:rPr>
        <w:noProof/>
        <w:sz w:val="26"/>
        <w:szCs w:val="26"/>
      </w:rPr>
    </w:sdtEndPr>
    <w:sdtContent>
      <w:p w14:paraId="248AAF55" w14:textId="6D694364" w:rsidR="008E7E23" w:rsidRPr="00107A28" w:rsidRDefault="008E7E23" w:rsidP="00107A28">
        <w:pPr>
          <w:pStyle w:val="Footer"/>
          <w:jc w:val="center"/>
          <w:rPr>
            <w:sz w:val="26"/>
            <w:szCs w:val="26"/>
          </w:rPr>
        </w:pPr>
        <w:r>
          <w:rPr>
            <w:sz w:val="26"/>
            <w:szCs w:val="26"/>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A5111" w14:textId="77777777" w:rsidR="006D53B2" w:rsidRDefault="006D53B2" w:rsidP="002826C5">
      <w:r>
        <w:separator/>
      </w:r>
    </w:p>
  </w:footnote>
  <w:footnote w:type="continuationSeparator" w:id="0">
    <w:p w14:paraId="4412C23C" w14:textId="77777777" w:rsidR="006D53B2" w:rsidRDefault="006D53B2">
      <w:r>
        <w:continuationSeparator/>
      </w:r>
    </w:p>
    <w:p w14:paraId="1EB24FB1" w14:textId="77777777" w:rsidR="006D53B2" w:rsidRDefault="006D53B2"/>
    <w:p w14:paraId="39A7EF40" w14:textId="77777777" w:rsidR="006D53B2" w:rsidRDefault="006D53B2" w:rsidP="002826C5"/>
  </w:footnote>
  <w:footnote w:type="continuationNotice" w:id="1">
    <w:p w14:paraId="57090683" w14:textId="77777777" w:rsidR="006D53B2" w:rsidRDefault="006D53B2"/>
    <w:p w14:paraId="104BAA55" w14:textId="77777777" w:rsidR="006D53B2" w:rsidRDefault="006D53B2"/>
    <w:p w14:paraId="41D23115" w14:textId="77777777" w:rsidR="006D53B2" w:rsidRDefault="006D53B2" w:rsidP="002826C5"/>
  </w:footnote>
  <w:footnote w:id="2">
    <w:p w14:paraId="4C1C0DBC" w14:textId="6F4748B7" w:rsidR="008E7E23" w:rsidRPr="00430E70" w:rsidRDefault="008E7E23" w:rsidP="00716708">
      <w:pPr>
        <w:pStyle w:val="FootnoteText"/>
        <w:keepNext/>
        <w:keepLines/>
        <w:spacing w:after="120"/>
        <w:ind w:firstLine="720"/>
        <w:rPr>
          <w:sz w:val="26"/>
          <w:szCs w:val="26"/>
        </w:rPr>
      </w:pPr>
      <w:r w:rsidRPr="00430E70">
        <w:rPr>
          <w:rStyle w:val="FootnoteReference"/>
          <w:sz w:val="26"/>
          <w:szCs w:val="26"/>
        </w:rPr>
        <w:footnoteRef/>
      </w:r>
      <w:r w:rsidRPr="00430E70">
        <w:rPr>
          <w:sz w:val="26"/>
          <w:szCs w:val="26"/>
        </w:rPr>
        <w:t xml:space="preserve"> </w:t>
      </w:r>
      <w:r w:rsidRPr="00430E70">
        <w:rPr>
          <w:sz w:val="26"/>
          <w:szCs w:val="26"/>
        </w:rPr>
        <w:tab/>
        <w:t>I&amp;E submitted a request for an extension of time to file Exceptions and Reply Exceptions, which was approved by Secretarial Letter on March 6, 2020.</w:t>
      </w:r>
      <w:r>
        <w:rPr>
          <w:sz w:val="26"/>
          <w:szCs w:val="26"/>
        </w:rPr>
        <w:t xml:space="preserve">  The approval extended the due date for the filing of Exceptions to March 13, 2020 and the due date for the filing of Reply Exceptions to March 23, 2020. </w:t>
      </w:r>
    </w:p>
  </w:footnote>
  <w:footnote w:id="3">
    <w:p w14:paraId="6A49CACD" w14:textId="46DB9032" w:rsidR="008E7E23" w:rsidRPr="00E968D7" w:rsidRDefault="008E7E23" w:rsidP="00716708">
      <w:pPr>
        <w:pStyle w:val="FootnoteText"/>
        <w:keepNext/>
        <w:keepLines/>
        <w:spacing w:after="120"/>
        <w:ind w:firstLine="720"/>
        <w:rPr>
          <w:sz w:val="26"/>
          <w:szCs w:val="26"/>
        </w:rPr>
      </w:pPr>
      <w:r w:rsidRPr="00E968D7">
        <w:rPr>
          <w:rStyle w:val="FootnoteReference"/>
          <w:sz w:val="26"/>
          <w:szCs w:val="26"/>
        </w:rPr>
        <w:footnoteRef/>
      </w:r>
      <w:r w:rsidRPr="00E968D7">
        <w:rPr>
          <w:sz w:val="26"/>
          <w:szCs w:val="26"/>
        </w:rPr>
        <w:t xml:space="preserve"> </w:t>
      </w:r>
      <w:r w:rsidRPr="00E968D7">
        <w:rPr>
          <w:sz w:val="26"/>
          <w:szCs w:val="26"/>
        </w:rPr>
        <w:tab/>
        <w:t>The future test year (FTY) ended December 31, 2019, and the historic test year (HTY) ended December 31, 2018.</w:t>
      </w:r>
    </w:p>
  </w:footnote>
  <w:footnote w:id="4">
    <w:p w14:paraId="0BC6C466" w14:textId="75D4BA69" w:rsidR="008E7E23" w:rsidRPr="00027EE4" w:rsidRDefault="008E7E23" w:rsidP="00716708">
      <w:pPr>
        <w:pStyle w:val="FootnoteText"/>
        <w:keepNext/>
        <w:keepLines/>
        <w:spacing w:after="120"/>
        <w:ind w:firstLine="720"/>
        <w:rPr>
          <w:sz w:val="26"/>
          <w:szCs w:val="26"/>
        </w:rPr>
      </w:pPr>
      <w:r w:rsidRPr="00027EE4">
        <w:rPr>
          <w:rStyle w:val="FootnoteReference"/>
          <w:sz w:val="26"/>
          <w:szCs w:val="26"/>
        </w:rPr>
        <w:footnoteRef/>
      </w:r>
      <w:r w:rsidRPr="00027EE4">
        <w:rPr>
          <w:sz w:val="26"/>
          <w:szCs w:val="26"/>
        </w:rPr>
        <w:t xml:space="preserve"> </w:t>
      </w:r>
      <w:r>
        <w:rPr>
          <w:sz w:val="26"/>
          <w:szCs w:val="26"/>
        </w:rPr>
        <w:tab/>
      </w:r>
      <w:r w:rsidRPr="00B557BF">
        <w:rPr>
          <w:i/>
          <w:iCs/>
          <w:sz w:val="26"/>
          <w:szCs w:val="26"/>
        </w:rPr>
        <w:t>See</w:t>
      </w:r>
      <w:r w:rsidRPr="00417616">
        <w:rPr>
          <w:sz w:val="26"/>
          <w:szCs w:val="26"/>
        </w:rPr>
        <w:t xml:space="preserve">, </w:t>
      </w:r>
      <w:r>
        <w:rPr>
          <w:sz w:val="26"/>
          <w:szCs w:val="26"/>
        </w:rPr>
        <w:t xml:space="preserve">Citizens’ Exh._(HSG-1), Sch. C1.  </w:t>
      </w:r>
      <w:r w:rsidRPr="00027EE4">
        <w:rPr>
          <w:sz w:val="26"/>
          <w:szCs w:val="26"/>
        </w:rPr>
        <w:t>Citizens’ subsequently revised its proposed revenue increase to $701,</w:t>
      </w:r>
      <w:r>
        <w:rPr>
          <w:sz w:val="26"/>
          <w:szCs w:val="26"/>
        </w:rPr>
        <w:t xml:space="preserve">264, reflecting a $74,029 decrease to its as-filed rate base claim and revising its claim for return on equity from 11.15% to 10.30%.  </w:t>
      </w:r>
      <w:r w:rsidRPr="00027EE4">
        <w:rPr>
          <w:sz w:val="26"/>
          <w:szCs w:val="26"/>
        </w:rPr>
        <w:t>Citizens’ St. 1-R</w:t>
      </w:r>
      <w:r>
        <w:rPr>
          <w:sz w:val="26"/>
          <w:szCs w:val="26"/>
        </w:rPr>
        <w:t xml:space="preserve"> at 2</w:t>
      </w:r>
      <w:r w:rsidRPr="00027EE4">
        <w:rPr>
          <w:sz w:val="26"/>
          <w:szCs w:val="26"/>
        </w:rPr>
        <w:t>; Citizens’ Exh.</w:t>
      </w:r>
      <w:r>
        <w:rPr>
          <w:sz w:val="26"/>
          <w:szCs w:val="26"/>
        </w:rPr>
        <w:t>_(</w:t>
      </w:r>
      <w:r w:rsidRPr="00027EE4">
        <w:rPr>
          <w:sz w:val="26"/>
          <w:szCs w:val="26"/>
        </w:rPr>
        <w:t>HSG-1R</w:t>
      </w:r>
      <w:r>
        <w:rPr>
          <w:sz w:val="26"/>
          <w:szCs w:val="26"/>
        </w:rPr>
        <w:t>)</w:t>
      </w:r>
      <w:r w:rsidRPr="00027EE4">
        <w:rPr>
          <w:sz w:val="26"/>
          <w:szCs w:val="26"/>
        </w:rPr>
        <w:t xml:space="preserve">, Sch. C1(R). </w:t>
      </w:r>
    </w:p>
  </w:footnote>
  <w:footnote w:id="5">
    <w:p w14:paraId="07F33538" w14:textId="315ACA9D" w:rsidR="008E7E23" w:rsidRPr="004863A3" w:rsidRDefault="008E7E23" w:rsidP="004863A3">
      <w:pPr>
        <w:keepNext/>
        <w:keepLines/>
        <w:widowControl/>
        <w:spacing w:after="120"/>
        <w:ind w:firstLine="720"/>
        <w:rPr>
          <w:sz w:val="26"/>
          <w:szCs w:val="26"/>
        </w:rPr>
      </w:pPr>
      <w:r w:rsidRPr="00B70F54">
        <w:rPr>
          <w:rStyle w:val="FootnoteReference"/>
          <w:rFonts w:eastAsiaTheme="majorEastAsia"/>
          <w:sz w:val="26"/>
          <w:szCs w:val="26"/>
        </w:rPr>
        <w:footnoteRef/>
      </w:r>
      <w:r w:rsidRPr="00B70F54">
        <w:rPr>
          <w:sz w:val="26"/>
          <w:szCs w:val="26"/>
        </w:rPr>
        <w:t xml:space="preserve"> </w:t>
      </w:r>
      <w:r w:rsidRPr="00B70F54">
        <w:rPr>
          <w:sz w:val="26"/>
          <w:szCs w:val="26"/>
        </w:rPr>
        <w:tab/>
      </w:r>
      <w:r w:rsidRPr="00CF45C3">
        <w:rPr>
          <w:sz w:val="26"/>
          <w:szCs w:val="26"/>
        </w:rPr>
        <w:t xml:space="preserve">Among other things, Section 1308(d) of the Code requires the Commission to render a final decision granting or denying, in whole or in part, the general rate increase requested by a public utility, within a general time frame not to exceed seven months from the proposed effective date of the utility’s proposed tariff supplement.  </w:t>
      </w:r>
      <w:r w:rsidRPr="00CF45C3">
        <w:rPr>
          <w:i/>
          <w:sz w:val="26"/>
          <w:szCs w:val="26"/>
        </w:rPr>
        <w:t>See</w:t>
      </w:r>
      <w:r w:rsidRPr="00417616">
        <w:rPr>
          <w:iCs/>
          <w:sz w:val="26"/>
          <w:szCs w:val="26"/>
        </w:rPr>
        <w:t>,</w:t>
      </w:r>
      <w:r w:rsidRPr="00CF45C3">
        <w:rPr>
          <w:i/>
          <w:sz w:val="26"/>
          <w:szCs w:val="26"/>
        </w:rPr>
        <w:t xml:space="preserve"> </w:t>
      </w:r>
      <w:r w:rsidRPr="00CF45C3">
        <w:rPr>
          <w:sz w:val="26"/>
          <w:szCs w:val="26"/>
        </w:rPr>
        <w:t xml:space="preserve">66 Pa. C.S. § 1308(d); </w:t>
      </w:r>
      <w:r w:rsidRPr="00CF45C3">
        <w:rPr>
          <w:i/>
          <w:sz w:val="26"/>
          <w:szCs w:val="26"/>
        </w:rPr>
        <w:t>see also</w:t>
      </w:r>
      <w:r w:rsidRPr="00417616">
        <w:rPr>
          <w:iCs/>
          <w:sz w:val="26"/>
          <w:szCs w:val="26"/>
        </w:rPr>
        <w:t>,</w:t>
      </w:r>
      <w:r w:rsidRPr="00CF45C3">
        <w:rPr>
          <w:sz w:val="26"/>
          <w:szCs w:val="26"/>
        </w:rPr>
        <w:t xml:space="preserve"> 52 Pa. Code § 53.31 (requiring a tariff proposing rate increase to be effective upon sixty days’ advance notice).  Unless the utility voluntarily extends the suspension period, the Commission’s non-action within this timeframe means, by operation of law, the utility’s proposed general rate increase will go into effect, as proposed, at the end of such period.  </w:t>
      </w:r>
      <w:r w:rsidRPr="00CF45C3">
        <w:rPr>
          <w:i/>
          <w:sz w:val="26"/>
          <w:szCs w:val="26"/>
        </w:rPr>
        <w:t>See</w:t>
      </w:r>
      <w:r w:rsidRPr="00417616">
        <w:rPr>
          <w:iCs/>
          <w:sz w:val="26"/>
          <w:szCs w:val="26"/>
        </w:rPr>
        <w:t>, 6</w:t>
      </w:r>
      <w:r w:rsidRPr="00CF45C3">
        <w:rPr>
          <w:sz w:val="26"/>
          <w:szCs w:val="26"/>
        </w:rPr>
        <w:t>6 Pa.</w:t>
      </w:r>
      <w:r>
        <w:rPr>
          <w:sz w:val="26"/>
          <w:szCs w:val="26"/>
        </w:rPr>
        <w:t xml:space="preserve"> </w:t>
      </w:r>
      <w:r w:rsidRPr="00CF45C3">
        <w:rPr>
          <w:sz w:val="26"/>
          <w:szCs w:val="26"/>
        </w:rPr>
        <w:t>C.S. § 1308(d).</w:t>
      </w:r>
    </w:p>
  </w:footnote>
  <w:footnote w:id="6">
    <w:p w14:paraId="2D73F100" w14:textId="77777777" w:rsidR="008E7E23" w:rsidRPr="00CB55D9" w:rsidRDefault="008E7E23" w:rsidP="00716708">
      <w:pPr>
        <w:pStyle w:val="FootnoteText"/>
        <w:keepNext/>
        <w:keepLines/>
        <w:spacing w:after="120"/>
        <w:rPr>
          <w:sz w:val="26"/>
          <w:szCs w:val="26"/>
        </w:rPr>
      </w:pPr>
      <w:r w:rsidRPr="00CB55D9">
        <w:rPr>
          <w:sz w:val="26"/>
          <w:szCs w:val="26"/>
        </w:rPr>
        <w:tab/>
      </w:r>
      <w:r w:rsidRPr="00CB55D9">
        <w:rPr>
          <w:rStyle w:val="FootnoteReference"/>
          <w:sz w:val="26"/>
          <w:szCs w:val="26"/>
        </w:rPr>
        <w:footnoteRef/>
      </w:r>
      <w:r w:rsidRPr="00CB55D9">
        <w:rPr>
          <w:sz w:val="26"/>
          <w:szCs w:val="26"/>
        </w:rPr>
        <w:tab/>
        <w:t xml:space="preserve">1 Pa. C.S. § 1922(1), </w:t>
      </w:r>
      <w:r w:rsidRPr="00CB55D9">
        <w:rPr>
          <w:i/>
          <w:sz w:val="26"/>
          <w:szCs w:val="26"/>
        </w:rPr>
        <w:t>PA Financial Responsibility Assigned Claims Plan v. English</w:t>
      </w:r>
      <w:r w:rsidRPr="00CB55D9">
        <w:rPr>
          <w:sz w:val="26"/>
          <w:szCs w:val="26"/>
        </w:rPr>
        <w:t>, 541 Pa. 424, 430-431, 64 A.2d 84, 87 (1995).</w:t>
      </w:r>
    </w:p>
  </w:footnote>
  <w:footnote w:id="7">
    <w:p w14:paraId="1F582658" w14:textId="10339686" w:rsidR="008E7E23" w:rsidRPr="00B85B46" w:rsidRDefault="008E7E23" w:rsidP="00716708">
      <w:pPr>
        <w:pStyle w:val="FootnoteText"/>
        <w:keepNext/>
        <w:keepLines/>
        <w:spacing w:after="120"/>
        <w:ind w:firstLine="720"/>
        <w:rPr>
          <w:sz w:val="26"/>
          <w:szCs w:val="26"/>
        </w:rPr>
      </w:pPr>
      <w:r w:rsidRPr="00B85B46">
        <w:rPr>
          <w:rStyle w:val="FootnoteReference"/>
          <w:sz w:val="26"/>
          <w:szCs w:val="26"/>
        </w:rPr>
        <w:footnoteRef/>
      </w:r>
      <w:r w:rsidRPr="00B85B46">
        <w:rPr>
          <w:sz w:val="26"/>
          <w:szCs w:val="26"/>
        </w:rPr>
        <w:t xml:space="preserve"> </w:t>
      </w:r>
      <w:r w:rsidRPr="00B85B46">
        <w:rPr>
          <w:sz w:val="26"/>
          <w:szCs w:val="26"/>
        </w:rPr>
        <w:tab/>
        <w:t xml:space="preserve">It appears that the Recommended Decision inadvertently misstated the reduction in the Federal </w:t>
      </w:r>
      <w:r>
        <w:rPr>
          <w:sz w:val="26"/>
          <w:szCs w:val="26"/>
        </w:rPr>
        <w:t>i</w:t>
      </w:r>
      <w:r w:rsidRPr="00B85B46">
        <w:rPr>
          <w:sz w:val="26"/>
          <w:szCs w:val="26"/>
        </w:rPr>
        <w:t xml:space="preserve">ncome </w:t>
      </w:r>
      <w:r>
        <w:rPr>
          <w:sz w:val="26"/>
          <w:szCs w:val="26"/>
        </w:rPr>
        <w:t>t</w:t>
      </w:r>
      <w:r w:rsidRPr="00B85B46">
        <w:rPr>
          <w:sz w:val="26"/>
          <w:szCs w:val="26"/>
        </w:rPr>
        <w:t xml:space="preserve">ax rate due to the TCJA to be from 34%, rather than 35%, to 21%.  </w:t>
      </w:r>
    </w:p>
  </w:footnote>
  <w:footnote w:id="8">
    <w:p w14:paraId="724104A2" w14:textId="71385BBF" w:rsidR="008E7E23" w:rsidRPr="003139BA" w:rsidRDefault="008E7E23" w:rsidP="00716708">
      <w:pPr>
        <w:pStyle w:val="FootnoteText"/>
        <w:keepNext/>
        <w:keepLines/>
        <w:spacing w:after="120"/>
        <w:ind w:firstLine="720"/>
        <w:rPr>
          <w:sz w:val="26"/>
          <w:szCs w:val="26"/>
        </w:rPr>
      </w:pPr>
      <w:r w:rsidRPr="003139BA">
        <w:rPr>
          <w:rStyle w:val="FootnoteReference"/>
          <w:sz w:val="26"/>
          <w:szCs w:val="26"/>
        </w:rPr>
        <w:footnoteRef/>
      </w:r>
      <w:r w:rsidRPr="003139BA">
        <w:rPr>
          <w:sz w:val="26"/>
          <w:szCs w:val="26"/>
        </w:rPr>
        <w:t xml:space="preserve"> </w:t>
      </w:r>
      <w:r w:rsidRPr="003139BA">
        <w:rPr>
          <w:sz w:val="26"/>
          <w:szCs w:val="26"/>
        </w:rPr>
        <w:tab/>
        <w:t>On March 18, 2020, the Department of the Treasury and the Internal Revenue Service (IRS) issued Notice 2020-17 providing relief under 26 U.S. Code §</w:t>
      </w:r>
      <w:r>
        <w:rPr>
          <w:sz w:val="26"/>
          <w:szCs w:val="26"/>
        </w:rPr>
        <w:t> </w:t>
      </w:r>
      <w:r w:rsidRPr="003139BA">
        <w:rPr>
          <w:sz w:val="26"/>
          <w:szCs w:val="26"/>
        </w:rPr>
        <w:t>750</w:t>
      </w:r>
      <w:r>
        <w:rPr>
          <w:sz w:val="26"/>
          <w:szCs w:val="26"/>
        </w:rPr>
        <w:t>8</w:t>
      </w:r>
      <w:r w:rsidRPr="003139BA">
        <w:rPr>
          <w:sz w:val="26"/>
          <w:szCs w:val="26"/>
        </w:rPr>
        <w:t>A(a), which postponed the due date for filing certain Federal income tax returns and making Federal income tax payments from April 15, 2020 until July 15, 2020</w:t>
      </w:r>
      <w:r>
        <w:rPr>
          <w:sz w:val="26"/>
          <w:szCs w:val="26"/>
        </w:rPr>
        <w:t xml:space="preserve"> in response to the ongoing Coronavirus Disease 2019 (COVID-19).  Notice 2020-18 restated and expanded upon the relief provided in Notice 2020-17.</w:t>
      </w:r>
    </w:p>
  </w:footnote>
  <w:footnote w:id="9">
    <w:p w14:paraId="16A31F52" w14:textId="7DED85E0" w:rsidR="008E7E23" w:rsidRPr="00BD063F" w:rsidRDefault="008E7E23" w:rsidP="00E63ABF">
      <w:pPr>
        <w:pStyle w:val="FootnoteText"/>
        <w:keepNext/>
        <w:keepLines/>
        <w:ind w:firstLine="720"/>
        <w:rPr>
          <w:sz w:val="26"/>
          <w:szCs w:val="26"/>
        </w:rPr>
      </w:pPr>
      <w:r w:rsidRPr="00BD063F">
        <w:rPr>
          <w:rStyle w:val="FootnoteReference"/>
          <w:sz w:val="26"/>
          <w:szCs w:val="26"/>
        </w:rPr>
        <w:footnoteRef/>
      </w:r>
      <w:r>
        <w:rPr>
          <w:sz w:val="26"/>
          <w:szCs w:val="26"/>
        </w:rPr>
        <w:t xml:space="preserve"> </w:t>
      </w:r>
      <w:r>
        <w:rPr>
          <w:sz w:val="26"/>
          <w:szCs w:val="26"/>
        </w:rPr>
        <w:tab/>
        <w:t>The OCA’s proposal averages the Company’s FPFTY projection of $26,687,785 (at December 31, 2020) with the FTY amount of $25,502,273 (at December 31, 2019) to obtain an adjusted FPFTY balance of $26,095,029.  OCA St. 2, Sch. LKM</w:t>
      </w:r>
      <w:r>
        <w:rPr>
          <w:sz w:val="26"/>
          <w:szCs w:val="26"/>
        </w:rPr>
        <w:noBreakHyphen/>
        <w:t xml:space="preserve">1.  </w:t>
      </w:r>
    </w:p>
  </w:footnote>
  <w:footnote w:id="10">
    <w:p w14:paraId="18CD0040" w14:textId="5309CF94" w:rsidR="008E7E23" w:rsidRPr="00E4378A" w:rsidRDefault="008E7E23" w:rsidP="00716708">
      <w:pPr>
        <w:pStyle w:val="FootnoteText"/>
        <w:keepNext/>
        <w:keepLines/>
        <w:spacing w:after="120"/>
        <w:ind w:firstLine="720"/>
        <w:rPr>
          <w:sz w:val="26"/>
          <w:szCs w:val="26"/>
        </w:rPr>
      </w:pPr>
      <w:r w:rsidRPr="00E4378A">
        <w:rPr>
          <w:rStyle w:val="FootnoteReference"/>
          <w:sz w:val="26"/>
          <w:szCs w:val="26"/>
        </w:rPr>
        <w:footnoteRef/>
      </w:r>
      <w:r w:rsidRPr="00E4378A">
        <w:rPr>
          <w:sz w:val="26"/>
          <w:szCs w:val="26"/>
        </w:rPr>
        <w:t xml:space="preserve"> </w:t>
      </w:r>
      <w:r w:rsidRPr="00E4378A">
        <w:rPr>
          <w:sz w:val="26"/>
          <w:szCs w:val="26"/>
        </w:rPr>
        <w:tab/>
      </w:r>
      <w:r w:rsidRPr="00E4378A">
        <w:rPr>
          <w:rFonts w:eastAsiaTheme="minorHAnsi"/>
          <w:sz w:val="26"/>
          <w:szCs w:val="26"/>
        </w:rPr>
        <w:t xml:space="preserve">This discrepancy resulted from the inclusion of a Gross Receipts Tax expense of $282,719, based on the Company’s projected operating revenue for the FPFTY at </w:t>
      </w:r>
      <w:r w:rsidRPr="00A75060">
        <w:rPr>
          <w:rFonts w:eastAsiaTheme="minorHAnsi"/>
          <w:i/>
          <w:iCs/>
          <w:sz w:val="26"/>
          <w:szCs w:val="26"/>
        </w:rPr>
        <w:t>present rates</w:t>
      </w:r>
      <w:r w:rsidRPr="00E4378A">
        <w:rPr>
          <w:rFonts w:eastAsiaTheme="minorHAnsi"/>
          <w:sz w:val="26"/>
          <w:szCs w:val="26"/>
        </w:rPr>
        <w:t xml:space="preserve">, in the Taxes other than income amount of $356,823, and the inclusion of a Gross Receipts Tax expense of $324,085, based on the Company’s projected operating revenue for the FPFTY at </w:t>
      </w:r>
      <w:r w:rsidRPr="00A75060">
        <w:rPr>
          <w:rFonts w:eastAsiaTheme="minorHAnsi"/>
          <w:i/>
          <w:iCs/>
          <w:sz w:val="26"/>
          <w:szCs w:val="26"/>
        </w:rPr>
        <w:t>proposed rates</w:t>
      </w:r>
      <w:r w:rsidRPr="00E4378A">
        <w:rPr>
          <w:rFonts w:eastAsiaTheme="minorHAnsi"/>
          <w:sz w:val="26"/>
          <w:szCs w:val="26"/>
        </w:rPr>
        <w:t>, in the Taxes other than income amount of $398,189.  Citizens’ Exh._(HSG-1), Sch. C1-3(R)</w:t>
      </w:r>
      <w:r>
        <w:rPr>
          <w:rFonts w:eastAsiaTheme="minorHAnsi"/>
          <w:sz w:val="26"/>
          <w:szCs w:val="26"/>
        </w:rPr>
        <w:t>.</w:t>
      </w:r>
    </w:p>
  </w:footnote>
  <w:footnote w:id="11">
    <w:p w14:paraId="355B998C" w14:textId="3FA2097C" w:rsidR="008E7E23" w:rsidRDefault="008E7E23" w:rsidP="00716708">
      <w:pPr>
        <w:pStyle w:val="FootnoteText"/>
        <w:keepNext/>
        <w:keepLines/>
        <w:spacing w:after="120"/>
        <w:ind w:firstLine="720"/>
      </w:pPr>
      <w:r w:rsidRPr="002909AF">
        <w:rPr>
          <w:rStyle w:val="FootnoteReference"/>
          <w:sz w:val="26"/>
          <w:szCs w:val="26"/>
        </w:rPr>
        <w:footnoteRef/>
      </w:r>
      <w:r w:rsidRPr="002909AF">
        <w:rPr>
          <w:sz w:val="26"/>
          <w:szCs w:val="26"/>
        </w:rPr>
        <w:t xml:space="preserve"> </w:t>
      </w:r>
      <w:r w:rsidRPr="002909AF">
        <w:rPr>
          <w:sz w:val="26"/>
          <w:szCs w:val="26"/>
        </w:rPr>
        <w:tab/>
        <w:t>I&amp;E Exhibit No. 3-SR, Schedule 2 specifically shows the projected average number of customers for each class for the twelve months ending December 31, 2020, based on the three-year average of customer growth from December 2015 through December 2018 projected into the FTY and FPFTY, in addition to removing the one-time loss of 32 customer in the FTY</w:t>
      </w:r>
      <w:r>
        <w:rPr>
          <w:sz w:val="26"/>
          <w:szCs w:val="26"/>
        </w:rPr>
        <w:t>.</w:t>
      </w:r>
    </w:p>
  </w:footnote>
  <w:footnote w:id="12">
    <w:p w14:paraId="14A3DB00" w14:textId="13AC7F96" w:rsidR="008E7E23" w:rsidRPr="00EA6773" w:rsidRDefault="008E7E23" w:rsidP="00716708">
      <w:pPr>
        <w:pStyle w:val="FootnoteText"/>
        <w:keepNext/>
        <w:keepLines/>
        <w:spacing w:after="120"/>
        <w:ind w:firstLine="720"/>
        <w:rPr>
          <w:sz w:val="26"/>
          <w:szCs w:val="26"/>
        </w:rPr>
      </w:pPr>
      <w:r w:rsidRPr="00EA6773">
        <w:rPr>
          <w:rStyle w:val="FootnoteReference"/>
          <w:sz w:val="26"/>
          <w:szCs w:val="26"/>
        </w:rPr>
        <w:footnoteRef/>
      </w:r>
      <w:r w:rsidRPr="00EA6773">
        <w:rPr>
          <w:sz w:val="26"/>
          <w:szCs w:val="26"/>
        </w:rPr>
        <w:t xml:space="preserve"> </w:t>
      </w:r>
      <w:r>
        <w:rPr>
          <w:sz w:val="26"/>
          <w:szCs w:val="26"/>
        </w:rPr>
        <w:tab/>
        <w:t>We note that I&amp;E’s annualized FTY expense of $119,532 is based on the annualization of actual costs incurred during the first 6 months of the FTY, not the first 9 months as Citizens’ states on page 17 of its Exceptions.  I&amp;E St. 1 at 11.</w:t>
      </w:r>
    </w:p>
  </w:footnote>
  <w:footnote w:id="13">
    <w:p w14:paraId="7AD5B29E" w14:textId="38E03836" w:rsidR="008E7E23" w:rsidRPr="00AA674D" w:rsidRDefault="008E7E23" w:rsidP="00716708">
      <w:pPr>
        <w:pStyle w:val="FootnoteText"/>
        <w:keepNext/>
        <w:keepLines/>
        <w:spacing w:after="120"/>
        <w:ind w:firstLine="720"/>
        <w:rPr>
          <w:sz w:val="26"/>
          <w:szCs w:val="26"/>
        </w:rPr>
      </w:pPr>
      <w:r w:rsidRPr="00AA674D">
        <w:rPr>
          <w:rStyle w:val="FootnoteReference"/>
          <w:sz w:val="26"/>
          <w:szCs w:val="26"/>
        </w:rPr>
        <w:footnoteRef/>
      </w:r>
      <w:r w:rsidRPr="00AA674D">
        <w:rPr>
          <w:sz w:val="26"/>
          <w:szCs w:val="26"/>
        </w:rPr>
        <w:t xml:space="preserve"> </w:t>
      </w:r>
      <w:r w:rsidRPr="00AA674D">
        <w:rPr>
          <w:sz w:val="26"/>
          <w:szCs w:val="26"/>
        </w:rPr>
        <w:tab/>
        <w:t>Citizens’ averaged multiple ROE methods to determine a 9.05% cost of equity plus an additional 1.25% to reflect a size adjustment and management efficiency.</w:t>
      </w:r>
    </w:p>
  </w:footnote>
  <w:footnote w:id="14">
    <w:p w14:paraId="04D5D6D9" w14:textId="787E4FB9" w:rsidR="008E7E23" w:rsidRDefault="008E7E23" w:rsidP="00716708">
      <w:pPr>
        <w:pStyle w:val="FootnoteText"/>
        <w:keepNext/>
        <w:keepLines/>
        <w:spacing w:after="120"/>
        <w:ind w:firstLine="720"/>
      </w:pPr>
      <w:r w:rsidRPr="00AA674D">
        <w:rPr>
          <w:rStyle w:val="FootnoteReference"/>
          <w:sz w:val="26"/>
          <w:szCs w:val="26"/>
        </w:rPr>
        <w:footnoteRef/>
      </w:r>
      <w:r w:rsidRPr="00AA674D">
        <w:rPr>
          <w:sz w:val="26"/>
          <w:szCs w:val="26"/>
        </w:rPr>
        <w:t xml:space="preserve"> </w:t>
      </w:r>
      <w:r w:rsidRPr="00AA674D">
        <w:rPr>
          <w:sz w:val="26"/>
          <w:szCs w:val="26"/>
        </w:rPr>
        <w:tab/>
        <w:t>The OCA’s recommended ROE is the median value of all cost rates of the constant growth DCF and the FERC-two-step, an alternative model.</w:t>
      </w:r>
    </w:p>
  </w:footnote>
  <w:footnote w:id="15">
    <w:p w14:paraId="74F85246" w14:textId="77777777" w:rsidR="008E7E23" w:rsidRPr="007F25F6" w:rsidRDefault="008E7E23" w:rsidP="00716708">
      <w:pPr>
        <w:pStyle w:val="FootnoteText"/>
        <w:keepNext/>
        <w:keepLines/>
        <w:spacing w:after="120"/>
        <w:rPr>
          <w:sz w:val="26"/>
          <w:szCs w:val="26"/>
        </w:rPr>
      </w:pPr>
      <w:r>
        <w:rPr>
          <w:sz w:val="26"/>
          <w:szCs w:val="26"/>
        </w:rPr>
        <w:tab/>
      </w:r>
      <w:r w:rsidRPr="007F25F6">
        <w:rPr>
          <w:rStyle w:val="FootnoteReference"/>
          <w:sz w:val="26"/>
          <w:szCs w:val="26"/>
        </w:rPr>
        <w:footnoteRef/>
      </w:r>
      <w:r w:rsidRPr="007F25F6">
        <w:rPr>
          <w:sz w:val="26"/>
          <w:szCs w:val="26"/>
        </w:rPr>
        <w:tab/>
        <w:t>Citizens’ Rebuttal update reduced the recommended ROE for Citizens’ from 11.15% to 10.30%.  Citizens’ M.B. at 64.</w:t>
      </w:r>
    </w:p>
  </w:footnote>
  <w:footnote w:id="16">
    <w:p w14:paraId="7021883F" w14:textId="0AF253DA" w:rsidR="008E7E23" w:rsidRPr="0039706A" w:rsidRDefault="008E7E23" w:rsidP="00716708">
      <w:pPr>
        <w:pStyle w:val="FootnoteText"/>
        <w:keepNext/>
        <w:keepLines/>
        <w:spacing w:after="120"/>
        <w:contextualSpacing/>
        <w:rPr>
          <w:sz w:val="26"/>
          <w:szCs w:val="26"/>
        </w:rPr>
      </w:pPr>
      <w:r w:rsidRPr="0039706A">
        <w:rPr>
          <w:sz w:val="26"/>
          <w:szCs w:val="26"/>
        </w:rPr>
        <w:tab/>
      </w:r>
      <w:r w:rsidRPr="0039706A">
        <w:rPr>
          <w:rStyle w:val="FootnoteReference"/>
          <w:sz w:val="26"/>
          <w:szCs w:val="26"/>
        </w:rPr>
        <w:footnoteRef/>
      </w:r>
      <w:r w:rsidRPr="0039706A">
        <w:rPr>
          <w:sz w:val="26"/>
          <w:szCs w:val="26"/>
        </w:rPr>
        <w:t xml:space="preserve"> </w:t>
      </w:r>
      <w:r w:rsidRPr="0039706A">
        <w:rPr>
          <w:sz w:val="26"/>
          <w:szCs w:val="26"/>
        </w:rPr>
        <w:tab/>
      </w:r>
      <w:r w:rsidRPr="004C2E92">
        <w:rPr>
          <w:i/>
          <w:iCs/>
          <w:sz w:val="26"/>
          <w:szCs w:val="26"/>
        </w:rPr>
        <w:t>2012</w:t>
      </w:r>
      <w:r>
        <w:rPr>
          <w:sz w:val="26"/>
          <w:szCs w:val="26"/>
        </w:rPr>
        <w:t xml:space="preserve"> </w:t>
      </w:r>
      <w:r w:rsidRPr="0039706A">
        <w:rPr>
          <w:i/>
          <w:iCs/>
          <w:sz w:val="26"/>
          <w:szCs w:val="26"/>
        </w:rPr>
        <w:t>PPL</w:t>
      </w:r>
      <w:r>
        <w:rPr>
          <w:i/>
          <w:iCs/>
          <w:sz w:val="26"/>
          <w:szCs w:val="26"/>
        </w:rPr>
        <w:t xml:space="preserve"> </w:t>
      </w:r>
      <w:r w:rsidRPr="0039706A">
        <w:rPr>
          <w:i/>
          <w:iCs/>
          <w:sz w:val="26"/>
          <w:szCs w:val="26"/>
        </w:rPr>
        <w:t>Order</w:t>
      </w:r>
      <w:r w:rsidRPr="0039706A">
        <w:rPr>
          <w:sz w:val="26"/>
          <w:szCs w:val="26"/>
        </w:rPr>
        <w:t xml:space="preserve">; </w:t>
      </w:r>
      <w:r w:rsidRPr="00C95748">
        <w:rPr>
          <w:i/>
          <w:sz w:val="26"/>
          <w:szCs w:val="26"/>
        </w:rPr>
        <w:t xml:space="preserve">Pa. </w:t>
      </w:r>
      <w:r>
        <w:rPr>
          <w:i/>
          <w:sz w:val="26"/>
          <w:szCs w:val="26"/>
        </w:rPr>
        <w:t>PUC</w:t>
      </w:r>
      <w:r w:rsidRPr="00C95748">
        <w:rPr>
          <w:i/>
          <w:sz w:val="26"/>
          <w:szCs w:val="26"/>
        </w:rPr>
        <w:t xml:space="preserve"> v</w:t>
      </w:r>
      <w:r w:rsidRPr="0039706A">
        <w:rPr>
          <w:sz w:val="26"/>
          <w:szCs w:val="26"/>
        </w:rPr>
        <w:t xml:space="preserve">. </w:t>
      </w:r>
      <w:r w:rsidRPr="00A4333D">
        <w:rPr>
          <w:i/>
          <w:iCs/>
          <w:sz w:val="26"/>
          <w:szCs w:val="26"/>
        </w:rPr>
        <w:t>PPL Electric Utilities Corporation</w:t>
      </w:r>
      <w:r w:rsidRPr="0039706A">
        <w:rPr>
          <w:sz w:val="26"/>
          <w:szCs w:val="26"/>
        </w:rPr>
        <w:t>, 237</w:t>
      </w:r>
      <w:r>
        <w:rPr>
          <w:sz w:val="26"/>
          <w:szCs w:val="26"/>
        </w:rPr>
        <w:t> </w:t>
      </w:r>
      <w:r w:rsidRPr="0039706A">
        <w:rPr>
          <w:sz w:val="26"/>
          <w:szCs w:val="26"/>
        </w:rPr>
        <w:t>P.U.R. 4</w:t>
      </w:r>
      <w:r w:rsidRPr="0039706A">
        <w:rPr>
          <w:sz w:val="26"/>
          <w:szCs w:val="26"/>
          <w:vertAlign w:val="superscript"/>
        </w:rPr>
        <w:t>th</w:t>
      </w:r>
      <w:r w:rsidRPr="0039706A">
        <w:rPr>
          <w:sz w:val="26"/>
          <w:szCs w:val="26"/>
        </w:rPr>
        <w:t xml:space="preserve"> 419, 2004 Pa. PUC LEXIS 40 (December 2, 2004)</w:t>
      </w:r>
      <w:r>
        <w:rPr>
          <w:sz w:val="26"/>
          <w:szCs w:val="26"/>
        </w:rPr>
        <w:t>.</w:t>
      </w:r>
    </w:p>
  </w:footnote>
  <w:footnote w:id="17">
    <w:p w14:paraId="5C450935" w14:textId="22FCD461" w:rsidR="008E7E23" w:rsidRPr="00BC4DC7" w:rsidRDefault="008E7E23" w:rsidP="00716708">
      <w:pPr>
        <w:pStyle w:val="FootnoteText"/>
        <w:keepNext/>
        <w:keepLines/>
        <w:spacing w:after="120"/>
        <w:ind w:firstLine="720"/>
        <w:rPr>
          <w:sz w:val="26"/>
          <w:szCs w:val="26"/>
        </w:rPr>
      </w:pPr>
      <w:r w:rsidRPr="00AC7480">
        <w:rPr>
          <w:rStyle w:val="FootnoteReference"/>
          <w:sz w:val="26"/>
          <w:szCs w:val="26"/>
        </w:rPr>
        <w:footnoteRef/>
      </w:r>
      <w:r w:rsidRPr="00AC7480">
        <w:rPr>
          <w:sz w:val="26"/>
          <w:szCs w:val="26"/>
        </w:rPr>
        <w:t xml:space="preserve"> </w:t>
      </w:r>
      <w:r w:rsidRPr="00AC7480">
        <w:rPr>
          <w:sz w:val="26"/>
          <w:szCs w:val="26"/>
        </w:rPr>
        <w:tab/>
        <w:t>Wong, Annie, “</w:t>
      </w:r>
      <w:r w:rsidRPr="00BC4DC7">
        <w:rPr>
          <w:sz w:val="26"/>
          <w:szCs w:val="26"/>
        </w:rPr>
        <w:t xml:space="preserve">Utility Stocks and the Size Effect: An Empirical Analysis,” </w:t>
      </w:r>
      <w:r w:rsidRPr="00BC4DC7">
        <w:rPr>
          <w:i/>
          <w:iCs/>
          <w:sz w:val="26"/>
          <w:szCs w:val="26"/>
        </w:rPr>
        <w:t>Journal of the Midwest Finance Association</w:t>
      </w:r>
      <w:r w:rsidRPr="00BC4DC7">
        <w:rPr>
          <w:sz w:val="26"/>
          <w:szCs w:val="26"/>
        </w:rPr>
        <w:t xml:space="preserve"> (1993), at 95-101.</w:t>
      </w:r>
    </w:p>
  </w:footnote>
  <w:footnote w:id="18">
    <w:p w14:paraId="1E356562" w14:textId="4EA79F5F" w:rsidR="008E7E23" w:rsidRPr="00AC7480" w:rsidRDefault="008E7E23" w:rsidP="000F2F32">
      <w:pPr>
        <w:pStyle w:val="FootnoteText"/>
        <w:keepNext/>
        <w:keepLines/>
        <w:ind w:firstLine="720"/>
        <w:rPr>
          <w:sz w:val="26"/>
          <w:szCs w:val="26"/>
        </w:rPr>
      </w:pPr>
      <w:r w:rsidRPr="00BC4DC7">
        <w:rPr>
          <w:rStyle w:val="FootnoteReference"/>
          <w:sz w:val="26"/>
          <w:szCs w:val="26"/>
        </w:rPr>
        <w:footnoteRef/>
      </w:r>
      <w:r w:rsidRPr="00BC4DC7">
        <w:rPr>
          <w:sz w:val="26"/>
          <w:szCs w:val="26"/>
        </w:rPr>
        <w:t xml:space="preserve"> </w:t>
      </w:r>
      <w:r w:rsidRPr="00BC4DC7">
        <w:rPr>
          <w:sz w:val="26"/>
          <w:szCs w:val="26"/>
        </w:rPr>
        <w:tab/>
        <w:t xml:space="preserve">Zepp, Thomas M., “Utility Stocks and the Size Effect – Revisited,” </w:t>
      </w:r>
      <w:r w:rsidRPr="00BC4DC7">
        <w:rPr>
          <w:i/>
          <w:iCs/>
          <w:sz w:val="26"/>
          <w:szCs w:val="26"/>
        </w:rPr>
        <w:t>The Quarterly Review of Economics and Finance</w:t>
      </w:r>
      <w:r w:rsidRPr="00BC4DC7">
        <w:rPr>
          <w:sz w:val="26"/>
          <w:szCs w:val="26"/>
        </w:rPr>
        <w:t>, 43</w:t>
      </w:r>
      <w:r>
        <w:rPr>
          <w:sz w:val="26"/>
          <w:szCs w:val="26"/>
        </w:rPr>
        <w:t xml:space="preserve"> (2003), at 578-582.</w:t>
      </w:r>
    </w:p>
  </w:footnote>
  <w:footnote w:id="19">
    <w:p w14:paraId="71AB3787" w14:textId="65CEE946" w:rsidR="008E7E23" w:rsidRPr="00FA2B81" w:rsidRDefault="008E7E23" w:rsidP="000F2F32">
      <w:pPr>
        <w:pStyle w:val="FootnoteText"/>
        <w:keepNext/>
        <w:keepLines/>
        <w:contextualSpacing/>
        <w:rPr>
          <w:sz w:val="26"/>
          <w:szCs w:val="26"/>
        </w:rPr>
      </w:pPr>
      <w:r>
        <w:rPr>
          <w:sz w:val="26"/>
          <w:szCs w:val="26"/>
        </w:rPr>
        <w:tab/>
      </w:r>
      <w:r w:rsidRPr="00FA2B81">
        <w:rPr>
          <w:rStyle w:val="FootnoteReference"/>
          <w:sz w:val="26"/>
          <w:szCs w:val="26"/>
        </w:rPr>
        <w:footnoteRef/>
      </w:r>
      <w:r w:rsidRPr="00FA2B81">
        <w:rPr>
          <w:sz w:val="26"/>
          <w:szCs w:val="26"/>
        </w:rPr>
        <w:tab/>
        <w:t>I&amp;E notes</w:t>
      </w:r>
      <w:r>
        <w:rPr>
          <w:sz w:val="26"/>
          <w:szCs w:val="26"/>
        </w:rPr>
        <w:t>, however,</w:t>
      </w:r>
      <w:r w:rsidRPr="00FA2B81">
        <w:rPr>
          <w:sz w:val="26"/>
          <w:szCs w:val="26"/>
        </w:rPr>
        <w:t xml:space="preserve"> that it opposes any size adjustment.  I&amp;E R. Exc. at</w:t>
      </w:r>
      <w:r>
        <w:rPr>
          <w:sz w:val="26"/>
          <w:szCs w:val="26"/>
        </w:rPr>
        <w:t> </w:t>
      </w:r>
      <w:r w:rsidRPr="00FA2B81">
        <w:rPr>
          <w:sz w:val="26"/>
          <w:szCs w:val="26"/>
        </w:rPr>
        <w:t>10.</w:t>
      </w:r>
    </w:p>
  </w:footnote>
  <w:footnote w:id="20">
    <w:p w14:paraId="4BA142B8" w14:textId="77777777" w:rsidR="008E7E23" w:rsidRPr="00C4023C" w:rsidRDefault="008E7E23" w:rsidP="00716708">
      <w:pPr>
        <w:pStyle w:val="FootnoteText"/>
        <w:keepNext/>
        <w:keepLines/>
        <w:spacing w:after="120"/>
        <w:ind w:firstLine="720"/>
        <w:rPr>
          <w:sz w:val="26"/>
          <w:szCs w:val="26"/>
        </w:rPr>
      </w:pPr>
      <w:r w:rsidRPr="00C4023C">
        <w:rPr>
          <w:rStyle w:val="FootnoteReference"/>
          <w:sz w:val="26"/>
          <w:szCs w:val="26"/>
        </w:rPr>
        <w:footnoteRef/>
      </w:r>
      <w:r w:rsidRPr="00C4023C">
        <w:rPr>
          <w:sz w:val="26"/>
          <w:szCs w:val="26"/>
        </w:rPr>
        <w:tab/>
        <w:t>The “Tree Line USA” designation recognizes utilities that have made commitments to proper tree pruning techniques.</w:t>
      </w:r>
    </w:p>
  </w:footnote>
  <w:footnote w:id="21">
    <w:p w14:paraId="43FD4B70" w14:textId="7B84F4B6" w:rsidR="008E7E23" w:rsidRPr="006C340E" w:rsidRDefault="008E7E23" w:rsidP="00716708">
      <w:pPr>
        <w:pStyle w:val="FootnoteText"/>
        <w:keepNext/>
        <w:keepLines/>
        <w:spacing w:after="120"/>
        <w:ind w:firstLine="720"/>
        <w:rPr>
          <w:sz w:val="26"/>
          <w:szCs w:val="26"/>
        </w:rPr>
      </w:pPr>
      <w:r w:rsidRPr="006C340E">
        <w:rPr>
          <w:rStyle w:val="FootnoteReference"/>
          <w:sz w:val="26"/>
          <w:szCs w:val="26"/>
        </w:rPr>
        <w:footnoteRef/>
      </w:r>
      <w:r w:rsidRPr="006C340E">
        <w:rPr>
          <w:sz w:val="26"/>
          <w:szCs w:val="26"/>
        </w:rPr>
        <w:t xml:space="preserve"> </w:t>
      </w:r>
      <w:r w:rsidRPr="006C340E">
        <w:rPr>
          <w:sz w:val="26"/>
          <w:szCs w:val="26"/>
        </w:rPr>
        <w:tab/>
        <w:t xml:space="preserve">This issue is discussed at length in Section V.B. – Revenues, </w:t>
      </w:r>
      <w:r w:rsidRPr="006C340E">
        <w:rPr>
          <w:i/>
          <w:iCs/>
          <w:sz w:val="26"/>
          <w:szCs w:val="26"/>
        </w:rPr>
        <w:t>supra</w:t>
      </w:r>
      <w:r w:rsidRPr="006C340E">
        <w:rPr>
          <w:sz w:val="26"/>
          <w:szCs w:val="26"/>
        </w:rPr>
        <w:t>.</w:t>
      </w:r>
    </w:p>
  </w:footnote>
  <w:footnote w:id="22">
    <w:p w14:paraId="6A133692" w14:textId="72677E90" w:rsidR="008E7E23" w:rsidRPr="00EC2129" w:rsidRDefault="008E7E23" w:rsidP="00716708">
      <w:pPr>
        <w:pStyle w:val="FootnoteText"/>
        <w:keepNext/>
        <w:keepLines/>
        <w:spacing w:after="120"/>
        <w:ind w:firstLine="720"/>
        <w:rPr>
          <w:sz w:val="26"/>
          <w:szCs w:val="26"/>
        </w:rPr>
      </w:pPr>
      <w:r w:rsidRPr="00EC2129">
        <w:rPr>
          <w:rStyle w:val="FootnoteReference"/>
          <w:sz w:val="26"/>
          <w:szCs w:val="26"/>
        </w:rPr>
        <w:footnoteRef/>
      </w:r>
      <w:r w:rsidRPr="00EC2129">
        <w:rPr>
          <w:sz w:val="26"/>
          <w:szCs w:val="26"/>
        </w:rPr>
        <w:t xml:space="preserve"> </w:t>
      </w:r>
      <w:r>
        <w:rPr>
          <w:sz w:val="26"/>
          <w:szCs w:val="26"/>
        </w:rPr>
        <w:tab/>
      </w:r>
      <w:r w:rsidRPr="00EC2129">
        <w:rPr>
          <w:sz w:val="26"/>
          <w:szCs w:val="26"/>
        </w:rPr>
        <w:t>I&amp;E’s recommendation to reallocate $35,816 of the revenue reduction assigned to the GLP-3 class, rather than</w:t>
      </w:r>
      <w:r>
        <w:rPr>
          <w:sz w:val="26"/>
          <w:szCs w:val="26"/>
        </w:rPr>
        <w:t xml:space="preserve"> the proposed reduction of</w:t>
      </w:r>
      <w:r w:rsidRPr="00EC2129">
        <w:rPr>
          <w:sz w:val="26"/>
          <w:szCs w:val="26"/>
        </w:rPr>
        <w:t xml:space="preserve"> $35,830</w:t>
      </w:r>
      <w:r>
        <w:rPr>
          <w:sz w:val="26"/>
          <w:szCs w:val="26"/>
        </w:rPr>
        <w:t>, as stated by the Company</w:t>
      </w:r>
      <w:r w:rsidRPr="00EC2129">
        <w:rPr>
          <w:sz w:val="26"/>
          <w:szCs w:val="26"/>
        </w:rPr>
        <w:t>, appears to be the result of rounding.</w:t>
      </w:r>
    </w:p>
  </w:footnote>
  <w:footnote w:id="23">
    <w:p w14:paraId="41446365" w14:textId="20B2617E" w:rsidR="008E7E23" w:rsidRPr="00D16903" w:rsidRDefault="008E7E23" w:rsidP="00716708">
      <w:pPr>
        <w:pStyle w:val="FootnoteText"/>
        <w:keepNext/>
        <w:keepLines/>
        <w:spacing w:after="120"/>
        <w:ind w:firstLine="720"/>
        <w:rPr>
          <w:sz w:val="26"/>
          <w:szCs w:val="26"/>
        </w:rPr>
      </w:pPr>
      <w:r w:rsidRPr="00D16903">
        <w:rPr>
          <w:rStyle w:val="FootnoteReference"/>
          <w:sz w:val="26"/>
          <w:szCs w:val="26"/>
        </w:rPr>
        <w:footnoteRef/>
      </w:r>
      <w:r w:rsidRPr="00D16903">
        <w:rPr>
          <w:sz w:val="26"/>
          <w:szCs w:val="26"/>
        </w:rPr>
        <w:t xml:space="preserve"> </w:t>
      </w:r>
      <w:r>
        <w:rPr>
          <w:sz w:val="26"/>
          <w:szCs w:val="26"/>
        </w:rPr>
        <w:tab/>
      </w:r>
      <w:r w:rsidRPr="00D16903">
        <w:rPr>
          <w:sz w:val="26"/>
          <w:szCs w:val="26"/>
        </w:rPr>
        <w:t>The typographical error in the table indicating Rate PL has been corrected to Rate OL.</w:t>
      </w:r>
    </w:p>
  </w:footnote>
  <w:footnote w:id="24">
    <w:p w14:paraId="26BA89A3" w14:textId="391C56DB" w:rsidR="008E7E23" w:rsidRPr="00A84480" w:rsidRDefault="008E7E23" w:rsidP="00716708">
      <w:pPr>
        <w:pStyle w:val="FootnoteText"/>
        <w:keepNext/>
        <w:keepLines/>
        <w:spacing w:after="120"/>
        <w:ind w:firstLine="720"/>
        <w:rPr>
          <w:sz w:val="26"/>
          <w:szCs w:val="26"/>
        </w:rPr>
      </w:pPr>
      <w:r w:rsidRPr="00A84480">
        <w:rPr>
          <w:rStyle w:val="FootnoteReference"/>
          <w:sz w:val="26"/>
          <w:szCs w:val="26"/>
        </w:rPr>
        <w:footnoteRef/>
      </w:r>
      <w:r w:rsidRPr="00A84480">
        <w:rPr>
          <w:sz w:val="26"/>
          <w:szCs w:val="26"/>
        </w:rPr>
        <w:t xml:space="preserve"> </w:t>
      </w:r>
      <w:r>
        <w:rPr>
          <w:sz w:val="26"/>
          <w:szCs w:val="26"/>
        </w:rPr>
        <w:tab/>
      </w:r>
      <w:r w:rsidRPr="00A84480">
        <w:rPr>
          <w:sz w:val="26"/>
          <w:szCs w:val="26"/>
        </w:rPr>
        <w:t>The OCA indicated that the percentages in Table 1-S, provided on page</w:t>
      </w:r>
      <w:r>
        <w:rPr>
          <w:sz w:val="26"/>
          <w:szCs w:val="26"/>
        </w:rPr>
        <w:t xml:space="preserve"> </w:t>
      </w:r>
      <w:r w:rsidRPr="00A84480">
        <w:rPr>
          <w:sz w:val="26"/>
          <w:szCs w:val="26"/>
        </w:rPr>
        <w:t>13 of OCA St. 4-SR</w:t>
      </w:r>
      <w:r>
        <w:rPr>
          <w:sz w:val="26"/>
          <w:szCs w:val="26"/>
        </w:rPr>
        <w:t>,</w:t>
      </w:r>
      <w:r w:rsidRPr="00A84480">
        <w:rPr>
          <w:sz w:val="26"/>
          <w:szCs w:val="26"/>
        </w:rPr>
        <w:t xml:space="preserve"> were based on Citizens’ ACCOSS in recognition that results of the OCA’s recommended ACCOSS did not vary significantly from the results of Citizens’ ACCOSS, and to facilitate the comparison of the proposed revenue distribution.  OCA St.</w:t>
      </w:r>
      <w:r>
        <w:rPr>
          <w:sz w:val="26"/>
          <w:szCs w:val="26"/>
        </w:rPr>
        <w:t> </w:t>
      </w:r>
      <w:r w:rsidRPr="00A84480">
        <w:rPr>
          <w:sz w:val="26"/>
          <w:szCs w:val="26"/>
        </w:rPr>
        <w:t xml:space="preserve">4-SR at 13.  </w:t>
      </w:r>
    </w:p>
  </w:footnote>
  <w:footnote w:id="25">
    <w:p w14:paraId="568A1D68" w14:textId="252F2B38" w:rsidR="008E7E23" w:rsidRPr="007F2BA4" w:rsidRDefault="008E7E23" w:rsidP="00716708">
      <w:pPr>
        <w:pStyle w:val="FootnoteText"/>
        <w:keepNext/>
        <w:keepLines/>
        <w:spacing w:after="120"/>
        <w:ind w:firstLine="720"/>
        <w:rPr>
          <w:sz w:val="26"/>
          <w:szCs w:val="26"/>
        </w:rPr>
      </w:pPr>
      <w:r w:rsidRPr="007F2BA4">
        <w:rPr>
          <w:rStyle w:val="FootnoteReference"/>
          <w:sz w:val="26"/>
          <w:szCs w:val="26"/>
        </w:rPr>
        <w:footnoteRef/>
      </w:r>
      <w:r w:rsidRPr="007F2BA4">
        <w:rPr>
          <w:sz w:val="26"/>
          <w:szCs w:val="26"/>
        </w:rPr>
        <w:t xml:space="preserve"> </w:t>
      </w:r>
      <w:r>
        <w:rPr>
          <w:sz w:val="26"/>
          <w:szCs w:val="26"/>
        </w:rPr>
        <w:tab/>
      </w:r>
      <w:r w:rsidRPr="007F2BA4">
        <w:rPr>
          <w:sz w:val="26"/>
          <w:szCs w:val="26"/>
        </w:rPr>
        <w:t>The customer-related components which produce $12.94 of the proposed $15.00 monthly customer charge are provided in the Company’s customer cost analysis on Schedule E1-C of Citizens’ Exhibit_(HSG-1).</w:t>
      </w:r>
    </w:p>
  </w:footnote>
  <w:footnote w:id="26">
    <w:p w14:paraId="53BDBC25" w14:textId="7FA08ECF" w:rsidR="008E7E23" w:rsidRPr="00A674A4" w:rsidRDefault="008E7E23" w:rsidP="00716708">
      <w:pPr>
        <w:pStyle w:val="FootnoteText"/>
        <w:keepNext/>
        <w:keepLines/>
        <w:spacing w:after="120"/>
        <w:ind w:firstLine="720"/>
        <w:rPr>
          <w:sz w:val="26"/>
          <w:szCs w:val="26"/>
        </w:rPr>
      </w:pPr>
      <w:r w:rsidRPr="00A674A4">
        <w:rPr>
          <w:rStyle w:val="FootnoteReference"/>
          <w:sz w:val="26"/>
          <w:szCs w:val="26"/>
        </w:rPr>
        <w:footnoteRef/>
      </w:r>
      <w:r w:rsidRPr="00A674A4">
        <w:rPr>
          <w:sz w:val="26"/>
          <w:szCs w:val="26"/>
        </w:rPr>
        <w:t xml:space="preserve"> </w:t>
      </w:r>
      <w:r w:rsidRPr="00A674A4">
        <w:rPr>
          <w:sz w:val="26"/>
          <w:szCs w:val="26"/>
        </w:rPr>
        <w:tab/>
        <w:t>Citizens’ St. 1 at 32.</w:t>
      </w:r>
    </w:p>
  </w:footnote>
  <w:footnote w:id="27">
    <w:p w14:paraId="4F28F49C" w14:textId="0B9DFFBE" w:rsidR="008E7E23" w:rsidRPr="001D07C1" w:rsidRDefault="008E7E23" w:rsidP="00716708">
      <w:pPr>
        <w:pStyle w:val="FootnoteText"/>
        <w:keepNext/>
        <w:keepLines/>
        <w:tabs>
          <w:tab w:val="left" w:pos="720"/>
        </w:tabs>
        <w:spacing w:after="120"/>
        <w:rPr>
          <w:bCs/>
          <w:sz w:val="26"/>
          <w:szCs w:val="26"/>
        </w:rPr>
      </w:pPr>
      <w:r>
        <w:tab/>
      </w:r>
      <w:r w:rsidRPr="001D07C1">
        <w:rPr>
          <w:rStyle w:val="FootnoteReference"/>
          <w:sz w:val="26"/>
          <w:szCs w:val="26"/>
        </w:rPr>
        <w:footnoteRef/>
      </w:r>
      <w:r w:rsidRPr="001D07C1">
        <w:rPr>
          <w:sz w:val="26"/>
          <w:szCs w:val="26"/>
        </w:rPr>
        <w:t xml:space="preserve"> </w:t>
      </w:r>
      <w:r w:rsidRPr="001D07C1">
        <w:rPr>
          <w:sz w:val="26"/>
          <w:szCs w:val="26"/>
        </w:rPr>
        <w:tab/>
      </w:r>
      <w:r w:rsidRPr="001D07C1">
        <w:rPr>
          <w:bCs/>
          <w:sz w:val="26"/>
          <w:szCs w:val="26"/>
        </w:rPr>
        <w:t>52 Pa. Code § 69.3301</w:t>
      </w:r>
      <w:r w:rsidRPr="001D07C1">
        <w:rPr>
          <w:bCs/>
          <w:sz w:val="26"/>
          <w:szCs w:val="26"/>
        </w:rPr>
        <w:fldChar w:fldCharType="begin"/>
      </w:r>
      <w:r w:rsidRPr="001D07C1">
        <w:rPr>
          <w:sz w:val="26"/>
          <w:szCs w:val="26"/>
        </w:rPr>
        <w:instrText xml:space="preserve"> TA \l "</w:instrText>
      </w:r>
      <w:r w:rsidRPr="001D07C1">
        <w:rPr>
          <w:bCs/>
          <w:sz w:val="26"/>
          <w:szCs w:val="26"/>
        </w:rPr>
        <w:instrText>52 Pa. Code § 69.3301</w:instrText>
      </w:r>
      <w:r w:rsidRPr="001D07C1">
        <w:rPr>
          <w:sz w:val="26"/>
          <w:szCs w:val="26"/>
        </w:rPr>
        <w:instrText xml:space="preserve">" \s "52 Pa. Code § 69.3301" \c 6 </w:instrText>
      </w:r>
      <w:r w:rsidRPr="001D07C1">
        <w:rPr>
          <w:bCs/>
          <w:sz w:val="26"/>
          <w:szCs w:val="26"/>
        </w:rPr>
        <w:fldChar w:fldCharType="end"/>
      </w:r>
      <w:r w:rsidRPr="001D07C1">
        <w:rPr>
          <w:bCs/>
          <w:sz w:val="26"/>
          <w:szCs w:val="26"/>
        </w:rPr>
        <w:t>.  The 14 factors considered by I&amp;E witness Cline and Citizens’ witness Gorman are now found at 52 Pa. Code § 69.3302</w:t>
      </w:r>
      <w:r w:rsidRPr="001D07C1">
        <w:rPr>
          <w:bCs/>
          <w:sz w:val="26"/>
          <w:szCs w:val="26"/>
          <w:highlight w:val="cyan"/>
        </w:rPr>
        <w:fldChar w:fldCharType="begin"/>
      </w:r>
      <w:r w:rsidRPr="001D07C1">
        <w:rPr>
          <w:sz w:val="26"/>
          <w:szCs w:val="26"/>
        </w:rPr>
        <w:instrText xml:space="preserve"> TA \l "</w:instrText>
      </w:r>
      <w:r w:rsidRPr="001D07C1">
        <w:rPr>
          <w:bCs/>
          <w:sz w:val="26"/>
          <w:szCs w:val="26"/>
        </w:rPr>
        <w:instrText>52 Pa. Code § 69.3302</w:instrText>
      </w:r>
      <w:r w:rsidRPr="001D07C1">
        <w:rPr>
          <w:sz w:val="26"/>
          <w:szCs w:val="26"/>
        </w:rPr>
        <w:instrText xml:space="preserve">" \s "52 Pa. Code § 69.3302" \c 6 </w:instrText>
      </w:r>
      <w:r w:rsidRPr="001D07C1">
        <w:rPr>
          <w:bCs/>
          <w:sz w:val="26"/>
          <w:szCs w:val="26"/>
          <w:highlight w:val="cyan"/>
        </w:rPr>
        <w:fldChar w:fldCharType="end"/>
      </w:r>
      <w:r w:rsidRPr="001D07C1">
        <w:rPr>
          <w:bCs/>
          <w:sz w:val="26"/>
          <w:szCs w:val="26"/>
        </w:rPr>
        <w:t>.</w:t>
      </w:r>
    </w:p>
  </w:footnote>
  <w:footnote w:id="28">
    <w:p w14:paraId="308C03AC" w14:textId="12CD56A4" w:rsidR="008E7E23" w:rsidRPr="00FD2A9D" w:rsidRDefault="008E7E23" w:rsidP="00FD2A9D">
      <w:pPr>
        <w:pStyle w:val="FootnoteText"/>
        <w:keepNext/>
        <w:keepLines/>
        <w:spacing w:after="120"/>
        <w:ind w:firstLine="720"/>
        <w:rPr>
          <w:sz w:val="26"/>
          <w:szCs w:val="26"/>
        </w:rPr>
      </w:pPr>
      <w:r w:rsidRPr="00716708">
        <w:rPr>
          <w:rStyle w:val="FootnoteReference"/>
          <w:sz w:val="26"/>
          <w:szCs w:val="26"/>
        </w:rPr>
        <w:footnoteRef/>
      </w:r>
      <w:r w:rsidRPr="00716708">
        <w:rPr>
          <w:sz w:val="26"/>
          <w:szCs w:val="26"/>
        </w:rPr>
        <w:t xml:space="preserve"> </w:t>
      </w:r>
      <w:r>
        <w:rPr>
          <w:sz w:val="26"/>
          <w:szCs w:val="26"/>
        </w:rPr>
        <w:tab/>
        <w:t>Citizens’ witness Mr. Gorman states that “i</w:t>
      </w:r>
      <w:r w:rsidRPr="00716708">
        <w:rPr>
          <w:sz w:val="26"/>
          <w:szCs w:val="26"/>
        </w:rPr>
        <w:t>t would be reasonable to include the cost of additional kW of demand, based on the proportion of customers reaching certain levels of demand.</w:t>
      </w:r>
      <w:r>
        <w:rPr>
          <w:sz w:val="26"/>
          <w:szCs w:val="26"/>
        </w:rPr>
        <w:t xml:space="preserve">  </w:t>
      </w:r>
      <w:r w:rsidRPr="00716708">
        <w:rPr>
          <w:sz w:val="26"/>
          <w:szCs w:val="26"/>
        </w:rPr>
        <w:t>In my view, including 0.38 kW-month of demand-related costs in the residential monthly charge is an appropriate first step for Citizens</w:t>
      </w:r>
      <w:r>
        <w:rPr>
          <w:sz w:val="26"/>
          <w:szCs w:val="26"/>
        </w:rPr>
        <w:t>’</w:t>
      </w:r>
      <w:r w:rsidRPr="00716708">
        <w:rPr>
          <w:sz w:val="26"/>
          <w:szCs w:val="26"/>
        </w:rPr>
        <w:t>.</w:t>
      </w:r>
      <w:r>
        <w:rPr>
          <w:sz w:val="26"/>
          <w:szCs w:val="26"/>
        </w:rPr>
        <w:t xml:space="preserve"> </w:t>
      </w:r>
      <w:r w:rsidRPr="00716708">
        <w:rPr>
          <w:sz w:val="26"/>
          <w:szCs w:val="26"/>
        </w:rPr>
        <w:t xml:space="preserve"> The Commission could increase this in future cases based on the percentage of the customers that it deems appropriate and on principles of gradualism.</w:t>
      </w:r>
      <w:r>
        <w:rPr>
          <w:sz w:val="26"/>
          <w:szCs w:val="26"/>
        </w:rPr>
        <w:t>”  Citizens’ St. 1 at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336B" w14:textId="77777777" w:rsidR="008E7E23" w:rsidRDefault="008E7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B1EE" w14:textId="77777777" w:rsidR="008E7E23" w:rsidRDefault="008E7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CD31" w14:textId="77777777" w:rsidR="008E7E23" w:rsidRDefault="008E7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5BC"/>
    <w:multiLevelType w:val="hybridMultilevel"/>
    <w:tmpl w:val="1688CD50"/>
    <w:lvl w:ilvl="0" w:tplc="EDEADAC8">
      <w:start w:val="1"/>
      <w:numFmt w:val="lowerLetter"/>
      <w:pStyle w:val="Heading4"/>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F004B"/>
    <w:multiLevelType w:val="hybridMultilevel"/>
    <w:tmpl w:val="3A6232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225CB2"/>
    <w:multiLevelType w:val="hybridMultilevel"/>
    <w:tmpl w:val="9FC013DE"/>
    <w:lvl w:ilvl="0" w:tplc="2C369A4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B1148"/>
    <w:multiLevelType w:val="hybridMultilevel"/>
    <w:tmpl w:val="6CF0C758"/>
    <w:lvl w:ilvl="0" w:tplc="16DEBE98">
      <w:start w:val="1"/>
      <w:numFmt w:val="bullet"/>
      <w:lvlText w:val=""/>
      <w:lvlJc w:val="left"/>
      <w:pPr>
        <w:ind w:left="1080" w:hanging="360"/>
      </w:pPr>
      <w:rPr>
        <w:rFonts w:ascii="Symbol" w:hAnsi="Symbol" w:hint="default"/>
      </w:rPr>
    </w:lvl>
    <w:lvl w:ilvl="1" w:tplc="7876C632">
      <w:start w:val="1"/>
      <w:numFmt w:val="bullet"/>
      <w:lvlText w:val="o"/>
      <w:lvlJc w:val="left"/>
      <w:pPr>
        <w:ind w:left="1800" w:hanging="360"/>
      </w:pPr>
      <w:rPr>
        <w:rFonts w:ascii="Courier New" w:hAnsi="Courier New" w:cs="Courier New" w:hint="default"/>
      </w:rPr>
    </w:lvl>
    <w:lvl w:ilvl="2" w:tplc="E6ACF96C">
      <w:start w:val="1"/>
      <w:numFmt w:val="bullet"/>
      <w:lvlText w:val=""/>
      <w:lvlJc w:val="left"/>
      <w:pPr>
        <w:ind w:left="2520" w:hanging="360"/>
      </w:pPr>
      <w:rPr>
        <w:rFonts w:ascii="Wingdings" w:hAnsi="Wingdings" w:hint="default"/>
      </w:rPr>
    </w:lvl>
    <w:lvl w:ilvl="3" w:tplc="519672B8">
      <w:start w:val="1"/>
      <w:numFmt w:val="bullet"/>
      <w:lvlText w:val=""/>
      <w:lvlJc w:val="left"/>
      <w:pPr>
        <w:ind w:left="3240" w:hanging="360"/>
      </w:pPr>
      <w:rPr>
        <w:rFonts w:ascii="Symbol" w:hAnsi="Symbol" w:hint="default"/>
      </w:rPr>
    </w:lvl>
    <w:lvl w:ilvl="4" w:tplc="87C4DA96">
      <w:start w:val="1"/>
      <w:numFmt w:val="bullet"/>
      <w:lvlText w:val="o"/>
      <w:lvlJc w:val="left"/>
      <w:pPr>
        <w:ind w:left="3960" w:hanging="360"/>
      </w:pPr>
      <w:rPr>
        <w:rFonts w:ascii="Courier New" w:hAnsi="Courier New" w:cs="Courier New" w:hint="default"/>
      </w:rPr>
    </w:lvl>
    <w:lvl w:ilvl="5" w:tplc="45FC407E">
      <w:start w:val="1"/>
      <w:numFmt w:val="bullet"/>
      <w:lvlText w:val=""/>
      <w:lvlJc w:val="left"/>
      <w:pPr>
        <w:ind w:left="4680" w:hanging="360"/>
      </w:pPr>
      <w:rPr>
        <w:rFonts w:ascii="Wingdings" w:hAnsi="Wingdings" w:hint="default"/>
      </w:rPr>
    </w:lvl>
    <w:lvl w:ilvl="6" w:tplc="B12EB7E8">
      <w:start w:val="1"/>
      <w:numFmt w:val="bullet"/>
      <w:lvlText w:val=""/>
      <w:lvlJc w:val="left"/>
      <w:pPr>
        <w:ind w:left="5400" w:hanging="360"/>
      </w:pPr>
      <w:rPr>
        <w:rFonts w:ascii="Symbol" w:hAnsi="Symbol" w:hint="default"/>
      </w:rPr>
    </w:lvl>
    <w:lvl w:ilvl="7" w:tplc="EEDC2872">
      <w:start w:val="1"/>
      <w:numFmt w:val="bullet"/>
      <w:lvlText w:val="o"/>
      <w:lvlJc w:val="left"/>
      <w:pPr>
        <w:ind w:left="6120" w:hanging="360"/>
      </w:pPr>
      <w:rPr>
        <w:rFonts w:ascii="Courier New" w:hAnsi="Courier New" w:cs="Courier New" w:hint="default"/>
      </w:rPr>
    </w:lvl>
    <w:lvl w:ilvl="8" w:tplc="FA7632F8">
      <w:start w:val="1"/>
      <w:numFmt w:val="bullet"/>
      <w:lvlText w:val=""/>
      <w:lvlJc w:val="left"/>
      <w:pPr>
        <w:ind w:left="6840" w:hanging="360"/>
      </w:pPr>
      <w:rPr>
        <w:rFonts w:ascii="Wingdings" w:hAnsi="Wingdings" w:hint="default"/>
      </w:rPr>
    </w:lvl>
  </w:abstractNum>
  <w:abstractNum w:abstractNumId="4" w15:restartNumberingAfterBreak="0">
    <w:nsid w:val="74B649A2"/>
    <w:multiLevelType w:val="hybridMultilevel"/>
    <w:tmpl w:val="E20A26A6"/>
    <w:lvl w:ilvl="0" w:tplc="72A8085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6204AD50">
      <w:start w:val="1"/>
      <w:numFmt w:val="upperLetter"/>
      <w:lvlText w:val="%3."/>
      <w:lvlJc w:val="left"/>
      <w:pPr>
        <w:ind w:left="2700" w:hanging="720"/>
      </w:pPr>
      <w:rPr>
        <w:rFonts w:hint="default"/>
      </w:rPr>
    </w:lvl>
    <w:lvl w:ilvl="3" w:tplc="D638DEA0">
      <w:start w:val="1"/>
      <w:numFmt w:val="decimal"/>
      <w:lvlText w:val="%4."/>
      <w:lvlJc w:val="left"/>
      <w:pPr>
        <w:ind w:left="2880" w:hanging="360"/>
      </w:pPr>
      <w:rPr>
        <w:rFonts w:hint="default"/>
      </w:rPr>
    </w:lvl>
    <w:lvl w:ilvl="4" w:tplc="2C369A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A3E61"/>
    <w:multiLevelType w:val="hybridMultilevel"/>
    <w:tmpl w:val="170EB5D4"/>
    <w:lvl w:ilvl="0" w:tplc="D2DE3F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C108B2"/>
    <w:multiLevelType w:val="hybridMultilevel"/>
    <w:tmpl w:val="785E4332"/>
    <w:lvl w:ilvl="0" w:tplc="5C4C53E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B3919"/>
    <w:multiLevelType w:val="hybridMultilevel"/>
    <w:tmpl w:val="2FC024CE"/>
    <w:lvl w:ilvl="0" w:tplc="62524CB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lvlOverride w:ilvl="0">
      <w:startOverride w:val="1"/>
    </w:lvlOverride>
  </w:num>
  <w:num w:numId="4">
    <w:abstractNumId w:val="0"/>
  </w:num>
  <w:num w:numId="5">
    <w:abstractNumId w:val="6"/>
  </w:num>
  <w:num w:numId="6">
    <w:abstractNumId w:val="3"/>
  </w:num>
  <w:num w:numId="7">
    <w:abstractNumId w:val="4"/>
    <w:lvlOverride w:ilvl="0">
      <w:startOverride w:val="1"/>
    </w:lvlOverride>
    <w:lvlOverride w:ilvl="1">
      <w:startOverride w:val="2"/>
    </w:lvlOverride>
  </w:num>
  <w:num w:numId="8">
    <w:abstractNumId w:val="1"/>
  </w:num>
  <w:num w:numId="9">
    <w:abstractNumId w:val="7"/>
    <w:lvlOverride w:ilvl="0">
      <w:startOverride w:val="1"/>
    </w:lvlOverride>
  </w:num>
  <w:num w:numId="10">
    <w:abstractNumId w:val="7"/>
    <w:lvlOverride w:ilvl="0">
      <w:startOverride w:val="1"/>
    </w:lvlOverride>
  </w:num>
  <w:num w:numId="11">
    <w:abstractNumId w:val="0"/>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6"/>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 w:numId="24">
    <w:abstractNumId w:val="0"/>
    <w:lvlOverride w:ilvl="0">
      <w:startOverride w:val="1"/>
    </w:lvlOverride>
  </w:num>
  <w:num w:numId="25">
    <w:abstractNumId w:val="2"/>
  </w:num>
  <w:num w:numId="26">
    <w:abstractNumId w:val="7"/>
    <w:lvlOverride w:ilvl="0">
      <w:startOverride w:val="1"/>
    </w:lvlOverride>
  </w:num>
  <w:num w:numId="27">
    <w:abstractNumId w:val="7"/>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029F"/>
    <w:rsid w:val="00000A0E"/>
    <w:rsid w:val="00000D65"/>
    <w:rsid w:val="00000DED"/>
    <w:rsid w:val="00001381"/>
    <w:rsid w:val="000013FD"/>
    <w:rsid w:val="00002348"/>
    <w:rsid w:val="00002CE4"/>
    <w:rsid w:val="00002F2A"/>
    <w:rsid w:val="00002F49"/>
    <w:rsid w:val="000038D3"/>
    <w:rsid w:val="00003F5B"/>
    <w:rsid w:val="0000415E"/>
    <w:rsid w:val="0000477B"/>
    <w:rsid w:val="00004BC1"/>
    <w:rsid w:val="00005114"/>
    <w:rsid w:val="00005B5F"/>
    <w:rsid w:val="00005EE1"/>
    <w:rsid w:val="00005F78"/>
    <w:rsid w:val="000065F7"/>
    <w:rsid w:val="00007209"/>
    <w:rsid w:val="00007440"/>
    <w:rsid w:val="000074DC"/>
    <w:rsid w:val="00007597"/>
    <w:rsid w:val="00007888"/>
    <w:rsid w:val="0001099D"/>
    <w:rsid w:val="00011506"/>
    <w:rsid w:val="000116F1"/>
    <w:rsid w:val="00011AB7"/>
    <w:rsid w:val="000123F2"/>
    <w:rsid w:val="00012A0E"/>
    <w:rsid w:val="00012D0C"/>
    <w:rsid w:val="00013432"/>
    <w:rsid w:val="000138C9"/>
    <w:rsid w:val="00013978"/>
    <w:rsid w:val="00013FDE"/>
    <w:rsid w:val="000158F2"/>
    <w:rsid w:val="00015A01"/>
    <w:rsid w:val="000166C6"/>
    <w:rsid w:val="00016C3F"/>
    <w:rsid w:val="0001721D"/>
    <w:rsid w:val="00017E03"/>
    <w:rsid w:val="000200CE"/>
    <w:rsid w:val="0002018C"/>
    <w:rsid w:val="000201C0"/>
    <w:rsid w:val="00020552"/>
    <w:rsid w:val="000207D4"/>
    <w:rsid w:val="00020C3A"/>
    <w:rsid w:val="00020E43"/>
    <w:rsid w:val="00022D45"/>
    <w:rsid w:val="00023536"/>
    <w:rsid w:val="0002355F"/>
    <w:rsid w:val="000249A1"/>
    <w:rsid w:val="0002554A"/>
    <w:rsid w:val="00025A99"/>
    <w:rsid w:val="00026BA0"/>
    <w:rsid w:val="00026F9D"/>
    <w:rsid w:val="00027EE4"/>
    <w:rsid w:val="000302BD"/>
    <w:rsid w:val="00030CE7"/>
    <w:rsid w:val="000310BE"/>
    <w:rsid w:val="00031D94"/>
    <w:rsid w:val="00031DDC"/>
    <w:rsid w:val="000323A8"/>
    <w:rsid w:val="00033C9A"/>
    <w:rsid w:val="00033D4C"/>
    <w:rsid w:val="00033E12"/>
    <w:rsid w:val="000341DE"/>
    <w:rsid w:val="0003429E"/>
    <w:rsid w:val="00034CD7"/>
    <w:rsid w:val="000366D7"/>
    <w:rsid w:val="00036927"/>
    <w:rsid w:val="000369A9"/>
    <w:rsid w:val="00040396"/>
    <w:rsid w:val="00040D36"/>
    <w:rsid w:val="00040FFD"/>
    <w:rsid w:val="00041ED1"/>
    <w:rsid w:val="00042338"/>
    <w:rsid w:val="00043182"/>
    <w:rsid w:val="000431F6"/>
    <w:rsid w:val="000438A2"/>
    <w:rsid w:val="0004587B"/>
    <w:rsid w:val="00045A7A"/>
    <w:rsid w:val="0004653D"/>
    <w:rsid w:val="0004698C"/>
    <w:rsid w:val="00046D51"/>
    <w:rsid w:val="000477B8"/>
    <w:rsid w:val="000500B7"/>
    <w:rsid w:val="00050115"/>
    <w:rsid w:val="00050154"/>
    <w:rsid w:val="000503FD"/>
    <w:rsid w:val="000505E5"/>
    <w:rsid w:val="00051647"/>
    <w:rsid w:val="0005164D"/>
    <w:rsid w:val="0005247F"/>
    <w:rsid w:val="0005317E"/>
    <w:rsid w:val="00053709"/>
    <w:rsid w:val="00053855"/>
    <w:rsid w:val="00053CED"/>
    <w:rsid w:val="00053E7E"/>
    <w:rsid w:val="000549A7"/>
    <w:rsid w:val="00055E52"/>
    <w:rsid w:val="0005602A"/>
    <w:rsid w:val="00056218"/>
    <w:rsid w:val="00056968"/>
    <w:rsid w:val="00057057"/>
    <w:rsid w:val="0005711A"/>
    <w:rsid w:val="00057409"/>
    <w:rsid w:val="00057859"/>
    <w:rsid w:val="0006001A"/>
    <w:rsid w:val="000606AA"/>
    <w:rsid w:val="000610F9"/>
    <w:rsid w:val="00061850"/>
    <w:rsid w:val="00061E8B"/>
    <w:rsid w:val="00062518"/>
    <w:rsid w:val="0006288C"/>
    <w:rsid w:val="000629CD"/>
    <w:rsid w:val="00063028"/>
    <w:rsid w:val="000634A8"/>
    <w:rsid w:val="00063E18"/>
    <w:rsid w:val="00064658"/>
    <w:rsid w:val="00064FD5"/>
    <w:rsid w:val="00065516"/>
    <w:rsid w:val="0006589E"/>
    <w:rsid w:val="00065DB6"/>
    <w:rsid w:val="00066689"/>
    <w:rsid w:val="000666DF"/>
    <w:rsid w:val="00067196"/>
    <w:rsid w:val="0006732F"/>
    <w:rsid w:val="000673D1"/>
    <w:rsid w:val="00067A0D"/>
    <w:rsid w:val="00067BBC"/>
    <w:rsid w:val="00070BE3"/>
    <w:rsid w:val="00071064"/>
    <w:rsid w:val="00071143"/>
    <w:rsid w:val="00071A8A"/>
    <w:rsid w:val="00072BBE"/>
    <w:rsid w:val="00073000"/>
    <w:rsid w:val="00073352"/>
    <w:rsid w:val="00073870"/>
    <w:rsid w:val="00075210"/>
    <w:rsid w:val="00075C53"/>
    <w:rsid w:val="00075F0C"/>
    <w:rsid w:val="00077F46"/>
    <w:rsid w:val="00077F69"/>
    <w:rsid w:val="00080CCC"/>
    <w:rsid w:val="00081696"/>
    <w:rsid w:val="0008233B"/>
    <w:rsid w:val="0008328F"/>
    <w:rsid w:val="00084DB9"/>
    <w:rsid w:val="00085610"/>
    <w:rsid w:val="00085E45"/>
    <w:rsid w:val="0008626D"/>
    <w:rsid w:val="00086D0B"/>
    <w:rsid w:val="00087D18"/>
    <w:rsid w:val="0009007E"/>
    <w:rsid w:val="00090AF0"/>
    <w:rsid w:val="00090F53"/>
    <w:rsid w:val="00091989"/>
    <w:rsid w:val="00091A11"/>
    <w:rsid w:val="0009269E"/>
    <w:rsid w:val="00092994"/>
    <w:rsid w:val="00092ABD"/>
    <w:rsid w:val="000930AC"/>
    <w:rsid w:val="000931E5"/>
    <w:rsid w:val="0009383E"/>
    <w:rsid w:val="000940CD"/>
    <w:rsid w:val="00094240"/>
    <w:rsid w:val="0009466E"/>
    <w:rsid w:val="0009476C"/>
    <w:rsid w:val="000949EC"/>
    <w:rsid w:val="00094F3D"/>
    <w:rsid w:val="000960C3"/>
    <w:rsid w:val="00096386"/>
    <w:rsid w:val="00096F18"/>
    <w:rsid w:val="00097534"/>
    <w:rsid w:val="0009763D"/>
    <w:rsid w:val="0009781B"/>
    <w:rsid w:val="000A038A"/>
    <w:rsid w:val="000A0D32"/>
    <w:rsid w:val="000A135D"/>
    <w:rsid w:val="000A1761"/>
    <w:rsid w:val="000A1B73"/>
    <w:rsid w:val="000A1EF2"/>
    <w:rsid w:val="000A2217"/>
    <w:rsid w:val="000A339A"/>
    <w:rsid w:val="000A35F4"/>
    <w:rsid w:val="000A38F7"/>
    <w:rsid w:val="000A41B3"/>
    <w:rsid w:val="000A4770"/>
    <w:rsid w:val="000A48EB"/>
    <w:rsid w:val="000A4DD0"/>
    <w:rsid w:val="000A562E"/>
    <w:rsid w:val="000A57E4"/>
    <w:rsid w:val="000A61BA"/>
    <w:rsid w:val="000A62E4"/>
    <w:rsid w:val="000A62FE"/>
    <w:rsid w:val="000A748C"/>
    <w:rsid w:val="000A7A40"/>
    <w:rsid w:val="000A7CB6"/>
    <w:rsid w:val="000A7DDC"/>
    <w:rsid w:val="000A7F96"/>
    <w:rsid w:val="000B03F3"/>
    <w:rsid w:val="000B268C"/>
    <w:rsid w:val="000B2B80"/>
    <w:rsid w:val="000B2EE9"/>
    <w:rsid w:val="000B2F37"/>
    <w:rsid w:val="000B3290"/>
    <w:rsid w:val="000B34E3"/>
    <w:rsid w:val="000B465F"/>
    <w:rsid w:val="000B5941"/>
    <w:rsid w:val="000B729D"/>
    <w:rsid w:val="000B751C"/>
    <w:rsid w:val="000B79BE"/>
    <w:rsid w:val="000B7EB4"/>
    <w:rsid w:val="000C0702"/>
    <w:rsid w:val="000C08D1"/>
    <w:rsid w:val="000C2361"/>
    <w:rsid w:val="000C5A41"/>
    <w:rsid w:val="000C6768"/>
    <w:rsid w:val="000C742F"/>
    <w:rsid w:val="000C74E2"/>
    <w:rsid w:val="000D03DD"/>
    <w:rsid w:val="000D055A"/>
    <w:rsid w:val="000D0A11"/>
    <w:rsid w:val="000D14E8"/>
    <w:rsid w:val="000D1FDF"/>
    <w:rsid w:val="000D22BB"/>
    <w:rsid w:val="000D2456"/>
    <w:rsid w:val="000D28A9"/>
    <w:rsid w:val="000D2EFC"/>
    <w:rsid w:val="000D2F71"/>
    <w:rsid w:val="000D2FD0"/>
    <w:rsid w:val="000D3627"/>
    <w:rsid w:val="000D4A2E"/>
    <w:rsid w:val="000D6C1B"/>
    <w:rsid w:val="000D7483"/>
    <w:rsid w:val="000D7B91"/>
    <w:rsid w:val="000E01B9"/>
    <w:rsid w:val="000E0327"/>
    <w:rsid w:val="000E05F3"/>
    <w:rsid w:val="000E25A1"/>
    <w:rsid w:val="000E2D88"/>
    <w:rsid w:val="000E3D4C"/>
    <w:rsid w:val="000E45FB"/>
    <w:rsid w:val="000E4BED"/>
    <w:rsid w:val="000E4FBB"/>
    <w:rsid w:val="000E515B"/>
    <w:rsid w:val="000E570C"/>
    <w:rsid w:val="000E5BCD"/>
    <w:rsid w:val="000F0B9E"/>
    <w:rsid w:val="000F0D1C"/>
    <w:rsid w:val="000F0D6C"/>
    <w:rsid w:val="000F111D"/>
    <w:rsid w:val="000F1318"/>
    <w:rsid w:val="000F1730"/>
    <w:rsid w:val="000F22DA"/>
    <w:rsid w:val="000F2540"/>
    <w:rsid w:val="000F264D"/>
    <w:rsid w:val="000F2F32"/>
    <w:rsid w:val="000F35E6"/>
    <w:rsid w:val="000F3795"/>
    <w:rsid w:val="000F384A"/>
    <w:rsid w:val="000F3896"/>
    <w:rsid w:val="000F4467"/>
    <w:rsid w:val="000F4F95"/>
    <w:rsid w:val="000F6582"/>
    <w:rsid w:val="000F6864"/>
    <w:rsid w:val="000F6D5A"/>
    <w:rsid w:val="000F6FEE"/>
    <w:rsid w:val="000F71CC"/>
    <w:rsid w:val="000F7C29"/>
    <w:rsid w:val="000F7D0E"/>
    <w:rsid w:val="0010013C"/>
    <w:rsid w:val="00100492"/>
    <w:rsid w:val="001006F0"/>
    <w:rsid w:val="00100BA6"/>
    <w:rsid w:val="00100C1D"/>
    <w:rsid w:val="0010101D"/>
    <w:rsid w:val="001014FF"/>
    <w:rsid w:val="00101613"/>
    <w:rsid w:val="00101745"/>
    <w:rsid w:val="00102D03"/>
    <w:rsid w:val="0010371B"/>
    <w:rsid w:val="00103AF8"/>
    <w:rsid w:val="00104CD1"/>
    <w:rsid w:val="00104D1A"/>
    <w:rsid w:val="00105084"/>
    <w:rsid w:val="00105193"/>
    <w:rsid w:val="00105544"/>
    <w:rsid w:val="00105B00"/>
    <w:rsid w:val="0010613D"/>
    <w:rsid w:val="00106537"/>
    <w:rsid w:val="0010693B"/>
    <w:rsid w:val="00106BE0"/>
    <w:rsid w:val="0010777F"/>
    <w:rsid w:val="00107A28"/>
    <w:rsid w:val="0011101F"/>
    <w:rsid w:val="001111C2"/>
    <w:rsid w:val="001114DE"/>
    <w:rsid w:val="00111869"/>
    <w:rsid w:val="00111A44"/>
    <w:rsid w:val="00111F0F"/>
    <w:rsid w:val="00112DE2"/>
    <w:rsid w:val="0011356D"/>
    <w:rsid w:val="00113B14"/>
    <w:rsid w:val="00114014"/>
    <w:rsid w:val="0011423D"/>
    <w:rsid w:val="00114D80"/>
    <w:rsid w:val="001165F9"/>
    <w:rsid w:val="00116E37"/>
    <w:rsid w:val="001170DB"/>
    <w:rsid w:val="001176C3"/>
    <w:rsid w:val="00120C5B"/>
    <w:rsid w:val="00120FCD"/>
    <w:rsid w:val="00121111"/>
    <w:rsid w:val="00121203"/>
    <w:rsid w:val="001220CA"/>
    <w:rsid w:val="00122941"/>
    <w:rsid w:val="00123375"/>
    <w:rsid w:val="00123802"/>
    <w:rsid w:val="00123D21"/>
    <w:rsid w:val="00123DC6"/>
    <w:rsid w:val="00123F81"/>
    <w:rsid w:val="0012456C"/>
    <w:rsid w:val="00125233"/>
    <w:rsid w:val="00125627"/>
    <w:rsid w:val="00125C5F"/>
    <w:rsid w:val="00125E1D"/>
    <w:rsid w:val="001260A0"/>
    <w:rsid w:val="0012697D"/>
    <w:rsid w:val="00126FAA"/>
    <w:rsid w:val="00127E5E"/>
    <w:rsid w:val="0013015E"/>
    <w:rsid w:val="00130A7A"/>
    <w:rsid w:val="001313C3"/>
    <w:rsid w:val="00131517"/>
    <w:rsid w:val="00131A77"/>
    <w:rsid w:val="00131B43"/>
    <w:rsid w:val="00132C3A"/>
    <w:rsid w:val="00133684"/>
    <w:rsid w:val="001337E4"/>
    <w:rsid w:val="00133BA6"/>
    <w:rsid w:val="00134C35"/>
    <w:rsid w:val="00134D3A"/>
    <w:rsid w:val="00135557"/>
    <w:rsid w:val="001378A9"/>
    <w:rsid w:val="00141760"/>
    <w:rsid w:val="00141C26"/>
    <w:rsid w:val="00141D98"/>
    <w:rsid w:val="00141E57"/>
    <w:rsid w:val="001430ED"/>
    <w:rsid w:val="001437B9"/>
    <w:rsid w:val="00145928"/>
    <w:rsid w:val="00146FD7"/>
    <w:rsid w:val="00147086"/>
    <w:rsid w:val="001501A4"/>
    <w:rsid w:val="00150989"/>
    <w:rsid w:val="00151166"/>
    <w:rsid w:val="00151D9A"/>
    <w:rsid w:val="00153031"/>
    <w:rsid w:val="00153234"/>
    <w:rsid w:val="00153B73"/>
    <w:rsid w:val="00153DAD"/>
    <w:rsid w:val="00154C4F"/>
    <w:rsid w:val="0015662E"/>
    <w:rsid w:val="0015669F"/>
    <w:rsid w:val="00156BE1"/>
    <w:rsid w:val="00156EC3"/>
    <w:rsid w:val="00157319"/>
    <w:rsid w:val="0015798E"/>
    <w:rsid w:val="00157A84"/>
    <w:rsid w:val="0016005F"/>
    <w:rsid w:val="00160565"/>
    <w:rsid w:val="00160622"/>
    <w:rsid w:val="001606BC"/>
    <w:rsid w:val="00160AA5"/>
    <w:rsid w:val="00160B7C"/>
    <w:rsid w:val="001612D4"/>
    <w:rsid w:val="001620E4"/>
    <w:rsid w:val="00162420"/>
    <w:rsid w:val="00163AA3"/>
    <w:rsid w:val="00164401"/>
    <w:rsid w:val="0016452F"/>
    <w:rsid w:val="00164E4C"/>
    <w:rsid w:val="00165945"/>
    <w:rsid w:val="001663F8"/>
    <w:rsid w:val="00166620"/>
    <w:rsid w:val="0016721F"/>
    <w:rsid w:val="001673DD"/>
    <w:rsid w:val="00167F11"/>
    <w:rsid w:val="001702C1"/>
    <w:rsid w:val="001705A4"/>
    <w:rsid w:val="00172C4A"/>
    <w:rsid w:val="001730AD"/>
    <w:rsid w:val="001738D5"/>
    <w:rsid w:val="00173C65"/>
    <w:rsid w:val="00174147"/>
    <w:rsid w:val="00174BC7"/>
    <w:rsid w:val="0017570D"/>
    <w:rsid w:val="00175B2F"/>
    <w:rsid w:val="00175C84"/>
    <w:rsid w:val="00176413"/>
    <w:rsid w:val="0017677A"/>
    <w:rsid w:val="001778EE"/>
    <w:rsid w:val="00177A43"/>
    <w:rsid w:val="00181B65"/>
    <w:rsid w:val="001825E3"/>
    <w:rsid w:val="001827DB"/>
    <w:rsid w:val="00183872"/>
    <w:rsid w:val="00183C59"/>
    <w:rsid w:val="00183C90"/>
    <w:rsid w:val="001841F8"/>
    <w:rsid w:val="00184699"/>
    <w:rsid w:val="001847EC"/>
    <w:rsid w:val="00185B5E"/>
    <w:rsid w:val="00186183"/>
    <w:rsid w:val="00186887"/>
    <w:rsid w:val="00190CD2"/>
    <w:rsid w:val="0019174A"/>
    <w:rsid w:val="00191B1A"/>
    <w:rsid w:val="00192271"/>
    <w:rsid w:val="00192EB0"/>
    <w:rsid w:val="00192EBC"/>
    <w:rsid w:val="00193D5D"/>
    <w:rsid w:val="00193D64"/>
    <w:rsid w:val="001954C8"/>
    <w:rsid w:val="00196484"/>
    <w:rsid w:val="001967BB"/>
    <w:rsid w:val="0019697F"/>
    <w:rsid w:val="00196BDC"/>
    <w:rsid w:val="00197F3D"/>
    <w:rsid w:val="00197FBC"/>
    <w:rsid w:val="001A024E"/>
    <w:rsid w:val="001A29C7"/>
    <w:rsid w:val="001A2E48"/>
    <w:rsid w:val="001A3239"/>
    <w:rsid w:val="001A4119"/>
    <w:rsid w:val="001A4A0C"/>
    <w:rsid w:val="001A4C45"/>
    <w:rsid w:val="001A516A"/>
    <w:rsid w:val="001A53C8"/>
    <w:rsid w:val="001A53F8"/>
    <w:rsid w:val="001A5F4A"/>
    <w:rsid w:val="001A6370"/>
    <w:rsid w:val="001A67DF"/>
    <w:rsid w:val="001A763D"/>
    <w:rsid w:val="001B0107"/>
    <w:rsid w:val="001B1A49"/>
    <w:rsid w:val="001B1D8A"/>
    <w:rsid w:val="001B25E6"/>
    <w:rsid w:val="001B3549"/>
    <w:rsid w:val="001B3F8D"/>
    <w:rsid w:val="001B4783"/>
    <w:rsid w:val="001B48DC"/>
    <w:rsid w:val="001B54B3"/>
    <w:rsid w:val="001B571A"/>
    <w:rsid w:val="001B6B53"/>
    <w:rsid w:val="001B71E4"/>
    <w:rsid w:val="001B7E44"/>
    <w:rsid w:val="001C0238"/>
    <w:rsid w:val="001C167C"/>
    <w:rsid w:val="001C1729"/>
    <w:rsid w:val="001C1A4D"/>
    <w:rsid w:val="001C2BE6"/>
    <w:rsid w:val="001C3135"/>
    <w:rsid w:val="001C318A"/>
    <w:rsid w:val="001C39ED"/>
    <w:rsid w:val="001C3F3A"/>
    <w:rsid w:val="001C4215"/>
    <w:rsid w:val="001C48FF"/>
    <w:rsid w:val="001C53A5"/>
    <w:rsid w:val="001C53B1"/>
    <w:rsid w:val="001C5AAD"/>
    <w:rsid w:val="001C6960"/>
    <w:rsid w:val="001C696C"/>
    <w:rsid w:val="001C6AC7"/>
    <w:rsid w:val="001C730F"/>
    <w:rsid w:val="001C732B"/>
    <w:rsid w:val="001C7C12"/>
    <w:rsid w:val="001D02A4"/>
    <w:rsid w:val="001D07C1"/>
    <w:rsid w:val="001D11B8"/>
    <w:rsid w:val="001D217D"/>
    <w:rsid w:val="001D266F"/>
    <w:rsid w:val="001D27AE"/>
    <w:rsid w:val="001D2BAD"/>
    <w:rsid w:val="001D33E8"/>
    <w:rsid w:val="001D35E2"/>
    <w:rsid w:val="001D38BD"/>
    <w:rsid w:val="001D4A1D"/>
    <w:rsid w:val="001D4D50"/>
    <w:rsid w:val="001D7058"/>
    <w:rsid w:val="001D78B7"/>
    <w:rsid w:val="001D7A0A"/>
    <w:rsid w:val="001D7C9B"/>
    <w:rsid w:val="001D7EBD"/>
    <w:rsid w:val="001D7F35"/>
    <w:rsid w:val="001E05C6"/>
    <w:rsid w:val="001E08F0"/>
    <w:rsid w:val="001E213B"/>
    <w:rsid w:val="001E2658"/>
    <w:rsid w:val="001E2CFB"/>
    <w:rsid w:val="001E3408"/>
    <w:rsid w:val="001E342B"/>
    <w:rsid w:val="001E3EC4"/>
    <w:rsid w:val="001E48A6"/>
    <w:rsid w:val="001E4C1C"/>
    <w:rsid w:val="001E51E9"/>
    <w:rsid w:val="001E5417"/>
    <w:rsid w:val="001E5445"/>
    <w:rsid w:val="001E5511"/>
    <w:rsid w:val="001E5B48"/>
    <w:rsid w:val="001E6066"/>
    <w:rsid w:val="001E6CA0"/>
    <w:rsid w:val="001E73AB"/>
    <w:rsid w:val="001F0488"/>
    <w:rsid w:val="001F068F"/>
    <w:rsid w:val="001F2321"/>
    <w:rsid w:val="001F23DB"/>
    <w:rsid w:val="001F2A13"/>
    <w:rsid w:val="001F2BD2"/>
    <w:rsid w:val="001F2D5E"/>
    <w:rsid w:val="001F3EFC"/>
    <w:rsid w:val="001F4060"/>
    <w:rsid w:val="001F433A"/>
    <w:rsid w:val="001F4692"/>
    <w:rsid w:val="001F55D5"/>
    <w:rsid w:val="001F5E0B"/>
    <w:rsid w:val="001F6138"/>
    <w:rsid w:val="001F62F8"/>
    <w:rsid w:val="001F6B1A"/>
    <w:rsid w:val="001F7640"/>
    <w:rsid w:val="001F794B"/>
    <w:rsid w:val="001F7B55"/>
    <w:rsid w:val="002013B2"/>
    <w:rsid w:val="00201CF3"/>
    <w:rsid w:val="00201E09"/>
    <w:rsid w:val="00201F63"/>
    <w:rsid w:val="0020440E"/>
    <w:rsid w:val="00204F07"/>
    <w:rsid w:val="002054CA"/>
    <w:rsid w:val="00205839"/>
    <w:rsid w:val="00206720"/>
    <w:rsid w:val="0020694F"/>
    <w:rsid w:val="00206C74"/>
    <w:rsid w:val="00206D32"/>
    <w:rsid w:val="0020771F"/>
    <w:rsid w:val="00207F42"/>
    <w:rsid w:val="00210953"/>
    <w:rsid w:val="00210B26"/>
    <w:rsid w:val="00210EBA"/>
    <w:rsid w:val="00211405"/>
    <w:rsid w:val="00211442"/>
    <w:rsid w:val="00211588"/>
    <w:rsid w:val="00211B98"/>
    <w:rsid w:val="00211BE8"/>
    <w:rsid w:val="00212C19"/>
    <w:rsid w:val="00213024"/>
    <w:rsid w:val="00213B95"/>
    <w:rsid w:val="00213D45"/>
    <w:rsid w:val="0021436A"/>
    <w:rsid w:val="00214830"/>
    <w:rsid w:val="002158D0"/>
    <w:rsid w:val="00215F5E"/>
    <w:rsid w:val="002161E3"/>
    <w:rsid w:val="0021645F"/>
    <w:rsid w:val="002165C9"/>
    <w:rsid w:val="00217A24"/>
    <w:rsid w:val="00217C4E"/>
    <w:rsid w:val="00217D46"/>
    <w:rsid w:val="00217E3D"/>
    <w:rsid w:val="00220CE0"/>
    <w:rsid w:val="00221475"/>
    <w:rsid w:val="00221C10"/>
    <w:rsid w:val="0022223E"/>
    <w:rsid w:val="00222BBB"/>
    <w:rsid w:val="0022301F"/>
    <w:rsid w:val="002234B5"/>
    <w:rsid w:val="002235CE"/>
    <w:rsid w:val="002238B5"/>
    <w:rsid w:val="002242F7"/>
    <w:rsid w:val="00224565"/>
    <w:rsid w:val="00224B35"/>
    <w:rsid w:val="00225BD2"/>
    <w:rsid w:val="00225C83"/>
    <w:rsid w:val="00227329"/>
    <w:rsid w:val="0022734C"/>
    <w:rsid w:val="00230396"/>
    <w:rsid w:val="00230BAB"/>
    <w:rsid w:val="002312FC"/>
    <w:rsid w:val="00231BED"/>
    <w:rsid w:val="00232671"/>
    <w:rsid w:val="002330BF"/>
    <w:rsid w:val="0023396C"/>
    <w:rsid w:val="00233E2F"/>
    <w:rsid w:val="0023535F"/>
    <w:rsid w:val="002368F3"/>
    <w:rsid w:val="00236FF8"/>
    <w:rsid w:val="00237CB3"/>
    <w:rsid w:val="00237E9A"/>
    <w:rsid w:val="00241B87"/>
    <w:rsid w:val="002423C7"/>
    <w:rsid w:val="002430F3"/>
    <w:rsid w:val="002449A0"/>
    <w:rsid w:val="0024557D"/>
    <w:rsid w:val="00245A68"/>
    <w:rsid w:val="00247606"/>
    <w:rsid w:val="00247BB1"/>
    <w:rsid w:val="00251198"/>
    <w:rsid w:val="0025173B"/>
    <w:rsid w:val="00251F9B"/>
    <w:rsid w:val="002520C7"/>
    <w:rsid w:val="00252D9D"/>
    <w:rsid w:val="00252E14"/>
    <w:rsid w:val="002533FB"/>
    <w:rsid w:val="00253880"/>
    <w:rsid w:val="00253F2A"/>
    <w:rsid w:val="00253F56"/>
    <w:rsid w:val="00253FD2"/>
    <w:rsid w:val="00254759"/>
    <w:rsid w:val="00255A6D"/>
    <w:rsid w:val="00256382"/>
    <w:rsid w:val="00256544"/>
    <w:rsid w:val="0025659B"/>
    <w:rsid w:val="0025691E"/>
    <w:rsid w:val="00256A4C"/>
    <w:rsid w:val="00256A84"/>
    <w:rsid w:val="00256C1B"/>
    <w:rsid w:val="002579E8"/>
    <w:rsid w:val="00260041"/>
    <w:rsid w:val="002603D9"/>
    <w:rsid w:val="00260547"/>
    <w:rsid w:val="002605CA"/>
    <w:rsid w:val="0026067F"/>
    <w:rsid w:val="0026080C"/>
    <w:rsid w:val="00260A97"/>
    <w:rsid w:val="00260CDE"/>
    <w:rsid w:val="0026134F"/>
    <w:rsid w:val="0026191C"/>
    <w:rsid w:val="00263EDB"/>
    <w:rsid w:val="00264618"/>
    <w:rsid w:val="00264A20"/>
    <w:rsid w:val="00264ABB"/>
    <w:rsid w:val="00264FEB"/>
    <w:rsid w:val="00265501"/>
    <w:rsid w:val="00265536"/>
    <w:rsid w:val="00266827"/>
    <w:rsid w:val="00266E89"/>
    <w:rsid w:val="00267CA4"/>
    <w:rsid w:val="00267DE6"/>
    <w:rsid w:val="00270D33"/>
    <w:rsid w:val="00272387"/>
    <w:rsid w:val="00272A33"/>
    <w:rsid w:val="00272A77"/>
    <w:rsid w:val="00272D83"/>
    <w:rsid w:val="0027313B"/>
    <w:rsid w:val="002731BE"/>
    <w:rsid w:val="002731E4"/>
    <w:rsid w:val="00273B62"/>
    <w:rsid w:val="00274284"/>
    <w:rsid w:val="00274861"/>
    <w:rsid w:val="00274964"/>
    <w:rsid w:val="00275124"/>
    <w:rsid w:val="002751AE"/>
    <w:rsid w:val="002753CE"/>
    <w:rsid w:val="00275807"/>
    <w:rsid w:val="00277004"/>
    <w:rsid w:val="002770B4"/>
    <w:rsid w:val="0028097F"/>
    <w:rsid w:val="00281D3B"/>
    <w:rsid w:val="002826C5"/>
    <w:rsid w:val="00282B41"/>
    <w:rsid w:val="00282D52"/>
    <w:rsid w:val="00282FDF"/>
    <w:rsid w:val="0028339F"/>
    <w:rsid w:val="002834FD"/>
    <w:rsid w:val="002836FA"/>
    <w:rsid w:val="002838E3"/>
    <w:rsid w:val="002843E3"/>
    <w:rsid w:val="00285550"/>
    <w:rsid w:val="00285919"/>
    <w:rsid w:val="00285EB8"/>
    <w:rsid w:val="0028615A"/>
    <w:rsid w:val="002863A0"/>
    <w:rsid w:val="00286887"/>
    <w:rsid w:val="00286989"/>
    <w:rsid w:val="00286D69"/>
    <w:rsid w:val="00286F7C"/>
    <w:rsid w:val="00287BE6"/>
    <w:rsid w:val="00287C6C"/>
    <w:rsid w:val="00287DDC"/>
    <w:rsid w:val="002900DF"/>
    <w:rsid w:val="0029085A"/>
    <w:rsid w:val="002909AF"/>
    <w:rsid w:val="00290FBE"/>
    <w:rsid w:val="0029156C"/>
    <w:rsid w:val="00291ADD"/>
    <w:rsid w:val="002928CD"/>
    <w:rsid w:val="002931D9"/>
    <w:rsid w:val="00293920"/>
    <w:rsid w:val="002942DA"/>
    <w:rsid w:val="002945CA"/>
    <w:rsid w:val="002948E1"/>
    <w:rsid w:val="002958B5"/>
    <w:rsid w:val="00295962"/>
    <w:rsid w:val="00296612"/>
    <w:rsid w:val="00296D02"/>
    <w:rsid w:val="00296EA7"/>
    <w:rsid w:val="00297030"/>
    <w:rsid w:val="002975F2"/>
    <w:rsid w:val="0029779D"/>
    <w:rsid w:val="00297C2E"/>
    <w:rsid w:val="002A07B1"/>
    <w:rsid w:val="002A1B5F"/>
    <w:rsid w:val="002A1C25"/>
    <w:rsid w:val="002A1E1B"/>
    <w:rsid w:val="002A248C"/>
    <w:rsid w:val="002A25E8"/>
    <w:rsid w:val="002A2A68"/>
    <w:rsid w:val="002A2A70"/>
    <w:rsid w:val="002A2DF0"/>
    <w:rsid w:val="002A2E31"/>
    <w:rsid w:val="002A31D7"/>
    <w:rsid w:val="002A3647"/>
    <w:rsid w:val="002A3A6E"/>
    <w:rsid w:val="002A3AC8"/>
    <w:rsid w:val="002A41BE"/>
    <w:rsid w:val="002A4A46"/>
    <w:rsid w:val="002A4B76"/>
    <w:rsid w:val="002A533A"/>
    <w:rsid w:val="002A53EA"/>
    <w:rsid w:val="002A55E1"/>
    <w:rsid w:val="002A5B9B"/>
    <w:rsid w:val="002A63DE"/>
    <w:rsid w:val="002A66C8"/>
    <w:rsid w:val="002A6C18"/>
    <w:rsid w:val="002A6C1F"/>
    <w:rsid w:val="002A6F9C"/>
    <w:rsid w:val="002A71F9"/>
    <w:rsid w:val="002A740E"/>
    <w:rsid w:val="002B0C7E"/>
    <w:rsid w:val="002B2A68"/>
    <w:rsid w:val="002B3767"/>
    <w:rsid w:val="002B3808"/>
    <w:rsid w:val="002B3979"/>
    <w:rsid w:val="002B4B0D"/>
    <w:rsid w:val="002B4B12"/>
    <w:rsid w:val="002B4DED"/>
    <w:rsid w:val="002B553D"/>
    <w:rsid w:val="002B574E"/>
    <w:rsid w:val="002B578E"/>
    <w:rsid w:val="002B66D1"/>
    <w:rsid w:val="002B75C7"/>
    <w:rsid w:val="002B795C"/>
    <w:rsid w:val="002C0012"/>
    <w:rsid w:val="002C011D"/>
    <w:rsid w:val="002C07D8"/>
    <w:rsid w:val="002C0C85"/>
    <w:rsid w:val="002C1218"/>
    <w:rsid w:val="002C1305"/>
    <w:rsid w:val="002C19D9"/>
    <w:rsid w:val="002C32B2"/>
    <w:rsid w:val="002C40F1"/>
    <w:rsid w:val="002C4BF6"/>
    <w:rsid w:val="002C4F46"/>
    <w:rsid w:val="002C5653"/>
    <w:rsid w:val="002C5DAD"/>
    <w:rsid w:val="002C5EE0"/>
    <w:rsid w:val="002C5FFD"/>
    <w:rsid w:val="002C6BD7"/>
    <w:rsid w:val="002C6E17"/>
    <w:rsid w:val="002C7DF3"/>
    <w:rsid w:val="002D01F7"/>
    <w:rsid w:val="002D021E"/>
    <w:rsid w:val="002D0548"/>
    <w:rsid w:val="002D088D"/>
    <w:rsid w:val="002D0B6B"/>
    <w:rsid w:val="002D1465"/>
    <w:rsid w:val="002D1892"/>
    <w:rsid w:val="002D2D30"/>
    <w:rsid w:val="002D2E32"/>
    <w:rsid w:val="002D34A4"/>
    <w:rsid w:val="002D43F8"/>
    <w:rsid w:val="002D4639"/>
    <w:rsid w:val="002D4804"/>
    <w:rsid w:val="002D5A50"/>
    <w:rsid w:val="002D5C5B"/>
    <w:rsid w:val="002D6210"/>
    <w:rsid w:val="002D650D"/>
    <w:rsid w:val="002D70CE"/>
    <w:rsid w:val="002D7778"/>
    <w:rsid w:val="002D78D7"/>
    <w:rsid w:val="002E00E4"/>
    <w:rsid w:val="002E035D"/>
    <w:rsid w:val="002E0503"/>
    <w:rsid w:val="002E0A09"/>
    <w:rsid w:val="002E1177"/>
    <w:rsid w:val="002E16FC"/>
    <w:rsid w:val="002E1FA0"/>
    <w:rsid w:val="002E21DB"/>
    <w:rsid w:val="002E2586"/>
    <w:rsid w:val="002E3045"/>
    <w:rsid w:val="002E4FE9"/>
    <w:rsid w:val="002E54FC"/>
    <w:rsid w:val="002E5790"/>
    <w:rsid w:val="002E6E40"/>
    <w:rsid w:val="002E6EE9"/>
    <w:rsid w:val="002E6FD6"/>
    <w:rsid w:val="002E71C7"/>
    <w:rsid w:val="002F00D4"/>
    <w:rsid w:val="002F04AB"/>
    <w:rsid w:val="002F0636"/>
    <w:rsid w:val="002F0A6D"/>
    <w:rsid w:val="002F0ADE"/>
    <w:rsid w:val="002F0CED"/>
    <w:rsid w:val="002F0D44"/>
    <w:rsid w:val="002F1820"/>
    <w:rsid w:val="002F1870"/>
    <w:rsid w:val="002F1A7D"/>
    <w:rsid w:val="002F1C1D"/>
    <w:rsid w:val="002F2CEF"/>
    <w:rsid w:val="002F31B9"/>
    <w:rsid w:val="002F4DCE"/>
    <w:rsid w:val="002F5424"/>
    <w:rsid w:val="002F5D1D"/>
    <w:rsid w:val="002F6817"/>
    <w:rsid w:val="002F6E7D"/>
    <w:rsid w:val="002F714D"/>
    <w:rsid w:val="002F7759"/>
    <w:rsid w:val="002F7D61"/>
    <w:rsid w:val="00300ABE"/>
    <w:rsid w:val="00301039"/>
    <w:rsid w:val="00301667"/>
    <w:rsid w:val="0030177D"/>
    <w:rsid w:val="00301857"/>
    <w:rsid w:val="00302000"/>
    <w:rsid w:val="00303AB6"/>
    <w:rsid w:val="00303C86"/>
    <w:rsid w:val="00303C9B"/>
    <w:rsid w:val="00304ABF"/>
    <w:rsid w:val="00304E14"/>
    <w:rsid w:val="0030541E"/>
    <w:rsid w:val="00305849"/>
    <w:rsid w:val="003061BC"/>
    <w:rsid w:val="0030673A"/>
    <w:rsid w:val="0030758B"/>
    <w:rsid w:val="00307655"/>
    <w:rsid w:val="00310004"/>
    <w:rsid w:val="00310985"/>
    <w:rsid w:val="0031153E"/>
    <w:rsid w:val="00311E19"/>
    <w:rsid w:val="00312BAD"/>
    <w:rsid w:val="00312E08"/>
    <w:rsid w:val="00313907"/>
    <w:rsid w:val="003139BA"/>
    <w:rsid w:val="003143DF"/>
    <w:rsid w:val="003154F1"/>
    <w:rsid w:val="00315530"/>
    <w:rsid w:val="003158CE"/>
    <w:rsid w:val="00315E9B"/>
    <w:rsid w:val="00315EE2"/>
    <w:rsid w:val="00316BFA"/>
    <w:rsid w:val="003170BF"/>
    <w:rsid w:val="00317685"/>
    <w:rsid w:val="003177A0"/>
    <w:rsid w:val="00320123"/>
    <w:rsid w:val="003211A5"/>
    <w:rsid w:val="003218DD"/>
    <w:rsid w:val="003220E8"/>
    <w:rsid w:val="003222CA"/>
    <w:rsid w:val="00322A65"/>
    <w:rsid w:val="00322CF3"/>
    <w:rsid w:val="00322E2B"/>
    <w:rsid w:val="00322E9E"/>
    <w:rsid w:val="00323D07"/>
    <w:rsid w:val="00323FC4"/>
    <w:rsid w:val="00324F0A"/>
    <w:rsid w:val="00324FDF"/>
    <w:rsid w:val="00324FFA"/>
    <w:rsid w:val="003255BF"/>
    <w:rsid w:val="00326360"/>
    <w:rsid w:val="00326A17"/>
    <w:rsid w:val="00326EBF"/>
    <w:rsid w:val="00326F68"/>
    <w:rsid w:val="00327830"/>
    <w:rsid w:val="00327A6E"/>
    <w:rsid w:val="00327F7F"/>
    <w:rsid w:val="003301EB"/>
    <w:rsid w:val="0033024E"/>
    <w:rsid w:val="00332117"/>
    <w:rsid w:val="00332826"/>
    <w:rsid w:val="0033282C"/>
    <w:rsid w:val="003336F9"/>
    <w:rsid w:val="00334051"/>
    <w:rsid w:val="0033431D"/>
    <w:rsid w:val="00335370"/>
    <w:rsid w:val="0033546C"/>
    <w:rsid w:val="00336E97"/>
    <w:rsid w:val="00337567"/>
    <w:rsid w:val="003378C8"/>
    <w:rsid w:val="00337CD8"/>
    <w:rsid w:val="00337DFD"/>
    <w:rsid w:val="00340C45"/>
    <w:rsid w:val="003411AE"/>
    <w:rsid w:val="0034172A"/>
    <w:rsid w:val="003418BF"/>
    <w:rsid w:val="003422C6"/>
    <w:rsid w:val="0034248C"/>
    <w:rsid w:val="0034365C"/>
    <w:rsid w:val="00343BD1"/>
    <w:rsid w:val="00344C68"/>
    <w:rsid w:val="00344C92"/>
    <w:rsid w:val="00345135"/>
    <w:rsid w:val="00346260"/>
    <w:rsid w:val="0034798F"/>
    <w:rsid w:val="00347FB4"/>
    <w:rsid w:val="00350145"/>
    <w:rsid w:val="00350FFA"/>
    <w:rsid w:val="00351F9D"/>
    <w:rsid w:val="00352B24"/>
    <w:rsid w:val="00353BD2"/>
    <w:rsid w:val="00353E07"/>
    <w:rsid w:val="00353E24"/>
    <w:rsid w:val="003540E2"/>
    <w:rsid w:val="00354127"/>
    <w:rsid w:val="00354341"/>
    <w:rsid w:val="003550FF"/>
    <w:rsid w:val="003551C4"/>
    <w:rsid w:val="00355699"/>
    <w:rsid w:val="00357DCA"/>
    <w:rsid w:val="0036013A"/>
    <w:rsid w:val="00360D84"/>
    <w:rsid w:val="0036249D"/>
    <w:rsid w:val="0036428E"/>
    <w:rsid w:val="003643A3"/>
    <w:rsid w:val="00364C2A"/>
    <w:rsid w:val="00365293"/>
    <w:rsid w:val="0036560B"/>
    <w:rsid w:val="0036564B"/>
    <w:rsid w:val="00365AAC"/>
    <w:rsid w:val="00365D78"/>
    <w:rsid w:val="00366111"/>
    <w:rsid w:val="00366601"/>
    <w:rsid w:val="00366733"/>
    <w:rsid w:val="003669C8"/>
    <w:rsid w:val="00366C7B"/>
    <w:rsid w:val="00367C68"/>
    <w:rsid w:val="00370458"/>
    <w:rsid w:val="003704B1"/>
    <w:rsid w:val="003708CD"/>
    <w:rsid w:val="00370F2A"/>
    <w:rsid w:val="00371AB2"/>
    <w:rsid w:val="00372B03"/>
    <w:rsid w:val="00372BBC"/>
    <w:rsid w:val="00373E01"/>
    <w:rsid w:val="00373F74"/>
    <w:rsid w:val="003742CF"/>
    <w:rsid w:val="00374344"/>
    <w:rsid w:val="00374407"/>
    <w:rsid w:val="00375080"/>
    <w:rsid w:val="003751E6"/>
    <w:rsid w:val="003752E0"/>
    <w:rsid w:val="003756EE"/>
    <w:rsid w:val="00376845"/>
    <w:rsid w:val="0037692B"/>
    <w:rsid w:val="0037700A"/>
    <w:rsid w:val="0038003E"/>
    <w:rsid w:val="003806A7"/>
    <w:rsid w:val="00380889"/>
    <w:rsid w:val="003808DA"/>
    <w:rsid w:val="0038121C"/>
    <w:rsid w:val="00381260"/>
    <w:rsid w:val="003813B6"/>
    <w:rsid w:val="003815FD"/>
    <w:rsid w:val="00381666"/>
    <w:rsid w:val="00381C7A"/>
    <w:rsid w:val="00381EE0"/>
    <w:rsid w:val="00382A4B"/>
    <w:rsid w:val="00382B0D"/>
    <w:rsid w:val="0038314E"/>
    <w:rsid w:val="00383539"/>
    <w:rsid w:val="0038495C"/>
    <w:rsid w:val="00384D26"/>
    <w:rsid w:val="00385190"/>
    <w:rsid w:val="00385595"/>
    <w:rsid w:val="00385E73"/>
    <w:rsid w:val="0038698E"/>
    <w:rsid w:val="00387154"/>
    <w:rsid w:val="0039070D"/>
    <w:rsid w:val="00390771"/>
    <w:rsid w:val="00390901"/>
    <w:rsid w:val="00390FB3"/>
    <w:rsid w:val="003928DC"/>
    <w:rsid w:val="00392C45"/>
    <w:rsid w:val="003938A0"/>
    <w:rsid w:val="00394901"/>
    <w:rsid w:val="00394B8E"/>
    <w:rsid w:val="003958B9"/>
    <w:rsid w:val="00396E0C"/>
    <w:rsid w:val="003970FE"/>
    <w:rsid w:val="003972FD"/>
    <w:rsid w:val="003974E3"/>
    <w:rsid w:val="003977DD"/>
    <w:rsid w:val="00397A8B"/>
    <w:rsid w:val="00397DE1"/>
    <w:rsid w:val="003A0289"/>
    <w:rsid w:val="003A05A4"/>
    <w:rsid w:val="003A1A53"/>
    <w:rsid w:val="003A1BF7"/>
    <w:rsid w:val="003A2A03"/>
    <w:rsid w:val="003A34C8"/>
    <w:rsid w:val="003A383D"/>
    <w:rsid w:val="003A3888"/>
    <w:rsid w:val="003A4DDC"/>
    <w:rsid w:val="003A4F76"/>
    <w:rsid w:val="003A5056"/>
    <w:rsid w:val="003A50AE"/>
    <w:rsid w:val="003A5385"/>
    <w:rsid w:val="003A6BB1"/>
    <w:rsid w:val="003A7519"/>
    <w:rsid w:val="003A79A7"/>
    <w:rsid w:val="003B0F4C"/>
    <w:rsid w:val="003B123E"/>
    <w:rsid w:val="003B1282"/>
    <w:rsid w:val="003B1460"/>
    <w:rsid w:val="003B2536"/>
    <w:rsid w:val="003B25FB"/>
    <w:rsid w:val="003B2E37"/>
    <w:rsid w:val="003B3721"/>
    <w:rsid w:val="003B3893"/>
    <w:rsid w:val="003B3C45"/>
    <w:rsid w:val="003B3CEA"/>
    <w:rsid w:val="003B4F5A"/>
    <w:rsid w:val="003B50A0"/>
    <w:rsid w:val="003B55BA"/>
    <w:rsid w:val="003B561F"/>
    <w:rsid w:val="003B57B9"/>
    <w:rsid w:val="003B5865"/>
    <w:rsid w:val="003B6A0D"/>
    <w:rsid w:val="003B6AF5"/>
    <w:rsid w:val="003B6DF8"/>
    <w:rsid w:val="003B6F63"/>
    <w:rsid w:val="003B72ED"/>
    <w:rsid w:val="003B7389"/>
    <w:rsid w:val="003C042A"/>
    <w:rsid w:val="003C0C8C"/>
    <w:rsid w:val="003C0DCF"/>
    <w:rsid w:val="003C0F72"/>
    <w:rsid w:val="003C135E"/>
    <w:rsid w:val="003C15E3"/>
    <w:rsid w:val="003C1EEB"/>
    <w:rsid w:val="003C361A"/>
    <w:rsid w:val="003C3EB7"/>
    <w:rsid w:val="003C4355"/>
    <w:rsid w:val="003C5CBD"/>
    <w:rsid w:val="003C6085"/>
    <w:rsid w:val="003C61AD"/>
    <w:rsid w:val="003C627D"/>
    <w:rsid w:val="003C6981"/>
    <w:rsid w:val="003C7124"/>
    <w:rsid w:val="003C757B"/>
    <w:rsid w:val="003C75E5"/>
    <w:rsid w:val="003D0186"/>
    <w:rsid w:val="003D0193"/>
    <w:rsid w:val="003D05E0"/>
    <w:rsid w:val="003D1299"/>
    <w:rsid w:val="003D1A9A"/>
    <w:rsid w:val="003D234C"/>
    <w:rsid w:val="003D3A3D"/>
    <w:rsid w:val="003D3AAC"/>
    <w:rsid w:val="003D3B4D"/>
    <w:rsid w:val="003D4087"/>
    <w:rsid w:val="003D4436"/>
    <w:rsid w:val="003D4638"/>
    <w:rsid w:val="003D4A2A"/>
    <w:rsid w:val="003D4DCA"/>
    <w:rsid w:val="003D509A"/>
    <w:rsid w:val="003D58BA"/>
    <w:rsid w:val="003D6098"/>
    <w:rsid w:val="003D69B9"/>
    <w:rsid w:val="003D6EC0"/>
    <w:rsid w:val="003D7A8D"/>
    <w:rsid w:val="003E04B7"/>
    <w:rsid w:val="003E18C8"/>
    <w:rsid w:val="003E201D"/>
    <w:rsid w:val="003E22CB"/>
    <w:rsid w:val="003E266B"/>
    <w:rsid w:val="003E295F"/>
    <w:rsid w:val="003E2EAB"/>
    <w:rsid w:val="003E3836"/>
    <w:rsid w:val="003E3BE6"/>
    <w:rsid w:val="003E405A"/>
    <w:rsid w:val="003E5090"/>
    <w:rsid w:val="003E519B"/>
    <w:rsid w:val="003E64F3"/>
    <w:rsid w:val="003E6544"/>
    <w:rsid w:val="003E771C"/>
    <w:rsid w:val="003E784C"/>
    <w:rsid w:val="003F04B8"/>
    <w:rsid w:val="003F07AF"/>
    <w:rsid w:val="003F08B3"/>
    <w:rsid w:val="003F19BF"/>
    <w:rsid w:val="003F1EC6"/>
    <w:rsid w:val="003F27D1"/>
    <w:rsid w:val="003F287E"/>
    <w:rsid w:val="003F4B66"/>
    <w:rsid w:val="003F7000"/>
    <w:rsid w:val="003F77B4"/>
    <w:rsid w:val="00400A85"/>
    <w:rsid w:val="00401247"/>
    <w:rsid w:val="0040153E"/>
    <w:rsid w:val="004015D1"/>
    <w:rsid w:val="004019EB"/>
    <w:rsid w:val="00401D44"/>
    <w:rsid w:val="004023F4"/>
    <w:rsid w:val="00402479"/>
    <w:rsid w:val="00402E10"/>
    <w:rsid w:val="0040413B"/>
    <w:rsid w:val="00404D47"/>
    <w:rsid w:val="004057BD"/>
    <w:rsid w:val="00405DA5"/>
    <w:rsid w:val="00406562"/>
    <w:rsid w:val="0040659A"/>
    <w:rsid w:val="0040785C"/>
    <w:rsid w:val="0041052A"/>
    <w:rsid w:val="00410A41"/>
    <w:rsid w:val="004113DE"/>
    <w:rsid w:val="00411CC6"/>
    <w:rsid w:val="00412DCF"/>
    <w:rsid w:val="00413587"/>
    <w:rsid w:val="0041411E"/>
    <w:rsid w:val="004144EE"/>
    <w:rsid w:val="004146BE"/>
    <w:rsid w:val="00414855"/>
    <w:rsid w:val="004150B6"/>
    <w:rsid w:val="00415460"/>
    <w:rsid w:val="00415483"/>
    <w:rsid w:val="00416A3A"/>
    <w:rsid w:val="00416BB2"/>
    <w:rsid w:val="004170E4"/>
    <w:rsid w:val="00417166"/>
    <w:rsid w:val="00417616"/>
    <w:rsid w:val="00420952"/>
    <w:rsid w:val="00420B2F"/>
    <w:rsid w:val="00420BC4"/>
    <w:rsid w:val="004214D7"/>
    <w:rsid w:val="004217F6"/>
    <w:rsid w:val="0042222D"/>
    <w:rsid w:val="00422E80"/>
    <w:rsid w:val="0042446A"/>
    <w:rsid w:val="0042518E"/>
    <w:rsid w:val="00425226"/>
    <w:rsid w:val="00426B65"/>
    <w:rsid w:val="0042785B"/>
    <w:rsid w:val="004308C9"/>
    <w:rsid w:val="00430E70"/>
    <w:rsid w:val="00431599"/>
    <w:rsid w:val="0043195B"/>
    <w:rsid w:val="00432248"/>
    <w:rsid w:val="004326A8"/>
    <w:rsid w:val="00433069"/>
    <w:rsid w:val="00433507"/>
    <w:rsid w:val="004335AF"/>
    <w:rsid w:val="004337A1"/>
    <w:rsid w:val="00433A19"/>
    <w:rsid w:val="00434073"/>
    <w:rsid w:val="00434F8C"/>
    <w:rsid w:val="00435134"/>
    <w:rsid w:val="00435847"/>
    <w:rsid w:val="00435CF2"/>
    <w:rsid w:val="00436C73"/>
    <w:rsid w:val="00436DAF"/>
    <w:rsid w:val="004378CE"/>
    <w:rsid w:val="00437F57"/>
    <w:rsid w:val="004405B3"/>
    <w:rsid w:val="00441C68"/>
    <w:rsid w:val="00442A6D"/>
    <w:rsid w:val="00442CCD"/>
    <w:rsid w:val="004439C6"/>
    <w:rsid w:val="00444034"/>
    <w:rsid w:val="0044492E"/>
    <w:rsid w:val="00445089"/>
    <w:rsid w:val="00445FAC"/>
    <w:rsid w:val="0044617E"/>
    <w:rsid w:val="00446242"/>
    <w:rsid w:val="00446A67"/>
    <w:rsid w:val="00446BF2"/>
    <w:rsid w:val="00446EA6"/>
    <w:rsid w:val="004470E5"/>
    <w:rsid w:val="0044738E"/>
    <w:rsid w:val="0044740F"/>
    <w:rsid w:val="004507A9"/>
    <w:rsid w:val="00450B3B"/>
    <w:rsid w:val="00451022"/>
    <w:rsid w:val="00451ABA"/>
    <w:rsid w:val="00451EFC"/>
    <w:rsid w:val="00451F3E"/>
    <w:rsid w:val="004522C1"/>
    <w:rsid w:val="0045256A"/>
    <w:rsid w:val="0045283E"/>
    <w:rsid w:val="004529D8"/>
    <w:rsid w:val="00452ED9"/>
    <w:rsid w:val="0045338E"/>
    <w:rsid w:val="00453600"/>
    <w:rsid w:val="0045374A"/>
    <w:rsid w:val="0045468F"/>
    <w:rsid w:val="00454C5C"/>
    <w:rsid w:val="00454EB9"/>
    <w:rsid w:val="00455734"/>
    <w:rsid w:val="00455D0D"/>
    <w:rsid w:val="00455DFC"/>
    <w:rsid w:val="00455E7E"/>
    <w:rsid w:val="00456DED"/>
    <w:rsid w:val="00457051"/>
    <w:rsid w:val="0045711B"/>
    <w:rsid w:val="0045730E"/>
    <w:rsid w:val="00457581"/>
    <w:rsid w:val="00457774"/>
    <w:rsid w:val="004600FF"/>
    <w:rsid w:val="00462520"/>
    <w:rsid w:val="00462C35"/>
    <w:rsid w:val="00462CFC"/>
    <w:rsid w:val="004634EE"/>
    <w:rsid w:val="004635D2"/>
    <w:rsid w:val="004636A4"/>
    <w:rsid w:val="00464291"/>
    <w:rsid w:val="00464917"/>
    <w:rsid w:val="00464C0F"/>
    <w:rsid w:val="00465BFC"/>
    <w:rsid w:val="004661E0"/>
    <w:rsid w:val="004663C1"/>
    <w:rsid w:val="00467C2D"/>
    <w:rsid w:val="004709AC"/>
    <w:rsid w:val="00470B07"/>
    <w:rsid w:val="00471A32"/>
    <w:rsid w:val="00471AC2"/>
    <w:rsid w:val="00471CE8"/>
    <w:rsid w:val="00471F17"/>
    <w:rsid w:val="00472283"/>
    <w:rsid w:val="00472342"/>
    <w:rsid w:val="004724DE"/>
    <w:rsid w:val="00473182"/>
    <w:rsid w:val="0047373F"/>
    <w:rsid w:val="00473CA5"/>
    <w:rsid w:val="00474376"/>
    <w:rsid w:val="00475D26"/>
    <w:rsid w:val="00475F3C"/>
    <w:rsid w:val="00476668"/>
    <w:rsid w:val="004768C4"/>
    <w:rsid w:val="0047771E"/>
    <w:rsid w:val="00477723"/>
    <w:rsid w:val="00477A9D"/>
    <w:rsid w:val="00477D56"/>
    <w:rsid w:val="00477D9A"/>
    <w:rsid w:val="00477EE5"/>
    <w:rsid w:val="00480277"/>
    <w:rsid w:val="0048042C"/>
    <w:rsid w:val="00481CE5"/>
    <w:rsid w:val="00482813"/>
    <w:rsid w:val="00482FDC"/>
    <w:rsid w:val="00483795"/>
    <w:rsid w:val="00483C56"/>
    <w:rsid w:val="004840C2"/>
    <w:rsid w:val="00484CD7"/>
    <w:rsid w:val="00486243"/>
    <w:rsid w:val="004863A3"/>
    <w:rsid w:val="00486D4E"/>
    <w:rsid w:val="004870D9"/>
    <w:rsid w:val="0048715F"/>
    <w:rsid w:val="00487174"/>
    <w:rsid w:val="004873F9"/>
    <w:rsid w:val="0048747D"/>
    <w:rsid w:val="0048758D"/>
    <w:rsid w:val="00490C85"/>
    <w:rsid w:val="004920D8"/>
    <w:rsid w:val="00492C8E"/>
    <w:rsid w:val="004938FA"/>
    <w:rsid w:val="00493914"/>
    <w:rsid w:val="00493B40"/>
    <w:rsid w:val="00493BDB"/>
    <w:rsid w:val="00493C79"/>
    <w:rsid w:val="00493EA2"/>
    <w:rsid w:val="00493F24"/>
    <w:rsid w:val="004949D0"/>
    <w:rsid w:val="004955CD"/>
    <w:rsid w:val="00496DAA"/>
    <w:rsid w:val="0049745E"/>
    <w:rsid w:val="00497677"/>
    <w:rsid w:val="0049771B"/>
    <w:rsid w:val="004A05C0"/>
    <w:rsid w:val="004A06A7"/>
    <w:rsid w:val="004A0B94"/>
    <w:rsid w:val="004A1DBD"/>
    <w:rsid w:val="004A2663"/>
    <w:rsid w:val="004A34D5"/>
    <w:rsid w:val="004A3780"/>
    <w:rsid w:val="004A43F1"/>
    <w:rsid w:val="004A45DC"/>
    <w:rsid w:val="004A4D14"/>
    <w:rsid w:val="004A4E22"/>
    <w:rsid w:val="004A5492"/>
    <w:rsid w:val="004A6496"/>
    <w:rsid w:val="004A6520"/>
    <w:rsid w:val="004A708D"/>
    <w:rsid w:val="004A7831"/>
    <w:rsid w:val="004A786F"/>
    <w:rsid w:val="004A7E33"/>
    <w:rsid w:val="004B0066"/>
    <w:rsid w:val="004B048A"/>
    <w:rsid w:val="004B24E0"/>
    <w:rsid w:val="004B2DAF"/>
    <w:rsid w:val="004B2FCC"/>
    <w:rsid w:val="004B312E"/>
    <w:rsid w:val="004B3A7B"/>
    <w:rsid w:val="004B3BCD"/>
    <w:rsid w:val="004B430B"/>
    <w:rsid w:val="004B4844"/>
    <w:rsid w:val="004B4CDA"/>
    <w:rsid w:val="004B577B"/>
    <w:rsid w:val="004B5F0B"/>
    <w:rsid w:val="004B6516"/>
    <w:rsid w:val="004B7766"/>
    <w:rsid w:val="004C141A"/>
    <w:rsid w:val="004C167C"/>
    <w:rsid w:val="004C1A97"/>
    <w:rsid w:val="004C1F16"/>
    <w:rsid w:val="004C1F63"/>
    <w:rsid w:val="004C26CB"/>
    <w:rsid w:val="004C2E92"/>
    <w:rsid w:val="004C39DE"/>
    <w:rsid w:val="004C3D02"/>
    <w:rsid w:val="004C40E8"/>
    <w:rsid w:val="004C41B2"/>
    <w:rsid w:val="004C4277"/>
    <w:rsid w:val="004C4F45"/>
    <w:rsid w:val="004C538A"/>
    <w:rsid w:val="004C5ADF"/>
    <w:rsid w:val="004C5C52"/>
    <w:rsid w:val="004C5D71"/>
    <w:rsid w:val="004C6AD8"/>
    <w:rsid w:val="004C6FD1"/>
    <w:rsid w:val="004C729E"/>
    <w:rsid w:val="004C7401"/>
    <w:rsid w:val="004C749A"/>
    <w:rsid w:val="004D082C"/>
    <w:rsid w:val="004D08F5"/>
    <w:rsid w:val="004D145A"/>
    <w:rsid w:val="004D1944"/>
    <w:rsid w:val="004D2A67"/>
    <w:rsid w:val="004D31A8"/>
    <w:rsid w:val="004D3596"/>
    <w:rsid w:val="004D35E2"/>
    <w:rsid w:val="004D438D"/>
    <w:rsid w:val="004D589A"/>
    <w:rsid w:val="004D5A16"/>
    <w:rsid w:val="004D5DBC"/>
    <w:rsid w:val="004D5E02"/>
    <w:rsid w:val="004D5EB9"/>
    <w:rsid w:val="004D652F"/>
    <w:rsid w:val="004D667C"/>
    <w:rsid w:val="004D75A9"/>
    <w:rsid w:val="004D78EC"/>
    <w:rsid w:val="004E0A5B"/>
    <w:rsid w:val="004E0DBF"/>
    <w:rsid w:val="004E1C65"/>
    <w:rsid w:val="004E4C69"/>
    <w:rsid w:val="004E5323"/>
    <w:rsid w:val="004E58C3"/>
    <w:rsid w:val="004E7CA3"/>
    <w:rsid w:val="004F150B"/>
    <w:rsid w:val="004F1E65"/>
    <w:rsid w:val="004F2383"/>
    <w:rsid w:val="004F2DA7"/>
    <w:rsid w:val="004F47A7"/>
    <w:rsid w:val="004F54D9"/>
    <w:rsid w:val="004F5854"/>
    <w:rsid w:val="004F59CD"/>
    <w:rsid w:val="004F620B"/>
    <w:rsid w:val="004F7872"/>
    <w:rsid w:val="004F7A65"/>
    <w:rsid w:val="004F7BF7"/>
    <w:rsid w:val="00500529"/>
    <w:rsid w:val="005006ED"/>
    <w:rsid w:val="00500B53"/>
    <w:rsid w:val="00500BF2"/>
    <w:rsid w:val="00500C40"/>
    <w:rsid w:val="00501313"/>
    <w:rsid w:val="0050156C"/>
    <w:rsid w:val="0050244F"/>
    <w:rsid w:val="005031A4"/>
    <w:rsid w:val="00503A6A"/>
    <w:rsid w:val="005053D6"/>
    <w:rsid w:val="00505654"/>
    <w:rsid w:val="00505AD3"/>
    <w:rsid w:val="00505BA0"/>
    <w:rsid w:val="00505E50"/>
    <w:rsid w:val="005105B3"/>
    <w:rsid w:val="005114E8"/>
    <w:rsid w:val="005121BB"/>
    <w:rsid w:val="005121D5"/>
    <w:rsid w:val="00512215"/>
    <w:rsid w:val="005125C4"/>
    <w:rsid w:val="005127F1"/>
    <w:rsid w:val="005129AA"/>
    <w:rsid w:val="00512C54"/>
    <w:rsid w:val="00512C5C"/>
    <w:rsid w:val="005143F4"/>
    <w:rsid w:val="00515A35"/>
    <w:rsid w:val="00515F69"/>
    <w:rsid w:val="005161D2"/>
    <w:rsid w:val="005175D0"/>
    <w:rsid w:val="00517991"/>
    <w:rsid w:val="00517C18"/>
    <w:rsid w:val="00517E17"/>
    <w:rsid w:val="00517FEB"/>
    <w:rsid w:val="005201D8"/>
    <w:rsid w:val="0052066F"/>
    <w:rsid w:val="00520786"/>
    <w:rsid w:val="00520879"/>
    <w:rsid w:val="00520BBC"/>
    <w:rsid w:val="0052172B"/>
    <w:rsid w:val="005229E8"/>
    <w:rsid w:val="00523347"/>
    <w:rsid w:val="005233D3"/>
    <w:rsid w:val="00524EF6"/>
    <w:rsid w:val="00525123"/>
    <w:rsid w:val="0052512B"/>
    <w:rsid w:val="00525A48"/>
    <w:rsid w:val="005265A2"/>
    <w:rsid w:val="00526F51"/>
    <w:rsid w:val="005272A3"/>
    <w:rsid w:val="00527416"/>
    <w:rsid w:val="00530F5B"/>
    <w:rsid w:val="00531A94"/>
    <w:rsid w:val="005321F4"/>
    <w:rsid w:val="00532286"/>
    <w:rsid w:val="0053278F"/>
    <w:rsid w:val="0053279A"/>
    <w:rsid w:val="0053283F"/>
    <w:rsid w:val="005330F1"/>
    <w:rsid w:val="005332F5"/>
    <w:rsid w:val="00533645"/>
    <w:rsid w:val="00533B4F"/>
    <w:rsid w:val="005340CC"/>
    <w:rsid w:val="00534A1D"/>
    <w:rsid w:val="00534B3C"/>
    <w:rsid w:val="00535A98"/>
    <w:rsid w:val="00535FB8"/>
    <w:rsid w:val="00535FC1"/>
    <w:rsid w:val="00536217"/>
    <w:rsid w:val="00536270"/>
    <w:rsid w:val="00536591"/>
    <w:rsid w:val="00536E74"/>
    <w:rsid w:val="00537FE1"/>
    <w:rsid w:val="00540231"/>
    <w:rsid w:val="0054061D"/>
    <w:rsid w:val="005406D3"/>
    <w:rsid w:val="00540BEE"/>
    <w:rsid w:val="005417B5"/>
    <w:rsid w:val="005429B4"/>
    <w:rsid w:val="00542BE8"/>
    <w:rsid w:val="005430D7"/>
    <w:rsid w:val="0054320C"/>
    <w:rsid w:val="00543790"/>
    <w:rsid w:val="00543840"/>
    <w:rsid w:val="00543CBE"/>
    <w:rsid w:val="00543E4D"/>
    <w:rsid w:val="0054447E"/>
    <w:rsid w:val="005448CA"/>
    <w:rsid w:val="00544F99"/>
    <w:rsid w:val="005455AB"/>
    <w:rsid w:val="00545FB5"/>
    <w:rsid w:val="00550538"/>
    <w:rsid w:val="005509CD"/>
    <w:rsid w:val="00550CA4"/>
    <w:rsid w:val="00551958"/>
    <w:rsid w:val="00552997"/>
    <w:rsid w:val="00552B80"/>
    <w:rsid w:val="00552FBD"/>
    <w:rsid w:val="005538F4"/>
    <w:rsid w:val="0055414F"/>
    <w:rsid w:val="00554581"/>
    <w:rsid w:val="00554BF4"/>
    <w:rsid w:val="00554D15"/>
    <w:rsid w:val="00555069"/>
    <w:rsid w:val="00555E58"/>
    <w:rsid w:val="00557675"/>
    <w:rsid w:val="005577EA"/>
    <w:rsid w:val="005579ED"/>
    <w:rsid w:val="005579F7"/>
    <w:rsid w:val="00557DCF"/>
    <w:rsid w:val="005605A1"/>
    <w:rsid w:val="00560E96"/>
    <w:rsid w:val="00561146"/>
    <w:rsid w:val="0056119D"/>
    <w:rsid w:val="00561AFF"/>
    <w:rsid w:val="005621B2"/>
    <w:rsid w:val="005625AC"/>
    <w:rsid w:val="005626BA"/>
    <w:rsid w:val="00562757"/>
    <w:rsid w:val="00562DC0"/>
    <w:rsid w:val="00562E63"/>
    <w:rsid w:val="00563242"/>
    <w:rsid w:val="0056347B"/>
    <w:rsid w:val="00563ADB"/>
    <w:rsid w:val="00563FE9"/>
    <w:rsid w:val="00564E19"/>
    <w:rsid w:val="00565071"/>
    <w:rsid w:val="00565585"/>
    <w:rsid w:val="00565AA7"/>
    <w:rsid w:val="00567737"/>
    <w:rsid w:val="00567D40"/>
    <w:rsid w:val="005703A8"/>
    <w:rsid w:val="005703B8"/>
    <w:rsid w:val="00570E0C"/>
    <w:rsid w:val="00573D27"/>
    <w:rsid w:val="00574ED6"/>
    <w:rsid w:val="00575107"/>
    <w:rsid w:val="0057514C"/>
    <w:rsid w:val="00575601"/>
    <w:rsid w:val="005758C1"/>
    <w:rsid w:val="00576517"/>
    <w:rsid w:val="00576B7E"/>
    <w:rsid w:val="0057765A"/>
    <w:rsid w:val="0057789B"/>
    <w:rsid w:val="00577B05"/>
    <w:rsid w:val="00580B9F"/>
    <w:rsid w:val="00580E63"/>
    <w:rsid w:val="00581B18"/>
    <w:rsid w:val="005823D7"/>
    <w:rsid w:val="0058331B"/>
    <w:rsid w:val="00583807"/>
    <w:rsid w:val="00584909"/>
    <w:rsid w:val="00584BB2"/>
    <w:rsid w:val="00584E79"/>
    <w:rsid w:val="00584E8A"/>
    <w:rsid w:val="0058529B"/>
    <w:rsid w:val="005852FF"/>
    <w:rsid w:val="00585BCF"/>
    <w:rsid w:val="005862CC"/>
    <w:rsid w:val="00586FB7"/>
    <w:rsid w:val="0058710F"/>
    <w:rsid w:val="00587596"/>
    <w:rsid w:val="00587729"/>
    <w:rsid w:val="00587A99"/>
    <w:rsid w:val="00587B17"/>
    <w:rsid w:val="005907F9"/>
    <w:rsid w:val="005911AA"/>
    <w:rsid w:val="00592108"/>
    <w:rsid w:val="00592CAB"/>
    <w:rsid w:val="00593228"/>
    <w:rsid w:val="00593F67"/>
    <w:rsid w:val="0059443F"/>
    <w:rsid w:val="0059512A"/>
    <w:rsid w:val="005961AE"/>
    <w:rsid w:val="0059626E"/>
    <w:rsid w:val="0059655A"/>
    <w:rsid w:val="00596732"/>
    <w:rsid w:val="00597E3D"/>
    <w:rsid w:val="005A08BE"/>
    <w:rsid w:val="005A0926"/>
    <w:rsid w:val="005A0CF6"/>
    <w:rsid w:val="005A0E88"/>
    <w:rsid w:val="005A13D1"/>
    <w:rsid w:val="005A2D70"/>
    <w:rsid w:val="005A3059"/>
    <w:rsid w:val="005A30B3"/>
    <w:rsid w:val="005A4358"/>
    <w:rsid w:val="005A4418"/>
    <w:rsid w:val="005A47B5"/>
    <w:rsid w:val="005A491E"/>
    <w:rsid w:val="005A4D2D"/>
    <w:rsid w:val="005A57B5"/>
    <w:rsid w:val="005A5B0C"/>
    <w:rsid w:val="005A605B"/>
    <w:rsid w:val="005A6378"/>
    <w:rsid w:val="005A6C4D"/>
    <w:rsid w:val="005A6DEC"/>
    <w:rsid w:val="005A74D5"/>
    <w:rsid w:val="005A78F5"/>
    <w:rsid w:val="005B01F2"/>
    <w:rsid w:val="005B0202"/>
    <w:rsid w:val="005B0CEC"/>
    <w:rsid w:val="005B1396"/>
    <w:rsid w:val="005B1F31"/>
    <w:rsid w:val="005B21A2"/>
    <w:rsid w:val="005B2516"/>
    <w:rsid w:val="005B2A6C"/>
    <w:rsid w:val="005B2DE8"/>
    <w:rsid w:val="005B3BE9"/>
    <w:rsid w:val="005B4281"/>
    <w:rsid w:val="005B48C4"/>
    <w:rsid w:val="005B4AF9"/>
    <w:rsid w:val="005B4DDD"/>
    <w:rsid w:val="005B5216"/>
    <w:rsid w:val="005B5CF9"/>
    <w:rsid w:val="005B5F54"/>
    <w:rsid w:val="005B7603"/>
    <w:rsid w:val="005B7942"/>
    <w:rsid w:val="005C1CA1"/>
    <w:rsid w:val="005C1FAF"/>
    <w:rsid w:val="005C27AF"/>
    <w:rsid w:val="005C2CF3"/>
    <w:rsid w:val="005C34A6"/>
    <w:rsid w:val="005C370D"/>
    <w:rsid w:val="005C40D7"/>
    <w:rsid w:val="005C4A52"/>
    <w:rsid w:val="005C5DB7"/>
    <w:rsid w:val="005C6554"/>
    <w:rsid w:val="005C69A8"/>
    <w:rsid w:val="005C6C0A"/>
    <w:rsid w:val="005C6EB8"/>
    <w:rsid w:val="005C78FA"/>
    <w:rsid w:val="005C7913"/>
    <w:rsid w:val="005C7928"/>
    <w:rsid w:val="005C7D85"/>
    <w:rsid w:val="005D0CC5"/>
    <w:rsid w:val="005D14A8"/>
    <w:rsid w:val="005D14FC"/>
    <w:rsid w:val="005D15E7"/>
    <w:rsid w:val="005D18D2"/>
    <w:rsid w:val="005D2D5F"/>
    <w:rsid w:val="005D30EC"/>
    <w:rsid w:val="005D353A"/>
    <w:rsid w:val="005D3582"/>
    <w:rsid w:val="005D3D4A"/>
    <w:rsid w:val="005D47EF"/>
    <w:rsid w:val="005D482A"/>
    <w:rsid w:val="005D5374"/>
    <w:rsid w:val="005D596B"/>
    <w:rsid w:val="005D60FF"/>
    <w:rsid w:val="005D6A3D"/>
    <w:rsid w:val="005D73C6"/>
    <w:rsid w:val="005D7A07"/>
    <w:rsid w:val="005E0114"/>
    <w:rsid w:val="005E0401"/>
    <w:rsid w:val="005E0DB4"/>
    <w:rsid w:val="005E2082"/>
    <w:rsid w:val="005E25B7"/>
    <w:rsid w:val="005E2D84"/>
    <w:rsid w:val="005E3141"/>
    <w:rsid w:val="005E367C"/>
    <w:rsid w:val="005E4135"/>
    <w:rsid w:val="005E4787"/>
    <w:rsid w:val="005E50C3"/>
    <w:rsid w:val="005E6F70"/>
    <w:rsid w:val="005E7EF0"/>
    <w:rsid w:val="005F1051"/>
    <w:rsid w:val="005F11AD"/>
    <w:rsid w:val="005F1ABF"/>
    <w:rsid w:val="005F1C65"/>
    <w:rsid w:val="005F1F82"/>
    <w:rsid w:val="005F28A1"/>
    <w:rsid w:val="005F37D2"/>
    <w:rsid w:val="005F3C08"/>
    <w:rsid w:val="005F3F9B"/>
    <w:rsid w:val="005F4E1B"/>
    <w:rsid w:val="005F5031"/>
    <w:rsid w:val="005F5398"/>
    <w:rsid w:val="005F6FFE"/>
    <w:rsid w:val="005F7114"/>
    <w:rsid w:val="005F777A"/>
    <w:rsid w:val="005F7A1F"/>
    <w:rsid w:val="00600E98"/>
    <w:rsid w:val="00600EC7"/>
    <w:rsid w:val="00600F6F"/>
    <w:rsid w:val="0060108D"/>
    <w:rsid w:val="00601D83"/>
    <w:rsid w:val="0060272D"/>
    <w:rsid w:val="0060382E"/>
    <w:rsid w:val="00604966"/>
    <w:rsid w:val="006049C5"/>
    <w:rsid w:val="006054D5"/>
    <w:rsid w:val="00605A07"/>
    <w:rsid w:val="00605D8F"/>
    <w:rsid w:val="00605DED"/>
    <w:rsid w:val="006067A0"/>
    <w:rsid w:val="00606CAC"/>
    <w:rsid w:val="00607554"/>
    <w:rsid w:val="00607560"/>
    <w:rsid w:val="00607C36"/>
    <w:rsid w:val="00607DB3"/>
    <w:rsid w:val="00610A49"/>
    <w:rsid w:val="006112BA"/>
    <w:rsid w:val="006114D8"/>
    <w:rsid w:val="00611FB4"/>
    <w:rsid w:val="006123EE"/>
    <w:rsid w:val="0061398D"/>
    <w:rsid w:val="00613C23"/>
    <w:rsid w:val="0061418D"/>
    <w:rsid w:val="006143BF"/>
    <w:rsid w:val="00615423"/>
    <w:rsid w:val="006158BA"/>
    <w:rsid w:val="00616063"/>
    <w:rsid w:val="006161D8"/>
    <w:rsid w:val="00616EA7"/>
    <w:rsid w:val="00617175"/>
    <w:rsid w:val="0061739E"/>
    <w:rsid w:val="006173CF"/>
    <w:rsid w:val="0061783C"/>
    <w:rsid w:val="0061798F"/>
    <w:rsid w:val="006209DD"/>
    <w:rsid w:val="0062143F"/>
    <w:rsid w:val="00622DAE"/>
    <w:rsid w:val="0062393C"/>
    <w:rsid w:val="00624B88"/>
    <w:rsid w:val="00625036"/>
    <w:rsid w:val="00625C7F"/>
    <w:rsid w:val="00626D66"/>
    <w:rsid w:val="006274BB"/>
    <w:rsid w:val="00627835"/>
    <w:rsid w:val="006301EB"/>
    <w:rsid w:val="00630226"/>
    <w:rsid w:val="00630891"/>
    <w:rsid w:val="00630D10"/>
    <w:rsid w:val="006313C5"/>
    <w:rsid w:val="00631CA4"/>
    <w:rsid w:val="0063290C"/>
    <w:rsid w:val="00632C7F"/>
    <w:rsid w:val="006332AB"/>
    <w:rsid w:val="00633F53"/>
    <w:rsid w:val="00633FC9"/>
    <w:rsid w:val="00634133"/>
    <w:rsid w:val="006341F3"/>
    <w:rsid w:val="0063425C"/>
    <w:rsid w:val="00634CD6"/>
    <w:rsid w:val="00634F16"/>
    <w:rsid w:val="006350FB"/>
    <w:rsid w:val="00635D6D"/>
    <w:rsid w:val="00636142"/>
    <w:rsid w:val="0063696C"/>
    <w:rsid w:val="00636AAC"/>
    <w:rsid w:val="00637B98"/>
    <w:rsid w:val="00637EB7"/>
    <w:rsid w:val="006403CA"/>
    <w:rsid w:val="00640D08"/>
    <w:rsid w:val="00641F38"/>
    <w:rsid w:val="00642228"/>
    <w:rsid w:val="00642313"/>
    <w:rsid w:val="00642A8F"/>
    <w:rsid w:val="00643BA9"/>
    <w:rsid w:val="006446EB"/>
    <w:rsid w:val="00645006"/>
    <w:rsid w:val="006458F4"/>
    <w:rsid w:val="00645CBB"/>
    <w:rsid w:val="006464FE"/>
    <w:rsid w:val="006467E9"/>
    <w:rsid w:val="00646EA4"/>
    <w:rsid w:val="00647033"/>
    <w:rsid w:val="0064745B"/>
    <w:rsid w:val="006474A4"/>
    <w:rsid w:val="00650604"/>
    <w:rsid w:val="006506B7"/>
    <w:rsid w:val="0065242B"/>
    <w:rsid w:val="00652638"/>
    <w:rsid w:val="006526C1"/>
    <w:rsid w:val="00652911"/>
    <w:rsid w:val="00653347"/>
    <w:rsid w:val="0065400D"/>
    <w:rsid w:val="0065448E"/>
    <w:rsid w:val="00655954"/>
    <w:rsid w:val="00655D64"/>
    <w:rsid w:val="0065707C"/>
    <w:rsid w:val="00657623"/>
    <w:rsid w:val="00657E57"/>
    <w:rsid w:val="00660C81"/>
    <w:rsid w:val="00660EDC"/>
    <w:rsid w:val="006617A4"/>
    <w:rsid w:val="0066274A"/>
    <w:rsid w:val="00662CD2"/>
    <w:rsid w:val="00662F61"/>
    <w:rsid w:val="0066382F"/>
    <w:rsid w:val="006643E9"/>
    <w:rsid w:val="00664E39"/>
    <w:rsid w:val="00664FE3"/>
    <w:rsid w:val="0066549D"/>
    <w:rsid w:val="00665BAB"/>
    <w:rsid w:val="00666459"/>
    <w:rsid w:val="0066658F"/>
    <w:rsid w:val="00666BD2"/>
    <w:rsid w:val="00667DA0"/>
    <w:rsid w:val="00667FE8"/>
    <w:rsid w:val="0067116A"/>
    <w:rsid w:val="00671B2F"/>
    <w:rsid w:val="00672345"/>
    <w:rsid w:val="00673B25"/>
    <w:rsid w:val="00673B88"/>
    <w:rsid w:val="006744A2"/>
    <w:rsid w:val="00674E4E"/>
    <w:rsid w:val="00675032"/>
    <w:rsid w:val="006750DA"/>
    <w:rsid w:val="0067579A"/>
    <w:rsid w:val="006757DB"/>
    <w:rsid w:val="0067596D"/>
    <w:rsid w:val="00676B83"/>
    <w:rsid w:val="00677531"/>
    <w:rsid w:val="00677F26"/>
    <w:rsid w:val="0068069C"/>
    <w:rsid w:val="00680BFA"/>
    <w:rsid w:val="006811E0"/>
    <w:rsid w:val="006812F2"/>
    <w:rsid w:val="00681428"/>
    <w:rsid w:val="006815AB"/>
    <w:rsid w:val="00681CE7"/>
    <w:rsid w:val="00681E15"/>
    <w:rsid w:val="00681F8C"/>
    <w:rsid w:val="00682A7E"/>
    <w:rsid w:val="00682EFB"/>
    <w:rsid w:val="0068309C"/>
    <w:rsid w:val="0068393B"/>
    <w:rsid w:val="006839B8"/>
    <w:rsid w:val="00683A2F"/>
    <w:rsid w:val="00684442"/>
    <w:rsid w:val="0068566A"/>
    <w:rsid w:val="00685BC7"/>
    <w:rsid w:val="00685C47"/>
    <w:rsid w:val="0068690C"/>
    <w:rsid w:val="00686B1E"/>
    <w:rsid w:val="00686D73"/>
    <w:rsid w:val="00686F6C"/>
    <w:rsid w:val="006873CB"/>
    <w:rsid w:val="006878D9"/>
    <w:rsid w:val="00687CB6"/>
    <w:rsid w:val="00687E94"/>
    <w:rsid w:val="006905D7"/>
    <w:rsid w:val="0069080A"/>
    <w:rsid w:val="00691219"/>
    <w:rsid w:val="0069121A"/>
    <w:rsid w:val="00692EBE"/>
    <w:rsid w:val="00693727"/>
    <w:rsid w:val="00693AF4"/>
    <w:rsid w:val="00693B4A"/>
    <w:rsid w:val="00694612"/>
    <w:rsid w:val="00694745"/>
    <w:rsid w:val="00694CEB"/>
    <w:rsid w:val="006955E9"/>
    <w:rsid w:val="00695C09"/>
    <w:rsid w:val="00695F67"/>
    <w:rsid w:val="006A0106"/>
    <w:rsid w:val="006A0550"/>
    <w:rsid w:val="006A058C"/>
    <w:rsid w:val="006A0974"/>
    <w:rsid w:val="006A0B82"/>
    <w:rsid w:val="006A15A1"/>
    <w:rsid w:val="006A29BE"/>
    <w:rsid w:val="006A2BCD"/>
    <w:rsid w:val="006A4102"/>
    <w:rsid w:val="006A41E2"/>
    <w:rsid w:val="006A464C"/>
    <w:rsid w:val="006A4700"/>
    <w:rsid w:val="006A5D48"/>
    <w:rsid w:val="006A623A"/>
    <w:rsid w:val="006A73CD"/>
    <w:rsid w:val="006A780B"/>
    <w:rsid w:val="006A78FD"/>
    <w:rsid w:val="006A7DEE"/>
    <w:rsid w:val="006B0151"/>
    <w:rsid w:val="006B04DA"/>
    <w:rsid w:val="006B1632"/>
    <w:rsid w:val="006B18ED"/>
    <w:rsid w:val="006B24B3"/>
    <w:rsid w:val="006B2529"/>
    <w:rsid w:val="006B2CA4"/>
    <w:rsid w:val="006B2D7F"/>
    <w:rsid w:val="006B323E"/>
    <w:rsid w:val="006B3B41"/>
    <w:rsid w:val="006B3B7E"/>
    <w:rsid w:val="006B54BB"/>
    <w:rsid w:val="006B61AC"/>
    <w:rsid w:val="006B6994"/>
    <w:rsid w:val="006B6CE8"/>
    <w:rsid w:val="006B6F21"/>
    <w:rsid w:val="006B7130"/>
    <w:rsid w:val="006C04D1"/>
    <w:rsid w:val="006C0895"/>
    <w:rsid w:val="006C1DFE"/>
    <w:rsid w:val="006C21CB"/>
    <w:rsid w:val="006C2296"/>
    <w:rsid w:val="006C2A53"/>
    <w:rsid w:val="006C2E9B"/>
    <w:rsid w:val="006C3018"/>
    <w:rsid w:val="006C31C4"/>
    <w:rsid w:val="006C340E"/>
    <w:rsid w:val="006C3A4D"/>
    <w:rsid w:val="006C3E1B"/>
    <w:rsid w:val="006C4258"/>
    <w:rsid w:val="006C48BC"/>
    <w:rsid w:val="006C4B3A"/>
    <w:rsid w:val="006C53A3"/>
    <w:rsid w:val="006C576D"/>
    <w:rsid w:val="006C5BFF"/>
    <w:rsid w:val="006C5DAF"/>
    <w:rsid w:val="006C7AD5"/>
    <w:rsid w:val="006C7F58"/>
    <w:rsid w:val="006D0B5E"/>
    <w:rsid w:val="006D16EE"/>
    <w:rsid w:val="006D17E7"/>
    <w:rsid w:val="006D1AFD"/>
    <w:rsid w:val="006D1B9E"/>
    <w:rsid w:val="006D1F59"/>
    <w:rsid w:val="006D20E9"/>
    <w:rsid w:val="006D3169"/>
    <w:rsid w:val="006D3F69"/>
    <w:rsid w:val="006D44CC"/>
    <w:rsid w:val="006D4707"/>
    <w:rsid w:val="006D53B2"/>
    <w:rsid w:val="006D61E4"/>
    <w:rsid w:val="006E01C4"/>
    <w:rsid w:val="006E05E8"/>
    <w:rsid w:val="006E0748"/>
    <w:rsid w:val="006E0927"/>
    <w:rsid w:val="006E1DF1"/>
    <w:rsid w:val="006E23A4"/>
    <w:rsid w:val="006E26F2"/>
    <w:rsid w:val="006E2732"/>
    <w:rsid w:val="006E2CA8"/>
    <w:rsid w:val="006E333C"/>
    <w:rsid w:val="006E37C1"/>
    <w:rsid w:val="006E40D4"/>
    <w:rsid w:val="006E4730"/>
    <w:rsid w:val="006E6862"/>
    <w:rsid w:val="006E6B24"/>
    <w:rsid w:val="006E7EAD"/>
    <w:rsid w:val="006F0316"/>
    <w:rsid w:val="006F0E57"/>
    <w:rsid w:val="006F0F2E"/>
    <w:rsid w:val="006F1A24"/>
    <w:rsid w:val="006F1A42"/>
    <w:rsid w:val="006F1FC8"/>
    <w:rsid w:val="006F269C"/>
    <w:rsid w:val="006F2C9C"/>
    <w:rsid w:val="006F2CF5"/>
    <w:rsid w:val="006F35C0"/>
    <w:rsid w:val="006F381F"/>
    <w:rsid w:val="006F3A31"/>
    <w:rsid w:val="006F3BD9"/>
    <w:rsid w:val="006F3BFD"/>
    <w:rsid w:val="006F4482"/>
    <w:rsid w:val="006F57F7"/>
    <w:rsid w:val="006F611E"/>
    <w:rsid w:val="006F77CD"/>
    <w:rsid w:val="006F7821"/>
    <w:rsid w:val="006F7C87"/>
    <w:rsid w:val="0070000C"/>
    <w:rsid w:val="00700B11"/>
    <w:rsid w:val="00701854"/>
    <w:rsid w:val="00702633"/>
    <w:rsid w:val="0070279D"/>
    <w:rsid w:val="00702EF7"/>
    <w:rsid w:val="00703C65"/>
    <w:rsid w:val="007054A7"/>
    <w:rsid w:val="0070610F"/>
    <w:rsid w:val="00706D3A"/>
    <w:rsid w:val="00707072"/>
    <w:rsid w:val="00707B58"/>
    <w:rsid w:val="00707BC4"/>
    <w:rsid w:val="007104BC"/>
    <w:rsid w:val="00711101"/>
    <w:rsid w:val="00711AB1"/>
    <w:rsid w:val="00712620"/>
    <w:rsid w:val="00712B24"/>
    <w:rsid w:val="007131B6"/>
    <w:rsid w:val="00713260"/>
    <w:rsid w:val="007143E1"/>
    <w:rsid w:val="00714B3B"/>
    <w:rsid w:val="00714CF1"/>
    <w:rsid w:val="00715100"/>
    <w:rsid w:val="007157CB"/>
    <w:rsid w:val="00715EC5"/>
    <w:rsid w:val="007161EE"/>
    <w:rsid w:val="00716708"/>
    <w:rsid w:val="00716D0B"/>
    <w:rsid w:val="00717721"/>
    <w:rsid w:val="00717887"/>
    <w:rsid w:val="00717AA6"/>
    <w:rsid w:val="007202D3"/>
    <w:rsid w:val="00720698"/>
    <w:rsid w:val="0072098C"/>
    <w:rsid w:val="007222B0"/>
    <w:rsid w:val="00722821"/>
    <w:rsid w:val="007228F5"/>
    <w:rsid w:val="00723C0D"/>
    <w:rsid w:val="0072414D"/>
    <w:rsid w:val="00724D6A"/>
    <w:rsid w:val="00725406"/>
    <w:rsid w:val="00725DC7"/>
    <w:rsid w:val="00726A89"/>
    <w:rsid w:val="00727214"/>
    <w:rsid w:val="007272EB"/>
    <w:rsid w:val="007308C5"/>
    <w:rsid w:val="0073214E"/>
    <w:rsid w:val="00732C42"/>
    <w:rsid w:val="00733B06"/>
    <w:rsid w:val="00734D57"/>
    <w:rsid w:val="0073522D"/>
    <w:rsid w:val="007356CE"/>
    <w:rsid w:val="007357EB"/>
    <w:rsid w:val="00736196"/>
    <w:rsid w:val="007368F5"/>
    <w:rsid w:val="00737012"/>
    <w:rsid w:val="00737C39"/>
    <w:rsid w:val="00737F05"/>
    <w:rsid w:val="00740971"/>
    <w:rsid w:val="007417DE"/>
    <w:rsid w:val="0074182D"/>
    <w:rsid w:val="007427F2"/>
    <w:rsid w:val="007429C0"/>
    <w:rsid w:val="00743EBD"/>
    <w:rsid w:val="0074430E"/>
    <w:rsid w:val="007446FC"/>
    <w:rsid w:val="00745184"/>
    <w:rsid w:val="007456B1"/>
    <w:rsid w:val="00745908"/>
    <w:rsid w:val="00745A74"/>
    <w:rsid w:val="007477F4"/>
    <w:rsid w:val="00750623"/>
    <w:rsid w:val="00750FA4"/>
    <w:rsid w:val="00752F02"/>
    <w:rsid w:val="007533FB"/>
    <w:rsid w:val="007538C7"/>
    <w:rsid w:val="0075445A"/>
    <w:rsid w:val="00755218"/>
    <w:rsid w:val="0075784D"/>
    <w:rsid w:val="007579BE"/>
    <w:rsid w:val="00757B89"/>
    <w:rsid w:val="00757C4B"/>
    <w:rsid w:val="007607D5"/>
    <w:rsid w:val="00760C5E"/>
    <w:rsid w:val="00760C68"/>
    <w:rsid w:val="0076131D"/>
    <w:rsid w:val="00762EB8"/>
    <w:rsid w:val="007631E0"/>
    <w:rsid w:val="00763893"/>
    <w:rsid w:val="00764018"/>
    <w:rsid w:val="00764FCC"/>
    <w:rsid w:val="007655F8"/>
    <w:rsid w:val="00765FB5"/>
    <w:rsid w:val="0076670A"/>
    <w:rsid w:val="00766820"/>
    <w:rsid w:val="00766E5E"/>
    <w:rsid w:val="00767745"/>
    <w:rsid w:val="007702BE"/>
    <w:rsid w:val="00770752"/>
    <w:rsid w:val="00772987"/>
    <w:rsid w:val="00772F48"/>
    <w:rsid w:val="007736BA"/>
    <w:rsid w:val="00773C83"/>
    <w:rsid w:val="0077418C"/>
    <w:rsid w:val="00774297"/>
    <w:rsid w:val="00774394"/>
    <w:rsid w:val="00774737"/>
    <w:rsid w:val="00774F08"/>
    <w:rsid w:val="0077505E"/>
    <w:rsid w:val="0077533D"/>
    <w:rsid w:val="00775719"/>
    <w:rsid w:val="00775CF0"/>
    <w:rsid w:val="00775F8A"/>
    <w:rsid w:val="007762D6"/>
    <w:rsid w:val="00776AD2"/>
    <w:rsid w:val="00776DEC"/>
    <w:rsid w:val="00777377"/>
    <w:rsid w:val="007776C8"/>
    <w:rsid w:val="007800E4"/>
    <w:rsid w:val="00780179"/>
    <w:rsid w:val="007801FE"/>
    <w:rsid w:val="007802C8"/>
    <w:rsid w:val="00780972"/>
    <w:rsid w:val="00780984"/>
    <w:rsid w:val="00780A9E"/>
    <w:rsid w:val="00780AA2"/>
    <w:rsid w:val="0078170E"/>
    <w:rsid w:val="00781966"/>
    <w:rsid w:val="00781A9D"/>
    <w:rsid w:val="00781E30"/>
    <w:rsid w:val="00781FA6"/>
    <w:rsid w:val="007829E0"/>
    <w:rsid w:val="00782CB8"/>
    <w:rsid w:val="00783778"/>
    <w:rsid w:val="007840BB"/>
    <w:rsid w:val="00785E2E"/>
    <w:rsid w:val="00785FA3"/>
    <w:rsid w:val="0078686B"/>
    <w:rsid w:val="007873E2"/>
    <w:rsid w:val="00787B4A"/>
    <w:rsid w:val="00787D0E"/>
    <w:rsid w:val="00790164"/>
    <w:rsid w:val="007908C5"/>
    <w:rsid w:val="00790E1F"/>
    <w:rsid w:val="00791772"/>
    <w:rsid w:val="007929B2"/>
    <w:rsid w:val="007933AB"/>
    <w:rsid w:val="00794A1F"/>
    <w:rsid w:val="00795F22"/>
    <w:rsid w:val="007963CA"/>
    <w:rsid w:val="00796C59"/>
    <w:rsid w:val="00797C89"/>
    <w:rsid w:val="007A0923"/>
    <w:rsid w:val="007A1051"/>
    <w:rsid w:val="007A20AD"/>
    <w:rsid w:val="007A323F"/>
    <w:rsid w:val="007A3402"/>
    <w:rsid w:val="007A4343"/>
    <w:rsid w:val="007A4410"/>
    <w:rsid w:val="007A452B"/>
    <w:rsid w:val="007A4707"/>
    <w:rsid w:val="007A4881"/>
    <w:rsid w:val="007A5539"/>
    <w:rsid w:val="007A5B90"/>
    <w:rsid w:val="007A601C"/>
    <w:rsid w:val="007A61EC"/>
    <w:rsid w:val="007A6548"/>
    <w:rsid w:val="007A6E11"/>
    <w:rsid w:val="007A6E7E"/>
    <w:rsid w:val="007A7415"/>
    <w:rsid w:val="007A7CE5"/>
    <w:rsid w:val="007B00E1"/>
    <w:rsid w:val="007B09D1"/>
    <w:rsid w:val="007B1211"/>
    <w:rsid w:val="007B187C"/>
    <w:rsid w:val="007B1ECA"/>
    <w:rsid w:val="007B220F"/>
    <w:rsid w:val="007B2BAC"/>
    <w:rsid w:val="007B3B0E"/>
    <w:rsid w:val="007B3DF4"/>
    <w:rsid w:val="007B44E1"/>
    <w:rsid w:val="007B55C6"/>
    <w:rsid w:val="007B5EDE"/>
    <w:rsid w:val="007B65D1"/>
    <w:rsid w:val="007B6ACE"/>
    <w:rsid w:val="007B6B1E"/>
    <w:rsid w:val="007B72FC"/>
    <w:rsid w:val="007B74D3"/>
    <w:rsid w:val="007B7C09"/>
    <w:rsid w:val="007B7CC9"/>
    <w:rsid w:val="007C028E"/>
    <w:rsid w:val="007C06DB"/>
    <w:rsid w:val="007C1501"/>
    <w:rsid w:val="007C2AD4"/>
    <w:rsid w:val="007C2DD4"/>
    <w:rsid w:val="007C3005"/>
    <w:rsid w:val="007C384F"/>
    <w:rsid w:val="007C3B06"/>
    <w:rsid w:val="007C3E46"/>
    <w:rsid w:val="007C4914"/>
    <w:rsid w:val="007C4F78"/>
    <w:rsid w:val="007C5024"/>
    <w:rsid w:val="007C55D4"/>
    <w:rsid w:val="007C5CBD"/>
    <w:rsid w:val="007C6BD5"/>
    <w:rsid w:val="007C73B8"/>
    <w:rsid w:val="007C787C"/>
    <w:rsid w:val="007C7C9F"/>
    <w:rsid w:val="007D1545"/>
    <w:rsid w:val="007D185D"/>
    <w:rsid w:val="007D26A3"/>
    <w:rsid w:val="007D291D"/>
    <w:rsid w:val="007D2B60"/>
    <w:rsid w:val="007D3420"/>
    <w:rsid w:val="007D3687"/>
    <w:rsid w:val="007D3C2A"/>
    <w:rsid w:val="007D4134"/>
    <w:rsid w:val="007D4719"/>
    <w:rsid w:val="007D4EA3"/>
    <w:rsid w:val="007D523C"/>
    <w:rsid w:val="007D5362"/>
    <w:rsid w:val="007D56A8"/>
    <w:rsid w:val="007D5FAA"/>
    <w:rsid w:val="007D6706"/>
    <w:rsid w:val="007D6A2D"/>
    <w:rsid w:val="007D701A"/>
    <w:rsid w:val="007D7044"/>
    <w:rsid w:val="007E000F"/>
    <w:rsid w:val="007E1135"/>
    <w:rsid w:val="007E19A6"/>
    <w:rsid w:val="007E1C2E"/>
    <w:rsid w:val="007E1D38"/>
    <w:rsid w:val="007E27E0"/>
    <w:rsid w:val="007E29CF"/>
    <w:rsid w:val="007E2A00"/>
    <w:rsid w:val="007E35D8"/>
    <w:rsid w:val="007E3764"/>
    <w:rsid w:val="007E496A"/>
    <w:rsid w:val="007E4A1F"/>
    <w:rsid w:val="007E51B6"/>
    <w:rsid w:val="007E52CB"/>
    <w:rsid w:val="007E6661"/>
    <w:rsid w:val="007E6721"/>
    <w:rsid w:val="007E6D16"/>
    <w:rsid w:val="007E6F07"/>
    <w:rsid w:val="007F0FDA"/>
    <w:rsid w:val="007F2338"/>
    <w:rsid w:val="007F2BA4"/>
    <w:rsid w:val="007F2E32"/>
    <w:rsid w:val="007F2E48"/>
    <w:rsid w:val="007F2F97"/>
    <w:rsid w:val="007F3880"/>
    <w:rsid w:val="007F3B8C"/>
    <w:rsid w:val="007F421B"/>
    <w:rsid w:val="007F4710"/>
    <w:rsid w:val="007F4D34"/>
    <w:rsid w:val="007F52CA"/>
    <w:rsid w:val="007F7C6E"/>
    <w:rsid w:val="007F7D09"/>
    <w:rsid w:val="00800777"/>
    <w:rsid w:val="0080122B"/>
    <w:rsid w:val="0080354C"/>
    <w:rsid w:val="008037F7"/>
    <w:rsid w:val="0080444D"/>
    <w:rsid w:val="00804473"/>
    <w:rsid w:val="008046FF"/>
    <w:rsid w:val="008049EA"/>
    <w:rsid w:val="00804D26"/>
    <w:rsid w:val="008053E6"/>
    <w:rsid w:val="008059A8"/>
    <w:rsid w:val="00807623"/>
    <w:rsid w:val="008079D8"/>
    <w:rsid w:val="00807B53"/>
    <w:rsid w:val="00810CD7"/>
    <w:rsid w:val="00810D34"/>
    <w:rsid w:val="00811503"/>
    <w:rsid w:val="00812468"/>
    <w:rsid w:val="00812A68"/>
    <w:rsid w:val="00812EEE"/>
    <w:rsid w:val="00812F41"/>
    <w:rsid w:val="008148F1"/>
    <w:rsid w:val="00814E45"/>
    <w:rsid w:val="0081540C"/>
    <w:rsid w:val="008158CC"/>
    <w:rsid w:val="0081620E"/>
    <w:rsid w:val="0081658F"/>
    <w:rsid w:val="0081739B"/>
    <w:rsid w:val="008179CF"/>
    <w:rsid w:val="00817D71"/>
    <w:rsid w:val="00817ECC"/>
    <w:rsid w:val="00817F37"/>
    <w:rsid w:val="008203B5"/>
    <w:rsid w:val="0082049A"/>
    <w:rsid w:val="00820CE5"/>
    <w:rsid w:val="00820E00"/>
    <w:rsid w:val="008213F1"/>
    <w:rsid w:val="0082189E"/>
    <w:rsid w:val="00822151"/>
    <w:rsid w:val="0082279D"/>
    <w:rsid w:val="0082369D"/>
    <w:rsid w:val="00824316"/>
    <w:rsid w:val="00825851"/>
    <w:rsid w:val="00825D43"/>
    <w:rsid w:val="00825FB2"/>
    <w:rsid w:val="00826295"/>
    <w:rsid w:val="00826B85"/>
    <w:rsid w:val="00826BE9"/>
    <w:rsid w:val="00826D95"/>
    <w:rsid w:val="00826E5B"/>
    <w:rsid w:val="00827AF0"/>
    <w:rsid w:val="00830148"/>
    <w:rsid w:val="0083095E"/>
    <w:rsid w:val="00830C28"/>
    <w:rsid w:val="008316AD"/>
    <w:rsid w:val="00831981"/>
    <w:rsid w:val="008320AD"/>
    <w:rsid w:val="008323AD"/>
    <w:rsid w:val="00832538"/>
    <w:rsid w:val="008327E8"/>
    <w:rsid w:val="00833286"/>
    <w:rsid w:val="0083378E"/>
    <w:rsid w:val="00833C32"/>
    <w:rsid w:val="00833C7E"/>
    <w:rsid w:val="00833D56"/>
    <w:rsid w:val="00834B01"/>
    <w:rsid w:val="00834FD5"/>
    <w:rsid w:val="00835771"/>
    <w:rsid w:val="008360ED"/>
    <w:rsid w:val="008361E6"/>
    <w:rsid w:val="008363A2"/>
    <w:rsid w:val="008365C2"/>
    <w:rsid w:val="00836D57"/>
    <w:rsid w:val="00837125"/>
    <w:rsid w:val="008407BC"/>
    <w:rsid w:val="0084188B"/>
    <w:rsid w:val="00841DAA"/>
    <w:rsid w:val="00842069"/>
    <w:rsid w:val="0084272D"/>
    <w:rsid w:val="00842834"/>
    <w:rsid w:val="00843C7B"/>
    <w:rsid w:val="00844088"/>
    <w:rsid w:val="00844111"/>
    <w:rsid w:val="0084459E"/>
    <w:rsid w:val="008445D4"/>
    <w:rsid w:val="008446F1"/>
    <w:rsid w:val="00844AB1"/>
    <w:rsid w:val="00845FD2"/>
    <w:rsid w:val="00846A12"/>
    <w:rsid w:val="00846A3E"/>
    <w:rsid w:val="00846FF0"/>
    <w:rsid w:val="00847435"/>
    <w:rsid w:val="00847C67"/>
    <w:rsid w:val="0085002F"/>
    <w:rsid w:val="00851E33"/>
    <w:rsid w:val="0085298A"/>
    <w:rsid w:val="00852ADA"/>
    <w:rsid w:val="0085353C"/>
    <w:rsid w:val="00853732"/>
    <w:rsid w:val="008549D1"/>
    <w:rsid w:val="00855458"/>
    <w:rsid w:val="00855A26"/>
    <w:rsid w:val="008564FE"/>
    <w:rsid w:val="0085728C"/>
    <w:rsid w:val="0085729F"/>
    <w:rsid w:val="008607E0"/>
    <w:rsid w:val="00861160"/>
    <w:rsid w:val="0086134D"/>
    <w:rsid w:val="00861825"/>
    <w:rsid w:val="00861FD7"/>
    <w:rsid w:val="00862DB9"/>
    <w:rsid w:val="00863A54"/>
    <w:rsid w:val="008642EC"/>
    <w:rsid w:val="0086463D"/>
    <w:rsid w:val="00865057"/>
    <w:rsid w:val="00865472"/>
    <w:rsid w:val="00865783"/>
    <w:rsid w:val="00865F05"/>
    <w:rsid w:val="00865FDF"/>
    <w:rsid w:val="00866454"/>
    <w:rsid w:val="008676F0"/>
    <w:rsid w:val="00870429"/>
    <w:rsid w:val="0087080C"/>
    <w:rsid w:val="008709ED"/>
    <w:rsid w:val="00870E37"/>
    <w:rsid w:val="008715CA"/>
    <w:rsid w:val="00871DD8"/>
    <w:rsid w:val="00872406"/>
    <w:rsid w:val="0087387B"/>
    <w:rsid w:val="00873B4C"/>
    <w:rsid w:val="00874671"/>
    <w:rsid w:val="00874AB6"/>
    <w:rsid w:val="008762C5"/>
    <w:rsid w:val="0087635E"/>
    <w:rsid w:val="008768B2"/>
    <w:rsid w:val="00876921"/>
    <w:rsid w:val="00876B68"/>
    <w:rsid w:val="00876C97"/>
    <w:rsid w:val="00876F76"/>
    <w:rsid w:val="0087756A"/>
    <w:rsid w:val="0088012F"/>
    <w:rsid w:val="0088013C"/>
    <w:rsid w:val="008806E8"/>
    <w:rsid w:val="00880902"/>
    <w:rsid w:val="008821C7"/>
    <w:rsid w:val="0088237B"/>
    <w:rsid w:val="0088286F"/>
    <w:rsid w:val="00883EAF"/>
    <w:rsid w:val="00884238"/>
    <w:rsid w:val="00884452"/>
    <w:rsid w:val="00885FA7"/>
    <w:rsid w:val="00886F71"/>
    <w:rsid w:val="008905D7"/>
    <w:rsid w:val="00890679"/>
    <w:rsid w:val="008906B5"/>
    <w:rsid w:val="00890BF4"/>
    <w:rsid w:val="00891B2D"/>
    <w:rsid w:val="008926C3"/>
    <w:rsid w:val="00893875"/>
    <w:rsid w:val="00893951"/>
    <w:rsid w:val="00893FC1"/>
    <w:rsid w:val="00894622"/>
    <w:rsid w:val="008955C5"/>
    <w:rsid w:val="008958FE"/>
    <w:rsid w:val="0089598C"/>
    <w:rsid w:val="00895B1D"/>
    <w:rsid w:val="00895B87"/>
    <w:rsid w:val="008963D4"/>
    <w:rsid w:val="00896511"/>
    <w:rsid w:val="008965F8"/>
    <w:rsid w:val="00897667"/>
    <w:rsid w:val="00897763"/>
    <w:rsid w:val="00897A5A"/>
    <w:rsid w:val="00897AB8"/>
    <w:rsid w:val="00897F59"/>
    <w:rsid w:val="008A08D2"/>
    <w:rsid w:val="008A14F2"/>
    <w:rsid w:val="008A1837"/>
    <w:rsid w:val="008A18F3"/>
    <w:rsid w:val="008A1C85"/>
    <w:rsid w:val="008A1D76"/>
    <w:rsid w:val="008A2255"/>
    <w:rsid w:val="008A26A7"/>
    <w:rsid w:val="008A2E7B"/>
    <w:rsid w:val="008A35E6"/>
    <w:rsid w:val="008A38B6"/>
    <w:rsid w:val="008A3A4A"/>
    <w:rsid w:val="008A4B8E"/>
    <w:rsid w:val="008A568A"/>
    <w:rsid w:val="008A5C8E"/>
    <w:rsid w:val="008A6B3F"/>
    <w:rsid w:val="008A73C7"/>
    <w:rsid w:val="008A7A00"/>
    <w:rsid w:val="008B1C95"/>
    <w:rsid w:val="008B251B"/>
    <w:rsid w:val="008B289F"/>
    <w:rsid w:val="008B2C72"/>
    <w:rsid w:val="008B30B7"/>
    <w:rsid w:val="008B5533"/>
    <w:rsid w:val="008B562E"/>
    <w:rsid w:val="008B5748"/>
    <w:rsid w:val="008B5B9D"/>
    <w:rsid w:val="008B5F21"/>
    <w:rsid w:val="008B6355"/>
    <w:rsid w:val="008B6A22"/>
    <w:rsid w:val="008B6B0E"/>
    <w:rsid w:val="008B6E1A"/>
    <w:rsid w:val="008B75E1"/>
    <w:rsid w:val="008B7CE5"/>
    <w:rsid w:val="008C030D"/>
    <w:rsid w:val="008C0C4D"/>
    <w:rsid w:val="008C1167"/>
    <w:rsid w:val="008C1B0A"/>
    <w:rsid w:val="008C2078"/>
    <w:rsid w:val="008C23B0"/>
    <w:rsid w:val="008C2B2A"/>
    <w:rsid w:val="008C2F0D"/>
    <w:rsid w:val="008C2FAA"/>
    <w:rsid w:val="008C33C3"/>
    <w:rsid w:val="008C3B37"/>
    <w:rsid w:val="008C4D02"/>
    <w:rsid w:val="008C520E"/>
    <w:rsid w:val="008C5CA5"/>
    <w:rsid w:val="008C6F9B"/>
    <w:rsid w:val="008C6FE4"/>
    <w:rsid w:val="008C70FF"/>
    <w:rsid w:val="008C7368"/>
    <w:rsid w:val="008C73D6"/>
    <w:rsid w:val="008C7B15"/>
    <w:rsid w:val="008D0C62"/>
    <w:rsid w:val="008D2528"/>
    <w:rsid w:val="008D2777"/>
    <w:rsid w:val="008D2CD6"/>
    <w:rsid w:val="008D2DDA"/>
    <w:rsid w:val="008D3287"/>
    <w:rsid w:val="008D37BC"/>
    <w:rsid w:val="008D39B0"/>
    <w:rsid w:val="008D3E76"/>
    <w:rsid w:val="008D462B"/>
    <w:rsid w:val="008D4645"/>
    <w:rsid w:val="008D4939"/>
    <w:rsid w:val="008D4F0B"/>
    <w:rsid w:val="008D72A1"/>
    <w:rsid w:val="008D7C3E"/>
    <w:rsid w:val="008E0465"/>
    <w:rsid w:val="008E0702"/>
    <w:rsid w:val="008E0A9F"/>
    <w:rsid w:val="008E1195"/>
    <w:rsid w:val="008E130A"/>
    <w:rsid w:val="008E159E"/>
    <w:rsid w:val="008E26CE"/>
    <w:rsid w:val="008E2DD0"/>
    <w:rsid w:val="008E2F88"/>
    <w:rsid w:val="008E32E3"/>
    <w:rsid w:val="008E3427"/>
    <w:rsid w:val="008E3A46"/>
    <w:rsid w:val="008E3AEA"/>
    <w:rsid w:val="008E3D60"/>
    <w:rsid w:val="008E5977"/>
    <w:rsid w:val="008E601B"/>
    <w:rsid w:val="008E6128"/>
    <w:rsid w:val="008E6A15"/>
    <w:rsid w:val="008E6ACA"/>
    <w:rsid w:val="008E6B68"/>
    <w:rsid w:val="008E6D4E"/>
    <w:rsid w:val="008E7390"/>
    <w:rsid w:val="008E762D"/>
    <w:rsid w:val="008E7E23"/>
    <w:rsid w:val="008F000D"/>
    <w:rsid w:val="008F0630"/>
    <w:rsid w:val="008F0854"/>
    <w:rsid w:val="008F0DAD"/>
    <w:rsid w:val="008F1F00"/>
    <w:rsid w:val="008F32A1"/>
    <w:rsid w:val="008F41F5"/>
    <w:rsid w:val="008F4996"/>
    <w:rsid w:val="008F5F77"/>
    <w:rsid w:val="008F686A"/>
    <w:rsid w:val="008F6D94"/>
    <w:rsid w:val="008F6E84"/>
    <w:rsid w:val="008F7689"/>
    <w:rsid w:val="008F7EB9"/>
    <w:rsid w:val="008F7EBB"/>
    <w:rsid w:val="00900127"/>
    <w:rsid w:val="00900486"/>
    <w:rsid w:val="0090056C"/>
    <w:rsid w:val="009007BA"/>
    <w:rsid w:val="0090091B"/>
    <w:rsid w:val="00900939"/>
    <w:rsid w:val="00900DF0"/>
    <w:rsid w:val="0090104D"/>
    <w:rsid w:val="00903120"/>
    <w:rsid w:val="009035AD"/>
    <w:rsid w:val="00903621"/>
    <w:rsid w:val="00905898"/>
    <w:rsid w:val="0090605A"/>
    <w:rsid w:val="009065C9"/>
    <w:rsid w:val="00907EE2"/>
    <w:rsid w:val="00910513"/>
    <w:rsid w:val="0091074A"/>
    <w:rsid w:val="009107F0"/>
    <w:rsid w:val="009110EB"/>
    <w:rsid w:val="009113AE"/>
    <w:rsid w:val="00911F60"/>
    <w:rsid w:val="00913A4D"/>
    <w:rsid w:val="00913CAA"/>
    <w:rsid w:val="00914284"/>
    <w:rsid w:val="00914550"/>
    <w:rsid w:val="00914E36"/>
    <w:rsid w:val="00914EE3"/>
    <w:rsid w:val="00915300"/>
    <w:rsid w:val="009169EB"/>
    <w:rsid w:val="00916B79"/>
    <w:rsid w:val="00916C05"/>
    <w:rsid w:val="009173B9"/>
    <w:rsid w:val="00917AE1"/>
    <w:rsid w:val="009202B1"/>
    <w:rsid w:val="0092042A"/>
    <w:rsid w:val="00920B9A"/>
    <w:rsid w:val="009216CA"/>
    <w:rsid w:val="00922808"/>
    <w:rsid w:val="00922934"/>
    <w:rsid w:val="00923CCF"/>
    <w:rsid w:val="00923EDF"/>
    <w:rsid w:val="009245CB"/>
    <w:rsid w:val="00924AF5"/>
    <w:rsid w:val="00924F91"/>
    <w:rsid w:val="009259EF"/>
    <w:rsid w:val="00925D0C"/>
    <w:rsid w:val="00926414"/>
    <w:rsid w:val="0092657D"/>
    <w:rsid w:val="0092749B"/>
    <w:rsid w:val="00927725"/>
    <w:rsid w:val="009301FC"/>
    <w:rsid w:val="00930782"/>
    <w:rsid w:val="00931452"/>
    <w:rsid w:val="009314F1"/>
    <w:rsid w:val="009332EE"/>
    <w:rsid w:val="0093355A"/>
    <w:rsid w:val="009335BA"/>
    <w:rsid w:val="00934660"/>
    <w:rsid w:val="00934E21"/>
    <w:rsid w:val="00935A09"/>
    <w:rsid w:val="00935D33"/>
    <w:rsid w:val="00935ECF"/>
    <w:rsid w:val="00936244"/>
    <w:rsid w:val="00936445"/>
    <w:rsid w:val="00936653"/>
    <w:rsid w:val="00936B44"/>
    <w:rsid w:val="00936E5A"/>
    <w:rsid w:val="00936EC8"/>
    <w:rsid w:val="00940F5B"/>
    <w:rsid w:val="009416FE"/>
    <w:rsid w:val="009417E1"/>
    <w:rsid w:val="00941BF3"/>
    <w:rsid w:val="0094259D"/>
    <w:rsid w:val="0094286F"/>
    <w:rsid w:val="00942AE0"/>
    <w:rsid w:val="0094336F"/>
    <w:rsid w:val="00944829"/>
    <w:rsid w:val="00944B97"/>
    <w:rsid w:val="009459DA"/>
    <w:rsid w:val="00945D12"/>
    <w:rsid w:val="00945DBF"/>
    <w:rsid w:val="0094695E"/>
    <w:rsid w:val="00946FC1"/>
    <w:rsid w:val="00947DA7"/>
    <w:rsid w:val="00947F9D"/>
    <w:rsid w:val="009501A6"/>
    <w:rsid w:val="00950381"/>
    <w:rsid w:val="00951B95"/>
    <w:rsid w:val="00953C4E"/>
    <w:rsid w:val="00954BB4"/>
    <w:rsid w:val="0095501C"/>
    <w:rsid w:val="00956FE4"/>
    <w:rsid w:val="00960465"/>
    <w:rsid w:val="00960B18"/>
    <w:rsid w:val="00960BF1"/>
    <w:rsid w:val="00961175"/>
    <w:rsid w:val="00961227"/>
    <w:rsid w:val="009612CE"/>
    <w:rsid w:val="00961EC4"/>
    <w:rsid w:val="00962287"/>
    <w:rsid w:val="00962690"/>
    <w:rsid w:val="00963CBF"/>
    <w:rsid w:val="00964FB5"/>
    <w:rsid w:val="00965381"/>
    <w:rsid w:val="00965F20"/>
    <w:rsid w:val="009660FA"/>
    <w:rsid w:val="009669CC"/>
    <w:rsid w:val="00966DF1"/>
    <w:rsid w:val="00971077"/>
    <w:rsid w:val="00971B25"/>
    <w:rsid w:val="0097281D"/>
    <w:rsid w:val="00972AFD"/>
    <w:rsid w:val="00972B10"/>
    <w:rsid w:val="00972B68"/>
    <w:rsid w:val="00973175"/>
    <w:rsid w:val="00973FD3"/>
    <w:rsid w:val="00973FE6"/>
    <w:rsid w:val="009740C4"/>
    <w:rsid w:val="0097517A"/>
    <w:rsid w:val="00975FF0"/>
    <w:rsid w:val="009763BC"/>
    <w:rsid w:val="00976F69"/>
    <w:rsid w:val="00977B3F"/>
    <w:rsid w:val="00977EEE"/>
    <w:rsid w:val="009807F8"/>
    <w:rsid w:val="009808EA"/>
    <w:rsid w:val="00981B96"/>
    <w:rsid w:val="00981E78"/>
    <w:rsid w:val="00981F79"/>
    <w:rsid w:val="009825C9"/>
    <w:rsid w:val="00982C4A"/>
    <w:rsid w:val="00982EA3"/>
    <w:rsid w:val="0098318A"/>
    <w:rsid w:val="0098344B"/>
    <w:rsid w:val="00983973"/>
    <w:rsid w:val="00984527"/>
    <w:rsid w:val="009845E0"/>
    <w:rsid w:val="00984A91"/>
    <w:rsid w:val="00984D0D"/>
    <w:rsid w:val="009850EF"/>
    <w:rsid w:val="00985278"/>
    <w:rsid w:val="00985DA0"/>
    <w:rsid w:val="00986318"/>
    <w:rsid w:val="00986879"/>
    <w:rsid w:val="009868FC"/>
    <w:rsid w:val="00986CF6"/>
    <w:rsid w:val="009872CB"/>
    <w:rsid w:val="00987D41"/>
    <w:rsid w:val="00990A70"/>
    <w:rsid w:val="00990B30"/>
    <w:rsid w:val="00991426"/>
    <w:rsid w:val="00991558"/>
    <w:rsid w:val="00991893"/>
    <w:rsid w:val="00991A16"/>
    <w:rsid w:val="00991FAC"/>
    <w:rsid w:val="00992433"/>
    <w:rsid w:val="0099250A"/>
    <w:rsid w:val="00992BE2"/>
    <w:rsid w:val="00992CEA"/>
    <w:rsid w:val="00993626"/>
    <w:rsid w:val="009941C2"/>
    <w:rsid w:val="00994C42"/>
    <w:rsid w:val="0099555A"/>
    <w:rsid w:val="0099562E"/>
    <w:rsid w:val="00996591"/>
    <w:rsid w:val="00996DDC"/>
    <w:rsid w:val="00997050"/>
    <w:rsid w:val="00997C13"/>
    <w:rsid w:val="00997FD2"/>
    <w:rsid w:val="009A01E7"/>
    <w:rsid w:val="009A0A34"/>
    <w:rsid w:val="009A13B8"/>
    <w:rsid w:val="009A1E16"/>
    <w:rsid w:val="009A28A1"/>
    <w:rsid w:val="009A2A89"/>
    <w:rsid w:val="009A2D5F"/>
    <w:rsid w:val="009A2E41"/>
    <w:rsid w:val="009A52C1"/>
    <w:rsid w:val="009A5EA7"/>
    <w:rsid w:val="009A6174"/>
    <w:rsid w:val="009A64E8"/>
    <w:rsid w:val="009A7B9B"/>
    <w:rsid w:val="009B0652"/>
    <w:rsid w:val="009B0E6D"/>
    <w:rsid w:val="009B179A"/>
    <w:rsid w:val="009B17C7"/>
    <w:rsid w:val="009B1E61"/>
    <w:rsid w:val="009B276A"/>
    <w:rsid w:val="009B3739"/>
    <w:rsid w:val="009B3AA5"/>
    <w:rsid w:val="009B455D"/>
    <w:rsid w:val="009B4776"/>
    <w:rsid w:val="009B4D35"/>
    <w:rsid w:val="009B4E8F"/>
    <w:rsid w:val="009B5151"/>
    <w:rsid w:val="009B66ED"/>
    <w:rsid w:val="009B6EF1"/>
    <w:rsid w:val="009B761F"/>
    <w:rsid w:val="009B7769"/>
    <w:rsid w:val="009B7E93"/>
    <w:rsid w:val="009B7F6D"/>
    <w:rsid w:val="009C0EDB"/>
    <w:rsid w:val="009C0F94"/>
    <w:rsid w:val="009C0FFD"/>
    <w:rsid w:val="009C1419"/>
    <w:rsid w:val="009C1C18"/>
    <w:rsid w:val="009C1EC0"/>
    <w:rsid w:val="009C2436"/>
    <w:rsid w:val="009C441C"/>
    <w:rsid w:val="009C5C9F"/>
    <w:rsid w:val="009C7FEE"/>
    <w:rsid w:val="009D0203"/>
    <w:rsid w:val="009D0462"/>
    <w:rsid w:val="009D083D"/>
    <w:rsid w:val="009D0FE7"/>
    <w:rsid w:val="009D12AD"/>
    <w:rsid w:val="009D242A"/>
    <w:rsid w:val="009D27AF"/>
    <w:rsid w:val="009D2975"/>
    <w:rsid w:val="009D2D8D"/>
    <w:rsid w:val="009D2FBA"/>
    <w:rsid w:val="009D351E"/>
    <w:rsid w:val="009D3629"/>
    <w:rsid w:val="009D397C"/>
    <w:rsid w:val="009D3B9B"/>
    <w:rsid w:val="009D3D9D"/>
    <w:rsid w:val="009D4172"/>
    <w:rsid w:val="009D42C8"/>
    <w:rsid w:val="009D4C27"/>
    <w:rsid w:val="009D53A0"/>
    <w:rsid w:val="009D58D1"/>
    <w:rsid w:val="009D5FDC"/>
    <w:rsid w:val="009D6082"/>
    <w:rsid w:val="009D63A5"/>
    <w:rsid w:val="009D66ED"/>
    <w:rsid w:val="009D6E7E"/>
    <w:rsid w:val="009D7299"/>
    <w:rsid w:val="009D7340"/>
    <w:rsid w:val="009D7565"/>
    <w:rsid w:val="009D7787"/>
    <w:rsid w:val="009D7C38"/>
    <w:rsid w:val="009D7D9C"/>
    <w:rsid w:val="009D7DC7"/>
    <w:rsid w:val="009E02C9"/>
    <w:rsid w:val="009E0E01"/>
    <w:rsid w:val="009E121C"/>
    <w:rsid w:val="009E1247"/>
    <w:rsid w:val="009E1B98"/>
    <w:rsid w:val="009E2084"/>
    <w:rsid w:val="009E23B7"/>
    <w:rsid w:val="009E23CD"/>
    <w:rsid w:val="009E292F"/>
    <w:rsid w:val="009E378C"/>
    <w:rsid w:val="009E39DC"/>
    <w:rsid w:val="009E3E51"/>
    <w:rsid w:val="009E3FAC"/>
    <w:rsid w:val="009E4691"/>
    <w:rsid w:val="009E47DC"/>
    <w:rsid w:val="009E4BB4"/>
    <w:rsid w:val="009E5378"/>
    <w:rsid w:val="009E56B4"/>
    <w:rsid w:val="009E5B64"/>
    <w:rsid w:val="009E6D68"/>
    <w:rsid w:val="009F029A"/>
    <w:rsid w:val="009F0DA4"/>
    <w:rsid w:val="009F0EBA"/>
    <w:rsid w:val="009F19EF"/>
    <w:rsid w:val="009F20FA"/>
    <w:rsid w:val="009F28C9"/>
    <w:rsid w:val="009F43C3"/>
    <w:rsid w:val="009F4D28"/>
    <w:rsid w:val="009F542C"/>
    <w:rsid w:val="009F6110"/>
    <w:rsid w:val="009F615E"/>
    <w:rsid w:val="009F625E"/>
    <w:rsid w:val="009F65C7"/>
    <w:rsid w:val="009F6933"/>
    <w:rsid w:val="009F7197"/>
    <w:rsid w:val="009F7947"/>
    <w:rsid w:val="009F7D43"/>
    <w:rsid w:val="00A0076A"/>
    <w:rsid w:val="00A00C8B"/>
    <w:rsid w:val="00A012D0"/>
    <w:rsid w:val="00A0148D"/>
    <w:rsid w:val="00A01866"/>
    <w:rsid w:val="00A01D7B"/>
    <w:rsid w:val="00A043FE"/>
    <w:rsid w:val="00A04630"/>
    <w:rsid w:val="00A04DAF"/>
    <w:rsid w:val="00A05098"/>
    <w:rsid w:val="00A05803"/>
    <w:rsid w:val="00A0584F"/>
    <w:rsid w:val="00A05916"/>
    <w:rsid w:val="00A05D2B"/>
    <w:rsid w:val="00A06E1B"/>
    <w:rsid w:val="00A07064"/>
    <w:rsid w:val="00A073FF"/>
    <w:rsid w:val="00A0794D"/>
    <w:rsid w:val="00A10B50"/>
    <w:rsid w:val="00A11182"/>
    <w:rsid w:val="00A11F2D"/>
    <w:rsid w:val="00A1266A"/>
    <w:rsid w:val="00A14F65"/>
    <w:rsid w:val="00A1571D"/>
    <w:rsid w:val="00A15B09"/>
    <w:rsid w:val="00A16741"/>
    <w:rsid w:val="00A17453"/>
    <w:rsid w:val="00A20817"/>
    <w:rsid w:val="00A2114F"/>
    <w:rsid w:val="00A218A7"/>
    <w:rsid w:val="00A2216E"/>
    <w:rsid w:val="00A22650"/>
    <w:rsid w:val="00A22A96"/>
    <w:rsid w:val="00A22BB3"/>
    <w:rsid w:val="00A231C7"/>
    <w:rsid w:val="00A2370B"/>
    <w:rsid w:val="00A23E9D"/>
    <w:rsid w:val="00A24782"/>
    <w:rsid w:val="00A24FAA"/>
    <w:rsid w:val="00A25885"/>
    <w:rsid w:val="00A265F3"/>
    <w:rsid w:val="00A26637"/>
    <w:rsid w:val="00A26CAA"/>
    <w:rsid w:val="00A26CCB"/>
    <w:rsid w:val="00A27769"/>
    <w:rsid w:val="00A27AFB"/>
    <w:rsid w:val="00A3015F"/>
    <w:rsid w:val="00A30806"/>
    <w:rsid w:val="00A3105A"/>
    <w:rsid w:val="00A31536"/>
    <w:rsid w:val="00A315FF"/>
    <w:rsid w:val="00A31956"/>
    <w:rsid w:val="00A32A88"/>
    <w:rsid w:val="00A3334D"/>
    <w:rsid w:val="00A33B52"/>
    <w:rsid w:val="00A33C0B"/>
    <w:rsid w:val="00A33DC9"/>
    <w:rsid w:val="00A33F77"/>
    <w:rsid w:val="00A34A14"/>
    <w:rsid w:val="00A3528D"/>
    <w:rsid w:val="00A35552"/>
    <w:rsid w:val="00A35831"/>
    <w:rsid w:val="00A35E7C"/>
    <w:rsid w:val="00A367AD"/>
    <w:rsid w:val="00A36E14"/>
    <w:rsid w:val="00A3743F"/>
    <w:rsid w:val="00A412EF"/>
    <w:rsid w:val="00A4253F"/>
    <w:rsid w:val="00A42EF2"/>
    <w:rsid w:val="00A4400D"/>
    <w:rsid w:val="00A442FF"/>
    <w:rsid w:val="00A44D84"/>
    <w:rsid w:val="00A45A85"/>
    <w:rsid w:val="00A45BD2"/>
    <w:rsid w:val="00A46F60"/>
    <w:rsid w:val="00A4713F"/>
    <w:rsid w:val="00A4716C"/>
    <w:rsid w:val="00A479EA"/>
    <w:rsid w:val="00A50436"/>
    <w:rsid w:val="00A50595"/>
    <w:rsid w:val="00A51DA8"/>
    <w:rsid w:val="00A51FB7"/>
    <w:rsid w:val="00A5275D"/>
    <w:rsid w:val="00A52A12"/>
    <w:rsid w:val="00A52ED5"/>
    <w:rsid w:val="00A5372E"/>
    <w:rsid w:val="00A54194"/>
    <w:rsid w:val="00A54E6E"/>
    <w:rsid w:val="00A5515B"/>
    <w:rsid w:val="00A5581F"/>
    <w:rsid w:val="00A558D3"/>
    <w:rsid w:val="00A578D4"/>
    <w:rsid w:val="00A61015"/>
    <w:rsid w:val="00A6142D"/>
    <w:rsid w:val="00A61750"/>
    <w:rsid w:val="00A61C66"/>
    <w:rsid w:val="00A61D22"/>
    <w:rsid w:val="00A61D6F"/>
    <w:rsid w:val="00A61D7A"/>
    <w:rsid w:val="00A620F3"/>
    <w:rsid w:val="00A62AC5"/>
    <w:rsid w:val="00A62D7D"/>
    <w:rsid w:val="00A63702"/>
    <w:rsid w:val="00A64735"/>
    <w:rsid w:val="00A64A5F"/>
    <w:rsid w:val="00A653BF"/>
    <w:rsid w:val="00A654E5"/>
    <w:rsid w:val="00A659E2"/>
    <w:rsid w:val="00A65B62"/>
    <w:rsid w:val="00A673B4"/>
    <w:rsid w:val="00A674A4"/>
    <w:rsid w:val="00A701A6"/>
    <w:rsid w:val="00A7091A"/>
    <w:rsid w:val="00A71882"/>
    <w:rsid w:val="00A729CE"/>
    <w:rsid w:val="00A72F5E"/>
    <w:rsid w:val="00A7322E"/>
    <w:rsid w:val="00A73E1D"/>
    <w:rsid w:val="00A73EEA"/>
    <w:rsid w:val="00A73FFB"/>
    <w:rsid w:val="00A74E0A"/>
    <w:rsid w:val="00A75060"/>
    <w:rsid w:val="00A7634C"/>
    <w:rsid w:val="00A766F9"/>
    <w:rsid w:val="00A76FD8"/>
    <w:rsid w:val="00A8070E"/>
    <w:rsid w:val="00A81E2E"/>
    <w:rsid w:val="00A82406"/>
    <w:rsid w:val="00A82644"/>
    <w:rsid w:val="00A8265A"/>
    <w:rsid w:val="00A829CB"/>
    <w:rsid w:val="00A82AA8"/>
    <w:rsid w:val="00A83F16"/>
    <w:rsid w:val="00A84303"/>
    <w:rsid w:val="00A84480"/>
    <w:rsid w:val="00A84D22"/>
    <w:rsid w:val="00A8510A"/>
    <w:rsid w:val="00A85B76"/>
    <w:rsid w:val="00A860D4"/>
    <w:rsid w:val="00A8648B"/>
    <w:rsid w:val="00A8651D"/>
    <w:rsid w:val="00A86836"/>
    <w:rsid w:val="00A8760C"/>
    <w:rsid w:val="00A87AFB"/>
    <w:rsid w:val="00A9080F"/>
    <w:rsid w:val="00A917C3"/>
    <w:rsid w:val="00A91BFE"/>
    <w:rsid w:val="00A92240"/>
    <w:rsid w:val="00A931DE"/>
    <w:rsid w:val="00A934C0"/>
    <w:rsid w:val="00A93D89"/>
    <w:rsid w:val="00A95A99"/>
    <w:rsid w:val="00A95EB3"/>
    <w:rsid w:val="00A964C1"/>
    <w:rsid w:val="00A97013"/>
    <w:rsid w:val="00A9709B"/>
    <w:rsid w:val="00A97180"/>
    <w:rsid w:val="00AA1034"/>
    <w:rsid w:val="00AA3782"/>
    <w:rsid w:val="00AA47F0"/>
    <w:rsid w:val="00AA4A4A"/>
    <w:rsid w:val="00AA548E"/>
    <w:rsid w:val="00AA566E"/>
    <w:rsid w:val="00AA5C5A"/>
    <w:rsid w:val="00AA5D22"/>
    <w:rsid w:val="00AA5FD8"/>
    <w:rsid w:val="00AA6178"/>
    <w:rsid w:val="00AA625D"/>
    <w:rsid w:val="00AA674D"/>
    <w:rsid w:val="00AA7172"/>
    <w:rsid w:val="00AB16D6"/>
    <w:rsid w:val="00AB1A60"/>
    <w:rsid w:val="00AB2251"/>
    <w:rsid w:val="00AB236F"/>
    <w:rsid w:val="00AB2C4F"/>
    <w:rsid w:val="00AB308B"/>
    <w:rsid w:val="00AB3ED9"/>
    <w:rsid w:val="00AB4192"/>
    <w:rsid w:val="00AB4E45"/>
    <w:rsid w:val="00AB5272"/>
    <w:rsid w:val="00AB5C6C"/>
    <w:rsid w:val="00AB5F73"/>
    <w:rsid w:val="00AB67EF"/>
    <w:rsid w:val="00AB689D"/>
    <w:rsid w:val="00AB6968"/>
    <w:rsid w:val="00AC014D"/>
    <w:rsid w:val="00AC0F12"/>
    <w:rsid w:val="00AC10E1"/>
    <w:rsid w:val="00AC256D"/>
    <w:rsid w:val="00AC26EB"/>
    <w:rsid w:val="00AC368A"/>
    <w:rsid w:val="00AC3874"/>
    <w:rsid w:val="00AC409E"/>
    <w:rsid w:val="00AC415E"/>
    <w:rsid w:val="00AC43E5"/>
    <w:rsid w:val="00AC4886"/>
    <w:rsid w:val="00AC48DF"/>
    <w:rsid w:val="00AC4CF4"/>
    <w:rsid w:val="00AC4FFA"/>
    <w:rsid w:val="00AC5F71"/>
    <w:rsid w:val="00AC7204"/>
    <w:rsid w:val="00AC7EA1"/>
    <w:rsid w:val="00AD044B"/>
    <w:rsid w:val="00AD07F3"/>
    <w:rsid w:val="00AD0B76"/>
    <w:rsid w:val="00AD0CAA"/>
    <w:rsid w:val="00AD12A0"/>
    <w:rsid w:val="00AD13C5"/>
    <w:rsid w:val="00AD1543"/>
    <w:rsid w:val="00AD1F22"/>
    <w:rsid w:val="00AD2291"/>
    <w:rsid w:val="00AD35A0"/>
    <w:rsid w:val="00AD392C"/>
    <w:rsid w:val="00AD3C01"/>
    <w:rsid w:val="00AD445A"/>
    <w:rsid w:val="00AD48FA"/>
    <w:rsid w:val="00AD514A"/>
    <w:rsid w:val="00AD5E93"/>
    <w:rsid w:val="00AD672D"/>
    <w:rsid w:val="00AD6ADC"/>
    <w:rsid w:val="00AD6DA9"/>
    <w:rsid w:val="00AD749D"/>
    <w:rsid w:val="00AD7BDA"/>
    <w:rsid w:val="00AD7CA1"/>
    <w:rsid w:val="00AD7D0B"/>
    <w:rsid w:val="00AD7FA9"/>
    <w:rsid w:val="00AE0208"/>
    <w:rsid w:val="00AE0570"/>
    <w:rsid w:val="00AE05A4"/>
    <w:rsid w:val="00AE06C5"/>
    <w:rsid w:val="00AE0772"/>
    <w:rsid w:val="00AE1258"/>
    <w:rsid w:val="00AE1556"/>
    <w:rsid w:val="00AE20FA"/>
    <w:rsid w:val="00AE22A4"/>
    <w:rsid w:val="00AE23CA"/>
    <w:rsid w:val="00AE3106"/>
    <w:rsid w:val="00AE32D0"/>
    <w:rsid w:val="00AE43F0"/>
    <w:rsid w:val="00AE4AE8"/>
    <w:rsid w:val="00AE4CFB"/>
    <w:rsid w:val="00AE5246"/>
    <w:rsid w:val="00AE583F"/>
    <w:rsid w:val="00AE5BCC"/>
    <w:rsid w:val="00AE5EBD"/>
    <w:rsid w:val="00AE665F"/>
    <w:rsid w:val="00AE67D7"/>
    <w:rsid w:val="00AE7537"/>
    <w:rsid w:val="00AF03C9"/>
    <w:rsid w:val="00AF0428"/>
    <w:rsid w:val="00AF2109"/>
    <w:rsid w:val="00AF33AD"/>
    <w:rsid w:val="00AF33E5"/>
    <w:rsid w:val="00AF3BFA"/>
    <w:rsid w:val="00AF3C97"/>
    <w:rsid w:val="00AF3E3E"/>
    <w:rsid w:val="00AF45A9"/>
    <w:rsid w:val="00AF490E"/>
    <w:rsid w:val="00AF5107"/>
    <w:rsid w:val="00AF57F6"/>
    <w:rsid w:val="00AF5A90"/>
    <w:rsid w:val="00AF5BD8"/>
    <w:rsid w:val="00AF629B"/>
    <w:rsid w:val="00AF6CCC"/>
    <w:rsid w:val="00AF7497"/>
    <w:rsid w:val="00B001D5"/>
    <w:rsid w:val="00B00BC3"/>
    <w:rsid w:val="00B01567"/>
    <w:rsid w:val="00B01CA0"/>
    <w:rsid w:val="00B01DB9"/>
    <w:rsid w:val="00B025AD"/>
    <w:rsid w:val="00B04377"/>
    <w:rsid w:val="00B046E8"/>
    <w:rsid w:val="00B04796"/>
    <w:rsid w:val="00B04D8B"/>
    <w:rsid w:val="00B04EAE"/>
    <w:rsid w:val="00B068F4"/>
    <w:rsid w:val="00B0705E"/>
    <w:rsid w:val="00B075DE"/>
    <w:rsid w:val="00B07E37"/>
    <w:rsid w:val="00B104A2"/>
    <w:rsid w:val="00B10905"/>
    <w:rsid w:val="00B11459"/>
    <w:rsid w:val="00B11D1A"/>
    <w:rsid w:val="00B11E5B"/>
    <w:rsid w:val="00B11FBE"/>
    <w:rsid w:val="00B12E10"/>
    <w:rsid w:val="00B13C6F"/>
    <w:rsid w:val="00B142D8"/>
    <w:rsid w:val="00B146AF"/>
    <w:rsid w:val="00B16556"/>
    <w:rsid w:val="00B1691C"/>
    <w:rsid w:val="00B16AEC"/>
    <w:rsid w:val="00B16EE3"/>
    <w:rsid w:val="00B17041"/>
    <w:rsid w:val="00B2092B"/>
    <w:rsid w:val="00B210A2"/>
    <w:rsid w:val="00B216E3"/>
    <w:rsid w:val="00B217E8"/>
    <w:rsid w:val="00B2212A"/>
    <w:rsid w:val="00B22AE9"/>
    <w:rsid w:val="00B22E2B"/>
    <w:rsid w:val="00B23540"/>
    <w:rsid w:val="00B23886"/>
    <w:rsid w:val="00B24379"/>
    <w:rsid w:val="00B244EF"/>
    <w:rsid w:val="00B24B12"/>
    <w:rsid w:val="00B25583"/>
    <w:rsid w:val="00B258B2"/>
    <w:rsid w:val="00B258FE"/>
    <w:rsid w:val="00B26177"/>
    <w:rsid w:val="00B268F5"/>
    <w:rsid w:val="00B26BB7"/>
    <w:rsid w:val="00B272D6"/>
    <w:rsid w:val="00B27508"/>
    <w:rsid w:val="00B27CB0"/>
    <w:rsid w:val="00B27F4C"/>
    <w:rsid w:val="00B300CB"/>
    <w:rsid w:val="00B30888"/>
    <w:rsid w:val="00B3107C"/>
    <w:rsid w:val="00B31DC9"/>
    <w:rsid w:val="00B32953"/>
    <w:rsid w:val="00B32D47"/>
    <w:rsid w:val="00B32D74"/>
    <w:rsid w:val="00B33CAF"/>
    <w:rsid w:val="00B3442A"/>
    <w:rsid w:val="00B35B70"/>
    <w:rsid w:val="00B35E0E"/>
    <w:rsid w:val="00B3643A"/>
    <w:rsid w:val="00B365C8"/>
    <w:rsid w:val="00B36C27"/>
    <w:rsid w:val="00B37732"/>
    <w:rsid w:val="00B40231"/>
    <w:rsid w:val="00B40C99"/>
    <w:rsid w:val="00B41911"/>
    <w:rsid w:val="00B42596"/>
    <w:rsid w:val="00B43AC4"/>
    <w:rsid w:val="00B43C69"/>
    <w:rsid w:val="00B43D7F"/>
    <w:rsid w:val="00B43DA9"/>
    <w:rsid w:val="00B44D1E"/>
    <w:rsid w:val="00B45788"/>
    <w:rsid w:val="00B46787"/>
    <w:rsid w:val="00B501B5"/>
    <w:rsid w:val="00B5066D"/>
    <w:rsid w:val="00B50753"/>
    <w:rsid w:val="00B508E9"/>
    <w:rsid w:val="00B50A32"/>
    <w:rsid w:val="00B50B22"/>
    <w:rsid w:val="00B51417"/>
    <w:rsid w:val="00B516C0"/>
    <w:rsid w:val="00B52783"/>
    <w:rsid w:val="00B52900"/>
    <w:rsid w:val="00B52B1B"/>
    <w:rsid w:val="00B52E2A"/>
    <w:rsid w:val="00B531F1"/>
    <w:rsid w:val="00B53CD2"/>
    <w:rsid w:val="00B54027"/>
    <w:rsid w:val="00B54033"/>
    <w:rsid w:val="00B557BF"/>
    <w:rsid w:val="00B55F29"/>
    <w:rsid w:val="00B562F0"/>
    <w:rsid w:val="00B563E8"/>
    <w:rsid w:val="00B5685A"/>
    <w:rsid w:val="00B5691A"/>
    <w:rsid w:val="00B569EA"/>
    <w:rsid w:val="00B56E5D"/>
    <w:rsid w:val="00B57864"/>
    <w:rsid w:val="00B6065E"/>
    <w:rsid w:val="00B60F8C"/>
    <w:rsid w:val="00B6107E"/>
    <w:rsid w:val="00B6365C"/>
    <w:rsid w:val="00B6421D"/>
    <w:rsid w:val="00B64A07"/>
    <w:rsid w:val="00B65659"/>
    <w:rsid w:val="00B660E4"/>
    <w:rsid w:val="00B665F9"/>
    <w:rsid w:val="00B67C76"/>
    <w:rsid w:val="00B67D65"/>
    <w:rsid w:val="00B70517"/>
    <w:rsid w:val="00B70F54"/>
    <w:rsid w:val="00B715C6"/>
    <w:rsid w:val="00B71E5B"/>
    <w:rsid w:val="00B721A7"/>
    <w:rsid w:val="00B7470D"/>
    <w:rsid w:val="00B75272"/>
    <w:rsid w:val="00B75BB3"/>
    <w:rsid w:val="00B76272"/>
    <w:rsid w:val="00B76878"/>
    <w:rsid w:val="00B76BFB"/>
    <w:rsid w:val="00B773AA"/>
    <w:rsid w:val="00B777CF"/>
    <w:rsid w:val="00B77CAA"/>
    <w:rsid w:val="00B77CC0"/>
    <w:rsid w:val="00B802C9"/>
    <w:rsid w:val="00B8045B"/>
    <w:rsid w:val="00B81F2C"/>
    <w:rsid w:val="00B8210E"/>
    <w:rsid w:val="00B831D5"/>
    <w:rsid w:val="00B8325D"/>
    <w:rsid w:val="00B84B13"/>
    <w:rsid w:val="00B8546D"/>
    <w:rsid w:val="00B85B46"/>
    <w:rsid w:val="00B85B7B"/>
    <w:rsid w:val="00B85E95"/>
    <w:rsid w:val="00B85EED"/>
    <w:rsid w:val="00B875C0"/>
    <w:rsid w:val="00B910B2"/>
    <w:rsid w:val="00B9185F"/>
    <w:rsid w:val="00B91880"/>
    <w:rsid w:val="00B91FA2"/>
    <w:rsid w:val="00B922CA"/>
    <w:rsid w:val="00B925D0"/>
    <w:rsid w:val="00B9280A"/>
    <w:rsid w:val="00B932FF"/>
    <w:rsid w:val="00B937B8"/>
    <w:rsid w:val="00B94382"/>
    <w:rsid w:val="00B94B34"/>
    <w:rsid w:val="00B950E0"/>
    <w:rsid w:val="00B95871"/>
    <w:rsid w:val="00B958C0"/>
    <w:rsid w:val="00B95925"/>
    <w:rsid w:val="00B95EBF"/>
    <w:rsid w:val="00B96020"/>
    <w:rsid w:val="00B96A3D"/>
    <w:rsid w:val="00B96FC5"/>
    <w:rsid w:val="00B977B0"/>
    <w:rsid w:val="00BA0F05"/>
    <w:rsid w:val="00BA1111"/>
    <w:rsid w:val="00BA2053"/>
    <w:rsid w:val="00BA225F"/>
    <w:rsid w:val="00BA24D2"/>
    <w:rsid w:val="00BA293F"/>
    <w:rsid w:val="00BA29F9"/>
    <w:rsid w:val="00BA2AE9"/>
    <w:rsid w:val="00BA3102"/>
    <w:rsid w:val="00BA3167"/>
    <w:rsid w:val="00BA3B2B"/>
    <w:rsid w:val="00BA4149"/>
    <w:rsid w:val="00BA4398"/>
    <w:rsid w:val="00BA4E9A"/>
    <w:rsid w:val="00BA4EA6"/>
    <w:rsid w:val="00BA581B"/>
    <w:rsid w:val="00BA657A"/>
    <w:rsid w:val="00BA698B"/>
    <w:rsid w:val="00BA6A42"/>
    <w:rsid w:val="00BB0534"/>
    <w:rsid w:val="00BB0DB8"/>
    <w:rsid w:val="00BB0F8F"/>
    <w:rsid w:val="00BB13D7"/>
    <w:rsid w:val="00BB1979"/>
    <w:rsid w:val="00BB1A39"/>
    <w:rsid w:val="00BB1F73"/>
    <w:rsid w:val="00BB254F"/>
    <w:rsid w:val="00BB28EE"/>
    <w:rsid w:val="00BB2C8C"/>
    <w:rsid w:val="00BB348E"/>
    <w:rsid w:val="00BB354F"/>
    <w:rsid w:val="00BB36A8"/>
    <w:rsid w:val="00BB3955"/>
    <w:rsid w:val="00BB4777"/>
    <w:rsid w:val="00BB4EEB"/>
    <w:rsid w:val="00BB5518"/>
    <w:rsid w:val="00BB5B0A"/>
    <w:rsid w:val="00BC06C3"/>
    <w:rsid w:val="00BC0CFA"/>
    <w:rsid w:val="00BC1684"/>
    <w:rsid w:val="00BC38BA"/>
    <w:rsid w:val="00BC4B1E"/>
    <w:rsid w:val="00BC4DC7"/>
    <w:rsid w:val="00BC55DE"/>
    <w:rsid w:val="00BC5795"/>
    <w:rsid w:val="00BC5C7E"/>
    <w:rsid w:val="00BC64EB"/>
    <w:rsid w:val="00BC72C6"/>
    <w:rsid w:val="00BD0BDE"/>
    <w:rsid w:val="00BD0EEA"/>
    <w:rsid w:val="00BD1988"/>
    <w:rsid w:val="00BD3DC7"/>
    <w:rsid w:val="00BD4596"/>
    <w:rsid w:val="00BD4AA6"/>
    <w:rsid w:val="00BD4FD8"/>
    <w:rsid w:val="00BD6365"/>
    <w:rsid w:val="00BD673C"/>
    <w:rsid w:val="00BE0F67"/>
    <w:rsid w:val="00BE117F"/>
    <w:rsid w:val="00BE17D6"/>
    <w:rsid w:val="00BE1981"/>
    <w:rsid w:val="00BE224A"/>
    <w:rsid w:val="00BE25C9"/>
    <w:rsid w:val="00BE2783"/>
    <w:rsid w:val="00BE37E1"/>
    <w:rsid w:val="00BE5142"/>
    <w:rsid w:val="00BE5E89"/>
    <w:rsid w:val="00BE67B5"/>
    <w:rsid w:val="00BE6BBF"/>
    <w:rsid w:val="00BE78A4"/>
    <w:rsid w:val="00BF05B1"/>
    <w:rsid w:val="00BF0643"/>
    <w:rsid w:val="00BF0E4E"/>
    <w:rsid w:val="00BF1182"/>
    <w:rsid w:val="00BF1720"/>
    <w:rsid w:val="00BF2383"/>
    <w:rsid w:val="00BF38A9"/>
    <w:rsid w:val="00BF4C43"/>
    <w:rsid w:val="00BF4E75"/>
    <w:rsid w:val="00BF5113"/>
    <w:rsid w:val="00BF5624"/>
    <w:rsid w:val="00BF58BA"/>
    <w:rsid w:val="00BF7406"/>
    <w:rsid w:val="00BF778F"/>
    <w:rsid w:val="00BF7D4A"/>
    <w:rsid w:val="00C00A61"/>
    <w:rsid w:val="00C017BF"/>
    <w:rsid w:val="00C01F64"/>
    <w:rsid w:val="00C020D4"/>
    <w:rsid w:val="00C027EA"/>
    <w:rsid w:val="00C02983"/>
    <w:rsid w:val="00C03981"/>
    <w:rsid w:val="00C039C7"/>
    <w:rsid w:val="00C03B54"/>
    <w:rsid w:val="00C03CF9"/>
    <w:rsid w:val="00C03E9D"/>
    <w:rsid w:val="00C04218"/>
    <w:rsid w:val="00C055F3"/>
    <w:rsid w:val="00C057EB"/>
    <w:rsid w:val="00C059E8"/>
    <w:rsid w:val="00C0680D"/>
    <w:rsid w:val="00C07042"/>
    <w:rsid w:val="00C0704F"/>
    <w:rsid w:val="00C07844"/>
    <w:rsid w:val="00C104D7"/>
    <w:rsid w:val="00C1081E"/>
    <w:rsid w:val="00C108DA"/>
    <w:rsid w:val="00C10C95"/>
    <w:rsid w:val="00C11117"/>
    <w:rsid w:val="00C11B45"/>
    <w:rsid w:val="00C11E3E"/>
    <w:rsid w:val="00C12948"/>
    <w:rsid w:val="00C129B1"/>
    <w:rsid w:val="00C13193"/>
    <w:rsid w:val="00C136E9"/>
    <w:rsid w:val="00C1391F"/>
    <w:rsid w:val="00C14348"/>
    <w:rsid w:val="00C147E6"/>
    <w:rsid w:val="00C14AB0"/>
    <w:rsid w:val="00C15225"/>
    <w:rsid w:val="00C15CEE"/>
    <w:rsid w:val="00C15E9D"/>
    <w:rsid w:val="00C167D1"/>
    <w:rsid w:val="00C169D0"/>
    <w:rsid w:val="00C1715A"/>
    <w:rsid w:val="00C17832"/>
    <w:rsid w:val="00C17D14"/>
    <w:rsid w:val="00C17D3D"/>
    <w:rsid w:val="00C20182"/>
    <w:rsid w:val="00C212AB"/>
    <w:rsid w:val="00C214F0"/>
    <w:rsid w:val="00C21C3F"/>
    <w:rsid w:val="00C220CA"/>
    <w:rsid w:val="00C23CDB"/>
    <w:rsid w:val="00C240E8"/>
    <w:rsid w:val="00C246E7"/>
    <w:rsid w:val="00C248FA"/>
    <w:rsid w:val="00C25BD1"/>
    <w:rsid w:val="00C2631F"/>
    <w:rsid w:val="00C26422"/>
    <w:rsid w:val="00C26C7C"/>
    <w:rsid w:val="00C26CC7"/>
    <w:rsid w:val="00C26E03"/>
    <w:rsid w:val="00C27D5F"/>
    <w:rsid w:val="00C31604"/>
    <w:rsid w:val="00C32329"/>
    <w:rsid w:val="00C3269F"/>
    <w:rsid w:val="00C3288D"/>
    <w:rsid w:val="00C33CEB"/>
    <w:rsid w:val="00C342DB"/>
    <w:rsid w:val="00C34AE9"/>
    <w:rsid w:val="00C34DE5"/>
    <w:rsid w:val="00C35D7A"/>
    <w:rsid w:val="00C36ADD"/>
    <w:rsid w:val="00C40EF8"/>
    <w:rsid w:val="00C41A46"/>
    <w:rsid w:val="00C42785"/>
    <w:rsid w:val="00C45177"/>
    <w:rsid w:val="00C45243"/>
    <w:rsid w:val="00C45553"/>
    <w:rsid w:val="00C467B1"/>
    <w:rsid w:val="00C4681F"/>
    <w:rsid w:val="00C46920"/>
    <w:rsid w:val="00C47E6F"/>
    <w:rsid w:val="00C51200"/>
    <w:rsid w:val="00C514F0"/>
    <w:rsid w:val="00C51D6F"/>
    <w:rsid w:val="00C51F61"/>
    <w:rsid w:val="00C52184"/>
    <w:rsid w:val="00C52470"/>
    <w:rsid w:val="00C524CB"/>
    <w:rsid w:val="00C5255F"/>
    <w:rsid w:val="00C53234"/>
    <w:rsid w:val="00C53989"/>
    <w:rsid w:val="00C53E83"/>
    <w:rsid w:val="00C53FE9"/>
    <w:rsid w:val="00C54F52"/>
    <w:rsid w:val="00C553B7"/>
    <w:rsid w:val="00C5583B"/>
    <w:rsid w:val="00C56464"/>
    <w:rsid w:val="00C5798E"/>
    <w:rsid w:val="00C57D4A"/>
    <w:rsid w:val="00C57D9E"/>
    <w:rsid w:val="00C60A09"/>
    <w:rsid w:val="00C60BD4"/>
    <w:rsid w:val="00C60D78"/>
    <w:rsid w:val="00C61808"/>
    <w:rsid w:val="00C6198E"/>
    <w:rsid w:val="00C621DC"/>
    <w:rsid w:val="00C6364C"/>
    <w:rsid w:val="00C65356"/>
    <w:rsid w:val="00C65465"/>
    <w:rsid w:val="00C65A41"/>
    <w:rsid w:val="00C65C48"/>
    <w:rsid w:val="00C66238"/>
    <w:rsid w:val="00C66E06"/>
    <w:rsid w:val="00C67C95"/>
    <w:rsid w:val="00C67EE6"/>
    <w:rsid w:val="00C70497"/>
    <w:rsid w:val="00C70C76"/>
    <w:rsid w:val="00C70D5A"/>
    <w:rsid w:val="00C71284"/>
    <w:rsid w:val="00C7181C"/>
    <w:rsid w:val="00C718FD"/>
    <w:rsid w:val="00C72121"/>
    <w:rsid w:val="00C72325"/>
    <w:rsid w:val="00C72DC6"/>
    <w:rsid w:val="00C7307F"/>
    <w:rsid w:val="00C734CD"/>
    <w:rsid w:val="00C7375E"/>
    <w:rsid w:val="00C7439F"/>
    <w:rsid w:val="00C7463A"/>
    <w:rsid w:val="00C74970"/>
    <w:rsid w:val="00C74CA2"/>
    <w:rsid w:val="00C756E0"/>
    <w:rsid w:val="00C75804"/>
    <w:rsid w:val="00C75D5C"/>
    <w:rsid w:val="00C7667D"/>
    <w:rsid w:val="00C76A6F"/>
    <w:rsid w:val="00C77CE6"/>
    <w:rsid w:val="00C77E8A"/>
    <w:rsid w:val="00C8064E"/>
    <w:rsid w:val="00C80D4C"/>
    <w:rsid w:val="00C80EE7"/>
    <w:rsid w:val="00C8135C"/>
    <w:rsid w:val="00C818DA"/>
    <w:rsid w:val="00C81A9A"/>
    <w:rsid w:val="00C81F24"/>
    <w:rsid w:val="00C8362B"/>
    <w:rsid w:val="00C836AC"/>
    <w:rsid w:val="00C869F3"/>
    <w:rsid w:val="00C87B7D"/>
    <w:rsid w:val="00C87FE6"/>
    <w:rsid w:val="00C90F7B"/>
    <w:rsid w:val="00C91119"/>
    <w:rsid w:val="00C91249"/>
    <w:rsid w:val="00C92D22"/>
    <w:rsid w:val="00C932C8"/>
    <w:rsid w:val="00C93401"/>
    <w:rsid w:val="00C93B18"/>
    <w:rsid w:val="00C942E5"/>
    <w:rsid w:val="00C9495E"/>
    <w:rsid w:val="00C94E7E"/>
    <w:rsid w:val="00C97694"/>
    <w:rsid w:val="00C97C9B"/>
    <w:rsid w:val="00CA0008"/>
    <w:rsid w:val="00CA08AE"/>
    <w:rsid w:val="00CA0E3A"/>
    <w:rsid w:val="00CA12F4"/>
    <w:rsid w:val="00CA1C47"/>
    <w:rsid w:val="00CA213B"/>
    <w:rsid w:val="00CA240E"/>
    <w:rsid w:val="00CA3301"/>
    <w:rsid w:val="00CA3333"/>
    <w:rsid w:val="00CA4F12"/>
    <w:rsid w:val="00CA5138"/>
    <w:rsid w:val="00CA5269"/>
    <w:rsid w:val="00CA5FC8"/>
    <w:rsid w:val="00CA6A22"/>
    <w:rsid w:val="00CA6E12"/>
    <w:rsid w:val="00CA6EFE"/>
    <w:rsid w:val="00CA732F"/>
    <w:rsid w:val="00CA758C"/>
    <w:rsid w:val="00CA76A8"/>
    <w:rsid w:val="00CA7A2C"/>
    <w:rsid w:val="00CA7EAC"/>
    <w:rsid w:val="00CB004D"/>
    <w:rsid w:val="00CB041D"/>
    <w:rsid w:val="00CB08D8"/>
    <w:rsid w:val="00CB0B3E"/>
    <w:rsid w:val="00CB0B66"/>
    <w:rsid w:val="00CB1109"/>
    <w:rsid w:val="00CB146B"/>
    <w:rsid w:val="00CB1958"/>
    <w:rsid w:val="00CB2009"/>
    <w:rsid w:val="00CB253A"/>
    <w:rsid w:val="00CB33EE"/>
    <w:rsid w:val="00CB34CC"/>
    <w:rsid w:val="00CB3BA5"/>
    <w:rsid w:val="00CB4045"/>
    <w:rsid w:val="00CB42F2"/>
    <w:rsid w:val="00CB4618"/>
    <w:rsid w:val="00CB48A9"/>
    <w:rsid w:val="00CB4E97"/>
    <w:rsid w:val="00CB545A"/>
    <w:rsid w:val="00CB58FB"/>
    <w:rsid w:val="00CB59BA"/>
    <w:rsid w:val="00CB68D3"/>
    <w:rsid w:val="00CB7E78"/>
    <w:rsid w:val="00CC04CB"/>
    <w:rsid w:val="00CC14C4"/>
    <w:rsid w:val="00CC1901"/>
    <w:rsid w:val="00CC26ED"/>
    <w:rsid w:val="00CC2CC1"/>
    <w:rsid w:val="00CC2E23"/>
    <w:rsid w:val="00CC3165"/>
    <w:rsid w:val="00CC38AC"/>
    <w:rsid w:val="00CC4A1A"/>
    <w:rsid w:val="00CC4EAB"/>
    <w:rsid w:val="00CC5527"/>
    <w:rsid w:val="00CC5C96"/>
    <w:rsid w:val="00CC60B5"/>
    <w:rsid w:val="00CC77A3"/>
    <w:rsid w:val="00CC7815"/>
    <w:rsid w:val="00CD0FD3"/>
    <w:rsid w:val="00CD13DB"/>
    <w:rsid w:val="00CD1C68"/>
    <w:rsid w:val="00CD2663"/>
    <w:rsid w:val="00CD2E6C"/>
    <w:rsid w:val="00CD32A8"/>
    <w:rsid w:val="00CD4146"/>
    <w:rsid w:val="00CD5356"/>
    <w:rsid w:val="00CD5B78"/>
    <w:rsid w:val="00CD610A"/>
    <w:rsid w:val="00CD6191"/>
    <w:rsid w:val="00CD6696"/>
    <w:rsid w:val="00CD682B"/>
    <w:rsid w:val="00CD71ED"/>
    <w:rsid w:val="00CD7494"/>
    <w:rsid w:val="00CD754D"/>
    <w:rsid w:val="00CD7F80"/>
    <w:rsid w:val="00CE01AD"/>
    <w:rsid w:val="00CE02AD"/>
    <w:rsid w:val="00CE053C"/>
    <w:rsid w:val="00CE080E"/>
    <w:rsid w:val="00CE09E5"/>
    <w:rsid w:val="00CE0F26"/>
    <w:rsid w:val="00CE0FFA"/>
    <w:rsid w:val="00CE10E3"/>
    <w:rsid w:val="00CE186F"/>
    <w:rsid w:val="00CE1AFC"/>
    <w:rsid w:val="00CE1D00"/>
    <w:rsid w:val="00CE21D3"/>
    <w:rsid w:val="00CE23AA"/>
    <w:rsid w:val="00CE295E"/>
    <w:rsid w:val="00CE2A7A"/>
    <w:rsid w:val="00CE2B42"/>
    <w:rsid w:val="00CE319B"/>
    <w:rsid w:val="00CE40E3"/>
    <w:rsid w:val="00CE4A86"/>
    <w:rsid w:val="00CE4C73"/>
    <w:rsid w:val="00CE4CAE"/>
    <w:rsid w:val="00CE55DA"/>
    <w:rsid w:val="00CE58D6"/>
    <w:rsid w:val="00CE58EE"/>
    <w:rsid w:val="00CE598D"/>
    <w:rsid w:val="00CE59C4"/>
    <w:rsid w:val="00CE5C10"/>
    <w:rsid w:val="00CE69C0"/>
    <w:rsid w:val="00CE6ECC"/>
    <w:rsid w:val="00CE7D0F"/>
    <w:rsid w:val="00CF0C7E"/>
    <w:rsid w:val="00CF0E65"/>
    <w:rsid w:val="00CF1695"/>
    <w:rsid w:val="00CF38F4"/>
    <w:rsid w:val="00CF44B5"/>
    <w:rsid w:val="00CF4A87"/>
    <w:rsid w:val="00CF5879"/>
    <w:rsid w:val="00CF6011"/>
    <w:rsid w:val="00CF6517"/>
    <w:rsid w:val="00CF6CBB"/>
    <w:rsid w:val="00CF7AC7"/>
    <w:rsid w:val="00D00375"/>
    <w:rsid w:val="00D00F94"/>
    <w:rsid w:val="00D018F9"/>
    <w:rsid w:val="00D01DF1"/>
    <w:rsid w:val="00D01E0F"/>
    <w:rsid w:val="00D022DC"/>
    <w:rsid w:val="00D0253C"/>
    <w:rsid w:val="00D02A89"/>
    <w:rsid w:val="00D03832"/>
    <w:rsid w:val="00D03D7B"/>
    <w:rsid w:val="00D046C9"/>
    <w:rsid w:val="00D04E78"/>
    <w:rsid w:val="00D05183"/>
    <w:rsid w:val="00D05704"/>
    <w:rsid w:val="00D059E2"/>
    <w:rsid w:val="00D06847"/>
    <w:rsid w:val="00D06BC9"/>
    <w:rsid w:val="00D06DB9"/>
    <w:rsid w:val="00D07BDF"/>
    <w:rsid w:val="00D100CF"/>
    <w:rsid w:val="00D10142"/>
    <w:rsid w:val="00D11933"/>
    <w:rsid w:val="00D11F99"/>
    <w:rsid w:val="00D12493"/>
    <w:rsid w:val="00D12660"/>
    <w:rsid w:val="00D12C7A"/>
    <w:rsid w:val="00D139CA"/>
    <w:rsid w:val="00D149B2"/>
    <w:rsid w:val="00D14A4E"/>
    <w:rsid w:val="00D14C1A"/>
    <w:rsid w:val="00D14C72"/>
    <w:rsid w:val="00D14EF9"/>
    <w:rsid w:val="00D15416"/>
    <w:rsid w:val="00D15A58"/>
    <w:rsid w:val="00D15CF6"/>
    <w:rsid w:val="00D16903"/>
    <w:rsid w:val="00D2066E"/>
    <w:rsid w:val="00D20E5A"/>
    <w:rsid w:val="00D20F4F"/>
    <w:rsid w:val="00D214F7"/>
    <w:rsid w:val="00D22C5B"/>
    <w:rsid w:val="00D23966"/>
    <w:rsid w:val="00D23D51"/>
    <w:rsid w:val="00D23EE9"/>
    <w:rsid w:val="00D250CE"/>
    <w:rsid w:val="00D2517C"/>
    <w:rsid w:val="00D26754"/>
    <w:rsid w:val="00D26F00"/>
    <w:rsid w:val="00D272E8"/>
    <w:rsid w:val="00D276A4"/>
    <w:rsid w:val="00D27A01"/>
    <w:rsid w:val="00D300CF"/>
    <w:rsid w:val="00D30181"/>
    <w:rsid w:val="00D30B29"/>
    <w:rsid w:val="00D314B8"/>
    <w:rsid w:val="00D3192D"/>
    <w:rsid w:val="00D323D0"/>
    <w:rsid w:val="00D33130"/>
    <w:rsid w:val="00D33216"/>
    <w:rsid w:val="00D338D1"/>
    <w:rsid w:val="00D340F2"/>
    <w:rsid w:val="00D3451F"/>
    <w:rsid w:val="00D3464C"/>
    <w:rsid w:val="00D34D98"/>
    <w:rsid w:val="00D34E3D"/>
    <w:rsid w:val="00D3501F"/>
    <w:rsid w:val="00D36068"/>
    <w:rsid w:val="00D36224"/>
    <w:rsid w:val="00D3657A"/>
    <w:rsid w:val="00D40746"/>
    <w:rsid w:val="00D41625"/>
    <w:rsid w:val="00D416AA"/>
    <w:rsid w:val="00D416F5"/>
    <w:rsid w:val="00D423CB"/>
    <w:rsid w:val="00D427DC"/>
    <w:rsid w:val="00D436A0"/>
    <w:rsid w:val="00D44111"/>
    <w:rsid w:val="00D444A1"/>
    <w:rsid w:val="00D44D6E"/>
    <w:rsid w:val="00D4515C"/>
    <w:rsid w:val="00D4655A"/>
    <w:rsid w:val="00D4695C"/>
    <w:rsid w:val="00D46A93"/>
    <w:rsid w:val="00D47584"/>
    <w:rsid w:val="00D47961"/>
    <w:rsid w:val="00D50EE4"/>
    <w:rsid w:val="00D512C0"/>
    <w:rsid w:val="00D51945"/>
    <w:rsid w:val="00D522BB"/>
    <w:rsid w:val="00D52B62"/>
    <w:rsid w:val="00D53045"/>
    <w:rsid w:val="00D53963"/>
    <w:rsid w:val="00D54654"/>
    <w:rsid w:val="00D5474F"/>
    <w:rsid w:val="00D55056"/>
    <w:rsid w:val="00D55C15"/>
    <w:rsid w:val="00D56AA2"/>
    <w:rsid w:val="00D56AF9"/>
    <w:rsid w:val="00D56B30"/>
    <w:rsid w:val="00D5724D"/>
    <w:rsid w:val="00D576A7"/>
    <w:rsid w:val="00D60592"/>
    <w:rsid w:val="00D6062D"/>
    <w:rsid w:val="00D61309"/>
    <w:rsid w:val="00D61635"/>
    <w:rsid w:val="00D626A9"/>
    <w:rsid w:val="00D626C6"/>
    <w:rsid w:val="00D6273D"/>
    <w:rsid w:val="00D628C5"/>
    <w:rsid w:val="00D63DB5"/>
    <w:rsid w:val="00D63E81"/>
    <w:rsid w:val="00D63EA8"/>
    <w:rsid w:val="00D643CE"/>
    <w:rsid w:val="00D65080"/>
    <w:rsid w:val="00D652FD"/>
    <w:rsid w:val="00D65A27"/>
    <w:rsid w:val="00D6766C"/>
    <w:rsid w:val="00D7066E"/>
    <w:rsid w:val="00D7078F"/>
    <w:rsid w:val="00D70AAD"/>
    <w:rsid w:val="00D72BC6"/>
    <w:rsid w:val="00D72F8B"/>
    <w:rsid w:val="00D735BC"/>
    <w:rsid w:val="00D74447"/>
    <w:rsid w:val="00D755B0"/>
    <w:rsid w:val="00D75DD0"/>
    <w:rsid w:val="00D767F3"/>
    <w:rsid w:val="00D76EF3"/>
    <w:rsid w:val="00D77C64"/>
    <w:rsid w:val="00D77FB0"/>
    <w:rsid w:val="00D77FB8"/>
    <w:rsid w:val="00D80C5C"/>
    <w:rsid w:val="00D80DD7"/>
    <w:rsid w:val="00D82050"/>
    <w:rsid w:val="00D835AD"/>
    <w:rsid w:val="00D838FD"/>
    <w:rsid w:val="00D83927"/>
    <w:rsid w:val="00D83EFF"/>
    <w:rsid w:val="00D84559"/>
    <w:rsid w:val="00D84A12"/>
    <w:rsid w:val="00D84D1F"/>
    <w:rsid w:val="00D84E23"/>
    <w:rsid w:val="00D8588C"/>
    <w:rsid w:val="00D85F51"/>
    <w:rsid w:val="00D85F55"/>
    <w:rsid w:val="00D86245"/>
    <w:rsid w:val="00D86A9B"/>
    <w:rsid w:val="00D87119"/>
    <w:rsid w:val="00D87300"/>
    <w:rsid w:val="00D87378"/>
    <w:rsid w:val="00D873E1"/>
    <w:rsid w:val="00D87BDA"/>
    <w:rsid w:val="00D87CCB"/>
    <w:rsid w:val="00D9043F"/>
    <w:rsid w:val="00D90B8E"/>
    <w:rsid w:val="00D91604"/>
    <w:rsid w:val="00D91C87"/>
    <w:rsid w:val="00D92E74"/>
    <w:rsid w:val="00D93245"/>
    <w:rsid w:val="00D94199"/>
    <w:rsid w:val="00D946D1"/>
    <w:rsid w:val="00D94A94"/>
    <w:rsid w:val="00D94CBE"/>
    <w:rsid w:val="00D9594F"/>
    <w:rsid w:val="00D95B06"/>
    <w:rsid w:val="00D965E6"/>
    <w:rsid w:val="00D96898"/>
    <w:rsid w:val="00D96A14"/>
    <w:rsid w:val="00D97AB4"/>
    <w:rsid w:val="00D97E07"/>
    <w:rsid w:val="00DA0043"/>
    <w:rsid w:val="00DA051E"/>
    <w:rsid w:val="00DA2034"/>
    <w:rsid w:val="00DA2B75"/>
    <w:rsid w:val="00DA347E"/>
    <w:rsid w:val="00DA3AEE"/>
    <w:rsid w:val="00DA3E5A"/>
    <w:rsid w:val="00DA3FEA"/>
    <w:rsid w:val="00DA5978"/>
    <w:rsid w:val="00DA5B39"/>
    <w:rsid w:val="00DA685C"/>
    <w:rsid w:val="00DA7199"/>
    <w:rsid w:val="00DA794D"/>
    <w:rsid w:val="00DB07BF"/>
    <w:rsid w:val="00DB17F1"/>
    <w:rsid w:val="00DB18F9"/>
    <w:rsid w:val="00DB1EE8"/>
    <w:rsid w:val="00DB1FCD"/>
    <w:rsid w:val="00DB201B"/>
    <w:rsid w:val="00DB26BF"/>
    <w:rsid w:val="00DB2915"/>
    <w:rsid w:val="00DB2EF5"/>
    <w:rsid w:val="00DB6169"/>
    <w:rsid w:val="00DB62B7"/>
    <w:rsid w:val="00DB64D0"/>
    <w:rsid w:val="00DB6C7E"/>
    <w:rsid w:val="00DC0453"/>
    <w:rsid w:val="00DC07B0"/>
    <w:rsid w:val="00DC0B04"/>
    <w:rsid w:val="00DC1005"/>
    <w:rsid w:val="00DC1F39"/>
    <w:rsid w:val="00DC262C"/>
    <w:rsid w:val="00DC2DC4"/>
    <w:rsid w:val="00DC3C4E"/>
    <w:rsid w:val="00DC3D25"/>
    <w:rsid w:val="00DC4B4D"/>
    <w:rsid w:val="00DC4FD4"/>
    <w:rsid w:val="00DC5D7A"/>
    <w:rsid w:val="00DC5F21"/>
    <w:rsid w:val="00DC6174"/>
    <w:rsid w:val="00DC6954"/>
    <w:rsid w:val="00DC6BBF"/>
    <w:rsid w:val="00DC6E87"/>
    <w:rsid w:val="00DC72ED"/>
    <w:rsid w:val="00DC7506"/>
    <w:rsid w:val="00DC78FE"/>
    <w:rsid w:val="00DC7B98"/>
    <w:rsid w:val="00DD035E"/>
    <w:rsid w:val="00DD1C3B"/>
    <w:rsid w:val="00DD1C92"/>
    <w:rsid w:val="00DD2299"/>
    <w:rsid w:val="00DD2879"/>
    <w:rsid w:val="00DD461A"/>
    <w:rsid w:val="00DD4D1F"/>
    <w:rsid w:val="00DD50D7"/>
    <w:rsid w:val="00DD5409"/>
    <w:rsid w:val="00DD5541"/>
    <w:rsid w:val="00DD5802"/>
    <w:rsid w:val="00DD58FD"/>
    <w:rsid w:val="00DD6224"/>
    <w:rsid w:val="00DD6697"/>
    <w:rsid w:val="00DD6A61"/>
    <w:rsid w:val="00DD75E5"/>
    <w:rsid w:val="00DD7777"/>
    <w:rsid w:val="00DD7963"/>
    <w:rsid w:val="00DD79F2"/>
    <w:rsid w:val="00DE04DD"/>
    <w:rsid w:val="00DE0737"/>
    <w:rsid w:val="00DE1D03"/>
    <w:rsid w:val="00DE1E03"/>
    <w:rsid w:val="00DE252A"/>
    <w:rsid w:val="00DE2B31"/>
    <w:rsid w:val="00DE2E32"/>
    <w:rsid w:val="00DE3BD7"/>
    <w:rsid w:val="00DE46D6"/>
    <w:rsid w:val="00DE471A"/>
    <w:rsid w:val="00DE49C0"/>
    <w:rsid w:val="00DE5402"/>
    <w:rsid w:val="00DE6008"/>
    <w:rsid w:val="00DE7564"/>
    <w:rsid w:val="00DE7AB3"/>
    <w:rsid w:val="00DE7C76"/>
    <w:rsid w:val="00DE7F24"/>
    <w:rsid w:val="00DF0036"/>
    <w:rsid w:val="00DF0092"/>
    <w:rsid w:val="00DF013F"/>
    <w:rsid w:val="00DF0724"/>
    <w:rsid w:val="00DF0A5C"/>
    <w:rsid w:val="00DF1C9D"/>
    <w:rsid w:val="00DF27B8"/>
    <w:rsid w:val="00DF3367"/>
    <w:rsid w:val="00DF37DB"/>
    <w:rsid w:val="00DF4709"/>
    <w:rsid w:val="00DF496D"/>
    <w:rsid w:val="00DF5A7D"/>
    <w:rsid w:val="00DF5DEB"/>
    <w:rsid w:val="00DF629C"/>
    <w:rsid w:val="00DF6954"/>
    <w:rsid w:val="00DF7501"/>
    <w:rsid w:val="00DF788A"/>
    <w:rsid w:val="00DF7F9E"/>
    <w:rsid w:val="00E007D4"/>
    <w:rsid w:val="00E0081B"/>
    <w:rsid w:val="00E00C62"/>
    <w:rsid w:val="00E00EAD"/>
    <w:rsid w:val="00E019EE"/>
    <w:rsid w:val="00E01BE5"/>
    <w:rsid w:val="00E01FDB"/>
    <w:rsid w:val="00E021DF"/>
    <w:rsid w:val="00E0271D"/>
    <w:rsid w:val="00E03334"/>
    <w:rsid w:val="00E03674"/>
    <w:rsid w:val="00E03987"/>
    <w:rsid w:val="00E04231"/>
    <w:rsid w:val="00E0486D"/>
    <w:rsid w:val="00E04B15"/>
    <w:rsid w:val="00E04E89"/>
    <w:rsid w:val="00E05419"/>
    <w:rsid w:val="00E05C7D"/>
    <w:rsid w:val="00E05EB1"/>
    <w:rsid w:val="00E064FC"/>
    <w:rsid w:val="00E06554"/>
    <w:rsid w:val="00E10031"/>
    <w:rsid w:val="00E10CDB"/>
    <w:rsid w:val="00E10E20"/>
    <w:rsid w:val="00E11794"/>
    <w:rsid w:val="00E12301"/>
    <w:rsid w:val="00E12B86"/>
    <w:rsid w:val="00E13CEA"/>
    <w:rsid w:val="00E141DC"/>
    <w:rsid w:val="00E14272"/>
    <w:rsid w:val="00E145D0"/>
    <w:rsid w:val="00E167C4"/>
    <w:rsid w:val="00E16CC8"/>
    <w:rsid w:val="00E16FE8"/>
    <w:rsid w:val="00E17243"/>
    <w:rsid w:val="00E20E9B"/>
    <w:rsid w:val="00E2176B"/>
    <w:rsid w:val="00E21838"/>
    <w:rsid w:val="00E21C8C"/>
    <w:rsid w:val="00E22033"/>
    <w:rsid w:val="00E22360"/>
    <w:rsid w:val="00E22707"/>
    <w:rsid w:val="00E22FF7"/>
    <w:rsid w:val="00E23BB7"/>
    <w:rsid w:val="00E25274"/>
    <w:rsid w:val="00E2573D"/>
    <w:rsid w:val="00E2585D"/>
    <w:rsid w:val="00E260DF"/>
    <w:rsid w:val="00E266C1"/>
    <w:rsid w:val="00E26E0C"/>
    <w:rsid w:val="00E273E5"/>
    <w:rsid w:val="00E27BCA"/>
    <w:rsid w:val="00E3023A"/>
    <w:rsid w:val="00E302B8"/>
    <w:rsid w:val="00E30C9F"/>
    <w:rsid w:val="00E31AD5"/>
    <w:rsid w:val="00E32C01"/>
    <w:rsid w:val="00E338C6"/>
    <w:rsid w:val="00E33FA7"/>
    <w:rsid w:val="00E34E03"/>
    <w:rsid w:val="00E35DD5"/>
    <w:rsid w:val="00E36AE9"/>
    <w:rsid w:val="00E375EE"/>
    <w:rsid w:val="00E40018"/>
    <w:rsid w:val="00E40854"/>
    <w:rsid w:val="00E40F9B"/>
    <w:rsid w:val="00E412C8"/>
    <w:rsid w:val="00E41345"/>
    <w:rsid w:val="00E415C5"/>
    <w:rsid w:val="00E41DAE"/>
    <w:rsid w:val="00E41F14"/>
    <w:rsid w:val="00E422CA"/>
    <w:rsid w:val="00E42464"/>
    <w:rsid w:val="00E42CB1"/>
    <w:rsid w:val="00E4335C"/>
    <w:rsid w:val="00E4378A"/>
    <w:rsid w:val="00E4428D"/>
    <w:rsid w:val="00E45397"/>
    <w:rsid w:val="00E45B2E"/>
    <w:rsid w:val="00E4659A"/>
    <w:rsid w:val="00E46A40"/>
    <w:rsid w:val="00E46C3A"/>
    <w:rsid w:val="00E473BE"/>
    <w:rsid w:val="00E47ACF"/>
    <w:rsid w:val="00E47FDD"/>
    <w:rsid w:val="00E5134F"/>
    <w:rsid w:val="00E522D2"/>
    <w:rsid w:val="00E5232D"/>
    <w:rsid w:val="00E52F35"/>
    <w:rsid w:val="00E538F0"/>
    <w:rsid w:val="00E53905"/>
    <w:rsid w:val="00E53921"/>
    <w:rsid w:val="00E53E02"/>
    <w:rsid w:val="00E5492C"/>
    <w:rsid w:val="00E549E2"/>
    <w:rsid w:val="00E54B68"/>
    <w:rsid w:val="00E54E9F"/>
    <w:rsid w:val="00E55021"/>
    <w:rsid w:val="00E5535D"/>
    <w:rsid w:val="00E55595"/>
    <w:rsid w:val="00E560BB"/>
    <w:rsid w:val="00E57269"/>
    <w:rsid w:val="00E5737B"/>
    <w:rsid w:val="00E57895"/>
    <w:rsid w:val="00E57D4C"/>
    <w:rsid w:val="00E57E8B"/>
    <w:rsid w:val="00E57F13"/>
    <w:rsid w:val="00E60082"/>
    <w:rsid w:val="00E6065B"/>
    <w:rsid w:val="00E606C0"/>
    <w:rsid w:val="00E615EB"/>
    <w:rsid w:val="00E62599"/>
    <w:rsid w:val="00E626BD"/>
    <w:rsid w:val="00E627A0"/>
    <w:rsid w:val="00E62C4D"/>
    <w:rsid w:val="00E62E3C"/>
    <w:rsid w:val="00E63494"/>
    <w:rsid w:val="00E63ABF"/>
    <w:rsid w:val="00E63CAE"/>
    <w:rsid w:val="00E64B69"/>
    <w:rsid w:val="00E64CDF"/>
    <w:rsid w:val="00E64D77"/>
    <w:rsid w:val="00E65092"/>
    <w:rsid w:val="00E66A5E"/>
    <w:rsid w:val="00E702B9"/>
    <w:rsid w:val="00E7048B"/>
    <w:rsid w:val="00E7160C"/>
    <w:rsid w:val="00E717EC"/>
    <w:rsid w:val="00E743CA"/>
    <w:rsid w:val="00E7534B"/>
    <w:rsid w:val="00E7587D"/>
    <w:rsid w:val="00E75984"/>
    <w:rsid w:val="00E766EF"/>
    <w:rsid w:val="00E7696D"/>
    <w:rsid w:val="00E77401"/>
    <w:rsid w:val="00E8023B"/>
    <w:rsid w:val="00E804EF"/>
    <w:rsid w:val="00E8072C"/>
    <w:rsid w:val="00E80FAC"/>
    <w:rsid w:val="00E8115E"/>
    <w:rsid w:val="00E822BA"/>
    <w:rsid w:val="00E83822"/>
    <w:rsid w:val="00E8400B"/>
    <w:rsid w:val="00E84422"/>
    <w:rsid w:val="00E8461C"/>
    <w:rsid w:val="00E84665"/>
    <w:rsid w:val="00E84BD1"/>
    <w:rsid w:val="00E84C47"/>
    <w:rsid w:val="00E84CC7"/>
    <w:rsid w:val="00E8515A"/>
    <w:rsid w:val="00E8564D"/>
    <w:rsid w:val="00E85DC4"/>
    <w:rsid w:val="00E86265"/>
    <w:rsid w:val="00E86E77"/>
    <w:rsid w:val="00E877F6"/>
    <w:rsid w:val="00E87AD5"/>
    <w:rsid w:val="00E87B08"/>
    <w:rsid w:val="00E87DA7"/>
    <w:rsid w:val="00E87F02"/>
    <w:rsid w:val="00E907C3"/>
    <w:rsid w:val="00E90BBF"/>
    <w:rsid w:val="00E91F70"/>
    <w:rsid w:val="00E9272A"/>
    <w:rsid w:val="00E92A88"/>
    <w:rsid w:val="00E92DF2"/>
    <w:rsid w:val="00E940E1"/>
    <w:rsid w:val="00E94FED"/>
    <w:rsid w:val="00E9524B"/>
    <w:rsid w:val="00E952A1"/>
    <w:rsid w:val="00E95940"/>
    <w:rsid w:val="00E95F0D"/>
    <w:rsid w:val="00E963B3"/>
    <w:rsid w:val="00E966E3"/>
    <w:rsid w:val="00E967EF"/>
    <w:rsid w:val="00E968B2"/>
    <w:rsid w:val="00E968D7"/>
    <w:rsid w:val="00E96FC9"/>
    <w:rsid w:val="00E96FCC"/>
    <w:rsid w:val="00E97D15"/>
    <w:rsid w:val="00EA0062"/>
    <w:rsid w:val="00EA1084"/>
    <w:rsid w:val="00EA10B5"/>
    <w:rsid w:val="00EA12AE"/>
    <w:rsid w:val="00EA18CF"/>
    <w:rsid w:val="00EA1B47"/>
    <w:rsid w:val="00EA1C91"/>
    <w:rsid w:val="00EA2836"/>
    <w:rsid w:val="00EA3580"/>
    <w:rsid w:val="00EA48C0"/>
    <w:rsid w:val="00EA4B71"/>
    <w:rsid w:val="00EA4EBA"/>
    <w:rsid w:val="00EA6567"/>
    <w:rsid w:val="00EA6688"/>
    <w:rsid w:val="00EA6FA7"/>
    <w:rsid w:val="00EA7548"/>
    <w:rsid w:val="00EA79E3"/>
    <w:rsid w:val="00EB1469"/>
    <w:rsid w:val="00EB24BD"/>
    <w:rsid w:val="00EB25CC"/>
    <w:rsid w:val="00EB26B8"/>
    <w:rsid w:val="00EB26B9"/>
    <w:rsid w:val="00EB3BF0"/>
    <w:rsid w:val="00EB40AE"/>
    <w:rsid w:val="00EB4722"/>
    <w:rsid w:val="00EB4745"/>
    <w:rsid w:val="00EB51CF"/>
    <w:rsid w:val="00EB5D51"/>
    <w:rsid w:val="00EB640B"/>
    <w:rsid w:val="00EB69E0"/>
    <w:rsid w:val="00EB6AA7"/>
    <w:rsid w:val="00EB6AA8"/>
    <w:rsid w:val="00EB7280"/>
    <w:rsid w:val="00EC0156"/>
    <w:rsid w:val="00EC062A"/>
    <w:rsid w:val="00EC0C56"/>
    <w:rsid w:val="00EC0F06"/>
    <w:rsid w:val="00EC1729"/>
    <w:rsid w:val="00EC18D0"/>
    <w:rsid w:val="00EC2129"/>
    <w:rsid w:val="00EC2359"/>
    <w:rsid w:val="00EC29B2"/>
    <w:rsid w:val="00EC41C4"/>
    <w:rsid w:val="00EC4367"/>
    <w:rsid w:val="00EC4AB0"/>
    <w:rsid w:val="00EC5465"/>
    <w:rsid w:val="00EC56D6"/>
    <w:rsid w:val="00EC5EF0"/>
    <w:rsid w:val="00EC61B4"/>
    <w:rsid w:val="00EC7841"/>
    <w:rsid w:val="00ED0142"/>
    <w:rsid w:val="00ED06F8"/>
    <w:rsid w:val="00ED1ED0"/>
    <w:rsid w:val="00ED2419"/>
    <w:rsid w:val="00ED250C"/>
    <w:rsid w:val="00ED3C7F"/>
    <w:rsid w:val="00ED46F3"/>
    <w:rsid w:val="00ED4BC5"/>
    <w:rsid w:val="00ED55B9"/>
    <w:rsid w:val="00ED6549"/>
    <w:rsid w:val="00ED76C6"/>
    <w:rsid w:val="00ED785A"/>
    <w:rsid w:val="00ED7D8E"/>
    <w:rsid w:val="00ED7F27"/>
    <w:rsid w:val="00EE1811"/>
    <w:rsid w:val="00EE1B5D"/>
    <w:rsid w:val="00EE1F45"/>
    <w:rsid w:val="00EE2B9D"/>
    <w:rsid w:val="00EE30BA"/>
    <w:rsid w:val="00EE4C10"/>
    <w:rsid w:val="00EE5576"/>
    <w:rsid w:val="00EE6893"/>
    <w:rsid w:val="00EE6F11"/>
    <w:rsid w:val="00EE7916"/>
    <w:rsid w:val="00EE7A1F"/>
    <w:rsid w:val="00EE7F74"/>
    <w:rsid w:val="00EF1579"/>
    <w:rsid w:val="00EF1B25"/>
    <w:rsid w:val="00EF25C0"/>
    <w:rsid w:val="00EF311A"/>
    <w:rsid w:val="00EF3D6E"/>
    <w:rsid w:val="00EF41B6"/>
    <w:rsid w:val="00EF4804"/>
    <w:rsid w:val="00EF56AC"/>
    <w:rsid w:val="00EF5EF6"/>
    <w:rsid w:val="00EF654F"/>
    <w:rsid w:val="00EF67D7"/>
    <w:rsid w:val="00EF70EB"/>
    <w:rsid w:val="00EF77F3"/>
    <w:rsid w:val="00F0024E"/>
    <w:rsid w:val="00F010DC"/>
    <w:rsid w:val="00F014A8"/>
    <w:rsid w:val="00F014D9"/>
    <w:rsid w:val="00F0229C"/>
    <w:rsid w:val="00F022CF"/>
    <w:rsid w:val="00F02B83"/>
    <w:rsid w:val="00F02BCC"/>
    <w:rsid w:val="00F0305C"/>
    <w:rsid w:val="00F036EF"/>
    <w:rsid w:val="00F04192"/>
    <w:rsid w:val="00F0419F"/>
    <w:rsid w:val="00F041B3"/>
    <w:rsid w:val="00F0425C"/>
    <w:rsid w:val="00F04BBF"/>
    <w:rsid w:val="00F05A99"/>
    <w:rsid w:val="00F05B65"/>
    <w:rsid w:val="00F060D8"/>
    <w:rsid w:val="00F062CB"/>
    <w:rsid w:val="00F066DA"/>
    <w:rsid w:val="00F06E61"/>
    <w:rsid w:val="00F07004"/>
    <w:rsid w:val="00F07413"/>
    <w:rsid w:val="00F07424"/>
    <w:rsid w:val="00F079B7"/>
    <w:rsid w:val="00F1007B"/>
    <w:rsid w:val="00F10C02"/>
    <w:rsid w:val="00F10EEE"/>
    <w:rsid w:val="00F11061"/>
    <w:rsid w:val="00F12774"/>
    <w:rsid w:val="00F12A1E"/>
    <w:rsid w:val="00F12BDF"/>
    <w:rsid w:val="00F12F51"/>
    <w:rsid w:val="00F12F85"/>
    <w:rsid w:val="00F131F4"/>
    <w:rsid w:val="00F142D8"/>
    <w:rsid w:val="00F147F9"/>
    <w:rsid w:val="00F148E4"/>
    <w:rsid w:val="00F15286"/>
    <w:rsid w:val="00F15547"/>
    <w:rsid w:val="00F15724"/>
    <w:rsid w:val="00F15736"/>
    <w:rsid w:val="00F15A5B"/>
    <w:rsid w:val="00F161B4"/>
    <w:rsid w:val="00F167D4"/>
    <w:rsid w:val="00F167EB"/>
    <w:rsid w:val="00F16A42"/>
    <w:rsid w:val="00F16CE9"/>
    <w:rsid w:val="00F16E62"/>
    <w:rsid w:val="00F175F4"/>
    <w:rsid w:val="00F177E3"/>
    <w:rsid w:val="00F202E5"/>
    <w:rsid w:val="00F209C4"/>
    <w:rsid w:val="00F20C67"/>
    <w:rsid w:val="00F20CC9"/>
    <w:rsid w:val="00F21E7E"/>
    <w:rsid w:val="00F222D0"/>
    <w:rsid w:val="00F2234E"/>
    <w:rsid w:val="00F22901"/>
    <w:rsid w:val="00F23034"/>
    <w:rsid w:val="00F24356"/>
    <w:rsid w:val="00F248A4"/>
    <w:rsid w:val="00F24C8A"/>
    <w:rsid w:val="00F25509"/>
    <w:rsid w:val="00F25E7F"/>
    <w:rsid w:val="00F25EDD"/>
    <w:rsid w:val="00F26218"/>
    <w:rsid w:val="00F2675C"/>
    <w:rsid w:val="00F2680A"/>
    <w:rsid w:val="00F26C86"/>
    <w:rsid w:val="00F272E7"/>
    <w:rsid w:val="00F27BAE"/>
    <w:rsid w:val="00F27FEA"/>
    <w:rsid w:val="00F30CD6"/>
    <w:rsid w:val="00F30D81"/>
    <w:rsid w:val="00F312BE"/>
    <w:rsid w:val="00F313CD"/>
    <w:rsid w:val="00F32049"/>
    <w:rsid w:val="00F3241F"/>
    <w:rsid w:val="00F32598"/>
    <w:rsid w:val="00F32B4B"/>
    <w:rsid w:val="00F332CF"/>
    <w:rsid w:val="00F34AF1"/>
    <w:rsid w:val="00F36606"/>
    <w:rsid w:val="00F3666C"/>
    <w:rsid w:val="00F3684A"/>
    <w:rsid w:val="00F36ED1"/>
    <w:rsid w:val="00F371E1"/>
    <w:rsid w:val="00F37525"/>
    <w:rsid w:val="00F377D2"/>
    <w:rsid w:val="00F378C1"/>
    <w:rsid w:val="00F4066C"/>
    <w:rsid w:val="00F408A7"/>
    <w:rsid w:val="00F409F0"/>
    <w:rsid w:val="00F4109F"/>
    <w:rsid w:val="00F41BBE"/>
    <w:rsid w:val="00F41D92"/>
    <w:rsid w:val="00F41F29"/>
    <w:rsid w:val="00F43367"/>
    <w:rsid w:val="00F43B25"/>
    <w:rsid w:val="00F43DB2"/>
    <w:rsid w:val="00F43E08"/>
    <w:rsid w:val="00F4477B"/>
    <w:rsid w:val="00F44796"/>
    <w:rsid w:val="00F4523D"/>
    <w:rsid w:val="00F50C10"/>
    <w:rsid w:val="00F50E85"/>
    <w:rsid w:val="00F511F0"/>
    <w:rsid w:val="00F51280"/>
    <w:rsid w:val="00F52540"/>
    <w:rsid w:val="00F52A43"/>
    <w:rsid w:val="00F52C7E"/>
    <w:rsid w:val="00F53844"/>
    <w:rsid w:val="00F550BF"/>
    <w:rsid w:val="00F5537D"/>
    <w:rsid w:val="00F55602"/>
    <w:rsid w:val="00F55841"/>
    <w:rsid w:val="00F55C05"/>
    <w:rsid w:val="00F55CA9"/>
    <w:rsid w:val="00F5729E"/>
    <w:rsid w:val="00F622E2"/>
    <w:rsid w:val="00F623DF"/>
    <w:rsid w:val="00F62D19"/>
    <w:rsid w:val="00F6311D"/>
    <w:rsid w:val="00F63B9D"/>
    <w:rsid w:val="00F64418"/>
    <w:rsid w:val="00F64FAE"/>
    <w:rsid w:val="00F65630"/>
    <w:rsid w:val="00F65F60"/>
    <w:rsid w:val="00F67F35"/>
    <w:rsid w:val="00F7068C"/>
    <w:rsid w:val="00F7077A"/>
    <w:rsid w:val="00F72200"/>
    <w:rsid w:val="00F726F8"/>
    <w:rsid w:val="00F73313"/>
    <w:rsid w:val="00F737BF"/>
    <w:rsid w:val="00F73E55"/>
    <w:rsid w:val="00F74FFB"/>
    <w:rsid w:val="00F755DA"/>
    <w:rsid w:val="00F75651"/>
    <w:rsid w:val="00F7601A"/>
    <w:rsid w:val="00F7694D"/>
    <w:rsid w:val="00F76C31"/>
    <w:rsid w:val="00F80010"/>
    <w:rsid w:val="00F805B1"/>
    <w:rsid w:val="00F805EB"/>
    <w:rsid w:val="00F80706"/>
    <w:rsid w:val="00F80A25"/>
    <w:rsid w:val="00F81121"/>
    <w:rsid w:val="00F814EE"/>
    <w:rsid w:val="00F8156C"/>
    <w:rsid w:val="00F82C2E"/>
    <w:rsid w:val="00F82F95"/>
    <w:rsid w:val="00F834F2"/>
    <w:rsid w:val="00F8459D"/>
    <w:rsid w:val="00F8487F"/>
    <w:rsid w:val="00F84B60"/>
    <w:rsid w:val="00F850B2"/>
    <w:rsid w:val="00F8647D"/>
    <w:rsid w:val="00F86AFF"/>
    <w:rsid w:val="00F90103"/>
    <w:rsid w:val="00F9096D"/>
    <w:rsid w:val="00F9099C"/>
    <w:rsid w:val="00F91647"/>
    <w:rsid w:val="00F917C5"/>
    <w:rsid w:val="00F919B8"/>
    <w:rsid w:val="00F91C7B"/>
    <w:rsid w:val="00F9223A"/>
    <w:rsid w:val="00F92D4F"/>
    <w:rsid w:val="00F93027"/>
    <w:rsid w:val="00F930B0"/>
    <w:rsid w:val="00F94294"/>
    <w:rsid w:val="00F9451F"/>
    <w:rsid w:val="00F94761"/>
    <w:rsid w:val="00F95722"/>
    <w:rsid w:val="00F95A92"/>
    <w:rsid w:val="00F96208"/>
    <w:rsid w:val="00F9654A"/>
    <w:rsid w:val="00F97813"/>
    <w:rsid w:val="00F979DB"/>
    <w:rsid w:val="00F979F9"/>
    <w:rsid w:val="00FA0BD6"/>
    <w:rsid w:val="00FA1E4A"/>
    <w:rsid w:val="00FA2193"/>
    <w:rsid w:val="00FA24F7"/>
    <w:rsid w:val="00FA26DE"/>
    <w:rsid w:val="00FA2770"/>
    <w:rsid w:val="00FA2993"/>
    <w:rsid w:val="00FA310C"/>
    <w:rsid w:val="00FA3DA8"/>
    <w:rsid w:val="00FA4180"/>
    <w:rsid w:val="00FA4CE4"/>
    <w:rsid w:val="00FA4F12"/>
    <w:rsid w:val="00FA5D6D"/>
    <w:rsid w:val="00FA644F"/>
    <w:rsid w:val="00FA6C37"/>
    <w:rsid w:val="00FA73BC"/>
    <w:rsid w:val="00FA76A9"/>
    <w:rsid w:val="00FA7718"/>
    <w:rsid w:val="00FA7A9E"/>
    <w:rsid w:val="00FB0722"/>
    <w:rsid w:val="00FB07FA"/>
    <w:rsid w:val="00FB0849"/>
    <w:rsid w:val="00FB15E4"/>
    <w:rsid w:val="00FB4102"/>
    <w:rsid w:val="00FB434F"/>
    <w:rsid w:val="00FB4C38"/>
    <w:rsid w:val="00FB5A2F"/>
    <w:rsid w:val="00FB5BAE"/>
    <w:rsid w:val="00FB5F96"/>
    <w:rsid w:val="00FB65AC"/>
    <w:rsid w:val="00FB6D6F"/>
    <w:rsid w:val="00FB7AD3"/>
    <w:rsid w:val="00FB7B78"/>
    <w:rsid w:val="00FC0025"/>
    <w:rsid w:val="00FC04DD"/>
    <w:rsid w:val="00FC0F44"/>
    <w:rsid w:val="00FC1306"/>
    <w:rsid w:val="00FC14C8"/>
    <w:rsid w:val="00FC196D"/>
    <w:rsid w:val="00FC3DEB"/>
    <w:rsid w:val="00FC45C9"/>
    <w:rsid w:val="00FC4BD9"/>
    <w:rsid w:val="00FC4D9A"/>
    <w:rsid w:val="00FC50D2"/>
    <w:rsid w:val="00FC51E6"/>
    <w:rsid w:val="00FC5243"/>
    <w:rsid w:val="00FC620D"/>
    <w:rsid w:val="00FC695B"/>
    <w:rsid w:val="00FC71E8"/>
    <w:rsid w:val="00FC7785"/>
    <w:rsid w:val="00FC7A0F"/>
    <w:rsid w:val="00FC7C68"/>
    <w:rsid w:val="00FD0540"/>
    <w:rsid w:val="00FD1A0E"/>
    <w:rsid w:val="00FD1C3A"/>
    <w:rsid w:val="00FD2521"/>
    <w:rsid w:val="00FD2638"/>
    <w:rsid w:val="00FD2A9D"/>
    <w:rsid w:val="00FD2B91"/>
    <w:rsid w:val="00FD31EC"/>
    <w:rsid w:val="00FD3884"/>
    <w:rsid w:val="00FD4641"/>
    <w:rsid w:val="00FD4FB3"/>
    <w:rsid w:val="00FD5776"/>
    <w:rsid w:val="00FD5BAE"/>
    <w:rsid w:val="00FD5BB3"/>
    <w:rsid w:val="00FD62B1"/>
    <w:rsid w:val="00FD78FA"/>
    <w:rsid w:val="00FD799E"/>
    <w:rsid w:val="00FE0554"/>
    <w:rsid w:val="00FE088A"/>
    <w:rsid w:val="00FE0C89"/>
    <w:rsid w:val="00FE0CD8"/>
    <w:rsid w:val="00FE2807"/>
    <w:rsid w:val="00FE299E"/>
    <w:rsid w:val="00FE300E"/>
    <w:rsid w:val="00FE3446"/>
    <w:rsid w:val="00FE361E"/>
    <w:rsid w:val="00FE4072"/>
    <w:rsid w:val="00FE4AD9"/>
    <w:rsid w:val="00FE4DEE"/>
    <w:rsid w:val="00FE6196"/>
    <w:rsid w:val="00FE7413"/>
    <w:rsid w:val="00FF04CF"/>
    <w:rsid w:val="00FF0555"/>
    <w:rsid w:val="00FF0EB4"/>
    <w:rsid w:val="00FF1289"/>
    <w:rsid w:val="00FF15CA"/>
    <w:rsid w:val="00FF1EFE"/>
    <w:rsid w:val="00FF25BB"/>
    <w:rsid w:val="00FF2F80"/>
    <w:rsid w:val="00FF3422"/>
    <w:rsid w:val="00FF3E78"/>
    <w:rsid w:val="00FF4CF7"/>
    <w:rsid w:val="00FF4F7F"/>
    <w:rsid w:val="00FF5387"/>
    <w:rsid w:val="00FF5785"/>
    <w:rsid w:val="00FF66C1"/>
    <w:rsid w:val="00FF6750"/>
    <w:rsid w:val="00FF69FA"/>
    <w:rsid w:val="00FF6B2C"/>
    <w:rsid w:val="00FF6B76"/>
    <w:rsid w:val="00FF6F40"/>
    <w:rsid w:val="00FF7674"/>
    <w:rsid w:val="00FF78EF"/>
    <w:rsid w:val="00FF7C36"/>
    <w:rsid w:val="00FF7DB4"/>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9B13970"/>
  <w15:docId w15:val="{5EC23938-937C-4696-B7C4-115644BA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81D"/>
    <w:pPr>
      <w:widowControl w:val="0"/>
    </w:pPr>
  </w:style>
  <w:style w:type="paragraph" w:styleId="Heading1">
    <w:name w:val="heading 1"/>
    <w:basedOn w:val="Normal"/>
    <w:next w:val="Normal"/>
    <w:link w:val="Heading1Char"/>
    <w:qFormat/>
    <w:rsid w:val="0066549D"/>
    <w:pPr>
      <w:widowControl/>
      <w:numPr>
        <w:numId w:val="1"/>
      </w:numPr>
      <w:spacing w:line="360" w:lineRule="auto"/>
      <w:ind w:left="720"/>
      <w:jc w:val="center"/>
      <w:outlineLvl w:val="0"/>
    </w:pPr>
    <w:rPr>
      <w:b/>
      <w:sz w:val="26"/>
    </w:rPr>
  </w:style>
  <w:style w:type="paragraph" w:styleId="Heading2">
    <w:name w:val="heading 2"/>
    <w:basedOn w:val="Normal"/>
    <w:next w:val="Normal"/>
    <w:link w:val="Heading2Char"/>
    <w:unhideWhenUsed/>
    <w:qFormat/>
    <w:rsid w:val="00D323D0"/>
    <w:pPr>
      <w:keepNext/>
      <w:keepLines/>
      <w:numPr>
        <w:numId w:val="5"/>
      </w:numPr>
      <w:spacing w:line="360" w:lineRule="auto"/>
      <w:ind w:hanging="720"/>
      <w:outlineLvl w:val="1"/>
    </w:pPr>
    <w:rPr>
      <w:rFonts w:eastAsiaTheme="majorEastAsia"/>
      <w:b/>
      <w:bCs/>
      <w:sz w:val="26"/>
      <w:szCs w:val="26"/>
    </w:rPr>
  </w:style>
  <w:style w:type="paragraph" w:styleId="Heading3">
    <w:name w:val="heading 3"/>
    <w:basedOn w:val="ListParagraph"/>
    <w:next w:val="Normal"/>
    <w:link w:val="Heading3Char"/>
    <w:unhideWhenUsed/>
    <w:qFormat/>
    <w:rsid w:val="00387154"/>
    <w:pPr>
      <w:widowControl/>
      <w:numPr>
        <w:numId w:val="18"/>
      </w:numPr>
      <w:spacing w:line="360" w:lineRule="auto"/>
      <w:outlineLvl w:val="2"/>
    </w:pPr>
    <w:rPr>
      <w:b/>
      <w:bCs/>
      <w:sz w:val="26"/>
      <w:szCs w:val="26"/>
    </w:rPr>
  </w:style>
  <w:style w:type="paragraph" w:styleId="Heading4">
    <w:name w:val="heading 4"/>
    <w:basedOn w:val="Normal"/>
    <w:next w:val="Normal"/>
    <w:link w:val="Heading4Char"/>
    <w:unhideWhenUsed/>
    <w:qFormat/>
    <w:rsid w:val="00A673B4"/>
    <w:pPr>
      <w:keepNext/>
      <w:keepLines/>
      <w:numPr>
        <w:numId w:val="4"/>
      </w:numPr>
      <w:spacing w:line="360" w:lineRule="auto"/>
      <w:ind w:left="2160" w:hanging="720"/>
      <w:outlineLvl w:val="3"/>
    </w:pPr>
    <w:rPr>
      <w:rFonts w:eastAsiaTheme="majorEastAsia"/>
      <w:b/>
      <w:bCs/>
      <w:color w:val="000000" w:themeColor="text1"/>
      <w:sz w:val="26"/>
      <w:szCs w:val="26"/>
    </w:rPr>
  </w:style>
  <w:style w:type="paragraph" w:styleId="Heading5">
    <w:name w:val="heading 5"/>
    <w:basedOn w:val="Heading4"/>
    <w:next w:val="Normal"/>
    <w:qFormat/>
    <w:rsid w:val="00F2680A"/>
    <w:pPr>
      <w:numPr>
        <w:numId w:val="0"/>
      </w:numPr>
      <w:ind w:left="2880" w:hanging="720"/>
      <w:outlineLvl w:val="4"/>
    </w:p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link w:val="FooterChar"/>
    <w:uiPriority w:val="99"/>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Footnote Text Char2,Footnote Text Char Char,Footnote Text Char1 Char Char,Footnote Text Char Char Char Char,Footnote Text Char1 Char1,Footnote Text Char Char1 Char,Car,fn,ALTS FOOTNOTE,Footnote Text 2,Footnote text,FOOTNOTE,fn Char Char"/>
    <w:basedOn w:val="Normal"/>
    <w:link w:val="FootnoteTextChar"/>
    <w:uiPriority w:val="99"/>
    <w:qFormat/>
    <w:rsid w:val="00022D45"/>
    <w:pPr>
      <w:widowControl/>
    </w:pPr>
  </w:style>
  <w:style w:type="character" w:styleId="FootnoteReference">
    <w:name w:val="footnote reference"/>
    <w:aliases w:val="o,fr,Style 42,(NECG) Footnote Reference,Footnote Reference (EIS),Styl,Style 11,Style 13,Style 15,Style 17,Style 18,Style 19,Style 20,Style 21,Style 24,Style 28,Style 4,Style 5,Style 7,Style 8,fr1,fr2,fr3,o1,o2,o3"/>
    <w:uiPriority w:val="99"/>
    <w:qFormat/>
    <w:rsid w:val="00022D45"/>
    <w:rPr>
      <w:vertAlign w:val="superscript"/>
    </w:rPr>
  </w:style>
  <w:style w:type="character" w:styleId="Hyperlink">
    <w:name w:val="Hyperlink"/>
    <w:uiPriority w:val="99"/>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66549D"/>
    <w:rPr>
      <w:b/>
      <w:sz w:val="26"/>
    </w:rPr>
  </w:style>
  <w:style w:type="character" w:customStyle="1" w:styleId="Heading2Char">
    <w:name w:val="Heading 2 Char"/>
    <w:basedOn w:val="DefaultParagraphFont"/>
    <w:link w:val="Heading2"/>
    <w:rsid w:val="00D323D0"/>
    <w:rPr>
      <w:rFonts w:eastAsiaTheme="majorEastAsia"/>
      <w:b/>
      <w:bCs/>
      <w:sz w:val="26"/>
      <w:szCs w:val="26"/>
    </w:rPr>
  </w:style>
  <w:style w:type="paragraph" w:styleId="BlockText">
    <w:name w:val="Block Text"/>
    <w:basedOn w:val="Normal"/>
    <w:rsid w:val="008360ED"/>
    <w:pPr>
      <w:tabs>
        <w:tab w:val="left" w:pos="-720"/>
      </w:tabs>
      <w:spacing w:line="360" w:lineRule="auto"/>
      <w:ind w:left="1440" w:right="2160"/>
    </w:pPr>
    <w:rPr>
      <w:sz w:val="26"/>
    </w:rPr>
  </w:style>
  <w:style w:type="paragraph" w:styleId="ListParagraph">
    <w:name w:val="List Paragraph"/>
    <w:basedOn w:val="Normal"/>
    <w:uiPriority w:val="34"/>
    <w:qFormat/>
    <w:rsid w:val="00130A7A"/>
    <w:pPr>
      <w:ind w:left="720"/>
      <w:contextualSpacing/>
    </w:pPr>
  </w:style>
  <w:style w:type="character" w:customStyle="1" w:styleId="Heading3Char">
    <w:name w:val="Heading 3 Char"/>
    <w:basedOn w:val="DefaultParagraphFont"/>
    <w:link w:val="Heading3"/>
    <w:rsid w:val="00387154"/>
    <w:rPr>
      <w:b/>
      <w:bCs/>
      <w:sz w:val="26"/>
      <w:szCs w:val="26"/>
    </w:rPr>
  </w:style>
  <w:style w:type="character" w:customStyle="1" w:styleId="Heading4Char">
    <w:name w:val="Heading 4 Char"/>
    <w:basedOn w:val="DefaultParagraphFont"/>
    <w:link w:val="Heading4"/>
    <w:rsid w:val="00A673B4"/>
    <w:rPr>
      <w:rFonts w:eastAsiaTheme="majorEastAsia"/>
      <w:b/>
      <w:bCs/>
      <w:color w:val="000000" w:themeColor="text1"/>
      <w:sz w:val="26"/>
      <w:szCs w:val="26"/>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Car Char,fn Char,ALTS FOOTNOTE Char"/>
    <w:basedOn w:val="DefaultParagraphFont"/>
    <w:link w:val="FootnoteText"/>
    <w:uiPriority w:val="99"/>
    <w:rsid w:val="0004698C"/>
  </w:style>
  <w:style w:type="paragraph" w:styleId="TOC1">
    <w:name w:val="toc 1"/>
    <w:basedOn w:val="Normal"/>
    <w:next w:val="Normal"/>
    <w:autoRedefine/>
    <w:uiPriority w:val="39"/>
    <w:unhideWhenUsed/>
    <w:rsid w:val="004C6FD1"/>
    <w:pPr>
      <w:tabs>
        <w:tab w:val="left" w:pos="720"/>
        <w:tab w:val="right" w:leader="dot" w:pos="9350"/>
      </w:tabs>
      <w:spacing w:after="100"/>
    </w:pPr>
    <w:rPr>
      <w:sz w:val="26"/>
    </w:rPr>
  </w:style>
  <w:style w:type="paragraph" w:styleId="TOC2">
    <w:name w:val="toc 2"/>
    <w:basedOn w:val="Normal"/>
    <w:next w:val="Normal"/>
    <w:autoRedefine/>
    <w:uiPriority w:val="39"/>
    <w:unhideWhenUsed/>
    <w:rsid w:val="004C6FD1"/>
    <w:pPr>
      <w:tabs>
        <w:tab w:val="left" w:pos="1350"/>
        <w:tab w:val="right" w:leader="dot" w:pos="9350"/>
      </w:tabs>
      <w:spacing w:after="100"/>
      <w:ind w:left="720"/>
    </w:pPr>
    <w:rPr>
      <w:sz w:val="26"/>
    </w:rPr>
  </w:style>
  <w:style w:type="paragraph" w:styleId="TOC3">
    <w:name w:val="toc 3"/>
    <w:basedOn w:val="Normal"/>
    <w:next w:val="Normal"/>
    <w:autoRedefine/>
    <w:uiPriority w:val="39"/>
    <w:unhideWhenUsed/>
    <w:rsid w:val="009845E0"/>
    <w:pPr>
      <w:tabs>
        <w:tab w:val="left" w:pos="2160"/>
        <w:tab w:val="right" w:leader="dot" w:pos="9360"/>
      </w:tabs>
      <w:spacing w:after="100"/>
      <w:ind w:left="2160" w:hanging="720"/>
    </w:pPr>
    <w:rPr>
      <w:sz w:val="26"/>
    </w:rPr>
  </w:style>
  <w:style w:type="paragraph" w:styleId="TOC4">
    <w:name w:val="toc 4"/>
    <w:basedOn w:val="Normal"/>
    <w:next w:val="Normal"/>
    <w:autoRedefine/>
    <w:uiPriority w:val="39"/>
    <w:unhideWhenUsed/>
    <w:rsid w:val="00586FB7"/>
    <w:pPr>
      <w:tabs>
        <w:tab w:val="left" w:pos="2880"/>
        <w:tab w:val="right" w:leader="dot" w:pos="9350"/>
      </w:tabs>
      <w:spacing w:after="100"/>
      <w:ind w:left="2880" w:hanging="720"/>
    </w:pPr>
    <w:rPr>
      <w:sz w:val="24"/>
    </w:rPr>
  </w:style>
  <w:style w:type="character" w:styleId="CommentReference">
    <w:name w:val="annotation reference"/>
    <w:basedOn w:val="DefaultParagraphFont"/>
    <w:semiHidden/>
    <w:unhideWhenUsed/>
    <w:rsid w:val="00313907"/>
    <w:rPr>
      <w:sz w:val="16"/>
      <w:szCs w:val="16"/>
    </w:rPr>
  </w:style>
  <w:style w:type="paragraph" w:styleId="CommentText">
    <w:name w:val="annotation text"/>
    <w:basedOn w:val="Normal"/>
    <w:link w:val="CommentTextChar"/>
    <w:semiHidden/>
    <w:unhideWhenUsed/>
    <w:rsid w:val="00313907"/>
  </w:style>
  <w:style w:type="character" w:customStyle="1" w:styleId="CommentTextChar">
    <w:name w:val="Comment Text Char"/>
    <w:basedOn w:val="DefaultParagraphFont"/>
    <w:link w:val="CommentText"/>
    <w:semiHidden/>
    <w:rsid w:val="00313907"/>
  </w:style>
  <w:style w:type="paragraph" w:styleId="CommentSubject">
    <w:name w:val="annotation subject"/>
    <w:basedOn w:val="CommentText"/>
    <w:next w:val="CommentText"/>
    <w:link w:val="CommentSubjectChar"/>
    <w:semiHidden/>
    <w:unhideWhenUsed/>
    <w:rsid w:val="00313907"/>
    <w:rPr>
      <w:b/>
      <w:bCs/>
    </w:rPr>
  </w:style>
  <w:style w:type="character" w:customStyle="1" w:styleId="CommentSubjectChar">
    <w:name w:val="Comment Subject Char"/>
    <w:basedOn w:val="CommentTextChar"/>
    <w:link w:val="CommentSubject"/>
    <w:semiHidden/>
    <w:rsid w:val="00313907"/>
    <w:rPr>
      <w:b/>
      <w:bCs/>
    </w:rPr>
  </w:style>
  <w:style w:type="character" w:styleId="UnresolvedMention">
    <w:name w:val="Unresolved Mention"/>
    <w:basedOn w:val="DefaultParagraphFont"/>
    <w:uiPriority w:val="99"/>
    <w:semiHidden/>
    <w:unhideWhenUsed/>
    <w:rsid w:val="00446EA6"/>
    <w:rPr>
      <w:color w:val="605E5C"/>
      <w:shd w:val="clear" w:color="auto" w:fill="E1DFDD"/>
    </w:rPr>
  </w:style>
  <w:style w:type="table" w:customStyle="1" w:styleId="TableGrid1">
    <w:name w:val="Table Grid1"/>
    <w:basedOn w:val="TableNormal"/>
    <w:next w:val="TableGrid"/>
    <w:rsid w:val="000E4F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19811">
      <w:bodyDiv w:val="1"/>
      <w:marLeft w:val="0"/>
      <w:marRight w:val="0"/>
      <w:marTop w:val="0"/>
      <w:marBottom w:val="0"/>
      <w:divBdr>
        <w:top w:val="none" w:sz="0" w:space="0" w:color="auto"/>
        <w:left w:val="none" w:sz="0" w:space="0" w:color="auto"/>
        <w:bottom w:val="none" w:sz="0" w:space="0" w:color="auto"/>
        <w:right w:val="none" w:sz="0" w:space="0" w:color="auto"/>
      </w:divBdr>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26" Type="http://schemas.openxmlformats.org/officeDocument/2006/relationships/image" Target="media/image4.emf"/><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emf"/><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image" Target="media/image9.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5.emf"/><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A871BB9E1EC4BAB29F598697AB0C6" ma:contentTypeVersion="7" ma:contentTypeDescription="Create a new document." ma:contentTypeScope="" ma:versionID="b8e2220bbb1c0537104c053dd550c56d">
  <xsd:schema xmlns:xsd="http://www.w3.org/2001/XMLSchema" xmlns:xs="http://www.w3.org/2001/XMLSchema" xmlns:p="http://schemas.microsoft.com/office/2006/metadata/properties" xmlns:ns3="d04a30bb-b2f1-43b2-96cc-abd04a022632" targetNamespace="http://schemas.microsoft.com/office/2006/metadata/properties" ma:root="true" ma:fieldsID="c7307a86fbd82d0cab9ff18c0b6129fc" ns3:_="">
    <xsd:import namespace="d04a30bb-b2f1-43b2-96cc-abd04a0226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30bb-b2f1-43b2-96cc-abd04a022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9B79-F605-4D75-9EE9-AB1BD39D1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30bb-b2f1-43b2-96cc-abd04a022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10DC8-63FC-4947-BDEA-428A978161E9}">
  <ds:schemaRefs>
    <ds:schemaRef ds:uri="http://schemas.microsoft.com/sharepoint/v3/contenttype/forms"/>
  </ds:schemaRefs>
</ds:datastoreItem>
</file>

<file path=customXml/itemProps3.xml><?xml version="1.0" encoding="utf-8"?>
<ds:datastoreItem xmlns:ds="http://schemas.openxmlformats.org/officeDocument/2006/customXml" ds:itemID="{4672740C-9492-46B6-BF9A-2887E34876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B37FC-C800-46D7-8B59-1625441F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166</Pages>
  <Words>41612</Words>
  <Characters>237189</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278245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Reside, Melissa</cp:lastModifiedBy>
  <cp:revision>5</cp:revision>
  <cp:lastPrinted>2019-12-11T13:52:00Z</cp:lastPrinted>
  <dcterms:created xsi:type="dcterms:W3CDTF">2020-04-27T13:13:00Z</dcterms:created>
  <dcterms:modified xsi:type="dcterms:W3CDTF">2020-04-27T18:02:00Z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0x010100C1BA871BB9E1EC4BAB29F598697AB0C6</vt:lpwstr>
  </property>
</Properties>
</file>