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87"/>
        <w:gridCol w:w="1440"/>
      </w:tblGrid>
      <w:tr w:rsidR="003D08C6" w:rsidRPr="00C2406A" w14:paraId="5CC7FDCB" w14:textId="77777777" w:rsidTr="00D473CF">
        <w:trPr>
          <w:trHeight w:val="990"/>
        </w:trPr>
        <w:tc>
          <w:tcPr>
            <w:tcW w:w="1363" w:type="dxa"/>
          </w:tcPr>
          <w:p w14:paraId="71A28E67" w14:textId="77777777" w:rsidR="003D08C6" w:rsidRDefault="003D08C6" w:rsidP="00D473CF">
            <w:pPr>
              <w:rPr>
                <w:sz w:val="24"/>
              </w:rPr>
            </w:pPr>
            <w:r>
              <w:rPr>
                <w:noProof/>
                <w:spacing w:val="-2"/>
              </w:rPr>
              <w:drawing>
                <wp:inline distT="0" distB="0" distL="0" distR="0" wp14:anchorId="20D013A7" wp14:editId="698EAA5C">
                  <wp:extent cx="733425" cy="73342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087" w:type="dxa"/>
          </w:tcPr>
          <w:p w14:paraId="043DEC26" w14:textId="77777777" w:rsidR="003D08C6" w:rsidRDefault="003D08C6" w:rsidP="00D473CF">
            <w:pPr>
              <w:suppressAutoHyphens/>
              <w:spacing w:line="204" w:lineRule="auto"/>
              <w:jc w:val="center"/>
              <w:rPr>
                <w:rFonts w:ascii="Arial" w:hAnsi="Arial"/>
                <w:color w:val="000080"/>
                <w:spacing w:val="-3"/>
                <w:sz w:val="26"/>
              </w:rPr>
            </w:pPr>
          </w:p>
          <w:p w14:paraId="5699227A" w14:textId="77777777" w:rsidR="003D08C6" w:rsidRDefault="003D08C6" w:rsidP="00D473CF">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4BCC96C2" w14:textId="77777777" w:rsidR="003D08C6" w:rsidRDefault="003D08C6" w:rsidP="00D473CF">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02C074A9" w14:textId="25F01851" w:rsidR="003D08C6" w:rsidRDefault="009963BB" w:rsidP="00D473CF">
            <w:pPr>
              <w:jc w:val="center"/>
              <w:rPr>
                <w:rFonts w:ascii="Arial" w:hAnsi="Arial"/>
                <w:sz w:val="12"/>
              </w:rPr>
            </w:pPr>
            <w:r>
              <w:rPr>
                <w:rFonts w:ascii="Arial" w:hAnsi="Arial"/>
                <w:color w:val="000080"/>
                <w:spacing w:val="-3"/>
                <w:sz w:val="26"/>
              </w:rPr>
              <w:t>400 North Street</w:t>
            </w:r>
            <w:r w:rsidR="00953BF0">
              <w:rPr>
                <w:rFonts w:ascii="Arial" w:hAnsi="Arial"/>
                <w:color w:val="000080"/>
                <w:spacing w:val="-3"/>
                <w:sz w:val="26"/>
              </w:rPr>
              <w:t xml:space="preserve">, </w:t>
            </w:r>
            <w:r>
              <w:rPr>
                <w:rFonts w:ascii="Arial" w:hAnsi="Arial"/>
                <w:color w:val="000080"/>
                <w:spacing w:val="-3"/>
                <w:sz w:val="26"/>
              </w:rPr>
              <w:t>Harrisburg, Pennsylvania 17120</w:t>
            </w:r>
          </w:p>
        </w:tc>
        <w:tc>
          <w:tcPr>
            <w:tcW w:w="1440" w:type="dxa"/>
          </w:tcPr>
          <w:p w14:paraId="2C482541" w14:textId="77777777" w:rsidR="003D08C6" w:rsidRPr="00C2406A" w:rsidRDefault="003D08C6" w:rsidP="00D473CF">
            <w:pPr>
              <w:rPr>
                <w:rFonts w:ascii="Arial" w:hAnsi="Arial"/>
                <w:sz w:val="12"/>
              </w:rPr>
            </w:pPr>
          </w:p>
          <w:p w14:paraId="66C9E862" w14:textId="77777777" w:rsidR="003D08C6" w:rsidRPr="00C2406A" w:rsidRDefault="003D08C6" w:rsidP="00D473CF">
            <w:pPr>
              <w:rPr>
                <w:rFonts w:ascii="Arial" w:hAnsi="Arial"/>
                <w:sz w:val="12"/>
              </w:rPr>
            </w:pPr>
          </w:p>
          <w:p w14:paraId="6AE4EA2A" w14:textId="77777777" w:rsidR="003D08C6" w:rsidRPr="00C2406A" w:rsidRDefault="003D08C6" w:rsidP="00D473CF">
            <w:pPr>
              <w:jc w:val="right"/>
              <w:rPr>
                <w:rFonts w:ascii="Arial" w:hAnsi="Arial"/>
                <w:b/>
                <w:spacing w:val="-1"/>
                <w:sz w:val="12"/>
              </w:rPr>
            </w:pPr>
            <w:r w:rsidRPr="00C2406A">
              <w:rPr>
                <w:rFonts w:ascii="Arial" w:hAnsi="Arial"/>
                <w:b/>
                <w:spacing w:val="-1"/>
                <w:sz w:val="12"/>
              </w:rPr>
              <w:t>IN REPLY PLEASE REFER TO OUR FILE</w:t>
            </w:r>
          </w:p>
          <w:p w14:paraId="6AF8430B" w14:textId="77777777" w:rsidR="004B670B" w:rsidRPr="0047135C" w:rsidRDefault="004B670B" w:rsidP="004B670B">
            <w:pPr>
              <w:jc w:val="right"/>
              <w:rPr>
                <w:sz w:val="16"/>
                <w:szCs w:val="16"/>
              </w:rPr>
            </w:pPr>
            <w:r w:rsidRPr="7F5BA142">
              <w:rPr>
                <w:sz w:val="16"/>
                <w:szCs w:val="16"/>
              </w:rPr>
              <w:t>M-20</w:t>
            </w:r>
            <w:r>
              <w:rPr>
                <w:sz w:val="16"/>
                <w:szCs w:val="16"/>
              </w:rPr>
              <w:t>20</w:t>
            </w:r>
            <w:r w:rsidR="005972E6">
              <w:rPr>
                <w:sz w:val="16"/>
                <w:szCs w:val="16"/>
              </w:rPr>
              <w:t>-3019775</w:t>
            </w:r>
          </w:p>
          <w:p w14:paraId="5130EB84" w14:textId="77777777" w:rsidR="00D54198" w:rsidRPr="00C2406A" w:rsidRDefault="00D54198" w:rsidP="00503FA4">
            <w:pPr>
              <w:jc w:val="right"/>
              <w:rPr>
                <w:rFonts w:ascii="Arial" w:hAnsi="Arial"/>
                <w:sz w:val="16"/>
                <w:szCs w:val="16"/>
              </w:rPr>
            </w:pPr>
          </w:p>
        </w:tc>
      </w:tr>
    </w:tbl>
    <w:p w14:paraId="7F604296" w14:textId="77777777" w:rsidR="003D08C6" w:rsidRPr="00285B0C" w:rsidRDefault="003D08C6" w:rsidP="003D08C6">
      <w:pPr>
        <w:rPr>
          <w:sz w:val="26"/>
          <w:szCs w:val="26"/>
        </w:rPr>
        <w:sectPr w:rsidR="003D08C6" w:rsidRPr="00285B0C" w:rsidSect="009E40EC">
          <w:footerReference w:type="even" r:id="rId11"/>
          <w:footerReference w:type="default" r:id="rId12"/>
          <w:pgSz w:w="12240" w:h="15840"/>
          <w:pgMar w:top="504" w:right="1440" w:bottom="1440" w:left="1440" w:header="720" w:footer="720" w:gutter="0"/>
          <w:cols w:space="720"/>
          <w:titlePg/>
        </w:sectPr>
      </w:pPr>
    </w:p>
    <w:p w14:paraId="2AE77FA3" w14:textId="2015ACAA" w:rsidR="003D08C6" w:rsidRPr="00EA12AC" w:rsidRDefault="007E04EE" w:rsidP="00EA12AC">
      <w:pPr>
        <w:jc w:val="center"/>
        <w:rPr>
          <w:b/>
          <w:sz w:val="26"/>
          <w:szCs w:val="26"/>
        </w:rPr>
      </w:pPr>
      <w:r>
        <w:rPr>
          <w:b/>
          <w:sz w:val="26"/>
          <w:szCs w:val="26"/>
        </w:rPr>
        <w:t>May 13, 2020</w:t>
      </w:r>
    </w:p>
    <w:p w14:paraId="0E184F88" w14:textId="77777777" w:rsidR="003D08C6" w:rsidRPr="00EA12AC" w:rsidRDefault="003D08C6" w:rsidP="00EA12AC">
      <w:pPr>
        <w:rPr>
          <w:sz w:val="26"/>
          <w:szCs w:val="26"/>
        </w:rPr>
      </w:pPr>
    </w:p>
    <w:p w14:paraId="55AFDA8A" w14:textId="77777777" w:rsidR="00285B0C" w:rsidRPr="00EA12AC" w:rsidRDefault="00285B0C" w:rsidP="00EA12AC">
      <w:pPr>
        <w:rPr>
          <w:sz w:val="26"/>
          <w:szCs w:val="26"/>
        </w:rPr>
      </w:pPr>
    </w:p>
    <w:p w14:paraId="565FBA92" w14:textId="77777777" w:rsidR="00F118ED" w:rsidRPr="00EA12AC" w:rsidRDefault="00F118ED" w:rsidP="00EA12AC">
      <w:pPr>
        <w:rPr>
          <w:sz w:val="26"/>
          <w:szCs w:val="26"/>
        </w:rPr>
      </w:pPr>
    </w:p>
    <w:p w14:paraId="5DF3E716" w14:textId="77777777" w:rsidR="00285B0C" w:rsidRPr="00EA12AC" w:rsidRDefault="00285B0C" w:rsidP="00EA12AC">
      <w:pPr>
        <w:ind w:left="1080" w:hanging="360"/>
        <w:rPr>
          <w:sz w:val="26"/>
          <w:szCs w:val="26"/>
        </w:rPr>
      </w:pPr>
    </w:p>
    <w:p w14:paraId="70F50CEF" w14:textId="77777777" w:rsidR="005972E6" w:rsidRPr="009963BB" w:rsidRDefault="00285B0C" w:rsidP="00EA12AC">
      <w:pPr>
        <w:ind w:left="720"/>
        <w:contextualSpacing/>
        <w:rPr>
          <w:b/>
          <w:bCs/>
          <w:sz w:val="26"/>
          <w:szCs w:val="26"/>
        </w:rPr>
      </w:pPr>
      <w:r w:rsidRPr="009963BB">
        <w:rPr>
          <w:b/>
          <w:bCs/>
          <w:sz w:val="26"/>
          <w:szCs w:val="26"/>
        </w:rPr>
        <w:t>Re:</w:t>
      </w:r>
      <w:r w:rsidR="005972E6" w:rsidRPr="009963BB">
        <w:rPr>
          <w:b/>
          <w:bCs/>
          <w:sz w:val="26"/>
          <w:szCs w:val="26"/>
        </w:rPr>
        <w:tab/>
        <w:t>COVID-19 Cost Tracking and Creation of Regulatory Asset</w:t>
      </w:r>
    </w:p>
    <w:p w14:paraId="03FE13C8" w14:textId="77777777" w:rsidR="00285B0C" w:rsidRPr="009963BB" w:rsidRDefault="005972E6" w:rsidP="00EA12AC">
      <w:pPr>
        <w:ind w:left="720"/>
        <w:contextualSpacing/>
        <w:rPr>
          <w:b/>
          <w:bCs/>
          <w:sz w:val="26"/>
          <w:szCs w:val="26"/>
        </w:rPr>
      </w:pPr>
      <w:r w:rsidRPr="009963BB">
        <w:rPr>
          <w:b/>
          <w:bCs/>
          <w:sz w:val="26"/>
          <w:szCs w:val="26"/>
        </w:rPr>
        <w:tab/>
      </w:r>
      <w:r w:rsidR="00285B0C" w:rsidRPr="009963BB">
        <w:rPr>
          <w:b/>
          <w:bCs/>
          <w:sz w:val="26"/>
          <w:szCs w:val="26"/>
        </w:rPr>
        <w:t>Docket</w:t>
      </w:r>
      <w:r w:rsidRPr="009963BB">
        <w:rPr>
          <w:b/>
          <w:bCs/>
          <w:sz w:val="26"/>
          <w:szCs w:val="26"/>
        </w:rPr>
        <w:t xml:space="preserve"> No.  M-2020-3019775</w:t>
      </w:r>
    </w:p>
    <w:p w14:paraId="454982F3" w14:textId="77777777" w:rsidR="00285B0C" w:rsidRPr="009963BB" w:rsidRDefault="00285B0C" w:rsidP="00EA12AC">
      <w:pPr>
        <w:rPr>
          <w:b/>
          <w:bCs/>
          <w:sz w:val="26"/>
          <w:szCs w:val="26"/>
        </w:rPr>
      </w:pPr>
      <w:r w:rsidRPr="009963BB">
        <w:rPr>
          <w:b/>
          <w:bCs/>
          <w:sz w:val="26"/>
          <w:szCs w:val="26"/>
        </w:rPr>
        <w:tab/>
        <w:t xml:space="preserve">    </w:t>
      </w:r>
    </w:p>
    <w:p w14:paraId="30316CF6" w14:textId="77777777" w:rsidR="00285B0C" w:rsidRDefault="00285B0C" w:rsidP="00EA12AC">
      <w:pPr>
        <w:rPr>
          <w:sz w:val="26"/>
          <w:szCs w:val="26"/>
        </w:rPr>
      </w:pPr>
      <w:r w:rsidRPr="00EA12AC">
        <w:rPr>
          <w:sz w:val="26"/>
          <w:szCs w:val="26"/>
        </w:rPr>
        <w:t>To whom it may concern:</w:t>
      </w:r>
    </w:p>
    <w:p w14:paraId="732DD42F" w14:textId="77777777" w:rsidR="00EA12AC" w:rsidRPr="00EA12AC" w:rsidRDefault="00EA12AC" w:rsidP="00EA12AC">
      <w:pPr>
        <w:rPr>
          <w:sz w:val="26"/>
          <w:szCs w:val="26"/>
        </w:rPr>
      </w:pPr>
    </w:p>
    <w:p w14:paraId="4031FF78" w14:textId="77777777" w:rsidR="00285B0C" w:rsidRDefault="00285B0C" w:rsidP="00EA12AC">
      <w:pPr>
        <w:pStyle w:val="NormalWeb"/>
        <w:spacing w:before="0" w:beforeAutospacing="0" w:after="0" w:afterAutospacing="0"/>
        <w:ind w:firstLine="720"/>
        <w:rPr>
          <w:sz w:val="26"/>
          <w:szCs w:val="26"/>
        </w:rPr>
      </w:pPr>
      <w:r w:rsidRPr="00EA12AC">
        <w:rPr>
          <w:sz w:val="26"/>
          <w:szCs w:val="26"/>
        </w:rPr>
        <w:t>On March 6, 2020, Governor Tom Wolf issued a Proclamation of Disaster Emergency in response to the COVID-19 pandemic (</w:t>
      </w:r>
      <w:r w:rsidRPr="00EA12AC">
        <w:rPr>
          <w:i/>
          <w:iCs/>
          <w:sz w:val="26"/>
          <w:szCs w:val="26"/>
        </w:rPr>
        <w:t>Emergency Proclamation</w:t>
      </w:r>
      <w:r w:rsidRPr="00EA12AC">
        <w:rPr>
          <w:sz w:val="26"/>
          <w:szCs w:val="26"/>
        </w:rPr>
        <w:t>).</w:t>
      </w:r>
      <w:r w:rsidRPr="00EA12AC">
        <w:rPr>
          <w:rStyle w:val="FootnoteReference"/>
          <w:sz w:val="26"/>
          <w:szCs w:val="26"/>
        </w:rPr>
        <w:footnoteReference w:id="1"/>
      </w:r>
      <w:r w:rsidRPr="00EA12AC">
        <w:rPr>
          <w:sz w:val="26"/>
          <w:szCs w:val="26"/>
        </w:rPr>
        <w:t xml:space="preserve"> Among other things, the </w:t>
      </w:r>
      <w:r w:rsidRPr="00EA12AC">
        <w:rPr>
          <w:i/>
          <w:sz w:val="26"/>
          <w:szCs w:val="26"/>
        </w:rPr>
        <w:t xml:space="preserve">Emergency Proclamation </w:t>
      </w:r>
      <w:r w:rsidRPr="00EA12AC">
        <w:rPr>
          <w:sz w:val="26"/>
          <w:szCs w:val="26"/>
        </w:rPr>
        <w:t xml:space="preserve">directed the suspension of the provision of any regulatory statute prescribing the procedures for conduct of Commonwealth business, or the orders, rules or regulations of any Commonwealth agency, if strict compliance with the provisions would in any way prevent, hinder, or delay necessary action in coping with the emergency.   </w:t>
      </w:r>
    </w:p>
    <w:p w14:paraId="592263C0" w14:textId="77777777" w:rsidR="00EA12AC" w:rsidRPr="00EA12AC" w:rsidRDefault="00EA12AC" w:rsidP="00EA12AC">
      <w:pPr>
        <w:pStyle w:val="NormalWeb"/>
        <w:spacing w:before="0" w:beforeAutospacing="0" w:after="0" w:afterAutospacing="0"/>
        <w:ind w:firstLine="720"/>
        <w:rPr>
          <w:sz w:val="26"/>
          <w:szCs w:val="26"/>
        </w:rPr>
      </w:pPr>
    </w:p>
    <w:p w14:paraId="1759AFB1" w14:textId="77777777" w:rsidR="00285B0C" w:rsidRDefault="00285B0C" w:rsidP="00EA12AC">
      <w:pPr>
        <w:pStyle w:val="NormalWeb"/>
        <w:spacing w:before="0" w:beforeAutospacing="0" w:after="0" w:afterAutospacing="0"/>
        <w:ind w:firstLine="720"/>
        <w:rPr>
          <w:sz w:val="26"/>
          <w:szCs w:val="26"/>
        </w:rPr>
      </w:pPr>
      <w:r w:rsidRPr="00EA12AC">
        <w:rPr>
          <w:sz w:val="26"/>
          <w:szCs w:val="26"/>
        </w:rPr>
        <w:t>Section 1501 of the Public Utility Code, 66 Pa. C.S. § 1501, provides that every public utility has a duty to furnish and maintain adequate, efficient, safe, and reasonable service as is necessary for the accommodation, convenience, and safety of its patrons, employees, and the public.  Section 1501 explicitly requires such service to be reasonably continuous and without unreasonable interruptions. 66 Pa. C.S. § 1501.</w:t>
      </w:r>
    </w:p>
    <w:p w14:paraId="66B5E533" w14:textId="77777777" w:rsidR="00EA12AC" w:rsidRPr="00EA12AC" w:rsidRDefault="00EA12AC" w:rsidP="00EA12AC">
      <w:pPr>
        <w:pStyle w:val="NormalWeb"/>
        <w:spacing w:before="0" w:beforeAutospacing="0" w:after="0" w:afterAutospacing="0"/>
        <w:ind w:firstLine="720"/>
        <w:rPr>
          <w:sz w:val="26"/>
          <w:szCs w:val="26"/>
        </w:rPr>
      </w:pPr>
    </w:p>
    <w:p w14:paraId="6B26D5CD" w14:textId="77777777" w:rsidR="00285B0C" w:rsidRDefault="00285B0C" w:rsidP="00EA12AC">
      <w:pPr>
        <w:pStyle w:val="NormalWeb"/>
        <w:spacing w:before="0" w:beforeAutospacing="0" w:after="0" w:afterAutospacing="0"/>
        <w:ind w:firstLine="720"/>
        <w:rPr>
          <w:sz w:val="26"/>
          <w:szCs w:val="26"/>
        </w:rPr>
      </w:pPr>
      <w:r w:rsidRPr="00EA12AC">
        <w:rPr>
          <w:sz w:val="26"/>
          <w:szCs w:val="26"/>
        </w:rPr>
        <w:t xml:space="preserve">Consistent with the </w:t>
      </w:r>
      <w:r w:rsidRPr="00EA12AC">
        <w:rPr>
          <w:i/>
          <w:sz w:val="26"/>
          <w:szCs w:val="26"/>
        </w:rPr>
        <w:t xml:space="preserve">Emergency Proclamation, </w:t>
      </w:r>
      <w:r w:rsidRPr="00EA12AC">
        <w:rPr>
          <w:iCs/>
          <w:sz w:val="26"/>
          <w:szCs w:val="26"/>
        </w:rPr>
        <w:t xml:space="preserve">and Section 1501 of the Public Utility Code, on March 13, 2020 </w:t>
      </w:r>
      <w:r w:rsidRPr="00EA12AC">
        <w:rPr>
          <w:sz w:val="26"/>
          <w:szCs w:val="26"/>
        </w:rPr>
        <w:t xml:space="preserve">Pennsylvania Public Utility Commission (“Commission”) Chairman Gladys Brown Dutrieuille issued an Emergency Order which prohibited regulated utilities from terminating service during the pendency of the </w:t>
      </w:r>
      <w:r w:rsidRPr="00EA12AC">
        <w:rPr>
          <w:i/>
          <w:iCs/>
          <w:sz w:val="26"/>
          <w:szCs w:val="26"/>
        </w:rPr>
        <w:t>Emergency Proclamation</w:t>
      </w:r>
      <w:r w:rsidRPr="00EA12AC">
        <w:rPr>
          <w:sz w:val="26"/>
          <w:szCs w:val="26"/>
        </w:rPr>
        <w:t>, unless necessary to ameliorate a safety emergency</w:t>
      </w:r>
      <w:r w:rsidR="00FA6E79" w:rsidRPr="00EA12AC">
        <w:rPr>
          <w:sz w:val="26"/>
          <w:szCs w:val="26"/>
        </w:rPr>
        <w:t xml:space="preserve"> or unless otherwise determined by the Commission</w:t>
      </w:r>
      <w:r w:rsidRPr="00EA12AC">
        <w:rPr>
          <w:sz w:val="26"/>
          <w:szCs w:val="26"/>
        </w:rPr>
        <w:t xml:space="preserve">, and also encouraged reconnection of service if such action could be done safely.  </w:t>
      </w:r>
      <w:r w:rsidRPr="00EA12AC">
        <w:rPr>
          <w:i/>
          <w:iCs/>
          <w:sz w:val="26"/>
          <w:szCs w:val="26"/>
        </w:rPr>
        <w:t>Public Utility Service Termination Moratorium Proclamation of Disaster Emergency-COVID-19</w:t>
      </w:r>
      <w:r w:rsidRPr="00EA12AC">
        <w:rPr>
          <w:sz w:val="26"/>
          <w:szCs w:val="26"/>
        </w:rPr>
        <w:t>, Docket No. M-2020-3019244 (Emergency Order ratified March 26, 2020) (</w:t>
      </w:r>
      <w:r w:rsidRPr="00EA12AC">
        <w:rPr>
          <w:i/>
          <w:iCs/>
          <w:sz w:val="26"/>
          <w:szCs w:val="26"/>
        </w:rPr>
        <w:t>Emergency Order</w:t>
      </w:r>
      <w:r w:rsidRPr="00EA12AC">
        <w:rPr>
          <w:sz w:val="26"/>
          <w:szCs w:val="26"/>
        </w:rPr>
        <w:t xml:space="preserve">). </w:t>
      </w:r>
    </w:p>
    <w:p w14:paraId="4BE5187A" w14:textId="77777777" w:rsidR="00EA12AC" w:rsidRPr="00EA12AC" w:rsidRDefault="00EA12AC" w:rsidP="00EA12AC">
      <w:pPr>
        <w:pStyle w:val="NormalWeb"/>
        <w:spacing w:before="0" w:beforeAutospacing="0" w:after="0" w:afterAutospacing="0"/>
        <w:ind w:firstLine="720"/>
        <w:rPr>
          <w:sz w:val="26"/>
          <w:szCs w:val="26"/>
        </w:rPr>
      </w:pPr>
    </w:p>
    <w:p w14:paraId="2EE8D5AA" w14:textId="7B481D44" w:rsidR="00285B0C" w:rsidRDefault="00285B0C" w:rsidP="00EA12AC">
      <w:pPr>
        <w:pStyle w:val="NormalWeb"/>
        <w:spacing w:before="0" w:beforeAutospacing="0" w:after="0" w:afterAutospacing="0"/>
        <w:ind w:firstLine="720"/>
        <w:rPr>
          <w:sz w:val="26"/>
          <w:szCs w:val="26"/>
        </w:rPr>
      </w:pPr>
      <w:r w:rsidRPr="00EA12AC">
        <w:rPr>
          <w:sz w:val="26"/>
          <w:szCs w:val="26"/>
        </w:rPr>
        <w:t xml:space="preserve">In an effort to accurately account for prudently incurred incremental </w:t>
      </w:r>
      <w:r w:rsidR="002C3154" w:rsidRPr="00EA12AC">
        <w:rPr>
          <w:sz w:val="26"/>
          <w:szCs w:val="26"/>
        </w:rPr>
        <w:t>extraordinary, nonrecurring</w:t>
      </w:r>
      <w:r w:rsidR="00CA09C5" w:rsidRPr="00EA12AC">
        <w:rPr>
          <w:sz w:val="26"/>
          <w:szCs w:val="26"/>
        </w:rPr>
        <w:t xml:space="preserve"> </w:t>
      </w:r>
      <w:r w:rsidRPr="00EA12AC">
        <w:rPr>
          <w:sz w:val="26"/>
          <w:szCs w:val="26"/>
        </w:rPr>
        <w:t>expenses related to COVID-19, which result from compliance with the</w:t>
      </w:r>
      <w:r w:rsidR="00FA6E79" w:rsidRPr="00EA12AC">
        <w:rPr>
          <w:sz w:val="26"/>
          <w:szCs w:val="26"/>
        </w:rPr>
        <w:t xml:space="preserve"> </w:t>
      </w:r>
      <w:r w:rsidR="00FA6E79" w:rsidRPr="00EA12AC">
        <w:rPr>
          <w:i/>
          <w:iCs/>
          <w:sz w:val="26"/>
          <w:szCs w:val="26"/>
        </w:rPr>
        <w:t>Emergency Proclamation</w:t>
      </w:r>
      <w:r w:rsidR="00FA6E79" w:rsidRPr="00EA12AC">
        <w:rPr>
          <w:sz w:val="26"/>
          <w:szCs w:val="26"/>
        </w:rPr>
        <w:t xml:space="preserve"> and </w:t>
      </w:r>
      <w:r w:rsidR="00FA6E79" w:rsidRPr="00EA12AC">
        <w:rPr>
          <w:i/>
          <w:iCs/>
          <w:sz w:val="26"/>
          <w:szCs w:val="26"/>
        </w:rPr>
        <w:t>Emergency Order</w:t>
      </w:r>
      <w:r w:rsidRPr="00EA12AC">
        <w:rPr>
          <w:sz w:val="26"/>
          <w:szCs w:val="26"/>
        </w:rPr>
        <w:t>, the Commission directs all utilities to review and comply with the following provisions, as applicable.</w:t>
      </w:r>
    </w:p>
    <w:p w14:paraId="1897A5AD" w14:textId="0CBBADF3" w:rsidR="009963BB" w:rsidRDefault="009963BB" w:rsidP="00EA12AC">
      <w:pPr>
        <w:pStyle w:val="NormalWeb"/>
        <w:spacing w:before="0" w:beforeAutospacing="0" w:after="0" w:afterAutospacing="0"/>
        <w:ind w:firstLine="720"/>
        <w:rPr>
          <w:sz w:val="26"/>
          <w:szCs w:val="26"/>
        </w:rPr>
      </w:pPr>
    </w:p>
    <w:p w14:paraId="170CFD6D" w14:textId="77777777" w:rsidR="009963BB" w:rsidRDefault="009963BB" w:rsidP="00EA12AC">
      <w:pPr>
        <w:pStyle w:val="NormalWeb"/>
        <w:spacing w:before="0" w:beforeAutospacing="0" w:after="0" w:afterAutospacing="0"/>
        <w:ind w:firstLine="720"/>
        <w:rPr>
          <w:sz w:val="26"/>
          <w:szCs w:val="26"/>
        </w:rPr>
      </w:pPr>
    </w:p>
    <w:p w14:paraId="3559B054" w14:textId="77777777" w:rsidR="00285B0C" w:rsidRPr="00EA12AC" w:rsidRDefault="00285B0C" w:rsidP="00EA12AC">
      <w:pPr>
        <w:pStyle w:val="NormalWeb"/>
        <w:numPr>
          <w:ilvl w:val="0"/>
          <w:numId w:val="1"/>
        </w:numPr>
        <w:spacing w:before="0" w:beforeAutospacing="0" w:after="0" w:afterAutospacing="0"/>
        <w:ind w:left="720" w:firstLine="0"/>
        <w:rPr>
          <w:b/>
          <w:bCs/>
          <w:sz w:val="26"/>
          <w:szCs w:val="26"/>
        </w:rPr>
      </w:pPr>
      <w:r w:rsidRPr="00EA12AC">
        <w:rPr>
          <w:b/>
          <w:bCs/>
          <w:sz w:val="26"/>
          <w:szCs w:val="26"/>
        </w:rPr>
        <w:lastRenderedPageBreak/>
        <w:t xml:space="preserve">COVID-19 </w:t>
      </w:r>
      <w:r w:rsidR="00230311" w:rsidRPr="00EA12AC">
        <w:rPr>
          <w:b/>
          <w:bCs/>
          <w:sz w:val="26"/>
          <w:szCs w:val="26"/>
        </w:rPr>
        <w:t xml:space="preserve">Expense </w:t>
      </w:r>
      <w:r w:rsidRPr="00EA12AC">
        <w:rPr>
          <w:b/>
          <w:bCs/>
          <w:sz w:val="26"/>
          <w:szCs w:val="26"/>
        </w:rPr>
        <w:t>Tracking/Loan and Grant Tracking</w:t>
      </w:r>
    </w:p>
    <w:p w14:paraId="4CCE4AA0" w14:textId="77777777" w:rsidR="00EA12AC" w:rsidRPr="00EA12AC" w:rsidRDefault="00EA12AC" w:rsidP="00EA12AC">
      <w:pPr>
        <w:pStyle w:val="NormalWeb"/>
        <w:spacing w:before="0" w:beforeAutospacing="0" w:after="0" w:afterAutospacing="0"/>
        <w:ind w:left="1440"/>
        <w:rPr>
          <w:sz w:val="26"/>
          <w:szCs w:val="26"/>
        </w:rPr>
      </w:pPr>
    </w:p>
    <w:p w14:paraId="2111BA3D" w14:textId="77777777" w:rsidR="00285B0C" w:rsidRDefault="00285B0C" w:rsidP="00EA12AC">
      <w:pPr>
        <w:ind w:firstLine="720"/>
        <w:rPr>
          <w:sz w:val="26"/>
          <w:szCs w:val="26"/>
        </w:rPr>
      </w:pPr>
      <w:r w:rsidRPr="00EA12AC">
        <w:rPr>
          <w:sz w:val="26"/>
          <w:szCs w:val="26"/>
        </w:rPr>
        <w:t xml:space="preserve">The Commission hereby directs all jurisdictional electric, natural gas, water, wastewater, steam and telecommunications utilities to track </w:t>
      </w:r>
      <w:r w:rsidR="00230311" w:rsidRPr="00EA12AC">
        <w:rPr>
          <w:sz w:val="26"/>
          <w:szCs w:val="26"/>
        </w:rPr>
        <w:t xml:space="preserve">extraordinary, nonrecurring </w:t>
      </w:r>
      <w:r w:rsidRPr="00EA12AC">
        <w:rPr>
          <w:sz w:val="26"/>
          <w:szCs w:val="26"/>
        </w:rPr>
        <w:t xml:space="preserve">incremental COVID-19 related expenses and to maintain detailed accounting records of such expenses. Utilities must maintain detailed records of the incremental </w:t>
      </w:r>
      <w:r w:rsidR="00017A4C" w:rsidRPr="00EA12AC">
        <w:rPr>
          <w:sz w:val="26"/>
          <w:szCs w:val="26"/>
        </w:rPr>
        <w:t>expenses</w:t>
      </w:r>
      <w:r w:rsidRPr="00EA12AC">
        <w:rPr>
          <w:sz w:val="26"/>
          <w:szCs w:val="26"/>
        </w:rPr>
        <w:t xml:space="preserve"> incurred for the provisioning of utility services used to maintain the health, safety and welfare of Pennsylvania customers during the COVID-19 pandemic</w:t>
      </w:r>
      <w:r w:rsidR="008904B6">
        <w:rPr>
          <w:sz w:val="26"/>
          <w:szCs w:val="26"/>
        </w:rPr>
        <w:t>.</w:t>
      </w:r>
      <w:r w:rsidR="00574543" w:rsidRPr="00EA12AC">
        <w:rPr>
          <w:sz w:val="26"/>
          <w:szCs w:val="26"/>
        </w:rPr>
        <w:t xml:space="preserve"> </w:t>
      </w:r>
      <w:proofErr w:type="gramStart"/>
      <w:r w:rsidR="008904B6">
        <w:rPr>
          <w:sz w:val="26"/>
          <w:szCs w:val="26"/>
        </w:rPr>
        <w:t>W</w:t>
      </w:r>
      <w:r w:rsidR="00574543" w:rsidRPr="00EA12AC">
        <w:rPr>
          <w:sz w:val="26"/>
          <w:szCs w:val="26"/>
        </w:rPr>
        <w:t>ith the exception of</w:t>
      </w:r>
      <w:proofErr w:type="gramEnd"/>
      <w:r w:rsidR="00574543" w:rsidRPr="00EA12AC">
        <w:rPr>
          <w:sz w:val="26"/>
          <w:szCs w:val="26"/>
        </w:rPr>
        <w:t xml:space="preserve"> the separate regulatory authorization afforded uncollectible expenses below, this Secretarial Letter does not grant authorization for utilities to defer any other potential COVID-19 related expenses. </w:t>
      </w:r>
    </w:p>
    <w:p w14:paraId="40226F08" w14:textId="77777777" w:rsidR="00EA12AC" w:rsidRPr="00EA12AC" w:rsidRDefault="00EA12AC" w:rsidP="00EA12AC">
      <w:pPr>
        <w:ind w:firstLine="720"/>
        <w:rPr>
          <w:sz w:val="26"/>
          <w:szCs w:val="26"/>
        </w:rPr>
      </w:pPr>
    </w:p>
    <w:p w14:paraId="040A5A94" w14:textId="77777777" w:rsidR="00285B0C" w:rsidRPr="00EA12AC" w:rsidRDefault="00285B0C" w:rsidP="00EA12AC">
      <w:pPr>
        <w:pStyle w:val="NormalWeb"/>
        <w:spacing w:before="0" w:beforeAutospacing="0" w:after="0" w:afterAutospacing="0"/>
        <w:ind w:firstLine="720"/>
        <w:rPr>
          <w:sz w:val="26"/>
          <w:szCs w:val="26"/>
        </w:rPr>
      </w:pPr>
      <w:r w:rsidRPr="00EA12AC">
        <w:rPr>
          <w:sz w:val="26"/>
          <w:szCs w:val="26"/>
        </w:rPr>
        <w:t>Utilities shall also track any loans, grants, assistance or benefit</w:t>
      </w:r>
      <w:r w:rsidR="00CA09C5" w:rsidRPr="00EA12AC">
        <w:rPr>
          <w:sz w:val="26"/>
          <w:szCs w:val="26"/>
        </w:rPr>
        <w:t xml:space="preserve"> they</w:t>
      </w:r>
      <w:r w:rsidRPr="00EA12AC">
        <w:rPr>
          <w:sz w:val="26"/>
          <w:szCs w:val="26"/>
        </w:rPr>
        <w:t xml:space="preserve"> receive in connection with COVID-19, regardless of form or source, that would offset any COVID-19-related expenses.  </w:t>
      </w:r>
    </w:p>
    <w:p w14:paraId="1C419CFC" w14:textId="77777777" w:rsidR="00285B0C" w:rsidRPr="00EA12AC" w:rsidRDefault="00285B0C" w:rsidP="00EA12AC">
      <w:pPr>
        <w:rPr>
          <w:sz w:val="26"/>
          <w:szCs w:val="26"/>
        </w:rPr>
      </w:pPr>
    </w:p>
    <w:p w14:paraId="1C303263" w14:textId="77777777" w:rsidR="00285B0C" w:rsidRPr="00EA12AC" w:rsidRDefault="00285B0C" w:rsidP="00EA12AC">
      <w:pPr>
        <w:pStyle w:val="ListParagraph"/>
        <w:numPr>
          <w:ilvl w:val="0"/>
          <w:numId w:val="1"/>
        </w:numPr>
        <w:ind w:left="1440"/>
        <w:contextualSpacing/>
        <w:rPr>
          <w:b/>
          <w:bCs/>
          <w:sz w:val="26"/>
          <w:szCs w:val="26"/>
        </w:rPr>
      </w:pPr>
      <w:r w:rsidRPr="00EA12AC">
        <w:rPr>
          <w:b/>
          <w:bCs/>
          <w:sz w:val="26"/>
          <w:szCs w:val="26"/>
        </w:rPr>
        <w:t xml:space="preserve">Regulatory Asset for COVID-19 </w:t>
      </w:r>
      <w:r w:rsidR="00CA09C5" w:rsidRPr="00EA12AC">
        <w:rPr>
          <w:b/>
          <w:bCs/>
          <w:sz w:val="26"/>
          <w:szCs w:val="26"/>
        </w:rPr>
        <w:t xml:space="preserve">Uncollectible </w:t>
      </w:r>
      <w:r w:rsidRPr="00EA12AC">
        <w:rPr>
          <w:b/>
          <w:bCs/>
          <w:sz w:val="26"/>
          <w:szCs w:val="26"/>
        </w:rPr>
        <w:t xml:space="preserve">Expenses Resulting </w:t>
      </w:r>
      <w:r w:rsidR="006F06D5">
        <w:rPr>
          <w:b/>
          <w:bCs/>
          <w:sz w:val="26"/>
          <w:szCs w:val="26"/>
        </w:rPr>
        <w:t>f</w:t>
      </w:r>
      <w:r w:rsidRPr="00EA12AC">
        <w:rPr>
          <w:b/>
          <w:bCs/>
          <w:sz w:val="26"/>
          <w:szCs w:val="26"/>
        </w:rPr>
        <w:t xml:space="preserve">rom Compliance with the </w:t>
      </w:r>
      <w:r w:rsidRPr="00EA12AC">
        <w:rPr>
          <w:b/>
          <w:bCs/>
          <w:i/>
          <w:sz w:val="26"/>
          <w:szCs w:val="26"/>
        </w:rPr>
        <w:t>Emergency Order</w:t>
      </w:r>
      <w:r w:rsidRPr="00EA12AC">
        <w:rPr>
          <w:b/>
          <w:bCs/>
          <w:sz w:val="26"/>
          <w:szCs w:val="26"/>
        </w:rPr>
        <w:t xml:space="preserve">  </w:t>
      </w:r>
    </w:p>
    <w:p w14:paraId="0009B458" w14:textId="77777777" w:rsidR="00285B0C" w:rsidRPr="00EA12AC" w:rsidRDefault="00285B0C" w:rsidP="00EA12AC">
      <w:pPr>
        <w:pStyle w:val="ListParagraph"/>
        <w:ind w:left="1080"/>
        <w:rPr>
          <w:sz w:val="26"/>
          <w:szCs w:val="26"/>
        </w:rPr>
      </w:pPr>
    </w:p>
    <w:p w14:paraId="0F58462D" w14:textId="77777777" w:rsidR="00552A2D" w:rsidRDefault="00285B0C" w:rsidP="00D871C1">
      <w:pPr>
        <w:ind w:left="2160" w:hanging="720"/>
        <w:contextualSpacing/>
        <w:rPr>
          <w:b/>
          <w:bCs/>
          <w:sz w:val="26"/>
          <w:szCs w:val="26"/>
        </w:rPr>
      </w:pPr>
      <w:r w:rsidRPr="00D871C1">
        <w:rPr>
          <w:b/>
          <w:bCs/>
          <w:sz w:val="26"/>
          <w:szCs w:val="26"/>
        </w:rPr>
        <w:t xml:space="preserve">Electric, Natural Gas, Water, Wastewater, Steam, and </w:t>
      </w:r>
      <w:r w:rsidR="006F06D5">
        <w:rPr>
          <w:b/>
          <w:bCs/>
          <w:sz w:val="26"/>
          <w:szCs w:val="26"/>
        </w:rPr>
        <w:t>A</w:t>
      </w:r>
      <w:r w:rsidRPr="00D871C1">
        <w:rPr>
          <w:b/>
          <w:bCs/>
          <w:sz w:val="26"/>
          <w:szCs w:val="26"/>
        </w:rPr>
        <w:t xml:space="preserve">ll </w:t>
      </w:r>
      <w:r w:rsidR="006F06D5">
        <w:rPr>
          <w:b/>
          <w:bCs/>
          <w:sz w:val="26"/>
          <w:szCs w:val="26"/>
        </w:rPr>
        <w:t>R</w:t>
      </w:r>
      <w:r w:rsidR="00017A4C" w:rsidRPr="00D871C1">
        <w:rPr>
          <w:b/>
          <w:bCs/>
          <w:sz w:val="26"/>
          <w:szCs w:val="26"/>
        </w:rPr>
        <w:t>ate</w:t>
      </w:r>
    </w:p>
    <w:p w14:paraId="4888D449" w14:textId="77777777" w:rsidR="00285B0C" w:rsidRPr="00D871C1" w:rsidRDefault="006F06D5" w:rsidP="00D871C1">
      <w:pPr>
        <w:ind w:left="2160" w:hanging="720"/>
        <w:contextualSpacing/>
        <w:rPr>
          <w:b/>
          <w:bCs/>
          <w:sz w:val="26"/>
          <w:szCs w:val="26"/>
        </w:rPr>
      </w:pPr>
      <w:r>
        <w:rPr>
          <w:b/>
          <w:bCs/>
          <w:sz w:val="26"/>
          <w:szCs w:val="26"/>
        </w:rPr>
        <w:t>B</w:t>
      </w:r>
      <w:r w:rsidR="00017A4C" w:rsidRPr="00D871C1">
        <w:rPr>
          <w:b/>
          <w:bCs/>
          <w:sz w:val="26"/>
          <w:szCs w:val="26"/>
        </w:rPr>
        <w:t>ase/</w:t>
      </w:r>
      <w:r>
        <w:rPr>
          <w:b/>
          <w:bCs/>
          <w:sz w:val="26"/>
          <w:szCs w:val="26"/>
        </w:rPr>
        <w:t>R</w:t>
      </w:r>
      <w:r w:rsidR="00017A4C" w:rsidRPr="00D871C1">
        <w:rPr>
          <w:b/>
          <w:bCs/>
          <w:sz w:val="26"/>
          <w:szCs w:val="26"/>
        </w:rPr>
        <w:t xml:space="preserve">ate of </w:t>
      </w:r>
      <w:r>
        <w:rPr>
          <w:b/>
          <w:bCs/>
          <w:sz w:val="26"/>
          <w:szCs w:val="26"/>
        </w:rPr>
        <w:t>R</w:t>
      </w:r>
      <w:r w:rsidR="00017A4C" w:rsidRPr="00D871C1">
        <w:rPr>
          <w:b/>
          <w:bCs/>
          <w:sz w:val="26"/>
          <w:szCs w:val="26"/>
        </w:rPr>
        <w:t xml:space="preserve">eturn </w:t>
      </w:r>
      <w:r w:rsidR="00285B0C" w:rsidRPr="00D871C1">
        <w:rPr>
          <w:b/>
          <w:bCs/>
          <w:sz w:val="26"/>
          <w:szCs w:val="26"/>
        </w:rPr>
        <w:t>Telecommunications Utilities</w:t>
      </w:r>
      <w:r w:rsidR="00017A4C" w:rsidRPr="00D871C1">
        <w:rPr>
          <w:rStyle w:val="FootnoteReference"/>
          <w:b/>
          <w:bCs/>
          <w:sz w:val="26"/>
          <w:szCs w:val="26"/>
        </w:rPr>
        <w:footnoteReference w:id="2"/>
      </w:r>
      <w:r w:rsidR="00285B0C" w:rsidRPr="00D871C1">
        <w:rPr>
          <w:b/>
          <w:bCs/>
          <w:sz w:val="26"/>
          <w:szCs w:val="26"/>
        </w:rPr>
        <w:t xml:space="preserve"> </w:t>
      </w:r>
    </w:p>
    <w:p w14:paraId="4444D4E5" w14:textId="77777777" w:rsidR="00285B0C" w:rsidRPr="00EA12AC" w:rsidRDefault="00285B0C" w:rsidP="00EA12AC">
      <w:pPr>
        <w:ind w:firstLine="1440"/>
        <w:rPr>
          <w:sz w:val="26"/>
          <w:szCs w:val="26"/>
        </w:rPr>
      </w:pPr>
    </w:p>
    <w:p w14:paraId="1FA83DCB" w14:textId="77777777" w:rsidR="00285B0C" w:rsidRPr="00EA12AC" w:rsidRDefault="00285B0C" w:rsidP="00EA12AC">
      <w:pPr>
        <w:ind w:firstLine="720"/>
        <w:rPr>
          <w:sz w:val="26"/>
          <w:szCs w:val="26"/>
        </w:rPr>
      </w:pPr>
      <w:r w:rsidRPr="00EA12AC">
        <w:rPr>
          <w:sz w:val="26"/>
          <w:szCs w:val="26"/>
        </w:rPr>
        <w:t xml:space="preserve">The Commission recognizes that compliance with its </w:t>
      </w:r>
      <w:r w:rsidRPr="00EA12AC">
        <w:rPr>
          <w:i/>
          <w:iCs/>
          <w:sz w:val="26"/>
          <w:szCs w:val="26"/>
        </w:rPr>
        <w:t>Emergency Order</w:t>
      </w:r>
      <w:r w:rsidRPr="00EA12AC">
        <w:rPr>
          <w:sz w:val="26"/>
          <w:szCs w:val="26"/>
        </w:rPr>
        <w:t xml:space="preserve"> may increase uncollectible expenses for utilities.  Consequently, the Commission authorizes </w:t>
      </w:r>
      <w:bookmarkStart w:id="0" w:name="_Hlk40026633"/>
      <w:r w:rsidRPr="00EA12AC">
        <w:rPr>
          <w:sz w:val="26"/>
          <w:szCs w:val="26"/>
        </w:rPr>
        <w:t xml:space="preserve">electric, natural gas, water, wastewater, steam and all </w:t>
      </w:r>
      <w:r w:rsidR="00017A4C" w:rsidRPr="00EA12AC">
        <w:rPr>
          <w:sz w:val="26"/>
          <w:szCs w:val="26"/>
        </w:rPr>
        <w:t>rate base/rate of return</w:t>
      </w:r>
      <w:r w:rsidRPr="00EA12AC">
        <w:rPr>
          <w:sz w:val="26"/>
          <w:szCs w:val="26"/>
        </w:rPr>
        <w:t xml:space="preserve"> telecommunications utilities </w:t>
      </w:r>
      <w:bookmarkEnd w:id="0"/>
      <w:r w:rsidRPr="00EA12AC">
        <w:rPr>
          <w:sz w:val="26"/>
          <w:szCs w:val="26"/>
        </w:rPr>
        <w:t xml:space="preserve">to create a regulatory asset for any incremental uncollectible expenses incurred above those embedded in rates since the issuance of the </w:t>
      </w:r>
      <w:r w:rsidRPr="00EA12AC">
        <w:rPr>
          <w:i/>
          <w:iCs/>
          <w:sz w:val="26"/>
          <w:szCs w:val="26"/>
        </w:rPr>
        <w:t>Emergency Order</w:t>
      </w:r>
      <w:r w:rsidRPr="00EA12AC">
        <w:rPr>
          <w:sz w:val="26"/>
          <w:szCs w:val="26"/>
        </w:rPr>
        <w:t xml:space="preserve">.  In order to be eligible for inclusion in a utility’s COVID-19 designated regulatory asset, the utility must maintain detailed records of the incremental </w:t>
      </w:r>
      <w:r w:rsidR="002C3154" w:rsidRPr="00EA12AC">
        <w:rPr>
          <w:sz w:val="26"/>
          <w:szCs w:val="26"/>
        </w:rPr>
        <w:t>extraordinary, nonrecurring</w:t>
      </w:r>
      <w:r w:rsidR="002F6E4D" w:rsidRPr="00EA12AC">
        <w:rPr>
          <w:sz w:val="26"/>
          <w:szCs w:val="26"/>
        </w:rPr>
        <w:t xml:space="preserve"> </w:t>
      </w:r>
      <w:r w:rsidR="00017A4C" w:rsidRPr="00EA12AC">
        <w:rPr>
          <w:sz w:val="26"/>
          <w:szCs w:val="26"/>
        </w:rPr>
        <w:t>expenses</w:t>
      </w:r>
      <w:r w:rsidRPr="00EA12AC">
        <w:rPr>
          <w:sz w:val="26"/>
          <w:szCs w:val="26"/>
        </w:rPr>
        <w:t xml:space="preserve"> incurred as a result of compliance with the </w:t>
      </w:r>
      <w:r w:rsidRPr="00EA12AC">
        <w:rPr>
          <w:i/>
          <w:iCs/>
          <w:sz w:val="26"/>
          <w:szCs w:val="26"/>
        </w:rPr>
        <w:t>Emergency Order</w:t>
      </w:r>
      <w:bookmarkStart w:id="1" w:name="_Hlk40025675"/>
      <w:r w:rsidRPr="00EA12AC">
        <w:rPr>
          <w:sz w:val="26"/>
          <w:szCs w:val="26"/>
        </w:rPr>
        <w:t xml:space="preserve">, as outlined in Part I of this Secretarial Letter.  </w:t>
      </w:r>
      <w:bookmarkEnd w:id="1"/>
    </w:p>
    <w:p w14:paraId="14575E1B" w14:textId="77777777" w:rsidR="00285B0C" w:rsidRPr="00EA12AC" w:rsidRDefault="00285B0C" w:rsidP="00EA12AC">
      <w:pPr>
        <w:rPr>
          <w:sz w:val="26"/>
          <w:szCs w:val="26"/>
        </w:rPr>
      </w:pPr>
    </w:p>
    <w:p w14:paraId="76C1DE9D" w14:textId="77777777" w:rsidR="00285B0C" w:rsidRPr="00EA12AC" w:rsidRDefault="002C3154" w:rsidP="00EA12AC">
      <w:pPr>
        <w:keepNext/>
        <w:keepLines/>
        <w:ind w:left="720"/>
        <w:contextualSpacing/>
        <w:rPr>
          <w:b/>
          <w:bCs/>
          <w:sz w:val="26"/>
          <w:szCs w:val="26"/>
        </w:rPr>
      </w:pPr>
      <w:r w:rsidRPr="00EA12AC">
        <w:rPr>
          <w:b/>
          <w:bCs/>
          <w:sz w:val="26"/>
          <w:szCs w:val="26"/>
        </w:rPr>
        <w:lastRenderedPageBreak/>
        <w:t>III</w:t>
      </w:r>
      <w:r w:rsidR="002F6E4D" w:rsidRPr="00EA12AC">
        <w:rPr>
          <w:b/>
          <w:bCs/>
          <w:sz w:val="26"/>
          <w:szCs w:val="26"/>
        </w:rPr>
        <w:t>.</w:t>
      </w:r>
      <w:r w:rsidR="002F6E4D" w:rsidRPr="00EA12AC">
        <w:rPr>
          <w:b/>
          <w:bCs/>
          <w:sz w:val="26"/>
          <w:szCs w:val="26"/>
        </w:rPr>
        <w:tab/>
      </w:r>
      <w:r w:rsidR="00017A4C" w:rsidRPr="00EA12AC">
        <w:rPr>
          <w:b/>
          <w:bCs/>
          <w:sz w:val="26"/>
          <w:szCs w:val="26"/>
        </w:rPr>
        <w:t xml:space="preserve">Chapter 30 Price Cap Regulated </w:t>
      </w:r>
      <w:r w:rsidR="00285B0C" w:rsidRPr="00EA12AC">
        <w:rPr>
          <w:b/>
          <w:bCs/>
          <w:sz w:val="26"/>
          <w:szCs w:val="26"/>
        </w:rPr>
        <w:t>Incumbent Local Exchange Carriers</w:t>
      </w:r>
    </w:p>
    <w:p w14:paraId="06861EB5" w14:textId="77777777" w:rsidR="00285B0C" w:rsidRPr="00EA12AC" w:rsidRDefault="00285B0C" w:rsidP="00EA12AC">
      <w:pPr>
        <w:keepNext/>
        <w:keepLines/>
        <w:rPr>
          <w:sz w:val="26"/>
          <w:szCs w:val="26"/>
        </w:rPr>
      </w:pPr>
    </w:p>
    <w:p w14:paraId="6254A7FF" w14:textId="77777777" w:rsidR="00285B0C" w:rsidRPr="00EA12AC" w:rsidRDefault="00285B0C" w:rsidP="00EA12AC">
      <w:pPr>
        <w:keepNext/>
        <w:keepLines/>
        <w:ind w:firstLine="720"/>
        <w:rPr>
          <w:sz w:val="26"/>
          <w:szCs w:val="26"/>
        </w:rPr>
      </w:pPr>
      <w:r w:rsidRPr="00EA12AC">
        <w:rPr>
          <w:sz w:val="26"/>
          <w:szCs w:val="26"/>
        </w:rPr>
        <w:t>The Commission recognizes that compliance with its</w:t>
      </w:r>
      <w:r w:rsidRPr="00EA12AC">
        <w:rPr>
          <w:i/>
          <w:iCs/>
          <w:sz w:val="26"/>
          <w:szCs w:val="26"/>
        </w:rPr>
        <w:t xml:space="preserve"> Emergency Order</w:t>
      </w:r>
      <w:r w:rsidRPr="00EA12AC">
        <w:rPr>
          <w:sz w:val="26"/>
          <w:szCs w:val="26"/>
        </w:rPr>
        <w:t xml:space="preserve"> and the Federal Communications Commission’s Keep Americans Connected Pledge (</w:t>
      </w:r>
      <w:r w:rsidRPr="00EA12AC">
        <w:rPr>
          <w:i/>
          <w:sz w:val="26"/>
          <w:szCs w:val="26"/>
        </w:rPr>
        <w:t>FCC Pledge</w:t>
      </w:r>
      <w:r w:rsidRPr="00EA12AC">
        <w:rPr>
          <w:sz w:val="26"/>
          <w:szCs w:val="26"/>
        </w:rPr>
        <w:t>)</w:t>
      </w:r>
      <w:r w:rsidR="00017A4C" w:rsidRPr="00EA12AC">
        <w:rPr>
          <w:sz w:val="26"/>
          <w:szCs w:val="26"/>
        </w:rPr>
        <w:t>,</w:t>
      </w:r>
      <w:r w:rsidRPr="00EA12AC">
        <w:rPr>
          <w:rStyle w:val="FootnoteReference"/>
          <w:sz w:val="26"/>
          <w:szCs w:val="26"/>
        </w:rPr>
        <w:footnoteReference w:id="3"/>
      </w:r>
      <w:r w:rsidRPr="00EA12AC">
        <w:rPr>
          <w:sz w:val="26"/>
          <w:szCs w:val="26"/>
        </w:rPr>
        <w:t xml:space="preserve"> which most if not all of Pennsylvania’s certificated ILEC providers have committed to abide by, may result in extraordinary revenue or expense impacts that may constitute a</w:t>
      </w:r>
      <w:r w:rsidR="00361769" w:rsidRPr="00EA12AC">
        <w:rPr>
          <w:sz w:val="26"/>
          <w:szCs w:val="26"/>
        </w:rPr>
        <w:t>n</w:t>
      </w:r>
      <w:r w:rsidRPr="00EA12AC">
        <w:rPr>
          <w:sz w:val="26"/>
          <w:szCs w:val="26"/>
        </w:rPr>
        <w:t xml:space="preserve"> “exogenous event” under the </w:t>
      </w:r>
      <w:r w:rsidR="00017A4C" w:rsidRPr="00EA12AC">
        <w:rPr>
          <w:sz w:val="26"/>
          <w:szCs w:val="26"/>
        </w:rPr>
        <w:t>price cap regulated ILECs’</w:t>
      </w:r>
      <w:r w:rsidR="008904B6">
        <w:rPr>
          <w:sz w:val="26"/>
          <w:szCs w:val="26"/>
        </w:rPr>
        <w:t xml:space="preserve"> </w:t>
      </w:r>
      <w:r w:rsidR="00017A4C" w:rsidRPr="00EA12AC">
        <w:rPr>
          <w:sz w:val="26"/>
          <w:szCs w:val="26"/>
        </w:rPr>
        <w:t xml:space="preserve">Chapter 30 alternative regulation plans </w:t>
      </w:r>
      <w:r w:rsidR="002C3154" w:rsidRPr="00EA12AC">
        <w:rPr>
          <w:sz w:val="26"/>
          <w:szCs w:val="26"/>
        </w:rPr>
        <w:t>.</w:t>
      </w:r>
      <w:r w:rsidRPr="00EA12AC">
        <w:rPr>
          <w:rStyle w:val="FootnoteReference"/>
          <w:sz w:val="26"/>
          <w:szCs w:val="26"/>
        </w:rPr>
        <w:footnoteReference w:id="4"/>
      </w:r>
      <w:r w:rsidRPr="00EA12AC">
        <w:rPr>
          <w:sz w:val="26"/>
          <w:szCs w:val="26"/>
        </w:rPr>
        <w:t xml:space="preserve">  In order to be eligible for </w:t>
      </w:r>
      <w:r w:rsidR="002C3154" w:rsidRPr="00EA12AC">
        <w:rPr>
          <w:sz w:val="26"/>
          <w:szCs w:val="26"/>
        </w:rPr>
        <w:t xml:space="preserve">consideration for recovery as a </w:t>
      </w:r>
      <w:r w:rsidRPr="00EA12AC">
        <w:rPr>
          <w:sz w:val="26"/>
          <w:szCs w:val="26"/>
        </w:rPr>
        <w:t xml:space="preserve">COVID-19 </w:t>
      </w:r>
      <w:r w:rsidR="002C3154" w:rsidRPr="00EA12AC">
        <w:rPr>
          <w:sz w:val="26"/>
          <w:szCs w:val="26"/>
        </w:rPr>
        <w:t xml:space="preserve">exogenous event, </w:t>
      </w:r>
      <w:r w:rsidRPr="00EA12AC">
        <w:rPr>
          <w:sz w:val="26"/>
          <w:szCs w:val="26"/>
        </w:rPr>
        <w:t xml:space="preserve">the utility must maintain detailed records of the </w:t>
      </w:r>
      <w:r w:rsidR="00017A4C" w:rsidRPr="00EA12AC">
        <w:rPr>
          <w:sz w:val="26"/>
          <w:szCs w:val="26"/>
        </w:rPr>
        <w:t xml:space="preserve">extraordinary, nonrecurring </w:t>
      </w:r>
      <w:r w:rsidRPr="00EA12AC">
        <w:rPr>
          <w:sz w:val="26"/>
          <w:szCs w:val="26"/>
        </w:rPr>
        <w:t xml:space="preserve">incremental </w:t>
      </w:r>
      <w:r w:rsidR="00017A4C" w:rsidRPr="00EA12AC">
        <w:rPr>
          <w:sz w:val="26"/>
          <w:szCs w:val="26"/>
        </w:rPr>
        <w:t>expenses</w:t>
      </w:r>
      <w:r w:rsidRPr="00EA12AC">
        <w:rPr>
          <w:sz w:val="26"/>
          <w:szCs w:val="26"/>
        </w:rPr>
        <w:t xml:space="preserve"> incurred as a result of compliance with the </w:t>
      </w:r>
      <w:r w:rsidRPr="00EA12AC">
        <w:rPr>
          <w:i/>
          <w:iCs/>
          <w:sz w:val="26"/>
          <w:szCs w:val="26"/>
        </w:rPr>
        <w:t xml:space="preserve">Emergency Order </w:t>
      </w:r>
      <w:r w:rsidRPr="00EA12AC">
        <w:rPr>
          <w:iCs/>
          <w:sz w:val="26"/>
          <w:szCs w:val="26"/>
        </w:rPr>
        <w:t>and the</w:t>
      </w:r>
      <w:r w:rsidRPr="00EA12AC">
        <w:rPr>
          <w:i/>
          <w:iCs/>
          <w:sz w:val="26"/>
          <w:szCs w:val="26"/>
        </w:rPr>
        <w:t xml:space="preserve"> FCC Pledge</w:t>
      </w:r>
      <w:r w:rsidRPr="00EA12AC">
        <w:rPr>
          <w:sz w:val="26"/>
          <w:szCs w:val="26"/>
        </w:rPr>
        <w:t xml:space="preserve">, as outlined in Part I of this Secretarial Letter.  </w:t>
      </w:r>
    </w:p>
    <w:p w14:paraId="64BDBBD9" w14:textId="77777777" w:rsidR="00285B0C" w:rsidRPr="00EA12AC" w:rsidRDefault="00285B0C" w:rsidP="00EA12AC">
      <w:pPr>
        <w:ind w:firstLine="720"/>
        <w:rPr>
          <w:sz w:val="26"/>
          <w:szCs w:val="26"/>
        </w:rPr>
      </w:pPr>
    </w:p>
    <w:p w14:paraId="5DDC6858" w14:textId="77777777" w:rsidR="00285B0C" w:rsidRPr="008515C1" w:rsidRDefault="002C3154" w:rsidP="00EA12AC">
      <w:pPr>
        <w:ind w:left="360" w:firstLine="360"/>
        <w:contextualSpacing/>
        <w:rPr>
          <w:b/>
          <w:bCs/>
          <w:sz w:val="26"/>
          <w:szCs w:val="26"/>
        </w:rPr>
      </w:pPr>
      <w:r w:rsidRPr="008515C1">
        <w:rPr>
          <w:b/>
          <w:bCs/>
          <w:sz w:val="26"/>
          <w:szCs w:val="26"/>
        </w:rPr>
        <w:t>IV</w:t>
      </w:r>
      <w:r w:rsidR="002F6E4D" w:rsidRPr="008515C1">
        <w:rPr>
          <w:b/>
          <w:bCs/>
          <w:sz w:val="26"/>
          <w:szCs w:val="26"/>
        </w:rPr>
        <w:t>.</w:t>
      </w:r>
      <w:r w:rsidR="002F6E4D" w:rsidRPr="008515C1">
        <w:rPr>
          <w:b/>
          <w:bCs/>
          <w:sz w:val="26"/>
          <w:szCs w:val="26"/>
        </w:rPr>
        <w:tab/>
      </w:r>
      <w:r w:rsidR="00285B0C" w:rsidRPr="008515C1">
        <w:rPr>
          <w:b/>
          <w:bCs/>
          <w:sz w:val="26"/>
          <w:szCs w:val="26"/>
        </w:rPr>
        <w:t>Effect of this Secretarial Letter</w:t>
      </w:r>
    </w:p>
    <w:p w14:paraId="6B9BE31D" w14:textId="77777777" w:rsidR="00285B0C" w:rsidRPr="00EA12AC" w:rsidRDefault="00285B0C" w:rsidP="00EA12AC">
      <w:pPr>
        <w:ind w:firstLine="720"/>
        <w:jc w:val="both"/>
        <w:rPr>
          <w:sz w:val="26"/>
          <w:szCs w:val="26"/>
        </w:rPr>
      </w:pPr>
    </w:p>
    <w:p w14:paraId="5664C5FF" w14:textId="77777777" w:rsidR="00285B0C" w:rsidRDefault="00FA6E79" w:rsidP="00EA12AC">
      <w:pPr>
        <w:ind w:firstLine="720"/>
        <w:rPr>
          <w:rStyle w:val="CommentReference"/>
          <w:sz w:val="26"/>
          <w:szCs w:val="26"/>
        </w:rPr>
      </w:pPr>
      <w:r w:rsidRPr="00EA12AC">
        <w:rPr>
          <w:sz w:val="26"/>
          <w:szCs w:val="26"/>
        </w:rPr>
        <w:t>A utility shall file a notice with the Commission upon establishing a</w:t>
      </w:r>
      <w:r w:rsidR="00905104" w:rsidRPr="00EA12AC">
        <w:rPr>
          <w:sz w:val="26"/>
          <w:szCs w:val="26"/>
        </w:rPr>
        <w:t xml:space="preserve"> regulatory asset as described in this letter.  Such notification shall be served on the </w:t>
      </w:r>
      <w:r w:rsidR="00CA09C5" w:rsidRPr="00EA12AC">
        <w:rPr>
          <w:sz w:val="26"/>
          <w:szCs w:val="26"/>
        </w:rPr>
        <w:t xml:space="preserve">Commission’s </w:t>
      </w:r>
      <w:r w:rsidR="00905104" w:rsidRPr="00EA12AC">
        <w:rPr>
          <w:sz w:val="26"/>
          <w:szCs w:val="26"/>
        </w:rPr>
        <w:t>Bureau of Investigation and Enforcement, the Office of Consumer Advocate, and the Office of Small Business Advocate.</w:t>
      </w:r>
      <w:r w:rsidRPr="00EA12AC">
        <w:rPr>
          <w:sz w:val="26"/>
          <w:szCs w:val="26"/>
        </w:rPr>
        <w:t xml:space="preserve"> </w:t>
      </w:r>
      <w:r w:rsidR="00285B0C" w:rsidRPr="00EA12AC">
        <w:rPr>
          <w:sz w:val="26"/>
          <w:szCs w:val="26"/>
        </w:rPr>
        <w:t xml:space="preserve">The Commission will consider in future proceedings whether each utility’s request for recovery of any regulatory asset </w:t>
      </w:r>
      <w:r w:rsidR="002C3154" w:rsidRPr="00EA12AC">
        <w:rPr>
          <w:sz w:val="26"/>
          <w:szCs w:val="26"/>
        </w:rPr>
        <w:t xml:space="preserve">or exogenous event recovery </w:t>
      </w:r>
      <w:r w:rsidR="00361769" w:rsidRPr="00EA12AC">
        <w:rPr>
          <w:sz w:val="26"/>
          <w:szCs w:val="26"/>
        </w:rPr>
        <w:t xml:space="preserve">related to the </w:t>
      </w:r>
      <w:r w:rsidR="00361769" w:rsidRPr="00EA12AC">
        <w:rPr>
          <w:i/>
          <w:iCs/>
          <w:sz w:val="26"/>
          <w:szCs w:val="26"/>
        </w:rPr>
        <w:t>Emergency</w:t>
      </w:r>
      <w:r w:rsidR="00361769" w:rsidRPr="00EA12AC">
        <w:rPr>
          <w:sz w:val="26"/>
          <w:szCs w:val="26"/>
        </w:rPr>
        <w:t xml:space="preserve"> </w:t>
      </w:r>
      <w:r w:rsidR="00361769" w:rsidRPr="00EA12AC">
        <w:rPr>
          <w:i/>
          <w:iCs/>
          <w:sz w:val="26"/>
          <w:szCs w:val="26"/>
        </w:rPr>
        <w:t>Order</w:t>
      </w:r>
      <w:r w:rsidR="00361769" w:rsidRPr="00EA12AC">
        <w:rPr>
          <w:rStyle w:val="FootnoteReference"/>
          <w:i/>
          <w:iCs/>
          <w:sz w:val="26"/>
          <w:szCs w:val="26"/>
        </w:rPr>
        <w:footnoteReference w:id="5"/>
      </w:r>
      <w:r w:rsidR="00361769" w:rsidRPr="00EA12AC">
        <w:rPr>
          <w:sz w:val="26"/>
          <w:szCs w:val="26"/>
        </w:rPr>
        <w:t xml:space="preserve"> </w:t>
      </w:r>
      <w:r w:rsidR="00285B0C" w:rsidRPr="00EA12AC">
        <w:rPr>
          <w:sz w:val="26"/>
          <w:szCs w:val="26"/>
        </w:rPr>
        <w:t>is just and reasonable pursuant to 66 Pa. C.S. §§ 1301</w:t>
      </w:r>
      <w:r w:rsidR="00017A4C" w:rsidRPr="00EA12AC">
        <w:rPr>
          <w:sz w:val="26"/>
          <w:szCs w:val="26"/>
        </w:rPr>
        <w:t>,</w:t>
      </w:r>
      <w:r w:rsidR="00285B0C" w:rsidRPr="00EA12AC">
        <w:rPr>
          <w:sz w:val="26"/>
          <w:szCs w:val="26"/>
        </w:rPr>
        <w:t xml:space="preserve"> 1308</w:t>
      </w:r>
      <w:r w:rsidR="00017A4C" w:rsidRPr="00EA12AC">
        <w:rPr>
          <w:sz w:val="26"/>
          <w:szCs w:val="26"/>
        </w:rPr>
        <w:t xml:space="preserve"> (as applicable), and applicable Chapter 30 plans</w:t>
      </w:r>
      <w:r w:rsidR="00285B0C" w:rsidRPr="00EA12AC">
        <w:rPr>
          <w:sz w:val="26"/>
          <w:szCs w:val="26"/>
        </w:rPr>
        <w:t xml:space="preserve">.  The Commission will also consider during those </w:t>
      </w:r>
      <w:proofErr w:type="gramStart"/>
      <w:r w:rsidR="00285B0C" w:rsidRPr="00EA12AC">
        <w:rPr>
          <w:sz w:val="26"/>
          <w:szCs w:val="26"/>
        </w:rPr>
        <w:t>proceedings</w:t>
      </w:r>
      <w:proofErr w:type="gramEnd"/>
      <w:r w:rsidR="00285B0C" w:rsidRPr="00EA12AC">
        <w:rPr>
          <w:sz w:val="26"/>
          <w:szCs w:val="26"/>
        </w:rPr>
        <w:t xml:space="preserve"> other issues, such as the appropriate period of recovery for the approved amount of the regulatory asset</w:t>
      </w:r>
      <w:r w:rsidR="004A6D6B" w:rsidRPr="00EA12AC">
        <w:rPr>
          <w:sz w:val="26"/>
          <w:szCs w:val="26"/>
        </w:rPr>
        <w:t xml:space="preserve"> or exogenous event treatment</w:t>
      </w:r>
      <w:r w:rsidR="00285B0C" w:rsidRPr="00EA12AC">
        <w:rPr>
          <w:sz w:val="26"/>
          <w:szCs w:val="26"/>
        </w:rPr>
        <w:t xml:space="preserve">, any amount of carrying costs thereon, and other related matters. </w:t>
      </w:r>
      <w:r w:rsidR="00574543" w:rsidRPr="00EA12AC">
        <w:rPr>
          <w:sz w:val="26"/>
          <w:szCs w:val="26"/>
        </w:rPr>
        <w:t>Regulated entities shall claim the deferred expenses at their first available opportunity.</w:t>
      </w:r>
      <w:r w:rsidR="00574543" w:rsidRPr="00EA12AC" w:rsidDel="00574543">
        <w:rPr>
          <w:rStyle w:val="CommentReference"/>
          <w:sz w:val="26"/>
          <w:szCs w:val="26"/>
        </w:rPr>
        <w:t xml:space="preserve"> </w:t>
      </w:r>
    </w:p>
    <w:p w14:paraId="730CA837" w14:textId="77777777" w:rsidR="008515C1" w:rsidRPr="00EA12AC" w:rsidRDefault="008515C1" w:rsidP="00EA12AC">
      <w:pPr>
        <w:ind w:firstLine="720"/>
        <w:rPr>
          <w:i/>
          <w:iCs/>
          <w:sz w:val="26"/>
          <w:szCs w:val="26"/>
        </w:rPr>
      </w:pPr>
    </w:p>
    <w:p w14:paraId="479E4B5A" w14:textId="77777777" w:rsidR="00285B0C" w:rsidRDefault="00285B0C" w:rsidP="00EA12AC">
      <w:pPr>
        <w:pStyle w:val="NormalWeb"/>
        <w:spacing w:before="0" w:beforeAutospacing="0" w:after="0" w:afterAutospacing="0"/>
        <w:ind w:firstLine="720"/>
        <w:rPr>
          <w:sz w:val="26"/>
          <w:szCs w:val="26"/>
        </w:rPr>
      </w:pPr>
      <w:r w:rsidRPr="00EA12AC">
        <w:rPr>
          <w:sz w:val="26"/>
          <w:szCs w:val="26"/>
        </w:rPr>
        <w:t xml:space="preserve">The Commission’s instructions that utilities track </w:t>
      </w:r>
      <w:r w:rsidR="00017A4C" w:rsidRPr="00EA12AC">
        <w:rPr>
          <w:sz w:val="26"/>
          <w:szCs w:val="26"/>
        </w:rPr>
        <w:t xml:space="preserve">expenses </w:t>
      </w:r>
      <w:r w:rsidRPr="00EA12AC">
        <w:rPr>
          <w:sz w:val="26"/>
          <w:szCs w:val="26"/>
        </w:rPr>
        <w:t xml:space="preserve">as described in </w:t>
      </w:r>
      <w:r w:rsidR="00E746A7" w:rsidRPr="00EA12AC">
        <w:rPr>
          <w:sz w:val="26"/>
          <w:szCs w:val="26"/>
        </w:rPr>
        <w:t xml:space="preserve">Section I above are intended </w:t>
      </w:r>
      <w:r w:rsidRPr="00EA12AC">
        <w:rPr>
          <w:sz w:val="26"/>
          <w:szCs w:val="26"/>
        </w:rPr>
        <w:t xml:space="preserve">to provide the Commission with information to understand the extent of the COVID-19 pandemic’s impact on utilities’ finances.  </w:t>
      </w:r>
    </w:p>
    <w:p w14:paraId="1EBDA1D3" w14:textId="77777777" w:rsidR="008515C1" w:rsidRPr="00EA12AC" w:rsidRDefault="008515C1" w:rsidP="00EA12AC">
      <w:pPr>
        <w:pStyle w:val="NormalWeb"/>
        <w:spacing w:before="0" w:beforeAutospacing="0" w:after="0" w:afterAutospacing="0"/>
        <w:ind w:firstLine="720"/>
        <w:rPr>
          <w:sz w:val="26"/>
          <w:szCs w:val="26"/>
        </w:rPr>
      </w:pPr>
    </w:p>
    <w:p w14:paraId="6BF5E53B" w14:textId="77777777" w:rsidR="008515C1" w:rsidRDefault="00285B0C" w:rsidP="00EA12AC">
      <w:pPr>
        <w:ind w:firstLine="720"/>
        <w:jc w:val="both"/>
        <w:rPr>
          <w:sz w:val="26"/>
          <w:szCs w:val="26"/>
        </w:rPr>
      </w:pPr>
      <w:r w:rsidRPr="00EA12AC">
        <w:rPr>
          <w:sz w:val="26"/>
          <w:szCs w:val="26"/>
        </w:rPr>
        <w:t xml:space="preserve">This letter shall be served upon all electric, natural gas, water, wastewater, steam, and telecommunications utilities under the Commission’s jurisdiction.  </w:t>
      </w:r>
    </w:p>
    <w:p w14:paraId="5367F082" w14:textId="77777777" w:rsidR="008515C1" w:rsidRDefault="008515C1">
      <w:pPr>
        <w:spacing w:line="480" w:lineRule="auto"/>
        <w:ind w:firstLine="720"/>
        <w:rPr>
          <w:sz w:val="26"/>
          <w:szCs w:val="26"/>
        </w:rPr>
      </w:pPr>
      <w:r>
        <w:rPr>
          <w:sz w:val="26"/>
          <w:szCs w:val="26"/>
        </w:rPr>
        <w:br w:type="page"/>
      </w:r>
    </w:p>
    <w:p w14:paraId="5582909B" w14:textId="77777777" w:rsidR="00285B0C" w:rsidRPr="00EA12AC" w:rsidRDefault="00285B0C" w:rsidP="00EA12AC">
      <w:pPr>
        <w:ind w:firstLine="720"/>
        <w:rPr>
          <w:sz w:val="26"/>
          <w:szCs w:val="26"/>
        </w:rPr>
      </w:pPr>
      <w:r w:rsidRPr="00EA12AC">
        <w:rPr>
          <w:sz w:val="26"/>
          <w:szCs w:val="26"/>
        </w:rPr>
        <w:lastRenderedPageBreak/>
        <w:t xml:space="preserve">If you have any questions in this matter, please contact Renardo L. Hicks, Chief Counsel, at </w:t>
      </w:r>
      <w:hyperlink r:id="rId13" w:history="1">
        <w:r w:rsidRPr="00EA12AC">
          <w:rPr>
            <w:rStyle w:val="Hyperlink"/>
            <w:sz w:val="26"/>
            <w:szCs w:val="26"/>
          </w:rPr>
          <w:t>rehicks@pa.gov</w:t>
        </w:r>
      </w:hyperlink>
      <w:bookmarkStart w:id="2" w:name="_Hlk40027179"/>
      <w:r w:rsidRPr="00EA12AC">
        <w:rPr>
          <w:sz w:val="26"/>
          <w:szCs w:val="26"/>
        </w:rPr>
        <w:t xml:space="preserve">, or John Herzog, Executive Deputy Chief Counsel at </w:t>
      </w:r>
      <w:hyperlink r:id="rId14" w:history="1">
        <w:r w:rsidRPr="00EA12AC">
          <w:rPr>
            <w:rStyle w:val="Hyperlink"/>
            <w:sz w:val="26"/>
            <w:szCs w:val="26"/>
          </w:rPr>
          <w:t>jherzog@pa.gov</w:t>
        </w:r>
      </w:hyperlink>
      <w:bookmarkEnd w:id="2"/>
      <w:r w:rsidRPr="00EA12AC">
        <w:rPr>
          <w:sz w:val="26"/>
          <w:szCs w:val="26"/>
        </w:rPr>
        <w:t>.</w:t>
      </w:r>
    </w:p>
    <w:p w14:paraId="0CF25AEF" w14:textId="77777777" w:rsidR="00285B0C" w:rsidRPr="00EA12AC" w:rsidRDefault="00285B0C" w:rsidP="00EA12AC">
      <w:pPr>
        <w:ind w:firstLine="720"/>
        <w:rPr>
          <w:sz w:val="26"/>
          <w:szCs w:val="26"/>
        </w:rPr>
      </w:pPr>
    </w:p>
    <w:p w14:paraId="48974762" w14:textId="77777777" w:rsidR="00285B0C" w:rsidRPr="00EA12AC" w:rsidRDefault="00285B0C" w:rsidP="00EA12AC">
      <w:pPr>
        <w:rPr>
          <w:sz w:val="26"/>
          <w:szCs w:val="26"/>
        </w:rPr>
      </w:pPr>
    </w:p>
    <w:p w14:paraId="6E9A5C28" w14:textId="40E533A5" w:rsidR="00285B0C" w:rsidRPr="00EA12AC" w:rsidRDefault="00285B0C" w:rsidP="00672F5B">
      <w:pPr>
        <w:rPr>
          <w:sz w:val="26"/>
          <w:szCs w:val="26"/>
        </w:rPr>
      </w:pPr>
      <w:r w:rsidRPr="00EA12AC">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672F5B">
        <w:rPr>
          <w:sz w:val="26"/>
          <w:szCs w:val="26"/>
        </w:rPr>
        <w:tab/>
      </w:r>
      <w:r w:rsidR="00D018CC" w:rsidRPr="00EA12AC">
        <w:rPr>
          <w:sz w:val="26"/>
          <w:szCs w:val="26"/>
        </w:rPr>
        <w:t>S</w:t>
      </w:r>
      <w:r w:rsidRPr="00EA12AC">
        <w:rPr>
          <w:sz w:val="26"/>
          <w:szCs w:val="26"/>
        </w:rPr>
        <w:t>incerely</w:t>
      </w:r>
    </w:p>
    <w:p w14:paraId="32CE5767" w14:textId="0177ADEF" w:rsidR="00285B0C" w:rsidRPr="00EA12AC" w:rsidRDefault="007E04EE" w:rsidP="00EA12AC">
      <w:pPr>
        <w:rPr>
          <w:sz w:val="26"/>
          <w:szCs w:val="26"/>
        </w:rPr>
      </w:pPr>
      <w:r>
        <w:rPr>
          <w:rFonts w:ascii="Arial" w:hAnsi="Arial" w:cs="Arial"/>
          <w:noProof/>
          <w:sz w:val="24"/>
          <w:szCs w:val="24"/>
        </w:rPr>
        <w:drawing>
          <wp:anchor distT="0" distB="0" distL="114300" distR="114300" simplePos="0" relativeHeight="251658752" behindDoc="1" locked="0" layoutInCell="1" allowOverlap="1" wp14:anchorId="3F00167B" wp14:editId="1F5DDE78">
            <wp:simplePos x="0" y="0"/>
            <wp:positionH relativeFrom="column">
              <wp:posOffset>3257550</wp:posOffset>
            </wp:positionH>
            <wp:positionV relativeFrom="paragraph">
              <wp:posOffset>3810</wp:posOffset>
            </wp:positionV>
            <wp:extent cx="1836618" cy="633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6618"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BE169" w14:textId="3D11EA1E" w:rsidR="00285B0C" w:rsidRPr="00EA12AC" w:rsidRDefault="00285B0C" w:rsidP="00EA12AC">
      <w:pPr>
        <w:rPr>
          <w:sz w:val="26"/>
          <w:szCs w:val="26"/>
        </w:rPr>
      </w:pPr>
    </w:p>
    <w:p w14:paraId="4A034E90" w14:textId="749489CF" w:rsidR="00285B0C" w:rsidRPr="00EA12AC" w:rsidRDefault="007E04EE" w:rsidP="00EA12AC">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7BE9C6D8" w14:textId="77777777" w:rsidR="00285B0C" w:rsidRPr="00EA12AC" w:rsidRDefault="00285B0C" w:rsidP="00EA12AC">
      <w:pPr>
        <w:rPr>
          <w:sz w:val="26"/>
          <w:szCs w:val="26"/>
        </w:rPr>
      </w:pP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t>Rosemary Chiavetta</w:t>
      </w:r>
    </w:p>
    <w:p w14:paraId="527E592F" w14:textId="77777777" w:rsidR="00285B0C" w:rsidRPr="00EA12AC" w:rsidRDefault="00285B0C" w:rsidP="00EA12AC">
      <w:pPr>
        <w:rPr>
          <w:sz w:val="26"/>
          <w:szCs w:val="26"/>
        </w:rPr>
      </w:pP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r>
      <w:r w:rsidRPr="00EA12AC">
        <w:rPr>
          <w:sz w:val="26"/>
          <w:szCs w:val="26"/>
        </w:rPr>
        <w:tab/>
        <w:t>Secretary</w:t>
      </w:r>
    </w:p>
    <w:p w14:paraId="54303EB5" w14:textId="77777777" w:rsidR="00285B0C" w:rsidRPr="00EA12AC" w:rsidRDefault="00285B0C" w:rsidP="00EA12AC">
      <w:pPr>
        <w:rPr>
          <w:sz w:val="26"/>
          <w:szCs w:val="26"/>
        </w:rPr>
      </w:pPr>
    </w:p>
    <w:p w14:paraId="59E28F67" w14:textId="77777777" w:rsidR="00672F5B" w:rsidRDefault="00672F5B" w:rsidP="00EA12AC">
      <w:pPr>
        <w:rPr>
          <w:sz w:val="26"/>
          <w:szCs w:val="26"/>
        </w:rPr>
      </w:pPr>
    </w:p>
    <w:p w14:paraId="63A4409A" w14:textId="77777777" w:rsidR="00507936" w:rsidRPr="00EA12AC" w:rsidRDefault="003D08C6" w:rsidP="00EA12AC">
      <w:pPr>
        <w:rPr>
          <w:sz w:val="26"/>
          <w:szCs w:val="26"/>
        </w:rPr>
      </w:pPr>
      <w:r w:rsidRPr="00EA12AC">
        <w:rPr>
          <w:sz w:val="26"/>
          <w:szCs w:val="26"/>
        </w:rPr>
        <w:t xml:space="preserve">cc:  </w:t>
      </w:r>
      <w:r w:rsidR="00285B0C" w:rsidRPr="00EA12AC">
        <w:rPr>
          <w:sz w:val="26"/>
          <w:szCs w:val="26"/>
        </w:rPr>
        <w:t>Renardo L. Hicks, Chief Counsel</w:t>
      </w:r>
    </w:p>
    <w:p w14:paraId="2F4F3A26" w14:textId="77777777" w:rsidR="00285B0C" w:rsidRPr="00EA12AC" w:rsidRDefault="00285B0C" w:rsidP="00EA12AC">
      <w:pPr>
        <w:rPr>
          <w:sz w:val="26"/>
          <w:szCs w:val="26"/>
        </w:rPr>
      </w:pPr>
      <w:r w:rsidRPr="00EA12AC">
        <w:rPr>
          <w:sz w:val="26"/>
          <w:szCs w:val="26"/>
        </w:rPr>
        <w:t xml:space="preserve">      John E. Herzog, Executive Deputy Chief Counsel</w:t>
      </w:r>
      <w:r w:rsidRPr="00EA12AC">
        <w:rPr>
          <w:sz w:val="26"/>
          <w:szCs w:val="26"/>
        </w:rPr>
        <w:tab/>
      </w:r>
    </w:p>
    <w:p w14:paraId="0D76945B" w14:textId="77777777" w:rsidR="00D018CC" w:rsidRPr="00EA12AC" w:rsidRDefault="00D018CC" w:rsidP="00EA12AC">
      <w:pPr>
        <w:rPr>
          <w:sz w:val="26"/>
          <w:szCs w:val="26"/>
        </w:rPr>
      </w:pPr>
      <w:r w:rsidRPr="00EA12AC">
        <w:rPr>
          <w:sz w:val="26"/>
          <w:szCs w:val="26"/>
        </w:rPr>
        <w:t xml:space="preserve">      Office of Consumer Advocate</w:t>
      </w:r>
    </w:p>
    <w:p w14:paraId="192624A7" w14:textId="77777777" w:rsidR="00210F06" w:rsidRDefault="00D018CC" w:rsidP="00EA12AC">
      <w:pPr>
        <w:rPr>
          <w:sz w:val="26"/>
          <w:szCs w:val="26"/>
        </w:rPr>
      </w:pPr>
      <w:r w:rsidRPr="00EA12AC">
        <w:rPr>
          <w:sz w:val="26"/>
          <w:szCs w:val="26"/>
        </w:rPr>
        <w:t xml:space="preserve">      Office of Small Business Advocate</w:t>
      </w:r>
    </w:p>
    <w:p w14:paraId="6758D9FB" w14:textId="77777777" w:rsidR="00C03F26" w:rsidRPr="00EA12AC" w:rsidRDefault="00C03F26" w:rsidP="00EA12AC">
      <w:pPr>
        <w:rPr>
          <w:sz w:val="26"/>
          <w:szCs w:val="26"/>
        </w:rPr>
      </w:pPr>
      <w:r>
        <w:rPr>
          <w:sz w:val="26"/>
          <w:szCs w:val="26"/>
        </w:rPr>
        <w:t xml:space="preserve">      Bureau of Investigation and Enforcement </w:t>
      </w:r>
      <w:r>
        <w:rPr>
          <w:sz w:val="26"/>
          <w:szCs w:val="26"/>
        </w:rPr>
        <w:tab/>
      </w:r>
    </w:p>
    <w:p w14:paraId="56AF5EAE" w14:textId="77777777" w:rsidR="00285B0C" w:rsidRDefault="00285B0C" w:rsidP="004F567C">
      <w:r>
        <w:rPr>
          <w:sz w:val="26"/>
          <w:szCs w:val="26"/>
        </w:rPr>
        <w:tab/>
      </w:r>
    </w:p>
    <w:sectPr w:rsidR="00285B0C" w:rsidSect="00055F9A">
      <w:footerReference w:type="even" r:id="rId16"/>
      <w:footerReference w:type="default" r:id="rId17"/>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6D4B2" w14:textId="77777777" w:rsidR="008C2539" w:rsidRDefault="008C2539">
      <w:r>
        <w:separator/>
      </w:r>
    </w:p>
  </w:endnote>
  <w:endnote w:type="continuationSeparator" w:id="0">
    <w:p w14:paraId="53D9E70E" w14:textId="77777777" w:rsidR="008C2539" w:rsidRDefault="008C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A547D" w14:textId="77777777" w:rsidR="00AA1DC5" w:rsidRDefault="002F36C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848D4" w14:textId="77777777" w:rsidR="00AA1DC5" w:rsidRDefault="008C2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30870" w14:textId="77777777" w:rsidR="00AA1DC5" w:rsidRDefault="002F36C5"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77E63" w14:textId="77777777" w:rsidR="00AA1DC5" w:rsidRDefault="008C2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995" w14:textId="77777777" w:rsidR="00AA1DC5" w:rsidRDefault="002F3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56A776" w14:textId="77777777" w:rsidR="00AA1DC5" w:rsidRDefault="008C25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375010"/>
      <w:docPartObj>
        <w:docPartGallery w:val="Page Numbers (Bottom of Page)"/>
        <w:docPartUnique/>
      </w:docPartObj>
    </w:sdtPr>
    <w:sdtEndPr>
      <w:rPr>
        <w:noProof/>
        <w:sz w:val="26"/>
        <w:szCs w:val="26"/>
      </w:rPr>
    </w:sdtEndPr>
    <w:sdtContent>
      <w:p w14:paraId="45B46B2F" w14:textId="77777777" w:rsidR="00055F9A" w:rsidRPr="00F118ED" w:rsidRDefault="002F36C5">
        <w:pPr>
          <w:pStyle w:val="Footer"/>
          <w:jc w:val="center"/>
          <w:rPr>
            <w:sz w:val="26"/>
            <w:szCs w:val="26"/>
          </w:rPr>
        </w:pPr>
        <w:r w:rsidRPr="00F118ED">
          <w:rPr>
            <w:sz w:val="26"/>
            <w:szCs w:val="26"/>
          </w:rPr>
          <w:fldChar w:fldCharType="begin"/>
        </w:r>
        <w:r w:rsidRPr="00F118ED">
          <w:rPr>
            <w:sz w:val="26"/>
            <w:szCs w:val="26"/>
          </w:rPr>
          <w:instrText xml:space="preserve"> PAGE   \* MERGEFORMAT </w:instrText>
        </w:r>
        <w:r w:rsidRPr="00F118ED">
          <w:rPr>
            <w:sz w:val="26"/>
            <w:szCs w:val="26"/>
          </w:rPr>
          <w:fldChar w:fldCharType="separate"/>
        </w:r>
        <w:r w:rsidR="00DE62F0">
          <w:rPr>
            <w:noProof/>
            <w:sz w:val="26"/>
            <w:szCs w:val="26"/>
          </w:rPr>
          <w:t>4</w:t>
        </w:r>
        <w:r w:rsidRPr="00F118ED">
          <w:rPr>
            <w:noProof/>
            <w:sz w:val="26"/>
            <w:szCs w:val="26"/>
          </w:rPr>
          <w:fldChar w:fldCharType="end"/>
        </w:r>
      </w:p>
    </w:sdtContent>
  </w:sdt>
  <w:p w14:paraId="3580B65A" w14:textId="77777777" w:rsidR="00AA1DC5" w:rsidRDefault="008C2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3FE90" w14:textId="77777777" w:rsidR="008C2539" w:rsidRDefault="008C2539">
      <w:r>
        <w:separator/>
      </w:r>
    </w:p>
  </w:footnote>
  <w:footnote w:type="continuationSeparator" w:id="0">
    <w:p w14:paraId="55AA3A62" w14:textId="77777777" w:rsidR="008C2539" w:rsidRDefault="008C2539">
      <w:r>
        <w:continuationSeparator/>
      </w:r>
    </w:p>
  </w:footnote>
  <w:footnote w:id="1">
    <w:p w14:paraId="17A92A79" w14:textId="77777777" w:rsidR="00285B0C" w:rsidRPr="00EA12AC" w:rsidRDefault="00285B0C" w:rsidP="00285B0C">
      <w:pPr>
        <w:pStyle w:val="FootnoteText"/>
        <w:rPr>
          <w:sz w:val="22"/>
          <w:szCs w:val="22"/>
        </w:rPr>
      </w:pPr>
      <w:r w:rsidRPr="00EA12AC">
        <w:rPr>
          <w:rStyle w:val="FootnoteReference"/>
          <w:sz w:val="22"/>
          <w:szCs w:val="22"/>
        </w:rPr>
        <w:footnoteRef/>
      </w:r>
      <w:r w:rsidRPr="00EA12AC">
        <w:rPr>
          <w:sz w:val="22"/>
          <w:szCs w:val="22"/>
        </w:rPr>
        <w:t xml:space="preserve"> </w:t>
      </w:r>
      <w:hyperlink r:id="rId1" w:history="1">
        <w:r w:rsidRPr="00EA12AC">
          <w:rPr>
            <w:rStyle w:val="Hyperlink"/>
            <w:sz w:val="22"/>
            <w:szCs w:val="22"/>
          </w:rPr>
          <w:t>https://www.governor.pa.gov/wp-content/uploads/2020/03/20200306-COVID19-Digital-Proclamation.pdf</w:t>
        </w:r>
      </w:hyperlink>
      <w:r w:rsidRPr="00EA12AC">
        <w:rPr>
          <w:sz w:val="22"/>
          <w:szCs w:val="22"/>
        </w:rPr>
        <w:t xml:space="preserve"> </w:t>
      </w:r>
    </w:p>
  </w:footnote>
  <w:footnote w:id="2">
    <w:p w14:paraId="4FCF20F3" w14:textId="77777777" w:rsidR="004A6D6B" w:rsidRPr="00EA12AC" w:rsidRDefault="00017A4C" w:rsidP="004A6D6B">
      <w:pPr>
        <w:rPr>
          <w:sz w:val="22"/>
          <w:szCs w:val="22"/>
        </w:rPr>
      </w:pPr>
      <w:r w:rsidRPr="00EA12AC">
        <w:rPr>
          <w:rStyle w:val="FootnoteReference"/>
          <w:sz w:val="22"/>
          <w:szCs w:val="22"/>
        </w:rPr>
        <w:footnoteRef/>
      </w:r>
      <w:r w:rsidRPr="00EA12AC">
        <w:rPr>
          <w:sz w:val="22"/>
          <w:szCs w:val="22"/>
        </w:rPr>
        <w:t xml:space="preserve"> </w:t>
      </w:r>
      <w:r w:rsidR="00700D3C" w:rsidRPr="00EA12AC">
        <w:rPr>
          <w:sz w:val="22"/>
          <w:szCs w:val="22"/>
        </w:rPr>
        <w:t>T</w:t>
      </w:r>
      <w:r w:rsidR="004A6D6B" w:rsidRPr="00EA12AC">
        <w:rPr>
          <w:sz w:val="22"/>
          <w:szCs w:val="22"/>
        </w:rPr>
        <w:t xml:space="preserve">here are currently three classes of price/revenue regulated </w:t>
      </w:r>
      <w:r w:rsidR="00292C45" w:rsidRPr="00EA12AC">
        <w:rPr>
          <w:sz w:val="22"/>
          <w:szCs w:val="22"/>
        </w:rPr>
        <w:t>incumbent local exchange carriers (</w:t>
      </w:r>
      <w:r w:rsidR="004A6D6B" w:rsidRPr="00EA12AC">
        <w:rPr>
          <w:sz w:val="22"/>
          <w:szCs w:val="22"/>
        </w:rPr>
        <w:t>ILECs</w:t>
      </w:r>
      <w:r w:rsidR="00292C45" w:rsidRPr="00EA12AC">
        <w:rPr>
          <w:sz w:val="22"/>
          <w:szCs w:val="22"/>
        </w:rPr>
        <w:t>)</w:t>
      </w:r>
      <w:r w:rsidR="004A6D6B" w:rsidRPr="00EA12AC">
        <w:rPr>
          <w:sz w:val="22"/>
          <w:szCs w:val="22"/>
        </w:rPr>
        <w:t>: (1) Price Cap (P</w:t>
      </w:r>
      <w:r w:rsidR="00DE6A9D" w:rsidRPr="00EA12AC">
        <w:rPr>
          <w:sz w:val="22"/>
          <w:szCs w:val="22"/>
        </w:rPr>
        <w:t>rice Change Opportunity</w:t>
      </w:r>
      <w:r w:rsidR="004A6D6B" w:rsidRPr="00EA12AC">
        <w:rPr>
          <w:sz w:val="22"/>
          <w:szCs w:val="22"/>
        </w:rPr>
        <w:t xml:space="preserve"> or P</w:t>
      </w:r>
      <w:r w:rsidR="00DE6A9D" w:rsidRPr="00EA12AC">
        <w:rPr>
          <w:sz w:val="22"/>
          <w:szCs w:val="22"/>
        </w:rPr>
        <w:t>rice Stability Mechanism</w:t>
      </w:r>
      <w:r w:rsidR="004A6D6B" w:rsidRPr="00EA12AC">
        <w:rPr>
          <w:sz w:val="22"/>
          <w:szCs w:val="22"/>
        </w:rPr>
        <w:t>) carriers – these carriers operate under an alternative form of regulation and have an approved Ch</w:t>
      </w:r>
      <w:r w:rsidR="007076E1" w:rsidRPr="00EA12AC">
        <w:rPr>
          <w:sz w:val="22"/>
          <w:szCs w:val="22"/>
        </w:rPr>
        <w:t>apter</w:t>
      </w:r>
      <w:r w:rsidR="004A6D6B" w:rsidRPr="00EA12AC">
        <w:rPr>
          <w:sz w:val="22"/>
          <w:szCs w:val="22"/>
        </w:rPr>
        <w:t xml:space="preserve"> 30 plan under which the ILECs may only </w:t>
      </w:r>
      <w:r w:rsidR="00EC4AFE" w:rsidRPr="00EA12AC">
        <w:rPr>
          <w:sz w:val="22"/>
          <w:szCs w:val="22"/>
        </w:rPr>
        <w:t>change</w:t>
      </w:r>
      <w:r w:rsidR="004A6D6B" w:rsidRPr="00EA12AC">
        <w:rPr>
          <w:sz w:val="22"/>
          <w:szCs w:val="22"/>
        </w:rPr>
        <w:t xml:space="preserve"> </w:t>
      </w:r>
      <w:r w:rsidR="00700D3C" w:rsidRPr="00EA12AC">
        <w:rPr>
          <w:sz w:val="22"/>
          <w:szCs w:val="22"/>
        </w:rPr>
        <w:t>revenues</w:t>
      </w:r>
      <w:r w:rsidR="004A6D6B" w:rsidRPr="00EA12AC">
        <w:rPr>
          <w:sz w:val="22"/>
          <w:szCs w:val="22"/>
        </w:rPr>
        <w:t xml:space="preserve"> based on an annual filing that ties revenue</w:t>
      </w:r>
      <w:r w:rsidR="00872905" w:rsidRPr="00EA12AC">
        <w:rPr>
          <w:sz w:val="22"/>
          <w:szCs w:val="22"/>
        </w:rPr>
        <w:t xml:space="preserve"> changes</w:t>
      </w:r>
      <w:r w:rsidR="004A6D6B" w:rsidRPr="00EA12AC">
        <w:rPr>
          <w:sz w:val="22"/>
          <w:szCs w:val="22"/>
        </w:rPr>
        <w:t xml:space="preserve"> </w:t>
      </w:r>
      <w:r w:rsidR="00700D3C" w:rsidRPr="00EA12AC">
        <w:rPr>
          <w:sz w:val="22"/>
          <w:szCs w:val="22"/>
        </w:rPr>
        <w:t>to changes in the Gross Domestic Product Price Index</w:t>
      </w:r>
      <w:r w:rsidR="004A6D6B" w:rsidRPr="00EA12AC">
        <w:rPr>
          <w:sz w:val="22"/>
          <w:szCs w:val="22"/>
        </w:rPr>
        <w:t>; (2) Streamlined R</w:t>
      </w:r>
      <w:r w:rsidR="00700D3C" w:rsidRPr="00EA12AC">
        <w:rPr>
          <w:sz w:val="22"/>
          <w:szCs w:val="22"/>
        </w:rPr>
        <w:t xml:space="preserve">ate </w:t>
      </w:r>
      <w:r w:rsidR="004A6D6B" w:rsidRPr="00EA12AC">
        <w:rPr>
          <w:sz w:val="22"/>
          <w:szCs w:val="22"/>
        </w:rPr>
        <w:t>B</w:t>
      </w:r>
      <w:r w:rsidR="00700D3C" w:rsidRPr="00EA12AC">
        <w:rPr>
          <w:sz w:val="22"/>
          <w:szCs w:val="22"/>
        </w:rPr>
        <w:t>ase</w:t>
      </w:r>
      <w:r w:rsidR="004A6D6B" w:rsidRPr="00EA12AC">
        <w:rPr>
          <w:sz w:val="22"/>
          <w:szCs w:val="22"/>
        </w:rPr>
        <w:t>/R</w:t>
      </w:r>
      <w:r w:rsidR="00700D3C" w:rsidRPr="00EA12AC">
        <w:rPr>
          <w:sz w:val="22"/>
          <w:szCs w:val="22"/>
        </w:rPr>
        <w:t xml:space="preserve">ate of Return ILECs </w:t>
      </w:r>
      <w:r w:rsidR="004A6D6B" w:rsidRPr="00EA12AC">
        <w:rPr>
          <w:sz w:val="22"/>
          <w:szCs w:val="22"/>
        </w:rPr>
        <w:t>– these carriers operate under an alternative form of regulation and have an approved Ch</w:t>
      </w:r>
      <w:r w:rsidR="0011024A" w:rsidRPr="00EA12AC">
        <w:rPr>
          <w:sz w:val="22"/>
          <w:szCs w:val="22"/>
        </w:rPr>
        <w:t>apter</w:t>
      </w:r>
      <w:r w:rsidR="004A6D6B" w:rsidRPr="00EA12AC">
        <w:rPr>
          <w:sz w:val="22"/>
          <w:szCs w:val="22"/>
        </w:rPr>
        <w:t xml:space="preserve"> 30 plan under which the ILECs may file a “streamlined” base rate case which still employs elements of </w:t>
      </w:r>
      <w:r w:rsidR="0011024A" w:rsidRPr="00EA12AC">
        <w:rPr>
          <w:sz w:val="22"/>
          <w:szCs w:val="22"/>
        </w:rPr>
        <w:t>rate base/rate of return</w:t>
      </w:r>
      <w:r w:rsidR="004A6D6B" w:rsidRPr="00EA12AC">
        <w:rPr>
          <w:sz w:val="22"/>
          <w:szCs w:val="22"/>
        </w:rPr>
        <w:t xml:space="preserve"> price/revenue regulation; and (3) </w:t>
      </w:r>
      <w:r w:rsidR="0011024A" w:rsidRPr="00EA12AC">
        <w:rPr>
          <w:sz w:val="22"/>
          <w:szCs w:val="22"/>
        </w:rPr>
        <w:t>four</w:t>
      </w:r>
      <w:r w:rsidR="004A6D6B" w:rsidRPr="00EA12AC">
        <w:rPr>
          <w:sz w:val="22"/>
          <w:szCs w:val="22"/>
        </w:rPr>
        <w:t xml:space="preserve"> small </w:t>
      </w:r>
      <w:r w:rsidR="00700D3C" w:rsidRPr="00EA12AC">
        <w:rPr>
          <w:sz w:val="22"/>
          <w:szCs w:val="22"/>
        </w:rPr>
        <w:t xml:space="preserve">rural ILECs that </w:t>
      </w:r>
      <w:r w:rsidR="004A6D6B" w:rsidRPr="00EA12AC">
        <w:rPr>
          <w:sz w:val="22"/>
          <w:szCs w:val="22"/>
        </w:rPr>
        <w:t>were granted a waiver from the Ch</w:t>
      </w:r>
      <w:r w:rsidR="0011024A" w:rsidRPr="00EA12AC">
        <w:rPr>
          <w:sz w:val="22"/>
          <w:szCs w:val="22"/>
        </w:rPr>
        <w:t>apter</w:t>
      </w:r>
      <w:r w:rsidR="004A6D6B" w:rsidRPr="00EA12AC">
        <w:rPr>
          <w:sz w:val="22"/>
          <w:szCs w:val="22"/>
        </w:rPr>
        <w:t xml:space="preserve"> 30 requirement that all ILECs file an alternative regulation plan – the</w:t>
      </w:r>
      <w:r w:rsidR="00DE6A9D" w:rsidRPr="00EA12AC">
        <w:rPr>
          <w:sz w:val="22"/>
          <w:szCs w:val="22"/>
        </w:rPr>
        <w:t>se carriers</w:t>
      </w:r>
      <w:r w:rsidR="004A6D6B" w:rsidRPr="00EA12AC">
        <w:rPr>
          <w:sz w:val="22"/>
          <w:szCs w:val="22"/>
        </w:rPr>
        <w:t xml:space="preserve"> continue to operate under traditional </w:t>
      </w:r>
      <w:r w:rsidR="00DE6A9D" w:rsidRPr="00EA12AC">
        <w:rPr>
          <w:sz w:val="22"/>
          <w:szCs w:val="22"/>
        </w:rPr>
        <w:t>rate base/rate of return</w:t>
      </w:r>
      <w:r w:rsidR="004A6D6B" w:rsidRPr="00EA12AC">
        <w:rPr>
          <w:sz w:val="22"/>
          <w:szCs w:val="22"/>
        </w:rPr>
        <w:t xml:space="preserve"> regulation.</w:t>
      </w:r>
    </w:p>
    <w:p w14:paraId="582FDE92" w14:textId="77777777" w:rsidR="00017A4C" w:rsidRDefault="00017A4C">
      <w:pPr>
        <w:pStyle w:val="FootnoteText"/>
      </w:pPr>
    </w:p>
  </w:footnote>
  <w:footnote w:id="3">
    <w:p w14:paraId="3F7A6E24" w14:textId="77777777" w:rsidR="00285B0C" w:rsidRPr="008515C1" w:rsidRDefault="00285B0C" w:rsidP="00285B0C">
      <w:pPr>
        <w:pStyle w:val="FootnoteText"/>
        <w:rPr>
          <w:sz w:val="22"/>
          <w:szCs w:val="22"/>
        </w:rPr>
      </w:pPr>
      <w:r w:rsidRPr="008515C1">
        <w:rPr>
          <w:rStyle w:val="FootnoteReference"/>
          <w:sz w:val="22"/>
          <w:szCs w:val="22"/>
        </w:rPr>
        <w:footnoteRef/>
      </w:r>
      <w:r w:rsidRPr="008515C1">
        <w:rPr>
          <w:sz w:val="22"/>
          <w:szCs w:val="22"/>
        </w:rPr>
        <w:t xml:space="preserve"> </w:t>
      </w:r>
      <w:hyperlink r:id="rId2" w:history="1">
        <w:r w:rsidRPr="008515C1">
          <w:rPr>
            <w:rStyle w:val="Hyperlink"/>
            <w:sz w:val="22"/>
            <w:szCs w:val="22"/>
          </w:rPr>
          <w:t>https://www.fcc.gov/keep-americans-connected</w:t>
        </w:r>
      </w:hyperlink>
      <w:r w:rsidRPr="008515C1">
        <w:rPr>
          <w:sz w:val="22"/>
          <w:szCs w:val="22"/>
        </w:rPr>
        <w:t xml:space="preserve"> </w:t>
      </w:r>
    </w:p>
  </w:footnote>
  <w:footnote w:id="4">
    <w:p w14:paraId="56E03285" w14:textId="77777777" w:rsidR="00285B0C" w:rsidRPr="008515C1" w:rsidRDefault="00285B0C" w:rsidP="00285B0C">
      <w:pPr>
        <w:pStyle w:val="FootnoteText"/>
        <w:rPr>
          <w:sz w:val="22"/>
          <w:szCs w:val="22"/>
        </w:rPr>
      </w:pPr>
      <w:r w:rsidRPr="008515C1">
        <w:rPr>
          <w:rStyle w:val="FootnoteReference"/>
          <w:sz w:val="22"/>
          <w:szCs w:val="22"/>
        </w:rPr>
        <w:footnoteRef/>
      </w:r>
      <w:r w:rsidRPr="008515C1">
        <w:rPr>
          <w:sz w:val="22"/>
          <w:szCs w:val="22"/>
        </w:rPr>
        <w:t xml:space="preserve"> </w:t>
      </w:r>
      <w:hyperlink r:id="rId3" w:history="1">
        <w:r w:rsidR="00E746A7" w:rsidRPr="008515C1">
          <w:rPr>
            <w:rStyle w:val="Hyperlink"/>
            <w:sz w:val="22"/>
            <w:szCs w:val="22"/>
          </w:rPr>
          <w:t>https://www.legis.state.pa.us/WU01/LI/LI/CT/HTM/66/00.030..HTM</w:t>
        </w:r>
      </w:hyperlink>
      <w:r w:rsidRPr="008515C1">
        <w:rPr>
          <w:sz w:val="22"/>
          <w:szCs w:val="22"/>
        </w:rPr>
        <w:t xml:space="preserve"> </w:t>
      </w:r>
      <w:r w:rsidR="00017A4C" w:rsidRPr="008515C1">
        <w:rPr>
          <w:sz w:val="22"/>
          <w:szCs w:val="22"/>
        </w:rPr>
        <w:t>66 Pa. C.S. §§ 3011-3019.</w:t>
      </w:r>
    </w:p>
  </w:footnote>
  <w:footnote w:id="5">
    <w:p w14:paraId="71FEF12E" w14:textId="77777777" w:rsidR="00361769" w:rsidRPr="008515C1" w:rsidRDefault="00361769">
      <w:pPr>
        <w:pStyle w:val="FootnoteText"/>
        <w:rPr>
          <w:sz w:val="22"/>
          <w:szCs w:val="22"/>
        </w:rPr>
      </w:pPr>
      <w:r w:rsidRPr="008515C1">
        <w:rPr>
          <w:rStyle w:val="FootnoteReference"/>
          <w:sz w:val="22"/>
          <w:szCs w:val="22"/>
        </w:rPr>
        <w:footnoteRef/>
      </w:r>
      <w:r w:rsidRPr="008515C1">
        <w:rPr>
          <w:sz w:val="22"/>
          <w:szCs w:val="22"/>
        </w:rPr>
        <w:t xml:space="preserve"> This would include the </w:t>
      </w:r>
      <w:r w:rsidRPr="008515C1">
        <w:rPr>
          <w:i/>
          <w:iCs/>
          <w:sz w:val="22"/>
          <w:szCs w:val="22"/>
        </w:rPr>
        <w:t xml:space="preserve">FCC Pledge </w:t>
      </w:r>
      <w:r w:rsidRPr="008515C1">
        <w:rPr>
          <w:sz w:val="22"/>
          <w:szCs w:val="22"/>
        </w:rPr>
        <w:t>as well.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304E"/>
    <w:multiLevelType w:val="hybridMultilevel"/>
    <w:tmpl w:val="81E46E0C"/>
    <w:lvl w:ilvl="0" w:tplc="2DA45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40ED8"/>
    <w:multiLevelType w:val="hybridMultilevel"/>
    <w:tmpl w:val="70143EDA"/>
    <w:lvl w:ilvl="0" w:tplc="B61858D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8C6"/>
    <w:rsid w:val="00017A4C"/>
    <w:rsid w:val="00021EF5"/>
    <w:rsid w:val="00035B0C"/>
    <w:rsid w:val="00070167"/>
    <w:rsid w:val="00092C20"/>
    <w:rsid w:val="000A6FDC"/>
    <w:rsid w:val="000C1E04"/>
    <w:rsid w:val="000E1940"/>
    <w:rsid w:val="000F350C"/>
    <w:rsid w:val="000F6F52"/>
    <w:rsid w:val="0011024A"/>
    <w:rsid w:val="0011511B"/>
    <w:rsid w:val="00195698"/>
    <w:rsid w:val="001A7FBD"/>
    <w:rsid w:val="001C2ACD"/>
    <w:rsid w:val="00200BEB"/>
    <w:rsid w:val="00210F06"/>
    <w:rsid w:val="00221366"/>
    <w:rsid w:val="00226242"/>
    <w:rsid w:val="00230311"/>
    <w:rsid w:val="002479EE"/>
    <w:rsid w:val="00285B0C"/>
    <w:rsid w:val="00292C45"/>
    <w:rsid w:val="0029486B"/>
    <w:rsid w:val="00297940"/>
    <w:rsid w:val="002B39B7"/>
    <w:rsid w:val="002C01CE"/>
    <w:rsid w:val="002C3154"/>
    <w:rsid w:val="002F36C5"/>
    <w:rsid w:val="002F4869"/>
    <w:rsid w:val="002F6E4D"/>
    <w:rsid w:val="0030477A"/>
    <w:rsid w:val="00305137"/>
    <w:rsid w:val="00324AC5"/>
    <w:rsid w:val="00361769"/>
    <w:rsid w:val="00372C03"/>
    <w:rsid w:val="003D08C6"/>
    <w:rsid w:val="003E270E"/>
    <w:rsid w:val="003E3A06"/>
    <w:rsid w:val="003E7D31"/>
    <w:rsid w:val="00407311"/>
    <w:rsid w:val="004205BE"/>
    <w:rsid w:val="00437963"/>
    <w:rsid w:val="00481233"/>
    <w:rsid w:val="004823E6"/>
    <w:rsid w:val="0048311D"/>
    <w:rsid w:val="00490075"/>
    <w:rsid w:val="004907F9"/>
    <w:rsid w:val="004A6D6B"/>
    <w:rsid w:val="004B1CA4"/>
    <w:rsid w:val="004B670B"/>
    <w:rsid w:val="004B7EF4"/>
    <w:rsid w:val="004F26AF"/>
    <w:rsid w:val="004F567C"/>
    <w:rsid w:val="00503FA4"/>
    <w:rsid w:val="00520E7A"/>
    <w:rsid w:val="00552A2D"/>
    <w:rsid w:val="00574543"/>
    <w:rsid w:val="005972E6"/>
    <w:rsid w:val="005C7FEF"/>
    <w:rsid w:val="00643C2A"/>
    <w:rsid w:val="00672F5B"/>
    <w:rsid w:val="006D5CAB"/>
    <w:rsid w:val="006F06D5"/>
    <w:rsid w:val="006F6023"/>
    <w:rsid w:val="00700D3C"/>
    <w:rsid w:val="007076E1"/>
    <w:rsid w:val="00715E6B"/>
    <w:rsid w:val="007171F1"/>
    <w:rsid w:val="00757756"/>
    <w:rsid w:val="007E04EE"/>
    <w:rsid w:val="0080602B"/>
    <w:rsid w:val="008061B3"/>
    <w:rsid w:val="00823A03"/>
    <w:rsid w:val="008443F1"/>
    <w:rsid w:val="008515C1"/>
    <w:rsid w:val="00872905"/>
    <w:rsid w:val="008904B6"/>
    <w:rsid w:val="008B4605"/>
    <w:rsid w:val="008C2539"/>
    <w:rsid w:val="008D3D5D"/>
    <w:rsid w:val="00905104"/>
    <w:rsid w:val="00945CE1"/>
    <w:rsid w:val="00953BF0"/>
    <w:rsid w:val="009666DB"/>
    <w:rsid w:val="009879FA"/>
    <w:rsid w:val="00993B53"/>
    <w:rsid w:val="009963BB"/>
    <w:rsid w:val="009E3998"/>
    <w:rsid w:val="009F4A6C"/>
    <w:rsid w:val="00A1345F"/>
    <w:rsid w:val="00A23A0D"/>
    <w:rsid w:val="00A7100B"/>
    <w:rsid w:val="00AD08BD"/>
    <w:rsid w:val="00B04E71"/>
    <w:rsid w:val="00B51799"/>
    <w:rsid w:val="00B61647"/>
    <w:rsid w:val="00BA26BE"/>
    <w:rsid w:val="00BB788E"/>
    <w:rsid w:val="00BE3E52"/>
    <w:rsid w:val="00C03F26"/>
    <w:rsid w:val="00C1078E"/>
    <w:rsid w:val="00C336ED"/>
    <w:rsid w:val="00C47DFB"/>
    <w:rsid w:val="00C76245"/>
    <w:rsid w:val="00C84665"/>
    <w:rsid w:val="00CA09C5"/>
    <w:rsid w:val="00CA127D"/>
    <w:rsid w:val="00CC0449"/>
    <w:rsid w:val="00CC4F5D"/>
    <w:rsid w:val="00CD2300"/>
    <w:rsid w:val="00D018CC"/>
    <w:rsid w:val="00D26596"/>
    <w:rsid w:val="00D26EB0"/>
    <w:rsid w:val="00D421AA"/>
    <w:rsid w:val="00D54198"/>
    <w:rsid w:val="00D73E5E"/>
    <w:rsid w:val="00D8376C"/>
    <w:rsid w:val="00D871C1"/>
    <w:rsid w:val="00D952E2"/>
    <w:rsid w:val="00D9684E"/>
    <w:rsid w:val="00DB6254"/>
    <w:rsid w:val="00DE62F0"/>
    <w:rsid w:val="00DE6A9D"/>
    <w:rsid w:val="00E26BD2"/>
    <w:rsid w:val="00E563C6"/>
    <w:rsid w:val="00E746A7"/>
    <w:rsid w:val="00E936A3"/>
    <w:rsid w:val="00EA12AC"/>
    <w:rsid w:val="00EA2347"/>
    <w:rsid w:val="00EB0B08"/>
    <w:rsid w:val="00EC11D2"/>
    <w:rsid w:val="00EC4AFE"/>
    <w:rsid w:val="00EE6FA6"/>
    <w:rsid w:val="00EF6DC6"/>
    <w:rsid w:val="00F118ED"/>
    <w:rsid w:val="00F1360B"/>
    <w:rsid w:val="00F21A76"/>
    <w:rsid w:val="00F37B96"/>
    <w:rsid w:val="00F43CB6"/>
    <w:rsid w:val="00F632B9"/>
    <w:rsid w:val="00FA6E79"/>
    <w:rsid w:val="00FE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039F"/>
  <w15:docId w15:val="{2CB4F27E-EB63-4EDE-921C-E849485D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C6"/>
    <w:pPr>
      <w:spacing w:line="240" w:lineRule="auto"/>
      <w:ind w:firstLine="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08C6"/>
    <w:pPr>
      <w:tabs>
        <w:tab w:val="center" w:pos="4320"/>
        <w:tab w:val="right" w:pos="8640"/>
      </w:tabs>
    </w:pPr>
  </w:style>
  <w:style w:type="character" w:customStyle="1" w:styleId="FooterChar">
    <w:name w:val="Footer Char"/>
    <w:basedOn w:val="DefaultParagraphFont"/>
    <w:link w:val="Footer"/>
    <w:uiPriority w:val="99"/>
    <w:rsid w:val="003D08C6"/>
    <w:rPr>
      <w:rFonts w:eastAsia="Times New Roman"/>
      <w:sz w:val="20"/>
      <w:szCs w:val="20"/>
    </w:rPr>
  </w:style>
  <w:style w:type="character" w:styleId="PageNumber">
    <w:name w:val="page number"/>
    <w:basedOn w:val="DefaultParagraphFont"/>
    <w:rsid w:val="003D08C6"/>
  </w:style>
  <w:style w:type="paragraph" w:styleId="ListParagraph">
    <w:name w:val="List Paragraph"/>
    <w:basedOn w:val="Normal"/>
    <w:uiPriority w:val="34"/>
    <w:qFormat/>
    <w:rsid w:val="003D08C6"/>
    <w:pPr>
      <w:ind w:left="720"/>
    </w:pPr>
  </w:style>
  <w:style w:type="character" w:styleId="Hyperlink">
    <w:name w:val="Hyperlink"/>
    <w:rsid w:val="00285B0C"/>
    <w:rPr>
      <w:color w:val="0000FF"/>
      <w:u w:val="single"/>
    </w:rPr>
  </w:style>
  <w:style w:type="paragraph" w:styleId="NormalWeb">
    <w:name w:val="Normal (Web)"/>
    <w:basedOn w:val="Normal"/>
    <w:uiPriority w:val="99"/>
    <w:unhideWhenUsed/>
    <w:rsid w:val="00285B0C"/>
    <w:pPr>
      <w:spacing w:before="100" w:beforeAutospacing="1" w:after="100" w:afterAutospacing="1"/>
    </w:pPr>
    <w:rPr>
      <w:sz w:val="24"/>
      <w:szCs w:val="24"/>
    </w:rPr>
  </w:style>
  <w:style w:type="paragraph" w:styleId="FootnoteText">
    <w:name w:val="footnote text"/>
    <w:basedOn w:val="Normal"/>
    <w:link w:val="FootnoteTextChar"/>
    <w:rsid w:val="00285B0C"/>
  </w:style>
  <w:style w:type="character" w:customStyle="1" w:styleId="FootnoteTextChar">
    <w:name w:val="Footnote Text Char"/>
    <w:basedOn w:val="DefaultParagraphFont"/>
    <w:link w:val="FootnoteText"/>
    <w:rsid w:val="00285B0C"/>
    <w:rPr>
      <w:rFonts w:eastAsia="Times New Roman"/>
      <w:sz w:val="20"/>
      <w:szCs w:val="20"/>
    </w:rPr>
  </w:style>
  <w:style w:type="character" w:styleId="FootnoteReference">
    <w:name w:val="footnote reference"/>
    <w:basedOn w:val="DefaultParagraphFont"/>
    <w:rsid w:val="00285B0C"/>
    <w:rPr>
      <w:vertAlign w:val="superscript"/>
    </w:rPr>
  </w:style>
  <w:style w:type="paragraph" w:styleId="Header">
    <w:name w:val="header"/>
    <w:basedOn w:val="Normal"/>
    <w:link w:val="HeaderChar"/>
    <w:uiPriority w:val="99"/>
    <w:unhideWhenUsed/>
    <w:rsid w:val="00F118ED"/>
    <w:pPr>
      <w:tabs>
        <w:tab w:val="center" w:pos="4680"/>
        <w:tab w:val="right" w:pos="9360"/>
      </w:tabs>
    </w:pPr>
  </w:style>
  <w:style w:type="character" w:customStyle="1" w:styleId="HeaderChar">
    <w:name w:val="Header Char"/>
    <w:basedOn w:val="DefaultParagraphFont"/>
    <w:link w:val="Header"/>
    <w:uiPriority w:val="99"/>
    <w:rsid w:val="00F118ED"/>
    <w:rPr>
      <w:rFonts w:eastAsia="Times New Roman"/>
      <w:sz w:val="20"/>
      <w:szCs w:val="20"/>
    </w:rPr>
  </w:style>
  <w:style w:type="character" w:styleId="FollowedHyperlink">
    <w:name w:val="FollowedHyperlink"/>
    <w:basedOn w:val="DefaultParagraphFont"/>
    <w:uiPriority w:val="99"/>
    <w:semiHidden/>
    <w:unhideWhenUsed/>
    <w:rsid w:val="00F21A76"/>
    <w:rPr>
      <w:color w:val="954F72" w:themeColor="followedHyperlink"/>
      <w:u w:val="single"/>
    </w:rPr>
  </w:style>
  <w:style w:type="paragraph" w:styleId="BalloonText">
    <w:name w:val="Balloon Text"/>
    <w:basedOn w:val="Normal"/>
    <w:link w:val="BalloonTextChar"/>
    <w:uiPriority w:val="99"/>
    <w:semiHidden/>
    <w:unhideWhenUsed/>
    <w:rsid w:val="002C31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15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A6E79"/>
    <w:rPr>
      <w:sz w:val="16"/>
      <w:szCs w:val="16"/>
    </w:rPr>
  </w:style>
  <w:style w:type="paragraph" w:styleId="CommentText">
    <w:name w:val="annotation text"/>
    <w:basedOn w:val="Normal"/>
    <w:link w:val="CommentTextChar"/>
    <w:uiPriority w:val="99"/>
    <w:semiHidden/>
    <w:unhideWhenUsed/>
    <w:rsid w:val="00FA6E79"/>
  </w:style>
  <w:style w:type="character" w:customStyle="1" w:styleId="CommentTextChar">
    <w:name w:val="Comment Text Char"/>
    <w:basedOn w:val="DefaultParagraphFont"/>
    <w:link w:val="CommentText"/>
    <w:uiPriority w:val="99"/>
    <w:semiHidden/>
    <w:rsid w:val="00FA6E7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A6E79"/>
    <w:rPr>
      <w:b/>
      <w:bCs/>
    </w:rPr>
  </w:style>
  <w:style w:type="character" w:customStyle="1" w:styleId="CommentSubjectChar">
    <w:name w:val="Comment Subject Char"/>
    <w:basedOn w:val="CommentTextChar"/>
    <w:link w:val="CommentSubject"/>
    <w:uiPriority w:val="99"/>
    <w:semiHidden/>
    <w:rsid w:val="00FA6E79"/>
    <w:rPr>
      <w:rFonts w:eastAsia="Times New Roman"/>
      <w:b/>
      <w:bCs/>
      <w:sz w:val="20"/>
      <w:szCs w:val="20"/>
    </w:rPr>
  </w:style>
  <w:style w:type="character" w:customStyle="1" w:styleId="UnresolvedMention1">
    <w:name w:val="Unresolved Mention1"/>
    <w:basedOn w:val="DefaultParagraphFont"/>
    <w:uiPriority w:val="99"/>
    <w:semiHidden/>
    <w:unhideWhenUsed/>
    <w:rsid w:val="00E74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764">
      <w:bodyDiv w:val="1"/>
      <w:marLeft w:val="0"/>
      <w:marRight w:val="0"/>
      <w:marTop w:val="0"/>
      <w:marBottom w:val="0"/>
      <w:divBdr>
        <w:top w:val="none" w:sz="0" w:space="0" w:color="auto"/>
        <w:left w:val="none" w:sz="0" w:space="0" w:color="auto"/>
        <w:bottom w:val="none" w:sz="0" w:space="0" w:color="auto"/>
        <w:right w:val="none" w:sz="0" w:space="0" w:color="auto"/>
      </w:divBdr>
    </w:div>
    <w:div w:id="149254692">
      <w:bodyDiv w:val="1"/>
      <w:marLeft w:val="0"/>
      <w:marRight w:val="0"/>
      <w:marTop w:val="0"/>
      <w:marBottom w:val="0"/>
      <w:divBdr>
        <w:top w:val="none" w:sz="0" w:space="0" w:color="auto"/>
        <w:left w:val="none" w:sz="0" w:space="0" w:color="auto"/>
        <w:bottom w:val="none" w:sz="0" w:space="0" w:color="auto"/>
        <w:right w:val="none" w:sz="0" w:space="0" w:color="auto"/>
      </w:divBdr>
    </w:div>
    <w:div w:id="219486910">
      <w:bodyDiv w:val="1"/>
      <w:marLeft w:val="0"/>
      <w:marRight w:val="0"/>
      <w:marTop w:val="0"/>
      <w:marBottom w:val="0"/>
      <w:divBdr>
        <w:top w:val="none" w:sz="0" w:space="0" w:color="auto"/>
        <w:left w:val="none" w:sz="0" w:space="0" w:color="auto"/>
        <w:bottom w:val="none" w:sz="0" w:space="0" w:color="auto"/>
        <w:right w:val="none" w:sz="0" w:space="0" w:color="auto"/>
      </w:divBdr>
    </w:div>
    <w:div w:id="621883931">
      <w:bodyDiv w:val="1"/>
      <w:marLeft w:val="0"/>
      <w:marRight w:val="0"/>
      <w:marTop w:val="0"/>
      <w:marBottom w:val="0"/>
      <w:divBdr>
        <w:top w:val="none" w:sz="0" w:space="0" w:color="auto"/>
        <w:left w:val="none" w:sz="0" w:space="0" w:color="auto"/>
        <w:bottom w:val="none" w:sz="0" w:space="0" w:color="auto"/>
        <w:right w:val="none" w:sz="0" w:space="0" w:color="auto"/>
      </w:divBdr>
    </w:div>
    <w:div w:id="702097947">
      <w:bodyDiv w:val="1"/>
      <w:marLeft w:val="0"/>
      <w:marRight w:val="0"/>
      <w:marTop w:val="0"/>
      <w:marBottom w:val="0"/>
      <w:divBdr>
        <w:top w:val="none" w:sz="0" w:space="0" w:color="auto"/>
        <w:left w:val="none" w:sz="0" w:space="0" w:color="auto"/>
        <w:bottom w:val="none" w:sz="0" w:space="0" w:color="auto"/>
        <w:right w:val="none" w:sz="0" w:space="0" w:color="auto"/>
      </w:divBdr>
    </w:div>
    <w:div w:id="929508940">
      <w:bodyDiv w:val="1"/>
      <w:marLeft w:val="0"/>
      <w:marRight w:val="0"/>
      <w:marTop w:val="0"/>
      <w:marBottom w:val="0"/>
      <w:divBdr>
        <w:top w:val="none" w:sz="0" w:space="0" w:color="auto"/>
        <w:left w:val="none" w:sz="0" w:space="0" w:color="auto"/>
        <w:bottom w:val="none" w:sz="0" w:space="0" w:color="auto"/>
        <w:right w:val="none" w:sz="0" w:space="0" w:color="auto"/>
      </w:divBdr>
    </w:div>
    <w:div w:id="954361834">
      <w:bodyDiv w:val="1"/>
      <w:marLeft w:val="0"/>
      <w:marRight w:val="0"/>
      <w:marTop w:val="0"/>
      <w:marBottom w:val="0"/>
      <w:divBdr>
        <w:top w:val="none" w:sz="0" w:space="0" w:color="auto"/>
        <w:left w:val="none" w:sz="0" w:space="0" w:color="auto"/>
        <w:bottom w:val="none" w:sz="0" w:space="0" w:color="auto"/>
        <w:right w:val="none" w:sz="0" w:space="0" w:color="auto"/>
      </w:divBdr>
    </w:div>
    <w:div w:id="1038817804">
      <w:bodyDiv w:val="1"/>
      <w:marLeft w:val="0"/>
      <w:marRight w:val="0"/>
      <w:marTop w:val="0"/>
      <w:marBottom w:val="0"/>
      <w:divBdr>
        <w:top w:val="none" w:sz="0" w:space="0" w:color="auto"/>
        <w:left w:val="none" w:sz="0" w:space="0" w:color="auto"/>
        <w:bottom w:val="none" w:sz="0" w:space="0" w:color="auto"/>
        <w:right w:val="none" w:sz="0" w:space="0" w:color="auto"/>
      </w:divBdr>
    </w:div>
    <w:div w:id="1207991248">
      <w:bodyDiv w:val="1"/>
      <w:marLeft w:val="0"/>
      <w:marRight w:val="0"/>
      <w:marTop w:val="0"/>
      <w:marBottom w:val="0"/>
      <w:divBdr>
        <w:top w:val="none" w:sz="0" w:space="0" w:color="auto"/>
        <w:left w:val="none" w:sz="0" w:space="0" w:color="auto"/>
        <w:bottom w:val="none" w:sz="0" w:space="0" w:color="auto"/>
        <w:right w:val="none" w:sz="0" w:space="0" w:color="auto"/>
      </w:divBdr>
    </w:div>
    <w:div w:id="1361398175">
      <w:bodyDiv w:val="1"/>
      <w:marLeft w:val="0"/>
      <w:marRight w:val="0"/>
      <w:marTop w:val="0"/>
      <w:marBottom w:val="0"/>
      <w:divBdr>
        <w:top w:val="none" w:sz="0" w:space="0" w:color="auto"/>
        <w:left w:val="none" w:sz="0" w:space="0" w:color="auto"/>
        <w:bottom w:val="none" w:sz="0" w:space="0" w:color="auto"/>
        <w:right w:val="none" w:sz="0" w:space="0" w:color="auto"/>
      </w:divBdr>
    </w:div>
    <w:div w:id="1397506684">
      <w:bodyDiv w:val="1"/>
      <w:marLeft w:val="0"/>
      <w:marRight w:val="0"/>
      <w:marTop w:val="0"/>
      <w:marBottom w:val="0"/>
      <w:divBdr>
        <w:top w:val="none" w:sz="0" w:space="0" w:color="auto"/>
        <w:left w:val="none" w:sz="0" w:space="0" w:color="auto"/>
        <w:bottom w:val="none" w:sz="0" w:space="0" w:color="auto"/>
        <w:right w:val="none" w:sz="0" w:space="0" w:color="auto"/>
      </w:divBdr>
    </w:div>
    <w:div w:id="1414889241">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42861306">
      <w:bodyDiv w:val="1"/>
      <w:marLeft w:val="0"/>
      <w:marRight w:val="0"/>
      <w:marTop w:val="0"/>
      <w:marBottom w:val="0"/>
      <w:divBdr>
        <w:top w:val="none" w:sz="0" w:space="0" w:color="auto"/>
        <w:left w:val="none" w:sz="0" w:space="0" w:color="auto"/>
        <w:bottom w:val="none" w:sz="0" w:space="0" w:color="auto"/>
        <w:right w:val="none" w:sz="0" w:space="0" w:color="auto"/>
      </w:divBdr>
    </w:div>
    <w:div w:id="1596354662">
      <w:bodyDiv w:val="1"/>
      <w:marLeft w:val="0"/>
      <w:marRight w:val="0"/>
      <w:marTop w:val="0"/>
      <w:marBottom w:val="0"/>
      <w:divBdr>
        <w:top w:val="none" w:sz="0" w:space="0" w:color="auto"/>
        <w:left w:val="none" w:sz="0" w:space="0" w:color="auto"/>
        <w:bottom w:val="none" w:sz="0" w:space="0" w:color="auto"/>
        <w:right w:val="none" w:sz="0" w:space="0" w:color="auto"/>
      </w:divBdr>
    </w:div>
    <w:div w:id="1630093070">
      <w:bodyDiv w:val="1"/>
      <w:marLeft w:val="0"/>
      <w:marRight w:val="0"/>
      <w:marTop w:val="0"/>
      <w:marBottom w:val="0"/>
      <w:divBdr>
        <w:top w:val="none" w:sz="0" w:space="0" w:color="auto"/>
        <w:left w:val="none" w:sz="0" w:space="0" w:color="auto"/>
        <w:bottom w:val="none" w:sz="0" w:space="0" w:color="auto"/>
        <w:right w:val="none" w:sz="0" w:space="0" w:color="auto"/>
      </w:divBdr>
    </w:div>
    <w:div w:id="1729645233">
      <w:bodyDiv w:val="1"/>
      <w:marLeft w:val="0"/>
      <w:marRight w:val="0"/>
      <w:marTop w:val="0"/>
      <w:marBottom w:val="0"/>
      <w:divBdr>
        <w:top w:val="none" w:sz="0" w:space="0" w:color="auto"/>
        <w:left w:val="none" w:sz="0" w:space="0" w:color="auto"/>
        <w:bottom w:val="none" w:sz="0" w:space="0" w:color="auto"/>
        <w:right w:val="none" w:sz="0" w:space="0" w:color="auto"/>
      </w:divBdr>
    </w:div>
    <w:div w:id="1794014527">
      <w:bodyDiv w:val="1"/>
      <w:marLeft w:val="0"/>
      <w:marRight w:val="0"/>
      <w:marTop w:val="0"/>
      <w:marBottom w:val="0"/>
      <w:divBdr>
        <w:top w:val="none" w:sz="0" w:space="0" w:color="auto"/>
        <w:left w:val="none" w:sz="0" w:space="0" w:color="auto"/>
        <w:bottom w:val="none" w:sz="0" w:space="0" w:color="auto"/>
        <w:right w:val="none" w:sz="0" w:space="0" w:color="auto"/>
      </w:divBdr>
    </w:div>
    <w:div w:id="1840928491">
      <w:bodyDiv w:val="1"/>
      <w:marLeft w:val="0"/>
      <w:marRight w:val="0"/>
      <w:marTop w:val="0"/>
      <w:marBottom w:val="0"/>
      <w:divBdr>
        <w:top w:val="none" w:sz="0" w:space="0" w:color="auto"/>
        <w:left w:val="none" w:sz="0" w:space="0" w:color="auto"/>
        <w:bottom w:val="none" w:sz="0" w:space="0" w:color="auto"/>
        <w:right w:val="none" w:sz="0" w:space="0" w:color="auto"/>
      </w:divBdr>
    </w:div>
    <w:div w:id="2002001928">
      <w:bodyDiv w:val="1"/>
      <w:marLeft w:val="0"/>
      <w:marRight w:val="0"/>
      <w:marTop w:val="0"/>
      <w:marBottom w:val="0"/>
      <w:divBdr>
        <w:top w:val="none" w:sz="0" w:space="0" w:color="auto"/>
        <w:left w:val="none" w:sz="0" w:space="0" w:color="auto"/>
        <w:bottom w:val="none" w:sz="0" w:space="0" w:color="auto"/>
        <w:right w:val="none" w:sz="0" w:space="0" w:color="auto"/>
      </w:divBdr>
    </w:div>
    <w:div w:id="2097895532">
      <w:bodyDiv w:val="1"/>
      <w:marLeft w:val="0"/>
      <w:marRight w:val="0"/>
      <w:marTop w:val="0"/>
      <w:marBottom w:val="0"/>
      <w:divBdr>
        <w:top w:val="none" w:sz="0" w:space="0" w:color="auto"/>
        <w:left w:val="none" w:sz="0" w:space="0" w:color="auto"/>
        <w:bottom w:val="none" w:sz="0" w:space="0" w:color="auto"/>
        <w:right w:val="none" w:sz="0" w:space="0" w:color="auto"/>
      </w:divBdr>
    </w:div>
    <w:div w:id="2117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hicks@p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herzog@p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is.state.pa.us/WU01/LI/LI/CT/HTM/66/00.030..HTM" TargetMode="External"/><Relationship Id="rId2" Type="http://schemas.openxmlformats.org/officeDocument/2006/relationships/hyperlink" Target="https://www.fcc.gov/keep-americans-connected" TargetMode="External"/><Relationship Id="rId1" Type="http://schemas.openxmlformats.org/officeDocument/2006/relationships/hyperlink" Target="https://www.governor.pa.gov/wp-content/uploads/2020/03/20200306-COVID19-Digital-Procla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0" ma:contentTypeDescription="Create a new document." ma:contentTypeScope="" ma:versionID="7069f49dfadbb7f329d6bc27605cc085">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8060d84f582d27c8c9371e0ba28be164"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540E24-9FB7-4EE4-BBD7-3BE5ADF34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49D21-B510-48B3-B126-29494428259A}">
  <ds:schemaRefs>
    <ds:schemaRef ds:uri="http://schemas.microsoft.com/sharepoint/v3/contenttype/forms"/>
  </ds:schemaRefs>
</ds:datastoreItem>
</file>

<file path=customXml/itemProps3.xml><?xml version="1.0" encoding="utf-8"?>
<ds:datastoreItem xmlns:ds="http://schemas.openxmlformats.org/officeDocument/2006/customXml" ds:itemID="{0B23FFC8-C2A9-4B9D-88C9-EF48AC16B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Cardinale, Joe</dc:creator>
  <cp:lastModifiedBy>Chiavetta, Rosemary</cp:lastModifiedBy>
  <cp:revision>4</cp:revision>
  <cp:lastPrinted>2019-11-12T19:54:00Z</cp:lastPrinted>
  <dcterms:created xsi:type="dcterms:W3CDTF">2020-05-13T12:33:00Z</dcterms:created>
  <dcterms:modified xsi:type="dcterms:W3CDTF">2020-05-13T12:47:00Z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