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Spec="center" w:tblpY="-896"/>
        <w:tblW w:w="10890" w:type="dxa"/>
        <w:tblLayout w:type="fixed"/>
        <w:tblLook w:val="0000" w:firstRow="0" w:lastRow="0" w:firstColumn="0" w:lastColumn="0" w:noHBand="0" w:noVBand="0"/>
      </w:tblPr>
      <w:tblGrid>
        <w:gridCol w:w="1363"/>
        <w:gridCol w:w="8075"/>
        <w:gridCol w:w="1452"/>
      </w:tblGrid>
      <w:tr w:rsidR="00B06E42" w:rsidRPr="00235CED" w14:paraId="1D97D98C" w14:textId="77777777" w:rsidTr="005361CD">
        <w:trPr>
          <w:trHeight w:val="990"/>
        </w:trPr>
        <w:tc>
          <w:tcPr>
            <w:tcW w:w="1363" w:type="dxa"/>
          </w:tcPr>
          <w:p w14:paraId="6987897E" w14:textId="5EB433A5" w:rsidR="00B06E42" w:rsidRPr="00235CED" w:rsidRDefault="00CB6D70" w:rsidP="00DF0950">
            <w:pPr>
              <w:rPr>
                <w:sz w:val="26"/>
                <w:szCs w:val="26"/>
              </w:rPr>
            </w:pPr>
            <w:r w:rsidRPr="00235CED">
              <w:rPr>
                <w:noProof/>
                <w:spacing w:val="-2"/>
                <w:sz w:val="26"/>
                <w:szCs w:val="26"/>
              </w:rPr>
              <w:drawing>
                <wp:inline distT="0" distB="0" distL="0" distR="0" wp14:anchorId="4E220A69" wp14:editId="15404C1A">
                  <wp:extent cx="723265" cy="723265"/>
                  <wp:effectExtent l="0" t="0" r="0" b="0"/>
                  <wp:docPr id="1" name="Picture 1" descr="P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C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075" w:type="dxa"/>
          </w:tcPr>
          <w:p w14:paraId="0FB2A661" w14:textId="77777777" w:rsidR="00B06E42" w:rsidRPr="00235CED" w:rsidRDefault="00B06E42" w:rsidP="00DF0950">
            <w:pPr>
              <w:suppressAutoHyphens/>
              <w:jc w:val="center"/>
              <w:rPr>
                <w:rFonts w:ascii="Arial" w:hAnsi="Arial"/>
                <w:color w:val="000080"/>
                <w:spacing w:val="-3"/>
                <w:sz w:val="26"/>
                <w:szCs w:val="26"/>
              </w:rPr>
            </w:pPr>
          </w:p>
          <w:p w14:paraId="53A59787" w14:textId="77777777" w:rsidR="00B06E42" w:rsidRPr="00235CED" w:rsidRDefault="00B06E42" w:rsidP="00DF0950">
            <w:pPr>
              <w:suppressAutoHyphens/>
              <w:jc w:val="center"/>
              <w:rPr>
                <w:rFonts w:ascii="Arial" w:hAnsi="Arial"/>
                <w:color w:val="000080"/>
                <w:spacing w:val="-3"/>
                <w:sz w:val="26"/>
                <w:szCs w:val="26"/>
              </w:rPr>
            </w:pPr>
            <w:r w:rsidRPr="00235CED">
              <w:rPr>
                <w:rFonts w:ascii="Arial" w:hAnsi="Arial"/>
                <w:color w:val="000080"/>
                <w:spacing w:val="-3"/>
                <w:sz w:val="26"/>
                <w:szCs w:val="26"/>
              </w:rPr>
              <w:t>COMMONWEALTH OF PENNSYLVANIA</w:t>
            </w:r>
          </w:p>
          <w:p w14:paraId="7482C914" w14:textId="77777777" w:rsidR="001C3339" w:rsidRDefault="00B06E42" w:rsidP="00D540E6">
            <w:pPr>
              <w:suppressAutoHyphens/>
              <w:jc w:val="center"/>
              <w:rPr>
                <w:rFonts w:ascii="Arial" w:hAnsi="Arial"/>
                <w:color w:val="000080"/>
                <w:spacing w:val="-3"/>
                <w:sz w:val="26"/>
                <w:szCs w:val="26"/>
              </w:rPr>
            </w:pPr>
            <w:r w:rsidRPr="00235CED">
              <w:rPr>
                <w:rFonts w:ascii="Arial" w:hAnsi="Arial"/>
                <w:color w:val="000080"/>
                <w:spacing w:val="-3"/>
                <w:sz w:val="26"/>
                <w:szCs w:val="26"/>
              </w:rPr>
              <w:t>PENNSYLVANIA PUBLIC UTILITY COMMISSION</w:t>
            </w:r>
          </w:p>
          <w:p w14:paraId="74C94CDC" w14:textId="6D125CE6" w:rsidR="00B06E42" w:rsidRPr="00235CED" w:rsidRDefault="00C11D80" w:rsidP="00D540E6">
            <w:pPr>
              <w:suppressAutoHyphens/>
              <w:jc w:val="center"/>
              <w:rPr>
                <w:rFonts w:ascii="Arial" w:hAnsi="Arial"/>
                <w:sz w:val="26"/>
                <w:szCs w:val="26"/>
              </w:rPr>
            </w:pPr>
            <w:r>
              <w:rPr>
                <w:rFonts w:ascii="Arial" w:hAnsi="Arial"/>
                <w:color w:val="000080"/>
                <w:spacing w:val="-3"/>
                <w:sz w:val="26"/>
              </w:rPr>
              <w:t>400 NORTH STREET, HARRISBURG, PA 17120</w:t>
            </w:r>
          </w:p>
        </w:tc>
        <w:tc>
          <w:tcPr>
            <w:tcW w:w="1452" w:type="dxa"/>
          </w:tcPr>
          <w:p w14:paraId="69967BD8" w14:textId="77777777" w:rsidR="00B06E42" w:rsidRPr="00235CED" w:rsidRDefault="00B06E42" w:rsidP="00DF0950">
            <w:pPr>
              <w:rPr>
                <w:rFonts w:ascii="Arial" w:hAnsi="Arial"/>
                <w:sz w:val="26"/>
                <w:szCs w:val="26"/>
              </w:rPr>
            </w:pPr>
          </w:p>
          <w:p w14:paraId="4D1A0B46" w14:textId="77777777" w:rsidR="00B06E42" w:rsidRPr="002E6148" w:rsidRDefault="00B06E42" w:rsidP="00DF0950">
            <w:pPr>
              <w:rPr>
                <w:rFonts w:ascii="Arial" w:hAnsi="Arial"/>
                <w:sz w:val="16"/>
                <w:szCs w:val="16"/>
              </w:rPr>
            </w:pPr>
          </w:p>
          <w:p w14:paraId="7B2F554B" w14:textId="77777777" w:rsidR="003C008E" w:rsidRPr="002E6148" w:rsidRDefault="00B06E42" w:rsidP="00DF0950">
            <w:pPr>
              <w:rPr>
                <w:rFonts w:ascii="Arial" w:hAnsi="Arial"/>
                <w:sz w:val="12"/>
                <w:szCs w:val="12"/>
              </w:rPr>
            </w:pPr>
            <w:r w:rsidRPr="002E6148">
              <w:rPr>
                <w:rFonts w:ascii="Arial" w:hAnsi="Arial"/>
                <w:b/>
                <w:spacing w:val="-1"/>
                <w:sz w:val="12"/>
                <w:szCs w:val="12"/>
              </w:rPr>
              <w:t>IN REPLY PLEASE REFER TO OUR FILE</w:t>
            </w:r>
            <w:r w:rsidR="003C008E" w:rsidRPr="002E6148">
              <w:rPr>
                <w:rFonts w:ascii="Arial" w:hAnsi="Arial"/>
                <w:sz w:val="12"/>
                <w:szCs w:val="12"/>
              </w:rPr>
              <w:t xml:space="preserve"> </w:t>
            </w:r>
          </w:p>
          <w:p w14:paraId="61E8086B" w14:textId="77777777" w:rsidR="00B06E42" w:rsidRPr="008078BB" w:rsidRDefault="004739C7" w:rsidP="001F2904">
            <w:pPr>
              <w:rPr>
                <w:rFonts w:ascii="Arial" w:hAnsi="Arial"/>
                <w:sz w:val="16"/>
                <w:szCs w:val="16"/>
              </w:rPr>
            </w:pPr>
            <w:r w:rsidRPr="008078BB">
              <w:rPr>
                <w:sz w:val="16"/>
                <w:szCs w:val="16"/>
              </w:rPr>
              <w:t>M-</w:t>
            </w:r>
            <w:r w:rsidR="004F15E3">
              <w:rPr>
                <w:sz w:val="16"/>
                <w:szCs w:val="16"/>
              </w:rPr>
              <w:t>2020-3015228</w:t>
            </w:r>
          </w:p>
        </w:tc>
      </w:tr>
    </w:tbl>
    <w:p w14:paraId="08CA5B74" w14:textId="725C74A3" w:rsidR="001F2904" w:rsidRDefault="001F2904" w:rsidP="001F2904">
      <w:pPr>
        <w:ind w:right="-720"/>
        <w:jc w:val="center"/>
      </w:pPr>
    </w:p>
    <w:p w14:paraId="56232284" w14:textId="01460CE0" w:rsidR="001F2904" w:rsidRDefault="002F48A6" w:rsidP="002F48A6">
      <w:pPr>
        <w:jc w:val="center"/>
      </w:pPr>
      <w:r>
        <w:t>September 9, 2020</w:t>
      </w:r>
    </w:p>
    <w:p w14:paraId="1CF016B2" w14:textId="77777777" w:rsidR="001F2904" w:rsidRDefault="001F2904" w:rsidP="001F2904">
      <w:pPr>
        <w:ind w:left="720" w:right="-720" w:hanging="720"/>
      </w:pPr>
    </w:p>
    <w:p w14:paraId="41A35DFD" w14:textId="77777777" w:rsidR="001F2904" w:rsidRPr="00503391" w:rsidRDefault="001F2904" w:rsidP="001F2904">
      <w:pPr>
        <w:ind w:left="720" w:right="-720" w:hanging="720"/>
      </w:pPr>
    </w:p>
    <w:p w14:paraId="33599D02" w14:textId="77777777" w:rsidR="001F2904" w:rsidRPr="00503391" w:rsidRDefault="001F2904" w:rsidP="001F2904">
      <w:pPr>
        <w:ind w:left="720" w:right="-720" w:hanging="720"/>
      </w:pPr>
      <w:r w:rsidRPr="00503391">
        <w:t>To:</w:t>
      </w:r>
      <w:r w:rsidRPr="00503391">
        <w:tab/>
        <w:t>All Interested Parties</w:t>
      </w:r>
    </w:p>
    <w:p w14:paraId="0FE9375D" w14:textId="77777777" w:rsidR="001F2904" w:rsidRPr="00503391" w:rsidRDefault="001F2904" w:rsidP="001F2904"/>
    <w:p w14:paraId="00FD91E7" w14:textId="77777777" w:rsidR="001F2904" w:rsidRPr="00503391" w:rsidRDefault="001F2904" w:rsidP="001F2904">
      <w:pPr>
        <w:autoSpaceDE w:val="0"/>
        <w:autoSpaceDN w:val="0"/>
        <w:adjustRightInd w:val="0"/>
        <w:ind w:left="720" w:hanging="720"/>
      </w:pPr>
      <w:r w:rsidRPr="00503391">
        <w:t>Re:</w:t>
      </w:r>
      <w:r w:rsidRPr="00503391">
        <w:tab/>
        <w:t xml:space="preserve">Implementation of Act 129 of </w:t>
      </w:r>
      <w:r>
        <w:t>2008—Phase IV</w:t>
      </w:r>
    </w:p>
    <w:p w14:paraId="1AD2F75A" w14:textId="77777777" w:rsidR="001F2904" w:rsidRPr="00503391" w:rsidRDefault="001F2904" w:rsidP="001F2904">
      <w:pPr>
        <w:autoSpaceDE w:val="0"/>
        <w:autoSpaceDN w:val="0"/>
        <w:adjustRightInd w:val="0"/>
        <w:ind w:left="720" w:hanging="720"/>
      </w:pPr>
      <w:r w:rsidRPr="00503391">
        <w:tab/>
        <w:t>Energy Efficiency and Conservation Plan Template</w:t>
      </w:r>
    </w:p>
    <w:p w14:paraId="2A680686" w14:textId="77777777" w:rsidR="001F2904" w:rsidRPr="00503391" w:rsidRDefault="001F2904" w:rsidP="001F2904">
      <w:pPr>
        <w:autoSpaceDE w:val="0"/>
        <w:autoSpaceDN w:val="0"/>
        <w:adjustRightInd w:val="0"/>
        <w:ind w:left="720" w:hanging="720"/>
      </w:pPr>
      <w:r w:rsidRPr="00503391">
        <w:tab/>
      </w:r>
      <w:r w:rsidRPr="00BC02C5">
        <w:t>Docket No. M-2020-3015228</w:t>
      </w:r>
    </w:p>
    <w:p w14:paraId="73CF04F3" w14:textId="77777777" w:rsidR="001F2904" w:rsidRPr="00503391" w:rsidRDefault="001F2904" w:rsidP="001F2904"/>
    <w:p w14:paraId="67FDE4A9" w14:textId="77777777" w:rsidR="001F2904" w:rsidRPr="00503391" w:rsidRDefault="001F2904" w:rsidP="001F2904">
      <w:pPr>
        <w:autoSpaceDE w:val="0"/>
        <w:autoSpaceDN w:val="0"/>
        <w:adjustRightInd w:val="0"/>
        <w:ind w:firstLine="720"/>
      </w:pPr>
    </w:p>
    <w:p w14:paraId="123A0BBA" w14:textId="77777777" w:rsidR="001F2904" w:rsidRPr="00503391" w:rsidRDefault="001F2904" w:rsidP="001F2904">
      <w:pPr>
        <w:autoSpaceDE w:val="0"/>
        <w:autoSpaceDN w:val="0"/>
        <w:adjustRightInd w:val="0"/>
        <w:ind w:firstLine="720"/>
      </w:pPr>
      <w:r w:rsidRPr="00503391">
        <w:t>The Pennsylvania Public Utility Commission (Commission) hereby issues an Energy Efficiency and Conservation Plan (EE&amp;C Plan) filing template for the EE&amp;C Program.  With this Secretarial Letter, the Commission continues its process of establishing guid</w:t>
      </w:r>
      <w:r>
        <w:t>elines for implementing Phase IV</w:t>
      </w:r>
      <w:r w:rsidRPr="00503391">
        <w:t xml:space="preserve"> of the Act 129 EE&amp;C Program.</w:t>
      </w:r>
    </w:p>
    <w:p w14:paraId="57E09A5D" w14:textId="77777777" w:rsidR="001F2904" w:rsidRPr="00503391" w:rsidRDefault="001F2904" w:rsidP="001F2904">
      <w:pPr>
        <w:autoSpaceDE w:val="0"/>
        <w:autoSpaceDN w:val="0"/>
        <w:adjustRightInd w:val="0"/>
        <w:ind w:firstLine="720"/>
      </w:pPr>
    </w:p>
    <w:p w14:paraId="5E8EB9AD" w14:textId="77777777" w:rsidR="001F2904" w:rsidRPr="00503391" w:rsidRDefault="001F2904" w:rsidP="001F2904">
      <w:pPr>
        <w:autoSpaceDE w:val="0"/>
        <w:autoSpaceDN w:val="0"/>
        <w:adjustRightInd w:val="0"/>
        <w:ind w:firstLine="720"/>
      </w:pPr>
      <w:r w:rsidRPr="00E9303D">
        <w:t xml:space="preserve">On June 18, 2020, the Commission adopted an </w:t>
      </w:r>
      <w:r w:rsidRPr="00E9303D">
        <w:rPr>
          <w:i/>
        </w:rPr>
        <w:t xml:space="preserve">Implementation Order </w:t>
      </w:r>
      <w:r w:rsidRPr="00E9303D">
        <w:t>which directed that the Phase IV EE&amp;C Program operate from June 1, 2021 through May 31, 2026 and prescribed further energy consumption and peak demand reduction targets.</w:t>
      </w:r>
      <w:r w:rsidRPr="00E9303D">
        <w:rPr>
          <w:rStyle w:val="FootnoteReference"/>
        </w:rPr>
        <w:footnoteReference w:id="2"/>
      </w:r>
      <w:r w:rsidRPr="00E9303D">
        <w:t xml:space="preserve">  This </w:t>
      </w:r>
      <w:r w:rsidRPr="00E9303D">
        <w:rPr>
          <w:i/>
        </w:rPr>
        <w:t>Implementation Order</w:t>
      </w:r>
      <w:r w:rsidRPr="00E9303D">
        <w:t xml:space="preserve"> also directed that the electric distribution companies (EDCs) file EE&amp;C Plans for Phase IV by November 30, 2020.</w:t>
      </w:r>
      <w:r w:rsidRPr="00E9303D">
        <w:rPr>
          <w:rStyle w:val="FootnoteReference"/>
        </w:rPr>
        <w:footnoteReference w:id="3"/>
      </w:r>
      <w:r w:rsidRPr="00E9303D">
        <w:t xml:space="preserve">  On July 27, 2020, the Commission issued for comment a proposed EE&amp;C Plan filing template.  The deadline for filing comments was August 17, 2020.  The Energy Association of Pennsylvania (EAP), the Pennsylvania Energy Efficiency for All Coalition (PA-EEFA), and the Office of Small Business Advocate (OSBA) filed comments.  These comments, as well as the Commission’s disposition, are organized by EE&amp;C Plan filing template section below.</w:t>
      </w:r>
      <w:r>
        <w:t xml:space="preserve"> </w:t>
      </w:r>
    </w:p>
    <w:p w14:paraId="2475FE29" w14:textId="77777777" w:rsidR="001F2904" w:rsidRPr="00503391" w:rsidRDefault="001F2904" w:rsidP="001F2904">
      <w:pPr>
        <w:autoSpaceDE w:val="0"/>
        <w:autoSpaceDN w:val="0"/>
        <w:adjustRightInd w:val="0"/>
        <w:ind w:firstLine="720"/>
      </w:pPr>
    </w:p>
    <w:p w14:paraId="5DA43C57" w14:textId="77777777" w:rsidR="001F2904" w:rsidRDefault="001F2904" w:rsidP="001F2904">
      <w:pPr>
        <w:rPr>
          <w:rStyle w:val="Strong"/>
        </w:rPr>
      </w:pPr>
      <w:r w:rsidRPr="00F35BFD">
        <w:rPr>
          <w:rStyle w:val="Strong"/>
        </w:rPr>
        <w:t>Section 1 – Overview of Plan</w:t>
      </w:r>
      <w:r w:rsidRPr="00F35BFD">
        <w:rPr>
          <w:rStyle w:val="Strong"/>
        </w:rPr>
        <w:tab/>
      </w:r>
    </w:p>
    <w:p w14:paraId="00ABC075" w14:textId="77777777" w:rsidR="001F2904" w:rsidRPr="00F35BFD" w:rsidRDefault="001F2904" w:rsidP="001F2904">
      <w:pPr>
        <w:rPr>
          <w:rStyle w:val="Strong"/>
        </w:rPr>
      </w:pPr>
    </w:p>
    <w:p w14:paraId="5802FCBA" w14:textId="77E74541" w:rsidR="001F2904" w:rsidRDefault="001F2904" w:rsidP="001F2904">
      <w:pPr>
        <w:ind w:firstLine="720"/>
      </w:pPr>
      <w:r w:rsidRPr="001547C5">
        <w:t xml:space="preserve">PA-EEFA </w:t>
      </w:r>
      <w:r>
        <w:t xml:space="preserve">suggests adding three new subparts at the end of Section 1.  In the first (proposed Section 1.10), </w:t>
      </w:r>
      <w:r w:rsidR="008D5794">
        <w:t xml:space="preserve">PA-EEFA suggests </w:t>
      </w:r>
      <w:r>
        <w:t xml:space="preserve">EDCs </w:t>
      </w:r>
      <w:r w:rsidRPr="00A0342D">
        <w:t>describe how they will ach</w:t>
      </w:r>
      <w:r>
        <w:t>ieve low-income savings targets</w:t>
      </w:r>
      <w:r w:rsidRPr="00A0342D">
        <w:t xml:space="preserve"> and how they will provide services to both </w:t>
      </w:r>
      <w:r>
        <w:t xml:space="preserve">single-family and multifamily low-income </w:t>
      </w:r>
      <w:r w:rsidRPr="00A0342D">
        <w:t>households</w:t>
      </w:r>
      <w:r>
        <w:t xml:space="preserve">.  In the second (proposed Section 1.11), </w:t>
      </w:r>
      <w:r w:rsidR="00B3381E">
        <w:t xml:space="preserve">PA-EEFA suggests </w:t>
      </w:r>
      <w:r w:rsidRPr="00A0342D">
        <w:t xml:space="preserve">EDCs </w:t>
      </w:r>
      <w:r w:rsidR="00C11D80">
        <w:t>be required to</w:t>
      </w:r>
      <w:r w:rsidRPr="00A0342D">
        <w:t xml:space="preserve"> summarize how they will ensure that services are provided equitably across </w:t>
      </w:r>
      <w:r>
        <w:t>their service territories</w:t>
      </w:r>
      <w:r w:rsidRPr="00A0342D">
        <w:t xml:space="preserve"> (including communities of color)</w:t>
      </w:r>
      <w:r>
        <w:t xml:space="preserve">.  In this section, </w:t>
      </w:r>
      <w:r w:rsidR="00B3381E">
        <w:t xml:space="preserve">PA-EEFA suggests </w:t>
      </w:r>
      <w:r>
        <w:t xml:space="preserve">EDCs explain the data they will collect and the metrics they will use to measure their success with respect to reaching underserved communities.  In the third (proposed Section 1.12), </w:t>
      </w:r>
      <w:r w:rsidR="00B3381E">
        <w:t xml:space="preserve">PA-EEFA suggests </w:t>
      </w:r>
      <w:r>
        <w:t xml:space="preserve">EDCs must </w:t>
      </w:r>
      <w:r w:rsidRPr="00A0342D">
        <w:t xml:space="preserve">describe how </w:t>
      </w:r>
      <w:r>
        <w:t>they intend</w:t>
      </w:r>
      <w:r w:rsidRPr="00A0342D">
        <w:t xml:space="preserve"> to coordinate and integrate </w:t>
      </w:r>
      <w:r>
        <w:t xml:space="preserve">their </w:t>
      </w:r>
      <w:r w:rsidRPr="00A0342D">
        <w:t xml:space="preserve">Act 129 energy efficiency and conservation programs </w:t>
      </w:r>
      <w:r>
        <w:t xml:space="preserve">with their </w:t>
      </w:r>
      <w:r w:rsidRPr="00A0342D">
        <w:t>Low Income Usage Reduction Programs (LIURP)</w:t>
      </w:r>
      <w:r>
        <w:t xml:space="preserve">.  PA-EEFA Comments at 3-5. </w:t>
      </w:r>
    </w:p>
    <w:p w14:paraId="05A65C91" w14:textId="77777777" w:rsidR="001F2904" w:rsidRDefault="001F2904" w:rsidP="001F2904">
      <w:pPr>
        <w:ind w:firstLine="720"/>
      </w:pPr>
    </w:p>
    <w:p w14:paraId="5A39E251" w14:textId="33E14E19" w:rsidR="001F2904" w:rsidRDefault="001F2904" w:rsidP="001F2904">
      <w:pPr>
        <w:ind w:firstLine="720"/>
      </w:pPr>
      <w:r>
        <w:lastRenderedPageBreak/>
        <w:t xml:space="preserve">Regarding the first two suggested subparts, the Commission disagrees.  Section 1 is intended to address a cross-cutting summary of the portfolio as a whole rather than detailed information regarding sector-specific plans.  The template already contains a dedicated section for the EDCs to describe how they will achieve savings in the low-income </w:t>
      </w:r>
      <w:r w:rsidR="001B3F81">
        <w:t>sub-</w:t>
      </w:r>
      <w:r>
        <w:t xml:space="preserve">sector (Section 3.2.1).  The budget and parity analysis EDCs are required to complete as part of the template shows how the budgets are split between customer sectors.  Regarding PA-EEFA’s third proposed subpart, the Commission notes that PA-EEFA provided a similar comment </w:t>
      </w:r>
      <w:r w:rsidR="00C11D80">
        <w:t>regarding</w:t>
      </w:r>
      <w:r>
        <w:t xml:space="preserve"> Section 9.1.2.  The Commission adopted PA-EEFA’s suggestion regarding increased discussion of LIURP coordination in Section 9, which is discussed later in this Secretarial Letter.  As such, the Commission </w:t>
      </w:r>
      <w:r w:rsidR="009F2016">
        <w:t xml:space="preserve">finds </w:t>
      </w:r>
      <w:r>
        <w:t xml:space="preserve">including PA-EEFA’s proposed Section 1.12 is not necessary. </w:t>
      </w:r>
    </w:p>
    <w:p w14:paraId="79AC2DBD" w14:textId="77777777" w:rsidR="001F2904" w:rsidRDefault="001F2904" w:rsidP="001F2904"/>
    <w:p w14:paraId="5D63B693" w14:textId="77777777" w:rsidR="001F2904" w:rsidRPr="00F35BFD" w:rsidRDefault="001F2904" w:rsidP="001F2904">
      <w:pPr>
        <w:rPr>
          <w:rStyle w:val="Strong"/>
        </w:rPr>
      </w:pPr>
      <w:r w:rsidRPr="00F35BFD">
        <w:rPr>
          <w:rStyle w:val="Strong"/>
        </w:rPr>
        <w:t>Section 1.2 – Summary description of process used to develop the EE&amp;C plan and key assumptions used in preparing the plan</w:t>
      </w:r>
    </w:p>
    <w:p w14:paraId="55601C9D" w14:textId="77777777" w:rsidR="001F2904" w:rsidRDefault="001F2904" w:rsidP="001F2904"/>
    <w:p w14:paraId="63368C7F" w14:textId="77777777" w:rsidR="001F2904" w:rsidRDefault="001F2904" w:rsidP="001F2904">
      <w:pPr>
        <w:ind w:firstLine="720"/>
      </w:pPr>
      <w:r w:rsidRPr="001547C5">
        <w:t>PA-EEFA recommends that this section be amended to specifically require EDCs to describe its process for stakeholder engagement, and how its plan responds to specific input from various stakeholders throughout its development process.</w:t>
      </w:r>
      <w:r>
        <w:t xml:space="preserve">  </w:t>
      </w:r>
      <w:r w:rsidRPr="001547C5">
        <w:t>PA-EEFA</w:t>
      </w:r>
      <w:r>
        <w:t xml:space="preserve"> Comments at 3.</w:t>
      </w:r>
    </w:p>
    <w:p w14:paraId="3EB8DFB2" w14:textId="77777777" w:rsidR="001F2904" w:rsidRDefault="001F2904" w:rsidP="001F2904"/>
    <w:p w14:paraId="61BAF01A" w14:textId="77777777" w:rsidR="00D95E62" w:rsidRPr="00D95E62" w:rsidRDefault="00D95E62" w:rsidP="00D95E62">
      <w:pPr>
        <w:ind w:firstLine="720"/>
      </w:pPr>
      <w:r w:rsidRPr="00D95E62">
        <w:t>The Commission finds the recommendation for stakeholder engagement to be reasonable and as such, language to this effect has been adopted in Section 1.2.</w:t>
      </w:r>
    </w:p>
    <w:p w14:paraId="706F6AF5" w14:textId="77777777" w:rsidR="001F2904" w:rsidRDefault="001F2904" w:rsidP="001F2904"/>
    <w:p w14:paraId="7D673CB9" w14:textId="77777777" w:rsidR="001F2904" w:rsidRPr="00F35BFD" w:rsidRDefault="001F2904" w:rsidP="001F2904">
      <w:pPr>
        <w:rPr>
          <w:rStyle w:val="Strong"/>
        </w:rPr>
      </w:pPr>
      <w:r w:rsidRPr="00F35BFD">
        <w:rPr>
          <w:rStyle w:val="Strong"/>
        </w:rPr>
        <w:t>Section 1.6 – Summary description of the programs or measure categories from which the EDC intends to nominate peak demand reductions (PDR) into PJM’s Forward Capacity Market (FCM) along with the projected MW totals to be bid by year</w:t>
      </w:r>
    </w:p>
    <w:p w14:paraId="7C9191FE" w14:textId="77777777" w:rsidR="001F2904" w:rsidRDefault="001F2904" w:rsidP="001F2904"/>
    <w:p w14:paraId="779AC929" w14:textId="77777777" w:rsidR="001F2904" w:rsidRPr="006B7297" w:rsidRDefault="001F2904" w:rsidP="001F2904">
      <w:pPr>
        <w:ind w:firstLine="720"/>
      </w:pPr>
      <w:r>
        <w:t>EAP suggests that the proposed language for Section 1.6 be modified to remove the final clause “along with the projected MW totals to be bid by year.”  EAP argues that projecting the MW totals to be bid each year would not necessarily provide a reliable estimate.  Additionally, EAP notes that the timing and scheduling for PJM’s capacity auctions over the next several years is still undecided.  EAP Comments at 4.</w:t>
      </w:r>
    </w:p>
    <w:p w14:paraId="08242EE5" w14:textId="77777777" w:rsidR="001F2904" w:rsidRDefault="001F2904" w:rsidP="001F2904"/>
    <w:p w14:paraId="6F27CA8D" w14:textId="4E2DE3A0" w:rsidR="001F2904" w:rsidRDefault="001F2904" w:rsidP="001F2904">
      <w:pPr>
        <w:ind w:firstLine="720"/>
      </w:pPr>
      <w:r>
        <w:t xml:space="preserve">In light of EAP’s comments and other issues at play with PJM bids, the Commission has adjusted the language in question.  Rather than requiring EDCs to include projected MW totals to be bid by year, EDCs will be required to include a range of MW values. </w:t>
      </w:r>
    </w:p>
    <w:p w14:paraId="64926860" w14:textId="77777777" w:rsidR="001F2904" w:rsidRDefault="001F2904" w:rsidP="001F2904"/>
    <w:p w14:paraId="5FBB0D1B" w14:textId="77777777" w:rsidR="001F2904" w:rsidRPr="00F35BFD" w:rsidRDefault="001F2904" w:rsidP="001F2904">
      <w:pPr>
        <w:rPr>
          <w:rStyle w:val="Strong"/>
        </w:rPr>
      </w:pPr>
      <w:r w:rsidRPr="00F35BFD">
        <w:rPr>
          <w:rStyle w:val="Strong"/>
        </w:rPr>
        <w:t>Section 2.1 – Residential, Commercial/Industrial Small, Commercial/Industrial Large and Government/ Nonprofit/Institutional Portfolio Summaries</w:t>
      </w:r>
    </w:p>
    <w:p w14:paraId="25F2A3AB" w14:textId="77777777" w:rsidR="001F2904" w:rsidRDefault="001F2904" w:rsidP="001F2904"/>
    <w:p w14:paraId="687DAF4F" w14:textId="58908DC3" w:rsidR="001F2904" w:rsidRDefault="001F2904" w:rsidP="001F2904">
      <w:pPr>
        <w:ind w:firstLine="720"/>
      </w:pPr>
      <w:r>
        <w:t xml:space="preserve">EAP suggests the elimination of language that identifies Government/Nonprofit/Institutional (GNI) as a separate sector for purposes of plan design compared to a sector for the purposes of subsequent reporting.  EAP opines that ascribing specific forecasts to this sector at the plan submission stage is contrary to the Commission’s determination not to propose a specific carve-out for GNI.  Additionally, EAP suggests that EE&amp;C plans could highlight how GNI </w:t>
      </w:r>
      <w:r w:rsidR="004E3735">
        <w:t>customers</w:t>
      </w:r>
      <w:r>
        <w:t xml:space="preserve"> will be served via descriptions without including the detail called for regarding costs, benefits, and savings.  EAP Comments at 5.  </w:t>
      </w:r>
    </w:p>
    <w:p w14:paraId="7C9D91E9" w14:textId="43F391A1" w:rsidR="00AA2B8B" w:rsidRDefault="00AA2B8B" w:rsidP="001F2904">
      <w:pPr>
        <w:ind w:firstLine="720"/>
      </w:pPr>
    </w:p>
    <w:p w14:paraId="72269C3C" w14:textId="31171151" w:rsidR="00AA2B8B" w:rsidRDefault="00AA2B8B" w:rsidP="00FC09B9">
      <w:pPr>
        <w:ind w:firstLine="720"/>
      </w:pPr>
      <w:r>
        <w:t xml:space="preserve">The Commission agrees with EAP’s suggestion.  GNI data is not needed in the plan template.  Additionally, Section 3.5 has been adjusted such that EDCs will simply describe how the GNI sector will be served qualitatively. </w:t>
      </w:r>
    </w:p>
    <w:p w14:paraId="38BB61E3" w14:textId="77777777" w:rsidR="001F2904" w:rsidRDefault="001F2904" w:rsidP="001F2904">
      <w:pPr>
        <w:ind w:firstLine="720"/>
      </w:pPr>
    </w:p>
    <w:p w14:paraId="19123F6B" w14:textId="6A4E2547" w:rsidR="001F2904" w:rsidRPr="006B7297" w:rsidRDefault="001F2904" w:rsidP="00FC09B9">
      <w:pPr>
        <w:ind w:firstLine="720"/>
      </w:pPr>
      <w:r>
        <w:t>PA-EEFA recommends adding “Low-Income” to the list of sectors provided in this section.  This would be consistent with Table 5 of the template.  PA-EEFA additionally recommends slightly adjusting the definition of a program in footnote 6 such that a group of measures organized around a common market can be a program.  Specifically, they request the inclusion of markets in the following sentence: “Programs should be organized around a common technology, end-use, or delivery mechanism.”  They cite the grocer market as an example, as a grocer program could support efficient refrigeration, lighting, ventilation, water heating, and other end-uses.  PA-EEFA Comments at 5.</w:t>
      </w:r>
    </w:p>
    <w:p w14:paraId="2382BF5B" w14:textId="77777777" w:rsidR="001F2904" w:rsidRDefault="001F2904" w:rsidP="00D540E6"/>
    <w:p w14:paraId="69F3BF74" w14:textId="0090E687" w:rsidR="001F2904" w:rsidRPr="0016548E" w:rsidRDefault="001F2904" w:rsidP="001F2904">
      <w:pPr>
        <w:ind w:firstLine="720"/>
      </w:pPr>
      <w:r>
        <w:t xml:space="preserve">Regarding the inclusion of “Low-Income” in the list of sectors, the Commission agrees with PA-EEFA’s suggestion.  Residential Low-Income has been added as a </w:t>
      </w:r>
      <w:r w:rsidR="00344CF1">
        <w:t>sub-</w:t>
      </w:r>
      <w:r>
        <w:t xml:space="preserve">sector in Section 2.1.  Regarding PA-EEFA’s suggestion about markets as a program organization characteristic, the Commission has adopted this suggestion in footnote </w:t>
      </w:r>
      <w:r w:rsidR="0084449E">
        <w:t xml:space="preserve">5 </w:t>
      </w:r>
      <w:r w:rsidR="0090260C">
        <w:t xml:space="preserve">of the final Phase IV EE&amp;C Plan template. </w:t>
      </w:r>
    </w:p>
    <w:p w14:paraId="4704A439" w14:textId="77777777" w:rsidR="001F2904" w:rsidRDefault="001F2904" w:rsidP="001F2904"/>
    <w:p w14:paraId="181D0BCE" w14:textId="77777777" w:rsidR="001F2904" w:rsidRPr="00F345BD" w:rsidRDefault="001F2904" w:rsidP="001F2904">
      <w:pPr>
        <w:rPr>
          <w:rStyle w:val="Strong"/>
        </w:rPr>
      </w:pPr>
      <w:r w:rsidRPr="00F345BD">
        <w:rPr>
          <w:rStyle w:val="Strong"/>
        </w:rPr>
        <w:t>Section 3 – Program Descriptions</w:t>
      </w:r>
    </w:p>
    <w:p w14:paraId="2D5AA34C" w14:textId="77777777" w:rsidR="001F2904" w:rsidRDefault="001F2904" w:rsidP="001F2904"/>
    <w:p w14:paraId="09375CB3" w14:textId="575D1255" w:rsidR="001F2904" w:rsidRDefault="001F2904" w:rsidP="001F2904">
      <w:pPr>
        <w:ind w:firstLine="720"/>
      </w:pPr>
      <w:r>
        <w:t xml:space="preserve">EAP notes that current and prior approved EE&amp;C plan designs have established programs based on customer sectors and have employed more than one Conservation Service Provider (CSP) to deliver the program to customers.  As an example, EAP cites an appliance recycling program where one CSP handles the rebates and another handles the recycling.  EAP contends that the additional language mandating that a customer class is not a program and that programs should not have more than one implementation CSP conflicts with existing successful program design and should be removed.  EAP Comments at 2-3. </w:t>
      </w:r>
    </w:p>
    <w:p w14:paraId="782B979A" w14:textId="0025C13C" w:rsidR="00415EF6" w:rsidRDefault="00415EF6" w:rsidP="001F2904">
      <w:pPr>
        <w:ind w:firstLine="720"/>
      </w:pPr>
    </w:p>
    <w:p w14:paraId="242F9E53" w14:textId="77777777" w:rsidR="00415EF6" w:rsidRDefault="00415EF6" w:rsidP="00415EF6">
      <w:pPr>
        <w:ind w:firstLine="720"/>
      </w:pPr>
      <w:r>
        <w:t xml:space="preserve">Additionally, EAP opines that EDCs could not have anticipated this change as these modifications were not addressed in the tentative implementation order process for Phase IV.  EDCs have begun, and in some cases completed, preliminary program design for Phase IV partially based on the currently approved Phase III EE&amp;C plans.  The programs will need to be redesigned to comply with the modified definition of program and utilization of CSPs.  EAP opines that such a redesign will lead to market confusion and unanticipated increased administrative costs, as well as raise barriers to participation by multiple CSPs.  EAP Comments at 3. </w:t>
      </w:r>
    </w:p>
    <w:p w14:paraId="680DFAEA" w14:textId="51D9958A" w:rsidR="00AA2B8B" w:rsidRDefault="00AA2B8B" w:rsidP="00D540E6"/>
    <w:p w14:paraId="68FECE83" w14:textId="0651053B" w:rsidR="009B71F7" w:rsidRDefault="009B71F7" w:rsidP="00AA2B8B">
      <w:pPr>
        <w:ind w:firstLine="720"/>
        <w:rPr>
          <w:szCs w:val="26"/>
        </w:rPr>
      </w:pPr>
      <w:r>
        <w:rPr>
          <w:szCs w:val="26"/>
        </w:rPr>
        <w:t xml:space="preserve">The Commission understands EAP’s position and does not want to create any participation hurdles for customers nor be overly prescriptive.  The </w:t>
      </w:r>
      <w:r w:rsidR="00415EF6">
        <w:rPr>
          <w:szCs w:val="26"/>
        </w:rPr>
        <w:t xml:space="preserve">fundamental </w:t>
      </w:r>
      <w:r>
        <w:rPr>
          <w:szCs w:val="26"/>
        </w:rPr>
        <w:t>issue at play is a reporting issue, not a</w:t>
      </w:r>
      <w:r w:rsidR="00B3381E">
        <w:rPr>
          <w:szCs w:val="26"/>
        </w:rPr>
        <w:t>n</w:t>
      </w:r>
      <w:r>
        <w:rPr>
          <w:szCs w:val="26"/>
        </w:rPr>
        <w:t xml:space="preserve"> </w:t>
      </w:r>
      <w:r w:rsidR="00051F18">
        <w:rPr>
          <w:szCs w:val="26"/>
        </w:rPr>
        <w:t>EE&amp;C P</w:t>
      </w:r>
      <w:r>
        <w:rPr>
          <w:szCs w:val="26"/>
        </w:rPr>
        <w:t xml:space="preserve">lan issue.  When EDCs have umbrella programs (such as a “Residential” program that </w:t>
      </w:r>
      <w:r w:rsidR="004E3735">
        <w:rPr>
          <w:szCs w:val="26"/>
        </w:rPr>
        <w:t>includes</w:t>
      </w:r>
      <w:r>
        <w:rPr>
          <w:szCs w:val="26"/>
        </w:rPr>
        <w:t xml:space="preserve"> </w:t>
      </w:r>
      <w:r w:rsidR="00415EF6">
        <w:rPr>
          <w:szCs w:val="26"/>
        </w:rPr>
        <w:t>lighting, behavioral, appliance turn-in</w:t>
      </w:r>
      <w:r w:rsidR="00344CF1">
        <w:rPr>
          <w:szCs w:val="26"/>
        </w:rPr>
        <w:t xml:space="preserve">, and other sub-programs), financials </w:t>
      </w:r>
      <w:r w:rsidR="00415EF6">
        <w:rPr>
          <w:szCs w:val="26"/>
        </w:rPr>
        <w:t xml:space="preserve">for the </w:t>
      </w:r>
      <w:r w:rsidR="00344CF1">
        <w:rPr>
          <w:szCs w:val="26"/>
        </w:rPr>
        <w:t xml:space="preserve">individual components (or </w:t>
      </w:r>
      <w:r w:rsidR="00415EF6">
        <w:rPr>
          <w:szCs w:val="26"/>
        </w:rPr>
        <w:t>sub-programs</w:t>
      </w:r>
      <w:r w:rsidR="00344CF1">
        <w:rPr>
          <w:szCs w:val="26"/>
        </w:rPr>
        <w:t>, solutions, initiatives, etc.)</w:t>
      </w:r>
      <w:r w:rsidR="00415EF6">
        <w:rPr>
          <w:szCs w:val="26"/>
        </w:rPr>
        <w:t xml:space="preserve"> are not reported  in EDC </w:t>
      </w:r>
      <w:r w:rsidR="00051F18">
        <w:rPr>
          <w:szCs w:val="26"/>
        </w:rPr>
        <w:t xml:space="preserve">annual </w:t>
      </w:r>
      <w:r w:rsidR="00415EF6">
        <w:rPr>
          <w:szCs w:val="26"/>
        </w:rPr>
        <w:t xml:space="preserve">reports.  The Commission </w:t>
      </w:r>
      <w:r w:rsidR="00051F18">
        <w:rPr>
          <w:szCs w:val="26"/>
        </w:rPr>
        <w:t>maintains the importance of this</w:t>
      </w:r>
      <w:r w:rsidR="00415EF6">
        <w:rPr>
          <w:szCs w:val="26"/>
        </w:rPr>
        <w:t xml:space="preserve"> granular financial data, as this data would provide visibility into the expected resource </w:t>
      </w:r>
      <w:r w:rsidR="00415EF6">
        <w:rPr>
          <w:szCs w:val="26"/>
        </w:rPr>
        <w:lastRenderedPageBreak/>
        <w:t xml:space="preserve">impacts and economics of the </w:t>
      </w:r>
      <w:r w:rsidR="00B3381E">
        <w:rPr>
          <w:szCs w:val="26"/>
        </w:rPr>
        <w:t xml:space="preserve">individual </w:t>
      </w:r>
      <w:r w:rsidR="00415EF6">
        <w:rPr>
          <w:szCs w:val="26"/>
        </w:rPr>
        <w:t>components.  As such, the Commission</w:t>
      </w:r>
      <w:r w:rsidR="00335102">
        <w:rPr>
          <w:szCs w:val="26"/>
        </w:rPr>
        <w:t>’s intent was</w:t>
      </w:r>
      <w:r w:rsidR="00415EF6">
        <w:rPr>
          <w:szCs w:val="26"/>
        </w:rPr>
        <w:t xml:space="preserve"> to align the EE&amp;C Plan template with Phase IV reporting expectations.  However, the Commission acknowledges that breaking up umbrella programs may create redundant administrative work for the EDCs and their CSPs, as well as potentially create hurdles to customer participation.  The language in question </w:t>
      </w:r>
      <w:r w:rsidR="004F0B6D">
        <w:rPr>
          <w:szCs w:val="26"/>
        </w:rPr>
        <w:t>has been removed from Section 3, but</w:t>
      </w:r>
      <w:r w:rsidR="00415EF6">
        <w:rPr>
          <w:szCs w:val="26"/>
        </w:rPr>
        <w:t xml:space="preserve"> the Commission notes that </w:t>
      </w:r>
      <w:r w:rsidR="00344CF1">
        <w:rPr>
          <w:szCs w:val="26"/>
        </w:rPr>
        <w:t>an EDC</w:t>
      </w:r>
      <w:r w:rsidR="00415EF6">
        <w:rPr>
          <w:szCs w:val="26"/>
        </w:rPr>
        <w:t xml:space="preserve"> with umbrella programs will be required to report on the individual </w:t>
      </w:r>
      <w:r w:rsidR="004F0B6D">
        <w:rPr>
          <w:szCs w:val="26"/>
        </w:rPr>
        <w:t xml:space="preserve">components </w:t>
      </w:r>
      <w:r w:rsidR="00344CF1">
        <w:rPr>
          <w:szCs w:val="26"/>
        </w:rPr>
        <w:t>that make up the program</w:t>
      </w:r>
      <w:r w:rsidR="00415EF6">
        <w:rPr>
          <w:szCs w:val="26"/>
        </w:rPr>
        <w:t>.</w:t>
      </w:r>
      <w:r w:rsidR="004F0B6D">
        <w:rPr>
          <w:szCs w:val="26"/>
        </w:rPr>
        <w:t xml:space="preserve">  </w:t>
      </w:r>
    </w:p>
    <w:p w14:paraId="3DC1BB3A" w14:textId="7EE09ACA" w:rsidR="00AA2B8B" w:rsidRDefault="00AA2B8B" w:rsidP="00D540E6"/>
    <w:p w14:paraId="3AC35578" w14:textId="5BC9AB7A" w:rsidR="00AA2B8B" w:rsidRDefault="00AA2B8B" w:rsidP="00AA2B8B">
      <w:pPr>
        <w:ind w:firstLine="720"/>
        <w:rPr>
          <w:szCs w:val="26"/>
        </w:rPr>
      </w:pPr>
      <w:r>
        <w:rPr>
          <w:szCs w:val="26"/>
        </w:rPr>
        <w:t xml:space="preserve">Regarding CSPs, the example of a program that requires multiple CSPs being too broadly defined was illustrative.  </w:t>
      </w:r>
      <w:r w:rsidR="00415EF6">
        <w:rPr>
          <w:szCs w:val="26"/>
        </w:rPr>
        <w:t xml:space="preserve">As noted above, the Commission has removed the language </w:t>
      </w:r>
      <w:r w:rsidR="00344CF1">
        <w:rPr>
          <w:szCs w:val="26"/>
        </w:rPr>
        <w:t xml:space="preserve">in Section 3 </w:t>
      </w:r>
      <w:r w:rsidR="00415EF6">
        <w:rPr>
          <w:szCs w:val="26"/>
        </w:rPr>
        <w:t>mandating that a customer class is not a program</w:t>
      </w:r>
      <w:r w:rsidR="00051F18">
        <w:rPr>
          <w:szCs w:val="26"/>
        </w:rPr>
        <w:t xml:space="preserve"> definition</w:t>
      </w:r>
      <w:r w:rsidR="00415EF6">
        <w:rPr>
          <w:szCs w:val="26"/>
        </w:rPr>
        <w:t xml:space="preserve">.  </w:t>
      </w:r>
      <w:r>
        <w:rPr>
          <w:szCs w:val="26"/>
        </w:rPr>
        <w:t xml:space="preserve">The text regarding CSPs in Section 3 has </w:t>
      </w:r>
      <w:r w:rsidR="00772649">
        <w:rPr>
          <w:szCs w:val="26"/>
        </w:rPr>
        <w:t xml:space="preserve">also </w:t>
      </w:r>
      <w:r>
        <w:rPr>
          <w:szCs w:val="26"/>
        </w:rPr>
        <w:t xml:space="preserve">been adjusted.  </w:t>
      </w:r>
      <w:r w:rsidR="00344CF1">
        <w:rPr>
          <w:szCs w:val="26"/>
        </w:rPr>
        <w:t xml:space="preserve">Tangentially related, in </w:t>
      </w:r>
      <w:r w:rsidR="004E3735">
        <w:rPr>
          <w:szCs w:val="26"/>
        </w:rPr>
        <w:t xml:space="preserve">Phase III at least one </w:t>
      </w:r>
      <w:r>
        <w:rPr>
          <w:szCs w:val="26"/>
        </w:rPr>
        <w:t>EDC hire</w:t>
      </w:r>
      <w:r w:rsidR="004E3735">
        <w:rPr>
          <w:szCs w:val="26"/>
        </w:rPr>
        <w:t>d</w:t>
      </w:r>
      <w:r>
        <w:rPr>
          <w:szCs w:val="26"/>
        </w:rPr>
        <w:t xml:space="preserve"> a single “prime” CSP that subcontract</w:t>
      </w:r>
      <w:r w:rsidR="004E3735">
        <w:rPr>
          <w:szCs w:val="26"/>
        </w:rPr>
        <w:t>ed</w:t>
      </w:r>
      <w:r>
        <w:rPr>
          <w:szCs w:val="26"/>
        </w:rPr>
        <w:t xml:space="preserve"> specific work to other CSP</w:t>
      </w:r>
      <w:r w:rsidR="004E3735">
        <w:rPr>
          <w:szCs w:val="26"/>
        </w:rPr>
        <w:t>s</w:t>
      </w:r>
      <w:r>
        <w:rPr>
          <w:szCs w:val="26"/>
        </w:rPr>
        <w:t>.  The Commission has no issue with this approach.</w:t>
      </w:r>
    </w:p>
    <w:p w14:paraId="20860992" w14:textId="77777777" w:rsidR="001F2904" w:rsidRDefault="001F2904" w:rsidP="00D540E6"/>
    <w:p w14:paraId="5129F59D" w14:textId="77777777" w:rsidR="001F2904" w:rsidRDefault="001F2904" w:rsidP="001F2904">
      <w:pPr>
        <w:ind w:firstLine="720"/>
      </w:pPr>
      <w:r>
        <w:t xml:space="preserve">In Sections 3.2, 3.2.1, 3.3, 3.4, and 3.5, PA-EEFA recommends that EDCs also report lifecycle MWh savings and costs per lifetime MWh saved.  PA-EEFA opines this will provide a view into the relative economic value provided by the EDC programs.  PA-EEFA Comments at 6. </w:t>
      </w:r>
    </w:p>
    <w:p w14:paraId="265B4620" w14:textId="77777777" w:rsidR="001F2904" w:rsidRDefault="001F2904" w:rsidP="001F2904">
      <w:pPr>
        <w:rPr>
          <w:szCs w:val="26"/>
        </w:rPr>
      </w:pPr>
    </w:p>
    <w:p w14:paraId="169E000F" w14:textId="4563BB5F" w:rsidR="001F2904" w:rsidRDefault="001F2904" w:rsidP="001F2904">
      <w:pPr>
        <w:rPr>
          <w:szCs w:val="26"/>
        </w:rPr>
      </w:pPr>
      <w:r>
        <w:rPr>
          <w:szCs w:val="26"/>
        </w:rPr>
        <w:tab/>
      </w:r>
      <w:r w:rsidR="004E3735">
        <w:rPr>
          <w:szCs w:val="26"/>
        </w:rPr>
        <w:t>Regarding</w:t>
      </w:r>
      <w:r>
        <w:rPr>
          <w:szCs w:val="26"/>
        </w:rPr>
        <w:t xml:space="preserve"> PA-EEFA’s comments about lifecycle MWh savings and costs per lifetime MWh saved, the Commission made two changes to the EE&amp;C Plan template.  First, estimated useful life (EUL) was added as a column in Table 7, which describes eligible measures.  Interested parties could use this information in tandem with information from Table 8, which shows estimated savings and participation for each measure, to compute lifetime savings.  Second, a levelized cost column was added to Table 10, which summarizes costs by program.  The Commission notes that Appendix A of the 2021 TRC Test Order provides formulas to calculate levelized cost.</w:t>
      </w:r>
      <w:r>
        <w:rPr>
          <w:rStyle w:val="FootnoteReference"/>
          <w:szCs w:val="26"/>
        </w:rPr>
        <w:footnoteReference w:id="4"/>
      </w:r>
    </w:p>
    <w:p w14:paraId="46750F66" w14:textId="77777777" w:rsidR="001F2904" w:rsidRDefault="001F2904" w:rsidP="001F2904"/>
    <w:p w14:paraId="13DC8EA1" w14:textId="77777777" w:rsidR="001F2904" w:rsidRPr="00F345BD" w:rsidRDefault="001F2904" w:rsidP="001F2904">
      <w:pPr>
        <w:rPr>
          <w:rStyle w:val="Strong"/>
        </w:rPr>
      </w:pPr>
      <w:r w:rsidRPr="00F345BD">
        <w:rPr>
          <w:rStyle w:val="Strong"/>
        </w:rPr>
        <w:t>Section 3.1.4 – Describe how the EDC defines ‘comprehensive’ in the context of EE&amp;C plan design and delivery and the comprehensive program(s) to be offered to the residential and non-residential rate classes. Describe the measure mix or delivery mechanism that qualify each program as comprehensive consistent with the requirements of the Phase IV Implementation Order</w:t>
      </w:r>
    </w:p>
    <w:p w14:paraId="0F587069" w14:textId="77777777" w:rsidR="001F2904" w:rsidRDefault="001F2904" w:rsidP="001F2904"/>
    <w:p w14:paraId="4EDD2F48" w14:textId="77777777" w:rsidR="001F2904" w:rsidRDefault="001F2904" w:rsidP="001F2904">
      <w:pPr>
        <w:ind w:firstLine="720"/>
      </w:pPr>
      <w:r>
        <w:t>PA-EEFA recommends adding language to this section such that EDCs will be required to provide the weighted average estimated useful life for each program.  PA-EEFA opines that this addition will help the Commission and stakeholders evaluate the depth of savings and longevity of the measures provided through each program.  PA-EEFA Comments at 6.</w:t>
      </w:r>
    </w:p>
    <w:p w14:paraId="166BAD68" w14:textId="77777777" w:rsidR="001F2904" w:rsidRDefault="001F2904" w:rsidP="001F2904"/>
    <w:p w14:paraId="3BE836DD" w14:textId="77777777" w:rsidR="001F2904" w:rsidRDefault="001F2904" w:rsidP="001F2904">
      <w:pPr>
        <w:ind w:firstLine="720"/>
      </w:pPr>
      <w:r>
        <w:t xml:space="preserve">In response to one of PA-EEFA’s other recommendations, the Commission added estimated useful life as a requirement in Table 7, which describes eligible measures.  </w:t>
      </w:r>
      <w:r>
        <w:lastRenderedPageBreak/>
        <w:t>Interested parties could use this information with information from Table 8, which shows estimated savings and participation for each measure, to compute a weighted average estimated useful life.</w:t>
      </w:r>
    </w:p>
    <w:p w14:paraId="568D8C15" w14:textId="77777777" w:rsidR="001F2904" w:rsidRDefault="001F2904" w:rsidP="001F2904"/>
    <w:p w14:paraId="0F43ECA1" w14:textId="77777777" w:rsidR="001F2904" w:rsidRPr="00F345BD" w:rsidRDefault="001F2904" w:rsidP="001F2904">
      <w:pPr>
        <w:rPr>
          <w:rStyle w:val="Strong"/>
        </w:rPr>
      </w:pPr>
      <w:r w:rsidRPr="00F345BD">
        <w:rPr>
          <w:rStyle w:val="Strong"/>
        </w:rPr>
        <w:t>Section 3.2 – Residential Sector (as defined by EDC Tariff) Programs</w:t>
      </w:r>
    </w:p>
    <w:p w14:paraId="3BD99EA7" w14:textId="77777777" w:rsidR="001F2904" w:rsidRDefault="001F2904" w:rsidP="001F2904"/>
    <w:p w14:paraId="26A82F0E" w14:textId="77777777" w:rsidR="001F2904" w:rsidRDefault="001F2904" w:rsidP="001F2904">
      <w:pPr>
        <w:ind w:firstLine="720"/>
      </w:pPr>
      <w:r>
        <w:t>OSBA comments that the level of costs incurred by program beneficiaries is not obvious while significant detail regarding the magnitude of costs incurred by the EDCs is required.  OSBA proposes modifying the program detail required in Section 3.2 to include the “basis for the proposed level of incentives and the sharing of incremental program costs between participants and the EDC.”  OSBA Comments at 2-3.</w:t>
      </w:r>
    </w:p>
    <w:p w14:paraId="1D220361" w14:textId="77777777" w:rsidR="001F2904" w:rsidRDefault="001F2904" w:rsidP="001F2904"/>
    <w:p w14:paraId="3CE86B2B" w14:textId="77777777" w:rsidR="001F2904" w:rsidRDefault="001F2904" w:rsidP="001F2904">
      <w:pPr>
        <w:ind w:firstLine="720"/>
      </w:pPr>
      <w:r>
        <w:t xml:space="preserve">The Commission agrees with the proposed change and has adopted OSBA’s proposed language in Section 3.2.  The Commission also notes that Table 7 includes both incremental measure cost and the incentive amount per measure. </w:t>
      </w:r>
    </w:p>
    <w:p w14:paraId="3B641CAD" w14:textId="77777777" w:rsidR="001F2904" w:rsidRDefault="001F2904" w:rsidP="001F2904"/>
    <w:p w14:paraId="0AACDA57" w14:textId="77777777" w:rsidR="001F2904" w:rsidRPr="00F345BD" w:rsidRDefault="001F2904" w:rsidP="001F2904">
      <w:pPr>
        <w:rPr>
          <w:rStyle w:val="Strong"/>
        </w:rPr>
      </w:pPr>
      <w:r w:rsidRPr="00F345BD">
        <w:rPr>
          <w:rStyle w:val="Strong"/>
        </w:rPr>
        <w:t>Section 4 – Program Management and Implementation Strategies</w:t>
      </w:r>
    </w:p>
    <w:p w14:paraId="2440E5A4" w14:textId="77777777" w:rsidR="001F2904" w:rsidRDefault="001F2904" w:rsidP="001F2904"/>
    <w:p w14:paraId="68B69A98" w14:textId="235CF931" w:rsidR="001F2904" w:rsidRDefault="001F2904" w:rsidP="001F2904">
      <w:pPr>
        <w:ind w:firstLine="720"/>
      </w:pPr>
      <w:r>
        <w:t xml:space="preserve">PA-EEFA </w:t>
      </w:r>
      <w:r w:rsidRPr="00DF7278">
        <w:t xml:space="preserve">recommends that the EDCs include a discussion of how COVID-19 is treated in the five-year plans. </w:t>
      </w:r>
      <w:r>
        <w:t xml:space="preserve"> </w:t>
      </w:r>
      <w:r w:rsidR="00E24CA7">
        <w:t xml:space="preserve">PA-EEFA suggests </w:t>
      </w:r>
      <w:r w:rsidRPr="00DF7278">
        <w:t>EDCs should be required to describe assumptions built into its plans regarding the programs’ ability to conduct on-site activities in each year of the plan, as well as specific risk-mitigation strategies related to COVID-19.</w:t>
      </w:r>
      <w:r>
        <w:t xml:space="preserve">  PA-EEFA Comments at 6.</w:t>
      </w:r>
    </w:p>
    <w:p w14:paraId="4055A724" w14:textId="77777777" w:rsidR="001F2904" w:rsidRDefault="001F2904" w:rsidP="001F2904"/>
    <w:p w14:paraId="30F9D577" w14:textId="77777777" w:rsidR="001F2904" w:rsidRDefault="001F2904" w:rsidP="001F2904">
      <w:pPr>
        <w:ind w:firstLine="720"/>
      </w:pPr>
      <w:r>
        <w:t>The Commission acknowledges that the COVID-19 pandemic has wide-ranging implications for EDC program delivery.  However, the Commission believes the EE&amp;C Plan is the wrong place to address COVID-19 protocols, as it is such a fluid issue.</w:t>
      </w:r>
    </w:p>
    <w:p w14:paraId="7B7EF158" w14:textId="77777777" w:rsidR="001F2904" w:rsidRDefault="001F2904" w:rsidP="001F2904"/>
    <w:p w14:paraId="4FFDC93C" w14:textId="77777777" w:rsidR="001F2904" w:rsidRPr="00AE4F91" w:rsidRDefault="001F2904" w:rsidP="001F2904">
      <w:pPr>
        <w:rPr>
          <w:rStyle w:val="Strong"/>
        </w:rPr>
      </w:pPr>
      <w:r w:rsidRPr="00AE4F91">
        <w:rPr>
          <w:rStyle w:val="Strong"/>
        </w:rPr>
        <w:t>Section 4.1.6 – Provide a brief overview of how stakeholders will be engaged throughout Phase IV</w:t>
      </w:r>
    </w:p>
    <w:p w14:paraId="561DDDD5" w14:textId="77777777" w:rsidR="001F2904" w:rsidRDefault="001F2904" w:rsidP="001F2904"/>
    <w:p w14:paraId="52D428D1" w14:textId="77777777" w:rsidR="001F2904" w:rsidRDefault="001F2904" w:rsidP="001F2904">
      <w:pPr>
        <w:ind w:firstLine="720"/>
      </w:pPr>
      <w:r>
        <w:t xml:space="preserve">PA-EEFA </w:t>
      </w:r>
      <w:r w:rsidRPr="00DF7278">
        <w:t xml:space="preserve">recommends </w:t>
      </w:r>
      <w:r>
        <w:t>that EDCs must</w:t>
      </w:r>
      <w:r w:rsidRPr="00A32438">
        <w:t xml:space="preserve"> </w:t>
      </w:r>
      <w:r>
        <w:t>describe how they</w:t>
      </w:r>
      <w:r w:rsidRPr="00A32438">
        <w:t xml:space="preserve"> will ensure that </w:t>
      </w:r>
      <w:r>
        <w:t>low-income</w:t>
      </w:r>
      <w:r w:rsidRPr="00A32438">
        <w:t xml:space="preserve"> communities and other marginalized populations are represented in stakeholder engagement</w:t>
      </w:r>
      <w:r>
        <w:t>.  PA-EEFA notes that services to consumers must be driven by consumers</w:t>
      </w:r>
      <w:r w:rsidRPr="00DF7278">
        <w:t>.</w:t>
      </w:r>
      <w:r>
        <w:t xml:space="preserve">  PA-EEFA Comments at 7.</w:t>
      </w:r>
    </w:p>
    <w:p w14:paraId="302EBE1B" w14:textId="77777777" w:rsidR="001F2904" w:rsidRDefault="001F2904" w:rsidP="001F2904"/>
    <w:p w14:paraId="0C3FE608" w14:textId="62C454DD" w:rsidR="001F2904" w:rsidRDefault="001F2904" w:rsidP="001F2904">
      <w:pPr>
        <w:ind w:firstLine="720"/>
      </w:pPr>
      <w:r>
        <w:t xml:space="preserve">The Commission agrees with PA-EEFA’s position and </w:t>
      </w:r>
      <w:r w:rsidR="00ED6EEC">
        <w:t xml:space="preserve">has </w:t>
      </w:r>
      <w:r>
        <w:t>adopted this recommendation in Section 4.1.6.</w:t>
      </w:r>
    </w:p>
    <w:p w14:paraId="0A687AAE" w14:textId="77777777" w:rsidR="001F2904" w:rsidRDefault="001F2904" w:rsidP="001F2904"/>
    <w:p w14:paraId="65371A68" w14:textId="77777777" w:rsidR="001F2904" w:rsidRPr="00AE4F91" w:rsidRDefault="001F2904" w:rsidP="001F2904">
      <w:pPr>
        <w:rPr>
          <w:rStyle w:val="Strong"/>
        </w:rPr>
      </w:pPr>
      <w:r w:rsidRPr="00AE4F91">
        <w:rPr>
          <w:rStyle w:val="Strong"/>
        </w:rPr>
        <w:t>Section 6 – Quality Assurance and Evaluation, Measurement and Verification</w:t>
      </w:r>
    </w:p>
    <w:p w14:paraId="0DFD06A3" w14:textId="77777777" w:rsidR="001F2904" w:rsidRDefault="001F2904" w:rsidP="001F2904"/>
    <w:p w14:paraId="3EF4628C" w14:textId="77777777" w:rsidR="001F2904" w:rsidRDefault="001F2904" w:rsidP="001F2904">
      <w:pPr>
        <w:ind w:firstLine="720"/>
      </w:pPr>
      <w:r>
        <w:t xml:space="preserve">PA-EEFA recommends including a description of Quality Assurance / Quality Control procedures related to ensuring data integrity and accuracy.  PA-EEFA opines that inadequate planning around the data integrity and accuracy can create issues for program evaluation that do not become clear until after it is too late to correct the issue.  PA-EEFA Comments at 7. </w:t>
      </w:r>
    </w:p>
    <w:p w14:paraId="40756BB4" w14:textId="77777777" w:rsidR="001F2904" w:rsidRDefault="001F2904" w:rsidP="001F2904"/>
    <w:p w14:paraId="73B19FDF" w14:textId="77777777" w:rsidR="001F2904" w:rsidRDefault="001F2904" w:rsidP="001F2904">
      <w:pPr>
        <w:ind w:firstLine="720"/>
      </w:pPr>
      <w:r>
        <w:t>The Commission agrees that data integrity and accuracy are important.  However, a detailed discussion of these procedures is outside the scope of an EE&amp;C Plan filing.  We note that the EDC EM&amp;V contractors and the statewide evaluation team are intimately involved with EDC data integrity issues and these processes have been refined and improved over a decade of program delivery and evaluation.</w:t>
      </w:r>
    </w:p>
    <w:p w14:paraId="004F12CB" w14:textId="77777777" w:rsidR="001F2904" w:rsidRDefault="001F2904" w:rsidP="001F2904"/>
    <w:p w14:paraId="7490B50F" w14:textId="77777777" w:rsidR="001F2904" w:rsidRPr="00AE4F91" w:rsidRDefault="001F2904" w:rsidP="001F2904">
      <w:pPr>
        <w:rPr>
          <w:rStyle w:val="Strong"/>
        </w:rPr>
      </w:pPr>
      <w:r w:rsidRPr="00AE4F91">
        <w:rPr>
          <w:rStyle w:val="Strong"/>
        </w:rPr>
        <w:t>Section 9.1.2 – Provide a statement delineating the manner in which the EE&amp;C plan will achieve the requirements of the program under 66 Pa. C.S. §§ 2806.1(c) &amp; (d)</w:t>
      </w:r>
    </w:p>
    <w:p w14:paraId="6E7EECF2" w14:textId="77777777" w:rsidR="001F2904" w:rsidRPr="00503391" w:rsidRDefault="001F2904" w:rsidP="001F2904"/>
    <w:p w14:paraId="1654E8BE" w14:textId="77777777" w:rsidR="001F2904" w:rsidRDefault="001F2904" w:rsidP="001F2904">
      <w:pPr>
        <w:ind w:firstLine="720"/>
      </w:pPr>
      <w:r>
        <w:t>PA-EEFA suggests that the template include</w:t>
      </w:r>
      <w:r w:rsidRPr="00926B19">
        <w:t xml:space="preserve"> a description of how EDCs </w:t>
      </w:r>
      <w:r>
        <w:t xml:space="preserve">plan to </w:t>
      </w:r>
      <w:r w:rsidRPr="00926B19">
        <w:t xml:space="preserve">harmonize Act 129 and LIURP programs to deliver comprehensive benefits to </w:t>
      </w:r>
      <w:r>
        <w:t>low-income</w:t>
      </w:r>
      <w:r w:rsidRPr="00926B19">
        <w:t xml:space="preserve"> co</w:t>
      </w:r>
      <w:r>
        <w:t xml:space="preserve">nsumers.  PA-EEFA also recommends that </w:t>
      </w:r>
      <w:r w:rsidRPr="00926B19">
        <w:t>EDCs should describe how the utility will coordinate and leverage Act 129 programming with external energy efficiency, conservation</w:t>
      </w:r>
      <w:r>
        <w:t>,</w:t>
      </w:r>
      <w:r w:rsidRPr="00926B19">
        <w:t xml:space="preserve"> and healthy housing programs (</w:t>
      </w:r>
      <w:r>
        <w:t xml:space="preserve">such as the </w:t>
      </w:r>
      <w:r w:rsidRPr="00926B19">
        <w:t>Weatherization Assistance Program)</w:t>
      </w:r>
      <w:r>
        <w:t xml:space="preserve">.  PA-EEFA opines that understanding how services are currently synchronized allows for enhanced energy efficiency services for low-income customers and provides stakeholders with data to develop more comprehensive proposals going forward.  PA-EEFA Comments at 7-8. </w:t>
      </w:r>
    </w:p>
    <w:p w14:paraId="527178FE" w14:textId="77777777" w:rsidR="001F2904" w:rsidRDefault="001F2904" w:rsidP="001F2904">
      <w:pPr>
        <w:autoSpaceDE w:val="0"/>
        <w:autoSpaceDN w:val="0"/>
        <w:adjustRightInd w:val="0"/>
        <w:ind w:firstLine="720"/>
      </w:pPr>
    </w:p>
    <w:p w14:paraId="663B9C69" w14:textId="5C140DD2" w:rsidR="001F2904" w:rsidRDefault="001F2904" w:rsidP="001F2904">
      <w:pPr>
        <w:ind w:firstLine="720"/>
      </w:pPr>
      <w:r>
        <w:t>The Commission agrees with PA-EEFA’s recommendation on this issue.  The proposed changes have been adopted in the EE&amp;C Plan template.  These changes were adopted in Section 9.1.3, rather than section 9.1.2.</w:t>
      </w:r>
    </w:p>
    <w:p w14:paraId="17EC56D1" w14:textId="77777777" w:rsidR="001F2904" w:rsidRDefault="001F2904" w:rsidP="001F2904">
      <w:pPr>
        <w:autoSpaceDE w:val="0"/>
        <w:autoSpaceDN w:val="0"/>
        <w:adjustRightInd w:val="0"/>
      </w:pPr>
    </w:p>
    <w:p w14:paraId="60CB4E44" w14:textId="77777777" w:rsidR="001F2904" w:rsidRDefault="001F2904" w:rsidP="001F2904">
      <w:pPr>
        <w:autoSpaceDE w:val="0"/>
        <w:autoSpaceDN w:val="0"/>
        <w:adjustRightInd w:val="0"/>
      </w:pPr>
      <w:r w:rsidRPr="00AE4F91">
        <w:rPr>
          <w:rStyle w:val="Strong"/>
        </w:rPr>
        <w:t>Table 7 – Eligible Measures</w:t>
      </w:r>
    </w:p>
    <w:p w14:paraId="72866556" w14:textId="77777777" w:rsidR="001F2904" w:rsidRDefault="001F2904" w:rsidP="001F2904">
      <w:pPr>
        <w:autoSpaceDE w:val="0"/>
        <w:autoSpaceDN w:val="0"/>
        <w:adjustRightInd w:val="0"/>
        <w:ind w:firstLine="720"/>
      </w:pPr>
    </w:p>
    <w:p w14:paraId="28EA7DE5" w14:textId="08630E94" w:rsidR="001F2904" w:rsidRPr="006B7297" w:rsidRDefault="001F2904" w:rsidP="001F2904">
      <w:pPr>
        <w:ind w:firstLine="720"/>
      </w:pPr>
      <w:r>
        <w:t>EAP suggests that the “Gross TRC Ratio” column for individual measures be removed as there is no requirement that individual measures be cost-effective.  EAP Comments at 4.</w:t>
      </w:r>
    </w:p>
    <w:p w14:paraId="46EC722A" w14:textId="77777777" w:rsidR="001F2904" w:rsidRDefault="001F2904" w:rsidP="001F2904">
      <w:pPr>
        <w:autoSpaceDE w:val="0"/>
        <w:autoSpaceDN w:val="0"/>
        <w:adjustRightInd w:val="0"/>
        <w:ind w:firstLine="720"/>
      </w:pPr>
    </w:p>
    <w:p w14:paraId="77E48308" w14:textId="77777777" w:rsidR="001F2904" w:rsidRPr="0016548E" w:rsidRDefault="001F2904" w:rsidP="001F2904">
      <w:pPr>
        <w:ind w:firstLine="720"/>
      </w:pPr>
      <w:r>
        <w:t>The Commission agrees with EAP’s suggestion.  The “Gross TRC Ratio” column for individual measures has been removed.  As discussed previously in response to PA-EEFA’s comments regarding lifecycle savings, an EUL column has been added to Table 7.</w:t>
      </w:r>
    </w:p>
    <w:p w14:paraId="1483B894" w14:textId="77777777" w:rsidR="001F2904" w:rsidRDefault="001F2904" w:rsidP="001F2904">
      <w:pPr>
        <w:autoSpaceDE w:val="0"/>
        <w:autoSpaceDN w:val="0"/>
        <w:adjustRightInd w:val="0"/>
        <w:ind w:firstLine="720"/>
      </w:pPr>
    </w:p>
    <w:p w14:paraId="1C4CC42F" w14:textId="77777777" w:rsidR="001F2904" w:rsidRPr="00AE4F91" w:rsidRDefault="001F2904" w:rsidP="001F2904">
      <w:pPr>
        <w:autoSpaceDE w:val="0"/>
        <w:autoSpaceDN w:val="0"/>
        <w:adjustRightInd w:val="0"/>
        <w:rPr>
          <w:rStyle w:val="Strong"/>
        </w:rPr>
      </w:pPr>
      <w:r w:rsidRPr="00AE4F91">
        <w:rPr>
          <w:rStyle w:val="Strong"/>
        </w:rPr>
        <w:t>Table 8 – Estimated Savings and Participation</w:t>
      </w:r>
    </w:p>
    <w:p w14:paraId="480EFE50" w14:textId="77777777" w:rsidR="001F2904" w:rsidRDefault="001F2904" w:rsidP="001F2904">
      <w:pPr>
        <w:autoSpaceDE w:val="0"/>
        <w:autoSpaceDN w:val="0"/>
        <w:adjustRightInd w:val="0"/>
        <w:ind w:firstLine="720"/>
      </w:pPr>
    </w:p>
    <w:p w14:paraId="023F2898" w14:textId="77777777" w:rsidR="001F2904" w:rsidRPr="006B7297" w:rsidRDefault="001F2904" w:rsidP="001F2904">
      <w:pPr>
        <w:ind w:firstLine="720"/>
      </w:pPr>
      <w:r>
        <w:t>PA-EEFA suggests that footnotes or a table key be provided that explains how participation is defined for each program, as participation is defined differently based on the measure characteristics.  PA-EEFA Comments at 8.</w:t>
      </w:r>
    </w:p>
    <w:p w14:paraId="4C05076A" w14:textId="77777777" w:rsidR="001F2904" w:rsidRDefault="001F2904" w:rsidP="001F2904">
      <w:pPr>
        <w:autoSpaceDE w:val="0"/>
        <w:autoSpaceDN w:val="0"/>
        <w:adjustRightInd w:val="0"/>
      </w:pPr>
    </w:p>
    <w:p w14:paraId="77FA5030" w14:textId="77777777" w:rsidR="001F2904" w:rsidRPr="0016548E" w:rsidRDefault="001F2904" w:rsidP="001F2904">
      <w:pPr>
        <w:ind w:firstLine="720"/>
      </w:pPr>
      <w:r>
        <w:t>The Commission notes that EDCs provide this information in Table 7, which lists eligible measures and the unit with which participation is counted.  As such, PA-EEFA’s recommendation has not been adopted.  However, the Commission did adjust Table 8 to make it clear that the projected participation should use the same basis as the units shown in Table 7.</w:t>
      </w:r>
    </w:p>
    <w:p w14:paraId="58E33ABF" w14:textId="77777777" w:rsidR="001F2904" w:rsidRDefault="001F2904" w:rsidP="001F2904">
      <w:pPr>
        <w:autoSpaceDE w:val="0"/>
        <w:autoSpaceDN w:val="0"/>
        <w:adjustRightInd w:val="0"/>
      </w:pPr>
    </w:p>
    <w:p w14:paraId="20518E3A" w14:textId="77777777" w:rsidR="001F2904" w:rsidRPr="00AE4F91" w:rsidRDefault="001F2904" w:rsidP="001F2904">
      <w:pPr>
        <w:autoSpaceDE w:val="0"/>
        <w:autoSpaceDN w:val="0"/>
        <w:adjustRightInd w:val="0"/>
        <w:rPr>
          <w:rStyle w:val="Strong"/>
        </w:rPr>
      </w:pPr>
      <w:r w:rsidRPr="00AE4F91">
        <w:rPr>
          <w:rStyle w:val="Strong"/>
        </w:rPr>
        <w:t>Table 9 – Program Budget</w:t>
      </w:r>
    </w:p>
    <w:p w14:paraId="73C9FC91" w14:textId="77777777" w:rsidR="001F2904" w:rsidRDefault="001F2904" w:rsidP="001F2904">
      <w:pPr>
        <w:autoSpaceDE w:val="0"/>
        <w:autoSpaceDN w:val="0"/>
        <w:adjustRightInd w:val="0"/>
        <w:ind w:firstLine="720"/>
      </w:pPr>
    </w:p>
    <w:p w14:paraId="26EB3B0B" w14:textId="09269563" w:rsidR="001F2904" w:rsidRPr="006B7297" w:rsidRDefault="001F2904" w:rsidP="001F2904">
      <w:pPr>
        <w:ind w:firstLine="720"/>
      </w:pPr>
      <w:r>
        <w:t>EAP finds the new cost categories to be overly prescriptive and narrow.  EAP opines that these categories are artificial and do not reflect actual distinct cost categories.  EAP requests that the Rebates and Upstream/Midstream Buydown columns be combined into a single Incentives category and that the Program Design, Administrative, and EDC Delivery categories be combined into a single Utility Administration cost category.  This request applies to both Tables 9 and 10.  EAP Comments at 4.</w:t>
      </w:r>
    </w:p>
    <w:p w14:paraId="2944CBEC" w14:textId="77777777" w:rsidR="001F2904" w:rsidRDefault="001F2904" w:rsidP="001F2904">
      <w:pPr>
        <w:autoSpaceDE w:val="0"/>
        <w:autoSpaceDN w:val="0"/>
        <w:adjustRightInd w:val="0"/>
        <w:ind w:firstLine="720"/>
      </w:pPr>
    </w:p>
    <w:p w14:paraId="4F4FD5AE" w14:textId="6030C930" w:rsidR="001F2904" w:rsidRPr="0016548E" w:rsidRDefault="001F2904" w:rsidP="001F2904">
      <w:pPr>
        <w:ind w:firstLine="720"/>
      </w:pPr>
      <w:r>
        <w:t>The Commission disagrees with EAP’s position. The</w:t>
      </w:r>
      <w:r w:rsidRPr="005E7B36">
        <w:t xml:space="preserve"> level of detail </w:t>
      </w:r>
      <w:r>
        <w:t xml:space="preserve">requested </w:t>
      </w:r>
      <w:r w:rsidRPr="005E7B36">
        <w:t xml:space="preserve">is important to understand how and where </w:t>
      </w:r>
      <w:r>
        <w:t>EDCs intend to invest ratepayer money.</w:t>
      </w:r>
    </w:p>
    <w:p w14:paraId="44C54FD9" w14:textId="77777777" w:rsidR="001F2904" w:rsidRDefault="001F2904" w:rsidP="001F2904">
      <w:pPr>
        <w:autoSpaceDE w:val="0"/>
        <w:autoSpaceDN w:val="0"/>
        <w:adjustRightInd w:val="0"/>
        <w:ind w:firstLine="720"/>
      </w:pPr>
    </w:p>
    <w:p w14:paraId="6095174A" w14:textId="77777777" w:rsidR="001F2904" w:rsidRPr="00FD7DAC" w:rsidRDefault="001F2904" w:rsidP="001F2904">
      <w:pPr>
        <w:autoSpaceDE w:val="0"/>
        <w:autoSpaceDN w:val="0"/>
        <w:adjustRightInd w:val="0"/>
        <w:rPr>
          <w:rStyle w:val="Strong"/>
        </w:rPr>
      </w:pPr>
      <w:r w:rsidRPr="00FD7DAC">
        <w:rPr>
          <w:rStyle w:val="Strong"/>
        </w:rPr>
        <w:t>Table 10 – Sector-Specific Summary of EE&amp;C Costs</w:t>
      </w:r>
    </w:p>
    <w:p w14:paraId="52AB5B75" w14:textId="77777777" w:rsidR="001F2904" w:rsidRDefault="001F2904" w:rsidP="001F2904"/>
    <w:p w14:paraId="12E06EB9" w14:textId="35BA35CC" w:rsidR="001F2904" w:rsidRPr="006B7297" w:rsidRDefault="001F2904" w:rsidP="001F2904">
      <w:pPr>
        <w:ind w:firstLine="720"/>
      </w:pPr>
      <w:r>
        <w:t xml:space="preserve">PA-EEFA notes that individual measures will produce both MWh and MW savings and that </w:t>
      </w:r>
      <w:r w:rsidR="004E3735">
        <w:t xml:space="preserve">it </w:t>
      </w:r>
      <w:r>
        <w:t xml:space="preserve">is </w:t>
      </w:r>
      <w:r w:rsidR="004E3735">
        <w:t>unclear</w:t>
      </w:r>
      <w:r>
        <w:t xml:space="preserve"> from the template how costs for such measures should be allocated to determine the separate acquisition costs.  PA-EEFA opines that results will </w:t>
      </w:r>
      <w:r w:rsidR="0003157B">
        <w:t xml:space="preserve">not </w:t>
      </w:r>
      <w:r>
        <w:t>be comparable across EDCs or between programs without clear procedures for this allocation.  PA-EEFA Comments at 8.</w:t>
      </w:r>
    </w:p>
    <w:p w14:paraId="4704732B" w14:textId="77777777" w:rsidR="001F2904" w:rsidRDefault="001F2904" w:rsidP="001F2904"/>
    <w:p w14:paraId="10C308CC" w14:textId="77777777" w:rsidR="001F2904" w:rsidRPr="0016548E" w:rsidRDefault="001F2904" w:rsidP="001F2904">
      <w:pPr>
        <w:ind w:firstLine="720"/>
      </w:pPr>
      <w:r>
        <w:t>Regarding PA-EEFA’s comment, the Commission notes that the numerator in the acquisition cost calculation is the full EDC cost, free of any allocation.  A note to this effect has been added to the table.  A levelized cost column was also added to Table 10 in response to a separate PA-EEFA comment.</w:t>
      </w:r>
    </w:p>
    <w:p w14:paraId="25353B39" w14:textId="77777777" w:rsidR="001F2904" w:rsidRDefault="001F2904" w:rsidP="001F2904">
      <w:pPr>
        <w:autoSpaceDE w:val="0"/>
        <w:autoSpaceDN w:val="0"/>
        <w:adjustRightInd w:val="0"/>
        <w:ind w:firstLine="720"/>
      </w:pPr>
    </w:p>
    <w:p w14:paraId="062DCDA1" w14:textId="77777777" w:rsidR="001F2904" w:rsidRPr="00FD7DAC" w:rsidRDefault="001F2904" w:rsidP="001F2904">
      <w:pPr>
        <w:autoSpaceDE w:val="0"/>
        <w:autoSpaceDN w:val="0"/>
        <w:adjustRightInd w:val="0"/>
        <w:rPr>
          <w:rStyle w:val="Strong"/>
        </w:rPr>
      </w:pPr>
      <w:r w:rsidRPr="00FD7DAC">
        <w:rPr>
          <w:rStyle w:val="Strong"/>
        </w:rPr>
        <w:t>Table 13 – TRC Benefits Table</w:t>
      </w:r>
    </w:p>
    <w:p w14:paraId="26365DC0" w14:textId="77777777" w:rsidR="001F2904" w:rsidRDefault="001F2904" w:rsidP="001F2904">
      <w:pPr>
        <w:autoSpaceDE w:val="0"/>
        <w:autoSpaceDN w:val="0"/>
        <w:adjustRightInd w:val="0"/>
        <w:ind w:firstLine="720"/>
      </w:pPr>
    </w:p>
    <w:p w14:paraId="0EB75470" w14:textId="4AA31E10" w:rsidR="001F2904" w:rsidRDefault="001F2904" w:rsidP="001F2904">
      <w:pPr>
        <w:ind w:firstLine="720"/>
      </w:pPr>
      <w:r>
        <w:t xml:space="preserve">EAP requests that the Commission eliminate the new categories which further break down TRC Costs and TRC Benefits.  EAP argues that the additional detail will require modeling changes and is of little value.  EAP Comments at 4. </w:t>
      </w:r>
    </w:p>
    <w:p w14:paraId="31DF7CE6" w14:textId="77777777" w:rsidR="00AA2B8B" w:rsidRDefault="00AA2B8B" w:rsidP="00AA2B8B">
      <w:pPr>
        <w:ind w:firstLine="720"/>
      </w:pPr>
    </w:p>
    <w:p w14:paraId="749C16B8" w14:textId="21D4B317" w:rsidR="00AA2B8B" w:rsidRPr="0016548E" w:rsidRDefault="00AA2B8B" w:rsidP="00AA2B8B">
      <w:pPr>
        <w:ind w:firstLine="720"/>
      </w:pPr>
      <w:r>
        <w:t xml:space="preserve">The Commission disagrees with EAP’s request.  </w:t>
      </w:r>
      <w:r w:rsidR="00AC589A">
        <w:t>EAP fails to present clear evidence that any potential modeling changes would outweigh the benefit of the additional detail, especially as that</w:t>
      </w:r>
      <w:r>
        <w:t xml:space="preserve"> data is necessary to calculate TRC values.  </w:t>
      </w:r>
      <w:r w:rsidR="00AC589A">
        <w:t>As such, t</w:t>
      </w:r>
      <w:r>
        <w:t xml:space="preserve">he Commission </w:t>
      </w:r>
      <w:r w:rsidR="00E57D69">
        <w:t xml:space="preserve">finds that </w:t>
      </w:r>
      <w:r>
        <w:t xml:space="preserve">it is not overly burdensome for EDCs to provide the specific cost and benefit </w:t>
      </w:r>
      <w:r w:rsidR="00925764">
        <w:t>data</w:t>
      </w:r>
      <w:r>
        <w:t xml:space="preserve">. </w:t>
      </w:r>
    </w:p>
    <w:p w14:paraId="2A2EFD51" w14:textId="77777777" w:rsidR="001F2904" w:rsidRDefault="001F2904" w:rsidP="001F2904">
      <w:pPr>
        <w:ind w:firstLine="720"/>
      </w:pPr>
    </w:p>
    <w:p w14:paraId="67B8E1D8" w14:textId="10DC675E" w:rsidR="001F2904" w:rsidRPr="006B7297" w:rsidRDefault="001F2904" w:rsidP="001F2904">
      <w:pPr>
        <w:ind w:firstLine="720"/>
      </w:pPr>
      <w:r>
        <w:t>OSBA comments that the level of costs incurred by program beneficiaries is not obvious while significant detail regarding the magnitude of costs incurred by the EDCs is required.  OSBA proposes modifying Table 13 such that the Incremental Measure Cost column is segregated into participant and EDC categories. OSBA Comments at 2-3.</w:t>
      </w:r>
    </w:p>
    <w:p w14:paraId="08245EF8" w14:textId="77777777" w:rsidR="001F2904" w:rsidRDefault="001F2904" w:rsidP="001F2904"/>
    <w:p w14:paraId="765C0584" w14:textId="7276403C" w:rsidR="001F2904" w:rsidRDefault="001F2904" w:rsidP="001F2904">
      <w:pPr>
        <w:ind w:firstLine="720"/>
      </w:pPr>
      <w:r>
        <w:t xml:space="preserve">The Commission agrees with OSBA’s proposed change and notes that EDCs must split incremental measure costs between the EDC and the participants in their annual reports.  </w:t>
      </w:r>
    </w:p>
    <w:p w14:paraId="434C8659" w14:textId="77777777" w:rsidR="001F2904" w:rsidRDefault="001F2904" w:rsidP="001F2904">
      <w:pPr>
        <w:autoSpaceDE w:val="0"/>
        <w:autoSpaceDN w:val="0"/>
        <w:adjustRightInd w:val="0"/>
      </w:pPr>
    </w:p>
    <w:p w14:paraId="69CAE5A9" w14:textId="77777777" w:rsidR="001F2904" w:rsidRDefault="001F2904" w:rsidP="001F2904">
      <w:pPr>
        <w:keepNext/>
        <w:autoSpaceDE w:val="0"/>
        <w:autoSpaceDN w:val="0"/>
        <w:adjustRightInd w:val="0"/>
      </w:pPr>
      <w:r>
        <w:rPr>
          <w:rStyle w:val="Strong"/>
        </w:rPr>
        <w:lastRenderedPageBreak/>
        <w:t>Conclusion</w:t>
      </w:r>
    </w:p>
    <w:p w14:paraId="27D982BA" w14:textId="77777777" w:rsidR="001F2904" w:rsidRPr="00503391" w:rsidRDefault="001F2904" w:rsidP="001F2904">
      <w:pPr>
        <w:keepNext/>
        <w:autoSpaceDE w:val="0"/>
        <w:autoSpaceDN w:val="0"/>
        <w:adjustRightInd w:val="0"/>
        <w:ind w:firstLine="720"/>
      </w:pPr>
    </w:p>
    <w:p w14:paraId="5E78D67C" w14:textId="0929E8F4" w:rsidR="001F2904" w:rsidRDefault="001F2904" w:rsidP="001F2904">
      <w:pPr>
        <w:keepNext/>
        <w:autoSpaceDE w:val="0"/>
        <w:autoSpaceDN w:val="0"/>
        <w:adjustRightInd w:val="0"/>
        <w:ind w:firstLine="720"/>
      </w:pPr>
      <w:r>
        <w:t xml:space="preserve">With this Secretarial Letter, the Commission is issuing an EE&amp;C Plan Template that all jurisdictional EDCs with at least 100,000 customers will use in preparing and filing their EE&amp;C Plans for Phase IV.  We require that each EDC: (1) post on its website a copy of its initial, proposed Phase IV EE&amp;C Plan, </w:t>
      </w:r>
      <w:r w:rsidRPr="00E9303D">
        <w:t>due to the Commission no later than November 30, 2020; (2) maintain on its website an electronic copy of its most current, Commission</w:t>
      </w:r>
      <w:r w:rsidR="00E57D69">
        <w:noBreakHyphen/>
      </w:r>
      <w:r w:rsidRPr="00E9303D">
        <w:t>approved Phase IV EE&amp;C Plan; and (3) post all subsequent revised versions, both clean and blacklined, noting the date of</w:t>
      </w:r>
      <w:r>
        <w:t xml:space="preserve"> Commission approval or, if not yet approved, a designation indicating that approval is pending before the Commission.  </w:t>
      </w:r>
    </w:p>
    <w:p w14:paraId="5CC946BC" w14:textId="77777777" w:rsidR="001F2904" w:rsidRDefault="001F2904" w:rsidP="001F2904">
      <w:pPr>
        <w:autoSpaceDE w:val="0"/>
        <w:autoSpaceDN w:val="0"/>
        <w:adjustRightInd w:val="0"/>
        <w:ind w:firstLine="720"/>
      </w:pPr>
    </w:p>
    <w:p w14:paraId="30AB8585" w14:textId="03C838F4" w:rsidR="001F2904" w:rsidRDefault="001F2904" w:rsidP="001F2904">
      <w:pPr>
        <w:ind w:firstLine="720"/>
      </w:pPr>
      <w:r>
        <w:rPr>
          <w:color w:val="000000"/>
        </w:rPr>
        <w:t xml:space="preserve">If there are any technical questions regarding the attached EE&amp;C Plan template, please contact Charles Covage in the Commission’s Technical Utility Services at </w:t>
      </w:r>
      <w:hyperlink r:id="rId14" w:history="1">
        <w:r>
          <w:rPr>
            <w:rStyle w:val="Hyperlink"/>
          </w:rPr>
          <w:t>ccovage@pa.gov</w:t>
        </w:r>
      </w:hyperlink>
      <w:r>
        <w:rPr>
          <w:color w:val="000000"/>
        </w:rPr>
        <w:t xml:space="preserve">, 717-783-3835.  If there are any questions relating to legal or procedural issues regarding the attached EE&amp;C Plan template, please contact </w:t>
      </w:r>
      <w:r w:rsidR="00E57D69">
        <w:rPr>
          <w:color w:val="000000"/>
        </w:rPr>
        <w:t>Adam Young</w:t>
      </w:r>
      <w:r>
        <w:rPr>
          <w:color w:val="000000"/>
        </w:rPr>
        <w:t xml:space="preserve"> in the Commission’s Law Bureau at</w:t>
      </w:r>
      <w:r w:rsidR="00CE1CE8">
        <w:rPr>
          <w:color w:val="000000"/>
        </w:rPr>
        <w:t xml:space="preserve"> adyoung@pa.gov</w:t>
      </w:r>
      <w:r>
        <w:rPr>
          <w:color w:val="000000"/>
        </w:rPr>
        <w:t>.</w:t>
      </w:r>
    </w:p>
    <w:p w14:paraId="5561397C" w14:textId="1CA415E2" w:rsidR="006108C4" w:rsidRDefault="006108C4" w:rsidP="006108C4"/>
    <w:p w14:paraId="0DE72F94" w14:textId="45011E3C" w:rsidR="006108C4" w:rsidRDefault="006108C4" w:rsidP="006108C4">
      <w:pPr>
        <w:autoSpaceDE w:val="0"/>
        <w:autoSpaceDN w:val="0"/>
        <w:adjustRightInd w:val="0"/>
        <w:ind w:left="4320"/>
        <w:rPr>
          <w:color w:val="000000"/>
        </w:rPr>
      </w:pPr>
    </w:p>
    <w:p w14:paraId="7918F8F5" w14:textId="6F622228" w:rsidR="006108C4" w:rsidRDefault="002F48A6" w:rsidP="006108C4">
      <w:pPr>
        <w:autoSpaceDE w:val="0"/>
        <w:autoSpaceDN w:val="0"/>
        <w:adjustRightInd w:val="0"/>
        <w:ind w:left="4320"/>
        <w:rPr>
          <w:color w:val="000000"/>
        </w:rPr>
      </w:pPr>
      <w:bookmarkStart w:id="0" w:name="_GoBack"/>
      <w:r w:rsidRPr="009F01BA">
        <w:rPr>
          <w:b/>
          <w:noProof/>
          <w:sz w:val="20"/>
          <w:szCs w:val="20"/>
        </w:rPr>
        <w:drawing>
          <wp:anchor distT="0" distB="0" distL="114300" distR="114300" simplePos="0" relativeHeight="251659264" behindDoc="1" locked="0" layoutInCell="1" allowOverlap="1" wp14:anchorId="39B15C42" wp14:editId="54F25E6E">
            <wp:simplePos x="0" y="0"/>
            <wp:positionH relativeFrom="column">
              <wp:posOffset>2400300</wp:posOffset>
            </wp:positionH>
            <wp:positionV relativeFrom="paragraph">
              <wp:posOffset>54610</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6108C4">
        <w:rPr>
          <w:color w:val="000000"/>
        </w:rPr>
        <w:t>Sincerely,</w:t>
      </w:r>
    </w:p>
    <w:p w14:paraId="22C5464E" w14:textId="77777777" w:rsidR="002F48A6" w:rsidRDefault="002F48A6" w:rsidP="006108C4">
      <w:pPr>
        <w:autoSpaceDE w:val="0"/>
        <w:autoSpaceDN w:val="0"/>
        <w:adjustRightInd w:val="0"/>
        <w:ind w:left="4320"/>
        <w:rPr>
          <w:color w:val="000000"/>
        </w:rPr>
      </w:pPr>
    </w:p>
    <w:p w14:paraId="4E13D80C" w14:textId="08C18549" w:rsidR="006108C4" w:rsidRDefault="006108C4" w:rsidP="006108C4">
      <w:pPr>
        <w:autoSpaceDE w:val="0"/>
        <w:autoSpaceDN w:val="0"/>
        <w:adjustRightInd w:val="0"/>
        <w:ind w:left="5040" w:firstLine="720"/>
        <w:rPr>
          <w:color w:val="000000"/>
        </w:rPr>
      </w:pPr>
    </w:p>
    <w:p w14:paraId="6A5426BD" w14:textId="56919279" w:rsidR="006108C4" w:rsidRDefault="006108C4" w:rsidP="006108C4">
      <w:pPr>
        <w:autoSpaceDE w:val="0"/>
        <w:autoSpaceDN w:val="0"/>
        <w:adjustRightInd w:val="0"/>
        <w:ind w:left="5040" w:firstLine="720"/>
        <w:rPr>
          <w:color w:val="000000"/>
        </w:rPr>
      </w:pPr>
    </w:p>
    <w:p w14:paraId="395F0D75" w14:textId="77777777" w:rsidR="006108C4" w:rsidRDefault="006108C4" w:rsidP="006108C4">
      <w:pPr>
        <w:autoSpaceDE w:val="0"/>
        <w:autoSpaceDN w:val="0"/>
        <w:adjustRightInd w:val="0"/>
        <w:ind w:left="4320"/>
        <w:rPr>
          <w:color w:val="000000"/>
        </w:rPr>
      </w:pPr>
      <w:r>
        <w:rPr>
          <w:color w:val="000000"/>
        </w:rPr>
        <w:t>Rosemary Chiavetta</w:t>
      </w:r>
    </w:p>
    <w:p w14:paraId="0E941175" w14:textId="77777777" w:rsidR="006108C4" w:rsidRDefault="006108C4" w:rsidP="006108C4">
      <w:pPr>
        <w:autoSpaceDE w:val="0"/>
        <w:autoSpaceDN w:val="0"/>
        <w:adjustRightInd w:val="0"/>
        <w:ind w:left="4320"/>
        <w:rPr>
          <w:color w:val="000000"/>
        </w:rPr>
      </w:pPr>
      <w:r>
        <w:rPr>
          <w:color w:val="000000"/>
        </w:rPr>
        <w:t>Secretary</w:t>
      </w:r>
    </w:p>
    <w:p w14:paraId="616E61B6" w14:textId="77777777" w:rsidR="006108C4" w:rsidRDefault="006108C4" w:rsidP="006108C4">
      <w:pPr>
        <w:autoSpaceDE w:val="0"/>
        <w:autoSpaceDN w:val="0"/>
        <w:adjustRightInd w:val="0"/>
        <w:rPr>
          <w:color w:val="000000"/>
        </w:rPr>
      </w:pPr>
    </w:p>
    <w:p w14:paraId="62A76366" w14:textId="77777777" w:rsidR="006108C4" w:rsidRDefault="006108C4" w:rsidP="006108C4">
      <w:pPr>
        <w:autoSpaceDE w:val="0"/>
        <w:autoSpaceDN w:val="0"/>
        <w:adjustRightInd w:val="0"/>
        <w:rPr>
          <w:color w:val="000000"/>
        </w:rPr>
      </w:pPr>
    </w:p>
    <w:p w14:paraId="4A9D298E" w14:textId="77777777" w:rsidR="006108C4" w:rsidRDefault="006108C4" w:rsidP="006108C4">
      <w:pPr>
        <w:autoSpaceDE w:val="0"/>
        <w:autoSpaceDN w:val="0"/>
        <w:adjustRightInd w:val="0"/>
        <w:rPr>
          <w:color w:val="000000"/>
        </w:rPr>
      </w:pPr>
    </w:p>
    <w:p w14:paraId="0A4FFCD6" w14:textId="77777777" w:rsidR="006108C4" w:rsidRDefault="006108C4" w:rsidP="006108C4">
      <w:pPr>
        <w:autoSpaceDE w:val="0"/>
        <w:autoSpaceDN w:val="0"/>
        <w:adjustRightInd w:val="0"/>
        <w:rPr>
          <w:color w:val="000000"/>
        </w:rPr>
      </w:pPr>
      <w:r>
        <w:rPr>
          <w:color w:val="000000"/>
        </w:rPr>
        <w:t>Attachment: EE&amp;C Plan Template</w:t>
      </w:r>
    </w:p>
    <w:p w14:paraId="39A365D3" w14:textId="77777777" w:rsidR="006108C4" w:rsidRDefault="006108C4" w:rsidP="006108C4">
      <w:pPr>
        <w:autoSpaceDE w:val="0"/>
        <w:autoSpaceDN w:val="0"/>
        <w:adjustRightInd w:val="0"/>
        <w:rPr>
          <w:color w:val="000000"/>
        </w:rPr>
      </w:pPr>
    </w:p>
    <w:p w14:paraId="03595730" w14:textId="77777777" w:rsidR="003948AA" w:rsidRDefault="0091573C" w:rsidP="003948AA">
      <w:pPr>
        <w:autoSpaceDE w:val="0"/>
        <w:autoSpaceDN w:val="0"/>
        <w:adjustRightInd w:val="0"/>
        <w:rPr>
          <w:color w:val="000000"/>
        </w:rPr>
      </w:pPr>
      <w:r>
        <w:rPr>
          <w:color w:val="000000"/>
        </w:rPr>
        <w:t xml:space="preserve">cc: </w:t>
      </w:r>
      <w:r>
        <w:rPr>
          <w:color w:val="000000"/>
        </w:rPr>
        <w:tab/>
      </w:r>
      <w:r w:rsidR="003948AA">
        <w:rPr>
          <w:color w:val="000000"/>
        </w:rPr>
        <w:t>Kriss Brown, Deputy Chief Counsel</w:t>
      </w:r>
    </w:p>
    <w:p w14:paraId="15727294" w14:textId="77777777" w:rsidR="003948AA" w:rsidRDefault="003948AA" w:rsidP="003948AA">
      <w:pPr>
        <w:autoSpaceDE w:val="0"/>
        <w:autoSpaceDN w:val="0"/>
        <w:adjustRightInd w:val="0"/>
        <w:ind w:firstLine="720"/>
        <w:rPr>
          <w:color w:val="000000"/>
        </w:rPr>
      </w:pPr>
      <w:r>
        <w:rPr>
          <w:color w:val="000000"/>
        </w:rPr>
        <w:t>Adam Young, Assistant Counsel</w:t>
      </w:r>
    </w:p>
    <w:p w14:paraId="62A25CB3" w14:textId="77777777" w:rsidR="003948AA" w:rsidRDefault="003948AA" w:rsidP="003948AA">
      <w:pPr>
        <w:autoSpaceDE w:val="0"/>
        <w:autoSpaceDN w:val="0"/>
        <w:adjustRightInd w:val="0"/>
        <w:ind w:firstLine="720"/>
        <w:rPr>
          <w:color w:val="000000"/>
        </w:rPr>
      </w:pPr>
      <w:r>
        <w:rPr>
          <w:color w:val="000000"/>
        </w:rPr>
        <w:t>Charles Covage, Bureau of Technical Utility Services</w:t>
      </w:r>
    </w:p>
    <w:p w14:paraId="09CB1D11" w14:textId="77777777" w:rsidR="003948AA" w:rsidRDefault="003948AA" w:rsidP="003948AA">
      <w:pPr>
        <w:autoSpaceDE w:val="0"/>
        <w:autoSpaceDN w:val="0"/>
        <w:adjustRightInd w:val="0"/>
        <w:ind w:firstLine="720"/>
        <w:rPr>
          <w:color w:val="000000"/>
        </w:rPr>
      </w:pPr>
      <w:r>
        <w:rPr>
          <w:color w:val="000000"/>
        </w:rPr>
        <w:t>Joseph Sherrick, Bureau of Technical Utility Services</w:t>
      </w:r>
    </w:p>
    <w:p w14:paraId="5026C714" w14:textId="77777777" w:rsidR="003948AA" w:rsidRDefault="003948AA" w:rsidP="003948AA">
      <w:pPr>
        <w:autoSpaceDE w:val="0"/>
        <w:autoSpaceDN w:val="0"/>
        <w:adjustRightInd w:val="0"/>
        <w:ind w:firstLine="720"/>
        <w:rPr>
          <w:color w:val="000000"/>
        </w:rPr>
      </w:pPr>
      <w:r>
        <w:rPr>
          <w:color w:val="000000"/>
        </w:rPr>
        <w:t>Darren Gill, Bureau of Technical Utility Services</w:t>
      </w:r>
    </w:p>
    <w:p w14:paraId="64205F7E" w14:textId="1172FCCF" w:rsidR="006108C4" w:rsidRDefault="006108C4" w:rsidP="003948AA">
      <w:pPr>
        <w:autoSpaceDE w:val="0"/>
        <w:autoSpaceDN w:val="0"/>
        <w:adjustRightInd w:val="0"/>
        <w:rPr>
          <w:color w:val="000000"/>
        </w:rPr>
      </w:pPr>
    </w:p>
    <w:p w14:paraId="48FC52B1" w14:textId="77777777" w:rsidR="00DF3F51" w:rsidRDefault="00DF3F51" w:rsidP="00DF0950">
      <w:pPr>
        <w:ind w:right="-720"/>
        <w:jc w:val="right"/>
      </w:pPr>
    </w:p>
    <w:p w14:paraId="12FD3C0D" w14:textId="77777777" w:rsidR="00F4236E" w:rsidRDefault="00F4236E" w:rsidP="00DF0950">
      <w:pPr>
        <w:ind w:right="-720"/>
      </w:pPr>
    </w:p>
    <w:p w14:paraId="73E057C1" w14:textId="77777777" w:rsidR="007A5758" w:rsidRDefault="007A5758" w:rsidP="00F4236E">
      <w:pPr>
        <w:rPr>
          <w:b/>
        </w:rPr>
        <w:sectPr w:rsidR="007A5758" w:rsidSect="009E0ED4">
          <w:footerReference w:type="default" r:id="rId16"/>
          <w:footerReference w:type="first" r:id="rId17"/>
          <w:pgSz w:w="12240" w:h="15840" w:code="1"/>
          <w:pgMar w:top="1440" w:right="1800" w:bottom="1440" w:left="1440" w:header="720" w:footer="720" w:gutter="0"/>
          <w:cols w:space="720"/>
          <w:titlePg/>
          <w:docGrid w:linePitch="326"/>
        </w:sectPr>
      </w:pPr>
    </w:p>
    <w:p w14:paraId="17F579D8" w14:textId="37A5224D" w:rsidR="00F4236E" w:rsidRPr="009C0AFE" w:rsidRDefault="00F4236E" w:rsidP="00F4236E">
      <w:pPr>
        <w:rPr>
          <w:b/>
        </w:rPr>
      </w:pPr>
      <w:r w:rsidRPr="009C0AFE">
        <w:rPr>
          <w:b/>
        </w:rPr>
        <w:lastRenderedPageBreak/>
        <w:t xml:space="preserve">Template for Pennsylvania EDC </w:t>
      </w:r>
      <w:r>
        <w:rPr>
          <w:b/>
        </w:rPr>
        <w:t>Energy Efficiency a</w:t>
      </w:r>
      <w:r w:rsidRPr="009C0AFE">
        <w:rPr>
          <w:b/>
        </w:rPr>
        <w:t xml:space="preserve">nd Conservation Plans </w:t>
      </w:r>
    </w:p>
    <w:p w14:paraId="3F501302" w14:textId="77777777" w:rsidR="00F4236E" w:rsidRPr="009C0AFE" w:rsidRDefault="00F4236E" w:rsidP="00F4236E">
      <w:r w:rsidRPr="009C0AFE">
        <w:t xml:space="preserve">To be submitted by EDCs by </w:t>
      </w:r>
      <w:r>
        <w:t>November</w:t>
      </w:r>
      <w:r w:rsidR="001432F9">
        <w:t xml:space="preserve"> 30</w:t>
      </w:r>
      <w:r>
        <w:t>,</w:t>
      </w:r>
      <w:r w:rsidRPr="009C0AFE">
        <w:t xml:space="preserve"> </w:t>
      </w:r>
      <w:r w:rsidR="00C253BE">
        <w:t>2020</w:t>
      </w:r>
    </w:p>
    <w:p w14:paraId="7DF60EC3" w14:textId="77777777" w:rsidR="00F4236E" w:rsidRPr="009C0AFE" w:rsidRDefault="00F4236E" w:rsidP="00F4236E">
      <w:pPr>
        <w:pBdr>
          <w:bottom w:val="single" w:sz="6" w:space="1" w:color="auto"/>
        </w:pBdr>
      </w:pPr>
    </w:p>
    <w:p w14:paraId="63A14347" w14:textId="77777777" w:rsidR="00F4236E" w:rsidRPr="009C0AFE" w:rsidRDefault="00F4236E" w:rsidP="00F4236E">
      <w:pPr>
        <w:ind w:left="360" w:firstLine="720"/>
      </w:pPr>
    </w:p>
    <w:p w14:paraId="3C9EDF1F" w14:textId="77777777" w:rsidR="00F4236E" w:rsidRPr="009C0AFE" w:rsidRDefault="00F4236E" w:rsidP="00F4236E">
      <w:pPr>
        <w:ind w:left="360" w:firstLine="360"/>
        <w:rPr>
          <w:b/>
        </w:rPr>
      </w:pPr>
      <w:r w:rsidRPr="009C0AFE">
        <w:rPr>
          <w:b/>
        </w:rPr>
        <w:t>Contents</w:t>
      </w:r>
    </w:p>
    <w:p w14:paraId="35E28A6B" w14:textId="77777777" w:rsidR="00F4236E" w:rsidRPr="009C0AFE" w:rsidRDefault="00F4236E" w:rsidP="00F37D0F">
      <w:pPr>
        <w:numPr>
          <w:ilvl w:val="0"/>
          <w:numId w:val="6"/>
        </w:numPr>
        <w:spacing w:after="200"/>
      </w:pPr>
      <w:r w:rsidRPr="009C0AFE">
        <w:t xml:space="preserve">Transmittal Letter </w:t>
      </w:r>
    </w:p>
    <w:p w14:paraId="4EE502C3" w14:textId="551F3AB0" w:rsidR="00F4236E" w:rsidRDefault="00F4236E" w:rsidP="00F37D0F">
      <w:pPr>
        <w:numPr>
          <w:ilvl w:val="0"/>
          <w:numId w:val="6"/>
        </w:numPr>
        <w:spacing w:after="200"/>
      </w:pPr>
      <w:r w:rsidRPr="009C0AFE">
        <w:t xml:space="preserve">Table of Contents </w:t>
      </w:r>
    </w:p>
    <w:p w14:paraId="2A1B60AF" w14:textId="55737A46" w:rsidR="00FF1903" w:rsidRDefault="00FF1903" w:rsidP="00F37D0F">
      <w:pPr>
        <w:numPr>
          <w:ilvl w:val="0"/>
          <w:numId w:val="6"/>
        </w:numPr>
        <w:spacing w:after="200"/>
      </w:pPr>
      <w:r>
        <w:t>Table of Acronyms</w:t>
      </w:r>
    </w:p>
    <w:p w14:paraId="4A26AF6A" w14:textId="22A3C3D5" w:rsidR="00FF1903" w:rsidRPr="009C0AFE" w:rsidRDefault="00FF1903" w:rsidP="00F37D0F">
      <w:pPr>
        <w:numPr>
          <w:ilvl w:val="0"/>
          <w:numId w:val="6"/>
        </w:numPr>
        <w:spacing w:after="200"/>
      </w:pPr>
      <w:r>
        <w:t>Mapping of Program Years to Dates</w:t>
      </w:r>
    </w:p>
    <w:p w14:paraId="42A7CF27" w14:textId="77777777" w:rsidR="00F4236E" w:rsidRPr="009C0AFE" w:rsidRDefault="00F4236E" w:rsidP="00F37D0F">
      <w:pPr>
        <w:numPr>
          <w:ilvl w:val="0"/>
          <w:numId w:val="4"/>
        </w:numPr>
        <w:spacing w:after="200"/>
      </w:pPr>
      <w:r w:rsidRPr="009C0AFE">
        <w:t xml:space="preserve">Overview of Plan </w:t>
      </w:r>
    </w:p>
    <w:p w14:paraId="3AC2DC9E" w14:textId="77777777" w:rsidR="00F4236E" w:rsidRPr="009C0AFE" w:rsidRDefault="00F4236E" w:rsidP="00F37D0F">
      <w:pPr>
        <w:numPr>
          <w:ilvl w:val="0"/>
          <w:numId w:val="4"/>
        </w:numPr>
        <w:spacing w:after="200"/>
      </w:pPr>
      <w:r w:rsidRPr="009C0AFE">
        <w:t xml:space="preserve">Energy Efficiency and Conservation </w:t>
      </w:r>
      <w:r>
        <w:t>Portfolio/</w:t>
      </w:r>
      <w:r w:rsidRPr="009C0AFE">
        <w:t>Program Summary Tables and Charts</w:t>
      </w:r>
    </w:p>
    <w:p w14:paraId="60965DE2" w14:textId="77777777" w:rsidR="00F4236E" w:rsidRPr="009C0AFE" w:rsidRDefault="00F4236E" w:rsidP="00F37D0F">
      <w:pPr>
        <w:numPr>
          <w:ilvl w:val="0"/>
          <w:numId w:val="4"/>
        </w:numPr>
        <w:spacing w:after="200"/>
      </w:pPr>
      <w:r w:rsidRPr="009C0AFE">
        <w:t>Program Descriptions</w:t>
      </w:r>
    </w:p>
    <w:p w14:paraId="039C81B2" w14:textId="77777777" w:rsidR="00F4236E" w:rsidRPr="009C0AFE" w:rsidRDefault="00F4236E" w:rsidP="00F37D0F">
      <w:pPr>
        <w:numPr>
          <w:ilvl w:val="0"/>
          <w:numId w:val="4"/>
        </w:numPr>
        <w:spacing w:after="200"/>
      </w:pPr>
      <w:r w:rsidRPr="009C0AFE">
        <w:t xml:space="preserve">Program Management and Implementation Strategies </w:t>
      </w:r>
    </w:p>
    <w:p w14:paraId="26282DEE" w14:textId="77777777" w:rsidR="00F4236E" w:rsidRPr="009C0AFE" w:rsidRDefault="00F4236E" w:rsidP="00F37D0F">
      <w:pPr>
        <w:pStyle w:val="ListParagraph"/>
        <w:numPr>
          <w:ilvl w:val="0"/>
          <w:numId w:val="4"/>
        </w:numPr>
        <w:spacing w:after="200"/>
        <w:contextualSpacing w:val="0"/>
      </w:pPr>
      <w:r w:rsidRPr="009C0AFE">
        <w:t>Reporting and Tracking Systems</w:t>
      </w:r>
    </w:p>
    <w:p w14:paraId="6E76DA00" w14:textId="77777777" w:rsidR="00F4236E" w:rsidRPr="009C0AFE" w:rsidRDefault="00F4236E" w:rsidP="00F37D0F">
      <w:pPr>
        <w:pStyle w:val="ListParagraph"/>
        <w:numPr>
          <w:ilvl w:val="0"/>
          <w:numId w:val="4"/>
        </w:numPr>
        <w:spacing w:after="200"/>
        <w:contextualSpacing w:val="0"/>
      </w:pPr>
      <w:r w:rsidRPr="009C0AFE">
        <w:t xml:space="preserve">Quality Assurance and Evaluation, Measurement, and Verification </w:t>
      </w:r>
    </w:p>
    <w:p w14:paraId="60962A55" w14:textId="77777777" w:rsidR="00F4236E" w:rsidRPr="009C0AFE" w:rsidRDefault="00F4236E" w:rsidP="00F37D0F">
      <w:pPr>
        <w:pStyle w:val="ListParagraph"/>
        <w:numPr>
          <w:ilvl w:val="0"/>
          <w:numId w:val="4"/>
        </w:numPr>
        <w:spacing w:after="200"/>
        <w:contextualSpacing w:val="0"/>
      </w:pPr>
      <w:r w:rsidRPr="009C0AFE">
        <w:t>Cost Recovery Mechanism</w:t>
      </w:r>
    </w:p>
    <w:p w14:paraId="7BE2F44A" w14:textId="77777777" w:rsidR="00F4236E" w:rsidRPr="009C0AFE" w:rsidRDefault="00F4236E" w:rsidP="00F37D0F">
      <w:pPr>
        <w:pStyle w:val="ListParagraph"/>
        <w:numPr>
          <w:ilvl w:val="0"/>
          <w:numId w:val="4"/>
        </w:numPr>
        <w:spacing w:after="200"/>
        <w:contextualSpacing w:val="0"/>
      </w:pPr>
      <w:r w:rsidRPr="009C0AFE">
        <w:t>Cost Effectiveness</w:t>
      </w:r>
    </w:p>
    <w:p w14:paraId="4CC2ACEC" w14:textId="77777777" w:rsidR="00F4236E" w:rsidRPr="009C0AFE" w:rsidRDefault="00F4236E" w:rsidP="00F37D0F">
      <w:pPr>
        <w:pStyle w:val="ListParagraph"/>
        <w:numPr>
          <w:ilvl w:val="0"/>
          <w:numId w:val="4"/>
        </w:numPr>
        <w:spacing w:after="200"/>
        <w:contextualSpacing w:val="0"/>
      </w:pPr>
      <w:r w:rsidRPr="009C0AFE">
        <w:t>Plan Compliance Information and Other Key Issues</w:t>
      </w:r>
    </w:p>
    <w:p w14:paraId="6370C541" w14:textId="77777777" w:rsidR="00F4236E" w:rsidRPr="009C0AFE" w:rsidRDefault="00F4236E" w:rsidP="00F37D0F">
      <w:pPr>
        <w:pStyle w:val="ListParagraph"/>
        <w:numPr>
          <w:ilvl w:val="0"/>
          <w:numId w:val="4"/>
        </w:numPr>
        <w:spacing w:after="200"/>
        <w:contextualSpacing w:val="0"/>
      </w:pPr>
      <w:r w:rsidRPr="009C0AFE">
        <w:t>Appendices</w:t>
      </w:r>
    </w:p>
    <w:p w14:paraId="784C418D" w14:textId="77777777" w:rsidR="00F4236E" w:rsidRDefault="00F4236E" w:rsidP="00F4236E">
      <w:pPr>
        <w:ind w:left="720"/>
        <w:rPr>
          <w:b/>
        </w:rPr>
      </w:pPr>
    </w:p>
    <w:p w14:paraId="207BB07E" w14:textId="77777777" w:rsidR="00F4236E" w:rsidRDefault="00F4236E" w:rsidP="00F4236E">
      <w:pPr>
        <w:rPr>
          <w:sz w:val="20"/>
          <w:szCs w:val="20"/>
        </w:rPr>
      </w:pPr>
    </w:p>
    <w:p w14:paraId="442E8566" w14:textId="77777777" w:rsidR="00F4236E" w:rsidRDefault="00F4236E" w:rsidP="00F4236E">
      <w:pPr>
        <w:rPr>
          <w:sz w:val="20"/>
          <w:szCs w:val="20"/>
        </w:rPr>
      </w:pPr>
    </w:p>
    <w:p w14:paraId="47C079AA" w14:textId="77777777" w:rsidR="00F4236E" w:rsidRDefault="00F4236E" w:rsidP="00F4236E">
      <w:pPr>
        <w:rPr>
          <w:sz w:val="20"/>
          <w:szCs w:val="20"/>
        </w:rPr>
      </w:pPr>
    </w:p>
    <w:p w14:paraId="3E083FE8" w14:textId="77777777" w:rsidR="00F4236E" w:rsidRDefault="00F4236E" w:rsidP="00F4236E">
      <w:pPr>
        <w:rPr>
          <w:sz w:val="20"/>
          <w:szCs w:val="20"/>
        </w:rPr>
      </w:pPr>
    </w:p>
    <w:p w14:paraId="5D887641" w14:textId="77777777" w:rsidR="00F4236E" w:rsidRDefault="00F4236E" w:rsidP="00F4236E">
      <w:pPr>
        <w:rPr>
          <w:sz w:val="20"/>
          <w:szCs w:val="20"/>
        </w:rPr>
      </w:pPr>
    </w:p>
    <w:p w14:paraId="572D86AF" w14:textId="77777777" w:rsidR="00F4236E" w:rsidRPr="00A92535" w:rsidRDefault="00F4236E" w:rsidP="00F4236E">
      <w:pPr>
        <w:rPr>
          <w:color w:val="800000"/>
          <w:sz w:val="20"/>
          <w:szCs w:val="20"/>
        </w:rPr>
      </w:pPr>
      <w:r w:rsidRPr="00A92535">
        <w:rPr>
          <w:sz w:val="20"/>
          <w:szCs w:val="20"/>
        </w:rPr>
        <w:t>Note:</w:t>
      </w:r>
      <w:r w:rsidRPr="00A92535">
        <w:rPr>
          <w:color w:val="800000"/>
          <w:sz w:val="20"/>
          <w:szCs w:val="20"/>
        </w:rPr>
        <w:t xml:space="preserve"> </w:t>
      </w:r>
    </w:p>
    <w:p w14:paraId="0894D712" w14:textId="77777777" w:rsidR="00F4236E" w:rsidRPr="008F2437" w:rsidRDefault="00F4236E" w:rsidP="00F4236E">
      <w:pPr>
        <w:rPr>
          <w:sz w:val="20"/>
          <w:szCs w:val="20"/>
        </w:rPr>
      </w:pPr>
      <w:r w:rsidRPr="008F2437">
        <w:rPr>
          <w:sz w:val="20"/>
          <w:szCs w:val="20"/>
        </w:rPr>
        <w:t>If any of your answers require you to disclose what you believe to be privileged or confidential information, not otherwise available to the public, you should designate at each point in the EE&amp;C Plan that the answer requires you to disclose privileged and confidential information. Explain briefly why the information should be treated as confidential. You should then submit the information on documents stamped “CONFIDENTIAL” at the top in clear and conspicuous letters and submit one copy of the information under seal to the Secretary’s Office along with the EE&amp;C Plan. In addition, an expunged copy of the filing should also be included with the EE&amp;C Plan. If someone requests to examine the information, or if Commission staff believes that the proprietary claim is frivolous or otherwise not justified, the Secretary’s Bureau will issue a Secretarial Letter directing that the EDC file a petition for protective order pursuant to 52 Pa. Code § 5.423.</w:t>
      </w:r>
    </w:p>
    <w:p w14:paraId="68D9D7F8" w14:textId="77777777" w:rsidR="006B6441" w:rsidRDefault="006B6441" w:rsidP="00AA221C">
      <w:pPr>
        <w:rPr>
          <w:color w:val="800000"/>
        </w:rPr>
      </w:pPr>
    </w:p>
    <w:p w14:paraId="7D3E52B1" w14:textId="440F9231" w:rsidR="006B6441" w:rsidRDefault="006B6441" w:rsidP="006B6441">
      <w:pPr>
        <w:tabs>
          <w:tab w:val="left" w:pos="3360"/>
        </w:tabs>
        <w:rPr>
          <w:color w:val="800000"/>
        </w:rPr>
      </w:pPr>
      <w:r>
        <w:rPr>
          <w:color w:val="800000"/>
        </w:rPr>
        <w:tab/>
      </w:r>
    </w:p>
    <w:p w14:paraId="510B8BCE" w14:textId="083F3E1B" w:rsidR="00F4236E" w:rsidRPr="00F4236E" w:rsidRDefault="00F4236E" w:rsidP="00AA221C">
      <w:pPr>
        <w:rPr>
          <w:b/>
          <w:color w:val="800000"/>
        </w:rPr>
      </w:pPr>
      <w:r w:rsidRPr="006B6441">
        <w:br w:type="page"/>
      </w:r>
      <w:bookmarkStart w:id="1" w:name="_Toc93905379"/>
      <w:r w:rsidRPr="00F4236E">
        <w:rPr>
          <w:b/>
          <w:color w:val="800000"/>
        </w:rPr>
        <w:lastRenderedPageBreak/>
        <w:t>Energy Efficiency and Conservation Plan</w:t>
      </w:r>
      <w:bookmarkEnd w:id="1"/>
    </w:p>
    <w:p w14:paraId="42FF3581" w14:textId="77777777" w:rsidR="00F4236E" w:rsidRDefault="00F4236E" w:rsidP="00F4236E">
      <w:pPr>
        <w:ind w:left="720"/>
        <w:rPr>
          <w:b/>
        </w:rPr>
      </w:pPr>
      <w:bookmarkStart w:id="2" w:name="_Toc93905380"/>
    </w:p>
    <w:p w14:paraId="53B45D45" w14:textId="5B545335" w:rsidR="00F4236E" w:rsidRPr="00F97082" w:rsidRDefault="00F4236E" w:rsidP="00F4236E">
      <w:pPr>
        <w:ind w:left="720"/>
        <w:rPr>
          <w:sz w:val="22"/>
        </w:rPr>
      </w:pPr>
      <w:r w:rsidRPr="007A4EF8">
        <w:rPr>
          <w:b/>
        </w:rPr>
        <w:t xml:space="preserve">A.  Transmittal Letter </w:t>
      </w:r>
      <w:r w:rsidR="00704DBF" w:rsidRPr="00300777">
        <w:rPr>
          <w:b/>
          <w:sz w:val="22"/>
        </w:rPr>
        <w:t>–</w:t>
      </w:r>
      <w:r w:rsidRPr="00F97082">
        <w:rPr>
          <w:sz w:val="22"/>
        </w:rPr>
        <w:t xml:space="preserve"> with reference to statutory </w:t>
      </w:r>
      <w:r w:rsidR="008151B9" w:rsidRPr="00F97082">
        <w:rPr>
          <w:sz w:val="22"/>
        </w:rPr>
        <w:t>and</w:t>
      </w:r>
      <w:r w:rsidR="008151B9">
        <w:rPr>
          <w:sz w:val="22"/>
        </w:rPr>
        <w:t xml:space="preserve"> </w:t>
      </w:r>
      <w:r w:rsidR="008151B9" w:rsidRPr="00F97082">
        <w:rPr>
          <w:sz w:val="22"/>
        </w:rPr>
        <w:t>regulatory</w:t>
      </w:r>
      <w:r w:rsidRPr="00F97082">
        <w:rPr>
          <w:sz w:val="22"/>
        </w:rPr>
        <w:t xml:space="preserve"> requirements</w:t>
      </w:r>
      <w:bookmarkEnd w:id="2"/>
      <w:r w:rsidRPr="00F97082">
        <w:rPr>
          <w:sz w:val="22"/>
        </w:rPr>
        <w:t xml:space="preserve"> and </w:t>
      </w:r>
      <w:r>
        <w:rPr>
          <w:sz w:val="22"/>
        </w:rPr>
        <w:t>Electric Distribution Company (</w:t>
      </w:r>
      <w:r w:rsidRPr="00F97082">
        <w:rPr>
          <w:sz w:val="22"/>
        </w:rPr>
        <w:t>EDC</w:t>
      </w:r>
      <w:r>
        <w:rPr>
          <w:sz w:val="22"/>
        </w:rPr>
        <w:t>)</w:t>
      </w:r>
      <w:r w:rsidRPr="00F97082">
        <w:rPr>
          <w:sz w:val="22"/>
        </w:rPr>
        <w:t xml:space="preserve"> contact that PA </w:t>
      </w:r>
      <w:r>
        <w:rPr>
          <w:sz w:val="22"/>
        </w:rPr>
        <w:t>PUC</w:t>
      </w:r>
      <w:r w:rsidRPr="00F97082">
        <w:rPr>
          <w:sz w:val="22"/>
        </w:rPr>
        <w:t xml:space="preserve"> should contact for more information</w:t>
      </w:r>
      <w:r>
        <w:rPr>
          <w:sz w:val="22"/>
        </w:rPr>
        <w:t>.</w:t>
      </w:r>
    </w:p>
    <w:p w14:paraId="496AFDE0" w14:textId="2C228412" w:rsidR="00F4236E" w:rsidRDefault="00F4236E" w:rsidP="00F4236E">
      <w:pPr>
        <w:ind w:left="720"/>
        <w:rPr>
          <w:sz w:val="22"/>
        </w:rPr>
      </w:pPr>
      <w:bookmarkStart w:id="3" w:name="_Toc93905381"/>
      <w:r w:rsidRPr="007A4EF8">
        <w:rPr>
          <w:b/>
        </w:rPr>
        <w:t xml:space="preserve">B.  Table of Contents </w:t>
      </w:r>
      <w:r w:rsidR="00704DBF" w:rsidRPr="00300777">
        <w:rPr>
          <w:b/>
          <w:sz w:val="22"/>
        </w:rPr>
        <w:t>–</w:t>
      </w:r>
      <w:r w:rsidRPr="00F97082">
        <w:rPr>
          <w:sz w:val="22"/>
        </w:rPr>
        <w:t xml:space="preserve"> including lists of tables and figures</w:t>
      </w:r>
      <w:bookmarkEnd w:id="3"/>
      <w:r>
        <w:rPr>
          <w:sz w:val="22"/>
        </w:rPr>
        <w:t>.</w:t>
      </w:r>
    </w:p>
    <w:p w14:paraId="76505A8C" w14:textId="62294371" w:rsidR="009935BA" w:rsidRPr="00704DBF" w:rsidRDefault="009935BA" w:rsidP="00F4236E">
      <w:pPr>
        <w:ind w:left="720"/>
        <w:rPr>
          <w:sz w:val="22"/>
        </w:rPr>
      </w:pPr>
      <w:r w:rsidRPr="009935BA">
        <w:rPr>
          <w:b/>
        </w:rPr>
        <w:t>C.</w:t>
      </w:r>
      <w:r w:rsidRPr="00E16CB8">
        <w:rPr>
          <w:b/>
        </w:rPr>
        <w:t xml:space="preserve">  Table of Acronyms</w:t>
      </w:r>
      <w:r w:rsidR="00704DBF">
        <w:rPr>
          <w:b/>
        </w:rPr>
        <w:t xml:space="preserve"> </w:t>
      </w:r>
      <w:r w:rsidR="00704DBF" w:rsidRPr="00E16CB8">
        <w:rPr>
          <w:b/>
          <w:sz w:val="22"/>
        </w:rPr>
        <w:t xml:space="preserve">– </w:t>
      </w:r>
      <w:r w:rsidR="00704DBF" w:rsidRPr="00E16CB8">
        <w:rPr>
          <w:sz w:val="22"/>
        </w:rPr>
        <w:t>include definitions of any acronyms used in the plan</w:t>
      </w:r>
    </w:p>
    <w:p w14:paraId="5301520D" w14:textId="577BFF28" w:rsidR="00704DBF" w:rsidRPr="00704DBF" w:rsidRDefault="009935BA" w:rsidP="00704DBF">
      <w:pPr>
        <w:ind w:left="720"/>
        <w:rPr>
          <w:sz w:val="22"/>
        </w:rPr>
      </w:pPr>
      <w:r w:rsidRPr="009935BA">
        <w:rPr>
          <w:b/>
        </w:rPr>
        <w:t>D.</w:t>
      </w:r>
      <w:r w:rsidRPr="00E16CB8">
        <w:rPr>
          <w:b/>
        </w:rPr>
        <w:t xml:space="preserve">  Mapping of Program Years to Dates</w:t>
      </w:r>
      <w:r w:rsidR="00704DBF">
        <w:rPr>
          <w:b/>
        </w:rPr>
        <w:t xml:space="preserve"> </w:t>
      </w:r>
      <w:r w:rsidR="00704DBF" w:rsidRPr="00E16CB8">
        <w:rPr>
          <w:b/>
          <w:sz w:val="22"/>
        </w:rPr>
        <w:t xml:space="preserve">– </w:t>
      </w:r>
      <w:r w:rsidR="00704DBF">
        <w:rPr>
          <w:sz w:val="22"/>
        </w:rPr>
        <w:t>show table identifying the start and end dates of all program years</w:t>
      </w:r>
    </w:p>
    <w:p w14:paraId="784DA7D2" w14:textId="2469C259" w:rsidR="009935BA" w:rsidRPr="00E16CB8" w:rsidRDefault="009935BA" w:rsidP="00F4236E">
      <w:pPr>
        <w:ind w:left="720"/>
        <w:rPr>
          <w:b/>
        </w:rPr>
      </w:pPr>
    </w:p>
    <w:tbl>
      <w:tblPr>
        <w:tblStyle w:val="TableGrid"/>
        <w:tblW w:w="0" w:type="auto"/>
        <w:jc w:val="center"/>
        <w:tblLook w:val="04A0" w:firstRow="1" w:lastRow="0" w:firstColumn="1" w:lastColumn="0" w:noHBand="0" w:noVBand="1"/>
      </w:tblPr>
      <w:tblGrid>
        <w:gridCol w:w="2016"/>
        <w:gridCol w:w="2016"/>
        <w:gridCol w:w="2016"/>
      </w:tblGrid>
      <w:tr w:rsidR="00704DBF" w:rsidRPr="00557257" w14:paraId="2D359BC9" w14:textId="77777777" w:rsidTr="00E16CB8">
        <w:trPr>
          <w:trHeight w:val="317"/>
          <w:tblHeader/>
          <w:jc w:val="center"/>
        </w:trPr>
        <w:tc>
          <w:tcPr>
            <w:tcW w:w="2016" w:type="dxa"/>
            <w:vAlign w:val="center"/>
          </w:tcPr>
          <w:p w14:paraId="65666D75" w14:textId="77777777" w:rsidR="00704DBF" w:rsidRPr="00557257" w:rsidRDefault="00704DBF" w:rsidP="00E16CB8">
            <w:pPr>
              <w:jc w:val="center"/>
              <w:rPr>
                <w:rFonts w:ascii="Times New Roman" w:hAnsi="Times New Roman"/>
                <w:b/>
              </w:rPr>
            </w:pPr>
            <w:r w:rsidRPr="00557257">
              <w:rPr>
                <w:rFonts w:ascii="Times New Roman" w:hAnsi="Times New Roman"/>
                <w:b/>
              </w:rPr>
              <w:t>Program Year</w:t>
            </w:r>
          </w:p>
        </w:tc>
        <w:tc>
          <w:tcPr>
            <w:tcW w:w="2016" w:type="dxa"/>
            <w:vAlign w:val="center"/>
          </w:tcPr>
          <w:p w14:paraId="258201A4" w14:textId="77777777" w:rsidR="00704DBF" w:rsidRPr="00557257" w:rsidRDefault="00704DBF" w:rsidP="00E16CB8">
            <w:pPr>
              <w:jc w:val="center"/>
              <w:rPr>
                <w:rFonts w:ascii="Times New Roman" w:hAnsi="Times New Roman"/>
                <w:b/>
              </w:rPr>
            </w:pPr>
            <w:r w:rsidRPr="00557257">
              <w:rPr>
                <w:rFonts w:ascii="Times New Roman" w:hAnsi="Times New Roman"/>
                <w:b/>
              </w:rPr>
              <w:t>Start Date</w:t>
            </w:r>
          </w:p>
        </w:tc>
        <w:tc>
          <w:tcPr>
            <w:tcW w:w="2016" w:type="dxa"/>
            <w:vAlign w:val="center"/>
          </w:tcPr>
          <w:p w14:paraId="0785A5C8" w14:textId="77777777" w:rsidR="00704DBF" w:rsidRPr="00557257" w:rsidRDefault="00704DBF" w:rsidP="00E16CB8">
            <w:pPr>
              <w:jc w:val="center"/>
              <w:rPr>
                <w:rFonts w:ascii="Times New Roman" w:hAnsi="Times New Roman"/>
                <w:b/>
              </w:rPr>
            </w:pPr>
            <w:r w:rsidRPr="00557257">
              <w:rPr>
                <w:rFonts w:ascii="Times New Roman" w:hAnsi="Times New Roman"/>
                <w:b/>
              </w:rPr>
              <w:t>End Date</w:t>
            </w:r>
          </w:p>
        </w:tc>
      </w:tr>
      <w:tr w:rsidR="00704DBF" w:rsidRPr="00557257" w14:paraId="094600B0" w14:textId="77777777" w:rsidTr="00E16CB8">
        <w:trPr>
          <w:trHeight w:val="317"/>
          <w:tblHeader/>
          <w:jc w:val="center"/>
        </w:trPr>
        <w:tc>
          <w:tcPr>
            <w:tcW w:w="2016" w:type="dxa"/>
            <w:vAlign w:val="center"/>
          </w:tcPr>
          <w:p w14:paraId="7CA63559" w14:textId="77777777" w:rsidR="00704DBF" w:rsidRPr="00557257" w:rsidRDefault="00704DBF" w:rsidP="00E16CB8">
            <w:pPr>
              <w:jc w:val="center"/>
              <w:rPr>
                <w:rFonts w:ascii="Times New Roman" w:hAnsi="Times New Roman"/>
              </w:rPr>
            </w:pPr>
            <w:r w:rsidRPr="00557257">
              <w:rPr>
                <w:rFonts w:ascii="Times New Roman" w:hAnsi="Times New Roman"/>
              </w:rPr>
              <w:t>PY13</w:t>
            </w:r>
          </w:p>
        </w:tc>
        <w:tc>
          <w:tcPr>
            <w:tcW w:w="2016" w:type="dxa"/>
            <w:vAlign w:val="center"/>
          </w:tcPr>
          <w:p w14:paraId="0F59948A" w14:textId="77777777" w:rsidR="00704DBF" w:rsidRPr="00557257" w:rsidRDefault="00704DBF" w:rsidP="00E16CB8">
            <w:pPr>
              <w:jc w:val="center"/>
              <w:rPr>
                <w:rFonts w:ascii="Times New Roman" w:hAnsi="Times New Roman"/>
              </w:rPr>
            </w:pPr>
            <w:r w:rsidRPr="00557257">
              <w:rPr>
                <w:rFonts w:ascii="Times New Roman" w:hAnsi="Times New Roman"/>
              </w:rPr>
              <w:t>6/1/2021</w:t>
            </w:r>
          </w:p>
        </w:tc>
        <w:tc>
          <w:tcPr>
            <w:tcW w:w="2016" w:type="dxa"/>
            <w:vAlign w:val="center"/>
          </w:tcPr>
          <w:p w14:paraId="7AA439B0" w14:textId="77777777" w:rsidR="00704DBF" w:rsidRPr="00557257" w:rsidRDefault="00704DBF" w:rsidP="00E16CB8">
            <w:pPr>
              <w:jc w:val="center"/>
              <w:rPr>
                <w:rFonts w:ascii="Times New Roman" w:hAnsi="Times New Roman"/>
              </w:rPr>
            </w:pPr>
            <w:r w:rsidRPr="00557257">
              <w:rPr>
                <w:rFonts w:ascii="Times New Roman" w:hAnsi="Times New Roman"/>
              </w:rPr>
              <w:t>5/31/2022</w:t>
            </w:r>
          </w:p>
        </w:tc>
      </w:tr>
      <w:tr w:rsidR="00704DBF" w:rsidRPr="00557257" w14:paraId="70A001C1" w14:textId="77777777" w:rsidTr="00E16CB8">
        <w:trPr>
          <w:trHeight w:val="317"/>
          <w:tblHeader/>
          <w:jc w:val="center"/>
        </w:trPr>
        <w:tc>
          <w:tcPr>
            <w:tcW w:w="2016" w:type="dxa"/>
            <w:vAlign w:val="center"/>
          </w:tcPr>
          <w:p w14:paraId="5D951B34" w14:textId="77777777" w:rsidR="00704DBF" w:rsidRPr="00557257" w:rsidRDefault="00704DBF" w:rsidP="00E16CB8">
            <w:pPr>
              <w:jc w:val="center"/>
              <w:rPr>
                <w:rFonts w:ascii="Times New Roman" w:hAnsi="Times New Roman"/>
              </w:rPr>
            </w:pPr>
            <w:r w:rsidRPr="00557257">
              <w:rPr>
                <w:rFonts w:ascii="Times New Roman" w:hAnsi="Times New Roman"/>
              </w:rPr>
              <w:t>PY14</w:t>
            </w:r>
          </w:p>
        </w:tc>
        <w:tc>
          <w:tcPr>
            <w:tcW w:w="2016" w:type="dxa"/>
            <w:vAlign w:val="center"/>
          </w:tcPr>
          <w:p w14:paraId="3C418DBB" w14:textId="77777777" w:rsidR="00704DBF" w:rsidRPr="00557257" w:rsidRDefault="00704DBF" w:rsidP="00E16CB8">
            <w:pPr>
              <w:jc w:val="center"/>
              <w:rPr>
                <w:rFonts w:ascii="Times New Roman" w:hAnsi="Times New Roman"/>
              </w:rPr>
            </w:pPr>
            <w:r w:rsidRPr="00557257">
              <w:rPr>
                <w:rFonts w:ascii="Times New Roman" w:hAnsi="Times New Roman"/>
              </w:rPr>
              <w:t>6/1/2022</w:t>
            </w:r>
          </w:p>
        </w:tc>
        <w:tc>
          <w:tcPr>
            <w:tcW w:w="2016" w:type="dxa"/>
            <w:vAlign w:val="center"/>
          </w:tcPr>
          <w:p w14:paraId="39E711BB" w14:textId="77777777" w:rsidR="00704DBF" w:rsidRPr="00557257" w:rsidRDefault="00704DBF" w:rsidP="00E16CB8">
            <w:pPr>
              <w:jc w:val="center"/>
              <w:rPr>
                <w:rFonts w:ascii="Times New Roman" w:hAnsi="Times New Roman"/>
              </w:rPr>
            </w:pPr>
            <w:r w:rsidRPr="00557257">
              <w:rPr>
                <w:rFonts w:ascii="Times New Roman" w:hAnsi="Times New Roman"/>
              </w:rPr>
              <w:t>5/31/2023</w:t>
            </w:r>
          </w:p>
        </w:tc>
      </w:tr>
      <w:tr w:rsidR="00704DBF" w:rsidRPr="00557257" w14:paraId="23CD2500" w14:textId="77777777" w:rsidTr="00E16CB8">
        <w:trPr>
          <w:trHeight w:val="317"/>
          <w:tblHeader/>
          <w:jc w:val="center"/>
        </w:trPr>
        <w:tc>
          <w:tcPr>
            <w:tcW w:w="2016" w:type="dxa"/>
            <w:vAlign w:val="center"/>
          </w:tcPr>
          <w:p w14:paraId="45704C9D" w14:textId="77777777" w:rsidR="00704DBF" w:rsidRPr="00557257" w:rsidRDefault="00704DBF" w:rsidP="00E16CB8">
            <w:pPr>
              <w:jc w:val="center"/>
              <w:rPr>
                <w:rFonts w:ascii="Times New Roman" w:hAnsi="Times New Roman"/>
              </w:rPr>
            </w:pPr>
            <w:r w:rsidRPr="00557257">
              <w:rPr>
                <w:rFonts w:ascii="Times New Roman" w:hAnsi="Times New Roman"/>
              </w:rPr>
              <w:t>PY15</w:t>
            </w:r>
          </w:p>
        </w:tc>
        <w:tc>
          <w:tcPr>
            <w:tcW w:w="2016" w:type="dxa"/>
            <w:vAlign w:val="center"/>
          </w:tcPr>
          <w:p w14:paraId="0037F47D" w14:textId="77777777" w:rsidR="00704DBF" w:rsidRPr="00557257" w:rsidRDefault="00704DBF" w:rsidP="00E16CB8">
            <w:pPr>
              <w:jc w:val="center"/>
              <w:rPr>
                <w:rFonts w:ascii="Times New Roman" w:hAnsi="Times New Roman"/>
              </w:rPr>
            </w:pPr>
            <w:r w:rsidRPr="00557257">
              <w:rPr>
                <w:rFonts w:ascii="Times New Roman" w:hAnsi="Times New Roman"/>
              </w:rPr>
              <w:t>6/1/2023</w:t>
            </w:r>
          </w:p>
        </w:tc>
        <w:tc>
          <w:tcPr>
            <w:tcW w:w="2016" w:type="dxa"/>
            <w:vAlign w:val="center"/>
          </w:tcPr>
          <w:p w14:paraId="7DAAFD87" w14:textId="77777777" w:rsidR="00704DBF" w:rsidRPr="00557257" w:rsidRDefault="00704DBF" w:rsidP="00E16CB8">
            <w:pPr>
              <w:jc w:val="center"/>
              <w:rPr>
                <w:rFonts w:ascii="Times New Roman" w:hAnsi="Times New Roman"/>
              </w:rPr>
            </w:pPr>
            <w:r w:rsidRPr="00557257">
              <w:rPr>
                <w:rFonts w:ascii="Times New Roman" w:hAnsi="Times New Roman"/>
              </w:rPr>
              <w:t>5/31/2024</w:t>
            </w:r>
          </w:p>
        </w:tc>
      </w:tr>
      <w:tr w:rsidR="00704DBF" w:rsidRPr="00557257" w14:paraId="32952008" w14:textId="77777777" w:rsidTr="00E16CB8">
        <w:trPr>
          <w:trHeight w:val="317"/>
          <w:tblHeader/>
          <w:jc w:val="center"/>
        </w:trPr>
        <w:tc>
          <w:tcPr>
            <w:tcW w:w="2016" w:type="dxa"/>
            <w:vAlign w:val="center"/>
          </w:tcPr>
          <w:p w14:paraId="101123BB" w14:textId="77777777" w:rsidR="00704DBF" w:rsidRPr="00557257" w:rsidRDefault="00704DBF" w:rsidP="00E16CB8">
            <w:pPr>
              <w:jc w:val="center"/>
              <w:rPr>
                <w:rFonts w:ascii="Times New Roman" w:hAnsi="Times New Roman"/>
              </w:rPr>
            </w:pPr>
            <w:r w:rsidRPr="00557257">
              <w:rPr>
                <w:rFonts w:ascii="Times New Roman" w:hAnsi="Times New Roman"/>
              </w:rPr>
              <w:t>PY16</w:t>
            </w:r>
          </w:p>
        </w:tc>
        <w:tc>
          <w:tcPr>
            <w:tcW w:w="2016" w:type="dxa"/>
            <w:vAlign w:val="center"/>
          </w:tcPr>
          <w:p w14:paraId="7C946F48" w14:textId="77777777" w:rsidR="00704DBF" w:rsidRPr="00557257" w:rsidRDefault="00704DBF" w:rsidP="00E16CB8">
            <w:pPr>
              <w:jc w:val="center"/>
              <w:rPr>
                <w:rFonts w:ascii="Times New Roman" w:hAnsi="Times New Roman"/>
              </w:rPr>
            </w:pPr>
            <w:r w:rsidRPr="00557257">
              <w:rPr>
                <w:rFonts w:ascii="Times New Roman" w:hAnsi="Times New Roman"/>
              </w:rPr>
              <w:t>6/1/2024</w:t>
            </w:r>
          </w:p>
        </w:tc>
        <w:tc>
          <w:tcPr>
            <w:tcW w:w="2016" w:type="dxa"/>
            <w:vAlign w:val="center"/>
          </w:tcPr>
          <w:p w14:paraId="657E1FC1" w14:textId="77777777" w:rsidR="00704DBF" w:rsidRPr="00557257" w:rsidRDefault="00704DBF" w:rsidP="00E16CB8">
            <w:pPr>
              <w:jc w:val="center"/>
              <w:rPr>
                <w:rFonts w:ascii="Times New Roman" w:hAnsi="Times New Roman"/>
              </w:rPr>
            </w:pPr>
            <w:r w:rsidRPr="00557257">
              <w:rPr>
                <w:rFonts w:ascii="Times New Roman" w:hAnsi="Times New Roman"/>
              </w:rPr>
              <w:t>5/31/2025</w:t>
            </w:r>
          </w:p>
        </w:tc>
      </w:tr>
      <w:tr w:rsidR="00704DBF" w:rsidRPr="00557257" w14:paraId="549DE78D" w14:textId="77777777" w:rsidTr="00E16CB8">
        <w:trPr>
          <w:trHeight w:val="317"/>
          <w:tblHeader/>
          <w:jc w:val="center"/>
        </w:trPr>
        <w:tc>
          <w:tcPr>
            <w:tcW w:w="2016" w:type="dxa"/>
            <w:vAlign w:val="center"/>
          </w:tcPr>
          <w:p w14:paraId="1DFAA27C" w14:textId="77777777" w:rsidR="00704DBF" w:rsidRPr="00557257" w:rsidRDefault="00704DBF" w:rsidP="00E16CB8">
            <w:pPr>
              <w:jc w:val="center"/>
              <w:rPr>
                <w:rFonts w:ascii="Times New Roman" w:hAnsi="Times New Roman"/>
              </w:rPr>
            </w:pPr>
            <w:r w:rsidRPr="00557257">
              <w:rPr>
                <w:rFonts w:ascii="Times New Roman" w:hAnsi="Times New Roman"/>
              </w:rPr>
              <w:t>PY17</w:t>
            </w:r>
          </w:p>
        </w:tc>
        <w:tc>
          <w:tcPr>
            <w:tcW w:w="2016" w:type="dxa"/>
            <w:vAlign w:val="center"/>
          </w:tcPr>
          <w:p w14:paraId="33381EC7" w14:textId="77777777" w:rsidR="00704DBF" w:rsidRPr="00557257" w:rsidRDefault="00704DBF" w:rsidP="00E16CB8">
            <w:pPr>
              <w:jc w:val="center"/>
              <w:rPr>
                <w:rFonts w:ascii="Times New Roman" w:hAnsi="Times New Roman"/>
              </w:rPr>
            </w:pPr>
            <w:r w:rsidRPr="00557257">
              <w:rPr>
                <w:rFonts w:ascii="Times New Roman" w:hAnsi="Times New Roman"/>
              </w:rPr>
              <w:t>6/1/2025</w:t>
            </w:r>
          </w:p>
        </w:tc>
        <w:tc>
          <w:tcPr>
            <w:tcW w:w="2016" w:type="dxa"/>
            <w:vAlign w:val="center"/>
          </w:tcPr>
          <w:p w14:paraId="0B0186D2" w14:textId="77777777" w:rsidR="00704DBF" w:rsidRPr="00557257" w:rsidRDefault="00704DBF" w:rsidP="00E16CB8">
            <w:pPr>
              <w:jc w:val="center"/>
              <w:rPr>
                <w:rFonts w:ascii="Times New Roman" w:hAnsi="Times New Roman"/>
              </w:rPr>
            </w:pPr>
            <w:r w:rsidRPr="00557257">
              <w:rPr>
                <w:rFonts w:ascii="Times New Roman" w:hAnsi="Times New Roman"/>
              </w:rPr>
              <w:t>5/31/2026</w:t>
            </w:r>
          </w:p>
        </w:tc>
      </w:tr>
    </w:tbl>
    <w:p w14:paraId="65BA95F9" w14:textId="2586F738" w:rsidR="000223F7" w:rsidRPr="00383909" w:rsidRDefault="000223F7" w:rsidP="00704DBF">
      <w:pPr>
        <w:rPr>
          <w:b/>
        </w:rPr>
      </w:pPr>
    </w:p>
    <w:p w14:paraId="42184BF8" w14:textId="77777777" w:rsidR="00F4236E" w:rsidRPr="00383909" w:rsidRDefault="00F4236E" w:rsidP="00590FDC">
      <w:pPr>
        <w:pStyle w:val="Heading1"/>
      </w:pPr>
      <w:bookmarkStart w:id="4" w:name="_Toc93905382"/>
      <w:r w:rsidRPr="00383909">
        <w:t>Overview of Plan</w:t>
      </w:r>
      <w:bookmarkEnd w:id="4"/>
    </w:p>
    <w:p w14:paraId="3927531E" w14:textId="77777777" w:rsidR="00F4236E" w:rsidRPr="00383909" w:rsidRDefault="00F4236E" w:rsidP="00F4236E">
      <w:pPr>
        <w:rPr>
          <w:i/>
          <w:color w:val="800000"/>
          <w:sz w:val="22"/>
        </w:rPr>
      </w:pPr>
      <w:r w:rsidRPr="007623BE">
        <w:rPr>
          <w:i/>
          <w:color w:val="800000"/>
          <w:sz w:val="22"/>
        </w:rPr>
        <w:t>(The objective of this section is to provide an overview of the entire plan)</w:t>
      </w:r>
    </w:p>
    <w:p w14:paraId="34AC8090" w14:textId="77777777" w:rsidR="00F4236E" w:rsidRPr="00383909" w:rsidRDefault="00F4236E" w:rsidP="00590FDC">
      <w:pPr>
        <w:pStyle w:val="Heading2"/>
      </w:pPr>
      <w:r w:rsidRPr="00590FDC">
        <w:t>Summary</w:t>
      </w:r>
      <w:r w:rsidRPr="00383909">
        <w:t xml:space="preserve"> description of plan, plan objectives, and overall strategy to achieve energy efficiency and conservation goals</w:t>
      </w:r>
      <w:r>
        <w:t>.</w:t>
      </w:r>
    </w:p>
    <w:p w14:paraId="58CCE5E9" w14:textId="7DA17751" w:rsidR="00F4236E" w:rsidRPr="00383909" w:rsidRDefault="00F4236E" w:rsidP="00590FDC">
      <w:pPr>
        <w:pStyle w:val="Heading2"/>
      </w:pPr>
      <w:r w:rsidRPr="00383909">
        <w:t xml:space="preserve">Summary description of process used to develop the </w:t>
      </w:r>
      <w:r>
        <w:t xml:space="preserve">EE&amp;C </w:t>
      </w:r>
      <w:r w:rsidRPr="00383909">
        <w:t>plan and key assumptions</w:t>
      </w:r>
      <w:r>
        <w:rPr>
          <w:rStyle w:val="FootnoteReference"/>
        </w:rPr>
        <w:footnoteReference w:id="5"/>
      </w:r>
      <w:r w:rsidRPr="00383909">
        <w:t xml:space="preserve"> used in preparing</w:t>
      </w:r>
      <w:r>
        <w:t xml:space="preserve"> the</w:t>
      </w:r>
      <w:r w:rsidRPr="00383909">
        <w:t xml:space="preserve"> plan</w:t>
      </w:r>
      <w:r>
        <w:t>.</w:t>
      </w:r>
      <w:r w:rsidR="00203444">
        <w:t xml:space="preserve"> Included in this summary should be a description of the EDC’s process for stakeholder engagement.</w:t>
      </w:r>
    </w:p>
    <w:p w14:paraId="479CEE11" w14:textId="47784A77" w:rsidR="00F4236E" w:rsidRPr="00383909" w:rsidRDefault="00F4236E" w:rsidP="00590FDC">
      <w:pPr>
        <w:pStyle w:val="Heading2"/>
      </w:pPr>
      <w:r>
        <w:t>Summary tables of portfolio</w:t>
      </w:r>
      <w:r w:rsidRPr="00383909">
        <w:t xml:space="preserve"> savings goals, budget and cost-effectiveness (see Tables 1,</w:t>
      </w:r>
      <w:r w:rsidR="00DE7E77">
        <w:t xml:space="preserve"> </w:t>
      </w:r>
      <w:r w:rsidRPr="00383909">
        <w:t>2</w:t>
      </w:r>
      <w:r w:rsidR="00AE3224">
        <w:t xml:space="preserve">, </w:t>
      </w:r>
      <w:r w:rsidR="009C4212">
        <w:t>3</w:t>
      </w:r>
      <w:r w:rsidRPr="00383909">
        <w:t xml:space="preserve"> and </w:t>
      </w:r>
      <w:r w:rsidR="009C4212">
        <w:t>4</w:t>
      </w:r>
      <w:r w:rsidRPr="00383909">
        <w:t>)</w:t>
      </w:r>
      <w:r>
        <w:t>.</w:t>
      </w:r>
      <w:r w:rsidR="00E24BEA">
        <w:t xml:space="preserve"> </w:t>
      </w:r>
      <w:r w:rsidR="00704DBF">
        <w:t>Introduce Table 2 with high-level overview of Act 129 accounting (incremental annual, meter level savings vs. system level savings, weather-normalization of savings estimates, etc.).</w:t>
      </w:r>
      <w:r w:rsidR="00704DBF" w:rsidRPr="00383909">
        <w:t xml:space="preserve"> </w:t>
      </w:r>
    </w:p>
    <w:p w14:paraId="6A65D485" w14:textId="77777777" w:rsidR="00F4236E" w:rsidRPr="00383909" w:rsidRDefault="00F4236E" w:rsidP="00590FDC">
      <w:pPr>
        <w:pStyle w:val="Heading2"/>
      </w:pPr>
      <w:r w:rsidRPr="00383909">
        <w:t>Summary of program implementation schedule</w:t>
      </w:r>
      <w:r>
        <w:t xml:space="preserve"> over </w:t>
      </w:r>
      <w:r w:rsidR="00281E87">
        <w:t>five</w:t>
      </w:r>
      <w:r>
        <w:t>-year plan period</w:t>
      </w:r>
      <w:r w:rsidRPr="00383909">
        <w:t xml:space="preserve"> (see Chart 1 Notes)</w:t>
      </w:r>
      <w:r>
        <w:t>.</w:t>
      </w:r>
    </w:p>
    <w:p w14:paraId="5F96E40E" w14:textId="77777777" w:rsidR="00EF6D44" w:rsidRDefault="00F4236E" w:rsidP="00590FDC">
      <w:pPr>
        <w:pStyle w:val="Heading2"/>
      </w:pPr>
      <w:r>
        <w:t xml:space="preserve">Summary description of the EDC implementation strategy to acquire at least </w:t>
      </w:r>
      <w:r w:rsidR="00012185">
        <w:t>1</w:t>
      </w:r>
      <w:r>
        <w:t>5% of its consumption reduction</w:t>
      </w:r>
      <w:r w:rsidR="00042686">
        <w:t xml:space="preserve"> and peak demand reduction</w:t>
      </w:r>
      <w:r>
        <w:t xml:space="preserve"> target in each program year.</w:t>
      </w:r>
    </w:p>
    <w:p w14:paraId="3AB7E2F3" w14:textId="5EA7FA50" w:rsidR="00F4236E" w:rsidRDefault="00EF6D44" w:rsidP="00EF6D44">
      <w:pPr>
        <w:pStyle w:val="Heading2"/>
      </w:pPr>
      <w:r>
        <w:t xml:space="preserve">Summary description of </w:t>
      </w:r>
      <w:r w:rsidR="009E234C">
        <w:t xml:space="preserve">the </w:t>
      </w:r>
      <w:r w:rsidRPr="00EF6D44">
        <w:t>programs</w:t>
      </w:r>
      <w:r w:rsidR="00E16CB8">
        <w:t xml:space="preserve"> or </w:t>
      </w:r>
      <w:r w:rsidRPr="00EF6D44">
        <w:t>measure categories</w:t>
      </w:r>
      <w:r w:rsidR="00E16CB8">
        <w:t xml:space="preserve"> </w:t>
      </w:r>
      <w:r w:rsidRPr="00EF6D44">
        <w:t xml:space="preserve">from which </w:t>
      </w:r>
      <w:r>
        <w:t>the EDC</w:t>
      </w:r>
      <w:r w:rsidRPr="00EF6D44">
        <w:t xml:space="preserve"> intend</w:t>
      </w:r>
      <w:r>
        <w:t>s</w:t>
      </w:r>
      <w:r w:rsidRPr="00EF6D44">
        <w:t xml:space="preserve"> to nominate </w:t>
      </w:r>
      <w:r>
        <w:t>peak demand reductions (PDR)</w:t>
      </w:r>
      <w:r w:rsidRPr="00EF6D44">
        <w:t xml:space="preserve"> into PJM’s </w:t>
      </w:r>
      <w:r>
        <w:t>Forward Capacity Market (</w:t>
      </w:r>
      <w:r w:rsidRPr="00EF6D44">
        <w:t>FCM</w:t>
      </w:r>
      <w:r>
        <w:t>)</w:t>
      </w:r>
      <w:r w:rsidRPr="00EF6D44">
        <w:t xml:space="preserve"> along with </w:t>
      </w:r>
      <w:r w:rsidR="00203444">
        <w:t xml:space="preserve">a </w:t>
      </w:r>
      <w:r w:rsidRPr="00EF6D44">
        <w:t xml:space="preserve">projected </w:t>
      </w:r>
      <w:r w:rsidR="00203444">
        <w:t xml:space="preserve">range of </w:t>
      </w:r>
      <w:r w:rsidRPr="00EF6D44">
        <w:t>MW totals to be bid by year</w:t>
      </w:r>
      <w:r>
        <w:t>.</w:t>
      </w:r>
    </w:p>
    <w:p w14:paraId="3B8A5367" w14:textId="77777777" w:rsidR="00F4236E" w:rsidRPr="00383909" w:rsidRDefault="00F4236E" w:rsidP="00590FDC">
      <w:pPr>
        <w:pStyle w:val="Heading2"/>
      </w:pPr>
      <w:r w:rsidRPr="00383909">
        <w:t xml:space="preserve">Summary description of the EDC implementation strategy to manage </w:t>
      </w:r>
      <w:r>
        <w:t xml:space="preserve">EE&amp;C portfolios </w:t>
      </w:r>
      <w:r w:rsidRPr="00383909">
        <w:t>and engage customers and trade allies</w:t>
      </w:r>
      <w:r>
        <w:t>.</w:t>
      </w:r>
    </w:p>
    <w:p w14:paraId="44AE6910" w14:textId="77777777" w:rsidR="00F4236E" w:rsidRPr="00383909" w:rsidRDefault="00F4236E" w:rsidP="00590FDC">
      <w:pPr>
        <w:pStyle w:val="Heading2"/>
      </w:pPr>
      <w:r w:rsidRPr="00383909">
        <w:t xml:space="preserve">Summary description of EDC’s data management, quality assurance and evaluation processes; include how </w:t>
      </w:r>
      <w:r>
        <w:t xml:space="preserve">EE&amp;C plan, portfolios, and </w:t>
      </w:r>
      <w:r w:rsidRPr="00383909">
        <w:t>programs will be updated and refined based on evaluation results</w:t>
      </w:r>
      <w:r>
        <w:t>.</w:t>
      </w:r>
    </w:p>
    <w:p w14:paraId="72017210" w14:textId="77777777" w:rsidR="00F4236E" w:rsidRPr="00383909" w:rsidRDefault="00F4236E" w:rsidP="00590FDC">
      <w:pPr>
        <w:pStyle w:val="Heading2"/>
      </w:pPr>
      <w:r w:rsidRPr="00383909">
        <w:lastRenderedPageBreak/>
        <w:t>Summary description of cost recovery mechanism</w:t>
      </w:r>
      <w:r>
        <w:t>.</w:t>
      </w:r>
      <w:r w:rsidR="00313ED0">
        <w:t xml:space="preserve"> </w:t>
      </w:r>
    </w:p>
    <w:p w14:paraId="3C81B531" w14:textId="77777777" w:rsidR="00F4236E" w:rsidRPr="00383909" w:rsidRDefault="00F4236E" w:rsidP="00590FDC">
      <w:pPr>
        <w:pStyle w:val="Heading1"/>
      </w:pPr>
      <w:r w:rsidRPr="00383909">
        <w:t xml:space="preserve">Energy Efficiency </w:t>
      </w:r>
      <w:r>
        <w:t>Portfolio/</w:t>
      </w:r>
      <w:r w:rsidRPr="00383909">
        <w:t>Program Summary Tables and Charts</w:t>
      </w:r>
    </w:p>
    <w:p w14:paraId="5710E97F" w14:textId="77777777" w:rsidR="00F4236E" w:rsidRPr="00383909" w:rsidRDefault="00F4236E" w:rsidP="00F4236E">
      <w:pPr>
        <w:rPr>
          <w:i/>
          <w:color w:val="800000"/>
          <w:sz w:val="22"/>
        </w:rPr>
      </w:pPr>
      <w:r w:rsidRPr="00ED17B4">
        <w:rPr>
          <w:i/>
          <w:color w:val="800000"/>
          <w:sz w:val="22"/>
        </w:rPr>
        <w:t xml:space="preserve">(The objective of this section is to provide a quantitative overview of the entire plan for the </w:t>
      </w:r>
      <w:r w:rsidR="00281E87">
        <w:rPr>
          <w:i/>
          <w:color w:val="800000"/>
          <w:sz w:val="22"/>
        </w:rPr>
        <w:t>five-</w:t>
      </w:r>
      <w:r w:rsidRPr="00ED17B4">
        <w:rPr>
          <w:i/>
          <w:color w:val="800000"/>
          <w:sz w:val="22"/>
        </w:rPr>
        <w:t xml:space="preserve">year period. </w:t>
      </w:r>
      <w:r w:rsidR="005771EF">
        <w:rPr>
          <w:i/>
          <w:color w:val="800000"/>
          <w:sz w:val="22"/>
        </w:rPr>
        <w:t xml:space="preserve"> </w:t>
      </w:r>
      <w:r w:rsidRPr="00ED17B4">
        <w:rPr>
          <w:i/>
          <w:color w:val="800000"/>
          <w:sz w:val="22"/>
        </w:rPr>
        <w:t>The audience will be those who want to see the “numbers”, but not all the details.)</w:t>
      </w:r>
      <w:r w:rsidRPr="00383909">
        <w:rPr>
          <w:i/>
          <w:color w:val="800000"/>
          <w:sz w:val="22"/>
        </w:rPr>
        <w:t xml:space="preserve"> </w:t>
      </w:r>
    </w:p>
    <w:p w14:paraId="3EDA9F07" w14:textId="3D373F03" w:rsidR="00F4236E" w:rsidRPr="00590FDC" w:rsidRDefault="00F4236E" w:rsidP="00590FDC">
      <w:pPr>
        <w:pStyle w:val="Heading2"/>
      </w:pPr>
      <w:r w:rsidRPr="00590FDC">
        <w:t>Residential</w:t>
      </w:r>
      <w:r w:rsidR="00203444">
        <w:t xml:space="preserve"> (exclusive of Low-Income)</w:t>
      </w:r>
      <w:r w:rsidRPr="00590FDC">
        <w:t xml:space="preserve">, </w:t>
      </w:r>
      <w:r w:rsidR="00203444">
        <w:t xml:space="preserve">Residential Low-Income, </w:t>
      </w:r>
      <w:r w:rsidRPr="00590FDC">
        <w:t xml:space="preserve">Commercial/Industrial Small, </w:t>
      </w:r>
      <w:r w:rsidR="00203444">
        <w:t xml:space="preserve">and </w:t>
      </w:r>
      <w:r w:rsidRPr="00590FDC">
        <w:t>Commercial/I</w:t>
      </w:r>
      <w:r w:rsidR="00557257">
        <w:t xml:space="preserve">ndustrial Large </w:t>
      </w:r>
      <w:r w:rsidRPr="00590FDC">
        <w:t xml:space="preserve">Portfolio Summaries (see Table </w:t>
      </w:r>
      <w:r w:rsidR="009C4212">
        <w:t>5</w:t>
      </w:r>
      <w:r w:rsidR="00FF1903">
        <w:t>)</w:t>
      </w:r>
      <w:r w:rsidRPr="00590FDC">
        <w:t>.</w:t>
      </w:r>
      <w:r w:rsidRPr="00EF6D44">
        <w:rPr>
          <w:rStyle w:val="FootnoteReference"/>
        </w:rPr>
        <w:footnoteReference w:id="6"/>
      </w:r>
    </w:p>
    <w:p w14:paraId="6413ACFA" w14:textId="235D93AF" w:rsidR="00F4236E" w:rsidRPr="00590FDC" w:rsidRDefault="00180EAD" w:rsidP="00590FDC">
      <w:pPr>
        <w:pStyle w:val="Heading2"/>
      </w:pPr>
      <w:r>
        <w:t>P</w:t>
      </w:r>
      <w:r w:rsidR="00F4236E" w:rsidRPr="00590FDC">
        <w:t>lan data: Costs, Cost-effectiveness and Savings by program, sector and portfolio (see Tables 1-</w:t>
      </w:r>
      <w:r w:rsidR="009C4212">
        <w:t>5</w:t>
      </w:r>
      <w:r w:rsidR="00F4236E" w:rsidRPr="00590FDC">
        <w:t>.</w:t>
      </w:r>
    </w:p>
    <w:p w14:paraId="61DFE010" w14:textId="35854049" w:rsidR="00F4236E" w:rsidRPr="00590FDC" w:rsidRDefault="00180EAD" w:rsidP="00590FDC">
      <w:pPr>
        <w:pStyle w:val="Heading2"/>
      </w:pPr>
      <w:r>
        <w:t>B</w:t>
      </w:r>
      <w:r w:rsidR="00F4236E" w:rsidRPr="00590FDC">
        <w:t xml:space="preserve">udget and Parity Analysis (see Table </w:t>
      </w:r>
      <w:r w:rsidR="009C4212">
        <w:t>6)</w:t>
      </w:r>
      <w:r w:rsidR="00F4236E" w:rsidRPr="00590FDC">
        <w:t>.</w:t>
      </w:r>
      <w:r w:rsidR="00FC1999">
        <w:t xml:space="preserve"> </w:t>
      </w:r>
      <w:r w:rsidR="005143B0">
        <w:t xml:space="preserve">As discussed in the Phase I Implementation Order, </w:t>
      </w:r>
      <w:r w:rsidR="00561E7C">
        <w:t>EDC total annual revenue is inclusive of collections on behalf of Electric Generation Suppliers</w:t>
      </w:r>
      <w:r w:rsidR="005143B0">
        <w:t>.</w:t>
      </w:r>
      <w:r w:rsidR="005143B0" w:rsidRPr="008E500B">
        <w:rPr>
          <w:rStyle w:val="FootnoteReference"/>
        </w:rPr>
        <w:footnoteReference w:id="7"/>
      </w:r>
      <w:r w:rsidR="005143B0" w:rsidRPr="008E500B">
        <w:t xml:space="preserve"> </w:t>
      </w:r>
      <w:r w:rsidR="005143B0">
        <w:t xml:space="preserve">EDCs should use calendar year 2019 to compute the share of revenue and MWh sales by customer sector. </w:t>
      </w:r>
    </w:p>
    <w:p w14:paraId="64A3BF92" w14:textId="77777777" w:rsidR="00F4236E" w:rsidRDefault="00F4236E" w:rsidP="00590FDC">
      <w:pPr>
        <w:pStyle w:val="Heading1"/>
      </w:pPr>
      <w:r>
        <w:t xml:space="preserve">Program Descriptions </w:t>
      </w:r>
    </w:p>
    <w:p w14:paraId="78F9243E" w14:textId="764B5952" w:rsidR="00F4236E" w:rsidRPr="00166F83" w:rsidRDefault="00F4236E" w:rsidP="00F4236E">
      <w:pPr>
        <w:rPr>
          <w:i/>
          <w:color w:val="800000"/>
          <w:sz w:val="22"/>
        </w:rPr>
      </w:pPr>
      <w:r w:rsidRPr="00221255">
        <w:rPr>
          <w:i/>
          <w:color w:val="800000"/>
          <w:sz w:val="22"/>
        </w:rPr>
        <w:t>(The objective of this section is to provide detailed descriptions of each proposed program and the background on why particular programs were selected and how they form balanced/integrated portfolio</w:t>
      </w:r>
      <w:r>
        <w:rPr>
          <w:i/>
          <w:color w:val="800000"/>
          <w:sz w:val="22"/>
        </w:rPr>
        <w:t>s</w:t>
      </w:r>
      <w:r w:rsidRPr="00221255">
        <w:rPr>
          <w:i/>
          <w:color w:val="800000"/>
          <w:sz w:val="22"/>
        </w:rPr>
        <w:t>.)</w:t>
      </w:r>
      <w:r w:rsidRPr="00383909">
        <w:rPr>
          <w:i/>
          <w:color w:val="800000"/>
          <w:sz w:val="22"/>
        </w:rPr>
        <w:t xml:space="preserve"> </w:t>
      </w:r>
    </w:p>
    <w:p w14:paraId="08F0676C" w14:textId="77777777" w:rsidR="00F4236E" w:rsidRPr="002F6A25" w:rsidRDefault="00F4236E" w:rsidP="00590FDC">
      <w:pPr>
        <w:pStyle w:val="Heading2"/>
      </w:pPr>
      <w:r>
        <w:tab/>
      </w:r>
      <w:r w:rsidRPr="002F6A25">
        <w:t>Discussion of criteria and process used for selection of programs</w:t>
      </w:r>
      <w:r>
        <w:t>:</w:t>
      </w:r>
    </w:p>
    <w:p w14:paraId="09BC4852" w14:textId="77777777" w:rsidR="00F4236E" w:rsidRPr="002F6A25" w:rsidRDefault="00F4236E" w:rsidP="00590FDC">
      <w:pPr>
        <w:pStyle w:val="Heading3"/>
      </w:pPr>
      <w:r>
        <w:t>Describe</w:t>
      </w:r>
      <w:r w:rsidRPr="002F6A25">
        <w:t xml:space="preserve"> portfolio objectives and metrics</w:t>
      </w:r>
      <w:r w:rsidRPr="00393914">
        <w:t xml:space="preserve"> </w:t>
      </w:r>
      <w:r w:rsidRPr="002F6A25">
        <w:t>that define program success (</w:t>
      </w:r>
      <w:r w:rsidRPr="00012185">
        <w:rPr>
          <w:i/>
        </w:rPr>
        <w:t>e.g.,</w:t>
      </w:r>
      <w:r>
        <w:t xml:space="preserve"> </w:t>
      </w:r>
      <w:r w:rsidRPr="002F6A25">
        <w:t>energy and demand savings, customers served, number of units installed)</w:t>
      </w:r>
      <w:r>
        <w:t>.</w:t>
      </w:r>
      <w:r w:rsidRPr="002F6A25">
        <w:t xml:space="preserve"> </w:t>
      </w:r>
    </w:p>
    <w:p w14:paraId="172F1A1A" w14:textId="77777777" w:rsidR="00F4236E" w:rsidRPr="00E36A45" w:rsidRDefault="00F4236E" w:rsidP="00590FDC">
      <w:pPr>
        <w:pStyle w:val="Heading3"/>
      </w:pPr>
      <w:r>
        <w:t>Describe</w:t>
      </w:r>
      <w:r w:rsidRPr="002F6A25">
        <w:t xml:space="preserve"> how programs </w:t>
      </w:r>
      <w:r>
        <w:t>were constructed for each portfolio</w:t>
      </w:r>
      <w:r w:rsidRPr="002F6A25">
        <w:t xml:space="preserve"> to provide market coverage sufficient to reach overall energy and demand savings goals</w:t>
      </w:r>
      <w:r>
        <w:t xml:space="preserve">. </w:t>
      </w:r>
      <w:r w:rsidRPr="00E36A45">
        <w:t xml:space="preserve">Describe analyses </w:t>
      </w:r>
      <w:r>
        <w:t xml:space="preserve">and/or research </w:t>
      </w:r>
      <w:r w:rsidRPr="00E36A45">
        <w:t>that w</w:t>
      </w:r>
      <w:r>
        <w:t>ere p</w:t>
      </w:r>
      <w:r w:rsidRPr="00E36A45">
        <w:t>erformed</w:t>
      </w:r>
      <w:r w:rsidRPr="00393914">
        <w:t xml:space="preserve"> </w:t>
      </w:r>
      <w:r w:rsidRPr="00E36A45">
        <w:t>(</w:t>
      </w:r>
      <w:r w:rsidRPr="00012185">
        <w:rPr>
          <w:i/>
        </w:rPr>
        <w:t>e.g.,</w:t>
      </w:r>
      <w:r w:rsidRPr="00E36A45">
        <w:t xml:space="preserve"> market, best-practices, market modeling)</w:t>
      </w:r>
      <w:r>
        <w:t>.</w:t>
      </w:r>
      <w:r w:rsidRPr="00E36A45">
        <w:t xml:space="preserve"> </w:t>
      </w:r>
    </w:p>
    <w:p w14:paraId="050926A6" w14:textId="77777777" w:rsidR="00F4236E" w:rsidRDefault="00F4236E" w:rsidP="00590FDC">
      <w:pPr>
        <w:pStyle w:val="Heading3"/>
      </w:pPr>
      <w:r>
        <w:lastRenderedPageBreak/>
        <w:t xml:space="preserve">Describe how energy efficiency, </w:t>
      </w:r>
      <w:r w:rsidR="00C30DFD">
        <w:t>combined heat and power</w:t>
      </w:r>
      <w:r>
        <w:t xml:space="preserve">, </w:t>
      </w:r>
      <w:r w:rsidR="00C30DFD">
        <w:t xml:space="preserve">renewables, and </w:t>
      </w:r>
      <w:r>
        <w:t>other measures are included in the portfolio of programs as applicable.</w:t>
      </w:r>
    </w:p>
    <w:p w14:paraId="75DED0B7" w14:textId="5C1E4B4C" w:rsidR="00FC09B9" w:rsidRDefault="00F4236E" w:rsidP="00FC09B9">
      <w:pPr>
        <w:pStyle w:val="Heading3"/>
      </w:pPr>
      <w:r>
        <w:t xml:space="preserve">Describe </w:t>
      </w:r>
      <w:r w:rsidR="00042686">
        <w:t xml:space="preserve">how the EDC defines ‘comprehensive’ in the context of EE&amp;C plan design and delivery and </w:t>
      </w:r>
      <w:r>
        <w:t xml:space="preserve">the comprehensive </w:t>
      </w:r>
      <w:r w:rsidR="00042686">
        <w:t>program(s)</w:t>
      </w:r>
      <w:r>
        <w:t xml:space="preserve"> to be offered to the</w:t>
      </w:r>
      <w:r w:rsidRPr="00000911">
        <w:t xml:space="preserve"> residential and</w:t>
      </w:r>
      <w:r w:rsidR="00921928">
        <w:t xml:space="preserve"> non-residential</w:t>
      </w:r>
      <w:r w:rsidRPr="00000911">
        <w:t xml:space="preserve"> rate classes</w:t>
      </w:r>
      <w:r w:rsidR="008F2D4A">
        <w:t>.</w:t>
      </w:r>
      <w:r w:rsidR="00042686">
        <w:t xml:space="preserve"> Describe the measure mix or delivery mechanism that qualify each program as comprehensive consistent with the requirements of the Phase IV Implementation Order. </w:t>
      </w:r>
    </w:p>
    <w:p w14:paraId="1348F784" w14:textId="77777777" w:rsidR="00FC09B9" w:rsidRPr="00FC09B9" w:rsidRDefault="00FC09B9" w:rsidP="00FC09B9"/>
    <w:p w14:paraId="1AD767B8" w14:textId="29053B54" w:rsidR="00F4236E" w:rsidRDefault="00F4236E" w:rsidP="00590FDC">
      <w:pPr>
        <w:pStyle w:val="Heading2"/>
      </w:pPr>
      <w:r w:rsidRPr="002F6A25">
        <w:t xml:space="preserve">Residential Sector </w:t>
      </w:r>
      <w:r>
        <w:t xml:space="preserve">(as defined by EDC Tariff) </w:t>
      </w:r>
      <w:r w:rsidRPr="002F6A25">
        <w:t>Programs</w:t>
      </w:r>
      <w:r w:rsidR="00BF7B7B">
        <w:t xml:space="preserve"> </w:t>
      </w:r>
      <w:r w:rsidR="00BF7B7B">
        <w:rPr>
          <w:szCs w:val="22"/>
        </w:rPr>
        <w:t>–</w:t>
      </w:r>
      <w:r>
        <w:t xml:space="preserve"> include formatted descriptions </w:t>
      </w:r>
      <w:r w:rsidRPr="006E12B6">
        <w:t>of each program</w:t>
      </w:r>
      <w:r>
        <w:t xml:space="preserve"> organized under the following headings:</w:t>
      </w:r>
    </w:p>
    <w:p w14:paraId="54B2BD3B" w14:textId="77777777" w:rsidR="00F4236E" w:rsidRDefault="00F4236E" w:rsidP="00DA30A2">
      <w:pPr>
        <w:numPr>
          <w:ilvl w:val="0"/>
          <w:numId w:val="3"/>
        </w:numPr>
        <w:ind w:left="1440"/>
        <w:rPr>
          <w:sz w:val="22"/>
        </w:rPr>
      </w:pPr>
      <w:r>
        <w:rPr>
          <w:sz w:val="22"/>
        </w:rPr>
        <w:t>Program Title and Program years during which program will be implemented</w:t>
      </w:r>
      <w:r>
        <w:rPr>
          <w:rStyle w:val="FootnoteReference"/>
          <w:sz w:val="22"/>
        </w:rPr>
        <w:footnoteReference w:id="8"/>
      </w:r>
    </w:p>
    <w:p w14:paraId="681273E5" w14:textId="77777777" w:rsidR="00F4236E" w:rsidRPr="005A4B2C" w:rsidRDefault="00F4236E" w:rsidP="00DA30A2">
      <w:pPr>
        <w:numPr>
          <w:ilvl w:val="0"/>
          <w:numId w:val="3"/>
        </w:numPr>
        <w:ind w:left="1440"/>
        <w:rPr>
          <w:sz w:val="22"/>
        </w:rPr>
      </w:pPr>
      <w:r w:rsidRPr="005A4B2C">
        <w:rPr>
          <w:sz w:val="22"/>
        </w:rPr>
        <w:t>Objective</w:t>
      </w:r>
      <w:r>
        <w:rPr>
          <w:sz w:val="22"/>
        </w:rPr>
        <w:t>(s)</w:t>
      </w:r>
    </w:p>
    <w:p w14:paraId="26F514E0" w14:textId="2BCCD441" w:rsidR="00F4236E" w:rsidRPr="005A4B2C" w:rsidRDefault="00F4236E" w:rsidP="00DA30A2">
      <w:pPr>
        <w:numPr>
          <w:ilvl w:val="0"/>
          <w:numId w:val="3"/>
        </w:numPr>
        <w:ind w:left="1440"/>
        <w:rPr>
          <w:sz w:val="22"/>
        </w:rPr>
      </w:pPr>
      <w:r w:rsidRPr="005A4B2C">
        <w:rPr>
          <w:sz w:val="22"/>
        </w:rPr>
        <w:t>Target market</w:t>
      </w:r>
      <w:r w:rsidR="00830E37">
        <w:rPr>
          <w:sz w:val="22"/>
        </w:rPr>
        <w:t xml:space="preserve"> – including market size </w:t>
      </w:r>
      <w:r w:rsidR="00DB64EF">
        <w:rPr>
          <w:sz w:val="22"/>
        </w:rPr>
        <w:t xml:space="preserve">to help frame participation estimates </w:t>
      </w:r>
      <w:r w:rsidR="00830E37">
        <w:rPr>
          <w:sz w:val="22"/>
        </w:rPr>
        <w:t>(e.g. number of households, electric sales etc</w:t>
      </w:r>
      <w:r w:rsidR="00DC40B2">
        <w:rPr>
          <w:sz w:val="22"/>
        </w:rPr>
        <w:t>.</w:t>
      </w:r>
      <w:r w:rsidR="00830E37">
        <w:rPr>
          <w:sz w:val="22"/>
        </w:rPr>
        <w:t>)</w:t>
      </w:r>
    </w:p>
    <w:p w14:paraId="232E9272" w14:textId="540147D9" w:rsidR="00F4236E" w:rsidRDefault="00F4236E" w:rsidP="00DA30A2">
      <w:pPr>
        <w:numPr>
          <w:ilvl w:val="0"/>
          <w:numId w:val="3"/>
        </w:numPr>
        <w:ind w:left="1440"/>
        <w:rPr>
          <w:sz w:val="22"/>
        </w:rPr>
      </w:pPr>
      <w:r w:rsidRPr="005A4B2C">
        <w:rPr>
          <w:sz w:val="22"/>
        </w:rPr>
        <w:t>Program description</w:t>
      </w:r>
    </w:p>
    <w:p w14:paraId="502E2E04" w14:textId="1C621055" w:rsidR="00FC09B9" w:rsidRPr="005A4B2C" w:rsidRDefault="00FC09B9" w:rsidP="00DA30A2">
      <w:pPr>
        <w:numPr>
          <w:ilvl w:val="0"/>
          <w:numId w:val="3"/>
        </w:numPr>
        <w:ind w:left="1440"/>
        <w:rPr>
          <w:sz w:val="22"/>
        </w:rPr>
      </w:pPr>
      <w:r>
        <w:rPr>
          <w:sz w:val="22"/>
        </w:rPr>
        <w:t xml:space="preserve">If the program is an umbrella program (e.g., a wide-ranging residential program that </w:t>
      </w:r>
      <w:r w:rsidR="000D7012">
        <w:rPr>
          <w:sz w:val="22"/>
        </w:rPr>
        <w:t>includes upstream measures, home energy reports, appliance recycling, kits, efficient product rebates, and new construction</w:t>
      </w:r>
      <w:r w:rsidR="001B3F81">
        <w:rPr>
          <w:sz w:val="22"/>
        </w:rPr>
        <w:t>), list and describe all program sub-</w:t>
      </w:r>
      <w:r>
        <w:rPr>
          <w:sz w:val="22"/>
        </w:rPr>
        <w:t xml:space="preserve">components (or sub-programs, initiatives, solutions, etc.) that make up the program.  Note that EDCs will be required to report </w:t>
      </w:r>
      <w:r w:rsidR="00051F18">
        <w:rPr>
          <w:sz w:val="22"/>
        </w:rPr>
        <w:t xml:space="preserve">impacts and financials </w:t>
      </w:r>
      <w:r>
        <w:rPr>
          <w:sz w:val="22"/>
        </w:rPr>
        <w:t xml:space="preserve">separately </w:t>
      </w:r>
      <w:r w:rsidR="00051F18">
        <w:rPr>
          <w:sz w:val="22"/>
        </w:rPr>
        <w:t>for</w:t>
      </w:r>
      <w:r>
        <w:rPr>
          <w:sz w:val="22"/>
        </w:rPr>
        <w:t xml:space="preserve"> each program </w:t>
      </w:r>
      <w:r w:rsidR="001B3F81">
        <w:rPr>
          <w:sz w:val="22"/>
        </w:rPr>
        <w:t>sub-</w:t>
      </w:r>
      <w:r>
        <w:rPr>
          <w:sz w:val="22"/>
        </w:rPr>
        <w:t xml:space="preserve">component in their </w:t>
      </w:r>
      <w:r w:rsidR="001B3F81">
        <w:rPr>
          <w:sz w:val="22"/>
        </w:rPr>
        <w:t>annual reports.</w:t>
      </w:r>
    </w:p>
    <w:p w14:paraId="4CB4D450" w14:textId="77777777" w:rsidR="00F4236E" w:rsidRPr="005A4B2C" w:rsidRDefault="00F4236E" w:rsidP="00DA30A2">
      <w:pPr>
        <w:numPr>
          <w:ilvl w:val="0"/>
          <w:numId w:val="3"/>
        </w:numPr>
        <w:ind w:left="1440"/>
        <w:rPr>
          <w:sz w:val="22"/>
        </w:rPr>
      </w:pPr>
      <w:r w:rsidRPr="005A4B2C">
        <w:rPr>
          <w:sz w:val="22"/>
        </w:rPr>
        <w:t>Implementation strategy</w:t>
      </w:r>
      <w:r>
        <w:rPr>
          <w:sz w:val="22"/>
        </w:rPr>
        <w:t xml:space="preserve"> (including expected changes that may occur in different program years)</w:t>
      </w:r>
    </w:p>
    <w:p w14:paraId="5041E40B" w14:textId="77777777" w:rsidR="00F4236E" w:rsidRDefault="00F4236E" w:rsidP="00DA30A2">
      <w:pPr>
        <w:numPr>
          <w:ilvl w:val="0"/>
          <w:numId w:val="3"/>
        </w:numPr>
        <w:ind w:left="1440"/>
        <w:rPr>
          <w:sz w:val="22"/>
        </w:rPr>
      </w:pPr>
      <w:r w:rsidRPr="005A4B2C">
        <w:rPr>
          <w:sz w:val="22"/>
        </w:rPr>
        <w:t>Program issues and risks and risk management strategy</w:t>
      </w:r>
    </w:p>
    <w:p w14:paraId="0AD651D1" w14:textId="77777777" w:rsidR="00F4236E" w:rsidRPr="005A4B2C" w:rsidRDefault="00F4236E" w:rsidP="00DA30A2">
      <w:pPr>
        <w:numPr>
          <w:ilvl w:val="0"/>
          <w:numId w:val="3"/>
        </w:numPr>
        <w:ind w:left="1440"/>
        <w:rPr>
          <w:sz w:val="22"/>
        </w:rPr>
      </w:pPr>
      <w:r>
        <w:rPr>
          <w:sz w:val="22"/>
        </w:rPr>
        <w:t>Anticipated costs to participating customers</w:t>
      </w:r>
    </w:p>
    <w:p w14:paraId="5B0D6DE8" w14:textId="77777777" w:rsidR="00F4236E" w:rsidRPr="005A4B2C" w:rsidRDefault="00F4236E" w:rsidP="00DA30A2">
      <w:pPr>
        <w:numPr>
          <w:ilvl w:val="0"/>
          <w:numId w:val="3"/>
        </w:numPr>
        <w:ind w:left="1440"/>
        <w:rPr>
          <w:sz w:val="22"/>
        </w:rPr>
      </w:pPr>
      <w:r w:rsidRPr="005A4B2C">
        <w:rPr>
          <w:sz w:val="22"/>
        </w:rPr>
        <w:t>Ramp up strategy</w:t>
      </w:r>
    </w:p>
    <w:p w14:paraId="2D3E32DA" w14:textId="77777777" w:rsidR="00F4236E" w:rsidRPr="005A4B2C" w:rsidRDefault="00F4236E" w:rsidP="00DA30A2">
      <w:pPr>
        <w:numPr>
          <w:ilvl w:val="0"/>
          <w:numId w:val="3"/>
        </w:numPr>
        <w:ind w:left="1440"/>
        <w:rPr>
          <w:sz w:val="22"/>
        </w:rPr>
      </w:pPr>
      <w:r w:rsidRPr="005A4B2C">
        <w:rPr>
          <w:sz w:val="22"/>
        </w:rPr>
        <w:t>Marketing strategy</w:t>
      </w:r>
    </w:p>
    <w:p w14:paraId="4631994E" w14:textId="5EE5E26B" w:rsidR="00F4236E" w:rsidRDefault="00F4236E" w:rsidP="00DA30A2">
      <w:pPr>
        <w:numPr>
          <w:ilvl w:val="0"/>
          <w:numId w:val="3"/>
        </w:numPr>
        <w:ind w:left="1440"/>
        <w:rPr>
          <w:sz w:val="22"/>
        </w:rPr>
      </w:pPr>
      <w:r w:rsidRPr="005A4B2C">
        <w:rPr>
          <w:sz w:val="22"/>
        </w:rPr>
        <w:t>Eligible measures and incentive strategy</w:t>
      </w:r>
      <w:r>
        <w:rPr>
          <w:sz w:val="22"/>
        </w:rPr>
        <w:t xml:space="preserve"> </w:t>
      </w:r>
      <w:r w:rsidRPr="005A4B2C">
        <w:rPr>
          <w:sz w:val="22"/>
        </w:rPr>
        <w:t xml:space="preserve">showing </w:t>
      </w:r>
      <w:r w:rsidR="009731E4">
        <w:rPr>
          <w:sz w:val="22"/>
        </w:rPr>
        <w:t xml:space="preserve">incremental cost assumptions, gross measure-level TRC ratio, and incentive levels </w:t>
      </w:r>
      <w:r>
        <w:rPr>
          <w:sz w:val="22"/>
        </w:rPr>
        <w:t>(</w:t>
      </w:r>
      <w:r w:rsidRPr="00B32181">
        <w:rPr>
          <w:i/>
          <w:sz w:val="22"/>
        </w:rPr>
        <w:t>e.g.,</w:t>
      </w:r>
      <w:r>
        <w:rPr>
          <w:sz w:val="22"/>
        </w:rPr>
        <w:t xml:space="preserve"> $ per measure, $ per kWh or MW saved)</w:t>
      </w:r>
      <w:r w:rsidR="005F09AC">
        <w:rPr>
          <w:sz w:val="22"/>
        </w:rPr>
        <w:t xml:space="preserve">. </w:t>
      </w:r>
      <w:r w:rsidR="005F09AC" w:rsidRPr="00C42A3B">
        <w:rPr>
          <w:sz w:val="22"/>
        </w:rPr>
        <w:t xml:space="preserve">See Table </w:t>
      </w:r>
      <w:r w:rsidR="009C4212" w:rsidRPr="00C42A3B">
        <w:rPr>
          <w:sz w:val="22"/>
        </w:rPr>
        <w:t>7.</w:t>
      </w:r>
    </w:p>
    <w:p w14:paraId="342BF9DD" w14:textId="7F7E8858" w:rsidR="00D47902" w:rsidRDefault="00D47902" w:rsidP="00DA30A2">
      <w:pPr>
        <w:numPr>
          <w:ilvl w:val="0"/>
          <w:numId w:val="3"/>
        </w:numPr>
        <w:ind w:left="1440"/>
        <w:rPr>
          <w:sz w:val="22"/>
        </w:rPr>
      </w:pPr>
      <w:r>
        <w:rPr>
          <w:sz w:val="22"/>
        </w:rPr>
        <w:t xml:space="preserve">The basis for the proposed level of incentives and the sharing of incremental </w:t>
      </w:r>
      <w:r w:rsidR="002D3A6F">
        <w:rPr>
          <w:sz w:val="22"/>
        </w:rPr>
        <w:t>measure</w:t>
      </w:r>
      <w:r>
        <w:rPr>
          <w:sz w:val="22"/>
        </w:rPr>
        <w:t xml:space="preserve"> costs between participants and the EDC.</w:t>
      </w:r>
    </w:p>
    <w:p w14:paraId="77D32371" w14:textId="77777777" w:rsidR="002C5A82" w:rsidRPr="005A4B2C" w:rsidRDefault="002C5A82" w:rsidP="00FC1999">
      <w:pPr>
        <w:numPr>
          <w:ilvl w:val="0"/>
          <w:numId w:val="3"/>
        </w:numPr>
        <w:ind w:left="1440"/>
        <w:rPr>
          <w:sz w:val="22"/>
        </w:rPr>
      </w:pPr>
      <w:r>
        <w:rPr>
          <w:sz w:val="22"/>
        </w:rPr>
        <w:t>Maximum deadlines for rebates</w:t>
      </w:r>
      <w:r w:rsidR="00C30DFD">
        <w:rPr>
          <w:sz w:val="22"/>
        </w:rPr>
        <w:t xml:space="preserve"> including </w:t>
      </w:r>
      <w:r w:rsidR="00C30DFD" w:rsidRPr="00C30DFD">
        <w:rPr>
          <w:sz w:val="22"/>
        </w:rPr>
        <w:t>clear a</w:t>
      </w:r>
      <w:r w:rsidR="00C30DFD">
        <w:rPr>
          <w:sz w:val="22"/>
        </w:rPr>
        <w:t xml:space="preserve">nd reasonable rationale for the any timeframe longer than 180 days. </w:t>
      </w:r>
    </w:p>
    <w:p w14:paraId="7A03ABA5" w14:textId="77777777" w:rsidR="00F4236E" w:rsidRPr="005A4B2C" w:rsidRDefault="00F4236E" w:rsidP="00DA30A2">
      <w:pPr>
        <w:numPr>
          <w:ilvl w:val="0"/>
          <w:numId w:val="3"/>
        </w:numPr>
        <w:ind w:left="1440"/>
        <w:rPr>
          <w:sz w:val="22"/>
        </w:rPr>
      </w:pPr>
      <w:r w:rsidRPr="005A4B2C">
        <w:rPr>
          <w:sz w:val="22"/>
        </w:rPr>
        <w:t xml:space="preserve">Program start date </w:t>
      </w:r>
      <w:r>
        <w:rPr>
          <w:sz w:val="22"/>
        </w:rPr>
        <w:t xml:space="preserve">with </w:t>
      </w:r>
      <w:r w:rsidRPr="005A4B2C">
        <w:rPr>
          <w:sz w:val="22"/>
        </w:rPr>
        <w:t>key schedule milestones</w:t>
      </w:r>
    </w:p>
    <w:p w14:paraId="79DCD40C" w14:textId="77777777" w:rsidR="00F4236E" w:rsidRPr="005A4B2C" w:rsidRDefault="00F4236E" w:rsidP="00DA30A2">
      <w:pPr>
        <w:numPr>
          <w:ilvl w:val="0"/>
          <w:numId w:val="3"/>
        </w:numPr>
        <w:ind w:left="1440"/>
        <w:rPr>
          <w:sz w:val="22"/>
        </w:rPr>
      </w:pPr>
      <w:r w:rsidRPr="005A4B2C">
        <w:rPr>
          <w:sz w:val="22"/>
        </w:rPr>
        <w:t xml:space="preserve">Assumed </w:t>
      </w:r>
      <w:r>
        <w:rPr>
          <w:sz w:val="22"/>
        </w:rPr>
        <w:t>Evaluation, Measurement, and Verification (EM&amp;V)</w:t>
      </w:r>
      <w:r w:rsidRPr="005A4B2C">
        <w:rPr>
          <w:sz w:val="22"/>
        </w:rPr>
        <w:t xml:space="preserve"> requirements required to document s</w:t>
      </w:r>
      <w:r>
        <w:rPr>
          <w:sz w:val="22"/>
        </w:rPr>
        <w:t>avings by the Commission’s statewide EE&amp;C Plan Evaluator</w:t>
      </w:r>
    </w:p>
    <w:p w14:paraId="27BFBAFC" w14:textId="77777777" w:rsidR="00F4236E" w:rsidRPr="005A4B2C" w:rsidRDefault="00F4236E" w:rsidP="00DA30A2">
      <w:pPr>
        <w:numPr>
          <w:ilvl w:val="0"/>
          <w:numId w:val="3"/>
        </w:numPr>
        <w:ind w:left="1440"/>
        <w:rPr>
          <w:sz w:val="22"/>
        </w:rPr>
      </w:pPr>
      <w:r w:rsidRPr="005A4B2C">
        <w:rPr>
          <w:sz w:val="22"/>
        </w:rPr>
        <w:t>Administrativ</w:t>
      </w:r>
      <w:r>
        <w:rPr>
          <w:sz w:val="22"/>
        </w:rPr>
        <w:t>e requirements – include internal and external</w:t>
      </w:r>
      <w:r w:rsidRPr="005A4B2C">
        <w:rPr>
          <w:sz w:val="22"/>
        </w:rPr>
        <w:t xml:space="preserve"> staffing levels</w:t>
      </w:r>
    </w:p>
    <w:p w14:paraId="01751B4F" w14:textId="1DBED8A0" w:rsidR="005F09AC" w:rsidRPr="00C42A3B" w:rsidRDefault="005F09AC" w:rsidP="005F09AC">
      <w:pPr>
        <w:numPr>
          <w:ilvl w:val="0"/>
          <w:numId w:val="3"/>
        </w:numPr>
        <w:ind w:left="1440"/>
        <w:rPr>
          <w:sz w:val="22"/>
        </w:rPr>
      </w:pPr>
      <w:r>
        <w:rPr>
          <w:sz w:val="22"/>
        </w:rPr>
        <w:t xml:space="preserve">Savings targets </w:t>
      </w:r>
      <w:r w:rsidR="00DA407D">
        <w:rPr>
          <w:sz w:val="22"/>
        </w:rPr>
        <w:t xml:space="preserve">and estimated participation </w:t>
      </w:r>
      <w:r>
        <w:rPr>
          <w:sz w:val="22"/>
        </w:rPr>
        <w:t>– include tables with estimated total MWh/</w:t>
      </w:r>
      <w:proofErr w:type="spellStart"/>
      <w:r>
        <w:rPr>
          <w:sz w:val="22"/>
        </w:rPr>
        <w:t>yr</w:t>
      </w:r>
      <w:proofErr w:type="spellEnd"/>
      <w:r>
        <w:rPr>
          <w:sz w:val="22"/>
        </w:rPr>
        <w:t xml:space="preserve"> and MW goals per year and/or ranges per year and cumulative tables that document key assumptions of </w:t>
      </w:r>
      <w:r w:rsidRPr="00C42A3B">
        <w:rPr>
          <w:sz w:val="22"/>
        </w:rPr>
        <w:t xml:space="preserve">estimated savings ranges per measure </w:t>
      </w:r>
      <w:r w:rsidR="00DA407D" w:rsidRPr="00C42A3B">
        <w:rPr>
          <w:sz w:val="22"/>
        </w:rPr>
        <w:t>as well as estimated participation</w:t>
      </w:r>
      <w:r w:rsidRPr="00C42A3B">
        <w:rPr>
          <w:sz w:val="22"/>
        </w:rPr>
        <w:t xml:space="preserve">. See Table </w:t>
      </w:r>
      <w:r w:rsidR="00C42A3B" w:rsidRPr="00C42A3B">
        <w:rPr>
          <w:sz w:val="22"/>
        </w:rPr>
        <w:t>8.</w:t>
      </w:r>
    </w:p>
    <w:p w14:paraId="04A55D4D" w14:textId="7CA46FB8" w:rsidR="00F4236E" w:rsidRPr="00C42A3B" w:rsidRDefault="00F4236E" w:rsidP="00DA30A2">
      <w:pPr>
        <w:numPr>
          <w:ilvl w:val="0"/>
          <w:numId w:val="3"/>
        </w:numPr>
        <w:ind w:left="1440"/>
        <w:rPr>
          <w:sz w:val="22"/>
        </w:rPr>
      </w:pPr>
      <w:r w:rsidRPr="00C42A3B">
        <w:rPr>
          <w:sz w:val="22"/>
        </w:rPr>
        <w:lastRenderedPageBreak/>
        <w:t>Estimated program budget (total) by year – include table with budget per year</w:t>
      </w:r>
      <w:r w:rsidR="00BA2A49" w:rsidRPr="00C42A3B">
        <w:rPr>
          <w:sz w:val="22"/>
        </w:rPr>
        <w:t>. The table should also show what percentage of the budget goes to incentive costs and what percentage goes to non-incentive costs.</w:t>
      </w:r>
      <w:r w:rsidR="00BA2A49" w:rsidRPr="00C42A3B">
        <w:rPr>
          <w:rStyle w:val="FootnoteReference"/>
          <w:sz w:val="22"/>
        </w:rPr>
        <w:footnoteReference w:id="9"/>
      </w:r>
      <w:r w:rsidR="00BA2A49" w:rsidRPr="00C42A3B">
        <w:rPr>
          <w:sz w:val="22"/>
        </w:rPr>
        <w:t xml:space="preserve"> See Table </w:t>
      </w:r>
      <w:r w:rsidR="00C42A3B" w:rsidRPr="00C42A3B">
        <w:rPr>
          <w:sz w:val="22"/>
        </w:rPr>
        <w:t>9.</w:t>
      </w:r>
    </w:p>
    <w:p w14:paraId="56F8FDE8" w14:textId="0318316F" w:rsidR="00DA30A2" w:rsidRPr="00C42A3B" w:rsidRDefault="00F4236E" w:rsidP="00DA30A2">
      <w:pPr>
        <w:numPr>
          <w:ilvl w:val="0"/>
          <w:numId w:val="3"/>
        </w:numPr>
        <w:ind w:left="1440"/>
        <w:rPr>
          <w:sz w:val="22"/>
        </w:rPr>
      </w:pPr>
      <w:r w:rsidRPr="00C42A3B">
        <w:rPr>
          <w:sz w:val="22"/>
        </w:rPr>
        <w:t xml:space="preserve">Estimated percentage of sector budget attributed to </w:t>
      </w:r>
      <w:r w:rsidR="00B9355B">
        <w:rPr>
          <w:sz w:val="22"/>
        </w:rPr>
        <w:t xml:space="preserve">the </w:t>
      </w:r>
      <w:r w:rsidRPr="00C42A3B">
        <w:rPr>
          <w:sz w:val="22"/>
        </w:rPr>
        <w:t>program</w:t>
      </w:r>
    </w:p>
    <w:p w14:paraId="293195B1" w14:textId="1FE1E718" w:rsidR="00F4236E" w:rsidRDefault="00F4236E" w:rsidP="00DA30A2">
      <w:pPr>
        <w:numPr>
          <w:ilvl w:val="0"/>
          <w:numId w:val="3"/>
        </w:numPr>
        <w:ind w:left="1440"/>
        <w:rPr>
          <w:sz w:val="22"/>
        </w:rPr>
      </w:pPr>
      <w:r>
        <w:rPr>
          <w:sz w:val="22"/>
        </w:rPr>
        <w:t xml:space="preserve">Cost-effectiveness – include </w:t>
      </w:r>
      <w:r w:rsidR="00180EAD">
        <w:rPr>
          <w:sz w:val="22"/>
        </w:rPr>
        <w:t xml:space="preserve">gross and net </w:t>
      </w:r>
      <w:r>
        <w:rPr>
          <w:sz w:val="22"/>
        </w:rPr>
        <w:t>TRC</w:t>
      </w:r>
      <w:r w:rsidR="002C5A82">
        <w:rPr>
          <w:sz w:val="22"/>
        </w:rPr>
        <w:t xml:space="preserve"> and net-to-gross (NTG) ratio</w:t>
      </w:r>
      <w:r w:rsidR="002C5A82">
        <w:rPr>
          <w:rStyle w:val="FootnoteReference"/>
          <w:sz w:val="22"/>
        </w:rPr>
        <w:footnoteReference w:id="10"/>
      </w:r>
      <w:r>
        <w:rPr>
          <w:sz w:val="22"/>
        </w:rPr>
        <w:t xml:space="preserve"> for each program</w:t>
      </w:r>
      <w:r w:rsidR="00180EAD">
        <w:rPr>
          <w:sz w:val="22"/>
        </w:rPr>
        <w:t>. For gross tables, NTG</w:t>
      </w:r>
      <w:r w:rsidR="00B9355B">
        <w:rPr>
          <w:sz w:val="22"/>
        </w:rPr>
        <w:t>R</w:t>
      </w:r>
      <w:r w:rsidR="00180EAD">
        <w:rPr>
          <w:sz w:val="22"/>
        </w:rPr>
        <w:t xml:space="preserve"> should be 1.</w:t>
      </w:r>
      <w:r w:rsidR="00B9355B">
        <w:rPr>
          <w:sz w:val="22"/>
        </w:rPr>
        <w:t xml:space="preserve"> See Table 13.</w:t>
      </w:r>
    </w:p>
    <w:p w14:paraId="6E486ACF" w14:textId="791948BE" w:rsidR="00DB64EF" w:rsidRDefault="00DB64EF" w:rsidP="0029779A">
      <w:pPr>
        <w:numPr>
          <w:ilvl w:val="0"/>
          <w:numId w:val="3"/>
        </w:numPr>
        <w:ind w:left="1440"/>
        <w:rPr>
          <w:sz w:val="22"/>
        </w:rPr>
      </w:pPr>
      <w:r>
        <w:rPr>
          <w:sz w:val="22"/>
        </w:rPr>
        <w:t>Bidding strategy for peak demand reductions into PJM’s FCM</w:t>
      </w:r>
      <w:r w:rsidR="00EA4534">
        <w:rPr>
          <w:sz w:val="22"/>
        </w:rPr>
        <w:t>. Include a</w:t>
      </w:r>
      <w:r w:rsidR="00EA4534" w:rsidRPr="00EA4534">
        <w:rPr>
          <w:sz w:val="22"/>
        </w:rPr>
        <w:t xml:space="preserve"> description of the strategy and approach of offering resources into the PJM capacity market.  </w:t>
      </w:r>
      <w:r w:rsidR="00EA4534">
        <w:rPr>
          <w:sz w:val="22"/>
        </w:rPr>
        <w:t>T</w:t>
      </w:r>
      <w:r w:rsidR="00EA4534" w:rsidRPr="00EA4534">
        <w:rPr>
          <w:sz w:val="22"/>
        </w:rPr>
        <w:t xml:space="preserve">he description should include an estimated </w:t>
      </w:r>
      <w:r w:rsidR="00FC09B9">
        <w:rPr>
          <w:sz w:val="22"/>
        </w:rPr>
        <w:t>range</w:t>
      </w:r>
      <w:r w:rsidR="00FC09B9" w:rsidRPr="00EA4534">
        <w:rPr>
          <w:sz w:val="22"/>
        </w:rPr>
        <w:t xml:space="preserve"> </w:t>
      </w:r>
      <w:r w:rsidR="00EA4534" w:rsidRPr="00EA4534">
        <w:rPr>
          <w:sz w:val="22"/>
        </w:rPr>
        <w:t xml:space="preserve">of MW and a trajectory of that MW total over time.  </w:t>
      </w:r>
    </w:p>
    <w:p w14:paraId="6B367A49" w14:textId="77777777" w:rsidR="005F09AC" w:rsidRPr="005F09AC" w:rsidRDefault="005F09AC" w:rsidP="005F09AC">
      <w:pPr>
        <w:numPr>
          <w:ilvl w:val="0"/>
          <w:numId w:val="3"/>
        </w:numPr>
        <w:ind w:left="1440"/>
        <w:rPr>
          <w:sz w:val="22"/>
        </w:rPr>
      </w:pPr>
      <w:r>
        <w:rPr>
          <w:sz w:val="22"/>
        </w:rPr>
        <w:t>Other information deemed appropriate</w:t>
      </w:r>
    </w:p>
    <w:p w14:paraId="23FE42B9" w14:textId="77777777" w:rsidR="00F4236E" w:rsidRDefault="00F4236E" w:rsidP="00F4236E">
      <w:pPr>
        <w:ind w:left="1170" w:hanging="450"/>
        <w:rPr>
          <w:sz w:val="22"/>
        </w:rPr>
      </w:pPr>
    </w:p>
    <w:p w14:paraId="6C5284F4" w14:textId="4B032DCF" w:rsidR="00F4236E" w:rsidRDefault="00F4236E" w:rsidP="00D31740">
      <w:pPr>
        <w:pStyle w:val="Heading3"/>
      </w:pPr>
      <w:r>
        <w:t xml:space="preserve">Low-Income </w:t>
      </w:r>
      <w:r w:rsidR="00FC09B9">
        <w:t>Sub-</w:t>
      </w:r>
      <w:r>
        <w:t xml:space="preserve">Sector (as defined by </w:t>
      </w:r>
      <w:r w:rsidR="00BF7B7B">
        <w:t xml:space="preserve">66 Pa. C.S. § 2806.1) Programs </w:t>
      </w:r>
      <w:r w:rsidR="00BF7B7B">
        <w:rPr>
          <w:szCs w:val="22"/>
        </w:rPr>
        <w:t>–</w:t>
      </w:r>
      <w:r>
        <w:t xml:space="preserve"> include formatted descriptions </w:t>
      </w:r>
      <w:r w:rsidRPr="002A27B6">
        <w:t>of each program</w:t>
      </w:r>
      <w:r>
        <w:t xml:space="preserve"> organized under the same headings as listed above for residential programs. As well, provide and detail all plans for achieving compliance with the </w:t>
      </w:r>
      <w:r w:rsidR="00E009CB">
        <w:t>June 18</w:t>
      </w:r>
      <w:r w:rsidR="001432F9">
        <w:t xml:space="preserve">, </w:t>
      </w:r>
      <w:r w:rsidR="00C253BE">
        <w:t>2020</w:t>
      </w:r>
      <w:r w:rsidR="001432F9">
        <w:t xml:space="preserve"> </w:t>
      </w:r>
      <w:r>
        <w:t>Implementation Order.</w:t>
      </w:r>
      <w:r w:rsidR="00921928">
        <w:t xml:space="preserve"> </w:t>
      </w:r>
      <w:r w:rsidR="00D31740">
        <w:t xml:space="preserve"> </w:t>
      </w:r>
      <w:r w:rsidR="00B9355B">
        <w:t>Specifically</w:t>
      </w:r>
      <w:r w:rsidR="00D31740">
        <w:t>,</w:t>
      </w:r>
      <w:r w:rsidR="00D31740" w:rsidRPr="00D31740">
        <w:t xml:space="preserve"> provide </w:t>
      </w:r>
      <w:r w:rsidR="00D31740">
        <w:t xml:space="preserve">details on how </w:t>
      </w:r>
      <w:r w:rsidR="00B9355B">
        <w:t xml:space="preserve">the plan will </w:t>
      </w:r>
      <w:r w:rsidR="00D31740">
        <w:t xml:space="preserve">meet the </w:t>
      </w:r>
      <w:r w:rsidR="00D31740" w:rsidRPr="00D31740">
        <w:t xml:space="preserve">proportionate number of measures </w:t>
      </w:r>
      <w:r w:rsidR="00D31740">
        <w:t>requirement. Also i</w:t>
      </w:r>
      <w:r w:rsidR="00921928">
        <w:t>nclude estimates of any applicable low-income carryover savings from Phase II</w:t>
      </w:r>
      <w:r w:rsidR="008A44B5">
        <w:t>I</w:t>
      </w:r>
      <w:r w:rsidR="00921928">
        <w:t xml:space="preserve">, per the </w:t>
      </w:r>
      <w:r w:rsidR="00E009CB">
        <w:t>June 18</w:t>
      </w:r>
      <w:r w:rsidR="00921928">
        <w:t>, 20</w:t>
      </w:r>
      <w:r w:rsidR="00874608">
        <w:t>20</w:t>
      </w:r>
      <w:r w:rsidR="00921928">
        <w:t xml:space="preserve"> Implementation Order.</w:t>
      </w:r>
      <w:r w:rsidR="00921928">
        <w:rPr>
          <w:rStyle w:val="FootnoteReference"/>
        </w:rPr>
        <w:footnoteReference w:id="11"/>
      </w:r>
    </w:p>
    <w:p w14:paraId="47067B41" w14:textId="7C00146F" w:rsidR="00F4236E" w:rsidRDefault="00F4236E" w:rsidP="00590FDC">
      <w:pPr>
        <w:pStyle w:val="Heading2"/>
      </w:pPr>
      <w:r w:rsidRPr="002F6A25">
        <w:t xml:space="preserve">Commercial/Industrial </w:t>
      </w:r>
      <w:r>
        <w:t xml:space="preserve">Small </w:t>
      </w:r>
      <w:r w:rsidRPr="002F6A25">
        <w:t xml:space="preserve">Sector </w:t>
      </w:r>
      <w:r>
        <w:t xml:space="preserve">(as defined by EDC Tariff) </w:t>
      </w:r>
      <w:r w:rsidRPr="002F6A25">
        <w:t xml:space="preserve">Programs </w:t>
      </w:r>
      <w:r w:rsidR="00BF7B7B">
        <w:rPr>
          <w:szCs w:val="22"/>
        </w:rPr>
        <w:t>–</w:t>
      </w:r>
      <w:r>
        <w:t xml:space="preserve"> include formatted descriptions </w:t>
      </w:r>
      <w:r w:rsidRPr="002A27B6">
        <w:t>of each program</w:t>
      </w:r>
      <w:r>
        <w:t xml:space="preserve"> organized under the same headings as listed above for residential programs.</w:t>
      </w:r>
      <w:r w:rsidR="000223F7">
        <w:t xml:space="preserve"> Additionally, include Tables 7, 8,</w:t>
      </w:r>
      <w:r w:rsidR="00B9355B">
        <w:t xml:space="preserve"> </w:t>
      </w:r>
      <w:r w:rsidR="000223F7">
        <w:t>9</w:t>
      </w:r>
      <w:r w:rsidR="00B9355B">
        <w:t>, and 13</w:t>
      </w:r>
      <w:r w:rsidR="000223F7">
        <w:t>.</w:t>
      </w:r>
      <w:r w:rsidR="008F65F3">
        <w:t xml:space="preserve"> </w:t>
      </w:r>
    </w:p>
    <w:p w14:paraId="54C64415" w14:textId="15C8B741" w:rsidR="00B9355B" w:rsidRDefault="00F4236E" w:rsidP="00827E7B">
      <w:pPr>
        <w:pStyle w:val="Heading2"/>
      </w:pPr>
      <w:r>
        <w:t>Commercial/Industrial Large S</w:t>
      </w:r>
      <w:r w:rsidRPr="002F6A25">
        <w:t>ector</w:t>
      </w:r>
      <w:r>
        <w:t xml:space="preserve"> (as defined by EDC Tariff)</w:t>
      </w:r>
      <w:r w:rsidRPr="002F6A25">
        <w:t xml:space="preserve"> Programs </w:t>
      </w:r>
      <w:r w:rsidR="00BF7B7B">
        <w:rPr>
          <w:szCs w:val="22"/>
        </w:rPr>
        <w:t>–</w:t>
      </w:r>
      <w:r>
        <w:t xml:space="preserve"> include formatted descriptions </w:t>
      </w:r>
      <w:r w:rsidRPr="002A27B6">
        <w:t>of each program</w:t>
      </w:r>
      <w:r>
        <w:t xml:space="preserve"> organized under the same headings as listed above for residential programs.</w:t>
      </w:r>
      <w:r w:rsidR="000223F7">
        <w:t xml:space="preserve"> </w:t>
      </w:r>
      <w:r w:rsidR="00B9355B">
        <w:t>Additionally, include Tables 7, 8, 9, and 13.</w:t>
      </w:r>
    </w:p>
    <w:p w14:paraId="1EAB416D" w14:textId="4FB7C310" w:rsidR="00F4236E" w:rsidRPr="00590FDC" w:rsidRDefault="00F4236E" w:rsidP="00827E7B">
      <w:pPr>
        <w:pStyle w:val="Heading2"/>
      </w:pPr>
      <w:r w:rsidRPr="00B9355B">
        <w:rPr>
          <w:szCs w:val="22"/>
        </w:rPr>
        <w:t>Gov</w:t>
      </w:r>
      <w:r w:rsidR="00557257">
        <w:rPr>
          <w:szCs w:val="22"/>
        </w:rPr>
        <w:t>ernment/Nonprofit/Institutional</w:t>
      </w:r>
      <w:r w:rsidRPr="00B9355B">
        <w:rPr>
          <w:szCs w:val="22"/>
        </w:rPr>
        <w:t xml:space="preserve"> Sector </w:t>
      </w:r>
      <w:r>
        <w:t xml:space="preserve">(as defined by 66 Pa. C.S. § 2806.1) </w:t>
      </w:r>
      <w:r w:rsidR="008F65F3">
        <w:rPr>
          <w:szCs w:val="22"/>
        </w:rPr>
        <w:t>–</w:t>
      </w:r>
      <w:r w:rsidRPr="00B9355B">
        <w:rPr>
          <w:szCs w:val="22"/>
        </w:rPr>
        <w:t xml:space="preserve"> </w:t>
      </w:r>
      <w:r w:rsidR="00846539">
        <w:t xml:space="preserve">Qualitatively describe how the </w:t>
      </w:r>
      <w:r w:rsidR="00846539" w:rsidRPr="00B9355B">
        <w:rPr>
          <w:szCs w:val="22"/>
        </w:rPr>
        <w:t>Gov</w:t>
      </w:r>
      <w:r w:rsidR="00846539">
        <w:rPr>
          <w:szCs w:val="22"/>
        </w:rPr>
        <w:t>ernment/Nonprofit/Institutional Sector will be served</w:t>
      </w:r>
      <w:r w:rsidR="00846539">
        <w:t>.</w:t>
      </w:r>
    </w:p>
    <w:p w14:paraId="2AF9BFA0" w14:textId="77777777" w:rsidR="00F4236E" w:rsidRDefault="00F4236E" w:rsidP="00590FDC">
      <w:pPr>
        <w:pStyle w:val="Heading1"/>
      </w:pPr>
      <w:r>
        <w:t>Program Management and Implementation Strategies</w:t>
      </w:r>
    </w:p>
    <w:p w14:paraId="4A392C79" w14:textId="77777777" w:rsidR="00F4236E" w:rsidRPr="00166F83" w:rsidRDefault="00F4236E" w:rsidP="00F4236E">
      <w:pPr>
        <w:rPr>
          <w:i/>
          <w:color w:val="800000"/>
          <w:sz w:val="22"/>
        </w:rPr>
      </w:pPr>
      <w:r>
        <w:rPr>
          <w:i/>
          <w:color w:val="800000"/>
          <w:sz w:val="22"/>
        </w:rPr>
        <w:t>(</w:t>
      </w:r>
      <w:r w:rsidRPr="000A0693">
        <w:rPr>
          <w:i/>
          <w:color w:val="800000"/>
          <w:sz w:val="22"/>
        </w:rPr>
        <w:t>The objective of this section is to provide detailed description of how EDC plans to manage and implement programs, including their approach to and use of Conservation Service Providers (CSPs)</w:t>
      </w:r>
      <w:r>
        <w:rPr>
          <w:i/>
          <w:color w:val="800000"/>
          <w:sz w:val="22"/>
        </w:rPr>
        <w:t>.)</w:t>
      </w:r>
    </w:p>
    <w:p w14:paraId="0E6C0583" w14:textId="77777777" w:rsidR="00F4236E" w:rsidRPr="00F97082" w:rsidRDefault="00F4236E" w:rsidP="00590FDC">
      <w:pPr>
        <w:pStyle w:val="Heading2"/>
      </w:pPr>
      <w:r>
        <w:tab/>
      </w:r>
      <w:r w:rsidRPr="00F97082">
        <w:t>O</w:t>
      </w:r>
      <w:r>
        <w:t>verview of EDC Management and Implementation Strategies:</w:t>
      </w:r>
    </w:p>
    <w:p w14:paraId="611C271D" w14:textId="77777777" w:rsidR="00F4236E" w:rsidRPr="00F97082" w:rsidRDefault="00F4236E" w:rsidP="00590FDC">
      <w:pPr>
        <w:pStyle w:val="Heading3"/>
      </w:pPr>
      <w:r>
        <w:t>Describe</w:t>
      </w:r>
      <w:r w:rsidRPr="00F97082">
        <w:t xml:space="preserve"> the types of services to be provided by EDC</w:t>
      </w:r>
      <w:r>
        <w:t xml:space="preserve"> as well as consultants, trade allies, and </w:t>
      </w:r>
      <w:r w:rsidRPr="00F97082">
        <w:t>CSP</w:t>
      </w:r>
      <w:r>
        <w:t>s</w:t>
      </w:r>
      <w:r w:rsidRPr="00F97082">
        <w:t>. Indicate which organizations will provide which services</w:t>
      </w:r>
      <w:r>
        <w:t xml:space="preserve"> and the </w:t>
      </w:r>
      <w:r>
        <w:lastRenderedPageBreak/>
        <w:t>basis for such allocation</w:t>
      </w:r>
      <w:r w:rsidRPr="00F97082">
        <w:t>. Reference reporting and EM&amp;V information from Sections 5 and 6 below.</w:t>
      </w:r>
      <w:r>
        <w:rPr>
          <w:rStyle w:val="FootnoteReference"/>
        </w:rPr>
        <w:footnoteReference w:id="12"/>
      </w:r>
    </w:p>
    <w:p w14:paraId="10156A0A" w14:textId="77777777" w:rsidR="00F4236E" w:rsidRDefault="00F4236E" w:rsidP="00590FDC">
      <w:pPr>
        <w:pStyle w:val="Heading3"/>
      </w:pPr>
      <w:r>
        <w:t>Describe how the</w:t>
      </w:r>
      <w:r w:rsidRPr="00B31ADF">
        <w:t xml:space="preserve"> risk categories </w:t>
      </w:r>
      <w:r>
        <w:t xml:space="preserve">of performance, technology, market and evaluation </w:t>
      </w:r>
      <w:r w:rsidRPr="00B31ADF">
        <w:t>can affect the programs and any risk management strategies that will be empl</w:t>
      </w:r>
      <w:r>
        <w:t>o</w:t>
      </w:r>
      <w:r w:rsidRPr="00B31ADF">
        <w:t>yed to mitigate those risks</w:t>
      </w:r>
      <w:r>
        <w:t>.</w:t>
      </w:r>
      <w:r>
        <w:rPr>
          <w:rStyle w:val="FootnoteReference"/>
        </w:rPr>
        <w:footnoteReference w:id="13"/>
      </w:r>
      <w:r w:rsidRPr="00B31ADF">
        <w:t xml:space="preserve"> </w:t>
      </w:r>
    </w:p>
    <w:p w14:paraId="2091C7B1" w14:textId="77777777" w:rsidR="00F4236E" w:rsidRDefault="00F4236E" w:rsidP="00590FDC">
      <w:pPr>
        <w:pStyle w:val="Heading3"/>
      </w:pPr>
      <w:r>
        <w:t>Describe how</w:t>
      </w:r>
      <w:r w:rsidRPr="00C47C54">
        <w:t xml:space="preserve"> EDC plan</w:t>
      </w:r>
      <w:r>
        <w:t>s</w:t>
      </w:r>
      <w:r w:rsidRPr="00C47C54">
        <w:t xml:space="preserve"> to address human resource and contractor resource constraints to ensure that adequate personnel and contractors are available to im</w:t>
      </w:r>
      <w:r>
        <w:t>plement the EE&amp;C plan successfully.</w:t>
      </w:r>
    </w:p>
    <w:p w14:paraId="13A6A4C6" w14:textId="77777777" w:rsidR="00F4236E" w:rsidRPr="0003499E" w:rsidRDefault="00F4236E" w:rsidP="00590FDC">
      <w:pPr>
        <w:pStyle w:val="Heading3"/>
      </w:pPr>
      <w:r>
        <w:t>Describe</w:t>
      </w:r>
      <w:r w:rsidRPr="00C47C54">
        <w:t xml:space="preserve"> “early warning systems” </w:t>
      </w:r>
      <w:r>
        <w:t xml:space="preserve">that </w:t>
      </w:r>
      <w:r w:rsidRPr="00C47C54">
        <w:t>will be utilized to indicate progress towards the goals and whether they are likely</w:t>
      </w:r>
      <w:r>
        <w:t xml:space="preserve"> to be met.</w:t>
      </w:r>
      <w:r w:rsidRPr="00C47C54">
        <w:t xml:space="preserve"> </w:t>
      </w:r>
      <w:r>
        <w:t>Describe</w:t>
      </w:r>
      <w:r w:rsidRPr="00C47C54">
        <w:t xml:space="preserve"> E</w:t>
      </w:r>
      <w:r>
        <w:t>D</w:t>
      </w:r>
      <w:r w:rsidRPr="00C47C54">
        <w:t xml:space="preserve">C’s </w:t>
      </w:r>
      <w:r>
        <w:t>approach</w:t>
      </w:r>
      <w:r w:rsidRPr="00C47C54">
        <w:t xml:space="preserve"> and process for shifting goals and funds</w:t>
      </w:r>
      <w:r>
        <w:t>, as needed,</w:t>
      </w:r>
      <w:r w:rsidRPr="00C47C54">
        <w:t xml:space="preserve"> between programs a</w:t>
      </w:r>
      <w:r>
        <w:t>nd adding new measures/programs.</w:t>
      </w:r>
    </w:p>
    <w:p w14:paraId="7B0C00BD" w14:textId="77777777" w:rsidR="00F4236E" w:rsidRDefault="00F4236E" w:rsidP="00590FDC">
      <w:pPr>
        <w:pStyle w:val="Heading3"/>
      </w:pPr>
      <w:r>
        <w:t>Provide i</w:t>
      </w:r>
      <w:r w:rsidRPr="00F97082">
        <w:t>mplementation schedules with milestones</w:t>
      </w:r>
      <w:r>
        <w:t>.</w:t>
      </w:r>
    </w:p>
    <w:p w14:paraId="16855770" w14:textId="49F78BEE" w:rsidR="009564EC" w:rsidRPr="009369D4" w:rsidRDefault="009564EC" w:rsidP="00590FDC">
      <w:pPr>
        <w:pStyle w:val="Heading3"/>
      </w:pPr>
      <w:r>
        <w:t xml:space="preserve">Provide a brief overview of how stakeholders will be engaged throughout Phase </w:t>
      </w:r>
      <w:r w:rsidR="001B5128">
        <w:t>IV</w:t>
      </w:r>
      <w:r>
        <w:t>.</w:t>
      </w:r>
      <w:r w:rsidR="00D47902">
        <w:t xml:space="preserve"> Describe how low-income communities and other marginalized populations will be represented in stakeholder engagement.</w:t>
      </w:r>
    </w:p>
    <w:p w14:paraId="14781212" w14:textId="77777777" w:rsidR="00F4236E" w:rsidRDefault="00F4236E" w:rsidP="00590FDC">
      <w:pPr>
        <w:pStyle w:val="Heading2"/>
      </w:pPr>
      <w:r>
        <w:tab/>
      </w:r>
      <w:r w:rsidRPr="00F97082">
        <w:t>E</w:t>
      </w:r>
      <w:r>
        <w:t>xecutive management structure:</w:t>
      </w:r>
    </w:p>
    <w:p w14:paraId="5D5A00B9" w14:textId="77777777" w:rsidR="00F4236E" w:rsidRDefault="00F4236E" w:rsidP="00590FDC">
      <w:pPr>
        <w:pStyle w:val="Heading3"/>
      </w:pPr>
      <w:r w:rsidRPr="0011169A">
        <w:t>Describe EDC structure for addressing portfolio strategy, planning, review of program metrics, internal and external communications, budgeting and financial management, program implementation, procurement, program trac</w:t>
      </w:r>
      <w:r>
        <w:t>k</w:t>
      </w:r>
      <w:r w:rsidRPr="0011169A">
        <w:t xml:space="preserve">ing and reporting, and </w:t>
      </w:r>
      <w:r>
        <w:t>Quality Assurance/Quality Control (</w:t>
      </w:r>
      <w:r w:rsidRPr="0011169A">
        <w:t>QA/QC</w:t>
      </w:r>
      <w:r>
        <w:t>)</w:t>
      </w:r>
      <w:r w:rsidRPr="0011169A">
        <w:t>.</w:t>
      </w:r>
      <w:r>
        <w:t xml:space="preserve"> </w:t>
      </w:r>
      <w:r w:rsidRPr="0011169A">
        <w:t xml:space="preserve">Include EDC organization chart for management team responsible for implementing </w:t>
      </w:r>
      <w:r>
        <w:t xml:space="preserve">EE&amp;C </w:t>
      </w:r>
      <w:r w:rsidRPr="0011169A">
        <w:t xml:space="preserve">plan. </w:t>
      </w:r>
    </w:p>
    <w:p w14:paraId="60DA9E49" w14:textId="77777777" w:rsidR="00F4236E" w:rsidRDefault="00F4236E" w:rsidP="00590FDC">
      <w:pPr>
        <w:pStyle w:val="Heading3"/>
      </w:pPr>
      <w:r w:rsidRPr="0011169A">
        <w:t xml:space="preserve">Describe approach to overseeing the performance of sub-contractors and implementers of programs and how they </w:t>
      </w:r>
      <w:r>
        <w:t xml:space="preserve">can </w:t>
      </w:r>
      <w:r w:rsidRPr="0011169A">
        <w:t xml:space="preserve">be managed to achieve results, within budget, and ensure </w:t>
      </w:r>
      <w:r>
        <w:t>customer</w:t>
      </w:r>
      <w:r w:rsidRPr="0011169A">
        <w:t xml:space="preserve"> satisfaction.</w:t>
      </w:r>
    </w:p>
    <w:p w14:paraId="3DF731A2" w14:textId="77777777" w:rsidR="00F4236E" w:rsidRPr="0011169A" w:rsidRDefault="00F4236E" w:rsidP="00590FDC">
      <w:pPr>
        <w:pStyle w:val="Heading3"/>
      </w:pPr>
      <w:r>
        <w:t>Describe basis for administrative budget.</w:t>
      </w:r>
    </w:p>
    <w:p w14:paraId="4F37E8E5" w14:textId="77777777" w:rsidR="00F4236E" w:rsidRDefault="00F4236E" w:rsidP="00590FDC">
      <w:pPr>
        <w:pStyle w:val="Heading2"/>
      </w:pPr>
      <w:r>
        <w:tab/>
        <w:t>Conservation Service Providers (</w:t>
      </w:r>
      <w:r w:rsidRPr="000C5435">
        <w:t>CSP</w:t>
      </w:r>
      <w:r>
        <w:t>s):</w:t>
      </w:r>
    </w:p>
    <w:p w14:paraId="2EEE7940" w14:textId="77777777" w:rsidR="00F4236E" w:rsidRDefault="00F4236E" w:rsidP="00590FDC">
      <w:pPr>
        <w:pStyle w:val="Heading3"/>
      </w:pPr>
      <w:r>
        <w:t>L</w:t>
      </w:r>
      <w:r w:rsidRPr="000C5435">
        <w:t>ist any selected CSP</w:t>
      </w:r>
      <w:r>
        <w:t>s, describe their qualifications and basis for selection (include contracts in Appendix).</w:t>
      </w:r>
    </w:p>
    <w:p w14:paraId="0DAE60D9" w14:textId="77777777" w:rsidR="00F4236E" w:rsidRPr="00611E6F" w:rsidRDefault="00F4236E" w:rsidP="00590FDC">
      <w:pPr>
        <w:pStyle w:val="Heading3"/>
      </w:pPr>
      <w:r w:rsidRPr="000C5435">
        <w:rPr>
          <w:szCs w:val="26"/>
        </w:rPr>
        <w:lastRenderedPageBreak/>
        <w:t>Describe the work and measures being performed by CSP</w:t>
      </w:r>
      <w:r>
        <w:rPr>
          <w:szCs w:val="26"/>
        </w:rPr>
        <w:t>s.</w:t>
      </w:r>
      <w:r w:rsidRPr="000C5435">
        <w:rPr>
          <w:szCs w:val="26"/>
        </w:rPr>
        <w:t xml:space="preserve"> </w:t>
      </w:r>
    </w:p>
    <w:p w14:paraId="75C61B14" w14:textId="77777777" w:rsidR="00F4236E" w:rsidRPr="009369D4" w:rsidRDefault="00F4236E" w:rsidP="00590FDC">
      <w:pPr>
        <w:pStyle w:val="Heading3"/>
      </w:pPr>
      <w:r>
        <w:rPr>
          <w:szCs w:val="26"/>
        </w:rPr>
        <w:t>Describe any pending RFPs to be issued for additional CSPs.</w:t>
      </w:r>
    </w:p>
    <w:p w14:paraId="4C09BB96" w14:textId="77777777" w:rsidR="00F4236E" w:rsidRPr="00B32181" w:rsidRDefault="00F4236E" w:rsidP="00590FDC">
      <w:pPr>
        <w:pStyle w:val="Heading1"/>
      </w:pPr>
      <w:r w:rsidRPr="00B32181">
        <w:t>Reporting and Tracking Systems</w:t>
      </w:r>
      <w:r w:rsidRPr="00B32181">
        <w:rPr>
          <w:rStyle w:val="FootnoteReference"/>
          <w:sz w:val="22"/>
          <w:szCs w:val="22"/>
        </w:rPr>
        <w:footnoteReference w:id="14"/>
      </w:r>
      <w:r w:rsidRPr="00B32181">
        <w:t xml:space="preserve"> </w:t>
      </w:r>
    </w:p>
    <w:p w14:paraId="2C6E43EF" w14:textId="23F55B87" w:rsidR="00F4236E" w:rsidRPr="00E11491" w:rsidRDefault="00F4236E" w:rsidP="00F4236E">
      <w:pPr>
        <w:rPr>
          <w:i/>
          <w:color w:val="800000"/>
          <w:sz w:val="22"/>
        </w:rPr>
      </w:pPr>
      <w:r w:rsidRPr="003F0283">
        <w:rPr>
          <w:i/>
          <w:color w:val="800000"/>
          <w:sz w:val="22"/>
        </w:rPr>
        <w:t>(</w:t>
      </w:r>
      <w:r w:rsidR="005C2F28">
        <w:rPr>
          <w:i/>
          <w:color w:val="800000"/>
          <w:sz w:val="22"/>
        </w:rPr>
        <w:t>The o</w:t>
      </w:r>
      <w:r w:rsidRPr="003F0283">
        <w:rPr>
          <w:i/>
          <w:color w:val="800000"/>
          <w:sz w:val="22"/>
        </w:rPr>
        <w:t xml:space="preserve">bjective of this section is to provide </w:t>
      </w:r>
      <w:r w:rsidR="005C2F28">
        <w:rPr>
          <w:i/>
          <w:color w:val="800000"/>
          <w:sz w:val="22"/>
        </w:rPr>
        <w:t xml:space="preserve">a </w:t>
      </w:r>
      <w:r w:rsidRPr="003F0283">
        <w:rPr>
          <w:i/>
          <w:color w:val="800000"/>
          <w:sz w:val="22"/>
        </w:rPr>
        <w:t xml:space="preserve">detailed description of reporting and the critical data management and tracking systems that EDCs need in order to implement programs and which Commission, and its </w:t>
      </w:r>
      <w:r>
        <w:rPr>
          <w:i/>
          <w:color w:val="800000"/>
          <w:sz w:val="22"/>
        </w:rPr>
        <w:t>statewide EE&amp;C Plan Evaluator</w:t>
      </w:r>
      <w:r w:rsidRPr="003F0283">
        <w:rPr>
          <w:i/>
          <w:color w:val="800000"/>
          <w:sz w:val="22"/>
        </w:rPr>
        <w:t>, need to access.)</w:t>
      </w:r>
      <w:r>
        <w:rPr>
          <w:i/>
          <w:color w:val="800000"/>
          <w:sz w:val="22"/>
        </w:rPr>
        <w:t xml:space="preserve"> </w:t>
      </w:r>
    </w:p>
    <w:p w14:paraId="1D30E485" w14:textId="77777777" w:rsidR="00F4236E" w:rsidRPr="00EB6A08" w:rsidRDefault="00F4236E" w:rsidP="00590FDC">
      <w:pPr>
        <w:pStyle w:val="Heading2"/>
      </w:pPr>
      <w:r w:rsidRPr="00EB6A08">
        <w:t xml:space="preserve">Indicate that the EDC will provide </w:t>
      </w:r>
      <w:r w:rsidR="007E1121">
        <w:t xml:space="preserve">semiannual </w:t>
      </w:r>
      <w:r w:rsidRPr="00EB6A08">
        <w:t>and annual reports as prescribed in the</w:t>
      </w:r>
      <w:r w:rsidR="001432F9">
        <w:t xml:space="preserve"> </w:t>
      </w:r>
      <w:r w:rsidR="00E009CB">
        <w:t>June 18</w:t>
      </w:r>
      <w:r w:rsidR="001432F9">
        <w:t>, 20</w:t>
      </w:r>
      <w:r w:rsidR="00425E94">
        <w:t>20</w:t>
      </w:r>
      <w:r w:rsidR="001432F9">
        <w:t xml:space="preserve"> </w:t>
      </w:r>
      <w:r w:rsidRPr="00EB6A08">
        <w:t>Implementation Order.</w:t>
      </w:r>
    </w:p>
    <w:p w14:paraId="77BB7ABC" w14:textId="77777777" w:rsidR="00F4236E" w:rsidRPr="00E1325A" w:rsidRDefault="00F4236E" w:rsidP="00590FDC">
      <w:pPr>
        <w:pStyle w:val="Heading2"/>
      </w:pPr>
      <w:r>
        <w:tab/>
      </w:r>
      <w:r w:rsidRPr="00E1325A">
        <w:t>Project Management Tracking Systems</w:t>
      </w:r>
      <w:r>
        <w:t>:</w:t>
      </w:r>
    </w:p>
    <w:p w14:paraId="6E6075E1" w14:textId="77777777" w:rsidR="00F4236E" w:rsidRPr="00E1325A" w:rsidRDefault="00F4236E" w:rsidP="00590FDC">
      <w:pPr>
        <w:pStyle w:val="Heading3"/>
      </w:pPr>
      <w:r w:rsidRPr="00E1325A">
        <w:t>Provide brief overview of the data tracking system for managing and reporting measure, project, program and portfolio activities, status and performance as well as EDC and CSP performance and expenditures.</w:t>
      </w:r>
    </w:p>
    <w:p w14:paraId="5B6396FC" w14:textId="16F6F581" w:rsidR="00010B1D" w:rsidRDefault="00F4236E" w:rsidP="00010B1D">
      <w:pPr>
        <w:pStyle w:val="Heading3"/>
      </w:pPr>
      <w:r w:rsidRPr="00E1325A">
        <w:t>Describe the software format, data exchange format</w:t>
      </w:r>
      <w:r>
        <w:t>,</w:t>
      </w:r>
      <w:r w:rsidRPr="00E1325A">
        <w:t xml:space="preserve"> an</w:t>
      </w:r>
      <w:r>
        <w:t>d database structure you will</w:t>
      </w:r>
      <w:r w:rsidRPr="00E1325A">
        <w:t xml:space="preserve"> use for tracking participant and savings data. Provide examples of data fields captured.  </w:t>
      </w:r>
    </w:p>
    <w:p w14:paraId="5D8E9672" w14:textId="7729D184" w:rsidR="00010B1D" w:rsidRDefault="00010B1D" w:rsidP="00010B1D">
      <w:pPr>
        <w:pStyle w:val="Heading3"/>
      </w:pPr>
      <w:r w:rsidRPr="00E1325A">
        <w:t xml:space="preserve">Describe </w:t>
      </w:r>
      <w:r>
        <w:t>how CSPs will integrate with the tracking system and the procedures to ensure the upload and exchange of data from CSPs to the EDCs is sound.</w:t>
      </w:r>
    </w:p>
    <w:p w14:paraId="14DACE07" w14:textId="60317C79" w:rsidR="00F4236E" w:rsidRDefault="00B42D74" w:rsidP="00590FDC">
      <w:pPr>
        <w:pStyle w:val="Heading3"/>
      </w:pPr>
      <w:r>
        <w:t>Indicate that the EDC will fulfill all quarterly and annual data requests issued by the Commission and its statewide evaluator. Describe the level of</w:t>
      </w:r>
      <w:r w:rsidR="00F4236E" w:rsidRPr="00E1325A">
        <w:t xml:space="preserve"> access and mechanism for access for Commission and statewide </w:t>
      </w:r>
      <w:r w:rsidR="00DB64EF">
        <w:t>evaluator</w:t>
      </w:r>
      <w:r>
        <w:t>.</w:t>
      </w:r>
    </w:p>
    <w:p w14:paraId="1406BFA8" w14:textId="77777777" w:rsidR="00F4236E" w:rsidRPr="00E11491" w:rsidRDefault="00F4236E" w:rsidP="00590FDC">
      <w:pPr>
        <w:pStyle w:val="Heading1"/>
      </w:pPr>
      <w:r w:rsidRPr="00E11491">
        <w:t>Quality Assurance and Evaluation, Measurement and Verification</w:t>
      </w:r>
    </w:p>
    <w:p w14:paraId="61F35377" w14:textId="1305FACC" w:rsidR="00F4236E" w:rsidRPr="00E11491" w:rsidRDefault="00F4236E" w:rsidP="00F4236E">
      <w:pPr>
        <w:rPr>
          <w:i/>
          <w:color w:val="800000"/>
          <w:sz w:val="22"/>
        </w:rPr>
      </w:pPr>
      <w:r w:rsidRPr="00D62E33">
        <w:rPr>
          <w:i/>
          <w:color w:val="800000"/>
          <w:sz w:val="22"/>
        </w:rPr>
        <w:t>(</w:t>
      </w:r>
      <w:r w:rsidR="00B42D74">
        <w:rPr>
          <w:i/>
          <w:color w:val="800000"/>
          <w:sz w:val="22"/>
        </w:rPr>
        <w:t>The o</w:t>
      </w:r>
      <w:r w:rsidRPr="00D62E33">
        <w:rPr>
          <w:i/>
          <w:color w:val="800000"/>
          <w:sz w:val="22"/>
        </w:rPr>
        <w:t>bjective of this section is to provide detailed description of how the EDC’s quality assurance/quality control, verification and internal evaluation process will be conducted and how this will integrate with the statewide evaluation activities)</w:t>
      </w:r>
    </w:p>
    <w:p w14:paraId="4ED5E85A" w14:textId="77777777" w:rsidR="00F4236E" w:rsidRPr="00E11491" w:rsidRDefault="00F4236E" w:rsidP="00590FDC">
      <w:pPr>
        <w:pStyle w:val="Heading2"/>
      </w:pPr>
      <w:r>
        <w:tab/>
      </w:r>
      <w:r w:rsidRPr="00E11491">
        <w:t>Quality Assurance/Quality Control</w:t>
      </w:r>
      <w:r>
        <w:t>:</w:t>
      </w:r>
    </w:p>
    <w:p w14:paraId="7F3FA2A7" w14:textId="77777777" w:rsidR="00F4236E" w:rsidRDefault="00F4236E" w:rsidP="00590FDC">
      <w:pPr>
        <w:pStyle w:val="Heading3"/>
      </w:pPr>
      <w:r>
        <w:t>Describe overall approach to quality assurance and quality control.</w:t>
      </w:r>
    </w:p>
    <w:p w14:paraId="474FD854" w14:textId="77777777" w:rsidR="00F4236E" w:rsidRDefault="00F4236E" w:rsidP="00590FDC">
      <w:pPr>
        <w:pStyle w:val="Heading3"/>
      </w:pPr>
      <w:r>
        <w:t>Describe procedures for measure and p</w:t>
      </w:r>
      <w:r w:rsidRPr="00E11491">
        <w:t>roject installation verification</w:t>
      </w:r>
      <w:r>
        <w:t>, quality assurance and control, and savings documentation.</w:t>
      </w:r>
    </w:p>
    <w:p w14:paraId="5D2AEB80" w14:textId="77777777" w:rsidR="00F4236E" w:rsidRPr="00E11491" w:rsidRDefault="00F4236E" w:rsidP="00590FDC">
      <w:pPr>
        <w:pStyle w:val="Heading3"/>
      </w:pPr>
      <w:r>
        <w:t>Describe process for collecting and addressing participating customer, contractor and trade ally feedback (</w:t>
      </w:r>
      <w:r w:rsidRPr="00B32181">
        <w:rPr>
          <w:i/>
        </w:rPr>
        <w:t>e.g.,</w:t>
      </w:r>
      <w:r>
        <w:t xml:space="preserve"> suggestions and complaints).</w:t>
      </w:r>
    </w:p>
    <w:p w14:paraId="5299774C" w14:textId="77777777" w:rsidR="00F4236E" w:rsidRDefault="00F4236E" w:rsidP="00590FDC">
      <w:pPr>
        <w:pStyle w:val="Heading3"/>
      </w:pPr>
      <w:r>
        <w:t xml:space="preserve">Describe any planned market and process evaluations and how </w:t>
      </w:r>
      <w:r w:rsidRPr="00E11491">
        <w:t xml:space="preserve">results </w:t>
      </w:r>
      <w:r>
        <w:t xml:space="preserve">will be used </w:t>
      </w:r>
      <w:r w:rsidRPr="00E11491">
        <w:t>to improve programs</w:t>
      </w:r>
      <w:r>
        <w:t>.</w:t>
      </w:r>
      <w:r w:rsidRPr="00F5230A">
        <w:t xml:space="preserve"> </w:t>
      </w:r>
    </w:p>
    <w:p w14:paraId="64828ABB" w14:textId="7F5720CD" w:rsidR="00F4236E" w:rsidRPr="004A07B8" w:rsidRDefault="00F4236E" w:rsidP="00590FDC">
      <w:pPr>
        <w:pStyle w:val="Heading3"/>
      </w:pPr>
      <w:r>
        <w:t>Describe strategy for c</w:t>
      </w:r>
      <w:r w:rsidRPr="00E11491">
        <w:t xml:space="preserve">oordinating with </w:t>
      </w:r>
      <w:r>
        <w:t xml:space="preserve">the </w:t>
      </w:r>
      <w:r w:rsidR="00FF0687">
        <w:t xml:space="preserve">EM&amp;V contractor and </w:t>
      </w:r>
      <w:r>
        <w:t xml:space="preserve">statewide </w:t>
      </w:r>
      <w:r w:rsidR="00FF0687">
        <w:t xml:space="preserve">evaluator. </w:t>
      </w:r>
    </w:p>
    <w:p w14:paraId="7F1105E4" w14:textId="67353331" w:rsidR="00F4236E" w:rsidRDefault="006A2E18" w:rsidP="00590FDC">
      <w:pPr>
        <w:pStyle w:val="Heading1"/>
      </w:pPr>
      <w:r>
        <w:lastRenderedPageBreak/>
        <w:t xml:space="preserve">Cost </w:t>
      </w:r>
      <w:r w:rsidR="00F4236E" w:rsidRPr="00336CA3">
        <w:t>Recovery Mechanism</w:t>
      </w:r>
    </w:p>
    <w:p w14:paraId="4B1BF37D" w14:textId="15CED1D5" w:rsidR="00F4236E" w:rsidRPr="00FE1F3E" w:rsidRDefault="00F4236E" w:rsidP="00F4236E">
      <w:pPr>
        <w:rPr>
          <w:i/>
          <w:color w:val="800000"/>
          <w:sz w:val="22"/>
        </w:rPr>
      </w:pPr>
      <w:r w:rsidRPr="00D62E33">
        <w:rPr>
          <w:i/>
          <w:color w:val="800000"/>
          <w:sz w:val="22"/>
        </w:rPr>
        <w:t>(</w:t>
      </w:r>
      <w:r w:rsidR="00FF0687">
        <w:rPr>
          <w:i/>
          <w:color w:val="800000"/>
          <w:sz w:val="22"/>
        </w:rPr>
        <w:t>The o</w:t>
      </w:r>
      <w:r w:rsidRPr="00D62E33">
        <w:rPr>
          <w:i/>
          <w:color w:val="800000"/>
          <w:sz w:val="22"/>
        </w:rPr>
        <w:t>bjective of this section is to provide detailed description</w:t>
      </w:r>
      <w:r w:rsidR="00FF0687">
        <w:rPr>
          <w:i/>
          <w:color w:val="800000"/>
          <w:sz w:val="22"/>
        </w:rPr>
        <w:t>s</w:t>
      </w:r>
      <w:r w:rsidRPr="00D62E33">
        <w:rPr>
          <w:i/>
          <w:color w:val="800000"/>
          <w:sz w:val="22"/>
        </w:rPr>
        <w:t xml:space="preserve"> and estimated values for cost recovery mechanism.)</w:t>
      </w:r>
    </w:p>
    <w:p w14:paraId="0A58DF66" w14:textId="158F5DBB" w:rsidR="00F4236E" w:rsidRDefault="00F4236E" w:rsidP="00590FDC">
      <w:pPr>
        <w:pStyle w:val="Heading2"/>
      </w:pPr>
      <w:r>
        <w:t>Provide the amount of total annual revenues as of December 31, 2006 and provide a calculation of the total allowable EE&amp;C costs based on 2% of that annual revenue amount.</w:t>
      </w:r>
    </w:p>
    <w:p w14:paraId="0E7F0F7E" w14:textId="30DDF68B" w:rsidR="00F4236E" w:rsidRPr="004A07B8" w:rsidRDefault="00F4236E" w:rsidP="00590FDC">
      <w:pPr>
        <w:pStyle w:val="Heading2"/>
      </w:pPr>
      <w:r w:rsidRPr="004A07B8">
        <w:t>Descript</w:t>
      </w:r>
      <w:r>
        <w:t>ion of plan in accordance with 66 Pa. C.S. §§ 1307 and 2806.1</w:t>
      </w:r>
      <w:r w:rsidRPr="004A07B8">
        <w:t xml:space="preserve"> to fund the energy efficiency and conservation measures, to include administrative costs.</w:t>
      </w:r>
    </w:p>
    <w:p w14:paraId="3B821A88" w14:textId="746F2D67" w:rsidR="00F4236E" w:rsidRDefault="00F4236E" w:rsidP="00590FDC">
      <w:pPr>
        <w:pStyle w:val="Heading2"/>
      </w:pPr>
      <w:r>
        <w:t xml:space="preserve">Provide data tables (see Tables </w:t>
      </w:r>
      <w:r w:rsidR="000223F7">
        <w:t>10</w:t>
      </w:r>
      <w:r>
        <w:t xml:space="preserve">, </w:t>
      </w:r>
      <w:r w:rsidR="00CB6D70">
        <w:t>11</w:t>
      </w:r>
      <w:r>
        <w:t xml:space="preserve">, and </w:t>
      </w:r>
      <w:r w:rsidR="00CB6D70">
        <w:t>12</w:t>
      </w:r>
      <w:r>
        <w:t>).</w:t>
      </w:r>
    </w:p>
    <w:p w14:paraId="0940B15F" w14:textId="682DC34C" w:rsidR="00F4236E" w:rsidRPr="004A07B8" w:rsidRDefault="00F4236E" w:rsidP="00590FDC">
      <w:pPr>
        <w:pStyle w:val="Heading2"/>
      </w:pPr>
      <w:r w:rsidRPr="004A07B8">
        <w:rPr>
          <w:szCs w:val="26"/>
        </w:rPr>
        <w:t>Provide and describe tariffs and a Section 1307 cost recovery mechanism</w:t>
      </w:r>
      <w:r w:rsidR="008151B9">
        <w:rPr>
          <w:szCs w:val="26"/>
        </w:rPr>
        <w:t xml:space="preserve">, pursuant to the requirements of the </w:t>
      </w:r>
      <w:r w:rsidR="00E009CB">
        <w:rPr>
          <w:szCs w:val="26"/>
        </w:rPr>
        <w:t>June 18</w:t>
      </w:r>
      <w:r w:rsidR="008151B9">
        <w:rPr>
          <w:szCs w:val="26"/>
        </w:rPr>
        <w:t>, 20</w:t>
      </w:r>
      <w:r w:rsidR="00425E94">
        <w:rPr>
          <w:szCs w:val="26"/>
        </w:rPr>
        <w:t>20</w:t>
      </w:r>
      <w:r w:rsidR="008151B9">
        <w:rPr>
          <w:szCs w:val="26"/>
        </w:rPr>
        <w:t xml:space="preserve"> Implementation Order at </w:t>
      </w:r>
      <w:r w:rsidR="00287D9A">
        <w:rPr>
          <w:szCs w:val="26"/>
        </w:rPr>
        <w:t>141</w:t>
      </w:r>
      <w:r w:rsidR="008151B9">
        <w:rPr>
          <w:szCs w:val="26"/>
        </w:rPr>
        <w:t>,</w:t>
      </w:r>
      <w:r>
        <w:rPr>
          <w:szCs w:val="26"/>
        </w:rPr>
        <w:t xml:space="preserve"> that will be specific to Phase </w:t>
      </w:r>
      <w:r w:rsidR="001B5128">
        <w:rPr>
          <w:szCs w:val="26"/>
        </w:rPr>
        <w:t>IV</w:t>
      </w:r>
      <w:r>
        <w:rPr>
          <w:szCs w:val="26"/>
        </w:rPr>
        <w:t xml:space="preserve"> Program costs</w:t>
      </w:r>
      <w:r w:rsidR="008151B9" w:rsidRPr="008151B9">
        <w:rPr>
          <w:szCs w:val="26"/>
        </w:rPr>
        <w:t>.</w:t>
      </w:r>
      <w:r>
        <w:rPr>
          <w:szCs w:val="26"/>
        </w:rPr>
        <w:t xml:space="preserve"> Provide all calculations and supporting cost documentation.</w:t>
      </w:r>
    </w:p>
    <w:p w14:paraId="11E13473" w14:textId="22FE167B" w:rsidR="00F4236E" w:rsidRDefault="00F4236E" w:rsidP="00590FDC">
      <w:pPr>
        <w:pStyle w:val="Heading2"/>
      </w:pPr>
      <w:r w:rsidRPr="004A07B8">
        <w:t xml:space="preserve">Describe how the cost recovery mechanism will ensure that measures approved are </w:t>
      </w:r>
      <w:r>
        <w:t xml:space="preserve">financed by </w:t>
      </w:r>
      <w:r w:rsidRPr="004A07B8">
        <w:t>the same customer class that will receive the direct energy and conservation benefits.</w:t>
      </w:r>
    </w:p>
    <w:p w14:paraId="07A5D654" w14:textId="462EC349" w:rsidR="00F4236E" w:rsidRDefault="00F4236E" w:rsidP="00590FDC">
      <w:pPr>
        <w:pStyle w:val="Heading2"/>
      </w:pPr>
      <w:r>
        <w:t xml:space="preserve">Describe how Phase </w:t>
      </w:r>
      <w:r w:rsidR="001B5128">
        <w:t>IV</w:t>
      </w:r>
      <w:r>
        <w:t xml:space="preserve"> costs will be accounted for separate</w:t>
      </w:r>
      <w:r w:rsidR="00EF7818">
        <w:t>ly</w:t>
      </w:r>
      <w:r>
        <w:t xml:space="preserve"> from </w:t>
      </w:r>
      <w:r w:rsidR="00117235">
        <w:t>costs incurred in prior phases</w:t>
      </w:r>
      <w:r>
        <w:t>.</w:t>
      </w:r>
    </w:p>
    <w:p w14:paraId="001C10FD" w14:textId="192C9AC4" w:rsidR="00DB64EF" w:rsidRDefault="00DB64EF" w:rsidP="00DB64EF">
      <w:pPr>
        <w:pStyle w:val="Heading2"/>
      </w:pPr>
      <w:r>
        <w:t>Describe how proceeds from PJM FCM participation will be incorporated into the cost recovery mechanism.</w:t>
      </w:r>
    </w:p>
    <w:p w14:paraId="6ABAE283" w14:textId="77777777" w:rsidR="00F4236E" w:rsidRDefault="00F4236E" w:rsidP="00590FDC">
      <w:pPr>
        <w:pStyle w:val="Heading1"/>
      </w:pPr>
      <w:r>
        <w:t>Cost Effectiveness</w:t>
      </w:r>
    </w:p>
    <w:p w14:paraId="1E90AAF0" w14:textId="382E518C" w:rsidR="00F4236E" w:rsidRPr="00FE1F3E" w:rsidRDefault="00F4236E" w:rsidP="00F4236E">
      <w:pPr>
        <w:rPr>
          <w:i/>
          <w:color w:val="800000"/>
          <w:sz w:val="22"/>
        </w:rPr>
      </w:pPr>
      <w:r w:rsidRPr="00383909">
        <w:rPr>
          <w:i/>
          <w:color w:val="800000"/>
          <w:sz w:val="22"/>
        </w:rPr>
        <w:t xml:space="preserve"> </w:t>
      </w:r>
      <w:r w:rsidRPr="003867CE">
        <w:rPr>
          <w:i/>
          <w:color w:val="800000"/>
          <w:sz w:val="22"/>
        </w:rPr>
        <w:t>(</w:t>
      </w:r>
      <w:r w:rsidR="00FF0687">
        <w:rPr>
          <w:i/>
          <w:color w:val="800000"/>
          <w:sz w:val="22"/>
        </w:rPr>
        <w:t>The o</w:t>
      </w:r>
      <w:r w:rsidRPr="003867CE">
        <w:rPr>
          <w:i/>
          <w:color w:val="800000"/>
          <w:sz w:val="22"/>
        </w:rPr>
        <w:t xml:space="preserve">bjective of this section is to provide </w:t>
      </w:r>
      <w:r w:rsidR="00FF0687">
        <w:rPr>
          <w:i/>
          <w:color w:val="800000"/>
          <w:sz w:val="22"/>
        </w:rPr>
        <w:t xml:space="preserve">a </w:t>
      </w:r>
      <w:r w:rsidRPr="003867CE">
        <w:rPr>
          <w:i/>
          <w:color w:val="800000"/>
          <w:sz w:val="22"/>
        </w:rPr>
        <w:t>detailed description of the cost-effectiveness criteria and analyses.  It can refer to appendices with program data</w:t>
      </w:r>
      <w:r>
        <w:rPr>
          <w:i/>
          <w:color w:val="800000"/>
          <w:sz w:val="22"/>
        </w:rPr>
        <w:t xml:space="preserve">.) </w:t>
      </w:r>
    </w:p>
    <w:p w14:paraId="2EFA6985" w14:textId="77777777" w:rsidR="004E6B4F" w:rsidRDefault="004E6B4F" w:rsidP="00590FDC">
      <w:pPr>
        <w:pStyle w:val="Heading2"/>
      </w:pPr>
      <w:r>
        <w:t>Provide in table format the values contained in the Outputs tab of the Avoided Cost Calculator.</w:t>
      </w:r>
      <w:r>
        <w:rPr>
          <w:rStyle w:val="FootnoteReference"/>
        </w:rPr>
        <w:footnoteReference w:id="15"/>
      </w:r>
      <w:r>
        <w:t xml:space="preserve"> </w:t>
      </w:r>
      <w:r w:rsidR="00972E6F">
        <w:t xml:space="preserve">Additionally, a completed copy of the Avoided Cost Calculator should be </w:t>
      </w:r>
      <w:r w:rsidR="00C05484">
        <w:t>provided with the filing</w:t>
      </w:r>
      <w:r w:rsidR="00972E6F">
        <w:t xml:space="preserve">.  </w:t>
      </w:r>
      <w:r>
        <w:t xml:space="preserve">Discuss any sensitivities or key considerations associated with the forecast of avoided costs. </w:t>
      </w:r>
    </w:p>
    <w:p w14:paraId="57AECCDC" w14:textId="77777777" w:rsidR="001429CE" w:rsidRDefault="001429CE" w:rsidP="00590FDC">
      <w:pPr>
        <w:pStyle w:val="Heading2"/>
      </w:pPr>
      <w:r>
        <w:t>Confirm use of a 3% real discount rate (5% nominal discount rate) called for in the 2021 TRC Order.</w:t>
      </w:r>
      <w:r>
        <w:rPr>
          <w:rStyle w:val="FootnoteReference"/>
        </w:rPr>
        <w:footnoteReference w:id="16"/>
      </w:r>
      <w:r>
        <w:t xml:space="preserve"> </w:t>
      </w:r>
    </w:p>
    <w:p w14:paraId="67F600F1" w14:textId="77777777" w:rsidR="00F4236E" w:rsidRDefault="00F4236E" w:rsidP="00590FDC">
      <w:pPr>
        <w:pStyle w:val="Heading2"/>
      </w:pPr>
      <w:r w:rsidRPr="004A07B8">
        <w:t>Explain a</w:t>
      </w:r>
      <w:r>
        <w:t xml:space="preserve">nd demonstrate how the proposed plan will be cost </w:t>
      </w:r>
      <w:r w:rsidRPr="004A07B8">
        <w:t xml:space="preserve">effective </w:t>
      </w:r>
      <w:r>
        <w:t>a</w:t>
      </w:r>
      <w:r w:rsidRPr="004A07B8">
        <w:t>s defined by the Total Resource Cost Test</w:t>
      </w:r>
      <w:r>
        <w:t xml:space="preserve"> (TRC)</w:t>
      </w:r>
      <w:r w:rsidRPr="004A07B8">
        <w:t xml:space="preserve"> </w:t>
      </w:r>
      <w:r>
        <w:t>specified by the Commission.</w:t>
      </w:r>
      <w:r w:rsidR="009564EC">
        <w:rPr>
          <w:rStyle w:val="FootnoteReference"/>
        </w:rPr>
        <w:footnoteReference w:id="17"/>
      </w:r>
    </w:p>
    <w:p w14:paraId="638F0267" w14:textId="5981E4F4" w:rsidR="00F4236E" w:rsidRPr="001429CE" w:rsidRDefault="00F4236E" w:rsidP="001429CE">
      <w:pPr>
        <w:pStyle w:val="Heading2"/>
      </w:pPr>
      <w:r>
        <w:t xml:space="preserve">Provide </w:t>
      </w:r>
      <w:r w:rsidR="00FF0687">
        <w:t xml:space="preserve">TRC </w:t>
      </w:r>
      <w:r>
        <w:t>data</w:t>
      </w:r>
      <w:r w:rsidR="00FF0687">
        <w:t xml:space="preserve"> tables </w:t>
      </w:r>
      <w:r w:rsidR="004E6B4F">
        <w:t xml:space="preserve">on a gross and net TRC basis. </w:t>
      </w:r>
      <w:r w:rsidR="00FF0687">
        <w:t>See Table 13.</w:t>
      </w:r>
    </w:p>
    <w:p w14:paraId="005C15FE" w14:textId="77777777" w:rsidR="00F4236E" w:rsidRPr="00BB093B" w:rsidRDefault="00F4236E" w:rsidP="00590FDC">
      <w:pPr>
        <w:pStyle w:val="Heading1"/>
        <w:rPr>
          <w:sz w:val="22"/>
        </w:rPr>
      </w:pPr>
      <w:r w:rsidRPr="00FE1F3E">
        <w:t>P</w:t>
      </w:r>
      <w:r>
        <w:t>lan Compliance Information and O</w:t>
      </w:r>
      <w:r w:rsidRPr="00FE1F3E">
        <w:t>ther Key Issues</w:t>
      </w:r>
    </w:p>
    <w:p w14:paraId="67C46C51" w14:textId="34DEFDC8" w:rsidR="00F4236E" w:rsidRPr="00FE1F3E" w:rsidRDefault="00F4236E" w:rsidP="00F4236E">
      <w:pPr>
        <w:rPr>
          <w:i/>
          <w:color w:val="800000"/>
          <w:sz w:val="22"/>
        </w:rPr>
      </w:pPr>
      <w:r w:rsidRPr="003867CE">
        <w:rPr>
          <w:i/>
          <w:color w:val="800000"/>
          <w:sz w:val="22"/>
        </w:rPr>
        <w:t>(</w:t>
      </w:r>
      <w:r w:rsidR="00FF0687">
        <w:rPr>
          <w:i/>
          <w:color w:val="800000"/>
          <w:sz w:val="22"/>
        </w:rPr>
        <w:t>The o</w:t>
      </w:r>
      <w:r w:rsidRPr="003867CE">
        <w:rPr>
          <w:i/>
          <w:color w:val="800000"/>
          <w:sz w:val="22"/>
        </w:rPr>
        <w:t xml:space="preserve">bjective of this section is to have specific areas in EE&amp;C plan where </w:t>
      </w:r>
      <w:r>
        <w:rPr>
          <w:i/>
          <w:color w:val="800000"/>
          <w:sz w:val="22"/>
        </w:rPr>
        <w:t>the Commission can review miscellaneous compliance items required in l</w:t>
      </w:r>
      <w:r w:rsidRPr="003867CE">
        <w:rPr>
          <w:i/>
          <w:color w:val="800000"/>
          <w:sz w:val="22"/>
        </w:rPr>
        <w:t>egislation and address key issues in EE&amp;C</w:t>
      </w:r>
      <w:r>
        <w:rPr>
          <w:i/>
          <w:color w:val="800000"/>
          <w:sz w:val="22"/>
        </w:rPr>
        <w:t xml:space="preserve"> plan</w:t>
      </w:r>
      <w:r w:rsidRPr="003867CE">
        <w:rPr>
          <w:i/>
          <w:color w:val="800000"/>
          <w:sz w:val="22"/>
        </w:rPr>
        <w:t>, portfolio</w:t>
      </w:r>
      <w:r>
        <w:rPr>
          <w:i/>
          <w:color w:val="800000"/>
          <w:sz w:val="22"/>
        </w:rPr>
        <w:t>,</w:t>
      </w:r>
      <w:r w:rsidRPr="003867CE">
        <w:rPr>
          <w:i/>
          <w:color w:val="800000"/>
          <w:sz w:val="22"/>
        </w:rPr>
        <w:t xml:space="preserve"> and program design</w:t>
      </w:r>
      <w:r>
        <w:rPr>
          <w:i/>
          <w:color w:val="800000"/>
          <w:sz w:val="22"/>
        </w:rPr>
        <w:t>.</w:t>
      </w:r>
      <w:r w:rsidRPr="003867CE">
        <w:rPr>
          <w:i/>
          <w:color w:val="800000"/>
          <w:sz w:val="22"/>
        </w:rPr>
        <w:t>)</w:t>
      </w:r>
      <w:r>
        <w:rPr>
          <w:i/>
          <w:color w:val="800000"/>
          <w:sz w:val="22"/>
        </w:rPr>
        <w:t xml:space="preserve"> </w:t>
      </w:r>
    </w:p>
    <w:p w14:paraId="757C3E5C" w14:textId="77777777" w:rsidR="00F4236E" w:rsidRPr="00C47C54" w:rsidRDefault="00F4236E" w:rsidP="00590FDC">
      <w:pPr>
        <w:pStyle w:val="Heading2"/>
      </w:pPr>
      <w:r>
        <w:lastRenderedPageBreak/>
        <w:tab/>
      </w:r>
      <w:r w:rsidRPr="00FE1F3E">
        <w:t>Plan Compliance Issues</w:t>
      </w:r>
      <w:r>
        <w:t>.</w:t>
      </w:r>
      <w:r>
        <w:rPr>
          <w:rStyle w:val="FootnoteReference"/>
        </w:rPr>
        <w:footnoteReference w:id="18"/>
      </w:r>
    </w:p>
    <w:p w14:paraId="3A713CF8" w14:textId="77777777" w:rsidR="00F4236E" w:rsidRPr="00C47C54" w:rsidRDefault="00F4236E" w:rsidP="00590FDC">
      <w:pPr>
        <w:pStyle w:val="Heading3"/>
      </w:pPr>
      <w:r w:rsidRPr="00C47C54">
        <w:t xml:space="preserve">Describe how </w:t>
      </w:r>
      <w:r>
        <w:t xml:space="preserve">the </w:t>
      </w:r>
      <w:r w:rsidRPr="00C47C54">
        <w:t xml:space="preserve">plan provides a </w:t>
      </w:r>
      <w:r w:rsidR="00B4176A">
        <w:t>variety of energy efficiency and</w:t>
      </w:r>
      <w:r w:rsidRPr="00C47C54">
        <w:t xml:space="preserve"> conservation measures and will provide the measures equitab</w:t>
      </w:r>
      <w:r>
        <w:t xml:space="preserve">ly to all classes of customers in accordance with the </w:t>
      </w:r>
      <w:r w:rsidR="00E009CB">
        <w:t>June 18</w:t>
      </w:r>
      <w:r w:rsidR="001432F9">
        <w:t>, 20</w:t>
      </w:r>
      <w:r w:rsidR="00425E94">
        <w:t>20</w:t>
      </w:r>
      <w:r w:rsidR="001432F9">
        <w:t xml:space="preserve"> </w:t>
      </w:r>
      <w:r>
        <w:t>Implementation Order.</w:t>
      </w:r>
    </w:p>
    <w:p w14:paraId="253CBF27" w14:textId="070E1268" w:rsidR="00F4236E" w:rsidRDefault="00F4236E" w:rsidP="00590FDC">
      <w:pPr>
        <w:pStyle w:val="Heading3"/>
      </w:pPr>
      <w:r w:rsidRPr="00C47C54">
        <w:t xml:space="preserve">Provide </w:t>
      </w:r>
      <w:r w:rsidR="00FF0687">
        <w:t xml:space="preserve">a </w:t>
      </w:r>
      <w:r w:rsidRPr="00C47C54">
        <w:t xml:space="preserve">statement delineating the manner in which the </w:t>
      </w:r>
      <w:r>
        <w:t xml:space="preserve">EE&amp;C </w:t>
      </w:r>
      <w:r w:rsidRPr="00C47C54">
        <w:t xml:space="preserve">plan will achieve the requirements of the program </w:t>
      </w:r>
      <w:r>
        <w:t xml:space="preserve">under 66 Pa. C.S. §§ </w:t>
      </w:r>
      <w:r w:rsidR="00B4176A">
        <w:t>2806.1(c)</w:t>
      </w:r>
      <w:r w:rsidR="00117235">
        <w:t xml:space="preserve"> &amp; (d)</w:t>
      </w:r>
      <w:r w:rsidR="00B4176A">
        <w:t>.</w:t>
      </w:r>
    </w:p>
    <w:p w14:paraId="267DF278" w14:textId="5F938686" w:rsidR="00F4236E" w:rsidRDefault="00F4236E" w:rsidP="00590FDC">
      <w:pPr>
        <w:pStyle w:val="Heading3"/>
      </w:pPr>
      <w:r w:rsidRPr="00C47C54">
        <w:t xml:space="preserve">Provide </w:t>
      </w:r>
      <w:r w:rsidR="00FF0687">
        <w:t xml:space="preserve">a </w:t>
      </w:r>
      <w:r w:rsidRPr="00C47C54">
        <w:t xml:space="preserve">statement delineating the manner in which the </w:t>
      </w:r>
      <w:r>
        <w:t xml:space="preserve">EE&amp;C </w:t>
      </w:r>
      <w:r w:rsidRPr="00C47C54">
        <w:t xml:space="preserve">plan will achieve the </w:t>
      </w:r>
      <w:r>
        <w:t xml:space="preserve">Low-Income </w:t>
      </w:r>
      <w:r w:rsidRPr="00C47C54">
        <w:t xml:space="preserve">requirements </w:t>
      </w:r>
      <w:r>
        <w:t xml:space="preserve">prescribed in the </w:t>
      </w:r>
      <w:r w:rsidR="00E009CB">
        <w:t>June 18</w:t>
      </w:r>
      <w:r w:rsidR="001432F9">
        <w:t xml:space="preserve">, </w:t>
      </w:r>
      <w:r w:rsidR="00C253BE">
        <w:t>2020</w:t>
      </w:r>
      <w:r w:rsidR="001432F9">
        <w:t xml:space="preserve"> </w:t>
      </w:r>
      <w:r>
        <w:t>Implementation Order.</w:t>
      </w:r>
      <w:r w:rsidR="004010A5">
        <w:t xml:space="preserve"> Additionally, describe </w:t>
      </w:r>
      <w:r w:rsidR="002D3A6F">
        <w:t>any</w:t>
      </w:r>
      <w:r w:rsidR="004010A5">
        <w:t xml:space="preserve"> EDC plans to harmonize Act 129 </w:t>
      </w:r>
      <w:r w:rsidR="002D3A6F">
        <w:t xml:space="preserve">program delivery </w:t>
      </w:r>
      <w:r w:rsidR="004010A5">
        <w:t>with Low Income Usage Reduction Programs and other external energy efficiency, conservation, and healthy housing programs (such as the Weatherization Assistance Program)</w:t>
      </w:r>
      <w:r w:rsidR="002D3A6F">
        <w:t>.</w:t>
      </w:r>
    </w:p>
    <w:p w14:paraId="48CB9B04" w14:textId="7D701686" w:rsidR="00F4236E" w:rsidRDefault="00F4236E" w:rsidP="00590FDC">
      <w:pPr>
        <w:pStyle w:val="Heading3"/>
      </w:pPr>
      <w:r>
        <w:t xml:space="preserve">Describe how </w:t>
      </w:r>
      <w:r w:rsidR="00FF0687">
        <w:t xml:space="preserve">the </w:t>
      </w:r>
      <w:r>
        <w:t>EDC</w:t>
      </w:r>
      <w:r w:rsidRPr="00C47C54">
        <w:t xml:space="preserve"> will ensure that no more than </w:t>
      </w:r>
      <w:r>
        <w:t>two percent</w:t>
      </w:r>
      <w:r w:rsidRPr="00C47C54">
        <w:t xml:space="preserve"> of funds available to </w:t>
      </w:r>
      <w:r>
        <w:t>implement the</w:t>
      </w:r>
      <w:r w:rsidRPr="00C47C54">
        <w:t xml:space="preserve"> plan shall be allocated for experimental equipment or devices.</w:t>
      </w:r>
    </w:p>
    <w:p w14:paraId="4606D5D9" w14:textId="77777777" w:rsidR="00F4236E" w:rsidRDefault="00F4236E" w:rsidP="00590FDC">
      <w:pPr>
        <w:pStyle w:val="Heading3"/>
      </w:pPr>
      <w:r>
        <w:t>Describe how the plan will be competitively neutral to all distribution customers even if they are receiving supply from an EGS.</w:t>
      </w:r>
      <w:r w:rsidR="001429CE">
        <w:t xml:space="preserve">  </w:t>
      </w:r>
    </w:p>
    <w:p w14:paraId="0F46C72B" w14:textId="77777777" w:rsidR="00F4236E" w:rsidRPr="00C47C54" w:rsidRDefault="00F4236E" w:rsidP="00F4236E">
      <w:pPr>
        <w:pStyle w:val="ListParagraph"/>
        <w:ind w:left="0"/>
        <w:contextualSpacing w:val="0"/>
        <w:rPr>
          <w:sz w:val="22"/>
        </w:rPr>
      </w:pPr>
    </w:p>
    <w:p w14:paraId="29536E3A" w14:textId="77777777" w:rsidR="00F4236E" w:rsidRPr="00D63886" w:rsidRDefault="00F4236E" w:rsidP="00590FDC">
      <w:pPr>
        <w:pStyle w:val="Heading2"/>
      </w:pPr>
      <w:r>
        <w:tab/>
        <w:t>Other Key Issues:</w:t>
      </w:r>
    </w:p>
    <w:p w14:paraId="00B863FE" w14:textId="77777777" w:rsidR="00F4236E" w:rsidRPr="00C47C54" w:rsidRDefault="00F4236E" w:rsidP="00590FDC">
      <w:pPr>
        <w:pStyle w:val="Heading3"/>
      </w:pPr>
      <w:r>
        <w:t xml:space="preserve">Describe how </w:t>
      </w:r>
      <w:r w:rsidRPr="00C47C54">
        <w:t xml:space="preserve">this </w:t>
      </w:r>
      <w:r>
        <w:t xml:space="preserve">EE&amp;C </w:t>
      </w:r>
      <w:r w:rsidRPr="00C47C54">
        <w:t>plan</w:t>
      </w:r>
      <w:r>
        <w:t xml:space="preserve"> will</w:t>
      </w:r>
      <w:r w:rsidRPr="00C47C54">
        <w:t xml:space="preserve"> lead to long-term</w:t>
      </w:r>
      <w:r>
        <w:t>,</w:t>
      </w:r>
      <w:r w:rsidRPr="00C47C54">
        <w:t xml:space="preserve"> sustainable energy efficiency savings in the EDC’s service territory and</w:t>
      </w:r>
      <w:r>
        <w:t xml:space="preserve"> in</w:t>
      </w:r>
      <w:r w:rsidRPr="00C47C54">
        <w:t xml:space="preserve"> Pennsylvania</w:t>
      </w:r>
      <w:r>
        <w:t>.</w:t>
      </w:r>
    </w:p>
    <w:p w14:paraId="3CE0AE3D" w14:textId="77777777" w:rsidR="00F4236E" w:rsidRPr="00C47C54" w:rsidRDefault="00F4236E" w:rsidP="00590FDC">
      <w:pPr>
        <w:pStyle w:val="Heading3"/>
      </w:pPr>
      <w:r>
        <w:t>Describe how</w:t>
      </w:r>
      <w:r w:rsidRPr="00C47C54">
        <w:t xml:space="preserve"> this </w:t>
      </w:r>
      <w:r>
        <w:t xml:space="preserve">EE&amp;C </w:t>
      </w:r>
      <w:r w:rsidRPr="00C47C54">
        <w:t>plan</w:t>
      </w:r>
      <w:r>
        <w:t xml:space="preserve"> will</w:t>
      </w:r>
      <w:r w:rsidRPr="00C47C54">
        <w:t xml:space="preserve"> leverage and utilize other financial resources, including funds from other public and private sector energy effic</w:t>
      </w:r>
      <w:r>
        <w:t>iency and solar energy programs.</w:t>
      </w:r>
    </w:p>
    <w:p w14:paraId="12891F06" w14:textId="77777777" w:rsidR="00F4236E" w:rsidRDefault="00F4236E" w:rsidP="00590FDC">
      <w:pPr>
        <w:pStyle w:val="Heading3"/>
      </w:pPr>
      <w:r>
        <w:t>Describe how</w:t>
      </w:r>
      <w:r w:rsidRPr="00C47C54">
        <w:t xml:space="preserve"> the EDC</w:t>
      </w:r>
      <w:r>
        <w:t xml:space="preserve"> will address </w:t>
      </w:r>
      <w:r w:rsidRPr="00BB093B">
        <w:t xml:space="preserve">consumer education </w:t>
      </w:r>
      <w:r>
        <w:t>for its programs.</w:t>
      </w:r>
    </w:p>
    <w:p w14:paraId="3177E559" w14:textId="77777777" w:rsidR="00F4236E" w:rsidRPr="00BB093B" w:rsidRDefault="00F4236E" w:rsidP="00590FDC">
      <w:pPr>
        <w:pStyle w:val="Heading3"/>
      </w:pPr>
      <w:r>
        <w:t>Indicate that the EDC will provide a list of all eligible federal and state funding programs available to ratepayers for energy efficiency and conservation.</w:t>
      </w:r>
    </w:p>
    <w:p w14:paraId="5FA65BB3" w14:textId="77777777" w:rsidR="00F4236E" w:rsidRPr="00C47C54" w:rsidRDefault="00F4236E" w:rsidP="00590FDC">
      <w:pPr>
        <w:pStyle w:val="Heading3"/>
      </w:pPr>
      <w:r>
        <w:t xml:space="preserve">Describe how the EDC will provide </w:t>
      </w:r>
      <w:r w:rsidRPr="00C47C54">
        <w:t>the public with informat</w:t>
      </w:r>
      <w:r>
        <w:t xml:space="preserve">ion about the results from the </w:t>
      </w:r>
      <w:r w:rsidRPr="00C47C54">
        <w:t>programs</w:t>
      </w:r>
      <w:r>
        <w:t>.</w:t>
      </w:r>
    </w:p>
    <w:p w14:paraId="0C18D01A" w14:textId="77777777" w:rsidR="00F4236E" w:rsidRDefault="00F4236E" w:rsidP="00590FDC">
      <w:pPr>
        <w:pStyle w:val="Heading1"/>
      </w:pPr>
      <w:r>
        <w:br w:type="page"/>
      </w:r>
      <w:r w:rsidRPr="0003499E">
        <w:lastRenderedPageBreak/>
        <w:t xml:space="preserve">Appendices </w:t>
      </w:r>
    </w:p>
    <w:p w14:paraId="66D8A2A8" w14:textId="77777777" w:rsidR="00F4236E" w:rsidRPr="0003499E" w:rsidRDefault="00F4236E" w:rsidP="00F37D0F">
      <w:pPr>
        <w:pStyle w:val="ListParagraph"/>
        <w:numPr>
          <w:ilvl w:val="0"/>
          <w:numId w:val="7"/>
        </w:numPr>
        <w:spacing w:after="200"/>
        <w:ind w:left="900" w:hanging="540"/>
        <w:contextualSpacing w:val="0"/>
        <w:rPr>
          <w:sz w:val="22"/>
        </w:rPr>
      </w:pPr>
      <w:r>
        <w:rPr>
          <w:sz w:val="22"/>
        </w:rPr>
        <w:tab/>
        <w:t>A</w:t>
      </w:r>
      <w:r w:rsidRPr="0003499E">
        <w:rPr>
          <w:sz w:val="22"/>
        </w:rPr>
        <w:t>pproved CSP contract(s)</w:t>
      </w:r>
      <w:r>
        <w:rPr>
          <w:sz w:val="22"/>
        </w:rPr>
        <w:t>.</w:t>
      </w:r>
    </w:p>
    <w:p w14:paraId="1FE4EDAF" w14:textId="090F7A41" w:rsidR="00F4236E" w:rsidRPr="0003499E" w:rsidRDefault="00F4236E" w:rsidP="00F37D0F">
      <w:pPr>
        <w:pStyle w:val="ListParagraph"/>
        <w:numPr>
          <w:ilvl w:val="0"/>
          <w:numId w:val="7"/>
        </w:numPr>
        <w:spacing w:after="200"/>
        <w:ind w:left="900" w:hanging="540"/>
        <w:contextualSpacing w:val="0"/>
        <w:rPr>
          <w:sz w:val="22"/>
        </w:rPr>
      </w:pPr>
      <w:r>
        <w:rPr>
          <w:sz w:val="22"/>
        </w:rPr>
        <w:t xml:space="preserve"> </w:t>
      </w:r>
      <w:r>
        <w:rPr>
          <w:sz w:val="22"/>
        </w:rPr>
        <w:tab/>
      </w:r>
      <w:r w:rsidRPr="0003499E">
        <w:rPr>
          <w:sz w:val="22"/>
        </w:rPr>
        <w:t xml:space="preserve">Program by program </w:t>
      </w:r>
      <w:r w:rsidR="00A14352">
        <w:rPr>
          <w:sz w:val="22"/>
        </w:rPr>
        <w:t>projections of</w:t>
      </w:r>
      <w:r w:rsidRPr="0003499E">
        <w:rPr>
          <w:sz w:val="22"/>
        </w:rPr>
        <w:t xml:space="preserve"> costs </w:t>
      </w:r>
      <w:r w:rsidR="009E6053">
        <w:rPr>
          <w:sz w:val="22"/>
        </w:rPr>
        <w:t>and acquisition cost ($/MWh and $/</w:t>
      </w:r>
      <w:r w:rsidR="003957FF">
        <w:rPr>
          <w:sz w:val="22"/>
        </w:rPr>
        <w:t>MW</w:t>
      </w:r>
      <w:r w:rsidR="00AB0601">
        <w:rPr>
          <w:sz w:val="22"/>
        </w:rPr>
        <w:t>)</w:t>
      </w:r>
      <w:r w:rsidR="003957FF">
        <w:rPr>
          <w:sz w:val="22"/>
        </w:rPr>
        <w:t xml:space="preserve"> for each program and sector</w:t>
      </w:r>
      <w:r w:rsidRPr="0003499E">
        <w:rPr>
          <w:sz w:val="22"/>
        </w:rPr>
        <w:t xml:space="preserve">.  Cost data should </w:t>
      </w:r>
      <w:r w:rsidR="009E6053">
        <w:rPr>
          <w:sz w:val="22"/>
        </w:rPr>
        <w:t>clearly separate incentive cost for non-incentive cost. S</w:t>
      </w:r>
      <w:r>
        <w:rPr>
          <w:sz w:val="22"/>
        </w:rPr>
        <w:t xml:space="preserve">ee Example Tables </w:t>
      </w:r>
      <w:r w:rsidR="000223F7">
        <w:rPr>
          <w:sz w:val="22"/>
        </w:rPr>
        <w:t>10</w:t>
      </w:r>
      <w:r>
        <w:rPr>
          <w:sz w:val="22"/>
        </w:rPr>
        <w:t xml:space="preserve">, </w:t>
      </w:r>
      <w:r w:rsidR="000223F7">
        <w:rPr>
          <w:sz w:val="22"/>
        </w:rPr>
        <w:t>1</w:t>
      </w:r>
      <w:r w:rsidR="00CB6D70">
        <w:rPr>
          <w:sz w:val="22"/>
        </w:rPr>
        <w:t>1</w:t>
      </w:r>
      <w:r>
        <w:rPr>
          <w:sz w:val="22"/>
        </w:rPr>
        <w:t xml:space="preserve">, and </w:t>
      </w:r>
      <w:r w:rsidR="000223F7">
        <w:rPr>
          <w:sz w:val="22"/>
        </w:rPr>
        <w:t>1</w:t>
      </w:r>
      <w:r w:rsidR="00CB6D70">
        <w:rPr>
          <w:sz w:val="22"/>
        </w:rPr>
        <w:t>2</w:t>
      </w:r>
      <w:r w:rsidRPr="0003499E">
        <w:rPr>
          <w:sz w:val="22"/>
        </w:rPr>
        <w:t xml:space="preserve">:  </w:t>
      </w:r>
    </w:p>
    <w:p w14:paraId="2C7F2692" w14:textId="453C3B36" w:rsidR="00F4236E" w:rsidRPr="006C092C" w:rsidRDefault="00FF0687" w:rsidP="00F37D0F">
      <w:pPr>
        <w:pStyle w:val="p3"/>
        <w:widowControl/>
        <w:numPr>
          <w:ilvl w:val="0"/>
          <w:numId w:val="8"/>
        </w:numPr>
        <w:spacing w:after="200"/>
        <w:rPr>
          <w:sz w:val="22"/>
          <w:szCs w:val="26"/>
        </w:rPr>
      </w:pPr>
      <w:r>
        <w:rPr>
          <w:sz w:val="22"/>
          <w:szCs w:val="26"/>
        </w:rPr>
        <w:t>Program Cost Elements</w:t>
      </w:r>
    </w:p>
    <w:p w14:paraId="24F77A45" w14:textId="77777777" w:rsidR="00C05484" w:rsidRDefault="00C05484" w:rsidP="00F37D0F">
      <w:pPr>
        <w:pStyle w:val="p3"/>
        <w:widowControl/>
        <w:numPr>
          <w:ilvl w:val="1"/>
          <w:numId w:val="8"/>
        </w:numPr>
        <w:rPr>
          <w:sz w:val="22"/>
          <w:szCs w:val="26"/>
        </w:rPr>
      </w:pPr>
      <w:r>
        <w:rPr>
          <w:sz w:val="22"/>
          <w:szCs w:val="26"/>
        </w:rPr>
        <w:t>Incentives</w:t>
      </w:r>
    </w:p>
    <w:p w14:paraId="451A6AA1" w14:textId="1B51C06B" w:rsidR="00F4236E" w:rsidRDefault="00C05484" w:rsidP="00F37D0F">
      <w:pPr>
        <w:pStyle w:val="p3"/>
        <w:widowControl/>
        <w:numPr>
          <w:ilvl w:val="1"/>
          <w:numId w:val="8"/>
        </w:numPr>
        <w:rPr>
          <w:sz w:val="22"/>
          <w:szCs w:val="26"/>
        </w:rPr>
      </w:pPr>
      <w:r>
        <w:rPr>
          <w:sz w:val="22"/>
          <w:szCs w:val="26"/>
        </w:rPr>
        <w:t>Program Design</w:t>
      </w:r>
    </w:p>
    <w:p w14:paraId="2A4F8723" w14:textId="4339B591" w:rsidR="00982257" w:rsidRDefault="00982257" w:rsidP="00F37D0F">
      <w:pPr>
        <w:pStyle w:val="p3"/>
        <w:widowControl/>
        <w:numPr>
          <w:ilvl w:val="1"/>
          <w:numId w:val="8"/>
        </w:numPr>
        <w:rPr>
          <w:sz w:val="22"/>
          <w:szCs w:val="26"/>
        </w:rPr>
      </w:pPr>
      <w:r>
        <w:rPr>
          <w:sz w:val="22"/>
          <w:szCs w:val="26"/>
        </w:rPr>
        <w:t>Administrative</w:t>
      </w:r>
    </w:p>
    <w:p w14:paraId="217979DB" w14:textId="77777777" w:rsidR="00F4236E" w:rsidRDefault="00C05484" w:rsidP="00F37D0F">
      <w:pPr>
        <w:pStyle w:val="p3"/>
        <w:widowControl/>
        <w:numPr>
          <w:ilvl w:val="1"/>
          <w:numId w:val="8"/>
        </w:numPr>
        <w:rPr>
          <w:sz w:val="22"/>
          <w:szCs w:val="26"/>
        </w:rPr>
      </w:pPr>
      <w:r>
        <w:rPr>
          <w:sz w:val="22"/>
          <w:szCs w:val="26"/>
        </w:rPr>
        <w:t>EDC Program Delivery Costs</w:t>
      </w:r>
    </w:p>
    <w:p w14:paraId="4C449874" w14:textId="77777777" w:rsidR="00F4236E" w:rsidRDefault="00F4236E" w:rsidP="00F37D0F">
      <w:pPr>
        <w:pStyle w:val="p3"/>
        <w:widowControl/>
        <w:numPr>
          <w:ilvl w:val="1"/>
          <w:numId w:val="8"/>
        </w:numPr>
        <w:rPr>
          <w:sz w:val="22"/>
          <w:szCs w:val="26"/>
        </w:rPr>
      </w:pPr>
      <w:r w:rsidRPr="006C092C">
        <w:rPr>
          <w:sz w:val="22"/>
          <w:szCs w:val="26"/>
        </w:rPr>
        <w:t xml:space="preserve">CSP </w:t>
      </w:r>
      <w:r w:rsidR="00C05484">
        <w:rPr>
          <w:sz w:val="22"/>
          <w:szCs w:val="26"/>
        </w:rPr>
        <w:t>Program Delivery Fees</w:t>
      </w:r>
    </w:p>
    <w:p w14:paraId="7E99886E" w14:textId="77777777" w:rsidR="00F4236E" w:rsidRDefault="00C05484" w:rsidP="00F37D0F">
      <w:pPr>
        <w:pStyle w:val="p3"/>
        <w:widowControl/>
        <w:numPr>
          <w:ilvl w:val="1"/>
          <w:numId w:val="8"/>
        </w:numPr>
        <w:rPr>
          <w:sz w:val="22"/>
          <w:szCs w:val="26"/>
        </w:rPr>
      </w:pPr>
      <w:r>
        <w:rPr>
          <w:sz w:val="22"/>
          <w:szCs w:val="26"/>
        </w:rPr>
        <w:t>Marketing</w:t>
      </w:r>
    </w:p>
    <w:p w14:paraId="6313F28C" w14:textId="4B62F293" w:rsidR="00F4236E" w:rsidRDefault="00C05484" w:rsidP="00F37D0F">
      <w:pPr>
        <w:pStyle w:val="p3"/>
        <w:widowControl/>
        <w:numPr>
          <w:ilvl w:val="1"/>
          <w:numId w:val="8"/>
        </w:numPr>
        <w:rPr>
          <w:sz w:val="22"/>
          <w:szCs w:val="26"/>
        </w:rPr>
      </w:pPr>
      <w:r>
        <w:rPr>
          <w:sz w:val="22"/>
          <w:szCs w:val="26"/>
        </w:rPr>
        <w:t>EM&amp;V</w:t>
      </w:r>
    </w:p>
    <w:p w14:paraId="2E00DFB3" w14:textId="39A2E6BA" w:rsidR="00FF2D03" w:rsidRDefault="00FF2D03" w:rsidP="00F37D0F">
      <w:pPr>
        <w:pStyle w:val="p3"/>
        <w:widowControl/>
        <w:numPr>
          <w:ilvl w:val="1"/>
          <w:numId w:val="8"/>
        </w:numPr>
        <w:rPr>
          <w:sz w:val="22"/>
          <w:szCs w:val="26"/>
        </w:rPr>
      </w:pPr>
      <w:r>
        <w:rPr>
          <w:sz w:val="22"/>
          <w:szCs w:val="26"/>
        </w:rPr>
        <w:t>Other (include a description)</w:t>
      </w:r>
    </w:p>
    <w:p w14:paraId="3DF2113E" w14:textId="6EE3C60D" w:rsidR="00F4236E" w:rsidRDefault="00F4236E" w:rsidP="00FF0687">
      <w:pPr>
        <w:pStyle w:val="p3"/>
        <w:widowControl/>
        <w:spacing w:after="200"/>
        <w:rPr>
          <w:sz w:val="22"/>
          <w:szCs w:val="26"/>
        </w:rPr>
      </w:pPr>
    </w:p>
    <w:p w14:paraId="44340D4B" w14:textId="53C1B919" w:rsidR="00F4236E" w:rsidRPr="006C092C" w:rsidRDefault="00F4236E" w:rsidP="00F37D0F">
      <w:pPr>
        <w:pStyle w:val="p3"/>
        <w:widowControl/>
        <w:numPr>
          <w:ilvl w:val="0"/>
          <w:numId w:val="8"/>
        </w:numPr>
        <w:rPr>
          <w:sz w:val="22"/>
          <w:szCs w:val="26"/>
        </w:rPr>
      </w:pPr>
      <w:r>
        <w:rPr>
          <w:sz w:val="22"/>
          <w:szCs w:val="26"/>
        </w:rPr>
        <w:t xml:space="preserve">Cost effectiveness calculations by program and by program year, indicating benefits by category (see Example Table </w:t>
      </w:r>
      <w:r w:rsidR="00CB6D70">
        <w:rPr>
          <w:sz w:val="22"/>
          <w:szCs w:val="26"/>
        </w:rPr>
        <w:t>13</w:t>
      </w:r>
      <w:r>
        <w:rPr>
          <w:sz w:val="22"/>
          <w:szCs w:val="26"/>
        </w:rPr>
        <w:t>).</w:t>
      </w:r>
    </w:p>
    <w:p w14:paraId="1BEED0E9" w14:textId="77777777" w:rsidR="00F4236E" w:rsidRDefault="00F4236E" w:rsidP="00F4236E">
      <w:pPr>
        <w:rPr>
          <w:szCs w:val="26"/>
        </w:rPr>
      </w:pPr>
    </w:p>
    <w:p w14:paraId="33D14C3E" w14:textId="3E5716D3" w:rsidR="00F4236E" w:rsidRDefault="00F4236E" w:rsidP="00F37D0F">
      <w:pPr>
        <w:pStyle w:val="ListParagraph"/>
        <w:numPr>
          <w:ilvl w:val="0"/>
          <w:numId w:val="7"/>
        </w:numPr>
        <w:spacing w:after="200"/>
        <w:ind w:left="900" w:hanging="540"/>
        <w:contextualSpacing w:val="0"/>
        <w:rPr>
          <w:sz w:val="22"/>
          <w:szCs w:val="22"/>
        </w:rPr>
      </w:pPr>
      <w:r>
        <w:t xml:space="preserve"> </w:t>
      </w:r>
      <w:r>
        <w:tab/>
      </w:r>
      <w:r w:rsidRPr="00850959">
        <w:rPr>
          <w:sz w:val="22"/>
          <w:szCs w:val="22"/>
        </w:rPr>
        <w:t>Calculation methods and assumptions. Describe methods used for estimating all program costs, including administrative, marketing, and incentives costs; include key assumptions. Describe assumptions and present all calculations, data and results in a consistent format. Reference Append</w:t>
      </w:r>
      <w:r>
        <w:rPr>
          <w:sz w:val="22"/>
          <w:szCs w:val="22"/>
        </w:rPr>
        <w:t>ix D</w:t>
      </w:r>
      <w:r w:rsidRPr="00850959">
        <w:rPr>
          <w:sz w:val="22"/>
          <w:szCs w:val="22"/>
        </w:rPr>
        <w:t>.</w:t>
      </w:r>
    </w:p>
    <w:p w14:paraId="2E1383AE" w14:textId="11BA15BD" w:rsidR="001F1DCC" w:rsidRDefault="001F1DCC" w:rsidP="001F1DCC">
      <w:pPr>
        <w:spacing w:after="200"/>
        <w:rPr>
          <w:sz w:val="22"/>
          <w:szCs w:val="22"/>
        </w:rPr>
      </w:pPr>
    </w:p>
    <w:p w14:paraId="2AE0B899" w14:textId="77777777" w:rsidR="001F1DCC" w:rsidRPr="001F1DCC" w:rsidRDefault="001F1DCC" w:rsidP="001F1DCC">
      <w:pPr>
        <w:spacing w:after="200"/>
        <w:rPr>
          <w:sz w:val="22"/>
          <w:szCs w:val="22"/>
        </w:rPr>
      </w:pPr>
    </w:p>
    <w:p w14:paraId="7F66B8F1" w14:textId="0FBDA8BC" w:rsidR="00585634" w:rsidRDefault="009F661E" w:rsidP="00585634">
      <w:pPr>
        <w:spacing w:after="120"/>
        <w:rPr>
          <w:b/>
        </w:rPr>
      </w:pPr>
      <w:r>
        <w:rPr>
          <w:b/>
        </w:rPr>
        <w:t xml:space="preserve">The required table templates are embedded on the following pages. Double-click any table to open a Microsoft Excel version of the table templates. </w:t>
      </w:r>
    </w:p>
    <w:p w14:paraId="22D1EE43" w14:textId="14F50237" w:rsidR="00E116BD" w:rsidRDefault="00E116BD" w:rsidP="00585634">
      <w:pPr>
        <w:spacing w:after="120"/>
        <w:rPr>
          <w:b/>
        </w:rPr>
      </w:pPr>
    </w:p>
    <w:p w14:paraId="1662A5B1" w14:textId="4BFFB328" w:rsidR="009F661E" w:rsidRDefault="009F661E" w:rsidP="00585634">
      <w:pPr>
        <w:spacing w:after="120"/>
        <w:rPr>
          <w:b/>
        </w:rPr>
      </w:pPr>
    </w:p>
    <w:p w14:paraId="2B88DD46" w14:textId="3C9D94CE" w:rsidR="009F661E" w:rsidRDefault="009F661E" w:rsidP="00585634">
      <w:pPr>
        <w:spacing w:after="120"/>
        <w:rPr>
          <w:b/>
        </w:rPr>
      </w:pPr>
    </w:p>
    <w:p w14:paraId="04627C87" w14:textId="51500AC7" w:rsidR="009F661E" w:rsidRDefault="009F661E" w:rsidP="00585634">
      <w:pPr>
        <w:spacing w:after="120"/>
        <w:rPr>
          <w:b/>
        </w:rPr>
      </w:pPr>
    </w:p>
    <w:p w14:paraId="06BA55EE" w14:textId="357F3293" w:rsidR="009F661E" w:rsidRDefault="009F661E" w:rsidP="00585634">
      <w:pPr>
        <w:spacing w:after="120"/>
        <w:rPr>
          <w:b/>
        </w:rPr>
      </w:pPr>
    </w:p>
    <w:p w14:paraId="6BC40432" w14:textId="59E1E75A" w:rsidR="009F661E" w:rsidRDefault="009F661E" w:rsidP="00585634">
      <w:pPr>
        <w:spacing w:after="120"/>
        <w:rPr>
          <w:b/>
        </w:rPr>
      </w:pPr>
    </w:p>
    <w:p w14:paraId="4A7544D5" w14:textId="0FDE70C1" w:rsidR="009F661E" w:rsidRDefault="009F661E" w:rsidP="00585634">
      <w:pPr>
        <w:spacing w:after="120"/>
        <w:rPr>
          <w:b/>
        </w:rPr>
      </w:pPr>
    </w:p>
    <w:p w14:paraId="639859A1" w14:textId="66B35432" w:rsidR="009F661E" w:rsidRDefault="009F661E" w:rsidP="00585634">
      <w:pPr>
        <w:spacing w:after="120"/>
        <w:rPr>
          <w:b/>
        </w:rPr>
      </w:pPr>
    </w:p>
    <w:p w14:paraId="0130DB99" w14:textId="6CF5DA2C" w:rsidR="009F661E" w:rsidRDefault="009F661E" w:rsidP="00585634">
      <w:pPr>
        <w:spacing w:after="120"/>
        <w:rPr>
          <w:b/>
        </w:rPr>
        <w:sectPr w:rsidR="009F661E" w:rsidSect="00C93C26">
          <w:type w:val="oddPage"/>
          <w:pgSz w:w="12240" w:h="15840" w:code="1"/>
          <w:pgMar w:top="1440" w:right="1800" w:bottom="1440" w:left="1440" w:header="720" w:footer="720" w:gutter="0"/>
          <w:pgNumType w:start="1"/>
          <w:cols w:space="720"/>
          <w:titlePg/>
          <w:docGrid w:linePitch="326"/>
        </w:sectPr>
      </w:pPr>
    </w:p>
    <w:bookmarkStart w:id="5" w:name="_MON_1408875742"/>
    <w:bookmarkStart w:id="6" w:name="_MON_1408874148"/>
    <w:bookmarkStart w:id="7" w:name="_MON_1408874179"/>
    <w:bookmarkStart w:id="8" w:name="_MON_1408874189"/>
    <w:bookmarkStart w:id="9" w:name="_MON_1408874214"/>
    <w:bookmarkStart w:id="10" w:name="_MON_1408874348"/>
    <w:bookmarkStart w:id="11" w:name="_MON_1408874371"/>
    <w:bookmarkStart w:id="12" w:name="_MON_1408874394"/>
    <w:bookmarkStart w:id="13" w:name="_MON_1408874430"/>
    <w:bookmarkStart w:id="14" w:name="_MON_1409033816"/>
    <w:bookmarkStart w:id="15" w:name="_1408874348"/>
    <w:bookmarkStart w:id="16" w:name="_MON_1405425274"/>
    <w:bookmarkStart w:id="17" w:name="_MON_1405425345"/>
    <w:bookmarkStart w:id="18" w:name="_MON_1408875609"/>
    <w:bookmarkStart w:id="19" w:name="_MON_140887600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408878676"/>
    <w:bookmarkEnd w:id="20"/>
    <w:p w14:paraId="51FCED4C" w14:textId="2B695491" w:rsidR="000B2114" w:rsidRDefault="00FF6011" w:rsidP="00CC5338">
      <w:pPr>
        <w:autoSpaceDE w:val="0"/>
        <w:autoSpaceDN w:val="0"/>
        <w:adjustRightInd w:val="0"/>
      </w:pPr>
      <w:r>
        <w:object w:dxaOrig="18748" w:dyaOrig="4535" w14:anchorId="43BA9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176.25pt" o:ole="">
            <v:imagedata r:id="rId18" o:title=""/>
          </v:shape>
          <o:OLEObject Type="Embed" ProgID="Excel.Sheet.12" ShapeID="_x0000_i1025" DrawAspect="Content" ObjectID="_1661160790" r:id="rId19"/>
        </w:object>
      </w:r>
    </w:p>
    <w:p w14:paraId="2D9CC919" w14:textId="72DB8651" w:rsidR="00827E7B" w:rsidRDefault="00827E7B" w:rsidP="00CC5338">
      <w:pPr>
        <w:autoSpaceDE w:val="0"/>
        <w:autoSpaceDN w:val="0"/>
        <w:adjustRightInd w:val="0"/>
      </w:pPr>
    </w:p>
    <w:p w14:paraId="6ABCC124" w14:textId="5277E135" w:rsidR="00827E7B" w:rsidRDefault="00827E7B" w:rsidP="00CC5338">
      <w:pPr>
        <w:autoSpaceDE w:val="0"/>
        <w:autoSpaceDN w:val="0"/>
        <w:adjustRightInd w:val="0"/>
      </w:pPr>
      <w:r>
        <w:br w:type="page"/>
      </w:r>
    </w:p>
    <w:p w14:paraId="5C079906" w14:textId="2D5C1D8B" w:rsidR="00827E7B" w:rsidRDefault="00FF6011" w:rsidP="00CC5338">
      <w:pPr>
        <w:autoSpaceDE w:val="0"/>
        <w:autoSpaceDN w:val="0"/>
        <w:adjustRightInd w:val="0"/>
      </w:pPr>
      <w:r>
        <w:object w:dxaOrig="18581" w:dyaOrig="9337" w14:anchorId="77DB2252">
          <v:shape id="_x0000_i1026" type="#_x0000_t75" style="width:720.75pt;height:362.25pt" o:ole="">
            <v:imagedata r:id="rId20" o:title=""/>
          </v:shape>
          <o:OLEObject Type="Embed" ProgID="Excel.Sheet.12" ShapeID="_x0000_i1026" DrawAspect="Content" ObjectID="_1661160791" r:id="rId21"/>
        </w:object>
      </w:r>
    </w:p>
    <w:p w14:paraId="71BCC2EB" w14:textId="46FD7A9F" w:rsidR="00827E7B" w:rsidRDefault="00FF6011" w:rsidP="00CC5338">
      <w:pPr>
        <w:autoSpaceDE w:val="0"/>
        <w:autoSpaceDN w:val="0"/>
        <w:adjustRightInd w:val="0"/>
      </w:pPr>
      <w:r>
        <w:object w:dxaOrig="18581" w:dyaOrig="8130" w14:anchorId="1F8038C8">
          <v:shape id="_x0000_i1027" type="#_x0000_t75" style="width:721.5pt;height:315.75pt" o:ole="">
            <v:imagedata r:id="rId22" o:title=""/>
          </v:shape>
          <o:OLEObject Type="Embed" ProgID="Excel.Sheet.12" ShapeID="_x0000_i1027" DrawAspect="Content" ObjectID="_1661160792" r:id="rId23"/>
        </w:object>
      </w:r>
    </w:p>
    <w:p w14:paraId="00264F9A" w14:textId="1ABD5910" w:rsidR="00827E7B" w:rsidRDefault="00827E7B" w:rsidP="00CC5338">
      <w:pPr>
        <w:autoSpaceDE w:val="0"/>
        <w:autoSpaceDN w:val="0"/>
        <w:adjustRightInd w:val="0"/>
      </w:pPr>
      <w:r>
        <w:br w:type="page"/>
      </w:r>
    </w:p>
    <w:p w14:paraId="6D0E704F" w14:textId="52ED7A81" w:rsidR="00827E7B" w:rsidRDefault="00827E7B" w:rsidP="00CC5338">
      <w:pPr>
        <w:autoSpaceDE w:val="0"/>
        <w:autoSpaceDN w:val="0"/>
        <w:adjustRightInd w:val="0"/>
      </w:pPr>
      <w:r>
        <w:object w:dxaOrig="13346" w:dyaOrig="3730" w14:anchorId="285B558B">
          <v:shape id="_x0000_i1028" type="#_x0000_t75" style="width:667.5pt;height:186.75pt" o:ole="">
            <v:imagedata r:id="rId24" o:title=""/>
          </v:shape>
          <o:OLEObject Type="Embed" ProgID="Excel.Sheet.12" ShapeID="_x0000_i1028" DrawAspect="Content" ObjectID="_1661160793" r:id="rId25"/>
        </w:object>
      </w:r>
    </w:p>
    <w:p w14:paraId="7B818BDD" w14:textId="33DF97CB" w:rsidR="00827E7B" w:rsidRDefault="00827E7B" w:rsidP="00CC5338">
      <w:pPr>
        <w:autoSpaceDE w:val="0"/>
        <w:autoSpaceDN w:val="0"/>
        <w:adjustRightInd w:val="0"/>
      </w:pPr>
    </w:p>
    <w:p w14:paraId="23CF1FFD" w14:textId="2A3A9186" w:rsidR="00827E7B" w:rsidRDefault="00827E7B" w:rsidP="00CC5338">
      <w:pPr>
        <w:autoSpaceDE w:val="0"/>
        <w:autoSpaceDN w:val="0"/>
        <w:adjustRightInd w:val="0"/>
      </w:pPr>
      <w:r>
        <w:br w:type="page"/>
      </w:r>
    </w:p>
    <w:p w14:paraId="23ED8CE9" w14:textId="00C468D3" w:rsidR="00827E7B" w:rsidRDefault="00FF6011" w:rsidP="00CC5338">
      <w:pPr>
        <w:autoSpaceDE w:val="0"/>
        <w:autoSpaceDN w:val="0"/>
        <w:adjustRightInd w:val="0"/>
      </w:pPr>
      <w:r>
        <w:object w:dxaOrig="18307" w:dyaOrig="5829" w14:anchorId="62ADFC38">
          <v:shape id="_x0000_i1029" type="#_x0000_t75" style="width:717.75pt;height:228.75pt" o:ole="">
            <v:imagedata r:id="rId26" o:title=""/>
          </v:shape>
          <o:OLEObject Type="Embed" ProgID="Excel.Sheet.12" ShapeID="_x0000_i1029" DrawAspect="Content" ObjectID="_1661160794" r:id="rId27"/>
        </w:object>
      </w:r>
    </w:p>
    <w:p w14:paraId="0E12F74E" w14:textId="08A6276F" w:rsidR="00827E7B" w:rsidRDefault="00827E7B" w:rsidP="00CC5338">
      <w:pPr>
        <w:autoSpaceDE w:val="0"/>
        <w:autoSpaceDN w:val="0"/>
        <w:adjustRightInd w:val="0"/>
      </w:pPr>
    </w:p>
    <w:p w14:paraId="6943745C" w14:textId="6A365CFB" w:rsidR="00827E7B" w:rsidRDefault="00827E7B" w:rsidP="00CC5338">
      <w:pPr>
        <w:autoSpaceDE w:val="0"/>
        <w:autoSpaceDN w:val="0"/>
        <w:adjustRightInd w:val="0"/>
      </w:pPr>
      <w:r>
        <w:br w:type="page"/>
      </w:r>
    </w:p>
    <w:tbl>
      <w:tblPr>
        <w:tblW w:w="13990" w:type="dxa"/>
        <w:tblLook w:val="04A0" w:firstRow="1" w:lastRow="0" w:firstColumn="1" w:lastColumn="0" w:noHBand="0" w:noVBand="1"/>
      </w:tblPr>
      <w:tblGrid>
        <w:gridCol w:w="266"/>
        <w:gridCol w:w="4751"/>
        <w:gridCol w:w="266"/>
        <w:gridCol w:w="2585"/>
        <w:gridCol w:w="1760"/>
        <w:gridCol w:w="2825"/>
        <w:gridCol w:w="1760"/>
      </w:tblGrid>
      <w:tr w:rsidR="00827E7B" w14:paraId="5EA1DA21" w14:textId="77777777" w:rsidTr="00827E7B">
        <w:trPr>
          <w:trHeight w:val="315"/>
        </w:trPr>
        <w:tc>
          <w:tcPr>
            <w:tcW w:w="5060" w:type="dxa"/>
            <w:gridSpan w:val="3"/>
            <w:tcBorders>
              <w:top w:val="nil"/>
              <w:left w:val="nil"/>
              <w:bottom w:val="nil"/>
              <w:right w:val="nil"/>
            </w:tcBorders>
            <w:shd w:val="clear" w:color="auto" w:fill="auto"/>
            <w:noWrap/>
            <w:vAlign w:val="center"/>
            <w:hideMark/>
          </w:tcPr>
          <w:p w14:paraId="0380104C" w14:textId="77777777" w:rsidR="00827E7B" w:rsidRDefault="00827E7B">
            <w:pPr>
              <w:rPr>
                <w:b/>
                <w:bCs/>
              </w:rPr>
            </w:pPr>
            <w:r>
              <w:rPr>
                <w:b/>
                <w:bCs/>
              </w:rPr>
              <w:lastRenderedPageBreak/>
              <w:t xml:space="preserve">Table 6: Budget and Parity Analysis Summary </w:t>
            </w:r>
          </w:p>
        </w:tc>
        <w:tc>
          <w:tcPr>
            <w:tcW w:w="2585" w:type="dxa"/>
            <w:tcBorders>
              <w:top w:val="nil"/>
              <w:left w:val="nil"/>
              <w:bottom w:val="nil"/>
              <w:right w:val="nil"/>
            </w:tcBorders>
            <w:shd w:val="clear" w:color="auto" w:fill="auto"/>
            <w:noWrap/>
            <w:vAlign w:val="center"/>
            <w:hideMark/>
          </w:tcPr>
          <w:p w14:paraId="62FDEDAD" w14:textId="77777777" w:rsidR="00827E7B" w:rsidRDefault="00827E7B">
            <w:pPr>
              <w:rPr>
                <w:b/>
                <w:bCs/>
              </w:rPr>
            </w:pPr>
          </w:p>
        </w:tc>
        <w:tc>
          <w:tcPr>
            <w:tcW w:w="1760" w:type="dxa"/>
            <w:tcBorders>
              <w:top w:val="nil"/>
              <w:left w:val="nil"/>
              <w:bottom w:val="nil"/>
              <w:right w:val="nil"/>
            </w:tcBorders>
            <w:shd w:val="clear" w:color="auto" w:fill="auto"/>
            <w:noWrap/>
            <w:vAlign w:val="bottom"/>
            <w:hideMark/>
          </w:tcPr>
          <w:p w14:paraId="4293FD49" w14:textId="77777777" w:rsidR="00827E7B" w:rsidRDefault="00827E7B">
            <w:pPr>
              <w:rPr>
                <w:sz w:val="20"/>
                <w:szCs w:val="20"/>
              </w:rPr>
            </w:pPr>
          </w:p>
        </w:tc>
        <w:tc>
          <w:tcPr>
            <w:tcW w:w="2825" w:type="dxa"/>
            <w:tcBorders>
              <w:top w:val="nil"/>
              <w:left w:val="nil"/>
              <w:bottom w:val="nil"/>
              <w:right w:val="nil"/>
            </w:tcBorders>
            <w:shd w:val="clear" w:color="auto" w:fill="auto"/>
            <w:noWrap/>
            <w:vAlign w:val="bottom"/>
            <w:hideMark/>
          </w:tcPr>
          <w:p w14:paraId="4268A187" w14:textId="77777777" w:rsidR="00827E7B" w:rsidRDefault="00827E7B">
            <w:pPr>
              <w:rPr>
                <w:sz w:val="20"/>
                <w:szCs w:val="20"/>
              </w:rPr>
            </w:pPr>
          </w:p>
        </w:tc>
        <w:tc>
          <w:tcPr>
            <w:tcW w:w="1760" w:type="dxa"/>
            <w:tcBorders>
              <w:top w:val="nil"/>
              <w:left w:val="nil"/>
              <w:bottom w:val="nil"/>
              <w:right w:val="nil"/>
            </w:tcBorders>
            <w:shd w:val="clear" w:color="auto" w:fill="auto"/>
            <w:noWrap/>
            <w:vAlign w:val="bottom"/>
            <w:hideMark/>
          </w:tcPr>
          <w:p w14:paraId="430980E0" w14:textId="77777777" w:rsidR="00827E7B" w:rsidRDefault="00827E7B">
            <w:pPr>
              <w:rPr>
                <w:sz w:val="20"/>
                <w:szCs w:val="20"/>
              </w:rPr>
            </w:pPr>
          </w:p>
        </w:tc>
      </w:tr>
      <w:tr w:rsidR="00827E7B" w14:paraId="07F086FD" w14:textId="77777777" w:rsidTr="00827E7B">
        <w:trPr>
          <w:trHeight w:val="1035"/>
        </w:trPr>
        <w:tc>
          <w:tcPr>
            <w:tcW w:w="13990" w:type="dxa"/>
            <w:gridSpan w:val="7"/>
            <w:tcBorders>
              <w:top w:val="nil"/>
              <w:left w:val="nil"/>
              <w:bottom w:val="nil"/>
              <w:right w:val="nil"/>
            </w:tcBorders>
            <w:shd w:val="clear" w:color="auto" w:fill="auto"/>
            <w:hideMark/>
          </w:tcPr>
          <w:p w14:paraId="023A0C25" w14:textId="77777777" w:rsidR="00827E7B" w:rsidRDefault="00827E7B">
            <w:pPr>
              <w:rPr>
                <w:b/>
                <w:bCs/>
                <w:sz w:val="16"/>
                <w:szCs w:val="16"/>
              </w:rPr>
            </w:pPr>
            <w:r>
              <w:rPr>
                <w:b/>
                <w:bCs/>
                <w:sz w:val="16"/>
                <w:szCs w:val="16"/>
              </w:rPr>
              <w:t>Notes:</w:t>
            </w:r>
            <w:r>
              <w:rPr>
                <w:b/>
                <w:bCs/>
                <w:sz w:val="16"/>
                <w:szCs w:val="16"/>
              </w:rPr>
              <w:br/>
              <w:t xml:space="preserve">o EDCs should use calendar year 2019 to compute the share of revenue and MWh sales by customer sector. </w:t>
            </w:r>
            <w:r>
              <w:rPr>
                <w:b/>
                <w:bCs/>
                <w:sz w:val="16"/>
                <w:szCs w:val="16"/>
              </w:rPr>
              <w:br/>
              <w:t>o Total revenue should be inclusive of competitive generation supply to the extent those amounts are known by the EDC</w:t>
            </w:r>
          </w:p>
        </w:tc>
      </w:tr>
      <w:tr w:rsidR="00827E7B" w14:paraId="780CF08C" w14:textId="77777777" w:rsidTr="00827E7B">
        <w:trPr>
          <w:trHeight w:val="960"/>
        </w:trPr>
        <w:tc>
          <w:tcPr>
            <w:tcW w:w="50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775D72" w14:textId="77777777" w:rsidR="00827E7B" w:rsidRDefault="00827E7B">
            <w:pPr>
              <w:jc w:val="center"/>
              <w:rPr>
                <w:b/>
                <w:bCs/>
              </w:rPr>
            </w:pPr>
            <w:r>
              <w:rPr>
                <w:b/>
                <w:bCs/>
              </w:rPr>
              <w:t>Customer Sector</w:t>
            </w:r>
          </w:p>
        </w:tc>
        <w:tc>
          <w:tcPr>
            <w:tcW w:w="2585" w:type="dxa"/>
            <w:tcBorders>
              <w:top w:val="single" w:sz="8" w:space="0" w:color="auto"/>
              <w:left w:val="nil"/>
              <w:bottom w:val="single" w:sz="8" w:space="0" w:color="auto"/>
              <w:right w:val="single" w:sz="8" w:space="0" w:color="auto"/>
            </w:tcBorders>
            <w:shd w:val="clear" w:color="auto" w:fill="auto"/>
            <w:vAlign w:val="center"/>
            <w:hideMark/>
          </w:tcPr>
          <w:p w14:paraId="4B48BE76" w14:textId="77777777" w:rsidR="00827E7B" w:rsidRDefault="00827E7B">
            <w:pPr>
              <w:jc w:val="center"/>
              <w:rPr>
                <w:b/>
                <w:bCs/>
              </w:rPr>
            </w:pPr>
            <w:r>
              <w:rPr>
                <w:b/>
                <w:bCs/>
              </w:rPr>
              <w:t>Phase IV EE&amp;C Budget (inclusive of allocated common cost)</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40BFA094" w14:textId="77777777" w:rsidR="00827E7B" w:rsidRDefault="00827E7B">
            <w:pPr>
              <w:jc w:val="center"/>
              <w:rPr>
                <w:b/>
                <w:bCs/>
              </w:rPr>
            </w:pPr>
            <w:r>
              <w:rPr>
                <w:b/>
                <w:bCs/>
              </w:rPr>
              <w:t>% of Total EDC EE&amp;C Budget</w:t>
            </w:r>
          </w:p>
        </w:tc>
        <w:tc>
          <w:tcPr>
            <w:tcW w:w="2825" w:type="dxa"/>
            <w:tcBorders>
              <w:top w:val="single" w:sz="8" w:space="0" w:color="auto"/>
              <w:left w:val="nil"/>
              <w:bottom w:val="single" w:sz="8" w:space="0" w:color="auto"/>
              <w:right w:val="single" w:sz="8" w:space="0" w:color="auto"/>
            </w:tcBorders>
            <w:shd w:val="clear" w:color="auto" w:fill="auto"/>
            <w:vAlign w:val="center"/>
            <w:hideMark/>
          </w:tcPr>
          <w:p w14:paraId="1280188C" w14:textId="77777777" w:rsidR="00827E7B" w:rsidRDefault="00827E7B">
            <w:pPr>
              <w:jc w:val="center"/>
              <w:rPr>
                <w:b/>
                <w:bCs/>
              </w:rPr>
            </w:pPr>
            <w:r>
              <w:rPr>
                <w:b/>
                <w:bCs/>
              </w:rPr>
              <w:t>% of EDC Total Annual Revenue</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573A70F9" w14:textId="77777777" w:rsidR="00827E7B" w:rsidRDefault="00827E7B">
            <w:pPr>
              <w:jc w:val="center"/>
              <w:rPr>
                <w:b/>
                <w:bCs/>
              </w:rPr>
            </w:pPr>
            <w:r>
              <w:rPr>
                <w:b/>
                <w:bCs/>
              </w:rPr>
              <w:t>% of EDC Total MWh Sales</w:t>
            </w:r>
          </w:p>
        </w:tc>
      </w:tr>
      <w:tr w:rsidR="00827E7B" w14:paraId="21A1DEEA" w14:textId="77777777" w:rsidTr="00827E7B">
        <w:trPr>
          <w:trHeight w:val="315"/>
        </w:trPr>
        <w:tc>
          <w:tcPr>
            <w:tcW w:w="50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37520E0" w14:textId="77777777" w:rsidR="00827E7B" w:rsidRDefault="00827E7B">
            <w:r>
              <w:t>Residential Sector (</w:t>
            </w:r>
            <w:r>
              <w:rPr>
                <w:i/>
                <w:iCs/>
              </w:rPr>
              <w:t>exclusive of Low-Income</w:t>
            </w:r>
            <w:r>
              <w:t>)</w:t>
            </w:r>
          </w:p>
        </w:tc>
        <w:tc>
          <w:tcPr>
            <w:tcW w:w="2585" w:type="dxa"/>
            <w:tcBorders>
              <w:top w:val="single" w:sz="4" w:space="0" w:color="auto"/>
              <w:left w:val="nil"/>
              <w:bottom w:val="single" w:sz="4" w:space="0" w:color="auto"/>
              <w:right w:val="single" w:sz="8" w:space="0" w:color="auto"/>
            </w:tcBorders>
            <w:shd w:val="clear" w:color="auto" w:fill="auto"/>
            <w:noWrap/>
            <w:vAlign w:val="center"/>
            <w:hideMark/>
          </w:tcPr>
          <w:p w14:paraId="5F7AE825" w14:textId="77777777" w:rsidR="00827E7B" w:rsidRDefault="00827E7B">
            <w:pPr>
              <w:jc w:val="center"/>
            </w:pPr>
            <w:r>
              <w:t> </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0928CB2E" w14:textId="77777777" w:rsidR="00827E7B" w:rsidRDefault="00827E7B">
            <w:pPr>
              <w:jc w:val="center"/>
            </w:pPr>
            <w:r>
              <w:t> </w:t>
            </w:r>
          </w:p>
        </w:tc>
        <w:tc>
          <w:tcPr>
            <w:tcW w:w="2825" w:type="dxa"/>
            <w:tcBorders>
              <w:top w:val="single" w:sz="4" w:space="0" w:color="auto"/>
              <w:left w:val="nil"/>
              <w:bottom w:val="single" w:sz="4" w:space="0" w:color="auto"/>
              <w:right w:val="single" w:sz="8" w:space="0" w:color="auto"/>
            </w:tcBorders>
            <w:shd w:val="clear" w:color="auto" w:fill="auto"/>
            <w:noWrap/>
            <w:vAlign w:val="center"/>
            <w:hideMark/>
          </w:tcPr>
          <w:p w14:paraId="7D076139" w14:textId="77777777" w:rsidR="00827E7B" w:rsidRDefault="00827E7B">
            <w:pPr>
              <w:jc w:val="center"/>
            </w:pPr>
            <w:r>
              <w:t> </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1F29CCC8" w14:textId="77777777" w:rsidR="00827E7B" w:rsidRDefault="00827E7B">
            <w:pPr>
              <w:jc w:val="center"/>
            </w:pPr>
            <w:r>
              <w:t> </w:t>
            </w:r>
          </w:p>
        </w:tc>
      </w:tr>
      <w:tr w:rsidR="00827E7B" w14:paraId="21896286" w14:textId="77777777" w:rsidTr="00827E7B">
        <w:trPr>
          <w:trHeight w:val="315"/>
        </w:trPr>
        <w:tc>
          <w:tcPr>
            <w:tcW w:w="50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F16AB5" w14:textId="77777777" w:rsidR="00827E7B" w:rsidRDefault="00827E7B">
            <w:r>
              <w:t>Residential Low Income Sub-Sector</w:t>
            </w:r>
          </w:p>
        </w:tc>
        <w:tc>
          <w:tcPr>
            <w:tcW w:w="2585" w:type="dxa"/>
            <w:tcBorders>
              <w:top w:val="nil"/>
              <w:left w:val="nil"/>
              <w:bottom w:val="single" w:sz="4" w:space="0" w:color="auto"/>
              <w:right w:val="single" w:sz="8" w:space="0" w:color="auto"/>
            </w:tcBorders>
            <w:shd w:val="clear" w:color="auto" w:fill="auto"/>
            <w:noWrap/>
            <w:vAlign w:val="center"/>
            <w:hideMark/>
          </w:tcPr>
          <w:p w14:paraId="1D978855" w14:textId="77777777" w:rsidR="00827E7B" w:rsidRDefault="00827E7B">
            <w:pPr>
              <w:jc w:val="center"/>
            </w:pPr>
            <w:r>
              <w:t> </w:t>
            </w:r>
          </w:p>
        </w:tc>
        <w:tc>
          <w:tcPr>
            <w:tcW w:w="1760" w:type="dxa"/>
            <w:tcBorders>
              <w:top w:val="nil"/>
              <w:left w:val="nil"/>
              <w:bottom w:val="single" w:sz="4" w:space="0" w:color="auto"/>
              <w:right w:val="single" w:sz="8" w:space="0" w:color="auto"/>
            </w:tcBorders>
            <w:shd w:val="clear" w:color="auto" w:fill="auto"/>
            <w:noWrap/>
            <w:vAlign w:val="center"/>
            <w:hideMark/>
          </w:tcPr>
          <w:p w14:paraId="5955F1E7" w14:textId="77777777" w:rsidR="00827E7B" w:rsidRDefault="00827E7B">
            <w:pPr>
              <w:jc w:val="center"/>
            </w:pPr>
            <w:r>
              <w:t> </w:t>
            </w:r>
          </w:p>
        </w:tc>
        <w:tc>
          <w:tcPr>
            <w:tcW w:w="2825" w:type="dxa"/>
            <w:tcBorders>
              <w:top w:val="nil"/>
              <w:left w:val="nil"/>
              <w:bottom w:val="single" w:sz="4" w:space="0" w:color="auto"/>
              <w:right w:val="single" w:sz="8" w:space="0" w:color="auto"/>
            </w:tcBorders>
            <w:shd w:val="clear" w:color="auto" w:fill="auto"/>
            <w:noWrap/>
            <w:vAlign w:val="center"/>
            <w:hideMark/>
          </w:tcPr>
          <w:p w14:paraId="512E20A1" w14:textId="77777777" w:rsidR="00827E7B" w:rsidRDefault="00827E7B">
            <w:pPr>
              <w:jc w:val="center"/>
            </w:pPr>
            <w:r>
              <w:t> </w:t>
            </w:r>
          </w:p>
        </w:tc>
        <w:tc>
          <w:tcPr>
            <w:tcW w:w="1760" w:type="dxa"/>
            <w:tcBorders>
              <w:top w:val="nil"/>
              <w:left w:val="nil"/>
              <w:bottom w:val="single" w:sz="4" w:space="0" w:color="auto"/>
              <w:right w:val="single" w:sz="8" w:space="0" w:color="auto"/>
            </w:tcBorders>
            <w:shd w:val="clear" w:color="auto" w:fill="auto"/>
            <w:noWrap/>
            <w:vAlign w:val="center"/>
            <w:hideMark/>
          </w:tcPr>
          <w:p w14:paraId="71A6A809" w14:textId="77777777" w:rsidR="00827E7B" w:rsidRDefault="00827E7B">
            <w:pPr>
              <w:jc w:val="center"/>
            </w:pPr>
            <w:r>
              <w:t> </w:t>
            </w:r>
          </w:p>
        </w:tc>
      </w:tr>
      <w:tr w:rsidR="00827E7B" w14:paraId="24DB61F3" w14:textId="77777777" w:rsidTr="00827E7B">
        <w:trPr>
          <w:trHeight w:val="330"/>
        </w:trPr>
        <w:tc>
          <w:tcPr>
            <w:tcW w:w="5060" w:type="dxa"/>
            <w:gridSpan w:val="3"/>
            <w:tcBorders>
              <w:top w:val="single" w:sz="4" w:space="0" w:color="auto"/>
              <w:left w:val="single" w:sz="8" w:space="0" w:color="auto"/>
              <w:bottom w:val="single" w:sz="8" w:space="0" w:color="auto"/>
              <w:right w:val="single" w:sz="8" w:space="0" w:color="000000"/>
            </w:tcBorders>
            <w:shd w:val="clear" w:color="000000" w:fill="C0C0C0"/>
            <w:noWrap/>
            <w:vAlign w:val="bottom"/>
            <w:hideMark/>
          </w:tcPr>
          <w:p w14:paraId="2E956EE5" w14:textId="77777777" w:rsidR="00827E7B" w:rsidRDefault="00827E7B">
            <w:pPr>
              <w:rPr>
                <w:b/>
                <w:bCs/>
              </w:rPr>
            </w:pPr>
            <w:r>
              <w:rPr>
                <w:b/>
                <w:bCs/>
              </w:rPr>
              <w:t>Residential Subtotal</w:t>
            </w:r>
          </w:p>
        </w:tc>
        <w:tc>
          <w:tcPr>
            <w:tcW w:w="2585" w:type="dxa"/>
            <w:tcBorders>
              <w:top w:val="nil"/>
              <w:left w:val="nil"/>
              <w:bottom w:val="single" w:sz="8" w:space="0" w:color="auto"/>
              <w:right w:val="single" w:sz="8" w:space="0" w:color="auto"/>
            </w:tcBorders>
            <w:shd w:val="clear" w:color="000000" w:fill="C0C0C0"/>
            <w:noWrap/>
            <w:vAlign w:val="center"/>
            <w:hideMark/>
          </w:tcPr>
          <w:p w14:paraId="35CC1438" w14:textId="77777777" w:rsidR="00827E7B" w:rsidRDefault="00827E7B">
            <w:pPr>
              <w:jc w:val="center"/>
            </w:pPr>
            <w:r>
              <w:t>$0</w:t>
            </w:r>
          </w:p>
        </w:tc>
        <w:tc>
          <w:tcPr>
            <w:tcW w:w="1760" w:type="dxa"/>
            <w:tcBorders>
              <w:top w:val="nil"/>
              <w:left w:val="nil"/>
              <w:bottom w:val="single" w:sz="8" w:space="0" w:color="auto"/>
              <w:right w:val="single" w:sz="8" w:space="0" w:color="auto"/>
            </w:tcBorders>
            <w:shd w:val="clear" w:color="000000" w:fill="C0C0C0"/>
            <w:noWrap/>
            <w:vAlign w:val="center"/>
            <w:hideMark/>
          </w:tcPr>
          <w:p w14:paraId="713077B1" w14:textId="77777777" w:rsidR="00827E7B" w:rsidRDefault="00827E7B">
            <w:pPr>
              <w:jc w:val="center"/>
            </w:pPr>
            <w:r>
              <w:t>0%</w:t>
            </w:r>
          </w:p>
        </w:tc>
        <w:tc>
          <w:tcPr>
            <w:tcW w:w="2825" w:type="dxa"/>
            <w:tcBorders>
              <w:top w:val="nil"/>
              <w:left w:val="nil"/>
              <w:bottom w:val="single" w:sz="8" w:space="0" w:color="auto"/>
              <w:right w:val="single" w:sz="8" w:space="0" w:color="auto"/>
            </w:tcBorders>
            <w:shd w:val="clear" w:color="000000" w:fill="C0C0C0"/>
            <w:noWrap/>
            <w:vAlign w:val="center"/>
            <w:hideMark/>
          </w:tcPr>
          <w:p w14:paraId="6B6CA8D9" w14:textId="77777777" w:rsidR="00827E7B" w:rsidRDefault="00827E7B">
            <w:pPr>
              <w:jc w:val="center"/>
            </w:pPr>
            <w:r>
              <w:t>0%</w:t>
            </w:r>
          </w:p>
        </w:tc>
        <w:tc>
          <w:tcPr>
            <w:tcW w:w="1760" w:type="dxa"/>
            <w:tcBorders>
              <w:top w:val="nil"/>
              <w:left w:val="nil"/>
              <w:bottom w:val="single" w:sz="8" w:space="0" w:color="auto"/>
              <w:right w:val="single" w:sz="8" w:space="0" w:color="auto"/>
            </w:tcBorders>
            <w:shd w:val="clear" w:color="000000" w:fill="C0C0C0"/>
            <w:noWrap/>
            <w:vAlign w:val="center"/>
            <w:hideMark/>
          </w:tcPr>
          <w:p w14:paraId="42968E3C" w14:textId="77777777" w:rsidR="00827E7B" w:rsidRDefault="00827E7B">
            <w:pPr>
              <w:jc w:val="center"/>
            </w:pPr>
            <w:r>
              <w:t>0%</w:t>
            </w:r>
          </w:p>
        </w:tc>
      </w:tr>
      <w:tr w:rsidR="00827E7B" w14:paraId="6761F4F0" w14:textId="77777777" w:rsidTr="00827E7B">
        <w:trPr>
          <w:trHeight w:val="315"/>
        </w:trPr>
        <w:tc>
          <w:tcPr>
            <w:tcW w:w="50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496C11" w14:textId="77777777" w:rsidR="00827E7B" w:rsidRDefault="00827E7B">
            <w:r>
              <w:t>Commercial/Industrial Small Sector</w:t>
            </w:r>
          </w:p>
        </w:tc>
        <w:tc>
          <w:tcPr>
            <w:tcW w:w="2585" w:type="dxa"/>
            <w:tcBorders>
              <w:top w:val="single" w:sz="4" w:space="0" w:color="auto"/>
              <w:left w:val="nil"/>
              <w:bottom w:val="single" w:sz="4" w:space="0" w:color="auto"/>
              <w:right w:val="single" w:sz="8" w:space="0" w:color="auto"/>
            </w:tcBorders>
            <w:shd w:val="clear" w:color="auto" w:fill="auto"/>
            <w:noWrap/>
            <w:vAlign w:val="center"/>
            <w:hideMark/>
          </w:tcPr>
          <w:p w14:paraId="0EC371EA" w14:textId="77777777" w:rsidR="00827E7B" w:rsidRDefault="00827E7B">
            <w:pPr>
              <w:jc w:val="center"/>
            </w:pPr>
            <w:r>
              <w:t> </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7AF5D826" w14:textId="77777777" w:rsidR="00827E7B" w:rsidRDefault="00827E7B">
            <w:pPr>
              <w:jc w:val="center"/>
            </w:pPr>
            <w:r>
              <w:t> </w:t>
            </w:r>
          </w:p>
        </w:tc>
        <w:tc>
          <w:tcPr>
            <w:tcW w:w="2825" w:type="dxa"/>
            <w:tcBorders>
              <w:top w:val="single" w:sz="4" w:space="0" w:color="auto"/>
              <w:left w:val="nil"/>
              <w:bottom w:val="single" w:sz="4" w:space="0" w:color="auto"/>
              <w:right w:val="single" w:sz="8" w:space="0" w:color="auto"/>
            </w:tcBorders>
            <w:shd w:val="clear" w:color="auto" w:fill="auto"/>
            <w:noWrap/>
            <w:vAlign w:val="center"/>
            <w:hideMark/>
          </w:tcPr>
          <w:p w14:paraId="44722835" w14:textId="77777777" w:rsidR="00827E7B" w:rsidRDefault="00827E7B">
            <w:pPr>
              <w:jc w:val="center"/>
            </w:pPr>
            <w:r>
              <w:t> </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6A7D6393" w14:textId="77777777" w:rsidR="00827E7B" w:rsidRDefault="00827E7B">
            <w:pPr>
              <w:jc w:val="center"/>
            </w:pPr>
            <w:r>
              <w:t> </w:t>
            </w:r>
          </w:p>
        </w:tc>
      </w:tr>
      <w:tr w:rsidR="00827E7B" w14:paraId="28550176" w14:textId="77777777" w:rsidTr="00827E7B">
        <w:trPr>
          <w:trHeight w:val="315"/>
        </w:trPr>
        <w:tc>
          <w:tcPr>
            <w:tcW w:w="50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FE82AA" w14:textId="77777777" w:rsidR="00827E7B" w:rsidRDefault="00827E7B">
            <w:r>
              <w:t>Commercial/Industrial Large Sector</w:t>
            </w:r>
          </w:p>
        </w:tc>
        <w:tc>
          <w:tcPr>
            <w:tcW w:w="2585" w:type="dxa"/>
            <w:tcBorders>
              <w:top w:val="nil"/>
              <w:left w:val="nil"/>
              <w:bottom w:val="single" w:sz="4" w:space="0" w:color="auto"/>
              <w:right w:val="single" w:sz="8" w:space="0" w:color="auto"/>
            </w:tcBorders>
            <w:shd w:val="clear" w:color="auto" w:fill="auto"/>
            <w:noWrap/>
            <w:vAlign w:val="center"/>
            <w:hideMark/>
          </w:tcPr>
          <w:p w14:paraId="45E787AD" w14:textId="77777777" w:rsidR="00827E7B" w:rsidRDefault="00827E7B">
            <w:pPr>
              <w:jc w:val="center"/>
            </w:pPr>
            <w:r>
              <w:t> </w:t>
            </w:r>
          </w:p>
        </w:tc>
        <w:tc>
          <w:tcPr>
            <w:tcW w:w="1760" w:type="dxa"/>
            <w:tcBorders>
              <w:top w:val="nil"/>
              <w:left w:val="nil"/>
              <w:bottom w:val="single" w:sz="4" w:space="0" w:color="auto"/>
              <w:right w:val="single" w:sz="8" w:space="0" w:color="auto"/>
            </w:tcBorders>
            <w:shd w:val="clear" w:color="auto" w:fill="auto"/>
            <w:noWrap/>
            <w:vAlign w:val="center"/>
            <w:hideMark/>
          </w:tcPr>
          <w:p w14:paraId="5E4CE278" w14:textId="77777777" w:rsidR="00827E7B" w:rsidRDefault="00827E7B">
            <w:pPr>
              <w:jc w:val="center"/>
            </w:pPr>
            <w:r>
              <w:t> </w:t>
            </w:r>
          </w:p>
        </w:tc>
        <w:tc>
          <w:tcPr>
            <w:tcW w:w="2825" w:type="dxa"/>
            <w:tcBorders>
              <w:top w:val="nil"/>
              <w:left w:val="nil"/>
              <w:bottom w:val="single" w:sz="4" w:space="0" w:color="auto"/>
              <w:right w:val="single" w:sz="8" w:space="0" w:color="auto"/>
            </w:tcBorders>
            <w:shd w:val="clear" w:color="auto" w:fill="auto"/>
            <w:noWrap/>
            <w:vAlign w:val="center"/>
            <w:hideMark/>
          </w:tcPr>
          <w:p w14:paraId="469901A4" w14:textId="77777777" w:rsidR="00827E7B" w:rsidRDefault="00827E7B">
            <w:pPr>
              <w:jc w:val="center"/>
            </w:pPr>
            <w:r>
              <w:t> </w:t>
            </w:r>
          </w:p>
        </w:tc>
        <w:tc>
          <w:tcPr>
            <w:tcW w:w="1760" w:type="dxa"/>
            <w:tcBorders>
              <w:top w:val="nil"/>
              <w:left w:val="nil"/>
              <w:bottom w:val="single" w:sz="4" w:space="0" w:color="auto"/>
              <w:right w:val="single" w:sz="8" w:space="0" w:color="auto"/>
            </w:tcBorders>
            <w:shd w:val="clear" w:color="auto" w:fill="auto"/>
            <w:noWrap/>
            <w:vAlign w:val="center"/>
            <w:hideMark/>
          </w:tcPr>
          <w:p w14:paraId="76E0C791" w14:textId="77777777" w:rsidR="00827E7B" w:rsidRDefault="00827E7B">
            <w:pPr>
              <w:jc w:val="center"/>
            </w:pPr>
            <w:r>
              <w:t> </w:t>
            </w:r>
          </w:p>
        </w:tc>
      </w:tr>
      <w:tr w:rsidR="00827E7B" w14:paraId="2D04221C" w14:textId="77777777" w:rsidTr="00827E7B">
        <w:trPr>
          <w:trHeight w:val="330"/>
        </w:trPr>
        <w:tc>
          <w:tcPr>
            <w:tcW w:w="5060" w:type="dxa"/>
            <w:gridSpan w:val="3"/>
            <w:tcBorders>
              <w:top w:val="single" w:sz="4" w:space="0" w:color="auto"/>
              <w:left w:val="single" w:sz="8" w:space="0" w:color="auto"/>
              <w:bottom w:val="single" w:sz="8" w:space="0" w:color="auto"/>
              <w:right w:val="single" w:sz="8" w:space="0" w:color="000000"/>
            </w:tcBorders>
            <w:shd w:val="clear" w:color="000000" w:fill="C0C0C0"/>
            <w:noWrap/>
            <w:vAlign w:val="bottom"/>
            <w:hideMark/>
          </w:tcPr>
          <w:p w14:paraId="6025C20A" w14:textId="77777777" w:rsidR="00827E7B" w:rsidRDefault="00827E7B">
            <w:pPr>
              <w:rPr>
                <w:b/>
                <w:bCs/>
              </w:rPr>
            </w:pPr>
            <w:r>
              <w:rPr>
                <w:b/>
                <w:bCs/>
              </w:rPr>
              <w:t>Non-Residential Subtotal</w:t>
            </w:r>
          </w:p>
        </w:tc>
        <w:tc>
          <w:tcPr>
            <w:tcW w:w="2585" w:type="dxa"/>
            <w:tcBorders>
              <w:top w:val="nil"/>
              <w:left w:val="nil"/>
              <w:bottom w:val="single" w:sz="8" w:space="0" w:color="auto"/>
              <w:right w:val="single" w:sz="8" w:space="0" w:color="auto"/>
            </w:tcBorders>
            <w:shd w:val="clear" w:color="000000" w:fill="C0C0C0"/>
            <w:noWrap/>
            <w:vAlign w:val="center"/>
            <w:hideMark/>
          </w:tcPr>
          <w:p w14:paraId="2391DFFD" w14:textId="77777777" w:rsidR="00827E7B" w:rsidRDefault="00827E7B">
            <w:pPr>
              <w:jc w:val="center"/>
            </w:pPr>
            <w:r>
              <w:t>$0</w:t>
            </w:r>
          </w:p>
        </w:tc>
        <w:tc>
          <w:tcPr>
            <w:tcW w:w="1760" w:type="dxa"/>
            <w:tcBorders>
              <w:top w:val="nil"/>
              <w:left w:val="nil"/>
              <w:bottom w:val="single" w:sz="8" w:space="0" w:color="auto"/>
              <w:right w:val="single" w:sz="8" w:space="0" w:color="auto"/>
            </w:tcBorders>
            <w:shd w:val="clear" w:color="000000" w:fill="C0C0C0"/>
            <w:noWrap/>
            <w:vAlign w:val="center"/>
            <w:hideMark/>
          </w:tcPr>
          <w:p w14:paraId="2E4AA508" w14:textId="77777777" w:rsidR="00827E7B" w:rsidRDefault="00827E7B">
            <w:pPr>
              <w:jc w:val="center"/>
            </w:pPr>
            <w:r>
              <w:t>0%</w:t>
            </w:r>
          </w:p>
        </w:tc>
        <w:tc>
          <w:tcPr>
            <w:tcW w:w="2825" w:type="dxa"/>
            <w:tcBorders>
              <w:top w:val="nil"/>
              <w:left w:val="nil"/>
              <w:bottom w:val="single" w:sz="8" w:space="0" w:color="auto"/>
              <w:right w:val="single" w:sz="8" w:space="0" w:color="auto"/>
            </w:tcBorders>
            <w:shd w:val="clear" w:color="000000" w:fill="C0C0C0"/>
            <w:noWrap/>
            <w:vAlign w:val="center"/>
            <w:hideMark/>
          </w:tcPr>
          <w:p w14:paraId="00A9FF9F" w14:textId="77777777" w:rsidR="00827E7B" w:rsidRDefault="00827E7B">
            <w:pPr>
              <w:jc w:val="center"/>
            </w:pPr>
            <w:r>
              <w:t>0%</w:t>
            </w:r>
          </w:p>
        </w:tc>
        <w:tc>
          <w:tcPr>
            <w:tcW w:w="1760" w:type="dxa"/>
            <w:tcBorders>
              <w:top w:val="nil"/>
              <w:left w:val="nil"/>
              <w:bottom w:val="single" w:sz="8" w:space="0" w:color="auto"/>
              <w:right w:val="single" w:sz="8" w:space="0" w:color="auto"/>
            </w:tcBorders>
            <w:shd w:val="clear" w:color="000000" w:fill="C0C0C0"/>
            <w:noWrap/>
            <w:vAlign w:val="center"/>
            <w:hideMark/>
          </w:tcPr>
          <w:p w14:paraId="14C036D4" w14:textId="77777777" w:rsidR="00827E7B" w:rsidRDefault="00827E7B">
            <w:pPr>
              <w:jc w:val="center"/>
            </w:pPr>
            <w:r>
              <w:t>0%</w:t>
            </w:r>
          </w:p>
        </w:tc>
      </w:tr>
      <w:tr w:rsidR="00827E7B" w14:paraId="21000552" w14:textId="77777777" w:rsidTr="00827E7B">
        <w:trPr>
          <w:trHeight w:val="330"/>
        </w:trPr>
        <w:tc>
          <w:tcPr>
            <w:tcW w:w="5060" w:type="dxa"/>
            <w:gridSpan w:val="3"/>
            <w:tcBorders>
              <w:top w:val="single" w:sz="4" w:space="0" w:color="auto"/>
              <w:left w:val="single" w:sz="8" w:space="0" w:color="auto"/>
              <w:bottom w:val="single" w:sz="8" w:space="0" w:color="auto"/>
              <w:right w:val="nil"/>
            </w:tcBorders>
            <w:shd w:val="clear" w:color="000000" w:fill="C0C0C0"/>
            <w:noWrap/>
            <w:vAlign w:val="bottom"/>
            <w:hideMark/>
          </w:tcPr>
          <w:p w14:paraId="129D48E8" w14:textId="77777777" w:rsidR="00827E7B" w:rsidRDefault="00827E7B">
            <w:pPr>
              <w:jc w:val="center"/>
              <w:rPr>
                <w:b/>
                <w:bCs/>
              </w:rPr>
            </w:pPr>
            <w:r>
              <w:rPr>
                <w:b/>
                <w:bCs/>
              </w:rPr>
              <w:t>EDC TOTAL</w:t>
            </w:r>
          </w:p>
        </w:tc>
        <w:tc>
          <w:tcPr>
            <w:tcW w:w="2585" w:type="dxa"/>
            <w:tcBorders>
              <w:top w:val="single" w:sz="4" w:space="0" w:color="auto"/>
              <w:left w:val="single" w:sz="8" w:space="0" w:color="auto"/>
              <w:bottom w:val="single" w:sz="8" w:space="0" w:color="auto"/>
              <w:right w:val="single" w:sz="8" w:space="0" w:color="auto"/>
            </w:tcBorders>
            <w:shd w:val="clear" w:color="000000" w:fill="C0C0C0"/>
            <w:noWrap/>
            <w:vAlign w:val="center"/>
            <w:hideMark/>
          </w:tcPr>
          <w:p w14:paraId="37029501" w14:textId="77777777" w:rsidR="00827E7B" w:rsidRDefault="00827E7B">
            <w:pPr>
              <w:jc w:val="center"/>
              <w:rPr>
                <w:b/>
                <w:bCs/>
              </w:rPr>
            </w:pPr>
            <w:r>
              <w:rPr>
                <w:b/>
                <w:bCs/>
              </w:rPr>
              <w:t>$0</w:t>
            </w:r>
          </w:p>
        </w:tc>
        <w:tc>
          <w:tcPr>
            <w:tcW w:w="1760" w:type="dxa"/>
            <w:tcBorders>
              <w:top w:val="single" w:sz="4" w:space="0" w:color="auto"/>
              <w:left w:val="nil"/>
              <w:bottom w:val="single" w:sz="8" w:space="0" w:color="auto"/>
              <w:right w:val="single" w:sz="8" w:space="0" w:color="auto"/>
            </w:tcBorders>
            <w:shd w:val="clear" w:color="000000" w:fill="C0C0C0"/>
            <w:noWrap/>
            <w:vAlign w:val="center"/>
            <w:hideMark/>
          </w:tcPr>
          <w:p w14:paraId="791B29B4" w14:textId="77777777" w:rsidR="00827E7B" w:rsidRDefault="00827E7B">
            <w:pPr>
              <w:jc w:val="center"/>
              <w:rPr>
                <w:b/>
                <w:bCs/>
              </w:rPr>
            </w:pPr>
            <w:r>
              <w:rPr>
                <w:b/>
                <w:bCs/>
              </w:rPr>
              <w:t>100%</w:t>
            </w:r>
          </w:p>
        </w:tc>
        <w:tc>
          <w:tcPr>
            <w:tcW w:w="2825" w:type="dxa"/>
            <w:tcBorders>
              <w:top w:val="single" w:sz="4" w:space="0" w:color="auto"/>
              <w:left w:val="nil"/>
              <w:bottom w:val="single" w:sz="8" w:space="0" w:color="auto"/>
              <w:right w:val="single" w:sz="8" w:space="0" w:color="auto"/>
            </w:tcBorders>
            <w:shd w:val="clear" w:color="000000" w:fill="C0C0C0"/>
            <w:noWrap/>
            <w:vAlign w:val="center"/>
            <w:hideMark/>
          </w:tcPr>
          <w:p w14:paraId="221BDAEC" w14:textId="77777777" w:rsidR="00827E7B" w:rsidRDefault="00827E7B">
            <w:pPr>
              <w:jc w:val="center"/>
              <w:rPr>
                <w:b/>
                <w:bCs/>
              </w:rPr>
            </w:pPr>
            <w:r>
              <w:rPr>
                <w:b/>
                <w:bCs/>
              </w:rPr>
              <w:t>100%</w:t>
            </w:r>
          </w:p>
        </w:tc>
        <w:tc>
          <w:tcPr>
            <w:tcW w:w="1760" w:type="dxa"/>
            <w:tcBorders>
              <w:top w:val="nil"/>
              <w:left w:val="nil"/>
              <w:bottom w:val="single" w:sz="8" w:space="0" w:color="auto"/>
              <w:right w:val="single" w:sz="8" w:space="0" w:color="auto"/>
            </w:tcBorders>
            <w:shd w:val="clear" w:color="000000" w:fill="C0C0C0"/>
            <w:noWrap/>
            <w:vAlign w:val="center"/>
            <w:hideMark/>
          </w:tcPr>
          <w:p w14:paraId="21AA6561" w14:textId="77777777" w:rsidR="00827E7B" w:rsidRDefault="00827E7B">
            <w:pPr>
              <w:jc w:val="center"/>
              <w:rPr>
                <w:b/>
                <w:bCs/>
              </w:rPr>
            </w:pPr>
            <w:r>
              <w:rPr>
                <w:b/>
                <w:bCs/>
              </w:rPr>
              <w:t>100%</w:t>
            </w:r>
          </w:p>
        </w:tc>
      </w:tr>
      <w:tr w:rsidR="00827E7B" w14:paraId="5C6158FF"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18D8CE6B"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5073981E"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7D9F880B"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6C330355"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7C13BF19"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1C971F97"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6CA3A0EB" w14:textId="77777777" w:rsidR="00827E7B" w:rsidRDefault="00827E7B">
            <w:pPr>
              <w:rPr>
                <w:sz w:val="20"/>
                <w:szCs w:val="20"/>
              </w:rPr>
            </w:pPr>
            <w:r>
              <w:rPr>
                <w:sz w:val="20"/>
                <w:szCs w:val="20"/>
              </w:rPr>
              <w:t> </w:t>
            </w:r>
          </w:p>
        </w:tc>
      </w:tr>
      <w:tr w:rsidR="00827E7B" w14:paraId="4D4647E1" w14:textId="77777777" w:rsidTr="00827E7B">
        <w:trPr>
          <w:trHeight w:val="315"/>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1DA011C5"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20D671F5" w14:textId="77777777" w:rsidR="00827E7B" w:rsidRDefault="00827E7B">
            <w:pPr>
              <w:jc w:val="center"/>
              <w:rPr>
                <w:sz w:val="20"/>
                <w:szCs w:val="20"/>
              </w:rPr>
            </w:pPr>
            <w:r>
              <w:rPr>
                <w:sz w:val="20"/>
                <w:szCs w:val="20"/>
              </w:rPr>
              <w:t>% Budget by Customer Sector</w:t>
            </w:r>
          </w:p>
        </w:tc>
        <w:tc>
          <w:tcPr>
            <w:tcW w:w="154" w:type="dxa"/>
            <w:tcBorders>
              <w:top w:val="nil"/>
              <w:left w:val="nil"/>
              <w:bottom w:val="nil"/>
              <w:right w:val="nil"/>
            </w:tcBorders>
            <w:shd w:val="clear" w:color="auto" w:fill="auto"/>
            <w:noWrap/>
            <w:vAlign w:val="bottom"/>
            <w:hideMark/>
          </w:tcPr>
          <w:p w14:paraId="5DDE911B" w14:textId="77777777" w:rsidR="00827E7B" w:rsidRDefault="00827E7B">
            <w:pPr>
              <w:jc w:val="center"/>
              <w:rPr>
                <w:sz w:val="20"/>
                <w:szCs w:val="20"/>
              </w:rPr>
            </w:pPr>
          </w:p>
        </w:tc>
        <w:tc>
          <w:tcPr>
            <w:tcW w:w="2585" w:type="dxa"/>
            <w:tcBorders>
              <w:top w:val="nil"/>
              <w:left w:val="single" w:sz="8" w:space="0" w:color="FFFFFF"/>
              <w:bottom w:val="single" w:sz="8" w:space="0" w:color="FFFFFF"/>
              <w:right w:val="single" w:sz="8" w:space="0" w:color="FFFFFF"/>
            </w:tcBorders>
            <w:shd w:val="clear" w:color="auto" w:fill="auto"/>
            <w:noWrap/>
            <w:vAlign w:val="bottom"/>
            <w:hideMark/>
          </w:tcPr>
          <w:p w14:paraId="3E718F20" w14:textId="77777777" w:rsidR="00827E7B" w:rsidRDefault="00827E7B">
            <w:pPr>
              <w:rPr>
                <w:sz w:val="20"/>
                <w:szCs w:val="20"/>
              </w:rPr>
            </w:pPr>
            <w:r>
              <w:rPr>
                <w:sz w:val="20"/>
                <w:szCs w:val="20"/>
              </w:rPr>
              <w:t>% Revenue by Customer Sector</w:t>
            </w:r>
          </w:p>
        </w:tc>
        <w:tc>
          <w:tcPr>
            <w:tcW w:w="1760" w:type="dxa"/>
            <w:tcBorders>
              <w:top w:val="nil"/>
              <w:left w:val="nil"/>
              <w:bottom w:val="single" w:sz="8" w:space="0" w:color="FFFFFF"/>
              <w:right w:val="single" w:sz="8" w:space="0" w:color="FFFFFF"/>
            </w:tcBorders>
            <w:shd w:val="clear" w:color="auto" w:fill="auto"/>
            <w:noWrap/>
            <w:vAlign w:val="bottom"/>
            <w:hideMark/>
          </w:tcPr>
          <w:p w14:paraId="258CA20F"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1F31CE5A" w14:textId="77777777" w:rsidR="00827E7B" w:rsidRDefault="00827E7B">
            <w:pPr>
              <w:rPr>
                <w:sz w:val="20"/>
                <w:szCs w:val="20"/>
              </w:rPr>
            </w:pPr>
            <w:r>
              <w:rPr>
                <w:sz w:val="20"/>
                <w:szCs w:val="20"/>
              </w:rPr>
              <w:t>% MWh Sales by Customer Sector</w:t>
            </w:r>
          </w:p>
        </w:tc>
        <w:tc>
          <w:tcPr>
            <w:tcW w:w="1760" w:type="dxa"/>
            <w:tcBorders>
              <w:top w:val="nil"/>
              <w:left w:val="nil"/>
              <w:bottom w:val="single" w:sz="8" w:space="0" w:color="FFFFFF"/>
              <w:right w:val="single" w:sz="8" w:space="0" w:color="auto"/>
            </w:tcBorders>
            <w:shd w:val="clear" w:color="auto" w:fill="auto"/>
            <w:noWrap/>
            <w:vAlign w:val="bottom"/>
            <w:hideMark/>
          </w:tcPr>
          <w:p w14:paraId="54C60F50" w14:textId="77777777" w:rsidR="00827E7B" w:rsidRDefault="00827E7B">
            <w:pPr>
              <w:rPr>
                <w:sz w:val="20"/>
                <w:szCs w:val="20"/>
              </w:rPr>
            </w:pPr>
            <w:r>
              <w:rPr>
                <w:sz w:val="20"/>
                <w:szCs w:val="20"/>
              </w:rPr>
              <w:t> </w:t>
            </w:r>
          </w:p>
        </w:tc>
      </w:tr>
      <w:tr w:rsidR="00827E7B" w14:paraId="74BDC187"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1C405816"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6B7FF332" w14:textId="77777777" w:rsidR="00827E7B" w:rsidRDefault="00827E7B">
            <w:pPr>
              <w:rPr>
                <w:sz w:val="20"/>
                <w:szCs w:val="20"/>
              </w:rPr>
            </w:pPr>
            <w:r>
              <w:rPr>
                <w:sz w:val="20"/>
                <w:szCs w:val="20"/>
              </w:rPr>
              <w:t> </w:t>
            </w:r>
          </w:p>
        </w:tc>
        <w:tc>
          <w:tcPr>
            <w:tcW w:w="154" w:type="dxa"/>
            <w:tcBorders>
              <w:top w:val="single" w:sz="8" w:space="0" w:color="FFFFFF"/>
              <w:left w:val="nil"/>
              <w:bottom w:val="single" w:sz="8" w:space="0" w:color="FFFFFF"/>
              <w:right w:val="single" w:sz="8" w:space="0" w:color="FFFFFF"/>
            </w:tcBorders>
            <w:shd w:val="clear" w:color="auto" w:fill="auto"/>
            <w:noWrap/>
            <w:vAlign w:val="bottom"/>
            <w:hideMark/>
          </w:tcPr>
          <w:p w14:paraId="26A1AFA4"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23DBDE67"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44EFD542"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3FD51586"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6CA799A2" w14:textId="77777777" w:rsidR="00827E7B" w:rsidRDefault="00827E7B">
            <w:pPr>
              <w:rPr>
                <w:sz w:val="20"/>
                <w:szCs w:val="20"/>
              </w:rPr>
            </w:pPr>
            <w:r>
              <w:rPr>
                <w:sz w:val="20"/>
                <w:szCs w:val="20"/>
              </w:rPr>
              <w:t> </w:t>
            </w:r>
          </w:p>
        </w:tc>
      </w:tr>
      <w:tr w:rsidR="00827E7B" w14:paraId="303775CF"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2EB6449E"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21731C85" w14:textId="77777777" w:rsidR="00827E7B" w:rsidRDefault="00827E7B">
            <w:pPr>
              <w:jc w:val="center"/>
              <w:rPr>
                <w:sz w:val="20"/>
                <w:szCs w:val="20"/>
              </w:rPr>
            </w:pPr>
            <w:r>
              <w:rPr>
                <w:sz w:val="20"/>
                <w:szCs w:val="20"/>
              </w:rPr>
              <w:t>*insert pie chart*</w:t>
            </w:r>
          </w:p>
        </w:tc>
        <w:tc>
          <w:tcPr>
            <w:tcW w:w="154" w:type="dxa"/>
            <w:tcBorders>
              <w:top w:val="nil"/>
              <w:left w:val="nil"/>
              <w:bottom w:val="single" w:sz="8" w:space="0" w:color="FFFFFF"/>
              <w:right w:val="single" w:sz="8" w:space="0" w:color="FFFFFF"/>
            </w:tcBorders>
            <w:shd w:val="clear" w:color="auto" w:fill="auto"/>
            <w:noWrap/>
            <w:vAlign w:val="bottom"/>
            <w:hideMark/>
          </w:tcPr>
          <w:p w14:paraId="5819D9DB" w14:textId="77777777" w:rsidR="00827E7B" w:rsidRDefault="00827E7B">
            <w:pPr>
              <w:rPr>
                <w:sz w:val="20"/>
                <w:szCs w:val="20"/>
              </w:rPr>
            </w:pPr>
            <w:r>
              <w:rPr>
                <w:sz w:val="20"/>
                <w:szCs w:val="20"/>
              </w:rPr>
              <w:t> </w:t>
            </w:r>
          </w:p>
        </w:tc>
        <w:tc>
          <w:tcPr>
            <w:tcW w:w="2585" w:type="dxa"/>
            <w:tcBorders>
              <w:top w:val="nil"/>
              <w:left w:val="nil"/>
              <w:bottom w:val="nil"/>
              <w:right w:val="nil"/>
            </w:tcBorders>
            <w:shd w:val="clear" w:color="auto" w:fill="auto"/>
            <w:noWrap/>
            <w:vAlign w:val="bottom"/>
            <w:hideMark/>
          </w:tcPr>
          <w:p w14:paraId="72C78198" w14:textId="77777777" w:rsidR="00827E7B" w:rsidRDefault="00827E7B">
            <w:pPr>
              <w:jc w:val="center"/>
              <w:rPr>
                <w:sz w:val="20"/>
                <w:szCs w:val="20"/>
              </w:rPr>
            </w:pPr>
            <w:r>
              <w:rPr>
                <w:sz w:val="20"/>
                <w:szCs w:val="20"/>
              </w:rPr>
              <w:t>*insert pie chart*</w:t>
            </w:r>
          </w:p>
        </w:tc>
        <w:tc>
          <w:tcPr>
            <w:tcW w:w="1760" w:type="dxa"/>
            <w:tcBorders>
              <w:top w:val="nil"/>
              <w:left w:val="single" w:sz="8" w:space="0" w:color="FFFFFF"/>
              <w:bottom w:val="single" w:sz="8" w:space="0" w:color="FFFFFF"/>
              <w:right w:val="single" w:sz="8" w:space="0" w:color="FFFFFF"/>
            </w:tcBorders>
            <w:shd w:val="clear" w:color="auto" w:fill="auto"/>
            <w:noWrap/>
            <w:vAlign w:val="bottom"/>
            <w:hideMark/>
          </w:tcPr>
          <w:p w14:paraId="6AC398A8" w14:textId="77777777" w:rsidR="00827E7B" w:rsidRDefault="00827E7B">
            <w:pPr>
              <w:rPr>
                <w:sz w:val="20"/>
                <w:szCs w:val="20"/>
              </w:rPr>
            </w:pPr>
            <w:r>
              <w:rPr>
                <w:sz w:val="20"/>
                <w:szCs w:val="20"/>
              </w:rPr>
              <w:t> </w:t>
            </w:r>
          </w:p>
        </w:tc>
        <w:tc>
          <w:tcPr>
            <w:tcW w:w="2825" w:type="dxa"/>
            <w:tcBorders>
              <w:top w:val="nil"/>
              <w:left w:val="nil"/>
              <w:bottom w:val="nil"/>
              <w:right w:val="nil"/>
            </w:tcBorders>
            <w:shd w:val="clear" w:color="auto" w:fill="auto"/>
            <w:noWrap/>
            <w:vAlign w:val="bottom"/>
            <w:hideMark/>
          </w:tcPr>
          <w:p w14:paraId="6CC4495C" w14:textId="77777777" w:rsidR="00827E7B" w:rsidRDefault="00827E7B">
            <w:pPr>
              <w:jc w:val="center"/>
              <w:rPr>
                <w:sz w:val="20"/>
                <w:szCs w:val="20"/>
              </w:rPr>
            </w:pPr>
            <w:r>
              <w:rPr>
                <w:sz w:val="20"/>
                <w:szCs w:val="20"/>
              </w:rPr>
              <w:t>*insert pie chart*</w:t>
            </w:r>
          </w:p>
        </w:tc>
        <w:tc>
          <w:tcPr>
            <w:tcW w:w="1760" w:type="dxa"/>
            <w:tcBorders>
              <w:top w:val="nil"/>
              <w:left w:val="single" w:sz="8" w:space="0" w:color="FFFFFF"/>
              <w:bottom w:val="single" w:sz="8" w:space="0" w:color="FFFFFF"/>
              <w:right w:val="single" w:sz="8" w:space="0" w:color="auto"/>
            </w:tcBorders>
            <w:shd w:val="clear" w:color="auto" w:fill="auto"/>
            <w:noWrap/>
            <w:vAlign w:val="bottom"/>
            <w:hideMark/>
          </w:tcPr>
          <w:p w14:paraId="413F3094" w14:textId="77777777" w:rsidR="00827E7B" w:rsidRDefault="00827E7B">
            <w:pPr>
              <w:rPr>
                <w:sz w:val="20"/>
                <w:szCs w:val="20"/>
              </w:rPr>
            </w:pPr>
            <w:r>
              <w:rPr>
                <w:sz w:val="20"/>
                <w:szCs w:val="20"/>
              </w:rPr>
              <w:t> </w:t>
            </w:r>
          </w:p>
        </w:tc>
      </w:tr>
      <w:tr w:rsidR="00827E7B" w14:paraId="7B920D89"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5AAF4A15"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11B9F733"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264D24C3" w14:textId="77777777" w:rsidR="00827E7B" w:rsidRDefault="00827E7B">
            <w:pPr>
              <w:rPr>
                <w:sz w:val="20"/>
                <w:szCs w:val="20"/>
              </w:rPr>
            </w:pPr>
            <w:r>
              <w:rPr>
                <w:sz w:val="20"/>
                <w:szCs w:val="20"/>
              </w:rPr>
              <w:t> </w:t>
            </w:r>
          </w:p>
        </w:tc>
        <w:tc>
          <w:tcPr>
            <w:tcW w:w="2585" w:type="dxa"/>
            <w:tcBorders>
              <w:top w:val="single" w:sz="8" w:space="0" w:color="FFFFFF"/>
              <w:left w:val="nil"/>
              <w:bottom w:val="single" w:sz="8" w:space="0" w:color="FFFFFF"/>
              <w:right w:val="single" w:sz="8" w:space="0" w:color="FFFFFF"/>
            </w:tcBorders>
            <w:shd w:val="clear" w:color="auto" w:fill="auto"/>
            <w:noWrap/>
            <w:vAlign w:val="bottom"/>
            <w:hideMark/>
          </w:tcPr>
          <w:p w14:paraId="78882062"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194F3DC0" w14:textId="77777777" w:rsidR="00827E7B" w:rsidRDefault="00827E7B">
            <w:pPr>
              <w:rPr>
                <w:sz w:val="20"/>
                <w:szCs w:val="20"/>
              </w:rPr>
            </w:pPr>
            <w:r>
              <w:rPr>
                <w:sz w:val="20"/>
                <w:szCs w:val="20"/>
              </w:rPr>
              <w:t> </w:t>
            </w:r>
          </w:p>
        </w:tc>
        <w:tc>
          <w:tcPr>
            <w:tcW w:w="2825" w:type="dxa"/>
            <w:tcBorders>
              <w:top w:val="single" w:sz="8" w:space="0" w:color="FFFFFF"/>
              <w:left w:val="nil"/>
              <w:bottom w:val="nil"/>
              <w:right w:val="single" w:sz="8" w:space="0" w:color="FFFFFF"/>
            </w:tcBorders>
            <w:shd w:val="clear" w:color="auto" w:fill="auto"/>
            <w:noWrap/>
            <w:vAlign w:val="bottom"/>
            <w:hideMark/>
          </w:tcPr>
          <w:p w14:paraId="1000A2D4"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03735BB6" w14:textId="77777777" w:rsidR="00827E7B" w:rsidRDefault="00827E7B">
            <w:pPr>
              <w:rPr>
                <w:sz w:val="20"/>
                <w:szCs w:val="20"/>
              </w:rPr>
            </w:pPr>
            <w:r>
              <w:rPr>
                <w:sz w:val="20"/>
                <w:szCs w:val="20"/>
              </w:rPr>
              <w:t> </w:t>
            </w:r>
          </w:p>
        </w:tc>
      </w:tr>
      <w:tr w:rsidR="00827E7B" w14:paraId="162F596A" w14:textId="77777777" w:rsidTr="00827E7B">
        <w:trPr>
          <w:trHeight w:val="315"/>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2D1E385B"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7B64D0FF" w14:textId="77777777" w:rsidR="00827E7B" w:rsidRDefault="00827E7B">
            <w:pPr>
              <w:rPr>
                <w:sz w:val="20"/>
                <w:szCs w:val="20"/>
              </w:rPr>
            </w:pPr>
            <w:r>
              <w:rPr>
                <w:sz w:val="20"/>
                <w:szCs w:val="20"/>
              </w:rPr>
              <w:t> </w:t>
            </w:r>
          </w:p>
        </w:tc>
        <w:tc>
          <w:tcPr>
            <w:tcW w:w="154" w:type="dxa"/>
            <w:tcBorders>
              <w:top w:val="nil"/>
              <w:left w:val="nil"/>
              <w:bottom w:val="nil"/>
              <w:right w:val="nil"/>
            </w:tcBorders>
            <w:shd w:val="clear" w:color="auto" w:fill="auto"/>
            <w:noWrap/>
            <w:vAlign w:val="bottom"/>
            <w:hideMark/>
          </w:tcPr>
          <w:p w14:paraId="65B2D3F3" w14:textId="77777777" w:rsidR="00827E7B" w:rsidRDefault="00827E7B">
            <w:pPr>
              <w:rPr>
                <w:sz w:val="20"/>
                <w:szCs w:val="20"/>
              </w:rPr>
            </w:pPr>
          </w:p>
        </w:tc>
        <w:tc>
          <w:tcPr>
            <w:tcW w:w="2585" w:type="dxa"/>
            <w:tcBorders>
              <w:top w:val="nil"/>
              <w:left w:val="single" w:sz="8" w:space="0" w:color="FFFFFF"/>
              <w:bottom w:val="single" w:sz="8" w:space="0" w:color="FFFFFF"/>
              <w:right w:val="single" w:sz="8" w:space="0" w:color="FFFFFF"/>
            </w:tcBorders>
            <w:shd w:val="clear" w:color="auto" w:fill="auto"/>
            <w:noWrap/>
            <w:vAlign w:val="bottom"/>
            <w:hideMark/>
          </w:tcPr>
          <w:p w14:paraId="187A014C" w14:textId="77777777" w:rsidR="00827E7B" w:rsidRDefault="00827E7B">
            <w:pPr>
              <w:rPr>
                <w:sz w:val="20"/>
                <w:szCs w:val="20"/>
              </w:rPr>
            </w:pPr>
            <w:r>
              <w:rPr>
                <w:sz w:val="20"/>
                <w:szCs w:val="20"/>
              </w:rPr>
              <w:t> </w:t>
            </w:r>
          </w:p>
        </w:tc>
        <w:tc>
          <w:tcPr>
            <w:tcW w:w="1760" w:type="dxa"/>
            <w:tcBorders>
              <w:top w:val="nil"/>
              <w:left w:val="nil"/>
              <w:bottom w:val="single" w:sz="8" w:space="0" w:color="FFFFFF"/>
              <w:right w:val="nil"/>
            </w:tcBorders>
            <w:shd w:val="clear" w:color="auto" w:fill="auto"/>
            <w:noWrap/>
            <w:vAlign w:val="bottom"/>
            <w:hideMark/>
          </w:tcPr>
          <w:p w14:paraId="1B90894B" w14:textId="77777777" w:rsidR="00827E7B" w:rsidRDefault="00827E7B">
            <w:pPr>
              <w:rPr>
                <w:sz w:val="20"/>
                <w:szCs w:val="20"/>
              </w:rPr>
            </w:pPr>
            <w:r>
              <w:rPr>
                <w:sz w:val="20"/>
                <w:szCs w:val="20"/>
              </w:rPr>
              <w:t> </w:t>
            </w:r>
          </w:p>
        </w:tc>
        <w:tc>
          <w:tcPr>
            <w:tcW w:w="2825" w:type="dxa"/>
            <w:tcBorders>
              <w:top w:val="nil"/>
              <w:left w:val="nil"/>
              <w:bottom w:val="nil"/>
              <w:right w:val="nil"/>
            </w:tcBorders>
            <w:shd w:val="clear" w:color="auto" w:fill="auto"/>
            <w:noWrap/>
            <w:vAlign w:val="bottom"/>
            <w:hideMark/>
          </w:tcPr>
          <w:p w14:paraId="12EFBD11" w14:textId="77777777" w:rsidR="00827E7B" w:rsidRDefault="00827E7B">
            <w:pPr>
              <w:rPr>
                <w:sz w:val="20"/>
                <w:szCs w:val="20"/>
              </w:rPr>
            </w:pPr>
          </w:p>
        </w:tc>
        <w:tc>
          <w:tcPr>
            <w:tcW w:w="1760" w:type="dxa"/>
            <w:tcBorders>
              <w:top w:val="nil"/>
              <w:left w:val="nil"/>
              <w:bottom w:val="nil"/>
              <w:right w:val="single" w:sz="8" w:space="0" w:color="auto"/>
            </w:tcBorders>
            <w:shd w:val="clear" w:color="auto" w:fill="auto"/>
            <w:noWrap/>
            <w:vAlign w:val="bottom"/>
            <w:hideMark/>
          </w:tcPr>
          <w:p w14:paraId="1234FF35" w14:textId="77777777" w:rsidR="00827E7B" w:rsidRDefault="00827E7B">
            <w:pPr>
              <w:rPr>
                <w:rFonts w:ascii="Calibri" w:hAnsi="Calibri" w:cs="Calibri"/>
                <w:color w:val="000000"/>
                <w:sz w:val="22"/>
                <w:szCs w:val="22"/>
              </w:rPr>
            </w:pPr>
            <w:r>
              <w:rPr>
                <w:rFonts w:ascii="Calibri" w:hAnsi="Calibri" w:cs="Calibri"/>
                <w:color w:val="000000"/>
                <w:sz w:val="22"/>
                <w:szCs w:val="22"/>
              </w:rPr>
              <w:t> </w:t>
            </w:r>
          </w:p>
        </w:tc>
      </w:tr>
      <w:tr w:rsidR="00827E7B" w14:paraId="50F38151"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31860416"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7D578BE4" w14:textId="77777777" w:rsidR="00827E7B" w:rsidRDefault="00827E7B">
            <w:pPr>
              <w:rPr>
                <w:sz w:val="20"/>
                <w:szCs w:val="20"/>
              </w:rPr>
            </w:pPr>
            <w:r>
              <w:rPr>
                <w:sz w:val="20"/>
                <w:szCs w:val="20"/>
              </w:rPr>
              <w:t> </w:t>
            </w:r>
          </w:p>
        </w:tc>
        <w:tc>
          <w:tcPr>
            <w:tcW w:w="154" w:type="dxa"/>
            <w:tcBorders>
              <w:top w:val="single" w:sz="8" w:space="0" w:color="FFFFFF"/>
              <w:left w:val="nil"/>
              <w:bottom w:val="single" w:sz="8" w:space="0" w:color="FFFFFF"/>
              <w:right w:val="single" w:sz="8" w:space="0" w:color="FFFFFF"/>
            </w:tcBorders>
            <w:shd w:val="clear" w:color="auto" w:fill="auto"/>
            <w:noWrap/>
            <w:vAlign w:val="bottom"/>
            <w:hideMark/>
          </w:tcPr>
          <w:p w14:paraId="229EAA1C"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3BF0A673"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1A2E5F0C"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00011DF7" w14:textId="77777777" w:rsidR="00827E7B" w:rsidRDefault="00827E7B">
            <w:pPr>
              <w:rPr>
                <w:sz w:val="20"/>
                <w:szCs w:val="20"/>
              </w:rPr>
            </w:pPr>
            <w:r>
              <w:rPr>
                <w:sz w:val="20"/>
                <w:szCs w:val="20"/>
              </w:rPr>
              <w:t> </w:t>
            </w:r>
          </w:p>
        </w:tc>
        <w:tc>
          <w:tcPr>
            <w:tcW w:w="1760" w:type="dxa"/>
            <w:tcBorders>
              <w:top w:val="single" w:sz="8" w:space="0" w:color="FFFFFF"/>
              <w:left w:val="nil"/>
              <w:bottom w:val="single" w:sz="8" w:space="0" w:color="FFFFFF"/>
              <w:right w:val="single" w:sz="8" w:space="0" w:color="auto"/>
            </w:tcBorders>
            <w:shd w:val="clear" w:color="auto" w:fill="auto"/>
            <w:noWrap/>
            <w:vAlign w:val="bottom"/>
            <w:hideMark/>
          </w:tcPr>
          <w:p w14:paraId="45E72E99" w14:textId="77777777" w:rsidR="00827E7B" w:rsidRDefault="00827E7B">
            <w:pPr>
              <w:rPr>
                <w:sz w:val="20"/>
                <w:szCs w:val="20"/>
              </w:rPr>
            </w:pPr>
            <w:r>
              <w:rPr>
                <w:sz w:val="20"/>
                <w:szCs w:val="20"/>
              </w:rPr>
              <w:t> </w:t>
            </w:r>
          </w:p>
        </w:tc>
      </w:tr>
      <w:tr w:rsidR="00827E7B" w14:paraId="1704D3A7"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28B4F10B"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40900D0F"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7151DF06"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6CE5DC91"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494B9C63"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74BB6996"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54CEA7B6" w14:textId="77777777" w:rsidR="00827E7B" w:rsidRDefault="00827E7B">
            <w:pPr>
              <w:rPr>
                <w:sz w:val="20"/>
                <w:szCs w:val="20"/>
              </w:rPr>
            </w:pPr>
            <w:r>
              <w:rPr>
                <w:sz w:val="20"/>
                <w:szCs w:val="20"/>
              </w:rPr>
              <w:t> </w:t>
            </w:r>
          </w:p>
        </w:tc>
      </w:tr>
      <w:tr w:rsidR="00827E7B" w14:paraId="3792410E"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2F385BAD"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2021C38E"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4A57F1E8"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2AE82A86"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27B416F8"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42E1FC17"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7290C995" w14:textId="77777777" w:rsidR="00827E7B" w:rsidRDefault="00827E7B">
            <w:pPr>
              <w:rPr>
                <w:sz w:val="20"/>
                <w:szCs w:val="20"/>
              </w:rPr>
            </w:pPr>
            <w:r>
              <w:rPr>
                <w:sz w:val="20"/>
                <w:szCs w:val="20"/>
              </w:rPr>
              <w:t> </w:t>
            </w:r>
          </w:p>
        </w:tc>
      </w:tr>
      <w:tr w:rsidR="00827E7B" w14:paraId="21A218A3"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00D68D88"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42004CE8"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20934A75"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4D9C3834"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7D250A97"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11142BAF"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4DDC908C" w14:textId="77777777" w:rsidR="00827E7B" w:rsidRDefault="00827E7B">
            <w:pPr>
              <w:rPr>
                <w:sz w:val="20"/>
                <w:szCs w:val="20"/>
              </w:rPr>
            </w:pPr>
            <w:r>
              <w:rPr>
                <w:sz w:val="20"/>
                <w:szCs w:val="20"/>
              </w:rPr>
              <w:t> </w:t>
            </w:r>
          </w:p>
        </w:tc>
      </w:tr>
      <w:tr w:rsidR="00827E7B" w14:paraId="076D12DE" w14:textId="77777777" w:rsidTr="00827E7B">
        <w:trPr>
          <w:trHeight w:val="270"/>
        </w:trPr>
        <w:tc>
          <w:tcPr>
            <w:tcW w:w="155" w:type="dxa"/>
            <w:tcBorders>
              <w:top w:val="nil"/>
              <w:left w:val="single" w:sz="8" w:space="0" w:color="auto"/>
              <w:bottom w:val="single" w:sz="8" w:space="0" w:color="FFFFFF"/>
              <w:right w:val="single" w:sz="8" w:space="0" w:color="FFFFFF"/>
            </w:tcBorders>
            <w:shd w:val="clear" w:color="auto" w:fill="auto"/>
            <w:noWrap/>
            <w:vAlign w:val="bottom"/>
            <w:hideMark/>
          </w:tcPr>
          <w:p w14:paraId="6297ED85" w14:textId="77777777" w:rsidR="00827E7B" w:rsidRDefault="00827E7B">
            <w:pPr>
              <w:rPr>
                <w:sz w:val="20"/>
                <w:szCs w:val="20"/>
              </w:rPr>
            </w:pPr>
            <w:r>
              <w:rPr>
                <w:sz w:val="20"/>
                <w:szCs w:val="20"/>
              </w:rPr>
              <w:t> </w:t>
            </w:r>
          </w:p>
        </w:tc>
        <w:tc>
          <w:tcPr>
            <w:tcW w:w="4751" w:type="dxa"/>
            <w:tcBorders>
              <w:top w:val="nil"/>
              <w:left w:val="nil"/>
              <w:bottom w:val="single" w:sz="8" w:space="0" w:color="FFFFFF"/>
              <w:right w:val="single" w:sz="8" w:space="0" w:color="FFFFFF"/>
            </w:tcBorders>
            <w:shd w:val="clear" w:color="auto" w:fill="auto"/>
            <w:noWrap/>
            <w:vAlign w:val="bottom"/>
            <w:hideMark/>
          </w:tcPr>
          <w:p w14:paraId="797FEC04" w14:textId="77777777" w:rsidR="00827E7B" w:rsidRDefault="00827E7B">
            <w:pPr>
              <w:rPr>
                <w:sz w:val="20"/>
                <w:szCs w:val="20"/>
              </w:rPr>
            </w:pPr>
            <w:r>
              <w:rPr>
                <w:sz w:val="20"/>
                <w:szCs w:val="20"/>
              </w:rPr>
              <w:t> </w:t>
            </w:r>
          </w:p>
        </w:tc>
        <w:tc>
          <w:tcPr>
            <w:tcW w:w="154" w:type="dxa"/>
            <w:tcBorders>
              <w:top w:val="nil"/>
              <w:left w:val="nil"/>
              <w:bottom w:val="single" w:sz="8" w:space="0" w:color="FFFFFF"/>
              <w:right w:val="single" w:sz="8" w:space="0" w:color="FFFFFF"/>
            </w:tcBorders>
            <w:shd w:val="clear" w:color="auto" w:fill="auto"/>
            <w:noWrap/>
            <w:vAlign w:val="bottom"/>
            <w:hideMark/>
          </w:tcPr>
          <w:p w14:paraId="3B8E5A74" w14:textId="77777777" w:rsidR="00827E7B" w:rsidRDefault="00827E7B">
            <w:pPr>
              <w:rPr>
                <w:sz w:val="20"/>
                <w:szCs w:val="20"/>
              </w:rPr>
            </w:pPr>
            <w:r>
              <w:rPr>
                <w:sz w:val="20"/>
                <w:szCs w:val="20"/>
              </w:rPr>
              <w:t> </w:t>
            </w:r>
          </w:p>
        </w:tc>
        <w:tc>
          <w:tcPr>
            <w:tcW w:w="2585" w:type="dxa"/>
            <w:tcBorders>
              <w:top w:val="nil"/>
              <w:left w:val="nil"/>
              <w:bottom w:val="single" w:sz="8" w:space="0" w:color="FFFFFF"/>
              <w:right w:val="single" w:sz="8" w:space="0" w:color="FFFFFF"/>
            </w:tcBorders>
            <w:shd w:val="clear" w:color="auto" w:fill="auto"/>
            <w:noWrap/>
            <w:vAlign w:val="bottom"/>
            <w:hideMark/>
          </w:tcPr>
          <w:p w14:paraId="5F30D780"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FFFFFF"/>
            </w:tcBorders>
            <w:shd w:val="clear" w:color="auto" w:fill="auto"/>
            <w:noWrap/>
            <w:vAlign w:val="bottom"/>
            <w:hideMark/>
          </w:tcPr>
          <w:p w14:paraId="6FC82EA7" w14:textId="77777777" w:rsidR="00827E7B" w:rsidRDefault="00827E7B">
            <w:pPr>
              <w:rPr>
                <w:sz w:val="20"/>
                <w:szCs w:val="20"/>
              </w:rPr>
            </w:pPr>
            <w:r>
              <w:rPr>
                <w:sz w:val="20"/>
                <w:szCs w:val="20"/>
              </w:rPr>
              <w:t> </w:t>
            </w:r>
          </w:p>
        </w:tc>
        <w:tc>
          <w:tcPr>
            <w:tcW w:w="2825" w:type="dxa"/>
            <w:tcBorders>
              <w:top w:val="nil"/>
              <w:left w:val="nil"/>
              <w:bottom w:val="single" w:sz="8" w:space="0" w:color="FFFFFF"/>
              <w:right w:val="single" w:sz="8" w:space="0" w:color="FFFFFF"/>
            </w:tcBorders>
            <w:shd w:val="clear" w:color="auto" w:fill="auto"/>
            <w:noWrap/>
            <w:vAlign w:val="bottom"/>
            <w:hideMark/>
          </w:tcPr>
          <w:p w14:paraId="6DB29EBF" w14:textId="77777777" w:rsidR="00827E7B" w:rsidRDefault="00827E7B">
            <w:pPr>
              <w:rPr>
                <w:sz w:val="20"/>
                <w:szCs w:val="20"/>
              </w:rPr>
            </w:pPr>
            <w:r>
              <w:rPr>
                <w:sz w:val="20"/>
                <w:szCs w:val="20"/>
              </w:rPr>
              <w:t> </w:t>
            </w:r>
          </w:p>
        </w:tc>
        <w:tc>
          <w:tcPr>
            <w:tcW w:w="1760" w:type="dxa"/>
            <w:tcBorders>
              <w:top w:val="nil"/>
              <w:left w:val="nil"/>
              <w:bottom w:val="single" w:sz="8" w:space="0" w:color="FFFFFF"/>
              <w:right w:val="single" w:sz="8" w:space="0" w:color="auto"/>
            </w:tcBorders>
            <w:shd w:val="clear" w:color="auto" w:fill="auto"/>
            <w:noWrap/>
            <w:vAlign w:val="bottom"/>
            <w:hideMark/>
          </w:tcPr>
          <w:p w14:paraId="7880FCBF" w14:textId="77777777" w:rsidR="00827E7B" w:rsidRDefault="00827E7B">
            <w:pPr>
              <w:rPr>
                <w:sz w:val="20"/>
                <w:szCs w:val="20"/>
              </w:rPr>
            </w:pPr>
            <w:r>
              <w:rPr>
                <w:sz w:val="20"/>
                <w:szCs w:val="20"/>
              </w:rPr>
              <w:t> </w:t>
            </w:r>
          </w:p>
        </w:tc>
      </w:tr>
      <w:tr w:rsidR="00827E7B" w14:paraId="7F281452" w14:textId="77777777" w:rsidTr="00827E7B">
        <w:trPr>
          <w:trHeight w:val="270"/>
        </w:trPr>
        <w:tc>
          <w:tcPr>
            <w:tcW w:w="155" w:type="dxa"/>
            <w:tcBorders>
              <w:top w:val="nil"/>
              <w:left w:val="single" w:sz="8" w:space="0" w:color="auto"/>
              <w:bottom w:val="nil"/>
              <w:right w:val="single" w:sz="8" w:space="0" w:color="FFFFFF"/>
            </w:tcBorders>
            <w:shd w:val="clear" w:color="auto" w:fill="auto"/>
            <w:noWrap/>
            <w:vAlign w:val="bottom"/>
            <w:hideMark/>
          </w:tcPr>
          <w:p w14:paraId="7E797C47" w14:textId="77777777" w:rsidR="00827E7B" w:rsidRDefault="00827E7B">
            <w:pPr>
              <w:rPr>
                <w:sz w:val="20"/>
                <w:szCs w:val="20"/>
              </w:rPr>
            </w:pPr>
            <w:r>
              <w:rPr>
                <w:sz w:val="20"/>
                <w:szCs w:val="20"/>
              </w:rPr>
              <w:t> </w:t>
            </w:r>
          </w:p>
        </w:tc>
        <w:tc>
          <w:tcPr>
            <w:tcW w:w="4751" w:type="dxa"/>
            <w:tcBorders>
              <w:top w:val="nil"/>
              <w:left w:val="nil"/>
              <w:bottom w:val="nil"/>
              <w:right w:val="single" w:sz="8" w:space="0" w:color="FFFFFF"/>
            </w:tcBorders>
            <w:shd w:val="clear" w:color="auto" w:fill="auto"/>
            <w:noWrap/>
            <w:vAlign w:val="bottom"/>
            <w:hideMark/>
          </w:tcPr>
          <w:p w14:paraId="15A1A163" w14:textId="77777777" w:rsidR="00827E7B" w:rsidRDefault="00827E7B">
            <w:pPr>
              <w:rPr>
                <w:sz w:val="20"/>
                <w:szCs w:val="20"/>
              </w:rPr>
            </w:pPr>
            <w:r>
              <w:rPr>
                <w:sz w:val="20"/>
                <w:szCs w:val="20"/>
              </w:rPr>
              <w:t> </w:t>
            </w:r>
          </w:p>
        </w:tc>
        <w:tc>
          <w:tcPr>
            <w:tcW w:w="154" w:type="dxa"/>
            <w:tcBorders>
              <w:top w:val="nil"/>
              <w:left w:val="nil"/>
              <w:bottom w:val="nil"/>
              <w:right w:val="single" w:sz="8" w:space="0" w:color="FFFFFF"/>
            </w:tcBorders>
            <w:shd w:val="clear" w:color="auto" w:fill="auto"/>
            <w:noWrap/>
            <w:vAlign w:val="bottom"/>
            <w:hideMark/>
          </w:tcPr>
          <w:p w14:paraId="74B91486" w14:textId="77777777" w:rsidR="00827E7B" w:rsidRDefault="00827E7B">
            <w:pPr>
              <w:rPr>
                <w:sz w:val="20"/>
                <w:szCs w:val="20"/>
              </w:rPr>
            </w:pPr>
            <w:r>
              <w:rPr>
                <w:sz w:val="20"/>
                <w:szCs w:val="20"/>
              </w:rPr>
              <w:t> </w:t>
            </w:r>
          </w:p>
        </w:tc>
        <w:tc>
          <w:tcPr>
            <w:tcW w:w="2585" w:type="dxa"/>
            <w:tcBorders>
              <w:top w:val="nil"/>
              <w:left w:val="nil"/>
              <w:bottom w:val="nil"/>
              <w:right w:val="single" w:sz="8" w:space="0" w:color="FFFFFF"/>
            </w:tcBorders>
            <w:shd w:val="clear" w:color="auto" w:fill="auto"/>
            <w:noWrap/>
            <w:vAlign w:val="bottom"/>
            <w:hideMark/>
          </w:tcPr>
          <w:p w14:paraId="7B555668" w14:textId="77777777" w:rsidR="00827E7B" w:rsidRDefault="00827E7B">
            <w:pPr>
              <w:rPr>
                <w:sz w:val="20"/>
                <w:szCs w:val="20"/>
              </w:rPr>
            </w:pPr>
            <w:r>
              <w:rPr>
                <w:sz w:val="20"/>
                <w:szCs w:val="20"/>
              </w:rPr>
              <w:t> </w:t>
            </w:r>
          </w:p>
        </w:tc>
        <w:tc>
          <w:tcPr>
            <w:tcW w:w="1760" w:type="dxa"/>
            <w:tcBorders>
              <w:top w:val="nil"/>
              <w:left w:val="nil"/>
              <w:bottom w:val="nil"/>
              <w:right w:val="single" w:sz="8" w:space="0" w:color="FFFFFF"/>
            </w:tcBorders>
            <w:shd w:val="clear" w:color="auto" w:fill="auto"/>
            <w:noWrap/>
            <w:vAlign w:val="bottom"/>
            <w:hideMark/>
          </w:tcPr>
          <w:p w14:paraId="13E0CC32" w14:textId="77777777" w:rsidR="00827E7B" w:rsidRDefault="00827E7B">
            <w:pPr>
              <w:rPr>
                <w:sz w:val="20"/>
                <w:szCs w:val="20"/>
              </w:rPr>
            </w:pPr>
            <w:r>
              <w:rPr>
                <w:sz w:val="20"/>
                <w:szCs w:val="20"/>
              </w:rPr>
              <w:t> </w:t>
            </w:r>
          </w:p>
        </w:tc>
        <w:tc>
          <w:tcPr>
            <w:tcW w:w="2825" w:type="dxa"/>
            <w:tcBorders>
              <w:top w:val="nil"/>
              <w:left w:val="nil"/>
              <w:bottom w:val="nil"/>
              <w:right w:val="single" w:sz="8" w:space="0" w:color="FFFFFF"/>
            </w:tcBorders>
            <w:shd w:val="clear" w:color="auto" w:fill="auto"/>
            <w:noWrap/>
            <w:vAlign w:val="bottom"/>
            <w:hideMark/>
          </w:tcPr>
          <w:p w14:paraId="320649BF" w14:textId="77777777" w:rsidR="00827E7B" w:rsidRDefault="00827E7B">
            <w:pPr>
              <w:rPr>
                <w:sz w:val="20"/>
                <w:szCs w:val="20"/>
              </w:rPr>
            </w:pPr>
            <w:r>
              <w:rPr>
                <w:sz w:val="20"/>
                <w:szCs w:val="20"/>
              </w:rPr>
              <w:t> </w:t>
            </w:r>
          </w:p>
        </w:tc>
        <w:tc>
          <w:tcPr>
            <w:tcW w:w="1760" w:type="dxa"/>
            <w:tcBorders>
              <w:top w:val="nil"/>
              <w:left w:val="nil"/>
              <w:bottom w:val="nil"/>
              <w:right w:val="single" w:sz="8" w:space="0" w:color="auto"/>
            </w:tcBorders>
            <w:shd w:val="clear" w:color="auto" w:fill="auto"/>
            <w:noWrap/>
            <w:vAlign w:val="bottom"/>
            <w:hideMark/>
          </w:tcPr>
          <w:p w14:paraId="3647E4FA" w14:textId="77777777" w:rsidR="00827E7B" w:rsidRDefault="00827E7B">
            <w:pPr>
              <w:rPr>
                <w:sz w:val="20"/>
                <w:szCs w:val="20"/>
              </w:rPr>
            </w:pPr>
            <w:r>
              <w:rPr>
                <w:sz w:val="20"/>
                <w:szCs w:val="20"/>
              </w:rPr>
              <w:t> </w:t>
            </w:r>
          </w:p>
        </w:tc>
      </w:tr>
      <w:tr w:rsidR="00827E7B" w14:paraId="7A4EB737" w14:textId="77777777" w:rsidTr="00827E7B">
        <w:trPr>
          <w:trHeight w:val="270"/>
        </w:trPr>
        <w:tc>
          <w:tcPr>
            <w:tcW w:w="155" w:type="dxa"/>
            <w:tcBorders>
              <w:top w:val="single" w:sz="8" w:space="0" w:color="FFFFFF"/>
              <w:left w:val="single" w:sz="8" w:space="0" w:color="auto"/>
              <w:bottom w:val="single" w:sz="8" w:space="0" w:color="auto"/>
              <w:right w:val="single" w:sz="8" w:space="0" w:color="FFFFFF"/>
            </w:tcBorders>
            <w:shd w:val="clear" w:color="auto" w:fill="auto"/>
            <w:noWrap/>
            <w:vAlign w:val="bottom"/>
            <w:hideMark/>
          </w:tcPr>
          <w:p w14:paraId="3FA09542" w14:textId="77777777" w:rsidR="00827E7B" w:rsidRDefault="00827E7B">
            <w:pPr>
              <w:rPr>
                <w:sz w:val="20"/>
                <w:szCs w:val="20"/>
              </w:rPr>
            </w:pPr>
            <w:r>
              <w:rPr>
                <w:sz w:val="20"/>
                <w:szCs w:val="20"/>
              </w:rPr>
              <w:t> </w:t>
            </w:r>
          </w:p>
        </w:tc>
        <w:tc>
          <w:tcPr>
            <w:tcW w:w="4751" w:type="dxa"/>
            <w:tcBorders>
              <w:top w:val="single" w:sz="8" w:space="0" w:color="FFFFFF"/>
              <w:left w:val="nil"/>
              <w:bottom w:val="single" w:sz="8" w:space="0" w:color="auto"/>
              <w:right w:val="single" w:sz="8" w:space="0" w:color="FFFFFF"/>
            </w:tcBorders>
            <w:shd w:val="clear" w:color="auto" w:fill="auto"/>
            <w:noWrap/>
            <w:vAlign w:val="bottom"/>
            <w:hideMark/>
          </w:tcPr>
          <w:p w14:paraId="0E8AEE67" w14:textId="77777777" w:rsidR="00827E7B" w:rsidRDefault="00827E7B">
            <w:pPr>
              <w:rPr>
                <w:sz w:val="20"/>
                <w:szCs w:val="20"/>
              </w:rPr>
            </w:pPr>
            <w:r>
              <w:rPr>
                <w:sz w:val="20"/>
                <w:szCs w:val="20"/>
              </w:rPr>
              <w:t> </w:t>
            </w:r>
          </w:p>
        </w:tc>
        <w:tc>
          <w:tcPr>
            <w:tcW w:w="154" w:type="dxa"/>
            <w:tcBorders>
              <w:top w:val="single" w:sz="8" w:space="0" w:color="FFFFFF"/>
              <w:left w:val="nil"/>
              <w:bottom w:val="single" w:sz="8" w:space="0" w:color="auto"/>
              <w:right w:val="single" w:sz="8" w:space="0" w:color="FFFFFF"/>
            </w:tcBorders>
            <w:shd w:val="clear" w:color="auto" w:fill="auto"/>
            <w:noWrap/>
            <w:vAlign w:val="bottom"/>
            <w:hideMark/>
          </w:tcPr>
          <w:p w14:paraId="02E8AEB4" w14:textId="77777777" w:rsidR="00827E7B" w:rsidRDefault="00827E7B">
            <w:pPr>
              <w:rPr>
                <w:sz w:val="20"/>
                <w:szCs w:val="20"/>
              </w:rPr>
            </w:pPr>
            <w:r>
              <w:rPr>
                <w:sz w:val="20"/>
                <w:szCs w:val="20"/>
              </w:rPr>
              <w:t> </w:t>
            </w:r>
          </w:p>
        </w:tc>
        <w:tc>
          <w:tcPr>
            <w:tcW w:w="2585" w:type="dxa"/>
            <w:tcBorders>
              <w:top w:val="single" w:sz="8" w:space="0" w:color="FFFFFF"/>
              <w:left w:val="nil"/>
              <w:bottom w:val="single" w:sz="8" w:space="0" w:color="auto"/>
              <w:right w:val="single" w:sz="8" w:space="0" w:color="FFFFFF"/>
            </w:tcBorders>
            <w:shd w:val="clear" w:color="auto" w:fill="auto"/>
            <w:noWrap/>
            <w:vAlign w:val="bottom"/>
            <w:hideMark/>
          </w:tcPr>
          <w:p w14:paraId="3382D53B" w14:textId="77777777" w:rsidR="00827E7B" w:rsidRDefault="00827E7B">
            <w:pPr>
              <w:rPr>
                <w:sz w:val="20"/>
                <w:szCs w:val="20"/>
              </w:rPr>
            </w:pPr>
            <w:r>
              <w:rPr>
                <w:sz w:val="20"/>
                <w:szCs w:val="20"/>
              </w:rPr>
              <w:t> </w:t>
            </w:r>
          </w:p>
        </w:tc>
        <w:tc>
          <w:tcPr>
            <w:tcW w:w="1760" w:type="dxa"/>
            <w:tcBorders>
              <w:top w:val="single" w:sz="8" w:space="0" w:color="FFFFFF"/>
              <w:left w:val="nil"/>
              <w:bottom w:val="single" w:sz="8" w:space="0" w:color="auto"/>
              <w:right w:val="single" w:sz="8" w:space="0" w:color="FFFFFF"/>
            </w:tcBorders>
            <w:shd w:val="clear" w:color="auto" w:fill="auto"/>
            <w:noWrap/>
            <w:vAlign w:val="bottom"/>
            <w:hideMark/>
          </w:tcPr>
          <w:p w14:paraId="3D3B07DC" w14:textId="77777777" w:rsidR="00827E7B" w:rsidRDefault="00827E7B">
            <w:pPr>
              <w:rPr>
                <w:sz w:val="20"/>
                <w:szCs w:val="20"/>
              </w:rPr>
            </w:pPr>
            <w:r>
              <w:rPr>
                <w:sz w:val="20"/>
                <w:szCs w:val="20"/>
              </w:rPr>
              <w:t> </w:t>
            </w:r>
          </w:p>
        </w:tc>
        <w:tc>
          <w:tcPr>
            <w:tcW w:w="2825" w:type="dxa"/>
            <w:tcBorders>
              <w:top w:val="single" w:sz="8" w:space="0" w:color="FFFFFF"/>
              <w:left w:val="nil"/>
              <w:bottom w:val="single" w:sz="8" w:space="0" w:color="auto"/>
              <w:right w:val="single" w:sz="8" w:space="0" w:color="FFFFFF"/>
            </w:tcBorders>
            <w:shd w:val="clear" w:color="auto" w:fill="auto"/>
            <w:noWrap/>
            <w:vAlign w:val="bottom"/>
            <w:hideMark/>
          </w:tcPr>
          <w:p w14:paraId="1CA96215" w14:textId="77777777" w:rsidR="00827E7B" w:rsidRDefault="00827E7B">
            <w:pPr>
              <w:rPr>
                <w:sz w:val="20"/>
                <w:szCs w:val="20"/>
              </w:rPr>
            </w:pPr>
            <w:r>
              <w:rPr>
                <w:sz w:val="20"/>
                <w:szCs w:val="20"/>
              </w:rPr>
              <w:t> </w:t>
            </w:r>
          </w:p>
        </w:tc>
        <w:tc>
          <w:tcPr>
            <w:tcW w:w="1760" w:type="dxa"/>
            <w:tcBorders>
              <w:top w:val="single" w:sz="8" w:space="0" w:color="FFFFFF"/>
              <w:left w:val="nil"/>
              <w:bottom w:val="single" w:sz="8" w:space="0" w:color="auto"/>
              <w:right w:val="single" w:sz="8" w:space="0" w:color="auto"/>
            </w:tcBorders>
            <w:shd w:val="clear" w:color="auto" w:fill="auto"/>
            <w:noWrap/>
            <w:vAlign w:val="bottom"/>
            <w:hideMark/>
          </w:tcPr>
          <w:p w14:paraId="29248D55" w14:textId="77777777" w:rsidR="00827E7B" w:rsidRDefault="00827E7B">
            <w:pPr>
              <w:rPr>
                <w:sz w:val="20"/>
                <w:szCs w:val="20"/>
              </w:rPr>
            </w:pPr>
            <w:r>
              <w:rPr>
                <w:sz w:val="20"/>
                <w:szCs w:val="20"/>
              </w:rPr>
              <w:t> </w:t>
            </w:r>
          </w:p>
        </w:tc>
      </w:tr>
    </w:tbl>
    <w:p w14:paraId="4299E5F2" w14:textId="38D7A1CE" w:rsidR="00827E7B" w:rsidRDefault="00827E7B" w:rsidP="00CC5338">
      <w:pPr>
        <w:autoSpaceDE w:val="0"/>
        <w:autoSpaceDN w:val="0"/>
        <w:adjustRightInd w:val="0"/>
      </w:pPr>
    </w:p>
    <w:p w14:paraId="43673A2C" w14:textId="771BA3A5" w:rsidR="00827E7B" w:rsidRDefault="00FF6011" w:rsidP="00CC5338">
      <w:pPr>
        <w:autoSpaceDE w:val="0"/>
        <w:autoSpaceDN w:val="0"/>
        <w:adjustRightInd w:val="0"/>
      </w:pPr>
      <w:r>
        <w:object w:dxaOrig="17418" w:dyaOrig="3744" w14:anchorId="0CF7B473">
          <v:shape id="_x0000_i1030" type="#_x0000_t75" style="width:726pt;height:156.75pt" o:ole="">
            <v:imagedata r:id="rId28" o:title=""/>
          </v:shape>
          <o:OLEObject Type="Embed" ProgID="Excel.Sheet.12" ShapeID="_x0000_i1030" DrawAspect="Content" ObjectID="_1661160795" r:id="rId29"/>
        </w:object>
      </w:r>
    </w:p>
    <w:p w14:paraId="417A4EA8" w14:textId="0C284F76" w:rsidR="00827E7B" w:rsidRDefault="00827E7B" w:rsidP="00CC5338">
      <w:pPr>
        <w:autoSpaceDE w:val="0"/>
        <w:autoSpaceDN w:val="0"/>
        <w:adjustRightInd w:val="0"/>
      </w:pPr>
    </w:p>
    <w:p w14:paraId="017D1FD6" w14:textId="4CF62FA9" w:rsidR="00827E7B" w:rsidRDefault="00827E7B" w:rsidP="00CC5338">
      <w:pPr>
        <w:autoSpaceDE w:val="0"/>
        <w:autoSpaceDN w:val="0"/>
        <w:adjustRightInd w:val="0"/>
      </w:pPr>
      <w:r>
        <w:br w:type="page"/>
      </w:r>
    </w:p>
    <w:p w14:paraId="1B8F4E2C" w14:textId="189B3F24" w:rsidR="00827E7B" w:rsidRDefault="00FF6011" w:rsidP="00CC5338">
      <w:pPr>
        <w:autoSpaceDE w:val="0"/>
        <w:autoSpaceDN w:val="0"/>
        <w:adjustRightInd w:val="0"/>
      </w:pPr>
      <w:r>
        <w:object w:dxaOrig="15310" w:dyaOrig="4865" w14:anchorId="21E83F95">
          <v:shape id="_x0000_i1031" type="#_x0000_t75" style="width:708pt;height:225pt" o:ole="">
            <v:imagedata r:id="rId30" o:title=""/>
          </v:shape>
          <o:OLEObject Type="Embed" ProgID="Excel.Sheet.12" ShapeID="_x0000_i1031" DrawAspect="Content" ObjectID="_1661160796" r:id="rId31"/>
        </w:object>
      </w:r>
    </w:p>
    <w:p w14:paraId="44DA5EE8" w14:textId="7504F26E" w:rsidR="00827E7B" w:rsidRDefault="00827E7B" w:rsidP="00CC5338">
      <w:pPr>
        <w:autoSpaceDE w:val="0"/>
        <w:autoSpaceDN w:val="0"/>
        <w:adjustRightInd w:val="0"/>
      </w:pPr>
      <w:r>
        <w:br w:type="page"/>
      </w:r>
    </w:p>
    <w:p w14:paraId="59D56E8E" w14:textId="54862712" w:rsidR="00827E7B" w:rsidRDefault="00827E7B" w:rsidP="00CC5338">
      <w:pPr>
        <w:autoSpaceDE w:val="0"/>
        <w:autoSpaceDN w:val="0"/>
        <w:adjustRightInd w:val="0"/>
      </w:pPr>
      <w:r>
        <w:object w:dxaOrig="14316" w:dyaOrig="6749" w14:anchorId="5BF80289">
          <v:shape id="_x0000_i1032" type="#_x0000_t75" style="width:715.5pt;height:336.75pt" o:ole="">
            <v:imagedata r:id="rId32" o:title=""/>
          </v:shape>
          <o:OLEObject Type="Embed" ProgID="Excel.Sheet.12" ShapeID="_x0000_i1032" DrawAspect="Content" ObjectID="_1661160797" r:id="rId33"/>
        </w:object>
      </w:r>
    </w:p>
    <w:p w14:paraId="3995CD8F" w14:textId="4C8D94AB" w:rsidR="00827E7B" w:rsidRDefault="00827E7B" w:rsidP="00CC5338">
      <w:pPr>
        <w:autoSpaceDE w:val="0"/>
        <w:autoSpaceDN w:val="0"/>
        <w:adjustRightInd w:val="0"/>
      </w:pPr>
      <w:r>
        <w:br w:type="page"/>
      </w:r>
    </w:p>
    <w:p w14:paraId="6E8D5483" w14:textId="1C7C30FD" w:rsidR="00827E7B" w:rsidRDefault="00FF6011" w:rsidP="00CC5338">
      <w:pPr>
        <w:autoSpaceDE w:val="0"/>
        <w:autoSpaceDN w:val="0"/>
        <w:adjustRightInd w:val="0"/>
      </w:pPr>
      <w:r>
        <w:object w:dxaOrig="20295" w:dyaOrig="6227" w14:anchorId="6270BDE3">
          <v:shape id="_x0000_i1033" type="#_x0000_t75" style="width:727.5pt;height:223.5pt" o:ole="">
            <v:imagedata r:id="rId34" o:title=""/>
          </v:shape>
          <o:OLEObject Type="Embed" ProgID="Excel.Sheet.12" ShapeID="_x0000_i1033" DrawAspect="Content" ObjectID="_1661160798" r:id="rId35"/>
        </w:object>
      </w:r>
    </w:p>
    <w:p w14:paraId="7D50BCC4" w14:textId="0654ABE9" w:rsidR="00827E7B" w:rsidRDefault="00827E7B" w:rsidP="00CC5338">
      <w:pPr>
        <w:autoSpaceDE w:val="0"/>
        <w:autoSpaceDN w:val="0"/>
        <w:adjustRightInd w:val="0"/>
      </w:pPr>
      <w:r>
        <w:br w:type="page"/>
      </w:r>
    </w:p>
    <w:p w14:paraId="7953B3C0" w14:textId="0432B9BC" w:rsidR="00827E7B" w:rsidRDefault="00827E7B" w:rsidP="00CC5338">
      <w:pPr>
        <w:autoSpaceDE w:val="0"/>
        <w:autoSpaceDN w:val="0"/>
        <w:adjustRightInd w:val="0"/>
      </w:pPr>
      <w:r>
        <w:object w:dxaOrig="10609" w:dyaOrig="5599" w14:anchorId="4B9DEA4F">
          <v:shape id="_x0000_i1034" type="#_x0000_t75" style="width:530.25pt;height:279.75pt" o:ole="">
            <v:imagedata r:id="rId36" o:title=""/>
          </v:shape>
          <o:OLEObject Type="Embed" ProgID="Excel.Sheet.12" ShapeID="_x0000_i1034" DrawAspect="Content" ObjectID="_1661160799" r:id="rId37"/>
        </w:object>
      </w:r>
    </w:p>
    <w:p w14:paraId="290C1D64" w14:textId="63029BC2" w:rsidR="00827E7B" w:rsidRDefault="00827E7B" w:rsidP="00CC5338">
      <w:pPr>
        <w:autoSpaceDE w:val="0"/>
        <w:autoSpaceDN w:val="0"/>
        <w:adjustRightInd w:val="0"/>
      </w:pPr>
      <w:r>
        <w:br w:type="page"/>
      </w:r>
    </w:p>
    <w:p w14:paraId="761E5AC8" w14:textId="2167543D" w:rsidR="00827E7B" w:rsidRDefault="00827E7B" w:rsidP="00CC5338">
      <w:pPr>
        <w:autoSpaceDE w:val="0"/>
        <w:autoSpaceDN w:val="0"/>
        <w:adjustRightInd w:val="0"/>
      </w:pPr>
      <w:r>
        <w:object w:dxaOrig="10714" w:dyaOrig="3783" w14:anchorId="4B0F34BF">
          <v:shape id="_x0000_i1035" type="#_x0000_t75" style="width:535.5pt;height:189pt" o:ole="">
            <v:imagedata r:id="rId38" o:title=""/>
          </v:shape>
          <o:OLEObject Type="Embed" ProgID="Excel.Sheet.12" ShapeID="_x0000_i1035" DrawAspect="Content" ObjectID="_1661160800" r:id="rId39"/>
        </w:object>
      </w:r>
    </w:p>
    <w:p w14:paraId="14175B44" w14:textId="410FC567" w:rsidR="00827E7B" w:rsidRDefault="00827E7B" w:rsidP="00CC5338">
      <w:pPr>
        <w:autoSpaceDE w:val="0"/>
        <w:autoSpaceDN w:val="0"/>
        <w:adjustRightInd w:val="0"/>
      </w:pPr>
      <w:r>
        <w:br w:type="page"/>
      </w:r>
    </w:p>
    <w:p w14:paraId="1514CCC6" w14:textId="46094CC8" w:rsidR="00827E7B" w:rsidRPr="00235CED" w:rsidRDefault="00FF6011" w:rsidP="00CC5338">
      <w:pPr>
        <w:autoSpaceDE w:val="0"/>
        <w:autoSpaceDN w:val="0"/>
        <w:adjustRightInd w:val="0"/>
      </w:pPr>
      <w:r>
        <w:object w:dxaOrig="19440" w:dyaOrig="7909" w14:anchorId="7A6D61AB">
          <v:shape id="_x0000_i1036" type="#_x0000_t75" style="width:707.25pt;height:286.5pt" o:ole="">
            <v:imagedata r:id="rId40" o:title=""/>
          </v:shape>
          <o:OLEObject Type="Embed" ProgID="Excel.Sheet.12" ShapeID="_x0000_i1036" DrawAspect="Content" ObjectID="_1661160801" r:id="rId41"/>
        </w:object>
      </w:r>
    </w:p>
    <w:sectPr w:rsidR="00827E7B" w:rsidRPr="00235CED" w:rsidSect="000E5DB3">
      <w:pgSz w:w="15840" w:h="12240" w:orient="landscape" w:code="1"/>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A8641" w14:textId="77777777" w:rsidR="00342E15" w:rsidRDefault="00342E15">
      <w:r>
        <w:separator/>
      </w:r>
    </w:p>
  </w:endnote>
  <w:endnote w:type="continuationSeparator" w:id="0">
    <w:p w14:paraId="1C89B9E5" w14:textId="77777777" w:rsidR="00342E15" w:rsidRDefault="00342E15">
      <w:r>
        <w:continuationSeparator/>
      </w:r>
    </w:p>
  </w:endnote>
  <w:endnote w:type="continuationNotice" w:id="1">
    <w:p w14:paraId="156725D1" w14:textId="77777777" w:rsidR="00342E15" w:rsidRDefault="00342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282554"/>
      <w:docPartObj>
        <w:docPartGallery w:val="Page Numbers (Bottom of Page)"/>
        <w:docPartUnique/>
      </w:docPartObj>
    </w:sdtPr>
    <w:sdtEndPr>
      <w:rPr>
        <w:noProof/>
      </w:rPr>
    </w:sdtEndPr>
    <w:sdtContent>
      <w:p w14:paraId="52DFEC11" w14:textId="2F9967D8" w:rsidR="00311271" w:rsidRDefault="003112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66D2C7" w14:textId="33D66929" w:rsidR="00311271" w:rsidRDefault="003112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443766"/>
      <w:docPartObj>
        <w:docPartGallery w:val="Page Numbers (Bottom of Page)"/>
        <w:docPartUnique/>
      </w:docPartObj>
    </w:sdtPr>
    <w:sdtEndPr>
      <w:rPr>
        <w:noProof/>
      </w:rPr>
    </w:sdtEndPr>
    <w:sdtContent>
      <w:p w14:paraId="36FDB7D1" w14:textId="743A22E3" w:rsidR="00311271" w:rsidRDefault="00311271">
        <w:pPr>
          <w:pStyle w:val="Footer"/>
          <w:jc w:val="center"/>
        </w:pPr>
        <w:r>
          <w:t>1</w:t>
        </w:r>
      </w:p>
    </w:sdtContent>
  </w:sdt>
  <w:p w14:paraId="50FA8CF0" w14:textId="77777777" w:rsidR="00311271" w:rsidRDefault="00311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03523" w14:textId="77777777" w:rsidR="00342E15" w:rsidRDefault="00342E15">
      <w:r>
        <w:separator/>
      </w:r>
    </w:p>
  </w:footnote>
  <w:footnote w:type="continuationSeparator" w:id="0">
    <w:p w14:paraId="6D19B4AA" w14:textId="77777777" w:rsidR="00342E15" w:rsidRDefault="00342E15">
      <w:r>
        <w:continuationSeparator/>
      </w:r>
    </w:p>
  </w:footnote>
  <w:footnote w:type="continuationNotice" w:id="1">
    <w:p w14:paraId="1C95DF28" w14:textId="77777777" w:rsidR="00342E15" w:rsidRDefault="00342E15"/>
  </w:footnote>
  <w:footnote w:id="2">
    <w:p w14:paraId="280BD3F1" w14:textId="77777777" w:rsidR="00311271" w:rsidRPr="00E9303D" w:rsidRDefault="00311271" w:rsidP="001F2904">
      <w:pPr>
        <w:pStyle w:val="FootnoteText"/>
      </w:pPr>
      <w:r w:rsidRPr="00E9303D">
        <w:rPr>
          <w:rStyle w:val="FootnoteReference"/>
        </w:rPr>
        <w:footnoteRef/>
      </w:r>
      <w:r w:rsidRPr="00E9303D">
        <w:t xml:space="preserve"> </w:t>
      </w:r>
      <w:r w:rsidRPr="00E9303D">
        <w:rPr>
          <w:i/>
          <w:sz w:val="22"/>
          <w:szCs w:val="22"/>
        </w:rPr>
        <w:t>See Energy Efficiency and Conservation Program</w:t>
      </w:r>
      <w:r w:rsidRPr="00E9303D">
        <w:rPr>
          <w:sz w:val="22"/>
          <w:szCs w:val="22"/>
        </w:rPr>
        <w:t xml:space="preserve"> Implementation Order, at Docket No. M-2020-3015228, entered June 18, 2020. </w:t>
      </w:r>
      <w:hyperlink r:id="rId1" w:history="1">
        <w:r w:rsidRPr="00E9303D">
          <w:rPr>
            <w:rStyle w:val="Hyperlink"/>
            <w:sz w:val="22"/>
            <w:szCs w:val="22"/>
          </w:rPr>
          <w:t>http://www.puc.state.pa.us/pcdocs/1666981.docx</w:t>
        </w:r>
      </w:hyperlink>
    </w:p>
  </w:footnote>
  <w:footnote w:id="3">
    <w:p w14:paraId="68CE95D9" w14:textId="77777777" w:rsidR="00311271" w:rsidRDefault="00311271" w:rsidP="001F2904">
      <w:pPr>
        <w:pStyle w:val="FootnoteText"/>
      </w:pPr>
      <w:r w:rsidRPr="00E9303D">
        <w:rPr>
          <w:rStyle w:val="FootnoteReference"/>
        </w:rPr>
        <w:footnoteRef/>
      </w:r>
      <w:r w:rsidRPr="00E9303D">
        <w:t xml:space="preserve"> </w:t>
      </w:r>
      <w:r w:rsidRPr="00E9303D">
        <w:rPr>
          <w:i/>
        </w:rPr>
        <w:t xml:space="preserve">See Id. </w:t>
      </w:r>
      <w:r w:rsidRPr="00E9303D">
        <w:t>at 89.</w:t>
      </w:r>
    </w:p>
  </w:footnote>
  <w:footnote w:id="4">
    <w:p w14:paraId="585782BE" w14:textId="77777777" w:rsidR="00311271" w:rsidRPr="00E9303D" w:rsidRDefault="00311271" w:rsidP="001F2904">
      <w:pPr>
        <w:pStyle w:val="FootnoteText"/>
      </w:pPr>
      <w:r>
        <w:rPr>
          <w:rStyle w:val="FootnoteReference"/>
        </w:rPr>
        <w:footnoteRef/>
      </w:r>
      <w:r>
        <w:t xml:space="preserve"> </w:t>
      </w:r>
      <w:r w:rsidRPr="00E9303D">
        <w:rPr>
          <w:i/>
          <w:sz w:val="22"/>
          <w:szCs w:val="22"/>
        </w:rPr>
        <w:t xml:space="preserve">See </w:t>
      </w:r>
      <w:r>
        <w:rPr>
          <w:i/>
          <w:sz w:val="22"/>
          <w:szCs w:val="22"/>
        </w:rPr>
        <w:t>2021 TRC Test Final</w:t>
      </w:r>
      <w:r>
        <w:rPr>
          <w:sz w:val="22"/>
          <w:szCs w:val="22"/>
        </w:rPr>
        <w:t xml:space="preserve"> </w:t>
      </w:r>
      <w:r w:rsidRPr="008D4D3B">
        <w:rPr>
          <w:i/>
          <w:sz w:val="22"/>
          <w:szCs w:val="22"/>
        </w:rPr>
        <w:t>Order</w:t>
      </w:r>
      <w:r>
        <w:rPr>
          <w:sz w:val="22"/>
          <w:szCs w:val="22"/>
        </w:rPr>
        <w:t>, at Docket No. M-2019-3006868</w:t>
      </w:r>
      <w:r w:rsidRPr="00E9303D">
        <w:rPr>
          <w:sz w:val="22"/>
          <w:szCs w:val="22"/>
        </w:rPr>
        <w:t xml:space="preserve">, entered </w:t>
      </w:r>
      <w:r>
        <w:rPr>
          <w:sz w:val="22"/>
          <w:szCs w:val="22"/>
        </w:rPr>
        <w:t>December 19, 2019</w:t>
      </w:r>
      <w:r w:rsidRPr="00E9303D">
        <w:rPr>
          <w:sz w:val="22"/>
          <w:szCs w:val="22"/>
        </w:rPr>
        <w:t xml:space="preserve">. </w:t>
      </w:r>
      <w:hyperlink r:id="rId2" w:history="1">
        <w:r w:rsidRPr="00E90805">
          <w:rPr>
            <w:rStyle w:val="Hyperlink"/>
            <w:sz w:val="22"/>
            <w:szCs w:val="22"/>
          </w:rPr>
          <w:t>http://www.puc.pa.gov/pcdocs/1648126.docx</w:t>
        </w:r>
      </w:hyperlink>
      <w:r>
        <w:rPr>
          <w:sz w:val="22"/>
          <w:szCs w:val="22"/>
        </w:rPr>
        <w:t xml:space="preserve"> </w:t>
      </w:r>
    </w:p>
    <w:p w14:paraId="303F95DB" w14:textId="77777777" w:rsidR="00311271" w:rsidRDefault="00311271" w:rsidP="001F2904">
      <w:pPr>
        <w:pStyle w:val="FootnoteText"/>
      </w:pPr>
    </w:p>
  </w:footnote>
  <w:footnote w:id="5">
    <w:p w14:paraId="121EBB42" w14:textId="77777777" w:rsidR="00311271" w:rsidRPr="00D01562" w:rsidRDefault="00311271" w:rsidP="00334B92">
      <w:pPr>
        <w:pStyle w:val="FootnoteText"/>
        <w:rPr>
          <w:sz w:val="22"/>
          <w:szCs w:val="22"/>
        </w:rPr>
      </w:pPr>
      <w:r w:rsidRPr="00D01562">
        <w:rPr>
          <w:rStyle w:val="FootnoteReference"/>
          <w:sz w:val="22"/>
          <w:szCs w:val="22"/>
        </w:rPr>
        <w:footnoteRef/>
      </w:r>
      <w:r w:rsidRPr="00D01562">
        <w:rPr>
          <w:sz w:val="22"/>
          <w:szCs w:val="22"/>
        </w:rPr>
        <w:t xml:space="preserve"> Whenever assumptions are used, provide the basis for using that assumption.</w:t>
      </w:r>
    </w:p>
  </w:footnote>
  <w:footnote w:id="6">
    <w:p w14:paraId="40028A33" w14:textId="150BEC14" w:rsidR="00311271" w:rsidRPr="00117235" w:rsidRDefault="00311271" w:rsidP="00334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sidRPr="00D01562">
        <w:rPr>
          <w:rStyle w:val="FootnoteReference"/>
          <w:sz w:val="22"/>
          <w:szCs w:val="22"/>
        </w:rPr>
        <w:footnoteRef/>
      </w:r>
      <w:r w:rsidRPr="00D01562">
        <w:rPr>
          <w:sz w:val="22"/>
          <w:szCs w:val="22"/>
        </w:rPr>
        <w:t xml:space="preserve"> A </w:t>
      </w:r>
      <w:r w:rsidRPr="00D01562">
        <w:rPr>
          <w:i/>
          <w:sz w:val="22"/>
          <w:szCs w:val="22"/>
        </w:rPr>
        <w:t>project</w:t>
      </w:r>
      <w:r w:rsidRPr="00D01562">
        <w:rPr>
          <w:sz w:val="22"/>
          <w:szCs w:val="22"/>
        </w:rPr>
        <w:t xml:space="preserve"> is an activity or course of action involving one or multiple energy efficiency measures, at a single facility or site. A </w:t>
      </w:r>
      <w:r w:rsidRPr="0048084F">
        <w:rPr>
          <w:i/>
          <w:sz w:val="22"/>
          <w:szCs w:val="22"/>
        </w:rPr>
        <w:t>program</w:t>
      </w:r>
      <w:r w:rsidRPr="005A4AE1">
        <w:rPr>
          <w:sz w:val="22"/>
          <w:szCs w:val="22"/>
        </w:rPr>
        <w:t xml:space="preserve"> is a group of projects, with similar characteristics and installed in similar applications. </w:t>
      </w:r>
      <w:r>
        <w:rPr>
          <w:sz w:val="22"/>
          <w:szCs w:val="22"/>
        </w:rPr>
        <w:t>P</w:t>
      </w:r>
      <w:r w:rsidRPr="005A4AE1">
        <w:rPr>
          <w:sz w:val="22"/>
          <w:szCs w:val="22"/>
        </w:rPr>
        <w:t xml:space="preserve">rograms </w:t>
      </w:r>
      <w:r>
        <w:rPr>
          <w:sz w:val="22"/>
          <w:szCs w:val="22"/>
        </w:rPr>
        <w:t>should be organized around</w:t>
      </w:r>
      <w:r w:rsidRPr="005A4AE1">
        <w:rPr>
          <w:sz w:val="22"/>
          <w:szCs w:val="22"/>
        </w:rPr>
        <w:t xml:space="preserve"> </w:t>
      </w:r>
      <w:r>
        <w:rPr>
          <w:sz w:val="22"/>
          <w:szCs w:val="22"/>
        </w:rPr>
        <w:t>a common customer class, technology, end-use, market, or delivery mechanism</w:t>
      </w:r>
      <w:r w:rsidRPr="00334B92">
        <w:rPr>
          <w:sz w:val="22"/>
          <w:szCs w:val="22"/>
        </w:rPr>
        <w:t xml:space="preserve">. The </w:t>
      </w:r>
      <w:r w:rsidRPr="007A6547">
        <w:rPr>
          <w:i/>
          <w:sz w:val="22"/>
          <w:szCs w:val="22"/>
        </w:rPr>
        <w:t>portfolio</w:t>
      </w:r>
      <w:r w:rsidRPr="007A6547">
        <w:rPr>
          <w:sz w:val="22"/>
          <w:szCs w:val="22"/>
        </w:rPr>
        <w:t xml:space="preserve"> consists of all the programs in the residential, commercial/industrial small, commercial/industrial large or </w:t>
      </w:r>
      <w:r>
        <w:rPr>
          <w:sz w:val="22"/>
          <w:szCs w:val="22"/>
        </w:rPr>
        <w:t>government/nonprofit/i</w:t>
      </w:r>
      <w:r w:rsidRPr="00557257">
        <w:rPr>
          <w:sz w:val="22"/>
          <w:szCs w:val="22"/>
        </w:rPr>
        <w:t xml:space="preserve">nstitutional </w:t>
      </w:r>
      <w:r w:rsidRPr="007A6547">
        <w:rPr>
          <w:sz w:val="22"/>
          <w:szCs w:val="22"/>
        </w:rPr>
        <w:t>sectors. Residential sector programs include participants with a residential rate schedule. Com</w:t>
      </w:r>
      <w:r w:rsidRPr="00CF7569">
        <w:rPr>
          <w:sz w:val="22"/>
          <w:szCs w:val="22"/>
        </w:rPr>
        <w:t>mercial/Industrial Small sector programs include participants with a small C/I rate schedule. Commercial/Industrial Large sector programs include participant</w:t>
      </w:r>
      <w:r>
        <w:rPr>
          <w:sz w:val="22"/>
          <w:szCs w:val="22"/>
        </w:rPr>
        <w:t xml:space="preserve">s with large C/I rate schedule. </w:t>
      </w:r>
      <w:r w:rsidRPr="00557257">
        <w:rPr>
          <w:sz w:val="22"/>
          <w:szCs w:val="22"/>
        </w:rPr>
        <w:t xml:space="preserve">Government/Nonprofit/Institutional </w:t>
      </w:r>
      <w:r w:rsidRPr="00CF7569">
        <w:rPr>
          <w:sz w:val="22"/>
          <w:szCs w:val="22"/>
        </w:rPr>
        <w:t>includes customers in any rate</w:t>
      </w:r>
      <w:r w:rsidRPr="000F0DC4">
        <w:rPr>
          <w:sz w:val="22"/>
          <w:szCs w:val="22"/>
        </w:rPr>
        <w:t xml:space="preserve"> schedule who are Federal, State, Municipal, and Local Governments, as well as school districts, institutions of higher learning, and non-profit entities. The applicable EE&amp;C sector designation is based on a customer’s rate schedule not the size of the ene</w:t>
      </w:r>
      <w:r w:rsidRPr="00117235">
        <w:rPr>
          <w:sz w:val="22"/>
          <w:szCs w:val="22"/>
        </w:rPr>
        <w:t>rgy efficiency project or the type of building.</w:t>
      </w:r>
    </w:p>
  </w:footnote>
  <w:footnote w:id="7">
    <w:p w14:paraId="6A725FE3" w14:textId="19595A32" w:rsidR="00311271" w:rsidRDefault="00311271" w:rsidP="005143B0">
      <w:pPr>
        <w:pStyle w:val="FootnoteText"/>
      </w:pPr>
      <w:r>
        <w:rPr>
          <w:rStyle w:val="FootnoteReference"/>
        </w:rPr>
        <w:footnoteRef/>
      </w:r>
      <w:r>
        <w:t xml:space="preserve"> </w:t>
      </w:r>
      <w:r w:rsidRPr="003B6321">
        <w:rPr>
          <w:sz w:val="22"/>
          <w:szCs w:val="22"/>
        </w:rPr>
        <w:t xml:space="preserve">Per the </w:t>
      </w:r>
      <w:r>
        <w:rPr>
          <w:sz w:val="22"/>
          <w:szCs w:val="22"/>
        </w:rPr>
        <w:t>January 16</w:t>
      </w:r>
      <w:r w:rsidRPr="003B6321">
        <w:rPr>
          <w:sz w:val="22"/>
          <w:szCs w:val="22"/>
        </w:rPr>
        <w:t>, 20</w:t>
      </w:r>
      <w:r>
        <w:rPr>
          <w:sz w:val="22"/>
          <w:szCs w:val="22"/>
        </w:rPr>
        <w:t>09</w:t>
      </w:r>
      <w:r w:rsidRPr="003B6321">
        <w:rPr>
          <w:sz w:val="22"/>
          <w:szCs w:val="22"/>
        </w:rPr>
        <w:t xml:space="preserve"> Implementation Order, </w:t>
      </w:r>
      <w:r>
        <w:rPr>
          <w:sz w:val="22"/>
          <w:szCs w:val="22"/>
        </w:rPr>
        <w:t>“</w:t>
      </w:r>
      <w:r w:rsidRPr="005143B0">
        <w:rPr>
          <w:i/>
          <w:iCs/>
          <w:sz w:val="22"/>
          <w:szCs w:val="22"/>
        </w:rPr>
        <w:t>the Commission interprets ‘amounts paid to the [EDC] for generation, transmission, distribution and surcharges by retail customer,’ set forth as the definition of EDC total annual revenue in 66 Pa. C.S. § 2806.1(m), to include all amounts paid to the EDC for generation service, including generation revenues collected by an EDC for an EGS that uses consolidated billing</w:t>
      </w:r>
      <w:r w:rsidRPr="003B6321">
        <w:rPr>
          <w:sz w:val="22"/>
          <w:szCs w:val="22"/>
        </w:rPr>
        <w:t>.</w:t>
      </w:r>
      <w:r>
        <w:rPr>
          <w:sz w:val="22"/>
          <w:szCs w:val="22"/>
        </w:rPr>
        <w:t>”</w:t>
      </w:r>
      <w:r>
        <w:t xml:space="preserve">  </w:t>
      </w:r>
      <w:r w:rsidRPr="00012185">
        <w:rPr>
          <w:i/>
          <w:sz w:val="22"/>
          <w:szCs w:val="22"/>
        </w:rPr>
        <w:t xml:space="preserve">See </w:t>
      </w:r>
      <w:r>
        <w:rPr>
          <w:i/>
          <w:sz w:val="22"/>
          <w:szCs w:val="22"/>
        </w:rPr>
        <w:t>January 16</w:t>
      </w:r>
      <w:r w:rsidRPr="00012185">
        <w:rPr>
          <w:i/>
          <w:sz w:val="22"/>
          <w:szCs w:val="22"/>
        </w:rPr>
        <w:t xml:space="preserve">, </w:t>
      </w:r>
      <w:r>
        <w:rPr>
          <w:i/>
          <w:sz w:val="22"/>
          <w:szCs w:val="22"/>
        </w:rPr>
        <w:t>2009</w:t>
      </w:r>
      <w:r w:rsidRPr="00012185">
        <w:rPr>
          <w:i/>
          <w:sz w:val="22"/>
          <w:szCs w:val="22"/>
        </w:rPr>
        <w:t xml:space="preserve"> Implementation Order</w:t>
      </w:r>
      <w:r w:rsidRPr="00012185">
        <w:rPr>
          <w:sz w:val="22"/>
          <w:szCs w:val="22"/>
        </w:rPr>
        <w:t xml:space="preserve"> at </w:t>
      </w:r>
      <w:r>
        <w:rPr>
          <w:sz w:val="22"/>
          <w:szCs w:val="22"/>
        </w:rPr>
        <w:t>35</w:t>
      </w:r>
      <w:r w:rsidRPr="00012185">
        <w:rPr>
          <w:sz w:val="22"/>
          <w:szCs w:val="22"/>
        </w:rPr>
        <w:t>.</w:t>
      </w:r>
    </w:p>
    <w:p w14:paraId="6CA8561C" w14:textId="40D57828" w:rsidR="00311271" w:rsidRDefault="00311271">
      <w:pPr>
        <w:pStyle w:val="FootnoteText"/>
      </w:pPr>
    </w:p>
  </w:footnote>
  <w:footnote w:id="8">
    <w:p w14:paraId="3C7C9B59" w14:textId="2D59B1C7" w:rsidR="00311271" w:rsidRPr="00012185" w:rsidRDefault="00311271" w:rsidP="00334B92">
      <w:pPr>
        <w:pStyle w:val="FootnoteText"/>
        <w:rPr>
          <w:sz w:val="22"/>
          <w:szCs w:val="22"/>
        </w:rPr>
      </w:pPr>
      <w:r w:rsidRPr="00012185">
        <w:rPr>
          <w:rStyle w:val="FootnoteReference"/>
          <w:sz w:val="22"/>
          <w:szCs w:val="22"/>
        </w:rPr>
        <w:footnoteRef/>
      </w:r>
      <w:r w:rsidRPr="00012185">
        <w:rPr>
          <w:sz w:val="22"/>
          <w:szCs w:val="22"/>
        </w:rPr>
        <w:t xml:space="preserve"> It is assumed that there are five program years, each starting June 1 and ending May 31</w:t>
      </w:r>
      <w:r w:rsidRPr="00012185">
        <w:rPr>
          <w:sz w:val="22"/>
          <w:szCs w:val="22"/>
          <w:vertAlign w:val="superscript"/>
        </w:rPr>
        <w:t>st</w:t>
      </w:r>
      <w:r w:rsidRPr="00012185">
        <w:rPr>
          <w:sz w:val="22"/>
          <w:szCs w:val="22"/>
        </w:rPr>
        <w:t xml:space="preserve">. The first program year (PY) is </w:t>
      </w:r>
      <w:r>
        <w:rPr>
          <w:sz w:val="22"/>
          <w:szCs w:val="22"/>
        </w:rPr>
        <w:t>PY13 (June 1, 2021 to May 31, 2022) and the final program year is PY17 (June 1, 2025 to May 31, 2026).</w:t>
      </w:r>
      <w:r w:rsidRPr="00012185">
        <w:rPr>
          <w:sz w:val="22"/>
          <w:szCs w:val="22"/>
        </w:rPr>
        <w:t xml:space="preserve"> </w:t>
      </w:r>
    </w:p>
  </w:footnote>
  <w:footnote w:id="9">
    <w:p w14:paraId="1360707D" w14:textId="77777777" w:rsidR="00311271" w:rsidRDefault="00311271">
      <w:pPr>
        <w:pStyle w:val="FootnoteText"/>
      </w:pPr>
      <w:r>
        <w:rPr>
          <w:rStyle w:val="FootnoteReference"/>
        </w:rPr>
        <w:footnoteRef/>
      </w:r>
      <w:r>
        <w:t xml:space="preserve"> </w:t>
      </w:r>
      <w:r w:rsidRPr="003B6321">
        <w:rPr>
          <w:sz w:val="22"/>
          <w:szCs w:val="22"/>
        </w:rPr>
        <w:t>Per the June 18, 2020 Implementation Order, at least 50% of EE&amp;C plan spending should come from incentives and less than 50% should be attributed to non-incentive cost categories.  This requirement is at the portfolio level, not the program or sector level.</w:t>
      </w:r>
      <w:r>
        <w:t xml:space="preserve">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w:t>
      </w:r>
      <w:r>
        <w:rPr>
          <w:sz w:val="22"/>
          <w:szCs w:val="22"/>
        </w:rPr>
        <w:t>126</w:t>
      </w:r>
      <w:r w:rsidRPr="00012185">
        <w:rPr>
          <w:sz w:val="22"/>
          <w:szCs w:val="22"/>
        </w:rPr>
        <w:t>.</w:t>
      </w:r>
    </w:p>
  </w:footnote>
  <w:footnote w:id="10">
    <w:p w14:paraId="75C82600" w14:textId="77777777" w:rsidR="00311271" w:rsidRPr="00012185" w:rsidRDefault="00311271" w:rsidP="007A6547">
      <w:pPr>
        <w:pStyle w:val="FootnoteText"/>
        <w:rPr>
          <w:sz w:val="22"/>
          <w:szCs w:val="22"/>
        </w:rPr>
      </w:pPr>
      <w:r w:rsidRPr="00012185">
        <w:rPr>
          <w:rStyle w:val="FootnoteReference"/>
          <w:sz w:val="22"/>
          <w:szCs w:val="22"/>
        </w:rPr>
        <w:footnoteRef/>
      </w:r>
      <w:r w:rsidRPr="00012185">
        <w:rPr>
          <w:sz w:val="22"/>
          <w:szCs w:val="22"/>
        </w:rPr>
        <w:t xml:space="preserve"> Per the </w:t>
      </w:r>
      <w:r>
        <w:rPr>
          <w:sz w:val="22"/>
          <w:szCs w:val="22"/>
        </w:rPr>
        <w:t>June 18</w:t>
      </w:r>
      <w:r w:rsidRPr="00012185">
        <w:rPr>
          <w:sz w:val="22"/>
          <w:szCs w:val="22"/>
        </w:rPr>
        <w:t xml:space="preserve">, </w:t>
      </w:r>
      <w:r>
        <w:rPr>
          <w:sz w:val="22"/>
          <w:szCs w:val="22"/>
        </w:rPr>
        <w:t>2020</w:t>
      </w:r>
      <w:r w:rsidRPr="00012185">
        <w:rPr>
          <w:sz w:val="22"/>
          <w:szCs w:val="22"/>
        </w:rPr>
        <w:t xml:space="preserve"> Implementation Order, EDCs are required to provide NTG ratios in addition to standard TRC ratios, with language reiterating the speculative nature of NTG ratios.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107.</w:t>
      </w:r>
    </w:p>
  </w:footnote>
  <w:footnote w:id="11">
    <w:p w14:paraId="1A66CFDA" w14:textId="60322067" w:rsidR="00311271" w:rsidRPr="00012185" w:rsidRDefault="00311271" w:rsidP="007A6547">
      <w:pPr>
        <w:pStyle w:val="FootnoteText"/>
        <w:rPr>
          <w:sz w:val="22"/>
          <w:szCs w:val="22"/>
        </w:rPr>
      </w:pPr>
      <w:r w:rsidRPr="00012185">
        <w:rPr>
          <w:rStyle w:val="FootnoteReference"/>
          <w:sz w:val="22"/>
          <w:szCs w:val="22"/>
        </w:rPr>
        <w:footnoteRef/>
      </w:r>
      <w:r w:rsidRPr="00012185">
        <w:rPr>
          <w:sz w:val="22"/>
          <w:szCs w:val="22"/>
        </w:rPr>
        <w:t xml:space="preserve"> The </w:t>
      </w:r>
      <w:r>
        <w:rPr>
          <w:sz w:val="22"/>
          <w:szCs w:val="22"/>
        </w:rPr>
        <w:t>June 18</w:t>
      </w:r>
      <w:r w:rsidRPr="00012185">
        <w:rPr>
          <w:sz w:val="22"/>
          <w:szCs w:val="22"/>
        </w:rPr>
        <w:t xml:space="preserve">, </w:t>
      </w:r>
      <w:r>
        <w:rPr>
          <w:sz w:val="22"/>
          <w:szCs w:val="22"/>
        </w:rPr>
        <w:t>2020</w:t>
      </w:r>
      <w:r w:rsidRPr="00012185">
        <w:rPr>
          <w:sz w:val="22"/>
          <w:szCs w:val="22"/>
        </w:rPr>
        <w:t xml:space="preserve"> Implementation Order disallowed the inclusion of low-income participation in standard, non-low-income-specific residential programs in the calculation of savings towards the low-income carve-out.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w:t>
      </w:r>
      <w:r>
        <w:rPr>
          <w:sz w:val="22"/>
          <w:szCs w:val="22"/>
        </w:rPr>
        <w:t>28.</w:t>
      </w:r>
    </w:p>
  </w:footnote>
  <w:footnote w:id="12">
    <w:p w14:paraId="7540AFCA" w14:textId="77777777" w:rsidR="00311271" w:rsidRPr="005E5BAD" w:rsidRDefault="00311271" w:rsidP="007A6547">
      <w:pPr>
        <w:pStyle w:val="FootnoteText"/>
        <w:rPr>
          <w:sz w:val="22"/>
          <w:szCs w:val="22"/>
        </w:rPr>
      </w:pPr>
      <w:r w:rsidRPr="005E5BAD">
        <w:rPr>
          <w:rStyle w:val="FootnoteReference"/>
          <w:sz w:val="22"/>
          <w:szCs w:val="22"/>
        </w:rPr>
        <w:footnoteRef/>
      </w:r>
      <w:r w:rsidRPr="005E5BAD">
        <w:rPr>
          <w:sz w:val="22"/>
          <w:szCs w:val="22"/>
        </w:rPr>
        <w:t xml:space="preserve"> Services to be offered by EDC or others may include marketing, customer recruiting, demonstration projects, audits and or installation of new efficiency measures, verification of installations and or baseline usage, response to customer concerns, program tracking and program evaluation.</w:t>
      </w:r>
    </w:p>
  </w:footnote>
  <w:footnote w:id="13">
    <w:p w14:paraId="4DA4D12B" w14:textId="77777777" w:rsidR="00311271" w:rsidRPr="00B32181" w:rsidRDefault="00311271" w:rsidP="007A6547">
      <w:pPr>
        <w:pStyle w:val="FootnoteText"/>
        <w:rPr>
          <w:rFonts w:eastAsia="Cambria"/>
          <w:sz w:val="22"/>
          <w:szCs w:val="22"/>
        </w:rPr>
      </w:pPr>
      <w:r w:rsidRPr="005E5BAD">
        <w:rPr>
          <w:rStyle w:val="FootnoteReference"/>
          <w:sz w:val="22"/>
          <w:szCs w:val="22"/>
        </w:rPr>
        <w:footnoteRef/>
      </w:r>
      <w:r w:rsidRPr="005E5BAD">
        <w:rPr>
          <w:sz w:val="22"/>
          <w:szCs w:val="22"/>
        </w:rPr>
        <w:t xml:space="preserve"> </w:t>
      </w:r>
      <w:r w:rsidRPr="005E5BAD">
        <w:rPr>
          <w:rFonts w:eastAsia="Cambria"/>
          <w:sz w:val="22"/>
          <w:szCs w:val="22"/>
        </w:rPr>
        <w:t>Performance risk is the risk that, due to design or implementation flaws, the program does not deliver expected savings. Technology risk is the risk that technologies targeted by a program fail to deliver the savings expected. Market risk is the risk that customers, or other key market players (</w:t>
      </w:r>
      <w:r w:rsidRPr="00B32181">
        <w:rPr>
          <w:rFonts w:eastAsia="Cambria"/>
          <w:i/>
          <w:sz w:val="22"/>
          <w:szCs w:val="22"/>
        </w:rPr>
        <w:t>e.g.,</w:t>
      </w:r>
      <w:r w:rsidRPr="00B32181">
        <w:rPr>
          <w:rFonts w:eastAsia="Cambria"/>
          <w:sz w:val="22"/>
          <w:szCs w:val="22"/>
        </w:rPr>
        <w:t xml:space="preserve"> contractors), choose not to participate in a program. Evaluation risk is the risk that independent EM&amp;V will, based on different assumptions, conclude that savings fall short of what the implementers have estimated.</w:t>
      </w:r>
    </w:p>
  </w:footnote>
  <w:footnote w:id="14">
    <w:p w14:paraId="46F930F8" w14:textId="77777777" w:rsidR="00311271" w:rsidRPr="005E5BAD" w:rsidRDefault="00311271" w:rsidP="007A6547">
      <w:pPr>
        <w:pStyle w:val="FootnoteText"/>
        <w:rPr>
          <w:sz w:val="22"/>
          <w:szCs w:val="22"/>
        </w:rPr>
      </w:pPr>
      <w:r w:rsidRPr="005E5BAD">
        <w:rPr>
          <w:rStyle w:val="FootnoteReference"/>
          <w:sz w:val="22"/>
          <w:szCs w:val="22"/>
        </w:rPr>
        <w:footnoteRef/>
      </w:r>
      <w:r w:rsidRPr="005E5BAD">
        <w:rPr>
          <w:sz w:val="22"/>
          <w:szCs w:val="22"/>
        </w:rPr>
        <w:t xml:space="preserve"> This Section may be modified if the Commission’s statewide EE&amp;C Plan Evaluator develops further reporting and tracking systems that are approved by the Commission.</w:t>
      </w:r>
    </w:p>
  </w:footnote>
  <w:footnote w:id="15">
    <w:p w14:paraId="60D86578" w14:textId="77777777" w:rsidR="00311271" w:rsidRDefault="00311271">
      <w:pPr>
        <w:pStyle w:val="FootnoteText"/>
      </w:pPr>
      <w:r>
        <w:rPr>
          <w:rStyle w:val="FootnoteReference"/>
        </w:rPr>
        <w:footnoteRef/>
      </w:r>
      <w:r>
        <w:t xml:space="preserve"> Available at </w:t>
      </w:r>
      <w:hyperlink r:id="rId3" w:history="1">
        <w:r>
          <w:rPr>
            <w:rStyle w:val="Hyperlink"/>
          </w:rPr>
          <w:t>http://www.puc.state.pa.us/filing_resources/issues_laws_regulations/act_129_information/total_resource_cost_test.aspx</w:t>
        </w:r>
      </w:hyperlink>
      <w:r>
        <w:t xml:space="preserve"> </w:t>
      </w:r>
    </w:p>
  </w:footnote>
  <w:footnote w:id="16">
    <w:p w14:paraId="68B9A274" w14:textId="77777777" w:rsidR="00311271" w:rsidRDefault="00311271">
      <w:pPr>
        <w:pStyle w:val="FootnoteText"/>
      </w:pPr>
      <w:r>
        <w:rPr>
          <w:rStyle w:val="FootnoteReference"/>
        </w:rPr>
        <w:footnoteRef/>
      </w:r>
      <w:r>
        <w:t xml:space="preserve"> </w:t>
      </w:r>
      <w:r w:rsidRPr="001429CE">
        <w:rPr>
          <w:i/>
          <w:sz w:val="22"/>
          <w:szCs w:val="22"/>
        </w:rPr>
        <w:t>See 2021 Total Resource Cost (TRC) Test Order</w:t>
      </w:r>
      <w:r w:rsidRPr="001429CE">
        <w:rPr>
          <w:sz w:val="22"/>
          <w:szCs w:val="22"/>
        </w:rPr>
        <w:t>, at Docket No. M-2019-3006868, entered December 19, 2019 at 21.</w:t>
      </w:r>
      <w:r>
        <w:t xml:space="preserve"> </w:t>
      </w:r>
    </w:p>
  </w:footnote>
  <w:footnote w:id="17">
    <w:p w14:paraId="349A31A1" w14:textId="3ED31A23" w:rsidR="00311271" w:rsidRPr="00EC01DE" w:rsidRDefault="00311271" w:rsidP="007A6547">
      <w:pPr>
        <w:pStyle w:val="FootnoteText"/>
        <w:rPr>
          <w:sz w:val="22"/>
          <w:szCs w:val="22"/>
        </w:rPr>
      </w:pPr>
      <w:r w:rsidRPr="005E5BAD">
        <w:rPr>
          <w:rStyle w:val="FootnoteReference"/>
          <w:sz w:val="22"/>
          <w:szCs w:val="22"/>
        </w:rPr>
        <w:footnoteRef/>
      </w:r>
      <w:r w:rsidRPr="005E5BAD">
        <w:rPr>
          <w:sz w:val="22"/>
          <w:szCs w:val="22"/>
        </w:rPr>
        <w:t xml:space="preserve"> </w:t>
      </w:r>
      <w:r>
        <w:rPr>
          <w:i/>
          <w:sz w:val="22"/>
          <w:szCs w:val="22"/>
        </w:rPr>
        <w:t xml:space="preserve">Id. </w:t>
      </w:r>
      <w:r>
        <w:rPr>
          <w:sz w:val="22"/>
          <w:szCs w:val="22"/>
        </w:rPr>
        <w:t>a</w:t>
      </w:r>
      <w:r w:rsidRPr="005C2F28">
        <w:rPr>
          <w:sz w:val="22"/>
          <w:szCs w:val="22"/>
        </w:rPr>
        <w:t>t 17.</w:t>
      </w:r>
    </w:p>
  </w:footnote>
  <w:footnote w:id="18">
    <w:p w14:paraId="1A6EC023" w14:textId="7E11EC53" w:rsidR="00311271" w:rsidRPr="005E5BAD" w:rsidRDefault="00311271" w:rsidP="00CF7569">
      <w:pPr>
        <w:pStyle w:val="ListParagraph"/>
        <w:ind w:left="0"/>
        <w:contextualSpacing w:val="0"/>
        <w:rPr>
          <w:b/>
          <w:sz w:val="22"/>
          <w:szCs w:val="22"/>
        </w:rPr>
      </w:pPr>
      <w:r w:rsidRPr="005E5BAD">
        <w:rPr>
          <w:rStyle w:val="FootnoteReference"/>
          <w:sz w:val="22"/>
          <w:szCs w:val="22"/>
        </w:rPr>
        <w:footnoteRef/>
      </w:r>
      <w:r w:rsidRPr="005E5BAD">
        <w:rPr>
          <w:sz w:val="22"/>
          <w:szCs w:val="22"/>
        </w:rPr>
        <w:t xml:space="preserve"> These sub-sections may reference other chapters of the plan as they may restate what was included elsewhere in the plan and are collected here only for convenience of review.</w:t>
      </w:r>
    </w:p>
    <w:p w14:paraId="25CDBF9B" w14:textId="77777777" w:rsidR="00311271" w:rsidRPr="005E5BAD" w:rsidRDefault="00311271" w:rsidP="000F0DC4">
      <w:pPr>
        <w:pStyle w:val="FootnoteText"/>
        <w:rPr>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65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4C4B70"/>
    <w:multiLevelType w:val="hybridMultilevel"/>
    <w:tmpl w:val="97C4DBDE"/>
    <w:lvl w:ilvl="0" w:tplc="4282D5E8">
      <w:start w:val="1"/>
      <w:numFmt w:val="decimal"/>
      <w:pStyle w:val="ListBullet"/>
      <w:lvlText w:val="%1."/>
      <w:lvlJc w:val="left"/>
      <w:pPr>
        <w:tabs>
          <w:tab w:val="num" w:pos="720"/>
        </w:tabs>
        <w:ind w:left="720" w:hanging="360"/>
      </w:pPr>
      <w:rPr>
        <w:rFonts w:cs="Times New Roman"/>
      </w:rPr>
    </w:lvl>
    <w:lvl w:ilvl="1" w:tplc="B4245A9A" w:tentative="1">
      <w:start w:val="1"/>
      <w:numFmt w:val="lowerLetter"/>
      <w:lvlText w:val="%2."/>
      <w:lvlJc w:val="left"/>
      <w:pPr>
        <w:tabs>
          <w:tab w:val="num" w:pos="1440"/>
        </w:tabs>
        <w:ind w:left="1440" w:hanging="360"/>
      </w:pPr>
      <w:rPr>
        <w:rFonts w:cs="Times New Roman"/>
      </w:rPr>
    </w:lvl>
    <w:lvl w:ilvl="2" w:tplc="1A9E6EA8" w:tentative="1">
      <w:start w:val="1"/>
      <w:numFmt w:val="lowerRoman"/>
      <w:lvlText w:val="%3."/>
      <w:lvlJc w:val="right"/>
      <w:pPr>
        <w:tabs>
          <w:tab w:val="num" w:pos="2160"/>
        </w:tabs>
        <w:ind w:left="2160" w:hanging="180"/>
      </w:pPr>
      <w:rPr>
        <w:rFonts w:cs="Times New Roman"/>
      </w:rPr>
    </w:lvl>
    <w:lvl w:ilvl="3" w:tplc="9A82FE66" w:tentative="1">
      <w:start w:val="1"/>
      <w:numFmt w:val="decimal"/>
      <w:lvlText w:val="%4."/>
      <w:lvlJc w:val="left"/>
      <w:pPr>
        <w:tabs>
          <w:tab w:val="num" w:pos="2880"/>
        </w:tabs>
        <w:ind w:left="2880" w:hanging="360"/>
      </w:pPr>
      <w:rPr>
        <w:rFonts w:cs="Times New Roman"/>
      </w:rPr>
    </w:lvl>
    <w:lvl w:ilvl="4" w:tplc="5008CA6C" w:tentative="1">
      <w:start w:val="1"/>
      <w:numFmt w:val="lowerLetter"/>
      <w:lvlText w:val="%5."/>
      <w:lvlJc w:val="left"/>
      <w:pPr>
        <w:tabs>
          <w:tab w:val="num" w:pos="3600"/>
        </w:tabs>
        <w:ind w:left="3600" w:hanging="360"/>
      </w:pPr>
      <w:rPr>
        <w:rFonts w:cs="Times New Roman"/>
      </w:rPr>
    </w:lvl>
    <w:lvl w:ilvl="5" w:tplc="432A36B8" w:tentative="1">
      <w:start w:val="1"/>
      <w:numFmt w:val="lowerRoman"/>
      <w:lvlText w:val="%6."/>
      <w:lvlJc w:val="right"/>
      <w:pPr>
        <w:tabs>
          <w:tab w:val="num" w:pos="4320"/>
        </w:tabs>
        <w:ind w:left="4320" w:hanging="180"/>
      </w:pPr>
      <w:rPr>
        <w:rFonts w:cs="Times New Roman"/>
      </w:rPr>
    </w:lvl>
    <w:lvl w:ilvl="6" w:tplc="BA84D5F8" w:tentative="1">
      <w:start w:val="1"/>
      <w:numFmt w:val="decimal"/>
      <w:lvlText w:val="%7."/>
      <w:lvlJc w:val="left"/>
      <w:pPr>
        <w:tabs>
          <w:tab w:val="num" w:pos="5040"/>
        </w:tabs>
        <w:ind w:left="5040" w:hanging="360"/>
      </w:pPr>
      <w:rPr>
        <w:rFonts w:cs="Times New Roman"/>
      </w:rPr>
    </w:lvl>
    <w:lvl w:ilvl="7" w:tplc="2FE84256" w:tentative="1">
      <w:start w:val="1"/>
      <w:numFmt w:val="lowerLetter"/>
      <w:lvlText w:val="%8."/>
      <w:lvlJc w:val="left"/>
      <w:pPr>
        <w:tabs>
          <w:tab w:val="num" w:pos="5760"/>
        </w:tabs>
        <w:ind w:left="5760" w:hanging="360"/>
      </w:pPr>
      <w:rPr>
        <w:rFonts w:cs="Times New Roman"/>
      </w:rPr>
    </w:lvl>
    <w:lvl w:ilvl="8" w:tplc="3736962C" w:tentative="1">
      <w:start w:val="1"/>
      <w:numFmt w:val="lowerRoman"/>
      <w:lvlText w:val="%9."/>
      <w:lvlJc w:val="right"/>
      <w:pPr>
        <w:tabs>
          <w:tab w:val="num" w:pos="6480"/>
        </w:tabs>
        <w:ind w:left="6480" w:hanging="180"/>
      </w:pPr>
      <w:rPr>
        <w:rFonts w:cs="Times New Roman"/>
      </w:rPr>
    </w:lvl>
  </w:abstractNum>
  <w:abstractNum w:abstractNumId="2" w15:restartNumberingAfterBreak="0">
    <w:nsid w:val="03F62644"/>
    <w:multiLevelType w:val="hybridMultilevel"/>
    <w:tmpl w:val="8996A212"/>
    <w:lvl w:ilvl="0" w:tplc="4E5CA86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C056C"/>
    <w:multiLevelType w:val="hybridMultilevel"/>
    <w:tmpl w:val="0114AE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A0C16F3"/>
    <w:multiLevelType w:val="hybridMultilevel"/>
    <w:tmpl w:val="8CE6FC5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91B71"/>
    <w:multiLevelType w:val="hybridMultilevel"/>
    <w:tmpl w:val="C79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0557B"/>
    <w:multiLevelType w:val="multilevel"/>
    <w:tmpl w:val="6F3E1762"/>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797C8C"/>
    <w:multiLevelType w:val="multilevel"/>
    <w:tmpl w:val="5EA42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7B7DCF"/>
    <w:multiLevelType w:val="hybridMultilevel"/>
    <w:tmpl w:val="E87ED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FE92B79"/>
    <w:multiLevelType w:val="hybridMultilevel"/>
    <w:tmpl w:val="98B4BE86"/>
    <w:lvl w:ilvl="0" w:tplc="D58ACF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D3E42"/>
    <w:multiLevelType w:val="hybridMultilevel"/>
    <w:tmpl w:val="4CC243AC"/>
    <w:lvl w:ilvl="0" w:tplc="391E8B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C3887"/>
    <w:multiLevelType w:val="hybridMultilevel"/>
    <w:tmpl w:val="FF3C396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EBB4A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5FB60B7"/>
    <w:multiLevelType w:val="hybridMultilevel"/>
    <w:tmpl w:val="62C0F4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5A1EF0"/>
    <w:multiLevelType w:val="hybridMultilevel"/>
    <w:tmpl w:val="424E2446"/>
    <w:lvl w:ilvl="0" w:tplc="E3B09AC0">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E4E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9822C8"/>
    <w:multiLevelType w:val="hybridMultilevel"/>
    <w:tmpl w:val="249E09F6"/>
    <w:lvl w:ilvl="0" w:tplc="3DDEF4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D26A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FA6020"/>
    <w:multiLevelType w:val="hybridMultilevel"/>
    <w:tmpl w:val="78B88DF0"/>
    <w:lvl w:ilvl="0" w:tplc="4E5CA868">
      <w:start w:val="1"/>
      <w:numFmt w:val="bullet"/>
      <w:lvlText w:val="o"/>
      <w:lvlJc w:val="left"/>
      <w:pPr>
        <w:ind w:left="216" w:hanging="216"/>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669D1"/>
    <w:multiLevelType w:val="hybridMultilevel"/>
    <w:tmpl w:val="A9D625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BD3FF8"/>
    <w:multiLevelType w:val="hybridMultilevel"/>
    <w:tmpl w:val="A590F7A2"/>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698E3C2C"/>
    <w:multiLevelType w:val="hybridMultilevel"/>
    <w:tmpl w:val="CC6CDA46"/>
    <w:lvl w:ilvl="0" w:tplc="76CE3746">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1BA2E63"/>
    <w:multiLevelType w:val="hybridMultilevel"/>
    <w:tmpl w:val="40ECE8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88F49C5"/>
    <w:multiLevelType w:val="hybridMultilevel"/>
    <w:tmpl w:val="A5BE1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94480"/>
    <w:multiLevelType w:val="hybridMultilevel"/>
    <w:tmpl w:val="2BD28DA6"/>
    <w:lvl w:ilvl="0" w:tplc="5224A624">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52546"/>
    <w:multiLevelType w:val="hybridMultilevel"/>
    <w:tmpl w:val="4A668668"/>
    <w:lvl w:ilvl="0" w:tplc="3B0E0E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1"/>
  </w:num>
  <w:num w:numId="3">
    <w:abstractNumId w:val="20"/>
  </w:num>
  <w:num w:numId="4">
    <w:abstractNumId w:val="17"/>
  </w:num>
  <w:num w:numId="5">
    <w:abstractNumId w:val="6"/>
  </w:num>
  <w:num w:numId="6">
    <w:abstractNumId w:val="19"/>
  </w:num>
  <w:num w:numId="7">
    <w:abstractNumId w:val="4"/>
  </w:num>
  <w:num w:numId="8">
    <w:abstractNumId w:val="13"/>
  </w:num>
  <w:num w:numId="9">
    <w:abstractNumId w:val="11"/>
  </w:num>
  <w:num w:numId="10">
    <w:abstractNumId w:val="22"/>
  </w:num>
  <w:num w:numId="11">
    <w:abstractNumId w:val="3"/>
  </w:num>
  <w:num w:numId="12">
    <w:abstractNumId w:val="8"/>
  </w:num>
  <w:num w:numId="13">
    <w:abstractNumId w:val="2"/>
  </w:num>
  <w:num w:numId="14">
    <w:abstractNumId w:val="18"/>
  </w:num>
  <w:num w:numId="15">
    <w:abstractNumId w:val="23"/>
  </w:num>
  <w:num w:numId="16">
    <w:abstractNumId w:val="16"/>
  </w:num>
  <w:num w:numId="17">
    <w:abstractNumId w:val="10"/>
  </w:num>
  <w:num w:numId="18">
    <w:abstractNumId w:val="9"/>
  </w:num>
  <w:num w:numId="19">
    <w:abstractNumId w:val="15"/>
  </w:num>
  <w:num w:numId="20">
    <w:abstractNumId w:val="0"/>
  </w:num>
  <w:num w:numId="21">
    <w:abstractNumId w:val="7"/>
  </w:num>
  <w:num w:numId="22">
    <w:abstractNumId w:val="25"/>
  </w:num>
  <w:num w:numId="23">
    <w:abstractNumId w:val="12"/>
  </w:num>
  <w:num w:numId="24">
    <w:abstractNumId w:val="5"/>
  </w:num>
  <w:num w:numId="25">
    <w:abstractNumId w:val="14"/>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wNDA0NDE3BrKMDJR0lIJTi4sz8/NACoxqASgSxU0sAAAA"/>
  </w:docVars>
  <w:rsids>
    <w:rsidRoot w:val="00B06E42"/>
    <w:rsid w:val="00000CF3"/>
    <w:rsid w:val="00001642"/>
    <w:rsid w:val="000024F6"/>
    <w:rsid w:val="00002969"/>
    <w:rsid w:val="00002C1C"/>
    <w:rsid w:val="00006F31"/>
    <w:rsid w:val="00007695"/>
    <w:rsid w:val="00010B1D"/>
    <w:rsid w:val="000114E8"/>
    <w:rsid w:val="00011621"/>
    <w:rsid w:val="00012185"/>
    <w:rsid w:val="00013271"/>
    <w:rsid w:val="000149B6"/>
    <w:rsid w:val="00016562"/>
    <w:rsid w:val="000179BE"/>
    <w:rsid w:val="000216D2"/>
    <w:rsid w:val="000223F7"/>
    <w:rsid w:val="0002246E"/>
    <w:rsid w:val="00022B64"/>
    <w:rsid w:val="00023B19"/>
    <w:rsid w:val="00024C54"/>
    <w:rsid w:val="00024F9A"/>
    <w:rsid w:val="00025BBE"/>
    <w:rsid w:val="00025F61"/>
    <w:rsid w:val="00026F3A"/>
    <w:rsid w:val="00026FE7"/>
    <w:rsid w:val="00030E49"/>
    <w:rsid w:val="0003157B"/>
    <w:rsid w:val="00031972"/>
    <w:rsid w:val="00031E73"/>
    <w:rsid w:val="00035677"/>
    <w:rsid w:val="000364EB"/>
    <w:rsid w:val="0003661D"/>
    <w:rsid w:val="0003674E"/>
    <w:rsid w:val="0003678D"/>
    <w:rsid w:val="00036C4F"/>
    <w:rsid w:val="000379E1"/>
    <w:rsid w:val="00037FA5"/>
    <w:rsid w:val="00040C96"/>
    <w:rsid w:val="000418C2"/>
    <w:rsid w:val="00042324"/>
    <w:rsid w:val="00042686"/>
    <w:rsid w:val="0004418F"/>
    <w:rsid w:val="00045480"/>
    <w:rsid w:val="00045495"/>
    <w:rsid w:val="00045CC3"/>
    <w:rsid w:val="000463B9"/>
    <w:rsid w:val="00046AF2"/>
    <w:rsid w:val="00046B79"/>
    <w:rsid w:val="000506DD"/>
    <w:rsid w:val="00051202"/>
    <w:rsid w:val="00051BDB"/>
    <w:rsid w:val="00051CAE"/>
    <w:rsid w:val="00051F18"/>
    <w:rsid w:val="00052817"/>
    <w:rsid w:val="0005327C"/>
    <w:rsid w:val="0005344A"/>
    <w:rsid w:val="000535D2"/>
    <w:rsid w:val="00053800"/>
    <w:rsid w:val="00053B28"/>
    <w:rsid w:val="000541DB"/>
    <w:rsid w:val="00056266"/>
    <w:rsid w:val="00056349"/>
    <w:rsid w:val="000611C9"/>
    <w:rsid w:val="00061662"/>
    <w:rsid w:val="00062189"/>
    <w:rsid w:val="0006232B"/>
    <w:rsid w:val="000627CB"/>
    <w:rsid w:val="00062B57"/>
    <w:rsid w:val="000639DE"/>
    <w:rsid w:val="0006400E"/>
    <w:rsid w:val="000641DD"/>
    <w:rsid w:val="00064A1D"/>
    <w:rsid w:val="00066655"/>
    <w:rsid w:val="0006684F"/>
    <w:rsid w:val="0006792A"/>
    <w:rsid w:val="000679F7"/>
    <w:rsid w:val="00070F50"/>
    <w:rsid w:val="00071496"/>
    <w:rsid w:val="00071AE9"/>
    <w:rsid w:val="00072901"/>
    <w:rsid w:val="000729EF"/>
    <w:rsid w:val="000736BE"/>
    <w:rsid w:val="000739D7"/>
    <w:rsid w:val="00073A6E"/>
    <w:rsid w:val="00073BCE"/>
    <w:rsid w:val="00074913"/>
    <w:rsid w:val="00074B3C"/>
    <w:rsid w:val="00075798"/>
    <w:rsid w:val="0007778F"/>
    <w:rsid w:val="00077DA1"/>
    <w:rsid w:val="00080619"/>
    <w:rsid w:val="00080A1A"/>
    <w:rsid w:val="00080EE2"/>
    <w:rsid w:val="0008108D"/>
    <w:rsid w:val="00081763"/>
    <w:rsid w:val="000828A1"/>
    <w:rsid w:val="00083B8F"/>
    <w:rsid w:val="0008456E"/>
    <w:rsid w:val="00084BB4"/>
    <w:rsid w:val="000852C4"/>
    <w:rsid w:val="000853F5"/>
    <w:rsid w:val="0008642A"/>
    <w:rsid w:val="00086B9D"/>
    <w:rsid w:val="00087018"/>
    <w:rsid w:val="00087A67"/>
    <w:rsid w:val="00091417"/>
    <w:rsid w:val="00091A53"/>
    <w:rsid w:val="00092D10"/>
    <w:rsid w:val="000939CD"/>
    <w:rsid w:val="0009472E"/>
    <w:rsid w:val="00094AD3"/>
    <w:rsid w:val="00097B45"/>
    <w:rsid w:val="00097FE4"/>
    <w:rsid w:val="000A2C96"/>
    <w:rsid w:val="000A3B05"/>
    <w:rsid w:val="000A3B64"/>
    <w:rsid w:val="000A6F24"/>
    <w:rsid w:val="000B06E6"/>
    <w:rsid w:val="000B151A"/>
    <w:rsid w:val="000B2114"/>
    <w:rsid w:val="000B25FC"/>
    <w:rsid w:val="000B33AD"/>
    <w:rsid w:val="000B4299"/>
    <w:rsid w:val="000B6022"/>
    <w:rsid w:val="000B61AA"/>
    <w:rsid w:val="000B664C"/>
    <w:rsid w:val="000B6E0C"/>
    <w:rsid w:val="000B6F4D"/>
    <w:rsid w:val="000B77CB"/>
    <w:rsid w:val="000C0388"/>
    <w:rsid w:val="000C1774"/>
    <w:rsid w:val="000C1C6C"/>
    <w:rsid w:val="000C1D6A"/>
    <w:rsid w:val="000C2332"/>
    <w:rsid w:val="000C2863"/>
    <w:rsid w:val="000C3F53"/>
    <w:rsid w:val="000C4FF1"/>
    <w:rsid w:val="000C5417"/>
    <w:rsid w:val="000C5BBC"/>
    <w:rsid w:val="000C63E5"/>
    <w:rsid w:val="000C6A1A"/>
    <w:rsid w:val="000C7F8A"/>
    <w:rsid w:val="000D0384"/>
    <w:rsid w:val="000D1A3B"/>
    <w:rsid w:val="000D2253"/>
    <w:rsid w:val="000D2F69"/>
    <w:rsid w:val="000D3388"/>
    <w:rsid w:val="000D3AF5"/>
    <w:rsid w:val="000D4BC3"/>
    <w:rsid w:val="000D6D98"/>
    <w:rsid w:val="000D7012"/>
    <w:rsid w:val="000D756F"/>
    <w:rsid w:val="000D78F9"/>
    <w:rsid w:val="000D7F3A"/>
    <w:rsid w:val="000E0777"/>
    <w:rsid w:val="000E11AA"/>
    <w:rsid w:val="000E1274"/>
    <w:rsid w:val="000E2CC8"/>
    <w:rsid w:val="000E3452"/>
    <w:rsid w:val="000E3619"/>
    <w:rsid w:val="000E40A7"/>
    <w:rsid w:val="000E4959"/>
    <w:rsid w:val="000E4B4A"/>
    <w:rsid w:val="000E5317"/>
    <w:rsid w:val="000E57DD"/>
    <w:rsid w:val="000E5DB3"/>
    <w:rsid w:val="000E619A"/>
    <w:rsid w:val="000E790F"/>
    <w:rsid w:val="000F0DC4"/>
    <w:rsid w:val="000F1A2B"/>
    <w:rsid w:val="000F3CBB"/>
    <w:rsid w:val="000F4108"/>
    <w:rsid w:val="000F4799"/>
    <w:rsid w:val="000F48A5"/>
    <w:rsid w:val="000F6196"/>
    <w:rsid w:val="000F63B4"/>
    <w:rsid w:val="000F6F37"/>
    <w:rsid w:val="000F7EC4"/>
    <w:rsid w:val="00100502"/>
    <w:rsid w:val="00100B7F"/>
    <w:rsid w:val="00101615"/>
    <w:rsid w:val="0010199C"/>
    <w:rsid w:val="0010208C"/>
    <w:rsid w:val="001035B8"/>
    <w:rsid w:val="00103A67"/>
    <w:rsid w:val="00104C86"/>
    <w:rsid w:val="00106DA8"/>
    <w:rsid w:val="00107235"/>
    <w:rsid w:val="001073E7"/>
    <w:rsid w:val="00107840"/>
    <w:rsid w:val="001119CA"/>
    <w:rsid w:val="00112536"/>
    <w:rsid w:val="001134CB"/>
    <w:rsid w:val="001134D5"/>
    <w:rsid w:val="00113857"/>
    <w:rsid w:val="00113CF0"/>
    <w:rsid w:val="00114708"/>
    <w:rsid w:val="00114C72"/>
    <w:rsid w:val="001160A4"/>
    <w:rsid w:val="0011661D"/>
    <w:rsid w:val="00116709"/>
    <w:rsid w:val="00117235"/>
    <w:rsid w:val="00123DAE"/>
    <w:rsid w:val="00124FFF"/>
    <w:rsid w:val="0012505B"/>
    <w:rsid w:val="00126310"/>
    <w:rsid w:val="001268F2"/>
    <w:rsid w:val="00126EE1"/>
    <w:rsid w:val="00127E35"/>
    <w:rsid w:val="00127F2C"/>
    <w:rsid w:val="00130F9E"/>
    <w:rsid w:val="001312A0"/>
    <w:rsid w:val="00131A82"/>
    <w:rsid w:val="0013247E"/>
    <w:rsid w:val="00132E53"/>
    <w:rsid w:val="0013336B"/>
    <w:rsid w:val="001338DB"/>
    <w:rsid w:val="00134D81"/>
    <w:rsid w:val="00134DBC"/>
    <w:rsid w:val="001354D5"/>
    <w:rsid w:val="00135EC2"/>
    <w:rsid w:val="00136CEE"/>
    <w:rsid w:val="001372EB"/>
    <w:rsid w:val="001379EA"/>
    <w:rsid w:val="0014023F"/>
    <w:rsid w:val="00140391"/>
    <w:rsid w:val="001403DD"/>
    <w:rsid w:val="00140E4C"/>
    <w:rsid w:val="001418FE"/>
    <w:rsid w:val="00141C30"/>
    <w:rsid w:val="001429CE"/>
    <w:rsid w:val="001432F9"/>
    <w:rsid w:val="00143B86"/>
    <w:rsid w:val="0014575C"/>
    <w:rsid w:val="001467F5"/>
    <w:rsid w:val="001469E4"/>
    <w:rsid w:val="00147197"/>
    <w:rsid w:val="00152809"/>
    <w:rsid w:val="00152939"/>
    <w:rsid w:val="0015337D"/>
    <w:rsid w:val="0015358D"/>
    <w:rsid w:val="00153605"/>
    <w:rsid w:val="0015577B"/>
    <w:rsid w:val="00157F88"/>
    <w:rsid w:val="00160C41"/>
    <w:rsid w:val="0016121E"/>
    <w:rsid w:val="0016247E"/>
    <w:rsid w:val="00162B37"/>
    <w:rsid w:val="001642EB"/>
    <w:rsid w:val="00164716"/>
    <w:rsid w:val="00165AC8"/>
    <w:rsid w:val="00165F3E"/>
    <w:rsid w:val="00167013"/>
    <w:rsid w:val="00167787"/>
    <w:rsid w:val="001700EE"/>
    <w:rsid w:val="0017098F"/>
    <w:rsid w:val="00171EC2"/>
    <w:rsid w:val="0017228E"/>
    <w:rsid w:val="00173E79"/>
    <w:rsid w:val="0017463E"/>
    <w:rsid w:val="001757E7"/>
    <w:rsid w:val="00175C69"/>
    <w:rsid w:val="00176782"/>
    <w:rsid w:val="00177570"/>
    <w:rsid w:val="00177CD9"/>
    <w:rsid w:val="00177FAE"/>
    <w:rsid w:val="001801A1"/>
    <w:rsid w:val="00180275"/>
    <w:rsid w:val="0018096F"/>
    <w:rsid w:val="00180EAD"/>
    <w:rsid w:val="00183D1C"/>
    <w:rsid w:val="00184078"/>
    <w:rsid w:val="00184C0F"/>
    <w:rsid w:val="001850ED"/>
    <w:rsid w:val="001850F0"/>
    <w:rsid w:val="00187ED2"/>
    <w:rsid w:val="00190837"/>
    <w:rsid w:val="001920AA"/>
    <w:rsid w:val="0019227C"/>
    <w:rsid w:val="00194E91"/>
    <w:rsid w:val="0019547A"/>
    <w:rsid w:val="00196FAD"/>
    <w:rsid w:val="00197C82"/>
    <w:rsid w:val="00197FCF"/>
    <w:rsid w:val="001A1355"/>
    <w:rsid w:val="001A2F00"/>
    <w:rsid w:val="001A38EA"/>
    <w:rsid w:val="001A4054"/>
    <w:rsid w:val="001A4654"/>
    <w:rsid w:val="001A4B8C"/>
    <w:rsid w:val="001A4C68"/>
    <w:rsid w:val="001A5630"/>
    <w:rsid w:val="001A59A7"/>
    <w:rsid w:val="001A5E4A"/>
    <w:rsid w:val="001B115E"/>
    <w:rsid w:val="001B16B2"/>
    <w:rsid w:val="001B1D3E"/>
    <w:rsid w:val="001B226E"/>
    <w:rsid w:val="001B2C88"/>
    <w:rsid w:val="001B3B16"/>
    <w:rsid w:val="001B3F81"/>
    <w:rsid w:val="001B455C"/>
    <w:rsid w:val="001B483B"/>
    <w:rsid w:val="001B4F61"/>
    <w:rsid w:val="001B5128"/>
    <w:rsid w:val="001B5937"/>
    <w:rsid w:val="001B6941"/>
    <w:rsid w:val="001B6B3C"/>
    <w:rsid w:val="001B700E"/>
    <w:rsid w:val="001B7771"/>
    <w:rsid w:val="001C0321"/>
    <w:rsid w:val="001C0EC7"/>
    <w:rsid w:val="001C1B9D"/>
    <w:rsid w:val="001C2DB9"/>
    <w:rsid w:val="001C2F23"/>
    <w:rsid w:val="001C3339"/>
    <w:rsid w:val="001C3A93"/>
    <w:rsid w:val="001C41AA"/>
    <w:rsid w:val="001C44AD"/>
    <w:rsid w:val="001C450E"/>
    <w:rsid w:val="001C4E50"/>
    <w:rsid w:val="001C6B3B"/>
    <w:rsid w:val="001C752B"/>
    <w:rsid w:val="001C7ADA"/>
    <w:rsid w:val="001C7E77"/>
    <w:rsid w:val="001D10EC"/>
    <w:rsid w:val="001D139C"/>
    <w:rsid w:val="001D148B"/>
    <w:rsid w:val="001D14A7"/>
    <w:rsid w:val="001D19DF"/>
    <w:rsid w:val="001D1B39"/>
    <w:rsid w:val="001D2253"/>
    <w:rsid w:val="001D25FF"/>
    <w:rsid w:val="001D44ED"/>
    <w:rsid w:val="001D4691"/>
    <w:rsid w:val="001D5C37"/>
    <w:rsid w:val="001D6162"/>
    <w:rsid w:val="001D63D3"/>
    <w:rsid w:val="001D678A"/>
    <w:rsid w:val="001E00AA"/>
    <w:rsid w:val="001E07E6"/>
    <w:rsid w:val="001E0EEA"/>
    <w:rsid w:val="001E1639"/>
    <w:rsid w:val="001E1BFD"/>
    <w:rsid w:val="001E4DAE"/>
    <w:rsid w:val="001E52D7"/>
    <w:rsid w:val="001E52F1"/>
    <w:rsid w:val="001E5392"/>
    <w:rsid w:val="001E559F"/>
    <w:rsid w:val="001E5B70"/>
    <w:rsid w:val="001E6452"/>
    <w:rsid w:val="001E7225"/>
    <w:rsid w:val="001E7491"/>
    <w:rsid w:val="001E74B4"/>
    <w:rsid w:val="001F16B3"/>
    <w:rsid w:val="001F19A1"/>
    <w:rsid w:val="001F1DCC"/>
    <w:rsid w:val="001F27B6"/>
    <w:rsid w:val="001F2904"/>
    <w:rsid w:val="001F3854"/>
    <w:rsid w:val="001F4BCA"/>
    <w:rsid w:val="001F7894"/>
    <w:rsid w:val="001F7F98"/>
    <w:rsid w:val="001F7FCE"/>
    <w:rsid w:val="00201244"/>
    <w:rsid w:val="00201DD2"/>
    <w:rsid w:val="00202B96"/>
    <w:rsid w:val="002031A8"/>
    <w:rsid w:val="00203444"/>
    <w:rsid w:val="002040EB"/>
    <w:rsid w:val="00204409"/>
    <w:rsid w:val="00204F16"/>
    <w:rsid w:val="002060FC"/>
    <w:rsid w:val="00206AB9"/>
    <w:rsid w:val="002073E5"/>
    <w:rsid w:val="00210215"/>
    <w:rsid w:val="00210FF4"/>
    <w:rsid w:val="00211355"/>
    <w:rsid w:val="00211C7C"/>
    <w:rsid w:val="00211FC3"/>
    <w:rsid w:val="00212BAF"/>
    <w:rsid w:val="00213BA7"/>
    <w:rsid w:val="00215D48"/>
    <w:rsid w:val="00216780"/>
    <w:rsid w:val="00216A37"/>
    <w:rsid w:val="00216F4C"/>
    <w:rsid w:val="002210D1"/>
    <w:rsid w:val="00221840"/>
    <w:rsid w:val="00222573"/>
    <w:rsid w:val="00222574"/>
    <w:rsid w:val="00222C6E"/>
    <w:rsid w:val="002244B2"/>
    <w:rsid w:val="0022493E"/>
    <w:rsid w:val="002249E3"/>
    <w:rsid w:val="00225807"/>
    <w:rsid w:val="00225C1E"/>
    <w:rsid w:val="00226BE6"/>
    <w:rsid w:val="00227455"/>
    <w:rsid w:val="00227B07"/>
    <w:rsid w:val="00230C77"/>
    <w:rsid w:val="002319B8"/>
    <w:rsid w:val="00234179"/>
    <w:rsid w:val="002353E6"/>
    <w:rsid w:val="00235CED"/>
    <w:rsid w:val="0023623F"/>
    <w:rsid w:val="002362EA"/>
    <w:rsid w:val="002363EF"/>
    <w:rsid w:val="00236F85"/>
    <w:rsid w:val="00237401"/>
    <w:rsid w:val="002377BB"/>
    <w:rsid w:val="0024037C"/>
    <w:rsid w:val="002411F6"/>
    <w:rsid w:val="002425B9"/>
    <w:rsid w:val="0024289C"/>
    <w:rsid w:val="00243C7F"/>
    <w:rsid w:val="00244DF0"/>
    <w:rsid w:val="00244E8E"/>
    <w:rsid w:val="002451FF"/>
    <w:rsid w:val="002460BF"/>
    <w:rsid w:val="00251DAE"/>
    <w:rsid w:val="00251F51"/>
    <w:rsid w:val="00252217"/>
    <w:rsid w:val="002524F5"/>
    <w:rsid w:val="00253A80"/>
    <w:rsid w:val="00254030"/>
    <w:rsid w:val="00254C11"/>
    <w:rsid w:val="00255353"/>
    <w:rsid w:val="0025573E"/>
    <w:rsid w:val="00255B79"/>
    <w:rsid w:val="00260237"/>
    <w:rsid w:val="00261B90"/>
    <w:rsid w:val="0026248C"/>
    <w:rsid w:val="00262938"/>
    <w:rsid w:val="00262B7C"/>
    <w:rsid w:val="0026374D"/>
    <w:rsid w:val="00263BD0"/>
    <w:rsid w:val="00264751"/>
    <w:rsid w:val="0026478C"/>
    <w:rsid w:val="00266548"/>
    <w:rsid w:val="00266CAA"/>
    <w:rsid w:val="00266D4F"/>
    <w:rsid w:val="00267D00"/>
    <w:rsid w:val="00267F5F"/>
    <w:rsid w:val="002717BE"/>
    <w:rsid w:val="00271F32"/>
    <w:rsid w:val="002720CC"/>
    <w:rsid w:val="00273C5C"/>
    <w:rsid w:val="002740B5"/>
    <w:rsid w:val="0027416A"/>
    <w:rsid w:val="0027494C"/>
    <w:rsid w:val="00275585"/>
    <w:rsid w:val="00275EEC"/>
    <w:rsid w:val="00276E1E"/>
    <w:rsid w:val="00277789"/>
    <w:rsid w:val="002809FB"/>
    <w:rsid w:val="002810AD"/>
    <w:rsid w:val="0028110E"/>
    <w:rsid w:val="00281E87"/>
    <w:rsid w:val="0028285B"/>
    <w:rsid w:val="002837E6"/>
    <w:rsid w:val="00283842"/>
    <w:rsid w:val="002848FD"/>
    <w:rsid w:val="002860FB"/>
    <w:rsid w:val="002869FB"/>
    <w:rsid w:val="00286CA4"/>
    <w:rsid w:val="00286F1A"/>
    <w:rsid w:val="0028713D"/>
    <w:rsid w:val="00287A5A"/>
    <w:rsid w:val="00287C3B"/>
    <w:rsid w:val="00287D9A"/>
    <w:rsid w:val="00290219"/>
    <w:rsid w:val="002920A2"/>
    <w:rsid w:val="00295B02"/>
    <w:rsid w:val="0029680B"/>
    <w:rsid w:val="00296DD7"/>
    <w:rsid w:val="0029779A"/>
    <w:rsid w:val="002A03AC"/>
    <w:rsid w:val="002A0666"/>
    <w:rsid w:val="002A0F33"/>
    <w:rsid w:val="002A1189"/>
    <w:rsid w:val="002A1290"/>
    <w:rsid w:val="002A1784"/>
    <w:rsid w:val="002A23C2"/>
    <w:rsid w:val="002A2968"/>
    <w:rsid w:val="002A2D02"/>
    <w:rsid w:val="002A3640"/>
    <w:rsid w:val="002A3918"/>
    <w:rsid w:val="002A4CEE"/>
    <w:rsid w:val="002A5DF9"/>
    <w:rsid w:val="002A6057"/>
    <w:rsid w:val="002A611A"/>
    <w:rsid w:val="002A7EFF"/>
    <w:rsid w:val="002B3672"/>
    <w:rsid w:val="002B40C2"/>
    <w:rsid w:val="002B4E48"/>
    <w:rsid w:val="002B5259"/>
    <w:rsid w:val="002B6CD0"/>
    <w:rsid w:val="002B6EF2"/>
    <w:rsid w:val="002B78F7"/>
    <w:rsid w:val="002B7BFB"/>
    <w:rsid w:val="002B7DFE"/>
    <w:rsid w:val="002C0C2F"/>
    <w:rsid w:val="002C50AC"/>
    <w:rsid w:val="002C541C"/>
    <w:rsid w:val="002C56CC"/>
    <w:rsid w:val="002C5A82"/>
    <w:rsid w:val="002C5A9D"/>
    <w:rsid w:val="002C6194"/>
    <w:rsid w:val="002C66CA"/>
    <w:rsid w:val="002C6C0A"/>
    <w:rsid w:val="002C6CDF"/>
    <w:rsid w:val="002C70CD"/>
    <w:rsid w:val="002C7BE9"/>
    <w:rsid w:val="002D002F"/>
    <w:rsid w:val="002D1382"/>
    <w:rsid w:val="002D144A"/>
    <w:rsid w:val="002D1699"/>
    <w:rsid w:val="002D31D4"/>
    <w:rsid w:val="002D3512"/>
    <w:rsid w:val="002D3A6F"/>
    <w:rsid w:val="002D5395"/>
    <w:rsid w:val="002D5F14"/>
    <w:rsid w:val="002D6BF3"/>
    <w:rsid w:val="002D6F14"/>
    <w:rsid w:val="002D764A"/>
    <w:rsid w:val="002E016D"/>
    <w:rsid w:val="002E0F69"/>
    <w:rsid w:val="002E1116"/>
    <w:rsid w:val="002E138E"/>
    <w:rsid w:val="002E1470"/>
    <w:rsid w:val="002E232E"/>
    <w:rsid w:val="002E269E"/>
    <w:rsid w:val="002E2DD6"/>
    <w:rsid w:val="002E3154"/>
    <w:rsid w:val="002E3B19"/>
    <w:rsid w:val="002E44E3"/>
    <w:rsid w:val="002E4886"/>
    <w:rsid w:val="002E6148"/>
    <w:rsid w:val="002E7918"/>
    <w:rsid w:val="002F029F"/>
    <w:rsid w:val="002F0542"/>
    <w:rsid w:val="002F0EAE"/>
    <w:rsid w:val="002F10A7"/>
    <w:rsid w:val="002F1883"/>
    <w:rsid w:val="002F2332"/>
    <w:rsid w:val="002F2768"/>
    <w:rsid w:val="002F48A6"/>
    <w:rsid w:val="002F5590"/>
    <w:rsid w:val="002F5C38"/>
    <w:rsid w:val="0030006E"/>
    <w:rsid w:val="00300665"/>
    <w:rsid w:val="003008C3"/>
    <w:rsid w:val="0030476A"/>
    <w:rsid w:val="00305018"/>
    <w:rsid w:val="00305943"/>
    <w:rsid w:val="00305AD0"/>
    <w:rsid w:val="0030613F"/>
    <w:rsid w:val="0030751C"/>
    <w:rsid w:val="00307847"/>
    <w:rsid w:val="003110AC"/>
    <w:rsid w:val="00311271"/>
    <w:rsid w:val="00311F99"/>
    <w:rsid w:val="00312322"/>
    <w:rsid w:val="003123A9"/>
    <w:rsid w:val="00312E6A"/>
    <w:rsid w:val="00313D6E"/>
    <w:rsid w:val="00313ED0"/>
    <w:rsid w:val="00314579"/>
    <w:rsid w:val="00316585"/>
    <w:rsid w:val="00316905"/>
    <w:rsid w:val="00316ABB"/>
    <w:rsid w:val="00320066"/>
    <w:rsid w:val="00321221"/>
    <w:rsid w:val="00321223"/>
    <w:rsid w:val="00322164"/>
    <w:rsid w:val="003225C2"/>
    <w:rsid w:val="0032338E"/>
    <w:rsid w:val="00323EA4"/>
    <w:rsid w:val="00324BDB"/>
    <w:rsid w:val="0032582A"/>
    <w:rsid w:val="00325D8B"/>
    <w:rsid w:val="00327F7D"/>
    <w:rsid w:val="003300A4"/>
    <w:rsid w:val="003304AB"/>
    <w:rsid w:val="003336D5"/>
    <w:rsid w:val="00333D34"/>
    <w:rsid w:val="00334091"/>
    <w:rsid w:val="003344C0"/>
    <w:rsid w:val="00334A06"/>
    <w:rsid w:val="00334B92"/>
    <w:rsid w:val="00334D3D"/>
    <w:rsid w:val="00335102"/>
    <w:rsid w:val="0033559A"/>
    <w:rsid w:val="003367E9"/>
    <w:rsid w:val="00340302"/>
    <w:rsid w:val="00340BD1"/>
    <w:rsid w:val="0034100B"/>
    <w:rsid w:val="003415E2"/>
    <w:rsid w:val="003421A7"/>
    <w:rsid w:val="00342E15"/>
    <w:rsid w:val="00344CF1"/>
    <w:rsid w:val="0034524E"/>
    <w:rsid w:val="003452FB"/>
    <w:rsid w:val="00346746"/>
    <w:rsid w:val="003474CB"/>
    <w:rsid w:val="00347588"/>
    <w:rsid w:val="0034791A"/>
    <w:rsid w:val="00350C6D"/>
    <w:rsid w:val="003523C8"/>
    <w:rsid w:val="00352942"/>
    <w:rsid w:val="00352D06"/>
    <w:rsid w:val="003542A7"/>
    <w:rsid w:val="003550F5"/>
    <w:rsid w:val="00355115"/>
    <w:rsid w:val="00355EEA"/>
    <w:rsid w:val="00357AAE"/>
    <w:rsid w:val="00357C02"/>
    <w:rsid w:val="00357DBF"/>
    <w:rsid w:val="0036148F"/>
    <w:rsid w:val="0036179B"/>
    <w:rsid w:val="00362ECF"/>
    <w:rsid w:val="003632B7"/>
    <w:rsid w:val="00364578"/>
    <w:rsid w:val="00364663"/>
    <w:rsid w:val="0036472E"/>
    <w:rsid w:val="00365D73"/>
    <w:rsid w:val="00370311"/>
    <w:rsid w:val="003724E1"/>
    <w:rsid w:val="00374BDE"/>
    <w:rsid w:val="00374C9C"/>
    <w:rsid w:val="0037516C"/>
    <w:rsid w:val="00375A27"/>
    <w:rsid w:val="003768C8"/>
    <w:rsid w:val="003811EA"/>
    <w:rsid w:val="003813D1"/>
    <w:rsid w:val="003816A7"/>
    <w:rsid w:val="0038171F"/>
    <w:rsid w:val="00384049"/>
    <w:rsid w:val="003841F5"/>
    <w:rsid w:val="003843AB"/>
    <w:rsid w:val="00384D97"/>
    <w:rsid w:val="0038547B"/>
    <w:rsid w:val="0038613A"/>
    <w:rsid w:val="003867A3"/>
    <w:rsid w:val="0038718A"/>
    <w:rsid w:val="003877BB"/>
    <w:rsid w:val="003911FF"/>
    <w:rsid w:val="0039160C"/>
    <w:rsid w:val="003916A5"/>
    <w:rsid w:val="00391F44"/>
    <w:rsid w:val="003923EC"/>
    <w:rsid w:val="003930A8"/>
    <w:rsid w:val="00394292"/>
    <w:rsid w:val="003942D6"/>
    <w:rsid w:val="003944BC"/>
    <w:rsid w:val="003948AA"/>
    <w:rsid w:val="003957FF"/>
    <w:rsid w:val="00395976"/>
    <w:rsid w:val="0039617F"/>
    <w:rsid w:val="00397143"/>
    <w:rsid w:val="003A1686"/>
    <w:rsid w:val="003A1699"/>
    <w:rsid w:val="003A1B9A"/>
    <w:rsid w:val="003A2C6F"/>
    <w:rsid w:val="003A3DF5"/>
    <w:rsid w:val="003A520F"/>
    <w:rsid w:val="003A6B05"/>
    <w:rsid w:val="003A7474"/>
    <w:rsid w:val="003A79B2"/>
    <w:rsid w:val="003B08E2"/>
    <w:rsid w:val="003B0BB0"/>
    <w:rsid w:val="003B1D9F"/>
    <w:rsid w:val="003B1F25"/>
    <w:rsid w:val="003B223A"/>
    <w:rsid w:val="003B321F"/>
    <w:rsid w:val="003B35E9"/>
    <w:rsid w:val="003B36EE"/>
    <w:rsid w:val="003B40F0"/>
    <w:rsid w:val="003B5BDD"/>
    <w:rsid w:val="003B6321"/>
    <w:rsid w:val="003C008E"/>
    <w:rsid w:val="003C128B"/>
    <w:rsid w:val="003C1468"/>
    <w:rsid w:val="003C2EF0"/>
    <w:rsid w:val="003C4324"/>
    <w:rsid w:val="003C4ED1"/>
    <w:rsid w:val="003C5D0D"/>
    <w:rsid w:val="003C6203"/>
    <w:rsid w:val="003C62D1"/>
    <w:rsid w:val="003C6570"/>
    <w:rsid w:val="003C6C9A"/>
    <w:rsid w:val="003C6D69"/>
    <w:rsid w:val="003C6E03"/>
    <w:rsid w:val="003C7143"/>
    <w:rsid w:val="003D022D"/>
    <w:rsid w:val="003D074E"/>
    <w:rsid w:val="003D09DA"/>
    <w:rsid w:val="003D1421"/>
    <w:rsid w:val="003D1599"/>
    <w:rsid w:val="003D1800"/>
    <w:rsid w:val="003D1A7B"/>
    <w:rsid w:val="003D2552"/>
    <w:rsid w:val="003D25A0"/>
    <w:rsid w:val="003D39B4"/>
    <w:rsid w:val="003D3A43"/>
    <w:rsid w:val="003D3D36"/>
    <w:rsid w:val="003D41FC"/>
    <w:rsid w:val="003D5E28"/>
    <w:rsid w:val="003D60A9"/>
    <w:rsid w:val="003D76D2"/>
    <w:rsid w:val="003E1E14"/>
    <w:rsid w:val="003E381B"/>
    <w:rsid w:val="003E3AF5"/>
    <w:rsid w:val="003E4E80"/>
    <w:rsid w:val="003E5362"/>
    <w:rsid w:val="003E5560"/>
    <w:rsid w:val="003E5B13"/>
    <w:rsid w:val="003E60BC"/>
    <w:rsid w:val="003E7719"/>
    <w:rsid w:val="003E7B1A"/>
    <w:rsid w:val="003E7EB7"/>
    <w:rsid w:val="003F05C5"/>
    <w:rsid w:val="003F29AA"/>
    <w:rsid w:val="003F46F1"/>
    <w:rsid w:val="003F5D9F"/>
    <w:rsid w:val="003F6E54"/>
    <w:rsid w:val="003F6FE9"/>
    <w:rsid w:val="003F76E2"/>
    <w:rsid w:val="003F7F3A"/>
    <w:rsid w:val="00400503"/>
    <w:rsid w:val="004010A5"/>
    <w:rsid w:val="004010D6"/>
    <w:rsid w:val="00401886"/>
    <w:rsid w:val="00401A7B"/>
    <w:rsid w:val="00401AD9"/>
    <w:rsid w:val="00405D9C"/>
    <w:rsid w:val="00407379"/>
    <w:rsid w:val="004074C5"/>
    <w:rsid w:val="00407823"/>
    <w:rsid w:val="00410CEF"/>
    <w:rsid w:val="00410F29"/>
    <w:rsid w:val="00412353"/>
    <w:rsid w:val="00412EB8"/>
    <w:rsid w:val="00413BF7"/>
    <w:rsid w:val="00415EF6"/>
    <w:rsid w:val="00416313"/>
    <w:rsid w:val="00417C12"/>
    <w:rsid w:val="00417CD1"/>
    <w:rsid w:val="00417D89"/>
    <w:rsid w:val="00420BDF"/>
    <w:rsid w:val="004215ED"/>
    <w:rsid w:val="00421C0C"/>
    <w:rsid w:val="00422C0A"/>
    <w:rsid w:val="00422D03"/>
    <w:rsid w:val="00423D19"/>
    <w:rsid w:val="00424DE2"/>
    <w:rsid w:val="004253EB"/>
    <w:rsid w:val="00425403"/>
    <w:rsid w:val="00425E94"/>
    <w:rsid w:val="0043017E"/>
    <w:rsid w:val="004331A3"/>
    <w:rsid w:val="0043352C"/>
    <w:rsid w:val="00435764"/>
    <w:rsid w:val="0043600A"/>
    <w:rsid w:val="0043600D"/>
    <w:rsid w:val="00437817"/>
    <w:rsid w:val="00443353"/>
    <w:rsid w:val="004447F1"/>
    <w:rsid w:val="004452DE"/>
    <w:rsid w:val="00445A49"/>
    <w:rsid w:val="00445BFC"/>
    <w:rsid w:val="00446656"/>
    <w:rsid w:val="0044672C"/>
    <w:rsid w:val="00446D16"/>
    <w:rsid w:val="004470AD"/>
    <w:rsid w:val="00447B8E"/>
    <w:rsid w:val="00450657"/>
    <w:rsid w:val="00451EA0"/>
    <w:rsid w:val="00453015"/>
    <w:rsid w:val="00454E7C"/>
    <w:rsid w:val="00455CDB"/>
    <w:rsid w:val="00455E12"/>
    <w:rsid w:val="00456917"/>
    <w:rsid w:val="00457B3B"/>
    <w:rsid w:val="004602C9"/>
    <w:rsid w:val="00461966"/>
    <w:rsid w:val="00463CA8"/>
    <w:rsid w:val="00463E82"/>
    <w:rsid w:val="0046449E"/>
    <w:rsid w:val="0046590A"/>
    <w:rsid w:val="00465BB8"/>
    <w:rsid w:val="0046647B"/>
    <w:rsid w:val="00466656"/>
    <w:rsid w:val="00466C8C"/>
    <w:rsid w:val="00466E2B"/>
    <w:rsid w:val="004678F7"/>
    <w:rsid w:val="00470319"/>
    <w:rsid w:val="00470D8B"/>
    <w:rsid w:val="00471154"/>
    <w:rsid w:val="004711A3"/>
    <w:rsid w:val="0047257C"/>
    <w:rsid w:val="00472A76"/>
    <w:rsid w:val="00473614"/>
    <w:rsid w:val="004739C7"/>
    <w:rsid w:val="00474F1F"/>
    <w:rsid w:val="0047532B"/>
    <w:rsid w:val="00476C45"/>
    <w:rsid w:val="0048084F"/>
    <w:rsid w:val="0048271A"/>
    <w:rsid w:val="00482889"/>
    <w:rsid w:val="00482FD6"/>
    <w:rsid w:val="00486039"/>
    <w:rsid w:val="004868C2"/>
    <w:rsid w:val="004877D0"/>
    <w:rsid w:val="004878E2"/>
    <w:rsid w:val="004908E3"/>
    <w:rsid w:val="004912D2"/>
    <w:rsid w:val="004914FA"/>
    <w:rsid w:val="00491A5B"/>
    <w:rsid w:val="00491FB0"/>
    <w:rsid w:val="00492815"/>
    <w:rsid w:val="0049418A"/>
    <w:rsid w:val="00494367"/>
    <w:rsid w:val="00494824"/>
    <w:rsid w:val="0049596F"/>
    <w:rsid w:val="00496482"/>
    <w:rsid w:val="004965A5"/>
    <w:rsid w:val="00496DC6"/>
    <w:rsid w:val="00496F87"/>
    <w:rsid w:val="004975BC"/>
    <w:rsid w:val="00497AC0"/>
    <w:rsid w:val="00497BCB"/>
    <w:rsid w:val="004A0364"/>
    <w:rsid w:val="004A0F38"/>
    <w:rsid w:val="004A2F33"/>
    <w:rsid w:val="004A2FB5"/>
    <w:rsid w:val="004A3E9B"/>
    <w:rsid w:val="004A4DC6"/>
    <w:rsid w:val="004A5DDD"/>
    <w:rsid w:val="004A6B02"/>
    <w:rsid w:val="004A70A4"/>
    <w:rsid w:val="004A784F"/>
    <w:rsid w:val="004A79AA"/>
    <w:rsid w:val="004A7F04"/>
    <w:rsid w:val="004B01B2"/>
    <w:rsid w:val="004B0946"/>
    <w:rsid w:val="004B1627"/>
    <w:rsid w:val="004B5ABF"/>
    <w:rsid w:val="004B6A6F"/>
    <w:rsid w:val="004B6B3B"/>
    <w:rsid w:val="004B74EC"/>
    <w:rsid w:val="004B7B19"/>
    <w:rsid w:val="004C06CE"/>
    <w:rsid w:val="004C1616"/>
    <w:rsid w:val="004C1CC9"/>
    <w:rsid w:val="004C2307"/>
    <w:rsid w:val="004C28AE"/>
    <w:rsid w:val="004C59AC"/>
    <w:rsid w:val="004C6146"/>
    <w:rsid w:val="004C6336"/>
    <w:rsid w:val="004C633B"/>
    <w:rsid w:val="004C70C5"/>
    <w:rsid w:val="004C77FA"/>
    <w:rsid w:val="004D15F7"/>
    <w:rsid w:val="004D161C"/>
    <w:rsid w:val="004D20D0"/>
    <w:rsid w:val="004D3791"/>
    <w:rsid w:val="004D4934"/>
    <w:rsid w:val="004D7F40"/>
    <w:rsid w:val="004E0F5A"/>
    <w:rsid w:val="004E3735"/>
    <w:rsid w:val="004E37BC"/>
    <w:rsid w:val="004E4E01"/>
    <w:rsid w:val="004E546C"/>
    <w:rsid w:val="004E5E52"/>
    <w:rsid w:val="004E6AB0"/>
    <w:rsid w:val="004E6B4F"/>
    <w:rsid w:val="004E761F"/>
    <w:rsid w:val="004E7666"/>
    <w:rsid w:val="004E7CE3"/>
    <w:rsid w:val="004F03A7"/>
    <w:rsid w:val="004F0578"/>
    <w:rsid w:val="004F0B6D"/>
    <w:rsid w:val="004F15E3"/>
    <w:rsid w:val="004F1AB0"/>
    <w:rsid w:val="004F4208"/>
    <w:rsid w:val="004F4E65"/>
    <w:rsid w:val="004F4F53"/>
    <w:rsid w:val="004F5130"/>
    <w:rsid w:val="004F7BD8"/>
    <w:rsid w:val="004F7C3F"/>
    <w:rsid w:val="00501807"/>
    <w:rsid w:val="005019F0"/>
    <w:rsid w:val="00501CFF"/>
    <w:rsid w:val="00501DB4"/>
    <w:rsid w:val="005023CE"/>
    <w:rsid w:val="005023DC"/>
    <w:rsid w:val="00505698"/>
    <w:rsid w:val="005104CB"/>
    <w:rsid w:val="0051086A"/>
    <w:rsid w:val="005108EE"/>
    <w:rsid w:val="0051218E"/>
    <w:rsid w:val="005139A0"/>
    <w:rsid w:val="00513C8F"/>
    <w:rsid w:val="00513CA9"/>
    <w:rsid w:val="005143B0"/>
    <w:rsid w:val="00514CDA"/>
    <w:rsid w:val="00515E89"/>
    <w:rsid w:val="005205B7"/>
    <w:rsid w:val="00520FA2"/>
    <w:rsid w:val="00522230"/>
    <w:rsid w:val="00522753"/>
    <w:rsid w:val="00523AF3"/>
    <w:rsid w:val="00524DC2"/>
    <w:rsid w:val="005256D9"/>
    <w:rsid w:val="00527FEE"/>
    <w:rsid w:val="00530BA8"/>
    <w:rsid w:val="00531476"/>
    <w:rsid w:val="005324C9"/>
    <w:rsid w:val="00532AB4"/>
    <w:rsid w:val="00532D23"/>
    <w:rsid w:val="0053312F"/>
    <w:rsid w:val="0053337C"/>
    <w:rsid w:val="005341CB"/>
    <w:rsid w:val="005361CD"/>
    <w:rsid w:val="0053683D"/>
    <w:rsid w:val="00537B5D"/>
    <w:rsid w:val="00537CB2"/>
    <w:rsid w:val="00541307"/>
    <w:rsid w:val="0054152F"/>
    <w:rsid w:val="00542A18"/>
    <w:rsid w:val="00543205"/>
    <w:rsid w:val="00543D64"/>
    <w:rsid w:val="00543EEB"/>
    <w:rsid w:val="005449E9"/>
    <w:rsid w:val="005476AC"/>
    <w:rsid w:val="00550507"/>
    <w:rsid w:val="0055090A"/>
    <w:rsid w:val="00555CCF"/>
    <w:rsid w:val="005560C8"/>
    <w:rsid w:val="00556A3D"/>
    <w:rsid w:val="00556A95"/>
    <w:rsid w:val="005571CB"/>
    <w:rsid w:val="00557257"/>
    <w:rsid w:val="0056053E"/>
    <w:rsid w:val="00561688"/>
    <w:rsid w:val="00561E7C"/>
    <w:rsid w:val="00563370"/>
    <w:rsid w:val="00564333"/>
    <w:rsid w:val="00564B87"/>
    <w:rsid w:val="00564F8F"/>
    <w:rsid w:val="00565339"/>
    <w:rsid w:val="00565361"/>
    <w:rsid w:val="00567D8F"/>
    <w:rsid w:val="00570B3D"/>
    <w:rsid w:val="00571BE7"/>
    <w:rsid w:val="005726DA"/>
    <w:rsid w:val="00572C3D"/>
    <w:rsid w:val="00572E36"/>
    <w:rsid w:val="00573A67"/>
    <w:rsid w:val="005743B1"/>
    <w:rsid w:val="005744E4"/>
    <w:rsid w:val="005771EF"/>
    <w:rsid w:val="00577882"/>
    <w:rsid w:val="00577FD8"/>
    <w:rsid w:val="005804E5"/>
    <w:rsid w:val="00580A93"/>
    <w:rsid w:val="00581BF8"/>
    <w:rsid w:val="00581E18"/>
    <w:rsid w:val="00581FFF"/>
    <w:rsid w:val="005843E2"/>
    <w:rsid w:val="00584C63"/>
    <w:rsid w:val="00585634"/>
    <w:rsid w:val="0058625F"/>
    <w:rsid w:val="00586E88"/>
    <w:rsid w:val="00587BAB"/>
    <w:rsid w:val="00587C59"/>
    <w:rsid w:val="00590377"/>
    <w:rsid w:val="00590BBC"/>
    <w:rsid w:val="00590BF1"/>
    <w:rsid w:val="00590FDC"/>
    <w:rsid w:val="00591ABE"/>
    <w:rsid w:val="00591B44"/>
    <w:rsid w:val="0059310E"/>
    <w:rsid w:val="00593B3D"/>
    <w:rsid w:val="00593D85"/>
    <w:rsid w:val="00593E6C"/>
    <w:rsid w:val="00594025"/>
    <w:rsid w:val="005957E1"/>
    <w:rsid w:val="0059686F"/>
    <w:rsid w:val="00597B59"/>
    <w:rsid w:val="00597F87"/>
    <w:rsid w:val="005A11E9"/>
    <w:rsid w:val="005A17A1"/>
    <w:rsid w:val="005A1FFA"/>
    <w:rsid w:val="005A2B0A"/>
    <w:rsid w:val="005A2F00"/>
    <w:rsid w:val="005A4AE1"/>
    <w:rsid w:val="005A58CE"/>
    <w:rsid w:val="005A6EA0"/>
    <w:rsid w:val="005A73CE"/>
    <w:rsid w:val="005A7946"/>
    <w:rsid w:val="005B0BCD"/>
    <w:rsid w:val="005B1363"/>
    <w:rsid w:val="005B1ADC"/>
    <w:rsid w:val="005B44F5"/>
    <w:rsid w:val="005B469D"/>
    <w:rsid w:val="005B4804"/>
    <w:rsid w:val="005B4C7F"/>
    <w:rsid w:val="005B6869"/>
    <w:rsid w:val="005B7F05"/>
    <w:rsid w:val="005C03B3"/>
    <w:rsid w:val="005C0ECB"/>
    <w:rsid w:val="005C17D6"/>
    <w:rsid w:val="005C29AF"/>
    <w:rsid w:val="005C2F28"/>
    <w:rsid w:val="005C4B53"/>
    <w:rsid w:val="005C55CC"/>
    <w:rsid w:val="005C5744"/>
    <w:rsid w:val="005C57ED"/>
    <w:rsid w:val="005C5F6E"/>
    <w:rsid w:val="005C6477"/>
    <w:rsid w:val="005C76D3"/>
    <w:rsid w:val="005C7759"/>
    <w:rsid w:val="005D0C11"/>
    <w:rsid w:val="005D1635"/>
    <w:rsid w:val="005D17E0"/>
    <w:rsid w:val="005D1961"/>
    <w:rsid w:val="005D3395"/>
    <w:rsid w:val="005D35ED"/>
    <w:rsid w:val="005D377B"/>
    <w:rsid w:val="005D3C90"/>
    <w:rsid w:val="005D4EF8"/>
    <w:rsid w:val="005D53C2"/>
    <w:rsid w:val="005D7D96"/>
    <w:rsid w:val="005E07C3"/>
    <w:rsid w:val="005E22BB"/>
    <w:rsid w:val="005E34C4"/>
    <w:rsid w:val="005E3DFD"/>
    <w:rsid w:val="005E4725"/>
    <w:rsid w:val="005E5B86"/>
    <w:rsid w:val="005E5BAD"/>
    <w:rsid w:val="005E779D"/>
    <w:rsid w:val="005F04DA"/>
    <w:rsid w:val="005F07D2"/>
    <w:rsid w:val="005F09AC"/>
    <w:rsid w:val="005F0A3F"/>
    <w:rsid w:val="005F22C5"/>
    <w:rsid w:val="005F38B7"/>
    <w:rsid w:val="005F395C"/>
    <w:rsid w:val="005F39CD"/>
    <w:rsid w:val="005F4355"/>
    <w:rsid w:val="005F43BA"/>
    <w:rsid w:val="005F4C49"/>
    <w:rsid w:val="005F4FD8"/>
    <w:rsid w:val="005F555E"/>
    <w:rsid w:val="005F56C3"/>
    <w:rsid w:val="005F6167"/>
    <w:rsid w:val="005F6A07"/>
    <w:rsid w:val="005F6C31"/>
    <w:rsid w:val="005F6F9A"/>
    <w:rsid w:val="005F70A1"/>
    <w:rsid w:val="005F7297"/>
    <w:rsid w:val="00600B2B"/>
    <w:rsid w:val="00600E14"/>
    <w:rsid w:val="00601019"/>
    <w:rsid w:val="006019C7"/>
    <w:rsid w:val="00602176"/>
    <w:rsid w:val="00603FB1"/>
    <w:rsid w:val="00604D52"/>
    <w:rsid w:val="00605BB1"/>
    <w:rsid w:val="00606F7B"/>
    <w:rsid w:val="006074C0"/>
    <w:rsid w:val="0060777C"/>
    <w:rsid w:val="006108C4"/>
    <w:rsid w:val="00611D69"/>
    <w:rsid w:val="0061248B"/>
    <w:rsid w:val="00612E2C"/>
    <w:rsid w:val="00612E5A"/>
    <w:rsid w:val="00612FA6"/>
    <w:rsid w:val="0061314A"/>
    <w:rsid w:val="0061383F"/>
    <w:rsid w:val="00613FB5"/>
    <w:rsid w:val="00614718"/>
    <w:rsid w:val="0061506D"/>
    <w:rsid w:val="00615D8A"/>
    <w:rsid w:val="00615F7E"/>
    <w:rsid w:val="0062020A"/>
    <w:rsid w:val="00620E7A"/>
    <w:rsid w:val="00621953"/>
    <w:rsid w:val="006220DF"/>
    <w:rsid w:val="0062213D"/>
    <w:rsid w:val="006232E7"/>
    <w:rsid w:val="00624931"/>
    <w:rsid w:val="00624B86"/>
    <w:rsid w:val="006256FE"/>
    <w:rsid w:val="00625A03"/>
    <w:rsid w:val="006268F7"/>
    <w:rsid w:val="006276A7"/>
    <w:rsid w:val="00630564"/>
    <w:rsid w:val="00630A10"/>
    <w:rsid w:val="00632069"/>
    <w:rsid w:val="006322B6"/>
    <w:rsid w:val="00632A4C"/>
    <w:rsid w:val="006331FD"/>
    <w:rsid w:val="006343CC"/>
    <w:rsid w:val="006349ED"/>
    <w:rsid w:val="00635A59"/>
    <w:rsid w:val="0063611E"/>
    <w:rsid w:val="00636580"/>
    <w:rsid w:val="0063761A"/>
    <w:rsid w:val="00637A8C"/>
    <w:rsid w:val="00642206"/>
    <w:rsid w:val="006432B4"/>
    <w:rsid w:val="006435DE"/>
    <w:rsid w:val="00645254"/>
    <w:rsid w:val="00645384"/>
    <w:rsid w:val="006455E8"/>
    <w:rsid w:val="0064567B"/>
    <w:rsid w:val="006464AC"/>
    <w:rsid w:val="006509E9"/>
    <w:rsid w:val="00650F1B"/>
    <w:rsid w:val="00650F78"/>
    <w:rsid w:val="00652647"/>
    <w:rsid w:val="00652CC9"/>
    <w:rsid w:val="00652DF4"/>
    <w:rsid w:val="00653404"/>
    <w:rsid w:val="006544C2"/>
    <w:rsid w:val="00655AF0"/>
    <w:rsid w:val="00655DEC"/>
    <w:rsid w:val="00656222"/>
    <w:rsid w:val="006577A8"/>
    <w:rsid w:val="00661E2B"/>
    <w:rsid w:val="006620A9"/>
    <w:rsid w:val="00663074"/>
    <w:rsid w:val="00664368"/>
    <w:rsid w:val="00664572"/>
    <w:rsid w:val="00664686"/>
    <w:rsid w:val="00664F63"/>
    <w:rsid w:val="006652AA"/>
    <w:rsid w:val="00666715"/>
    <w:rsid w:val="00667606"/>
    <w:rsid w:val="00667848"/>
    <w:rsid w:val="0067017D"/>
    <w:rsid w:val="00670223"/>
    <w:rsid w:val="00670CD9"/>
    <w:rsid w:val="00671455"/>
    <w:rsid w:val="00672336"/>
    <w:rsid w:val="00673387"/>
    <w:rsid w:val="00674351"/>
    <w:rsid w:val="00674C94"/>
    <w:rsid w:val="00674D29"/>
    <w:rsid w:val="00675459"/>
    <w:rsid w:val="00675F61"/>
    <w:rsid w:val="00677A6C"/>
    <w:rsid w:val="006802FC"/>
    <w:rsid w:val="00680F29"/>
    <w:rsid w:val="00681024"/>
    <w:rsid w:val="00682D0B"/>
    <w:rsid w:val="00684AF3"/>
    <w:rsid w:val="00686468"/>
    <w:rsid w:val="00687143"/>
    <w:rsid w:val="0069002B"/>
    <w:rsid w:val="00690C6A"/>
    <w:rsid w:val="0069132B"/>
    <w:rsid w:val="00691A22"/>
    <w:rsid w:val="00691D39"/>
    <w:rsid w:val="00692E40"/>
    <w:rsid w:val="00693C7E"/>
    <w:rsid w:val="00694483"/>
    <w:rsid w:val="00696319"/>
    <w:rsid w:val="006978D7"/>
    <w:rsid w:val="006A1D89"/>
    <w:rsid w:val="006A2E18"/>
    <w:rsid w:val="006A2F28"/>
    <w:rsid w:val="006A30B9"/>
    <w:rsid w:val="006A5122"/>
    <w:rsid w:val="006A528F"/>
    <w:rsid w:val="006A56D1"/>
    <w:rsid w:val="006A5733"/>
    <w:rsid w:val="006A5F8A"/>
    <w:rsid w:val="006A6968"/>
    <w:rsid w:val="006A7FBB"/>
    <w:rsid w:val="006B0261"/>
    <w:rsid w:val="006B08C0"/>
    <w:rsid w:val="006B0B0F"/>
    <w:rsid w:val="006B1619"/>
    <w:rsid w:val="006B1B0F"/>
    <w:rsid w:val="006B39FB"/>
    <w:rsid w:val="006B49F4"/>
    <w:rsid w:val="006B4FEF"/>
    <w:rsid w:val="006B6441"/>
    <w:rsid w:val="006B77CE"/>
    <w:rsid w:val="006B77E3"/>
    <w:rsid w:val="006B796E"/>
    <w:rsid w:val="006C0E9C"/>
    <w:rsid w:val="006C0F18"/>
    <w:rsid w:val="006C21F1"/>
    <w:rsid w:val="006C24F8"/>
    <w:rsid w:val="006C26C4"/>
    <w:rsid w:val="006C2828"/>
    <w:rsid w:val="006C288D"/>
    <w:rsid w:val="006C3E99"/>
    <w:rsid w:val="006C418F"/>
    <w:rsid w:val="006C67A2"/>
    <w:rsid w:val="006D0538"/>
    <w:rsid w:val="006D0D6C"/>
    <w:rsid w:val="006D149B"/>
    <w:rsid w:val="006D385D"/>
    <w:rsid w:val="006D3B65"/>
    <w:rsid w:val="006D3BAF"/>
    <w:rsid w:val="006D445F"/>
    <w:rsid w:val="006D4F00"/>
    <w:rsid w:val="006D53E5"/>
    <w:rsid w:val="006D6336"/>
    <w:rsid w:val="006D657D"/>
    <w:rsid w:val="006E0F44"/>
    <w:rsid w:val="006E1975"/>
    <w:rsid w:val="006E32E0"/>
    <w:rsid w:val="006E35BA"/>
    <w:rsid w:val="006E413B"/>
    <w:rsid w:val="006E4668"/>
    <w:rsid w:val="006E4F91"/>
    <w:rsid w:val="006E5483"/>
    <w:rsid w:val="006E5DF2"/>
    <w:rsid w:val="006E63D4"/>
    <w:rsid w:val="006E64DB"/>
    <w:rsid w:val="006E6E81"/>
    <w:rsid w:val="006E6EF9"/>
    <w:rsid w:val="006E7B6D"/>
    <w:rsid w:val="006F1E8C"/>
    <w:rsid w:val="006F3C5E"/>
    <w:rsid w:val="006F3E01"/>
    <w:rsid w:val="006F47E9"/>
    <w:rsid w:val="006F4AD7"/>
    <w:rsid w:val="006F6086"/>
    <w:rsid w:val="006F7502"/>
    <w:rsid w:val="006F761F"/>
    <w:rsid w:val="006F7C2B"/>
    <w:rsid w:val="006F7F04"/>
    <w:rsid w:val="00700284"/>
    <w:rsid w:val="0070033D"/>
    <w:rsid w:val="00700B87"/>
    <w:rsid w:val="007010BA"/>
    <w:rsid w:val="0070122D"/>
    <w:rsid w:val="00701A3A"/>
    <w:rsid w:val="00701AC5"/>
    <w:rsid w:val="007020EF"/>
    <w:rsid w:val="00702457"/>
    <w:rsid w:val="00703296"/>
    <w:rsid w:val="00704DBF"/>
    <w:rsid w:val="007050DC"/>
    <w:rsid w:val="007051B4"/>
    <w:rsid w:val="0070619B"/>
    <w:rsid w:val="007076A9"/>
    <w:rsid w:val="00711852"/>
    <w:rsid w:val="007133D3"/>
    <w:rsid w:val="00713605"/>
    <w:rsid w:val="00713835"/>
    <w:rsid w:val="0071404E"/>
    <w:rsid w:val="00714568"/>
    <w:rsid w:val="007148BC"/>
    <w:rsid w:val="00714E50"/>
    <w:rsid w:val="00714E5B"/>
    <w:rsid w:val="007152CB"/>
    <w:rsid w:val="00715B3C"/>
    <w:rsid w:val="00715D8A"/>
    <w:rsid w:val="0071693F"/>
    <w:rsid w:val="007179DD"/>
    <w:rsid w:val="007203B0"/>
    <w:rsid w:val="00720504"/>
    <w:rsid w:val="00720D95"/>
    <w:rsid w:val="00721206"/>
    <w:rsid w:val="0072170D"/>
    <w:rsid w:val="0072172D"/>
    <w:rsid w:val="00721B2E"/>
    <w:rsid w:val="00722755"/>
    <w:rsid w:val="00724DB4"/>
    <w:rsid w:val="00725248"/>
    <w:rsid w:val="00726082"/>
    <w:rsid w:val="00726762"/>
    <w:rsid w:val="00726B63"/>
    <w:rsid w:val="00727193"/>
    <w:rsid w:val="00727BCD"/>
    <w:rsid w:val="00727D66"/>
    <w:rsid w:val="00730052"/>
    <w:rsid w:val="007302EE"/>
    <w:rsid w:val="0073037C"/>
    <w:rsid w:val="0073090E"/>
    <w:rsid w:val="00730F24"/>
    <w:rsid w:val="0073343D"/>
    <w:rsid w:val="007336AF"/>
    <w:rsid w:val="00733A23"/>
    <w:rsid w:val="0073491B"/>
    <w:rsid w:val="00735DEA"/>
    <w:rsid w:val="00736207"/>
    <w:rsid w:val="00736604"/>
    <w:rsid w:val="00736A3E"/>
    <w:rsid w:val="0073777D"/>
    <w:rsid w:val="007407A4"/>
    <w:rsid w:val="00740AF7"/>
    <w:rsid w:val="00742CBB"/>
    <w:rsid w:val="007432E2"/>
    <w:rsid w:val="00743951"/>
    <w:rsid w:val="007439E3"/>
    <w:rsid w:val="007445B4"/>
    <w:rsid w:val="007445CF"/>
    <w:rsid w:val="00745898"/>
    <w:rsid w:val="00745CD0"/>
    <w:rsid w:val="00747140"/>
    <w:rsid w:val="007505F4"/>
    <w:rsid w:val="00750F5A"/>
    <w:rsid w:val="007510DE"/>
    <w:rsid w:val="007525E8"/>
    <w:rsid w:val="00752BC1"/>
    <w:rsid w:val="00753360"/>
    <w:rsid w:val="00754133"/>
    <w:rsid w:val="007543D8"/>
    <w:rsid w:val="007550BE"/>
    <w:rsid w:val="00755268"/>
    <w:rsid w:val="00756432"/>
    <w:rsid w:val="00756996"/>
    <w:rsid w:val="00756CD2"/>
    <w:rsid w:val="00757725"/>
    <w:rsid w:val="0076055C"/>
    <w:rsid w:val="00760DC3"/>
    <w:rsid w:val="00761272"/>
    <w:rsid w:val="00761517"/>
    <w:rsid w:val="007624A1"/>
    <w:rsid w:val="0076302F"/>
    <w:rsid w:val="0076679C"/>
    <w:rsid w:val="0077091B"/>
    <w:rsid w:val="00770F99"/>
    <w:rsid w:val="00771F7A"/>
    <w:rsid w:val="00772649"/>
    <w:rsid w:val="007732F5"/>
    <w:rsid w:val="0077352B"/>
    <w:rsid w:val="00773BFC"/>
    <w:rsid w:val="00773C39"/>
    <w:rsid w:val="00773DD7"/>
    <w:rsid w:val="0077414E"/>
    <w:rsid w:val="00775757"/>
    <w:rsid w:val="007761B1"/>
    <w:rsid w:val="00776A2E"/>
    <w:rsid w:val="00776AAF"/>
    <w:rsid w:val="00776B9D"/>
    <w:rsid w:val="00776EEE"/>
    <w:rsid w:val="00777FB4"/>
    <w:rsid w:val="007800E7"/>
    <w:rsid w:val="00780B1A"/>
    <w:rsid w:val="007829A0"/>
    <w:rsid w:val="00782FE4"/>
    <w:rsid w:val="00783673"/>
    <w:rsid w:val="0078519A"/>
    <w:rsid w:val="00785CB2"/>
    <w:rsid w:val="007862BA"/>
    <w:rsid w:val="007872DB"/>
    <w:rsid w:val="00790E7F"/>
    <w:rsid w:val="00791DFA"/>
    <w:rsid w:val="007925F7"/>
    <w:rsid w:val="00793260"/>
    <w:rsid w:val="00793EAE"/>
    <w:rsid w:val="00795967"/>
    <w:rsid w:val="00796699"/>
    <w:rsid w:val="007A29CE"/>
    <w:rsid w:val="007A5758"/>
    <w:rsid w:val="007A6480"/>
    <w:rsid w:val="007A6547"/>
    <w:rsid w:val="007A69E8"/>
    <w:rsid w:val="007A6B3F"/>
    <w:rsid w:val="007A7FD3"/>
    <w:rsid w:val="007B0A21"/>
    <w:rsid w:val="007B0D38"/>
    <w:rsid w:val="007B138B"/>
    <w:rsid w:val="007B1787"/>
    <w:rsid w:val="007B17A9"/>
    <w:rsid w:val="007B1F10"/>
    <w:rsid w:val="007B2F0E"/>
    <w:rsid w:val="007B3DF8"/>
    <w:rsid w:val="007B47FC"/>
    <w:rsid w:val="007B4C41"/>
    <w:rsid w:val="007B66D5"/>
    <w:rsid w:val="007B73AF"/>
    <w:rsid w:val="007B73CC"/>
    <w:rsid w:val="007C160B"/>
    <w:rsid w:val="007C3962"/>
    <w:rsid w:val="007C4796"/>
    <w:rsid w:val="007C539E"/>
    <w:rsid w:val="007C5BBA"/>
    <w:rsid w:val="007C632F"/>
    <w:rsid w:val="007C6454"/>
    <w:rsid w:val="007C6815"/>
    <w:rsid w:val="007C68A8"/>
    <w:rsid w:val="007C784A"/>
    <w:rsid w:val="007C7E72"/>
    <w:rsid w:val="007D103E"/>
    <w:rsid w:val="007D16CD"/>
    <w:rsid w:val="007D1A4D"/>
    <w:rsid w:val="007D314F"/>
    <w:rsid w:val="007D3946"/>
    <w:rsid w:val="007D3ED1"/>
    <w:rsid w:val="007D481E"/>
    <w:rsid w:val="007D50F0"/>
    <w:rsid w:val="007D58A7"/>
    <w:rsid w:val="007D78BB"/>
    <w:rsid w:val="007E1121"/>
    <w:rsid w:val="007E1643"/>
    <w:rsid w:val="007E21DD"/>
    <w:rsid w:val="007E26DA"/>
    <w:rsid w:val="007E45F3"/>
    <w:rsid w:val="007E4C42"/>
    <w:rsid w:val="007E5D23"/>
    <w:rsid w:val="007E6C79"/>
    <w:rsid w:val="007E7027"/>
    <w:rsid w:val="007F2999"/>
    <w:rsid w:val="007F2AA2"/>
    <w:rsid w:val="007F390F"/>
    <w:rsid w:val="007F523B"/>
    <w:rsid w:val="007F5784"/>
    <w:rsid w:val="0080137B"/>
    <w:rsid w:val="00801983"/>
    <w:rsid w:val="00801F05"/>
    <w:rsid w:val="00802CA8"/>
    <w:rsid w:val="00803CD2"/>
    <w:rsid w:val="0080443C"/>
    <w:rsid w:val="00804EA5"/>
    <w:rsid w:val="0080594D"/>
    <w:rsid w:val="008064A2"/>
    <w:rsid w:val="00806B15"/>
    <w:rsid w:val="00806D6A"/>
    <w:rsid w:val="008070CA"/>
    <w:rsid w:val="00807256"/>
    <w:rsid w:val="008073C2"/>
    <w:rsid w:val="008078BB"/>
    <w:rsid w:val="0081027F"/>
    <w:rsid w:val="008115DD"/>
    <w:rsid w:val="00813719"/>
    <w:rsid w:val="00814509"/>
    <w:rsid w:val="00814CA1"/>
    <w:rsid w:val="00814FFE"/>
    <w:rsid w:val="008151B9"/>
    <w:rsid w:val="00815A5C"/>
    <w:rsid w:val="00816D34"/>
    <w:rsid w:val="008203F0"/>
    <w:rsid w:val="00821095"/>
    <w:rsid w:val="00821AF6"/>
    <w:rsid w:val="008222C1"/>
    <w:rsid w:val="00823D6F"/>
    <w:rsid w:val="00823D8C"/>
    <w:rsid w:val="00824963"/>
    <w:rsid w:val="00825184"/>
    <w:rsid w:val="0082566D"/>
    <w:rsid w:val="00827E7B"/>
    <w:rsid w:val="00830E37"/>
    <w:rsid w:val="00831AF9"/>
    <w:rsid w:val="0083259D"/>
    <w:rsid w:val="0083291E"/>
    <w:rsid w:val="008341B5"/>
    <w:rsid w:val="0083464B"/>
    <w:rsid w:val="00836A21"/>
    <w:rsid w:val="00837259"/>
    <w:rsid w:val="00837ADB"/>
    <w:rsid w:val="00840977"/>
    <w:rsid w:val="008414F7"/>
    <w:rsid w:val="008425BC"/>
    <w:rsid w:val="00843F0D"/>
    <w:rsid w:val="0084449E"/>
    <w:rsid w:val="00844D70"/>
    <w:rsid w:val="00845E9C"/>
    <w:rsid w:val="0084615A"/>
    <w:rsid w:val="00846539"/>
    <w:rsid w:val="00846E5C"/>
    <w:rsid w:val="00847A7A"/>
    <w:rsid w:val="00847B07"/>
    <w:rsid w:val="008513BE"/>
    <w:rsid w:val="00851CC7"/>
    <w:rsid w:val="008521BC"/>
    <w:rsid w:val="0085236D"/>
    <w:rsid w:val="008531A1"/>
    <w:rsid w:val="008543E5"/>
    <w:rsid w:val="00855F5D"/>
    <w:rsid w:val="00857D07"/>
    <w:rsid w:val="00860ECF"/>
    <w:rsid w:val="008614E6"/>
    <w:rsid w:val="00864B08"/>
    <w:rsid w:val="00864FDA"/>
    <w:rsid w:val="00865A65"/>
    <w:rsid w:val="008668DB"/>
    <w:rsid w:val="00866B43"/>
    <w:rsid w:val="00866E3B"/>
    <w:rsid w:val="0086779A"/>
    <w:rsid w:val="00871888"/>
    <w:rsid w:val="00871963"/>
    <w:rsid w:val="008726EE"/>
    <w:rsid w:val="00873157"/>
    <w:rsid w:val="00873234"/>
    <w:rsid w:val="008738B0"/>
    <w:rsid w:val="00873B1F"/>
    <w:rsid w:val="00873E65"/>
    <w:rsid w:val="00873EA2"/>
    <w:rsid w:val="00874608"/>
    <w:rsid w:val="008760AB"/>
    <w:rsid w:val="00877340"/>
    <w:rsid w:val="008774AE"/>
    <w:rsid w:val="00881B6F"/>
    <w:rsid w:val="0088283D"/>
    <w:rsid w:val="0088565E"/>
    <w:rsid w:val="00891992"/>
    <w:rsid w:val="00891BB4"/>
    <w:rsid w:val="0089269D"/>
    <w:rsid w:val="00894512"/>
    <w:rsid w:val="0089467D"/>
    <w:rsid w:val="008970AD"/>
    <w:rsid w:val="0089737B"/>
    <w:rsid w:val="00897620"/>
    <w:rsid w:val="00897AD2"/>
    <w:rsid w:val="008A0005"/>
    <w:rsid w:val="008A1B0C"/>
    <w:rsid w:val="008A3E8E"/>
    <w:rsid w:val="008A44B5"/>
    <w:rsid w:val="008A5867"/>
    <w:rsid w:val="008A5FEC"/>
    <w:rsid w:val="008A644E"/>
    <w:rsid w:val="008A7BC8"/>
    <w:rsid w:val="008B02D1"/>
    <w:rsid w:val="008B04EE"/>
    <w:rsid w:val="008B0A37"/>
    <w:rsid w:val="008B12D1"/>
    <w:rsid w:val="008B1333"/>
    <w:rsid w:val="008B16F6"/>
    <w:rsid w:val="008B18F7"/>
    <w:rsid w:val="008B32E7"/>
    <w:rsid w:val="008B3AF1"/>
    <w:rsid w:val="008B41DB"/>
    <w:rsid w:val="008B4F7E"/>
    <w:rsid w:val="008B5F66"/>
    <w:rsid w:val="008B6940"/>
    <w:rsid w:val="008C0216"/>
    <w:rsid w:val="008C0A60"/>
    <w:rsid w:val="008C0AA9"/>
    <w:rsid w:val="008C361E"/>
    <w:rsid w:val="008C385C"/>
    <w:rsid w:val="008C38E9"/>
    <w:rsid w:val="008C4F0E"/>
    <w:rsid w:val="008C4F56"/>
    <w:rsid w:val="008C5A31"/>
    <w:rsid w:val="008C6A6C"/>
    <w:rsid w:val="008C6AAE"/>
    <w:rsid w:val="008C6CD4"/>
    <w:rsid w:val="008C6D59"/>
    <w:rsid w:val="008C6DB8"/>
    <w:rsid w:val="008D09F2"/>
    <w:rsid w:val="008D1139"/>
    <w:rsid w:val="008D26F8"/>
    <w:rsid w:val="008D3275"/>
    <w:rsid w:val="008D4158"/>
    <w:rsid w:val="008D483E"/>
    <w:rsid w:val="008D4873"/>
    <w:rsid w:val="008D4D0A"/>
    <w:rsid w:val="008D4ECB"/>
    <w:rsid w:val="008D5164"/>
    <w:rsid w:val="008D5794"/>
    <w:rsid w:val="008D63DB"/>
    <w:rsid w:val="008D6703"/>
    <w:rsid w:val="008D71E7"/>
    <w:rsid w:val="008D7CF1"/>
    <w:rsid w:val="008E015B"/>
    <w:rsid w:val="008E092F"/>
    <w:rsid w:val="008E2623"/>
    <w:rsid w:val="008E3DA7"/>
    <w:rsid w:val="008E4304"/>
    <w:rsid w:val="008E500B"/>
    <w:rsid w:val="008E59EF"/>
    <w:rsid w:val="008E799E"/>
    <w:rsid w:val="008F1234"/>
    <w:rsid w:val="008F18A3"/>
    <w:rsid w:val="008F2843"/>
    <w:rsid w:val="008F2D4A"/>
    <w:rsid w:val="008F3717"/>
    <w:rsid w:val="008F402D"/>
    <w:rsid w:val="008F43E5"/>
    <w:rsid w:val="008F4955"/>
    <w:rsid w:val="008F5268"/>
    <w:rsid w:val="008F5BFA"/>
    <w:rsid w:val="008F5F1C"/>
    <w:rsid w:val="008F65F3"/>
    <w:rsid w:val="008F6F75"/>
    <w:rsid w:val="008F73D2"/>
    <w:rsid w:val="008F7D9A"/>
    <w:rsid w:val="00900E06"/>
    <w:rsid w:val="009012A7"/>
    <w:rsid w:val="009019A0"/>
    <w:rsid w:val="00901A34"/>
    <w:rsid w:val="0090260C"/>
    <w:rsid w:val="00903C48"/>
    <w:rsid w:val="00905744"/>
    <w:rsid w:val="00905EE0"/>
    <w:rsid w:val="00906ADE"/>
    <w:rsid w:val="009106A8"/>
    <w:rsid w:val="00911721"/>
    <w:rsid w:val="009120EE"/>
    <w:rsid w:val="009135E6"/>
    <w:rsid w:val="009145D2"/>
    <w:rsid w:val="00914872"/>
    <w:rsid w:val="0091573C"/>
    <w:rsid w:val="00915957"/>
    <w:rsid w:val="00916E58"/>
    <w:rsid w:val="009172B2"/>
    <w:rsid w:val="009176C0"/>
    <w:rsid w:val="00917D29"/>
    <w:rsid w:val="009200A5"/>
    <w:rsid w:val="00920AA8"/>
    <w:rsid w:val="00920E57"/>
    <w:rsid w:val="0092125A"/>
    <w:rsid w:val="009212E1"/>
    <w:rsid w:val="0092138B"/>
    <w:rsid w:val="00921928"/>
    <w:rsid w:val="009230CC"/>
    <w:rsid w:val="00923E9B"/>
    <w:rsid w:val="009245E3"/>
    <w:rsid w:val="00924B68"/>
    <w:rsid w:val="00925764"/>
    <w:rsid w:val="009266F9"/>
    <w:rsid w:val="00930617"/>
    <w:rsid w:val="0093166D"/>
    <w:rsid w:val="00932765"/>
    <w:rsid w:val="00932898"/>
    <w:rsid w:val="00933E00"/>
    <w:rsid w:val="00935D52"/>
    <w:rsid w:val="0093615A"/>
    <w:rsid w:val="00936B54"/>
    <w:rsid w:val="00936DD1"/>
    <w:rsid w:val="009412D8"/>
    <w:rsid w:val="0094272A"/>
    <w:rsid w:val="00942D74"/>
    <w:rsid w:val="009435E3"/>
    <w:rsid w:val="009438E1"/>
    <w:rsid w:val="009448E2"/>
    <w:rsid w:val="00947BE5"/>
    <w:rsid w:val="009508D9"/>
    <w:rsid w:val="00951D6E"/>
    <w:rsid w:val="00951E34"/>
    <w:rsid w:val="00953373"/>
    <w:rsid w:val="009545D1"/>
    <w:rsid w:val="009547B7"/>
    <w:rsid w:val="00954B8B"/>
    <w:rsid w:val="00954E34"/>
    <w:rsid w:val="00955E57"/>
    <w:rsid w:val="009564EC"/>
    <w:rsid w:val="00957868"/>
    <w:rsid w:val="00957DD1"/>
    <w:rsid w:val="00960647"/>
    <w:rsid w:val="00960764"/>
    <w:rsid w:val="00960D52"/>
    <w:rsid w:val="009616F2"/>
    <w:rsid w:val="00961E42"/>
    <w:rsid w:val="00962041"/>
    <w:rsid w:val="0096324E"/>
    <w:rsid w:val="00963ED5"/>
    <w:rsid w:val="00964E0F"/>
    <w:rsid w:val="0096548F"/>
    <w:rsid w:val="009711D6"/>
    <w:rsid w:val="00971889"/>
    <w:rsid w:val="0097214F"/>
    <w:rsid w:val="00972462"/>
    <w:rsid w:val="00972ACF"/>
    <w:rsid w:val="00972E6F"/>
    <w:rsid w:val="009731E4"/>
    <w:rsid w:val="009737DC"/>
    <w:rsid w:val="00974A2B"/>
    <w:rsid w:val="00974BFB"/>
    <w:rsid w:val="009752AF"/>
    <w:rsid w:val="00982257"/>
    <w:rsid w:val="00983B65"/>
    <w:rsid w:val="00983C3B"/>
    <w:rsid w:val="00984294"/>
    <w:rsid w:val="00985473"/>
    <w:rsid w:val="00986926"/>
    <w:rsid w:val="00986FD0"/>
    <w:rsid w:val="00990863"/>
    <w:rsid w:val="009919C7"/>
    <w:rsid w:val="00992229"/>
    <w:rsid w:val="009935BA"/>
    <w:rsid w:val="00994B96"/>
    <w:rsid w:val="0099529E"/>
    <w:rsid w:val="00995480"/>
    <w:rsid w:val="00995523"/>
    <w:rsid w:val="00995D28"/>
    <w:rsid w:val="00996313"/>
    <w:rsid w:val="00996F0A"/>
    <w:rsid w:val="00997AAC"/>
    <w:rsid w:val="00997DE5"/>
    <w:rsid w:val="009A05E4"/>
    <w:rsid w:val="009A0B25"/>
    <w:rsid w:val="009A36AB"/>
    <w:rsid w:val="009A4E7F"/>
    <w:rsid w:val="009A5724"/>
    <w:rsid w:val="009A5C28"/>
    <w:rsid w:val="009A65C2"/>
    <w:rsid w:val="009A7A3F"/>
    <w:rsid w:val="009A7F97"/>
    <w:rsid w:val="009B04CC"/>
    <w:rsid w:val="009B1009"/>
    <w:rsid w:val="009B1DEA"/>
    <w:rsid w:val="009B33C7"/>
    <w:rsid w:val="009B41F0"/>
    <w:rsid w:val="009B4882"/>
    <w:rsid w:val="009B49D6"/>
    <w:rsid w:val="009B6548"/>
    <w:rsid w:val="009B71F7"/>
    <w:rsid w:val="009B78A5"/>
    <w:rsid w:val="009C072D"/>
    <w:rsid w:val="009C0C17"/>
    <w:rsid w:val="009C22EB"/>
    <w:rsid w:val="009C36C5"/>
    <w:rsid w:val="009C4212"/>
    <w:rsid w:val="009C4845"/>
    <w:rsid w:val="009C5389"/>
    <w:rsid w:val="009C742D"/>
    <w:rsid w:val="009D1859"/>
    <w:rsid w:val="009D1913"/>
    <w:rsid w:val="009D1FD7"/>
    <w:rsid w:val="009D2722"/>
    <w:rsid w:val="009D3F09"/>
    <w:rsid w:val="009D580B"/>
    <w:rsid w:val="009D58F1"/>
    <w:rsid w:val="009D5EEE"/>
    <w:rsid w:val="009D60D8"/>
    <w:rsid w:val="009D7222"/>
    <w:rsid w:val="009D72F4"/>
    <w:rsid w:val="009E02E0"/>
    <w:rsid w:val="009E0675"/>
    <w:rsid w:val="009E0ED4"/>
    <w:rsid w:val="009E1BF4"/>
    <w:rsid w:val="009E1DF2"/>
    <w:rsid w:val="009E234C"/>
    <w:rsid w:val="009E244A"/>
    <w:rsid w:val="009E2BF2"/>
    <w:rsid w:val="009E2BF6"/>
    <w:rsid w:val="009E37CA"/>
    <w:rsid w:val="009E3DA3"/>
    <w:rsid w:val="009E3DA6"/>
    <w:rsid w:val="009E4B11"/>
    <w:rsid w:val="009E4B2C"/>
    <w:rsid w:val="009E603B"/>
    <w:rsid w:val="009E6053"/>
    <w:rsid w:val="009E61D3"/>
    <w:rsid w:val="009F0366"/>
    <w:rsid w:val="009F1614"/>
    <w:rsid w:val="009F2016"/>
    <w:rsid w:val="009F26C6"/>
    <w:rsid w:val="009F2F9B"/>
    <w:rsid w:val="009F2FD1"/>
    <w:rsid w:val="009F3F2B"/>
    <w:rsid w:val="009F5179"/>
    <w:rsid w:val="009F661E"/>
    <w:rsid w:val="009F729F"/>
    <w:rsid w:val="009F741A"/>
    <w:rsid w:val="009F75C6"/>
    <w:rsid w:val="00A001BA"/>
    <w:rsid w:val="00A00EB1"/>
    <w:rsid w:val="00A01864"/>
    <w:rsid w:val="00A018D6"/>
    <w:rsid w:val="00A01930"/>
    <w:rsid w:val="00A02BAB"/>
    <w:rsid w:val="00A03185"/>
    <w:rsid w:val="00A033CF"/>
    <w:rsid w:val="00A042F9"/>
    <w:rsid w:val="00A04F6E"/>
    <w:rsid w:val="00A053F9"/>
    <w:rsid w:val="00A05FA2"/>
    <w:rsid w:val="00A07164"/>
    <w:rsid w:val="00A07A00"/>
    <w:rsid w:val="00A114BF"/>
    <w:rsid w:val="00A12FB5"/>
    <w:rsid w:val="00A14009"/>
    <w:rsid w:val="00A140EB"/>
    <w:rsid w:val="00A14352"/>
    <w:rsid w:val="00A149DC"/>
    <w:rsid w:val="00A14D20"/>
    <w:rsid w:val="00A156BD"/>
    <w:rsid w:val="00A160C0"/>
    <w:rsid w:val="00A1623B"/>
    <w:rsid w:val="00A16C56"/>
    <w:rsid w:val="00A17BF3"/>
    <w:rsid w:val="00A17D2D"/>
    <w:rsid w:val="00A17E37"/>
    <w:rsid w:val="00A20876"/>
    <w:rsid w:val="00A211DD"/>
    <w:rsid w:val="00A2370F"/>
    <w:rsid w:val="00A23973"/>
    <w:rsid w:val="00A23FA1"/>
    <w:rsid w:val="00A24108"/>
    <w:rsid w:val="00A2661F"/>
    <w:rsid w:val="00A2710E"/>
    <w:rsid w:val="00A3182D"/>
    <w:rsid w:val="00A34531"/>
    <w:rsid w:val="00A359C6"/>
    <w:rsid w:val="00A36E5D"/>
    <w:rsid w:val="00A36FF7"/>
    <w:rsid w:val="00A379A7"/>
    <w:rsid w:val="00A407A4"/>
    <w:rsid w:val="00A4333E"/>
    <w:rsid w:val="00A43E5E"/>
    <w:rsid w:val="00A43FA1"/>
    <w:rsid w:val="00A44083"/>
    <w:rsid w:val="00A45CF6"/>
    <w:rsid w:val="00A45EBD"/>
    <w:rsid w:val="00A45F88"/>
    <w:rsid w:val="00A463AE"/>
    <w:rsid w:val="00A463B4"/>
    <w:rsid w:val="00A472AF"/>
    <w:rsid w:val="00A4754E"/>
    <w:rsid w:val="00A47E5A"/>
    <w:rsid w:val="00A5111C"/>
    <w:rsid w:val="00A51240"/>
    <w:rsid w:val="00A54076"/>
    <w:rsid w:val="00A546BB"/>
    <w:rsid w:val="00A55429"/>
    <w:rsid w:val="00A55774"/>
    <w:rsid w:val="00A5595E"/>
    <w:rsid w:val="00A559E2"/>
    <w:rsid w:val="00A562A1"/>
    <w:rsid w:val="00A56D98"/>
    <w:rsid w:val="00A56E43"/>
    <w:rsid w:val="00A5774A"/>
    <w:rsid w:val="00A57CD3"/>
    <w:rsid w:val="00A61113"/>
    <w:rsid w:val="00A6276A"/>
    <w:rsid w:val="00A632A1"/>
    <w:rsid w:val="00A64D51"/>
    <w:rsid w:val="00A6531D"/>
    <w:rsid w:val="00A66415"/>
    <w:rsid w:val="00A67019"/>
    <w:rsid w:val="00A70838"/>
    <w:rsid w:val="00A71497"/>
    <w:rsid w:val="00A71BE0"/>
    <w:rsid w:val="00A72835"/>
    <w:rsid w:val="00A7465D"/>
    <w:rsid w:val="00A748D3"/>
    <w:rsid w:val="00A75708"/>
    <w:rsid w:val="00A760E7"/>
    <w:rsid w:val="00A81B8C"/>
    <w:rsid w:val="00A81BEE"/>
    <w:rsid w:val="00A83573"/>
    <w:rsid w:val="00A839C3"/>
    <w:rsid w:val="00A83A18"/>
    <w:rsid w:val="00A83D18"/>
    <w:rsid w:val="00A83E3C"/>
    <w:rsid w:val="00A8408F"/>
    <w:rsid w:val="00A85D02"/>
    <w:rsid w:val="00A8677E"/>
    <w:rsid w:val="00A869CA"/>
    <w:rsid w:val="00A87268"/>
    <w:rsid w:val="00A87C99"/>
    <w:rsid w:val="00A87FA6"/>
    <w:rsid w:val="00A9007C"/>
    <w:rsid w:val="00A902A5"/>
    <w:rsid w:val="00A9056E"/>
    <w:rsid w:val="00A907B4"/>
    <w:rsid w:val="00A912B1"/>
    <w:rsid w:val="00A91AAE"/>
    <w:rsid w:val="00A92743"/>
    <w:rsid w:val="00A92DEC"/>
    <w:rsid w:val="00A954DF"/>
    <w:rsid w:val="00A961EF"/>
    <w:rsid w:val="00A971A2"/>
    <w:rsid w:val="00A9766D"/>
    <w:rsid w:val="00A9778E"/>
    <w:rsid w:val="00A97C6B"/>
    <w:rsid w:val="00A97F3F"/>
    <w:rsid w:val="00AA070F"/>
    <w:rsid w:val="00AA0725"/>
    <w:rsid w:val="00AA221C"/>
    <w:rsid w:val="00AA2B8B"/>
    <w:rsid w:val="00AA3011"/>
    <w:rsid w:val="00AA44CA"/>
    <w:rsid w:val="00AA45EF"/>
    <w:rsid w:val="00AA5731"/>
    <w:rsid w:val="00AA57B4"/>
    <w:rsid w:val="00AA6674"/>
    <w:rsid w:val="00AA7274"/>
    <w:rsid w:val="00AA7CB2"/>
    <w:rsid w:val="00AB0601"/>
    <w:rsid w:val="00AB19DC"/>
    <w:rsid w:val="00AB2159"/>
    <w:rsid w:val="00AB4304"/>
    <w:rsid w:val="00AB65C5"/>
    <w:rsid w:val="00AB6F56"/>
    <w:rsid w:val="00AC0B48"/>
    <w:rsid w:val="00AC0BE1"/>
    <w:rsid w:val="00AC0DFA"/>
    <w:rsid w:val="00AC1912"/>
    <w:rsid w:val="00AC1B7D"/>
    <w:rsid w:val="00AC27AA"/>
    <w:rsid w:val="00AC27DF"/>
    <w:rsid w:val="00AC2BB6"/>
    <w:rsid w:val="00AC2D8D"/>
    <w:rsid w:val="00AC2DE7"/>
    <w:rsid w:val="00AC308A"/>
    <w:rsid w:val="00AC3106"/>
    <w:rsid w:val="00AC397C"/>
    <w:rsid w:val="00AC4541"/>
    <w:rsid w:val="00AC4B51"/>
    <w:rsid w:val="00AC4DEA"/>
    <w:rsid w:val="00AC589A"/>
    <w:rsid w:val="00AC695B"/>
    <w:rsid w:val="00AC6D67"/>
    <w:rsid w:val="00AC7595"/>
    <w:rsid w:val="00AC7757"/>
    <w:rsid w:val="00AC78AF"/>
    <w:rsid w:val="00AD1203"/>
    <w:rsid w:val="00AD15CA"/>
    <w:rsid w:val="00AD1961"/>
    <w:rsid w:val="00AD2F4B"/>
    <w:rsid w:val="00AD4761"/>
    <w:rsid w:val="00AD5517"/>
    <w:rsid w:val="00AD6070"/>
    <w:rsid w:val="00AD7828"/>
    <w:rsid w:val="00AE16A4"/>
    <w:rsid w:val="00AE1EEF"/>
    <w:rsid w:val="00AE2672"/>
    <w:rsid w:val="00AE3224"/>
    <w:rsid w:val="00AE43FD"/>
    <w:rsid w:val="00AE441C"/>
    <w:rsid w:val="00AE5532"/>
    <w:rsid w:val="00AE55A9"/>
    <w:rsid w:val="00AE77C5"/>
    <w:rsid w:val="00AE7B06"/>
    <w:rsid w:val="00AF332F"/>
    <w:rsid w:val="00AF4556"/>
    <w:rsid w:val="00AF492C"/>
    <w:rsid w:val="00AF4A42"/>
    <w:rsid w:val="00AF5F20"/>
    <w:rsid w:val="00AF6866"/>
    <w:rsid w:val="00AF6FBB"/>
    <w:rsid w:val="00B00722"/>
    <w:rsid w:val="00B01AAB"/>
    <w:rsid w:val="00B02994"/>
    <w:rsid w:val="00B02DE8"/>
    <w:rsid w:val="00B03D47"/>
    <w:rsid w:val="00B05463"/>
    <w:rsid w:val="00B05C90"/>
    <w:rsid w:val="00B0643D"/>
    <w:rsid w:val="00B06E42"/>
    <w:rsid w:val="00B06EDC"/>
    <w:rsid w:val="00B07C2C"/>
    <w:rsid w:val="00B11494"/>
    <w:rsid w:val="00B11641"/>
    <w:rsid w:val="00B12391"/>
    <w:rsid w:val="00B127BB"/>
    <w:rsid w:val="00B13838"/>
    <w:rsid w:val="00B1398B"/>
    <w:rsid w:val="00B13ACB"/>
    <w:rsid w:val="00B15895"/>
    <w:rsid w:val="00B1629F"/>
    <w:rsid w:val="00B166D1"/>
    <w:rsid w:val="00B16715"/>
    <w:rsid w:val="00B16783"/>
    <w:rsid w:val="00B17EE5"/>
    <w:rsid w:val="00B2001F"/>
    <w:rsid w:val="00B21FD3"/>
    <w:rsid w:val="00B2244E"/>
    <w:rsid w:val="00B2398A"/>
    <w:rsid w:val="00B24FD3"/>
    <w:rsid w:val="00B26547"/>
    <w:rsid w:val="00B2665C"/>
    <w:rsid w:val="00B304E9"/>
    <w:rsid w:val="00B306B6"/>
    <w:rsid w:val="00B30D0A"/>
    <w:rsid w:val="00B31BE0"/>
    <w:rsid w:val="00B31CA2"/>
    <w:rsid w:val="00B32181"/>
    <w:rsid w:val="00B32DD9"/>
    <w:rsid w:val="00B3381E"/>
    <w:rsid w:val="00B3488B"/>
    <w:rsid w:val="00B34DD4"/>
    <w:rsid w:val="00B3535F"/>
    <w:rsid w:val="00B3580D"/>
    <w:rsid w:val="00B37BA7"/>
    <w:rsid w:val="00B40103"/>
    <w:rsid w:val="00B404ED"/>
    <w:rsid w:val="00B4094C"/>
    <w:rsid w:val="00B4176A"/>
    <w:rsid w:val="00B420C2"/>
    <w:rsid w:val="00B42CD0"/>
    <w:rsid w:val="00B42D74"/>
    <w:rsid w:val="00B4305E"/>
    <w:rsid w:val="00B43110"/>
    <w:rsid w:val="00B43CAB"/>
    <w:rsid w:val="00B44026"/>
    <w:rsid w:val="00B444E4"/>
    <w:rsid w:val="00B46B1C"/>
    <w:rsid w:val="00B46D04"/>
    <w:rsid w:val="00B479D3"/>
    <w:rsid w:val="00B50080"/>
    <w:rsid w:val="00B517DA"/>
    <w:rsid w:val="00B52537"/>
    <w:rsid w:val="00B54337"/>
    <w:rsid w:val="00B54E68"/>
    <w:rsid w:val="00B550DD"/>
    <w:rsid w:val="00B561A2"/>
    <w:rsid w:val="00B579CA"/>
    <w:rsid w:val="00B631DB"/>
    <w:rsid w:val="00B63835"/>
    <w:rsid w:val="00B64FEB"/>
    <w:rsid w:val="00B656E3"/>
    <w:rsid w:val="00B6583E"/>
    <w:rsid w:val="00B65C4A"/>
    <w:rsid w:val="00B663BC"/>
    <w:rsid w:val="00B669A8"/>
    <w:rsid w:val="00B6758D"/>
    <w:rsid w:val="00B678C9"/>
    <w:rsid w:val="00B67F81"/>
    <w:rsid w:val="00B70FA3"/>
    <w:rsid w:val="00B725C4"/>
    <w:rsid w:val="00B73123"/>
    <w:rsid w:val="00B74EB4"/>
    <w:rsid w:val="00B75114"/>
    <w:rsid w:val="00B760B2"/>
    <w:rsid w:val="00B763EC"/>
    <w:rsid w:val="00B768AE"/>
    <w:rsid w:val="00B76D45"/>
    <w:rsid w:val="00B824B7"/>
    <w:rsid w:val="00B82835"/>
    <w:rsid w:val="00B83112"/>
    <w:rsid w:val="00B832CB"/>
    <w:rsid w:val="00B833B3"/>
    <w:rsid w:val="00B83637"/>
    <w:rsid w:val="00B83A18"/>
    <w:rsid w:val="00B8455D"/>
    <w:rsid w:val="00B84949"/>
    <w:rsid w:val="00B8496D"/>
    <w:rsid w:val="00B84BEB"/>
    <w:rsid w:val="00B85E61"/>
    <w:rsid w:val="00B86A0D"/>
    <w:rsid w:val="00B87819"/>
    <w:rsid w:val="00B8786F"/>
    <w:rsid w:val="00B87D6A"/>
    <w:rsid w:val="00B91347"/>
    <w:rsid w:val="00B92174"/>
    <w:rsid w:val="00B9246A"/>
    <w:rsid w:val="00B92904"/>
    <w:rsid w:val="00B9355B"/>
    <w:rsid w:val="00B93F33"/>
    <w:rsid w:val="00B96586"/>
    <w:rsid w:val="00B9660E"/>
    <w:rsid w:val="00BA0760"/>
    <w:rsid w:val="00BA0985"/>
    <w:rsid w:val="00BA0F0B"/>
    <w:rsid w:val="00BA1009"/>
    <w:rsid w:val="00BA1208"/>
    <w:rsid w:val="00BA1ECD"/>
    <w:rsid w:val="00BA1EFD"/>
    <w:rsid w:val="00BA228F"/>
    <w:rsid w:val="00BA2A49"/>
    <w:rsid w:val="00BA2A66"/>
    <w:rsid w:val="00BA2A88"/>
    <w:rsid w:val="00BA3841"/>
    <w:rsid w:val="00BA385C"/>
    <w:rsid w:val="00BA3FA0"/>
    <w:rsid w:val="00BA507E"/>
    <w:rsid w:val="00BB1E16"/>
    <w:rsid w:val="00BB25E2"/>
    <w:rsid w:val="00BB28F8"/>
    <w:rsid w:val="00BB290B"/>
    <w:rsid w:val="00BB2CA5"/>
    <w:rsid w:val="00BB2E89"/>
    <w:rsid w:val="00BB3B93"/>
    <w:rsid w:val="00BB3EB1"/>
    <w:rsid w:val="00BB3ECC"/>
    <w:rsid w:val="00BB458F"/>
    <w:rsid w:val="00BB50F5"/>
    <w:rsid w:val="00BB5BAD"/>
    <w:rsid w:val="00BB65DC"/>
    <w:rsid w:val="00BB7C22"/>
    <w:rsid w:val="00BC0231"/>
    <w:rsid w:val="00BC05DA"/>
    <w:rsid w:val="00BC0DCD"/>
    <w:rsid w:val="00BC1523"/>
    <w:rsid w:val="00BC16C8"/>
    <w:rsid w:val="00BC2FFB"/>
    <w:rsid w:val="00BC3CB3"/>
    <w:rsid w:val="00BC477D"/>
    <w:rsid w:val="00BC4811"/>
    <w:rsid w:val="00BC5F6E"/>
    <w:rsid w:val="00BC6698"/>
    <w:rsid w:val="00BC73EA"/>
    <w:rsid w:val="00BC7837"/>
    <w:rsid w:val="00BD004D"/>
    <w:rsid w:val="00BD0177"/>
    <w:rsid w:val="00BD05DC"/>
    <w:rsid w:val="00BD13D3"/>
    <w:rsid w:val="00BD14C9"/>
    <w:rsid w:val="00BD1FF8"/>
    <w:rsid w:val="00BD344D"/>
    <w:rsid w:val="00BD39DE"/>
    <w:rsid w:val="00BD3A53"/>
    <w:rsid w:val="00BD3C2D"/>
    <w:rsid w:val="00BD441B"/>
    <w:rsid w:val="00BD45B7"/>
    <w:rsid w:val="00BD4B4E"/>
    <w:rsid w:val="00BD51A9"/>
    <w:rsid w:val="00BD66E2"/>
    <w:rsid w:val="00BD6A00"/>
    <w:rsid w:val="00BE007B"/>
    <w:rsid w:val="00BE3CD8"/>
    <w:rsid w:val="00BE4522"/>
    <w:rsid w:val="00BE475E"/>
    <w:rsid w:val="00BE6919"/>
    <w:rsid w:val="00BE6ABC"/>
    <w:rsid w:val="00BE770C"/>
    <w:rsid w:val="00BE77EA"/>
    <w:rsid w:val="00BE7B2D"/>
    <w:rsid w:val="00BF0CAF"/>
    <w:rsid w:val="00BF0F69"/>
    <w:rsid w:val="00BF24EE"/>
    <w:rsid w:val="00BF297E"/>
    <w:rsid w:val="00BF2B2A"/>
    <w:rsid w:val="00BF3022"/>
    <w:rsid w:val="00BF4DAD"/>
    <w:rsid w:val="00BF5081"/>
    <w:rsid w:val="00BF635C"/>
    <w:rsid w:val="00BF6AF0"/>
    <w:rsid w:val="00BF7B7B"/>
    <w:rsid w:val="00C000FD"/>
    <w:rsid w:val="00C0013D"/>
    <w:rsid w:val="00C001DA"/>
    <w:rsid w:val="00C00E57"/>
    <w:rsid w:val="00C00F8C"/>
    <w:rsid w:val="00C017C0"/>
    <w:rsid w:val="00C01958"/>
    <w:rsid w:val="00C036BB"/>
    <w:rsid w:val="00C03DD5"/>
    <w:rsid w:val="00C0538D"/>
    <w:rsid w:val="00C05484"/>
    <w:rsid w:val="00C05D53"/>
    <w:rsid w:val="00C05D79"/>
    <w:rsid w:val="00C0633C"/>
    <w:rsid w:val="00C06795"/>
    <w:rsid w:val="00C07A88"/>
    <w:rsid w:val="00C11275"/>
    <w:rsid w:val="00C11968"/>
    <w:rsid w:val="00C11D80"/>
    <w:rsid w:val="00C1260C"/>
    <w:rsid w:val="00C12D2B"/>
    <w:rsid w:val="00C1345D"/>
    <w:rsid w:val="00C1636A"/>
    <w:rsid w:val="00C163B3"/>
    <w:rsid w:val="00C16451"/>
    <w:rsid w:val="00C17ECE"/>
    <w:rsid w:val="00C20149"/>
    <w:rsid w:val="00C20E97"/>
    <w:rsid w:val="00C2234A"/>
    <w:rsid w:val="00C22387"/>
    <w:rsid w:val="00C228A3"/>
    <w:rsid w:val="00C2294D"/>
    <w:rsid w:val="00C22A09"/>
    <w:rsid w:val="00C22CE1"/>
    <w:rsid w:val="00C22F3B"/>
    <w:rsid w:val="00C22F87"/>
    <w:rsid w:val="00C23096"/>
    <w:rsid w:val="00C23BF2"/>
    <w:rsid w:val="00C24474"/>
    <w:rsid w:val="00C24EDC"/>
    <w:rsid w:val="00C253BE"/>
    <w:rsid w:val="00C2627A"/>
    <w:rsid w:val="00C30486"/>
    <w:rsid w:val="00C30C02"/>
    <w:rsid w:val="00C30DFD"/>
    <w:rsid w:val="00C3160B"/>
    <w:rsid w:val="00C3166C"/>
    <w:rsid w:val="00C31A4D"/>
    <w:rsid w:val="00C31B4E"/>
    <w:rsid w:val="00C31E31"/>
    <w:rsid w:val="00C32481"/>
    <w:rsid w:val="00C32AE9"/>
    <w:rsid w:val="00C34624"/>
    <w:rsid w:val="00C34891"/>
    <w:rsid w:val="00C34EF2"/>
    <w:rsid w:val="00C37FB5"/>
    <w:rsid w:val="00C405BB"/>
    <w:rsid w:val="00C40FAB"/>
    <w:rsid w:val="00C41AE2"/>
    <w:rsid w:val="00C42A3B"/>
    <w:rsid w:val="00C4471C"/>
    <w:rsid w:val="00C46B12"/>
    <w:rsid w:val="00C50BD1"/>
    <w:rsid w:val="00C51BE8"/>
    <w:rsid w:val="00C51CD8"/>
    <w:rsid w:val="00C532EB"/>
    <w:rsid w:val="00C5374B"/>
    <w:rsid w:val="00C559B2"/>
    <w:rsid w:val="00C567BE"/>
    <w:rsid w:val="00C6006A"/>
    <w:rsid w:val="00C609B1"/>
    <w:rsid w:val="00C618E3"/>
    <w:rsid w:val="00C6193B"/>
    <w:rsid w:val="00C629F4"/>
    <w:rsid w:val="00C62E99"/>
    <w:rsid w:val="00C63DA8"/>
    <w:rsid w:val="00C64535"/>
    <w:rsid w:val="00C64A08"/>
    <w:rsid w:val="00C65B9A"/>
    <w:rsid w:val="00C700EB"/>
    <w:rsid w:val="00C7071D"/>
    <w:rsid w:val="00C70F1D"/>
    <w:rsid w:val="00C712B0"/>
    <w:rsid w:val="00C730AC"/>
    <w:rsid w:val="00C73497"/>
    <w:rsid w:val="00C73808"/>
    <w:rsid w:val="00C74EA9"/>
    <w:rsid w:val="00C76E95"/>
    <w:rsid w:val="00C77204"/>
    <w:rsid w:val="00C81822"/>
    <w:rsid w:val="00C818D6"/>
    <w:rsid w:val="00C820FE"/>
    <w:rsid w:val="00C8292E"/>
    <w:rsid w:val="00C843CD"/>
    <w:rsid w:val="00C855BC"/>
    <w:rsid w:val="00C859D4"/>
    <w:rsid w:val="00C85BB4"/>
    <w:rsid w:val="00C8602E"/>
    <w:rsid w:val="00C90F99"/>
    <w:rsid w:val="00C9142D"/>
    <w:rsid w:val="00C929DF"/>
    <w:rsid w:val="00C93C26"/>
    <w:rsid w:val="00C960F7"/>
    <w:rsid w:val="00C96C5F"/>
    <w:rsid w:val="00C97445"/>
    <w:rsid w:val="00C97FE1"/>
    <w:rsid w:val="00CA024D"/>
    <w:rsid w:val="00CA1492"/>
    <w:rsid w:val="00CA2BF7"/>
    <w:rsid w:val="00CA4B0B"/>
    <w:rsid w:val="00CA4FB9"/>
    <w:rsid w:val="00CA6D76"/>
    <w:rsid w:val="00CA75C7"/>
    <w:rsid w:val="00CA7845"/>
    <w:rsid w:val="00CA79DE"/>
    <w:rsid w:val="00CB030E"/>
    <w:rsid w:val="00CB23CF"/>
    <w:rsid w:val="00CB27BA"/>
    <w:rsid w:val="00CB2FAA"/>
    <w:rsid w:val="00CB4CA1"/>
    <w:rsid w:val="00CB516C"/>
    <w:rsid w:val="00CB6D70"/>
    <w:rsid w:val="00CB7068"/>
    <w:rsid w:val="00CC112C"/>
    <w:rsid w:val="00CC357A"/>
    <w:rsid w:val="00CC38E9"/>
    <w:rsid w:val="00CC43CC"/>
    <w:rsid w:val="00CC4539"/>
    <w:rsid w:val="00CC48A7"/>
    <w:rsid w:val="00CC4D8F"/>
    <w:rsid w:val="00CC5338"/>
    <w:rsid w:val="00CC78F9"/>
    <w:rsid w:val="00CC7957"/>
    <w:rsid w:val="00CD100C"/>
    <w:rsid w:val="00CD2250"/>
    <w:rsid w:val="00CD231F"/>
    <w:rsid w:val="00CD28C6"/>
    <w:rsid w:val="00CD30CB"/>
    <w:rsid w:val="00CD3508"/>
    <w:rsid w:val="00CD5AE5"/>
    <w:rsid w:val="00CD6223"/>
    <w:rsid w:val="00CD7204"/>
    <w:rsid w:val="00CD73E5"/>
    <w:rsid w:val="00CD753D"/>
    <w:rsid w:val="00CE1CE8"/>
    <w:rsid w:val="00CE3F35"/>
    <w:rsid w:val="00CE46E7"/>
    <w:rsid w:val="00CE5A3E"/>
    <w:rsid w:val="00CE6803"/>
    <w:rsid w:val="00CE7F1B"/>
    <w:rsid w:val="00CF2915"/>
    <w:rsid w:val="00CF3757"/>
    <w:rsid w:val="00CF3902"/>
    <w:rsid w:val="00CF3EF2"/>
    <w:rsid w:val="00CF49CD"/>
    <w:rsid w:val="00CF4B07"/>
    <w:rsid w:val="00CF5C5E"/>
    <w:rsid w:val="00CF6CA4"/>
    <w:rsid w:val="00CF7015"/>
    <w:rsid w:val="00CF7056"/>
    <w:rsid w:val="00CF7569"/>
    <w:rsid w:val="00D00886"/>
    <w:rsid w:val="00D00F05"/>
    <w:rsid w:val="00D01562"/>
    <w:rsid w:val="00D0211E"/>
    <w:rsid w:val="00D02FF8"/>
    <w:rsid w:val="00D03560"/>
    <w:rsid w:val="00D03A30"/>
    <w:rsid w:val="00D03A70"/>
    <w:rsid w:val="00D04320"/>
    <w:rsid w:val="00D047CF"/>
    <w:rsid w:val="00D04909"/>
    <w:rsid w:val="00D06D9A"/>
    <w:rsid w:val="00D06F6C"/>
    <w:rsid w:val="00D0716C"/>
    <w:rsid w:val="00D10DBA"/>
    <w:rsid w:val="00D113EE"/>
    <w:rsid w:val="00D123C4"/>
    <w:rsid w:val="00D128BF"/>
    <w:rsid w:val="00D12FAC"/>
    <w:rsid w:val="00D137DE"/>
    <w:rsid w:val="00D13895"/>
    <w:rsid w:val="00D13BC8"/>
    <w:rsid w:val="00D14B73"/>
    <w:rsid w:val="00D16216"/>
    <w:rsid w:val="00D17F4D"/>
    <w:rsid w:val="00D20D58"/>
    <w:rsid w:val="00D21BE4"/>
    <w:rsid w:val="00D2503A"/>
    <w:rsid w:val="00D26DC2"/>
    <w:rsid w:val="00D278E3"/>
    <w:rsid w:val="00D27F65"/>
    <w:rsid w:val="00D303CD"/>
    <w:rsid w:val="00D304BC"/>
    <w:rsid w:val="00D31740"/>
    <w:rsid w:val="00D317CE"/>
    <w:rsid w:val="00D318E9"/>
    <w:rsid w:val="00D31E6C"/>
    <w:rsid w:val="00D323AA"/>
    <w:rsid w:val="00D32A49"/>
    <w:rsid w:val="00D32BE0"/>
    <w:rsid w:val="00D3320C"/>
    <w:rsid w:val="00D3384A"/>
    <w:rsid w:val="00D33D5F"/>
    <w:rsid w:val="00D33E10"/>
    <w:rsid w:val="00D33F19"/>
    <w:rsid w:val="00D3456E"/>
    <w:rsid w:val="00D34659"/>
    <w:rsid w:val="00D3468D"/>
    <w:rsid w:val="00D346A2"/>
    <w:rsid w:val="00D34C55"/>
    <w:rsid w:val="00D35A81"/>
    <w:rsid w:val="00D36D3D"/>
    <w:rsid w:val="00D4099E"/>
    <w:rsid w:val="00D40A37"/>
    <w:rsid w:val="00D42DA6"/>
    <w:rsid w:val="00D445DE"/>
    <w:rsid w:val="00D4480C"/>
    <w:rsid w:val="00D44D56"/>
    <w:rsid w:val="00D45CC1"/>
    <w:rsid w:val="00D46ED9"/>
    <w:rsid w:val="00D4754F"/>
    <w:rsid w:val="00D4770C"/>
    <w:rsid w:val="00D47902"/>
    <w:rsid w:val="00D50319"/>
    <w:rsid w:val="00D50976"/>
    <w:rsid w:val="00D50A24"/>
    <w:rsid w:val="00D50A8A"/>
    <w:rsid w:val="00D524A8"/>
    <w:rsid w:val="00D53D6C"/>
    <w:rsid w:val="00D540E6"/>
    <w:rsid w:val="00D549D7"/>
    <w:rsid w:val="00D54DA4"/>
    <w:rsid w:val="00D55615"/>
    <w:rsid w:val="00D5669B"/>
    <w:rsid w:val="00D57451"/>
    <w:rsid w:val="00D576BF"/>
    <w:rsid w:val="00D57DF8"/>
    <w:rsid w:val="00D60241"/>
    <w:rsid w:val="00D61334"/>
    <w:rsid w:val="00D61A23"/>
    <w:rsid w:val="00D61D5D"/>
    <w:rsid w:val="00D61E3C"/>
    <w:rsid w:val="00D62608"/>
    <w:rsid w:val="00D64949"/>
    <w:rsid w:val="00D64BE4"/>
    <w:rsid w:val="00D657F7"/>
    <w:rsid w:val="00D659FE"/>
    <w:rsid w:val="00D6695A"/>
    <w:rsid w:val="00D66B60"/>
    <w:rsid w:val="00D67AE8"/>
    <w:rsid w:val="00D70140"/>
    <w:rsid w:val="00D70B70"/>
    <w:rsid w:val="00D70E9B"/>
    <w:rsid w:val="00D719EB"/>
    <w:rsid w:val="00D730CC"/>
    <w:rsid w:val="00D73830"/>
    <w:rsid w:val="00D7408F"/>
    <w:rsid w:val="00D75634"/>
    <w:rsid w:val="00D76CA8"/>
    <w:rsid w:val="00D77457"/>
    <w:rsid w:val="00D8004B"/>
    <w:rsid w:val="00D804BB"/>
    <w:rsid w:val="00D80CAC"/>
    <w:rsid w:val="00D8143F"/>
    <w:rsid w:val="00D81A7D"/>
    <w:rsid w:val="00D825EC"/>
    <w:rsid w:val="00D8355D"/>
    <w:rsid w:val="00D835E4"/>
    <w:rsid w:val="00D84CA2"/>
    <w:rsid w:val="00D866EB"/>
    <w:rsid w:val="00D87610"/>
    <w:rsid w:val="00D878BB"/>
    <w:rsid w:val="00D92270"/>
    <w:rsid w:val="00D925BF"/>
    <w:rsid w:val="00D926DF"/>
    <w:rsid w:val="00D92F18"/>
    <w:rsid w:val="00D9461D"/>
    <w:rsid w:val="00D94EE1"/>
    <w:rsid w:val="00D9543B"/>
    <w:rsid w:val="00D95E62"/>
    <w:rsid w:val="00D96923"/>
    <w:rsid w:val="00D976CD"/>
    <w:rsid w:val="00DA1231"/>
    <w:rsid w:val="00DA14EC"/>
    <w:rsid w:val="00DA1C99"/>
    <w:rsid w:val="00DA2614"/>
    <w:rsid w:val="00DA271F"/>
    <w:rsid w:val="00DA30A2"/>
    <w:rsid w:val="00DA3479"/>
    <w:rsid w:val="00DA34B7"/>
    <w:rsid w:val="00DA405E"/>
    <w:rsid w:val="00DA407D"/>
    <w:rsid w:val="00DA45EA"/>
    <w:rsid w:val="00DA46E6"/>
    <w:rsid w:val="00DA5520"/>
    <w:rsid w:val="00DA5863"/>
    <w:rsid w:val="00DA5E26"/>
    <w:rsid w:val="00DA6AA2"/>
    <w:rsid w:val="00DA73C2"/>
    <w:rsid w:val="00DB098B"/>
    <w:rsid w:val="00DB0E87"/>
    <w:rsid w:val="00DB1301"/>
    <w:rsid w:val="00DB151E"/>
    <w:rsid w:val="00DB1A40"/>
    <w:rsid w:val="00DB2096"/>
    <w:rsid w:val="00DB2250"/>
    <w:rsid w:val="00DB273B"/>
    <w:rsid w:val="00DB30DB"/>
    <w:rsid w:val="00DB35F9"/>
    <w:rsid w:val="00DB3C8E"/>
    <w:rsid w:val="00DB46E1"/>
    <w:rsid w:val="00DB47AF"/>
    <w:rsid w:val="00DB54D2"/>
    <w:rsid w:val="00DB64EF"/>
    <w:rsid w:val="00DC068C"/>
    <w:rsid w:val="00DC10E3"/>
    <w:rsid w:val="00DC2A98"/>
    <w:rsid w:val="00DC2B06"/>
    <w:rsid w:val="00DC2B0C"/>
    <w:rsid w:val="00DC2C7B"/>
    <w:rsid w:val="00DC333A"/>
    <w:rsid w:val="00DC3AC2"/>
    <w:rsid w:val="00DC3F80"/>
    <w:rsid w:val="00DC40B2"/>
    <w:rsid w:val="00DC63C7"/>
    <w:rsid w:val="00DC642E"/>
    <w:rsid w:val="00DC6BA7"/>
    <w:rsid w:val="00DC7045"/>
    <w:rsid w:val="00DD03BB"/>
    <w:rsid w:val="00DD06B8"/>
    <w:rsid w:val="00DD16B4"/>
    <w:rsid w:val="00DD2D42"/>
    <w:rsid w:val="00DD35A0"/>
    <w:rsid w:val="00DD409A"/>
    <w:rsid w:val="00DD5A48"/>
    <w:rsid w:val="00DD6444"/>
    <w:rsid w:val="00DD6721"/>
    <w:rsid w:val="00DD71F0"/>
    <w:rsid w:val="00DD771D"/>
    <w:rsid w:val="00DE0402"/>
    <w:rsid w:val="00DE5507"/>
    <w:rsid w:val="00DE6175"/>
    <w:rsid w:val="00DE7279"/>
    <w:rsid w:val="00DE7E77"/>
    <w:rsid w:val="00DF00C8"/>
    <w:rsid w:val="00DF0950"/>
    <w:rsid w:val="00DF28DD"/>
    <w:rsid w:val="00DF2A29"/>
    <w:rsid w:val="00DF33DA"/>
    <w:rsid w:val="00DF38A2"/>
    <w:rsid w:val="00DF3F51"/>
    <w:rsid w:val="00DF4696"/>
    <w:rsid w:val="00DF5B33"/>
    <w:rsid w:val="00DF5F11"/>
    <w:rsid w:val="00DF600C"/>
    <w:rsid w:val="00DF6766"/>
    <w:rsid w:val="00DF6FB2"/>
    <w:rsid w:val="00DF72E9"/>
    <w:rsid w:val="00DF7668"/>
    <w:rsid w:val="00DF7CD8"/>
    <w:rsid w:val="00DF7E58"/>
    <w:rsid w:val="00E00671"/>
    <w:rsid w:val="00E009CB"/>
    <w:rsid w:val="00E00D33"/>
    <w:rsid w:val="00E01930"/>
    <w:rsid w:val="00E01CB7"/>
    <w:rsid w:val="00E02D64"/>
    <w:rsid w:val="00E0346D"/>
    <w:rsid w:val="00E03E89"/>
    <w:rsid w:val="00E04173"/>
    <w:rsid w:val="00E04447"/>
    <w:rsid w:val="00E052E1"/>
    <w:rsid w:val="00E053BC"/>
    <w:rsid w:val="00E05552"/>
    <w:rsid w:val="00E05E15"/>
    <w:rsid w:val="00E06964"/>
    <w:rsid w:val="00E0758A"/>
    <w:rsid w:val="00E116BD"/>
    <w:rsid w:val="00E1287E"/>
    <w:rsid w:val="00E1347A"/>
    <w:rsid w:val="00E14FEA"/>
    <w:rsid w:val="00E156B5"/>
    <w:rsid w:val="00E161E6"/>
    <w:rsid w:val="00E16CB8"/>
    <w:rsid w:val="00E209D5"/>
    <w:rsid w:val="00E20D05"/>
    <w:rsid w:val="00E210A7"/>
    <w:rsid w:val="00E228A7"/>
    <w:rsid w:val="00E23FFF"/>
    <w:rsid w:val="00E24BEA"/>
    <w:rsid w:val="00E24CA7"/>
    <w:rsid w:val="00E25CD2"/>
    <w:rsid w:val="00E25DE3"/>
    <w:rsid w:val="00E26536"/>
    <w:rsid w:val="00E33816"/>
    <w:rsid w:val="00E3524C"/>
    <w:rsid w:val="00E35B69"/>
    <w:rsid w:val="00E3694B"/>
    <w:rsid w:val="00E36DAC"/>
    <w:rsid w:val="00E37351"/>
    <w:rsid w:val="00E37A07"/>
    <w:rsid w:val="00E40FFB"/>
    <w:rsid w:val="00E42886"/>
    <w:rsid w:val="00E429D3"/>
    <w:rsid w:val="00E430CD"/>
    <w:rsid w:val="00E437F7"/>
    <w:rsid w:val="00E4518B"/>
    <w:rsid w:val="00E455CE"/>
    <w:rsid w:val="00E45730"/>
    <w:rsid w:val="00E45A2F"/>
    <w:rsid w:val="00E47393"/>
    <w:rsid w:val="00E5051A"/>
    <w:rsid w:val="00E51033"/>
    <w:rsid w:val="00E5122C"/>
    <w:rsid w:val="00E52E33"/>
    <w:rsid w:val="00E5414B"/>
    <w:rsid w:val="00E55B9F"/>
    <w:rsid w:val="00E55E8A"/>
    <w:rsid w:val="00E5678B"/>
    <w:rsid w:val="00E57D69"/>
    <w:rsid w:val="00E610E4"/>
    <w:rsid w:val="00E618BF"/>
    <w:rsid w:val="00E6206B"/>
    <w:rsid w:val="00E64FFA"/>
    <w:rsid w:val="00E66599"/>
    <w:rsid w:val="00E67D6F"/>
    <w:rsid w:val="00E7016D"/>
    <w:rsid w:val="00E715B1"/>
    <w:rsid w:val="00E71F2C"/>
    <w:rsid w:val="00E72322"/>
    <w:rsid w:val="00E7300A"/>
    <w:rsid w:val="00E73A1F"/>
    <w:rsid w:val="00E767C5"/>
    <w:rsid w:val="00E76BCA"/>
    <w:rsid w:val="00E7719A"/>
    <w:rsid w:val="00E80945"/>
    <w:rsid w:val="00E810B4"/>
    <w:rsid w:val="00E82119"/>
    <w:rsid w:val="00E83A3B"/>
    <w:rsid w:val="00E84348"/>
    <w:rsid w:val="00E84438"/>
    <w:rsid w:val="00E848EB"/>
    <w:rsid w:val="00E85B30"/>
    <w:rsid w:val="00E868BF"/>
    <w:rsid w:val="00E86A25"/>
    <w:rsid w:val="00E876A8"/>
    <w:rsid w:val="00E87F29"/>
    <w:rsid w:val="00E9167B"/>
    <w:rsid w:val="00E935EA"/>
    <w:rsid w:val="00E9377C"/>
    <w:rsid w:val="00E93A86"/>
    <w:rsid w:val="00E945ED"/>
    <w:rsid w:val="00E94C70"/>
    <w:rsid w:val="00E94F7A"/>
    <w:rsid w:val="00E95920"/>
    <w:rsid w:val="00E96B24"/>
    <w:rsid w:val="00EA0197"/>
    <w:rsid w:val="00EA4534"/>
    <w:rsid w:val="00EA4C25"/>
    <w:rsid w:val="00EA503F"/>
    <w:rsid w:val="00EA6172"/>
    <w:rsid w:val="00EA66DA"/>
    <w:rsid w:val="00EA68FC"/>
    <w:rsid w:val="00EA6CD7"/>
    <w:rsid w:val="00EB0B47"/>
    <w:rsid w:val="00EB2096"/>
    <w:rsid w:val="00EB2FB5"/>
    <w:rsid w:val="00EB3EDB"/>
    <w:rsid w:val="00EB403E"/>
    <w:rsid w:val="00EB40CB"/>
    <w:rsid w:val="00EB4AD2"/>
    <w:rsid w:val="00EB4DE6"/>
    <w:rsid w:val="00EB5EC4"/>
    <w:rsid w:val="00EB6A08"/>
    <w:rsid w:val="00EC01DE"/>
    <w:rsid w:val="00EC0E09"/>
    <w:rsid w:val="00EC1CD0"/>
    <w:rsid w:val="00EC1DD1"/>
    <w:rsid w:val="00EC517A"/>
    <w:rsid w:val="00EC6451"/>
    <w:rsid w:val="00EC7E07"/>
    <w:rsid w:val="00ED07C1"/>
    <w:rsid w:val="00ED0F4C"/>
    <w:rsid w:val="00ED2687"/>
    <w:rsid w:val="00ED26F5"/>
    <w:rsid w:val="00ED2848"/>
    <w:rsid w:val="00ED3C45"/>
    <w:rsid w:val="00ED4BF6"/>
    <w:rsid w:val="00ED50E3"/>
    <w:rsid w:val="00ED53AA"/>
    <w:rsid w:val="00ED5877"/>
    <w:rsid w:val="00ED6125"/>
    <w:rsid w:val="00ED6EEC"/>
    <w:rsid w:val="00ED6F4C"/>
    <w:rsid w:val="00ED7888"/>
    <w:rsid w:val="00EE076A"/>
    <w:rsid w:val="00EE08A6"/>
    <w:rsid w:val="00EE4882"/>
    <w:rsid w:val="00EE58EE"/>
    <w:rsid w:val="00EE5BAC"/>
    <w:rsid w:val="00EE637E"/>
    <w:rsid w:val="00EE7C18"/>
    <w:rsid w:val="00EE7F30"/>
    <w:rsid w:val="00EF08A6"/>
    <w:rsid w:val="00EF0B14"/>
    <w:rsid w:val="00EF0E11"/>
    <w:rsid w:val="00EF1CCC"/>
    <w:rsid w:val="00EF2BFC"/>
    <w:rsid w:val="00EF2E73"/>
    <w:rsid w:val="00EF3596"/>
    <w:rsid w:val="00EF3975"/>
    <w:rsid w:val="00EF44D6"/>
    <w:rsid w:val="00EF5E8E"/>
    <w:rsid w:val="00EF6D44"/>
    <w:rsid w:val="00EF75D8"/>
    <w:rsid w:val="00EF7818"/>
    <w:rsid w:val="00F0167A"/>
    <w:rsid w:val="00F01FBB"/>
    <w:rsid w:val="00F02CDF"/>
    <w:rsid w:val="00F03458"/>
    <w:rsid w:val="00F03D58"/>
    <w:rsid w:val="00F04D4A"/>
    <w:rsid w:val="00F05C5A"/>
    <w:rsid w:val="00F07A07"/>
    <w:rsid w:val="00F07B99"/>
    <w:rsid w:val="00F07F89"/>
    <w:rsid w:val="00F111BF"/>
    <w:rsid w:val="00F1216E"/>
    <w:rsid w:val="00F12B64"/>
    <w:rsid w:val="00F13165"/>
    <w:rsid w:val="00F132FE"/>
    <w:rsid w:val="00F13573"/>
    <w:rsid w:val="00F14584"/>
    <w:rsid w:val="00F154C9"/>
    <w:rsid w:val="00F15BEB"/>
    <w:rsid w:val="00F16A20"/>
    <w:rsid w:val="00F1770F"/>
    <w:rsid w:val="00F17A63"/>
    <w:rsid w:val="00F17E70"/>
    <w:rsid w:val="00F21098"/>
    <w:rsid w:val="00F2148A"/>
    <w:rsid w:val="00F21D10"/>
    <w:rsid w:val="00F21DA8"/>
    <w:rsid w:val="00F237D0"/>
    <w:rsid w:val="00F237EC"/>
    <w:rsid w:val="00F2418E"/>
    <w:rsid w:val="00F31BE4"/>
    <w:rsid w:val="00F33BC8"/>
    <w:rsid w:val="00F34222"/>
    <w:rsid w:val="00F353C8"/>
    <w:rsid w:val="00F3742C"/>
    <w:rsid w:val="00F37D0F"/>
    <w:rsid w:val="00F40ED7"/>
    <w:rsid w:val="00F415D5"/>
    <w:rsid w:val="00F4236E"/>
    <w:rsid w:val="00F43C76"/>
    <w:rsid w:val="00F44B6E"/>
    <w:rsid w:val="00F46213"/>
    <w:rsid w:val="00F47CD9"/>
    <w:rsid w:val="00F504C0"/>
    <w:rsid w:val="00F50F2E"/>
    <w:rsid w:val="00F535A4"/>
    <w:rsid w:val="00F535AA"/>
    <w:rsid w:val="00F55668"/>
    <w:rsid w:val="00F55DF2"/>
    <w:rsid w:val="00F5718B"/>
    <w:rsid w:val="00F60FFD"/>
    <w:rsid w:val="00F623A6"/>
    <w:rsid w:val="00F64A17"/>
    <w:rsid w:val="00F6606D"/>
    <w:rsid w:val="00F673D8"/>
    <w:rsid w:val="00F70CDC"/>
    <w:rsid w:val="00F74083"/>
    <w:rsid w:val="00F745C5"/>
    <w:rsid w:val="00F75089"/>
    <w:rsid w:val="00F754C8"/>
    <w:rsid w:val="00F75D4E"/>
    <w:rsid w:val="00F75DEC"/>
    <w:rsid w:val="00F83A75"/>
    <w:rsid w:val="00F9089B"/>
    <w:rsid w:val="00F90974"/>
    <w:rsid w:val="00F925DC"/>
    <w:rsid w:val="00F93846"/>
    <w:rsid w:val="00F972CC"/>
    <w:rsid w:val="00FA01D3"/>
    <w:rsid w:val="00FA0A90"/>
    <w:rsid w:val="00FA2225"/>
    <w:rsid w:val="00FA303A"/>
    <w:rsid w:val="00FA3111"/>
    <w:rsid w:val="00FA3344"/>
    <w:rsid w:val="00FA34DD"/>
    <w:rsid w:val="00FA4555"/>
    <w:rsid w:val="00FA4721"/>
    <w:rsid w:val="00FA6895"/>
    <w:rsid w:val="00FA6C98"/>
    <w:rsid w:val="00FA6F61"/>
    <w:rsid w:val="00FA7415"/>
    <w:rsid w:val="00FB0D19"/>
    <w:rsid w:val="00FB4302"/>
    <w:rsid w:val="00FB4E6D"/>
    <w:rsid w:val="00FB56A0"/>
    <w:rsid w:val="00FB5DEB"/>
    <w:rsid w:val="00FB6DE1"/>
    <w:rsid w:val="00FB7C63"/>
    <w:rsid w:val="00FC09B9"/>
    <w:rsid w:val="00FC1999"/>
    <w:rsid w:val="00FC3B87"/>
    <w:rsid w:val="00FC3B90"/>
    <w:rsid w:val="00FC4344"/>
    <w:rsid w:val="00FC4C3B"/>
    <w:rsid w:val="00FC5D50"/>
    <w:rsid w:val="00FC669A"/>
    <w:rsid w:val="00FC6D8A"/>
    <w:rsid w:val="00FD2546"/>
    <w:rsid w:val="00FD2A55"/>
    <w:rsid w:val="00FD3509"/>
    <w:rsid w:val="00FD538F"/>
    <w:rsid w:val="00FD5C3B"/>
    <w:rsid w:val="00FD605C"/>
    <w:rsid w:val="00FE1E95"/>
    <w:rsid w:val="00FE1FF8"/>
    <w:rsid w:val="00FE2F04"/>
    <w:rsid w:val="00FE3850"/>
    <w:rsid w:val="00FE3CB4"/>
    <w:rsid w:val="00FE402E"/>
    <w:rsid w:val="00FE4475"/>
    <w:rsid w:val="00FE4C91"/>
    <w:rsid w:val="00FE4F49"/>
    <w:rsid w:val="00FE595A"/>
    <w:rsid w:val="00FE6F00"/>
    <w:rsid w:val="00FE771F"/>
    <w:rsid w:val="00FF0288"/>
    <w:rsid w:val="00FF02B4"/>
    <w:rsid w:val="00FF03C1"/>
    <w:rsid w:val="00FF0687"/>
    <w:rsid w:val="00FF0716"/>
    <w:rsid w:val="00FF1903"/>
    <w:rsid w:val="00FF2A6E"/>
    <w:rsid w:val="00FF2B09"/>
    <w:rsid w:val="00FF2D03"/>
    <w:rsid w:val="00FF4A59"/>
    <w:rsid w:val="00FF6011"/>
    <w:rsid w:val="00FF6738"/>
    <w:rsid w:val="00FF7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DFDD2A"/>
  <w15:chartTrackingRefBased/>
  <w15:docId w15:val="{99329ECC-2123-41C9-AB19-5A80D303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E42"/>
    <w:rPr>
      <w:sz w:val="24"/>
      <w:szCs w:val="24"/>
    </w:rPr>
  </w:style>
  <w:style w:type="paragraph" w:styleId="Heading1">
    <w:name w:val="heading 1"/>
    <w:basedOn w:val="Normal"/>
    <w:next w:val="Normal"/>
    <w:link w:val="Heading1Char"/>
    <w:qFormat/>
    <w:rsid w:val="00100B7F"/>
    <w:pPr>
      <w:keepNext/>
      <w:numPr>
        <w:numId w:val="23"/>
      </w:numPr>
      <w:overflowPunct w:val="0"/>
      <w:autoSpaceDE w:val="0"/>
      <w:autoSpaceDN w:val="0"/>
      <w:adjustRightInd w:val="0"/>
      <w:spacing w:before="240" w:after="60"/>
      <w:textAlignment w:val="baseline"/>
      <w:outlineLvl w:val="0"/>
    </w:pPr>
    <w:rPr>
      <w:rFonts w:cs="Arial"/>
      <w:b/>
      <w:bCs/>
      <w:kern w:val="32"/>
      <w:szCs w:val="32"/>
    </w:rPr>
  </w:style>
  <w:style w:type="paragraph" w:styleId="Heading2">
    <w:name w:val="heading 2"/>
    <w:basedOn w:val="Normal"/>
    <w:next w:val="Normal"/>
    <w:link w:val="Heading2Char"/>
    <w:qFormat/>
    <w:rsid w:val="00590FDC"/>
    <w:pPr>
      <w:numPr>
        <w:ilvl w:val="1"/>
        <w:numId w:val="23"/>
      </w:numPr>
      <w:spacing w:after="200"/>
      <w:outlineLvl w:val="1"/>
    </w:pPr>
    <w:rPr>
      <w:sz w:val="22"/>
    </w:rPr>
  </w:style>
  <w:style w:type="paragraph" w:styleId="Heading3">
    <w:name w:val="heading 3"/>
    <w:basedOn w:val="ListParagraph"/>
    <w:next w:val="Normal"/>
    <w:link w:val="Heading3Char"/>
    <w:qFormat/>
    <w:rsid w:val="00590FDC"/>
    <w:pPr>
      <w:numPr>
        <w:ilvl w:val="2"/>
        <w:numId w:val="23"/>
      </w:numPr>
      <w:spacing w:after="200"/>
      <w:ind w:left="1440"/>
      <w:contextualSpacing w:val="0"/>
      <w:outlineLvl w:val="2"/>
    </w:pPr>
    <w:rPr>
      <w:sz w:val="22"/>
    </w:rPr>
  </w:style>
  <w:style w:type="paragraph" w:styleId="Heading4">
    <w:name w:val="heading 4"/>
    <w:basedOn w:val="Normal"/>
    <w:next w:val="Normal"/>
    <w:link w:val="Heading4Char"/>
    <w:qFormat/>
    <w:rsid w:val="0015577B"/>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15577B"/>
    <w:pPr>
      <w:keepNext/>
      <w:numPr>
        <w:ilvl w:val="4"/>
        <w:numId w:val="23"/>
      </w:numPr>
      <w:overflowPunct w:val="0"/>
      <w:autoSpaceDE w:val="0"/>
      <w:autoSpaceDN w:val="0"/>
      <w:adjustRightInd w:val="0"/>
      <w:spacing w:line="480" w:lineRule="auto"/>
      <w:ind w:right="-180"/>
      <w:jc w:val="center"/>
      <w:textAlignment w:val="baseline"/>
      <w:outlineLvl w:val="4"/>
    </w:pPr>
    <w:rPr>
      <w:rFonts w:ascii="Arial" w:hAnsi="Arial"/>
      <w:szCs w:val="20"/>
    </w:rPr>
  </w:style>
  <w:style w:type="paragraph" w:styleId="Heading6">
    <w:name w:val="heading 6"/>
    <w:basedOn w:val="Normal"/>
    <w:next w:val="Normal"/>
    <w:link w:val="Heading6Char"/>
    <w:qFormat/>
    <w:rsid w:val="0015577B"/>
    <w:pPr>
      <w:keepNext/>
      <w:numPr>
        <w:ilvl w:val="5"/>
        <w:numId w:val="23"/>
      </w:numPr>
      <w:overflowPunct w:val="0"/>
      <w:autoSpaceDE w:val="0"/>
      <w:autoSpaceDN w:val="0"/>
      <w:adjustRightInd w:val="0"/>
      <w:spacing w:line="480" w:lineRule="auto"/>
      <w:ind w:right="-180"/>
      <w:jc w:val="center"/>
      <w:textAlignment w:val="baseline"/>
      <w:outlineLvl w:val="5"/>
    </w:pPr>
    <w:rPr>
      <w:rFonts w:ascii="Arial" w:hAnsi="Arial"/>
      <w:i/>
      <w:szCs w:val="20"/>
    </w:rPr>
  </w:style>
  <w:style w:type="paragraph" w:styleId="Heading7">
    <w:name w:val="heading 7"/>
    <w:basedOn w:val="Normal"/>
    <w:next w:val="Normal"/>
    <w:link w:val="Heading7Char"/>
    <w:qFormat/>
    <w:rsid w:val="0015577B"/>
    <w:pPr>
      <w:keepNext/>
      <w:numPr>
        <w:ilvl w:val="6"/>
        <w:numId w:val="23"/>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qFormat/>
    <w:rsid w:val="0015577B"/>
    <w:pPr>
      <w:keepNext/>
      <w:numPr>
        <w:ilvl w:val="7"/>
        <w:numId w:val="23"/>
      </w:numPr>
      <w:overflowPunct w:val="0"/>
      <w:autoSpaceDE w:val="0"/>
      <w:autoSpaceDN w:val="0"/>
      <w:adjustRightInd w:val="0"/>
      <w:spacing w:line="480" w:lineRule="auto"/>
      <w:ind w:right="-187"/>
      <w:jc w:val="center"/>
      <w:textAlignment w:val="baseline"/>
      <w:outlineLvl w:val="7"/>
    </w:pPr>
    <w:rPr>
      <w:rFonts w:ascii="Arial" w:hAnsi="Arial"/>
      <w:szCs w:val="20"/>
    </w:rPr>
  </w:style>
  <w:style w:type="paragraph" w:styleId="Heading9">
    <w:name w:val="heading 9"/>
    <w:basedOn w:val="Normal"/>
    <w:next w:val="Normal"/>
    <w:link w:val="Heading9Char"/>
    <w:qFormat/>
    <w:rsid w:val="0015577B"/>
    <w:pPr>
      <w:keepNext/>
      <w:numPr>
        <w:ilvl w:val="8"/>
        <w:numId w:val="23"/>
      </w:numPr>
      <w:overflowPunct w:val="0"/>
      <w:autoSpaceDE w:val="0"/>
      <w:autoSpaceDN w:val="0"/>
      <w:adjustRightInd w:val="0"/>
      <w:spacing w:line="480" w:lineRule="auto"/>
      <w:ind w:right="-187"/>
      <w:jc w:val="center"/>
      <w:textAlignment w:val="baseline"/>
      <w:outlineLvl w:val="8"/>
    </w:pPr>
    <w:rPr>
      <w:rFonts w:ascii="Arial" w:hAnsi="Arial"/>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00B7F"/>
    <w:rPr>
      <w:rFonts w:cs="Arial"/>
      <w:b/>
      <w:bCs/>
      <w:kern w:val="32"/>
      <w:sz w:val="24"/>
      <w:szCs w:val="32"/>
    </w:rPr>
  </w:style>
  <w:style w:type="character" w:customStyle="1" w:styleId="Heading2Char">
    <w:name w:val="Heading 2 Char"/>
    <w:link w:val="Heading2"/>
    <w:locked/>
    <w:rsid w:val="00590FDC"/>
    <w:rPr>
      <w:sz w:val="22"/>
      <w:szCs w:val="24"/>
    </w:rPr>
  </w:style>
  <w:style w:type="character" w:customStyle="1" w:styleId="Heading3Char">
    <w:name w:val="Heading 3 Char"/>
    <w:link w:val="Heading3"/>
    <w:locked/>
    <w:rsid w:val="00590FDC"/>
    <w:rPr>
      <w:sz w:val="22"/>
      <w:szCs w:val="24"/>
    </w:rPr>
  </w:style>
  <w:style w:type="character" w:customStyle="1" w:styleId="Heading4Char">
    <w:name w:val="Heading 4 Char"/>
    <w:link w:val="Heading4"/>
    <w:semiHidden/>
    <w:locked/>
    <w:rsid w:val="0015577B"/>
    <w:rPr>
      <w:b/>
      <w:bCs/>
      <w:sz w:val="28"/>
      <w:szCs w:val="28"/>
      <w:lang w:val="en-US" w:eastAsia="en-US" w:bidi="ar-SA"/>
    </w:rPr>
  </w:style>
  <w:style w:type="character" w:customStyle="1" w:styleId="Heading5Char">
    <w:name w:val="Heading 5 Char"/>
    <w:link w:val="Heading5"/>
    <w:semiHidden/>
    <w:locked/>
    <w:rsid w:val="0015577B"/>
    <w:rPr>
      <w:rFonts w:ascii="Arial" w:hAnsi="Arial"/>
      <w:sz w:val="24"/>
      <w:lang w:val="en-US" w:eastAsia="en-US" w:bidi="ar-SA"/>
    </w:rPr>
  </w:style>
  <w:style w:type="character" w:customStyle="1" w:styleId="Heading6Char">
    <w:name w:val="Heading 6 Char"/>
    <w:link w:val="Heading6"/>
    <w:semiHidden/>
    <w:locked/>
    <w:rsid w:val="0015577B"/>
    <w:rPr>
      <w:rFonts w:ascii="Arial" w:hAnsi="Arial"/>
      <w:i/>
      <w:sz w:val="24"/>
      <w:lang w:val="en-US" w:eastAsia="en-US" w:bidi="ar-SA"/>
    </w:rPr>
  </w:style>
  <w:style w:type="character" w:customStyle="1" w:styleId="Heading7Char">
    <w:name w:val="Heading 7 Char"/>
    <w:link w:val="Heading7"/>
    <w:semiHidden/>
    <w:locked/>
    <w:rsid w:val="0015577B"/>
    <w:rPr>
      <w:b/>
      <w:sz w:val="24"/>
      <w:lang w:val="en-US" w:eastAsia="en-US" w:bidi="ar-SA"/>
    </w:rPr>
  </w:style>
  <w:style w:type="character" w:customStyle="1" w:styleId="Heading8Char">
    <w:name w:val="Heading 8 Char"/>
    <w:link w:val="Heading8"/>
    <w:semiHidden/>
    <w:locked/>
    <w:rsid w:val="0015577B"/>
    <w:rPr>
      <w:rFonts w:ascii="Arial" w:hAnsi="Arial"/>
      <w:sz w:val="24"/>
      <w:lang w:val="en-US" w:eastAsia="en-US" w:bidi="ar-SA"/>
    </w:rPr>
  </w:style>
  <w:style w:type="character" w:customStyle="1" w:styleId="Heading9Char">
    <w:name w:val="Heading 9 Char"/>
    <w:link w:val="Heading9"/>
    <w:semiHidden/>
    <w:locked/>
    <w:rsid w:val="0015577B"/>
    <w:rPr>
      <w:rFonts w:ascii="Arial" w:hAnsi="Arial"/>
      <w:i/>
      <w:sz w:val="24"/>
      <w:lang w:val="en-US" w:eastAsia="en-US" w:bidi="ar-SA"/>
    </w:rPr>
  </w:style>
  <w:style w:type="paragraph" w:styleId="FootnoteText">
    <w:name w:val="footnote text"/>
    <w:basedOn w:val="Normal"/>
    <w:link w:val="FootnoteTextChar"/>
    <w:rsid w:val="00624931"/>
    <w:rPr>
      <w:sz w:val="20"/>
      <w:szCs w:val="20"/>
    </w:rPr>
  </w:style>
  <w:style w:type="character" w:customStyle="1" w:styleId="FootnoteTextChar">
    <w:name w:val="Footnote Text Char"/>
    <w:link w:val="FootnoteText"/>
    <w:locked/>
    <w:rsid w:val="0015577B"/>
    <w:rPr>
      <w:lang w:val="en-US" w:eastAsia="en-US" w:bidi="ar-SA"/>
    </w:rPr>
  </w:style>
  <w:style w:type="character" w:styleId="FootnoteReference">
    <w:name w:val="footnote reference"/>
    <w:rsid w:val="00624931"/>
    <w:rPr>
      <w:vertAlign w:val="superscript"/>
    </w:rPr>
  </w:style>
  <w:style w:type="character" w:styleId="Hyperlink">
    <w:name w:val="Hyperlink"/>
    <w:rsid w:val="00252217"/>
    <w:rPr>
      <w:color w:val="0000FF"/>
      <w:u w:val="single"/>
    </w:rPr>
  </w:style>
  <w:style w:type="paragraph" w:styleId="Header">
    <w:name w:val="header"/>
    <w:basedOn w:val="Normal"/>
    <w:link w:val="HeaderChar"/>
    <w:rsid w:val="004711A3"/>
    <w:pPr>
      <w:tabs>
        <w:tab w:val="center" w:pos="4320"/>
        <w:tab w:val="right" w:pos="8640"/>
      </w:tabs>
    </w:pPr>
  </w:style>
  <w:style w:type="character" w:customStyle="1" w:styleId="HeaderChar">
    <w:name w:val="Header Char"/>
    <w:link w:val="Header"/>
    <w:semiHidden/>
    <w:locked/>
    <w:rsid w:val="0015577B"/>
    <w:rPr>
      <w:sz w:val="24"/>
      <w:szCs w:val="24"/>
      <w:lang w:val="en-US" w:eastAsia="en-US" w:bidi="ar-SA"/>
    </w:rPr>
  </w:style>
  <w:style w:type="paragraph" w:styleId="Footer">
    <w:name w:val="footer"/>
    <w:basedOn w:val="Normal"/>
    <w:link w:val="FooterChar"/>
    <w:uiPriority w:val="99"/>
    <w:rsid w:val="004711A3"/>
    <w:pPr>
      <w:tabs>
        <w:tab w:val="center" w:pos="4320"/>
        <w:tab w:val="right" w:pos="8640"/>
      </w:tabs>
    </w:pPr>
  </w:style>
  <w:style w:type="character" w:customStyle="1" w:styleId="FooterChar">
    <w:name w:val="Footer Char"/>
    <w:link w:val="Footer"/>
    <w:uiPriority w:val="99"/>
    <w:locked/>
    <w:rsid w:val="0015577B"/>
    <w:rPr>
      <w:sz w:val="24"/>
      <w:szCs w:val="24"/>
      <w:lang w:val="en-US" w:eastAsia="en-US" w:bidi="ar-SA"/>
    </w:rPr>
  </w:style>
  <w:style w:type="character" w:styleId="PageNumber">
    <w:name w:val="page number"/>
    <w:basedOn w:val="DefaultParagraphFont"/>
    <w:rsid w:val="004711A3"/>
  </w:style>
  <w:style w:type="paragraph" w:customStyle="1" w:styleId="c1">
    <w:name w:val="c1"/>
    <w:basedOn w:val="Normal"/>
    <w:rsid w:val="00605BB1"/>
    <w:pPr>
      <w:widowControl w:val="0"/>
      <w:autoSpaceDE w:val="0"/>
      <w:autoSpaceDN w:val="0"/>
      <w:adjustRightInd w:val="0"/>
      <w:jc w:val="center"/>
    </w:pPr>
    <w:rPr>
      <w:sz w:val="26"/>
    </w:rPr>
  </w:style>
  <w:style w:type="paragraph" w:customStyle="1" w:styleId="p3">
    <w:name w:val="p3"/>
    <w:basedOn w:val="Normal"/>
    <w:rsid w:val="00605BB1"/>
    <w:pPr>
      <w:widowControl w:val="0"/>
      <w:tabs>
        <w:tab w:val="left" w:pos="204"/>
      </w:tabs>
      <w:autoSpaceDE w:val="0"/>
      <w:autoSpaceDN w:val="0"/>
      <w:adjustRightInd w:val="0"/>
    </w:pPr>
    <w:rPr>
      <w:sz w:val="26"/>
    </w:rPr>
  </w:style>
  <w:style w:type="paragraph" w:customStyle="1" w:styleId="p6">
    <w:name w:val="p6"/>
    <w:basedOn w:val="Normal"/>
    <w:rsid w:val="00605BB1"/>
    <w:pPr>
      <w:widowControl w:val="0"/>
      <w:autoSpaceDE w:val="0"/>
      <w:autoSpaceDN w:val="0"/>
      <w:adjustRightInd w:val="0"/>
      <w:ind w:firstLine="742"/>
    </w:pPr>
    <w:rPr>
      <w:sz w:val="26"/>
    </w:rPr>
  </w:style>
  <w:style w:type="paragraph" w:customStyle="1" w:styleId="p8">
    <w:name w:val="p8"/>
    <w:basedOn w:val="Normal"/>
    <w:rsid w:val="00605BB1"/>
    <w:pPr>
      <w:widowControl w:val="0"/>
      <w:tabs>
        <w:tab w:val="left" w:pos="204"/>
      </w:tabs>
      <w:autoSpaceDE w:val="0"/>
      <w:autoSpaceDN w:val="0"/>
      <w:adjustRightInd w:val="0"/>
    </w:pPr>
    <w:rPr>
      <w:sz w:val="26"/>
    </w:rPr>
  </w:style>
  <w:style w:type="paragraph" w:customStyle="1" w:styleId="c9">
    <w:name w:val="c9"/>
    <w:basedOn w:val="Normal"/>
    <w:rsid w:val="00605BB1"/>
    <w:pPr>
      <w:widowControl w:val="0"/>
      <w:autoSpaceDE w:val="0"/>
      <w:autoSpaceDN w:val="0"/>
      <w:adjustRightInd w:val="0"/>
      <w:jc w:val="center"/>
    </w:pPr>
    <w:rPr>
      <w:sz w:val="26"/>
    </w:rPr>
  </w:style>
  <w:style w:type="paragraph" w:customStyle="1" w:styleId="c10">
    <w:name w:val="c10"/>
    <w:basedOn w:val="Normal"/>
    <w:rsid w:val="00605BB1"/>
    <w:pPr>
      <w:widowControl w:val="0"/>
      <w:autoSpaceDE w:val="0"/>
      <w:autoSpaceDN w:val="0"/>
      <w:adjustRightInd w:val="0"/>
      <w:jc w:val="center"/>
    </w:pPr>
    <w:rPr>
      <w:sz w:val="26"/>
    </w:rPr>
  </w:style>
  <w:style w:type="paragraph" w:customStyle="1" w:styleId="p13">
    <w:name w:val="p13"/>
    <w:basedOn w:val="Normal"/>
    <w:rsid w:val="00605BB1"/>
    <w:pPr>
      <w:widowControl w:val="0"/>
      <w:tabs>
        <w:tab w:val="left" w:pos="742"/>
        <w:tab w:val="left" w:pos="1451"/>
      </w:tabs>
      <w:autoSpaceDE w:val="0"/>
      <w:autoSpaceDN w:val="0"/>
      <w:adjustRightInd w:val="0"/>
      <w:ind w:left="742" w:firstLine="709"/>
    </w:pPr>
    <w:rPr>
      <w:sz w:val="26"/>
    </w:rPr>
  </w:style>
  <w:style w:type="paragraph" w:customStyle="1" w:styleId="p14">
    <w:name w:val="p14"/>
    <w:basedOn w:val="Normal"/>
    <w:rsid w:val="00605BB1"/>
    <w:pPr>
      <w:widowControl w:val="0"/>
      <w:tabs>
        <w:tab w:val="left" w:pos="204"/>
      </w:tabs>
      <w:autoSpaceDE w:val="0"/>
      <w:autoSpaceDN w:val="0"/>
      <w:adjustRightInd w:val="0"/>
    </w:pPr>
    <w:rPr>
      <w:sz w:val="26"/>
    </w:rPr>
  </w:style>
  <w:style w:type="paragraph" w:customStyle="1" w:styleId="p15">
    <w:name w:val="p15"/>
    <w:basedOn w:val="Normal"/>
    <w:rsid w:val="00605BB1"/>
    <w:pPr>
      <w:widowControl w:val="0"/>
      <w:tabs>
        <w:tab w:val="left" w:pos="204"/>
      </w:tabs>
      <w:autoSpaceDE w:val="0"/>
      <w:autoSpaceDN w:val="0"/>
      <w:adjustRightInd w:val="0"/>
    </w:pPr>
    <w:rPr>
      <w:sz w:val="26"/>
    </w:rPr>
  </w:style>
  <w:style w:type="paragraph" w:customStyle="1" w:styleId="p17">
    <w:name w:val="p17"/>
    <w:basedOn w:val="Normal"/>
    <w:rsid w:val="00605BB1"/>
    <w:pPr>
      <w:widowControl w:val="0"/>
      <w:tabs>
        <w:tab w:val="left" w:pos="5057"/>
      </w:tabs>
      <w:autoSpaceDE w:val="0"/>
      <w:autoSpaceDN w:val="0"/>
      <w:adjustRightInd w:val="0"/>
      <w:ind w:left="3617"/>
    </w:pPr>
    <w:rPr>
      <w:sz w:val="26"/>
    </w:rPr>
  </w:style>
  <w:style w:type="paragraph" w:customStyle="1" w:styleId="p18">
    <w:name w:val="p18"/>
    <w:basedOn w:val="Normal"/>
    <w:rsid w:val="00605BB1"/>
    <w:pPr>
      <w:widowControl w:val="0"/>
      <w:tabs>
        <w:tab w:val="left" w:pos="5062"/>
      </w:tabs>
      <w:autoSpaceDE w:val="0"/>
      <w:autoSpaceDN w:val="0"/>
      <w:adjustRightInd w:val="0"/>
      <w:ind w:left="3622"/>
    </w:pPr>
    <w:rPr>
      <w:sz w:val="26"/>
    </w:rPr>
  </w:style>
  <w:style w:type="paragraph" w:customStyle="1" w:styleId="StyleCentered">
    <w:name w:val="Style Centered"/>
    <w:basedOn w:val="Normal"/>
    <w:rsid w:val="00605BB1"/>
    <w:pPr>
      <w:overflowPunct w:val="0"/>
      <w:autoSpaceDE w:val="0"/>
      <w:autoSpaceDN w:val="0"/>
      <w:adjustRightInd w:val="0"/>
      <w:jc w:val="center"/>
      <w:textAlignment w:val="baseline"/>
    </w:pPr>
    <w:rPr>
      <w:sz w:val="26"/>
    </w:rPr>
  </w:style>
  <w:style w:type="character" w:styleId="FollowedHyperlink">
    <w:name w:val="FollowedHyperlink"/>
    <w:rsid w:val="00605BB1"/>
    <w:rPr>
      <w:color w:val="800080"/>
      <w:u w:val="single"/>
    </w:rPr>
  </w:style>
  <w:style w:type="paragraph" w:styleId="TOC1">
    <w:name w:val="toc 1"/>
    <w:basedOn w:val="Normal"/>
    <w:next w:val="Normal"/>
    <w:semiHidden/>
    <w:rsid w:val="0015577B"/>
    <w:pPr>
      <w:overflowPunct w:val="0"/>
      <w:autoSpaceDE w:val="0"/>
      <w:autoSpaceDN w:val="0"/>
      <w:adjustRightInd w:val="0"/>
      <w:textAlignment w:val="baseline"/>
    </w:pPr>
    <w:rPr>
      <w:b/>
      <w:sz w:val="26"/>
      <w:szCs w:val="20"/>
    </w:rPr>
  </w:style>
  <w:style w:type="paragraph" w:styleId="TOC2">
    <w:name w:val="toc 2"/>
    <w:basedOn w:val="Normal"/>
    <w:next w:val="Normal"/>
    <w:semiHidden/>
    <w:rsid w:val="0015577B"/>
    <w:pPr>
      <w:overflowPunct w:val="0"/>
      <w:autoSpaceDE w:val="0"/>
      <w:autoSpaceDN w:val="0"/>
      <w:adjustRightInd w:val="0"/>
      <w:ind w:left="240"/>
      <w:textAlignment w:val="baseline"/>
    </w:pPr>
    <w:rPr>
      <w:sz w:val="22"/>
      <w:szCs w:val="20"/>
    </w:rPr>
  </w:style>
  <w:style w:type="paragraph" w:styleId="TOC3">
    <w:name w:val="toc 3"/>
    <w:basedOn w:val="Normal"/>
    <w:next w:val="Normal"/>
    <w:semiHidden/>
    <w:rsid w:val="0015577B"/>
    <w:pPr>
      <w:overflowPunct w:val="0"/>
      <w:autoSpaceDE w:val="0"/>
      <w:autoSpaceDN w:val="0"/>
      <w:adjustRightInd w:val="0"/>
      <w:ind w:left="480"/>
      <w:textAlignment w:val="baseline"/>
    </w:pPr>
    <w:rPr>
      <w:i/>
      <w:sz w:val="22"/>
      <w:szCs w:val="20"/>
    </w:rPr>
  </w:style>
  <w:style w:type="paragraph" w:styleId="TOC4">
    <w:name w:val="toc 4"/>
    <w:basedOn w:val="Normal"/>
    <w:next w:val="Normal"/>
    <w:semiHidden/>
    <w:rsid w:val="0015577B"/>
    <w:pPr>
      <w:overflowPunct w:val="0"/>
      <w:autoSpaceDE w:val="0"/>
      <w:autoSpaceDN w:val="0"/>
      <w:adjustRightInd w:val="0"/>
      <w:ind w:left="720"/>
      <w:textAlignment w:val="baseline"/>
    </w:pPr>
    <w:rPr>
      <w:szCs w:val="20"/>
    </w:rPr>
  </w:style>
  <w:style w:type="paragraph" w:styleId="BodyText2">
    <w:name w:val="Body Text 2"/>
    <w:basedOn w:val="Normal"/>
    <w:link w:val="BodyText2Char"/>
    <w:rsid w:val="0015577B"/>
    <w:pPr>
      <w:overflowPunct w:val="0"/>
      <w:autoSpaceDE w:val="0"/>
      <w:autoSpaceDN w:val="0"/>
      <w:adjustRightInd w:val="0"/>
      <w:textAlignment w:val="baseline"/>
    </w:pPr>
    <w:rPr>
      <w:szCs w:val="20"/>
    </w:rPr>
  </w:style>
  <w:style w:type="character" w:customStyle="1" w:styleId="BodyText2Char">
    <w:name w:val="Body Text 2 Char"/>
    <w:link w:val="BodyText2"/>
    <w:semiHidden/>
    <w:locked/>
    <w:rsid w:val="0015577B"/>
    <w:rPr>
      <w:sz w:val="24"/>
      <w:lang w:val="en-US" w:eastAsia="en-US" w:bidi="ar-SA"/>
    </w:rPr>
  </w:style>
  <w:style w:type="paragraph" w:styleId="BodyText3">
    <w:name w:val="Body Text 3"/>
    <w:basedOn w:val="Normal"/>
    <w:link w:val="BodyText3Char"/>
    <w:rsid w:val="0015577B"/>
    <w:pPr>
      <w:overflowPunct w:val="0"/>
      <w:autoSpaceDE w:val="0"/>
      <w:autoSpaceDN w:val="0"/>
      <w:adjustRightInd w:val="0"/>
      <w:spacing w:after="120"/>
      <w:textAlignment w:val="baseline"/>
    </w:pPr>
    <w:rPr>
      <w:szCs w:val="20"/>
    </w:rPr>
  </w:style>
  <w:style w:type="character" w:customStyle="1" w:styleId="BodyText3Char">
    <w:name w:val="Body Text 3 Char"/>
    <w:link w:val="BodyText3"/>
    <w:semiHidden/>
    <w:locked/>
    <w:rsid w:val="0015577B"/>
    <w:rPr>
      <w:sz w:val="24"/>
      <w:lang w:val="en-US" w:eastAsia="en-US" w:bidi="ar-SA"/>
    </w:rPr>
  </w:style>
  <w:style w:type="paragraph" w:styleId="BodyText">
    <w:name w:val="Body Text"/>
    <w:basedOn w:val="Normal"/>
    <w:link w:val="BodyTextChar"/>
    <w:rsid w:val="0015577B"/>
    <w:pPr>
      <w:overflowPunct w:val="0"/>
      <w:autoSpaceDE w:val="0"/>
      <w:autoSpaceDN w:val="0"/>
      <w:adjustRightInd w:val="0"/>
      <w:spacing w:line="480" w:lineRule="auto"/>
      <w:textAlignment w:val="baseline"/>
    </w:pPr>
    <w:rPr>
      <w:rFonts w:ascii="Arial" w:hAnsi="Arial"/>
      <w:szCs w:val="20"/>
    </w:rPr>
  </w:style>
  <w:style w:type="character" w:customStyle="1" w:styleId="BodyTextChar">
    <w:name w:val="Body Text Char"/>
    <w:link w:val="BodyText"/>
    <w:semiHidden/>
    <w:locked/>
    <w:rsid w:val="0015577B"/>
    <w:rPr>
      <w:rFonts w:ascii="Arial" w:hAnsi="Arial"/>
      <w:sz w:val="24"/>
      <w:lang w:val="en-US" w:eastAsia="en-US" w:bidi="ar-SA"/>
    </w:rPr>
  </w:style>
  <w:style w:type="character" w:styleId="Strong">
    <w:name w:val="Strong"/>
    <w:qFormat/>
    <w:rsid w:val="0015577B"/>
    <w:rPr>
      <w:rFonts w:cs="Times New Roman"/>
      <w:b/>
      <w:bCs/>
    </w:rPr>
  </w:style>
  <w:style w:type="paragraph" w:styleId="BodyTextIndent">
    <w:name w:val="Body Text Indent"/>
    <w:basedOn w:val="Normal"/>
    <w:link w:val="BodyTextIndentChar"/>
    <w:rsid w:val="0015577B"/>
    <w:pPr>
      <w:ind w:left="1440" w:firstLine="60"/>
    </w:pPr>
  </w:style>
  <w:style w:type="character" w:customStyle="1" w:styleId="BodyTextIndentChar">
    <w:name w:val="Body Text Indent Char"/>
    <w:link w:val="BodyTextIndent"/>
    <w:semiHidden/>
    <w:locked/>
    <w:rsid w:val="0015577B"/>
    <w:rPr>
      <w:sz w:val="24"/>
      <w:szCs w:val="24"/>
      <w:lang w:val="en-US" w:eastAsia="en-US" w:bidi="ar-SA"/>
    </w:rPr>
  </w:style>
  <w:style w:type="paragraph" w:styleId="Title">
    <w:name w:val="Title"/>
    <w:basedOn w:val="Normal"/>
    <w:link w:val="TitleChar"/>
    <w:qFormat/>
    <w:rsid w:val="0015577B"/>
    <w:pPr>
      <w:jc w:val="center"/>
    </w:pPr>
    <w:rPr>
      <w:b/>
      <w:szCs w:val="20"/>
    </w:rPr>
  </w:style>
  <w:style w:type="character" w:customStyle="1" w:styleId="TitleChar">
    <w:name w:val="Title Char"/>
    <w:link w:val="Title"/>
    <w:locked/>
    <w:rsid w:val="0015577B"/>
    <w:rPr>
      <w:b/>
      <w:sz w:val="24"/>
      <w:lang w:val="en-US" w:eastAsia="en-US" w:bidi="ar-SA"/>
    </w:rPr>
  </w:style>
  <w:style w:type="paragraph" w:styleId="BodyTextIndent2">
    <w:name w:val="Body Text Indent 2"/>
    <w:basedOn w:val="Normal"/>
    <w:link w:val="BodyTextIndent2Char"/>
    <w:rsid w:val="0015577B"/>
    <w:pPr>
      <w:overflowPunct w:val="0"/>
      <w:autoSpaceDE w:val="0"/>
      <w:autoSpaceDN w:val="0"/>
      <w:adjustRightInd w:val="0"/>
      <w:ind w:left="720"/>
      <w:textAlignment w:val="baseline"/>
    </w:pPr>
    <w:rPr>
      <w:color w:val="FF0000"/>
      <w:szCs w:val="20"/>
    </w:rPr>
  </w:style>
  <w:style w:type="character" w:customStyle="1" w:styleId="BodyTextIndent2Char">
    <w:name w:val="Body Text Indent 2 Char"/>
    <w:link w:val="BodyTextIndent2"/>
    <w:semiHidden/>
    <w:locked/>
    <w:rsid w:val="0015577B"/>
    <w:rPr>
      <w:color w:val="FF0000"/>
      <w:sz w:val="24"/>
      <w:lang w:val="en-US" w:eastAsia="en-US" w:bidi="ar-SA"/>
    </w:rPr>
  </w:style>
  <w:style w:type="paragraph" w:customStyle="1" w:styleId="font0">
    <w:name w:val="font0"/>
    <w:basedOn w:val="Normal"/>
    <w:rsid w:val="0015577B"/>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15577B"/>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15577B"/>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15577B"/>
    <w:pPr>
      <w:spacing w:before="100" w:beforeAutospacing="1" w:after="100" w:afterAutospacing="1"/>
    </w:pPr>
    <w:rPr>
      <w:rFonts w:ascii="Arial" w:eastAsia="Arial Unicode MS" w:hAnsi="Arial" w:cs="Arial"/>
      <w:i/>
      <w:iCs/>
      <w:sz w:val="20"/>
      <w:szCs w:val="20"/>
    </w:rPr>
  </w:style>
  <w:style w:type="paragraph" w:customStyle="1" w:styleId="font8">
    <w:name w:val="font8"/>
    <w:basedOn w:val="Normal"/>
    <w:rsid w:val="0015577B"/>
    <w:pPr>
      <w:spacing w:before="100" w:beforeAutospacing="1" w:after="100" w:afterAutospacing="1"/>
    </w:pPr>
    <w:rPr>
      <w:rFonts w:ascii="Arial" w:eastAsia="Arial Unicode MS" w:hAnsi="Arial" w:cs="Arial"/>
      <w:b/>
      <w:bCs/>
      <w:sz w:val="16"/>
      <w:szCs w:val="16"/>
    </w:rPr>
  </w:style>
  <w:style w:type="paragraph" w:customStyle="1" w:styleId="xl24">
    <w:name w:val="xl24"/>
    <w:basedOn w:val="Normal"/>
    <w:rsid w:val="0015577B"/>
    <w:pPr>
      <w:pBdr>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15577B"/>
    <w:pPr>
      <w:spacing w:before="100" w:beforeAutospacing="1" w:after="100" w:afterAutospacing="1"/>
    </w:pPr>
    <w:rPr>
      <w:rFonts w:ascii="Arial" w:eastAsia="Arial Unicode MS" w:hAnsi="Arial" w:cs="Arial"/>
    </w:rPr>
  </w:style>
  <w:style w:type="paragraph" w:customStyle="1" w:styleId="xl26">
    <w:name w:val="xl26"/>
    <w:basedOn w:val="Normal"/>
    <w:rsid w:val="0015577B"/>
    <w:pPr>
      <w:pBdr>
        <w:right w:val="single" w:sz="4" w:space="0" w:color="auto"/>
      </w:pBdr>
      <w:spacing w:before="100" w:beforeAutospacing="1" w:after="100" w:afterAutospacing="1"/>
    </w:pPr>
    <w:rPr>
      <w:rFonts w:ascii="Arial" w:eastAsia="Arial Unicode MS" w:hAnsi="Arial" w:cs="Arial"/>
    </w:rPr>
  </w:style>
  <w:style w:type="paragraph" w:customStyle="1" w:styleId="xl27">
    <w:name w:val="xl27"/>
    <w:basedOn w:val="Normal"/>
    <w:rsid w:val="0015577B"/>
    <w:pPr>
      <w:pBdr>
        <w:right w:val="single" w:sz="4" w:space="0" w:color="auto"/>
      </w:pBdr>
      <w:spacing w:before="100" w:beforeAutospacing="1" w:after="100" w:afterAutospacing="1"/>
    </w:pPr>
    <w:rPr>
      <w:rFonts w:ascii="Arial" w:eastAsia="Arial Unicode MS" w:hAnsi="Arial" w:cs="Arial"/>
      <w:i/>
      <w:iCs/>
    </w:rPr>
  </w:style>
  <w:style w:type="paragraph" w:customStyle="1" w:styleId="xl28">
    <w:name w:val="xl28"/>
    <w:basedOn w:val="Normal"/>
    <w:rsid w:val="0015577B"/>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5577B"/>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5577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15577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15577B"/>
    <w:pPr>
      <w:pBdr>
        <w:right w:val="single" w:sz="8"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5577B"/>
    <w:pPr>
      <w:pBdr>
        <w:right w:val="single" w:sz="8" w:space="0" w:color="auto"/>
      </w:pBdr>
      <w:spacing w:before="100" w:beforeAutospacing="1" w:after="100" w:afterAutospacing="1"/>
    </w:pPr>
    <w:rPr>
      <w:rFonts w:ascii="Arial" w:eastAsia="Arial Unicode MS" w:hAnsi="Arial" w:cs="Arial"/>
    </w:rPr>
  </w:style>
  <w:style w:type="paragraph" w:customStyle="1" w:styleId="xl34">
    <w:name w:val="xl34"/>
    <w:basedOn w:val="Normal"/>
    <w:rsid w:val="0015577B"/>
    <w:pPr>
      <w:pBdr>
        <w:right w:val="single" w:sz="8" w:space="0" w:color="auto"/>
      </w:pBdr>
      <w:spacing w:before="100" w:beforeAutospacing="1" w:after="100" w:afterAutospacing="1"/>
    </w:pPr>
    <w:rPr>
      <w:rFonts w:ascii="Arial" w:eastAsia="Arial Unicode MS" w:hAnsi="Arial" w:cs="Arial"/>
      <w:i/>
      <w:iCs/>
    </w:rPr>
  </w:style>
  <w:style w:type="paragraph" w:customStyle="1" w:styleId="xl35">
    <w:name w:val="xl35"/>
    <w:basedOn w:val="Normal"/>
    <w:rsid w:val="0015577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15577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15577B"/>
    <w:pPr>
      <w:pBdr>
        <w:top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15577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15577B"/>
    <w:pPr>
      <w:pBdr>
        <w:top w:val="single" w:sz="8"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0">
    <w:name w:val="xl40"/>
    <w:basedOn w:val="Normal"/>
    <w:rsid w:val="0015577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2">
    <w:name w:val="xl42"/>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44">
    <w:name w:val="xl44"/>
    <w:basedOn w:val="Normal"/>
    <w:rsid w:val="0015577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15577B"/>
    <w:pPr>
      <w:spacing w:before="100" w:beforeAutospacing="1" w:after="100" w:afterAutospacing="1"/>
      <w:jc w:val="right"/>
    </w:pPr>
    <w:rPr>
      <w:rFonts w:ascii="Arial" w:eastAsia="Arial Unicode MS" w:hAnsi="Arial" w:cs="Arial"/>
      <w:b/>
      <w:bCs/>
    </w:rPr>
  </w:style>
  <w:style w:type="paragraph" w:customStyle="1" w:styleId="xl46">
    <w:name w:val="xl46"/>
    <w:basedOn w:val="Normal"/>
    <w:rsid w:val="0015577B"/>
    <w:pPr>
      <w:pBdr>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15577B"/>
    <w:pPr>
      <w:pBdr>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8">
    <w:name w:val="xl48"/>
    <w:basedOn w:val="Normal"/>
    <w:rsid w:val="0015577B"/>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15577B"/>
    <w:pPr>
      <w:pBdr>
        <w:top w:val="single" w:sz="8" w:space="0" w:color="auto"/>
        <w:left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0">
    <w:name w:val="xl50"/>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1">
    <w:name w:val="xl51"/>
    <w:basedOn w:val="Normal"/>
    <w:rsid w:val="0015577B"/>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15577B"/>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rsid w:val="0015577B"/>
    <w:pPr>
      <w:overflowPunct w:val="0"/>
      <w:autoSpaceDE w:val="0"/>
      <w:autoSpaceDN w:val="0"/>
      <w:adjustRightInd w:val="0"/>
      <w:ind w:left="720"/>
      <w:textAlignment w:val="baseline"/>
    </w:pPr>
    <w:rPr>
      <w:szCs w:val="20"/>
    </w:rPr>
  </w:style>
  <w:style w:type="character" w:customStyle="1" w:styleId="BodyTextIndent3Char">
    <w:name w:val="Body Text Indent 3 Char"/>
    <w:link w:val="BodyTextIndent3"/>
    <w:semiHidden/>
    <w:locked/>
    <w:rsid w:val="0015577B"/>
    <w:rPr>
      <w:sz w:val="24"/>
      <w:lang w:val="en-US" w:eastAsia="en-US" w:bidi="ar-SA"/>
    </w:rPr>
  </w:style>
  <w:style w:type="character" w:styleId="LineNumber">
    <w:name w:val="line number"/>
    <w:rsid w:val="0015577B"/>
    <w:rPr>
      <w:rFonts w:cs="Times New Roman"/>
    </w:rPr>
  </w:style>
  <w:style w:type="character" w:customStyle="1" w:styleId="EmailStyle941">
    <w:name w:val="EmailStyle941"/>
    <w:rsid w:val="0015577B"/>
    <w:rPr>
      <w:rFonts w:ascii="Arial" w:hAnsi="Arial" w:cs="Arial"/>
      <w:color w:val="000000"/>
      <w:sz w:val="20"/>
    </w:rPr>
  </w:style>
  <w:style w:type="paragraph" w:styleId="BalloonText">
    <w:name w:val="Balloon Text"/>
    <w:basedOn w:val="Normal"/>
    <w:link w:val="BalloonTextChar"/>
    <w:semiHidden/>
    <w:rsid w:val="0015577B"/>
    <w:pPr>
      <w:overflowPunct w:val="0"/>
      <w:autoSpaceDE w:val="0"/>
      <w:autoSpaceDN w:val="0"/>
      <w:adjustRightInd w:val="0"/>
      <w:textAlignment w:val="baseline"/>
    </w:pPr>
    <w:rPr>
      <w:rFonts w:ascii="Tahoma" w:hAnsi="Tahoma" w:cs="Tahoma"/>
      <w:sz w:val="16"/>
      <w:szCs w:val="16"/>
    </w:rPr>
  </w:style>
  <w:style w:type="character" w:customStyle="1" w:styleId="BalloonTextChar">
    <w:name w:val="Balloon Text Char"/>
    <w:link w:val="BalloonText"/>
    <w:semiHidden/>
    <w:locked/>
    <w:rsid w:val="0015577B"/>
    <w:rPr>
      <w:rFonts w:ascii="Tahoma" w:hAnsi="Tahoma" w:cs="Tahoma"/>
      <w:sz w:val="16"/>
      <w:szCs w:val="16"/>
      <w:lang w:val="en-US" w:eastAsia="en-US" w:bidi="ar-SA"/>
    </w:rPr>
  </w:style>
  <w:style w:type="paragraph" w:styleId="CommentText">
    <w:name w:val="annotation text"/>
    <w:basedOn w:val="Normal"/>
    <w:link w:val="CommentTextChar"/>
    <w:uiPriority w:val="99"/>
    <w:rsid w:val="0015577B"/>
    <w:pPr>
      <w:overflowPunct w:val="0"/>
      <w:autoSpaceDE w:val="0"/>
      <w:autoSpaceDN w:val="0"/>
      <w:adjustRightInd w:val="0"/>
      <w:textAlignment w:val="baseline"/>
    </w:pPr>
    <w:rPr>
      <w:sz w:val="20"/>
      <w:szCs w:val="20"/>
    </w:rPr>
  </w:style>
  <w:style w:type="character" w:customStyle="1" w:styleId="CommentTextChar">
    <w:name w:val="Comment Text Char"/>
    <w:link w:val="CommentText"/>
    <w:uiPriority w:val="99"/>
    <w:locked/>
    <w:rsid w:val="0015577B"/>
    <w:rPr>
      <w:lang w:val="en-US" w:eastAsia="en-US" w:bidi="ar-SA"/>
    </w:rPr>
  </w:style>
  <w:style w:type="paragraph" w:styleId="CommentSubject">
    <w:name w:val="annotation subject"/>
    <w:basedOn w:val="CommentText"/>
    <w:next w:val="CommentText"/>
    <w:link w:val="CommentSubjectChar"/>
    <w:semiHidden/>
    <w:rsid w:val="0015577B"/>
    <w:rPr>
      <w:b/>
      <w:bCs/>
    </w:rPr>
  </w:style>
  <w:style w:type="character" w:customStyle="1" w:styleId="CommentSubjectChar">
    <w:name w:val="Comment Subject Char"/>
    <w:link w:val="CommentSubject"/>
    <w:semiHidden/>
    <w:locked/>
    <w:rsid w:val="0015577B"/>
    <w:rPr>
      <w:b/>
      <w:bCs/>
      <w:lang w:val="en-US" w:eastAsia="en-US" w:bidi="ar-SA"/>
    </w:rPr>
  </w:style>
  <w:style w:type="paragraph" w:styleId="ListBullet">
    <w:name w:val="List Bullet"/>
    <w:basedOn w:val="Normal"/>
    <w:rsid w:val="0015577B"/>
    <w:pPr>
      <w:numPr>
        <w:numId w:val="1"/>
      </w:numPr>
      <w:tabs>
        <w:tab w:val="clear" w:pos="720"/>
        <w:tab w:val="num" w:pos="360"/>
      </w:tabs>
      <w:overflowPunct w:val="0"/>
      <w:autoSpaceDE w:val="0"/>
      <w:autoSpaceDN w:val="0"/>
      <w:adjustRightInd w:val="0"/>
      <w:ind w:left="360"/>
      <w:textAlignment w:val="baseline"/>
    </w:pPr>
    <w:rPr>
      <w:szCs w:val="20"/>
    </w:rPr>
  </w:style>
  <w:style w:type="paragraph" w:styleId="MacroText">
    <w:name w:val="macro"/>
    <w:link w:val="MacroTextChar"/>
    <w:semiHidden/>
    <w:rsid w:val="0015577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semiHidden/>
    <w:locked/>
    <w:rsid w:val="0015577B"/>
    <w:rPr>
      <w:rFonts w:ascii="Arial" w:hAnsi="Arial"/>
      <w:lang w:val="en-US" w:eastAsia="en-US" w:bidi="ar-SA"/>
    </w:rPr>
  </w:style>
  <w:style w:type="paragraph" w:styleId="Caption">
    <w:name w:val="caption"/>
    <w:basedOn w:val="Normal"/>
    <w:next w:val="Normal"/>
    <w:qFormat/>
    <w:rsid w:val="0015577B"/>
    <w:pPr>
      <w:overflowPunct w:val="0"/>
      <w:autoSpaceDE w:val="0"/>
      <w:autoSpaceDN w:val="0"/>
      <w:adjustRightInd w:val="0"/>
      <w:spacing w:before="120" w:after="120"/>
      <w:textAlignment w:val="baseline"/>
    </w:pPr>
    <w:rPr>
      <w:b/>
      <w:bCs/>
      <w:sz w:val="20"/>
      <w:szCs w:val="20"/>
    </w:rPr>
  </w:style>
  <w:style w:type="character" w:customStyle="1" w:styleId="ChrisJoannides">
    <w:name w:val="Chris Joannides"/>
    <w:rsid w:val="005B0BCD"/>
    <w:rPr>
      <w:rFonts w:ascii="Arial" w:hAnsi="Arial" w:cs="Arial"/>
      <w:color w:val="000000"/>
      <w:sz w:val="20"/>
    </w:rPr>
  </w:style>
  <w:style w:type="paragraph" w:styleId="ListParagraph">
    <w:name w:val="List Paragraph"/>
    <w:basedOn w:val="Normal"/>
    <w:uiPriority w:val="34"/>
    <w:qFormat/>
    <w:rsid w:val="00CC38E9"/>
    <w:pPr>
      <w:ind w:left="720"/>
      <w:contextualSpacing/>
    </w:pPr>
  </w:style>
  <w:style w:type="table" w:styleId="TableGrid">
    <w:name w:val="Table Grid"/>
    <w:basedOn w:val="TableNormal"/>
    <w:uiPriority w:val="59"/>
    <w:rsid w:val="0058563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AC2DE7"/>
    <w:rPr>
      <w:sz w:val="16"/>
      <w:szCs w:val="16"/>
    </w:rPr>
  </w:style>
  <w:style w:type="character" w:customStyle="1" w:styleId="UnresolvedMention1">
    <w:name w:val="Unresolved Mention1"/>
    <w:uiPriority w:val="99"/>
    <w:semiHidden/>
    <w:unhideWhenUsed/>
    <w:rsid w:val="00F353C8"/>
    <w:rPr>
      <w:color w:val="605E5C"/>
      <w:shd w:val="clear" w:color="auto" w:fill="E1DFDD"/>
    </w:rPr>
  </w:style>
  <w:style w:type="paragraph" w:styleId="Revision">
    <w:name w:val="Revision"/>
    <w:hidden/>
    <w:uiPriority w:val="99"/>
    <w:semiHidden/>
    <w:rsid w:val="000223F7"/>
    <w:rPr>
      <w:sz w:val="24"/>
      <w:szCs w:val="24"/>
    </w:rPr>
  </w:style>
  <w:style w:type="character" w:customStyle="1" w:styleId="UnresolvedMention2">
    <w:name w:val="Unresolved Mention2"/>
    <w:basedOn w:val="DefaultParagraphFont"/>
    <w:uiPriority w:val="99"/>
    <w:semiHidden/>
    <w:unhideWhenUsed/>
    <w:rsid w:val="00814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062103">
      <w:bodyDiv w:val="1"/>
      <w:marLeft w:val="0"/>
      <w:marRight w:val="0"/>
      <w:marTop w:val="0"/>
      <w:marBottom w:val="0"/>
      <w:divBdr>
        <w:top w:val="none" w:sz="0" w:space="0" w:color="auto"/>
        <w:left w:val="none" w:sz="0" w:space="0" w:color="auto"/>
        <w:bottom w:val="none" w:sz="0" w:space="0" w:color="auto"/>
        <w:right w:val="none" w:sz="0" w:space="0" w:color="auto"/>
      </w:divBdr>
    </w:div>
    <w:div w:id="759257729">
      <w:bodyDiv w:val="1"/>
      <w:marLeft w:val="0"/>
      <w:marRight w:val="0"/>
      <w:marTop w:val="0"/>
      <w:marBottom w:val="0"/>
      <w:divBdr>
        <w:top w:val="none" w:sz="0" w:space="0" w:color="auto"/>
        <w:left w:val="none" w:sz="0" w:space="0" w:color="auto"/>
        <w:bottom w:val="none" w:sz="0" w:space="0" w:color="auto"/>
        <w:right w:val="none" w:sz="0" w:space="0" w:color="auto"/>
      </w:divBdr>
    </w:div>
    <w:div w:id="17095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10.xlsx"/><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package" Target="embeddings/Microsoft_Excel_Worksheet5.xlsx"/><Relationship Id="rId41" Type="http://schemas.openxmlformats.org/officeDocument/2006/relationships/package" Target="embeddings/Microsoft_Excel_Worksheet11.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9.xlsx"/><Relationship Id="rId40"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package" Target="embeddings/Microsoft_Excel_Worksheet2.xls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webSettings" Target="webSettings.xml"/><Relationship Id="rId19" Type="http://schemas.openxmlformats.org/officeDocument/2006/relationships/package" Target="embeddings/Microsoft_Excel_Worksheet.xlsx"/><Relationship Id="rId31" Type="http://schemas.openxmlformats.org/officeDocument/2006/relationships/package" Target="embeddings/Microsoft_Excel_Worksheet6.xls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covage@pa.gov" TargetMode="External"/><Relationship Id="rId22" Type="http://schemas.openxmlformats.org/officeDocument/2006/relationships/image" Target="media/image5.emf"/><Relationship Id="rId27" Type="http://schemas.openxmlformats.org/officeDocument/2006/relationships/package" Target="embeddings/Microsoft_Excel_Worksheet4.xlsx"/><Relationship Id="rId30" Type="http://schemas.openxmlformats.org/officeDocument/2006/relationships/image" Target="media/image9.emf"/><Relationship Id="rId35" Type="http://schemas.openxmlformats.org/officeDocument/2006/relationships/package" Target="embeddings/Microsoft_Excel_Worksheet8.xlsx"/><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uc.state.pa.us/filing_resources/issues_laws_regulations/act_129_information/total_resource_cost_test.aspx" TargetMode="External"/><Relationship Id="rId2" Type="http://schemas.openxmlformats.org/officeDocument/2006/relationships/hyperlink" Target="http://www.puc.pa.gov/pcdocs/1648126.docx" TargetMode="External"/><Relationship Id="rId1" Type="http://schemas.openxmlformats.org/officeDocument/2006/relationships/hyperlink" Target="http://www.puc.state.pa.us/pcdocs/166698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A4E29-F02B-43AD-B1B2-2F80ABB86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164290-8C67-4505-912B-5239967E207E}">
  <ds:schemaRefs>
    <ds:schemaRef ds:uri="http://schemas.microsoft.com/sharepoint/events"/>
  </ds:schemaRefs>
</ds:datastoreItem>
</file>

<file path=customXml/itemProps3.xml><?xml version="1.0" encoding="utf-8"?>
<ds:datastoreItem xmlns:ds="http://schemas.openxmlformats.org/officeDocument/2006/customXml" ds:itemID="{346514D5-3A7B-4D74-B87A-3582C02D926B}">
  <ds:schemaRefs>
    <ds:schemaRef ds:uri="http://schemas.microsoft.com/sharepoint/v3/contenttype/forms"/>
  </ds:schemaRefs>
</ds:datastoreItem>
</file>

<file path=customXml/itemProps4.xml><?xml version="1.0" encoding="utf-8"?>
<ds:datastoreItem xmlns:ds="http://schemas.openxmlformats.org/officeDocument/2006/customXml" ds:itemID="{47DFD435-0956-4DBA-8E05-BF8AA0395FF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8CCB572-F011-48C5-8995-BF25CFD002F6}">
  <ds:schemaRefs>
    <ds:schemaRef ds:uri="http://schemas.microsoft.com/office/2006/metadata/longProperties"/>
  </ds:schemaRefs>
</ds:datastoreItem>
</file>

<file path=customXml/itemProps6.xml><?xml version="1.0" encoding="utf-8"?>
<ds:datastoreItem xmlns:ds="http://schemas.openxmlformats.org/officeDocument/2006/customXml" ds:itemID="{5F70D3F0-8024-4863-A13F-F9AABF0DE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6130</Words>
  <Characters>34946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Phase IV EE&amp;C Plan Template - v2</vt:lpstr>
    </vt:vector>
  </TitlesOfParts>
  <Company>PA Public Utility Commission</Company>
  <LinksUpToDate>false</LinksUpToDate>
  <CharactersWithSpaces>40995</CharactersWithSpaces>
  <SharedDoc>false</SharedDoc>
  <HLinks>
    <vt:vector size="42" baseType="variant">
      <vt:variant>
        <vt:i4>5570666</vt:i4>
      </vt:variant>
      <vt:variant>
        <vt:i4>6</vt:i4>
      </vt:variant>
      <vt:variant>
        <vt:i4>0</vt:i4>
      </vt:variant>
      <vt:variant>
        <vt:i4>5</vt:i4>
      </vt:variant>
      <vt:variant>
        <vt:lpwstr>mailto:kribrown@pa.gov</vt:lpwstr>
      </vt:variant>
      <vt:variant>
        <vt:lpwstr/>
      </vt:variant>
      <vt:variant>
        <vt:i4>5963902</vt:i4>
      </vt:variant>
      <vt:variant>
        <vt:i4>0</vt:i4>
      </vt:variant>
      <vt:variant>
        <vt:i4>0</vt:i4>
      </vt:variant>
      <vt:variant>
        <vt:i4>5</vt:i4>
      </vt:variant>
      <vt:variant>
        <vt:lpwstr>mailto:ccovage@pa.gov</vt:lpwstr>
      </vt:variant>
      <vt:variant>
        <vt:lpwstr/>
      </vt:variant>
      <vt:variant>
        <vt:i4>589917</vt:i4>
      </vt:variant>
      <vt:variant>
        <vt:i4>12</vt:i4>
      </vt:variant>
      <vt:variant>
        <vt:i4>0</vt:i4>
      </vt:variant>
      <vt:variant>
        <vt:i4>5</vt:i4>
      </vt:variant>
      <vt:variant>
        <vt:lpwstr>http://www.puc.state.pa.us/filing_resources/issues_laws_regulations/act_129_information/total_resource_cost_test.aspx</vt:lpwstr>
      </vt:variant>
      <vt:variant>
        <vt:lpwstr/>
      </vt:variant>
      <vt:variant>
        <vt:i4>2097259</vt:i4>
      </vt:variant>
      <vt:variant>
        <vt:i4>9</vt:i4>
      </vt:variant>
      <vt:variant>
        <vt:i4>0</vt:i4>
      </vt:variant>
      <vt:variant>
        <vt:i4>5</vt:i4>
      </vt:variant>
      <vt:variant>
        <vt:lpwstr>http://www.puc.pa.gov/efiling/default.aspx</vt:lpwstr>
      </vt:variant>
      <vt:variant>
        <vt:lpwstr/>
      </vt:variant>
      <vt:variant>
        <vt:i4>5898321</vt:i4>
      </vt:variant>
      <vt:variant>
        <vt:i4>6</vt:i4>
      </vt:variant>
      <vt:variant>
        <vt:i4>0</vt:i4>
      </vt:variant>
      <vt:variant>
        <vt:i4>5</vt:i4>
      </vt:variant>
      <vt:variant>
        <vt:lpwstr>http://www.puc.pa.gov/pcdocs/1372426.doc</vt:lpwstr>
      </vt:variant>
      <vt:variant>
        <vt:lpwstr/>
      </vt:variant>
      <vt:variant>
        <vt:i4>3866729</vt:i4>
      </vt:variant>
      <vt:variant>
        <vt:i4>0</vt:i4>
      </vt:variant>
      <vt:variant>
        <vt:i4>0</vt:i4>
      </vt:variant>
      <vt:variant>
        <vt:i4>5</vt:i4>
      </vt:variant>
      <vt:variant>
        <vt:lpwstr>http://www.puc.state.pa.us/pcdocs/1666981.docx</vt:lpwstr>
      </vt:variant>
      <vt:variant>
        <vt:lpwstr/>
      </vt:variant>
      <vt:variant>
        <vt:i4>589858</vt:i4>
      </vt:variant>
      <vt:variant>
        <vt:i4>0</vt:i4>
      </vt:variant>
      <vt:variant>
        <vt:i4>0</vt:i4>
      </vt:variant>
      <vt:variant>
        <vt:i4>5</vt:i4>
      </vt:variant>
      <vt:variant>
        <vt:lpwstr>http://www.puc.state.pa.us/electric/pdf/Act129/HB2200-Act129_Bill.pdf page 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IV EE&amp;C Plan Template - v2</dc:title>
  <dc:subject/>
  <dc:creator>megagood</dc:creator>
  <cp:keywords/>
  <cp:lastModifiedBy>Sheffer, Ryan</cp:lastModifiedBy>
  <cp:revision>3</cp:revision>
  <cp:lastPrinted>2012-09-26T13:26:00Z</cp:lastPrinted>
  <dcterms:created xsi:type="dcterms:W3CDTF">2020-09-08T19:16:00Z</dcterms:created>
  <dcterms:modified xsi:type="dcterms:W3CDTF">2020-09-09T16:46:00Z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J72333MUYW4V-895870458-32885</vt:lpwstr>
  </property>
  <property fmtid="{D5CDD505-2E9C-101B-9397-08002B2CF9AE}" pid="3" name="_dlc_DocIdItemGuid">
    <vt:lpwstr>68023bd1-fe6f-4831-94f0-a100d3b1788c</vt:lpwstr>
  </property>
  <property fmtid="{D5CDD505-2E9C-101B-9397-08002B2CF9AE}" pid="4" name="_dlc_DocIdUrl">
    <vt:lpwstr>https://nmrgroupinc.sharepoint.com/PAPUCSWE/_layouts/15/DocIdRedir.aspx?ID=J72333MUYW4V-895870458-32885, J72333MUYW4V-895870458-32885</vt:lpwstr>
  </property>
</Properties>
</file>