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A36B" w14:textId="77777777"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434A2C4B" w14:textId="77777777"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0F920CB8" w14:textId="77777777" w:rsidR="008142EA" w:rsidRPr="00861F1C" w:rsidRDefault="008142EA" w:rsidP="007D1126">
      <w:pPr>
        <w:tabs>
          <w:tab w:val="left" w:pos="-720"/>
        </w:tabs>
        <w:suppressAutoHyphens/>
        <w:rPr>
          <w:rFonts w:ascii="Times New Roman" w:hAnsi="Times New Roman" w:cs="Times New Roman"/>
          <w:spacing w:val="-3"/>
        </w:rPr>
      </w:pPr>
    </w:p>
    <w:p w14:paraId="70FEAFA7" w14:textId="77777777" w:rsidR="003764E8" w:rsidRDefault="003764E8" w:rsidP="007D1126">
      <w:pPr>
        <w:tabs>
          <w:tab w:val="left" w:pos="-720"/>
        </w:tabs>
        <w:suppressAutoHyphens/>
        <w:rPr>
          <w:rFonts w:ascii="Times New Roman" w:hAnsi="Times New Roman" w:cs="Times New Roman"/>
          <w:b/>
          <w:bCs/>
          <w:spacing w:val="-3"/>
        </w:rPr>
      </w:pPr>
    </w:p>
    <w:p w14:paraId="75A59E70" w14:textId="77777777" w:rsidR="008B3B7B" w:rsidRPr="00861F1C" w:rsidRDefault="008B3B7B" w:rsidP="007D1126">
      <w:pPr>
        <w:tabs>
          <w:tab w:val="left" w:pos="-720"/>
        </w:tabs>
        <w:suppressAutoHyphens/>
        <w:rPr>
          <w:rFonts w:ascii="Times New Roman" w:hAnsi="Times New Roman" w:cs="Times New Roman"/>
          <w:b/>
          <w:bCs/>
          <w:spacing w:val="-3"/>
        </w:rPr>
      </w:pPr>
    </w:p>
    <w:p w14:paraId="6DBC29CB" w14:textId="383940BC" w:rsidR="001859DA" w:rsidRPr="00B37AC0" w:rsidRDefault="001859DA" w:rsidP="001859DA">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669C3B5E"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129E7146" w14:textId="4A047139"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t>:</w:t>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sidR="008B3B7B">
        <w:rPr>
          <w:rFonts w:ascii="Times New Roman" w:hAnsi="Times New Roman"/>
          <w:spacing w:val="-3"/>
        </w:rPr>
        <w:tab/>
      </w:r>
      <w:r w:rsidR="00002839">
        <w:rPr>
          <w:rFonts w:ascii="Times New Roman" w:hAnsi="Times New Roman"/>
          <w:spacing w:val="-3"/>
        </w:rPr>
        <w:t>C-2020-3017229</w:t>
      </w:r>
    </w:p>
    <w:p w14:paraId="636C4206"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4B2DD7D7" w14:textId="057A350C" w:rsidR="001859DA" w:rsidRPr="00B37AC0" w:rsidRDefault="00002839" w:rsidP="001859DA">
      <w:pPr>
        <w:tabs>
          <w:tab w:val="left" w:pos="-720"/>
        </w:tabs>
        <w:suppressAutoHyphens/>
        <w:rPr>
          <w:rFonts w:ascii="Times New Roman" w:hAnsi="Times New Roman"/>
          <w:spacing w:val="-3"/>
        </w:rPr>
      </w:pPr>
      <w:r>
        <w:rPr>
          <w:rFonts w:ascii="Times New Roman" w:hAnsi="Times New Roman"/>
          <w:spacing w:val="-3"/>
        </w:rPr>
        <w:t>Verde Energy USA, Inc.</w:t>
      </w:r>
      <w:r w:rsidR="0024055B">
        <w:rPr>
          <w:rFonts w:ascii="Times New Roman" w:hAnsi="Times New Roman"/>
          <w:spacing w:val="-3"/>
        </w:rPr>
        <w:tab/>
      </w:r>
      <w:r w:rsidR="0024055B">
        <w:rPr>
          <w:rFonts w:ascii="Times New Roman" w:hAnsi="Times New Roman"/>
          <w:spacing w:val="-3"/>
        </w:rPr>
        <w:tab/>
      </w:r>
      <w:r w:rsidR="0024055B">
        <w:rPr>
          <w:rFonts w:ascii="Times New Roman" w:hAnsi="Times New Roman"/>
          <w:spacing w:val="-3"/>
        </w:rPr>
        <w:tab/>
      </w:r>
      <w:r w:rsidR="001859DA" w:rsidRPr="00B37AC0">
        <w:rPr>
          <w:rFonts w:ascii="Times New Roman" w:hAnsi="Times New Roman"/>
          <w:spacing w:val="-3"/>
        </w:rPr>
        <w:tab/>
        <w:t>:</w:t>
      </w:r>
    </w:p>
    <w:p w14:paraId="38BE3004" w14:textId="77777777" w:rsidR="001859DA" w:rsidRPr="00B37AC0" w:rsidRDefault="001859DA" w:rsidP="001859DA">
      <w:pPr>
        <w:pStyle w:val="ParaTab1"/>
        <w:tabs>
          <w:tab w:val="clear" w:pos="-720"/>
        </w:tabs>
        <w:ind w:firstLine="0"/>
        <w:jc w:val="center"/>
        <w:rPr>
          <w:rFonts w:ascii="Times New Roman" w:hAnsi="Times New Roman"/>
          <w:b/>
          <w:u w:val="single"/>
        </w:rPr>
      </w:pPr>
    </w:p>
    <w:p w14:paraId="7344EC48" w14:textId="77777777" w:rsidR="00D76DE1" w:rsidRDefault="00D76DE1" w:rsidP="00D76DE1">
      <w:pPr>
        <w:tabs>
          <w:tab w:val="center" w:pos="4680"/>
        </w:tabs>
        <w:jc w:val="center"/>
        <w:outlineLvl w:val="0"/>
        <w:rPr>
          <w:rFonts w:ascii="Times New Roman" w:hAnsi="Times New Roman"/>
          <w:b/>
          <w:u w:val="single"/>
        </w:rPr>
      </w:pPr>
    </w:p>
    <w:p w14:paraId="36297666" w14:textId="77777777" w:rsidR="008B3B7B" w:rsidRDefault="008B3B7B" w:rsidP="00D76DE1">
      <w:pPr>
        <w:tabs>
          <w:tab w:val="center" w:pos="4680"/>
        </w:tabs>
        <w:jc w:val="center"/>
        <w:outlineLvl w:val="0"/>
        <w:rPr>
          <w:rFonts w:ascii="Times New Roman" w:hAnsi="Times New Roman"/>
          <w:b/>
          <w:u w:val="single"/>
        </w:rPr>
      </w:pPr>
    </w:p>
    <w:p w14:paraId="423602F3" w14:textId="77777777" w:rsidR="00E33157" w:rsidRDefault="001D1BE7" w:rsidP="00F76D29">
      <w:pPr>
        <w:tabs>
          <w:tab w:val="center" w:pos="4680"/>
        </w:tabs>
        <w:jc w:val="center"/>
        <w:outlineLvl w:val="0"/>
        <w:rPr>
          <w:rFonts w:ascii="Times New Roman" w:hAnsi="Times New Roman"/>
          <w:b/>
          <w:u w:val="single"/>
        </w:rPr>
      </w:pPr>
      <w:r w:rsidRPr="00861F1C">
        <w:rPr>
          <w:rFonts w:ascii="Times New Roman" w:hAnsi="Times New Roman"/>
          <w:b/>
          <w:u w:val="single"/>
        </w:rPr>
        <w:t>ORDER</w:t>
      </w:r>
      <w:r w:rsidR="00231DB6">
        <w:rPr>
          <w:rFonts w:ascii="Times New Roman" w:hAnsi="Times New Roman"/>
          <w:b/>
          <w:u w:val="single"/>
        </w:rPr>
        <w:t xml:space="preserve"> DENYING </w:t>
      </w:r>
    </w:p>
    <w:p w14:paraId="24ABC530" w14:textId="77777777" w:rsidR="00E33157" w:rsidRDefault="00E33157" w:rsidP="00F76D29">
      <w:pPr>
        <w:tabs>
          <w:tab w:val="center" w:pos="4680"/>
        </w:tabs>
        <w:jc w:val="center"/>
        <w:outlineLvl w:val="0"/>
        <w:rPr>
          <w:rFonts w:ascii="Times New Roman" w:hAnsi="Times New Roman"/>
          <w:b/>
          <w:u w:val="single"/>
        </w:rPr>
      </w:pPr>
      <w:r>
        <w:rPr>
          <w:rFonts w:ascii="Times New Roman" w:hAnsi="Times New Roman"/>
          <w:b/>
          <w:u w:val="single"/>
        </w:rPr>
        <w:t>THE OFFICE OF CONSUMER ADVOCATE</w:t>
      </w:r>
      <w:r w:rsidR="00231DB6">
        <w:rPr>
          <w:rFonts w:ascii="Times New Roman" w:hAnsi="Times New Roman"/>
          <w:b/>
          <w:u w:val="single"/>
        </w:rPr>
        <w:t xml:space="preserve">’S </w:t>
      </w:r>
    </w:p>
    <w:p w14:paraId="6FB004CA" w14:textId="2D1BF5A7" w:rsidR="001D1BE7" w:rsidRPr="00861F1C" w:rsidRDefault="00231DB6" w:rsidP="00F76D29">
      <w:pPr>
        <w:tabs>
          <w:tab w:val="center" w:pos="4680"/>
        </w:tabs>
        <w:jc w:val="center"/>
        <w:outlineLvl w:val="0"/>
        <w:rPr>
          <w:rFonts w:ascii="Times New Roman" w:hAnsi="Times New Roman"/>
          <w:b/>
          <w:u w:val="single"/>
        </w:rPr>
      </w:pPr>
      <w:r>
        <w:rPr>
          <w:rFonts w:ascii="Times New Roman" w:hAnsi="Times New Roman"/>
          <w:b/>
          <w:u w:val="single"/>
        </w:rPr>
        <w:t>REQUEST FOR SIXTY DAY ABEYANCE</w:t>
      </w:r>
    </w:p>
    <w:p w14:paraId="4EB49C23" w14:textId="77777777" w:rsidR="00115537" w:rsidRPr="00861F1C" w:rsidRDefault="00115537" w:rsidP="00CB313F">
      <w:pPr>
        <w:tabs>
          <w:tab w:val="center" w:pos="4680"/>
        </w:tabs>
        <w:spacing w:line="360" w:lineRule="auto"/>
        <w:outlineLvl w:val="0"/>
        <w:rPr>
          <w:rFonts w:ascii="Times New Roman" w:hAnsi="Times New Roman"/>
        </w:rPr>
      </w:pPr>
    </w:p>
    <w:p w14:paraId="35D75F84" w14:textId="59739904" w:rsidR="00917A25" w:rsidRDefault="00997DC3" w:rsidP="001D584A">
      <w:pPr>
        <w:spacing w:line="360" w:lineRule="auto"/>
        <w:rPr>
          <w:rFonts w:ascii="Times New Roman" w:hAnsi="Times New Roman"/>
        </w:rPr>
      </w:pPr>
      <w:r>
        <w:rPr>
          <w:rFonts w:ascii="Times New Roman" w:hAnsi="Times New Roman"/>
        </w:rPr>
        <w:tab/>
      </w:r>
      <w:r>
        <w:rPr>
          <w:rFonts w:ascii="Times New Roman" w:hAnsi="Times New Roman"/>
        </w:rPr>
        <w:tab/>
        <w:t>On January 30, 2020, the Pennsylvania Public Utility Commission’</w:t>
      </w:r>
      <w:r w:rsidR="00917A25">
        <w:rPr>
          <w:rFonts w:ascii="Times New Roman" w:hAnsi="Times New Roman"/>
        </w:rPr>
        <w:t>s (Commission) Bureau of Investigation  and Enforcement (I&amp;E) filed a formal Complaint against Verde Energy USA, Inc. (Verde) with the Commission.  In the Complaint, I&amp;E alleged that from February 2017 through the date of the Complaint, Verde, and/or a third-party marketing agent acting on Verde’s behalf, conducted deceptive and misleading sales tactics, enrolled customers without authorization</w:t>
      </w:r>
      <w:r w:rsidR="002F4C08">
        <w:rPr>
          <w:rFonts w:ascii="Times New Roman" w:hAnsi="Times New Roman"/>
        </w:rPr>
        <w:t>,</w:t>
      </w:r>
      <w:r w:rsidR="00917A25">
        <w:rPr>
          <w:rFonts w:ascii="Times New Roman" w:hAnsi="Times New Roman"/>
        </w:rPr>
        <w:t xml:space="preserve"> and accessed customer accounts without authorization while participating in Pennsylvania’s competitive supplier retail market.  </w:t>
      </w:r>
    </w:p>
    <w:p w14:paraId="7533B36D" w14:textId="5B775B60" w:rsidR="00D1607F" w:rsidRDefault="00D1607F" w:rsidP="001D584A">
      <w:pPr>
        <w:spacing w:line="360" w:lineRule="auto"/>
        <w:rPr>
          <w:rFonts w:ascii="Times New Roman" w:hAnsi="Times New Roman"/>
        </w:rPr>
      </w:pPr>
    </w:p>
    <w:p w14:paraId="0CF9589B" w14:textId="5984854E" w:rsidR="00D1607F" w:rsidRDefault="00D1607F" w:rsidP="001D584A">
      <w:pPr>
        <w:spacing w:line="360" w:lineRule="auto"/>
        <w:rPr>
          <w:rFonts w:ascii="Times New Roman" w:hAnsi="Times New Roman"/>
        </w:rPr>
      </w:pPr>
      <w:r>
        <w:rPr>
          <w:rFonts w:ascii="Times New Roman" w:hAnsi="Times New Roman"/>
        </w:rPr>
        <w:tab/>
      </w:r>
      <w:r>
        <w:rPr>
          <w:rFonts w:ascii="Times New Roman" w:hAnsi="Times New Roman"/>
        </w:rPr>
        <w:tab/>
      </w:r>
      <w:r w:rsidR="004D4145">
        <w:rPr>
          <w:rFonts w:ascii="Times New Roman" w:hAnsi="Times New Roman"/>
        </w:rPr>
        <w:t xml:space="preserve">Shortly thereafter, </w:t>
      </w:r>
      <w:r>
        <w:rPr>
          <w:rFonts w:ascii="Times New Roman" w:hAnsi="Times New Roman"/>
        </w:rPr>
        <w:t xml:space="preserve">Verde and I&amp;E began to engage in settlement discussions.  </w:t>
      </w:r>
      <w:r w:rsidR="00E86428">
        <w:rPr>
          <w:rFonts w:ascii="Times New Roman" w:hAnsi="Times New Roman"/>
        </w:rPr>
        <w:t xml:space="preserve"> </w:t>
      </w:r>
    </w:p>
    <w:p w14:paraId="01291B72" w14:textId="210E9036" w:rsidR="006800D8" w:rsidRDefault="006800D8" w:rsidP="001D584A">
      <w:pPr>
        <w:spacing w:line="360" w:lineRule="auto"/>
        <w:rPr>
          <w:rFonts w:ascii="Times New Roman" w:hAnsi="Times New Roman"/>
        </w:rPr>
      </w:pPr>
    </w:p>
    <w:p w14:paraId="46BF1DC3" w14:textId="77D191FE" w:rsidR="006800D8" w:rsidRDefault="006800D8" w:rsidP="006800D8">
      <w:pPr>
        <w:spacing w:line="360" w:lineRule="auto"/>
        <w:rPr>
          <w:rFonts w:ascii="Times New Roman" w:hAnsi="Times New Roman"/>
        </w:rPr>
      </w:pPr>
      <w:r>
        <w:rPr>
          <w:rFonts w:ascii="Times New Roman" w:hAnsi="Times New Roman"/>
        </w:rPr>
        <w:tab/>
      </w:r>
      <w:r>
        <w:rPr>
          <w:rFonts w:ascii="Times New Roman" w:hAnsi="Times New Roman"/>
        </w:rPr>
        <w:tab/>
        <w:t>On February 14, 2020, Verde filed a Motion for Extension of Time to Answer or Respond to Complaint.  Verde’s Motion was granted by Secretarial letter dated February 14, 2020.</w:t>
      </w:r>
    </w:p>
    <w:p w14:paraId="6F7C4DCD" w14:textId="0EC1B1D4" w:rsidR="00231DB6" w:rsidRDefault="00231DB6" w:rsidP="006800D8">
      <w:pPr>
        <w:spacing w:line="360" w:lineRule="auto"/>
        <w:rPr>
          <w:rFonts w:ascii="Times New Roman" w:hAnsi="Times New Roman"/>
        </w:rPr>
      </w:pPr>
    </w:p>
    <w:p w14:paraId="37CFCB56" w14:textId="117209EF" w:rsidR="00231DB6" w:rsidRDefault="00231DB6"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February 24, 2020, the Office of Consumer Advocate (OCA) filed a Notice of Intervention and Public Statement.  </w:t>
      </w:r>
    </w:p>
    <w:p w14:paraId="5EF3D523" w14:textId="4B448C36" w:rsidR="00FB5BCC" w:rsidRDefault="00FB5BCC" w:rsidP="006800D8">
      <w:pPr>
        <w:spacing w:line="360" w:lineRule="auto"/>
        <w:rPr>
          <w:rFonts w:ascii="Times New Roman" w:hAnsi="Times New Roman"/>
        </w:rPr>
      </w:pPr>
    </w:p>
    <w:p w14:paraId="1FC3CE0F" w14:textId="5B552882" w:rsidR="00FB5BCC" w:rsidRDefault="00FB5BCC" w:rsidP="00FB5BCC">
      <w:pPr>
        <w:spacing w:line="360" w:lineRule="auto"/>
        <w:ind w:firstLine="1440"/>
        <w:rPr>
          <w:rFonts w:ascii="Times New Roman" w:hAnsi="Times New Roman"/>
        </w:rPr>
      </w:pPr>
      <w:r>
        <w:rPr>
          <w:rFonts w:ascii="Times New Roman" w:hAnsi="Times New Roman"/>
        </w:rPr>
        <w:lastRenderedPageBreak/>
        <w:t>On March 30, 2020, Verde filed a second Motion for Extension of Time to Answer or Respond to Complaint.  Verde’s Motion was granted by Secretarial email issued on March 30, 2020.</w:t>
      </w:r>
    </w:p>
    <w:p w14:paraId="4E920412" w14:textId="52B302A0" w:rsidR="00ED54EC" w:rsidRDefault="00ED54EC" w:rsidP="006800D8">
      <w:pPr>
        <w:spacing w:line="360" w:lineRule="auto"/>
        <w:rPr>
          <w:rFonts w:ascii="Times New Roman" w:hAnsi="Times New Roman"/>
        </w:rPr>
      </w:pPr>
    </w:p>
    <w:p w14:paraId="38789708" w14:textId="1FC00C84" w:rsidR="00ED54EC" w:rsidRDefault="00ED54EC" w:rsidP="00ED54EC">
      <w:pPr>
        <w:spacing w:line="360" w:lineRule="auto"/>
        <w:ind w:firstLine="1440"/>
        <w:rPr>
          <w:rFonts w:ascii="Times New Roman" w:hAnsi="Times New Roman"/>
        </w:rPr>
      </w:pPr>
      <w:r>
        <w:rPr>
          <w:rFonts w:ascii="Times New Roman" w:hAnsi="Times New Roman"/>
        </w:rPr>
        <w:t xml:space="preserve">On May 15, 2020, Verde filed a third Motion for Extension of Time to Answer or Respond to Complaint. </w:t>
      </w:r>
    </w:p>
    <w:p w14:paraId="200ADF03" w14:textId="4F9D56AB" w:rsidR="006800D8" w:rsidRDefault="006800D8" w:rsidP="006800D8">
      <w:pPr>
        <w:spacing w:line="360" w:lineRule="auto"/>
        <w:rPr>
          <w:rFonts w:ascii="Times New Roman" w:hAnsi="Times New Roman"/>
        </w:rPr>
      </w:pPr>
    </w:p>
    <w:p w14:paraId="6212C79E" w14:textId="29A181E9"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On May 20, 2020, the OCA contacted I&amp;E about accessing the confidential data requests and responses in this matter in order to initiate its review of the available information and to begin drafting its own discovery.</w:t>
      </w:r>
    </w:p>
    <w:p w14:paraId="23C30E56" w14:textId="0D09CBE4" w:rsidR="00ED54EC" w:rsidRDefault="00ED54EC" w:rsidP="006800D8">
      <w:pPr>
        <w:spacing w:line="360" w:lineRule="auto"/>
        <w:rPr>
          <w:rFonts w:ascii="Times New Roman" w:hAnsi="Times New Roman"/>
        </w:rPr>
      </w:pPr>
    </w:p>
    <w:p w14:paraId="4BDFAAB7" w14:textId="21313865"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On May 22, 2020, the OCA received the confidential responses to I&amp;E data requests.</w:t>
      </w:r>
      <w:r w:rsidR="00405140">
        <w:rPr>
          <w:rFonts w:ascii="Times New Roman" w:hAnsi="Times New Roman"/>
        </w:rPr>
        <w:t xml:space="preserve">    </w:t>
      </w:r>
    </w:p>
    <w:p w14:paraId="0B14C237" w14:textId="366B696F" w:rsidR="00ED54EC" w:rsidRDefault="00ED54EC" w:rsidP="006800D8">
      <w:pPr>
        <w:spacing w:line="360" w:lineRule="auto"/>
        <w:rPr>
          <w:rFonts w:ascii="Times New Roman" w:hAnsi="Times New Roman"/>
        </w:rPr>
      </w:pPr>
    </w:p>
    <w:p w14:paraId="51B89CAB" w14:textId="6E61D72B"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May 26, 2020, the OCA learned that Verde and I&amp;E had been engaged in settlement negotiations dating back to before I&amp;E filed the formal Complaint.  </w:t>
      </w:r>
      <w:r w:rsidR="00405140">
        <w:rPr>
          <w:rFonts w:ascii="Times New Roman" w:hAnsi="Times New Roman"/>
        </w:rPr>
        <w:t>Verde’s counsel urged the OCA to hear the details of the proposed settlement, but OCA declined, maintaining that the settlement was premature and negotiated before the OCA was able to conduct discovery into the allegations in the Complaint.</w:t>
      </w:r>
    </w:p>
    <w:p w14:paraId="2400CCEB" w14:textId="4DC215C2" w:rsidR="00405140" w:rsidRDefault="00405140" w:rsidP="006800D8">
      <w:pPr>
        <w:spacing w:line="360" w:lineRule="auto"/>
        <w:rPr>
          <w:rFonts w:ascii="Times New Roman" w:hAnsi="Times New Roman"/>
        </w:rPr>
      </w:pPr>
    </w:p>
    <w:p w14:paraId="29C98AC5" w14:textId="3AB5F561" w:rsidR="00405140" w:rsidRDefault="00405140"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May 27, 2020, Verde’s counsel provided the OCA with a draft of the settlement and requested that </w:t>
      </w:r>
      <w:r w:rsidR="00DF5873">
        <w:rPr>
          <w:rFonts w:ascii="Times New Roman" w:hAnsi="Times New Roman"/>
        </w:rPr>
        <w:t xml:space="preserve">the </w:t>
      </w:r>
      <w:r>
        <w:rPr>
          <w:rFonts w:ascii="Times New Roman" w:hAnsi="Times New Roman"/>
        </w:rPr>
        <w:t xml:space="preserve">OCA provide its position and any input on the settlement.  </w:t>
      </w:r>
    </w:p>
    <w:p w14:paraId="7DF7AF8B" w14:textId="77777777" w:rsidR="00ED54EC" w:rsidRDefault="00ED54EC" w:rsidP="006800D8">
      <w:pPr>
        <w:spacing w:line="360" w:lineRule="auto"/>
        <w:rPr>
          <w:rFonts w:ascii="Times New Roman" w:hAnsi="Times New Roman"/>
        </w:rPr>
      </w:pPr>
    </w:p>
    <w:p w14:paraId="0F21CC28" w14:textId="563E7EA4" w:rsidR="00CD40E9" w:rsidRDefault="006800D8" w:rsidP="006800D8">
      <w:pPr>
        <w:spacing w:line="360" w:lineRule="auto"/>
        <w:rPr>
          <w:rFonts w:ascii="Times New Roman" w:hAnsi="Times New Roman"/>
        </w:rPr>
      </w:pPr>
      <w:r>
        <w:rPr>
          <w:rFonts w:ascii="Times New Roman" w:hAnsi="Times New Roman"/>
        </w:rPr>
        <w:tab/>
      </w:r>
      <w:r>
        <w:rPr>
          <w:rFonts w:ascii="Times New Roman" w:hAnsi="Times New Roman"/>
        </w:rPr>
        <w:tab/>
      </w:r>
      <w:r w:rsidR="00FB5BCC">
        <w:rPr>
          <w:rFonts w:ascii="Times New Roman" w:hAnsi="Times New Roman"/>
        </w:rPr>
        <w:t>On June 1, 2020,</w:t>
      </w:r>
      <w:r w:rsidR="001D14EF">
        <w:rPr>
          <w:rFonts w:ascii="Times New Roman" w:hAnsi="Times New Roman"/>
        </w:rPr>
        <w:t xml:space="preserve"> the</w:t>
      </w:r>
      <w:r w:rsidR="00FB5BCC">
        <w:rPr>
          <w:rFonts w:ascii="Times New Roman" w:hAnsi="Times New Roman"/>
        </w:rPr>
        <w:t xml:space="preserve"> OCA served its Set I interrogatories to Verde.  The OCA served follow up discovery on Verde on July 6, 2020 (OCA Set II) and on August 3, 2020 (OCA Set III).  </w:t>
      </w:r>
    </w:p>
    <w:p w14:paraId="5F5C020D" w14:textId="67C78789" w:rsidR="00CD40E9" w:rsidRDefault="00CD40E9" w:rsidP="006800D8">
      <w:pPr>
        <w:spacing w:line="360" w:lineRule="auto"/>
        <w:rPr>
          <w:rFonts w:ascii="Times New Roman" w:hAnsi="Times New Roman"/>
        </w:rPr>
      </w:pPr>
    </w:p>
    <w:p w14:paraId="6CA7724D" w14:textId="3BD2A4AA" w:rsidR="00CD40E9" w:rsidRDefault="00CD40E9"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June 30, 2020, I&amp;E and Verde </w:t>
      </w:r>
      <w:r w:rsidR="00023DF7">
        <w:rPr>
          <w:rFonts w:ascii="Times New Roman" w:hAnsi="Times New Roman"/>
        </w:rPr>
        <w:t xml:space="preserve">(Settling Parties) </w:t>
      </w:r>
      <w:r>
        <w:rPr>
          <w:rFonts w:ascii="Times New Roman" w:hAnsi="Times New Roman"/>
        </w:rPr>
        <w:t xml:space="preserve">filed a Joint Petition for Approval of Settlement (Joint Petition or Settlement).  </w:t>
      </w:r>
      <w:r w:rsidR="00ED54EC">
        <w:rPr>
          <w:rFonts w:ascii="Times New Roman" w:hAnsi="Times New Roman"/>
        </w:rPr>
        <w:t xml:space="preserve">Also on June 30, 2020, Verde filed an Answer to the Complaint, generally denying the allegations set forth in the Complaint and noting that the parties filed a Settlement.  </w:t>
      </w:r>
    </w:p>
    <w:p w14:paraId="16969242" w14:textId="6986523B" w:rsidR="00FC2743" w:rsidRDefault="00FC2743" w:rsidP="006800D8">
      <w:pPr>
        <w:spacing w:line="360" w:lineRule="auto"/>
        <w:rPr>
          <w:rFonts w:ascii="Times New Roman" w:hAnsi="Times New Roman"/>
        </w:rPr>
      </w:pPr>
      <w:r>
        <w:rPr>
          <w:rFonts w:ascii="Times New Roman" w:hAnsi="Times New Roman"/>
        </w:rPr>
        <w:lastRenderedPageBreak/>
        <w:tab/>
      </w:r>
      <w:r>
        <w:rPr>
          <w:rFonts w:ascii="Times New Roman" w:hAnsi="Times New Roman"/>
        </w:rPr>
        <w:tab/>
        <w:t xml:space="preserve">On July 10, 2020, the OCA filed a letter stating its intention to file a Statement in Opposition to the Joint Petition and requested that the Commission assign the matter to an Administrative Law Judge (ALJ).  </w:t>
      </w:r>
    </w:p>
    <w:p w14:paraId="55102050" w14:textId="66B48E6D" w:rsidR="00FC2743" w:rsidRDefault="00FC2743" w:rsidP="006800D8">
      <w:pPr>
        <w:spacing w:line="360" w:lineRule="auto"/>
        <w:rPr>
          <w:rFonts w:ascii="Times New Roman" w:hAnsi="Times New Roman"/>
        </w:rPr>
      </w:pPr>
    </w:p>
    <w:p w14:paraId="37C8E4FB" w14:textId="742847DA" w:rsidR="00FC2743" w:rsidRDefault="00FC2743"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July 20, 2020, the OCA filed its Statement in Opposition to the Joint Petition.  </w:t>
      </w:r>
    </w:p>
    <w:p w14:paraId="485970ED" w14:textId="2A4E2252" w:rsidR="00FC2743" w:rsidRDefault="00FC2743" w:rsidP="006800D8">
      <w:pPr>
        <w:spacing w:line="360" w:lineRule="auto"/>
        <w:rPr>
          <w:rFonts w:ascii="Times New Roman" w:hAnsi="Times New Roman"/>
        </w:rPr>
      </w:pPr>
    </w:p>
    <w:p w14:paraId="12875EB0" w14:textId="521D1D61" w:rsidR="00FC2743"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By Call-In Telephonic Hearing Notice dated July 31, 2020, an Initial Call</w:t>
      </w:r>
      <w:r w:rsidR="005E1438">
        <w:rPr>
          <w:rFonts w:ascii="Times New Roman" w:hAnsi="Times New Roman"/>
        </w:rPr>
        <w:t>-</w:t>
      </w:r>
      <w:r>
        <w:rPr>
          <w:rFonts w:ascii="Times New Roman" w:hAnsi="Times New Roman"/>
        </w:rPr>
        <w:t xml:space="preserve">In Telephonic Prehearing Conference was scheduled for August 27, 2020 and the matter was assigned to me.  </w:t>
      </w:r>
    </w:p>
    <w:p w14:paraId="0C7DEFAC" w14:textId="56603E33" w:rsidR="00842884" w:rsidRDefault="00842884" w:rsidP="006800D8">
      <w:pPr>
        <w:spacing w:line="360" w:lineRule="auto"/>
        <w:rPr>
          <w:rFonts w:ascii="Times New Roman" w:hAnsi="Times New Roman"/>
        </w:rPr>
      </w:pPr>
    </w:p>
    <w:p w14:paraId="2EDC44C0" w14:textId="270120F0" w:rsidR="007B4C4B"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In accordance with my Prehearing Conference Order issued on July 31, 2020, Verde, I&amp;E</w:t>
      </w:r>
      <w:r w:rsidR="00F642B7">
        <w:rPr>
          <w:rFonts w:ascii="Times New Roman" w:hAnsi="Times New Roman"/>
        </w:rPr>
        <w:t>,</w:t>
      </w:r>
      <w:r>
        <w:rPr>
          <w:rFonts w:ascii="Times New Roman" w:hAnsi="Times New Roman"/>
        </w:rPr>
        <w:t xml:space="preserve"> and the OCA filed Prehearing Memoranda on August 21, 2020.</w:t>
      </w:r>
      <w:r w:rsidR="003A05DD">
        <w:rPr>
          <w:rFonts w:ascii="Times New Roman" w:hAnsi="Times New Roman"/>
        </w:rPr>
        <w:t xml:space="preserve">  </w:t>
      </w:r>
      <w:r w:rsidR="007B4C4B">
        <w:rPr>
          <w:rFonts w:ascii="Times New Roman" w:hAnsi="Times New Roman"/>
        </w:rPr>
        <w:t>Verde, in its Prehearing Memorandum, maintained that no further discovery is needed in this matter, that hearings are not necessary, that no testimony or hearings are required, and that no litigation schedule is necessary because the Complainant, I&amp;E, and the Respondent, Verde, have reached a complete and final resolution of this proceeding which effectively addresses the issues that were the subject of the Complaint.</w:t>
      </w:r>
    </w:p>
    <w:p w14:paraId="409A0604" w14:textId="6FE5AD21" w:rsidR="007B4C4B" w:rsidRDefault="007B4C4B" w:rsidP="006800D8">
      <w:pPr>
        <w:spacing w:line="360" w:lineRule="auto"/>
        <w:rPr>
          <w:rFonts w:ascii="Times New Roman" w:hAnsi="Times New Roman"/>
        </w:rPr>
      </w:pPr>
    </w:p>
    <w:p w14:paraId="592FB77C" w14:textId="457D77EF" w:rsidR="007B4C4B" w:rsidRDefault="007B4C4B"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I&amp;E, in its Prehearing Memorandum, maintained that providing a position regarding a proposed plan or schedule for discovery is not necessary, that proposing a litigation schedule is not necessary, that providing a list of witnesses is not necessary, and that the only issues to be considered are whether the Joint Petition for Approval of Settlement should be approved in its entirety without modification and if it is in the public interest.  </w:t>
      </w:r>
    </w:p>
    <w:p w14:paraId="796EED01" w14:textId="2F873E25" w:rsidR="00710043" w:rsidRDefault="00710043" w:rsidP="006800D8">
      <w:pPr>
        <w:spacing w:line="360" w:lineRule="auto"/>
        <w:rPr>
          <w:rFonts w:ascii="Times New Roman" w:hAnsi="Times New Roman"/>
        </w:rPr>
      </w:pPr>
    </w:p>
    <w:p w14:paraId="7267D1CD" w14:textId="7A8D8D35" w:rsidR="00710043" w:rsidRDefault="00710043"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OCA, in its Prehearing Memorandum, identified three issues, identified a witness, and requested that this matter be held in abeyance for 60 days in order for the OCA to conduct additional discovery and to engage in further settlement discussions with I&amp;E and Verde to see if there are possible modifications to the settlement that would address OCA’s concerns.  OCA further proposed that at the end of 60 days, the parties could each evaluate </w:t>
      </w:r>
      <w:r w:rsidR="00E91722">
        <w:rPr>
          <w:rFonts w:ascii="Times New Roman" w:hAnsi="Times New Roman"/>
        </w:rPr>
        <w:t xml:space="preserve">the respective positions and collectively determine whether there is a need to establish a litigation schedule to </w:t>
      </w:r>
      <w:r w:rsidR="00E91722">
        <w:rPr>
          <w:rFonts w:ascii="Times New Roman" w:hAnsi="Times New Roman"/>
        </w:rPr>
        <w:lastRenderedPageBreak/>
        <w:t xml:space="preserve">address the allegations in I&amp;E’s Complaint, and to determine whether the Settlement signed by Verde and I&amp;E is in the public interest.  </w:t>
      </w:r>
    </w:p>
    <w:p w14:paraId="19383E95" w14:textId="1DC5A549" w:rsidR="00842884" w:rsidRDefault="00842884" w:rsidP="006800D8">
      <w:pPr>
        <w:spacing w:line="360" w:lineRule="auto"/>
        <w:rPr>
          <w:rFonts w:ascii="Times New Roman" w:hAnsi="Times New Roman"/>
        </w:rPr>
      </w:pPr>
    </w:p>
    <w:p w14:paraId="42629C1D" w14:textId="236F163A" w:rsidR="00842884"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The August 27, 2020 Prehearing Conference took place as scheduled.  Counsel for Verde, I&amp;E and the OCA participated.  </w:t>
      </w:r>
      <w:r w:rsidR="007B4C4B">
        <w:rPr>
          <w:rFonts w:ascii="Times New Roman" w:hAnsi="Times New Roman"/>
        </w:rPr>
        <w:t xml:space="preserve">During the Prehearing Conference, Counsel for </w:t>
      </w:r>
      <w:r w:rsidR="003A05DD">
        <w:rPr>
          <w:rFonts w:ascii="Times New Roman" w:hAnsi="Times New Roman"/>
        </w:rPr>
        <w:t xml:space="preserve">Verde, I&amp;E and OCA restated their respective positions as laid out in their Prehearing Memoranda.  </w:t>
      </w:r>
      <w:r w:rsidR="007E0052">
        <w:rPr>
          <w:rFonts w:ascii="Times New Roman" w:hAnsi="Times New Roman"/>
        </w:rPr>
        <w:t xml:space="preserve">For the reasons stated below, OCA’s request for a 60-day abeyance is denied.  </w:t>
      </w:r>
    </w:p>
    <w:p w14:paraId="26322052" w14:textId="6C0EA308" w:rsidR="00FE2AD8" w:rsidRDefault="00FE2AD8" w:rsidP="006800D8">
      <w:pPr>
        <w:spacing w:line="360" w:lineRule="auto"/>
        <w:rPr>
          <w:rFonts w:ascii="Times New Roman" w:hAnsi="Times New Roman"/>
        </w:rPr>
      </w:pPr>
    </w:p>
    <w:p w14:paraId="0891616C" w14:textId="4B4DEDA2" w:rsidR="00FE2AD8" w:rsidRPr="00FE2AD8" w:rsidRDefault="00FE2AD8" w:rsidP="00FE2AD8">
      <w:pPr>
        <w:spacing w:line="360" w:lineRule="auto"/>
        <w:jc w:val="center"/>
        <w:rPr>
          <w:rFonts w:ascii="Times New Roman" w:hAnsi="Times New Roman"/>
          <w:u w:val="single"/>
        </w:rPr>
      </w:pPr>
      <w:r w:rsidRPr="00FE2AD8">
        <w:rPr>
          <w:rFonts w:ascii="Times New Roman" w:hAnsi="Times New Roman"/>
          <w:u w:val="single"/>
        </w:rPr>
        <w:t>DISCUSSION</w:t>
      </w:r>
    </w:p>
    <w:p w14:paraId="07A2386C" w14:textId="755B2F2B" w:rsidR="00FE2AD8" w:rsidRDefault="00FE2AD8" w:rsidP="006800D8">
      <w:pPr>
        <w:spacing w:line="360" w:lineRule="auto"/>
        <w:rPr>
          <w:rFonts w:ascii="Times New Roman" w:hAnsi="Times New Roman"/>
        </w:rPr>
      </w:pPr>
    </w:p>
    <w:p w14:paraId="07B75501" w14:textId="05130DD6" w:rsidR="005C6653" w:rsidRDefault="007625DB" w:rsidP="00182EA7">
      <w:pPr>
        <w:spacing w:line="360" w:lineRule="auto"/>
        <w:rPr>
          <w:rFonts w:ascii="Times New Roman" w:hAnsi="Times New Roman"/>
        </w:rPr>
      </w:pPr>
      <w:r>
        <w:rPr>
          <w:rFonts w:ascii="Times New Roman" w:hAnsi="Times New Roman"/>
        </w:rPr>
        <w:tab/>
      </w:r>
      <w:r>
        <w:rPr>
          <w:rFonts w:ascii="Times New Roman" w:hAnsi="Times New Roman"/>
        </w:rPr>
        <w:tab/>
      </w:r>
      <w:r w:rsidR="007B64FB" w:rsidRPr="00182EA7">
        <w:rPr>
          <w:rFonts w:ascii="Times New Roman" w:hAnsi="Times New Roman" w:cs="Times New Roman"/>
        </w:rPr>
        <w:t xml:space="preserve">The </w:t>
      </w:r>
      <w:r w:rsidRPr="00182EA7">
        <w:rPr>
          <w:rFonts w:ascii="Times New Roman" w:hAnsi="Times New Roman" w:cs="Times New Roman"/>
        </w:rPr>
        <w:t xml:space="preserve">OCA filed a Notice of Intervention in this matter on February 24, 2020.  </w:t>
      </w:r>
      <w:r w:rsidR="007B64FB">
        <w:rPr>
          <w:rFonts w:ascii="Times New Roman" w:hAnsi="Times New Roman"/>
        </w:rPr>
        <w:t>The OCA acknowledges that “[f]ollowing the OCA’s intervention, on March 30, 2020 and again, on May 15, 2020, Verde requested an extension of time to file its Answer” and that “[p]rior to each request, Verde notified the OCA of the planned request and asked if there were any objections on behalf of OCA.”</w:t>
      </w:r>
      <w:r w:rsidR="007B64FB">
        <w:rPr>
          <w:rStyle w:val="FootnoteReference"/>
          <w:rFonts w:ascii="Times New Roman" w:hAnsi="Times New Roman"/>
        </w:rPr>
        <w:footnoteReference w:id="1"/>
      </w:r>
      <w:r w:rsidR="007B64FB">
        <w:rPr>
          <w:rFonts w:ascii="Times New Roman" w:hAnsi="Times New Roman"/>
        </w:rPr>
        <w:t xml:space="preserve">  The OCA </w:t>
      </w:r>
      <w:r w:rsidR="00592448">
        <w:rPr>
          <w:rFonts w:ascii="Times New Roman" w:hAnsi="Times New Roman"/>
        </w:rPr>
        <w:t>also</w:t>
      </w:r>
      <w:r w:rsidR="007B64FB">
        <w:rPr>
          <w:rFonts w:ascii="Times New Roman" w:hAnsi="Times New Roman"/>
        </w:rPr>
        <w:t xml:space="preserve"> acknowledged that it did not object to these requests, and that “[a]s no Answer had yet been filed to the Complaint, the OCA refrained from conducting its own discovery in this matter.”</w:t>
      </w:r>
      <w:r w:rsidR="007B64FB">
        <w:rPr>
          <w:rStyle w:val="FootnoteReference"/>
          <w:rFonts w:ascii="Times New Roman" w:hAnsi="Times New Roman"/>
        </w:rPr>
        <w:footnoteReference w:id="2"/>
      </w:r>
      <w:r w:rsidR="00592448">
        <w:rPr>
          <w:rFonts w:ascii="Times New Roman" w:hAnsi="Times New Roman"/>
        </w:rPr>
        <w:t xml:space="preserve">  </w:t>
      </w:r>
    </w:p>
    <w:p w14:paraId="59F1091D" w14:textId="77777777" w:rsidR="005C6653" w:rsidRDefault="005C6653" w:rsidP="006800D8">
      <w:pPr>
        <w:spacing w:line="360" w:lineRule="auto"/>
        <w:rPr>
          <w:rFonts w:ascii="Times New Roman" w:hAnsi="Times New Roman"/>
        </w:rPr>
      </w:pPr>
    </w:p>
    <w:p w14:paraId="462D7DB5" w14:textId="1AEA7DE9" w:rsidR="00FE2AD8" w:rsidRDefault="007D03A0" w:rsidP="005C6653">
      <w:pPr>
        <w:spacing w:line="360" w:lineRule="auto"/>
        <w:ind w:firstLine="1440"/>
        <w:rPr>
          <w:rFonts w:ascii="Times New Roman" w:hAnsi="Times New Roman"/>
        </w:rPr>
      </w:pPr>
      <w:r>
        <w:rPr>
          <w:rFonts w:ascii="Times New Roman" w:hAnsi="Times New Roman"/>
        </w:rPr>
        <w:t>On</w:t>
      </w:r>
      <w:r w:rsidR="00592448">
        <w:rPr>
          <w:rFonts w:ascii="Times New Roman" w:hAnsi="Times New Roman"/>
        </w:rPr>
        <w:t xml:space="preserve"> May 20, 2020</w:t>
      </w:r>
      <w:r>
        <w:rPr>
          <w:rFonts w:ascii="Times New Roman" w:hAnsi="Times New Roman"/>
        </w:rPr>
        <w:t>,</w:t>
      </w:r>
      <w:r w:rsidR="00592448">
        <w:rPr>
          <w:rFonts w:ascii="Times New Roman" w:hAnsi="Times New Roman"/>
        </w:rPr>
        <w:t xml:space="preserve"> </w:t>
      </w:r>
      <w:r>
        <w:rPr>
          <w:rFonts w:ascii="Times New Roman" w:hAnsi="Times New Roman"/>
        </w:rPr>
        <w:t xml:space="preserve">the </w:t>
      </w:r>
      <w:r w:rsidR="00592448">
        <w:rPr>
          <w:rFonts w:ascii="Times New Roman" w:hAnsi="Times New Roman"/>
        </w:rPr>
        <w:t>OCA contacted I&amp;E to gain access to “the confidential data requests and responses in this matter in order to initiate its review of the available information and begin drafting its own discovery.”</w:t>
      </w:r>
      <w:r w:rsidR="00592448">
        <w:rPr>
          <w:rStyle w:val="FootnoteReference"/>
          <w:rFonts w:ascii="Times New Roman" w:hAnsi="Times New Roman"/>
        </w:rPr>
        <w:footnoteReference w:id="3"/>
      </w:r>
      <w:r w:rsidR="00592448">
        <w:rPr>
          <w:rFonts w:ascii="Times New Roman" w:hAnsi="Times New Roman"/>
        </w:rPr>
        <w:t xml:space="preserve">  </w:t>
      </w:r>
      <w:r w:rsidR="00656EDE">
        <w:rPr>
          <w:rFonts w:ascii="Times New Roman" w:hAnsi="Times New Roman"/>
        </w:rPr>
        <w:t>OCA stated as follows:</w:t>
      </w:r>
    </w:p>
    <w:p w14:paraId="4A9F869F" w14:textId="77B83FD3" w:rsidR="00656EDE" w:rsidRDefault="00656EDE" w:rsidP="006800D8">
      <w:pPr>
        <w:spacing w:line="360" w:lineRule="auto"/>
        <w:rPr>
          <w:rFonts w:ascii="Times New Roman" w:hAnsi="Times New Roman"/>
        </w:rPr>
      </w:pPr>
    </w:p>
    <w:p w14:paraId="72758932" w14:textId="4FC5EA5B" w:rsidR="00656EDE" w:rsidRDefault="00656EDE" w:rsidP="006E675F">
      <w:pPr>
        <w:ind w:left="1440" w:right="1440"/>
        <w:rPr>
          <w:rFonts w:ascii="Times New Roman" w:hAnsi="Times New Roman"/>
        </w:rPr>
      </w:pPr>
      <w:r>
        <w:rPr>
          <w:rFonts w:ascii="Times New Roman" w:hAnsi="Times New Roman"/>
        </w:rPr>
        <w:t>The OCA received the confidential responses to I&amp;E data requests on May 22, 2020 and began its review and drafting of additional discovery</w:t>
      </w:r>
      <w:r w:rsidR="00FC2517">
        <w:rPr>
          <w:rFonts w:ascii="Times New Roman" w:hAnsi="Times New Roman"/>
        </w:rPr>
        <w:t xml:space="preserve">.  In the process of gaining access to an online data room to examine the complete responses from Verde to I&amp;E data requests, the OCA was notified for the first time during a call with Verde’s counsel on May 26, 2020 </w:t>
      </w:r>
      <w:r w:rsidR="006E675F">
        <w:rPr>
          <w:rFonts w:ascii="Times New Roman" w:hAnsi="Times New Roman"/>
        </w:rPr>
        <w:t>that Joint Petitioners had been engaged in settlement negotiations dating back to before the Complaint filing on January 30, 2020 and that Joint Petitioners had reached a near complete settlement.  While Verde’s Counsel urged the OCA to hear the details of the proposed settlement</w:t>
      </w:r>
      <w:r w:rsidR="006E675F" w:rsidRPr="001F346F">
        <w:rPr>
          <w:rFonts w:ascii="Times New Roman" w:hAnsi="Times New Roman"/>
        </w:rPr>
        <w:t xml:space="preserve">, the OCA </w:t>
      </w:r>
      <w:r w:rsidR="006E675F" w:rsidRPr="001F346F">
        <w:rPr>
          <w:rFonts w:ascii="Times New Roman" w:hAnsi="Times New Roman"/>
        </w:rPr>
        <w:lastRenderedPageBreak/>
        <w:t>declined because it was the OCA’s view that the settlement was premature and negotiated before the OCA was able to conduct discovery into the allegations in the Complaint.  The OCA</w:t>
      </w:r>
      <w:r w:rsidR="006E675F">
        <w:rPr>
          <w:rFonts w:ascii="Times New Roman" w:hAnsi="Times New Roman"/>
        </w:rPr>
        <w:t xml:space="preserve"> was </w:t>
      </w:r>
      <w:r w:rsidR="001F346F">
        <w:rPr>
          <w:rFonts w:ascii="Times New Roman" w:hAnsi="Times New Roman"/>
        </w:rPr>
        <w:t xml:space="preserve">not </w:t>
      </w:r>
      <w:r w:rsidR="006E675F">
        <w:rPr>
          <w:rFonts w:ascii="Times New Roman" w:hAnsi="Times New Roman"/>
        </w:rPr>
        <w:t>notified of any meetings or discussions concerning the development of this settlement prior to the oral notice on May 26, 2020 and was not included in any settlement negotiations that led up to the proposed settlement.  The draft of the settlement was provided to the OCA in an email attachment on May 27, 2020 and counsel for Verde requested that the OCA provide its position and any input on the settlement.  Per the email, Joint Petitioners had agreed to nearly all of the terms except for the civil penalty amount.</w:t>
      </w:r>
      <w:r w:rsidR="00995322">
        <w:rPr>
          <w:rStyle w:val="FootnoteReference"/>
          <w:rFonts w:ascii="Times New Roman" w:hAnsi="Times New Roman"/>
        </w:rPr>
        <w:footnoteReference w:id="4"/>
      </w:r>
      <w:r w:rsidR="006E675F">
        <w:rPr>
          <w:rFonts w:ascii="Times New Roman" w:hAnsi="Times New Roman"/>
        </w:rPr>
        <w:t xml:space="preserve">  </w:t>
      </w:r>
    </w:p>
    <w:p w14:paraId="23FD4515" w14:textId="464FEB14" w:rsidR="007558F9" w:rsidRDefault="007558F9" w:rsidP="006800D8">
      <w:pPr>
        <w:spacing w:line="360" w:lineRule="auto"/>
        <w:rPr>
          <w:rFonts w:ascii="Times New Roman" w:hAnsi="Times New Roman"/>
        </w:rPr>
      </w:pPr>
    </w:p>
    <w:p w14:paraId="02FA3DCE" w14:textId="5F21E65D" w:rsidR="007558F9" w:rsidRDefault="00760DF2" w:rsidP="006800D8">
      <w:pPr>
        <w:spacing w:line="360" w:lineRule="auto"/>
        <w:rPr>
          <w:rFonts w:ascii="Times New Roman" w:hAnsi="Times New Roman"/>
        </w:rPr>
      </w:pPr>
      <w:r>
        <w:rPr>
          <w:rFonts w:ascii="Times New Roman" w:hAnsi="Times New Roman"/>
        </w:rPr>
        <w:t>The OCA then served Set I Interrogatories on June 1, 2020 and Set II on July 6, 2020.</w:t>
      </w:r>
      <w:r w:rsidR="00A93C62">
        <w:rPr>
          <w:rStyle w:val="FootnoteReference"/>
          <w:rFonts w:ascii="Times New Roman" w:hAnsi="Times New Roman"/>
        </w:rPr>
        <w:footnoteReference w:id="5"/>
      </w:r>
    </w:p>
    <w:p w14:paraId="328F7260" w14:textId="6060D71A" w:rsidR="00DA4A12" w:rsidRDefault="00DA4A12" w:rsidP="006800D8">
      <w:pPr>
        <w:spacing w:line="360" w:lineRule="auto"/>
        <w:rPr>
          <w:rFonts w:ascii="Times New Roman" w:hAnsi="Times New Roman"/>
        </w:rPr>
      </w:pPr>
    </w:p>
    <w:p w14:paraId="7E28FD0C" w14:textId="5B3768F5" w:rsidR="00DA4A12" w:rsidRDefault="00DA4A12" w:rsidP="006800D8">
      <w:pPr>
        <w:spacing w:line="360" w:lineRule="auto"/>
        <w:rPr>
          <w:rFonts w:ascii="Times New Roman" w:hAnsi="Times New Roman"/>
        </w:rPr>
      </w:pPr>
      <w:r>
        <w:rPr>
          <w:rFonts w:ascii="Times New Roman" w:hAnsi="Times New Roman"/>
        </w:rPr>
        <w:tab/>
      </w:r>
      <w:r>
        <w:rPr>
          <w:rFonts w:ascii="Times New Roman" w:hAnsi="Times New Roman"/>
        </w:rPr>
        <w:tab/>
        <w:t>It is the OCA’s position that the Joint Petition for Settlement is not ripe for review.  The OCA maintains that it has been denied the opportunity to investigate this case and to present its own investigation of the facts underlying the formal Complaint.</w:t>
      </w:r>
      <w:r w:rsidR="00CA419C">
        <w:rPr>
          <w:rFonts w:ascii="Times New Roman" w:hAnsi="Times New Roman"/>
        </w:rPr>
        <w:t xml:space="preserve">  The OCA proposes that it should be allowed to further investigate this matter, and that the parties should be allowed to negotiate and decide whether further amendment to the Settlement is necessary, or if the Settlement is sufficient to address</w:t>
      </w:r>
      <w:r w:rsidR="00624814">
        <w:rPr>
          <w:rFonts w:ascii="Times New Roman" w:hAnsi="Times New Roman"/>
        </w:rPr>
        <w:t xml:space="preserve"> the</w:t>
      </w:r>
      <w:r w:rsidR="00CA419C">
        <w:rPr>
          <w:rFonts w:ascii="Times New Roman" w:hAnsi="Times New Roman"/>
        </w:rPr>
        <w:t xml:space="preserve"> OCA’s concerns.</w:t>
      </w:r>
      <w:r>
        <w:rPr>
          <w:rStyle w:val="FootnoteReference"/>
          <w:rFonts w:ascii="Times New Roman" w:hAnsi="Times New Roman"/>
        </w:rPr>
        <w:footnoteReference w:id="6"/>
      </w:r>
      <w:r>
        <w:rPr>
          <w:rFonts w:ascii="Times New Roman" w:hAnsi="Times New Roman"/>
        </w:rPr>
        <w:t xml:space="preserve">  </w:t>
      </w:r>
    </w:p>
    <w:p w14:paraId="1A452734" w14:textId="6CABCBA3" w:rsidR="00023DF7" w:rsidRDefault="00023DF7" w:rsidP="006800D8">
      <w:pPr>
        <w:spacing w:line="360" w:lineRule="auto"/>
        <w:rPr>
          <w:rFonts w:ascii="Times New Roman" w:hAnsi="Times New Roman"/>
        </w:rPr>
      </w:pPr>
    </w:p>
    <w:p w14:paraId="15B0187D" w14:textId="163045FB" w:rsidR="00023DF7" w:rsidRDefault="00023DF7"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It is Verde’s position that the Settling Parties reached out to the OCA with a draft of an outline of terms that I&amp;E and Verde put together based on their discussions, and that they actively invited the OCA’s input on the Settlement, which OCA declined.  Verde notes that the Settling Parties provided these terms to the OCA over three months prior to the prehearing conference, and that they filed the Settlement with the Commission two months prior to the prehearing conference.  Verde maintains that the OCA has had more time than I&amp;E had to review the Settlement prior to agreeing to its terms.  </w:t>
      </w:r>
      <w:r w:rsidR="0080341F">
        <w:rPr>
          <w:rFonts w:ascii="Times New Roman" w:hAnsi="Times New Roman"/>
        </w:rPr>
        <w:t>Verde further maintains that, since the Complainant (I&amp;E) and Respondent (Verde) have reached a full</w:t>
      </w:r>
      <w:r w:rsidR="005E782E">
        <w:rPr>
          <w:rFonts w:ascii="Times New Roman" w:hAnsi="Times New Roman"/>
        </w:rPr>
        <w:t xml:space="preserve">, </w:t>
      </w:r>
      <w:r w:rsidR="0080341F">
        <w:rPr>
          <w:rFonts w:ascii="Times New Roman" w:hAnsi="Times New Roman"/>
        </w:rPr>
        <w:t xml:space="preserve">robust and detailed Settlement, </w:t>
      </w:r>
      <w:r w:rsidR="005E782E">
        <w:rPr>
          <w:rFonts w:ascii="Times New Roman" w:hAnsi="Times New Roman"/>
        </w:rPr>
        <w:t xml:space="preserve">to </w:t>
      </w:r>
      <w:r w:rsidR="0080341F">
        <w:rPr>
          <w:rFonts w:ascii="Times New Roman" w:hAnsi="Times New Roman"/>
        </w:rPr>
        <w:t>which it invited the OCA to evaluate and suggest alterations, there is no need to litigate this case going forward.</w:t>
      </w:r>
      <w:r w:rsidR="00BD414D">
        <w:rPr>
          <w:rStyle w:val="FootnoteReference"/>
          <w:rFonts w:ascii="Times New Roman" w:hAnsi="Times New Roman"/>
        </w:rPr>
        <w:footnoteReference w:id="7"/>
      </w:r>
      <w:r w:rsidR="0080341F">
        <w:rPr>
          <w:rFonts w:ascii="Times New Roman" w:hAnsi="Times New Roman"/>
        </w:rPr>
        <w:t xml:space="preserve">  </w:t>
      </w:r>
    </w:p>
    <w:p w14:paraId="1701D38D" w14:textId="3C3069DF" w:rsidR="00C00439" w:rsidRDefault="00C00439" w:rsidP="006800D8">
      <w:pPr>
        <w:spacing w:line="360" w:lineRule="auto"/>
        <w:rPr>
          <w:rFonts w:ascii="Times New Roman" w:hAnsi="Times New Roman"/>
        </w:rPr>
      </w:pPr>
      <w:r>
        <w:rPr>
          <w:rFonts w:ascii="Times New Roman" w:hAnsi="Times New Roman"/>
        </w:rPr>
        <w:lastRenderedPageBreak/>
        <w:tab/>
      </w:r>
      <w:r>
        <w:rPr>
          <w:rFonts w:ascii="Times New Roman" w:hAnsi="Times New Roman"/>
        </w:rPr>
        <w:tab/>
        <w:t xml:space="preserve">I&amp;E agreed with Verde’s assessment, adding that the Settling parties asked for the OCA’s feedback on the Settlement on multiple occasions.  I&amp;E maintains that the OCA had every opportunity to receive the information that they were requesting and to provide comment on the Settlement.  I&amp;E further maintains that there is nothing to be litigated at this time because there is a settlement agreement.  I&amp;E believes the Settlement should be reviewed to determine if it </w:t>
      </w:r>
      <w:r w:rsidR="004D53AD">
        <w:rPr>
          <w:rFonts w:ascii="Times New Roman" w:hAnsi="Times New Roman"/>
        </w:rPr>
        <w:t xml:space="preserve">should be approved because it </w:t>
      </w:r>
      <w:r>
        <w:rPr>
          <w:rFonts w:ascii="Times New Roman" w:hAnsi="Times New Roman"/>
        </w:rPr>
        <w:t>is in the public interest.  I&amp;E notes that the Settling Parties are open to any comments the OCA may provide or any modifications they may have to the Joint Petition, but they do not feel this matter should be delayed any longer.</w:t>
      </w:r>
      <w:r>
        <w:rPr>
          <w:rStyle w:val="FootnoteReference"/>
          <w:rFonts w:ascii="Times New Roman" w:hAnsi="Times New Roman"/>
        </w:rPr>
        <w:footnoteReference w:id="8"/>
      </w:r>
      <w:r>
        <w:rPr>
          <w:rFonts w:ascii="Times New Roman" w:hAnsi="Times New Roman"/>
        </w:rPr>
        <w:t xml:space="preserve">    </w:t>
      </w:r>
    </w:p>
    <w:p w14:paraId="285A51F3" w14:textId="2C06AB20" w:rsidR="00B22D90" w:rsidRDefault="00B22D90" w:rsidP="006800D8">
      <w:pPr>
        <w:spacing w:line="360" w:lineRule="auto"/>
        <w:rPr>
          <w:rFonts w:ascii="Times New Roman" w:hAnsi="Times New Roman"/>
        </w:rPr>
      </w:pPr>
    </w:p>
    <w:p w14:paraId="16DFA7EB" w14:textId="6F3EED04" w:rsidR="00B22D90" w:rsidRDefault="00B22D90" w:rsidP="006800D8">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cs="Times New Roman"/>
        </w:rPr>
        <w:t>Regarding an intervenor’s rights, i</w:t>
      </w:r>
      <w:r w:rsidRPr="00182EA7">
        <w:rPr>
          <w:rFonts w:ascii="Times New Roman" w:hAnsi="Times New Roman" w:cs="Times New Roman"/>
        </w:rPr>
        <w:t>t is important to note that the Commission has determined that “</w:t>
      </w:r>
      <w:r>
        <w:rPr>
          <w:rFonts w:ascii="Times New Roman" w:hAnsi="Times New Roman" w:cs="Times New Roman"/>
        </w:rPr>
        <w:t>[a]</w:t>
      </w:r>
      <w:r w:rsidRPr="00182EA7">
        <w:rPr>
          <w:rFonts w:ascii="Times New Roman" w:hAnsi="Times New Roman" w:cs="Times New Roman"/>
        </w:rPr>
        <w:t>n intervenor’s role in proceedings before this Commission is on a non-party basis, meaning that the initiating and responding parties can drive the outcome without regard to the alleged interests of would-be intervenors.</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Clearly, I&amp;E and Verde, the initiating and responding parties in this matter, acted within their rights by engaging in discussions to resolve I&amp;E’s Complaint.  </w:t>
      </w:r>
    </w:p>
    <w:p w14:paraId="347BD44F" w14:textId="0D8C9BD1" w:rsidR="00B95122" w:rsidRDefault="00B95122" w:rsidP="006800D8">
      <w:pPr>
        <w:spacing w:line="360" w:lineRule="auto"/>
        <w:rPr>
          <w:rFonts w:ascii="Times New Roman" w:hAnsi="Times New Roman"/>
        </w:rPr>
      </w:pPr>
    </w:p>
    <w:p w14:paraId="66424E7B" w14:textId="7BE8FE59" w:rsidR="00B95122" w:rsidRDefault="00B95122" w:rsidP="006800D8">
      <w:pPr>
        <w:spacing w:line="360" w:lineRule="auto"/>
        <w:rPr>
          <w:rFonts w:ascii="Times New Roman" w:hAnsi="Times New Roman"/>
        </w:rPr>
      </w:pPr>
      <w:r>
        <w:rPr>
          <w:rFonts w:ascii="Times New Roman" w:hAnsi="Times New Roman"/>
        </w:rPr>
        <w:tab/>
      </w:r>
      <w:r>
        <w:rPr>
          <w:rFonts w:ascii="Times New Roman" w:hAnsi="Times New Roman"/>
        </w:rPr>
        <w:tab/>
        <w:t>Regarding sequence and timing of discovery, Commission regulations provide, in pertinent part, the following:</w:t>
      </w:r>
      <w:r w:rsidR="00BC40F2">
        <w:rPr>
          <w:rFonts w:ascii="Times New Roman" w:hAnsi="Times New Roman"/>
        </w:rPr>
        <w:t xml:space="preserve"> </w:t>
      </w:r>
    </w:p>
    <w:p w14:paraId="5F42EFBE" w14:textId="25F443B0" w:rsidR="00B95122" w:rsidRPr="00B95122" w:rsidRDefault="00B95122" w:rsidP="00B95122">
      <w:pPr>
        <w:spacing w:line="360" w:lineRule="auto"/>
        <w:ind w:left="1440" w:right="1440"/>
        <w:rPr>
          <w:rFonts w:ascii="Times New Roman" w:hAnsi="Times New Roman"/>
        </w:rPr>
      </w:pPr>
    </w:p>
    <w:p w14:paraId="152A80B2" w14:textId="77777777" w:rsidR="00B95122" w:rsidRPr="00B95122" w:rsidRDefault="00B95122" w:rsidP="00B95122">
      <w:pPr>
        <w:autoSpaceDE/>
        <w:autoSpaceDN/>
        <w:spacing w:after="150"/>
        <w:ind w:left="1440" w:right="1440"/>
        <w:rPr>
          <w:rFonts w:ascii="Times New Roman" w:hAnsi="Times New Roman" w:cs="Times New Roman"/>
        </w:rPr>
      </w:pPr>
      <w:r w:rsidRPr="00B95122">
        <w:rPr>
          <w:rFonts w:ascii="Times New Roman" w:hAnsi="Times New Roman" w:cs="Times New Roman"/>
        </w:rPr>
        <w:t xml:space="preserve"> (a)  A party to the Commission proceeding may conduct discovery. </w:t>
      </w:r>
    </w:p>
    <w:p w14:paraId="1A97DDD2" w14:textId="77777777" w:rsidR="00B95122" w:rsidRPr="00B95122" w:rsidRDefault="00B95122" w:rsidP="00B95122">
      <w:pPr>
        <w:autoSpaceDE/>
        <w:autoSpaceDN/>
        <w:spacing w:after="150"/>
        <w:ind w:left="1440" w:right="1440"/>
        <w:rPr>
          <w:rFonts w:ascii="Times New Roman" w:hAnsi="Times New Roman" w:cs="Times New Roman"/>
        </w:rPr>
      </w:pPr>
      <w:r w:rsidRPr="00B95122">
        <w:rPr>
          <w:rFonts w:ascii="Times New Roman" w:hAnsi="Times New Roman" w:cs="Times New Roman"/>
        </w:rPr>
        <w:t xml:space="preserve"> (b)  A party shall initiate discovery as early in the proceedings as reasonably possible. In a proceeding, the right to discovery commences when a complaint, protest or other adverse pleading is filed or when the Commission institutes an investigation or on the record proceeding, whichever is earlier. </w:t>
      </w:r>
    </w:p>
    <w:p w14:paraId="4F2591C3" w14:textId="77777777" w:rsidR="00B95122" w:rsidRPr="00B95122" w:rsidRDefault="00B95122" w:rsidP="00B95122">
      <w:pPr>
        <w:autoSpaceDE/>
        <w:autoSpaceDN/>
        <w:ind w:left="1440" w:right="1440"/>
        <w:rPr>
          <w:rFonts w:ascii="Times New Roman" w:hAnsi="Times New Roman" w:cs="Times New Roman"/>
        </w:rPr>
      </w:pPr>
      <w:r w:rsidRPr="00B95122">
        <w:rPr>
          <w:rFonts w:ascii="Times New Roman" w:hAnsi="Times New Roman" w:cs="Times New Roman"/>
        </w:rPr>
        <w:t xml:space="preserve"> (c)  Commission staff may initiate discovery at an earlier time. Commission staff discovery prior to formal Commission action to initiate a proceeding shall be designated as ‘‘Staff data requests’’ </w:t>
      </w:r>
      <w:r w:rsidRPr="00B95122">
        <w:rPr>
          <w:rFonts w:ascii="Times New Roman" w:hAnsi="Times New Roman" w:cs="Times New Roman"/>
        </w:rPr>
        <w:lastRenderedPageBreak/>
        <w:t xml:space="preserve">and shall be answered fully and completely by the utility within the time periods specified in §  5.342(d) (relating to answers or objections to written interrogatories by a party). Unless a presiding officer has been designated, objections and motions to compel shall be ruled upon by the Chief Administrative Law Judge. </w:t>
      </w:r>
    </w:p>
    <w:p w14:paraId="26D56D7D" w14:textId="681A4DA9" w:rsidR="00B95122" w:rsidRDefault="00B95122" w:rsidP="00B95122">
      <w:pPr>
        <w:spacing w:line="360" w:lineRule="auto"/>
        <w:ind w:right="1440"/>
        <w:rPr>
          <w:rFonts w:ascii="Times New Roman" w:hAnsi="Times New Roman"/>
        </w:rPr>
      </w:pPr>
    </w:p>
    <w:p w14:paraId="341E6F2D" w14:textId="693A03CC" w:rsidR="001F346F" w:rsidRDefault="00B95122" w:rsidP="00B95122">
      <w:pPr>
        <w:spacing w:line="360" w:lineRule="auto"/>
        <w:ind w:right="1440"/>
        <w:rPr>
          <w:rFonts w:ascii="Times New Roman" w:hAnsi="Times New Roman"/>
        </w:rPr>
      </w:pPr>
      <w:r>
        <w:rPr>
          <w:rFonts w:ascii="Times New Roman" w:hAnsi="Times New Roman"/>
        </w:rPr>
        <w:t xml:space="preserve">52 Pa.Code </w:t>
      </w:r>
      <w:r w:rsidR="00324616" w:rsidRPr="0040636D">
        <w:rPr>
          <w:rFonts w:ascii="Times New Roman" w:hAnsi="Times New Roman" w:cs="Times New Roman"/>
          <w:spacing w:val="-3"/>
        </w:rPr>
        <w:t>§§</w:t>
      </w:r>
      <w:r w:rsidR="00324616">
        <w:rPr>
          <w:rFonts w:ascii="Times New Roman" w:hAnsi="Times New Roman" w:cs="Times New Roman"/>
          <w:spacing w:val="-3"/>
        </w:rPr>
        <w:t xml:space="preserve"> </w:t>
      </w:r>
      <w:r>
        <w:rPr>
          <w:rFonts w:ascii="Times New Roman" w:hAnsi="Times New Roman"/>
        </w:rPr>
        <w:t xml:space="preserve">5.331(a)-(c).  </w:t>
      </w:r>
    </w:p>
    <w:p w14:paraId="71B091EE" w14:textId="1DDB5C16" w:rsidR="001F346F" w:rsidRDefault="001F346F" w:rsidP="00B95122">
      <w:pPr>
        <w:spacing w:line="360" w:lineRule="auto"/>
        <w:ind w:right="1440"/>
        <w:rPr>
          <w:rFonts w:ascii="Times New Roman" w:hAnsi="Times New Roman"/>
        </w:rPr>
      </w:pPr>
    </w:p>
    <w:p w14:paraId="03687EF4" w14:textId="73185243" w:rsidR="001F346F" w:rsidRDefault="001F346F" w:rsidP="001F346F">
      <w:pPr>
        <w:spacing w:line="360" w:lineRule="auto"/>
        <w:rPr>
          <w:rFonts w:ascii="Times New Roman" w:hAnsi="Times New Roman"/>
        </w:rPr>
      </w:pPr>
      <w:r>
        <w:rPr>
          <w:rFonts w:ascii="Times New Roman" w:hAnsi="Times New Roman"/>
        </w:rPr>
        <w:tab/>
      </w:r>
      <w:r>
        <w:rPr>
          <w:rFonts w:ascii="Times New Roman" w:hAnsi="Times New Roman"/>
        </w:rPr>
        <w:tab/>
        <w:t>OCA conten</w:t>
      </w:r>
      <w:r w:rsidR="004E5A92">
        <w:rPr>
          <w:rFonts w:ascii="Times New Roman" w:hAnsi="Times New Roman"/>
        </w:rPr>
        <w:t>ds</w:t>
      </w:r>
      <w:r>
        <w:rPr>
          <w:rFonts w:ascii="Times New Roman" w:hAnsi="Times New Roman"/>
        </w:rPr>
        <w:t xml:space="preserve"> that the Settlement is premature as it was negotiated before the OCA</w:t>
      </w:r>
      <w:r w:rsidRPr="001F346F">
        <w:rPr>
          <w:rFonts w:ascii="Times New Roman" w:hAnsi="Times New Roman"/>
        </w:rPr>
        <w:t xml:space="preserve"> was able to conduct discovery into the allegations in the Complaint</w:t>
      </w:r>
      <w:r>
        <w:rPr>
          <w:rFonts w:ascii="Times New Roman" w:hAnsi="Times New Roman"/>
        </w:rPr>
        <w:t xml:space="preserve">.  As previously noted, Commission regulations provide that “[a] party shall </w:t>
      </w:r>
      <w:r w:rsidRPr="00B95122">
        <w:rPr>
          <w:rFonts w:ascii="Times New Roman" w:hAnsi="Times New Roman" w:cs="Times New Roman"/>
        </w:rPr>
        <w:t>initiate discovery as early in the proceedings as reasonably possible</w:t>
      </w:r>
      <w:r>
        <w:rPr>
          <w:rFonts w:ascii="Times New Roman" w:hAnsi="Times New Roman" w:cs="Times New Roman"/>
        </w:rPr>
        <w:t>,” and that “</w:t>
      </w:r>
      <w:r w:rsidRPr="00B95122">
        <w:rPr>
          <w:rFonts w:ascii="Times New Roman" w:hAnsi="Times New Roman" w:cs="Times New Roman"/>
        </w:rPr>
        <w:t>the right to discovery commences when a complaint, protest or other adverse pleading is filed</w:t>
      </w:r>
      <w:r>
        <w:rPr>
          <w:rFonts w:ascii="Times New Roman" w:hAnsi="Times New Roman" w:cs="Times New Roman"/>
        </w:rPr>
        <w:t xml:space="preserve">.”  I&amp;E filed its Complaint in this matter on </w:t>
      </w:r>
      <w:r>
        <w:rPr>
          <w:rFonts w:ascii="Times New Roman" w:hAnsi="Times New Roman"/>
        </w:rPr>
        <w:t xml:space="preserve">January 30, 2020.  Pursuant to Commission regulations, the OCA could have commenced discovery upon the filing of its Notice of Intervention on February 24, 2020.  </w:t>
      </w:r>
    </w:p>
    <w:p w14:paraId="6985471F" w14:textId="39066A78" w:rsidR="00CF09E5" w:rsidRDefault="00CF09E5" w:rsidP="001F346F">
      <w:pPr>
        <w:spacing w:line="360" w:lineRule="auto"/>
        <w:rPr>
          <w:rFonts w:ascii="Times New Roman" w:hAnsi="Times New Roman"/>
        </w:rPr>
      </w:pPr>
    </w:p>
    <w:p w14:paraId="6204EE89" w14:textId="16D9BE40" w:rsidR="00CC3852" w:rsidRDefault="00CF09E5" w:rsidP="00A31581">
      <w:pPr>
        <w:spacing w:line="360" w:lineRule="auto"/>
        <w:rPr>
          <w:rFonts w:ascii="Times New Roman" w:hAnsi="Times New Roman"/>
        </w:rPr>
      </w:pPr>
      <w:r>
        <w:rPr>
          <w:rFonts w:ascii="Times New Roman" w:hAnsi="Times New Roman"/>
        </w:rPr>
        <w:tab/>
      </w:r>
      <w:r>
        <w:rPr>
          <w:rFonts w:ascii="Times New Roman" w:hAnsi="Times New Roman"/>
        </w:rPr>
        <w:tab/>
        <w:t xml:space="preserve">I&amp;E went into </w:t>
      </w:r>
      <w:r w:rsidR="00C27A72">
        <w:rPr>
          <w:rFonts w:ascii="Times New Roman" w:hAnsi="Times New Roman"/>
        </w:rPr>
        <w:t>considerable</w:t>
      </w:r>
      <w:r>
        <w:rPr>
          <w:rFonts w:ascii="Times New Roman" w:hAnsi="Times New Roman"/>
        </w:rPr>
        <w:t xml:space="preserve"> detail with </w:t>
      </w:r>
      <w:r w:rsidR="005C7B5D">
        <w:rPr>
          <w:rFonts w:ascii="Times New Roman" w:hAnsi="Times New Roman"/>
        </w:rPr>
        <w:t xml:space="preserve">its </w:t>
      </w:r>
      <w:r>
        <w:rPr>
          <w:rFonts w:ascii="Times New Roman" w:hAnsi="Times New Roman"/>
        </w:rPr>
        <w:t>allegations in the Complaint</w:t>
      </w:r>
      <w:r w:rsidR="005C7B5D">
        <w:rPr>
          <w:rFonts w:ascii="Times New Roman" w:hAnsi="Times New Roman"/>
        </w:rPr>
        <w:t xml:space="preserve">, </w:t>
      </w:r>
      <w:r>
        <w:rPr>
          <w:rFonts w:ascii="Times New Roman" w:hAnsi="Times New Roman"/>
        </w:rPr>
        <w:t>break</w:t>
      </w:r>
      <w:r w:rsidR="00DD72F2">
        <w:rPr>
          <w:rFonts w:ascii="Times New Roman" w:hAnsi="Times New Roman"/>
        </w:rPr>
        <w:t>ing</w:t>
      </w:r>
      <w:r>
        <w:rPr>
          <w:rFonts w:ascii="Times New Roman" w:hAnsi="Times New Roman"/>
        </w:rPr>
        <w:t xml:space="preserve"> it up into subsections including: misleading and deceptive telemarketing conduct; misleading and deceptive door-to-door sales conduct; slamming/unauthorized switch; releasing private customer information/unauthorized account access; and failure to maintain verification records.  </w:t>
      </w:r>
      <w:r w:rsidR="005600AB">
        <w:rPr>
          <w:rFonts w:ascii="Times New Roman" w:hAnsi="Times New Roman"/>
        </w:rPr>
        <w:t xml:space="preserve">I&amp;E also went into great detail regarding </w:t>
      </w:r>
      <w:r w:rsidR="002D6B04">
        <w:rPr>
          <w:rFonts w:ascii="Times New Roman" w:hAnsi="Times New Roman"/>
        </w:rPr>
        <w:t xml:space="preserve">Verde’s alleged </w:t>
      </w:r>
      <w:r w:rsidR="005600AB">
        <w:rPr>
          <w:rFonts w:ascii="Times New Roman" w:hAnsi="Times New Roman"/>
        </w:rPr>
        <w:t>violations</w:t>
      </w:r>
      <w:r w:rsidR="002D6B04">
        <w:rPr>
          <w:rFonts w:ascii="Times New Roman" w:hAnsi="Times New Roman"/>
        </w:rPr>
        <w:t xml:space="preserve"> of Commission regulations</w:t>
      </w:r>
      <w:r w:rsidR="005600AB">
        <w:rPr>
          <w:rFonts w:ascii="Times New Roman" w:hAnsi="Times New Roman"/>
        </w:rPr>
        <w:t xml:space="preserve">.  </w:t>
      </w:r>
      <w:r w:rsidR="000A6011">
        <w:rPr>
          <w:rFonts w:ascii="Times New Roman" w:hAnsi="Times New Roman"/>
        </w:rPr>
        <w:t>There was sufficient information contained within the Complaint</w:t>
      </w:r>
      <w:r w:rsidR="00067CB0">
        <w:rPr>
          <w:rFonts w:ascii="Times New Roman" w:hAnsi="Times New Roman"/>
        </w:rPr>
        <w:t>, as well as</w:t>
      </w:r>
      <w:r w:rsidR="00C87683">
        <w:rPr>
          <w:rFonts w:ascii="Times New Roman" w:hAnsi="Times New Roman"/>
        </w:rPr>
        <w:t xml:space="preserve"> from earlier discovery conducted by I&amp;E</w:t>
      </w:r>
      <w:r w:rsidR="00067CB0">
        <w:rPr>
          <w:rFonts w:ascii="Times New Roman" w:hAnsi="Times New Roman"/>
        </w:rPr>
        <w:t>,</w:t>
      </w:r>
      <w:r w:rsidR="000A6011">
        <w:rPr>
          <w:rFonts w:ascii="Times New Roman" w:hAnsi="Times New Roman"/>
        </w:rPr>
        <w:t xml:space="preserve"> for </w:t>
      </w:r>
      <w:r w:rsidR="00E512B6">
        <w:rPr>
          <w:rFonts w:ascii="Times New Roman" w:hAnsi="Times New Roman"/>
        </w:rPr>
        <w:t xml:space="preserve">the OCA to begin conducting </w:t>
      </w:r>
      <w:r w:rsidR="003D79A2">
        <w:rPr>
          <w:rFonts w:ascii="Times New Roman" w:hAnsi="Times New Roman"/>
        </w:rPr>
        <w:t xml:space="preserve">its own </w:t>
      </w:r>
      <w:r w:rsidR="00E512B6">
        <w:rPr>
          <w:rFonts w:ascii="Times New Roman" w:hAnsi="Times New Roman"/>
        </w:rPr>
        <w:t xml:space="preserve">discovery.  This is evidenced by the fact that the OCA </w:t>
      </w:r>
      <w:r w:rsidR="004E5A92">
        <w:rPr>
          <w:rFonts w:ascii="Times New Roman" w:hAnsi="Times New Roman"/>
        </w:rPr>
        <w:t xml:space="preserve">ultimately began to draft discovery in May 2020 before it learned of the potential settlement, and well before Verde filed an </w:t>
      </w:r>
      <w:r w:rsidR="003D79A2">
        <w:rPr>
          <w:rFonts w:ascii="Times New Roman" w:hAnsi="Times New Roman"/>
        </w:rPr>
        <w:t>A</w:t>
      </w:r>
      <w:r w:rsidR="004E5A92">
        <w:rPr>
          <w:rFonts w:ascii="Times New Roman" w:hAnsi="Times New Roman"/>
        </w:rPr>
        <w:t>nswer to I&amp;E’s Complaint.</w:t>
      </w:r>
      <w:r w:rsidR="00502F4F">
        <w:rPr>
          <w:rFonts w:ascii="Times New Roman" w:hAnsi="Times New Roman"/>
        </w:rPr>
        <w:t xml:space="preserve">  Moreover, the OCA had </w:t>
      </w:r>
      <w:r w:rsidR="00DD72F2">
        <w:rPr>
          <w:rFonts w:ascii="Times New Roman" w:hAnsi="Times New Roman"/>
        </w:rPr>
        <w:t>three additional months after Verde provided it with a copy of the draft settlement (May 27</w:t>
      </w:r>
      <w:r w:rsidR="00DD72F2" w:rsidRPr="00DD72F2">
        <w:rPr>
          <w:rFonts w:ascii="Times New Roman" w:hAnsi="Times New Roman"/>
          <w:vertAlign w:val="superscript"/>
        </w:rPr>
        <w:t>th</w:t>
      </w:r>
      <w:r w:rsidR="00DD72F2">
        <w:rPr>
          <w:rFonts w:ascii="Times New Roman" w:hAnsi="Times New Roman"/>
        </w:rPr>
        <w:t>)</w:t>
      </w:r>
      <w:r w:rsidR="00502F4F">
        <w:rPr>
          <w:rFonts w:ascii="Times New Roman" w:hAnsi="Times New Roman"/>
        </w:rPr>
        <w:t xml:space="preserve"> to conduct discovery prior to the scheduled prehearing conference</w:t>
      </w:r>
      <w:r w:rsidR="00DD72F2">
        <w:rPr>
          <w:rFonts w:ascii="Times New Roman" w:hAnsi="Times New Roman"/>
        </w:rPr>
        <w:t xml:space="preserve"> (August 27</w:t>
      </w:r>
      <w:r w:rsidR="00DD72F2" w:rsidRPr="00DD72F2">
        <w:rPr>
          <w:rFonts w:ascii="Times New Roman" w:hAnsi="Times New Roman"/>
          <w:vertAlign w:val="superscript"/>
        </w:rPr>
        <w:t>th</w:t>
      </w:r>
      <w:r w:rsidR="00DD72F2">
        <w:rPr>
          <w:rFonts w:ascii="Times New Roman" w:hAnsi="Times New Roman"/>
        </w:rPr>
        <w:t>)</w:t>
      </w:r>
      <w:r w:rsidR="00502F4F">
        <w:rPr>
          <w:rFonts w:ascii="Times New Roman" w:hAnsi="Times New Roman"/>
        </w:rPr>
        <w:t xml:space="preserve">.  </w:t>
      </w:r>
      <w:r w:rsidR="00DD72F2">
        <w:rPr>
          <w:rFonts w:ascii="Times New Roman" w:hAnsi="Times New Roman"/>
        </w:rPr>
        <w:t xml:space="preserve">In total, </w:t>
      </w:r>
      <w:r w:rsidR="00067CB0">
        <w:rPr>
          <w:rFonts w:ascii="Times New Roman" w:hAnsi="Times New Roman"/>
        </w:rPr>
        <w:t xml:space="preserve">by the date of the prehearing conference, </w:t>
      </w:r>
      <w:r w:rsidR="00DD72F2">
        <w:rPr>
          <w:rFonts w:ascii="Times New Roman" w:hAnsi="Times New Roman"/>
        </w:rPr>
        <w:t xml:space="preserve">the OCA </w:t>
      </w:r>
      <w:r w:rsidR="00067CB0">
        <w:rPr>
          <w:rFonts w:ascii="Times New Roman" w:hAnsi="Times New Roman"/>
        </w:rPr>
        <w:t xml:space="preserve">already </w:t>
      </w:r>
      <w:r w:rsidR="00DD72F2">
        <w:rPr>
          <w:rFonts w:ascii="Times New Roman" w:hAnsi="Times New Roman"/>
        </w:rPr>
        <w:t xml:space="preserve">had six months </w:t>
      </w:r>
      <w:r w:rsidR="00DC6632">
        <w:rPr>
          <w:rFonts w:ascii="Times New Roman" w:hAnsi="Times New Roman"/>
        </w:rPr>
        <w:t xml:space="preserve">to </w:t>
      </w:r>
      <w:r w:rsidR="00DD72F2">
        <w:rPr>
          <w:rFonts w:ascii="Times New Roman" w:hAnsi="Times New Roman"/>
        </w:rPr>
        <w:t xml:space="preserve">conduct discovery into this matter.  </w:t>
      </w:r>
    </w:p>
    <w:p w14:paraId="18D18FBB" w14:textId="77777777" w:rsidR="00CC3852" w:rsidRDefault="00CC3852" w:rsidP="00A31581">
      <w:pPr>
        <w:spacing w:line="360" w:lineRule="auto"/>
        <w:rPr>
          <w:rFonts w:ascii="Times New Roman" w:hAnsi="Times New Roman"/>
        </w:rPr>
      </w:pPr>
    </w:p>
    <w:p w14:paraId="462F6140" w14:textId="0FA394EB" w:rsidR="00CF09E5" w:rsidRDefault="00502F4F" w:rsidP="00A426ED">
      <w:pPr>
        <w:spacing w:line="360" w:lineRule="auto"/>
        <w:ind w:firstLine="1440"/>
        <w:rPr>
          <w:rFonts w:ascii="Times New Roman" w:hAnsi="Times New Roman"/>
        </w:rPr>
      </w:pPr>
      <w:r>
        <w:rPr>
          <w:rFonts w:ascii="Times New Roman" w:hAnsi="Times New Roman"/>
        </w:rPr>
        <w:t>Under the circumstances</w:t>
      </w:r>
      <w:r w:rsidR="004E5A92">
        <w:rPr>
          <w:rFonts w:ascii="Times New Roman" w:hAnsi="Times New Roman"/>
        </w:rPr>
        <w:t>, I am not persuaded by the OCA’s argument that it was not able to conduct discovery into the allegations in the Complaint.</w:t>
      </w:r>
      <w:r>
        <w:rPr>
          <w:rFonts w:ascii="Times New Roman" w:hAnsi="Times New Roman"/>
        </w:rPr>
        <w:t xml:space="preserve">  </w:t>
      </w:r>
      <w:r w:rsidR="00A426ED">
        <w:rPr>
          <w:rFonts w:ascii="Times New Roman" w:hAnsi="Times New Roman"/>
        </w:rPr>
        <w:t>The OCA clearly</w:t>
      </w:r>
      <w:r w:rsidR="005F3B21">
        <w:rPr>
          <w:rFonts w:ascii="Times New Roman" w:hAnsi="Times New Roman"/>
        </w:rPr>
        <w:t xml:space="preserve"> </w:t>
      </w:r>
      <w:r w:rsidR="00A426ED">
        <w:rPr>
          <w:rFonts w:ascii="Times New Roman" w:hAnsi="Times New Roman"/>
        </w:rPr>
        <w:t>had sufficient time to conduct discovery into this matter</w:t>
      </w:r>
      <w:r w:rsidR="005F3B21">
        <w:rPr>
          <w:rFonts w:ascii="Times New Roman" w:hAnsi="Times New Roman"/>
        </w:rPr>
        <w:t xml:space="preserve"> and to evaluate the terms of the Settlement</w:t>
      </w:r>
      <w:r w:rsidR="00A426ED">
        <w:rPr>
          <w:rFonts w:ascii="Times New Roman" w:hAnsi="Times New Roman"/>
        </w:rPr>
        <w:t xml:space="preserve">.  </w:t>
      </w:r>
      <w:r w:rsidR="00B22D90">
        <w:rPr>
          <w:rFonts w:ascii="Times New Roman" w:hAnsi="Times New Roman" w:cs="Times New Roman"/>
        </w:rPr>
        <w:lastRenderedPageBreak/>
        <w:t>I&amp;E and Verde</w:t>
      </w:r>
      <w:r w:rsidR="00B6226F">
        <w:rPr>
          <w:rFonts w:ascii="Times New Roman" w:hAnsi="Times New Roman" w:cs="Times New Roman"/>
        </w:rPr>
        <w:t xml:space="preserve"> invited the OCA to weigh in on the Settlement over one month before it was filed</w:t>
      </w:r>
      <w:r w:rsidR="00C15592">
        <w:rPr>
          <w:rFonts w:ascii="Times New Roman" w:hAnsi="Times New Roman" w:cs="Times New Roman"/>
        </w:rPr>
        <w:t>,</w:t>
      </w:r>
      <w:r w:rsidR="00B6226F">
        <w:rPr>
          <w:rFonts w:ascii="Times New Roman" w:hAnsi="Times New Roman" w:cs="Times New Roman"/>
        </w:rPr>
        <w:t xml:space="preserve"> and the OCA opted not to do so.  Since the OCA had the opportunity to conduct discovery and to weigh in on the Settlement, </w:t>
      </w:r>
      <w:r>
        <w:rPr>
          <w:rFonts w:ascii="Times New Roman" w:hAnsi="Times New Roman"/>
        </w:rPr>
        <w:t xml:space="preserve">I will deny the OCA’s request to hold this matter in abeyance for 60 days.  </w:t>
      </w:r>
      <w:r w:rsidR="007A2556">
        <w:rPr>
          <w:rFonts w:ascii="Times New Roman" w:hAnsi="Times New Roman"/>
        </w:rPr>
        <w:t>Instead, I will issue a recommended decision addressing whether the Settlement is in the public interest</w:t>
      </w:r>
      <w:r w:rsidR="002017A6">
        <w:rPr>
          <w:rFonts w:ascii="Times New Roman" w:hAnsi="Times New Roman"/>
        </w:rPr>
        <w:t xml:space="preserve"> and should be approved</w:t>
      </w:r>
      <w:r w:rsidR="007A2556">
        <w:rPr>
          <w:rFonts w:ascii="Times New Roman" w:hAnsi="Times New Roman"/>
        </w:rPr>
        <w:t>.</w:t>
      </w:r>
    </w:p>
    <w:p w14:paraId="1DE9B727" w14:textId="2A2402C0" w:rsidR="00C15592" w:rsidRDefault="00C15592" w:rsidP="00A426ED">
      <w:pPr>
        <w:spacing w:line="360" w:lineRule="auto"/>
        <w:ind w:firstLine="1440"/>
        <w:rPr>
          <w:rFonts w:ascii="Times New Roman" w:hAnsi="Times New Roman"/>
        </w:rPr>
      </w:pPr>
    </w:p>
    <w:p w14:paraId="428A4057" w14:textId="1A59AD60" w:rsidR="00C15592" w:rsidRDefault="00C15592" w:rsidP="00A426ED">
      <w:pPr>
        <w:spacing w:line="360" w:lineRule="auto"/>
        <w:ind w:firstLine="1440"/>
        <w:rPr>
          <w:rFonts w:ascii="Times New Roman" w:hAnsi="Times New Roman"/>
        </w:rPr>
      </w:pPr>
      <w:r>
        <w:rPr>
          <w:rFonts w:ascii="Times New Roman" w:hAnsi="Times New Roman"/>
        </w:rPr>
        <w:t>The OCA raised a valid point during the prehearing conference, that the Commission’s standards for reviewing a non-unanimous settlement are the same as those for deciding a fully contested case, and that substantial evidence consistent with statutory requirements must support the proposed settlement.</w:t>
      </w:r>
      <w:r>
        <w:rPr>
          <w:rStyle w:val="FootnoteReference"/>
          <w:rFonts w:ascii="Times New Roman" w:hAnsi="Times New Roman"/>
        </w:rPr>
        <w:footnoteReference w:id="10"/>
      </w:r>
      <w:r>
        <w:rPr>
          <w:rFonts w:ascii="Times New Roman" w:hAnsi="Times New Roman"/>
        </w:rPr>
        <w:t xml:space="preserve">  The OCA notes that no facts have been entered into the record in this matter.</w:t>
      </w:r>
      <w:r>
        <w:rPr>
          <w:rStyle w:val="FootnoteReference"/>
          <w:rFonts w:ascii="Times New Roman" w:hAnsi="Times New Roman"/>
        </w:rPr>
        <w:footnoteReference w:id="11"/>
      </w:r>
      <w:r>
        <w:rPr>
          <w:rFonts w:ascii="Times New Roman" w:hAnsi="Times New Roman"/>
        </w:rPr>
        <w:t xml:space="preserve">  There must be a record to support the terms of the Settlement in this matter.  As there has not been any pre-served testimony</w:t>
      </w:r>
      <w:r w:rsidR="00964FED">
        <w:rPr>
          <w:rFonts w:ascii="Times New Roman" w:hAnsi="Times New Roman"/>
        </w:rPr>
        <w:t xml:space="preserve">, </w:t>
      </w:r>
      <w:r>
        <w:rPr>
          <w:rFonts w:ascii="Times New Roman" w:hAnsi="Times New Roman"/>
        </w:rPr>
        <w:t>evidentiary hearings</w:t>
      </w:r>
      <w:r w:rsidR="00964FED">
        <w:rPr>
          <w:rFonts w:ascii="Times New Roman" w:hAnsi="Times New Roman"/>
        </w:rPr>
        <w:t xml:space="preserve"> or stipulated facts</w:t>
      </w:r>
      <w:r>
        <w:rPr>
          <w:rFonts w:ascii="Times New Roman" w:hAnsi="Times New Roman"/>
        </w:rPr>
        <w:t xml:space="preserve"> in this case, there is </w:t>
      </w:r>
      <w:r w:rsidR="00964FED">
        <w:rPr>
          <w:rFonts w:ascii="Times New Roman" w:hAnsi="Times New Roman"/>
        </w:rPr>
        <w:t xml:space="preserve">currently </w:t>
      </w:r>
      <w:r>
        <w:rPr>
          <w:rFonts w:ascii="Times New Roman" w:hAnsi="Times New Roman"/>
        </w:rPr>
        <w:t>no record to support the terms of the Settlement.  However, th</w:t>
      </w:r>
      <w:r w:rsidR="00DC6632">
        <w:rPr>
          <w:rFonts w:ascii="Times New Roman" w:hAnsi="Times New Roman"/>
        </w:rPr>
        <w:t>is deficiency is not without remedy</w:t>
      </w:r>
      <w:r>
        <w:rPr>
          <w:rFonts w:ascii="Times New Roman" w:hAnsi="Times New Roman"/>
        </w:rPr>
        <w:t xml:space="preserve">.  Accordingly, the Settling Parties will be </w:t>
      </w:r>
      <w:r w:rsidR="00BD76C0">
        <w:rPr>
          <w:rFonts w:ascii="Times New Roman" w:hAnsi="Times New Roman"/>
        </w:rPr>
        <w:t>permitted</w:t>
      </w:r>
      <w:r>
        <w:rPr>
          <w:rFonts w:ascii="Times New Roman" w:hAnsi="Times New Roman"/>
        </w:rPr>
        <w:t xml:space="preserve"> to </w:t>
      </w:r>
      <w:r>
        <w:rPr>
          <w:spacing w:val="-3"/>
        </w:rPr>
        <w:t>file stipulated facts in support of the Joint Petition for Settlement with the Commission’s Secretary within twenty (20) days of the date of issuance of this Order.</w:t>
      </w:r>
    </w:p>
    <w:p w14:paraId="4C4989C4" w14:textId="3C36F593" w:rsidR="007A2556" w:rsidRDefault="007A2556" w:rsidP="001F346F">
      <w:pPr>
        <w:spacing w:line="360" w:lineRule="auto"/>
        <w:rPr>
          <w:rFonts w:ascii="Times New Roman" w:hAnsi="Times New Roman"/>
        </w:rPr>
      </w:pPr>
    </w:p>
    <w:p w14:paraId="60056277" w14:textId="2AC43BFA" w:rsidR="00917A25" w:rsidRDefault="007A2556" w:rsidP="001D584A">
      <w:pPr>
        <w:spacing w:line="360" w:lineRule="auto"/>
        <w:rPr>
          <w:rFonts w:ascii="Times New Roman" w:hAnsi="Times New Roman"/>
        </w:rPr>
      </w:pPr>
      <w:r>
        <w:rPr>
          <w:rFonts w:ascii="Times New Roman" w:hAnsi="Times New Roman"/>
        </w:rPr>
        <w:tab/>
      </w:r>
      <w:r>
        <w:rPr>
          <w:rFonts w:ascii="Times New Roman" w:hAnsi="Times New Roman"/>
        </w:rPr>
        <w:tab/>
        <w:t>Since</w:t>
      </w:r>
      <w:r w:rsidR="000F478A">
        <w:rPr>
          <w:rFonts w:ascii="Times New Roman" w:hAnsi="Times New Roman"/>
        </w:rPr>
        <w:t xml:space="preserve"> the</w:t>
      </w:r>
      <w:r>
        <w:rPr>
          <w:rFonts w:ascii="Times New Roman" w:hAnsi="Times New Roman"/>
        </w:rPr>
        <w:t xml:space="preserve"> OCA’s Statement in Opposition to the Joint Petition largely challenged the Settlement </w:t>
      </w:r>
      <w:r w:rsidR="004F2852">
        <w:rPr>
          <w:rFonts w:ascii="Times New Roman" w:hAnsi="Times New Roman"/>
        </w:rPr>
        <w:t>because</w:t>
      </w:r>
      <w:r w:rsidR="00EA5F89">
        <w:rPr>
          <w:rFonts w:ascii="Times New Roman" w:hAnsi="Times New Roman"/>
        </w:rPr>
        <w:t xml:space="preserve"> it had not fully conducted discovery</w:t>
      </w:r>
      <w:r w:rsidR="00EF3D1B">
        <w:rPr>
          <w:rFonts w:ascii="Times New Roman" w:hAnsi="Times New Roman"/>
        </w:rPr>
        <w:t xml:space="preserve">, I will allow </w:t>
      </w:r>
      <w:r w:rsidR="000F478A">
        <w:rPr>
          <w:rFonts w:ascii="Times New Roman" w:hAnsi="Times New Roman"/>
        </w:rPr>
        <w:t xml:space="preserve">the </w:t>
      </w:r>
      <w:r w:rsidR="00EF3D1B">
        <w:rPr>
          <w:rFonts w:ascii="Times New Roman" w:hAnsi="Times New Roman"/>
        </w:rPr>
        <w:t xml:space="preserve">OCA an opportunity to provide </w:t>
      </w:r>
      <w:r w:rsidR="00681D65">
        <w:rPr>
          <w:rFonts w:ascii="Times New Roman" w:hAnsi="Times New Roman"/>
        </w:rPr>
        <w:t xml:space="preserve">substantive </w:t>
      </w:r>
      <w:r w:rsidR="00EF3D1B">
        <w:rPr>
          <w:rFonts w:ascii="Times New Roman" w:hAnsi="Times New Roman"/>
        </w:rPr>
        <w:t xml:space="preserve">comments on the Settlement and to delineate the issues they would raise if the Settlement is rejected and to outline how </w:t>
      </w:r>
      <w:r w:rsidR="000F478A">
        <w:rPr>
          <w:rFonts w:ascii="Times New Roman" w:hAnsi="Times New Roman"/>
        </w:rPr>
        <w:t xml:space="preserve">the </w:t>
      </w:r>
      <w:r w:rsidR="00F52724">
        <w:rPr>
          <w:rFonts w:ascii="Times New Roman" w:hAnsi="Times New Roman"/>
        </w:rPr>
        <w:t>OCA’s</w:t>
      </w:r>
      <w:r w:rsidR="00EF3D1B">
        <w:rPr>
          <w:rFonts w:ascii="Times New Roman" w:hAnsi="Times New Roman"/>
        </w:rPr>
        <w:t xml:space="preserve"> interest</w:t>
      </w:r>
      <w:r w:rsidR="00F52724">
        <w:rPr>
          <w:rFonts w:ascii="Times New Roman" w:hAnsi="Times New Roman"/>
        </w:rPr>
        <w:t>s</w:t>
      </w:r>
      <w:r w:rsidR="00EF3D1B">
        <w:rPr>
          <w:rFonts w:ascii="Times New Roman" w:hAnsi="Times New Roman"/>
        </w:rPr>
        <w:t xml:space="preserve"> would be affected if the Settlement is accepted. My decision will consider comments/reply comments and will be issued for exceptions.  </w:t>
      </w:r>
      <w:r w:rsidR="00687803">
        <w:rPr>
          <w:rFonts w:ascii="Times New Roman" w:hAnsi="Times New Roman"/>
        </w:rPr>
        <w:t xml:space="preserve">Since the Settling Parties have twenty (20) days from the date of this order to file stipulated facts in support of the Joint Petition for Settlement, </w:t>
      </w:r>
      <w:r w:rsidR="000F478A">
        <w:rPr>
          <w:rFonts w:ascii="Times New Roman" w:hAnsi="Times New Roman"/>
        </w:rPr>
        <w:t xml:space="preserve">the </w:t>
      </w:r>
      <w:r w:rsidR="007E445D">
        <w:rPr>
          <w:rFonts w:ascii="Times New Roman" w:hAnsi="Times New Roman"/>
        </w:rPr>
        <w:t xml:space="preserve">OCA </w:t>
      </w:r>
      <w:r w:rsidR="00F52724">
        <w:rPr>
          <w:rFonts w:ascii="Times New Roman" w:hAnsi="Times New Roman"/>
        </w:rPr>
        <w:t>will have</w:t>
      </w:r>
      <w:r w:rsidR="007E445D">
        <w:rPr>
          <w:rFonts w:ascii="Times New Roman" w:hAnsi="Times New Roman"/>
        </w:rPr>
        <w:t xml:space="preserve"> </w:t>
      </w:r>
      <w:r w:rsidR="005E7C8B">
        <w:rPr>
          <w:rFonts w:ascii="Times New Roman" w:hAnsi="Times New Roman"/>
        </w:rPr>
        <w:t>for</w:t>
      </w:r>
      <w:r w:rsidR="007E445D">
        <w:rPr>
          <w:rFonts w:ascii="Times New Roman" w:hAnsi="Times New Roman"/>
        </w:rPr>
        <w:t>ty (</w:t>
      </w:r>
      <w:r w:rsidR="005E7C8B">
        <w:rPr>
          <w:rFonts w:ascii="Times New Roman" w:hAnsi="Times New Roman"/>
        </w:rPr>
        <w:t>4</w:t>
      </w:r>
      <w:r w:rsidR="007E445D">
        <w:rPr>
          <w:rFonts w:ascii="Times New Roman" w:hAnsi="Times New Roman"/>
        </w:rPr>
        <w:t xml:space="preserve">0) days </w:t>
      </w:r>
      <w:r w:rsidR="00042181">
        <w:rPr>
          <w:rFonts w:ascii="Times New Roman" w:hAnsi="Times New Roman"/>
        </w:rPr>
        <w:t>from</w:t>
      </w:r>
      <w:r w:rsidR="007E445D">
        <w:rPr>
          <w:rFonts w:ascii="Times New Roman" w:hAnsi="Times New Roman"/>
        </w:rPr>
        <w:t xml:space="preserve"> the issuance </w:t>
      </w:r>
      <w:r w:rsidR="007647FC">
        <w:rPr>
          <w:rFonts w:ascii="Times New Roman" w:hAnsi="Times New Roman"/>
        </w:rPr>
        <w:t xml:space="preserve">date </w:t>
      </w:r>
      <w:r w:rsidR="007E445D">
        <w:rPr>
          <w:rFonts w:ascii="Times New Roman" w:hAnsi="Times New Roman"/>
        </w:rPr>
        <w:t xml:space="preserve">of this Order </w:t>
      </w:r>
      <w:r w:rsidR="00F52724">
        <w:rPr>
          <w:rFonts w:ascii="Times New Roman" w:hAnsi="Times New Roman"/>
        </w:rPr>
        <w:t xml:space="preserve">to file comments </w:t>
      </w:r>
      <w:r w:rsidR="007E445D">
        <w:rPr>
          <w:rFonts w:ascii="Times New Roman" w:hAnsi="Times New Roman"/>
        </w:rPr>
        <w:t xml:space="preserve">in support of, or in opposition to, the Joint </w:t>
      </w:r>
      <w:r w:rsidR="007E445D">
        <w:rPr>
          <w:rFonts w:ascii="Times New Roman" w:hAnsi="Times New Roman"/>
        </w:rPr>
        <w:lastRenderedPageBreak/>
        <w:t xml:space="preserve">Petition for Approval of Settlement filed on June 30, 2020.  Verde and I&amp;E will </w:t>
      </w:r>
      <w:r w:rsidR="00D772CF">
        <w:rPr>
          <w:rFonts w:ascii="Times New Roman" w:hAnsi="Times New Roman"/>
        </w:rPr>
        <w:t xml:space="preserve">be </w:t>
      </w:r>
      <w:r w:rsidR="007E445D">
        <w:rPr>
          <w:rFonts w:ascii="Times New Roman" w:hAnsi="Times New Roman"/>
        </w:rPr>
        <w:t xml:space="preserve">permitted to file Reply Comments in response to any Comments filed by OCA within </w:t>
      </w:r>
      <w:r w:rsidR="005E7C8B">
        <w:rPr>
          <w:rFonts w:ascii="Times New Roman" w:hAnsi="Times New Roman"/>
        </w:rPr>
        <w:t>six</w:t>
      </w:r>
      <w:r w:rsidR="007E445D">
        <w:rPr>
          <w:rFonts w:ascii="Times New Roman" w:hAnsi="Times New Roman"/>
        </w:rPr>
        <w:t>ty (</w:t>
      </w:r>
      <w:r w:rsidR="005E7C8B">
        <w:rPr>
          <w:rFonts w:ascii="Times New Roman" w:hAnsi="Times New Roman"/>
        </w:rPr>
        <w:t>6</w:t>
      </w:r>
      <w:r w:rsidR="007E445D">
        <w:rPr>
          <w:rFonts w:ascii="Times New Roman" w:hAnsi="Times New Roman"/>
        </w:rPr>
        <w:t xml:space="preserve">0) days of the issuance </w:t>
      </w:r>
      <w:r w:rsidR="007647FC">
        <w:rPr>
          <w:rFonts w:ascii="Times New Roman" w:hAnsi="Times New Roman"/>
        </w:rPr>
        <w:t xml:space="preserve">date </w:t>
      </w:r>
      <w:r w:rsidR="007E445D">
        <w:rPr>
          <w:rFonts w:ascii="Times New Roman" w:hAnsi="Times New Roman"/>
        </w:rPr>
        <w:t xml:space="preserve">of this Order.  </w:t>
      </w:r>
    </w:p>
    <w:p w14:paraId="2995325C" w14:textId="71986D40" w:rsidR="002D5F03" w:rsidRDefault="002D5F03" w:rsidP="001D584A">
      <w:pPr>
        <w:spacing w:line="360" w:lineRule="auto"/>
        <w:rPr>
          <w:rFonts w:ascii="Times New Roman" w:hAnsi="Times New Roman"/>
        </w:rPr>
      </w:pPr>
      <w:r>
        <w:rPr>
          <w:rFonts w:ascii="Times New Roman" w:hAnsi="Times New Roman"/>
        </w:rPr>
        <w:tab/>
      </w:r>
      <w:r>
        <w:rPr>
          <w:rFonts w:ascii="Times New Roman" w:hAnsi="Times New Roman"/>
        </w:rPr>
        <w:tab/>
        <w:t xml:space="preserve">  </w:t>
      </w:r>
    </w:p>
    <w:p w14:paraId="5BB9BFA0" w14:textId="77777777" w:rsidR="002D5F03" w:rsidRPr="002D5F03" w:rsidRDefault="002D5F03" w:rsidP="001D584A">
      <w:pPr>
        <w:autoSpaceDE/>
        <w:autoSpaceDN/>
        <w:spacing w:line="360" w:lineRule="auto"/>
        <w:ind w:left="720" w:firstLine="720"/>
        <w:rPr>
          <w:rFonts w:ascii="Times New Roman" w:hAnsi="Times New Roman" w:cs="Times New Roman"/>
        </w:rPr>
      </w:pPr>
      <w:r w:rsidRPr="002D5F03">
        <w:rPr>
          <w:rFonts w:ascii="Times New Roman" w:hAnsi="Times New Roman" w:cs="Times New Roman"/>
        </w:rPr>
        <w:t>THEREFORE,</w:t>
      </w:r>
    </w:p>
    <w:p w14:paraId="7FF9438C" w14:textId="77777777" w:rsidR="002D5F03" w:rsidRPr="002D5F03" w:rsidRDefault="002D5F03" w:rsidP="001D584A">
      <w:pPr>
        <w:autoSpaceDE/>
        <w:autoSpaceDN/>
        <w:spacing w:line="360" w:lineRule="auto"/>
        <w:rPr>
          <w:rFonts w:ascii="Times New Roman" w:hAnsi="Times New Roman" w:cs="Times New Roman"/>
        </w:rPr>
      </w:pPr>
    </w:p>
    <w:p w14:paraId="1E876974" w14:textId="47E76E6C" w:rsidR="00F51832" w:rsidRPr="00F51832" w:rsidRDefault="002D5F03" w:rsidP="00F51832">
      <w:pPr>
        <w:autoSpaceDE/>
        <w:autoSpaceDN/>
        <w:spacing w:line="360" w:lineRule="auto"/>
        <w:rPr>
          <w:rFonts w:ascii="Times New Roman" w:hAnsi="Times New Roman" w:cs="Times New Roman"/>
        </w:rPr>
      </w:pPr>
      <w:r w:rsidRPr="002D5F03">
        <w:rPr>
          <w:rFonts w:ascii="Times New Roman" w:hAnsi="Times New Roman" w:cs="Times New Roman"/>
        </w:rPr>
        <w:tab/>
      </w:r>
      <w:r w:rsidRPr="002D5F03">
        <w:rPr>
          <w:rFonts w:ascii="Times New Roman" w:hAnsi="Times New Roman" w:cs="Times New Roman"/>
        </w:rPr>
        <w:tab/>
        <w:t>IT IS ORDERED:</w:t>
      </w:r>
    </w:p>
    <w:p w14:paraId="6E7EDF59" w14:textId="77777777" w:rsidR="00F51832" w:rsidRDefault="00F51832" w:rsidP="00F51832">
      <w:pPr>
        <w:pStyle w:val="ListParagraph"/>
        <w:spacing w:line="360" w:lineRule="auto"/>
        <w:ind w:left="1440"/>
      </w:pPr>
    </w:p>
    <w:p w14:paraId="14ABA83C" w14:textId="7B495D46" w:rsidR="00113D39" w:rsidRDefault="001D584A" w:rsidP="00113D39">
      <w:pPr>
        <w:pStyle w:val="ListParagraph"/>
        <w:numPr>
          <w:ilvl w:val="0"/>
          <w:numId w:val="9"/>
        </w:numPr>
        <w:spacing w:line="360" w:lineRule="auto"/>
        <w:ind w:left="0" w:firstLine="1440"/>
      </w:pPr>
      <w:r>
        <w:t xml:space="preserve">That </w:t>
      </w:r>
      <w:r w:rsidR="007E445D">
        <w:t>the Office of Consumer Advocate’s request that this matter be held in abeyance for 60 days is denied;</w:t>
      </w:r>
    </w:p>
    <w:p w14:paraId="488C43A2" w14:textId="77777777" w:rsidR="00F51832" w:rsidRDefault="00F51832" w:rsidP="00F51832">
      <w:pPr>
        <w:pStyle w:val="ListParagraph"/>
        <w:spacing w:line="360" w:lineRule="auto"/>
        <w:ind w:left="1440"/>
      </w:pPr>
    </w:p>
    <w:p w14:paraId="271F6A9A" w14:textId="42105040" w:rsidR="00F51832" w:rsidRDefault="00F51832" w:rsidP="00113D39">
      <w:pPr>
        <w:pStyle w:val="ListParagraph"/>
        <w:numPr>
          <w:ilvl w:val="0"/>
          <w:numId w:val="9"/>
        </w:numPr>
        <w:spacing w:line="360" w:lineRule="auto"/>
        <w:ind w:left="0" w:firstLine="1440"/>
      </w:pPr>
      <w:r>
        <w:t>That the Settling Parties</w:t>
      </w:r>
      <w:r>
        <w:rPr>
          <w:spacing w:val="-3"/>
        </w:rPr>
        <w:t xml:space="preserve"> </w:t>
      </w:r>
      <w:r w:rsidR="00BD76C0">
        <w:rPr>
          <w:spacing w:val="-3"/>
        </w:rPr>
        <w:t>will be permitted to</w:t>
      </w:r>
      <w:r>
        <w:rPr>
          <w:spacing w:val="-3"/>
        </w:rPr>
        <w:t xml:space="preserve"> file stipulated facts in support of the Joint Petition for Settlement </w:t>
      </w:r>
      <w:r w:rsidR="0008166B">
        <w:rPr>
          <w:spacing w:val="-3"/>
        </w:rPr>
        <w:t xml:space="preserve">with </w:t>
      </w:r>
      <w:r>
        <w:rPr>
          <w:spacing w:val="-3"/>
        </w:rPr>
        <w:t>the Commission’s Secretary within twenty (20) days of the date of issuance of this Order;</w:t>
      </w:r>
    </w:p>
    <w:p w14:paraId="5C0373CD" w14:textId="77777777" w:rsidR="007E445D" w:rsidRDefault="007E445D" w:rsidP="007E445D">
      <w:pPr>
        <w:pStyle w:val="ListParagraph"/>
        <w:spacing w:line="360" w:lineRule="auto"/>
        <w:ind w:left="1440"/>
      </w:pPr>
    </w:p>
    <w:p w14:paraId="688FD193" w14:textId="5D1DAF76" w:rsidR="007E445D" w:rsidRDefault="00D26420" w:rsidP="00113D39">
      <w:pPr>
        <w:pStyle w:val="ListParagraph"/>
        <w:numPr>
          <w:ilvl w:val="0"/>
          <w:numId w:val="9"/>
        </w:numPr>
        <w:spacing w:line="360" w:lineRule="auto"/>
        <w:ind w:left="0" w:firstLine="1440"/>
      </w:pPr>
      <w:r>
        <w:t xml:space="preserve">That the Office of Consumer Advocate will be permitted to file Comments with the Secretary’s Bureau regarding the Joint Petition for Approval of Settlement filed in this proceeding on June 30, 2020 within </w:t>
      </w:r>
      <w:r w:rsidR="00F51832">
        <w:t>for</w:t>
      </w:r>
      <w:r>
        <w:t>ty (</w:t>
      </w:r>
      <w:r w:rsidR="00F51832">
        <w:t>4</w:t>
      </w:r>
      <w:r>
        <w:t>0) days of the date of the issuance of this Order</w:t>
      </w:r>
      <w:r w:rsidR="00D05C8E">
        <w:t xml:space="preserve">; </w:t>
      </w:r>
      <w:r w:rsidR="00F51832">
        <w:t>and</w:t>
      </w:r>
    </w:p>
    <w:p w14:paraId="48083276" w14:textId="77777777" w:rsidR="00D26420" w:rsidRDefault="00D26420" w:rsidP="00D26420">
      <w:pPr>
        <w:pStyle w:val="ListParagraph"/>
      </w:pPr>
    </w:p>
    <w:p w14:paraId="34FF7A6B" w14:textId="6D1214CC" w:rsidR="00D26420" w:rsidRDefault="00D26420" w:rsidP="00113D39">
      <w:pPr>
        <w:pStyle w:val="ListParagraph"/>
        <w:numPr>
          <w:ilvl w:val="0"/>
          <w:numId w:val="9"/>
        </w:numPr>
        <w:spacing w:line="360" w:lineRule="auto"/>
        <w:ind w:left="0" w:firstLine="1440"/>
      </w:pPr>
      <w:r>
        <w:t>That the Bureau of Investigation and Enforcement and Verde</w:t>
      </w:r>
      <w:r>
        <w:rPr>
          <w:spacing w:val="-3"/>
        </w:rPr>
        <w:t xml:space="preserve"> Energy USA, Inc. will be permitted to file </w:t>
      </w:r>
      <w:r w:rsidR="00253F66">
        <w:rPr>
          <w:spacing w:val="-3"/>
        </w:rPr>
        <w:t>Reply Comments</w:t>
      </w:r>
      <w:r w:rsidR="00D05C8E">
        <w:rPr>
          <w:spacing w:val="-3"/>
        </w:rPr>
        <w:t xml:space="preserve"> in response to the </w:t>
      </w:r>
      <w:r w:rsidR="00D05C8E">
        <w:t xml:space="preserve">Office of Consumer Advocate’s Comments within </w:t>
      </w:r>
      <w:r w:rsidR="00F51832">
        <w:t>six</w:t>
      </w:r>
      <w:r w:rsidR="00D05C8E">
        <w:t>ty (</w:t>
      </w:r>
      <w:r w:rsidR="00F51832">
        <w:t>6</w:t>
      </w:r>
      <w:r w:rsidR="00D05C8E">
        <w:t>0) days of the date of issuance of this Order</w:t>
      </w:r>
      <w:r w:rsidR="00F51832">
        <w:t>.</w:t>
      </w:r>
    </w:p>
    <w:p w14:paraId="3119B36A" w14:textId="77777777" w:rsidR="001D1BE7" w:rsidRDefault="001D1BE7" w:rsidP="00113D39">
      <w:pPr>
        <w:pStyle w:val="BodyTextIndent"/>
        <w:rPr>
          <w:rFonts w:ascii="Times New Roman" w:hAnsi="Times New Roman"/>
          <w:sz w:val="24"/>
          <w:szCs w:val="24"/>
        </w:rPr>
      </w:pPr>
    </w:p>
    <w:p w14:paraId="4204A9B9" w14:textId="77777777" w:rsidR="008B3B7B" w:rsidRPr="00861F1C" w:rsidRDefault="008B3B7B" w:rsidP="001D584A">
      <w:pPr>
        <w:pStyle w:val="BodyTextIndent"/>
        <w:rPr>
          <w:rFonts w:ascii="Times New Roman" w:hAnsi="Times New Roman"/>
          <w:sz w:val="24"/>
          <w:szCs w:val="24"/>
        </w:rPr>
      </w:pPr>
    </w:p>
    <w:p w14:paraId="47EFEB3C" w14:textId="4784A70E" w:rsidR="001D1BE7" w:rsidRPr="00EC135E" w:rsidRDefault="001D1BE7" w:rsidP="001D1BE7">
      <w:pPr>
        <w:rPr>
          <w:rFonts w:ascii="Times New Roman" w:hAnsi="Times New Roman"/>
          <w:u w:val="single"/>
        </w:rPr>
      </w:pPr>
      <w:r w:rsidRPr="00861F1C">
        <w:rPr>
          <w:rFonts w:ascii="Times New Roman" w:hAnsi="Times New Roman"/>
        </w:rPr>
        <w:t>Date:</w:t>
      </w:r>
      <w:r w:rsidR="00EC135E">
        <w:rPr>
          <w:rFonts w:ascii="Times New Roman" w:hAnsi="Times New Roman"/>
        </w:rPr>
        <w:t xml:space="preserve">  </w:t>
      </w:r>
      <w:r w:rsidR="0056157E">
        <w:rPr>
          <w:rFonts w:ascii="Times New Roman" w:hAnsi="Times New Roman"/>
          <w:u w:val="single"/>
        </w:rPr>
        <w:tab/>
      </w:r>
      <w:r w:rsidR="00B31BCB">
        <w:rPr>
          <w:rFonts w:ascii="Times New Roman" w:hAnsi="Times New Roman"/>
          <w:u w:val="single"/>
        </w:rPr>
        <w:t>September 25, 2020</w:t>
      </w:r>
      <w:r w:rsidRPr="00861F1C">
        <w:rPr>
          <w:rFonts w:ascii="Times New Roman" w:hAnsi="Times New Roman"/>
        </w:rPr>
        <w:tab/>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B31BCB">
        <w:rPr>
          <w:rFonts w:ascii="Times New Roman" w:hAnsi="Times New Roman"/>
          <w:u w:val="single"/>
        </w:rPr>
        <w:tab/>
        <w:t>/s/</w:t>
      </w:r>
      <w:r w:rsidR="00B31BCB">
        <w:rPr>
          <w:rFonts w:ascii="Times New Roman" w:hAnsi="Times New Roman"/>
          <w:u w:val="single"/>
        </w:rPr>
        <w:tab/>
      </w:r>
      <w:r w:rsidR="00B31BCB">
        <w:rPr>
          <w:rFonts w:ascii="Times New Roman" w:hAnsi="Times New Roman"/>
          <w:u w:val="single"/>
        </w:rPr>
        <w:tab/>
      </w:r>
      <w:r w:rsidR="00B31BCB">
        <w:rPr>
          <w:rFonts w:ascii="Times New Roman" w:hAnsi="Times New Roman"/>
          <w:u w:val="single"/>
        </w:rPr>
        <w:tab/>
      </w:r>
      <w:r w:rsidR="00B31BCB">
        <w:rPr>
          <w:rFonts w:ascii="Times New Roman" w:hAnsi="Times New Roman"/>
          <w:u w:val="single"/>
        </w:rPr>
        <w:tab/>
      </w:r>
      <w:r w:rsidR="00B31BCB">
        <w:rPr>
          <w:rFonts w:ascii="Times New Roman" w:hAnsi="Times New Roman"/>
          <w:u w:val="single"/>
        </w:rPr>
        <w:tab/>
      </w:r>
    </w:p>
    <w:p w14:paraId="5A202C25" w14:textId="5DF19D70" w:rsidR="001D1BE7" w:rsidRPr="00861F1C" w:rsidRDefault="001D1BE7" w:rsidP="001D1BE7">
      <w:pPr>
        <w:rPr>
          <w:rFonts w:ascii="Times New Roman" w:hAnsi="Times New Roman"/>
        </w:rPr>
      </w:pPr>
      <w:r w:rsidRPr="00861F1C">
        <w:rPr>
          <w:rFonts w:ascii="Times New Roman" w:hAnsi="Times New Roman"/>
        </w:rPr>
        <w:tab/>
      </w:r>
      <w:r w:rsidR="00B31BCB">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Christopher P. Pell</w:t>
      </w:r>
    </w:p>
    <w:p w14:paraId="1F4A6EFF" w14:textId="77777777"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 xml:space="preserve">Deputy Chief </w:t>
      </w:r>
      <w:r w:rsidRPr="00861F1C">
        <w:rPr>
          <w:rFonts w:ascii="Times New Roman" w:hAnsi="Times New Roman"/>
        </w:rPr>
        <w:t>Administrative Law Judge</w:t>
      </w:r>
      <w:r w:rsidRPr="00861F1C">
        <w:rPr>
          <w:rFonts w:ascii="Times New Roman" w:hAnsi="Times New Roman"/>
        </w:rPr>
        <w:tab/>
      </w:r>
    </w:p>
    <w:p w14:paraId="0590E12A" w14:textId="77777777" w:rsidR="00594C76" w:rsidRDefault="007A2792" w:rsidP="00323C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1AC866" w14:textId="47098FFD" w:rsidR="00B31BCB" w:rsidRDefault="00B31BCB">
      <w:pPr>
        <w:autoSpaceDE/>
        <w:autoSpaceDN/>
        <w:rPr>
          <w:rFonts w:ascii="Times New Roman" w:hAnsi="Times New Roman"/>
        </w:rPr>
      </w:pPr>
      <w:r>
        <w:rPr>
          <w:rFonts w:ascii="Times New Roman" w:hAnsi="Times New Roman"/>
        </w:rPr>
        <w:br w:type="page"/>
      </w:r>
    </w:p>
    <w:p w14:paraId="60E3DA57" w14:textId="66585689"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C-2020-3017229 </w:t>
      </w:r>
      <w:bookmarkStart w:id="0" w:name="_GoBack"/>
      <w:bookmarkEnd w:id="0"/>
      <w:r>
        <w:rPr>
          <w:rFonts w:ascii="Times New Roman" w:hAnsi="Times New Roman" w:cs="Times New Roman"/>
        </w:rPr>
        <w:t>Pennsylvania Public Utility Commission, Bureau of Investigation and Enforcement v. Verde Energy USA, Inc.</w:t>
      </w:r>
    </w:p>
    <w:p w14:paraId="1D06F040"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p>
    <w:p w14:paraId="2E3B8A50"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p>
    <w:p w14:paraId="3D35E858" w14:textId="77777777" w:rsidR="00B31BCB" w:rsidRDefault="00B31BCB" w:rsidP="00B31BCB">
      <w:pPr>
        <w:pStyle w:val="ParaTab1"/>
        <w:tabs>
          <w:tab w:val="clear" w:pos="-720"/>
          <w:tab w:val="left" w:pos="720"/>
          <w:tab w:val="left" w:pos="5040"/>
        </w:tabs>
        <w:ind w:firstLine="0"/>
        <w:jc w:val="center"/>
        <w:rPr>
          <w:rFonts w:ascii="Times New Roman" w:hAnsi="Times New Roman" w:cs="Times New Roman"/>
        </w:rPr>
      </w:pPr>
      <w:r>
        <w:rPr>
          <w:rFonts w:ascii="Times New Roman" w:hAnsi="Times New Roman" w:cs="Times New Roman"/>
          <w:u w:val="single"/>
        </w:rPr>
        <w:t>SERVICE LIST</w:t>
      </w:r>
    </w:p>
    <w:p w14:paraId="581F442B" w14:textId="77777777" w:rsidR="00B31BCB" w:rsidRDefault="00B31BCB" w:rsidP="00B31BCB">
      <w:pPr>
        <w:pStyle w:val="ParaTab1"/>
        <w:tabs>
          <w:tab w:val="clear" w:pos="-720"/>
          <w:tab w:val="left" w:pos="720"/>
          <w:tab w:val="left" w:pos="5040"/>
        </w:tabs>
        <w:ind w:firstLine="0"/>
        <w:jc w:val="center"/>
        <w:rPr>
          <w:rFonts w:ascii="Times New Roman" w:hAnsi="Times New Roman" w:cs="Times New Roman"/>
        </w:rPr>
      </w:pPr>
    </w:p>
    <w:p w14:paraId="42871B69" w14:textId="77777777" w:rsidR="00B31BCB" w:rsidRDefault="00B31BCB" w:rsidP="00B31BCB">
      <w:pPr>
        <w:pStyle w:val="ParaTab1"/>
        <w:tabs>
          <w:tab w:val="clear" w:pos="-720"/>
          <w:tab w:val="left" w:pos="720"/>
          <w:tab w:val="left" w:pos="5040"/>
        </w:tabs>
        <w:ind w:firstLine="0"/>
        <w:jc w:val="center"/>
        <w:rPr>
          <w:rFonts w:ascii="Times New Roman" w:hAnsi="Times New Roman" w:cs="Times New Roman"/>
        </w:rPr>
      </w:pPr>
    </w:p>
    <w:p w14:paraId="5433534D"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Esquire</w:t>
      </w:r>
    </w:p>
    <w:p w14:paraId="500F87BD"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hyperlink r:id="rId8" w:history="1">
        <w:r>
          <w:rPr>
            <w:rStyle w:val="Hyperlink"/>
            <w:rFonts w:ascii="Times New Roman" w:hAnsi="Times New Roman" w:cs="Times New Roman"/>
          </w:rPr>
          <w:t>karost@pa.gov</w:t>
        </w:r>
      </w:hyperlink>
    </w:p>
    <w:p w14:paraId="7ED74488"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236D24AC"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2D24995A"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701BD461"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76AF8066"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45DDD04D"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p>
    <w:p w14:paraId="698CEE91"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Michael A. Gruin, Esquire</w:t>
      </w:r>
    </w:p>
    <w:p w14:paraId="5EA90D49"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hyperlink r:id="rId9" w:history="1">
        <w:r>
          <w:rPr>
            <w:rStyle w:val="Hyperlink"/>
            <w:rFonts w:ascii="Times New Roman" w:hAnsi="Times New Roman" w:cs="Times New Roman"/>
          </w:rPr>
          <w:t>mag@stevenslee.com</w:t>
        </w:r>
      </w:hyperlink>
    </w:p>
    <w:p w14:paraId="166F96D8"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Timothy K. McHugh, Esquire</w:t>
      </w:r>
    </w:p>
    <w:p w14:paraId="51FA9078"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Stevens &amp; Lee</w:t>
      </w:r>
    </w:p>
    <w:p w14:paraId="148527AF"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 2</w:t>
      </w:r>
      <w:r>
        <w:rPr>
          <w:rFonts w:ascii="Times New Roman" w:hAnsi="Times New Roman" w:cs="Times New Roman"/>
          <w:vertAlign w:val="superscript"/>
        </w:rPr>
        <w:t>nd</w:t>
      </w:r>
      <w:r>
        <w:rPr>
          <w:rFonts w:ascii="Times New Roman" w:hAnsi="Times New Roman" w:cs="Times New Roman"/>
        </w:rPr>
        <w:t xml:space="preserve"> St., 16</w:t>
      </w:r>
      <w:r>
        <w:rPr>
          <w:rFonts w:ascii="Times New Roman" w:hAnsi="Times New Roman" w:cs="Times New Roman"/>
          <w:vertAlign w:val="superscript"/>
        </w:rPr>
        <w:t>th</w:t>
      </w:r>
      <w:r>
        <w:rPr>
          <w:rFonts w:ascii="Times New Roman" w:hAnsi="Times New Roman" w:cs="Times New Roman"/>
        </w:rPr>
        <w:t xml:space="preserve"> Floor</w:t>
      </w:r>
    </w:p>
    <w:p w14:paraId="5350211E"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44134CBF" w14:textId="77777777" w:rsidR="00B31BCB" w:rsidRDefault="00B31BCB" w:rsidP="00B31BCB">
      <w:pPr>
        <w:pStyle w:val="ParaTab1"/>
        <w:tabs>
          <w:tab w:val="clear" w:pos="-720"/>
          <w:tab w:val="left" w:pos="720"/>
          <w:tab w:val="left" w:pos="5040"/>
        </w:tabs>
        <w:ind w:firstLine="0"/>
        <w:rPr>
          <w:rFonts w:ascii="Times New Roman" w:hAnsi="Times New Roman" w:cs="Times New Roman"/>
          <w:i/>
          <w:iCs/>
        </w:rPr>
      </w:pPr>
      <w:r>
        <w:rPr>
          <w:rFonts w:ascii="Times New Roman" w:hAnsi="Times New Roman" w:cs="Times New Roman"/>
          <w:i/>
          <w:iCs/>
        </w:rPr>
        <w:t>Counsel for Verde Energy USA, Inc.</w:t>
      </w:r>
    </w:p>
    <w:p w14:paraId="337414DA"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p>
    <w:p w14:paraId="0750C464"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Laura J. Antinucci</w:t>
      </w:r>
    </w:p>
    <w:p w14:paraId="408AF7F6"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hyperlink r:id="rId10" w:history="1">
        <w:r>
          <w:rPr>
            <w:rStyle w:val="Hyperlink"/>
            <w:rFonts w:ascii="Times New Roman" w:hAnsi="Times New Roman" w:cs="Times New Roman"/>
          </w:rPr>
          <w:t>LAntinucci@paoca.org</w:t>
        </w:r>
      </w:hyperlink>
    </w:p>
    <w:p w14:paraId="2E5764B8"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Office of Consumer Advocate</w:t>
      </w:r>
    </w:p>
    <w:p w14:paraId="69BFC434"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555 Walnut Street, 5</w:t>
      </w:r>
      <w:r>
        <w:rPr>
          <w:rFonts w:ascii="Times New Roman" w:hAnsi="Times New Roman" w:cs="Times New Roman"/>
          <w:vertAlign w:val="superscript"/>
        </w:rPr>
        <w:t>th</w:t>
      </w:r>
      <w:r>
        <w:rPr>
          <w:rFonts w:ascii="Times New Roman" w:hAnsi="Times New Roman" w:cs="Times New Roman"/>
        </w:rPr>
        <w:t xml:space="preserve"> Floor Forum Place</w:t>
      </w:r>
    </w:p>
    <w:p w14:paraId="7CD6E52A" w14:textId="77777777" w:rsidR="00B31BCB" w:rsidRDefault="00B31BCB" w:rsidP="00B31BC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17101-1923</w:t>
      </w:r>
    </w:p>
    <w:p w14:paraId="5B227A23" w14:textId="77777777" w:rsidR="00B31BCB" w:rsidRDefault="00B31BCB" w:rsidP="00B31BCB"/>
    <w:p w14:paraId="54E5B6D3" w14:textId="77777777" w:rsidR="00EC135E" w:rsidRDefault="00EC135E">
      <w:pPr>
        <w:autoSpaceDE/>
        <w:autoSpaceDN/>
        <w:rPr>
          <w:rFonts w:ascii="Times New Roman" w:hAnsi="Times New Roman"/>
        </w:rPr>
      </w:pPr>
    </w:p>
    <w:sectPr w:rsidR="00EC135E" w:rsidSect="00EC135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1DCD" w14:textId="77777777" w:rsidR="00305CFD" w:rsidRDefault="00305CFD">
      <w:pPr>
        <w:spacing w:line="20" w:lineRule="exact"/>
        <w:rPr>
          <w:sz w:val="22"/>
          <w:szCs w:val="22"/>
        </w:rPr>
      </w:pPr>
    </w:p>
  </w:endnote>
  <w:endnote w:type="continuationSeparator" w:id="0">
    <w:p w14:paraId="181DD6A4" w14:textId="77777777" w:rsidR="00305CFD" w:rsidRDefault="00305CFD">
      <w:pPr>
        <w:pStyle w:val="ParaTab1"/>
        <w:rPr>
          <w:sz w:val="22"/>
          <w:szCs w:val="22"/>
        </w:rPr>
      </w:pPr>
      <w:r>
        <w:rPr>
          <w:sz w:val="22"/>
          <w:szCs w:val="22"/>
        </w:rPr>
        <w:t xml:space="preserve"> </w:t>
      </w:r>
    </w:p>
  </w:endnote>
  <w:endnote w:type="continuationNotice" w:id="1">
    <w:p w14:paraId="220481F3" w14:textId="77777777" w:rsidR="00305CFD" w:rsidRDefault="00305CFD">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824446"/>
      <w:docPartObj>
        <w:docPartGallery w:val="Page Numbers (Bottom of Page)"/>
        <w:docPartUnique/>
      </w:docPartObj>
    </w:sdtPr>
    <w:sdtEndPr>
      <w:rPr>
        <w:rFonts w:ascii="Times New Roman" w:hAnsi="Times New Roman" w:cs="Times New Roman"/>
        <w:noProof/>
        <w:sz w:val="20"/>
        <w:szCs w:val="20"/>
      </w:rPr>
    </w:sdtEndPr>
    <w:sdtContent>
      <w:p w14:paraId="3E4F9802" w14:textId="7C09DDE9" w:rsidR="00EC135E" w:rsidRPr="00EC135E" w:rsidRDefault="00EC135E">
        <w:pPr>
          <w:pStyle w:val="Footer"/>
          <w:jc w:val="center"/>
          <w:rPr>
            <w:rFonts w:ascii="Times New Roman" w:hAnsi="Times New Roman" w:cs="Times New Roman"/>
            <w:sz w:val="20"/>
            <w:szCs w:val="20"/>
          </w:rPr>
        </w:pPr>
        <w:r w:rsidRPr="00EC135E">
          <w:rPr>
            <w:rFonts w:ascii="Times New Roman" w:hAnsi="Times New Roman" w:cs="Times New Roman"/>
            <w:sz w:val="20"/>
            <w:szCs w:val="20"/>
          </w:rPr>
          <w:fldChar w:fldCharType="begin"/>
        </w:r>
        <w:r w:rsidRPr="00EC135E">
          <w:rPr>
            <w:rFonts w:ascii="Times New Roman" w:hAnsi="Times New Roman" w:cs="Times New Roman"/>
            <w:sz w:val="20"/>
            <w:szCs w:val="20"/>
          </w:rPr>
          <w:instrText xml:space="preserve"> PAGE   \* MERGEFORMAT </w:instrText>
        </w:r>
        <w:r w:rsidRPr="00EC135E">
          <w:rPr>
            <w:rFonts w:ascii="Times New Roman" w:hAnsi="Times New Roman" w:cs="Times New Roman"/>
            <w:sz w:val="20"/>
            <w:szCs w:val="20"/>
          </w:rPr>
          <w:fldChar w:fldCharType="separate"/>
        </w:r>
        <w:r w:rsidRPr="00EC135E">
          <w:rPr>
            <w:rFonts w:ascii="Times New Roman" w:hAnsi="Times New Roman" w:cs="Times New Roman"/>
            <w:noProof/>
            <w:sz w:val="20"/>
            <w:szCs w:val="20"/>
          </w:rPr>
          <w:t>2</w:t>
        </w:r>
        <w:r w:rsidRPr="00EC135E">
          <w:rPr>
            <w:rFonts w:ascii="Times New Roman" w:hAnsi="Times New Roman" w:cs="Times New Roman"/>
            <w:noProof/>
            <w:sz w:val="20"/>
            <w:szCs w:val="20"/>
          </w:rPr>
          <w:fldChar w:fldCharType="end"/>
        </w:r>
      </w:p>
    </w:sdtContent>
  </w:sdt>
  <w:p w14:paraId="28EADB09" w14:textId="77777777" w:rsidR="00EC135E" w:rsidRDefault="00EC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B70B" w14:textId="77777777" w:rsidR="00305CFD" w:rsidRDefault="00305CFD" w:rsidP="003B037F">
      <w:pPr>
        <w:pStyle w:val="ParaTab1"/>
        <w:ind w:firstLine="0"/>
        <w:rPr>
          <w:sz w:val="22"/>
          <w:szCs w:val="22"/>
        </w:rPr>
      </w:pPr>
      <w:r>
        <w:rPr>
          <w:sz w:val="22"/>
          <w:szCs w:val="22"/>
        </w:rPr>
        <w:separator/>
      </w:r>
    </w:p>
  </w:footnote>
  <w:footnote w:type="continuationSeparator" w:id="0">
    <w:p w14:paraId="3B857F64" w14:textId="77777777" w:rsidR="00305CFD" w:rsidRDefault="00305CFD">
      <w:r>
        <w:continuationSeparator/>
      </w:r>
    </w:p>
  </w:footnote>
  <w:footnote w:id="1">
    <w:p w14:paraId="5B55685B" w14:textId="226CF3D8" w:rsidR="007B64FB" w:rsidRPr="00592448" w:rsidRDefault="007B64FB">
      <w:pPr>
        <w:pStyle w:val="FootnoteText"/>
        <w:rPr>
          <w:rFonts w:ascii="Times New Roman" w:hAnsi="Times New Roman" w:cs="Times New Roman"/>
          <w:sz w:val="20"/>
          <w:szCs w:val="20"/>
        </w:rPr>
      </w:pPr>
      <w:r w:rsidRPr="00592448">
        <w:rPr>
          <w:rStyle w:val="FootnoteReference"/>
          <w:rFonts w:ascii="Times New Roman" w:hAnsi="Times New Roman" w:cs="Times New Roman"/>
          <w:sz w:val="20"/>
          <w:szCs w:val="20"/>
        </w:rPr>
        <w:footnoteRef/>
      </w:r>
      <w:r w:rsidRPr="00592448">
        <w:rPr>
          <w:rFonts w:ascii="Times New Roman" w:hAnsi="Times New Roman" w:cs="Times New Roman"/>
          <w:sz w:val="20"/>
          <w:szCs w:val="20"/>
        </w:rPr>
        <w:t xml:space="preserve"> </w:t>
      </w:r>
      <w:r w:rsidRPr="00592448">
        <w:rPr>
          <w:rFonts w:ascii="Times New Roman" w:hAnsi="Times New Roman" w:cs="Times New Roman"/>
          <w:sz w:val="20"/>
          <w:szCs w:val="20"/>
        </w:rPr>
        <w:tab/>
        <w:t xml:space="preserve">OCA Prehearing Memo at 2.  </w:t>
      </w:r>
    </w:p>
  </w:footnote>
  <w:footnote w:id="2">
    <w:p w14:paraId="75347C35" w14:textId="1799EF51" w:rsidR="007B64FB" w:rsidRPr="00592448" w:rsidRDefault="007B64FB">
      <w:pPr>
        <w:pStyle w:val="FootnoteText"/>
        <w:rPr>
          <w:rFonts w:ascii="Times New Roman" w:hAnsi="Times New Roman" w:cs="Times New Roman"/>
          <w:sz w:val="20"/>
          <w:szCs w:val="20"/>
        </w:rPr>
      </w:pPr>
      <w:r w:rsidRPr="00592448">
        <w:rPr>
          <w:rStyle w:val="FootnoteReference"/>
          <w:rFonts w:ascii="Times New Roman" w:hAnsi="Times New Roman" w:cs="Times New Roman"/>
          <w:sz w:val="20"/>
          <w:szCs w:val="20"/>
        </w:rPr>
        <w:footnoteRef/>
      </w:r>
      <w:r w:rsidRPr="00592448">
        <w:rPr>
          <w:rFonts w:ascii="Times New Roman" w:hAnsi="Times New Roman" w:cs="Times New Roman"/>
          <w:sz w:val="20"/>
          <w:szCs w:val="20"/>
        </w:rPr>
        <w:t xml:space="preserve"> </w:t>
      </w:r>
      <w:r w:rsidRPr="00592448">
        <w:rPr>
          <w:rFonts w:ascii="Times New Roman" w:hAnsi="Times New Roman" w:cs="Times New Roman"/>
          <w:sz w:val="20"/>
          <w:szCs w:val="20"/>
        </w:rPr>
        <w:tab/>
      </w:r>
      <w:r w:rsidRPr="00592448">
        <w:rPr>
          <w:rFonts w:ascii="Times New Roman" w:hAnsi="Times New Roman" w:cs="Times New Roman"/>
          <w:i/>
          <w:iCs/>
          <w:sz w:val="20"/>
          <w:szCs w:val="20"/>
        </w:rPr>
        <w:t>Id</w:t>
      </w:r>
      <w:r w:rsidRPr="00592448">
        <w:rPr>
          <w:rFonts w:ascii="Times New Roman" w:hAnsi="Times New Roman" w:cs="Times New Roman"/>
          <w:sz w:val="20"/>
          <w:szCs w:val="20"/>
        </w:rPr>
        <w:t>.</w:t>
      </w:r>
    </w:p>
  </w:footnote>
  <w:footnote w:id="3">
    <w:p w14:paraId="5DEE5B62" w14:textId="6AE0B786" w:rsidR="00592448" w:rsidRDefault="00592448">
      <w:pPr>
        <w:pStyle w:val="FootnoteText"/>
      </w:pPr>
      <w:r w:rsidRPr="00592448">
        <w:rPr>
          <w:rStyle w:val="FootnoteReference"/>
          <w:rFonts w:ascii="Times New Roman" w:hAnsi="Times New Roman" w:cs="Times New Roman"/>
          <w:sz w:val="20"/>
          <w:szCs w:val="20"/>
        </w:rPr>
        <w:footnoteRef/>
      </w:r>
      <w:r w:rsidRPr="00592448">
        <w:rPr>
          <w:rFonts w:ascii="Times New Roman" w:hAnsi="Times New Roman" w:cs="Times New Roman"/>
          <w:sz w:val="20"/>
          <w:szCs w:val="20"/>
        </w:rPr>
        <w:t xml:space="preserve"> </w:t>
      </w:r>
      <w:r w:rsidRPr="00592448">
        <w:rPr>
          <w:rFonts w:ascii="Times New Roman" w:hAnsi="Times New Roman" w:cs="Times New Roman"/>
          <w:sz w:val="20"/>
          <w:szCs w:val="20"/>
        </w:rPr>
        <w:tab/>
      </w:r>
      <w:r w:rsidRPr="00592448">
        <w:rPr>
          <w:rFonts w:ascii="Times New Roman" w:hAnsi="Times New Roman" w:cs="Times New Roman"/>
          <w:i/>
          <w:iCs/>
          <w:sz w:val="20"/>
          <w:szCs w:val="20"/>
        </w:rPr>
        <w:t>Id</w:t>
      </w:r>
      <w:r w:rsidRPr="00592448">
        <w:rPr>
          <w:rFonts w:ascii="Times New Roman" w:hAnsi="Times New Roman" w:cs="Times New Roman"/>
          <w:sz w:val="20"/>
          <w:szCs w:val="20"/>
        </w:rPr>
        <w:t>.</w:t>
      </w:r>
      <w:r>
        <w:t xml:space="preserve">  </w:t>
      </w:r>
    </w:p>
  </w:footnote>
  <w:footnote w:id="4">
    <w:p w14:paraId="3BF7920A" w14:textId="774A3078" w:rsidR="00995322" w:rsidRPr="00DA4A12" w:rsidRDefault="00995322">
      <w:pPr>
        <w:pStyle w:val="FootnoteText"/>
        <w:rPr>
          <w:rFonts w:ascii="Times New Roman" w:hAnsi="Times New Roman" w:cs="Times New Roman"/>
          <w:sz w:val="20"/>
          <w:szCs w:val="20"/>
        </w:rPr>
      </w:pPr>
      <w:r w:rsidRPr="00DA4A12">
        <w:rPr>
          <w:rStyle w:val="FootnoteReference"/>
          <w:rFonts w:ascii="Times New Roman" w:hAnsi="Times New Roman" w:cs="Times New Roman"/>
          <w:sz w:val="20"/>
          <w:szCs w:val="20"/>
        </w:rPr>
        <w:footnoteRef/>
      </w:r>
      <w:r w:rsidRPr="00DA4A12">
        <w:rPr>
          <w:rFonts w:ascii="Times New Roman" w:hAnsi="Times New Roman" w:cs="Times New Roman"/>
          <w:sz w:val="20"/>
          <w:szCs w:val="20"/>
        </w:rPr>
        <w:t xml:space="preserve"> </w:t>
      </w:r>
      <w:r w:rsidRPr="00DA4A12">
        <w:rPr>
          <w:rFonts w:ascii="Times New Roman" w:hAnsi="Times New Roman" w:cs="Times New Roman"/>
          <w:sz w:val="20"/>
          <w:szCs w:val="20"/>
        </w:rPr>
        <w:tab/>
      </w:r>
      <w:r w:rsidRPr="00DA4A12">
        <w:rPr>
          <w:rFonts w:ascii="Times New Roman" w:hAnsi="Times New Roman" w:cs="Times New Roman"/>
          <w:i/>
          <w:iCs/>
          <w:sz w:val="20"/>
          <w:szCs w:val="20"/>
        </w:rPr>
        <w:t>Id</w:t>
      </w:r>
      <w:r w:rsidRPr="00DA4A12">
        <w:rPr>
          <w:rFonts w:ascii="Times New Roman" w:hAnsi="Times New Roman" w:cs="Times New Roman"/>
          <w:sz w:val="20"/>
          <w:szCs w:val="20"/>
        </w:rPr>
        <w:t xml:space="preserve">. at 2-3.  </w:t>
      </w:r>
    </w:p>
  </w:footnote>
  <w:footnote w:id="5">
    <w:p w14:paraId="11B0E68E" w14:textId="7DB9FABD" w:rsidR="00A93C62" w:rsidRPr="00DA4A12" w:rsidRDefault="00A93C62">
      <w:pPr>
        <w:pStyle w:val="FootnoteText"/>
        <w:rPr>
          <w:rFonts w:ascii="Times New Roman" w:hAnsi="Times New Roman" w:cs="Times New Roman"/>
          <w:sz w:val="20"/>
          <w:szCs w:val="20"/>
        </w:rPr>
      </w:pPr>
      <w:r w:rsidRPr="00DA4A12">
        <w:rPr>
          <w:rStyle w:val="FootnoteReference"/>
          <w:rFonts w:ascii="Times New Roman" w:hAnsi="Times New Roman" w:cs="Times New Roman"/>
          <w:sz w:val="20"/>
          <w:szCs w:val="20"/>
        </w:rPr>
        <w:footnoteRef/>
      </w:r>
      <w:r w:rsidRPr="00DA4A12">
        <w:rPr>
          <w:rFonts w:ascii="Times New Roman" w:hAnsi="Times New Roman" w:cs="Times New Roman"/>
          <w:sz w:val="20"/>
          <w:szCs w:val="20"/>
        </w:rPr>
        <w:t xml:space="preserve"> </w:t>
      </w:r>
      <w:r w:rsidRPr="00DA4A12">
        <w:rPr>
          <w:rFonts w:ascii="Times New Roman" w:hAnsi="Times New Roman" w:cs="Times New Roman"/>
          <w:sz w:val="20"/>
          <w:szCs w:val="20"/>
        </w:rPr>
        <w:tab/>
      </w:r>
      <w:r w:rsidRPr="00DA4A12">
        <w:rPr>
          <w:rFonts w:ascii="Times New Roman" w:hAnsi="Times New Roman" w:cs="Times New Roman"/>
          <w:i/>
          <w:iCs/>
          <w:sz w:val="20"/>
          <w:szCs w:val="20"/>
        </w:rPr>
        <w:t>Id</w:t>
      </w:r>
      <w:r w:rsidRPr="00DA4A12">
        <w:rPr>
          <w:rFonts w:ascii="Times New Roman" w:hAnsi="Times New Roman" w:cs="Times New Roman"/>
          <w:sz w:val="20"/>
          <w:szCs w:val="20"/>
        </w:rPr>
        <w:t xml:space="preserve">. at 3.  </w:t>
      </w:r>
    </w:p>
  </w:footnote>
  <w:footnote w:id="6">
    <w:p w14:paraId="5B58BB1B" w14:textId="59E772CF" w:rsidR="00DA4A12" w:rsidRDefault="00DA4A12">
      <w:pPr>
        <w:pStyle w:val="FootnoteText"/>
      </w:pPr>
      <w:r w:rsidRPr="00DA4A12">
        <w:rPr>
          <w:rStyle w:val="FootnoteReference"/>
          <w:rFonts w:ascii="Times New Roman" w:hAnsi="Times New Roman" w:cs="Times New Roman"/>
          <w:sz w:val="20"/>
          <w:szCs w:val="20"/>
        </w:rPr>
        <w:footnoteRef/>
      </w:r>
      <w:r w:rsidRPr="00DA4A12">
        <w:rPr>
          <w:rFonts w:ascii="Times New Roman" w:hAnsi="Times New Roman" w:cs="Times New Roman"/>
          <w:sz w:val="20"/>
          <w:szCs w:val="20"/>
        </w:rPr>
        <w:t xml:space="preserve"> </w:t>
      </w:r>
      <w:r w:rsidRPr="00DA4A12">
        <w:rPr>
          <w:rFonts w:ascii="Times New Roman" w:hAnsi="Times New Roman" w:cs="Times New Roman"/>
          <w:sz w:val="20"/>
          <w:szCs w:val="20"/>
        </w:rPr>
        <w:tab/>
        <w:t xml:space="preserve">Tr. </w:t>
      </w:r>
      <w:r>
        <w:rPr>
          <w:rFonts w:ascii="Times New Roman" w:hAnsi="Times New Roman" w:cs="Times New Roman"/>
          <w:sz w:val="20"/>
          <w:szCs w:val="20"/>
        </w:rPr>
        <w:t>a</w:t>
      </w:r>
      <w:r w:rsidRPr="00DA4A12">
        <w:rPr>
          <w:rFonts w:ascii="Times New Roman" w:hAnsi="Times New Roman" w:cs="Times New Roman"/>
          <w:sz w:val="20"/>
          <w:szCs w:val="20"/>
        </w:rPr>
        <w:t>t 10</w:t>
      </w:r>
      <w:r w:rsidR="00CA419C">
        <w:rPr>
          <w:rFonts w:ascii="Times New Roman" w:hAnsi="Times New Roman" w:cs="Times New Roman"/>
          <w:sz w:val="20"/>
          <w:szCs w:val="20"/>
        </w:rPr>
        <w:t>-11</w:t>
      </w:r>
      <w:r w:rsidRPr="00DA4A12">
        <w:rPr>
          <w:rFonts w:ascii="Times New Roman" w:hAnsi="Times New Roman" w:cs="Times New Roman"/>
          <w:sz w:val="20"/>
          <w:szCs w:val="20"/>
        </w:rPr>
        <w:t>.</w:t>
      </w:r>
      <w:r>
        <w:t xml:space="preserve">  </w:t>
      </w:r>
    </w:p>
  </w:footnote>
  <w:footnote w:id="7">
    <w:p w14:paraId="65DA3865" w14:textId="0B2B33E3" w:rsidR="00BD414D" w:rsidRPr="00BD414D" w:rsidRDefault="00BD414D">
      <w:pPr>
        <w:pStyle w:val="FootnoteText"/>
        <w:rPr>
          <w:rFonts w:ascii="Times New Roman" w:hAnsi="Times New Roman" w:cs="Times New Roman"/>
          <w:sz w:val="20"/>
          <w:szCs w:val="20"/>
        </w:rPr>
      </w:pPr>
      <w:r w:rsidRPr="00BD414D">
        <w:rPr>
          <w:rStyle w:val="FootnoteReference"/>
          <w:rFonts w:ascii="Times New Roman" w:hAnsi="Times New Roman" w:cs="Times New Roman"/>
          <w:sz w:val="20"/>
          <w:szCs w:val="20"/>
        </w:rPr>
        <w:footnoteRef/>
      </w:r>
      <w:r w:rsidRPr="00BD414D">
        <w:rPr>
          <w:rFonts w:ascii="Times New Roman" w:hAnsi="Times New Roman" w:cs="Times New Roman"/>
          <w:sz w:val="20"/>
          <w:szCs w:val="20"/>
        </w:rPr>
        <w:t xml:space="preserve"> </w:t>
      </w:r>
      <w:r w:rsidRPr="00BD414D">
        <w:rPr>
          <w:rFonts w:ascii="Times New Roman" w:hAnsi="Times New Roman" w:cs="Times New Roman"/>
          <w:sz w:val="20"/>
          <w:szCs w:val="20"/>
        </w:rPr>
        <w:tab/>
        <w:t>Tr. at 12-13.</w:t>
      </w:r>
    </w:p>
  </w:footnote>
  <w:footnote w:id="8">
    <w:p w14:paraId="4464D6AE" w14:textId="29EE73A7" w:rsidR="00C00439" w:rsidRPr="00C00439" w:rsidRDefault="00C00439">
      <w:pPr>
        <w:pStyle w:val="FootnoteText"/>
        <w:rPr>
          <w:rFonts w:ascii="Times New Roman" w:hAnsi="Times New Roman" w:cs="Times New Roman"/>
          <w:sz w:val="20"/>
          <w:szCs w:val="20"/>
        </w:rPr>
      </w:pPr>
      <w:r w:rsidRPr="00C00439">
        <w:rPr>
          <w:rStyle w:val="FootnoteReference"/>
          <w:rFonts w:ascii="Times New Roman" w:hAnsi="Times New Roman" w:cs="Times New Roman"/>
          <w:sz w:val="20"/>
          <w:szCs w:val="20"/>
        </w:rPr>
        <w:footnoteRef/>
      </w:r>
      <w:r w:rsidRPr="00C00439">
        <w:rPr>
          <w:rFonts w:ascii="Times New Roman" w:hAnsi="Times New Roman" w:cs="Times New Roman"/>
          <w:sz w:val="20"/>
          <w:szCs w:val="20"/>
        </w:rPr>
        <w:t xml:space="preserve"> </w:t>
      </w:r>
      <w:r w:rsidRPr="00C00439">
        <w:rPr>
          <w:rFonts w:ascii="Times New Roman" w:hAnsi="Times New Roman" w:cs="Times New Roman"/>
          <w:sz w:val="20"/>
          <w:szCs w:val="20"/>
        </w:rPr>
        <w:tab/>
        <w:t>Tr. at 1</w:t>
      </w:r>
      <w:r w:rsidR="00DF56AD">
        <w:rPr>
          <w:rFonts w:ascii="Times New Roman" w:hAnsi="Times New Roman" w:cs="Times New Roman"/>
          <w:sz w:val="20"/>
          <w:szCs w:val="20"/>
        </w:rPr>
        <w:t>5</w:t>
      </w:r>
      <w:r w:rsidRPr="00C00439">
        <w:rPr>
          <w:rFonts w:ascii="Times New Roman" w:hAnsi="Times New Roman" w:cs="Times New Roman"/>
          <w:sz w:val="20"/>
          <w:szCs w:val="20"/>
        </w:rPr>
        <w:t>-17.</w:t>
      </w:r>
    </w:p>
  </w:footnote>
  <w:footnote w:id="9">
    <w:p w14:paraId="6A0F0D43" w14:textId="77777777" w:rsidR="00B22D90" w:rsidRPr="00182EA7" w:rsidRDefault="00B22D90" w:rsidP="00B22D90">
      <w:pPr>
        <w:pStyle w:val="FootnoteText"/>
        <w:rPr>
          <w:rFonts w:ascii="Times New Roman" w:hAnsi="Times New Roman" w:cs="Times New Roman"/>
          <w:sz w:val="20"/>
          <w:szCs w:val="20"/>
        </w:rPr>
      </w:pPr>
      <w:r w:rsidRPr="00182EA7">
        <w:rPr>
          <w:rStyle w:val="FootnoteReference"/>
          <w:rFonts w:ascii="Times New Roman" w:hAnsi="Times New Roman" w:cs="Times New Roman"/>
          <w:sz w:val="20"/>
          <w:szCs w:val="20"/>
        </w:rPr>
        <w:footnoteRef/>
      </w:r>
      <w:r w:rsidRPr="00182EA7">
        <w:rPr>
          <w:rFonts w:ascii="Times New Roman" w:hAnsi="Times New Roman" w:cs="Times New Roman"/>
          <w:sz w:val="20"/>
          <w:szCs w:val="20"/>
        </w:rPr>
        <w:t xml:space="preserve"> </w:t>
      </w:r>
      <w:r w:rsidRPr="00182EA7">
        <w:rPr>
          <w:rFonts w:ascii="Times New Roman" w:hAnsi="Times New Roman" w:cs="Times New Roman"/>
          <w:sz w:val="20"/>
          <w:szCs w:val="20"/>
        </w:rPr>
        <w:tab/>
      </w:r>
      <w:r w:rsidRPr="00182EA7">
        <w:rPr>
          <w:rFonts w:ascii="Times New Roman" w:hAnsi="Times New Roman" w:cs="Times New Roman"/>
          <w:i/>
          <w:sz w:val="20"/>
          <w:szCs w:val="20"/>
        </w:rPr>
        <w:t>Petition of the Bureau of Investigation and Enforcement of The Pennsylvania Public Utility Commission for the Issuance of an Ex Parte Emergency Order</w:t>
      </w:r>
      <w:r w:rsidRPr="00182EA7">
        <w:rPr>
          <w:rFonts w:ascii="Times New Roman" w:hAnsi="Times New Roman" w:cs="Times New Roman"/>
          <w:sz w:val="20"/>
          <w:szCs w:val="20"/>
        </w:rPr>
        <w:t>, Docket No. P-2018-3000281 at 10 (Order entered May 3, 2018) (citing 52 Pa. Code § 5.75(c)) (“Rights upon grant of petition. Admission as an intervenor will not be construed as recognition by the Commission that the intervenor has a direct interest in the proceeding or might be aggrieved by an order of the Commission in the proceeding. Intervenors are granted no rights which survive discontinuance of a case.”).</w:t>
      </w:r>
    </w:p>
  </w:footnote>
  <w:footnote w:id="10">
    <w:p w14:paraId="087B1DC7" w14:textId="77777777" w:rsidR="00C15592" w:rsidRPr="005E7C8B" w:rsidRDefault="00C15592" w:rsidP="00C15592">
      <w:pPr>
        <w:pStyle w:val="FootnoteText"/>
        <w:rPr>
          <w:rFonts w:ascii="Times New Roman" w:hAnsi="Times New Roman" w:cs="Times New Roman"/>
          <w:sz w:val="20"/>
          <w:szCs w:val="20"/>
        </w:rPr>
      </w:pPr>
      <w:r w:rsidRPr="005E7C8B">
        <w:rPr>
          <w:rStyle w:val="FootnoteReference"/>
          <w:rFonts w:ascii="Times New Roman" w:hAnsi="Times New Roman" w:cs="Times New Roman"/>
          <w:sz w:val="20"/>
          <w:szCs w:val="20"/>
        </w:rPr>
        <w:footnoteRef/>
      </w:r>
      <w:r w:rsidRPr="005E7C8B">
        <w:rPr>
          <w:rFonts w:ascii="Times New Roman" w:hAnsi="Times New Roman" w:cs="Times New Roman"/>
          <w:sz w:val="20"/>
          <w:szCs w:val="20"/>
        </w:rPr>
        <w:t xml:space="preserve"> </w:t>
      </w:r>
      <w:r w:rsidRPr="005E7C8B">
        <w:rPr>
          <w:rFonts w:ascii="Times New Roman" w:hAnsi="Times New Roman" w:cs="Times New Roman"/>
          <w:sz w:val="20"/>
          <w:szCs w:val="20"/>
        </w:rPr>
        <w:tab/>
        <w:t xml:space="preserve">Tr. at 18; </w:t>
      </w:r>
      <w:r w:rsidRPr="005E7C8B">
        <w:rPr>
          <w:rFonts w:ascii="Times New Roman" w:hAnsi="Times New Roman" w:cs="Times New Roman"/>
          <w:i/>
          <w:iCs/>
          <w:sz w:val="20"/>
          <w:szCs w:val="20"/>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r w:rsidRPr="005E7C8B">
        <w:rPr>
          <w:rFonts w:ascii="Times New Roman" w:hAnsi="Times New Roman" w:cs="Times New Roman"/>
          <w:sz w:val="20"/>
          <w:szCs w:val="20"/>
        </w:rPr>
        <w:t xml:space="preserve">, Docket Nos. A-2010-2176520, A-2176520 at 17 (Order entered March 8, 2011) (citing </w:t>
      </w:r>
      <w:r w:rsidRPr="005E7C8B">
        <w:rPr>
          <w:rFonts w:ascii="Times New Roman" w:hAnsi="Times New Roman" w:cs="Times New Roman"/>
          <w:i/>
          <w:iCs/>
          <w:sz w:val="20"/>
          <w:szCs w:val="20"/>
        </w:rPr>
        <w:t>Application of PECO Energy Company for Approval of its Restructuring Plan Under Section 2806 of the Public Utility Code and Joint Petition for Partial Settlemen</w:t>
      </w:r>
      <w:r w:rsidRPr="005E7C8B">
        <w:rPr>
          <w:rFonts w:ascii="Times New Roman" w:hAnsi="Times New Roman" w:cs="Times New Roman"/>
          <w:sz w:val="20"/>
          <w:szCs w:val="20"/>
        </w:rPr>
        <w:t xml:space="preserve">t, Docket Nos. R-00973953 and P-00971265, 1997 Pa. PUC LEXIS 51, *17-*18 (Order entered December 23, 1997); </w:t>
      </w:r>
      <w:r w:rsidRPr="005E7C8B">
        <w:rPr>
          <w:rFonts w:ascii="Times New Roman" w:hAnsi="Times New Roman" w:cs="Times New Roman"/>
          <w:i/>
          <w:iCs/>
          <w:sz w:val="20"/>
          <w:szCs w:val="20"/>
        </w:rPr>
        <w:t>Popowski v. Pa.PUC</w:t>
      </w:r>
      <w:r w:rsidRPr="005E7C8B">
        <w:rPr>
          <w:rFonts w:ascii="Times New Roman" w:hAnsi="Times New Roman" w:cs="Times New Roman"/>
          <w:sz w:val="20"/>
          <w:szCs w:val="20"/>
        </w:rPr>
        <w:t xml:space="preserve">, 805 A.2d 637 (Pa. Cmwlth. 2002); and </w:t>
      </w:r>
      <w:r w:rsidRPr="005E7C8B">
        <w:rPr>
          <w:rFonts w:ascii="Times New Roman" w:hAnsi="Times New Roman" w:cs="Times New Roman"/>
          <w:i/>
          <w:iCs/>
          <w:sz w:val="20"/>
          <w:szCs w:val="20"/>
        </w:rPr>
        <w:t>ARIPPA v. Pa.PUC</w:t>
      </w:r>
      <w:r w:rsidRPr="005E7C8B">
        <w:rPr>
          <w:rFonts w:ascii="Times New Roman" w:hAnsi="Times New Roman" w:cs="Times New Roman"/>
          <w:sz w:val="20"/>
          <w:szCs w:val="20"/>
        </w:rPr>
        <w:t>, 792 A.2d 636 (Pa. Cmwlth. 2002)).</w:t>
      </w:r>
    </w:p>
  </w:footnote>
  <w:footnote w:id="11">
    <w:p w14:paraId="763208EC" w14:textId="77777777" w:rsidR="00C15592" w:rsidRDefault="00C15592" w:rsidP="00C15592">
      <w:pPr>
        <w:pStyle w:val="FootnoteText"/>
      </w:pPr>
      <w:r w:rsidRPr="005E7C8B">
        <w:rPr>
          <w:rStyle w:val="FootnoteReference"/>
          <w:rFonts w:ascii="Times New Roman" w:hAnsi="Times New Roman" w:cs="Times New Roman"/>
          <w:sz w:val="20"/>
          <w:szCs w:val="20"/>
        </w:rPr>
        <w:footnoteRef/>
      </w:r>
      <w:r w:rsidRPr="005E7C8B">
        <w:rPr>
          <w:rFonts w:ascii="Times New Roman" w:hAnsi="Times New Roman" w:cs="Times New Roman"/>
          <w:sz w:val="20"/>
          <w:szCs w:val="20"/>
        </w:rPr>
        <w:t xml:space="preserve"> </w:t>
      </w:r>
      <w:r w:rsidRPr="005E7C8B">
        <w:rPr>
          <w:rFonts w:ascii="Times New Roman" w:hAnsi="Times New Roman" w:cs="Times New Roman"/>
          <w:sz w:val="20"/>
          <w:szCs w:val="20"/>
        </w:rPr>
        <w:tab/>
        <w:t>Tr. at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1EF"/>
    <w:multiLevelType w:val="hybridMultilevel"/>
    <w:tmpl w:val="28E41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F4ADC"/>
    <w:multiLevelType w:val="hybridMultilevel"/>
    <w:tmpl w:val="1E3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65B"/>
    <w:multiLevelType w:val="hybridMultilevel"/>
    <w:tmpl w:val="9022D30E"/>
    <w:lvl w:ilvl="0" w:tplc="AD48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1"/>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2839"/>
    <w:rsid w:val="000036C6"/>
    <w:rsid w:val="00007E95"/>
    <w:rsid w:val="00015806"/>
    <w:rsid w:val="0001711F"/>
    <w:rsid w:val="00023DF7"/>
    <w:rsid w:val="00030233"/>
    <w:rsid w:val="00034427"/>
    <w:rsid w:val="00042181"/>
    <w:rsid w:val="000608C3"/>
    <w:rsid w:val="0006133A"/>
    <w:rsid w:val="00066B59"/>
    <w:rsid w:val="00067CB0"/>
    <w:rsid w:val="00071AD3"/>
    <w:rsid w:val="000735CA"/>
    <w:rsid w:val="0007442D"/>
    <w:rsid w:val="0008166B"/>
    <w:rsid w:val="000842D5"/>
    <w:rsid w:val="000852D4"/>
    <w:rsid w:val="00085374"/>
    <w:rsid w:val="00092027"/>
    <w:rsid w:val="00093680"/>
    <w:rsid w:val="000A6011"/>
    <w:rsid w:val="000B5AEF"/>
    <w:rsid w:val="000C6123"/>
    <w:rsid w:val="000D228C"/>
    <w:rsid w:val="000D3CF4"/>
    <w:rsid w:val="000D43CB"/>
    <w:rsid w:val="000D619F"/>
    <w:rsid w:val="000F28FD"/>
    <w:rsid w:val="000F478A"/>
    <w:rsid w:val="001007E1"/>
    <w:rsid w:val="00113D39"/>
    <w:rsid w:val="00115537"/>
    <w:rsid w:val="00116B8A"/>
    <w:rsid w:val="00122F37"/>
    <w:rsid w:val="001244AB"/>
    <w:rsid w:val="00124CF6"/>
    <w:rsid w:val="00130081"/>
    <w:rsid w:val="00133950"/>
    <w:rsid w:val="0013557B"/>
    <w:rsid w:val="001446B8"/>
    <w:rsid w:val="00154D44"/>
    <w:rsid w:val="00161055"/>
    <w:rsid w:val="0016376D"/>
    <w:rsid w:val="001667FB"/>
    <w:rsid w:val="0016744F"/>
    <w:rsid w:val="00173E4A"/>
    <w:rsid w:val="00174E56"/>
    <w:rsid w:val="00182EA7"/>
    <w:rsid w:val="001859DA"/>
    <w:rsid w:val="00187591"/>
    <w:rsid w:val="00195E1E"/>
    <w:rsid w:val="001A1547"/>
    <w:rsid w:val="001A4DBE"/>
    <w:rsid w:val="001B2A1A"/>
    <w:rsid w:val="001C14DD"/>
    <w:rsid w:val="001C3E3C"/>
    <w:rsid w:val="001C596C"/>
    <w:rsid w:val="001C60F2"/>
    <w:rsid w:val="001D14EF"/>
    <w:rsid w:val="001D1BE7"/>
    <w:rsid w:val="001D4130"/>
    <w:rsid w:val="001D584A"/>
    <w:rsid w:val="001D6455"/>
    <w:rsid w:val="001E12BA"/>
    <w:rsid w:val="001E707A"/>
    <w:rsid w:val="001F346F"/>
    <w:rsid w:val="002017A6"/>
    <w:rsid w:val="0020578B"/>
    <w:rsid w:val="00216631"/>
    <w:rsid w:val="00217C86"/>
    <w:rsid w:val="00221303"/>
    <w:rsid w:val="00222582"/>
    <w:rsid w:val="002308DF"/>
    <w:rsid w:val="00231DB6"/>
    <w:rsid w:val="0024055B"/>
    <w:rsid w:val="00243D79"/>
    <w:rsid w:val="00253F66"/>
    <w:rsid w:val="00256656"/>
    <w:rsid w:val="002626E7"/>
    <w:rsid w:val="00265F1A"/>
    <w:rsid w:val="00267D31"/>
    <w:rsid w:val="00270358"/>
    <w:rsid w:val="00277DC8"/>
    <w:rsid w:val="00284019"/>
    <w:rsid w:val="0029032D"/>
    <w:rsid w:val="002909A9"/>
    <w:rsid w:val="00297F15"/>
    <w:rsid w:val="002A2018"/>
    <w:rsid w:val="002A31E2"/>
    <w:rsid w:val="002B14B1"/>
    <w:rsid w:val="002B17C0"/>
    <w:rsid w:val="002C0F15"/>
    <w:rsid w:val="002D1949"/>
    <w:rsid w:val="002D5F03"/>
    <w:rsid w:val="002D6B04"/>
    <w:rsid w:val="002E0889"/>
    <w:rsid w:val="002E3D72"/>
    <w:rsid w:val="002E4EC1"/>
    <w:rsid w:val="002E65D3"/>
    <w:rsid w:val="002F0E51"/>
    <w:rsid w:val="002F4671"/>
    <w:rsid w:val="002F4C08"/>
    <w:rsid w:val="00305CFD"/>
    <w:rsid w:val="0030729F"/>
    <w:rsid w:val="00310213"/>
    <w:rsid w:val="003107F3"/>
    <w:rsid w:val="00313D2D"/>
    <w:rsid w:val="00323CB5"/>
    <w:rsid w:val="003241C4"/>
    <w:rsid w:val="00324616"/>
    <w:rsid w:val="003311F4"/>
    <w:rsid w:val="00332E23"/>
    <w:rsid w:val="0034618C"/>
    <w:rsid w:val="00356061"/>
    <w:rsid w:val="0036030B"/>
    <w:rsid w:val="00366652"/>
    <w:rsid w:val="003701C0"/>
    <w:rsid w:val="003764E8"/>
    <w:rsid w:val="0038741B"/>
    <w:rsid w:val="003A05DD"/>
    <w:rsid w:val="003A25CF"/>
    <w:rsid w:val="003A7AD7"/>
    <w:rsid w:val="003B037F"/>
    <w:rsid w:val="003C09F4"/>
    <w:rsid w:val="003C6B0E"/>
    <w:rsid w:val="003D40D0"/>
    <w:rsid w:val="003D5A5B"/>
    <w:rsid w:val="003D5B58"/>
    <w:rsid w:val="003D79A2"/>
    <w:rsid w:val="003F2091"/>
    <w:rsid w:val="003F4A5E"/>
    <w:rsid w:val="00402C62"/>
    <w:rsid w:val="00402D87"/>
    <w:rsid w:val="00405140"/>
    <w:rsid w:val="00421092"/>
    <w:rsid w:val="004334DB"/>
    <w:rsid w:val="00434C92"/>
    <w:rsid w:val="00445C7C"/>
    <w:rsid w:val="00460E90"/>
    <w:rsid w:val="0047204F"/>
    <w:rsid w:val="00475AB5"/>
    <w:rsid w:val="004801E7"/>
    <w:rsid w:val="00481949"/>
    <w:rsid w:val="00487F16"/>
    <w:rsid w:val="004930C6"/>
    <w:rsid w:val="004A312F"/>
    <w:rsid w:val="004D3F97"/>
    <w:rsid w:val="004D4145"/>
    <w:rsid w:val="004D53AD"/>
    <w:rsid w:val="004E5933"/>
    <w:rsid w:val="004E5A92"/>
    <w:rsid w:val="004E5C52"/>
    <w:rsid w:val="004E6933"/>
    <w:rsid w:val="004E7DC3"/>
    <w:rsid w:val="004F11E0"/>
    <w:rsid w:val="004F2852"/>
    <w:rsid w:val="004F4858"/>
    <w:rsid w:val="004F60A4"/>
    <w:rsid w:val="00502F4F"/>
    <w:rsid w:val="00504EF3"/>
    <w:rsid w:val="00511815"/>
    <w:rsid w:val="00520B25"/>
    <w:rsid w:val="00522A16"/>
    <w:rsid w:val="00523C8E"/>
    <w:rsid w:val="00527BA1"/>
    <w:rsid w:val="005400E8"/>
    <w:rsid w:val="005420AE"/>
    <w:rsid w:val="00545FAF"/>
    <w:rsid w:val="00550BE1"/>
    <w:rsid w:val="00551D4B"/>
    <w:rsid w:val="005600AB"/>
    <w:rsid w:val="005604AF"/>
    <w:rsid w:val="0056157E"/>
    <w:rsid w:val="00571AB6"/>
    <w:rsid w:val="0057595E"/>
    <w:rsid w:val="00575DBA"/>
    <w:rsid w:val="00583B1A"/>
    <w:rsid w:val="005900AC"/>
    <w:rsid w:val="005915C7"/>
    <w:rsid w:val="00592448"/>
    <w:rsid w:val="00594C76"/>
    <w:rsid w:val="005A4A44"/>
    <w:rsid w:val="005A5785"/>
    <w:rsid w:val="005A6FC9"/>
    <w:rsid w:val="005B028B"/>
    <w:rsid w:val="005B3CDC"/>
    <w:rsid w:val="005C411A"/>
    <w:rsid w:val="005C6653"/>
    <w:rsid w:val="005C7B5D"/>
    <w:rsid w:val="005D209B"/>
    <w:rsid w:val="005D7EF4"/>
    <w:rsid w:val="005E1438"/>
    <w:rsid w:val="005E21DD"/>
    <w:rsid w:val="005E415A"/>
    <w:rsid w:val="005E6362"/>
    <w:rsid w:val="005E782E"/>
    <w:rsid w:val="005E7C8B"/>
    <w:rsid w:val="005F14C5"/>
    <w:rsid w:val="005F241F"/>
    <w:rsid w:val="005F3B21"/>
    <w:rsid w:val="005F51B7"/>
    <w:rsid w:val="005F5FFC"/>
    <w:rsid w:val="00601AED"/>
    <w:rsid w:val="00602EBD"/>
    <w:rsid w:val="006067EF"/>
    <w:rsid w:val="006134CE"/>
    <w:rsid w:val="00613FEC"/>
    <w:rsid w:val="006140F4"/>
    <w:rsid w:val="00617EE0"/>
    <w:rsid w:val="00620057"/>
    <w:rsid w:val="0062026F"/>
    <w:rsid w:val="00624814"/>
    <w:rsid w:val="00641849"/>
    <w:rsid w:val="00656402"/>
    <w:rsid w:val="00656EDE"/>
    <w:rsid w:val="00674452"/>
    <w:rsid w:val="006800D8"/>
    <w:rsid w:val="00681D65"/>
    <w:rsid w:val="00687803"/>
    <w:rsid w:val="0069535F"/>
    <w:rsid w:val="006959E8"/>
    <w:rsid w:val="00697854"/>
    <w:rsid w:val="006A759D"/>
    <w:rsid w:val="006B7070"/>
    <w:rsid w:val="006C129B"/>
    <w:rsid w:val="006E128A"/>
    <w:rsid w:val="006E1E72"/>
    <w:rsid w:val="006E675F"/>
    <w:rsid w:val="006E7E31"/>
    <w:rsid w:val="006F445E"/>
    <w:rsid w:val="006F763D"/>
    <w:rsid w:val="007002E4"/>
    <w:rsid w:val="007034AF"/>
    <w:rsid w:val="00710043"/>
    <w:rsid w:val="00720272"/>
    <w:rsid w:val="00721721"/>
    <w:rsid w:val="007241A2"/>
    <w:rsid w:val="00724B3F"/>
    <w:rsid w:val="0073244A"/>
    <w:rsid w:val="00736F7E"/>
    <w:rsid w:val="00740D26"/>
    <w:rsid w:val="007450BA"/>
    <w:rsid w:val="00753BF7"/>
    <w:rsid w:val="007558F9"/>
    <w:rsid w:val="00760DF2"/>
    <w:rsid w:val="007625DB"/>
    <w:rsid w:val="007647FC"/>
    <w:rsid w:val="00765E01"/>
    <w:rsid w:val="00771281"/>
    <w:rsid w:val="00785A2D"/>
    <w:rsid w:val="007940A3"/>
    <w:rsid w:val="007A2556"/>
    <w:rsid w:val="007A2792"/>
    <w:rsid w:val="007A79E0"/>
    <w:rsid w:val="007B29F2"/>
    <w:rsid w:val="007B4C4B"/>
    <w:rsid w:val="007B64FB"/>
    <w:rsid w:val="007B734F"/>
    <w:rsid w:val="007C33AA"/>
    <w:rsid w:val="007D03A0"/>
    <w:rsid w:val="007D109B"/>
    <w:rsid w:val="007D1126"/>
    <w:rsid w:val="007D30D9"/>
    <w:rsid w:val="007D7629"/>
    <w:rsid w:val="007E0052"/>
    <w:rsid w:val="007E445D"/>
    <w:rsid w:val="007E5E83"/>
    <w:rsid w:val="007F02F9"/>
    <w:rsid w:val="007F1802"/>
    <w:rsid w:val="007F2225"/>
    <w:rsid w:val="007F6D0A"/>
    <w:rsid w:val="0080341F"/>
    <w:rsid w:val="00805958"/>
    <w:rsid w:val="00807097"/>
    <w:rsid w:val="00810DDF"/>
    <w:rsid w:val="008142EA"/>
    <w:rsid w:val="00815AA1"/>
    <w:rsid w:val="00822E21"/>
    <w:rsid w:val="008318C4"/>
    <w:rsid w:val="008337B8"/>
    <w:rsid w:val="00842884"/>
    <w:rsid w:val="00850691"/>
    <w:rsid w:val="0085157E"/>
    <w:rsid w:val="00853787"/>
    <w:rsid w:val="00856B7F"/>
    <w:rsid w:val="00857951"/>
    <w:rsid w:val="00860BD7"/>
    <w:rsid w:val="00861F1C"/>
    <w:rsid w:val="00862F18"/>
    <w:rsid w:val="00875D61"/>
    <w:rsid w:val="0087744A"/>
    <w:rsid w:val="00890C9A"/>
    <w:rsid w:val="00897E54"/>
    <w:rsid w:val="008B3B7B"/>
    <w:rsid w:val="008C3AC0"/>
    <w:rsid w:val="008C7D43"/>
    <w:rsid w:val="008D4691"/>
    <w:rsid w:val="008D745A"/>
    <w:rsid w:val="008E47E1"/>
    <w:rsid w:val="008E5789"/>
    <w:rsid w:val="008F221B"/>
    <w:rsid w:val="009027B8"/>
    <w:rsid w:val="00905110"/>
    <w:rsid w:val="009151BF"/>
    <w:rsid w:val="00917A25"/>
    <w:rsid w:val="00921F4B"/>
    <w:rsid w:val="00922214"/>
    <w:rsid w:val="009237A5"/>
    <w:rsid w:val="00930EC8"/>
    <w:rsid w:val="00933F30"/>
    <w:rsid w:val="00937836"/>
    <w:rsid w:val="0094058C"/>
    <w:rsid w:val="0094170A"/>
    <w:rsid w:val="00941958"/>
    <w:rsid w:val="0094640D"/>
    <w:rsid w:val="009530DD"/>
    <w:rsid w:val="00964FED"/>
    <w:rsid w:val="00976107"/>
    <w:rsid w:val="00977834"/>
    <w:rsid w:val="00992A7E"/>
    <w:rsid w:val="00995322"/>
    <w:rsid w:val="00997DC3"/>
    <w:rsid w:val="009A2463"/>
    <w:rsid w:val="009B278D"/>
    <w:rsid w:val="009C5687"/>
    <w:rsid w:val="009C58E7"/>
    <w:rsid w:val="009D316F"/>
    <w:rsid w:val="009D462C"/>
    <w:rsid w:val="009E0671"/>
    <w:rsid w:val="009E071B"/>
    <w:rsid w:val="009E5B30"/>
    <w:rsid w:val="009E7930"/>
    <w:rsid w:val="009F0816"/>
    <w:rsid w:val="009F16BA"/>
    <w:rsid w:val="009F3941"/>
    <w:rsid w:val="009F4AE9"/>
    <w:rsid w:val="009F5B05"/>
    <w:rsid w:val="00A0750A"/>
    <w:rsid w:val="00A10220"/>
    <w:rsid w:val="00A22FD8"/>
    <w:rsid w:val="00A23375"/>
    <w:rsid w:val="00A23553"/>
    <w:rsid w:val="00A27A18"/>
    <w:rsid w:val="00A31581"/>
    <w:rsid w:val="00A33188"/>
    <w:rsid w:val="00A34A95"/>
    <w:rsid w:val="00A369BB"/>
    <w:rsid w:val="00A405AB"/>
    <w:rsid w:val="00A426ED"/>
    <w:rsid w:val="00A45129"/>
    <w:rsid w:val="00A61F7B"/>
    <w:rsid w:val="00A661AE"/>
    <w:rsid w:val="00A668D1"/>
    <w:rsid w:val="00A7421A"/>
    <w:rsid w:val="00A74E9C"/>
    <w:rsid w:val="00A760AC"/>
    <w:rsid w:val="00A8031C"/>
    <w:rsid w:val="00A90AD3"/>
    <w:rsid w:val="00A93C62"/>
    <w:rsid w:val="00A94414"/>
    <w:rsid w:val="00AA6BC9"/>
    <w:rsid w:val="00AB2EE4"/>
    <w:rsid w:val="00AB6ECF"/>
    <w:rsid w:val="00AD11BB"/>
    <w:rsid w:val="00AD1487"/>
    <w:rsid w:val="00AD336C"/>
    <w:rsid w:val="00AD497A"/>
    <w:rsid w:val="00AE7C29"/>
    <w:rsid w:val="00AF0F11"/>
    <w:rsid w:val="00B13136"/>
    <w:rsid w:val="00B133F7"/>
    <w:rsid w:val="00B1578E"/>
    <w:rsid w:val="00B203DB"/>
    <w:rsid w:val="00B223C5"/>
    <w:rsid w:val="00B22D90"/>
    <w:rsid w:val="00B25809"/>
    <w:rsid w:val="00B304C2"/>
    <w:rsid w:val="00B31BCB"/>
    <w:rsid w:val="00B42F23"/>
    <w:rsid w:val="00B456CB"/>
    <w:rsid w:val="00B4649E"/>
    <w:rsid w:val="00B5143E"/>
    <w:rsid w:val="00B538D5"/>
    <w:rsid w:val="00B6226F"/>
    <w:rsid w:val="00B71E70"/>
    <w:rsid w:val="00B73B78"/>
    <w:rsid w:val="00B74A43"/>
    <w:rsid w:val="00B8031B"/>
    <w:rsid w:val="00B82C20"/>
    <w:rsid w:val="00B83229"/>
    <w:rsid w:val="00B87D3F"/>
    <w:rsid w:val="00B909D2"/>
    <w:rsid w:val="00B95122"/>
    <w:rsid w:val="00B96A6C"/>
    <w:rsid w:val="00BA36F3"/>
    <w:rsid w:val="00BA4F2B"/>
    <w:rsid w:val="00BA5F67"/>
    <w:rsid w:val="00BC40F2"/>
    <w:rsid w:val="00BD013E"/>
    <w:rsid w:val="00BD414D"/>
    <w:rsid w:val="00BD5586"/>
    <w:rsid w:val="00BD76C0"/>
    <w:rsid w:val="00BE61D2"/>
    <w:rsid w:val="00BE6967"/>
    <w:rsid w:val="00BF7A55"/>
    <w:rsid w:val="00C00439"/>
    <w:rsid w:val="00C02F70"/>
    <w:rsid w:val="00C07E74"/>
    <w:rsid w:val="00C11411"/>
    <w:rsid w:val="00C12513"/>
    <w:rsid w:val="00C15592"/>
    <w:rsid w:val="00C173A4"/>
    <w:rsid w:val="00C200EE"/>
    <w:rsid w:val="00C21C9E"/>
    <w:rsid w:val="00C255D0"/>
    <w:rsid w:val="00C26365"/>
    <w:rsid w:val="00C26825"/>
    <w:rsid w:val="00C27A72"/>
    <w:rsid w:val="00C35722"/>
    <w:rsid w:val="00C368DB"/>
    <w:rsid w:val="00C379A8"/>
    <w:rsid w:val="00C56506"/>
    <w:rsid w:val="00C6303E"/>
    <w:rsid w:val="00C64276"/>
    <w:rsid w:val="00C657AE"/>
    <w:rsid w:val="00C70E0E"/>
    <w:rsid w:val="00C7227F"/>
    <w:rsid w:val="00C81EF0"/>
    <w:rsid w:val="00C83A18"/>
    <w:rsid w:val="00C84818"/>
    <w:rsid w:val="00C87683"/>
    <w:rsid w:val="00C91844"/>
    <w:rsid w:val="00CA3696"/>
    <w:rsid w:val="00CA419C"/>
    <w:rsid w:val="00CA43A9"/>
    <w:rsid w:val="00CB010D"/>
    <w:rsid w:val="00CB0467"/>
    <w:rsid w:val="00CB313F"/>
    <w:rsid w:val="00CC30CC"/>
    <w:rsid w:val="00CC3852"/>
    <w:rsid w:val="00CC65F0"/>
    <w:rsid w:val="00CC7BB2"/>
    <w:rsid w:val="00CD40E9"/>
    <w:rsid w:val="00CE02B8"/>
    <w:rsid w:val="00CE0D5C"/>
    <w:rsid w:val="00CE17DC"/>
    <w:rsid w:val="00CE61B0"/>
    <w:rsid w:val="00CF09E5"/>
    <w:rsid w:val="00D02EA2"/>
    <w:rsid w:val="00D03B3D"/>
    <w:rsid w:val="00D05C8E"/>
    <w:rsid w:val="00D11235"/>
    <w:rsid w:val="00D1268B"/>
    <w:rsid w:val="00D1607F"/>
    <w:rsid w:val="00D216B8"/>
    <w:rsid w:val="00D26420"/>
    <w:rsid w:val="00D27247"/>
    <w:rsid w:val="00D2725A"/>
    <w:rsid w:val="00D34621"/>
    <w:rsid w:val="00D3769D"/>
    <w:rsid w:val="00D45DA6"/>
    <w:rsid w:val="00D5647D"/>
    <w:rsid w:val="00D61459"/>
    <w:rsid w:val="00D6212D"/>
    <w:rsid w:val="00D62685"/>
    <w:rsid w:val="00D6344C"/>
    <w:rsid w:val="00D66B46"/>
    <w:rsid w:val="00D75E01"/>
    <w:rsid w:val="00D76453"/>
    <w:rsid w:val="00D76DE1"/>
    <w:rsid w:val="00D772CF"/>
    <w:rsid w:val="00D80682"/>
    <w:rsid w:val="00D82180"/>
    <w:rsid w:val="00D84B1F"/>
    <w:rsid w:val="00D87CC6"/>
    <w:rsid w:val="00D91990"/>
    <w:rsid w:val="00D97848"/>
    <w:rsid w:val="00D97D4E"/>
    <w:rsid w:val="00DA1708"/>
    <w:rsid w:val="00DA1DEF"/>
    <w:rsid w:val="00DA2552"/>
    <w:rsid w:val="00DA4A12"/>
    <w:rsid w:val="00DA51E4"/>
    <w:rsid w:val="00DA6844"/>
    <w:rsid w:val="00DB519F"/>
    <w:rsid w:val="00DB7E91"/>
    <w:rsid w:val="00DC6632"/>
    <w:rsid w:val="00DD0D1E"/>
    <w:rsid w:val="00DD3915"/>
    <w:rsid w:val="00DD6C0E"/>
    <w:rsid w:val="00DD72F2"/>
    <w:rsid w:val="00DF380D"/>
    <w:rsid w:val="00DF4711"/>
    <w:rsid w:val="00DF5281"/>
    <w:rsid w:val="00DF56AD"/>
    <w:rsid w:val="00DF5873"/>
    <w:rsid w:val="00DF652B"/>
    <w:rsid w:val="00DF7FF6"/>
    <w:rsid w:val="00E01B6D"/>
    <w:rsid w:val="00E0516E"/>
    <w:rsid w:val="00E0597D"/>
    <w:rsid w:val="00E06A47"/>
    <w:rsid w:val="00E11427"/>
    <w:rsid w:val="00E12A4F"/>
    <w:rsid w:val="00E15427"/>
    <w:rsid w:val="00E16FAC"/>
    <w:rsid w:val="00E23463"/>
    <w:rsid w:val="00E24E02"/>
    <w:rsid w:val="00E33157"/>
    <w:rsid w:val="00E37F3D"/>
    <w:rsid w:val="00E4350F"/>
    <w:rsid w:val="00E439DA"/>
    <w:rsid w:val="00E46154"/>
    <w:rsid w:val="00E512B6"/>
    <w:rsid w:val="00E51833"/>
    <w:rsid w:val="00E541E7"/>
    <w:rsid w:val="00E57875"/>
    <w:rsid w:val="00E60734"/>
    <w:rsid w:val="00E62294"/>
    <w:rsid w:val="00E726FB"/>
    <w:rsid w:val="00E83E17"/>
    <w:rsid w:val="00E86428"/>
    <w:rsid w:val="00E91722"/>
    <w:rsid w:val="00E93C01"/>
    <w:rsid w:val="00E955B8"/>
    <w:rsid w:val="00EA5F89"/>
    <w:rsid w:val="00EB4B7F"/>
    <w:rsid w:val="00EC135E"/>
    <w:rsid w:val="00ED1B15"/>
    <w:rsid w:val="00ED54EC"/>
    <w:rsid w:val="00EE2686"/>
    <w:rsid w:val="00EE6222"/>
    <w:rsid w:val="00EF2F2A"/>
    <w:rsid w:val="00EF3D1B"/>
    <w:rsid w:val="00F07C25"/>
    <w:rsid w:val="00F17B07"/>
    <w:rsid w:val="00F22AA8"/>
    <w:rsid w:val="00F30BB8"/>
    <w:rsid w:val="00F332F3"/>
    <w:rsid w:val="00F3557E"/>
    <w:rsid w:val="00F428CF"/>
    <w:rsid w:val="00F42CB8"/>
    <w:rsid w:val="00F44329"/>
    <w:rsid w:val="00F46E39"/>
    <w:rsid w:val="00F472EF"/>
    <w:rsid w:val="00F50041"/>
    <w:rsid w:val="00F51832"/>
    <w:rsid w:val="00F52724"/>
    <w:rsid w:val="00F55247"/>
    <w:rsid w:val="00F619D0"/>
    <w:rsid w:val="00F62CC9"/>
    <w:rsid w:val="00F637E1"/>
    <w:rsid w:val="00F642B7"/>
    <w:rsid w:val="00F72692"/>
    <w:rsid w:val="00F7619D"/>
    <w:rsid w:val="00F76D29"/>
    <w:rsid w:val="00F82E2A"/>
    <w:rsid w:val="00F84CD8"/>
    <w:rsid w:val="00F912A1"/>
    <w:rsid w:val="00F927E1"/>
    <w:rsid w:val="00F92815"/>
    <w:rsid w:val="00F971B0"/>
    <w:rsid w:val="00FA0E0E"/>
    <w:rsid w:val="00FA29AD"/>
    <w:rsid w:val="00FB025A"/>
    <w:rsid w:val="00FB037D"/>
    <w:rsid w:val="00FB1D38"/>
    <w:rsid w:val="00FB50E0"/>
    <w:rsid w:val="00FB5BCC"/>
    <w:rsid w:val="00FC2517"/>
    <w:rsid w:val="00FC2743"/>
    <w:rsid w:val="00FD4149"/>
    <w:rsid w:val="00FD5F1E"/>
    <w:rsid w:val="00FD6B52"/>
    <w:rsid w:val="00FE05E7"/>
    <w:rsid w:val="00FE2AD8"/>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AA2303"/>
  <w15:docId w15:val="{2F9476CD-E6F2-4CD3-BBB3-E96A0A5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721721"/>
    <w:rPr>
      <w:color w:val="605E5C"/>
      <w:shd w:val="clear" w:color="auto" w:fill="E1DFDD"/>
    </w:rPr>
  </w:style>
  <w:style w:type="character" w:customStyle="1" w:styleId="FooterChar">
    <w:name w:val="Footer Char"/>
    <w:basedOn w:val="DefaultParagraphFont"/>
    <w:link w:val="Footer"/>
    <w:uiPriority w:val="99"/>
    <w:rsid w:val="00EC135E"/>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65208">
      <w:bodyDiv w:val="1"/>
      <w:marLeft w:val="0"/>
      <w:marRight w:val="0"/>
      <w:marTop w:val="0"/>
      <w:marBottom w:val="0"/>
      <w:divBdr>
        <w:top w:val="none" w:sz="0" w:space="0" w:color="auto"/>
        <w:left w:val="none" w:sz="0" w:space="0" w:color="auto"/>
        <w:bottom w:val="none" w:sz="0" w:space="0" w:color="auto"/>
        <w:right w:val="none" w:sz="0" w:space="0" w:color="auto"/>
      </w:divBdr>
      <w:divsChild>
        <w:div w:id="342318300">
          <w:marLeft w:val="0"/>
          <w:marRight w:val="0"/>
          <w:marTop w:val="0"/>
          <w:marBottom w:val="0"/>
          <w:divBdr>
            <w:top w:val="none" w:sz="0" w:space="0" w:color="auto"/>
            <w:left w:val="none" w:sz="0" w:space="0" w:color="auto"/>
            <w:bottom w:val="none" w:sz="0" w:space="0" w:color="auto"/>
            <w:right w:val="none" w:sz="0" w:space="0" w:color="auto"/>
          </w:divBdr>
          <w:divsChild>
            <w:div w:id="1780836934">
              <w:marLeft w:val="-225"/>
              <w:marRight w:val="-225"/>
              <w:marTop w:val="0"/>
              <w:marBottom w:val="0"/>
              <w:divBdr>
                <w:top w:val="none" w:sz="0" w:space="0" w:color="auto"/>
                <w:left w:val="none" w:sz="0" w:space="0" w:color="auto"/>
                <w:bottom w:val="none" w:sz="0" w:space="0" w:color="auto"/>
                <w:right w:val="none" w:sz="0" w:space="0" w:color="auto"/>
              </w:divBdr>
              <w:divsChild>
                <w:div w:id="1506673834">
                  <w:marLeft w:val="0"/>
                  <w:marRight w:val="0"/>
                  <w:marTop w:val="0"/>
                  <w:marBottom w:val="0"/>
                  <w:divBdr>
                    <w:top w:val="none" w:sz="0" w:space="0" w:color="auto"/>
                    <w:left w:val="none" w:sz="0" w:space="0" w:color="auto"/>
                    <w:bottom w:val="none" w:sz="0" w:space="0" w:color="auto"/>
                    <w:right w:val="none" w:sz="0" w:space="0" w:color="auto"/>
                  </w:divBdr>
                  <w:divsChild>
                    <w:div w:id="1900051764">
                      <w:marLeft w:val="0"/>
                      <w:marRight w:val="0"/>
                      <w:marTop w:val="0"/>
                      <w:marBottom w:val="0"/>
                      <w:divBdr>
                        <w:top w:val="none" w:sz="0" w:space="0" w:color="auto"/>
                        <w:left w:val="none" w:sz="0" w:space="0" w:color="auto"/>
                        <w:bottom w:val="none" w:sz="0" w:space="0" w:color="auto"/>
                        <w:right w:val="none" w:sz="0" w:space="0" w:color="auto"/>
                      </w:divBdr>
                      <w:divsChild>
                        <w:div w:id="312683129">
                          <w:marLeft w:val="0"/>
                          <w:marRight w:val="0"/>
                          <w:marTop w:val="0"/>
                          <w:marBottom w:val="0"/>
                          <w:divBdr>
                            <w:top w:val="none" w:sz="0" w:space="0" w:color="auto"/>
                            <w:left w:val="none" w:sz="0" w:space="0" w:color="auto"/>
                            <w:bottom w:val="none" w:sz="0" w:space="0" w:color="auto"/>
                            <w:right w:val="none" w:sz="0" w:space="0" w:color="auto"/>
                          </w:divBdr>
                          <w:divsChild>
                            <w:div w:id="711806815">
                              <w:marLeft w:val="0"/>
                              <w:marRight w:val="0"/>
                              <w:marTop w:val="0"/>
                              <w:marBottom w:val="0"/>
                              <w:divBdr>
                                <w:top w:val="none" w:sz="0" w:space="0" w:color="auto"/>
                                <w:left w:val="none" w:sz="0" w:space="0" w:color="auto"/>
                                <w:bottom w:val="none" w:sz="0" w:space="0" w:color="auto"/>
                                <w:right w:val="none" w:sz="0" w:space="0" w:color="auto"/>
                              </w:divBdr>
                              <w:divsChild>
                                <w:div w:id="112795084">
                                  <w:marLeft w:val="0"/>
                                  <w:marRight w:val="0"/>
                                  <w:marTop w:val="0"/>
                                  <w:marBottom w:val="0"/>
                                  <w:divBdr>
                                    <w:top w:val="none" w:sz="0" w:space="0" w:color="auto"/>
                                    <w:left w:val="none" w:sz="0" w:space="0" w:color="auto"/>
                                    <w:bottom w:val="none" w:sz="0" w:space="0" w:color="auto"/>
                                    <w:right w:val="none" w:sz="0" w:space="0" w:color="auto"/>
                                  </w:divBdr>
                                  <w:divsChild>
                                    <w:div w:id="11950743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30653832">
      <w:bodyDiv w:val="1"/>
      <w:marLeft w:val="0"/>
      <w:marRight w:val="0"/>
      <w:marTop w:val="0"/>
      <w:marBottom w:val="0"/>
      <w:divBdr>
        <w:top w:val="none" w:sz="0" w:space="0" w:color="auto"/>
        <w:left w:val="none" w:sz="0" w:space="0" w:color="auto"/>
        <w:bottom w:val="none" w:sz="0" w:space="0" w:color="auto"/>
        <w:right w:val="none" w:sz="0" w:space="0" w:color="auto"/>
      </w:divBdr>
    </w:div>
    <w:div w:id="1730152339">
      <w:bodyDiv w:val="1"/>
      <w:marLeft w:val="0"/>
      <w:marRight w:val="0"/>
      <w:marTop w:val="0"/>
      <w:marBottom w:val="0"/>
      <w:divBdr>
        <w:top w:val="none" w:sz="0" w:space="0" w:color="auto"/>
        <w:left w:val="none" w:sz="0" w:space="0" w:color="auto"/>
        <w:bottom w:val="none" w:sz="0" w:space="0" w:color="auto"/>
        <w:right w:val="none" w:sz="0" w:space="0" w:color="auto"/>
      </w:divBdr>
    </w:div>
    <w:div w:id="18617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ntinucci@paoca.org" TargetMode="External"/><Relationship Id="rId4" Type="http://schemas.openxmlformats.org/officeDocument/2006/relationships/settings" Target="settings.xml"/><Relationship Id="rId9" Type="http://schemas.openxmlformats.org/officeDocument/2006/relationships/hyperlink" Target="mailto:mag@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7FAB-2EB8-4FD9-A050-D10D1A3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17468</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McNeal, Pamela</cp:lastModifiedBy>
  <cp:revision>4</cp:revision>
  <cp:lastPrinted>2016-11-30T16:22:00Z</cp:lastPrinted>
  <dcterms:created xsi:type="dcterms:W3CDTF">2020-09-25T16:32:00Z</dcterms:created>
  <dcterms:modified xsi:type="dcterms:W3CDTF">2020-09-25T16:54:00Z</dcterms:modified>
</cp:coreProperties>
</file>