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Layout w:type="fixed"/>
        <w:tblLook w:val="0000" w:firstRow="0" w:lastRow="0" w:firstColumn="0" w:lastColumn="0" w:noHBand="0" w:noVBand="0"/>
      </w:tblPr>
      <w:tblGrid>
        <w:gridCol w:w="2448"/>
        <w:gridCol w:w="5130"/>
        <w:gridCol w:w="2700"/>
      </w:tblGrid>
      <w:tr w:rsidR="000A04B2" w:rsidRPr="00C0451E" w14:paraId="7D3F9F11" w14:textId="77777777" w:rsidTr="00400496">
        <w:tc>
          <w:tcPr>
            <w:tcW w:w="2448" w:type="dxa"/>
          </w:tcPr>
          <w:p w14:paraId="4F667B34" w14:textId="77777777" w:rsidR="000A04B2" w:rsidRPr="00C0451E" w:rsidRDefault="000A04B2" w:rsidP="00400496">
            <w:pPr>
              <w:pStyle w:val="Heading3"/>
              <w:rPr>
                <w:rFonts w:cs="Times New Roman"/>
              </w:rPr>
            </w:pPr>
            <w:bookmarkStart w:id="0" w:name="_GoBack"/>
            <w:bookmarkEnd w:id="0"/>
          </w:p>
        </w:tc>
        <w:tc>
          <w:tcPr>
            <w:tcW w:w="5130" w:type="dxa"/>
          </w:tcPr>
          <w:p w14:paraId="299163EA" w14:textId="77777777" w:rsidR="000A04B2" w:rsidRPr="00C0451E" w:rsidRDefault="000A04B2" w:rsidP="00400496">
            <w:pPr>
              <w:jc w:val="center"/>
              <w:rPr>
                <w:b/>
                <w:sz w:val="26"/>
                <w:szCs w:val="26"/>
              </w:rPr>
            </w:pPr>
            <w:r w:rsidRPr="00C0451E">
              <w:rPr>
                <w:b/>
                <w:sz w:val="26"/>
                <w:szCs w:val="26"/>
              </w:rPr>
              <w:t>PENNSYLVANIA</w:t>
            </w:r>
          </w:p>
          <w:p w14:paraId="49B2E2AC" w14:textId="77777777" w:rsidR="000A04B2" w:rsidRPr="00C0451E" w:rsidRDefault="000A04B2" w:rsidP="00400496">
            <w:pPr>
              <w:jc w:val="center"/>
              <w:rPr>
                <w:b/>
                <w:sz w:val="26"/>
                <w:szCs w:val="26"/>
              </w:rPr>
            </w:pPr>
            <w:r w:rsidRPr="00C0451E">
              <w:rPr>
                <w:b/>
                <w:sz w:val="26"/>
                <w:szCs w:val="26"/>
              </w:rPr>
              <w:t>PUBLIC UTILITY COMMISSION</w:t>
            </w:r>
          </w:p>
          <w:p w14:paraId="6EAEB214" w14:textId="77777777" w:rsidR="000A04B2" w:rsidRPr="00C0451E" w:rsidRDefault="000A04B2" w:rsidP="00400496">
            <w:pPr>
              <w:pStyle w:val="StyleCentered"/>
              <w:rPr>
                <w:b/>
                <w:sz w:val="26"/>
                <w:szCs w:val="26"/>
              </w:rPr>
            </w:pPr>
            <w:r w:rsidRPr="00C0451E">
              <w:rPr>
                <w:b/>
                <w:sz w:val="26"/>
                <w:szCs w:val="26"/>
              </w:rPr>
              <w:t>Harrisburg, PA  17105-3265</w:t>
            </w:r>
          </w:p>
        </w:tc>
        <w:tc>
          <w:tcPr>
            <w:tcW w:w="2700" w:type="dxa"/>
          </w:tcPr>
          <w:p w14:paraId="3EF2A20D" w14:textId="77777777" w:rsidR="000A04B2" w:rsidRPr="00C0451E" w:rsidRDefault="000A04B2" w:rsidP="00400496">
            <w:pPr>
              <w:rPr>
                <w:sz w:val="26"/>
                <w:szCs w:val="26"/>
              </w:rPr>
            </w:pPr>
          </w:p>
        </w:tc>
      </w:tr>
    </w:tbl>
    <w:p w14:paraId="0CC640EC" w14:textId="77777777" w:rsidR="000A04B2" w:rsidRPr="00C0451E" w:rsidRDefault="000A04B2" w:rsidP="000A04B2">
      <w:pPr>
        <w:rPr>
          <w:sz w:val="26"/>
          <w:szCs w:val="26"/>
        </w:rPr>
      </w:pPr>
    </w:p>
    <w:tbl>
      <w:tblPr>
        <w:tblW w:w="10404" w:type="dxa"/>
        <w:tblLayout w:type="fixed"/>
        <w:tblLook w:val="0000" w:firstRow="0" w:lastRow="0" w:firstColumn="0" w:lastColumn="0" w:noHBand="0" w:noVBand="0"/>
      </w:tblPr>
      <w:tblGrid>
        <w:gridCol w:w="108"/>
        <w:gridCol w:w="5040"/>
        <w:gridCol w:w="108"/>
        <w:gridCol w:w="5040"/>
        <w:gridCol w:w="108"/>
      </w:tblGrid>
      <w:tr w:rsidR="000A04B2" w:rsidRPr="00C0451E" w14:paraId="5D07ED24" w14:textId="77777777" w:rsidTr="00400496">
        <w:trPr>
          <w:gridAfter w:val="1"/>
          <w:wAfter w:w="108" w:type="dxa"/>
        </w:trPr>
        <w:tc>
          <w:tcPr>
            <w:tcW w:w="5148" w:type="dxa"/>
            <w:gridSpan w:val="2"/>
          </w:tcPr>
          <w:p w14:paraId="2CB54705" w14:textId="77777777" w:rsidR="000A04B2" w:rsidRPr="00C0451E" w:rsidRDefault="000A04B2" w:rsidP="00400496">
            <w:pPr>
              <w:rPr>
                <w:sz w:val="26"/>
                <w:szCs w:val="26"/>
              </w:rPr>
            </w:pPr>
          </w:p>
        </w:tc>
        <w:tc>
          <w:tcPr>
            <w:tcW w:w="5148" w:type="dxa"/>
            <w:gridSpan w:val="2"/>
          </w:tcPr>
          <w:p w14:paraId="417267E1" w14:textId="77777777" w:rsidR="000A04B2" w:rsidRPr="00C0451E" w:rsidRDefault="000A04B2" w:rsidP="00400496">
            <w:pPr>
              <w:rPr>
                <w:sz w:val="26"/>
                <w:szCs w:val="26"/>
              </w:rPr>
            </w:pPr>
            <w:r w:rsidRPr="00C0451E">
              <w:rPr>
                <w:sz w:val="26"/>
                <w:szCs w:val="26"/>
              </w:rPr>
              <w:t xml:space="preserve">Public Meeting held </w:t>
            </w:r>
            <w:r>
              <w:rPr>
                <w:sz w:val="26"/>
                <w:szCs w:val="26"/>
              </w:rPr>
              <w:t>September 17, 2020</w:t>
            </w:r>
          </w:p>
        </w:tc>
      </w:tr>
      <w:tr w:rsidR="000A04B2" w:rsidRPr="00F46CBA" w14:paraId="5B3C40B8" w14:textId="77777777" w:rsidTr="00400496">
        <w:trPr>
          <w:gridBefore w:val="1"/>
          <w:wBefore w:w="108" w:type="dxa"/>
        </w:trPr>
        <w:tc>
          <w:tcPr>
            <w:tcW w:w="5148" w:type="dxa"/>
            <w:gridSpan w:val="2"/>
          </w:tcPr>
          <w:p w14:paraId="14216615" w14:textId="77777777" w:rsidR="000A04B2" w:rsidRPr="00F46CBA" w:rsidRDefault="000A04B2" w:rsidP="00400496">
            <w:pPr>
              <w:rPr>
                <w:sz w:val="26"/>
                <w:szCs w:val="26"/>
              </w:rPr>
            </w:pPr>
            <w:r w:rsidRPr="00F46CBA">
              <w:rPr>
                <w:sz w:val="26"/>
                <w:szCs w:val="26"/>
              </w:rPr>
              <w:t>Commissioners Present:</w:t>
            </w:r>
          </w:p>
        </w:tc>
        <w:tc>
          <w:tcPr>
            <w:tcW w:w="5148" w:type="dxa"/>
            <w:gridSpan w:val="2"/>
          </w:tcPr>
          <w:p w14:paraId="6055EB99" w14:textId="77777777" w:rsidR="000A04B2" w:rsidRPr="00F46CBA" w:rsidRDefault="000A04B2" w:rsidP="00400496">
            <w:pPr>
              <w:rPr>
                <w:sz w:val="26"/>
                <w:szCs w:val="26"/>
              </w:rPr>
            </w:pPr>
          </w:p>
        </w:tc>
      </w:tr>
    </w:tbl>
    <w:p w14:paraId="318BC184" w14:textId="77777777" w:rsidR="000A04B2" w:rsidRPr="00F46CBA" w:rsidRDefault="000A04B2" w:rsidP="000A04B2">
      <w:pPr>
        <w:rPr>
          <w:sz w:val="26"/>
          <w:szCs w:val="26"/>
        </w:rPr>
      </w:pPr>
    </w:p>
    <w:tbl>
      <w:tblPr>
        <w:tblW w:w="10296" w:type="dxa"/>
        <w:tblLayout w:type="fixed"/>
        <w:tblLook w:val="0000" w:firstRow="0" w:lastRow="0" w:firstColumn="0" w:lastColumn="0" w:noHBand="0" w:noVBand="0"/>
      </w:tblPr>
      <w:tblGrid>
        <w:gridCol w:w="5958"/>
        <w:gridCol w:w="4320"/>
        <w:gridCol w:w="18"/>
      </w:tblGrid>
      <w:tr w:rsidR="000A04B2" w:rsidRPr="00F46CBA" w14:paraId="5D0452E1" w14:textId="77777777" w:rsidTr="00400496">
        <w:tc>
          <w:tcPr>
            <w:tcW w:w="10296" w:type="dxa"/>
            <w:gridSpan w:val="3"/>
          </w:tcPr>
          <w:p w14:paraId="598BA34B" w14:textId="77777777" w:rsidR="000A04B2" w:rsidRPr="00F46CBA" w:rsidRDefault="000A04B2" w:rsidP="00400496">
            <w:pPr>
              <w:tabs>
                <w:tab w:val="left" w:pos="720"/>
              </w:tabs>
              <w:rPr>
                <w:sz w:val="26"/>
                <w:szCs w:val="26"/>
              </w:rPr>
            </w:pPr>
            <w:r w:rsidRPr="00F46CBA">
              <w:rPr>
                <w:sz w:val="26"/>
                <w:szCs w:val="26"/>
              </w:rPr>
              <w:tab/>
              <w:t>Gladys Brown Dutrieuille, Chairman</w:t>
            </w:r>
          </w:p>
        </w:tc>
      </w:tr>
      <w:tr w:rsidR="000A04B2" w:rsidRPr="00F46CBA" w14:paraId="4DE09326" w14:textId="77777777" w:rsidTr="00400496">
        <w:tc>
          <w:tcPr>
            <w:tcW w:w="10296" w:type="dxa"/>
            <w:gridSpan w:val="3"/>
          </w:tcPr>
          <w:p w14:paraId="09EC6B64" w14:textId="77777777" w:rsidR="000A04B2" w:rsidRPr="00F46CBA" w:rsidRDefault="000A04B2" w:rsidP="00400496">
            <w:pPr>
              <w:tabs>
                <w:tab w:val="left" w:pos="720"/>
              </w:tabs>
              <w:rPr>
                <w:sz w:val="26"/>
                <w:szCs w:val="26"/>
              </w:rPr>
            </w:pPr>
            <w:r w:rsidRPr="00F46CBA">
              <w:rPr>
                <w:sz w:val="26"/>
                <w:szCs w:val="26"/>
              </w:rPr>
              <w:tab/>
              <w:t>David W. Sweet, Vice Chairman</w:t>
            </w:r>
          </w:p>
        </w:tc>
      </w:tr>
      <w:tr w:rsidR="000A04B2" w:rsidRPr="00F46CBA" w14:paraId="5238C046" w14:textId="77777777" w:rsidTr="00400496">
        <w:trPr>
          <w:gridAfter w:val="1"/>
          <w:wAfter w:w="18" w:type="dxa"/>
        </w:trPr>
        <w:tc>
          <w:tcPr>
            <w:tcW w:w="10278" w:type="dxa"/>
            <w:gridSpan w:val="2"/>
          </w:tcPr>
          <w:p w14:paraId="3B79FF02" w14:textId="77777777" w:rsidR="000A04B2" w:rsidRPr="00F46CBA" w:rsidRDefault="000A04B2" w:rsidP="00400496">
            <w:pPr>
              <w:tabs>
                <w:tab w:val="left" w:pos="720"/>
              </w:tabs>
              <w:rPr>
                <w:sz w:val="26"/>
                <w:szCs w:val="26"/>
              </w:rPr>
            </w:pPr>
            <w:r w:rsidRPr="00F46CBA">
              <w:rPr>
                <w:sz w:val="26"/>
                <w:szCs w:val="26"/>
              </w:rPr>
              <w:tab/>
              <w:t>John F. Coleman, Jr.</w:t>
            </w:r>
          </w:p>
        </w:tc>
      </w:tr>
      <w:tr w:rsidR="000A04B2" w:rsidRPr="00F46CBA" w14:paraId="244E9A4B" w14:textId="77777777" w:rsidTr="00400496">
        <w:trPr>
          <w:gridAfter w:val="1"/>
          <w:wAfter w:w="18" w:type="dxa"/>
        </w:trPr>
        <w:tc>
          <w:tcPr>
            <w:tcW w:w="5958" w:type="dxa"/>
          </w:tcPr>
          <w:p w14:paraId="66352162" w14:textId="77777777" w:rsidR="000A04B2" w:rsidRPr="00F46CBA" w:rsidRDefault="000A04B2" w:rsidP="00400496">
            <w:pPr>
              <w:ind w:right="342"/>
              <w:rPr>
                <w:sz w:val="26"/>
                <w:szCs w:val="26"/>
              </w:rPr>
            </w:pPr>
            <w:r w:rsidRPr="00F46CBA">
              <w:rPr>
                <w:sz w:val="26"/>
                <w:szCs w:val="26"/>
              </w:rPr>
              <w:tab/>
              <w:t>Ralph V. Yanora</w:t>
            </w:r>
            <w:r>
              <w:rPr>
                <w:sz w:val="26"/>
                <w:szCs w:val="26"/>
              </w:rPr>
              <w:t>, Statement</w:t>
            </w:r>
          </w:p>
        </w:tc>
        <w:tc>
          <w:tcPr>
            <w:tcW w:w="4320" w:type="dxa"/>
          </w:tcPr>
          <w:p w14:paraId="1F4E9248" w14:textId="77777777" w:rsidR="000A04B2" w:rsidRPr="00F46CBA" w:rsidRDefault="000A04B2" w:rsidP="00400496">
            <w:pPr>
              <w:jc w:val="center"/>
              <w:rPr>
                <w:sz w:val="26"/>
                <w:szCs w:val="26"/>
              </w:rPr>
            </w:pPr>
          </w:p>
        </w:tc>
      </w:tr>
      <w:tr w:rsidR="000A04B2" w:rsidRPr="00F46CBA" w14:paraId="7D6C7466" w14:textId="77777777" w:rsidTr="00400496">
        <w:trPr>
          <w:gridAfter w:val="1"/>
          <w:wAfter w:w="18" w:type="dxa"/>
        </w:trPr>
        <w:tc>
          <w:tcPr>
            <w:tcW w:w="5958" w:type="dxa"/>
          </w:tcPr>
          <w:p w14:paraId="7681E351" w14:textId="77777777" w:rsidR="000A04B2" w:rsidRPr="00F46CBA" w:rsidRDefault="000A04B2" w:rsidP="00400496">
            <w:pPr>
              <w:ind w:right="342"/>
              <w:rPr>
                <w:sz w:val="26"/>
                <w:szCs w:val="26"/>
              </w:rPr>
            </w:pPr>
          </w:p>
        </w:tc>
        <w:tc>
          <w:tcPr>
            <w:tcW w:w="4320" w:type="dxa"/>
          </w:tcPr>
          <w:p w14:paraId="6FFAA3D7" w14:textId="77777777" w:rsidR="000A04B2" w:rsidRPr="00F46CBA" w:rsidRDefault="000A04B2" w:rsidP="00400496">
            <w:pPr>
              <w:jc w:val="center"/>
              <w:rPr>
                <w:sz w:val="26"/>
                <w:szCs w:val="26"/>
              </w:rPr>
            </w:pPr>
          </w:p>
        </w:tc>
      </w:tr>
      <w:tr w:rsidR="000A04B2" w:rsidRPr="00F46CBA" w14:paraId="4E6F3BBD" w14:textId="77777777" w:rsidTr="00400496">
        <w:trPr>
          <w:gridAfter w:val="1"/>
          <w:wAfter w:w="18" w:type="dxa"/>
        </w:trPr>
        <w:tc>
          <w:tcPr>
            <w:tcW w:w="5958" w:type="dxa"/>
          </w:tcPr>
          <w:p w14:paraId="44BA72A7" w14:textId="77777777" w:rsidR="000A04B2" w:rsidRPr="00744667" w:rsidRDefault="000A04B2" w:rsidP="00400496">
            <w:pPr>
              <w:ind w:right="342"/>
              <w:rPr>
                <w:sz w:val="26"/>
                <w:szCs w:val="26"/>
              </w:rPr>
            </w:pPr>
            <w:r w:rsidRPr="005C5BDA">
              <w:rPr>
                <w:sz w:val="26"/>
                <w:szCs w:val="26"/>
              </w:rPr>
              <w:t xml:space="preserve">Proposed revisions to </w:t>
            </w:r>
            <w:r w:rsidRPr="00744667">
              <w:rPr>
                <w:sz w:val="26"/>
                <w:szCs w:val="26"/>
              </w:rPr>
              <w:t>Water Audit Methodology</w:t>
            </w:r>
          </w:p>
          <w:p w14:paraId="3FCD456A" w14:textId="77777777" w:rsidR="000A04B2" w:rsidRPr="00744667" w:rsidRDefault="000A04B2" w:rsidP="00400496">
            <w:pPr>
              <w:ind w:right="342"/>
              <w:rPr>
                <w:sz w:val="26"/>
                <w:szCs w:val="26"/>
              </w:rPr>
            </w:pPr>
            <w:r w:rsidRPr="005C5BDA">
              <w:rPr>
                <w:sz w:val="26"/>
                <w:szCs w:val="26"/>
              </w:rPr>
              <w:t xml:space="preserve">52 </w:t>
            </w:r>
            <w:r w:rsidRPr="00744667">
              <w:rPr>
                <w:sz w:val="26"/>
                <w:szCs w:val="26"/>
              </w:rPr>
              <w:t>Pa. Code § </w:t>
            </w:r>
            <w:r w:rsidRPr="001F1F27">
              <w:rPr>
                <w:sz w:val="26"/>
                <w:szCs w:val="26"/>
              </w:rPr>
              <w:t>65.20</w:t>
            </w:r>
          </w:p>
          <w:p w14:paraId="40ECB7B1" w14:textId="77777777" w:rsidR="000A04B2" w:rsidRPr="00F46CBA" w:rsidRDefault="000A04B2" w:rsidP="00400496">
            <w:pPr>
              <w:ind w:right="342"/>
              <w:rPr>
                <w:sz w:val="26"/>
                <w:szCs w:val="26"/>
              </w:rPr>
            </w:pPr>
            <w:r w:rsidRPr="00744667">
              <w:rPr>
                <w:sz w:val="26"/>
                <w:szCs w:val="26"/>
              </w:rPr>
              <w:t>Water conservation measures – statement of policy</w:t>
            </w:r>
          </w:p>
          <w:p w14:paraId="544FE661" w14:textId="77777777" w:rsidR="000A04B2" w:rsidRPr="00F46CBA" w:rsidRDefault="000A04B2" w:rsidP="00400496">
            <w:pPr>
              <w:ind w:right="342"/>
              <w:rPr>
                <w:sz w:val="26"/>
                <w:szCs w:val="26"/>
              </w:rPr>
            </w:pPr>
          </w:p>
        </w:tc>
        <w:tc>
          <w:tcPr>
            <w:tcW w:w="4320" w:type="dxa"/>
          </w:tcPr>
          <w:p w14:paraId="1845F25B" w14:textId="77777777" w:rsidR="000A04B2" w:rsidRPr="00F46CBA" w:rsidRDefault="000A04B2" w:rsidP="00400496">
            <w:pPr>
              <w:rPr>
                <w:sz w:val="26"/>
                <w:szCs w:val="26"/>
              </w:rPr>
            </w:pPr>
            <w:r w:rsidRPr="00F46CBA">
              <w:rPr>
                <w:sz w:val="26"/>
                <w:szCs w:val="26"/>
              </w:rPr>
              <w:t xml:space="preserve">Docket No. </w:t>
            </w:r>
            <w:r>
              <w:rPr>
                <w:sz w:val="26"/>
                <w:szCs w:val="26"/>
              </w:rPr>
              <w:t>L-2020-3021932</w:t>
            </w:r>
          </w:p>
        </w:tc>
      </w:tr>
    </w:tbl>
    <w:p w14:paraId="18109666" w14:textId="77777777" w:rsidR="000A04B2" w:rsidRDefault="000A04B2" w:rsidP="004B26E2">
      <w:pPr>
        <w:jc w:val="center"/>
        <w:rPr>
          <w:b/>
        </w:rPr>
      </w:pPr>
    </w:p>
    <w:p w14:paraId="1792AE81" w14:textId="77777777" w:rsidR="00061AA0" w:rsidRDefault="00061AA0" w:rsidP="004B26E2">
      <w:pPr>
        <w:spacing w:line="360" w:lineRule="auto"/>
      </w:pPr>
    </w:p>
    <w:p w14:paraId="713D5B69" w14:textId="77777777" w:rsidR="00061AA0" w:rsidRPr="00DA4AF8" w:rsidRDefault="00061AA0" w:rsidP="00061AA0">
      <w:pPr>
        <w:jc w:val="center"/>
        <w:rPr>
          <w:sz w:val="26"/>
          <w:szCs w:val="26"/>
        </w:rPr>
      </w:pPr>
      <w:r w:rsidRPr="00DA4AF8">
        <w:rPr>
          <w:b/>
          <w:bCs/>
          <w:sz w:val="26"/>
          <w:szCs w:val="26"/>
          <w:u w:val="single"/>
        </w:rPr>
        <w:t xml:space="preserve">ERRATA NOTICE </w:t>
      </w:r>
    </w:p>
    <w:p w14:paraId="4E9237E9" w14:textId="77777777" w:rsidR="00061AA0" w:rsidRPr="00DA4AF8" w:rsidRDefault="00061AA0" w:rsidP="00DA4AF8">
      <w:pPr>
        <w:jc w:val="center"/>
        <w:rPr>
          <w:sz w:val="26"/>
          <w:szCs w:val="26"/>
        </w:rPr>
      </w:pPr>
    </w:p>
    <w:p w14:paraId="407A947F" w14:textId="75DE8EBD" w:rsidR="00DC47A3" w:rsidRDefault="008434C3" w:rsidP="00306C7B">
      <w:pPr>
        <w:spacing w:line="360" w:lineRule="auto"/>
        <w:ind w:firstLine="720"/>
        <w:rPr>
          <w:sz w:val="26"/>
          <w:szCs w:val="26"/>
        </w:rPr>
      </w:pPr>
      <w:r w:rsidRPr="00DA4AF8">
        <w:rPr>
          <w:sz w:val="26"/>
          <w:szCs w:val="26"/>
        </w:rPr>
        <w:t xml:space="preserve">This is to advise that the Order entered on </w:t>
      </w:r>
      <w:r>
        <w:rPr>
          <w:sz w:val="26"/>
          <w:szCs w:val="26"/>
        </w:rPr>
        <w:t>September 17, 2020</w:t>
      </w:r>
      <w:r w:rsidRPr="00DA4AF8">
        <w:rPr>
          <w:sz w:val="26"/>
          <w:szCs w:val="26"/>
        </w:rPr>
        <w:t xml:space="preserve"> in the above-captioned proceeding</w:t>
      </w:r>
      <w:r>
        <w:rPr>
          <w:sz w:val="26"/>
          <w:szCs w:val="26"/>
        </w:rPr>
        <w:t xml:space="preserve"> </w:t>
      </w:r>
      <w:r w:rsidRPr="00DA4AF8">
        <w:rPr>
          <w:sz w:val="26"/>
          <w:szCs w:val="26"/>
        </w:rPr>
        <w:t xml:space="preserve">contains </w:t>
      </w:r>
      <w:r>
        <w:rPr>
          <w:sz w:val="26"/>
          <w:szCs w:val="26"/>
        </w:rPr>
        <w:t>errors on pages 3 and 8</w:t>
      </w:r>
      <w:r w:rsidRPr="00DA4AF8">
        <w:rPr>
          <w:sz w:val="26"/>
          <w:szCs w:val="26"/>
        </w:rPr>
        <w:t>.</w:t>
      </w:r>
      <w:r>
        <w:rPr>
          <w:sz w:val="26"/>
          <w:szCs w:val="26"/>
        </w:rPr>
        <w:t xml:space="preserve">  Specifically, inoperative </w:t>
      </w:r>
      <w:r w:rsidRPr="0054386F">
        <w:rPr>
          <w:sz w:val="26"/>
          <w:szCs w:val="26"/>
        </w:rPr>
        <w:t xml:space="preserve">hyperlinks are contained on pages 3 and 8.  </w:t>
      </w:r>
      <w:r w:rsidR="00BA2D4E">
        <w:rPr>
          <w:sz w:val="26"/>
          <w:szCs w:val="26"/>
        </w:rPr>
        <w:t>Page 8 also contains two incorrect docket references.</w:t>
      </w:r>
    </w:p>
    <w:p w14:paraId="3B78C776" w14:textId="77777777" w:rsidR="00DC47A3" w:rsidRDefault="00DC47A3" w:rsidP="00306C7B">
      <w:pPr>
        <w:spacing w:line="360" w:lineRule="auto"/>
        <w:ind w:firstLine="720"/>
        <w:rPr>
          <w:sz w:val="26"/>
          <w:szCs w:val="26"/>
        </w:rPr>
      </w:pPr>
    </w:p>
    <w:p w14:paraId="1484CAC6" w14:textId="433634CD" w:rsidR="00E460E4" w:rsidRDefault="0054386F" w:rsidP="00306C7B">
      <w:pPr>
        <w:spacing w:line="360" w:lineRule="auto"/>
        <w:ind w:firstLine="720"/>
        <w:rPr>
          <w:sz w:val="26"/>
          <w:szCs w:val="26"/>
        </w:rPr>
      </w:pPr>
      <w:r>
        <w:rPr>
          <w:sz w:val="26"/>
          <w:szCs w:val="26"/>
        </w:rPr>
        <w:t xml:space="preserve">The hyperlink initially included in Footnote </w:t>
      </w:r>
      <w:r w:rsidR="003F750D">
        <w:rPr>
          <w:sz w:val="26"/>
          <w:szCs w:val="26"/>
        </w:rPr>
        <w:t>5</w:t>
      </w:r>
      <w:r>
        <w:rPr>
          <w:sz w:val="26"/>
          <w:szCs w:val="26"/>
        </w:rPr>
        <w:t xml:space="preserve"> on page 3 of the </w:t>
      </w:r>
      <w:r w:rsidRPr="00C221E3">
        <w:rPr>
          <w:sz w:val="26"/>
          <w:szCs w:val="26"/>
        </w:rPr>
        <w:t>Order,</w:t>
      </w:r>
      <w:r w:rsidR="00E460E4">
        <w:rPr>
          <w:sz w:val="26"/>
          <w:szCs w:val="26"/>
        </w:rPr>
        <w:t xml:space="preserve"> </w:t>
      </w:r>
      <w:hyperlink r:id="rId11" w:history="1">
        <w:r w:rsidR="00224CC5" w:rsidRPr="00224CC5">
          <w:rPr>
            <w:rStyle w:val="Hyperlink"/>
            <w:i/>
            <w:iCs/>
            <w:color w:val="auto"/>
            <w:sz w:val="26"/>
            <w:szCs w:val="26"/>
          </w:rPr>
          <w:t>http://www.awwa.org/WaterWiser/waterloss/Docs/WaterAuditSoftware.cfm</w:t>
        </w:r>
      </w:hyperlink>
      <w:r w:rsidRPr="00224CC5">
        <w:rPr>
          <w:sz w:val="26"/>
          <w:szCs w:val="26"/>
        </w:rPr>
        <w:t xml:space="preserve">, </w:t>
      </w:r>
    </w:p>
    <w:p w14:paraId="50ED26DC" w14:textId="42F46B59" w:rsidR="00DC47A3" w:rsidRPr="00BB054C" w:rsidRDefault="00021B24" w:rsidP="00306C7B">
      <w:pPr>
        <w:spacing w:line="360" w:lineRule="auto"/>
        <w:rPr>
          <w:sz w:val="26"/>
          <w:szCs w:val="26"/>
        </w:rPr>
      </w:pPr>
      <w:r>
        <w:rPr>
          <w:sz w:val="26"/>
          <w:szCs w:val="26"/>
        </w:rPr>
        <w:t>s</w:t>
      </w:r>
      <w:r w:rsidR="00DC47A3">
        <w:rPr>
          <w:sz w:val="26"/>
          <w:szCs w:val="26"/>
        </w:rPr>
        <w:t>hould</w:t>
      </w:r>
      <w:r w:rsidR="00AC453F" w:rsidRPr="00C221E3">
        <w:rPr>
          <w:sz w:val="26"/>
          <w:szCs w:val="26"/>
        </w:rPr>
        <w:t xml:space="preserve"> be replaced with the </w:t>
      </w:r>
      <w:r w:rsidR="00AC453F" w:rsidRPr="00533301">
        <w:rPr>
          <w:sz w:val="26"/>
          <w:szCs w:val="26"/>
        </w:rPr>
        <w:t>updated hyperlink,</w:t>
      </w:r>
      <w:r w:rsidR="00BB054C">
        <w:rPr>
          <w:sz w:val="26"/>
          <w:szCs w:val="26"/>
        </w:rPr>
        <w:t xml:space="preserve"> </w:t>
      </w:r>
      <w:r w:rsidR="00BB054C" w:rsidRPr="00824A6A">
        <w:rPr>
          <w:b/>
          <w:bCs/>
          <w:i/>
          <w:iCs/>
          <w:sz w:val="26"/>
          <w:szCs w:val="26"/>
          <w:u w:val="single"/>
        </w:rPr>
        <w:t>https://www.awwa.org/Resources-Tools/</w:t>
      </w:r>
      <w:r w:rsidR="0094209A" w:rsidRPr="00824A6A">
        <w:rPr>
          <w:b/>
          <w:bCs/>
          <w:i/>
          <w:iCs/>
          <w:sz w:val="26"/>
          <w:szCs w:val="26"/>
          <w:u w:val="single"/>
        </w:rPr>
        <w:t>Resource-Topics/Water-Loss-Control</w:t>
      </w:r>
      <w:r w:rsidR="0094209A" w:rsidRPr="00824A6A">
        <w:rPr>
          <w:b/>
          <w:bCs/>
          <w:sz w:val="26"/>
          <w:szCs w:val="26"/>
        </w:rPr>
        <w:t>.</w:t>
      </w:r>
      <w:r w:rsidR="00AC453F" w:rsidRPr="00282A71">
        <w:rPr>
          <w:sz w:val="26"/>
          <w:szCs w:val="26"/>
        </w:rPr>
        <w:t xml:space="preserve"> </w:t>
      </w:r>
    </w:p>
    <w:p w14:paraId="50D2F395" w14:textId="77777777" w:rsidR="00DC47A3" w:rsidRPr="00BB054C" w:rsidRDefault="00DC47A3" w:rsidP="00306C7B">
      <w:pPr>
        <w:spacing w:line="360" w:lineRule="auto"/>
        <w:rPr>
          <w:sz w:val="26"/>
          <w:szCs w:val="26"/>
        </w:rPr>
      </w:pPr>
    </w:p>
    <w:p w14:paraId="1F739E8C" w14:textId="7B8B50C7" w:rsidR="00CB58BC" w:rsidRDefault="00AC453F" w:rsidP="00306C7B">
      <w:pPr>
        <w:spacing w:line="360" w:lineRule="auto"/>
        <w:ind w:firstLine="720"/>
        <w:rPr>
          <w:sz w:val="26"/>
          <w:szCs w:val="26"/>
        </w:rPr>
      </w:pPr>
      <w:r>
        <w:rPr>
          <w:sz w:val="26"/>
          <w:szCs w:val="26"/>
        </w:rPr>
        <w:t xml:space="preserve">The hyperlink initially included in Ordering Paragraph 3 on page 8 of the Order, </w:t>
      </w:r>
      <w:hyperlink r:id="rId12" w:history="1">
        <w:r w:rsidRPr="0026137A">
          <w:rPr>
            <w:rStyle w:val="Hyperlink"/>
            <w:i/>
            <w:iCs/>
            <w:color w:val="auto"/>
            <w:sz w:val="26"/>
            <w:szCs w:val="26"/>
          </w:rPr>
          <w:t>www.puc.state.pa/us/efiling/default.aspx.4</w:t>
        </w:r>
      </w:hyperlink>
      <w:r>
        <w:rPr>
          <w:sz w:val="26"/>
          <w:szCs w:val="26"/>
        </w:rPr>
        <w:t xml:space="preserve">, </w:t>
      </w:r>
      <w:r w:rsidR="00DC47A3">
        <w:rPr>
          <w:sz w:val="26"/>
          <w:szCs w:val="26"/>
        </w:rPr>
        <w:t>should</w:t>
      </w:r>
      <w:r>
        <w:rPr>
          <w:sz w:val="26"/>
          <w:szCs w:val="26"/>
        </w:rPr>
        <w:t xml:space="preserve"> be replaced</w:t>
      </w:r>
      <w:r w:rsidR="00DC47A3">
        <w:rPr>
          <w:sz w:val="26"/>
          <w:szCs w:val="26"/>
        </w:rPr>
        <w:t xml:space="preserve"> </w:t>
      </w:r>
      <w:r>
        <w:rPr>
          <w:sz w:val="26"/>
          <w:szCs w:val="26"/>
        </w:rPr>
        <w:t xml:space="preserve">with the updated hyperlink, </w:t>
      </w:r>
      <w:r w:rsidRPr="00E35B87">
        <w:rPr>
          <w:b/>
          <w:bCs/>
          <w:i/>
          <w:iCs/>
          <w:sz w:val="26"/>
          <w:szCs w:val="26"/>
          <w:u w:val="single"/>
        </w:rPr>
        <w:t>https://www.puc.state.pa.us/efiling/Secure/Login/aspx</w:t>
      </w:r>
      <w:r w:rsidRPr="00E35B87">
        <w:rPr>
          <w:b/>
          <w:bCs/>
          <w:sz w:val="26"/>
          <w:szCs w:val="26"/>
        </w:rPr>
        <w:t>.</w:t>
      </w:r>
    </w:p>
    <w:p w14:paraId="69656D12" w14:textId="77777777" w:rsidR="00CB58BC" w:rsidRDefault="00CB58BC" w:rsidP="00306C7B">
      <w:pPr>
        <w:spacing w:line="360" w:lineRule="auto"/>
        <w:ind w:firstLine="720"/>
        <w:rPr>
          <w:sz w:val="26"/>
          <w:szCs w:val="26"/>
        </w:rPr>
      </w:pPr>
    </w:p>
    <w:p w14:paraId="629E47DA" w14:textId="77777777" w:rsidR="00773617" w:rsidRDefault="00AC453F" w:rsidP="00306C7B">
      <w:pPr>
        <w:spacing w:line="360" w:lineRule="auto"/>
        <w:ind w:firstLine="720"/>
        <w:rPr>
          <w:sz w:val="26"/>
          <w:szCs w:val="26"/>
        </w:rPr>
        <w:sectPr w:rsidR="00773617" w:rsidSect="00773617">
          <w:footerReference w:type="default" r:id="rId13"/>
          <w:footerReference w:type="first" r:id="rId14"/>
          <w:footnotePr>
            <w:numStart w:val="2"/>
          </w:footnotePr>
          <w:pgSz w:w="12240" w:h="15840" w:code="1"/>
          <w:pgMar w:top="1440" w:right="1440" w:bottom="1080" w:left="1440" w:header="432" w:footer="288" w:gutter="0"/>
          <w:paperSrc w:first="15"/>
          <w:pgNumType w:start="3"/>
          <w:cols w:space="720"/>
          <w:noEndnote/>
          <w:titlePg/>
          <w:docGrid w:linePitch="326"/>
        </w:sectPr>
      </w:pPr>
      <w:r>
        <w:rPr>
          <w:sz w:val="26"/>
          <w:szCs w:val="26"/>
        </w:rPr>
        <w:t xml:space="preserve">Ordering Paragraph 3 </w:t>
      </w:r>
      <w:r w:rsidR="00EE4BF1">
        <w:rPr>
          <w:sz w:val="26"/>
          <w:szCs w:val="26"/>
        </w:rPr>
        <w:t xml:space="preserve">erroneously </w:t>
      </w:r>
      <w:r w:rsidR="006C2BAD">
        <w:rPr>
          <w:sz w:val="26"/>
          <w:szCs w:val="26"/>
        </w:rPr>
        <w:t xml:space="preserve">directs interested parties to submit written comments </w:t>
      </w:r>
      <w:r w:rsidR="00F70A5F">
        <w:rPr>
          <w:sz w:val="26"/>
          <w:szCs w:val="26"/>
        </w:rPr>
        <w:t>refer</w:t>
      </w:r>
      <w:r w:rsidR="00FD4F51">
        <w:rPr>
          <w:sz w:val="26"/>
          <w:szCs w:val="26"/>
        </w:rPr>
        <w:t>encing</w:t>
      </w:r>
      <w:r w:rsidR="00EE4BF1">
        <w:rPr>
          <w:sz w:val="26"/>
          <w:szCs w:val="26"/>
        </w:rPr>
        <w:t xml:space="preserve"> </w:t>
      </w:r>
      <w:r>
        <w:rPr>
          <w:sz w:val="26"/>
          <w:szCs w:val="26"/>
        </w:rPr>
        <w:t xml:space="preserve">docket number </w:t>
      </w:r>
      <w:r w:rsidRPr="00D41EB4">
        <w:rPr>
          <w:i/>
          <w:iCs/>
          <w:sz w:val="26"/>
          <w:szCs w:val="26"/>
        </w:rPr>
        <w:t>L-2020-3019521</w:t>
      </w:r>
      <w:r>
        <w:rPr>
          <w:sz w:val="26"/>
          <w:szCs w:val="26"/>
        </w:rPr>
        <w:t xml:space="preserve">.  </w:t>
      </w:r>
      <w:r w:rsidR="006C2BAD">
        <w:rPr>
          <w:sz w:val="26"/>
          <w:szCs w:val="26"/>
        </w:rPr>
        <w:t>Ordering Paragraph 3 should</w:t>
      </w:r>
      <w:r w:rsidR="005F5BD5">
        <w:rPr>
          <w:sz w:val="26"/>
          <w:szCs w:val="26"/>
        </w:rPr>
        <w:t xml:space="preserve"> be </w:t>
      </w:r>
    </w:p>
    <w:p w14:paraId="30813648" w14:textId="597B19EC" w:rsidR="00AC453F" w:rsidRDefault="00FD4F51" w:rsidP="00773617">
      <w:pPr>
        <w:spacing w:line="360" w:lineRule="auto"/>
        <w:rPr>
          <w:sz w:val="26"/>
          <w:szCs w:val="26"/>
        </w:rPr>
      </w:pPr>
      <w:r>
        <w:rPr>
          <w:sz w:val="26"/>
          <w:szCs w:val="26"/>
        </w:rPr>
        <w:lastRenderedPageBreak/>
        <w:t>amended</w:t>
      </w:r>
      <w:r w:rsidR="005F5BD5">
        <w:rPr>
          <w:sz w:val="26"/>
          <w:szCs w:val="26"/>
        </w:rPr>
        <w:t xml:space="preserve"> to direct interested parties to submit written comments referencing docket number </w:t>
      </w:r>
      <w:r w:rsidR="005F5BD5" w:rsidRPr="00E35B87">
        <w:rPr>
          <w:b/>
          <w:bCs/>
          <w:i/>
          <w:iCs/>
          <w:sz w:val="26"/>
          <w:szCs w:val="26"/>
        </w:rPr>
        <w:t>L-2020-3021932</w:t>
      </w:r>
      <w:r w:rsidR="00D41EB4">
        <w:rPr>
          <w:sz w:val="26"/>
          <w:szCs w:val="26"/>
        </w:rPr>
        <w:t>.  Ordering Paragraph 3 also m</w:t>
      </w:r>
      <w:r w:rsidR="00FD0188">
        <w:rPr>
          <w:sz w:val="26"/>
          <w:szCs w:val="26"/>
        </w:rPr>
        <w:t xml:space="preserve">isstates </w:t>
      </w:r>
      <w:r w:rsidR="00B26003">
        <w:rPr>
          <w:sz w:val="26"/>
          <w:szCs w:val="26"/>
        </w:rPr>
        <w:t>the docket number of the Secretarial Letter issued July 27, 2020</w:t>
      </w:r>
      <w:r w:rsidR="00BD1277">
        <w:rPr>
          <w:sz w:val="26"/>
          <w:szCs w:val="26"/>
        </w:rPr>
        <w:t xml:space="preserve"> regarding modified filing and service requirements.  The incorrect docket </w:t>
      </w:r>
      <w:r>
        <w:rPr>
          <w:sz w:val="26"/>
          <w:szCs w:val="26"/>
        </w:rPr>
        <w:t>numb</w:t>
      </w:r>
      <w:r w:rsidR="00287BB2">
        <w:rPr>
          <w:sz w:val="26"/>
          <w:szCs w:val="26"/>
        </w:rPr>
        <w:t xml:space="preserve">er </w:t>
      </w:r>
      <w:r w:rsidR="00993AC5">
        <w:rPr>
          <w:sz w:val="26"/>
          <w:szCs w:val="26"/>
        </w:rPr>
        <w:t>initially included</w:t>
      </w:r>
      <w:r w:rsidR="00BD1277" w:rsidRPr="00993AC5">
        <w:rPr>
          <w:i/>
          <w:iCs/>
          <w:sz w:val="26"/>
          <w:szCs w:val="26"/>
        </w:rPr>
        <w:t>, L-2020-3021932</w:t>
      </w:r>
      <w:r w:rsidR="00BD1277">
        <w:rPr>
          <w:sz w:val="26"/>
          <w:szCs w:val="26"/>
        </w:rPr>
        <w:t>, should be replaced with</w:t>
      </w:r>
      <w:r w:rsidR="00145F1C">
        <w:rPr>
          <w:sz w:val="26"/>
          <w:szCs w:val="26"/>
        </w:rPr>
        <w:t xml:space="preserve"> docket</w:t>
      </w:r>
      <w:r w:rsidR="00287BB2">
        <w:rPr>
          <w:sz w:val="26"/>
          <w:szCs w:val="26"/>
        </w:rPr>
        <w:t xml:space="preserve"> number</w:t>
      </w:r>
      <w:r w:rsidR="00145F1C">
        <w:rPr>
          <w:sz w:val="26"/>
          <w:szCs w:val="26"/>
        </w:rPr>
        <w:t xml:space="preserve"> </w:t>
      </w:r>
      <w:r w:rsidR="00FD0D62" w:rsidRPr="00993AC5">
        <w:rPr>
          <w:b/>
          <w:bCs/>
          <w:i/>
          <w:iCs/>
          <w:sz w:val="26"/>
          <w:szCs w:val="26"/>
        </w:rPr>
        <w:t>M-2020-3019262</w:t>
      </w:r>
      <w:r w:rsidR="00FD0D62">
        <w:rPr>
          <w:sz w:val="26"/>
          <w:szCs w:val="26"/>
        </w:rPr>
        <w:t>.</w:t>
      </w:r>
    </w:p>
    <w:p w14:paraId="36C30289" w14:textId="77777777" w:rsidR="00AC453F" w:rsidRDefault="00AC453F" w:rsidP="0054386F">
      <w:pPr>
        <w:spacing w:line="360" w:lineRule="auto"/>
        <w:ind w:firstLine="720"/>
        <w:jc w:val="both"/>
        <w:rPr>
          <w:sz w:val="26"/>
          <w:szCs w:val="26"/>
        </w:rPr>
      </w:pPr>
    </w:p>
    <w:p w14:paraId="3F6AAA71" w14:textId="724525CC" w:rsidR="008434C3" w:rsidRDefault="008434C3" w:rsidP="00AC453F">
      <w:pPr>
        <w:spacing w:line="360" w:lineRule="auto"/>
        <w:ind w:firstLine="720"/>
        <w:jc w:val="both"/>
        <w:rPr>
          <w:sz w:val="26"/>
          <w:szCs w:val="26"/>
        </w:rPr>
      </w:pPr>
      <w:r w:rsidRPr="0054386F">
        <w:rPr>
          <w:sz w:val="26"/>
          <w:szCs w:val="26"/>
        </w:rPr>
        <w:t xml:space="preserve">Please find the corrected pages attached for your records.  </w:t>
      </w:r>
      <w:r w:rsidRPr="00DA4AF8">
        <w:rPr>
          <w:sz w:val="26"/>
          <w:szCs w:val="26"/>
        </w:rPr>
        <w:t>The Order on the P</w:t>
      </w:r>
      <w:r>
        <w:rPr>
          <w:sz w:val="26"/>
          <w:szCs w:val="26"/>
        </w:rPr>
        <w:t>ennsylvania Public Utility Commission (Commission) w</w:t>
      </w:r>
      <w:r w:rsidRPr="00DA4AF8">
        <w:rPr>
          <w:sz w:val="26"/>
          <w:szCs w:val="26"/>
        </w:rPr>
        <w:t xml:space="preserve">ebsite will be corrected as indicated </w:t>
      </w:r>
      <w:r>
        <w:rPr>
          <w:sz w:val="26"/>
          <w:szCs w:val="26"/>
        </w:rPr>
        <w:t>below</w:t>
      </w:r>
      <w:r w:rsidRPr="00DA4AF8">
        <w:rPr>
          <w:sz w:val="26"/>
          <w:szCs w:val="26"/>
        </w:rPr>
        <w:t>.</w:t>
      </w:r>
      <w:r>
        <w:rPr>
          <w:sz w:val="26"/>
          <w:szCs w:val="26"/>
        </w:rPr>
        <w:t xml:space="preserve">  </w:t>
      </w:r>
    </w:p>
    <w:p w14:paraId="0DFB8AD5" w14:textId="77777777" w:rsidR="005A1A6C" w:rsidRDefault="005A1A6C" w:rsidP="008434C3">
      <w:pPr>
        <w:spacing w:line="360" w:lineRule="auto"/>
        <w:ind w:firstLine="720"/>
        <w:jc w:val="both"/>
        <w:rPr>
          <w:sz w:val="26"/>
          <w:szCs w:val="26"/>
        </w:rPr>
        <w:sectPr w:rsidR="005A1A6C" w:rsidSect="004B5532">
          <w:footerReference w:type="first" r:id="rId15"/>
          <w:footnotePr>
            <w:numStart w:val="2"/>
          </w:footnotePr>
          <w:pgSz w:w="12240" w:h="15840" w:code="1"/>
          <w:pgMar w:top="1440" w:right="1440" w:bottom="1080" w:left="1440" w:header="432" w:footer="288" w:gutter="0"/>
          <w:paperSrc w:first="15"/>
          <w:pgNumType w:start="2"/>
          <w:cols w:space="720"/>
          <w:noEndnote/>
          <w:titlePg/>
          <w:docGrid w:linePitch="326"/>
        </w:sectPr>
      </w:pPr>
    </w:p>
    <w:p w14:paraId="522DC760" w14:textId="1DFC1A65" w:rsidR="00C8491B" w:rsidRDefault="00C8491B" w:rsidP="00DB7D13">
      <w:pPr>
        <w:spacing w:line="360" w:lineRule="auto"/>
        <w:rPr>
          <w:rFonts w:cs="Arial"/>
          <w:sz w:val="26"/>
        </w:rPr>
      </w:pPr>
      <w:r>
        <w:rPr>
          <w:rFonts w:cs="Arial"/>
          <w:sz w:val="26"/>
        </w:rPr>
        <w:lastRenderedPageBreak/>
        <w:t>methodology established by William D. Hudson and a procedure set forth in the AWWA Training Manual.</w:t>
      </w:r>
      <w:r>
        <w:rPr>
          <w:rStyle w:val="FootnoteReference"/>
          <w:rFonts w:cs="Arial"/>
        </w:rPr>
        <w:footnoteReference w:id="1"/>
      </w:r>
      <w:r>
        <w:rPr>
          <w:rFonts w:cs="Arial"/>
          <w:sz w:val="26"/>
        </w:rPr>
        <w:t xml:space="preserve">  Over time, however, it became apparent that differing interpretations and adjustments, along with the incorporation of different components, led to less than representative results.  </w:t>
      </w:r>
    </w:p>
    <w:p w14:paraId="41469C2B" w14:textId="77777777" w:rsidR="00C8491B" w:rsidRDefault="00C8491B" w:rsidP="00C8491B">
      <w:pPr>
        <w:spacing w:line="360" w:lineRule="auto"/>
        <w:ind w:firstLine="1440"/>
        <w:rPr>
          <w:rFonts w:cs="Arial"/>
          <w:sz w:val="26"/>
        </w:rPr>
      </w:pPr>
    </w:p>
    <w:p w14:paraId="40691586" w14:textId="77777777" w:rsidR="00773617" w:rsidRDefault="00C8491B" w:rsidP="00C8491B">
      <w:pPr>
        <w:spacing w:line="360" w:lineRule="auto"/>
        <w:ind w:firstLine="810"/>
        <w:rPr>
          <w:rFonts w:cs="Arial"/>
          <w:sz w:val="26"/>
        </w:rPr>
      </w:pPr>
      <w:r>
        <w:rPr>
          <w:rFonts w:cs="Arial"/>
          <w:sz w:val="26"/>
        </w:rPr>
        <w:t>As stated in the 2008 Order, an enhanced, more comprehensive method has since been developed, which gives every indication that it offers superior data and indicators for improved operational accountability.  This Water Audit Methodology, not only assists utilities in identifying where the losses are occurring, but also expresses by volume how much is lost and at what cost.</w:t>
      </w:r>
      <w:r>
        <w:rPr>
          <w:rStyle w:val="FootnoteReference"/>
          <w:rFonts w:cs="Arial"/>
        </w:rPr>
        <w:footnoteReference w:id="2"/>
      </w:r>
      <w:r>
        <w:rPr>
          <w:rFonts w:cs="Arial"/>
          <w:sz w:val="26"/>
        </w:rPr>
        <w:t xml:space="preserve">  The term “unaccounted-for water” was replaced with the term “water audit” based on the concept and underlying procedure that virtually all water can be “accounted-for.”  The Water Audit Methodology was developed jointly by a five-country group formed by the IWA and the AWWA in 1997.  In 2003, the AWWA’s </w:t>
      </w:r>
    </w:p>
    <w:p w14:paraId="29234D5F" w14:textId="77777777" w:rsidR="005A1A6C" w:rsidRDefault="005A1A6C" w:rsidP="00C8491B">
      <w:pPr>
        <w:spacing w:line="360" w:lineRule="auto"/>
        <w:ind w:firstLine="810"/>
        <w:rPr>
          <w:rFonts w:cs="Arial"/>
          <w:sz w:val="26"/>
        </w:rPr>
      </w:pPr>
    </w:p>
    <w:p w14:paraId="4CE205D9" w14:textId="2D679D14" w:rsidR="00C8491B" w:rsidRDefault="00C8491B" w:rsidP="00C8491B">
      <w:pPr>
        <w:spacing w:line="360" w:lineRule="auto"/>
        <w:ind w:firstLine="810"/>
        <w:rPr>
          <w:rFonts w:cs="Arial"/>
          <w:sz w:val="26"/>
        </w:rPr>
      </w:pPr>
      <w:r>
        <w:rPr>
          <w:rFonts w:cs="Arial"/>
          <w:sz w:val="26"/>
        </w:rPr>
        <w:t>Water Loss Control Committee identified the Water Audit methodology as a world-wide best management practice in water loss control.</w:t>
      </w:r>
      <w:r>
        <w:rPr>
          <w:rStyle w:val="FootnoteReference"/>
          <w:rFonts w:cs="Arial"/>
        </w:rPr>
        <w:footnoteReference w:id="3"/>
      </w:r>
      <w:r>
        <w:rPr>
          <w:rFonts w:cs="Arial"/>
          <w:sz w:val="26"/>
        </w:rPr>
        <w:t xml:space="preserve">   In 2006, the AWWA released a Water Audit software package that is available free of charge on its website, broadening the new procedure’s accessibility.</w:t>
      </w:r>
      <w:r>
        <w:rPr>
          <w:rStyle w:val="FootnoteReference"/>
          <w:rFonts w:cs="Arial"/>
        </w:rPr>
        <w:footnoteReference w:id="4"/>
      </w:r>
      <w:r>
        <w:rPr>
          <w:rFonts w:cs="Arial"/>
          <w:sz w:val="26"/>
        </w:rPr>
        <w:t xml:space="preserve">  A year later, the AWWA Research Foundation designated the Water Audit methodology as the current best practice.</w:t>
      </w:r>
      <w:r>
        <w:rPr>
          <w:rStyle w:val="FootnoteReference"/>
          <w:rFonts w:cs="Arial"/>
        </w:rPr>
        <w:footnoteReference w:id="5"/>
      </w:r>
      <w:r>
        <w:rPr>
          <w:rFonts w:cs="Arial"/>
          <w:sz w:val="26"/>
        </w:rPr>
        <w:t xml:space="preserve">  Today, its use continues to expand, consistent with widespread efforts to increase water supply sustainability, infrastructure remediation, and overall service reliability.</w:t>
      </w:r>
    </w:p>
    <w:p w14:paraId="65CC957C" w14:textId="77777777" w:rsidR="00C00032" w:rsidRDefault="00C00032" w:rsidP="00111B63">
      <w:pPr>
        <w:rPr>
          <w:b/>
        </w:rPr>
        <w:sectPr w:rsidR="00C00032" w:rsidSect="00C00032">
          <w:footerReference w:type="default" r:id="rId16"/>
          <w:footnotePr>
            <w:numStart w:val="2"/>
          </w:footnotePr>
          <w:pgSz w:w="12240" w:h="15840" w:code="1"/>
          <w:pgMar w:top="1440" w:right="1440" w:bottom="1080" w:left="1440" w:header="720" w:footer="288" w:gutter="0"/>
          <w:paperSrc w:first="15"/>
          <w:pgNumType w:start="7"/>
          <w:cols w:space="720"/>
          <w:noEndnote/>
          <w:docGrid w:linePitch="326"/>
        </w:sectPr>
      </w:pPr>
    </w:p>
    <w:p w14:paraId="378CB1FB" w14:textId="125BC621" w:rsidR="00C62177" w:rsidRPr="005B47C2" w:rsidRDefault="00C62177" w:rsidP="00111B63">
      <w:pPr>
        <w:rPr>
          <w:b/>
        </w:rPr>
      </w:pPr>
      <w:r>
        <w:rPr>
          <w:b/>
        </w:rPr>
        <w:lastRenderedPageBreak/>
        <w:t>THEREFORE,</w:t>
      </w:r>
    </w:p>
    <w:p w14:paraId="2B94CC7E" w14:textId="77777777" w:rsidR="00C62177" w:rsidRDefault="00C62177" w:rsidP="00C62177">
      <w:pPr>
        <w:pStyle w:val="BodyTextIndent2"/>
        <w:rPr>
          <w:b/>
        </w:rPr>
      </w:pPr>
    </w:p>
    <w:p w14:paraId="0675BD3E" w14:textId="77777777" w:rsidR="00C62177" w:rsidRDefault="00C62177" w:rsidP="00C62177">
      <w:pPr>
        <w:pStyle w:val="BodyTextIndent2"/>
        <w:rPr>
          <w:b/>
        </w:rPr>
      </w:pPr>
      <w:r>
        <w:rPr>
          <w:b/>
        </w:rPr>
        <w:t>IT IS ORDERED:</w:t>
      </w:r>
    </w:p>
    <w:p w14:paraId="6DE9A13A" w14:textId="77777777" w:rsidR="00C62177" w:rsidRPr="00744667" w:rsidRDefault="00C62177" w:rsidP="00C62177">
      <w:pPr>
        <w:pStyle w:val="BodyTextIndent2"/>
      </w:pPr>
    </w:p>
    <w:p w14:paraId="36DB26A1" w14:textId="77777777" w:rsidR="00C62177" w:rsidRDefault="00C62177" w:rsidP="00C62177">
      <w:pPr>
        <w:numPr>
          <w:ilvl w:val="0"/>
          <w:numId w:val="5"/>
        </w:numPr>
        <w:tabs>
          <w:tab w:val="left" w:pos="720"/>
          <w:tab w:val="left" w:pos="1440"/>
          <w:tab w:val="left" w:pos="4320"/>
        </w:tabs>
        <w:spacing w:line="360" w:lineRule="auto"/>
        <w:rPr>
          <w:sz w:val="26"/>
          <w:szCs w:val="26"/>
        </w:rPr>
      </w:pPr>
      <w:r>
        <w:rPr>
          <w:sz w:val="26"/>
          <w:szCs w:val="26"/>
        </w:rPr>
        <w:t>That the Advance Notice of Proposed Rulemaking is issued for comment.</w:t>
      </w:r>
    </w:p>
    <w:p w14:paraId="1065D25F" w14:textId="77777777" w:rsidR="00C62177" w:rsidRDefault="00C62177" w:rsidP="00C62177">
      <w:pPr>
        <w:tabs>
          <w:tab w:val="left" w:pos="720"/>
          <w:tab w:val="left" w:pos="1440"/>
          <w:tab w:val="left" w:pos="4320"/>
        </w:tabs>
        <w:spacing w:line="360" w:lineRule="auto"/>
        <w:rPr>
          <w:sz w:val="26"/>
          <w:szCs w:val="26"/>
        </w:rPr>
      </w:pPr>
    </w:p>
    <w:p w14:paraId="2D443EDC" w14:textId="77777777" w:rsidR="00C62177" w:rsidRDefault="00C62177" w:rsidP="00C62177">
      <w:pPr>
        <w:numPr>
          <w:ilvl w:val="0"/>
          <w:numId w:val="5"/>
        </w:numPr>
        <w:tabs>
          <w:tab w:val="left" w:pos="720"/>
          <w:tab w:val="left" w:pos="1440"/>
          <w:tab w:val="left" w:pos="4320"/>
        </w:tabs>
        <w:spacing w:line="360" w:lineRule="auto"/>
        <w:rPr>
          <w:sz w:val="26"/>
          <w:szCs w:val="26"/>
        </w:rPr>
      </w:pPr>
      <w:r>
        <w:rPr>
          <w:sz w:val="26"/>
          <w:szCs w:val="26"/>
        </w:rPr>
        <w:t>That the Law Bureau shall deposit this Order with the Legislative</w:t>
      </w:r>
    </w:p>
    <w:p w14:paraId="2E2C482D" w14:textId="77777777" w:rsidR="00C62177" w:rsidRDefault="00C62177" w:rsidP="00C62177">
      <w:pPr>
        <w:tabs>
          <w:tab w:val="left" w:pos="720"/>
          <w:tab w:val="left" w:pos="1440"/>
          <w:tab w:val="left" w:pos="4320"/>
        </w:tabs>
        <w:spacing w:line="360" w:lineRule="auto"/>
        <w:rPr>
          <w:sz w:val="26"/>
          <w:szCs w:val="26"/>
        </w:rPr>
      </w:pPr>
      <w:r>
        <w:rPr>
          <w:sz w:val="26"/>
          <w:szCs w:val="26"/>
        </w:rPr>
        <w:t xml:space="preserve">Reference Bureau to be published in the </w:t>
      </w:r>
      <w:r w:rsidRPr="005C5BDA">
        <w:rPr>
          <w:i/>
          <w:iCs/>
          <w:sz w:val="26"/>
          <w:szCs w:val="26"/>
        </w:rPr>
        <w:t>Pennsylvania Bulletin</w:t>
      </w:r>
      <w:r>
        <w:rPr>
          <w:sz w:val="26"/>
          <w:szCs w:val="26"/>
        </w:rPr>
        <w:t>.</w:t>
      </w:r>
    </w:p>
    <w:p w14:paraId="73D9C069" w14:textId="77777777" w:rsidR="00C62177" w:rsidRDefault="00C62177" w:rsidP="00C62177">
      <w:pPr>
        <w:tabs>
          <w:tab w:val="left" w:pos="720"/>
          <w:tab w:val="left" w:pos="1440"/>
          <w:tab w:val="left" w:pos="4320"/>
        </w:tabs>
        <w:spacing w:line="360" w:lineRule="auto"/>
        <w:rPr>
          <w:sz w:val="26"/>
          <w:szCs w:val="26"/>
        </w:rPr>
      </w:pPr>
    </w:p>
    <w:p w14:paraId="03B762BA" w14:textId="77777777" w:rsidR="00C62177" w:rsidRDefault="00C62177" w:rsidP="00C62177">
      <w:pPr>
        <w:numPr>
          <w:ilvl w:val="0"/>
          <w:numId w:val="5"/>
        </w:numPr>
        <w:tabs>
          <w:tab w:val="left" w:pos="720"/>
          <w:tab w:val="left" w:pos="1440"/>
          <w:tab w:val="left" w:pos="4320"/>
        </w:tabs>
        <w:spacing w:line="360" w:lineRule="auto"/>
        <w:rPr>
          <w:sz w:val="26"/>
          <w:szCs w:val="26"/>
        </w:rPr>
      </w:pPr>
      <w:r w:rsidRPr="0026293C">
        <w:rPr>
          <w:sz w:val="26"/>
          <w:szCs w:val="26"/>
        </w:rPr>
        <w:t>That interested parties may submit written comments, via the</w:t>
      </w:r>
    </w:p>
    <w:p w14:paraId="2D53204F" w14:textId="61F012A8" w:rsidR="00C62177" w:rsidRDefault="00C62177" w:rsidP="00306C7B">
      <w:pPr>
        <w:tabs>
          <w:tab w:val="left" w:pos="720"/>
          <w:tab w:val="left" w:pos="1440"/>
          <w:tab w:val="left" w:pos="4320"/>
        </w:tabs>
        <w:spacing w:line="360" w:lineRule="auto"/>
        <w:rPr>
          <w:sz w:val="26"/>
          <w:szCs w:val="26"/>
        </w:rPr>
      </w:pPr>
      <w:r w:rsidRPr="0026293C">
        <w:rPr>
          <w:sz w:val="26"/>
          <w:szCs w:val="26"/>
        </w:rPr>
        <w:t xml:space="preserve">Commission’s electronic filing system, referencing Docket </w:t>
      </w:r>
      <w:r w:rsidRPr="00AC453F">
        <w:rPr>
          <w:sz w:val="26"/>
          <w:szCs w:val="26"/>
        </w:rPr>
        <w:t xml:space="preserve">No. </w:t>
      </w:r>
      <w:r w:rsidR="00AC453F" w:rsidRPr="00AC453F">
        <w:rPr>
          <w:sz w:val="26"/>
          <w:szCs w:val="26"/>
        </w:rPr>
        <w:t>L</w:t>
      </w:r>
      <w:r w:rsidRPr="00AC453F">
        <w:rPr>
          <w:sz w:val="26"/>
          <w:szCs w:val="26"/>
        </w:rPr>
        <w:t>-2020</w:t>
      </w:r>
      <w:r>
        <w:rPr>
          <w:sz w:val="26"/>
          <w:szCs w:val="26"/>
        </w:rPr>
        <w:t>-3021932</w:t>
      </w:r>
      <w:r w:rsidRPr="0026293C">
        <w:rPr>
          <w:sz w:val="26"/>
          <w:szCs w:val="26"/>
        </w:rPr>
        <w:t xml:space="preserve"> within 45 days of publication in the </w:t>
      </w:r>
      <w:r w:rsidRPr="0026293C">
        <w:rPr>
          <w:i/>
          <w:iCs/>
          <w:sz w:val="26"/>
          <w:szCs w:val="26"/>
        </w:rPr>
        <w:t xml:space="preserve">Pennsylvania Bulletin.  </w:t>
      </w:r>
      <w:r w:rsidRPr="0026293C">
        <w:rPr>
          <w:sz w:val="26"/>
          <w:szCs w:val="26"/>
        </w:rPr>
        <w:t xml:space="preserve">Comments shall be filed consistent with the Commission’s July 27, 2020 Secretarial Letter.  </w:t>
      </w:r>
      <w:r w:rsidRPr="0026293C">
        <w:rPr>
          <w:i/>
          <w:sz w:val="26"/>
          <w:szCs w:val="26"/>
        </w:rPr>
        <w:t>Modification to Filing and Service Requirements Emergency Order</w:t>
      </w:r>
      <w:r w:rsidRPr="0026293C">
        <w:rPr>
          <w:sz w:val="26"/>
          <w:szCs w:val="26"/>
        </w:rPr>
        <w:t xml:space="preserve">, Docket No. </w:t>
      </w:r>
      <w:r>
        <w:rPr>
          <w:sz w:val="26"/>
          <w:szCs w:val="26"/>
        </w:rPr>
        <w:t>M-2020-3019262</w:t>
      </w:r>
      <w:r w:rsidRPr="0026293C">
        <w:rPr>
          <w:sz w:val="26"/>
          <w:szCs w:val="26"/>
        </w:rPr>
        <w:t xml:space="preserve"> (Secretarial Letter issued July 27, 2020).  Pursuant to this Secretarial Letter, all filings are to be made by e-filing or by electronic mail, unless they are considered confidential or proprietary.  This information can be found on the Commission’s website at</w:t>
      </w:r>
      <w:r w:rsidR="00110659">
        <w:rPr>
          <w:sz w:val="26"/>
          <w:szCs w:val="26"/>
        </w:rPr>
        <w:t xml:space="preserve"> </w:t>
      </w:r>
      <w:hyperlink r:id="rId17" w:history="1">
        <w:r w:rsidRPr="004A2790">
          <w:rPr>
            <w:rStyle w:val="Hyperlink"/>
            <w:color w:val="auto"/>
            <w:sz w:val="26"/>
            <w:szCs w:val="26"/>
          </w:rPr>
          <w:t>https://www.puc.state.pa.us/efiling/Secure/Login.aspx</w:t>
        </w:r>
      </w:hyperlink>
      <w:r w:rsidRPr="004A2790">
        <w:rPr>
          <w:sz w:val="26"/>
          <w:szCs w:val="26"/>
        </w:rPr>
        <w:t>.</w:t>
      </w:r>
      <w:hyperlink w:history="1"/>
    </w:p>
    <w:p w14:paraId="690B4D04" w14:textId="77777777" w:rsidR="00C62177" w:rsidRDefault="00C62177" w:rsidP="00306C7B">
      <w:pPr>
        <w:tabs>
          <w:tab w:val="left" w:pos="720"/>
          <w:tab w:val="left" w:pos="1440"/>
          <w:tab w:val="left" w:pos="4320"/>
        </w:tabs>
        <w:spacing w:line="360" w:lineRule="auto"/>
        <w:rPr>
          <w:sz w:val="26"/>
          <w:szCs w:val="26"/>
        </w:rPr>
      </w:pPr>
    </w:p>
    <w:p w14:paraId="719675E1" w14:textId="77777777" w:rsidR="00C62177" w:rsidRPr="005B47C2" w:rsidRDefault="00C62177" w:rsidP="00306C7B">
      <w:pPr>
        <w:numPr>
          <w:ilvl w:val="0"/>
          <w:numId w:val="5"/>
        </w:numPr>
        <w:tabs>
          <w:tab w:val="left" w:pos="720"/>
          <w:tab w:val="left" w:pos="1440"/>
          <w:tab w:val="left" w:pos="4320"/>
        </w:tabs>
        <w:spacing w:line="360" w:lineRule="auto"/>
        <w:rPr>
          <w:color w:val="0563C1"/>
          <w:sz w:val="26"/>
          <w:szCs w:val="26"/>
          <w:u w:val="single"/>
        </w:rPr>
      </w:pPr>
      <w:r>
        <w:rPr>
          <w:sz w:val="26"/>
          <w:szCs w:val="26"/>
        </w:rPr>
        <w:t xml:space="preserve">That the Secretary shall serve a copy of this Order </w:t>
      </w:r>
      <w:r w:rsidRPr="001F1F27">
        <w:rPr>
          <w:sz w:val="26"/>
          <w:szCs w:val="26"/>
        </w:rPr>
        <w:t xml:space="preserve">on </w:t>
      </w:r>
      <w:r>
        <w:rPr>
          <w:sz w:val="26"/>
          <w:szCs w:val="26"/>
        </w:rPr>
        <w:t>all jurisdictional</w:t>
      </w:r>
    </w:p>
    <w:p w14:paraId="34353A5E" w14:textId="77777777" w:rsidR="00C62177" w:rsidRDefault="00C62177" w:rsidP="00306C7B">
      <w:pPr>
        <w:tabs>
          <w:tab w:val="left" w:pos="720"/>
          <w:tab w:val="left" w:pos="1440"/>
          <w:tab w:val="left" w:pos="4320"/>
        </w:tabs>
        <w:spacing w:line="360" w:lineRule="auto"/>
        <w:rPr>
          <w:rFonts w:cs="Arial"/>
          <w:sz w:val="26"/>
        </w:rPr>
      </w:pPr>
      <w:r>
        <w:rPr>
          <w:sz w:val="26"/>
          <w:szCs w:val="26"/>
        </w:rPr>
        <w:t xml:space="preserve">water </w:t>
      </w:r>
      <w:r w:rsidRPr="004D514E">
        <w:rPr>
          <w:sz w:val="26"/>
          <w:szCs w:val="26"/>
        </w:rPr>
        <w:t>utilities, the Office of Consumer</w:t>
      </w:r>
      <w:r w:rsidRPr="004D514E">
        <w:rPr>
          <w:rFonts w:cs="Arial"/>
          <w:sz w:val="26"/>
        </w:rPr>
        <w:t xml:space="preserve"> </w:t>
      </w:r>
      <w:r w:rsidRPr="004D514E">
        <w:rPr>
          <w:sz w:val="26"/>
          <w:szCs w:val="26"/>
        </w:rPr>
        <w:t xml:space="preserve">Advocate, the Office of Small Business Advocate, the Bureau of Investigation and Enforcement, </w:t>
      </w:r>
      <w:r w:rsidRPr="004D514E">
        <w:rPr>
          <w:rFonts w:cs="Arial"/>
          <w:sz w:val="26"/>
        </w:rPr>
        <w:t>the National Association of Water Companies - Pennsylvania Chapter, the Department of Environmental Protection, the Office of Regulatory Counsel, all regional offices, the Division of Water Use Planning, the Delaware River Basin Commission, the Susquehanna River Basin Commission, and the American Water Works Association, Pennsylvania Chapter.</w:t>
      </w:r>
    </w:p>
    <w:p w14:paraId="45F3DDB1" w14:textId="77777777" w:rsidR="00C8491B" w:rsidRDefault="00C8491B" w:rsidP="00306C7B">
      <w:pPr>
        <w:spacing w:line="360" w:lineRule="auto"/>
        <w:ind w:firstLine="720"/>
      </w:pPr>
    </w:p>
    <w:sectPr w:rsidR="00C8491B" w:rsidSect="00C00032">
      <w:footerReference w:type="default" r:id="rId18"/>
      <w:footnotePr>
        <w:numStart w:val="2"/>
      </w:footnotePr>
      <w:pgSz w:w="12240" w:h="15840" w:code="1"/>
      <w:pgMar w:top="1440" w:right="1440" w:bottom="1080" w:left="1440" w:header="720" w:footer="288" w:gutter="0"/>
      <w:paperSrc w:first="15"/>
      <w:pgNumType w:start="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9D1F2" w14:textId="77777777" w:rsidR="00285527" w:rsidRDefault="00285527">
      <w:r>
        <w:separator/>
      </w:r>
    </w:p>
  </w:endnote>
  <w:endnote w:type="continuationSeparator" w:id="0">
    <w:p w14:paraId="4B467363" w14:textId="77777777" w:rsidR="00285527" w:rsidRDefault="0028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798339"/>
      <w:docPartObj>
        <w:docPartGallery w:val="Page Numbers (Bottom of Page)"/>
        <w:docPartUnique/>
      </w:docPartObj>
    </w:sdtPr>
    <w:sdtEndPr>
      <w:rPr>
        <w:noProof/>
      </w:rPr>
    </w:sdtEndPr>
    <w:sdtContent>
      <w:p w14:paraId="7C6D97EC" w14:textId="6C22CC00" w:rsidR="00773617" w:rsidRDefault="007736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609750" w14:textId="30AB30C9" w:rsidR="00617DE7" w:rsidRDefault="00617DE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17074"/>
      <w:docPartObj>
        <w:docPartGallery w:val="Page Numbers (Bottom of Page)"/>
        <w:docPartUnique/>
      </w:docPartObj>
    </w:sdtPr>
    <w:sdtEndPr>
      <w:rPr>
        <w:noProof/>
      </w:rPr>
    </w:sdtEndPr>
    <w:sdtContent>
      <w:p w14:paraId="2136F828" w14:textId="46419D8F" w:rsidR="00773617" w:rsidRDefault="00285527">
        <w:pPr>
          <w:pStyle w:val="Footer"/>
          <w:jc w:val="center"/>
        </w:pPr>
      </w:p>
    </w:sdtContent>
  </w:sdt>
  <w:p w14:paraId="7CAA02B6" w14:textId="77777777" w:rsidR="00773617" w:rsidRDefault="00773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360240"/>
      <w:docPartObj>
        <w:docPartGallery w:val="Page Numbers (Bottom of Page)"/>
        <w:docPartUnique/>
      </w:docPartObj>
    </w:sdtPr>
    <w:sdtEndPr>
      <w:rPr>
        <w:noProof/>
      </w:rPr>
    </w:sdtEndPr>
    <w:sdtContent>
      <w:p w14:paraId="705751C4" w14:textId="5DBFE5E9" w:rsidR="004B5532" w:rsidRDefault="004B55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0E944" w14:textId="77777777" w:rsidR="00773617" w:rsidRDefault="007736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DDC5B" w14:textId="5C55CA56" w:rsidR="00C00032" w:rsidRDefault="005A1A6C">
    <w:pPr>
      <w:pStyle w:val="Footer"/>
      <w:jc w:val="center"/>
    </w:pPr>
    <w:r>
      <w:t>3</w:t>
    </w:r>
  </w:p>
  <w:p w14:paraId="1CD1D76D" w14:textId="1DEC63E2" w:rsidR="00C00032" w:rsidRDefault="00C00032" w:rsidP="00E62094">
    <w:pPr>
      <w:pStyle w:val="Footer"/>
      <w:tabs>
        <w:tab w:val="left" w:pos="105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612998"/>
      <w:docPartObj>
        <w:docPartGallery w:val="Page Numbers (Bottom of Page)"/>
        <w:docPartUnique/>
      </w:docPartObj>
    </w:sdtPr>
    <w:sdtEndPr>
      <w:rPr>
        <w:noProof/>
      </w:rPr>
    </w:sdtEndPr>
    <w:sdtContent>
      <w:p w14:paraId="4330A757" w14:textId="77777777" w:rsidR="00C00032" w:rsidRDefault="00C000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909796" w14:textId="77777777" w:rsidR="00C00032" w:rsidRDefault="00C000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5AB1F" w14:textId="77777777" w:rsidR="00285527" w:rsidRDefault="00285527">
      <w:r>
        <w:separator/>
      </w:r>
    </w:p>
  </w:footnote>
  <w:footnote w:type="continuationSeparator" w:id="0">
    <w:p w14:paraId="3A3B68D0" w14:textId="77777777" w:rsidR="00285527" w:rsidRDefault="00285527">
      <w:r>
        <w:continuationSeparator/>
      </w:r>
    </w:p>
  </w:footnote>
  <w:footnote w:id="1">
    <w:p w14:paraId="160722B6" w14:textId="580EB190" w:rsidR="00C8491B" w:rsidRPr="00666F22" w:rsidRDefault="00C8491B" w:rsidP="00C8491B">
      <w:pPr>
        <w:pStyle w:val="FootnoteText"/>
        <w:rPr>
          <w:sz w:val="22"/>
          <w:szCs w:val="22"/>
        </w:rPr>
      </w:pPr>
      <w:r w:rsidRPr="00666F22">
        <w:rPr>
          <w:rStyle w:val="FootnoteReference"/>
          <w:sz w:val="22"/>
          <w:szCs w:val="22"/>
        </w:rPr>
        <w:footnoteRef/>
      </w:r>
      <w:r w:rsidRPr="00666F22">
        <w:rPr>
          <w:sz w:val="22"/>
          <w:szCs w:val="22"/>
        </w:rPr>
        <w:t xml:space="preserve"> </w:t>
      </w:r>
      <w:proofErr w:type="spellStart"/>
      <w:r w:rsidRPr="00666F22">
        <w:rPr>
          <w:sz w:val="22"/>
          <w:szCs w:val="22"/>
        </w:rPr>
        <w:t>Kozloff</w:t>
      </w:r>
      <w:proofErr w:type="spellEnd"/>
      <w:r w:rsidRPr="00666F22">
        <w:rPr>
          <w:sz w:val="22"/>
          <w:szCs w:val="22"/>
        </w:rPr>
        <w:t>, Carol Allen (</w:t>
      </w:r>
      <w:r w:rsidRPr="00666F22">
        <w:rPr>
          <w:i/>
          <w:sz w:val="22"/>
          <w:szCs w:val="22"/>
        </w:rPr>
        <w:t>formerly</w:t>
      </w:r>
      <w:r w:rsidRPr="00666F22">
        <w:rPr>
          <w:sz w:val="22"/>
          <w:szCs w:val="22"/>
        </w:rPr>
        <w:t xml:space="preserve">, Allen, Carol J.), Smith, Roland Y. and Blatt, Harold C., </w:t>
      </w:r>
      <w:r w:rsidRPr="00666F22">
        <w:rPr>
          <w:i/>
          <w:sz w:val="22"/>
          <w:szCs w:val="22"/>
        </w:rPr>
        <w:t>The Pennsylvania Public Utility Commission Analysis and Rate Treatment of Unaccounted-For Water</w:t>
      </w:r>
      <w:r w:rsidRPr="00666F22">
        <w:rPr>
          <w:sz w:val="22"/>
          <w:szCs w:val="22"/>
        </w:rPr>
        <w:t>,</w:t>
      </w:r>
      <w:r w:rsidRPr="00666F22">
        <w:rPr>
          <w:i/>
          <w:sz w:val="22"/>
          <w:szCs w:val="22"/>
        </w:rPr>
        <w:t xml:space="preserve"> </w:t>
      </w:r>
      <w:r w:rsidRPr="00666F22">
        <w:rPr>
          <w:sz w:val="22"/>
          <w:szCs w:val="22"/>
        </w:rPr>
        <w:t>May</w:t>
      </w:r>
      <w:r>
        <w:rPr>
          <w:sz w:val="22"/>
          <w:szCs w:val="22"/>
        </w:rPr>
        <w:t> </w:t>
      </w:r>
      <w:r w:rsidRPr="00666F22">
        <w:rPr>
          <w:sz w:val="22"/>
          <w:szCs w:val="22"/>
        </w:rPr>
        <w:t>1986.</w:t>
      </w:r>
    </w:p>
  </w:footnote>
  <w:footnote w:id="2">
    <w:p w14:paraId="2ACB6188" w14:textId="77777777" w:rsidR="00C8491B" w:rsidRPr="00666F22" w:rsidRDefault="00C8491B" w:rsidP="00C8491B">
      <w:pPr>
        <w:pStyle w:val="FootnoteText"/>
        <w:rPr>
          <w:sz w:val="22"/>
          <w:szCs w:val="22"/>
        </w:rPr>
      </w:pPr>
      <w:r w:rsidRPr="00666F22">
        <w:rPr>
          <w:rStyle w:val="FootnoteReference"/>
          <w:sz w:val="22"/>
          <w:szCs w:val="22"/>
        </w:rPr>
        <w:footnoteRef/>
      </w:r>
      <w:r w:rsidRPr="00666F22">
        <w:rPr>
          <w:sz w:val="22"/>
          <w:szCs w:val="22"/>
        </w:rPr>
        <w:t xml:space="preserve"> Texas Water Development Board, </w:t>
      </w:r>
      <w:r w:rsidRPr="00666F22">
        <w:rPr>
          <w:i/>
          <w:sz w:val="22"/>
          <w:szCs w:val="22"/>
        </w:rPr>
        <w:t>Water Loss Audit Manual for Texas Utilities</w:t>
      </w:r>
      <w:r w:rsidRPr="00666F22">
        <w:rPr>
          <w:sz w:val="22"/>
          <w:szCs w:val="22"/>
        </w:rPr>
        <w:t>,</w:t>
      </w:r>
      <w:r w:rsidRPr="00666F22">
        <w:rPr>
          <w:i/>
          <w:sz w:val="22"/>
          <w:szCs w:val="22"/>
        </w:rPr>
        <w:t xml:space="preserve"> </w:t>
      </w:r>
      <w:r w:rsidRPr="00666F22">
        <w:rPr>
          <w:sz w:val="22"/>
          <w:szCs w:val="22"/>
        </w:rPr>
        <w:t>March 2008.</w:t>
      </w:r>
    </w:p>
  </w:footnote>
  <w:footnote w:id="3">
    <w:p w14:paraId="576967D6" w14:textId="77777777" w:rsidR="00C8491B" w:rsidRPr="00666F22" w:rsidRDefault="00C8491B" w:rsidP="00C8491B">
      <w:pPr>
        <w:pStyle w:val="FootnoteText"/>
        <w:rPr>
          <w:sz w:val="22"/>
          <w:szCs w:val="22"/>
        </w:rPr>
      </w:pPr>
      <w:r w:rsidRPr="00666F22">
        <w:rPr>
          <w:rStyle w:val="FootnoteReference"/>
          <w:sz w:val="22"/>
          <w:szCs w:val="22"/>
        </w:rPr>
        <w:footnoteRef/>
      </w:r>
      <w:r w:rsidRPr="00666F22">
        <w:rPr>
          <w:sz w:val="22"/>
          <w:szCs w:val="22"/>
        </w:rPr>
        <w:t xml:space="preserve"> Journal AWWA, </w:t>
      </w:r>
      <w:r w:rsidRPr="00666F22">
        <w:rPr>
          <w:i/>
          <w:sz w:val="22"/>
          <w:szCs w:val="22"/>
        </w:rPr>
        <w:t>Applying World-wide Best Management Practices in Water Loss Control</w:t>
      </w:r>
      <w:r w:rsidRPr="00666F22">
        <w:rPr>
          <w:sz w:val="22"/>
          <w:szCs w:val="22"/>
        </w:rPr>
        <w:t>, August</w:t>
      </w:r>
      <w:r>
        <w:rPr>
          <w:sz w:val="22"/>
          <w:szCs w:val="22"/>
        </w:rPr>
        <w:t> </w:t>
      </w:r>
      <w:r w:rsidRPr="00666F22">
        <w:rPr>
          <w:sz w:val="22"/>
          <w:szCs w:val="22"/>
        </w:rPr>
        <w:t>2003.</w:t>
      </w:r>
    </w:p>
  </w:footnote>
  <w:footnote w:id="4">
    <w:p w14:paraId="712EE348" w14:textId="31D4FCB4" w:rsidR="00C8491B" w:rsidRPr="00C8491B" w:rsidRDefault="00C8491B" w:rsidP="00C8491B">
      <w:pPr>
        <w:rPr>
          <w:color w:val="000000"/>
          <w:sz w:val="22"/>
        </w:rPr>
      </w:pPr>
      <w:r w:rsidRPr="00666F22">
        <w:rPr>
          <w:rStyle w:val="FootnoteReference"/>
          <w:sz w:val="22"/>
          <w:szCs w:val="22"/>
        </w:rPr>
        <w:footnoteRef/>
      </w:r>
      <w:r w:rsidRPr="00666F22">
        <w:rPr>
          <w:sz w:val="22"/>
          <w:szCs w:val="22"/>
        </w:rPr>
        <w:t xml:space="preserve"> See</w:t>
      </w:r>
      <w:r w:rsidR="006043A5">
        <w:rPr>
          <w:sz w:val="22"/>
          <w:szCs w:val="22"/>
        </w:rPr>
        <w:t xml:space="preserve"> </w:t>
      </w:r>
      <w:hyperlink r:id="rId1" w:history="1">
        <w:r w:rsidRPr="004A2790">
          <w:rPr>
            <w:rStyle w:val="Hyperlink"/>
            <w:color w:val="auto"/>
            <w:sz w:val="22"/>
            <w:szCs w:val="22"/>
          </w:rPr>
          <w:t>https://www.awwa.org/Resources-Tools/Resource-Topics/Water-Loss-Control</w:t>
        </w:r>
      </w:hyperlink>
      <w:r w:rsidR="00AC453F" w:rsidRPr="004A2790">
        <w:rPr>
          <w:rStyle w:val="Hyperlink"/>
          <w:color w:val="auto"/>
          <w:sz w:val="22"/>
          <w:szCs w:val="22"/>
        </w:rPr>
        <w:t>.</w:t>
      </w:r>
    </w:p>
  </w:footnote>
  <w:footnote w:id="5">
    <w:p w14:paraId="2ED2306E" w14:textId="77777777" w:rsidR="00C8491B" w:rsidRPr="00666F22" w:rsidRDefault="00C8491B" w:rsidP="00C8491B">
      <w:pPr>
        <w:pStyle w:val="FootnoteText"/>
        <w:rPr>
          <w:sz w:val="22"/>
          <w:szCs w:val="22"/>
        </w:rPr>
      </w:pPr>
      <w:r w:rsidRPr="00666F22">
        <w:rPr>
          <w:rStyle w:val="FootnoteReference"/>
          <w:sz w:val="22"/>
          <w:szCs w:val="22"/>
        </w:rPr>
        <w:footnoteRef/>
      </w:r>
      <w:r w:rsidRPr="00666F22">
        <w:rPr>
          <w:sz w:val="22"/>
          <w:szCs w:val="22"/>
        </w:rPr>
        <w:t xml:space="preserve"> American Water Works Association Research Foundation Project 2811, </w:t>
      </w:r>
      <w:r w:rsidRPr="00666F22">
        <w:rPr>
          <w:i/>
          <w:sz w:val="22"/>
          <w:szCs w:val="22"/>
        </w:rPr>
        <w:t>Evaluating Water Loss and Planning Loss Reduction Strategies Report</w:t>
      </w:r>
      <w:r w:rsidRPr="00666F22">
        <w:rPr>
          <w:sz w:val="22"/>
          <w:szCs w:val="22"/>
        </w:rPr>
        <w:t>, March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6E9D"/>
    <w:multiLevelType w:val="hybridMultilevel"/>
    <w:tmpl w:val="22349368"/>
    <w:lvl w:ilvl="0" w:tplc="6A2EC96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897B4F"/>
    <w:multiLevelType w:val="hybridMultilevel"/>
    <w:tmpl w:val="C7382D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1191CDC"/>
    <w:multiLevelType w:val="multilevel"/>
    <w:tmpl w:val="1624BC6A"/>
    <w:lvl w:ilvl="0">
      <w:start w:val="1"/>
      <w:numFmt w:val="upperRoman"/>
      <w:suff w:val="space"/>
      <w:lvlText w:val="%1.   "/>
      <w:lvlJc w:val="left"/>
      <w:pPr>
        <w:ind w:left="7380" w:firstLine="0"/>
      </w:pPr>
      <w:rPr>
        <w:rFonts w:hint="default"/>
        <w:b/>
        <w:i w:val="0"/>
      </w:rPr>
    </w:lvl>
    <w:lvl w:ilvl="1">
      <w:start w:val="1"/>
      <w:numFmt w:val="upperLetter"/>
      <w:lvlText w:val="%2."/>
      <w:lvlJc w:val="left"/>
      <w:pPr>
        <w:tabs>
          <w:tab w:val="num" w:pos="360"/>
        </w:tabs>
        <w:ind w:left="1080" w:hanging="360"/>
      </w:pPr>
      <w:rPr>
        <w:rFonts w:hint="default"/>
        <w:b/>
        <w:i w:val="0"/>
      </w:rPr>
    </w:lvl>
    <w:lvl w:ilvl="2">
      <w:start w:val="1"/>
      <w:numFmt w:val="decimal"/>
      <w:lvlText w:val="%3)  "/>
      <w:lvlJc w:val="left"/>
      <w:pPr>
        <w:tabs>
          <w:tab w:val="num" w:pos="8460"/>
        </w:tabs>
        <w:ind w:left="8460" w:hanging="360"/>
      </w:pPr>
      <w:rPr>
        <w:rFonts w:hint="default"/>
        <w:b w:val="0"/>
      </w:rPr>
    </w:lvl>
    <w:lvl w:ilvl="3">
      <w:start w:val="1"/>
      <w:numFmt w:val="lowerLetter"/>
      <w:suff w:val="space"/>
      <w:lvlText w:val="(%4)"/>
      <w:lvlJc w:val="left"/>
      <w:pPr>
        <w:ind w:left="10620" w:hanging="360"/>
      </w:pPr>
      <w:rPr>
        <w:rFonts w:hint="default"/>
      </w:rPr>
    </w:lvl>
    <w:lvl w:ilvl="4">
      <w:start w:val="1"/>
      <w:numFmt w:val="lowerRoman"/>
      <w:suff w:val="space"/>
      <w:lvlText w:val="(%5)"/>
      <w:lvlJc w:val="left"/>
      <w:pPr>
        <w:ind w:left="9900" w:hanging="360"/>
      </w:pPr>
      <w:rPr>
        <w:rFonts w:hint="default"/>
      </w:rPr>
    </w:lvl>
    <w:lvl w:ilvl="5">
      <w:start w:val="1"/>
      <w:numFmt w:val="lowerRoman"/>
      <w:lvlText w:val="(%6)"/>
      <w:lvlJc w:val="left"/>
      <w:pPr>
        <w:tabs>
          <w:tab w:val="num" w:pos="9540"/>
        </w:tabs>
        <w:ind w:left="9540" w:hanging="360"/>
      </w:pPr>
      <w:rPr>
        <w:rFonts w:hint="default"/>
      </w:rPr>
    </w:lvl>
    <w:lvl w:ilvl="6">
      <w:start w:val="1"/>
      <w:numFmt w:val="decimal"/>
      <w:lvlText w:val="%7."/>
      <w:lvlJc w:val="left"/>
      <w:pPr>
        <w:tabs>
          <w:tab w:val="num" w:pos="9900"/>
        </w:tabs>
        <w:ind w:left="9900" w:hanging="360"/>
      </w:pPr>
      <w:rPr>
        <w:rFonts w:hint="default"/>
      </w:rPr>
    </w:lvl>
    <w:lvl w:ilvl="7">
      <w:start w:val="1"/>
      <w:numFmt w:val="lowerLetter"/>
      <w:suff w:val="space"/>
      <w:lvlText w:val="%8."/>
      <w:lvlJc w:val="left"/>
      <w:pPr>
        <w:ind w:left="10260" w:hanging="1440"/>
      </w:pPr>
      <w:rPr>
        <w:rFonts w:hint="default"/>
      </w:rPr>
    </w:lvl>
    <w:lvl w:ilvl="8">
      <w:start w:val="1"/>
      <w:numFmt w:val="lowerRoman"/>
      <w:lvlText w:val="%9."/>
      <w:lvlJc w:val="left"/>
      <w:pPr>
        <w:tabs>
          <w:tab w:val="num" w:pos="10620"/>
        </w:tabs>
        <w:ind w:left="10620" w:hanging="360"/>
      </w:pPr>
      <w:rPr>
        <w:rFonts w:hint="default"/>
      </w:rPr>
    </w:lvl>
  </w:abstractNum>
  <w:abstractNum w:abstractNumId="3" w15:restartNumberingAfterBreak="0">
    <w:nsid w:val="506D3559"/>
    <w:multiLevelType w:val="hybridMultilevel"/>
    <w:tmpl w:val="B0E4CD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63306E8A"/>
    <w:multiLevelType w:val="multilevel"/>
    <w:tmpl w:val="0BBA6072"/>
    <w:lvl w:ilvl="0">
      <w:start w:val="1"/>
      <w:numFmt w:val="upperRoman"/>
      <w:suff w:val="space"/>
      <w:lvlText w:val="%1.   "/>
      <w:lvlJc w:val="left"/>
      <w:pPr>
        <w:ind w:left="9540" w:firstLine="0"/>
      </w:pPr>
      <w:rPr>
        <w:rFonts w:hint="default"/>
        <w:b/>
        <w:i w:val="0"/>
      </w:rPr>
    </w:lvl>
    <w:lvl w:ilvl="1">
      <w:start w:val="1"/>
      <w:numFmt w:val="upperLetter"/>
      <w:lvlText w:val="%2."/>
      <w:lvlJc w:val="left"/>
      <w:pPr>
        <w:tabs>
          <w:tab w:val="num" w:pos="-360"/>
        </w:tabs>
        <w:ind w:left="360" w:hanging="360"/>
      </w:pPr>
      <w:rPr>
        <w:rFonts w:hint="default"/>
        <w:b/>
        <w:i w:val="0"/>
      </w:rPr>
    </w:lvl>
    <w:lvl w:ilvl="2">
      <w:start w:val="1"/>
      <w:numFmt w:val="decimal"/>
      <w:lvlText w:val="%3)  "/>
      <w:lvlJc w:val="left"/>
      <w:pPr>
        <w:tabs>
          <w:tab w:val="num" w:pos="10620"/>
        </w:tabs>
        <w:ind w:left="10620" w:hanging="360"/>
      </w:pPr>
      <w:rPr>
        <w:rFonts w:hint="default"/>
        <w:b w:val="0"/>
      </w:rPr>
    </w:lvl>
    <w:lvl w:ilvl="3">
      <w:start w:val="1"/>
      <w:numFmt w:val="lowerLetter"/>
      <w:suff w:val="space"/>
      <w:lvlText w:val="(%4)"/>
      <w:lvlJc w:val="left"/>
      <w:pPr>
        <w:ind w:left="12780" w:hanging="360"/>
      </w:pPr>
      <w:rPr>
        <w:rFonts w:hint="default"/>
      </w:rPr>
    </w:lvl>
    <w:lvl w:ilvl="4">
      <w:start w:val="1"/>
      <w:numFmt w:val="lowerRoman"/>
      <w:suff w:val="space"/>
      <w:lvlText w:val="(%5)"/>
      <w:lvlJc w:val="left"/>
      <w:pPr>
        <w:ind w:left="12060" w:hanging="360"/>
      </w:pPr>
      <w:rPr>
        <w:rFonts w:hint="default"/>
      </w:rPr>
    </w:lvl>
    <w:lvl w:ilvl="5">
      <w:start w:val="1"/>
      <w:numFmt w:val="lowerRoman"/>
      <w:lvlText w:val="(%6)"/>
      <w:lvlJc w:val="left"/>
      <w:pPr>
        <w:tabs>
          <w:tab w:val="num" w:pos="11700"/>
        </w:tabs>
        <w:ind w:left="11700" w:hanging="360"/>
      </w:pPr>
      <w:rPr>
        <w:rFonts w:hint="default"/>
      </w:rPr>
    </w:lvl>
    <w:lvl w:ilvl="6">
      <w:start w:val="1"/>
      <w:numFmt w:val="decimal"/>
      <w:lvlText w:val="%7."/>
      <w:lvlJc w:val="left"/>
      <w:pPr>
        <w:tabs>
          <w:tab w:val="num" w:pos="12060"/>
        </w:tabs>
        <w:ind w:left="12060" w:hanging="360"/>
      </w:pPr>
      <w:rPr>
        <w:rFonts w:hint="default"/>
      </w:rPr>
    </w:lvl>
    <w:lvl w:ilvl="7">
      <w:start w:val="1"/>
      <w:numFmt w:val="lowerLetter"/>
      <w:suff w:val="space"/>
      <w:lvlText w:val="%8."/>
      <w:lvlJc w:val="left"/>
      <w:pPr>
        <w:ind w:left="12420" w:hanging="1440"/>
      </w:pPr>
      <w:rPr>
        <w:rFonts w:hint="default"/>
      </w:rPr>
    </w:lvl>
    <w:lvl w:ilvl="8">
      <w:start w:val="1"/>
      <w:numFmt w:val="lowerRoman"/>
      <w:lvlText w:val="%9."/>
      <w:lvlJc w:val="left"/>
      <w:pPr>
        <w:tabs>
          <w:tab w:val="num" w:pos="12780"/>
        </w:tabs>
        <w:ind w:left="12780" w:hanging="3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E2"/>
    <w:rsid w:val="0000235B"/>
    <w:rsid w:val="00002894"/>
    <w:rsid w:val="00002A15"/>
    <w:rsid w:val="000102F5"/>
    <w:rsid w:val="000109B4"/>
    <w:rsid w:val="00010D5E"/>
    <w:rsid w:val="00010E8E"/>
    <w:rsid w:val="000133BF"/>
    <w:rsid w:val="00013DB9"/>
    <w:rsid w:val="00021B24"/>
    <w:rsid w:val="00022F41"/>
    <w:rsid w:val="0002403B"/>
    <w:rsid w:val="00030135"/>
    <w:rsid w:val="00031517"/>
    <w:rsid w:val="00031AB1"/>
    <w:rsid w:val="0003703E"/>
    <w:rsid w:val="00045B0D"/>
    <w:rsid w:val="00047AA7"/>
    <w:rsid w:val="000506CC"/>
    <w:rsid w:val="0005265C"/>
    <w:rsid w:val="00052E00"/>
    <w:rsid w:val="00053876"/>
    <w:rsid w:val="00053F4A"/>
    <w:rsid w:val="00056C15"/>
    <w:rsid w:val="00060C62"/>
    <w:rsid w:val="00061148"/>
    <w:rsid w:val="00061AA0"/>
    <w:rsid w:val="00061C90"/>
    <w:rsid w:val="00062745"/>
    <w:rsid w:val="000644C8"/>
    <w:rsid w:val="00065E57"/>
    <w:rsid w:val="000666A6"/>
    <w:rsid w:val="00066BD9"/>
    <w:rsid w:val="00070539"/>
    <w:rsid w:val="000721A7"/>
    <w:rsid w:val="00076498"/>
    <w:rsid w:val="000804B4"/>
    <w:rsid w:val="00080770"/>
    <w:rsid w:val="00082AE5"/>
    <w:rsid w:val="000836E8"/>
    <w:rsid w:val="00084DC8"/>
    <w:rsid w:val="00086381"/>
    <w:rsid w:val="00086D28"/>
    <w:rsid w:val="000911D0"/>
    <w:rsid w:val="00091425"/>
    <w:rsid w:val="000929AD"/>
    <w:rsid w:val="0009326C"/>
    <w:rsid w:val="00094EB8"/>
    <w:rsid w:val="00096002"/>
    <w:rsid w:val="000963E1"/>
    <w:rsid w:val="000A04B2"/>
    <w:rsid w:val="000A7697"/>
    <w:rsid w:val="000B2081"/>
    <w:rsid w:val="000B41FF"/>
    <w:rsid w:val="000B5BE1"/>
    <w:rsid w:val="000B6CCA"/>
    <w:rsid w:val="000C222E"/>
    <w:rsid w:val="000C3C3C"/>
    <w:rsid w:val="000C3FC8"/>
    <w:rsid w:val="000D1895"/>
    <w:rsid w:val="000D4246"/>
    <w:rsid w:val="000D4BF7"/>
    <w:rsid w:val="000D5396"/>
    <w:rsid w:val="000D5D9B"/>
    <w:rsid w:val="000E3E11"/>
    <w:rsid w:val="000F127E"/>
    <w:rsid w:val="000F1898"/>
    <w:rsid w:val="000F19D8"/>
    <w:rsid w:val="000F68F9"/>
    <w:rsid w:val="000F7144"/>
    <w:rsid w:val="00103367"/>
    <w:rsid w:val="001042CF"/>
    <w:rsid w:val="001055E7"/>
    <w:rsid w:val="001078A7"/>
    <w:rsid w:val="00110659"/>
    <w:rsid w:val="001112A4"/>
    <w:rsid w:val="00111B63"/>
    <w:rsid w:val="00113F36"/>
    <w:rsid w:val="001168D3"/>
    <w:rsid w:val="0011699F"/>
    <w:rsid w:val="00120781"/>
    <w:rsid w:val="00120AA6"/>
    <w:rsid w:val="00120B3D"/>
    <w:rsid w:val="0012139C"/>
    <w:rsid w:val="0012411F"/>
    <w:rsid w:val="00131723"/>
    <w:rsid w:val="0013586B"/>
    <w:rsid w:val="00137061"/>
    <w:rsid w:val="00141564"/>
    <w:rsid w:val="0014205C"/>
    <w:rsid w:val="00143209"/>
    <w:rsid w:val="00145F1C"/>
    <w:rsid w:val="00146731"/>
    <w:rsid w:val="00146CF5"/>
    <w:rsid w:val="00150480"/>
    <w:rsid w:val="001519A2"/>
    <w:rsid w:val="00152EA1"/>
    <w:rsid w:val="00153032"/>
    <w:rsid w:val="001536B0"/>
    <w:rsid w:val="00155810"/>
    <w:rsid w:val="00157374"/>
    <w:rsid w:val="001603AA"/>
    <w:rsid w:val="001627F3"/>
    <w:rsid w:val="00162F88"/>
    <w:rsid w:val="00164C05"/>
    <w:rsid w:val="00165F09"/>
    <w:rsid w:val="00167C84"/>
    <w:rsid w:val="00171372"/>
    <w:rsid w:val="00180DB7"/>
    <w:rsid w:val="00181657"/>
    <w:rsid w:val="0018284E"/>
    <w:rsid w:val="00183D08"/>
    <w:rsid w:val="001860C5"/>
    <w:rsid w:val="0019169D"/>
    <w:rsid w:val="00194FE9"/>
    <w:rsid w:val="001979F8"/>
    <w:rsid w:val="001A10FE"/>
    <w:rsid w:val="001A57BB"/>
    <w:rsid w:val="001B38EC"/>
    <w:rsid w:val="001B449A"/>
    <w:rsid w:val="001B4624"/>
    <w:rsid w:val="001B464F"/>
    <w:rsid w:val="001B54EB"/>
    <w:rsid w:val="001B5EE2"/>
    <w:rsid w:val="001C3F56"/>
    <w:rsid w:val="001C47C9"/>
    <w:rsid w:val="001C532C"/>
    <w:rsid w:val="001C6AFE"/>
    <w:rsid w:val="001C7BD3"/>
    <w:rsid w:val="001D21B3"/>
    <w:rsid w:val="001D24AE"/>
    <w:rsid w:val="001D25D0"/>
    <w:rsid w:val="001D27B5"/>
    <w:rsid w:val="001D50CB"/>
    <w:rsid w:val="001D675D"/>
    <w:rsid w:val="001E1186"/>
    <w:rsid w:val="001E2338"/>
    <w:rsid w:val="001E36E6"/>
    <w:rsid w:val="001E3BB5"/>
    <w:rsid w:val="001E6BE6"/>
    <w:rsid w:val="001E7E8D"/>
    <w:rsid w:val="001E7FB2"/>
    <w:rsid w:val="001F212D"/>
    <w:rsid w:val="001F25FF"/>
    <w:rsid w:val="001F2730"/>
    <w:rsid w:val="0020235D"/>
    <w:rsid w:val="00204634"/>
    <w:rsid w:val="00207B94"/>
    <w:rsid w:val="00210EA2"/>
    <w:rsid w:val="002155E2"/>
    <w:rsid w:val="002164CF"/>
    <w:rsid w:val="00222945"/>
    <w:rsid w:val="00224CC5"/>
    <w:rsid w:val="002251C5"/>
    <w:rsid w:val="00225F9F"/>
    <w:rsid w:val="002276ED"/>
    <w:rsid w:val="00237568"/>
    <w:rsid w:val="0024433B"/>
    <w:rsid w:val="002450C9"/>
    <w:rsid w:val="00250A56"/>
    <w:rsid w:val="00250C39"/>
    <w:rsid w:val="002512CF"/>
    <w:rsid w:val="00256D90"/>
    <w:rsid w:val="00260348"/>
    <w:rsid w:val="0026137A"/>
    <w:rsid w:val="00262477"/>
    <w:rsid w:val="00267645"/>
    <w:rsid w:val="00272A64"/>
    <w:rsid w:val="00273FEB"/>
    <w:rsid w:val="0027541F"/>
    <w:rsid w:val="0028156E"/>
    <w:rsid w:val="002824A3"/>
    <w:rsid w:val="00282A71"/>
    <w:rsid w:val="00282E4F"/>
    <w:rsid w:val="00285527"/>
    <w:rsid w:val="00287BB2"/>
    <w:rsid w:val="00295774"/>
    <w:rsid w:val="002A1E10"/>
    <w:rsid w:val="002A635E"/>
    <w:rsid w:val="002A7E88"/>
    <w:rsid w:val="002B1224"/>
    <w:rsid w:val="002B2655"/>
    <w:rsid w:val="002B3F52"/>
    <w:rsid w:val="002C2009"/>
    <w:rsid w:val="002C237E"/>
    <w:rsid w:val="002C2E35"/>
    <w:rsid w:val="002C2FE7"/>
    <w:rsid w:val="002C5E53"/>
    <w:rsid w:val="002C7B9A"/>
    <w:rsid w:val="002D15C1"/>
    <w:rsid w:val="002D2B16"/>
    <w:rsid w:val="002D3523"/>
    <w:rsid w:val="002D5063"/>
    <w:rsid w:val="002E1FCE"/>
    <w:rsid w:val="002E4C19"/>
    <w:rsid w:val="002E575A"/>
    <w:rsid w:val="002E581E"/>
    <w:rsid w:val="002E75FB"/>
    <w:rsid w:val="002F28A8"/>
    <w:rsid w:val="002F3212"/>
    <w:rsid w:val="002F327E"/>
    <w:rsid w:val="002F3F95"/>
    <w:rsid w:val="002F48FC"/>
    <w:rsid w:val="002F543E"/>
    <w:rsid w:val="002F6885"/>
    <w:rsid w:val="002F70C7"/>
    <w:rsid w:val="0030142A"/>
    <w:rsid w:val="003039A9"/>
    <w:rsid w:val="00304FB0"/>
    <w:rsid w:val="00305E53"/>
    <w:rsid w:val="003067F3"/>
    <w:rsid w:val="00306C7B"/>
    <w:rsid w:val="003105B1"/>
    <w:rsid w:val="0031127A"/>
    <w:rsid w:val="003118FF"/>
    <w:rsid w:val="00321962"/>
    <w:rsid w:val="00326B12"/>
    <w:rsid w:val="00330533"/>
    <w:rsid w:val="00331A15"/>
    <w:rsid w:val="0033257B"/>
    <w:rsid w:val="0033391A"/>
    <w:rsid w:val="003343CF"/>
    <w:rsid w:val="003402A3"/>
    <w:rsid w:val="00341287"/>
    <w:rsid w:val="00343CA9"/>
    <w:rsid w:val="00345283"/>
    <w:rsid w:val="0035200F"/>
    <w:rsid w:val="0035364D"/>
    <w:rsid w:val="00353AB6"/>
    <w:rsid w:val="00355BF1"/>
    <w:rsid w:val="00357E43"/>
    <w:rsid w:val="00360912"/>
    <w:rsid w:val="00361D2D"/>
    <w:rsid w:val="0036730D"/>
    <w:rsid w:val="003675ED"/>
    <w:rsid w:val="00370C54"/>
    <w:rsid w:val="00371351"/>
    <w:rsid w:val="003731E2"/>
    <w:rsid w:val="003750FB"/>
    <w:rsid w:val="00375C32"/>
    <w:rsid w:val="00376C83"/>
    <w:rsid w:val="0038467C"/>
    <w:rsid w:val="003858B9"/>
    <w:rsid w:val="0039516D"/>
    <w:rsid w:val="00395BCC"/>
    <w:rsid w:val="003A07DE"/>
    <w:rsid w:val="003A2EB1"/>
    <w:rsid w:val="003A4014"/>
    <w:rsid w:val="003A5C02"/>
    <w:rsid w:val="003A754E"/>
    <w:rsid w:val="003B3B28"/>
    <w:rsid w:val="003B5D10"/>
    <w:rsid w:val="003C042B"/>
    <w:rsid w:val="003C726A"/>
    <w:rsid w:val="003D0209"/>
    <w:rsid w:val="003D1100"/>
    <w:rsid w:val="003D1E21"/>
    <w:rsid w:val="003D50A1"/>
    <w:rsid w:val="003D54D9"/>
    <w:rsid w:val="003E228E"/>
    <w:rsid w:val="003E4729"/>
    <w:rsid w:val="003E568A"/>
    <w:rsid w:val="003E6B57"/>
    <w:rsid w:val="003F3BF1"/>
    <w:rsid w:val="003F58EC"/>
    <w:rsid w:val="003F6AA0"/>
    <w:rsid w:val="003F6B74"/>
    <w:rsid w:val="003F750D"/>
    <w:rsid w:val="003F7F3B"/>
    <w:rsid w:val="00402A59"/>
    <w:rsid w:val="00402C56"/>
    <w:rsid w:val="00403074"/>
    <w:rsid w:val="0040411D"/>
    <w:rsid w:val="0040413E"/>
    <w:rsid w:val="004053AE"/>
    <w:rsid w:val="004110EA"/>
    <w:rsid w:val="004120B4"/>
    <w:rsid w:val="004126B4"/>
    <w:rsid w:val="00413047"/>
    <w:rsid w:val="004144D8"/>
    <w:rsid w:val="00415143"/>
    <w:rsid w:val="00416A78"/>
    <w:rsid w:val="00423957"/>
    <w:rsid w:val="0042440E"/>
    <w:rsid w:val="00430900"/>
    <w:rsid w:val="00432143"/>
    <w:rsid w:val="00436AD0"/>
    <w:rsid w:val="00443A69"/>
    <w:rsid w:val="00444CD4"/>
    <w:rsid w:val="00444FC6"/>
    <w:rsid w:val="00445444"/>
    <w:rsid w:val="00445D3A"/>
    <w:rsid w:val="00445DEF"/>
    <w:rsid w:val="00446535"/>
    <w:rsid w:val="00446824"/>
    <w:rsid w:val="00455056"/>
    <w:rsid w:val="00460D9B"/>
    <w:rsid w:val="004646B2"/>
    <w:rsid w:val="00466E96"/>
    <w:rsid w:val="00467538"/>
    <w:rsid w:val="004704B1"/>
    <w:rsid w:val="00477293"/>
    <w:rsid w:val="00481BAB"/>
    <w:rsid w:val="0048216C"/>
    <w:rsid w:val="00485A2D"/>
    <w:rsid w:val="004943AE"/>
    <w:rsid w:val="0049549A"/>
    <w:rsid w:val="0049553A"/>
    <w:rsid w:val="00496970"/>
    <w:rsid w:val="00497287"/>
    <w:rsid w:val="004A083C"/>
    <w:rsid w:val="004A2790"/>
    <w:rsid w:val="004B26E2"/>
    <w:rsid w:val="004B4893"/>
    <w:rsid w:val="004B5532"/>
    <w:rsid w:val="004B7AFE"/>
    <w:rsid w:val="004C1464"/>
    <w:rsid w:val="004C1BA2"/>
    <w:rsid w:val="004C1C78"/>
    <w:rsid w:val="004C329C"/>
    <w:rsid w:val="004C3ABE"/>
    <w:rsid w:val="004C4EE6"/>
    <w:rsid w:val="004C67EF"/>
    <w:rsid w:val="004D1B72"/>
    <w:rsid w:val="004E74A8"/>
    <w:rsid w:val="004E77CE"/>
    <w:rsid w:val="004F0156"/>
    <w:rsid w:val="004F0656"/>
    <w:rsid w:val="004F38C2"/>
    <w:rsid w:val="004F5CBF"/>
    <w:rsid w:val="0050179C"/>
    <w:rsid w:val="00504BF8"/>
    <w:rsid w:val="005129F6"/>
    <w:rsid w:val="00515B82"/>
    <w:rsid w:val="00515ED8"/>
    <w:rsid w:val="00516D51"/>
    <w:rsid w:val="005175A0"/>
    <w:rsid w:val="00520548"/>
    <w:rsid w:val="00520E3F"/>
    <w:rsid w:val="005217E9"/>
    <w:rsid w:val="00523AF6"/>
    <w:rsid w:val="00523DAB"/>
    <w:rsid w:val="00527A05"/>
    <w:rsid w:val="00532420"/>
    <w:rsid w:val="00533301"/>
    <w:rsid w:val="00534572"/>
    <w:rsid w:val="00541393"/>
    <w:rsid w:val="00541786"/>
    <w:rsid w:val="00542A68"/>
    <w:rsid w:val="0054386F"/>
    <w:rsid w:val="00544424"/>
    <w:rsid w:val="00550EBD"/>
    <w:rsid w:val="00555080"/>
    <w:rsid w:val="00555A03"/>
    <w:rsid w:val="00556BBF"/>
    <w:rsid w:val="00556F82"/>
    <w:rsid w:val="0055724C"/>
    <w:rsid w:val="00560082"/>
    <w:rsid w:val="005605A3"/>
    <w:rsid w:val="005617D6"/>
    <w:rsid w:val="005633CC"/>
    <w:rsid w:val="005654A9"/>
    <w:rsid w:val="00565C9D"/>
    <w:rsid w:val="005670F8"/>
    <w:rsid w:val="00567869"/>
    <w:rsid w:val="00567F83"/>
    <w:rsid w:val="00575D69"/>
    <w:rsid w:val="00576762"/>
    <w:rsid w:val="00583955"/>
    <w:rsid w:val="005857CA"/>
    <w:rsid w:val="0058602B"/>
    <w:rsid w:val="00590EFE"/>
    <w:rsid w:val="00591AC4"/>
    <w:rsid w:val="00592D27"/>
    <w:rsid w:val="00594F80"/>
    <w:rsid w:val="00595241"/>
    <w:rsid w:val="00595652"/>
    <w:rsid w:val="005974E2"/>
    <w:rsid w:val="005979AA"/>
    <w:rsid w:val="005A1A6C"/>
    <w:rsid w:val="005A40F3"/>
    <w:rsid w:val="005A4F4A"/>
    <w:rsid w:val="005B099E"/>
    <w:rsid w:val="005B473C"/>
    <w:rsid w:val="005B6426"/>
    <w:rsid w:val="005C0DD8"/>
    <w:rsid w:val="005C11AF"/>
    <w:rsid w:val="005C24F5"/>
    <w:rsid w:val="005C2C3A"/>
    <w:rsid w:val="005C5EF8"/>
    <w:rsid w:val="005C73FB"/>
    <w:rsid w:val="005D30F8"/>
    <w:rsid w:val="005D4DD7"/>
    <w:rsid w:val="005D5D9F"/>
    <w:rsid w:val="005D602F"/>
    <w:rsid w:val="005E4BBD"/>
    <w:rsid w:val="005E7E24"/>
    <w:rsid w:val="005F5BD5"/>
    <w:rsid w:val="00600328"/>
    <w:rsid w:val="006014E0"/>
    <w:rsid w:val="006043A5"/>
    <w:rsid w:val="006058D9"/>
    <w:rsid w:val="00607178"/>
    <w:rsid w:val="0061209D"/>
    <w:rsid w:val="00614655"/>
    <w:rsid w:val="00617DE7"/>
    <w:rsid w:val="00623FB1"/>
    <w:rsid w:val="00635FBF"/>
    <w:rsid w:val="006362EF"/>
    <w:rsid w:val="006518F3"/>
    <w:rsid w:val="00652035"/>
    <w:rsid w:val="0065438C"/>
    <w:rsid w:val="00655B7E"/>
    <w:rsid w:val="00657436"/>
    <w:rsid w:val="00660DD1"/>
    <w:rsid w:val="0066183C"/>
    <w:rsid w:val="00661EF7"/>
    <w:rsid w:val="0066493C"/>
    <w:rsid w:val="006665A0"/>
    <w:rsid w:val="00673B73"/>
    <w:rsid w:val="00673F87"/>
    <w:rsid w:val="006756B5"/>
    <w:rsid w:val="0068078E"/>
    <w:rsid w:val="006817FB"/>
    <w:rsid w:val="0068604F"/>
    <w:rsid w:val="006860B1"/>
    <w:rsid w:val="006872BB"/>
    <w:rsid w:val="00693018"/>
    <w:rsid w:val="0069582F"/>
    <w:rsid w:val="006A1437"/>
    <w:rsid w:val="006A1ED2"/>
    <w:rsid w:val="006A2AD4"/>
    <w:rsid w:val="006A2FD3"/>
    <w:rsid w:val="006A5AAE"/>
    <w:rsid w:val="006A5E15"/>
    <w:rsid w:val="006B03AB"/>
    <w:rsid w:val="006B0AF7"/>
    <w:rsid w:val="006B10F8"/>
    <w:rsid w:val="006C00D6"/>
    <w:rsid w:val="006C202B"/>
    <w:rsid w:val="006C23A1"/>
    <w:rsid w:val="006C2BAD"/>
    <w:rsid w:val="006C43B6"/>
    <w:rsid w:val="006C6AA9"/>
    <w:rsid w:val="006D0180"/>
    <w:rsid w:val="006E16B7"/>
    <w:rsid w:val="006E2906"/>
    <w:rsid w:val="006E2957"/>
    <w:rsid w:val="006E2B19"/>
    <w:rsid w:val="006E2C03"/>
    <w:rsid w:val="006E5599"/>
    <w:rsid w:val="006E672A"/>
    <w:rsid w:val="006F0D47"/>
    <w:rsid w:val="006F4DF0"/>
    <w:rsid w:val="006F5F77"/>
    <w:rsid w:val="006F5FAB"/>
    <w:rsid w:val="006F788B"/>
    <w:rsid w:val="007003E2"/>
    <w:rsid w:val="0070686E"/>
    <w:rsid w:val="00706EF5"/>
    <w:rsid w:val="00710D67"/>
    <w:rsid w:val="00711867"/>
    <w:rsid w:val="00711FBB"/>
    <w:rsid w:val="007129A9"/>
    <w:rsid w:val="007151B2"/>
    <w:rsid w:val="00720D5D"/>
    <w:rsid w:val="0072527E"/>
    <w:rsid w:val="0072529C"/>
    <w:rsid w:val="007263B9"/>
    <w:rsid w:val="00730F25"/>
    <w:rsid w:val="00731BC3"/>
    <w:rsid w:val="007335DD"/>
    <w:rsid w:val="00735958"/>
    <w:rsid w:val="00735ED6"/>
    <w:rsid w:val="00736503"/>
    <w:rsid w:val="00743D70"/>
    <w:rsid w:val="007461AC"/>
    <w:rsid w:val="007462DE"/>
    <w:rsid w:val="00752524"/>
    <w:rsid w:val="0075252C"/>
    <w:rsid w:val="0075260C"/>
    <w:rsid w:val="0075673A"/>
    <w:rsid w:val="00760C92"/>
    <w:rsid w:val="0076669A"/>
    <w:rsid w:val="00767539"/>
    <w:rsid w:val="00773617"/>
    <w:rsid w:val="007761D4"/>
    <w:rsid w:val="00782D74"/>
    <w:rsid w:val="007856C4"/>
    <w:rsid w:val="0078798D"/>
    <w:rsid w:val="00790184"/>
    <w:rsid w:val="00790950"/>
    <w:rsid w:val="00790CEE"/>
    <w:rsid w:val="00791D0E"/>
    <w:rsid w:val="007A3F27"/>
    <w:rsid w:val="007A6373"/>
    <w:rsid w:val="007B1083"/>
    <w:rsid w:val="007B165B"/>
    <w:rsid w:val="007B194F"/>
    <w:rsid w:val="007B1A75"/>
    <w:rsid w:val="007B2141"/>
    <w:rsid w:val="007B32EE"/>
    <w:rsid w:val="007C00F5"/>
    <w:rsid w:val="007C0461"/>
    <w:rsid w:val="007C14B1"/>
    <w:rsid w:val="007C2108"/>
    <w:rsid w:val="007D430C"/>
    <w:rsid w:val="007D6AA4"/>
    <w:rsid w:val="007D6DE6"/>
    <w:rsid w:val="007E1015"/>
    <w:rsid w:val="007F25D8"/>
    <w:rsid w:val="007F312D"/>
    <w:rsid w:val="007F553A"/>
    <w:rsid w:val="007F590B"/>
    <w:rsid w:val="007F710C"/>
    <w:rsid w:val="007F73A6"/>
    <w:rsid w:val="007F78EC"/>
    <w:rsid w:val="008025A3"/>
    <w:rsid w:val="00803DE2"/>
    <w:rsid w:val="0081274B"/>
    <w:rsid w:val="008139D7"/>
    <w:rsid w:val="00813D9D"/>
    <w:rsid w:val="00813ED3"/>
    <w:rsid w:val="00816557"/>
    <w:rsid w:val="0081696C"/>
    <w:rsid w:val="00820C38"/>
    <w:rsid w:val="008217B5"/>
    <w:rsid w:val="008223B2"/>
    <w:rsid w:val="008229F6"/>
    <w:rsid w:val="00824A6A"/>
    <w:rsid w:val="0083146F"/>
    <w:rsid w:val="00832570"/>
    <w:rsid w:val="00834B56"/>
    <w:rsid w:val="008418B1"/>
    <w:rsid w:val="00841B4C"/>
    <w:rsid w:val="008427DB"/>
    <w:rsid w:val="008434C3"/>
    <w:rsid w:val="00843573"/>
    <w:rsid w:val="00843C07"/>
    <w:rsid w:val="0084456E"/>
    <w:rsid w:val="00845CDB"/>
    <w:rsid w:val="008478A4"/>
    <w:rsid w:val="00847FDB"/>
    <w:rsid w:val="00851492"/>
    <w:rsid w:val="008519BB"/>
    <w:rsid w:val="008556AE"/>
    <w:rsid w:val="0086518F"/>
    <w:rsid w:val="00871810"/>
    <w:rsid w:val="008721B3"/>
    <w:rsid w:val="00876E00"/>
    <w:rsid w:val="00880988"/>
    <w:rsid w:val="00881843"/>
    <w:rsid w:val="0088541D"/>
    <w:rsid w:val="0088583B"/>
    <w:rsid w:val="00890589"/>
    <w:rsid w:val="008934D9"/>
    <w:rsid w:val="00893605"/>
    <w:rsid w:val="0089405E"/>
    <w:rsid w:val="008A10CD"/>
    <w:rsid w:val="008A272D"/>
    <w:rsid w:val="008A7917"/>
    <w:rsid w:val="008A7DB4"/>
    <w:rsid w:val="008C21C2"/>
    <w:rsid w:val="008C3588"/>
    <w:rsid w:val="008C49C6"/>
    <w:rsid w:val="008C524A"/>
    <w:rsid w:val="008D173C"/>
    <w:rsid w:val="008D4C79"/>
    <w:rsid w:val="008D6AB0"/>
    <w:rsid w:val="008D7F94"/>
    <w:rsid w:val="008E0980"/>
    <w:rsid w:val="008E2B68"/>
    <w:rsid w:val="008E5F06"/>
    <w:rsid w:val="008F108F"/>
    <w:rsid w:val="008F3DA5"/>
    <w:rsid w:val="008F57CD"/>
    <w:rsid w:val="008F69A9"/>
    <w:rsid w:val="0090265A"/>
    <w:rsid w:val="009068D4"/>
    <w:rsid w:val="00910695"/>
    <w:rsid w:val="0091162B"/>
    <w:rsid w:val="00912FF4"/>
    <w:rsid w:val="00916885"/>
    <w:rsid w:val="00917EFD"/>
    <w:rsid w:val="00920AA3"/>
    <w:rsid w:val="0092185B"/>
    <w:rsid w:val="00922F35"/>
    <w:rsid w:val="00923A3F"/>
    <w:rsid w:val="00923B0C"/>
    <w:rsid w:val="00926CCB"/>
    <w:rsid w:val="00927C12"/>
    <w:rsid w:val="00937EE4"/>
    <w:rsid w:val="00940BF1"/>
    <w:rsid w:val="0094141C"/>
    <w:rsid w:val="00941A97"/>
    <w:rsid w:val="0094209A"/>
    <w:rsid w:val="00946280"/>
    <w:rsid w:val="00950999"/>
    <w:rsid w:val="00954C64"/>
    <w:rsid w:val="0096435A"/>
    <w:rsid w:val="0096565E"/>
    <w:rsid w:val="00965869"/>
    <w:rsid w:val="009659A8"/>
    <w:rsid w:val="00967588"/>
    <w:rsid w:val="00967FB6"/>
    <w:rsid w:val="009700A1"/>
    <w:rsid w:val="009735B7"/>
    <w:rsid w:val="00975417"/>
    <w:rsid w:val="009757E7"/>
    <w:rsid w:val="00984610"/>
    <w:rsid w:val="00990EE0"/>
    <w:rsid w:val="00993AC5"/>
    <w:rsid w:val="009A157D"/>
    <w:rsid w:val="009A43C4"/>
    <w:rsid w:val="009B2075"/>
    <w:rsid w:val="009B5F4C"/>
    <w:rsid w:val="009B62A9"/>
    <w:rsid w:val="009B713A"/>
    <w:rsid w:val="009C1258"/>
    <w:rsid w:val="009C19F0"/>
    <w:rsid w:val="009C2124"/>
    <w:rsid w:val="009C5480"/>
    <w:rsid w:val="009C74EE"/>
    <w:rsid w:val="009D1322"/>
    <w:rsid w:val="009D3A7C"/>
    <w:rsid w:val="009F17E9"/>
    <w:rsid w:val="009F40EE"/>
    <w:rsid w:val="009F44D4"/>
    <w:rsid w:val="009F512D"/>
    <w:rsid w:val="009F6261"/>
    <w:rsid w:val="009F64F2"/>
    <w:rsid w:val="009F67BE"/>
    <w:rsid w:val="00A008B0"/>
    <w:rsid w:val="00A02975"/>
    <w:rsid w:val="00A045EF"/>
    <w:rsid w:val="00A07FC3"/>
    <w:rsid w:val="00A1295B"/>
    <w:rsid w:val="00A2007E"/>
    <w:rsid w:val="00A20114"/>
    <w:rsid w:val="00A201FB"/>
    <w:rsid w:val="00A253F8"/>
    <w:rsid w:val="00A27F36"/>
    <w:rsid w:val="00A3286E"/>
    <w:rsid w:val="00A35B13"/>
    <w:rsid w:val="00A3684E"/>
    <w:rsid w:val="00A36A14"/>
    <w:rsid w:val="00A41905"/>
    <w:rsid w:val="00A424B5"/>
    <w:rsid w:val="00A4335F"/>
    <w:rsid w:val="00A45646"/>
    <w:rsid w:val="00A459E0"/>
    <w:rsid w:val="00A518F7"/>
    <w:rsid w:val="00A52E8F"/>
    <w:rsid w:val="00A52F94"/>
    <w:rsid w:val="00A55304"/>
    <w:rsid w:val="00A563D7"/>
    <w:rsid w:val="00A64ED5"/>
    <w:rsid w:val="00A65895"/>
    <w:rsid w:val="00A65DC4"/>
    <w:rsid w:val="00A666D2"/>
    <w:rsid w:val="00A6742E"/>
    <w:rsid w:val="00A67CF5"/>
    <w:rsid w:val="00A72C15"/>
    <w:rsid w:val="00A75145"/>
    <w:rsid w:val="00A75719"/>
    <w:rsid w:val="00A82F39"/>
    <w:rsid w:val="00A86E3F"/>
    <w:rsid w:val="00A90108"/>
    <w:rsid w:val="00A91733"/>
    <w:rsid w:val="00A91BD4"/>
    <w:rsid w:val="00A92215"/>
    <w:rsid w:val="00A92DBC"/>
    <w:rsid w:val="00A92E9A"/>
    <w:rsid w:val="00A9489C"/>
    <w:rsid w:val="00A95153"/>
    <w:rsid w:val="00A97ACB"/>
    <w:rsid w:val="00AA5E3B"/>
    <w:rsid w:val="00AA6206"/>
    <w:rsid w:val="00AA6C1A"/>
    <w:rsid w:val="00AB0DB8"/>
    <w:rsid w:val="00AB33B3"/>
    <w:rsid w:val="00AB4D17"/>
    <w:rsid w:val="00AB7E59"/>
    <w:rsid w:val="00AC453F"/>
    <w:rsid w:val="00AD3111"/>
    <w:rsid w:val="00AD5DC7"/>
    <w:rsid w:val="00AD5DE0"/>
    <w:rsid w:val="00AE3992"/>
    <w:rsid w:val="00AE3C18"/>
    <w:rsid w:val="00AE6470"/>
    <w:rsid w:val="00AF014A"/>
    <w:rsid w:val="00AF02A6"/>
    <w:rsid w:val="00AF6F95"/>
    <w:rsid w:val="00B00A96"/>
    <w:rsid w:val="00B01464"/>
    <w:rsid w:val="00B026D0"/>
    <w:rsid w:val="00B041AB"/>
    <w:rsid w:val="00B05AC7"/>
    <w:rsid w:val="00B073E1"/>
    <w:rsid w:val="00B11605"/>
    <w:rsid w:val="00B140EC"/>
    <w:rsid w:val="00B14124"/>
    <w:rsid w:val="00B17E5D"/>
    <w:rsid w:val="00B21659"/>
    <w:rsid w:val="00B21E7C"/>
    <w:rsid w:val="00B25A67"/>
    <w:rsid w:val="00B26003"/>
    <w:rsid w:val="00B2705D"/>
    <w:rsid w:val="00B31A87"/>
    <w:rsid w:val="00B328D9"/>
    <w:rsid w:val="00B34A52"/>
    <w:rsid w:val="00B359F7"/>
    <w:rsid w:val="00B36174"/>
    <w:rsid w:val="00B36797"/>
    <w:rsid w:val="00B37938"/>
    <w:rsid w:val="00B40964"/>
    <w:rsid w:val="00B4379B"/>
    <w:rsid w:val="00B449A6"/>
    <w:rsid w:val="00B44B21"/>
    <w:rsid w:val="00B47364"/>
    <w:rsid w:val="00B4761C"/>
    <w:rsid w:val="00B52DF0"/>
    <w:rsid w:val="00B5362F"/>
    <w:rsid w:val="00B536AA"/>
    <w:rsid w:val="00B5497B"/>
    <w:rsid w:val="00B72F77"/>
    <w:rsid w:val="00B82854"/>
    <w:rsid w:val="00B83B4C"/>
    <w:rsid w:val="00B8481F"/>
    <w:rsid w:val="00B8596E"/>
    <w:rsid w:val="00B86426"/>
    <w:rsid w:val="00B932A3"/>
    <w:rsid w:val="00B9368B"/>
    <w:rsid w:val="00B9635F"/>
    <w:rsid w:val="00B97C53"/>
    <w:rsid w:val="00BA2D4E"/>
    <w:rsid w:val="00BA336D"/>
    <w:rsid w:val="00BA60E2"/>
    <w:rsid w:val="00BB054C"/>
    <w:rsid w:val="00BB20ED"/>
    <w:rsid w:val="00BB2292"/>
    <w:rsid w:val="00BB2C94"/>
    <w:rsid w:val="00BB3122"/>
    <w:rsid w:val="00BB4DE1"/>
    <w:rsid w:val="00BC364B"/>
    <w:rsid w:val="00BC3F88"/>
    <w:rsid w:val="00BC411D"/>
    <w:rsid w:val="00BC637B"/>
    <w:rsid w:val="00BD0301"/>
    <w:rsid w:val="00BD1277"/>
    <w:rsid w:val="00BD4834"/>
    <w:rsid w:val="00BD483F"/>
    <w:rsid w:val="00BE0D07"/>
    <w:rsid w:val="00BE3526"/>
    <w:rsid w:val="00BE4872"/>
    <w:rsid w:val="00BE4E4D"/>
    <w:rsid w:val="00BE7164"/>
    <w:rsid w:val="00BE74A5"/>
    <w:rsid w:val="00BF105E"/>
    <w:rsid w:val="00BF272B"/>
    <w:rsid w:val="00BF31BF"/>
    <w:rsid w:val="00BF49DE"/>
    <w:rsid w:val="00BF5637"/>
    <w:rsid w:val="00BF6C16"/>
    <w:rsid w:val="00C00032"/>
    <w:rsid w:val="00C00B93"/>
    <w:rsid w:val="00C045F4"/>
    <w:rsid w:val="00C1225F"/>
    <w:rsid w:val="00C13AE0"/>
    <w:rsid w:val="00C16C6D"/>
    <w:rsid w:val="00C221E3"/>
    <w:rsid w:val="00C25477"/>
    <w:rsid w:val="00C272D1"/>
    <w:rsid w:val="00C3090C"/>
    <w:rsid w:val="00C30F72"/>
    <w:rsid w:val="00C30FC2"/>
    <w:rsid w:val="00C33822"/>
    <w:rsid w:val="00C3412F"/>
    <w:rsid w:val="00C34A77"/>
    <w:rsid w:val="00C34C88"/>
    <w:rsid w:val="00C36B9D"/>
    <w:rsid w:val="00C3776A"/>
    <w:rsid w:val="00C4365C"/>
    <w:rsid w:val="00C43742"/>
    <w:rsid w:val="00C45547"/>
    <w:rsid w:val="00C51119"/>
    <w:rsid w:val="00C51B3D"/>
    <w:rsid w:val="00C5218E"/>
    <w:rsid w:val="00C523BE"/>
    <w:rsid w:val="00C53FDA"/>
    <w:rsid w:val="00C62177"/>
    <w:rsid w:val="00C64267"/>
    <w:rsid w:val="00C64323"/>
    <w:rsid w:val="00C8014C"/>
    <w:rsid w:val="00C80BAF"/>
    <w:rsid w:val="00C84495"/>
    <w:rsid w:val="00C8491B"/>
    <w:rsid w:val="00C85212"/>
    <w:rsid w:val="00C85EDF"/>
    <w:rsid w:val="00C860E6"/>
    <w:rsid w:val="00C863B8"/>
    <w:rsid w:val="00C91287"/>
    <w:rsid w:val="00C947A2"/>
    <w:rsid w:val="00C958B5"/>
    <w:rsid w:val="00CA03EF"/>
    <w:rsid w:val="00CA080D"/>
    <w:rsid w:val="00CA32F8"/>
    <w:rsid w:val="00CA4E0A"/>
    <w:rsid w:val="00CA5E04"/>
    <w:rsid w:val="00CA7E2A"/>
    <w:rsid w:val="00CB1766"/>
    <w:rsid w:val="00CB1B44"/>
    <w:rsid w:val="00CB34C5"/>
    <w:rsid w:val="00CB58BC"/>
    <w:rsid w:val="00CC0E9C"/>
    <w:rsid w:val="00CC4ED9"/>
    <w:rsid w:val="00CC58D1"/>
    <w:rsid w:val="00CC6DD6"/>
    <w:rsid w:val="00CC70AF"/>
    <w:rsid w:val="00CD5349"/>
    <w:rsid w:val="00CE0C52"/>
    <w:rsid w:val="00CE2ABC"/>
    <w:rsid w:val="00CE43A3"/>
    <w:rsid w:val="00CE4908"/>
    <w:rsid w:val="00CE767B"/>
    <w:rsid w:val="00CE7A3C"/>
    <w:rsid w:val="00D04611"/>
    <w:rsid w:val="00D05CBD"/>
    <w:rsid w:val="00D13380"/>
    <w:rsid w:val="00D139C8"/>
    <w:rsid w:val="00D14F2F"/>
    <w:rsid w:val="00D1519F"/>
    <w:rsid w:val="00D157DD"/>
    <w:rsid w:val="00D16568"/>
    <w:rsid w:val="00D245F1"/>
    <w:rsid w:val="00D31261"/>
    <w:rsid w:val="00D36F95"/>
    <w:rsid w:val="00D40BC8"/>
    <w:rsid w:val="00D41EB4"/>
    <w:rsid w:val="00D44A31"/>
    <w:rsid w:val="00D44D3A"/>
    <w:rsid w:val="00D458A3"/>
    <w:rsid w:val="00D47E63"/>
    <w:rsid w:val="00D510DE"/>
    <w:rsid w:val="00D56F36"/>
    <w:rsid w:val="00D617B8"/>
    <w:rsid w:val="00D6203F"/>
    <w:rsid w:val="00D62BD9"/>
    <w:rsid w:val="00D63E28"/>
    <w:rsid w:val="00D6591C"/>
    <w:rsid w:val="00D67425"/>
    <w:rsid w:val="00D67B68"/>
    <w:rsid w:val="00D71BA5"/>
    <w:rsid w:val="00D72AE5"/>
    <w:rsid w:val="00D75D0C"/>
    <w:rsid w:val="00D76A1B"/>
    <w:rsid w:val="00D80DC1"/>
    <w:rsid w:val="00D81047"/>
    <w:rsid w:val="00D92034"/>
    <w:rsid w:val="00D95341"/>
    <w:rsid w:val="00DA2B91"/>
    <w:rsid w:val="00DA4AF8"/>
    <w:rsid w:val="00DA555C"/>
    <w:rsid w:val="00DB2F7E"/>
    <w:rsid w:val="00DB786E"/>
    <w:rsid w:val="00DB7D13"/>
    <w:rsid w:val="00DC1098"/>
    <w:rsid w:val="00DC1298"/>
    <w:rsid w:val="00DC1694"/>
    <w:rsid w:val="00DC33BC"/>
    <w:rsid w:val="00DC42AE"/>
    <w:rsid w:val="00DC47A3"/>
    <w:rsid w:val="00DC56A8"/>
    <w:rsid w:val="00DC5F30"/>
    <w:rsid w:val="00DD6508"/>
    <w:rsid w:val="00DF3659"/>
    <w:rsid w:val="00DF3CC4"/>
    <w:rsid w:val="00DF5886"/>
    <w:rsid w:val="00DF69C7"/>
    <w:rsid w:val="00E03D9C"/>
    <w:rsid w:val="00E12EA0"/>
    <w:rsid w:val="00E14EEC"/>
    <w:rsid w:val="00E16DBE"/>
    <w:rsid w:val="00E21287"/>
    <w:rsid w:val="00E2233E"/>
    <w:rsid w:val="00E2305D"/>
    <w:rsid w:val="00E254A3"/>
    <w:rsid w:val="00E267CD"/>
    <w:rsid w:val="00E310CB"/>
    <w:rsid w:val="00E33D12"/>
    <w:rsid w:val="00E3530D"/>
    <w:rsid w:val="00E35715"/>
    <w:rsid w:val="00E35B87"/>
    <w:rsid w:val="00E362E2"/>
    <w:rsid w:val="00E36601"/>
    <w:rsid w:val="00E376A1"/>
    <w:rsid w:val="00E411BC"/>
    <w:rsid w:val="00E460E4"/>
    <w:rsid w:val="00E474EB"/>
    <w:rsid w:val="00E50FF7"/>
    <w:rsid w:val="00E5265F"/>
    <w:rsid w:val="00E55125"/>
    <w:rsid w:val="00E55F95"/>
    <w:rsid w:val="00E57FCD"/>
    <w:rsid w:val="00E602D8"/>
    <w:rsid w:val="00E60D8A"/>
    <w:rsid w:val="00E61AFA"/>
    <w:rsid w:val="00E62094"/>
    <w:rsid w:val="00E7008C"/>
    <w:rsid w:val="00E714CA"/>
    <w:rsid w:val="00E74050"/>
    <w:rsid w:val="00E77644"/>
    <w:rsid w:val="00E77FC8"/>
    <w:rsid w:val="00E85259"/>
    <w:rsid w:val="00E85D5D"/>
    <w:rsid w:val="00E91511"/>
    <w:rsid w:val="00E92162"/>
    <w:rsid w:val="00E929A9"/>
    <w:rsid w:val="00E946BD"/>
    <w:rsid w:val="00EA0250"/>
    <w:rsid w:val="00EA24FD"/>
    <w:rsid w:val="00EA2959"/>
    <w:rsid w:val="00EA3748"/>
    <w:rsid w:val="00EA3A37"/>
    <w:rsid w:val="00EA599F"/>
    <w:rsid w:val="00EA5F83"/>
    <w:rsid w:val="00EB1B09"/>
    <w:rsid w:val="00EB4DFC"/>
    <w:rsid w:val="00EC0E6A"/>
    <w:rsid w:val="00ED1E60"/>
    <w:rsid w:val="00ED2D81"/>
    <w:rsid w:val="00ED4475"/>
    <w:rsid w:val="00ED4675"/>
    <w:rsid w:val="00ED577C"/>
    <w:rsid w:val="00EE27B3"/>
    <w:rsid w:val="00EE4BF1"/>
    <w:rsid w:val="00EE6048"/>
    <w:rsid w:val="00EF01B1"/>
    <w:rsid w:val="00EF1FA6"/>
    <w:rsid w:val="00EF3944"/>
    <w:rsid w:val="00EF3B81"/>
    <w:rsid w:val="00EF3DE8"/>
    <w:rsid w:val="00EF44BD"/>
    <w:rsid w:val="00EF4C04"/>
    <w:rsid w:val="00EF523D"/>
    <w:rsid w:val="00EF5E4B"/>
    <w:rsid w:val="00EF7857"/>
    <w:rsid w:val="00EF7B22"/>
    <w:rsid w:val="00F026AF"/>
    <w:rsid w:val="00F0404C"/>
    <w:rsid w:val="00F05973"/>
    <w:rsid w:val="00F05F9A"/>
    <w:rsid w:val="00F10F08"/>
    <w:rsid w:val="00F15164"/>
    <w:rsid w:val="00F17D0D"/>
    <w:rsid w:val="00F21A75"/>
    <w:rsid w:val="00F22408"/>
    <w:rsid w:val="00F22B79"/>
    <w:rsid w:val="00F23B90"/>
    <w:rsid w:val="00F26DE9"/>
    <w:rsid w:val="00F30794"/>
    <w:rsid w:val="00F325C0"/>
    <w:rsid w:val="00F33F26"/>
    <w:rsid w:val="00F34DAF"/>
    <w:rsid w:val="00F414C3"/>
    <w:rsid w:val="00F460BE"/>
    <w:rsid w:val="00F46D8D"/>
    <w:rsid w:val="00F52175"/>
    <w:rsid w:val="00F54E3F"/>
    <w:rsid w:val="00F54FD5"/>
    <w:rsid w:val="00F57963"/>
    <w:rsid w:val="00F57C41"/>
    <w:rsid w:val="00F624B5"/>
    <w:rsid w:val="00F67FA5"/>
    <w:rsid w:val="00F70698"/>
    <w:rsid w:val="00F70A5F"/>
    <w:rsid w:val="00F71114"/>
    <w:rsid w:val="00F71F9F"/>
    <w:rsid w:val="00F778C2"/>
    <w:rsid w:val="00F80AFC"/>
    <w:rsid w:val="00F81510"/>
    <w:rsid w:val="00F81A18"/>
    <w:rsid w:val="00F8256B"/>
    <w:rsid w:val="00F830BE"/>
    <w:rsid w:val="00F846A4"/>
    <w:rsid w:val="00F84DAC"/>
    <w:rsid w:val="00F85A60"/>
    <w:rsid w:val="00F91B7E"/>
    <w:rsid w:val="00F922A0"/>
    <w:rsid w:val="00F95B59"/>
    <w:rsid w:val="00F97D93"/>
    <w:rsid w:val="00FA0973"/>
    <w:rsid w:val="00FA348B"/>
    <w:rsid w:val="00FA44F4"/>
    <w:rsid w:val="00FB1E31"/>
    <w:rsid w:val="00FB4DCE"/>
    <w:rsid w:val="00FC1647"/>
    <w:rsid w:val="00FC329C"/>
    <w:rsid w:val="00FC3E7B"/>
    <w:rsid w:val="00FC606A"/>
    <w:rsid w:val="00FD0188"/>
    <w:rsid w:val="00FD0D62"/>
    <w:rsid w:val="00FD1DDC"/>
    <w:rsid w:val="00FD2AE4"/>
    <w:rsid w:val="00FD2F14"/>
    <w:rsid w:val="00FD4F51"/>
    <w:rsid w:val="00FD7938"/>
    <w:rsid w:val="00FE0074"/>
    <w:rsid w:val="00FE212F"/>
    <w:rsid w:val="00FE2E4D"/>
    <w:rsid w:val="00FE353D"/>
    <w:rsid w:val="00FE64D3"/>
    <w:rsid w:val="00FE6ADD"/>
    <w:rsid w:val="00FF2E02"/>
    <w:rsid w:val="00FF56A4"/>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3A9DA"/>
  <w15:docId w15:val="{F355763B-88D1-4197-8538-6E9946B6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6E2"/>
    <w:rPr>
      <w:sz w:val="24"/>
      <w:szCs w:val="24"/>
    </w:rPr>
  </w:style>
  <w:style w:type="paragraph" w:styleId="Heading3">
    <w:name w:val="heading 3"/>
    <w:basedOn w:val="Normal"/>
    <w:next w:val="Normal"/>
    <w:link w:val="Heading3Char"/>
    <w:qFormat/>
    <w:rsid w:val="000A04B2"/>
    <w:pPr>
      <w:keepNext/>
      <w:overflowPunct w:val="0"/>
      <w:autoSpaceDE w:val="0"/>
      <w:autoSpaceDN w:val="0"/>
      <w:adjustRightInd w:val="0"/>
      <w:spacing w:line="360" w:lineRule="auto"/>
      <w:textAlignment w:val="baseline"/>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95B"/>
    <w:pPr>
      <w:tabs>
        <w:tab w:val="center" w:pos="4320"/>
        <w:tab w:val="right" w:pos="8640"/>
      </w:tabs>
    </w:pPr>
  </w:style>
  <w:style w:type="character" w:styleId="PageNumber">
    <w:name w:val="page number"/>
    <w:basedOn w:val="DefaultParagraphFont"/>
    <w:rsid w:val="00A1295B"/>
  </w:style>
  <w:style w:type="paragraph" w:styleId="Header">
    <w:name w:val="header"/>
    <w:basedOn w:val="Normal"/>
    <w:rsid w:val="00DC42AE"/>
    <w:pPr>
      <w:tabs>
        <w:tab w:val="center" w:pos="4320"/>
        <w:tab w:val="right" w:pos="8640"/>
      </w:tabs>
    </w:pPr>
  </w:style>
  <w:style w:type="character" w:customStyle="1" w:styleId="FooterChar">
    <w:name w:val="Footer Char"/>
    <w:basedOn w:val="DefaultParagraphFont"/>
    <w:link w:val="Footer"/>
    <w:uiPriority w:val="99"/>
    <w:rsid w:val="006D0180"/>
    <w:rPr>
      <w:sz w:val="24"/>
      <w:szCs w:val="24"/>
    </w:rPr>
  </w:style>
  <w:style w:type="paragraph" w:customStyle="1" w:styleId="p5">
    <w:name w:val="p5"/>
    <w:basedOn w:val="Normal"/>
    <w:rsid w:val="009F64F2"/>
    <w:pPr>
      <w:widowControl w:val="0"/>
      <w:tabs>
        <w:tab w:val="left" w:pos="391"/>
      </w:tabs>
      <w:autoSpaceDE w:val="0"/>
      <w:autoSpaceDN w:val="0"/>
      <w:adjustRightInd w:val="0"/>
      <w:ind w:left="1049"/>
    </w:pPr>
  </w:style>
  <w:style w:type="paragraph" w:styleId="FootnoteText">
    <w:name w:val="footnote text"/>
    <w:aliases w:val="Style 43,ALTS FOOTNOTE,fn,Footnote Text 2,Footnote text,FOOTNOTE,ALTS FOOTNOTE Char,fn Char,Footnote Text Char1 Char,Footnote Text Char Char Char,ALTS FOOTNOTE Char Char Char,fn Char Char Char,Footnote Text Char2 Char Char Char"/>
    <w:basedOn w:val="Normal"/>
    <w:link w:val="FootnoteTextChar"/>
    <w:rsid w:val="00DA4AF8"/>
    <w:rPr>
      <w:sz w:val="20"/>
      <w:szCs w:val="20"/>
    </w:rPr>
  </w:style>
  <w:style w:type="character" w:customStyle="1" w:styleId="FootnoteTextChar">
    <w:name w:val="Footnote Text Char"/>
    <w:aliases w:val="Style 43 Char,ALTS FOOTNOTE Char1,fn Char1,Footnote Text 2 Char,Footnote text Char,FOOTNOTE Char,ALTS FOOTNOTE Char Char,fn Char Char,Footnote Text Char1 Char Char,Footnote Text Char Char Char Char,ALTS FOOTNOTE Char Char Char Char"/>
    <w:basedOn w:val="DefaultParagraphFont"/>
    <w:link w:val="FootnoteText"/>
    <w:rsid w:val="00DA4AF8"/>
  </w:style>
  <w:style w:type="character" w:styleId="FootnoteReference">
    <w:name w:val="footnote reference"/>
    <w:aliases w:val="Style 42,o,fr,Style 13,Style 12,Style 28,(NECG) Footnote Reference,Style 11,Style 9,Style 16,Style 15,Style 17,Style 20,o1,fr1,o2,fr2,o3,fr3,Style 8,Style 7,Style 19"/>
    <w:basedOn w:val="DefaultParagraphFont"/>
    <w:rsid w:val="00DA4AF8"/>
    <w:rPr>
      <w:vertAlign w:val="superscript"/>
    </w:rPr>
  </w:style>
  <w:style w:type="paragraph" w:styleId="BalloonText">
    <w:name w:val="Balloon Text"/>
    <w:basedOn w:val="Normal"/>
    <w:link w:val="BalloonTextChar"/>
    <w:rsid w:val="00AB7E59"/>
    <w:rPr>
      <w:rFonts w:ascii="Tahoma" w:hAnsi="Tahoma" w:cs="Tahoma"/>
      <w:sz w:val="16"/>
      <w:szCs w:val="16"/>
    </w:rPr>
  </w:style>
  <w:style w:type="character" w:customStyle="1" w:styleId="BalloonTextChar">
    <w:name w:val="Balloon Text Char"/>
    <w:basedOn w:val="DefaultParagraphFont"/>
    <w:link w:val="BalloonText"/>
    <w:rsid w:val="00AB7E59"/>
    <w:rPr>
      <w:rFonts w:ascii="Tahoma" w:hAnsi="Tahoma" w:cs="Tahoma"/>
      <w:sz w:val="16"/>
      <w:szCs w:val="16"/>
    </w:rPr>
  </w:style>
  <w:style w:type="paragraph" w:styleId="ListParagraph">
    <w:name w:val="List Paragraph"/>
    <w:basedOn w:val="Normal"/>
    <w:uiPriority w:val="34"/>
    <w:qFormat/>
    <w:rsid w:val="001C6AFE"/>
    <w:pPr>
      <w:ind w:left="720"/>
      <w:contextualSpacing/>
    </w:pPr>
  </w:style>
  <w:style w:type="character" w:customStyle="1" w:styleId="Heading3Char">
    <w:name w:val="Heading 3 Char"/>
    <w:basedOn w:val="DefaultParagraphFont"/>
    <w:link w:val="Heading3"/>
    <w:rsid w:val="000A04B2"/>
    <w:rPr>
      <w:rFonts w:cs="Arial"/>
      <w:b/>
      <w:bCs/>
      <w:sz w:val="26"/>
      <w:szCs w:val="26"/>
    </w:rPr>
  </w:style>
  <w:style w:type="paragraph" w:customStyle="1" w:styleId="StyleCentered">
    <w:name w:val="Style Centered"/>
    <w:basedOn w:val="Normal"/>
    <w:rsid w:val="000A04B2"/>
    <w:pPr>
      <w:overflowPunct w:val="0"/>
      <w:autoSpaceDE w:val="0"/>
      <w:autoSpaceDN w:val="0"/>
      <w:adjustRightInd w:val="0"/>
      <w:jc w:val="center"/>
      <w:textAlignment w:val="baseline"/>
    </w:pPr>
    <w:rPr>
      <w:szCs w:val="20"/>
    </w:rPr>
  </w:style>
  <w:style w:type="character" w:styleId="Hyperlink">
    <w:name w:val="Hyperlink"/>
    <w:rsid w:val="00C8491B"/>
    <w:rPr>
      <w:color w:val="0563C1"/>
      <w:u w:val="single"/>
    </w:rPr>
  </w:style>
  <w:style w:type="paragraph" w:styleId="BodyTextIndent2">
    <w:name w:val="Body Text Indent 2"/>
    <w:basedOn w:val="Normal"/>
    <w:link w:val="BodyTextIndent2Char"/>
    <w:unhideWhenUsed/>
    <w:rsid w:val="00C62177"/>
    <w:pPr>
      <w:spacing w:line="360" w:lineRule="auto"/>
      <w:ind w:firstLine="720"/>
    </w:pPr>
    <w:rPr>
      <w:sz w:val="26"/>
      <w:szCs w:val="20"/>
    </w:rPr>
  </w:style>
  <w:style w:type="character" w:customStyle="1" w:styleId="BodyTextIndent2Char">
    <w:name w:val="Body Text Indent 2 Char"/>
    <w:basedOn w:val="DefaultParagraphFont"/>
    <w:link w:val="BodyTextIndent2"/>
    <w:rsid w:val="00C62177"/>
    <w:rPr>
      <w:sz w:val="26"/>
    </w:rPr>
  </w:style>
  <w:style w:type="paragraph" w:customStyle="1" w:styleId="Blockquote">
    <w:name w:val="Blockquote"/>
    <w:basedOn w:val="Normal"/>
    <w:rsid w:val="00C62177"/>
    <w:pPr>
      <w:snapToGrid w:val="0"/>
      <w:spacing w:before="100" w:after="100"/>
      <w:ind w:left="360" w:right="360"/>
    </w:pPr>
    <w:rPr>
      <w:szCs w:val="20"/>
    </w:rPr>
  </w:style>
  <w:style w:type="character" w:styleId="UnresolvedMention">
    <w:name w:val="Unresolved Mention"/>
    <w:basedOn w:val="DefaultParagraphFont"/>
    <w:uiPriority w:val="99"/>
    <w:semiHidden/>
    <w:unhideWhenUsed/>
    <w:rsid w:val="0054386F"/>
    <w:rPr>
      <w:color w:val="605E5C"/>
      <w:shd w:val="clear" w:color="auto" w:fill="E1DFDD"/>
    </w:rPr>
  </w:style>
  <w:style w:type="character" w:styleId="FollowedHyperlink">
    <w:name w:val="FollowedHyperlink"/>
    <w:basedOn w:val="DefaultParagraphFont"/>
    <w:semiHidden/>
    <w:unhideWhenUsed/>
    <w:rsid w:val="00543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6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c.state.pa/us/efiling/default.aspx.4" TargetMode="External"/><Relationship Id="rId17" Type="http://schemas.openxmlformats.org/officeDocument/2006/relationships/hyperlink" Target="https://www.puc.state.pa.us/efiling/Secure/Login.aspx"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wwa.org/WaterWiser/waterloss/Docs/WaterAuditSoftware.cf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wwa.org/Resources-Tools/Resource-Topics/Water-Loss-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2CC5CF97EAE54FB50A8F31E15C1B83" ma:contentTypeVersion="5" ma:contentTypeDescription="Create a new document." ma:contentTypeScope="" ma:versionID="421130a803ab4dcc060559784e62d474">
  <xsd:schema xmlns:xsd="http://www.w3.org/2001/XMLSchema" xmlns:xs="http://www.w3.org/2001/XMLSchema" xmlns:p="http://schemas.microsoft.com/office/2006/metadata/properties" xmlns:ns3="d39e286c-fac3-457c-94a1-5d0663efd593" xmlns:ns4="83bf0be4-36b1-412e-91a5-e705a08483aa" targetNamespace="http://schemas.microsoft.com/office/2006/metadata/properties" ma:root="true" ma:fieldsID="00381d2733262494e6c455baaa034169" ns3:_="" ns4:_="">
    <xsd:import namespace="d39e286c-fac3-457c-94a1-5d0663efd593"/>
    <xsd:import namespace="83bf0be4-36b1-412e-91a5-e705a08483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286c-fac3-457c-94a1-5d0663efd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bf0be4-36b1-412e-91a5-e705a08483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A5CC-A4C1-4B34-A7FD-7505A3DC98E4}">
  <ds:schemaRefs>
    <ds:schemaRef ds:uri="http://schemas.microsoft.com/sharepoint/v3/contenttype/forms"/>
  </ds:schemaRefs>
</ds:datastoreItem>
</file>

<file path=customXml/itemProps2.xml><?xml version="1.0" encoding="utf-8"?>
<ds:datastoreItem xmlns:ds="http://schemas.openxmlformats.org/officeDocument/2006/customXml" ds:itemID="{AACEFD32-DFCA-4758-B639-8F4F7211BD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F3B966-552A-4876-8F67-0370F5DA1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286c-fac3-457c-94a1-5d0663efd593"/>
    <ds:schemaRef ds:uri="83bf0be4-36b1-412e-91a5-e705a0848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F752D-85ED-434F-8A1E-78B6292D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Moore, Vikki</cp:lastModifiedBy>
  <cp:revision>2</cp:revision>
  <cp:lastPrinted>2017-02-03T16:26:00Z</cp:lastPrinted>
  <dcterms:created xsi:type="dcterms:W3CDTF">2020-10-20T17:04:00Z</dcterms:created>
  <dcterms:modified xsi:type="dcterms:W3CDTF">2020-10-20T17:04:00Z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0x0101003E2CC5CF97EAE54FB50A8F31E15C1B83</vt:lpwstr>
  </property>
</Properties>
</file>