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CellMar>
          <w:left w:w="10" w:type="dxa"/>
          <w:right w:w="10" w:type="dxa"/>
        </w:tblCellMar>
        <w:tblLook w:val="0000" w:firstRow="0" w:lastRow="0" w:firstColumn="0" w:lastColumn="0" w:noHBand="0" w:noVBand="0"/>
      </w:tblPr>
      <w:tblGrid>
        <w:gridCol w:w="2448"/>
        <w:gridCol w:w="5130"/>
        <w:gridCol w:w="2700"/>
      </w:tblGrid>
      <w:tr w:rsidR="00640612" w:rsidRPr="00CE17F2" w14:paraId="33F74C75" w14:textId="77777777">
        <w:tc>
          <w:tcPr>
            <w:tcW w:w="2448" w:type="dxa"/>
            <w:shd w:val="clear" w:color="auto" w:fill="auto"/>
            <w:tcMar>
              <w:top w:w="0" w:type="dxa"/>
              <w:left w:w="108" w:type="dxa"/>
              <w:bottom w:w="0" w:type="dxa"/>
              <w:right w:w="108" w:type="dxa"/>
            </w:tcMar>
          </w:tcPr>
          <w:p w14:paraId="33F74C70" w14:textId="77777777" w:rsidR="00640612" w:rsidRPr="00CE17F2" w:rsidRDefault="00640612">
            <w:pPr>
              <w:pStyle w:val="Heading3"/>
              <w:rPr>
                <w:rFonts w:ascii="Times New Roman" w:hAnsi="Times New Roman" w:cs="Times New Roman"/>
              </w:rPr>
            </w:pPr>
          </w:p>
        </w:tc>
        <w:tc>
          <w:tcPr>
            <w:tcW w:w="5130" w:type="dxa"/>
            <w:shd w:val="clear" w:color="auto" w:fill="auto"/>
            <w:tcMar>
              <w:top w:w="0" w:type="dxa"/>
              <w:left w:w="108" w:type="dxa"/>
              <w:bottom w:w="0" w:type="dxa"/>
              <w:right w:w="108" w:type="dxa"/>
            </w:tcMar>
          </w:tcPr>
          <w:p w14:paraId="33F74C71" w14:textId="77777777" w:rsidR="00640612" w:rsidRPr="00CE17F2" w:rsidRDefault="00931B44">
            <w:pPr>
              <w:jc w:val="center"/>
              <w:rPr>
                <w:b/>
                <w:sz w:val="26"/>
                <w:szCs w:val="26"/>
              </w:rPr>
            </w:pPr>
            <w:r w:rsidRPr="00CE17F2">
              <w:rPr>
                <w:b/>
                <w:sz w:val="26"/>
                <w:szCs w:val="26"/>
              </w:rPr>
              <w:t>PENNSYLVANIA</w:t>
            </w:r>
          </w:p>
          <w:p w14:paraId="33F74C72" w14:textId="77777777" w:rsidR="00640612" w:rsidRPr="00CE17F2" w:rsidRDefault="00931B44">
            <w:pPr>
              <w:jc w:val="center"/>
              <w:rPr>
                <w:b/>
                <w:sz w:val="26"/>
                <w:szCs w:val="26"/>
              </w:rPr>
            </w:pPr>
            <w:r w:rsidRPr="00CE17F2">
              <w:rPr>
                <w:b/>
                <w:sz w:val="26"/>
                <w:szCs w:val="26"/>
              </w:rPr>
              <w:t>PUBLIC UTILITY COMMISSION</w:t>
            </w:r>
          </w:p>
          <w:p w14:paraId="33F74C73" w14:textId="77777777" w:rsidR="00640612" w:rsidRPr="00CE17F2" w:rsidRDefault="00931B44">
            <w:pPr>
              <w:pStyle w:val="StyleCentered"/>
              <w:rPr>
                <w:b/>
                <w:sz w:val="26"/>
                <w:szCs w:val="26"/>
              </w:rPr>
            </w:pPr>
            <w:r w:rsidRPr="00CE17F2">
              <w:rPr>
                <w:b/>
                <w:sz w:val="26"/>
                <w:szCs w:val="26"/>
              </w:rPr>
              <w:t>Harrisburg, PA  17105-3265</w:t>
            </w:r>
          </w:p>
        </w:tc>
        <w:tc>
          <w:tcPr>
            <w:tcW w:w="2700" w:type="dxa"/>
            <w:shd w:val="clear" w:color="auto" w:fill="auto"/>
            <w:tcMar>
              <w:top w:w="0" w:type="dxa"/>
              <w:left w:w="108" w:type="dxa"/>
              <w:bottom w:w="0" w:type="dxa"/>
              <w:right w:w="108" w:type="dxa"/>
            </w:tcMar>
          </w:tcPr>
          <w:p w14:paraId="33F74C74" w14:textId="77777777" w:rsidR="00640612" w:rsidRPr="00CE17F2" w:rsidRDefault="00640612">
            <w:pPr>
              <w:rPr>
                <w:sz w:val="26"/>
                <w:szCs w:val="26"/>
              </w:rPr>
            </w:pPr>
          </w:p>
        </w:tc>
      </w:tr>
    </w:tbl>
    <w:p w14:paraId="33F74C76" w14:textId="77777777" w:rsidR="00640612" w:rsidRPr="00CE17F2" w:rsidRDefault="00640612">
      <w:pPr>
        <w:rPr>
          <w:sz w:val="26"/>
          <w:szCs w:val="26"/>
        </w:rPr>
      </w:pPr>
    </w:p>
    <w:tbl>
      <w:tblPr>
        <w:tblW w:w="10296" w:type="dxa"/>
        <w:tblLayout w:type="fixed"/>
        <w:tblCellMar>
          <w:left w:w="10" w:type="dxa"/>
          <w:right w:w="10" w:type="dxa"/>
        </w:tblCellMar>
        <w:tblLook w:val="0000" w:firstRow="0" w:lastRow="0" w:firstColumn="0" w:lastColumn="0" w:noHBand="0" w:noVBand="0"/>
      </w:tblPr>
      <w:tblGrid>
        <w:gridCol w:w="5148"/>
        <w:gridCol w:w="5148"/>
      </w:tblGrid>
      <w:tr w:rsidR="00CE17F2" w:rsidRPr="00CE17F2" w14:paraId="33F74C79" w14:textId="77777777">
        <w:tc>
          <w:tcPr>
            <w:tcW w:w="5148" w:type="dxa"/>
            <w:shd w:val="clear" w:color="auto" w:fill="auto"/>
            <w:tcMar>
              <w:top w:w="0" w:type="dxa"/>
              <w:left w:w="108" w:type="dxa"/>
              <w:bottom w:w="0" w:type="dxa"/>
              <w:right w:w="108" w:type="dxa"/>
            </w:tcMar>
          </w:tcPr>
          <w:p w14:paraId="33F74C77" w14:textId="77777777" w:rsidR="00640612" w:rsidRPr="00CE17F2" w:rsidRDefault="00640612">
            <w:pPr>
              <w:rPr>
                <w:sz w:val="26"/>
                <w:szCs w:val="26"/>
              </w:rPr>
            </w:pPr>
          </w:p>
        </w:tc>
        <w:tc>
          <w:tcPr>
            <w:tcW w:w="5148" w:type="dxa"/>
            <w:shd w:val="clear" w:color="auto" w:fill="auto"/>
            <w:tcMar>
              <w:top w:w="0" w:type="dxa"/>
              <w:left w:w="108" w:type="dxa"/>
              <w:bottom w:w="0" w:type="dxa"/>
              <w:right w:w="108" w:type="dxa"/>
            </w:tcMar>
          </w:tcPr>
          <w:p w14:paraId="33F74C78" w14:textId="1AC4C990" w:rsidR="00640612" w:rsidRPr="00CE17F2" w:rsidRDefault="004E1AB7">
            <w:pPr>
              <w:ind w:firstLine="612"/>
              <w:rPr>
                <w:sz w:val="26"/>
                <w:szCs w:val="26"/>
              </w:rPr>
            </w:pPr>
            <w:r>
              <w:rPr>
                <w:sz w:val="26"/>
                <w:szCs w:val="26"/>
              </w:rPr>
              <w:t xml:space="preserve">Public Meeting </w:t>
            </w:r>
            <w:r w:rsidR="00C67B18">
              <w:rPr>
                <w:sz w:val="26"/>
                <w:szCs w:val="26"/>
              </w:rPr>
              <w:t>held</w:t>
            </w:r>
            <w:r>
              <w:rPr>
                <w:sz w:val="26"/>
                <w:szCs w:val="26"/>
              </w:rPr>
              <w:t xml:space="preserve"> </w:t>
            </w:r>
            <w:r w:rsidR="005B0768">
              <w:rPr>
                <w:sz w:val="26"/>
                <w:szCs w:val="26"/>
              </w:rPr>
              <w:t>October 29, 2020</w:t>
            </w:r>
          </w:p>
        </w:tc>
      </w:tr>
      <w:tr w:rsidR="00640612" w:rsidRPr="00CE17F2" w14:paraId="33F74C7C" w14:textId="77777777">
        <w:tc>
          <w:tcPr>
            <w:tcW w:w="5148" w:type="dxa"/>
            <w:shd w:val="clear" w:color="auto" w:fill="auto"/>
            <w:tcMar>
              <w:top w:w="0" w:type="dxa"/>
              <w:left w:w="108" w:type="dxa"/>
              <w:bottom w:w="0" w:type="dxa"/>
              <w:right w:w="108" w:type="dxa"/>
            </w:tcMar>
          </w:tcPr>
          <w:p w14:paraId="33F74C7A" w14:textId="683A427B" w:rsidR="00640612" w:rsidRPr="00CE17F2" w:rsidRDefault="00931B44">
            <w:pPr>
              <w:rPr>
                <w:sz w:val="26"/>
                <w:szCs w:val="26"/>
              </w:rPr>
            </w:pPr>
            <w:r w:rsidRPr="00CE17F2">
              <w:rPr>
                <w:sz w:val="26"/>
                <w:szCs w:val="26"/>
              </w:rPr>
              <w:t>Commissioners Present:</w:t>
            </w:r>
          </w:p>
        </w:tc>
        <w:tc>
          <w:tcPr>
            <w:tcW w:w="5148" w:type="dxa"/>
            <w:shd w:val="clear" w:color="auto" w:fill="auto"/>
            <w:tcMar>
              <w:top w:w="0" w:type="dxa"/>
              <w:left w:w="108" w:type="dxa"/>
              <w:bottom w:w="0" w:type="dxa"/>
              <w:right w:w="108" w:type="dxa"/>
            </w:tcMar>
          </w:tcPr>
          <w:p w14:paraId="33F74C7B" w14:textId="683A427B" w:rsidR="00640612" w:rsidRPr="00CE17F2" w:rsidRDefault="00640612">
            <w:pPr>
              <w:rPr>
                <w:sz w:val="26"/>
                <w:szCs w:val="26"/>
              </w:rPr>
            </w:pPr>
          </w:p>
        </w:tc>
      </w:tr>
    </w:tbl>
    <w:p w14:paraId="33F74C7D" w14:textId="683A427B" w:rsidR="00640612" w:rsidRPr="00CE17F2" w:rsidRDefault="00640612">
      <w:pPr>
        <w:rPr>
          <w:sz w:val="26"/>
          <w:szCs w:val="26"/>
        </w:rPr>
      </w:pPr>
    </w:p>
    <w:tbl>
      <w:tblPr>
        <w:tblW w:w="10296" w:type="dxa"/>
        <w:tblLayout w:type="fixed"/>
        <w:tblCellMar>
          <w:left w:w="10" w:type="dxa"/>
          <w:right w:w="10" w:type="dxa"/>
        </w:tblCellMar>
        <w:tblLook w:val="0000" w:firstRow="0" w:lastRow="0" w:firstColumn="0" w:lastColumn="0" w:noHBand="0" w:noVBand="0"/>
      </w:tblPr>
      <w:tblGrid>
        <w:gridCol w:w="5945"/>
        <w:gridCol w:w="4311"/>
        <w:gridCol w:w="40"/>
      </w:tblGrid>
      <w:tr w:rsidR="00CE17F2" w:rsidRPr="00CE17F2" w14:paraId="33F74C7F" w14:textId="77777777">
        <w:tc>
          <w:tcPr>
            <w:tcW w:w="10296" w:type="dxa"/>
            <w:gridSpan w:val="3"/>
            <w:shd w:val="clear" w:color="auto" w:fill="auto"/>
            <w:tcMar>
              <w:top w:w="0" w:type="dxa"/>
              <w:left w:w="108" w:type="dxa"/>
              <w:bottom w:w="0" w:type="dxa"/>
              <w:right w:w="108" w:type="dxa"/>
            </w:tcMar>
          </w:tcPr>
          <w:p w14:paraId="33F74C7E" w14:textId="77777777" w:rsidR="00640612" w:rsidRPr="00CE17F2" w:rsidRDefault="00931B44">
            <w:pPr>
              <w:tabs>
                <w:tab w:val="left" w:pos="720"/>
              </w:tabs>
              <w:rPr>
                <w:sz w:val="26"/>
                <w:szCs w:val="26"/>
              </w:rPr>
            </w:pPr>
            <w:r w:rsidRPr="00CE17F2">
              <w:rPr>
                <w:sz w:val="26"/>
                <w:szCs w:val="26"/>
              </w:rPr>
              <w:tab/>
              <w:t xml:space="preserve">Gladys Brown </w:t>
            </w:r>
            <w:proofErr w:type="spellStart"/>
            <w:r w:rsidRPr="00CE17F2">
              <w:rPr>
                <w:sz w:val="26"/>
                <w:szCs w:val="26"/>
              </w:rPr>
              <w:t>Dutrieuille</w:t>
            </w:r>
            <w:proofErr w:type="spellEnd"/>
            <w:r w:rsidRPr="00CE17F2">
              <w:rPr>
                <w:sz w:val="26"/>
                <w:szCs w:val="26"/>
              </w:rPr>
              <w:t>, Chairman</w:t>
            </w:r>
          </w:p>
        </w:tc>
      </w:tr>
      <w:tr w:rsidR="00CE17F2" w:rsidRPr="00CE17F2" w14:paraId="33F74C81" w14:textId="77777777">
        <w:tc>
          <w:tcPr>
            <w:tcW w:w="10296" w:type="dxa"/>
            <w:gridSpan w:val="3"/>
            <w:shd w:val="clear" w:color="auto" w:fill="auto"/>
            <w:tcMar>
              <w:top w:w="0" w:type="dxa"/>
              <w:left w:w="108" w:type="dxa"/>
              <w:bottom w:w="0" w:type="dxa"/>
              <w:right w:w="108" w:type="dxa"/>
            </w:tcMar>
          </w:tcPr>
          <w:p w14:paraId="33F74C80" w14:textId="02D97A57" w:rsidR="00640612" w:rsidRPr="00CE17F2" w:rsidRDefault="00931B44">
            <w:pPr>
              <w:tabs>
                <w:tab w:val="left" w:pos="720"/>
              </w:tabs>
              <w:rPr>
                <w:sz w:val="26"/>
                <w:szCs w:val="26"/>
              </w:rPr>
            </w:pPr>
            <w:r w:rsidRPr="00CE17F2">
              <w:rPr>
                <w:sz w:val="26"/>
                <w:szCs w:val="26"/>
              </w:rPr>
              <w:tab/>
            </w:r>
            <w:r w:rsidR="0032073A">
              <w:rPr>
                <w:sz w:val="26"/>
                <w:szCs w:val="26"/>
              </w:rPr>
              <w:t>David W. Sweet, Vice Chairman</w:t>
            </w:r>
          </w:p>
        </w:tc>
      </w:tr>
      <w:tr w:rsidR="00CE17F2" w:rsidRPr="00CE17F2" w14:paraId="33F74C84" w14:textId="77777777">
        <w:tc>
          <w:tcPr>
            <w:tcW w:w="10256" w:type="dxa"/>
            <w:gridSpan w:val="2"/>
            <w:shd w:val="clear" w:color="auto" w:fill="auto"/>
            <w:tcMar>
              <w:top w:w="0" w:type="dxa"/>
              <w:left w:w="108" w:type="dxa"/>
              <w:bottom w:w="0" w:type="dxa"/>
              <w:right w:w="108" w:type="dxa"/>
            </w:tcMar>
          </w:tcPr>
          <w:p w14:paraId="33F74C82" w14:textId="77777777" w:rsidR="00640612" w:rsidRPr="00CE17F2" w:rsidRDefault="00931B44">
            <w:pPr>
              <w:tabs>
                <w:tab w:val="left" w:pos="720"/>
              </w:tabs>
              <w:rPr>
                <w:sz w:val="26"/>
                <w:szCs w:val="26"/>
              </w:rPr>
            </w:pPr>
            <w:r w:rsidRPr="00CE17F2">
              <w:rPr>
                <w:sz w:val="26"/>
                <w:szCs w:val="26"/>
              </w:rPr>
              <w:tab/>
              <w:t>John F. Coleman, Jr.</w:t>
            </w:r>
          </w:p>
        </w:tc>
        <w:tc>
          <w:tcPr>
            <w:tcW w:w="40" w:type="dxa"/>
            <w:shd w:val="clear" w:color="auto" w:fill="auto"/>
            <w:tcMar>
              <w:top w:w="0" w:type="dxa"/>
              <w:left w:w="10" w:type="dxa"/>
              <w:bottom w:w="0" w:type="dxa"/>
              <w:right w:w="10" w:type="dxa"/>
            </w:tcMar>
          </w:tcPr>
          <w:p w14:paraId="33F74C83" w14:textId="77777777" w:rsidR="00640612" w:rsidRPr="00CE17F2" w:rsidRDefault="00640612">
            <w:pPr>
              <w:tabs>
                <w:tab w:val="left" w:pos="720"/>
              </w:tabs>
              <w:rPr>
                <w:sz w:val="26"/>
                <w:szCs w:val="26"/>
              </w:rPr>
            </w:pPr>
          </w:p>
        </w:tc>
      </w:tr>
      <w:tr w:rsidR="00CE17F2" w:rsidRPr="00CE17F2" w14:paraId="33F74C88" w14:textId="77777777">
        <w:tc>
          <w:tcPr>
            <w:tcW w:w="5945" w:type="dxa"/>
            <w:shd w:val="clear" w:color="auto" w:fill="auto"/>
            <w:tcMar>
              <w:top w:w="0" w:type="dxa"/>
              <w:left w:w="108" w:type="dxa"/>
              <w:bottom w:w="0" w:type="dxa"/>
              <w:right w:w="108" w:type="dxa"/>
            </w:tcMar>
          </w:tcPr>
          <w:p w14:paraId="33F74C85" w14:textId="77777777" w:rsidR="00640612" w:rsidRPr="00CE17F2" w:rsidRDefault="00931B44">
            <w:pPr>
              <w:ind w:right="342"/>
              <w:rPr>
                <w:sz w:val="26"/>
                <w:szCs w:val="26"/>
              </w:rPr>
            </w:pPr>
            <w:r w:rsidRPr="00CE17F2">
              <w:rPr>
                <w:sz w:val="26"/>
                <w:szCs w:val="26"/>
              </w:rPr>
              <w:tab/>
              <w:t xml:space="preserve">Ralph V. </w:t>
            </w:r>
            <w:proofErr w:type="spellStart"/>
            <w:r w:rsidRPr="00CE17F2">
              <w:rPr>
                <w:sz w:val="26"/>
                <w:szCs w:val="26"/>
              </w:rPr>
              <w:t>Yanora</w:t>
            </w:r>
            <w:proofErr w:type="spellEnd"/>
          </w:p>
        </w:tc>
        <w:tc>
          <w:tcPr>
            <w:tcW w:w="4311" w:type="dxa"/>
            <w:shd w:val="clear" w:color="auto" w:fill="auto"/>
            <w:tcMar>
              <w:top w:w="0" w:type="dxa"/>
              <w:left w:w="108" w:type="dxa"/>
              <w:bottom w:w="0" w:type="dxa"/>
              <w:right w:w="108" w:type="dxa"/>
            </w:tcMar>
          </w:tcPr>
          <w:p w14:paraId="33F74C86" w14:textId="77777777" w:rsidR="00640612" w:rsidRPr="00CE17F2" w:rsidRDefault="00640612">
            <w:pPr>
              <w:jc w:val="center"/>
              <w:rPr>
                <w:sz w:val="26"/>
                <w:szCs w:val="26"/>
              </w:rPr>
            </w:pPr>
          </w:p>
        </w:tc>
        <w:tc>
          <w:tcPr>
            <w:tcW w:w="40" w:type="dxa"/>
            <w:shd w:val="clear" w:color="auto" w:fill="auto"/>
            <w:tcMar>
              <w:top w:w="0" w:type="dxa"/>
              <w:left w:w="10" w:type="dxa"/>
              <w:bottom w:w="0" w:type="dxa"/>
              <w:right w:w="10" w:type="dxa"/>
            </w:tcMar>
          </w:tcPr>
          <w:p w14:paraId="33F74C87" w14:textId="77777777" w:rsidR="00640612" w:rsidRPr="00CE17F2" w:rsidRDefault="00640612">
            <w:pPr>
              <w:jc w:val="center"/>
              <w:rPr>
                <w:sz w:val="26"/>
                <w:szCs w:val="26"/>
              </w:rPr>
            </w:pPr>
          </w:p>
        </w:tc>
      </w:tr>
      <w:tr w:rsidR="00CE17F2" w:rsidRPr="00CE17F2" w14:paraId="33F74C8C" w14:textId="77777777">
        <w:tc>
          <w:tcPr>
            <w:tcW w:w="5945" w:type="dxa"/>
            <w:shd w:val="clear" w:color="auto" w:fill="auto"/>
            <w:tcMar>
              <w:top w:w="0" w:type="dxa"/>
              <w:left w:w="108" w:type="dxa"/>
              <w:bottom w:w="0" w:type="dxa"/>
              <w:right w:w="108" w:type="dxa"/>
            </w:tcMar>
          </w:tcPr>
          <w:p w14:paraId="33F74C89" w14:textId="77777777" w:rsidR="00640612" w:rsidRPr="00CE17F2" w:rsidRDefault="00640612">
            <w:pPr>
              <w:ind w:right="342"/>
              <w:rPr>
                <w:color w:val="FF0000"/>
                <w:sz w:val="26"/>
                <w:szCs w:val="26"/>
              </w:rPr>
            </w:pPr>
          </w:p>
        </w:tc>
        <w:tc>
          <w:tcPr>
            <w:tcW w:w="4311" w:type="dxa"/>
            <w:shd w:val="clear" w:color="auto" w:fill="auto"/>
            <w:tcMar>
              <w:top w:w="0" w:type="dxa"/>
              <w:left w:w="108" w:type="dxa"/>
              <w:bottom w:w="0" w:type="dxa"/>
              <w:right w:w="108" w:type="dxa"/>
            </w:tcMar>
          </w:tcPr>
          <w:p w14:paraId="33F74C8A" w14:textId="02016EE4" w:rsidR="00640612" w:rsidRPr="00E13E74" w:rsidRDefault="00E13E74">
            <w:pPr>
              <w:jc w:val="center"/>
              <w:rPr>
                <w:sz w:val="26"/>
                <w:szCs w:val="26"/>
              </w:rPr>
            </w:pPr>
            <w:bookmarkStart w:id="0" w:name="_Hlk48904132"/>
            <w:r w:rsidRPr="00E13E74">
              <w:rPr>
                <w:sz w:val="26"/>
                <w:szCs w:val="26"/>
              </w:rPr>
              <w:t>P-2020-3019562</w:t>
            </w:r>
            <w:bookmarkEnd w:id="0"/>
          </w:p>
        </w:tc>
        <w:tc>
          <w:tcPr>
            <w:tcW w:w="40" w:type="dxa"/>
            <w:shd w:val="clear" w:color="auto" w:fill="auto"/>
            <w:tcMar>
              <w:top w:w="0" w:type="dxa"/>
              <w:left w:w="10" w:type="dxa"/>
              <w:bottom w:w="0" w:type="dxa"/>
              <w:right w:w="10" w:type="dxa"/>
            </w:tcMar>
          </w:tcPr>
          <w:p w14:paraId="33F74C8B" w14:textId="77777777" w:rsidR="00640612" w:rsidRPr="00CE17F2" w:rsidRDefault="00640612">
            <w:pPr>
              <w:jc w:val="center"/>
              <w:rPr>
                <w:color w:val="FF0000"/>
                <w:sz w:val="26"/>
                <w:szCs w:val="26"/>
              </w:rPr>
            </w:pPr>
          </w:p>
        </w:tc>
      </w:tr>
      <w:tr w:rsidR="00640612" w:rsidRPr="0033027D" w14:paraId="33F74C90" w14:textId="77777777">
        <w:tc>
          <w:tcPr>
            <w:tcW w:w="5945" w:type="dxa"/>
            <w:shd w:val="clear" w:color="auto" w:fill="auto"/>
            <w:tcMar>
              <w:top w:w="0" w:type="dxa"/>
              <w:left w:w="108" w:type="dxa"/>
              <w:bottom w:w="0" w:type="dxa"/>
              <w:right w:w="108" w:type="dxa"/>
            </w:tcMar>
          </w:tcPr>
          <w:p w14:paraId="33F74C8D" w14:textId="629142E0" w:rsidR="00640612" w:rsidRPr="0033027D" w:rsidRDefault="008009D0">
            <w:pPr>
              <w:ind w:right="342"/>
              <w:rPr>
                <w:sz w:val="26"/>
                <w:szCs w:val="26"/>
              </w:rPr>
            </w:pPr>
            <w:r w:rsidRPr="0033027D">
              <w:rPr>
                <w:sz w:val="26"/>
                <w:szCs w:val="26"/>
              </w:rPr>
              <w:t xml:space="preserve">Petition of the </w:t>
            </w:r>
            <w:bookmarkStart w:id="1" w:name="_Hlk51083804"/>
            <w:bookmarkStart w:id="2" w:name="_Hlk48904100"/>
            <w:r w:rsidRPr="0033027D">
              <w:rPr>
                <w:sz w:val="26"/>
                <w:szCs w:val="26"/>
              </w:rPr>
              <w:t>Industrial Energy Consumers of Pennsylvania</w:t>
            </w:r>
            <w:bookmarkEnd w:id="1"/>
            <w:r w:rsidRPr="0033027D">
              <w:rPr>
                <w:sz w:val="26"/>
                <w:szCs w:val="26"/>
              </w:rPr>
              <w:t xml:space="preserve"> to Suspend Implementation of </w:t>
            </w:r>
            <w:r w:rsidR="00374FA2">
              <w:rPr>
                <w:sz w:val="26"/>
                <w:szCs w:val="26"/>
              </w:rPr>
              <w:t>t</w:t>
            </w:r>
            <w:r w:rsidRPr="0033027D">
              <w:rPr>
                <w:sz w:val="26"/>
                <w:szCs w:val="26"/>
              </w:rPr>
              <w:t>he Act 129 Phase IV Requirements and For Other Relief</w:t>
            </w:r>
            <w:bookmarkEnd w:id="2"/>
          </w:p>
        </w:tc>
        <w:tc>
          <w:tcPr>
            <w:tcW w:w="4311" w:type="dxa"/>
            <w:shd w:val="clear" w:color="auto" w:fill="auto"/>
            <w:tcMar>
              <w:top w:w="0" w:type="dxa"/>
              <w:left w:w="108" w:type="dxa"/>
              <w:bottom w:w="0" w:type="dxa"/>
              <w:right w:w="108" w:type="dxa"/>
            </w:tcMar>
          </w:tcPr>
          <w:p w14:paraId="2FC32171" w14:textId="77777777" w:rsidR="00E13E74" w:rsidRDefault="00E13E74">
            <w:pPr>
              <w:jc w:val="center"/>
              <w:rPr>
                <w:sz w:val="26"/>
                <w:szCs w:val="26"/>
              </w:rPr>
            </w:pPr>
          </w:p>
          <w:p w14:paraId="7D44690A" w14:textId="6F5C5AE4" w:rsidR="00640612" w:rsidRPr="00FE39FC" w:rsidRDefault="008009D0">
            <w:pPr>
              <w:jc w:val="center"/>
              <w:rPr>
                <w:sz w:val="26"/>
                <w:szCs w:val="26"/>
              </w:rPr>
            </w:pPr>
            <w:bookmarkStart w:id="3" w:name="_Hlk48904165"/>
            <w:r w:rsidRPr="0033027D">
              <w:rPr>
                <w:sz w:val="26"/>
                <w:szCs w:val="26"/>
              </w:rPr>
              <w:t>M-2020-3015228</w:t>
            </w:r>
            <w:bookmarkEnd w:id="3"/>
            <w:r w:rsidR="0033027D" w:rsidRPr="0033027D">
              <w:rPr>
                <w:sz w:val="26"/>
                <w:szCs w:val="26"/>
              </w:rPr>
              <w:br/>
            </w:r>
            <w:bookmarkStart w:id="4" w:name="_Hlk48903538"/>
          </w:p>
          <w:bookmarkEnd w:id="4"/>
          <w:p w14:paraId="33F74C8E" w14:textId="3FE32683" w:rsidR="0033027D" w:rsidRPr="0033027D" w:rsidRDefault="0033027D">
            <w:pPr>
              <w:jc w:val="center"/>
              <w:rPr>
                <w:sz w:val="26"/>
                <w:szCs w:val="26"/>
              </w:rPr>
            </w:pPr>
          </w:p>
        </w:tc>
        <w:tc>
          <w:tcPr>
            <w:tcW w:w="40" w:type="dxa"/>
            <w:shd w:val="clear" w:color="auto" w:fill="auto"/>
            <w:tcMar>
              <w:top w:w="0" w:type="dxa"/>
              <w:left w:w="10" w:type="dxa"/>
              <w:bottom w:w="0" w:type="dxa"/>
              <w:right w:w="10" w:type="dxa"/>
            </w:tcMar>
          </w:tcPr>
          <w:p w14:paraId="33F74C8F" w14:textId="77777777" w:rsidR="00640612" w:rsidRPr="0033027D" w:rsidRDefault="00640612">
            <w:pPr>
              <w:jc w:val="center"/>
              <w:rPr>
                <w:sz w:val="26"/>
                <w:szCs w:val="26"/>
              </w:rPr>
            </w:pPr>
          </w:p>
        </w:tc>
      </w:tr>
    </w:tbl>
    <w:p w14:paraId="33F74C91" w14:textId="77777777" w:rsidR="00640612" w:rsidRPr="0033027D" w:rsidRDefault="00640612">
      <w:pPr>
        <w:jc w:val="center"/>
        <w:rPr>
          <w:b/>
          <w:sz w:val="26"/>
          <w:szCs w:val="26"/>
        </w:rPr>
      </w:pPr>
    </w:p>
    <w:p w14:paraId="33F74C92" w14:textId="77777777" w:rsidR="00640612" w:rsidRPr="00E13E74" w:rsidRDefault="00931B44">
      <w:pPr>
        <w:jc w:val="center"/>
        <w:rPr>
          <w:b/>
          <w:sz w:val="26"/>
          <w:szCs w:val="26"/>
        </w:rPr>
      </w:pPr>
      <w:r w:rsidRPr="0033027D">
        <w:rPr>
          <w:b/>
          <w:sz w:val="26"/>
          <w:szCs w:val="26"/>
        </w:rPr>
        <w:t>ORDER</w:t>
      </w:r>
    </w:p>
    <w:p w14:paraId="33F74C93" w14:textId="77777777" w:rsidR="00640612" w:rsidRPr="0033027D" w:rsidRDefault="00640612">
      <w:pPr>
        <w:spacing w:line="360" w:lineRule="auto"/>
        <w:rPr>
          <w:sz w:val="26"/>
          <w:szCs w:val="26"/>
        </w:rPr>
      </w:pPr>
    </w:p>
    <w:p w14:paraId="33F74C94" w14:textId="77777777" w:rsidR="00640612" w:rsidRPr="0033027D" w:rsidRDefault="00931B44">
      <w:pPr>
        <w:pStyle w:val="p3"/>
        <w:spacing w:line="360" w:lineRule="auto"/>
        <w:rPr>
          <w:b/>
          <w:sz w:val="26"/>
          <w:szCs w:val="26"/>
        </w:rPr>
      </w:pPr>
      <w:r w:rsidRPr="0033027D">
        <w:rPr>
          <w:b/>
          <w:sz w:val="26"/>
          <w:szCs w:val="26"/>
        </w:rPr>
        <w:t>BY THE COMMISSION:</w:t>
      </w:r>
    </w:p>
    <w:p w14:paraId="33F74C95" w14:textId="0D6C74B7" w:rsidR="00640612" w:rsidRPr="00CE17F2" w:rsidRDefault="00931B44">
      <w:pPr>
        <w:pStyle w:val="p3"/>
        <w:spacing w:line="360" w:lineRule="auto"/>
        <w:rPr>
          <w:color w:val="FF0000"/>
          <w:sz w:val="26"/>
          <w:szCs w:val="26"/>
        </w:rPr>
      </w:pPr>
      <w:r w:rsidRPr="00CE17F2">
        <w:rPr>
          <w:bCs/>
          <w:color w:val="FF0000"/>
          <w:sz w:val="26"/>
          <w:szCs w:val="26"/>
        </w:rPr>
        <w:tab/>
      </w:r>
      <w:r w:rsidRPr="00CE17F2">
        <w:rPr>
          <w:bCs/>
          <w:color w:val="FF0000"/>
          <w:sz w:val="26"/>
          <w:szCs w:val="26"/>
        </w:rPr>
        <w:tab/>
      </w:r>
      <w:r w:rsidRPr="00C25DBA">
        <w:rPr>
          <w:bCs/>
          <w:sz w:val="26"/>
          <w:szCs w:val="26"/>
        </w:rPr>
        <w:t>Before us for consideration is the</w:t>
      </w:r>
      <w:r w:rsidR="00C25DBA" w:rsidRPr="00C25DBA">
        <w:rPr>
          <w:bCs/>
          <w:sz w:val="26"/>
          <w:szCs w:val="26"/>
        </w:rPr>
        <w:t xml:space="preserve"> Petition of the</w:t>
      </w:r>
      <w:r w:rsidRPr="00C25DBA">
        <w:rPr>
          <w:bCs/>
          <w:sz w:val="26"/>
          <w:szCs w:val="26"/>
        </w:rPr>
        <w:t xml:space="preserve"> </w:t>
      </w:r>
      <w:r w:rsidR="0033027D" w:rsidRPr="00C25DBA">
        <w:rPr>
          <w:sz w:val="26"/>
          <w:szCs w:val="26"/>
        </w:rPr>
        <w:t xml:space="preserve">Industrial Energy Consumers of Pennsylvania </w:t>
      </w:r>
      <w:r w:rsidRPr="00C25DBA">
        <w:rPr>
          <w:bCs/>
          <w:sz w:val="26"/>
          <w:szCs w:val="26"/>
        </w:rPr>
        <w:t>(</w:t>
      </w:r>
      <w:r w:rsidR="0033027D" w:rsidRPr="00C25DBA">
        <w:rPr>
          <w:bCs/>
          <w:sz w:val="26"/>
          <w:szCs w:val="26"/>
        </w:rPr>
        <w:t>IECPA</w:t>
      </w:r>
      <w:r w:rsidRPr="00C25DBA">
        <w:rPr>
          <w:bCs/>
          <w:sz w:val="26"/>
          <w:szCs w:val="26"/>
        </w:rPr>
        <w:t>)</w:t>
      </w:r>
      <w:r w:rsidR="00BE18F4">
        <w:rPr>
          <w:bCs/>
          <w:sz w:val="26"/>
          <w:szCs w:val="26"/>
        </w:rPr>
        <w:t>,</w:t>
      </w:r>
      <w:r w:rsidR="000A3F12">
        <w:rPr>
          <w:rStyle w:val="FootnoteReference"/>
          <w:bCs/>
          <w:sz w:val="26"/>
          <w:szCs w:val="26"/>
        </w:rPr>
        <w:footnoteReference w:id="2"/>
      </w:r>
      <w:r w:rsidRPr="00C25DBA">
        <w:rPr>
          <w:bCs/>
          <w:sz w:val="26"/>
          <w:szCs w:val="26"/>
        </w:rPr>
        <w:t xml:space="preserve"> filed pursuant </w:t>
      </w:r>
      <w:r w:rsidRPr="00FD68EB">
        <w:rPr>
          <w:bCs/>
          <w:sz w:val="26"/>
          <w:szCs w:val="26"/>
        </w:rPr>
        <w:t>to 52 Pa. Code § 5.</w:t>
      </w:r>
      <w:r w:rsidR="003D2FAA" w:rsidRPr="00FD68EB">
        <w:rPr>
          <w:bCs/>
          <w:sz w:val="26"/>
          <w:szCs w:val="26"/>
        </w:rPr>
        <w:t>42</w:t>
      </w:r>
      <w:r w:rsidR="00A67F86">
        <w:rPr>
          <w:bCs/>
          <w:sz w:val="26"/>
          <w:szCs w:val="26"/>
        </w:rPr>
        <w:t xml:space="preserve"> and</w:t>
      </w:r>
      <w:r w:rsidR="00A67F86" w:rsidRPr="00A67F86">
        <w:rPr>
          <w:bCs/>
          <w:sz w:val="26"/>
          <w:szCs w:val="26"/>
        </w:rPr>
        <w:t xml:space="preserve"> the Emergency Order issued by the Pennsylvania Public Utility Commission (Commission) on </w:t>
      </w:r>
      <w:r w:rsidR="00F65150">
        <w:rPr>
          <w:bCs/>
          <w:sz w:val="26"/>
          <w:szCs w:val="26"/>
        </w:rPr>
        <w:t>April 22</w:t>
      </w:r>
      <w:r w:rsidR="00A67F86" w:rsidRPr="00A67F86">
        <w:rPr>
          <w:bCs/>
          <w:sz w:val="26"/>
          <w:szCs w:val="26"/>
        </w:rPr>
        <w:t>, 2020, at Docket No. M-2020-301926</w:t>
      </w:r>
      <w:r w:rsidR="00A67F86">
        <w:rPr>
          <w:bCs/>
          <w:sz w:val="26"/>
          <w:szCs w:val="26"/>
        </w:rPr>
        <w:t>,</w:t>
      </w:r>
      <w:r w:rsidR="0062108D">
        <w:rPr>
          <w:bCs/>
          <w:sz w:val="26"/>
          <w:szCs w:val="26"/>
        </w:rPr>
        <w:t xml:space="preserve"> seeking a declaratory order</w:t>
      </w:r>
      <w:r w:rsidR="00C25DBA" w:rsidRPr="00C25DBA">
        <w:rPr>
          <w:bCs/>
          <w:sz w:val="26"/>
          <w:szCs w:val="26"/>
        </w:rPr>
        <w:t xml:space="preserve"> to</w:t>
      </w:r>
      <w:r w:rsidR="00FC14E3">
        <w:rPr>
          <w:bCs/>
          <w:sz w:val="26"/>
          <w:szCs w:val="26"/>
        </w:rPr>
        <w:t>;</w:t>
      </w:r>
      <w:r w:rsidR="0090257E">
        <w:rPr>
          <w:bCs/>
          <w:sz w:val="26"/>
          <w:szCs w:val="26"/>
        </w:rPr>
        <w:t xml:space="preserve"> (1)</w:t>
      </w:r>
      <w:r w:rsidR="00C25DBA" w:rsidRPr="00C25DBA">
        <w:rPr>
          <w:bCs/>
          <w:sz w:val="26"/>
          <w:szCs w:val="26"/>
        </w:rPr>
        <w:t xml:space="preserve"> s</w:t>
      </w:r>
      <w:r w:rsidR="005F2567" w:rsidRPr="00C25DBA">
        <w:rPr>
          <w:bCs/>
          <w:sz w:val="26"/>
          <w:szCs w:val="26"/>
        </w:rPr>
        <w:t xml:space="preserve">uspend </w:t>
      </w:r>
      <w:r w:rsidR="00C25DBA" w:rsidRPr="00C25DBA">
        <w:rPr>
          <w:bCs/>
          <w:sz w:val="26"/>
          <w:szCs w:val="26"/>
        </w:rPr>
        <w:t>i</w:t>
      </w:r>
      <w:r w:rsidR="005F2567" w:rsidRPr="00C25DBA">
        <w:rPr>
          <w:bCs/>
          <w:sz w:val="26"/>
          <w:szCs w:val="26"/>
        </w:rPr>
        <w:t xml:space="preserve">mplementation of the Act 129 Phase IV </w:t>
      </w:r>
      <w:r w:rsidR="00F567B2">
        <w:rPr>
          <w:bCs/>
          <w:sz w:val="26"/>
          <w:szCs w:val="26"/>
        </w:rPr>
        <w:t>Energy Efficiency and Conservation (EE&amp;C) r</w:t>
      </w:r>
      <w:r w:rsidR="005F2567" w:rsidRPr="00C25DBA">
        <w:rPr>
          <w:bCs/>
          <w:sz w:val="26"/>
          <w:szCs w:val="26"/>
        </w:rPr>
        <w:t>equirements</w:t>
      </w:r>
      <w:r w:rsidR="00FC14E3">
        <w:rPr>
          <w:bCs/>
          <w:sz w:val="26"/>
          <w:szCs w:val="26"/>
        </w:rPr>
        <w:t>;</w:t>
      </w:r>
      <w:r w:rsidR="0090257E">
        <w:rPr>
          <w:bCs/>
          <w:sz w:val="26"/>
          <w:szCs w:val="26"/>
        </w:rPr>
        <w:t xml:space="preserve"> (2) </w:t>
      </w:r>
      <w:r w:rsidR="0000666F" w:rsidRPr="0000666F">
        <w:rPr>
          <w:bCs/>
          <w:sz w:val="26"/>
          <w:szCs w:val="26"/>
        </w:rPr>
        <w:t>extend the term of the current Phase III EE&amp;C Programs implemented by the subject Electric Distribution Companies</w:t>
      </w:r>
      <w:r w:rsidR="00676D82">
        <w:rPr>
          <w:bCs/>
          <w:sz w:val="26"/>
          <w:szCs w:val="26"/>
        </w:rPr>
        <w:t xml:space="preserve"> (EDCs)</w:t>
      </w:r>
      <w:r w:rsidR="00F567B2">
        <w:rPr>
          <w:bCs/>
          <w:sz w:val="26"/>
          <w:szCs w:val="26"/>
        </w:rPr>
        <w:t>;</w:t>
      </w:r>
      <w:r w:rsidR="0000666F">
        <w:rPr>
          <w:bCs/>
          <w:sz w:val="26"/>
          <w:szCs w:val="26"/>
        </w:rPr>
        <w:t xml:space="preserve"> (3)</w:t>
      </w:r>
      <w:r w:rsidR="00FC14E3">
        <w:rPr>
          <w:bCs/>
          <w:sz w:val="26"/>
          <w:szCs w:val="26"/>
        </w:rPr>
        <w:t xml:space="preserve"> require</w:t>
      </w:r>
      <w:r w:rsidR="00FC14E3" w:rsidRPr="00FC14E3">
        <w:rPr>
          <w:sz w:val="30"/>
          <w:szCs w:val="30"/>
        </w:rPr>
        <w:t xml:space="preserve"> </w:t>
      </w:r>
      <w:r w:rsidR="00FC14E3" w:rsidRPr="00FC14E3">
        <w:rPr>
          <w:bCs/>
          <w:sz w:val="26"/>
          <w:szCs w:val="26"/>
        </w:rPr>
        <w:t xml:space="preserve">Act 129-subject </w:t>
      </w:r>
      <w:r w:rsidR="00676D82">
        <w:rPr>
          <w:bCs/>
          <w:sz w:val="26"/>
          <w:szCs w:val="26"/>
        </w:rPr>
        <w:t>EDCs</w:t>
      </w:r>
      <w:r w:rsidR="00FC14E3" w:rsidRPr="00FC14E3">
        <w:rPr>
          <w:bCs/>
          <w:sz w:val="26"/>
          <w:szCs w:val="26"/>
        </w:rPr>
        <w:t xml:space="preserve"> to immediately,</w:t>
      </w:r>
      <w:r w:rsidR="00AD49D0">
        <w:rPr>
          <w:bCs/>
          <w:sz w:val="26"/>
          <w:szCs w:val="26"/>
        </w:rPr>
        <w:t xml:space="preserve"> </w:t>
      </w:r>
      <w:r w:rsidR="00FC14E3" w:rsidRPr="00FC14E3">
        <w:rPr>
          <w:bCs/>
          <w:sz w:val="26"/>
          <w:szCs w:val="26"/>
        </w:rPr>
        <w:t>and in conjunction with the extension of Phase III EE&amp;C programs, reduce all EE&amp;C surcharges imposed on customers by a minimum of fifty percent for the duration of the Phase III program</w:t>
      </w:r>
      <w:r w:rsidR="00C411D9" w:rsidRPr="00E0667D">
        <w:rPr>
          <w:bCs/>
          <w:sz w:val="26"/>
          <w:szCs w:val="26"/>
        </w:rPr>
        <w:t>;</w:t>
      </w:r>
      <w:r w:rsidR="00A85E87" w:rsidRPr="00E0667D">
        <w:rPr>
          <w:bCs/>
          <w:sz w:val="26"/>
          <w:szCs w:val="26"/>
        </w:rPr>
        <w:t xml:space="preserve"> (4)</w:t>
      </w:r>
      <w:r w:rsidR="00F6743E" w:rsidRPr="00E0667D">
        <w:rPr>
          <w:bCs/>
          <w:sz w:val="26"/>
          <w:szCs w:val="26"/>
        </w:rPr>
        <w:t xml:space="preserve"> </w:t>
      </w:r>
      <w:r w:rsidR="00C411D9" w:rsidRPr="00E0667D">
        <w:rPr>
          <w:bCs/>
          <w:sz w:val="26"/>
          <w:szCs w:val="26"/>
        </w:rPr>
        <w:t>m</w:t>
      </w:r>
      <w:r w:rsidR="00F6743E" w:rsidRPr="00E0667D">
        <w:rPr>
          <w:bCs/>
          <w:sz w:val="26"/>
          <w:szCs w:val="26"/>
        </w:rPr>
        <w:t>andat</w:t>
      </w:r>
      <w:r w:rsidR="00C411D9" w:rsidRPr="00E0667D">
        <w:rPr>
          <w:bCs/>
          <w:sz w:val="26"/>
          <w:szCs w:val="26"/>
        </w:rPr>
        <w:t>e</w:t>
      </w:r>
      <w:r w:rsidR="00F6743E" w:rsidRPr="00E0667D">
        <w:rPr>
          <w:bCs/>
          <w:sz w:val="26"/>
          <w:szCs w:val="26"/>
        </w:rPr>
        <w:t xml:space="preserve"> that all Phase III projects under progress or planned for future implementation on behalf of individual customers be completed or commences as soon as is feasible under each </w:t>
      </w:r>
      <w:r w:rsidR="00C22D56">
        <w:rPr>
          <w:bCs/>
          <w:sz w:val="26"/>
          <w:szCs w:val="26"/>
        </w:rPr>
        <w:t>EDC’s</w:t>
      </w:r>
      <w:r w:rsidR="00F6743E" w:rsidRPr="00E0667D">
        <w:rPr>
          <w:bCs/>
          <w:sz w:val="26"/>
          <w:szCs w:val="26"/>
        </w:rPr>
        <w:t xml:space="preserve"> existing Phase III program</w:t>
      </w:r>
      <w:r w:rsidR="00C411D9" w:rsidRPr="00E0667D">
        <w:rPr>
          <w:bCs/>
          <w:sz w:val="26"/>
          <w:szCs w:val="26"/>
        </w:rPr>
        <w:t xml:space="preserve">; </w:t>
      </w:r>
      <w:r w:rsidR="00A85E87" w:rsidRPr="00E0667D">
        <w:rPr>
          <w:bCs/>
          <w:sz w:val="26"/>
          <w:szCs w:val="26"/>
        </w:rPr>
        <w:t>and (5)</w:t>
      </w:r>
      <w:r w:rsidR="00A85E87" w:rsidRPr="00FC14E3">
        <w:rPr>
          <w:bCs/>
          <w:sz w:val="26"/>
          <w:szCs w:val="26"/>
        </w:rPr>
        <w:t xml:space="preserve"> </w:t>
      </w:r>
      <w:r w:rsidR="009F7E94" w:rsidRPr="009F7E94">
        <w:rPr>
          <w:bCs/>
          <w:sz w:val="26"/>
          <w:szCs w:val="26"/>
        </w:rPr>
        <w:t xml:space="preserve">suspend the penalties applicable to all </w:t>
      </w:r>
      <w:r w:rsidR="00C22D56">
        <w:rPr>
          <w:bCs/>
          <w:sz w:val="26"/>
          <w:szCs w:val="26"/>
        </w:rPr>
        <w:t>EDCs subject to Act 129</w:t>
      </w:r>
      <w:r w:rsidR="009F7E94" w:rsidRPr="009F7E94">
        <w:rPr>
          <w:bCs/>
          <w:sz w:val="26"/>
          <w:szCs w:val="26"/>
        </w:rPr>
        <w:t xml:space="preserve"> for </w:t>
      </w:r>
      <w:r w:rsidR="009F7E94" w:rsidRPr="009F7E94">
        <w:rPr>
          <w:bCs/>
          <w:sz w:val="26"/>
          <w:szCs w:val="26"/>
        </w:rPr>
        <w:lastRenderedPageBreak/>
        <w:t>failure to achieve the Phase III energy and peak demand targets through the duration of the extended Phase III programs</w:t>
      </w:r>
      <w:r w:rsidR="009F7E94">
        <w:rPr>
          <w:bCs/>
          <w:sz w:val="26"/>
          <w:szCs w:val="26"/>
        </w:rPr>
        <w:t xml:space="preserve">. </w:t>
      </w:r>
      <w:r w:rsidR="00E42DC4">
        <w:rPr>
          <w:bCs/>
          <w:sz w:val="26"/>
          <w:szCs w:val="26"/>
        </w:rPr>
        <w:t xml:space="preserve"> </w:t>
      </w:r>
      <w:r w:rsidR="00E648D7">
        <w:rPr>
          <w:bCs/>
          <w:sz w:val="26"/>
          <w:szCs w:val="26"/>
        </w:rPr>
        <w:t>W</w:t>
      </w:r>
      <w:r w:rsidR="006F0077">
        <w:rPr>
          <w:bCs/>
          <w:sz w:val="26"/>
          <w:szCs w:val="26"/>
        </w:rPr>
        <w:t xml:space="preserve">e will </w:t>
      </w:r>
      <w:r w:rsidR="00E42DC4">
        <w:rPr>
          <w:bCs/>
          <w:sz w:val="26"/>
          <w:szCs w:val="26"/>
        </w:rPr>
        <w:t xml:space="preserve">treat </w:t>
      </w:r>
      <w:r w:rsidR="00C25DBA" w:rsidRPr="00C25DBA">
        <w:rPr>
          <w:bCs/>
          <w:sz w:val="26"/>
          <w:szCs w:val="26"/>
        </w:rPr>
        <w:t>IECPA</w:t>
      </w:r>
      <w:r w:rsidRPr="00C25DBA">
        <w:rPr>
          <w:bCs/>
          <w:sz w:val="26"/>
          <w:szCs w:val="26"/>
        </w:rPr>
        <w:t>’s Petition</w:t>
      </w:r>
      <w:r w:rsidR="00E42DC4">
        <w:rPr>
          <w:bCs/>
          <w:sz w:val="26"/>
          <w:szCs w:val="26"/>
        </w:rPr>
        <w:t xml:space="preserve"> as a </w:t>
      </w:r>
      <w:r w:rsidR="00072F49" w:rsidRPr="00072F49">
        <w:rPr>
          <w:bCs/>
          <w:sz w:val="26"/>
          <w:szCs w:val="26"/>
        </w:rPr>
        <w:t>petition for amendment or recession of a Commission order, pursuant to Section 703(g) of the Public Utility Code</w:t>
      </w:r>
      <w:r w:rsidR="00396AAD">
        <w:rPr>
          <w:bCs/>
          <w:sz w:val="26"/>
          <w:szCs w:val="26"/>
        </w:rPr>
        <w:t xml:space="preserve"> and, f</w:t>
      </w:r>
      <w:r w:rsidR="00E648D7" w:rsidRPr="00E648D7">
        <w:rPr>
          <w:bCs/>
          <w:sz w:val="26"/>
          <w:szCs w:val="26"/>
        </w:rPr>
        <w:t xml:space="preserve">or the reasons stated herein, </w:t>
      </w:r>
      <w:r w:rsidR="00072F49">
        <w:rPr>
          <w:bCs/>
          <w:sz w:val="26"/>
          <w:szCs w:val="26"/>
        </w:rPr>
        <w:t>deny it in i</w:t>
      </w:r>
      <w:r w:rsidR="00E13786">
        <w:rPr>
          <w:bCs/>
          <w:sz w:val="26"/>
          <w:szCs w:val="26"/>
        </w:rPr>
        <w:t>t</w:t>
      </w:r>
      <w:r w:rsidR="00072F49">
        <w:rPr>
          <w:bCs/>
          <w:sz w:val="26"/>
          <w:szCs w:val="26"/>
        </w:rPr>
        <w:t>s entirety.</w:t>
      </w:r>
    </w:p>
    <w:p w14:paraId="33F74C96" w14:textId="77777777" w:rsidR="00640612" w:rsidRPr="00CE17F2" w:rsidRDefault="00640612">
      <w:pPr>
        <w:pStyle w:val="p3"/>
        <w:spacing w:line="360" w:lineRule="auto"/>
        <w:rPr>
          <w:bCs/>
          <w:color w:val="FF0000"/>
          <w:sz w:val="26"/>
          <w:szCs w:val="26"/>
        </w:rPr>
      </w:pPr>
    </w:p>
    <w:p w14:paraId="33F74C97" w14:textId="77777777" w:rsidR="00640612" w:rsidRPr="00BB3113" w:rsidRDefault="00931B44">
      <w:pPr>
        <w:pStyle w:val="p3"/>
        <w:keepNext/>
        <w:keepLines/>
        <w:spacing w:line="360" w:lineRule="auto"/>
        <w:jc w:val="center"/>
        <w:rPr>
          <w:b/>
          <w:sz w:val="26"/>
          <w:szCs w:val="26"/>
        </w:rPr>
      </w:pPr>
      <w:r w:rsidRPr="00BB3113">
        <w:rPr>
          <w:b/>
          <w:sz w:val="26"/>
          <w:szCs w:val="26"/>
        </w:rPr>
        <w:t>BACKGROUND</w:t>
      </w:r>
    </w:p>
    <w:p w14:paraId="33F74C98" w14:textId="77777777" w:rsidR="00640612" w:rsidRPr="00BB3113" w:rsidRDefault="00640612">
      <w:pPr>
        <w:pStyle w:val="p3"/>
        <w:keepNext/>
        <w:keepLines/>
        <w:rPr>
          <w:b/>
          <w:sz w:val="26"/>
          <w:szCs w:val="26"/>
        </w:rPr>
      </w:pPr>
    </w:p>
    <w:p w14:paraId="33F74C99" w14:textId="64408C39" w:rsidR="00640612" w:rsidRPr="00783181" w:rsidRDefault="00931B44">
      <w:pPr>
        <w:keepNext/>
        <w:keepLines/>
        <w:overflowPunct/>
        <w:autoSpaceDE/>
        <w:spacing w:line="360" w:lineRule="auto"/>
        <w:textAlignment w:val="auto"/>
        <w:rPr>
          <w:b/>
          <w:bCs/>
          <w:i/>
          <w:iCs/>
          <w:sz w:val="26"/>
          <w:szCs w:val="26"/>
        </w:rPr>
      </w:pPr>
      <w:r w:rsidRPr="00BB3113">
        <w:rPr>
          <w:b/>
          <w:bCs/>
          <w:sz w:val="26"/>
          <w:szCs w:val="26"/>
        </w:rPr>
        <w:t>Act 129</w:t>
      </w:r>
      <w:r w:rsidR="00783181">
        <w:rPr>
          <w:b/>
          <w:bCs/>
          <w:sz w:val="26"/>
          <w:szCs w:val="26"/>
        </w:rPr>
        <w:t xml:space="preserve"> and </w:t>
      </w:r>
      <w:r w:rsidR="00783181" w:rsidRPr="0076132C">
        <w:rPr>
          <w:b/>
          <w:bCs/>
          <w:sz w:val="26"/>
          <w:szCs w:val="26"/>
        </w:rPr>
        <w:t xml:space="preserve">Phase IV </w:t>
      </w:r>
      <w:r w:rsidR="0076132C" w:rsidRPr="0076132C">
        <w:rPr>
          <w:b/>
          <w:bCs/>
          <w:sz w:val="26"/>
          <w:szCs w:val="26"/>
        </w:rPr>
        <w:t>E</w:t>
      </w:r>
      <w:r w:rsidR="006A3088">
        <w:rPr>
          <w:b/>
          <w:bCs/>
          <w:sz w:val="26"/>
          <w:szCs w:val="26"/>
        </w:rPr>
        <w:t xml:space="preserve">nergy </w:t>
      </w:r>
      <w:r w:rsidR="0076132C" w:rsidRPr="0076132C">
        <w:rPr>
          <w:b/>
          <w:bCs/>
          <w:sz w:val="26"/>
          <w:szCs w:val="26"/>
        </w:rPr>
        <w:t>E</w:t>
      </w:r>
      <w:r w:rsidR="006A3088">
        <w:rPr>
          <w:b/>
          <w:bCs/>
          <w:sz w:val="26"/>
          <w:szCs w:val="26"/>
        </w:rPr>
        <w:t xml:space="preserve">fficiency </w:t>
      </w:r>
      <w:r w:rsidR="0076132C" w:rsidRPr="0076132C">
        <w:rPr>
          <w:b/>
          <w:bCs/>
          <w:sz w:val="26"/>
          <w:szCs w:val="26"/>
        </w:rPr>
        <w:t>&amp;</w:t>
      </w:r>
      <w:r w:rsidR="006A3088">
        <w:rPr>
          <w:b/>
          <w:bCs/>
          <w:sz w:val="26"/>
          <w:szCs w:val="26"/>
        </w:rPr>
        <w:t xml:space="preserve"> </w:t>
      </w:r>
      <w:r w:rsidR="0076132C" w:rsidRPr="0076132C">
        <w:rPr>
          <w:b/>
          <w:bCs/>
          <w:sz w:val="26"/>
          <w:szCs w:val="26"/>
        </w:rPr>
        <w:t>C</w:t>
      </w:r>
      <w:r w:rsidR="006A3088">
        <w:rPr>
          <w:b/>
          <w:bCs/>
          <w:sz w:val="26"/>
          <w:szCs w:val="26"/>
        </w:rPr>
        <w:t xml:space="preserve">onservation </w:t>
      </w:r>
      <w:r w:rsidR="00596BA7">
        <w:rPr>
          <w:b/>
          <w:bCs/>
          <w:sz w:val="26"/>
          <w:szCs w:val="26"/>
        </w:rPr>
        <w:t>Plan</w:t>
      </w:r>
    </w:p>
    <w:p w14:paraId="33F74C9A" w14:textId="52F57D33" w:rsidR="00640612" w:rsidRPr="00BB3113" w:rsidRDefault="002F0258">
      <w:pPr>
        <w:overflowPunct/>
        <w:autoSpaceDE/>
        <w:spacing w:line="360" w:lineRule="auto"/>
        <w:ind w:firstLine="720"/>
        <w:textAlignment w:val="auto"/>
        <w:rPr>
          <w:sz w:val="26"/>
          <w:szCs w:val="26"/>
        </w:rPr>
      </w:pPr>
      <w:r w:rsidRPr="00BB3113">
        <w:rPr>
          <w:sz w:val="26"/>
          <w:szCs w:val="26"/>
        </w:rPr>
        <w:t xml:space="preserve">Act 129 of 2008 (the Act or Act 129) was signed into law on </w:t>
      </w:r>
      <w:r w:rsidR="00C67B18" w:rsidRPr="00BB3113">
        <w:rPr>
          <w:sz w:val="26"/>
          <w:szCs w:val="26"/>
        </w:rPr>
        <w:t>October 15, 2008 and</w:t>
      </w:r>
      <w:r w:rsidRPr="00BB3113">
        <w:rPr>
          <w:sz w:val="26"/>
          <w:szCs w:val="26"/>
        </w:rPr>
        <w:t xml:space="preserve"> became effective on November 14, 2008</w:t>
      </w:r>
      <w:r w:rsidR="00437577">
        <w:rPr>
          <w:sz w:val="26"/>
          <w:szCs w:val="26"/>
        </w:rPr>
        <w:t xml:space="preserve">. </w:t>
      </w:r>
      <w:r w:rsidR="00931B44" w:rsidRPr="00BB3113">
        <w:rPr>
          <w:sz w:val="26"/>
          <w:szCs w:val="26"/>
        </w:rPr>
        <w:t xml:space="preserve"> </w:t>
      </w:r>
      <w:r w:rsidR="00437577">
        <w:rPr>
          <w:sz w:val="26"/>
          <w:szCs w:val="26"/>
        </w:rPr>
        <w:t>A</w:t>
      </w:r>
      <w:r w:rsidR="00931B44" w:rsidRPr="00BB3113">
        <w:rPr>
          <w:sz w:val="26"/>
          <w:szCs w:val="26"/>
        </w:rPr>
        <w:t>mong other things,</w:t>
      </w:r>
      <w:r w:rsidR="00437577">
        <w:rPr>
          <w:sz w:val="26"/>
          <w:szCs w:val="26"/>
        </w:rPr>
        <w:t xml:space="preserve"> Act 129</w:t>
      </w:r>
      <w:r w:rsidR="00931B44" w:rsidRPr="00BB3113">
        <w:rPr>
          <w:sz w:val="26"/>
          <w:szCs w:val="26"/>
        </w:rPr>
        <w:t xml:space="preserve"> created Section 2806.1 of the Public Utility Code (Code), 66 Pa. C.S. § 2806.1.  In relevant part, Section 2806.1(d)(2) required the Commission to set additional reductions in peak demand if such reductions are cost-effective.  66 Pa. C.S. § 2806.1(d)(2).  EDCs that fail to achieve these reductions in consumption are subject to a civil penalty not less than $1 million and up to $20 million.  66 Pa. C.S. § 2806.1(f)(2).</w:t>
      </w:r>
      <w:r w:rsidR="00081BB4">
        <w:rPr>
          <w:rStyle w:val="FootnoteReference"/>
          <w:sz w:val="26"/>
          <w:szCs w:val="26"/>
        </w:rPr>
        <w:footnoteReference w:id="3"/>
      </w:r>
    </w:p>
    <w:p w14:paraId="33F74C9B" w14:textId="77777777" w:rsidR="00640612" w:rsidRPr="00BB3113" w:rsidRDefault="00640612">
      <w:pPr>
        <w:overflowPunct/>
        <w:autoSpaceDE/>
        <w:spacing w:line="360" w:lineRule="auto"/>
        <w:ind w:firstLine="720"/>
        <w:textAlignment w:val="auto"/>
        <w:rPr>
          <w:sz w:val="26"/>
          <w:szCs w:val="26"/>
        </w:rPr>
      </w:pPr>
    </w:p>
    <w:p w14:paraId="13C7D97E" w14:textId="65C11E31" w:rsidR="009A263F" w:rsidRDefault="00A77C3C" w:rsidP="00315AD6">
      <w:pPr>
        <w:spacing w:line="360" w:lineRule="auto"/>
        <w:rPr>
          <w:color w:val="FF0000"/>
          <w:sz w:val="26"/>
          <w:szCs w:val="26"/>
        </w:rPr>
      </w:pPr>
      <w:r>
        <w:rPr>
          <w:sz w:val="26"/>
          <w:szCs w:val="26"/>
        </w:rPr>
        <w:tab/>
      </w:r>
      <w:r w:rsidR="0008740A" w:rsidRPr="0008740A">
        <w:rPr>
          <w:sz w:val="26"/>
          <w:szCs w:val="26"/>
        </w:rPr>
        <w:t xml:space="preserve">As explained in the Tentative Implementation Order </w:t>
      </w:r>
      <w:r>
        <w:rPr>
          <w:sz w:val="26"/>
          <w:szCs w:val="26"/>
        </w:rPr>
        <w:t xml:space="preserve">we </w:t>
      </w:r>
      <w:r w:rsidR="00921FB0">
        <w:rPr>
          <w:sz w:val="26"/>
          <w:szCs w:val="26"/>
        </w:rPr>
        <w:t xml:space="preserve">issued </w:t>
      </w:r>
      <w:r w:rsidR="00FB76CE">
        <w:rPr>
          <w:sz w:val="26"/>
          <w:szCs w:val="26"/>
        </w:rPr>
        <w:t xml:space="preserve">on March 12, 2020 </w:t>
      </w:r>
      <w:r w:rsidR="00921FB0">
        <w:rPr>
          <w:sz w:val="26"/>
          <w:szCs w:val="26"/>
        </w:rPr>
        <w:t>at</w:t>
      </w:r>
      <w:r w:rsidR="0008740A" w:rsidRPr="0008740A">
        <w:rPr>
          <w:sz w:val="26"/>
          <w:szCs w:val="26"/>
        </w:rPr>
        <w:t xml:space="preserve"> Docket No. M-2020-3015228 (</w:t>
      </w:r>
      <w:r w:rsidR="00921FB0" w:rsidRPr="00921FB0">
        <w:rPr>
          <w:i/>
          <w:iCs/>
          <w:sz w:val="26"/>
          <w:szCs w:val="26"/>
        </w:rPr>
        <w:t xml:space="preserve">Phase IV </w:t>
      </w:r>
      <w:r w:rsidR="0008740A" w:rsidRPr="00921FB0">
        <w:rPr>
          <w:i/>
          <w:iCs/>
          <w:sz w:val="26"/>
          <w:szCs w:val="26"/>
        </w:rPr>
        <w:t>Tentative Implementation Order</w:t>
      </w:r>
      <w:r w:rsidR="0008740A" w:rsidRPr="0008740A">
        <w:rPr>
          <w:sz w:val="26"/>
          <w:szCs w:val="26"/>
        </w:rPr>
        <w:t xml:space="preserve">), the Statewide Evaluator (SWE) submitted its final </w:t>
      </w:r>
      <w:r w:rsidR="0008740A" w:rsidRPr="001A2A2D">
        <w:rPr>
          <w:i/>
          <w:iCs/>
          <w:sz w:val="26"/>
          <w:szCs w:val="26"/>
        </w:rPr>
        <w:t xml:space="preserve">Pennsylvania Act 129 Phase IV Energy Efficiency and Peak Demand Reduction Market Potential Study </w:t>
      </w:r>
      <w:r w:rsidR="00B41CD2">
        <w:rPr>
          <w:i/>
          <w:iCs/>
          <w:sz w:val="26"/>
          <w:szCs w:val="26"/>
        </w:rPr>
        <w:t xml:space="preserve">(EEPDR) </w:t>
      </w:r>
      <w:r w:rsidR="0008740A" w:rsidRPr="001A2A2D">
        <w:rPr>
          <w:i/>
          <w:iCs/>
          <w:sz w:val="26"/>
          <w:szCs w:val="26"/>
        </w:rPr>
        <w:t xml:space="preserve">and Pennsylvania Act 129 Phase IV Demand Response </w:t>
      </w:r>
      <w:r w:rsidR="00C923BB">
        <w:rPr>
          <w:i/>
          <w:iCs/>
          <w:sz w:val="26"/>
          <w:szCs w:val="26"/>
        </w:rPr>
        <w:t xml:space="preserve">(DR) </w:t>
      </w:r>
      <w:r w:rsidR="0008740A" w:rsidRPr="001A2A2D">
        <w:rPr>
          <w:i/>
          <w:iCs/>
          <w:sz w:val="26"/>
          <w:szCs w:val="26"/>
        </w:rPr>
        <w:t>Potential Study</w:t>
      </w:r>
      <w:r w:rsidR="0008740A" w:rsidRPr="0008740A">
        <w:rPr>
          <w:sz w:val="26"/>
          <w:szCs w:val="26"/>
        </w:rPr>
        <w:t xml:space="preserve"> to the Commission on February 28, 2020, providing the SWE's evaluation and potential for additional cost</w:t>
      </w:r>
      <w:r w:rsidR="00B531D9">
        <w:rPr>
          <w:sz w:val="26"/>
          <w:szCs w:val="26"/>
        </w:rPr>
        <w:noBreakHyphen/>
      </w:r>
      <w:r w:rsidR="0008740A" w:rsidRPr="0008740A">
        <w:rPr>
          <w:sz w:val="26"/>
          <w:szCs w:val="26"/>
        </w:rPr>
        <w:t xml:space="preserve">effective incremental reductions in electric consumption and peak demand for </w:t>
      </w:r>
      <w:r w:rsidR="00B531D9" w:rsidRPr="0008740A">
        <w:rPr>
          <w:sz w:val="26"/>
          <w:szCs w:val="26"/>
        </w:rPr>
        <w:t>th</w:t>
      </w:r>
      <w:r w:rsidR="00B531D9">
        <w:rPr>
          <w:sz w:val="26"/>
          <w:szCs w:val="26"/>
        </w:rPr>
        <w:t>e</w:t>
      </w:r>
      <w:r w:rsidR="00B531D9" w:rsidRPr="0008740A">
        <w:rPr>
          <w:sz w:val="26"/>
          <w:szCs w:val="26"/>
        </w:rPr>
        <w:t xml:space="preserve"> </w:t>
      </w:r>
      <w:r w:rsidR="0008740A" w:rsidRPr="0008740A">
        <w:rPr>
          <w:sz w:val="26"/>
          <w:szCs w:val="26"/>
        </w:rPr>
        <w:t xml:space="preserve">five-year period of Phase IV EE&amp;C programs for EDCs subject to the requirements of Act 129. </w:t>
      </w:r>
      <w:r w:rsidR="006334AC">
        <w:rPr>
          <w:sz w:val="26"/>
          <w:szCs w:val="26"/>
        </w:rPr>
        <w:t xml:space="preserve"> </w:t>
      </w:r>
      <w:r w:rsidR="001A2A2D">
        <w:rPr>
          <w:sz w:val="26"/>
          <w:szCs w:val="26"/>
        </w:rPr>
        <w:t>T</w:t>
      </w:r>
      <w:r w:rsidR="0008740A" w:rsidRPr="0008740A">
        <w:rPr>
          <w:sz w:val="26"/>
          <w:szCs w:val="26"/>
        </w:rPr>
        <w:t>hat evaluation and assessment was based on 2018 baseline studies of electricity usage and electrical consuming equipment installed in Pennsylvania at that time, specifically using the Act 129 Pennsylvania</w:t>
      </w:r>
      <w:r w:rsidR="00B27871">
        <w:rPr>
          <w:sz w:val="26"/>
          <w:szCs w:val="26"/>
        </w:rPr>
        <w:noBreakHyphen/>
      </w:r>
      <w:r w:rsidR="0008740A" w:rsidRPr="0008740A">
        <w:rPr>
          <w:sz w:val="26"/>
          <w:szCs w:val="26"/>
        </w:rPr>
        <w:t xml:space="preserve">specific cost-effectiveness criteria and the most recent EDC avoided cost projections calculated according to the </w:t>
      </w:r>
      <w:r w:rsidR="0008740A" w:rsidRPr="0008740A">
        <w:rPr>
          <w:sz w:val="26"/>
          <w:szCs w:val="26"/>
        </w:rPr>
        <w:lastRenderedPageBreak/>
        <w:t xml:space="preserve">Commission's 2021 Total Resource Cost (TRC) Test Final Order. </w:t>
      </w:r>
      <w:r w:rsidR="006334AC">
        <w:rPr>
          <w:sz w:val="26"/>
          <w:szCs w:val="26"/>
        </w:rPr>
        <w:t xml:space="preserve"> </w:t>
      </w:r>
      <w:r w:rsidR="00921FB0" w:rsidRPr="00921FB0">
        <w:rPr>
          <w:i/>
          <w:iCs/>
          <w:sz w:val="26"/>
          <w:szCs w:val="26"/>
        </w:rPr>
        <w:t xml:space="preserve">Phase IV </w:t>
      </w:r>
      <w:r w:rsidR="0008740A" w:rsidRPr="00921FB0">
        <w:rPr>
          <w:i/>
          <w:iCs/>
          <w:sz w:val="26"/>
          <w:szCs w:val="26"/>
        </w:rPr>
        <w:t>Tentative Implementation Order</w:t>
      </w:r>
      <w:r w:rsidR="0008740A" w:rsidRPr="0008740A">
        <w:rPr>
          <w:sz w:val="26"/>
          <w:szCs w:val="26"/>
        </w:rPr>
        <w:t xml:space="preserve">, </w:t>
      </w:r>
      <w:r w:rsidR="006334AC">
        <w:rPr>
          <w:sz w:val="26"/>
          <w:szCs w:val="26"/>
        </w:rPr>
        <w:t>at</w:t>
      </w:r>
      <w:r w:rsidR="0008740A" w:rsidRPr="0008740A">
        <w:rPr>
          <w:sz w:val="26"/>
          <w:szCs w:val="26"/>
        </w:rPr>
        <w:t xml:space="preserve"> 9.</w:t>
      </w:r>
      <w:r w:rsidR="0005424F">
        <w:rPr>
          <w:sz w:val="26"/>
          <w:szCs w:val="26"/>
        </w:rPr>
        <w:t xml:space="preserve"> </w:t>
      </w:r>
    </w:p>
    <w:p w14:paraId="433BC673" w14:textId="77777777" w:rsidR="009A263F" w:rsidRPr="00CE17F2" w:rsidRDefault="009A263F">
      <w:pPr>
        <w:overflowPunct/>
        <w:autoSpaceDE/>
        <w:spacing w:line="360" w:lineRule="auto"/>
        <w:ind w:firstLine="720"/>
        <w:textAlignment w:val="auto"/>
        <w:rPr>
          <w:color w:val="FF0000"/>
          <w:sz w:val="26"/>
          <w:szCs w:val="26"/>
        </w:rPr>
      </w:pPr>
    </w:p>
    <w:p w14:paraId="33F74CA2" w14:textId="3A93A4EB" w:rsidR="00640612" w:rsidRPr="00CE17F2" w:rsidRDefault="00931B44">
      <w:pPr>
        <w:overflowPunct/>
        <w:autoSpaceDE/>
        <w:spacing w:line="360" w:lineRule="auto"/>
        <w:ind w:firstLine="720"/>
        <w:textAlignment w:val="auto"/>
        <w:rPr>
          <w:color w:val="FF0000"/>
          <w:sz w:val="26"/>
          <w:szCs w:val="26"/>
        </w:rPr>
      </w:pPr>
      <w:r w:rsidRPr="002022AA">
        <w:rPr>
          <w:sz w:val="26"/>
          <w:szCs w:val="26"/>
        </w:rPr>
        <w:t xml:space="preserve">On </w:t>
      </w:r>
      <w:r w:rsidR="00981E31" w:rsidRPr="002022AA">
        <w:rPr>
          <w:sz w:val="26"/>
          <w:szCs w:val="26"/>
        </w:rPr>
        <w:t>April 22</w:t>
      </w:r>
      <w:r w:rsidRPr="002022AA">
        <w:rPr>
          <w:sz w:val="26"/>
          <w:szCs w:val="26"/>
        </w:rPr>
        <w:t xml:space="preserve">, 2020, </w:t>
      </w:r>
      <w:r w:rsidR="00D27751" w:rsidRPr="002022AA">
        <w:rPr>
          <w:sz w:val="26"/>
          <w:szCs w:val="26"/>
        </w:rPr>
        <w:t xml:space="preserve">IECPA </w:t>
      </w:r>
      <w:r w:rsidRPr="002022AA">
        <w:rPr>
          <w:bCs/>
          <w:sz w:val="26"/>
          <w:szCs w:val="26"/>
        </w:rPr>
        <w:t xml:space="preserve">filed the instant Petition for </w:t>
      </w:r>
      <w:r w:rsidR="00D27751" w:rsidRPr="002022AA">
        <w:rPr>
          <w:bCs/>
          <w:sz w:val="26"/>
          <w:szCs w:val="26"/>
        </w:rPr>
        <w:t>the issuance of a declaratory order</w:t>
      </w:r>
      <w:r w:rsidRPr="002022AA">
        <w:rPr>
          <w:bCs/>
          <w:sz w:val="26"/>
          <w:szCs w:val="26"/>
        </w:rPr>
        <w:t>.</w:t>
      </w:r>
      <w:r w:rsidR="00E120CA" w:rsidRPr="002022AA">
        <w:rPr>
          <w:bCs/>
          <w:sz w:val="26"/>
          <w:szCs w:val="26"/>
        </w:rPr>
        <w:t xml:space="preserve">  This Petition was filed on behalf of </w:t>
      </w:r>
      <w:r w:rsidR="00981E31" w:rsidRPr="002022AA">
        <w:rPr>
          <w:bCs/>
          <w:sz w:val="26"/>
          <w:szCs w:val="26"/>
        </w:rPr>
        <w:t>IECPA</w:t>
      </w:r>
      <w:r w:rsidR="00E120CA" w:rsidRPr="002022AA">
        <w:rPr>
          <w:bCs/>
          <w:sz w:val="26"/>
          <w:szCs w:val="26"/>
        </w:rPr>
        <w:t xml:space="preserve">’s member companies and </w:t>
      </w:r>
      <w:r w:rsidR="002D47C3">
        <w:rPr>
          <w:bCs/>
          <w:sz w:val="26"/>
          <w:szCs w:val="26"/>
        </w:rPr>
        <w:t xml:space="preserve">represented that it </w:t>
      </w:r>
      <w:r w:rsidR="00E120CA" w:rsidRPr="002022AA">
        <w:rPr>
          <w:bCs/>
          <w:sz w:val="26"/>
          <w:szCs w:val="26"/>
        </w:rPr>
        <w:t xml:space="preserve">was served on </w:t>
      </w:r>
      <w:r w:rsidR="00E120CA" w:rsidRPr="002B1D5C">
        <w:rPr>
          <w:bCs/>
          <w:sz w:val="26"/>
          <w:szCs w:val="26"/>
        </w:rPr>
        <w:t xml:space="preserve">all </w:t>
      </w:r>
      <w:r w:rsidR="00A5483D" w:rsidRPr="002B1D5C">
        <w:rPr>
          <w:bCs/>
          <w:sz w:val="26"/>
          <w:szCs w:val="26"/>
        </w:rPr>
        <w:t>necessary statutory parties, and certain identifiable parties of interest from other similar or related proceedings</w:t>
      </w:r>
      <w:r w:rsidR="00E120CA" w:rsidRPr="002B1D5C">
        <w:rPr>
          <w:bCs/>
          <w:sz w:val="26"/>
          <w:szCs w:val="26"/>
        </w:rPr>
        <w:t>.</w:t>
      </w:r>
      <w:r w:rsidR="002022AA" w:rsidRPr="002B1D5C">
        <w:rPr>
          <w:bCs/>
          <w:sz w:val="26"/>
          <w:szCs w:val="26"/>
        </w:rPr>
        <w:t xml:space="preserve"> </w:t>
      </w:r>
    </w:p>
    <w:p w14:paraId="2B5AE7BC" w14:textId="6CE2E895" w:rsidR="00246651" w:rsidRPr="00AE4967" w:rsidRDefault="00D561E0">
      <w:pPr>
        <w:overflowPunct/>
        <w:autoSpaceDE/>
        <w:spacing w:line="360" w:lineRule="auto"/>
        <w:ind w:firstLine="720"/>
        <w:textAlignment w:val="auto"/>
        <w:rPr>
          <w:sz w:val="26"/>
          <w:szCs w:val="26"/>
        </w:rPr>
      </w:pPr>
      <w:r>
        <w:rPr>
          <w:color w:val="FF0000"/>
          <w:sz w:val="26"/>
          <w:szCs w:val="26"/>
        </w:rPr>
        <w:br/>
      </w:r>
      <w:r w:rsidR="00A117EF">
        <w:rPr>
          <w:color w:val="FF0000"/>
          <w:sz w:val="26"/>
          <w:szCs w:val="26"/>
        </w:rPr>
        <w:tab/>
      </w:r>
      <w:bookmarkStart w:id="5" w:name="_Hlk49440288"/>
      <w:r w:rsidR="008947A5">
        <w:rPr>
          <w:sz w:val="26"/>
          <w:szCs w:val="26"/>
        </w:rPr>
        <w:t>Answers</w:t>
      </w:r>
      <w:r w:rsidR="00A117EF" w:rsidRPr="00AE4967">
        <w:rPr>
          <w:sz w:val="26"/>
          <w:szCs w:val="26"/>
        </w:rPr>
        <w:t xml:space="preserve"> were filed by</w:t>
      </w:r>
      <w:r w:rsidR="008947A5" w:rsidRPr="008947A5">
        <w:rPr>
          <w:sz w:val="26"/>
          <w:szCs w:val="26"/>
        </w:rPr>
        <w:t xml:space="preserve"> </w:t>
      </w:r>
      <w:r w:rsidR="00BE18F4">
        <w:rPr>
          <w:sz w:val="26"/>
          <w:szCs w:val="26"/>
        </w:rPr>
        <w:t xml:space="preserve">the </w:t>
      </w:r>
      <w:r w:rsidR="008947A5" w:rsidRPr="008947A5">
        <w:rPr>
          <w:sz w:val="26"/>
          <w:szCs w:val="26"/>
        </w:rPr>
        <w:t>Building Performance Association (BPA)</w:t>
      </w:r>
      <w:r w:rsidR="00E3304D">
        <w:rPr>
          <w:sz w:val="26"/>
          <w:szCs w:val="26"/>
        </w:rPr>
        <w:t>;</w:t>
      </w:r>
      <w:r w:rsidR="008947A5" w:rsidRPr="008947A5">
        <w:rPr>
          <w:sz w:val="26"/>
          <w:szCs w:val="26"/>
        </w:rPr>
        <w:t xml:space="preserve"> the Coalition for Affordable Utility Services and Energy Efficiency in Pennsylvania (CAUSE-PA)</w:t>
      </w:r>
      <w:r w:rsidR="00E3304D">
        <w:rPr>
          <w:sz w:val="26"/>
          <w:szCs w:val="26"/>
        </w:rPr>
        <w:t xml:space="preserve">; </w:t>
      </w:r>
      <w:r w:rsidR="003066E1" w:rsidRPr="00E14ABE">
        <w:rPr>
          <w:sz w:val="26"/>
          <w:szCs w:val="26"/>
        </w:rPr>
        <w:t xml:space="preserve">Duquesne Light Company (DLC); </w:t>
      </w:r>
      <w:r w:rsidR="00C7256E" w:rsidRPr="00E14ABE">
        <w:rPr>
          <w:sz w:val="26"/>
          <w:szCs w:val="26"/>
        </w:rPr>
        <w:t xml:space="preserve">the Energy Efficiency Advocates (EEA); </w:t>
      </w:r>
      <w:r w:rsidR="003066E1" w:rsidRPr="00E14ABE">
        <w:rPr>
          <w:sz w:val="26"/>
          <w:szCs w:val="26"/>
        </w:rPr>
        <w:t xml:space="preserve">Metropolitan Edison Company, Pennsylvania Electric Company, Pennsylvania Power Company, and West Penn Power Company (collectively, FirstEnergy); </w:t>
      </w:r>
      <w:r w:rsidR="00672FD9" w:rsidRPr="00AE4967">
        <w:rPr>
          <w:sz w:val="26"/>
          <w:szCs w:val="26"/>
        </w:rPr>
        <w:t xml:space="preserve">the </w:t>
      </w:r>
      <w:r w:rsidR="00396AAD" w:rsidRPr="00AE4967">
        <w:rPr>
          <w:sz w:val="26"/>
          <w:szCs w:val="26"/>
        </w:rPr>
        <w:t>Pennsylvania</w:t>
      </w:r>
      <w:r w:rsidR="00672FD9" w:rsidRPr="00AE4967">
        <w:rPr>
          <w:sz w:val="26"/>
          <w:szCs w:val="26"/>
        </w:rPr>
        <w:t xml:space="preserve"> Energy Consumer Alliance</w:t>
      </w:r>
      <w:r w:rsidR="0005775F" w:rsidRPr="00AE4967">
        <w:rPr>
          <w:sz w:val="26"/>
          <w:szCs w:val="26"/>
        </w:rPr>
        <w:t xml:space="preserve">, Met-Ed Industrial Users Group, </w:t>
      </w:r>
      <w:proofErr w:type="spellStart"/>
      <w:r w:rsidR="0005775F" w:rsidRPr="00AE4967">
        <w:rPr>
          <w:sz w:val="26"/>
          <w:szCs w:val="26"/>
        </w:rPr>
        <w:t>Penelec</w:t>
      </w:r>
      <w:proofErr w:type="spellEnd"/>
      <w:r w:rsidR="0005775F" w:rsidRPr="00AE4967">
        <w:rPr>
          <w:sz w:val="26"/>
          <w:szCs w:val="26"/>
        </w:rPr>
        <w:t xml:space="preserve"> Industrial Consumer Alliance, Philadelphia Area Industrial Energy Users Group, PP&amp;L Industrial </w:t>
      </w:r>
      <w:r w:rsidR="0005775F" w:rsidRPr="00E14ABE">
        <w:rPr>
          <w:sz w:val="26"/>
          <w:szCs w:val="26"/>
        </w:rPr>
        <w:t xml:space="preserve">Customer Alliance, and West Penn Power Industrial Intervenors (collectively, Industrial Customers); </w:t>
      </w:r>
      <w:r w:rsidR="003066E1" w:rsidRPr="00E14ABE">
        <w:rPr>
          <w:sz w:val="26"/>
          <w:szCs w:val="26"/>
        </w:rPr>
        <w:t>Keystone Energy Efficiency Alliance (KEEA)</w:t>
      </w:r>
      <w:r w:rsidR="003066E1">
        <w:rPr>
          <w:sz w:val="26"/>
          <w:szCs w:val="26"/>
        </w:rPr>
        <w:t>;</w:t>
      </w:r>
      <w:r w:rsidR="003066E1" w:rsidRPr="00E14ABE">
        <w:rPr>
          <w:sz w:val="26"/>
          <w:szCs w:val="26"/>
        </w:rPr>
        <w:t xml:space="preserve"> </w:t>
      </w:r>
      <w:r w:rsidR="00E3304D" w:rsidRPr="00E3304D">
        <w:rPr>
          <w:sz w:val="26"/>
          <w:szCs w:val="26"/>
        </w:rPr>
        <w:t>the Office of Consumer Advocate (OCA)</w:t>
      </w:r>
      <w:r w:rsidR="00E3304D">
        <w:rPr>
          <w:sz w:val="26"/>
          <w:szCs w:val="26"/>
        </w:rPr>
        <w:t xml:space="preserve">; </w:t>
      </w:r>
      <w:r w:rsidR="003066E1" w:rsidRPr="00E14ABE">
        <w:rPr>
          <w:sz w:val="26"/>
          <w:szCs w:val="26"/>
        </w:rPr>
        <w:t>PECO Energy Company (PECO); PPL Electric Utilities Corporation (PPL);</w:t>
      </w:r>
      <w:r w:rsidR="003066E1">
        <w:rPr>
          <w:sz w:val="26"/>
          <w:szCs w:val="26"/>
        </w:rPr>
        <w:t xml:space="preserve"> and</w:t>
      </w:r>
      <w:r w:rsidR="003066E1" w:rsidRPr="00E14ABE">
        <w:rPr>
          <w:sz w:val="26"/>
          <w:szCs w:val="26"/>
        </w:rPr>
        <w:t xml:space="preserve"> </w:t>
      </w:r>
      <w:r w:rsidR="00CA6DE5" w:rsidRPr="00E14ABE">
        <w:rPr>
          <w:sz w:val="26"/>
          <w:szCs w:val="26"/>
        </w:rPr>
        <w:t>the Sustainable Energy Fund of Central Eastern Pennsylvania (</w:t>
      </w:r>
      <w:r w:rsidR="00BE18F4">
        <w:rPr>
          <w:sz w:val="26"/>
          <w:szCs w:val="26"/>
        </w:rPr>
        <w:t>SEF</w:t>
      </w:r>
      <w:r w:rsidR="00CA6DE5" w:rsidRPr="00E14ABE">
        <w:rPr>
          <w:sz w:val="26"/>
          <w:szCs w:val="26"/>
        </w:rPr>
        <w:t>)</w:t>
      </w:r>
      <w:bookmarkEnd w:id="5"/>
      <w:r w:rsidR="003066E1">
        <w:rPr>
          <w:sz w:val="26"/>
          <w:szCs w:val="26"/>
        </w:rPr>
        <w:t>.</w:t>
      </w:r>
      <w:r w:rsidR="00BE18F4">
        <w:rPr>
          <w:sz w:val="26"/>
          <w:szCs w:val="26"/>
        </w:rPr>
        <w:t xml:space="preserve">  </w:t>
      </w:r>
      <w:r w:rsidR="009F30F9">
        <w:rPr>
          <w:sz w:val="26"/>
          <w:szCs w:val="26"/>
        </w:rPr>
        <w:t>L</w:t>
      </w:r>
      <w:r w:rsidR="004D672B" w:rsidRPr="00AE4967">
        <w:rPr>
          <w:sz w:val="26"/>
          <w:szCs w:val="26"/>
        </w:rPr>
        <w:t>etter</w:t>
      </w:r>
      <w:r w:rsidR="0079301E" w:rsidRPr="00AE4967">
        <w:rPr>
          <w:sz w:val="26"/>
          <w:szCs w:val="26"/>
        </w:rPr>
        <w:t>s</w:t>
      </w:r>
      <w:r w:rsidR="004D672B" w:rsidRPr="00AE4967">
        <w:rPr>
          <w:sz w:val="26"/>
          <w:szCs w:val="26"/>
        </w:rPr>
        <w:t xml:space="preserve"> in opposition to the Petition </w:t>
      </w:r>
      <w:r w:rsidR="0079301E" w:rsidRPr="00AE4967">
        <w:rPr>
          <w:sz w:val="26"/>
          <w:szCs w:val="26"/>
        </w:rPr>
        <w:t>were</w:t>
      </w:r>
      <w:r w:rsidR="004D672B" w:rsidRPr="00AE4967">
        <w:rPr>
          <w:sz w:val="26"/>
          <w:szCs w:val="26"/>
        </w:rPr>
        <w:t xml:space="preserve"> filed by </w:t>
      </w:r>
      <w:r w:rsidR="00F4037A" w:rsidRPr="00AE4967">
        <w:rPr>
          <w:sz w:val="26"/>
          <w:szCs w:val="26"/>
        </w:rPr>
        <w:t xml:space="preserve">a group of seventeen (17) </w:t>
      </w:r>
      <w:r w:rsidR="00C5626B" w:rsidRPr="00AE4967">
        <w:rPr>
          <w:sz w:val="26"/>
          <w:szCs w:val="26"/>
        </w:rPr>
        <w:t>manufacturers, trade associations, large energy consumers, and service providers with a significant presence and investment interests</w:t>
      </w:r>
      <w:r w:rsidR="00A93C16" w:rsidRPr="00AE4967">
        <w:rPr>
          <w:sz w:val="26"/>
          <w:szCs w:val="26"/>
        </w:rPr>
        <w:t xml:space="preserve"> in Pennsylvania (AB Energy</w:t>
      </w:r>
      <w:r w:rsidR="00044FEF" w:rsidRPr="00AE4967">
        <w:rPr>
          <w:sz w:val="26"/>
          <w:szCs w:val="26"/>
        </w:rPr>
        <w:t>, et al.</w:t>
      </w:r>
      <w:r w:rsidR="00A93C16" w:rsidRPr="00AE4967">
        <w:rPr>
          <w:sz w:val="26"/>
          <w:szCs w:val="26"/>
        </w:rPr>
        <w:t>)</w:t>
      </w:r>
      <w:r w:rsidR="0079301E" w:rsidRPr="00AE4967">
        <w:rPr>
          <w:sz w:val="26"/>
          <w:szCs w:val="26"/>
        </w:rPr>
        <w:t>,</w:t>
      </w:r>
      <w:r w:rsidR="00A93C16" w:rsidRPr="00AE4967">
        <w:rPr>
          <w:sz w:val="26"/>
          <w:szCs w:val="26"/>
        </w:rPr>
        <w:t xml:space="preserve"> </w:t>
      </w:r>
      <w:r w:rsidR="0079301E" w:rsidRPr="00AE4967">
        <w:rPr>
          <w:sz w:val="26"/>
          <w:szCs w:val="26"/>
        </w:rPr>
        <w:t>and by Ceres.</w:t>
      </w:r>
      <w:r w:rsidR="008A7606">
        <w:rPr>
          <w:sz w:val="26"/>
          <w:szCs w:val="26"/>
        </w:rPr>
        <w:t xml:space="preserve">  </w:t>
      </w:r>
      <w:r w:rsidR="00C30525" w:rsidRPr="008947A5">
        <w:rPr>
          <w:sz w:val="26"/>
          <w:szCs w:val="26"/>
        </w:rPr>
        <w:t>BPA</w:t>
      </w:r>
      <w:r w:rsidR="00C30525">
        <w:rPr>
          <w:sz w:val="26"/>
          <w:szCs w:val="26"/>
        </w:rPr>
        <w:t xml:space="preserve"> filed </w:t>
      </w:r>
      <w:r w:rsidR="00246651" w:rsidRPr="00AE4967">
        <w:rPr>
          <w:sz w:val="26"/>
          <w:szCs w:val="26"/>
        </w:rPr>
        <w:t xml:space="preserve">Comments </w:t>
      </w:r>
      <w:r w:rsidR="009D57B6" w:rsidRPr="00AE4967">
        <w:rPr>
          <w:sz w:val="26"/>
          <w:szCs w:val="26"/>
        </w:rPr>
        <w:t xml:space="preserve">to the Petition </w:t>
      </w:r>
      <w:r w:rsidR="00C30525">
        <w:rPr>
          <w:sz w:val="26"/>
          <w:szCs w:val="26"/>
        </w:rPr>
        <w:t xml:space="preserve">on May 12, 2020 (BPA May 12 Comments) and June 18, 2020 (BPA June 18 Comments). </w:t>
      </w:r>
    </w:p>
    <w:p w14:paraId="23CE2F18" w14:textId="77777777" w:rsidR="000169E3" w:rsidRPr="00AE4967" w:rsidRDefault="000169E3">
      <w:pPr>
        <w:overflowPunct/>
        <w:autoSpaceDE/>
        <w:spacing w:line="360" w:lineRule="auto"/>
        <w:ind w:firstLine="720"/>
        <w:textAlignment w:val="auto"/>
        <w:rPr>
          <w:sz w:val="26"/>
          <w:szCs w:val="26"/>
        </w:rPr>
      </w:pPr>
    </w:p>
    <w:p w14:paraId="4CB445F8" w14:textId="6DEEBDF6" w:rsidR="002334FA" w:rsidRDefault="006B091F" w:rsidP="002334FA">
      <w:pPr>
        <w:overflowPunct/>
        <w:autoSpaceDE/>
        <w:spacing w:line="360" w:lineRule="auto"/>
        <w:ind w:firstLine="720"/>
        <w:textAlignment w:val="auto"/>
        <w:rPr>
          <w:sz w:val="26"/>
          <w:szCs w:val="26"/>
        </w:rPr>
      </w:pPr>
      <w:r w:rsidRPr="00AE4967">
        <w:rPr>
          <w:sz w:val="26"/>
          <w:szCs w:val="26"/>
        </w:rPr>
        <w:lastRenderedPageBreak/>
        <w:t xml:space="preserve">Petitions to intervene were filed by </w:t>
      </w:r>
      <w:r w:rsidRPr="00E14ABE">
        <w:rPr>
          <w:sz w:val="26"/>
          <w:szCs w:val="26"/>
        </w:rPr>
        <w:t>DLC</w:t>
      </w:r>
      <w:r>
        <w:rPr>
          <w:sz w:val="26"/>
          <w:szCs w:val="26"/>
        </w:rPr>
        <w:t>,</w:t>
      </w:r>
      <w:r w:rsidRPr="00E14ABE">
        <w:rPr>
          <w:sz w:val="26"/>
          <w:szCs w:val="26"/>
        </w:rPr>
        <w:t xml:space="preserve"> EEA</w:t>
      </w:r>
      <w:r>
        <w:rPr>
          <w:sz w:val="26"/>
          <w:szCs w:val="26"/>
        </w:rPr>
        <w:t xml:space="preserve">, </w:t>
      </w:r>
      <w:r w:rsidRPr="00E14ABE">
        <w:rPr>
          <w:sz w:val="26"/>
          <w:szCs w:val="26"/>
        </w:rPr>
        <w:t>FirstEnergy</w:t>
      </w:r>
      <w:r>
        <w:rPr>
          <w:sz w:val="26"/>
          <w:szCs w:val="26"/>
        </w:rPr>
        <w:t>,</w:t>
      </w:r>
      <w:r w:rsidRPr="00E14ABE">
        <w:rPr>
          <w:sz w:val="26"/>
          <w:szCs w:val="26"/>
        </w:rPr>
        <w:t xml:space="preserve"> </w:t>
      </w:r>
      <w:r w:rsidRPr="00AE4967">
        <w:rPr>
          <w:sz w:val="26"/>
          <w:szCs w:val="26"/>
        </w:rPr>
        <w:t xml:space="preserve">the </w:t>
      </w:r>
      <w:r w:rsidRPr="00E14ABE">
        <w:rPr>
          <w:sz w:val="26"/>
          <w:szCs w:val="26"/>
        </w:rPr>
        <w:t>Industrial Customers</w:t>
      </w:r>
      <w:r>
        <w:rPr>
          <w:sz w:val="26"/>
          <w:szCs w:val="26"/>
        </w:rPr>
        <w:t>,</w:t>
      </w:r>
      <w:r w:rsidRPr="00E14ABE">
        <w:rPr>
          <w:sz w:val="26"/>
          <w:szCs w:val="26"/>
        </w:rPr>
        <w:t xml:space="preserve"> KEEA</w:t>
      </w:r>
      <w:r>
        <w:rPr>
          <w:sz w:val="26"/>
          <w:szCs w:val="26"/>
        </w:rPr>
        <w:t>,</w:t>
      </w:r>
      <w:r w:rsidRPr="00E14ABE">
        <w:rPr>
          <w:sz w:val="26"/>
          <w:szCs w:val="26"/>
        </w:rPr>
        <w:t xml:space="preserve"> PECO</w:t>
      </w:r>
      <w:r>
        <w:rPr>
          <w:sz w:val="26"/>
          <w:szCs w:val="26"/>
        </w:rPr>
        <w:t xml:space="preserve">, </w:t>
      </w:r>
      <w:r w:rsidRPr="00E14ABE">
        <w:rPr>
          <w:sz w:val="26"/>
          <w:szCs w:val="26"/>
        </w:rPr>
        <w:t>PPL</w:t>
      </w:r>
      <w:r>
        <w:rPr>
          <w:sz w:val="26"/>
          <w:szCs w:val="26"/>
        </w:rPr>
        <w:t xml:space="preserve">, and </w:t>
      </w:r>
      <w:r w:rsidR="00654466">
        <w:rPr>
          <w:sz w:val="26"/>
          <w:szCs w:val="26"/>
        </w:rPr>
        <w:t>SEF</w:t>
      </w:r>
      <w:r>
        <w:rPr>
          <w:sz w:val="26"/>
          <w:szCs w:val="26"/>
        </w:rPr>
        <w:t xml:space="preserve">. </w:t>
      </w:r>
      <w:r w:rsidRPr="00AE4967">
        <w:rPr>
          <w:sz w:val="26"/>
          <w:szCs w:val="26"/>
        </w:rPr>
        <w:t xml:space="preserve"> </w:t>
      </w:r>
      <w:r w:rsidR="000169E3" w:rsidRPr="00AE4967">
        <w:rPr>
          <w:sz w:val="26"/>
          <w:szCs w:val="26"/>
        </w:rPr>
        <w:t>Motion</w:t>
      </w:r>
      <w:r w:rsidR="00DA5171" w:rsidRPr="00AE4967">
        <w:rPr>
          <w:sz w:val="26"/>
          <w:szCs w:val="26"/>
        </w:rPr>
        <w:t>s</w:t>
      </w:r>
      <w:r w:rsidR="000169E3" w:rsidRPr="00AE4967">
        <w:rPr>
          <w:sz w:val="26"/>
          <w:szCs w:val="26"/>
        </w:rPr>
        <w:t xml:space="preserve"> for Admission </w:t>
      </w:r>
      <w:r w:rsidR="000169E3" w:rsidRPr="00AE4967">
        <w:rPr>
          <w:i/>
          <w:iCs/>
          <w:sz w:val="26"/>
          <w:szCs w:val="26"/>
        </w:rPr>
        <w:t xml:space="preserve">Pro </w:t>
      </w:r>
      <w:proofErr w:type="spellStart"/>
      <w:r w:rsidR="000169E3" w:rsidRPr="00AE4967">
        <w:rPr>
          <w:i/>
          <w:iCs/>
          <w:sz w:val="26"/>
          <w:szCs w:val="26"/>
        </w:rPr>
        <w:t>Hac</w:t>
      </w:r>
      <w:proofErr w:type="spellEnd"/>
      <w:r w:rsidR="000169E3" w:rsidRPr="00AE4967">
        <w:rPr>
          <w:i/>
          <w:iCs/>
          <w:sz w:val="26"/>
          <w:szCs w:val="26"/>
        </w:rPr>
        <w:t xml:space="preserve"> Vice</w:t>
      </w:r>
      <w:r w:rsidR="000169E3" w:rsidRPr="00AE4967">
        <w:rPr>
          <w:sz w:val="26"/>
          <w:szCs w:val="26"/>
        </w:rPr>
        <w:t xml:space="preserve"> </w:t>
      </w:r>
      <w:r w:rsidR="00DA5171" w:rsidRPr="00AE4967">
        <w:rPr>
          <w:sz w:val="26"/>
          <w:szCs w:val="26"/>
        </w:rPr>
        <w:t xml:space="preserve">were filed by the Clean Air Council (CAC) and </w:t>
      </w:r>
      <w:r w:rsidR="00F9346E" w:rsidRPr="00AE4967">
        <w:rPr>
          <w:sz w:val="26"/>
          <w:szCs w:val="26"/>
        </w:rPr>
        <w:t>KEEA</w:t>
      </w:r>
      <w:r w:rsidR="00DA5171" w:rsidRPr="00AE4967">
        <w:rPr>
          <w:sz w:val="26"/>
          <w:szCs w:val="26"/>
        </w:rPr>
        <w:t>.</w:t>
      </w:r>
      <w:r w:rsidR="00F146A7">
        <w:rPr>
          <w:rStyle w:val="FootnoteReference"/>
          <w:sz w:val="26"/>
          <w:szCs w:val="26"/>
        </w:rPr>
        <w:footnoteReference w:id="4"/>
      </w:r>
    </w:p>
    <w:p w14:paraId="361D716B" w14:textId="77777777" w:rsidR="002334FA" w:rsidRDefault="002334FA" w:rsidP="002334FA">
      <w:pPr>
        <w:overflowPunct/>
        <w:autoSpaceDE/>
        <w:spacing w:line="360" w:lineRule="auto"/>
        <w:ind w:firstLine="720"/>
        <w:textAlignment w:val="auto"/>
        <w:rPr>
          <w:sz w:val="26"/>
          <w:szCs w:val="26"/>
        </w:rPr>
      </w:pPr>
    </w:p>
    <w:p w14:paraId="027BF364" w14:textId="6F694F1F" w:rsidR="002334FA" w:rsidRDefault="00793FC4" w:rsidP="002334FA">
      <w:pPr>
        <w:overflowPunct/>
        <w:autoSpaceDE/>
        <w:spacing w:line="360" w:lineRule="auto"/>
        <w:ind w:firstLine="720"/>
        <w:textAlignment w:val="auto"/>
        <w:rPr>
          <w:sz w:val="26"/>
          <w:szCs w:val="26"/>
        </w:rPr>
      </w:pPr>
      <w:r w:rsidRPr="00BB3113">
        <w:rPr>
          <w:sz w:val="26"/>
          <w:szCs w:val="26"/>
        </w:rPr>
        <w:t xml:space="preserve">On June 18, 2020, the Commission issued its </w:t>
      </w:r>
      <w:r w:rsidRPr="00BB3113">
        <w:rPr>
          <w:i/>
          <w:iCs/>
          <w:sz w:val="26"/>
          <w:szCs w:val="26"/>
        </w:rPr>
        <w:t>Phase IV Implementation Order</w:t>
      </w:r>
      <w:r w:rsidRPr="00BB3113">
        <w:rPr>
          <w:sz w:val="26"/>
          <w:szCs w:val="26"/>
        </w:rPr>
        <w:t xml:space="preserve"> in the EE&amp;C Program proceeding at Docket No. M-2020-3015228, establishing both consumption reduction and demand reduction targets. </w:t>
      </w:r>
      <w:r>
        <w:rPr>
          <w:sz w:val="26"/>
          <w:szCs w:val="26"/>
        </w:rPr>
        <w:t xml:space="preserve"> </w:t>
      </w:r>
      <w:r>
        <w:rPr>
          <w:sz w:val="26"/>
          <w:szCs w:val="26"/>
        </w:rPr>
        <w:tab/>
      </w:r>
      <w:r w:rsidRPr="00FC4652">
        <w:rPr>
          <w:sz w:val="26"/>
          <w:szCs w:val="26"/>
        </w:rPr>
        <w:t>These consumption reduction targets bec</w:t>
      </w:r>
      <w:r>
        <w:rPr>
          <w:sz w:val="26"/>
          <w:szCs w:val="26"/>
        </w:rPr>
        <w:t>a</w:t>
      </w:r>
      <w:r w:rsidRPr="00FC4652">
        <w:rPr>
          <w:sz w:val="26"/>
          <w:szCs w:val="26"/>
        </w:rPr>
        <w:t xml:space="preserve">me final for any covered </w:t>
      </w:r>
      <w:r>
        <w:rPr>
          <w:sz w:val="26"/>
          <w:szCs w:val="26"/>
        </w:rPr>
        <w:t>EDC</w:t>
      </w:r>
      <w:r w:rsidRPr="00FC4652">
        <w:rPr>
          <w:sz w:val="26"/>
          <w:szCs w:val="26"/>
        </w:rPr>
        <w:t xml:space="preserve"> that d</w:t>
      </w:r>
      <w:r>
        <w:rPr>
          <w:sz w:val="26"/>
          <w:szCs w:val="26"/>
        </w:rPr>
        <w:t>id</w:t>
      </w:r>
      <w:r w:rsidRPr="00FC4652">
        <w:rPr>
          <w:sz w:val="26"/>
          <w:szCs w:val="26"/>
        </w:rPr>
        <w:t xml:space="preserve"> not petition the Commission for an evidentiary hearing by July 6, 2020.</w:t>
      </w:r>
      <w:r>
        <w:rPr>
          <w:sz w:val="26"/>
          <w:szCs w:val="26"/>
        </w:rPr>
        <w:t xml:space="preserve">  </w:t>
      </w:r>
      <w:r w:rsidRPr="003001F9">
        <w:rPr>
          <w:i/>
          <w:iCs/>
          <w:sz w:val="26"/>
          <w:szCs w:val="26"/>
        </w:rPr>
        <w:t xml:space="preserve">Phase IV </w:t>
      </w:r>
      <w:r w:rsidR="00D77D75" w:rsidRPr="00BB3113">
        <w:rPr>
          <w:i/>
          <w:iCs/>
          <w:sz w:val="26"/>
          <w:szCs w:val="26"/>
        </w:rPr>
        <w:t>Implementation</w:t>
      </w:r>
      <w:r w:rsidRPr="003001F9">
        <w:rPr>
          <w:i/>
          <w:iCs/>
          <w:sz w:val="26"/>
          <w:szCs w:val="26"/>
        </w:rPr>
        <w:t xml:space="preserve"> Order</w:t>
      </w:r>
      <w:r>
        <w:rPr>
          <w:sz w:val="26"/>
          <w:szCs w:val="26"/>
        </w:rPr>
        <w:t xml:space="preserve"> at 145. </w:t>
      </w:r>
      <w:r w:rsidR="00FB75A3">
        <w:rPr>
          <w:sz w:val="26"/>
          <w:szCs w:val="26"/>
        </w:rPr>
        <w:t xml:space="preserve"> </w:t>
      </w:r>
      <w:r w:rsidR="00482660">
        <w:rPr>
          <w:sz w:val="26"/>
          <w:szCs w:val="26"/>
        </w:rPr>
        <w:t>The Phase IV EE&amp;C Programs are scheduled to</w:t>
      </w:r>
      <w:r w:rsidR="00241106">
        <w:rPr>
          <w:sz w:val="26"/>
          <w:szCs w:val="26"/>
        </w:rPr>
        <w:t xml:space="preserve"> commence on </w:t>
      </w:r>
      <w:r w:rsidR="003B7D8B">
        <w:rPr>
          <w:sz w:val="26"/>
          <w:szCs w:val="26"/>
        </w:rPr>
        <w:t xml:space="preserve">June 1, 2021.  </w:t>
      </w:r>
      <w:r w:rsidR="003B7D8B" w:rsidRPr="00410B15">
        <w:rPr>
          <w:i/>
          <w:iCs/>
          <w:sz w:val="26"/>
          <w:szCs w:val="26"/>
        </w:rPr>
        <w:t>Phase IV Implementation Order</w:t>
      </w:r>
      <w:r w:rsidR="003B7D8B">
        <w:rPr>
          <w:sz w:val="26"/>
          <w:szCs w:val="26"/>
        </w:rPr>
        <w:t xml:space="preserve"> </w:t>
      </w:r>
      <w:r w:rsidR="008F3C61">
        <w:rPr>
          <w:sz w:val="26"/>
          <w:szCs w:val="26"/>
        </w:rPr>
        <w:t xml:space="preserve">at </w:t>
      </w:r>
      <w:r w:rsidR="00410B15">
        <w:rPr>
          <w:sz w:val="26"/>
          <w:szCs w:val="26"/>
        </w:rPr>
        <w:t xml:space="preserve">89. </w:t>
      </w:r>
    </w:p>
    <w:p w14:paraId="360D41C3" w14:textId="77777777" w:rsidR="00F26BEB" w:rsidRDefault="00F26BEB" w:rsidP="002334FA">
      <w:pPr>
        <w:overflowPunct/>
        <w:autoSpaceDE/>
        <w:spacing w:line="360" w:lineRule="auto"/>
        <w:ind w:firstLine="720"/>
        <w:textAlignment w:val="auto"/>
        <w:rPr>
          <w:sz w:val="26"/>
          <w:szCs w:val="26"/>
        </w:rPr>
      </w:pPr>
    </w:p>
    <w:p w14:paraId="33F74CA6" w14:textId="68350723" w:rsidR="00640612" w:rsidRPr="00C929EC" w:rsidRDefault="00931B44" w:rsidP="00F26BEB">
      <w:pPr>
        <w:pStyle w:val="p3"/>
        <w:spacing w:line="360" w:lineRule="auto"/>
        <w:jc w:val="center"/>
        <w:rPr>
          <w:b/>
          <w:bCs/>
          <w:sz w:val="26"/>
          <w:szCs w:val="26"/>
        </w:rPr>
      </w:pPr>
      <w:r w:rsidRPr="61A9DE7A">
        <w:rPr>
          <w:b/>
          <w:bCs/>
          <w:sz w:val="26"/>
          <w:szCs w:val="26"/>
        </w:rPr>
        <w:t>DISCUSSION</w:t>
      </w:r>
    </w:p>
    <w:p w14:paraId="3F5EBF83" w14:textId="281CAEC4" w:rsidR="00424542" w:rsidRPr="005F002B" w:rsidRDefault="00F26BEB" w:rsidP="00F26BEB">
      <w:pPr>
        <w:spacing w:line="360" w:lineRule="auto"/>
        <w:rPr>
          <w:sz w:val="26"/>
          <w:szCs w:val="26"/>
        </w:rPr>
      </w:pPr>
      <w:r>
        <w:rPr>
          <w:b/>
          <w:bCs/>
          <w:sz w:val="26"/>
          <w:szCs w:val="26"/>
        </w:rPr>
        <w:t>L</w:t>
      </w:r>
      <w:r w:rsidR="00931B44" w:rsidRPr="00070C01">
        <w:rPr>
          <w:b/>
          <w:bCs/>
          <w:sz w:val="26"/>
          <w:szCs w:val="26"/>
        </w:rPr>
        <w:t>egal Standards</w:t>
      </w:r>
      <w:r w:rsidR="00931B44" w:rsidRPr="00070C01">
        <w:rPr>
          <w:sz w:val="26"/>
          <w:szCs w:val="26"/>
        </w:rPr>
        <w:t xml:space="preserve"> </w:t>
      </w:r>
    </w:p>
    <w:p w14:paraId="11FB2826" w14:textId="7851EB8B" w:rsidR="00BD5854" w:rsidRDefault="00424542" w:rsidP="00F26BEB">
      <w:pPr>
        <w:spacing w:line="360" w:lineRule="auto"/>
        <w:rPr>
          <w:sz w:val="26"/>
          <w:szCs w:val="26"/>
        </w:rPr>
      </w:pPr>
      <w:r>
        <w:rPr>
          <w:sz w:val="26"/>
          <w:szCs w:val="26"/>
        </w:rPr>
        <w:tab/>
      </w:r>
      <w:r w:rsidR="000802D3">
        <w:rPr>
          <w:sz w:val="26"/>
          <w:szCs w:val="26"/>
        </w:rPr>
        <w:t xml:space="preserve">IECPA filed its petition </w:t>
      </w:r>
      <w:r w:rsidR="003935E2">
        <w:rPr>
          <w:sz w:val="26"/>
          <w:szCs w:val="26"/>
        </w:rPr>
        <w:t>pursuant to</w:t>
      </w:r>
      <w:r w:rsidR="000802D3">
        <w:rPr>
          <w:sz w:val="26"/>
          <w:szCs w:val="26"/>
        </w:rPr>
        <w:t xml:space="preserve"> 52 Pa. Code § 5.42.  </w:t>
      </w:r>
      <w:r w:rsidR="00C27C7C" w:rsidRPr="00070C01">
        <w:rPr>
          <w:sz w:val="26"/>
          <w:szCs w:val="26"/>
        </w:rPr>
        <w:t>Section 5.4</w:t>
      </w:r>
      <w:r w:rsidR="005A6726" w:rsidRPr="00070C01">
        <w:rPr>
          <w:sz w:val="26"/>
          <w:szCs w:val="26"/>
        </w:rPr>
        <w:t>2</w:t>
      </w:r>
      <w:r w:rsidR="00C27C7C" w:rsidRPr="00070C01">
        <w:rPr>
          <w:sz w:val="26"/>
          <w:szCs w:val="26"/>
        </w:rPr>
        <w:t xml:space="preserve"> of the Commission’s regulations permit the filing of petitions </w:t>
      </w:r>
      <w:r w:rsidR="005A6726" w:rsidRPr="00070C01">
        <w:rPr>
          <w:sz w:val="26"/>
          <w:szCs w:val="26"/>
        </w:rPr>
        <w:t xml:space="preserve">seeking a declaratory order to terminate a controversy or remove uncertainty.  </w:t>
      </w:r>
      <w:r w:rsidR="00C35FC0" w:rsidRPr="00070C01">
        <w:rPr>
          <w:sz w:val="26"/>
          <w:szCs w:val="26"/>
        </w:rPr>
        <w:t xml:space="preserve">52 Pa. Code § 5.42.  </w:t>
      </w:r>
      <w:r w:rsidR="0078139C">
        <w:rPr>
          <w:sz w:val="26"/>
          <w:szCs w:val="26"/>
        </w:rPr>
        <w:t>Upon review</w:t>
      </w:r>
      <w:r w:rsidR="00776BC5">
        <w:rPr>
          <w:sz w:val="26"/>
          <w:szCs w:val="26"/>
        </w:rPr>
        <w:t xml:space="preserve">, </w:t>
      </w:r>
      <w:r w:rsidR="005E370A">
        <w:rPr>
          <w:sz w:val="26"/>
          <w:szCs w:val="26"/>
        </w:rPr>
        <w:t xml:space="preserve">we note that </w:t>
      </w:r>
      <w:r w:rsidR="00776BC5">
        <w:rPr>
          <w:sz w:val="26"/>
          <w:szCs w:val="26"/>
        </w:rPr>
        <w:t>IECPA’s petition specifically requests modification of Commission</w:t>
      </w:r>
      <w:r w:rsidR="005E370A">
        <w:rPr>
          <w:sz w:val="26"/>
          <w:szCs w:val="26"/>
        </w:rPr>
        <w:t xml:space="preserve"> order</w:t>
      </w:r>
      <w:r w:rsidR="009D2409">
        <w:rPr>
          <w:sz w:val="26"/>
          <w:szCs w:val="26"/>
        </w:rPr>
        <w:t>s</w:t>
      </w:r>
      <w:r w:rsidR="00B14B8B">
        <w:rPr>
          <w:sz w:val="26"/>
          <w:szCs w:val="26"/>
        </w:rPr>
        <w:t xml:space="preserve">, </w:t>
      </w:r>
      <w:r w:rsidR="00CE25E1">
        <w:rPr>
          <w:sz w:val="26"/>
          <w:szCs w:val="26"/>
        </w:rPr>
        <w:t>and therefore is not properly before</w:t>
      </w:r>
      <w:r w:rsidR="49BDB5F5">
        <w:rPr>
          <w:sz w:val="26"/>
          <w:szCs w:val="26"/>
        </w:rPr>
        <w:t xml:space="preserve"> us</w:t>
      </w:r>
      <w:r w:rsidR="00CE25E1">
        <w:rPr>
          <w:sz w:val="26"/>
          <w:szCs w:val="26"/>
        </w:rPr>
        <w:t xml:space="preserve"> as a petition for declaratory order pursuant to Section 5.42.  </w:t>
      </w:r>
    </w:p>
    <w:p w14:paraId="117592B0" w14:textId="77777777" w:rsidR="00BD5854" w:rsidRDefault="00BD5854" w:rsidP="00F26BEB">
      <w:pPr>
        <w:spacing w:line="360" w:lineRule="auto"/>
        <w:ind w:firstLine="720"/>
        <w:rPr>
          <w:sz w:val="26"/>
          <w:szCs w:val="26"/>
        </w:rPr>
      </w:pPr>
    </w:p>
    <w:p w14:paraId="321CF012" w14:textId="66D3DDE8" w:rsidR="00673ACA" w:rsidRDefault="00BD5854" w:rsidP="00F26BEB">
      <w:pPr>
        <w:spacing w:line="360" w:lineRule="auto"/>
        <w:ind w:firstLine="720"/>
        <w:rPr>
          <w:sz w:val="26"/>
          <w:szCs w:val="26"/>
        </w:rPr>
      </w:pPr>
      <w:r w:rsidRPr="61A9DE7A">
        <w:rPr>
          <w:sz w:val="26"/>
          <w:szCs w:val="26"/>
        </w:rPr>
        <w:t>Section 1.2</w:t>
      </w:r>
      <w:r w:rsidR="00CB4224" w:rsidRPr="61A9DE7A">
        <w:rPr>
          <w:sz w:val="26"/>
          <w:szCs w:val="26"/>
        </w:rPr>
        <w:t>(a)</w:t>
      </w:r>
      <w:r w:rsidRPr="61A9DE7A">
        <w:rPr>
          <w:sz w:val="26"/>
          <w:szCs w:val="26"/>
        </w:rPr>
        <w:t xml:space="preserve"> of the Commission’s regulations permits </w:t>
      </w:r>
      <w:r w:rsidR="79AE6F73" w:rsidRPr="61A9DE7A">
        <w:rPr>
          <w:sz w:val="26"/>
          <w:szCs w:val="26"/>
        </w:rPr>
        <w:t>us</w:t>
      </w:r>
      <w:r w:rsidRPr="61A9DE7A">
        <w:rPr>
          <w:sz w:val="26"/>
          <w:szCs w:val="26"/>
        </w:rPr>
        <w:t xml:space="preserve"> to</w:t>
      </w:r>
      <w:r w:rsidR="00AC2447" w:rsidRPr="61A9DE7A">
        <w:rPr>
          <w:sz w:val="26"/>
          <w:szCs w:val="26"/>
        </w:rPr>
        <w:t>,</w:t>
      </w:r>
      <w:r w:rsidRPr="61A9DE7A">
        <w:rPr>
          <w:sz w:val="26"/>
          <w:szCs w:val="26"/>
        </w:rPr>
        <w:t xml:space="preserve"> disregard an error or defect of procedure which does not affect the substantive rights of the parties, so as to secure the just, speedy, and inexpensive determination of a proceeding.  52 Pa. Code </w:t>
      </w:r>
      <w:r w:rsidRPr="61A9DE7A">
        <w:rPr>
          <w:sz w:val="26"/>
          <w:szCs w:val="26"/>
        </w:rPr>
        <w:lastRenderedPageBreak/>
        <w:t>§</w:t>
      </w:r>
      <w:r w:rsidR="007D4BCA">
        <w:rPr>
          <w:sz w:val="26"/>
          <w:szCs w:val="26"/>
        </w:rPr>
        <w:t> </w:t>
      </w:r>
      <w:r w:rsidRPr="61A9DE7A">
        <w:rPr>
          <w:sz w:val="26"/>
          <w:szCs w:val="26"/>
        </w:rPr>
        <w:t xml:space="preserve">1.2(a). </w:t>
      </w:r>
      <w:r w:rsidR="00AB24A1" w:rsidRPr="61A9DE7A">
        <w:rPr>
          <w:sz w:val="26"/>
          <w:szCs w:val="26"/>
        </w:rPr>
        <w:t xml:space="preserve"> </w:t>
      </w:r>
      <w:r w:rsidR="0026677D" w:rsidRPr="61A9DE7A">
        <w:rPr>
          <w:sz w:val="26"/>
          <w:szCs w:val="26"/>
        </w:rPr>
        <w:t xml:space="preserve">We will therefore treat IECPA’s </w:t>
      </w:r>
      <w:r w:rsidR="009D2409" w:rsidRPr="61A9DE7A">
        <w:rPr>
          <w:sz w:val="26"/>
          <w:szCs w:val="26"/>
        </w:rPr>
        <w:t>P</w:t>
      </w:r>
      <w:r w:rsidR="0026677D" w:rsidRPr="61A9DE7A">
        <w:rPr>
          <w:sz w:val="26"/>
          <w:szCs w:val="26"/>
        </w:rPr>
        <w:t xml:space="preserve">etition as a petition for amendment or </w:t>
      </w:r>
      <w:r w:rsidR="00862EC1">
        <w:rPr>
          <w:sz w:val="26"/>
          <w:szCs w:val="26"/>
        </w:rPr>
        <w:t>re</w:t>
      </w:r>
      <w:r w:rsidR="00E22CDB">
        <w:rPr>
          <w:sz w:val="26"/>
          <w:szCs w:val="26"/>
        </w:rPr>
        <w:t>s</w:t>
      </w:r>
      <w:r w:rsidR="00862EC1">
        <w:rPr>
          <w:sz w:val="26"/>
          <w:szCs w:val="26"/>
        </w:rPr>
        <w:t>cission</w:t>
      </w:r>
      <w:r w:rsidR="00862EC1" w:rsidRPr="61A9DE7A">
        <w:rPr>
          <w:sz w:val="26"/>
          <w:szCs w:val="26"/>
        </w:rPr>
        <w:t xml:space="preserve"> </w:t>
      </w:r>
      <w:r w:rsidR="006F672C" w:rsidRPr="61A9DE7A">
        <w:rPr>
          <w:sz w:val="26"/>
          <w:szCs w:val="26"/>
        </w:rPr>
        <w:t>of a Commission order, pursuant to Section 703(g) of the Public Utility Code</w:t>
      </w:r>
      <w:r w:rsidR="005471C1">
        <w:rPr>
          <w:sz w:val="26"/>
          <w:szCs w:val="26"/>
        </w:rPr>
        <w:t xml:space="preserve"> (Code)</w:t>
      </w:r>
      <w:r w:rsidR="00EA5CCF">
        <w:rPr>
          <w:sz w:val="26"/>
          <w:szCs w:val="26"/>
        </w:rPr>
        <w:t>, 66 Pa. C.S. § 703(g)</w:t>
      </w:r>
      <w:r w:rsidR="006F672C" w:rsidRPr="61A9DE7A">
        <w:rPr>
          <w:sz w:val="26"/>
          <w:szCs w:val="26"/>
        </w:rPr>
        <w:t xml:space="preserve">. </w:t>
      </w:r>
    </w:p>
    <w:p w14:paraId="008F13A9" w14:textId="77777777" w:rsidR="00673ACA" w:rsidRDefault="00673ACA" w:rsidP="00931B44">
      <w:pPr>
        <w:keepNext/>
        <w:keepLines/>
        <w:spacing w:line="360" w:lineRule="auto"/>
        <w:ind w:firstLine="720"/>
        <w:rPr>
          <w:sz w:val="26"/>
          <w:szCs w:val="26"/>
        </w:rPr>
      </w:pPr>
    </w:p>
    <w:p w14:paraId="619D9FC5" w14:textId="08F2C10A" w:rsidR="00030876" w:rsidRPr="0078139C" w:rsidRDefault="0873D57D" w:rsidP="00931B44">
      <w:pPr>
        <w:keepNext/>
        <w:keepLines/>
        <w:spacing w:line="360" w:lineRule="auto"/>
        <w:ind w:firstLine="720"/>
        <w:rPr>
          <w:sz w:val="26"/>
          <w:szCs w:val="26"/>
        </w:rPr>
      </w:pPr>
      <w:r w:rsidRPr="61A9DE7A">
        <w:rPr>
          <w:sz w:val="26"/>
          <w:szCs w:val="26"/>
        </w:rPr>
        <w:t>S</w:t>
      </w:r>
      <w:r w:rsidR="00673ACA" w:rsidRPr="61A9DE7A">
        <w:rPr>
          <w:sz w:val="26"/>
          <w:szCs w:val="26"/>
        </w:rPr>
        <w:t xml:space="preserve">ince the filing of IECPA’s Petition on April 22, 2020, we </w:t>
      </w:r>
      <w:r w:rsidR="00D81299" w:rsidRPr="61A9DE7A">
        <w:rPr>
          <w:sz w:val="26"/>
          <w:szCs w:val="26"/>
        </w:rPr>
        <w:t xml:space="preserve">issued </w:t>
      </w:r>
      <w:r w:rsidR="00FE19BC" w:rsidRPr="61A9DE7A">
        <w:rPr>
          <w:sz w:val="26"/>
          <w:szCs w:val="26"/>
        </w:rPr>
        <w:t xml:space="preserve">our </w:t>
      </w:r>
      <w:r w:rsidR="00673ACA" w:rsidRPr="61A9DE7A">
        <w:rPr>
          <w:i/>
          <w:iCs/>
          <w:sz w:val="26"/>
          <w:szCs w:val="26"/>
        </w:rPr>
        <w:t>Phase IV Implementation Order</w:t>
      </w:r>
      <w:r w:rsidR="00673ACA" w:rsidRPr="61A9DE7A">
        <w:rPr>
          <w:sz w:val="26"/>
          <w:szCs w:val="26"/>
        </w:rPr>
        <w:t xml:space="preserve"> on June 18, 2020.  As such, we will treat IECPA’s Petition as a request to modify or rescind both the </w:t>
      </w:r>
      <w:r w:rsidR="00673ACA" w:rsidRPr="61A9DE7A">
        <w:rPr>
          <w:i/>
          <w:iCs/>
          <w:sz w:val="26"/>
          <w:szCs w:val="26"/>
        </w:rPr>
        <w:t xml:space="preserve">Phase IV Tentative Implementation Order </w:t>
      </w:r>
      <w:r w:rsidR="00673ACA" w:rsidRPr="61A9DE7A">
        <w:rPr>
          <w:sz w:val="26"/>
          <w:szCs w:val="26"/>
        </w:rPr>
        <w:t xml:space="preserve">and the </w:t>
      </w:r>
      <w:r w:rsidR="00673ACA" w:rsidRPr="61A9DE7A">
        <w:rPr>
          <w:i/>
          <w:iCs/>
          <w:sz w:val="26"/>
          <w:szCs w:val="26"/>
        </w:rPr>
        <w:t>Phase IV Implementation Order</w:t>
      </w:r>
      <w:r w:rsidR="00841B59" w:rsidRPr="61A9DE7A">
        <w:rPr>
          <w:sz w:val="26"/>
          <w:szCs w:val="26"/>
        </w:rPr>
        <w:t xml:space="preserve">, as well as the </w:t>
      </w:r>
      <w:r w:rsidR="00FF5BE3" w:rsidRPr="61A9DE7A">
        <w:rPr>
          <w:sz w:val="26"/>
          <w:szCs w:val="26"/>
        </w:rPr>
        <w:t xml:space="preserve">our Order at </w:t>
      </w:r>
      <w:r w:rsidR="00FF5BE3" w:rsidRPr="61A9DE7A">
        <w:rPr>
          <w:i/>
          <w:iCs/>
          <w:sz w:val="26"/>
          <w:szCs w:val="26"/>
        </w:rPr>
        <w:t>Energy Efficiency and Conservation Program</w:t>
      </w:r>
      <w:r w:rsidR="00FF5BE3" w:rsidRPr="61A9DE7A">
        <w:rPr>
          <w:sz w:val="26"/>
          <w:szCs w:val="26"/>
        </w:rPr>
        <w:t>, Docket No. M-2014-2424864 (Implementation Order entered June 19, 2015) (</w:t>
      </w:r>
      <w:r w:rsidR="00FF5BE3" w:rsidRPr="61A9DE7A">
        <w:rPr>
          <w:i/>
          <w:iCs/>
          <w:sz w:val="26"/>
          <w:szCs w:val="26"/>
        </w:rPr>
        <w:t>Phase III Implementation Order</w:t>
      </w:r>
      <w:r w:rsidR="00FF5BE3" w:rsidRPr="61A9DE7A">
        <w:rPr>
          <w:sz w:val="26"/>
          <w:szCs w:val="26"/>
        </w:rPr>
        <w:t>).</w:t>
      </w:r>
    </w:p>
    <w:p w14:paraId="1C99DEEF" w14:textId="77777777" w:rsidR="00030876" w:rsidRDefault="00030876" w:rsidP="00931B44">
      <w:pPr>
        <w:keepNext/>
        <w:keepLines/>
        <w:spacing w:line="360" w:lineRule="auto"/>
        <w:ind w:firstLine="720"/>
        <w:rPr>
          <w:color w:val="FF0000"/>
          <w:sz w:val="26"/>
          <w:szCs w:val="26"/>
        </w:rPr>
      </w:pPr>
    </w:p>
    <w:p w14:paraId="33F74CA9" w14:textId="5B45B767" w:rsidR="00640612" w:rsidRPr="0078139C" w:rsidRDefault="00931B44" w:rsidP="00931B44">
      <w:pPr>
        <w:keepNext/>
        <w:keepLines/>
        <w:spacing w:line="360" w:lineRule="auto"/>
        <w:ind w:firstLine="720"/>
        <w:rPr>
          <w:sz w:val="26"/>
          <w:szCs w:val="26"/>
        </w:rPr>
      </w:pPr>
      <w:r w:rsidRPr="0078139C">
        <w:rPr>
          <w:sz w:val="26"/>
          <w:szCs w:val="26"/>
        </w:rPr>
        <w:t xml:space="preserve">By the terms of Section 703(g) of the Code, the Commission has the power to amend or rescind its own orders at any time subject only to the requirements of due process.  Section 703(g) of the Code states:  </w:t>
      </w:r>
    </w:p>
    <w:p w14:paraId="33F74CAA" w14:textId="77777777" w:rsidR="00640612" w:rsidRPr="0078139C" w:rsidRDefault="00931B44" w:rsidP="00931B44">
      <w:pPr>
        <w:spacing w:line="360" w:lineRule="auto"/>
        <w:ind w:left="720"/>
        <w:rPr>
          <w:sz w:val="26"/>
          <w:szCs w:val="26"/>
        </w:rPr>
      </w:pPr>
      <w:r w:rsidRPr="0078139C">
        <w:rPr>
          <w:sz w:val="26"/>
          <w:szCs w:val="26"/>
        </w:rPr>
        <w:t xml:space="preserve"> </w:t>
      </w:r>
    </w:p>
    <w:p w14:paraId="33F74CAB" w14:textId="77777777" w:rsidR="00640612" w:rsidRPr="0078139C" w:rsidRDefault="00931B44" w:rsidP="00295F2F">
      <w:pPr>
        <w:ind w:left="720" w:right="720"/>
        <w:jc w:val="both"/>
        <w:rPr>
          <w:sz w:val="26"/>
          <w:szCs w:val="26"/>
        </w:rPr>
      </w:pPr>
      <w:r w:rsidRPr="0078139C">
        <w:rPr>
          <w:sz w:val="26"/>
          <w:szCs w:val="26"/>
        </w:rPr>
        <w:t>The commission may, at any time, after notice and after opportunity to be heard as provided in this chapter, rescind or amend any order made by it.  Any order rescinding or amending a prior order shall, when served upon the person, corporation, or municipal corporation affected, and after notice thereof is given to the other parties to the proceedings, have the same effect as is herein provided for original orders.</w:t>
      </w:r>
    </w:p>
    <w:p w14:paraId="33F74CAC" w14:textId="77777777" w:rsidR="00640612" w:rsidRPr="0078139C" w:rsidRDefault="00931B44" w:rsidP="00931B44">
      <w:pPr>
        <w:spacing w:line="360" w:lineRule="auto"/>
        <w:ind w:left="720"/>
        <w:rPr>
          <w:sz w:val="26"/>
          <w:szCs w:val="26"/>
        </w:rPr>
      </w:pPr>
      <w:r w:rsidRPr="0078139C">
        <w:rPr>
          <w:sz w:val="26"/>
          <w:szCs w:val="26"/>
        </w:rPr>
        <w:t xml:space="preserve"> </w:t>
      </w:r>
    </w:p>
    <w:p w14:paraId="33F74CAD" w14:textId="0FC36D3A" w:rsidR="00640612" w:rsidRPr="0078139C" w:rsidRDefault="00931B44" w:rsidP="00931B44">
      <w:pPr>
        <w:spacing w:line="360" w:lineRule="auto"/>
        <w:rPr>
          <w:sz w:val="26"/>
          <w:szCs w:val="26"/>
        </w:rPr>
      </w:pPr>
      <w:r w:rsidRPr="0078139C">
        <w:rPr>
          <w:sz w:val="26"/>
          <w:szCs w:val="26"/>
        </w:rPr>
        <w:t xml:space="preserve">66 Pa. C.S. § 703(g); </w:t>
      </w:r>
      <w:r w:rsidRPr="0078139C">
        <w:rPr>
          <w:i/>
          <w:iCs/>
          <w:sz w:val="26"/>
          <w:szCs w:val="26"/>
        </w:rPr>
        <w:t>see also</w:t>
      </w:r>
      <w:r w:rsidRPr="0078139C">
        <w:rPr>
          <w:sz w:val="26"/>
          <w:szCs w:val="26"/>
        </w:rPr>
        <w:t xml:space="preserve"> </w:t>
      </w:r>
      <w:r w:rsidR="00445FAD" w:rsidRPr="0078139C">
        <w:rPr>
          <w:i/>
          <w:sz w:val="26"/>
          <w:szCs w:val="26"/>
        </w:rPr>
        <w:t>Dep</w:t>
      </w:r>
      <w:r w:rsidR="00445FAD">
        <w:rPr>
          <w:i/>
          <w:sz w:val="26"/>
          <w:szCs w:val="26"/>
        </w:rPr>
        <w:t>’</w:t>
      </w:r>
      <w:r w:rsidR="00445FAD" w:rsidRPr="0078139C">
        <w:rPr>
          <w:i/>
          <w:sz w:val="26"/>
          <w:szCs w:val="26"/>
        </w:rPr>
        <w:t xml:space="preserve">t </w:t>
      </w:r>
      <w:r w:rsidRPr="0078139C">
        <w:rPr>
          <w:i/>
          <w:sz w:val="26"/>
          <w:szCs w:val="26"/>
        </w:rPr>
        <w:t xml:space="preserve">of Highways v. </w:t>
      </w:r>
      <w:r w:rsidR="00B16EC3" w:rsidRPr="00BC0EF0">
        <w:rPr>
          <w:i/>
          <w:iCs/>
          <w:sz w:val="26"/>
          <w:szCs w:val="26"/>
        </w:rPr>
        <w:t>Pa. Pub. Util. Comm’n</w:t>
      </w:r>
      <w:r w:rsidRPr="0078139C">
        <w:rPr>
          <w:sz w:val="26"/>
          <w:szCs w:val="26"/>
        </w:rPr>
        <w:t xml:space="preserve">, 138 A.2d 143 (Pa. Super. 1958).  In exercising our authority to amend or rescind an order pursuant to Section 703(g) of the Code, the Supreme Court of Pennsylvania has stated: “Because such relief may result in disturbance of final orders, it must be granted judiciously and only under appropriate circumstances.”  </w:t>
      </w:r>
      <w:r w:rsidRPr="0078139C">
        <w:rPr>
          <w:i/>
          <w:iCs/>
          <w:sz w:val="26"/>
          <w:szCs w:val="26"/>
        </w:rPr>
        <w:t xml:space="preserve">See </w:t>
      </w:r>
      <w:r w:rsidRPr="0078139C">
        <w:rPr>
          <w:i/>
          <w:sz w:val="26"/>
          <w:szCs w:val="26"/>
        </w:rPr>
        <w:t>City of Pittsburgh v. Pa</w:t>
      </w:r>
      <w:r w:rsidR="00CF7570">
        <w:rPr>
          <w:i/>
          <w:sz w:val="26"/>
          <w:szCs w:val="26"/>
        </w:rPr>
        <w:t>.</w:t>
      </w:r>
      <w:r w:rsidRPr="0078139C">
        <w:rPr>
          <w:i/>
          <w:sz w:val="26"/>
          <w:szCs w:val="26"/>
        </w:rPr>
        <w:t xml:space="preserve"> </w:t>
      </w:r>
      <w:r w:rsidR="00CF7570" w:rsidRPr="0078139C">
        <w:rPr>
          <w:i/>
          <w:sz w:val="26"/>
          <w:szCs w:val="26"/>
        </w:rPr>
        <w:t>Dep</w:t>
      </w:r>
      <w:r w:rsidR="00CF7570">
        <w:rPr>
          <w:i/>
          <w:sz w:val="26"/>
          <w:szCs w:val="26"/>
        </w:rPr>
        <w:t>’</w:t>
      </w:r>
      <w:r w:rsidR="00CF7570" w:rsidRPr="0078139C">
        <w:rPr>
          <w:i/>
          <w:sz w:val="26"/>
          <w:szCs w:val="26"/>
        </w:rPr>
        <w:t xml:space="preserve">t </w:t>
      </w:r>
      <w:r w:rsidRPr="0078139C">
        <w:rPr>
          <w:i/>
          <w:sz w:val="26"/>
          <w:szCs w:val="26"/>
        </w:rPr>
        <w:t>of Transp</w:t>
      </w:r>
      <w:r w:rsidR="00AF2FD0">
        <w:rPr>
          <w:i/>
          <w:sz w:val="26"/>
          <w:szCs w:val="26"/>
        </w:rPr>
        <w:t>.</w:t>
      </w:r>
      <w:r w:rsidRPr="0078139C">
        <w:rPr>
          <w:sz w:val="26"/>
          <w:szCs w:val="26"/>
        </w:rPr>
        <w:t xml:space="preserve">, 416 A.2d 461 (Pa. 1980). </w:t>
      </w:r>
    </w:p>
    <w:p w14:paraId="33F74CAE" w14:textId="77777777" w:rsidR="00640612" w:rsidRPr="0078139C" w:rsidRDefault="00931B44" w:rsidP="00931B44">
      <w:pPr>
        <w:spacing w:line="360" w:lineRule="auto"/>
        <w:ind w:left="720"/>
        <w:rPr>
          <w:sz w:val="26"/>
          <w:szCs w:val="26"/>
        </w:rPr>
      </w:pPr>
      <w:r w:rsidRPr="0078139C">
        <w:rPr>
          <w:sz w:val="26"/>
          <w:szCs w:val="26"/>
        </w:rPr>
        <w:t xml:space="preserve"> </w:t>
      </w:r>
    </w:p>
    <w:p w14:paraId="33F74CAF" w14:textId="1C0A1A1E" w:rsidR="00640612" w:rsidRPr="0078139C" w:rsidRDefault="00931B44" w:rsidP="00931B44">
      <w:pPr>
        <w:spacing w:line="360" w:lineRule="auto"/>
        <w:ind w:firstLine="720"/>
        <w:rPr>
          <w:sz w:val="26"/>
          <w:szCs w:val="26"/>
        </w:rPr>
      </w:pPr>
      <w:r w:rsidRPr="0078139C">
        <w:rPr>
          <w:sz w:val="26"/>
          <w:szCs w:val="26"/>
        </w:rPr>
        <w:t xml:space="preserve">While a petition under Section 703(g) may “properly raise any matter designed to convince the commission that it should exercise its discretion . . . to rescind or amend a </w:t>
      </w:r>
      <w:r w:rsidRPr="0078139C">
        <w:rPr>
          <w:sz w:val="26"/>
          <w:szCs w:val="26"/>
        </w:rPr>
        <w:lastRenderedPageBreak/>
        <w:t xml:space="preserve">prior order in whole or in part,” at the same time “[p]arties . . . cannot be permitted by a second motion to review and reconsider, to raise the same questions which were specifically considered and decided against them.”  </w:t>
      </w:r>
      <w:proofErr w:type="spellStart"/>
      <w:r w:rsidRPr="0078139C">
        <w:rPr>
          <w:i/>
          <w:iCs/>
          <w:sz w:val="26"/>
          <w:szCs w:val="26"/>
        </w:rPr>
        <w:t>Duick</w:t>
      </w:r>
      <w:proofErr w:type="spellEnd"/>
      <w:r w:rsidRPr="0078139C">
        <w:rPr>
          <w:i/>
          <w:iCs/>
          <w:sz w:val="26"/>
          <w:szCs w:val="26"/>
        </w:rPr>
        <w:t xml:space="preserve"> v. Pa</w:t>
      </w:r>
      <w:r w:rsidR="00BE216F">
        <w:rPr>
          <w:i/>
          <w:iCs/>
          <w:sz w:val="26"/>
          <w:szCs w:val="26"/>
        </w:rPr>
        <w:t>.</w:t>
      </w:r>
      <w:r w:rsidRPr="0078139C">
        <w:rPr>
          <w:i/>
          <w:iCs/>
          <w:sz w:val="26"/>
          <w:szCs w:val="26"/>
        </w:rPr>
        <w:t xml:space="preserve"> Gas and Water </w:t>
      </w:r>
      <w:r w:rsidR="00BE216F" w:rsidRPr="0078139C">
        <w:rPr>
          <w:i/>
          <w:iCs/>
          <w:sz w:val="26"/>
          <w:szCs w:val="26"/>
        </w:rPr>
        <w:t>Co</w:t>
      </w:r>
      <w:r w:rsidR="00BE216F">
        <w:rPr>
          <w:i/>
          <w:iCs/>
          <w:sz w:val="26"/>
          <w:szCs w:val="26"/>
        </w:rPr>
        <w:t>.</w:t>
      </w:r>
      <w:r w:rsidRPr="0078139C">
        <w:rPr>
          <w:sz w:val="26"/>
          <w:szCs w:val="26"/>
        </w:rPr>
        <w:t xml:space="preserve">, Docket No. C-R0597001 </w:t>
      </w:r>
      <w:r w:rsidRPr="0078139C">
        <w:rPr>
          <w:i/>
          <w:iCs/>
          <w:sz w:val="26"/>
          <w:szCs w:val="26"/>
        </w:rPr>
        <w:t>et al</w:t>
      </w:r>
      <w:r w:rsidRPr="0078139C">
        <w:rPr>
          <w:sz w:val="26"/>
          <w:szCs w:val="26"/>
        </w:rPr>
        <w:t xml:space="preserve">., 56 Pa. P.U.C. 553 (Order entered </w:t>
      </w:r>
    </w:p>
    <w:p w14:paraId="33F74CB0" w14:textId="1FA35A44" w:rsidR="00640612" w:rsidRPr="0078139C" w:rsidRDefault="00931B44" w:rsidP="00931B44">
      <w:pPr>
        <w:spacing w:line="360" w:lineRule="auto"/>
        <w:rPr>
          <w:sz w:val="26"/>
          <w:szCs w:val="26"/>
        </w:rPr>
      </w:pPr>
      <w:r w:rsidRPr="0078139C">
        <w:rPr>
          <w:sz w:val="26"/>
          <w:szCs w:val="26"/>
        </w:rPr>
        <w:t>December 17, 1982) (</w:t>
      </w:r>
      <w:proofErr w:type="spellStart"/>
      <w:r w:rsidRPr="0078139C">
        <w:rPr>
          <w:i/>
          <w:iCs/>
          <w:sz w:val="26"/>
          <w:szCs w:val="26"/>
        </w:rPr>
        <w:t>Duick</w:t>
      </w:r>
      <w:proofErr w:type="spellEnd"/>
      <w:r w:rsidRPr="0078139C">
        <w:rPr>
          <w:sz w:val="26"/>
          <w:szCs w:val="26"/>
        </w:rPr>
        <w:t xml:space="preserve">) (quoting </w:t>
      </w:r>
      <w:r w:rsidRPr="0078139C">
        <w:rPr>
          <w:i/>
          <w:iCs/>
          <w:sz w:val="26"/>
          <w:szCs w:val="26"/>
        </w:rPr>
        <w:t>Pa</w:t>
      </w:r>
      <w:r w:rsidR="00FC4466">
        <w:rPr>
          <w:i/>
          <w:iCs/>
          <w:sz w:val="26"/>
          <w:szCs w:val="26"/>
        </w:rPr>
        <w:t>.</w:t>
      </w:r>
      <w:r w:rsidRPr="0078139C">
        <w:rPr>
          <w:i/>
          <w:iCs/>
          <w:sz w:val="26"/>
          <w:szCs w:val="26"/>
        </w:rPr>
        <w:t xml:space="preserve"> </w:t>
      </w:r>
      <w:r w:rsidR="00F81256" w:rsidRPr="0078139C">
        <w:rPr>
          <w:i/>
          <w:iCs/>
          <w:sz w:val="26"/>
          <w:szCs w:val="26"/>
        </w:rPr>
        <w:t>R</w:t>
      </w:r>
      <w:r w:rsidR="00F81256">
        <w:rPr>
          <w:i/>
          <w:iCs/>
          <w:sz w:val="26"/>
          <w:szCs w:val="26"/>
        </w:rPr>
        <w:t>.R.</w:t>
      </w:r>
      <w:r w:rsidR="00F81256" w:rsidRPr="0078139C">
        <w:rPr>
          <w:i/>
          <w:iCs/>
          <w:sz w:val="26"/>
          <w:szCs w:val="26"/>
        </w:rPr>
        <w:t xml:space="preserve"> </w:t>
      </w:r>
      <w:r w:rsidRPr="0078139C">
        <w:rPr>
          <w:i/>
          <w:iCs/>
          <w:sz w:val="26"/>
          <w:szCs w:val="26"/>
        </w:rPr>
        <w:t>Co. v. Pa</w:t>
      </w:r>
      <w:r w:rsidR="00F81256">
        <w:rPr>
          <w:i/>
          <w:iCs/>
          <w:sz w:val="26"/>
          <w:szCs w:val="26"/>
        </w:rPr>
        <w:t>.</w:t>
      </w:r>
      <w:r w:rsidRPr="0078139C">
        <w:rPr>
          <w:i/>
          <w:iCs/>
          <w:sz w:val="26"/>
          <w:szCs w:val="26"/>
        </w:rPr>
        <w:t xml:space="preserve"> </w:t>
      </w:r>
      <w:r w:rsidR="00355BCF" w:rsidRPr="0078139C">
        <w:rPr>
          <w:i/>
          <w:iCs/>
          <w:sz w:val="26"/>
          <w:szCs w:val="26"/>
        </w:rPr>
        <w:t>Pub</w:t>
      </w:r>
      <w:r w:rsidR="00355BCF">
        <w:rPr>
          <w:i/>
          <w:iCs/>
          <w:sz w:val="26"/>
          <w:szCs w:val="26"/>
        </w:rPr>
        <w:t>.</w:t>
      </w:r>
      <w:r w:rsidR="00355BCF" w:rsidRPr="0078139C">
        <w:rPr>
          <w:i/>
          <w:iCs/>
          <w:sz w:val="26"/>
          <w:szCs w:val="26"/>
        </w:rPr>
        <w:t xml:space="preserve"> Serv</w:t>
      </w:r>
      <w:r w:rsidR="00355BCF">
        <w:rPr>
          <w:i/>
          <w:iCs/>
          <w:sz w:val="26"/>
          <w:szCs w:val="26"/>
        </w:rPr>
        <w:t>.</w:t>
      </w:r>
      <w:r w:rsidR="00355BCF" w:rsidRPr="0078139C">
        <w:rPr>
          <w:i/>
          <w:iCs/>
          <w:sz w:val="26"/>
          <w:szCs w:val="26"/>
        </w:rPr>
        <w:t xml:space="preserve"> </w:t>
      </w:r>
      <w:r w:rsidR="007C252C" w:rsidRPr="0078139C">
        <w:rPr>
          <w:i/>
          <w:iCs/>
          <w:sz w:val="26"/>
          <w:szCs w:val="26"/>
        </w:rPr>
        <w:t>Comm</w:t>
      </w:r>
      <w:r w:rsidR="007C252C">
        <w:rPr>
          <w:i/>
          <w:iCs/>
          <w:sz w:val="26"/>
          <w:szCs w:val="26"/>
        </w:rPr>
        <w:t>’</w:t>
      </w:r>
      <w:r w:rsidR="007C252C" w:rsidRPr="0078139C">
        <w:rPr>
          <w:i/>
          <w:iCs/>
          <w:sz w:val="26"/>
          <w:szCs w:val="26"/>
        </w:rPr>
        <w:t>n</w:t>
      </w:r>
      <w:r w:rsidRPr="0078139C">
        <w:rPr>
          <w:sz w:val="26"/>
          <w:szCs w:val="26"/>
        </w:rPr>
        <w:t xml:space="preserve">, 179 A. 850, 854 (Pa. Super. 1935)).  As we stated in </w:t>
      </w:r>
      <w:proofErr w:type="spellStart"/>
      <w:r w:rsidRPr="0078139C">
        <w:rPr>
          <w:i/>
          <w:iCs/>
          <w:sz w:val="26"/>
          <w:szCs w:val="26"/>
          <w:u w:val="single"/>
        </w:rPr>
        <w:t>Duick</w:t>
      </w:r>
      <w:proofErr w:type="spellEnd"/>
      <w:r w:rsidRPr="0078139C">
        <w:rPr>
          <w:sz w:val="26"/>
          <w:szCs w:val="26"/>
        </w:rPr>
        <w:t>:</w:t>
      </w:r>
    </w:p>
    <w:p w14:paraId="33F74CB1" w14:textId="77777777" w:rsidR="00640612" w:rsidRPr="0078139C" w:rsidRDefault="00931B44">
      <w:pPr>
        <w:spacing w:line="360" w:lineRule="auto"/>
        <w:ind w:left="720"/>
        <w:jc w:val="both"/>
        <w:rPr>
          <w:sz w:val="26"/>
          <w:szCs w:val="26"/>
        </w:rPr>
      </w:pPr>
      <w:r w:rsidRPr="0078139C">
        <w:rPr>
          <w:sz w:val="26"/>
          <w:szCs w:val="26"/>
        </w:rPr>
        <w:t xml:space="preserve"> </w:t>
      </w:r>
    </w:p>
    <w:p w14:paraId="33F74CB2" w14:textId="77777777" w:rsidR="00640612" w:rsidRPr="0078139C" w:rsidRDefault="00931B44" w:rsidP="00295F2F">
      <w:pPr>
        <w:ind w:left="720" w:right="720"/>
        <w:jc w:val="both"/>
        <w:rPr>
          <w:sz w:val="26"/>
          <w:szCs w:val="26"/>
        </w:rPr>
      </w:pPr>
      <w:r w:rsidRPr="0078139C">
        <w:rPr>
          <w:sz w:val="26"/>
          <w:szCs w:val="26"/>
        </w:rPr>
        <w:t>What we expect to see raised in such petitions are new and novel arguments, not previously heard, or considerations which appear to have been overlooked or not addressed by the commission.  Absent such matters being presented, we consider it unlikely that a party will succeed in persuading us that our initial decision on a matter or issue was either unwise or in error.</w:t>
      </w:r>
    </w:p>
    <w:p w14:paraId="33F74CB3" w14:textId="77777777" w:rsidR="00640612" w:rsidRPr="0078139C" w:rsidRDefault="00931B44">
      <w:pPr>
        <w:spacing w:line="360" w:lineRule="auto"/>
        <w:ind w:left="720"/>
        <w:jc w:val="both"/>
        <w:rPr>
          <w:sz w:val="26"/>
          <w:szCs w:val="26"/>
        </w:rPr>
      </w:pPr>
      <w:r w:rsidRPr="0078139C">
        <w:rPr>
          <w:sz w:val="26"/>
          <w:szCs w:val="26"/>
        </w:rPr>
        <w:t xml:space="preserve"> </w:t>
      </w:r>
    </w:p>
    <w:p w14:paraId="33F74CB4" w14:textId="105A4B7D" w:rsidR="00640612" w:rsidRPr="0078139C" w:rsidRDefault="00931B44">
      <w:pPr>
        <w:spacing w:line="360" w:lineRule="auto"/>
        <w:jc w:val="both"/>
        <w:rPr>
          <w:sz w:val="26"/>
          <w:szCs w:val="26"/>
        </w:rPr>
      </w:pPr>
      <w:proofErr w:type="spellStart"/>
      <w:r w:rsidRPr="0078139C">
        <w:rPr>
          <w:i/>
          <w:iCs/>
          <w:sz w:val="26"/>
          <w:szCs w:val="26"/>
          <w:u w:val="single"/>
        </w:rPr>
        <w:t>Duick</w:t>
      </w:r>
      <w:proofErr w:type="spellEnd"/>
      <w:r w:rsidRPr="0078139C">
        <w:rPr>
          <w:sz w:val="26"/>
          <w:szCs w:val="26"/>
        </w:rPr>
        <w:t xml:space="preserve"> at 559.  </w:t>
      </w:r>
    </w:p>
    <w:p w14:paraId="33F74CB5" w14:textId="77777777" w:rsidR="00640612" w:rsidRPr="0078139C" w:rsidRDefault="00931B44">
      <w:pPr>
        <w:spacing w:line="360" w:lineRule="auto"/>
        <w:ind w:left="720"/>
        <w:jc w:val="both"/>
        <w:rPr>
          <w:sz w:val="26"/>
          <w:szCs w:val="26"/>
        </w:rPr>
      </w:pPr>
      <w:r w:rsidRPr="0078139C">
        <w:rPr>
          <w:sz w:val="26"/>
          <w:szCs w:val="26"/>
        </w:rPr>
        <w:t xml:space="preserve"> </w:t>
      </w:r>
    </w:p>
    <w:p w14:paraId="33F74CB6" w14:textId="58CAA11E" w:rsidR="00640612" w:rsidRPr="0078139C" w:rsidRDefault="00931B44" w:rsidP="00931B44">
      <w:pPr>
        <w:spacing w:line="360" w:lineRule="auto"/>
        <w:ind w:firstLine="720"/>
        <w:rPr>
          <w:sz w:val="26"/>
          <w:szCs w:val="26"/>
        </w:rPr>
      </w:pPr>
      <w:r w:rsidRPr="0078139C">
        <w:rPr>
          <w:sz w:val="26"/>
          <w:szCs w:val="26"/>
        </w:rPr>
        <w:t xml:space="preserve">Furthermore, a decision to deny a petition for rescission or amendment is a matter squarely within the Commission’s discretion, subject to being overturned only where a reviewing court finds “the agency’s decision demonstrates evidence of bad faith, fraud, capricious action or abuse of power.”  </w:t>
      </w:r>
      <w:r w:rsidRPr="0078139C">
        <w:rPr>
          <w:i/>
          <w:iCs/>
          <w:sz w:val="26"/>
          <w:szCs w:val="26"/>
        </w:rPr>
        <w:t xml:space="preserve">West Penn Power Co. v. </w:t>
      </w:r>
      <w:r w:rsidR="00CB77CD" w:rsidRPr="00BC0EF0">
        <w:rPr>
          <w:i/>
          <w:iCs/>
          <w:sz w:val="26"/>
          <w:szCs w:val="26"/>
        </w:rPr>
        <w:t>Pa. Pub. Util. Comm’n</w:t>
      </w:r>
      <w:r w:rsidRPr="0078139C">
        <w:rPr>
          <w:sz w:val="26"/>
          <w:szCs w:val="26"/>
        </w:rPr>
        <w:t xml:space="preserve">, 659 A.2d 1055, 1065 (Pa. </w:t>
      </w:r>
      <w:proofErr w:type="spellStart"/>
      <w:r w:rsidRPr="0078139C">
        <w:rPr>
          <w:sz w:val="26"/>
          <w:szCs w:val="26"/>
        </w:rPr>
        <w:t>Cmwlth</w:t>
      </w:r>
      <w:proofErr w:type="spellEnd"/>
      <w:r w:rsidRPr="0078139C">
        <w:rPr>
          <w:sz w:val="26"/>
          <w:szCs w:val="26"/>
        </w:rPr>
        <w:t>. 1995).</w:t>
      </w:r>
    </w:p>
    <w:p w14:paraId="33F74CB7" w14:textId="77777777" w:rsidR="00640612" w:rsidRPr="00CE17F2" w:rsidRDefault="00640612" w:rsidP="00931B44">
      <w:pPr>
        <w:spacing w:line="360" w:lineRule="auto"/>
        <w:ind w:firstLine="720"/>
        <w:rPr>
          <w:color w:val="FF0000"/>
          <w:sz w:val="26"/>
          <w:szCs w:val="26"/>
        </w:rPr>
      </w:pPr>
    </w:p>
    <w:p w14:paraId="33F74CB8" w14:textId="7093E180" w:rsidR="00640612" w:rsidRPr="00BC0EF0" w:rsidRDefault="00931B44" w:rsidP="00931B44">
      <w:pPr>
        <w:spacing w:line="360" w:lineRule="auto"/>
        <w:ind w:firstLine="720"/>
        <w:rPr>
          <w:sz w:val="26"/>
          <w:szCs w:val="26"/>
        </w:rPr>
      </w:pPr>
      <w:r w:rsidRPr="00BC0EF0">
        <w:rPr>
          <w:sz w:val="26"/>
          <w:szCs w:val="26"/>
        </w:rPr>
        <w:t xml:space="preserve">Section 332(a) of the Code, 66 </w:t>
      </w:r>
      <w:proofErr w:type="spellStart"/>
      <w:r w:rsidRPr="00BC0EF0">
        <w:rPr>
          <w:sz w:val="26"/>
          <w:szCs w:val="26"/>
        </w:rPr>
        <w:t>Pa.C.S</w:t>
      </w:r>
      <w:proofErr w:type="spellEnd"/>
      <w:r w:rsidRPr="00BC0EF0">
        <w:rPr>
          <w:sz w:val="26"/>
          <w:szCs w:val="26"/>
        </w:rPr>
        <w:t xml:space="preserve">. § 332(a), provides that the party seeking relief from the Commission has the burden of proof.  </w:t>
      </w:r>
      <w:r w:rsidR="00BC0EF0" w:rsidRPr="00BC0EF0">
        <w:rPr>
          <w:sz w:val="26"/>
          <w:szCs w:val="26"/>
        </w:rPr>
        <w:t>IECPA</w:t>
      </w:r>
      <w:r w:rsidRPr="00BC0EF0">
        <w:rPr>
          <w:sz w:val="26"/>
          <w:szCs w:val="26"/>
        </w:rPr>
        <w:t xml:space="preserve"> seeks relief from the Commission, and, therefore, has the burden of proof in this proceeding.</w:t>
      </w:r>
    </w:p>
    <w:p w14:paraId="33F74CB9" w14:textId="77777777" w:rsidR="00640612" w:rsidRPr="00BC0EF0" w:rsidRDefault="00640612" w:rsidP="00931B44">
      <w:pPr>
        <w:spacing w:line="360" w:lineRule="auto"/>
        <w:ind w:firstLine="720"/>
        <w:rPr>
          <w:sz w:val="26"/>
          <w:szCs w:val="26"/>
        </w:rPr>
      </w:pPr>
    </w:p>
    <w:p w14:paraId="33F74CBA" w14:textId="302A301D" w:rsidR="00640612" w:rsidRPr="00BC0EF0" w:rsidRDefault="00931B44" w:rsidP="00753BEA">
      <w:pPr>
        <w:spacing w:line="360" w:lineRule="auto"/>
        <w:ind w:firstLine="720"/>
        <w:rPr>
          <w:sz w:val="26"/>
          <w:szCs w:val="26"/>
        </w:rPr>
      </w:pPr>
      <w:r w:rsidRPr="00BC0EF0">
        <w:rPr>
          <w:sz w:val="26"/>
          <w:szCs w:val="26"/>
        </w:rPr>
        <w:t xml:space="preserve"> Any decision of the Commission must be supported by substantial evidence. </w:t>
      </w:r>
      <w:r w:rsidRPr="00BC0EF0">
        <w:rPr>
          <w:i/>
          <w:iCs/>
          <w:sz w:val="26"/>
          <w:szCs w:val="26"/>
        </w:rPr>
        <w:t>See, e.g.</w:t>
      </w:r>
      <w:r w:rsidRPr="00BC0EF0">
        <w:rPr>
          <w:sz w:val="26"/>
          <w:szCs w:val="26"/>
        </w:rPr>
        <w:t>, Section 704 of the Administrative Agency Law, 2 Pa.</w:t>
      </w:r>
      <w:r w:rsidR="0029204E">
        <w:rPr>
          <w:sz w:val="26"/>
          <w:szCs w:val="26"/>
        </w:rPr>
        <w:t xml:space="preserve"> </w:t>
      </w:r>
      <w:r w:rsidRPr="00BC0EF0">
        <w:rPr>
          <w:sz w:val="26"/>
          <w:szCs w:val="26"/>
        </w:rPr>
        <w:t xml:space="preserve">C.S. § 704. </w:t>
      </w:r>
      <w:r w:rsidR="00481677">
        <w:rPr>
          <w:sz w:val="26"/>
          <w:szCs w:val="26"/>
        </w:rPr>
        <w:t xml:space="preserve"> </w:t>
      </w:r>
      <w:r w:rsidRPr="00BC0EF0">
        <w:rPr>
          <w:sz w:val="26"/>
          <w:szCs w:val="26"/>
        </w:rPr>
        <w:t xml:space="preserve">Substantial evidence is such relevant evidence that a reasonable mind might accept as adequate to support a conclusion. </w:t>
      </w:r>
      <w:r w:rsidR="00481677">
        <w:rPr>
          <w:sz w:val="26"/>
          <w:szCs w:val="26"/>
        </w:rPr>
        <w:t xml:space="preserve"> </w:t>
      </w:r>
      <w:r w:rsidRPr="00BC0EF0">
        <w:rPr>
          <w:sz w:val="26"/>
          <w:szCs w:val="26"/>
        </w:rPr>
        <w:t xml:space="preserve">More is required than a mere trace of evidence or a suspicion of the existence of a fact sought to be established. </w:t>
      </w:r>
      <w:r w:rsidR="0072033B">
        <w:rPr>
          <w:sz w:val="26"/>
          <w:szCs w:val="26"/>
        </w:rPr>
        <w:t xml:space="preserve"> </w:t>
      </w:r>
      <w:r w:rsidRPr="00BC0EF0">
        <w:rPr>
          <w:i/>
          <w:iCs/>
          <w:sz w:val="26"/>
          <w:szCs w:val="26"/>
        </w:rPr>
        <w:t xml:space="preserve">Norfolk &amp; Western Ry. Co. v. Pa. Pub. </w:t>
      </w:r>
      <w:r w:rsidRPr="00BC0EF0">
        <w:rPr>
          <w:i/>
          <w:iCs/>
          <w:sz w:val="26"/>
          <w:szCs w:val="26"/>
        </w:rPr>
        <w:lastRenderedPageBreak/>
        <w:t>Util. Comm’n</w:t>
      </w:r>
      <w:r w:rsidRPr="00BC0EF0">
        <w:rPr>
          <w:sz w:val="26"/>
          <w:szCs w:val="26"/>
        </w:rPr>
        <w:t>, 413 A.2d 1037 (</w:t>
      </w:r>
      <w:r w:rsidR="004678CE">
        <w:rPr>
          <w:sz w:val="26"/>
          <w:szCs w:val="26"/>
        </w:rPr>
        <w:t xml:space="preserve">Pa. </w:t>
      </w:r>
      <w:r w:rsidRPr="00BC0EF0">
        <w:rPr>
          <w:sz w:val="26"/>
          <w:szCs w:val="26"/>
        </w:rPr>
        <w:t xml:space="preserve">1980); </w:t>
      </w:r>
      <w:r w:rsidRPr="00BC0EF0">
        <w:rPr>
          <w:i/>
          <w:iCs/>
          <w:sz w:val="26"/>
          <w:szCs w:val="26"/>
        </w:rPr>
        <w:t>Erie Resistor Corp. v. Unemployment Comp. Bd. of Review</w:t>
      </w:r>
      <w:r w:rsidRPr="00BC0EF0">
        <w:rPr>
          <w:sz w:val="26"/>
          <w:szCs w:val="26"/>
        </w:rPr>
        <w:t>, 166 A.2d 96 (</w:t>
      </w:r>
      <w:r w:rsidR="004678CE">
        <w:rPr>
          <w:sz w:val="26"/>
          <w:szCs w:val="26"/>
        </w:rPr>
        <w:t xml:space="preserve">Pa. Super. </w:t>
      </w:r>
      <w:r w:rsidRPr="00BC0EF0">
        <w:rPr>
          <w:sz w:val="26"/>
          <w:szCs w:val="26"/>
        </w:rPr>
        <w:t xml:space="preserve">1961); and </w:t>
      </w:r>
      <w:r w:rsidRPr="00BC0EF0">
        <w:rPr>
          <w:i/>
          <w:iCs/>
          <w:sz w:val="26"/>
          <w:szCs w:val="26"/>
        </w:rPr>
        <w:t>Murphy v. Comm., Dept. of Public Welfare, White Haven Center</w:t>
      </w:r>
      <w:r w:rsidRPr="00BC0EF0">
        <w:rPr>
          <w:sz w:val="26"/>
          <w:szCs w:val="26"/>
        </w:rPr>
        <w:t>, 480 A.2d 382 (</w:t>
      </w:r>
      <w:r w:rsidR="000133BC">
        <w:rPr>
          <w:sz w:val="26"/>
          <w:szCs w:val="26"/>
        </w:rPr>
        <w:t xml:space="preserve">Pa. </w:t>
      </w:r>
      <w:proofErr w:type="spellStart"/>
      <w:r w:rsidR="000133BC">
        <w:rPr>
          <w:sz w:val="26"/>
          <w:szCs w:val="26"/>
        </w:rPr>
        <w:t>Cmwlth</w:t>
      </w:r>
      <w:proofErr w:type="spellEnd"/>
      <w:r w:rsidR="000133BC">
        <w:rPr>
          <w:sz w:val="26"/>
          <w:szCs w:val="26"/>
        </w:rPr>
        <w:t xml:space="preserve">. </w:t>
      </w:r>
      <w:r w:rsidRPr="00BC0EF0">
        <w:rPr>
          <w:sz w:val="26"/>
          <w:szCs w:val="26"/>
        </w:rPr>
        <w:t>1984).</w:t>
      </w:r>
    </w:p>
    <w:p w14:paraId="33F74CBB" w14:textId="77777777" w:rsidR="00640612" w:rsidRPr="00BC0EF0" w:rsidRDefault="00640612" w:rsidP="00931B44">
      <w:pPr>
        <w:spacing w:line="360" w:lineRule="auto"/>
        <w:rPr>
          <w:sz w:val="26"/>
          <w:szCs w:val="26"/>
        </w:rPr>
      </w:pPr>
    </w:p>
    <w:p w14:paraId="33F74CBC" w14:textId="1F2B0FF5" w:rsidR="00640612" w:rsidRPr="00BC0EF0" w:rsidRDefault="00931B44" w:rsidP="00B37111">
      <w:pPr>
        <w:spacing w:line="360" w:lineRule="auto"/>
        <w:ind w:firstLine="720"/>
        <w:rPr>
          <w:sz w:val="26"/>
          <w:szCs w:val="26"/>
        </w:rPr>
      </w:pPr>
      <w:r w:rsidRPr="00BC0EF0">
        <w:rPr>
          <w:sz w:val="26"/>
          <w:szCs w:val="26"/>
        </w:rPr>
        <w:t xml:space="preserve">Finally, it is well-settled that the Commission is not required to consider expressly or at length each contention or argument raised by the parties.  </w:t>
      </w:r>
      <w:r w:rsidRPr="00BC0EF0">
        <w:rPr>
          <w:i/>
          <w:iCs/>
          <w:sz w:val="26"/>
          <w:szCs w:val="26"/>
        </w:rPr>
        <w:t xml:space="preserve">Consolidated Rail Corp. v. </w:t>
      </w:r>
      <w:r w:rsidR="00B16EC3" w:rsidRPr="00BC0EF0">
        <w:rPr>
          <w:i/>
          <w:iCs/>
          <w:sz w:val="26"/>
          <w:szCs w:val="26"/>
        </w:rPr>
        <w:t>Pa. Pub. Util. Comm’n</w:t>
      </w:r>
      <w:r w:rsidRPr="00BC0EF0">
        <w:rPr>
          <w:sz w:val="26"/>
          <w:szCs w:val="26"/>
        </w:rPr>
        <w:t xml:space="preserve">, 625 A.2d 741 (Pa. </w:t>
      </w:r>
      <w:proofErr w:type="spellStart"/>
      <w:r w:rsidRPr="00BC0EF0">
        <w:rPr>
          <w:sz w:val="26"/>
          <w:szCs w:val="26"/>
        </w:rPr>
        <w:t>Cmwlth</w:t>
      </w:r>
      <w:proofErr w:type="spellEnd"/>
      <w:r w:rsidRPr="00BC0EF0">
        <w:rPr>
          <w:sz w:val="26"/>
          <w:szCs w:val="26"/>
        </w:rPr>
        <w:t xml:space="preserve">. 1993); </w:t>
      </w:r>
      <w:r w:rsidRPr="00BC0EF0">
        <w:rPr>
          <w:i/>
          <w:iCs/>
          <w:sz w:val="26"/>
          <w:szCs w:val="26"/>
        </w:rPr>
        <w:t>see also</w:t>
      </w:r>
      <w:r w:rsidRPr="00BC0EF0">
        <w:rPr>
          <w:sz w:val="26"/>
          <w:szCs w:val="26"/>
        </w:rPr>
        <w:t xml:space="preserve">, generally, </w:t>
      </w:r>
      <w:r w:rsidR="00B16EC3" w:rsidRPr="00BC0EF0">
        <w:rPr>
          <w:i/>
          <w:iCs/>
          <w:sz w:val="26"/>
          <w:szCs w:val="26"/>
        </w:rPr>
        <w:t>Univ</w:t>
      </w:r>
      <w:r w:rsidR="00B16EC3">
        <w:rPr>
          <w:i/>
          <w:iCs/>
          <w:sz w:val="26"/>
          <w:szCs w:val="26"/>
        </w:rPr>
        <w:t>.</w:t>
      </w:r>
      <w:r w:rsidR="00B16EC3" w:rsidRPr="00BC0EF0">
        <w:rPr>
          <w:i/>
          <w:iCs/>
          <w:sz w:val="26"/>
          <w:szCs w:val="26"/>
        </w:rPr>
        <w:t xml:space="preserve"> </w:t>
      </w:r>
      <w:r w:rsidRPr="00BC0EF0">
        <w:rPr>
          <w:i/>
          <w:iCs/>
          <w:sz w:val="26"/>
          <w:szCs w:val="26"/>
        </w:rPr>
        <w:t>of Pa</w:t>
      </w:r>
      <w:r w:rsidR="00B16EC3">
        <w:rPr>
          <w:i/>
          <w:iCs/>
          <w:sz w:val="26"/>
          <w:szCs w:val="26"/>
        </w:rPr>
        <w:t>.</w:t>
      </w:r>
      <w:r w:rsidRPr="00BC0EF0">
        <w:rPr>
          <w:i/>
          <w:iCs/>
          <w:sz w:val="26"/>
          <w:szCs w:val="26"/>
        </w:rPr>
        <w:t xml:space="preserve"> v. </w:t>
      </w:r>
      <w:r w:rsidR="00B16EC3" w:rsidRPr="00BC0EF0">
        <w:rPr>
          <w:i/>
          <w:iCs/>
          <w:sz w:val="26"/>
          <w:szCs w:val="26"/>
        </w:rPr>
        <w:t>Pa. Pub. Util. Comm’n</w:t>
      </w:r>
      <w:r w:rsidRPr="00BC0EF0">
        <w:rPr>
          <w:sz w:val="26"/>
          <w:szCs w:val="26"/>
        </w:rPr>
        <w:t xml:space="preserve">, 485 A.2d 1217 (Pa. </w:t>
      </w:r>
      <w:proofErr w:type="spellStart"/>
      <w:r w:rsidRPr="00BC0EF0">
        <w:rPr>
          <w:sz w:val="26"/>
          <w:szCs w:val="26"/>
        </w:rPr>
        <w:t>Cmwlth</w:t>
      </w:r>
      <w:proofErr w:type="spellEnd"/>
      <w:r w:rsidRPr="00BC0EF0">
        <w:rPr>
          <w:sz w:val="26"/>
          <w:szCs w:val="26"/>
        </w:rPr>
        <w:t>. 1984).  Thus, any argument in the Petition that we do not specifically address shall be deemed to have been duly considered and denied without further discussion.</w:t>
      </w:r>
    </w:p>
    <w:p w14:paraId="33F74CBD" w14:textId="77777777" w:rsidR="00640612" w:rsidRPr="00CE17F2" w:rsidRDefault="00640612" w:rsidP="00B37111">
      <w:pPr>
        <w:spacing w:line="360" w:lineRule="auto"/>
        <w:ind w:firstLine="720"/>
        <w:rPr>
          <w:color w:val="FF0000"/>
          <w:sz w:val="26"/>
          <w:szCs w:val="26"/>
        </w:rPr>
      </w:pPr>
    </w:p>
    <w:p w14:paraId="33F74CBE" w14:textId="3C217C4C" w:rsidR="00640612" w:rsidRPr="00F74D76" w:rsidRDefault="00F74D76" w:rsidP="00B37111">
      <w:pPr>
        <w:spacing w:line="360" w:lineRule="auto"/>
        <w:rPr>
          <w:b/>
          <w:bCs/>
          <w:sz w:val="26"/>
          <w:szCs w:val="26"/>
        </w:rPr>
      </w:pPr>
      <w:r>
        <w:rPr>
          <w:b/>
          <w:bCs/>
          <w:sz w:val="26"/>
          <w:szCs w:val="26"/>
        </w:rPr>
        <w:t>IECPA</w:t>
      </w:r>
      <w:r w:rsidR="00931B44" w:rsidRPr="00F74D76">
        <w:rPr>
          <w:b/>
          <w:bCs/>
          <w:sz w:val="26"/>
          <w:szCs w:val="26"/>
        </w:rPr>
        <w:t>’s Petition</w:t>
      </w:r>
    </w:p>
    <w:p w14:paraId="499D904D" w14:textId="1E0993B6" w:rsidR="00602A83" w:rsidRDefault="005433D7" w:rsidP="008A24BD">
      <w:pPr>
        <w:spacing w:line="360" w:lineRule="auto"/>
        <w:rPr>
          <w:color w:val="000000" w:themeColor="text1"/>
          <w:sz w:val="26"/>
          <w:szCs w:val="26"/>
        </w:rPr>
      </w:pPr>
      <w:r>
        <w:rPr>
          <w:color w:val="FF0000"/>
          <w:sz w:val="26"/>
          <w:szCs w:val="26"/>
        </w:rPr>
        <w:tab/>
      </w:r>
      <w:r w:rsidR="005D189D" w:rsidRPr="0055504A">
        <w:rPr>
          <w:color w:val="000000" w:themeColor="text1"/>
          <w:sz w:val="26"/>
          <w:szCs w:val="26"/>
        </w:rPr>
        <w:t xml:space="preserve">In its Petition, IECPA </w:t>
      </w:r>
      <w:r w:rsidR="0055504A">
        <w:rPr>
          <w:color w:val="000000" w:themeColor="text1"/>
          <w:sz w:val="26"/>
          <w:szCs w:val="26"/>
        </w:rPr>
        <w:t xml:space="preserve">claims that </w:t>
      </w:r>
      <w:r w:rsidR="00A56378">
        <w:rPr>
          <w:color w:val="000000" w:themeColor="text1"/>
          <w:sz w:val="26"/>
          <w:szCs w:val="26"/>
        </w:rPr>
        <w:t xml:space="preserve">the impacts of the COVID-19 pandemic has changed the landscape for both utilities and their customers </w:t>
      </w:r>
      <w:r w:rsidR="0055504A">
        <w:rPr>
          <w:color w:val="000000" w:themeColor="text1"/>
          <w:sz w:val="26"/>
          <w:szCs w:val="26"/>
        </w:rPr>
        <w:t xml:space="preserve">since the Commission issued the </w:t>
      </w:r>
      <w:r w:rsidR="0055504A" w:rsidRPr="00CB4B6A">
        <w:rPr>
          <w:i/>
          <w:iCs/>
          <w:color w:val="000000" w:themeColor="text1"/>
          <w:sz w:val="26"/>
          <w:szCs w:val="26"/>
        </w:rPr>
        <w:t>Phase IV Tentative Implementation Order</w:t>
      </w:r>
      <w:r w:rsidR="00994260">
        <w:rPr>
          <w:color w:val="000000" w:themeColor="text1"/>
          <w:sz w:val="26"/>
          <w:szCs w:val="26"/>
        </w:rPr>
        <w:t xml:space="preserve"> a</w:t>
      </w:r>
      <w:r w:rsidR="00994260" w:rsidRPr="00994260">
        <w:rPr>
          <w:color w:val="000000" w:themeColor="text1"/>
          <w:sz w:val="26"/>
          <w:szCs w:val="26"/>
        </w:rPr>
        <w:t>nd the publication of the SWE's EEPDR</w:t>
      </w:r>
      <w:r w:rsidR="00A56378">
        <w:rPr>
          <w:color w:val="000000" w:themeColor="text1"/>
          <w:sz w:val="26"/>
          <w:szCs w:val="26"/>
        </w:rPr>
        <w:t>.</w:t>
      </w:r>
      <w:r w:rsidR="00E565E4">
        <w:rPr>
          <w:color w:val="000000" w:themeColor="text1"/>
          <w:sz w:val="26"/>
          <w:szCs w:val="26"/>
        </w:rPr>
        <w:t xml:space="preserve"> </w:t>
      </w:r>
      <w:r w:rsidR="00913D8B">
        <w:rPr>
          <w:color w:val="000000" w:themeColor="text1"/>
          <w:sz w:val="26"/>
          <w:szCs w:val="26"/>
        </w:rPr>
        <w:t xml:space="preserve"> IECPA cites the statewide “stay at home” order, which required the closure of all “non-life sustaining businesses,”</w:t>
      </w:r>
      <w:r w:rsidR="00D0643D">
        <w:rPr>
          <w:color w:val="000000" w:themeColor="text1"/>
          <w:sz w:val="26"/>
          <w:szCs w:val="26"/>
        </w:rPr>
        <w:t xml:space="preserve"> as the reason why many commercial and industrial (C&amp;I) customers have had to significant</w:t>
      </w:r>
      <w:r w:rsidR="002E6F0B">
        <w:rPr>
          <w:color w:val="000000" w:themeColor="text1"/>
          <w:sz w:val="26"/>
          <w:szCs w:val="26"/>
        </w:rPr>
        <w:t>ly</w:t>
      </w:r>
      <w:r w:rsidR="00D0643D">
        <w:rPr>
          <w:color w:val="000000" w:themeColor="text1"/>
          <w:sz w:val="26"/>
          <w:szCs w:val="26"/>
        </w:rPr>
        <w:t xml:space="preserve"> reduce or completely shut down their operations</w:t>
      </w:r>
      <w:r w:rsidR="0016471E">
        <w:rPr>
          <w:color w:val="000000" w:themeColor="text1"/>
          <w:sz w:val="26"/>
          <w:szCs w:val="26"/>
        </w:rPr>
        <w:t xml:space="preserve">, and also resulted in the loss of jobs and/or significant reduction in income for customers. </w:t>
      </w:r>
      <w:r w:rsidR="006C5FDA">
        <w:rPr>
          <w:color w:val="000000" w:themeColor="text1"/>
          <w:sz w:val="26"/>
          <w:szCs w:val="26"/>
        </w:rPr>
        <w:t xml:space="preserve"> </w:t>
      </w:r>
      <w:r w:rsidR="006C5FDA" w:rsidRPr="00213F1A">
        <w:rPr>
          <w:color w:val="000000" w:themeColor="text1"/>
          <w:sz w:val="26"/>
          <w:szCs w:val="26"/>
        </w:rPr>
        <w:t xml:space="preserve">IECPA acknowledged that it will be some time before the economic impact of the pandemic can be fully quantified, but cited Department of Labor and Industry statistics </w:t>
      </w:r>
      <w:r w:rsidR="007E1CEB" w:rsidRPr="00213F1A">
        <w:rPr>
          <w:color w:val="000000" w:themeColor="text1"/>
          <w:sz w:val="26"/>
          <w:szCs w:val="26"/>
        </w:rPr>
        <w:t>on unemployment claims during the pandemic</w:t>
      </w:r>
      <w:r w:rsidR="004A5BCA">
        <w:rPr>
          <w:color w:val="000000" w:themeColor="text1"/>
          <w:sz w:val="26"/>
          <w:szCs w:val="26"/>
        </w:rPr>
        <w:t xml:space="preserve"> as evidence </w:t>
      </w:r>
      <w:r w:rsidR="0034245A">
        <w:rPr>
          <w:color w:val="000000" w:themeColor="text1"/>
          <w:sz w:val="26"/>
          <w:szCs w:val="26"/>
        </w:rPr>
        <w:t xml:space="preserve">of widespread </w:t>
      </w:r>
      <w:r w:rsidR="005E3891">
        <w:rPr>
          <w:color w:val="000000" w:themeColor="text1"/>
          <w:sz w:val="26"/>
          <w:szCs w:val="26"/>
        </w:rPr>
        <w:t>financial harm</w:t>
      </w:r>
      <w:r w:rsidR="007E1CEB" w:rsidRPr="0034245A">
        <w:rPr>
          <w:color w:val="000000" w:themeColor="text1"/>
          <w:sz w:val="26"/>
          <w:szCs w:val="26"/>
        </w:rPr>
        <w:t>.</w:t>
      </w:r>
      <w:r w:rsidR="007E1CEB" w:rsidRPr="00213F1A">
        <w:rPr>
          <w:color w:val="000000" w:themeColor="text1"/>
          <w:sz w:val="26"/>
          <w:szCs w:val="26"/>
        </w:rPr>
        <w:t xml:space="preserve">  Petition at </w:t>
      </w:r>
      <w:r w:rsidR="002E6F0B">
        <w:rPr>
          <w:color w:val="000000" w:themeColor="text1"/>
          <w:sz w:val="26"/>
          <w:szCs w:val="26"/>
        </w:rPr>
        <w:t>2-</w:t>
      </w:r>
      <w:r w:rsidR="00213F1A" w:rsidRPr="00213F1A">
        <w:rPr>
          <w:color w:val="000000" w:themeColor="text1"/>
          <w:sz w:val="26"/>
          <w:szCs w:val="26"/>
        </w:rPr>
        <w:t xml:space="preserve">3. </w:t>
      </w:r>
      <w:r w:rsidR="00435C17">
        <w:rPr>
          <w:color w:val="000000" w:themeColor="text1"/>
          <w:sz w:val="26"/>
          <w:szCs w:val="26"/>
        </w:rPr>
        <w:br/>
      </w:r>
      <w:r w:rsidR="00435C17">
        <w:rPr>
          <w:color w:val="000000" w:themeColor="text1"/>
          <w:sz w:val="26"/>
          <w:szCs w:val="26"/>
        </w:rPr>
        <w:br/>
      </w:r>
      <w:r w:rsidR="00A75A16">
        <w:rPr>
          <w:color w:val="000000" w:themeColor="text1"/>
          <w:sz w:val="26"/>
          <w:szCs w:val="26"/>
        </w:rPr>
        <w:tab/>
      </w:r>
      <w:r w:rsidR="00435C17" w:rsidRPr="00435C17">
        <w:rPr>
          <w:color w:val="000000" w:themeColor="text1"/>
          <w:sz w:val="26"/>
          <w:szCs w:val="26"/>
        </w:rPr>
        <w:t xml:space="preserve">IECPA </w:t>
      </w:r>
      <w:r w:rsidR="00A75A16">
        <w:rPr>
          <w:color w:val="000000" w:themeColor="text1"/>
          <w:sz w:val="26"/>
          <w:szCs w:val="26"/>
        </w:rPr>
        <w:t>expresse</w:t>
      </w:r>
      <w:r w:rsidR="004C7A91">
        <w:rPr>
          <w:color w:val="000000" w:themeColor="text1"/>
          <w:sz w:val="26"/>
          <w:szCs w:val="26"/>
        </w:rPr>
        <w:t>s</w:t>
      </w:r>
      <w:r w:rsidR="00A75A16">
        <w:rPr>
          <w:color w:val="000000" w:themeColor="text1"/>
          <w:sz w:val="26"/>
          <w:szCs w:val="26"/>
        </w:rPr>
        <w:t xml:space="preserve"> c</w:t>
      </w:r>
      <w:r w:rsidR="00435C17" w:rsidRPr="00435C17">
        <w:rPr>
          <w:color w:val="000000" w:themeColor="text1"/>
          <w:sz w:val="26"/>
          <w:szCs w:val="26"/>
        </w:rPr>
        <w:t xml:space="preserve">oncern that any measures to impose additional electricity consumption savings and peak demand reductions, particularly when those measures are based on data that </w:t>
      </w:r>
      <w:r w:rsidR="00A75A16">
        <w:rPr>
          <w:color w:val="000000" w:themeColor="text1"/>
          <w:sz w:val="26"/>
          <w:szCs w:val="26"/>
        </w:rPr>
        <w:t xml:space="preserve">may </w:t>
      </w:r>
      <w:r w:rsidR="00A75A16" w:rsidRPr="00A75A16">
        <w:rPr>
          <w:color w:val="000000" w:themeColor="text1"/>
          <w:sz w:val="26"/>
          <w:szCs w:val="26"/>
        </w:rPr>
        <w:t xml:space="preserve">no longer </w:t>
      </w:r>
      <w:r w:rsidR="00BF6F86">
        <w:rPr>
          <w:color w:val="000000" w:themeColor="text1"/>
          <w:sz w:val="26"/>
          <w:szCs w:val="26"/>
        </w:rPr>
        <w:t xml:space="preserve">be </w:t>
      </w:r>
      <w:r w:rsidR="00A75A16" w:rsidRPr="00A75A16">
        <w:rPr>
          <w:color w:val="000000" w:themeColor="text1"/>
          <w:sz w:val="26"/>
          <w:szCs w:val="26"/>
        </w:rPr>
        <w:t>valid or relevant, may create unintended economic hardships on utilities and their consumers and would significantly hinder the ability of all stakeholders to cope with the present emergency.</w:t>
      </w:r>
      <w:r w:rsidR="00240B3C">
        <w:rPr>
          <w:color w:val="000000" w:themeColor="text1"/>
          <w:sz w:val="26"/>
          <w:szCs w:val="26"/>
        </w:rPr>
        <w:t xml:space="preserve">  IECPA note</w:t>
      </w:r>
      <w:r w:rsidR="00D6270F">
        <w:rPr>
          <w:color w:val="000000" w:themeColor="text1"/>
          <w:sz w:val="26"/>
          <w:szCs w:val="26"/>
        </w:rPr>
        <w:t>s</w:t>
      </w:r>
      <w:r w:rsidR="00240B3C">
        <w:rPr>
          <w:color w:val="000000" w:themeColor="text1"/>
          <w:sz w:val="26"/>
          <w:szCs w:val="26"/>
        </w:rPr>
        <w:t xml:space="preserve"> that the</w:t>
      </w:r>
      <w:r w:rsidR="00A75A16" w:rsidRPr="00A75A16">
        <w:rPr>
          <w:color w:val="000000" w:themeColor="text1"/>
          <w:sz w:val="26"/>
          <w:szCs w:val="26"/>
        </w:rPr>
        <w:t xml:space="preserve"> Commission's </w:t>
      </w:r>
      <w:r w:rsidR="00240B3C" w:rsidRPr="00CB4B6A">
        <w:rPr>
          <w:i/>
          <w:iCs/>
          <w:color w:val="000000" w:themeColor="text1"/>
          <w:sz w:val="26"/>
          <w:szCs w:val="26"/>
        </w:rPr>
        <w:lastRenderedPageBreak/>
        <w:t>Phase</w:t>
      </w:r>
      <w:r w:rsidR="00240B3C">
        <w:rPr>
          <w:color w:val="000000" w:themeColor="text1"/>
          <w:sz w:val="26"/>
          <w:szCs w:val="26"/>
        </w:rPr>
        <w:t xml:space="preserve"> </w:t>
      </w:r>
      <w:r w:rsidR="00240B3C" w:rsidRPr="00240B3C">
        <w:rPr>
          <w:i/>
          <w:iCs/>
          <w:color w:val="000000" w:themeColor="text1"/>
          <w:sz w:val="26"/>
          <w:szCs w:val="26"/>
        </w:rPr>
        <w:t xml:space="preserve">IV </w:t>
      </w:r>
      <w:r w:rsidR="00A75A16" w:rsidRPr="00240B3C">
        <w:rPr>
          <w:i/>
          <w:iCs/>
          <w:color w:val="000000" w:themeColor="text1"/>
          <w:sz w:val="26"/>
          <w:szCs w:val="26"/>
        </w:rPr>
        <w:t>Tentative Implementation Order</w:t>
      </w:r>
      <w:r w:rsidR="00A75A16" w:rsidRPr="00A75A16">
        <w:rPr>
          <w:color w:val="000000" w:themeColor="text1"/>
          <w:sz w:val="26"/>
          <w:szCs w:val="26"/>
        </w:rPr>
        <w:t xml:space="preserve"> established a statewide budget for Phase IV EE&amp;C programs of over $1.2 billion, which will be funded entirely through rates borne by consumers who are now confronted with </w:t>
      </w:r>
      <w:r w:rsidR="00EE4084">
        <w:rPr>
          <w:color w:val="000000" w:themeColor="text1"/>
          <w:sz w:val="26"/>
          <w:szCs w:val="26"/>
        </w:rPr>
        <w:t xml:space="preserve">what IECPA describes as </w:t>
      </w:r>
      <w:r w:rsidR="00A75A16" w:rsidRPr="00A75A16">
        <w:rPr>
          <w:color w:val="000000" w:themeColor="text1"/>
          <w:sz w:val="26"/>
          <w:szCs w:val="26"/>
        </w:rPr>
        <w:t xml:space="preserve">unprecedented economic pressures and </w:t>
      </w:r>
      <w:r w:rsidR="00AC5592">
        <w:rPr>
          <w:color w:val="000000" w:themeColor="text1"/>
          <w:sz w:val="26"/>
          <w:szCs w:val="26"/>
        </w:rPr>
        <w:t xml:space="preserve">an </w:t>
      </w:r>
      <w:r w:rsidR="00A75A16" w:rsidRPr="00A75A16">
        <w:rPr>
          <w:color w:val="000000" w:themeColor="text1"/>
          <w:sz w:val="26"/>
          <w:szCs w:val="26"/>
        </w:rPr>
        <w:t>uncertain economic future.</w:t>
      </w:r>
      <w:r w:rsidR="00FE04AA">
        <w:rPr>
          <w:color w:val="000000" w:themeColor="text1"/>
          <w:sz w:val="26"/>
          <w:szCs w:val="26"/>
        </w:rPr>
        <w:t xml:space="preserve">  </w:t>
      </w:r>
      <w:r w:rsidR="00233A45">
        <w:rPr>
          <w:color w:val="000000" w:themeColor="text1"/>
          <w:sz w:val="26"/>
          <w:szCs w:val="26"/>
        </w:rPr>
        <w:t xml:space="preserve">IECPA encourages the Commission </w:t>
      </w:r>
      <w:r w:rsidR="002519AA" w:rsidRPr="002519AA">
        <w:rPr>
          <w:color w:val="000000" w:themeColor="text1"/>
          <w:sz w:val="26"/>
          <w:szCs w:val="26"/>
        </w:rPr>
        <w:t>to re-evaluate the EEPDR in light of the certain changes in relation to demand and energy usage within the Commonwealth as a result of the pandemic, both in the short term and long term.</w:t>
      </w:r>
      <w:r w:rsidR="002519AA">
        <w:rPr>
          <w:color w:val="000000" w:themeColor="text1"/>
          <w:sz w:val="26"/>
          <w:szCs w:val="26"/>
        </w:rPr>
        <w:t xml:space="preserve">  </w:t>
      </w:r>
      <w:r w:rsidR="00672284">
        <w:rPr>
          <w:color w:val="000000" w:themeColor="text1"/>
          <w:sz w:val="26"/>
          <w:szCs w:val="26"/>
        </w:rPr>
        <w:t xml:space="preserve">Petition at 3-4. </w:t>
      </w:r>
      <w:r w:rsidR="00672284" w:rsidRPr="00A75A16">
        <w:rPr>
          <w:color w:val="000000" w:themeColor="text1"/>
          <w:sz w:val="26"/>
          <w:szCs w:val="26"/>
        </w:rPr>
        <w:t xml:space="preserve"> </w:t>
      </w:r>
      <w:r w:rsidR="008A24BD">
        <w:rPr>
          <w:color w:val="000000" w:themeColor="text1"/>
          <w:sz w:val="26"/>
          <w:szCs w:val="26"/>
        </w:rPr>
        <w:br/>
      </w:r>
      <w:r w:rsidR="008A24BD">
        <w:rPr>
          <w:color w:val="000000" w:themeColor="text1"/>
          <w:sz w:val="26"/>
          <w:szCs w:val="26"/>
        </w:rPr>
        <w:br/>
      </w:r>
      <w:r w:rsidR="008A24BD">
        <w:rPr>
          <w:color w:val="000000" w:themeColor="text1"/>
          <w:sz w:val="26"/>
          <w:szCs w:val="26"/>
        </w:rPr>
        <w:tab/>
        <w:t>IECPA assert</w:t>
      </w:r>
      <w:r w:rsidR="00273CB0">
        <w:rPr>
          <w:color w:val="000000" w:themeColor="text1"/>
          <w:sz w:val="26"/>
          <w:szCs w:val="26"/>
        </w:rPr>
        <w:t>s</w:t>
      </w:r>
      <w:r w:rsidR="008A24BD">
        <w:rPr>
          <w:color w:val="000000" w:themeColor="text1"/>
          <w:sz w:val="26"/>
          <w:szCs w:val="26"/>
        </w:rPr>
        <w:t xml:space="preserve"> that</w:t>
      </w:r>
      <w:r w:rsidR="008A24BD" w:rsidRPr="008A24BD">
        <w:rPr>
          <w:color w:val="000000" w:themeColor="text1"/>
          <w:sz w:val="26"/>
          <w:szCs w:val="26"/>
        </w:rPr>
        <w:t xml:space="preserve"> schedules and deadlines contemplated by the Commission in the </w:t>
      </w:r>
      <w:r w:rsidR="008A24BD" w:rsidRPr="008A24BD">
        <w:rPr>
          <w:i/>
          <w:iCs/>
          <w:color w:val="000000" w:themeColor="text1"/>
          <w:sz w:val="26"/>
          <w:szCs w:val="26"/>
        </w:rPr>
        <w:t>Phase IV Tentative Implementation Order</w:t>
      </w:r>
      <w:r w:rsidR="008A24BD" w:rsidRPr="008A24BD">
        <w:rPr>
          <w:color w:val="000000" w:themeColor="text1"/>
          <w:sz w:val="26"/>
          <w:szCs w:val="26"/>
        </w:rPr>
        <w:t xml:space="preserve"> for development and implementation of the Phase IV EE&amp;C programs are schedules and deadlines established purely by regulatory function, based on the implementation of previous phases of the overall Act 129 goals; </w:t>
      </w:r>
      <w:r w:rsidR="00AC5592">
        <w:rPr>
          <w:color w:val="000000" w:themeColor="text1"/>
          <w:sz w:val="26"/>
          <w:szCs w:val="26"/>
        </w:rPr>
        <w:t>arguing that there</w:t>
      </w:r>
      <w:r w:rsidR="008A24BD" w:rsidRPr="008A24BD">
        <w:rPr>
          <w:color w:val="000000" w:themeColor="text1"/>
          <w:sz w:val="26"/>
          <w:szCs w:val="26"/>
        </w:rPr>
        <w:t xml:space="preserve"> is no statutory obligation within Act 129 that requires the Commission to implement a Phase IV EE&amp;C regimen on the precise schedule established by the </w:t>
      </w:r>
      <w:r w:rsidR="00EE4084" w:rsidRPr="00EE4084">
        <w:rPr>
          <w:i/>
          <w:iCs/>
          <w:color w:val="000000" w:themeColor="text1"/>
          <w:sz w:val="26"/>
          <w:szCs w:val="26"/>
        </w:rPr>
        <w:t xml:space="preserve">Phase IV </w:t>
      </w:r>
      <w:r w:rsidR="008A24BD" w:rsidRPr="00EE4084">
        <w:rPr>
          <w:i/>
          <w:iCs/>
          <w:color w:val="000000" w:themeColor="text1"/>
          <w:sz w:val="26"/>
          <w:szCs w:val="26"/>
        </w:rPr>
        <w:t>Tentative Implementation Order</w:t>
      </w:r>
      <w:r w:rsidR="008A24BD" w:rsidRPr="008A24BD">
        <w:rPr>
          <w:color w:val="000000" w:themeColor="text1"/>
          <w:sz w:val="26"/>
          <w:szCs w:val="26"/>
        </w:rPr>
        <w:t>.</w:t>
      </w:r>
      <w:r w:rsidR="00D6270F">
        <w:rPr>
          <w:rStyle w:val="FootnoteReference"/>
          <w:color w:val="000000" w:themeColor="text1"/>
          <w:sz w:val="26"/>
          <w:szCs w:val="26"/>
        </w:rPr>
        <w:footnoteReference w:id="5"/>
      </w:r>
      <w:r w:rsidR="008A24BD" w:rsidRPr="008A24BD">
        <w:rPr>
          <w:color w:val="000000" w:themeColor="text1"/>
          <w:sz w:val="26"/>
          <w:szCs w:val="26"/>
        </w:rPr>
        <w:t xml:space="preserve"> </w:t>
      </w:r>
      <w:r w:rsidR="00D6270F">
        <w:rPr>
          <w:color w:val="000000" w:themeColor="text1"/>
          <w:sz w:val="26"/>
          <w:szCs w:val="26"/>
        </w:rPr>
        <w:t xml:space="preserve"> </w:t>
      </w:r>
      <w:r w:rsidR="008A24BD" w:rsidRPr="008A24BD">
        <w:rPr>
          <w:color w:val="000000" w:themeColor="text1"/>
          <w:sz w:val="26"/>
          <w:szCs w:val="26"/>
        </w:rPr>
        <w:t>Rather,</w:t>
      </w:r>
      <w:r w:rsidR="00D6270F">
        <w:rPr>
          <w:color w:val="000000" w:themeColor="text1"/>
          <w:sz w:val="26"/>
          <w:szCs w:val="26"/>
        </w:rPr>
        <w:t xml:space="preserve"> IECPA claims that</w:t>
      </w:r>
      <w:r w:rsidR="008A24BD" w:rsidRPr="008A24BD">
        <w:rPr>
          <w:color w:val="000000" w:themeColor="text1"/>
          <w:sz w:val="26"/>
          <w:szCs w:val="26"/>
        </w:rPr>
        <w:t xml:space="preserve"> the provisions of Act 129 required that EDCs file initial EE&amp;C plans by July 1, 2009, and then "every five years or as otherwise required by the Commission." 66 Pa. C.S. §</w:t>
      </w:r>
      <w:r w:rsidR="00D72865">
        <w:rPr>
          <w:color w:val="000000" w:themeColor="text1"/>
          <w:sz w:val="26"/>
          <w:szCs w:val="26"/>
        </w:rPr>
        <w:t> </w:t>
      </w:r>
      <w:r w:rsidR="008A24BD" w:rsidRPr="008A24BD">
        <w:rPr>
          <w:color w:val="000000" w:themeColor="text1"/>
          <w:sz w:val="26"/>
          <w:szCs w:val="26"/>
        </w:rPr>
        <w:t xml:space="preserve">2806.1(b). </w:t>
      </w:r>
      <w:r w:rsidR="00AF2A2A">
        <w:rPr>
          <w:color w:val="000000" w:themeColor="text1"/>
          <w:sz w:val="26"/>
          <w:szCs w:val="26"/>
        </w:rPr>
        <w:t xml:space="preserve"> IEPCA contends that w</w:t>
      </w:r>
      <w:r w:rsidR="008A24BD" w:rsidRPr="008A24BD">
        <w:rPr>
          <w:color w:val="000000" w:themeColor="text1"/>
          <w:sz w:val="26"/>
          <w:szCs w:val="26"/>
        </w:rPr>
        <w:t>hile Act 129 did require the Commission</w:t>
      </w:r>
      <w:r w:rsidR="00DD06DA">
        <w:rPr>
          <w:color w:val="000000" w:themeColor="text1"/>
          <w:sz w:val="26"/>
          <w:szCs w:val="26"/>
        </w:rPr>
        <w:t xml:space="preserve"> to</w:t>
      </w:r>
      <w:r w:rsidR="008A24BD" w:rsidRPr="008A24BD">
        <w:rPr>
          <w:color w:val="000000" w:themeColor="text1"/>
          <w:sz w:val="26"/>
          <w:szCs w:val="26"/>
        </w:rPr>
        <w:t xml:space="preserve"> evaluate the costs and benefits of EE&amp;C plans beginning on November 30, 2013, "and every five years thereafter" (</w:t>
      </w:r>
      <w:r w:rsidR="008A24BD" w:rsidRPr="00CB4B6A">
        <w:rPr>
          <w:i/>
          <w:iCs/>
          <w:color w:val="000000" w:themeColor="text1"/>
          <w:sz w:val="26"/>
          <w:szCs w:val="26"/>
        </w:rPr>
        <w:t>i.e</w:t>
      </w:r>
      <w:r w:rsidR="008A24BD" w:rsidRPr="008A24BD">
        <w:rPr>
          <w:color w:val="000000" w:themeColor="text1"/>
          <w:sz w:val="26"/>
          <w:szCs w:val="26"/>
        </w:rPr>
        <w:t xml:space="preserve">., November 30, 2018; November 30, 2023; November 30, 2028, etc.), the Commission has since embarked on a separate EE&amp;C filing and review trajectory, as it was empowered to do, that </w:t>
      </w:r>
      <w:r w:rsidR="00FA59B0">
        <w:rPr>
          <w:color w:val="000000" w:themeColor="text1"/>
          <w:sz w:val="26"/>
          <w:szCs w:val="26"/>
        </w:rPr>
        <w:t>IECPA argues</w:t>
      </w:r>
      <w:r w:rsidR="008A24BD" w:rsidRPr="008A24BD">
        <w:rPr>
          <w:color w:val="000000" w:themeColor="text1"/>
          <w:sz w:val="26"/>
          <w:szCs w:val="26"/>
        </w:rPr>
        <w:t xml:space="preserve"> exceeds the requirements established by statute.</w:t>
      </w:r>
      <w:r w:rsidR="00C43DA7">
        <w:rPr>
          <w:color w:val="000000" w:themeColor="text1"/>
          <w:sz w:val="26"/>
          <w:szCs w:val="26"/>
        </w:rPr>
        <w:t xml:space="preserve">  Petition at </w:t>
      </w:r>
      <w:r w:rsidR="00D73AE9">
        <w:rPr>
          <w:color w:val="000000" w:themeColor="text1"/>
          <w:sz w:val="26"/>
          <w:szCs w:val="26"/>
        </w:rPr>
        <w:t>5.</w:t>
      </w:r>
    </w:p>
    <w:p w14:paraId="218C4690" w14:textId="5B89EE64" w:rsidR="00F26BEB" w:rsidRDefault="00F26BEB">
      <w:pPr>
        <w:suppressAutoHyphens w:val="0"/>
        <w:overflowPunct/>
        <w:autoSpaceDE/>
        <w:rPr>
          <w:color w:val="000000" w:themeColor="text1"/>
          <w:sz w:val="26"/>
          <w:szCs w:val="26"/>
        </w:rPr>
      </w:pPr>
      <w:r>
        <w:rPr>
          <w:color w:val="000000" w:themeColor="text1"/>
          <w:sz w:val="26"/>
          <w:szCs w:val="26"/>
        </w:rPr>
        <w:br w:type="page"/>
      </w:r>
    </w:p>
    <w:p w14:paraId="47936F4E" w14:textId="0FAD2C6E" w:rsidR="006E2077" w:rsidRDefault="00602A83" w:rsidP="00D83D06">
      <w:pPr>
        <w:spacing w:line="360" w:lineRule="auto"/>
        <w:rPr>
          <w:color w:val="000000" w:themeColor="text1"/>
          <w:sz w:val="26"/>
          <w:szCs w:val="26"/>
        </w:rPr>
      </w:pPr>
      <w:r>
        <w:rPr>
          <w:color w:val="000000" w:themeColor="text1"/>
          <w:sz w:val="26"/>
          <w:szCs w:val="26"/>
        </w:rPr>
        <w:lastRenderedPageBreak/>
        <w:tab/>
        <w:t xml:space="preserve">In light of these concerns, IECPA </w:t>
      </w:r>
      <w:r w:rsidR="001A4A48">
        <w:rPr>
          <w:color w:val="000000" w:themeColor="text1"/>
          <w:sz w:val="26"/>
          <w:szCs w:val="26"/>
        </w:rPr>
        <w:t>requests</w:t>
      </w:r>
      <w:r>
        <w:rPr>
          <w:color w:val="000000" w:themeColor="text1"/>
          <w:sz w:val="26"/>
          <w:szCs w:val="26"/>
        </w:rPr>
        <w:t xml:space="preserve"> the following </w:t>
      </w:r>
      <w:r w:rsidR="006E2077">
        <w:rPr>
          <w:color w:val="000000" w:themeColor="text1"/>
          <w:sz w:val="26"/>
          <w:szCs w:val="26"/>
        </w:rPr>
        <w:t>relief:</w:t>
      </w:r>
    </w:p>
    <w:p w14:paraId="7511EECD" w14:textId="77777777" w:rsidR="006E2077" w:rsidRDefault="006E2077" w:rsidP="00D83D06">
      <w:pPr>
        <w:spacing w:line="360" w:lineRule="auto"/>
        <w:rPr>
          <w:color w:val="000000" w:themeColor="text1"/>
          <w:sz w:val="26"/>
          <w:szCs w:val="26"/>
        </w:rPr>
      </w:pPr>
    </w:p>
    <w:p w14:paraId="6D5464CC" w14:textId="59ABD96C" w:rsidR="001A4A48" w:rsidRPr="00543764" w:rsidRDefault="00840F72" w:rsidP="00CB4B6A">
      <w:pPr>
        <w:pStyle w:val="ListParagraph"/>
        <w:numPr>
          <w:ilvl w:val="0"/>
          <w:numId w:val="3"/>
        </w:numPr>
        <w:ind w:left="1080" w:right="720"/>
        <w:jc w:val="both"/>
        <w:rPr>
          <w:sz w:val="26"/>
          <w:szCs w:val="26"/>
        </w:rPr>
      </w:pPr>
      <w:r w:rsidRPr="00944ACE">
        <w:rPr>
          <w:b/>
          <w:bCs/>
          <w:sz w:val="26"/>
          <w:szCs w:val="26"/>
        </w:rPr>
        <w:t xml:space="preserve">Immediately </w:t>
      </w:r>
      <w:bookmarkStart w:id="6" w:name="_Hlk51232674"/>
      <w:r w:rsidRPr="00944ACE">
        <w:rPr>
          <w:b/>
          <w:bCs/>
          <w:sz w:val="26"/>
          <w:szCs w:val="26"/>
        </w:rPr>
        <w:t>suspending the requirements and implementation of Phase IV EE&amp;C programs for 270 days</w:t>
      </w:r>
      <w:bookmarkEnd w:id="6"/>
      <w:r w:rsidRPr="00543764">
        <w:rPr>
          <w:sz w:val="26"/>
          <w:szCs w:val="26"/>
        </w:rPr>
        <w:t xml:space="preserve">, or for such period as the Commission determines is necessary, in order to permit the Commission, the subject Electric Distribution Companies, electricity ratepayers, and the Pennsylvania public to recover from the impacts of the current novel-coronavirus and COVID-19 pandemic before additional mandates of energy and peak demand reductions and the incurrence of the substantial costs necessary to achieve those savings, are imposed, and to otherwise re-evaluate Phase IV goals in light of the future energy impacts of the current novel-coronavirus and COVID-19 pandemic and recovery; </w:t>
      </w:r>
    </w:p>
    <w:p w14:paraId="3B3838A7" w14:textId="77777777" w:rsidR="00543764" w:rsidRPr="00543764" w:rsidRDefault="00543764" w:rsidP="00CB4B6A">
      <w:pPr>
        <w:pStyle w:val="ListParagraph"/>
        <w:ind w:left="1080" w:right="720"/>
        <w:jc w:val="both"/>
        <w:rPr>
          <w:sz w:val="26"/>
          <w:szCs w:val="26"/>
        </w:rPr>
      </w:pPr>
    </w:p>
    <w:p w14:paraId="4AEFDA8A" w14:textId="52D184AC" w:rsidR="001A4A48" w:rsidRPr="00543764" w:rsidRDefault="00840F72" w:rsidP="00CB4B6A">
      <w:pPr>
        <w:pStyle w:val="ListParagraph"/>
        <w:numPr>
          <w:ilvl w:val="0"/>
          <w:numId w:val="3"/>
        </w:numPr>
        <w:ind w:left="1080" w:right="720"/>
        <w:jc w:val="both"/>
        <w:rPr>
          <w:sz w:val="26"/>
          <w:szCs w:val="26"/>
        </w:rPr>
      </w:pPr>
      <w:r w:rsidRPr="00944ACE">
        <w:rPr>
          <w:b/>
          <w:bCs/>
          <w:sz w:val="26"/>
          <w:szCs w:val="26"/>
        </w:rPr>
        <w:t xml:space="preserve">Immediately, and commensurate with the suspension of Phase IV implementation, </w:t>
      </w:r>
      <w:bookmarkStart w:id="7" w:name="_Hlk51232736"/>
      <w:r w:rsidRPr="00944ACE">
        <w:rPr>
          <w:b/>
          <w:bCs/>
          <w:sz w:val="26"/>
          <w:szCs w:val="26"/>
        </w:rPr>
        <w:t xml:space="preserve">extending the </w:t>
      </w:r>
      <w:bookmarkStart w:id="8" w:name="_Hlk51613649"/>
      <w:r w:rsidRPr="00944ACE">
        <w:rPr>
          <w:b/>
          <w:bCs/>
          <w:sz w:val="26"/>
          <w:szCs w:val="26"/>
        </w:rPr>
        <w:t>term of the current Phase III EE&amp;C Programs implemented by the subject Electric Distribution Companies for 270 days</w:t>
      </w:r>
      <w:bookmarkEnd w:id="7"/>
      <w:bookmarkEnd w:id="8"/>
      <w:r w:rsidRPr="00543764">
        <w:rPr>
          <w:sz w:val="26"/>
          <w:szCs w:val="26"/>
        </w:rPr>
        <w:t xml:space="preserve">, or for such period as the Commission determines is necessary, in order to provide an opportunity for Electric Distribution Companies, electricity ratepayers, and the Pennsylvania public to recover from the impacts of the current novel-coronavirus and COVID-19 pandemic before the mandated Phase III energy and peak demand targets must be met; </w:t>
      </w:r>
    </w:p>
    <w:p w14:paraId="5C6B69C1" w14:textId="77777777" w:rsidR="00543764" w:rsidRPr="00543764" w:rsidRDefault="00543764" w:rsidP="00CB4B6A">
      <w:pPr>
        <w:pStyle w:val="ListParagraph"/>
        <w:ind w:left="1080" w:right="720"/>
        <w:jc w:val="both"/>
        <w:rPr>
          <w:sz w:val="26"/>
          <w:szCs w:val="26"/>
        </w:rPr>
      </w:pPr>
    </w:p>
    <w:p w14:paraId="3044BB5F" w14:textId="45C30777" w:rsidR="001A4A48" w:rsidRPr="00543764" w:rsidRDefault="00840F72" w:rsidP="00CB4B6A">
      <w:pPr>
        <w:pStyle w:val="ListParagraph"/>
        <w:numPr>
          <w:ilvl w:val="0"/>
          <w:numId w:val="3"/>
        </w:numPr>
        <w:ind w:left="1080" w:right="720"/>
        <w:jc w:val="both"/>
        <w:rPr>
          <w:sz w:val="26"/>
          <w:szCs w:val="26"/>
        </w:rPr>
      </w:pPr>
      <w:r w:rsidRPr="00944ACE">
        <w:rPr>
          <w:b/>
          <w:bCs/>
          <w:sz w:val="26"/>
          <w:szCs w:val="26"/>
        </w:rPr>
        <w:t xml:space="preserve">Requiring Act 129-subject Electric Distribution Companies to immediately, and in conjunction with the extension of Phase III EE&amp;C programs, </w:t>
      </w:r>
      <w:bookmarkStart w:id="9" w:name="_Hlk51232786"/>
      <w:r w:rsidRPr="00944ACE">
        <w:rPr>
          <w:b/>
          <w:bCs/>
          <w:sz w:val="26"/>
          <w:szCs w:val="26"/>
        </w:rPr>
        <w:t>reduce all EE&amp;C surcharges imposed on customers by a minimum of fifty percent for the duration of the Phase III programs, including the 270-day extension</w:t>
      </w:r>
      <w:bookmarkEnd w:id="9"/>
      <w:r w:rsidRPr="00543764">
        <w:rPr>
          <w:sz w:val="26"/>
          <w:szCs w:val="26"/>
        </w:rPr>
        <w:t xml:space="preserve">. At the end of the original Phase III period (i.e., May 31, 2021), and when pandemic recovery is hopefully cemented and better data is available to the Commission, utilities, and stakeholders, IECPA further recommends that the Electric Distribution Companies may then file to reconcile actual Phase III expenditures against over- or under-recoveries from customers, per normal reconciliation procedures for such costs. </w:t>
      </w:r>
      <w:r w:rsidR="00991A12">
        <w:rPr>
          <w:sz w:val="26"/>
          <w:szCs w:val="26"/>
        </w:rPr>
        <w:t xml:space="preserve"> </w:t>
      </w:r>
      <w:r w:rsidRPr="00543764">
        <w:rPr>
          <w:sz w:val="26"/>
          <w:szCs w:val="26"/>
        </w:rPr>
        <w:t xml:space="preserve">To the extent available data after the initial 270-day period indicates that a further decrease, or increase, in EE&amp;C expenditures may be warranted over the remaining period of the Phase III programs, then the Electric Distribution Companies should be required to file for such adjustments, with corresponding adjustments to the applicable surcharges with all final expenses and revenues (not to exceed the expenses and revenues anticipated by the initial implementation of Phase III) to be reconciled at the termination of the Phase III program period; </w:t>
      </w:r>
    </w:p>
    <w:p w14:paraId="2C6B8932" w14:textId="77777777" w:rsidR="00543764" w:rsidRPr="00543764" w:rsidRDefault="00543764" w:rsidP="00CB4B6A">
      <w:pPr>
        <w:pStyle w:val="ListParagraph"/>
        <w:ind w:left="1080" w:right="720"/>
        <w:jc w:val="both"/>
        <w:rPr>
          <w:sz w:val="26"/>
          <w:szCs w:val="26"/>
        </w:rPr>
      </w:pPr>
    </w:p>
    <w:p w14:paraId="32780A4C" w14:textId="4ADBA4A8" w:rsidR="001A4A48" w:rsidRPr="00543764" w:rsidRDefault="00840F72" w:rsidP="00CB4B6A">
      <w:pPr>
        <w:pStyle w:val="ListParagraph"/>
        <w:numPr>
          <w:ilvl w:val="0"/>
          <w:numId w:val="3"/>
        </w:numPr>
        <w:ind w:left="1080" w:right="720"/>
        <w:jc w:val="both"/>
        <w:rPr>
          <w:sz w:val="26"/>
          <w:szCs w:val="26"/>
        </w:rPr>
      </w:pPr>
      <w:r w:rsidRPr="00944ACE">
        <w:rPr>
          <w:b/>
          <w:bCs/>
          <w:sz w:val="26"/>
          <w:szCs w:val="26"/>
        </w:rPr>
        <w:t xml:space="preserve">Mandating that all Phase III projects under progress or planned for future implementation on behalf of individual customers be completed or commence as soon as is feasible under each Electric Distribution Company's existing Phase III </w:t>
      </w:r>
      <w:proofErr w:type="gramStart"/>
      <w:r w:rsidRPr="00944ACE">
        <w:rPr>
          <w:b/>
          <w:bCs/>
          <w:sz w:val="26"/>
          <w:szCs w:val="26"/>
        </w:rPr>
        <w:t>program</w:t>
      </w:r>
      <w:r w:rsidRPr="00543764">
        <w:rPr>
          <w:sz w:val="26"/>
          <w:szCs w:val="26"/>
        </w:rPr>
        <w:t>;</w:t>
      </w:r>
      <w:proofErr w:type="gramEnd"/>
      <w:r w:rsidRPr="00543764">
        <w:rPr>
          <w:sz w:val="26"/>
          <w:szCs w:val="26"/>
        </w:rPr>
        <w:t xml:space="preserve"> and</w:t>
      </w:r>
    </w:p>
    <w:p w14:paraId="6FA79CF8" w14:textId="77777777" w:rsidR="00543764" w:rsidRPr="00543764" w:rsidRDefault="00543764" w:rsidP="00CB4B6A">
      <w:pPr>
        <w:pStyle w:val="ListParagraph"/>
        <w:ind w:left="1080" w:right="720"/>
        <w:jc w:val="both"/>
        <w:rPr>
          <w:sz w:val="26"/>
          <w:szCs w:val="26"/>
        </w:rPr>
      </w:pPr>
    </w:p>
    <w:p w14:paraId="5F311F12" w14:textId="6748A9A1" w:rsidR="00481240" w:rsidRDefault="001A4A48" w:rsidP="00481240">
      <w:pPr>
        <w:pStyle w:val="ListParagraph"/>
        <w:numPr>
          <w:ilvl w:val="0"/>
          <w:numId w:val="3"/>
        </w:numPr>
        <w:ind w:left="1080" w:right="720"/>
        <w:jc w:val="both"/>
        <w:rPr>
          <w:sz w:val="26"/>
          <w:szCs w:val="26"/>
        </w:rPr>
      </w:pPr>
      <w:r w:rsidRPr="00944ACE">
        <w:rPr>
          <w:b/>
          <w:bCs/>
          <w:sz w:val="26"/>
          <w:szCs w:val="26"/>
        </w:rPr>
        <w:t xml:space="preserve">Immediately </w:t>
      </w:r>
      <w:bookmarkStart w:id="10" w:name="_Hlk51232847"/>
      <w:r w:rsidRPr="00944ACE">
        <w:rPr>
          <w:b/>
          <w:bCs/>
          <w:sz w:val="26"/>
          <w:szCs w:val="26"/>
        </w:rPr>
        <w:t>suspending the penalties applicable to all Act 129</w:t>
      </w:r>
      <w:r w:rsidR="00BF619B">
        <w:rPr>
          <w:b/>
          <w:bCs/>
          <w:sz w:val="26"/>
          <w:szCs w:val="26"/>
        </w:rPr>
        <w:noBreakHyphen/>
      </w:r>
      <w:r w:rsidRPr="00944ACE">
        <w:rPr>
          <w:b/>
          <w:bCs/>
          <w:sz w:val="26"/>
          <w:szCs w:val="26"/>
        </w:rPr>
        <w:t>subject Electric Distribution Companies for failure to achieve the Phase III energy and peak demand targets through the duration of the extended Phase III programs</w:t>
      </w:r>
      <w:bookmarkEnd w:id="10"/>
      <w:r w:rsidRPr="00543764">
        <w:rPr>
          <w:sz w:val="26"/>
          <w:szCs w:val="26"/>
        </w:rPr>
        <w:t>, subject to future modification, change, or waiver by the Commission, at its discretion, at the end of the</w:t>
      </w:r>
    </w:p>
    <w:p w14:paraId="1BEB0B0D" w14:textId="0474640A" w:rsidR="0035526C" w:rsidRPr="00481240" w:rsidRDefault="001A4A48" w:rsidP="00481240">
      <w:pPr>
        <w:ind w:left="1080" w:right="720"/>
        <w:rPr>
          <w:sz w:val="26"/>
          <w:szCs w:val="26"/>
        </w:rPr>
      </w:pPr>
      <w:r w:rsidRPr="00481240">
        <w:rPr>
          <w:sz w:val="26"/>
          <w:szCs w:val="26"/>
        </w:rPr>
        <w:t>Phase III program period.</w:t>
      </w:r>
      <w:r w:rsidR="005433D7" w:rsidRPr="00481240">
        <w:rPr>
          <w:sz w:val="26"/>
          <w:szCs w:val="26"/>
        </w:rPr>
        <w:br/>
      </w:r>
    </w:p>
    <w:p w14:paraId="64974CC7" w14:textId="55C87EB8" w:rsidR="0035526C" w:rsidRPr="00543764" w:rsidRDefault="0035526C" w:rsidP="0035526C">
      <w:pPr>
        <w:spacing w:line="360" w:lineRule="auto"/>
        <w:rPr>
          <w:sz w:val="26"/>
          <w:szCs w:val="26"/>
        </w:rPr>
      </w:pPr>
      <w:r w:rsidRPr="00543764">
        <w:rPr>
          <w:sz w:val="26"/>
          <w:szCs w:val="26"/>
        </w:rPr>
        <w:t>Petition at 14-15</w:t>
      </w:r>
      <w:r w:rsidR="007737C8">
        <w:rPr>
          <w:sz w:val="26"/>
          <w:szCs w:val="26"/>
        </w:rPr>
        <w:t xml:space="preserve"> (emphasis added)</w:t>
      </w:r>
      <w:r w:rsidRPr="00543764">
        <w:rPr>
          <w:sz w:val="26"/>
          <w:szCs w:val="26"/>
        </w:rPr>
        <w:t>.</w:t>
      </w:r>
    </w:p>
    <w:p w14:paraId="45EC8E78" w14:textId="77777777" w:rsidR="0035526C" w:rsidRPr="0035526C" w:rsidRDefault="0035526C" w:rsidP="0035526C">
      <w:pPr>
        <w:spacing w:line="360" w:lineRule="auto"/>
        <w:rPr>
          <w:color w:val="FF0000"/>
          <w:sz w:val="26"/>
          <w:szCs w:val="26"/>
        </w:rPr>
      </w:pPr>
    </w:p>
    <w:p w14:paraId="33F74CD6" w14:textId="2877BCC9" w:rsidR="00640612" w:rsidRDefault="00CA1E81" w:rsidP="00AF7A3F">
      <w:pPr>
        <w:suppressAutoHyphens w:val="0"/>
        <w:overflowPunct/>
        <w:autoSpaceDE/>
        <w:rPr>
          <w:b/>
          <w:bCs/>
          <w:sz w:val="26"/>
          <w:szCs w:val="26"/>
        </w:rPr>
      </w:pPr>
      <w:r>
        <w:rPr>
          <w:b/>
          <w:bCs/>
          <w:sz w:val="26"/>
          <w:szCs w:val="26"/>
        </w:rPr>
        <w:br w:type="page"/>
      </w:r>
      <w:r w:rsidR="00931B44" w:rsidRPr="00891D09">
        <w:rPr>
          <w:b/>
          <w:bCs/>
          <w:sz w:val="26"/>
          <w:szCs w:val="26"/>
        </w:rPr>
        <w:lastRenderedPageBreak/>
        <w:t>Answers</w:t>
      </w:r>
      <w:r w:rsidR="00912500" w:rsidRPr="00891D09">
        <w:rPr>
          <w:b/>
          <w:bCs/>
          <w:sz w:val="26"/>
          <w:szCs w:val="26"/>
        </w:rPr>
        <w:t xml:space="preserve"> and Comments</w:t>
      </w:r>
    </w:p>
    <w:p w14:paraId="14923F3E" w14:textId="77777777" w:rsidR="00AF7A3F" w:rsidRPr="00891D09" w:rsidRDefault="00AF7A3F" w:rsidP="00AF7A3F">
      <w:pPr>
        <w:suppressAutoHyphens w:val="0"/>
        <w:overflowPunct/>
        <w:autoSpaceDE/>
        <w:rPr>
          <w:b/>
          <w:bCs/>
          <w:sz w:val="26"/>
          <w:szCs w:val="26"/>
        </w:rPr>
      </w:pPr>
    </w:p>
    <w:p w14:paraId="69A67174" w14:textId="1DE45189" w:rsidR="00102910" w:rsidRDefault="00470538" w:rsidP="003A293E">
      <w:pPr>
        <w:pStyle w:val="ListParagraph"/>
        <w:numPr>
          <w:ilvl w:val="0"/>
          <w:numId w:val="5"/>
        </w:numPr>
        <w:rPr>
          <w:sz w:val="26"/>
          <w:szCs w:val="26"/>
        </w:rPr>
      </w:pPr>
      <w:r w:rsidRPr="004F1E5E">
        <w:rPr>
          <w:b/>
          <w:bCs/>
          <w:sz w:val="26"/>
          <w:szCs w:val="26"/>
        </w:rPr>
        <w:t>Suspending</w:t>
      </w:r>
      <w:r>
        <w:rPr>
          <w:sz w:val="26"/>
          <w:szCs w:val="26"/>
        </w:rPr>
        <w:t xml:space="preserve"> </w:t>
      </w:r>
      <w:r w:rsidRPr="00470538">
        <w:rPr>
          <w:b/>
          <w:bCs/>
          <w:sz w:val="26"/>
          <w:szCs w:val="26"/>
        </w:rPr>
        <w:t xml:space="preserve">implementation of Phase IV EE&amp;C programs </w:t>
      </w:r>
    </w:p>
    <w:p w14:paraId="366070AC" w14:textId="0DF56420" w:rsidR="003A293E" w:rsidRDefault="003A293E" w:rsidP="003A293E">
      <w:pPr>
        <w:pStyle w:val="ListParagraph"/>
        <w:rPr>
          <w:sz w:val="26"/>
          <w:szCs w:val="26"/>
        </w:rPr>
      </w:pPr>
    </w:p>
    <w:p w14:paraId="33AEA67F" w14:textId="2A6B72F9" w:rsidR="00207621" w:rsidRDefault="00D748BE" w:rsidP="003A293E">
      <w:pPr>
        <w:pStyle w:val="ListParagraph"/>
        <w:spacing w:line="360" w:lineRule="auto"/>
        <w:ind w:left="0"/>
        <w:rPr>
          <w:sz w:val="26"/>
          <w:szCs w:val="26"/>
        </w:rPr>
      </w:pPr>
      <w:r>
        <w:rPr>
          <w:sz w:val="26"/>
          <w:szCs w:val="26"/>
        </w:rPr>
        <w:tab/>
        <w:t xml:space="preserve">The Industrial Customers support IECPA’s Petition </w:t>
      </w:r>
      <w:r w:rsidR="00632FE6">
        <w:rPr>
          <w:sz w:val="26"/>
          <w:szCs w:val="26"/>
        </w:rPr>
        <w:t xml:space="preserve">and agree that the Commission should delay the implementation of Phase IV EE&amp;C programs.  </w:t>
      </w:r>
      <w:r w:rsidR="00C67B18" w:rsidRPr="00632FE6">
        <w:rPr>
          <w:sz w:val="26"/>
          <w:szCs w:val="26"/>
        </w:rPr>
        <w:t>Similarly,</w:t>
      </w:r>
      <w:r w:rsidR="00632FE6" w:rsidRPr="00632FE6">
        <w:rPr>
          <w:sz w:val="26"/>
          <w:szCs w:val="26"/>
        </w:rPr>
        <w:t xml:space="preserve"> to IECPA, the Industrial Customers assert that, when Act 129 is read in </w:t>
      </w:r>
      <w:r w:rsidR="00233F28">
        <w:rPr>
          <w:sz w:val="26"/>
          <w:szCs w:val="26"/>
        </w:rPr>
        <w:t>conjunction</w:t>
      </w:r>
      <w:r w:rsidR="00233F28" w:rsidRPr="00632FE6">
        <w:rPr>
          <w:sz w:val="26"/>
          <w:szCs w:val="26"/>
        </w:rPr>
        <w:t xml:space="preserve"> </w:t>
      </w:r>
      <w:r w:rsidR="00632FE6" w:rsidRPr="00632FE6">
        <w:rPr>
          <w:sz w:val="26"/>
          <w:szCs w:val="26"/>
        </w:rPr>
        <w:t xml:space="preserve">with Sections 501 and 1301 of the Code, the Commission has statutory authority to delay the implementation of Phase IV for a year or longer.  </w:t>
      </w:r>
      <w:r w:rsidR="004D1696" w:rsidRPr="004D1696">
        <w:rPr>
          <w:sz w:val="26"/>
          <w:szCs w:val="26"/>
        </w:rPr>
        <w:t>The Industrial Customers also point out that Act 129 does not expressly require or encourage the Commission to continue this program in perpetuity, and that Act 129 expressly states that the “reductions in consumption required by the commission shall be accomplished no later than May 31, 2017,” thereby confirming that the Commission is no longer under a mandate to conduct further phases of the program.  Industrial Customers at 6</w:t>
      </w:r>
      <w:r w:rsidR="00E54BBD">
        <w:rPr>
          <w:sz w:val="26"/>
          <w:szCs w:val="26"/>
        </w:rPr>
        <w:noBreakHyphen/>
        <w:t>7</w:t>
      </w:r>
      <w:r w:rsidR="004D1696" w:rsidRPr="004D1696">
        <w:rPr>
          <w:sz w:val="26"/>
          <w:szCs w:val="26"/>
        </w:rPr>
        <w:t xml:space="preserve">.  </w:t>
      </w:r>
    </w:p>
    <w:p w14:paraId="0DC7936C" w14:textId="77777777" w:rsidR="00207621" w:rsidRDefault="00207621" w:rsidP="003A293E">
      <w:pPr>
        <w:pStyle w:val="ListParagraph"/>
        <w:spacing w:line="360" w:lineRule="auto"/>
        <w:ind w:left="0"/>
        <w:rPr>
          <w:sz w:val="26"/>
          <w:szCs w:val="26"/>
        </w:rPr>
      </w:pPr>
    </w:p>
    <w:p w14:paraId="350F4B95" w14:textId="22ADAD98" w:rsidR="00883466" w:rsidRDefault="00207621" w:rsidP="00CB4B6A">
      <w:pPr>
        <w:pStyle w:val="ListParagraph"/>
        <w:spacing w:line="360" w:lineRule="auto"/>
        <w:ind w:left="0" w:firstLine="720"/>
        <w:rPr>
          <w:sz w:val="26"/>
          <w:szCs w:val="26"/>
        </w:rPr>
      </w:pPr>
      <w:r>
        <w:rPr>
          <w:sz w:val="26"/>
          <w:szCs w:val="26"/>
        </w:rPr>
        <w:t xml:space="preserve">The OCA also agrees with IECPA that proceeding with implementation of Phase IV at this time does not seem reasonable due to the impacts of the COVID-19 pandemic.  </w:t>
      </w:r>
      <w:r w:rsidRPr="00E76E24">
        <w:rPr>
          <w:sz w:val="26"/>
          <w:szCs w:val="26"/>
        </w:rPr>
        <w:t>The OCA agrees with IECPA that any measures to develop additional electricity consumption savings and peak demand reduction targets, particularly when those targets are based on data that is no longer valid or relevant, could create unintended economic hardships on utilities and consumers.</w:t>
      </w:r>
      <w:r>
        <w:rPr>
          <w:sz w:val="26"/>
          <w:szCs w:val="26"/>
        </w:rPr>
        <w:t xml:space="preserve">  OCA at 1</w:t>
      </w:r>
      <w:r>
        <w:rPr>
          <w:sz w:val="26"/>
          <w:szCs w:val="26"/>
        </w:rPr>
        <w:noBreakHyphen/>
        <w:t>2.</w:t>
      </w:r>
      <w:r w:rsidR="0081058F">
        <w:rPr>
          <w:sz w:val="26"/>
          <w:szCs w:val="26"/>
        </w:rPr>
        <w:br/>
      </w:r>
    </w:p>
    <w:p w14:paraId="143CA37B" w14:textId="296127F7" w:rsidR="00883466" w:rsidRDefault="00883466" w:rsidP="003A293E">
      <w:pPr>
        <w:pStyle w:val="ListParagraph"/>
        <w:spacing w:line="360" w:lineRule="auto"/>
        <w:ind w:left="0"/>
        <w:rPr>
          <w:sz w:val="26"/>
          <w:szCs w:val="26"/>
        </w:rPr>
      </w:pPr>
      <w:r>
        <w:rPr>
          <w:sz w:val="26"/>
          <w:szCs w:val="26"/>
        </w:rPr>
        <w:tab/>
        <w:t xml:space="preserve">FirstEnergy opposes </w:t>
      </w:r>
      <w:r w:rsidR="00880361">
        <w:rPr>
          <w:sz w:val="26"/>
          <w:szCs w:val="26"/>
        </w:rPr>
        <w:t xml:space="preserve">IECPA’s </w:t>
      </w:r>
      <w:r w:rsidR="00E54BBD">
        <w:rPr>
          <w:sz w:val="26"/>
          <w:szCs w:val="26"/>
        </w:rPr>
        <w:t>request to</w:t>
      </w:r>
      <w:r w:rsidR="00880361">
        <w:rPr>
          <w:sz w:val="26"/>
          <w:szCs w:val="26"/>
        </w:rPr>
        <w:t xml:space="preserve"> delay Phase IV as </w:t>
      </w:r>
      <w:r w:rsidR="00F758C5">
        <w:rPr>
          <w:sz w:val="26"/>
          <w:szCs w:val="26"/>
        </w:rPr>
        <w:t xml:space="preserve">it </w:t>
      </w:r>
      <w:r w:rsidR="00880361">
        <w:rPr>
          <w:sz w:val="26"/>
          <w:szCs w:val="26"/>
        </w:rPr>
        <w:t xml:space="preserve">would extend the beginning of Phase IV </w:t>
      </w:r>
      <w:r w:rsidR="00F758C5">
        <w:rPr>
          <w:sz w:val="26"/>
          <w:szCs w:val="26"/>
        </w:rPr>
        <w:t>to</w:t>
      </w:r>
      <w:r w:rsidR="00880361">
        <w:rPr>
          <w:sz w:val="26"/>
          <w:szCs w:val="26"/>
        </w:rPr>
        <w:t xml:space="preserve"> March of 2022</w:t>
      </w:r>
      <w:r w:rsidR="007B015D">
        <w:rPr>
          <w:sz w:val="26"/>
          <w:szCs w:val="26"/>
        </w:rPr>
        <w:t>,</w:t>
      </w:r>
      <w:r w:rsidR="001B2194">
        <w:rPr>
          <w:sz w:val="26"/>
          <w:szCs w:val="26"/>
        </w:rPr>
        <w:t xml:space="preserve"> </w:t>
      </w:r>
      <w:r w:rsidR="00315160">
        <w:rPr>
          <w:sz w:val="26"/>
          <w:szCs w:val="26"/>
        </w:rPr>
        <w:t>noting that</w:t>
      </w:r>
      <w:r w:rsidR="001B2194">
        <w:rPr>
          <w:sz w:val="26"/>
          <w:szCs w:val="26"/>
        </w:rPr>
        <w:t xml:space="preserve"> the impacts of the pandemic may be reduced, mitigated, or resolved</w:t>
      </w:r>
      <w:r w:rsidR="00315160">
        <w:rPr>
          <w:sz w:val="26"/>
          <w:szCs w:val="26"/>
        </w:rPr>
        <w:t xml:space="preserve"> during the interim</w:t>
      </w:r>
      <w:r w:rsidR="001B2194">
        <w:rPr>
          <w:sz w:val="26"/>
          <w:szCs w:val="26"/>
        </w:rPr>
        <w:t xml:space="preserve">.  </w:t>
      </w:r>
      <w:r w:rsidR="00034A31">
        <w:rPr>
          <w:sz w:val="26"/>
          <w:szCs w:val="26"/>
        </w:rPr>
        <w:t>FirstEnergy</w:t>
      </w:r>
      <w:r w:rsidR="006A75E7">
        <w:rPr>
          <w:sz w:val="26"/>
          <w:szCs w:val="26"/>
        </w:rPr>
        <w:t xml:space="preserve"> argues</w:t>
      </w:r>
      <w:r w:rsidR="00034A31">
        <w:rPr>
          <w:sz w:val="26"/>
          <w:szCs w:val="26"/>
        </w:rPr>
        <w:t xml:space="preserve"> that </w:t>
      </w:r>
      <w:r w:rsidR="006A75E7">
        <w:rPr>
          <w:sz w:val="26"/>
          <w:szCs w:val="26"/>
        </w:rPr>
        <w:t>I</w:t>
      </w:r>
      <w:r w:rsidR="006A75E7" w:rsidRPr="006A75E7">
        <w:rPr>
          <w:sz w:val="26"/>
          <w:szCs w:val="26"/>
        </w:rPr>
        <w:t>ECPA’s requested 270-day delay</w:t>
      </w:r>
      <w:r w:rsidR="006A75E7">
        <w:rPr>
          <w:sz w:val="26"/>
          <w:szCs w:val="26"/>
        </w:rPr>
        <w:t xml:space="preserve"> </w:t>
      </w:r>
      <w:r w:rsidR="006A75E7" w:rsidRPr="006A75E7">
        <w:rPr>
          <w:sz w:val="26"/>
          <w:szCs w:val="26"/>
        </w:rPr>
        <w:t>is arbitrary and will only introduce highly speculative</w:t>
      </w:r>
      <w:r w:rsidR="006A75E7">
        <w:rPr>
          <w:sz w:val="26"/>
          <w:szCs w:val="26"/>
        </w:rPr>
        <w:t xml:space="preserve"> </w:t>
      </w:r>
      <w:r w:rsidR="006A75E7" w:rsidRPr="006A75E7">
        <w:rPr>
          <w:sz w:val="26"/>
          <w:szCs w:val="26"/>
        </w:rPr>
        <w:t>assumptions</w:t>
      </w:r>
      <w:r w:rsidR="006A75E7">
        <w:rPr>
          <w:sz w:val="26"/>
          <w:szCs w:val="26"/>
        </w:rPr>
        <w:t xml:space="preserve"> </w:t>
      </w:r>
      <w:r w:rsidR="006A75E7" w:rsidRPr="006A75E7">
        <w:rPr>
          <w:sz w:val="26"/>
          <w:szCs w:val="26"/>
        </w:rPr>
        <w:t>into the planning process</w:t>
      </w:r>
      <w:r w:rsidR="006A75E7">
        <w:rPr>
          <w:sz w:val="26"/>
          <w:szCs w:val="26"/>
        </w:rPr>
        <w:t xml:space="preserve"> </w:t>
      </w:r>
      <w:r w:rsidR="006A75E7" w:rsidRPr="006A75E7">
        <w:rPr>
          <w:sz w:val="26"/>
          <w:szCs w:val="26"/>
        </w:rPr>
        <w:t>for Phase IV</w:t>
      </w:r>
      <w:r w:rsidR="006A75E7">
        <w:rPr>
          <w:sz w:val="26"/>
          <w:szCs w:val="26"/>
        </w:rPr>
        <w:t xml:space="preserve">.  FirstEnergy at </w:t>
      </w:r>
      <w:r w:rsidR="00315160">
        <w:rPr>
          <w:sz w:val="26"/>
          <w:szCs w:val="26"/>
        </w:rPr>
        <w:t>6</w:t>
      </w:r>
      <w:r w:rsidR="00315160">
        <w:rPr>
          <w:sz w:val="26"/>
          <w:szCs w:val="26"/>
        </w:rPr>
        <w:noBreakHyphen/>
      </w:r>
      <w:r w:rsidR="006A75E7">
        <w:rPr>
          <w:sz w:val="26"/>
          <w:szCs w:val="26"/>
        </w:rPr>
        <w:t>7.</w:t>
      </w:r>
      <w:r w:rsidR="008F2B4F">
        <w:rPr>
          <w:sz w:val="26"/>
          <w:szCs w:val="26"/>
        </w:rPr>
        <w:t xml:space="preserve">  </w:t>
      </w:r>
      <w:r w:rsidR="00A25C84">
        <w:rPr>
          <w:sz w:val="26"/>
          <w:szCs w:val="26"/>
        </w:rPr>
        <w:t xml:space="preserve">PECO does not support a delay of Phase IV implementation </w:t>
      </w:r>
      <w:r w:rsidR="00744E85">
        <w:rPr>
          <w:sz w:val="26"/>
          <w:szCs w:val="26"/>
        </w:rPr>
        <w:t>since the scope, duration, and full extent of</w:t>
      </w:r>
      <w:r w:rsidR="00C607C4">
        <w:rPr>
          <w:sz w:val="26"/>
          <w:szCs w:val="26"/>
        </w:rPr>
        <w:t xml:space="preserve"> the COVID-19 pandemic’s impact is unclear.  PECO at 4. </w:t>
      </w:r>
      <w:r w:rsidR="0073490C">
        <w:rPr>
          <w:sz w:val="26"/>
          <w:szCs w:val="26"/>
        </w:rPr>
        <w:t xml:space="preserve"> DLC asserts that </w:t>
      </w:r>
      <w:r w:rsidR="0073490C" w:rsidRPr="0073490C">
        <w:rPr>
          <w:sz w:val="26"/>
          <w:szCs w:val="26"/>
        </w:rPr>
        <w:t xml:space="preserve">IECPA’s request to delay implementation of Phase IV would throw EDCs’ EE&amp;C programs into </w:t>
      </w:r>
      <w:r w:rsidR="0073490C" w:rsidRPr="0073490C">
        <w:rPr>
          <w:sz w:val="26"/>
          <w:szCs w:val="26"/>
        </w:rPr>
        <w:lastRenderedPageBreak/>
        <w:t>disarray, which would ultimately harm customers.</w:t>
      </w:r>
      <w:r w:rsidR="0073490C">
        <w:rPr>
          <w:sz w:val="26"/>
          <w:szCs w:val="26"/>
        </w:rPr>
        <w:t xml:space="preserve">  </w:t>
      </w:r>
      <w:r w:rsidR="00A33411">
        <w:rPr>
          <w:sz w:val="26"/>
          <w:szCs w:val="26"/>
        </w:rPr>
        <w:t xml:space="preserve">DLC argues that </w:t>
      </w:r>
      <w:r w:rsidR="00A33411" w:rsidRPr="00A33411">
        <w:rPr>
          <w:sz w:val="26"/>
          <w:szCs w:val="26"/>
        </w:rPr>
        <w:t>the effects of COVID-19 (or any other factor) cannot be known at this time – and likely will still not be known even following the 270-day delay</w:t>
      </w:r>
      <w:r w:rsidR="00A33411">
        <w:rPr>
          <w:sz w:val="26"/>
          <w:szCs w:val="26"/>
        </w:rPr>
        <w:t xml:space="preserve">, </w:t>
      </w:r>
      <w:r w:rsidR="00A075C6">
        <w:rPr>
          <w:sz w:val="26"/>
          <w:szCs w:val="26"/>
        </w:rPr>
        <w:t>asserting that</w:t>
      </w:r>
      <w:r w:rsidR="00A33411" w:rsidRPr="00A33411">
        <w:rPr>
          <w:sz w:val="26"/>
          <w:szCs w:val="26"/>
        </w:rPr>
        <w:t xml:space="preserve"> Phase IV begin on schedule.</w:t>
      </w:r>
      <w:r w:rsidR="00A33411">
        <w:rPr>
          <w:sz w:val="26"/>
          <w:szCs w:val="26"/>
        </w:rPr>
        <w:t xml:space="preserve">  DLC at </w:t>
      </w:r>
      <w:r w:rsidR="006762D1">
        <w:rPr>
          <w:sz w:val="26"/>
          <w:szCs w:val="26"/>
        </w:rPr>
        <w:t>8</w:t>
      </w:r>
      <w:r w:rsidR="006762D1">
        <w:rPr>
          <w:sz w:val="26"/>
          <w:szCs w:val="26"/>
        </w:rPr>
        <w:noBreakHyphen/>
      </w:r>
      <w:r w:rsidR="00CA10CC">
        <w:rPr>
          <w:sz w:val="26"/>
          <w:szCs w:val="26"/>
        </w:rPr>
        <w:t>9.</w:t>
      </w:r>
      <w:r w:rsidR="00882CA1">
        <w:rPr>
          <w:sz w:val="26"/>
          <w:szCs w:val="26"/>
        </w:rPr>
        <w:t xml:space="preserve">  </w:t>
      </w:r>
      <w:r w:rsidR="00BB7E69" w:rsidRPr="00BB7E69">
        <w:rPr>
          <w:sz w:val="26"/>
          <w:szCs w:val="26"/>
        </w:rPr>
        <w:t xml:space="preserve">PPL submits that a suspension or delay of the implementation of Phase IV is not necessary. </w:t>
      </w:r>
      <w:r w:rsidR="00BB7E69">
        <w:rPr>
          <w:sz w:val="26"/>
          <w:szCs w:val="26"/>
        </w:rPr>
        <w:t xml:space="preserve"> </w:t>
      </w:r>
      <w:r w:rsidR="00BB7E69" w:rsidRPr="00BB7E69">
        <w:rPr>
          <w:sz w:val="26"/>
          <w:szCs w:val="26"/>
        </w:rPr>
        <w:t>PPL notes that the Commonwealth has already implemented a phase</w:t>
      </w:r>
      <w:r w:rsidR="006762D1">
        <w:rPr>
          <w:sz w:val="26"/>
          <w:szCs w:val="26"/>
        </w:rPr>
        <w:t>d</w:t>
      </w:r>
      <w:r w:rsidR="00BB7E69" w:rsidRPr="00BB7E69">
        <w:rPr>
          <w:sz w:val="26"/>
          <w:szCs w:val="26"/>
        </w:rPr>
        <w:t xml:space="preserve"> approach to re</w:t>
      </w:r>
      <w:r w:rsidR="006762D1">
        <w:rPr>
          <w:sz w:val="26"/>
          <w:szCs w:val="26"/>
        </w:rPr>
        <w:noBreakHyphen/>
      </w:r>
      <w:r w:rsidR="00BB7E69" w:rsidRPr="00BB7E69">
        <w:rPr>
          <w:sz w:val="26"/>
          <w:szCs w:val="26"/>
        </w:rPr>
        <w:t xml:space="preserve">opening businesses and eliminating stay-at-home orders on a county-by-county basis. </w:t>
      </w:r>
      <w:r w:rsidR="00BB7E69">
        <w:rPr>
          <w:sz w:val="26"/>
          <w:szCs w:val="26"/>
        </w:rPr>
        <w:t xml:space="preserve"> </w:t>
      </w:r>
      <w:r w:rsidR="00BB7E69" w:rsidRPr="00BB7E69">
        <w:rPr>
          <w:sz w:val="26"/>
          <w:szCs w:val="26"/>
        </w:rPr>
        <w:t>PPL submits that as businesses re-open and present restrictions are lifted, additional changes to energy demand and consumption will occur, and unwind the impacts IECPA asserts as its basis for the proposed delay of Phase IV of Act 129.</w:t>
      </w:r>
      <w:r w:rsidR="00BB7E69" w:rsidRPr="00BB7E69">
        <w:rPr>
          <w:i/>
          <w:iCs/>
          <w:sz w:val="26"/>
          <w:szCs w:val="26"/>
        </w:rPr>
        <w:t xml:space="preserve"> </w:t>
      </w:r>
      <w:r w:rsidR="00BB7E69">
        <w:rPr>
          <w:i/>
          <w:iCs/>
          <w:sz w:val="26"/>
          <w:szCs w:val="26"/>
        </w:rPr>
        <w:t xml:space="preserve"> </w:t>
      </w:r>
      <w:r w:rsidR="00822016">
        <w:rPr>
          <w:sz w:val="26"/>
          <w:szCs w:val="26"/>
        </w:rPr>
        <w:t>PPL at 3.</w:t>
      </w:r>
      <w:r w:rsidR="00BB7E69">
        <w:rPr>
          <w:sz w:val="26"/>
          <w:szCs w:val="26"/>
        </w:rPr>
        <w:t xml:space="preserve">  </w:t>
      </w:r>
    </w:p>
    <w:p w14:paraId="2D8F3049" w14:textId="77777777" w:rsidR="009065D1" w:rsidRDefault="009065D1" w:rsidP="003A293E">
      <w:pPr>
        <w:pStyle w:val="ListParagraph"/>
        <w:spacing w:line="360" w:lineRule="auto"/>
        <w:ind w:left="0"/>
        <w:rPr>
          <w:sz w:val="26"/>
          <w:szCs w:val="26"/>
        </w:rPr>
      </w:pPr>
    </w:p>
    <w:p w14:paraId="65ACCB11" w14:textId="3A8D2042" w:rsidR="008366C3" w:rsidRDefault="009065D1" w:rsidP="003A293E">
      <w:pPr>
        <w:pStyle w:val="ListParagraph"/>
        <w:spacing w:line="360" w:lineRule="auto"/>
        <w:ind w:left="0"/>
        <w:rPr>
          <w:sz w:val="26"/>
          <w:szCs w:val="26"/>
        </w:rPr>
      </w:pPr>
      <w:r>
        <w:rPr>
          <w:sz w:val="26"/>
          <w:szCs w:val="26"/>
        </w:rPr>
        <w:tab/>
        <w:t>CAUSE-PA opposes delaying the implementation of Phase IV, arguing that energy efficiency programs are vital to mitigating the financial impact of the pandemic, particularly for low-income customers.</w:t>
      </w:r>
      <w:r w:rsidR="008366C3">
        <w:rPr>
          <w:sz w:val="26"/>
          <w:szCs w:val="26"/>
        </w:rPr>
        <w:t xml:space="preserve"> </w:t>
      </w:r>
      <w:r w:rsidR="00207621">
        <w:rPr>
          <w:sz w:val="26"/>
          <w:szCs w:val="26"/>
        </w:rPr>
        <w:t xml:space="preserve"> CAUSE</w:t>
      </w:r>
      <w:r w:rsidR="00207621">
        <w:rPr>
          <w:sz w:val="26"/>
          <w:szCs w:val="26"/>
        </w:rPr>
        <w:noBreakHyphen/>
        <w:t xml:space="preserve">PA at </w:t>
      </w:r>
      <w:r w:rsidR="00E14F45">
        <w:rPr>
          <w:sz w:val="26"/>
          <w:szCs w:val="26"/>
        </w:rPr>
        <w:t>5-6</w:t>
      </w:r>
      <w:r w:rsidR="00C300BD">
        <w:rPr>
          <w:sz w:val="26"/>
          <w:szCs w:val="26"/>
        </w:rPr>
        <w:t xml:space="preserve">.  </w:t>
      </w:r>
      <w:r w:rsidR="008366C3">
        <w:rPr>
          <w:sz w:val="26"/>
          <w:szCs w:val="26"/>
        </w:rPr>
        <w:t xml:space="preserve">The </w:t>
      </w:r>
      <w:r w:rsidR="00C300BD">
        <w:rPr>
          <w:sz w:val="26"/>
          <w:szCs w:val="26"/>
        </w:rPr>
        <w:t>SEF</w:t>
      </w:r>
      <w:r w:rsidR="008366C3">
        <w:rPr>
          <w:sz w:val="26"/>
          <w:szCs w:val="26"/>
        </w:rPr>
        <w:t xml:space="preserve"> opposes </w:t>
      </w:r>
      <w:r w:rsidR="00A70036">
        <w:rPr>
          <w:sz w:val="26"/>
          <w:szCs w:val="26"/>
        </w:rPr>
        <w:t>suspending implementation of Phase IV for 270 days</w:t>
      </w:r>
      <w:r w:rsidR="00345EDD">
        <w:rPr>
          <w:sz w:val="26"/>
          <w:szCs w:val="26"/>
        </w:rPr>
        <w:t xml:space="preserve"> because such a delay would bring Act 129 to a halt for the foreseeable future.  </w:t>
      </w:r>
      <w:r w:rsidR="00C300BD">
        <w:rPr>
          <w:sz w:val="26"/>
          <w:szCs w:val="26"/>
        </w:rPr>
        <w:t>SEF</w:t>
      </w:r>
      <w:r w:rsidR="00345EDD">
        <w:rPr>
          <w:sz w:val="26"/>
          <w:szCs w:val="26"/>
        </w:rPr>
        <w:t xml:space="preserve"> at 4.</w:t>
      </w:r>
    </w:p>
    <w:p w14:paraId="460233D2" w14:textId="77777777" w:rsidR="009065D1" w:rsidRDefault="009065D1" w:rsidP="003A293E">
      <w:pPr>
        <w:pStyle w:val="ListParagraph"/>
        <w:spacing w:line="360" w:lineRule="auto"/>
        <w:ind w:left="0"/>
        <w:rPr>
          <w:sz w:val="26"/>
          <w:szCs w:val="26"/>
        </w:rPr>
      </w:pPr>
    </w:p>
    <w:p w14:paraId="7466337C" w14:textId="02F98F9F" w:rsidR="00AA2E51" w:rsidRDefault="00C51785" w:rsidP="00925BF1">
      <w:pPr>
        <w:spacing w:line="360" w:lineRule="auto"/>
        <w:rPr>
          <w:color w:val="4472C4" w:themeColor="accent1"/>
          <w:sz w:val="26"/>
          <w:szCs w:val="26"/>
        </w:rPr>
      </w:pPr>
      <w:r>
        <w:rPr>
          <w:sz w:val="26"/>
          <w:szCs w:val="26"/>
        </w:rPr>
        <w:tab/>
        <w:t xml:space="preserve">Ceres asserts that a </w:t>
      </w:r>
      <w:r w:rsidRPr="00C51785">
        <w:rPr>
          <w:sz w:val="26"/>
          <w:szCs w:val="26"/>
        </w:rPr>
        <w:t xml:space="preserve">delay or minimizing of current program obligations under Act 129 will </w:t>
      </w:r>
      <w:r w:rsidR="004E3B52">
        <w:rPr>
          <w:sz w:val="26"/>
          <w:szCs w:val="26"/>
        </w:rPr>
        <w:t>cost</w:t>
      </w:r>
      <w:r w:rsidR="00BB41EA" w:rsidRPr="00BB41EA">
        <w:rPr>
          <w:sz w:val="26"/>
          <w:szCs w:val="26"/>
        </w:rPr>
        <w:t xml:space="preserve"> Pennsylvania </w:t>
      </w:r>
      <w:r w:rsidR="00B241F5">
        <w:rPr>
          <w:sz w:val="26"/>
          <w:szCs w:val="26"/>
        </w:rPr>
        <w:t xml:space="preserve">energy efficiency </w:t>
      </w:r>
      <w:r w:rsidR="00BB41EA" w:rsidRPr="00BB41EA">
        <w:rPr>
          <w:sz w:val="26"/>
          <w:szCs w:val="26"/>
        </w:rPr>
        <w:t>jobs</w:t>
      </w:r>
      <w:r w:rsidR="004E3B52">
        <w:rPr>
          <w:sz w:val="26"/>
          <w:szCs w:val="26"/>
        </w:rPr>
        <w:t xml:space="preserve"> and </w:t>
      </w:r>
      <w:r w:rsidR="00BB41EA" w:rsidRPr="00BB41EA">
        <w:rPr>
          <w:sz w:val="26"/>
          <w:szCs w:val="26"/>
        </w:rPr>
        <w:t>result in higher energy costs for customers</w:t>
      </w:r>
      <w:r w:rsidRPr="00C51785">
        <w:rPr>
          <w:sz w:val="26"/>
          <w:szCs w:val="26"/>
        </w:rPr>
        <w:t>.</w:t>
      </w:r>
      <w:r>
        <w:rPr>
          <w:sz w:val="26"/>
          <w:szCs w:val="26"/>
        </w:rPr>
        <w:t xml:space="preserve">  Ceres at 2. </w:t>
      </w:r>
      <w:r w:rsidR="00FE6D0A">
        <w:rPr>
          <w:sz w:val="26"/>
          <w:szCs w:val="26"/>
        </w:rPr>
        <w:t xml:space="preserve"> The BPA </w:t>
      </w:r>
      <w:r w:rsidR="00F64146">
        <w:rPr>
          <w:sz w:val="26"/>
          <w:szCs w:val="26"/>
        </w:rPr>
        <w:t xml:space="preserve">opposes delaying the implementation of energy efficiency programs.  BPA </w:t>
      </w:r>
      <w:r w:rsidR="003A0881">
        <w:rPr>
          <w:sz w:val="26"/>
          <w:szCs w:val="26"/>
        </w:rPr>
        <w:t xml:space="preserve">June 18 Comments </w:t>
      </w:r>
      <w:r w:rsidR="00F64146">
        <w:rPr>
          <w:sz w:val="26"/>
          <w:szCs w:val="26"/>
        </w:rPr>
        <w:t xml:space="preserve">at </w:t>
      </w:r>
      <w:r w:rsidR="00122077">
        <w:rPr>
          <w:sz w:val="26"/>
          <w:szCs w:val="26"/>
        </w:rPr>
        <w:t xml:space="preserve">1. </w:t>
      </w:r>
      <w:r w:rsidR="000178D8">
        <w:rPr>
          <w:sz w:val="26"/>
          <w:szCs w:val="26"/>
        </w:rPr>
        <w:t xml:space="preserve"> The BPA asserts </w:t>
      </w:r>
      <w:r w:rsidR="000178D8" w:rsidRPr="000178D8">
        <w:rPr>
          <w:sz w:val="26"/>
          <w:szCs w:val="26"/>
        </w:rPr>
        <w:t>that there are existing mechanisms to amend Phase III and Phase IV goals and timelines before the Commission</w:t>
      </w:r>
      <w:r w:rsidR="000178D8">
        <w:rPr>
          <w:sz w:val="26"/>
          <w:szCs w:val="26"/>
        </w:rPr>
        <w:t>, and that t</w:t>
      </w:r>
      <w:r w:rsidR="000178D8" w:rsidRPr="000178D8">
        <w:rPr>
          <w:sz w:val="26"/>
          <w:szCs w:val="26"/>
        </w:rPr>
        <w:t xml:space="preserve">he focus of the existing proceedings and activities before the Commission, regulatory agencies and the utilities should be placed on what energy efficiency services can be funded during the COVID crisis and how those services might best accelerate the achievement of the energy, cost savings and environmental goals of Act 129 in the long term. </w:t>
      </w:r>
      <w:r w:rsidR="00AA2E51">
        <w:rPr>
          <w:sz w:val="26"/>
          <w:szCs w:val="26"/>
        </w:rPr>
        <w:t xml:space="preserve"> </w:t>
      </w:r>
      <w:r w:rsidR="00EA5479">
        <w:rPr>
          <w:sz w:val="26"/>
          <w:szCs w:val="26"/>
        </w:rPr>
        <w:t xml:space="preserve">BPA May 12 Comments at 3.  </w:t>
      </w:r>
      <w:r w:rsidR="00A25AB4">
        <w:rPr>
          <w:sz w:val="26"/>
          <w:szCs w:val="26"/>
        </w:rPr>
        <w:t xml:space="preserve">KEEA opposes </w:t>
      </w:r>
      <w:r w:rsidR="001421C8">
        <w:rPr>
          <w:sz w:val="26"/>
          <w:szCs w:val="26"/>
        </w:rPr>
        <w:t>delaying Phase IV implementation by 270 days</w:t>
      </w:r>
      <w:r w:rsidR="00B44D43">
        <w:rPr>
          <w:sz w:val="26"/>
          <w:szCs w:val="26"/>
        </w:rPr>
        <w:t xml:space="preserve">, asserting that </w:t>
      </w:r>
      <w:r w:rsidR="006E44BD">
        <w:rPr>
          <w:sz w:val="26"/>
          <w:szCs w:val="26"/>
        </w:rPr>
        <w:t>it</w:t>
      </w:r>
      <w:r w:rsidR="00B44D43" w:rsidRPr="00B44D43">
        <w:rPr>
          <w:sz w:val="26"/>
          <w:szCs w:val="26"/>
        </w:rPr>
        <w:t xml:space="preserve"> is contrary to the interests of the Commission and the public because </w:t>
      </w:r>
      <w:r w:rsidR="006E44BD">
        <w:rPr>
          <w:sz w:val="26"/>
          <w:szCs w:val="26"/>
        </w:rPr>
        <w:t>it</w:t>
      </w:r>
      <w:r w:rsidR="00B44D43" w:rsidRPr="00B44D43">
        <w:rPr>
          <w:sz w:val="26"/>
          <w:szCs w:val="26"/>
        </w:rPr>
        <w:t xml:space="preserve"> would interfere with implementation plans that </w:t>
      </w:r>
      <w:r w:rsidR="00B44D43" w:rsidRPr="00B44D43">
        <w:rPr>
          <w:sz w:val="26"/>
          <w:szCs w:val="26"/>
        </w:rPr>
        <w:lastRenderedPageBreak/>
        <w:t xml:space="preserve">have been finalized and the impacts of COVID-19 do not make these decisions </w:t>
      </w:r>
      <w:r w:rsidR="006E44BD" w:rsidRPr="00B44D43">
        <w:rPr>
          <w:sz w:val="26"/>
          <w:szCs w:val="26"/>
        </w:rPr>
        <w:t>m</w:t>
      </w:r>
      <w:r w:rsidR="006E44BD">
        <w:rPr>
          <w:sz w:val="26"/>
          <w:szCs w:val="26"/>
        </w:rPr>
        <w:t>oo</w:t>
      </w:r>
      <w:r w:rsidR="006E44BD" w:rsidRPr="00B44D43">
        <w:rPr>
          <w:sz w:val="26"/>
          <w:szCs w:val="26"/>
        </w:rPr>
        <w:t>t</w:t>
      </w:r>
      <w:r w:rsidR="00B44D43" w:rsidRPr="00B44D43">
        <w:rPr>
          <w:sz w:val="26"/>
          <w:szCs w:val="26"/>
        </w:rPr>
        <w:t>.</w:t>
      </w:r>
      <w:r w:rsidR="00B44D43">
        <w:rPr>
          <w:sz w:val="26"/>
          <w:szCs w:val="26"/>
        </w:rPr>
        <w:t xml:space="preserve">  KEEA at</w:t>
      </w:r>
      <w:r w:rsidR="00E53049">
        <w:rPr>
          <w:sz w:val="26"/>
          <w:szCs w:val="26"/>
        </w:rPr>
        <w:t xml:space="preserve"> </w:t>
      </w:r>
      <w:r w:rsidR="008A16CD">
        <w:rPr>
          <w:sz w:val="26"/>
          <w:szCs w:val="26"/>
        </w:rPr>
        <w:t>4-8.</w:t>
      </w:r>
      <w:r w:rsidR="001421C8">
        <w:rPr>
          <w:sz w:val="26"/>
          <w:szCs w:val="26"/>
        </w:rPr>
        <w:t xml:space="preserve"> </w:t>
      </w:r>
      <w:r w:rsidR="006E44BD">
        <w:rPr>
          <w:sz w:val="26"/>
          <w:szCs w:val="26"/>
        </w:rPr>
        <w:t xml:space="preserve"> </w:t>
      </w:r>
      <w:r w:rsidR="009F3E9B">
        <w:rPr>
          <w:sz w:val="26"/>
          <w:szCs w:val="26"/>
        </w:rPr>
        <w:t xml:space="preserve">EEA </w:t>
      </w:r>
      <w:r w:rsidR="00C73C22">
        <w:rPr>
          <w:sz w:val="26"/>
          <w:szCs w:val="26"/>
        </w:rPr>
        <w:t xml:space="preserve">argues that IECPA </w:t>
      </w:r>
      <w:r w:rsidR="00C73C22" w:rsidRPr="00C73C22">
        <w:rPr>
          <w:sz w:val="26"/>
          <w:szCs w:val="26"/>
        </w:rPr>
        <w:t>provides no factual evidence that halting the above-described next steps in the Phase IV Planning Timeline</w:t>
      </w:r>
      <w:r w:rsidR="00C73C22">
        <w:rPr>
          <w:sz w:val="26"/>
          <w:szCs w:val="26"/>
        </w:rPr>
        <w:t xml:space="preserve"> </w:t>
      </w:r>
      <w:r w:rsidR="00C73C22" w:rsidRPr="00C73C22">
        <w:rPr>
          <w:sz w:val="26"/>
          <w:szCs w:val="26"/>
        </w:rPr>
        <w:t>will in any way ameliorate the</w:t>
      </w:r>
      <w:r w:rsidR="00C73C22">
        <w:rPr>
          <w:sz w:val="26"/>
          <w:szCs w:val="26"/>
        </w:rPr>
        <w:t xml:space="preserve"> </w:t>
      </w:r>
      <w:r w:rsidR="00C73C22" w:rsidRPr="00C73C22">
        <w:rPr>
          <w:sz w:val="26"/>
          <w:szCs w:val="26"/>
        </w:rPr>
        <w:t>present</w:t>
      </w:r>
      <w:r w:rsidR="00C73C22">
        <w:rPr>
          <w:sz w:val="26"/>
          <w:szCs w:val="26"/>
        </w:rPr>
        <w:t xml:space="preserve"> </w:t>
      </w:r>
      <w:r w:rsidR="00C73C22" w:rsidRPr="00C73C22">
        <w:rPr>
          <w:sz w:val="26"/>
          <w:szCs w:val="26"/>
        </w:rPr>
        <w:t>emergency</w:t>
      </w:r>
      <w:r w:rsidR="0027439B">
        <w:rPr>
          <w:sz w:val="26"/>
          <w:szCs w:val="26"/>
        </w:rPr>
        <w:t xml:space="preserve"> and does not explain </w:t>
      </w:r>
      <w:r w:rsidR="0027439B" w:rsidRPr="0027439B">
        <w:rPr>
          <w:sz w:val="26"/>
          <w:szCs w:val="26"/>
        </w:rPr>
        <w:t>why any material effects of the economic issues it cites cannot be addressed during the Commission’s established planning process</w:t>
      </w:r>
      <w:r w:rsidR="0027439B">
        <w:rPr>
          <w:sz w:val="26"/>
          <w:szCs w:val="26"/>
        </w:rPr>
        <w:t xml:space="preserve">.  EEA at </w:t>
      </w:r>
      <w:r w:rsidR="00393280">
        <w:rPr>
          <w:sz w:val="26"/>
          <w:szCs w:val="26"/>
        </w:rPr>
        <w:t xml:space="preserve">8-9. </w:t>
      </w:r>
      <w:r w:rsidR="0027439B" w:rsidRPr="0027439B">
        <w:rPr>
          <w:sz w:val="26"/>
          <w:szCs w:val="26"/>
        </w:rPr>
        <w:t xml:space="preserve"> </w:t>
      </w:r>
      <w:proofErr w:type="gramStart"/>
      <w:r w:rsidR="00D674F3">
        <w:rPr>
          <w:sz w:val="26"/>
          <w:szCs w:val="26"/>
        </w:rPr>
        <w:t>AB Energy,</w:t>
      </w:r>
      <w:proofErr w:type="gramEnd"/>
      <w:r w:rsidR="00D674F3">
        <w:rPr>
          <w:sz w:val="26"/>
          <w:szCs w:val="26"/>
        </w:rPr>
        <w:t xml:space="preserve"> </w:t>
      </w:r>
      <w:r w:rsidR="00D674F3" w:rsidRPr="00CB4B6A">
        <w:rPr>
          <w:i/>
          <w:iCs/>
          <w:sz w:val="26"/>
          <w:szCs w:val="26"/>
        </w:rPr>
        <w:t>et al</w:t>
      </w:r>
      <w:r w:rsidR="00D674F3">
        <w:rPr>
          <w:sz w:val="26"/>
          <w:szCs w:val="26"/>
        </w:rPr>
        <w:t xml:space="preserve">. represent that energy efficiency keeps energy costs low </w:t>
      </w:r>
      <w:r w:rsidR="00400DAA">
        <w:rPr>
          <w:sz w:val="26"/>
          <w:szCs w:val="26"/>
        </w:rPr>
        <w:t xml:space="preserve">and supports local jobs, </w:t>
      </w:r>
      <w:r w:rsidR="00910705">
        <w:rPr>
          <w:sz w:val="26"/>
          <w:szCs w:val="26"/>
        </w:rPr>
        <w:t xml:space="preserve">and </w:t>
      </w:r>
      <w:r w:rsidR="00400DAA">
        <w:rPr>
          <w:sz w:val="26"/>
          <w:szCs w:val="26"/>
        </w:rPr>
        <w:t xml:space="preserve">therefore </w:t>
      </w:r>
      <w:r w:rsidR="0071081F">
        <w:rPr>
          <w:sz w:val="26"/>
          <w:szCs w:val="26"/>
        </w:rPr>
        <w:t xml:space="preserve">oppose </w:t>
      </w:r>
      <w:r w:rsidR="009621F8">
        <w:rPr>
          <w:sz w:val="26"/>
          <w:szCs w:val="26"/>
        </w:rPr>
        <w:t xml:space="preserve">any efforts to eliminate, suspend, or modify </w:t>
      </w:r>
      <w:r w:rsidR="00AA1862">
        <w:rPr>
          <w:sz w:val="26"/>
          <w:szCs w:val="26"/>
        </w:rPr>
        <w:t>Act 129.</w:t>
      </w:r>
      <w:r w:rsidR="006E1B10">
        <w:rPr>
          <w:sz w:val="26"/>
          <w:szCs w:val="26"/>
        </w:rPr>
        <w:t xml:space="preserve">  AB Energy, et al. at </w:t>
      </w:r>
      <w:r w:rsidR="00400DAA">
        <w:rPr>
          <w:sz w:val="26"/>
          <w:szCs w:val="26"/>
        </w:rPr>
        <w:t>1-2.</w:t>
      </w:r>
      <w:r w:rsidR="00A25AB4">
        <w:rPr>
          <w:sz w:val="26"/>
          <w:szCs w:val="26"/>
        </w:rPr>
        <w:t xml:space="preserve">  </w:t>
      </w:r>
    </w:p>
    <w:p w14:paraId="647B3DED" w14:textId="77777777" w:rsidR="00A10262" w:rsidRDefault="00A10262" w:rsidP="003A293E">
      <w:pPr>
        <w:pStyle w:val="ListParagraph"/>
        <w:rPr>
          <w:sz w:val="26"/>
          <w:szCs w:val="26"/>
        </w:rPr>
      </w:pPr>
    </w:p>
    <w:p w14:paraId="28EA4A95" w14:textId="77777777" w:rsidR="003A293E" w:rsidRDefault="003A293E" w:rsidP="003A293E">
      <w:pPr>
        <w:pStyle w:val="ListParagraph"/>
        <w:rPr>
          <w:sz w:val="26"/>
          <w:szCs w:val="26"/>
        </w:rPr>
      </w:pPr>
    </w:p>
    <w:p w14:paraId="0626995F" w14:textId="2FF73E3A" w:rsidR="0011421F" w:rsidRDefault="0011421F" w:rsidP="003A293E">
      <w:pPr>
        <w:pStyle w:val="ListParagraph"/>
        <w:numPr>
          <w:ilvl w:val="0"/>
          <w:numId w:val="5"/>
        </w:numPr>
        <w:rPr>
          <w:sz w:val="26"/>
          <w:szCs w:val="26"/>
        </w:rPr>
      </w:pPr>
      <w:r w:rsidRPr="00FB0404">
        <w:rPr>
          <w:b/>
          <w:bCs/>
          <w:sz w:val="26"/>
          <w:szCs w:val="26"/>
        </w:rPr>
        <w:t xml:space="preserve">Extending </w:t>
      </w:r>
      <w:r w:rsidR="004F1E5E" w:rsidRPr="00FB0404">
        <w:rPr>
          <w:b/>
          <w:bCs/>
          <w:sz w:val="26"/>
          <w:szCs w:val="26"/>
        </w:rPr>
        <w:t>the</w:t>
      </w:r>
      <w:r w:rsidR="004F1E5E" w:rsidRPr="004F1E5E">
        <w:rPr>
          <w:b/>
          <w:bCs/>
          <w:sz w:val="26"/>
          <w:szCs w:val="26"/>
        </w:rPr>
        <w:t xml:space="preserve"> term of Phase III EE&amp;C Programs </w:t>
      </w:r>
    </w:p>
    <w:p w14:paraId="7C37B15A" w14:textId="6923D03F" w:rsidR="0011603C" w:rsidRDefault="001643F1" w:rsidP="00C836F7">
      <w:pPr>
        <w:pStyle w:val="ListParagraph"/>
        <w:spacing w:line="360" w:lineRule="auto"/>
        <w:ind w:left="0"/>
        <w:rPr>
          <w:sz w:val="26"/>
          <w:szCs w:val="26"/>
        </w:rPr>
      </w:pPr>
      <w:r>
        <w:rPr>
          <w:sz w:val="26"/>
          <w:szCs w:val="26"/>
        </w:rPr>
        <w:br/>
      </w:r>
      <w:r w:rsidR="002749A1">
        <w:rPr>
          <w:sz w:val="26"/>
          <w:szCs w:val="26"/>
        </w:rPr>
        <w:tab/>
        <w:t xml:space="preserve">The Industrial Customers supports </w:t>
      </w:r>
      <w:r w:rsidR="0011603C">
        <w:rPr>
          <w:sz w:val="26"/>
          <w:szCs w:val="26"/>
        </w:rPr>
        <w:t>extending Phase III for 270 days</w:t>
      </w:r>
      <w:r w:rsidR="008E2EC0">
        <w:rPr>
          <w:sz w:val="26"/>
          <w:szCs w:val="26"/>
        </w:rPr>
        <w:t>, in conjunction with suspending Phase IV implementation for 270 days</w:t>
      </w:r>
      <w:r w:rsidR="0011603C">
        <w:rPr>
          <w:sz w:val="26"/>
          <w:szCs w:val="26"/>
        </w:rPr>
        <w:t>.  Industrial Customers at 20.</w:t>
      </w:r>
    </w:p>
    <w:p w14:paraId="28DF5915" w14:textId="0AF53A4A" w:rsidR="00C47421" w:rsidRPr="00470538" w:rsidRDefault="006C73FA" w:rsidP="00C836F7">
      <w:pPr>
        <w:pStyle w:val="ListParagraph"/>
        <w:spacing w:line="360" w:lineRule="auto"/>
        <w:ind w:left="0"/>
        <w:rPr>
          <w:sz w:val="26"/>
          <w:szCs w:val="26"/>
        </w:rPr>
      </w:pPr>
      <w:r>
        <w:rPr>
          <w:sz w:val="26"/>
          <w:szCs w:val="26"/>
        </w:rPr>
        <w:br/>
      </w:r>
      <w:r>
        <w:rPr>
          <w:sz w:val="26"/>
          <w:szCs w:val="26"/>
        </w:rPr>
        <w:tab/>
        <w:t xml:space="preserve">FirstEnergy notes that extending Phase III would </w:t>
      </w:r>
      <w:r w:rsidR="00660827" w:rsidRPr="00660827">
        <w:rPr>
          <w:sz w:val="26"/>
          <w:szCs w:val="26"/>
        </w:rPr>
        <w:t xml:space="preserve">pose unique challenges and considerations. </w:t>
      </w:r>
      <w:r w:rsidR="007C398F">
        <w:rPr>
          <w:sz w:val="26"/>
          <w:szCs w:val="26"/>
        </w:rPr>
        <w:t xml:space="preserve"> </w:t>
      </w:r>
      <w:r w:rsidR="00660827" w:rsidRPr="00660827">
        <w:rPr>
          <w:sz w:val="26"/>
          <w:szCs w:val="26"/>
        </w:rPr>
        <w:t>Phase III EE&amp;C targets</w:t>
      </w:r>
      <w:r w:rsidR="00660827">
        <w:rPr>
          <w:sz w:val="26"/>
          <w:szCs w:val="26"/>
        </w:rPr>
        <w:t xml:space="preserve">, </w:t>
      </w:r>
      <w:r w:rsidR="00660827" w:rsidRPr="00660827">
        <w:rPr>
          <w:sz w:val="26"/>
          <w:szCs w:val="26"/>
        </w:rPr>
        <w:t>requirements and funding could</w:t>
      </w:r>
      <w:r w:rsidR="00660827">
        <w:rPr>
          <w:sz w:val="26"/>
          <w:szCs w:val="26"/>
        </w:rPr>
        <w:t xml:space="preserve"> </w:t>
      </w:r>
      <w:r w:rsidR="00660827" w:rsidRPr="00660827">
        <w:rPr>
          <w:sz w:val="26"/>
          <w:szCs w:val="26"/>
        </w:rPr>
        <w:t>require revision, as could</w:t>
      </w:r>
      <w:r w:rsidR="00660827">
        <w:rPr>
          <w:sz w:val="26"/>
          <w:szCs w:val="26"/>
        </w:rPr>
        <w:t xml:space="preserve"> </w:t>
      </w:r>
      <w:r w:rsidR="00660827" w:rsidRPr="00660827">
        <w:rPr>
          <w:sz w:val="26"/>
          <w:szCs w:val="26"/>
        </w:rPr>
        <w:t xml:space="preserve">EE&amp;C program </w:t>
      </w:r>
      <w:proofErr w:type="gramStart"/>
      <w:r w:rsidR="00660827" w:rsidRPr="00660827">
        <w:rPr>
          <w:sz w:val="26"/>
          <w:szCs w:val="26"/>
        </w:rPr>
        <w:t>plans</w:t>
      </w:r>
      <w:proofErr w:type="gramEnd"/>
      <w:r w:rsidR="00660827">
        <w:rPr>
          <w:sz w:val="26"/>
          <w:szCs w:val="26"/>
        </w:rPr>
        <w:t xml:space="preserve"> </w:t>
      </w:r>
      <w:r w:rsidR="00660827" w:rsidRPr="00660827">
        <w:rPr>
          <w:sz w:val="26"/>
          <w:szCs w:val="26"/>
        </w:rPr>
        <w:t xml:space="preserve">to address the extension. </w:t>
      </w:r>
      <w:r w:rsidR="007C398F">
        <w:rPr>
          <w:sz w:val="26"/>
          <w:szCs w:val="26"/>
        </w:rPr>
        <w:t xml:space="preserve"> </w:t>
      </w:r>
      <w:r w:rsidR="00660827" w:rsidRPr="00660827">
        <w:rPr>
          <w:sz w:val="26"/>
          <w:szCs w:val="26"/>
        </w:rPr>
        <w:t>There would also be</w:t>
      </w:r>
      <w:r w:rsidR="00660827">
        <w:rPr>
          <w:sz w:val="26"/>
          <w:szCs w:val="26"/>
        </w:rPr>
        <w:t xml:space="preserve"> </w:t>
      </w:r>
      <w:r w:rsidR="00660827" w:rsidRPr="00660827">
        <w:rPr>
          <w:sz w:val="26"/>
          <w:szCs w:val="26"/>
        </w:rPr>
        <w:t>incremental administrative activities and costs associated with amending existing contract</w:t>
      </w:r>
      <w:r w:rsidR="007C398F">
        <w:rPr>
          <w:sz w:val="26"/>
          <w:szCs w:val="26"/>
        </w:rPr>
        <w:t>s</w:t>
      </w:r>
      <w:r w:rsidR="00660827">
        <w:rPr>
          <w:sz w:val="26"/>
          <w:szCs w:val="26"/>
        </w:rPr>
        <w:t xml:space="preserve"> </w:t>
      </w:r>
      <w:r w:rsidR="00660827" w:rsidRPr="00660827">
        <w:rPr>
          <w:sz w:val="26"/>
          <w:szCs w:val="26"/>
        </w:rPr>
        <w:t xml:space="preserve">or procuring services with conservation service providers to support implementation of Phase III programs beyond May 31, 2021. </w:t>
      </w:r>
      <w:r w:rsidR="00034A31">
        <w:rPr>
          <w:sz w:val="26"/>
          <w:szCs w:val="26"/>
        </w:rPr>
        <w:t xml:space="preserve"> FirstEnergy at 6.</w:t>
      </w:r>
      <w:r w:rsidR="000A0765">
        <w:rPr>
          <w:sz w:val="26"/>
          <w:szCs w:val="26"/>
        </w:rPr>
        <w:t xml:space="preserve">  </w:t>
      </w:r>
      <w:r w:rsidR="00FD66E9">
        <w:rPr>
          <w:sz w:val="26"/>
          <w:szCs w:val="26"/>
        </w:rPr>
        <w:t xml:space="preserve">DLC </w:t>
      </w:r>
      <w:r w:rsidR="003E16B7">
        <w:rPr>
          <w:sz w:val="26"/>
          <w:szCs w:val="26"/>
        </w:rPr>
        <w:t>represents</w:t>
      </w:r>
      <w:r w:rsidR="00850611">
        <w:rPr>
          <w:sz w:val="26"/>
          <w:szCs w:val="26"/>
        </w:rPr>
        <w:t xml:space="preserve"> that </w:t>
      </w:r>
      <w:r w:rsidR="00850611" w:rsidRPr="00850611">
        <w:rPr>
          <w:sz w:val="26"/>
          <w:szCs w:val="26"/>
        </w:rPr>
        <w:t>IECPA’s proposal to extend Phase III for 270 days is neither necessary nor proportional in response to the COVID-19 pandemic.</w:t>
      </w:r>
      <w:r w:rsidR="000A1F52">
        <w:rPr>
          <w:sz w:val="26"/>
          <w:szCs w:val="26"/>
        </w:rPr>
        <w:t xml:space="preserve">  </w:t>
      </w:r>
      <w:r w:rsidR="001E2F30">
        <w:rPr>
          <w:sz w:val="26"/>
          <w:szCs w:val="26"/>
        </w:rPr>
        <w:t>DLC is concerned that e</w:t>
      </w:r>
      <w:r w:rsidR="001E2F30" w:rsidRPr="001E2F30">
        <w:rPr>
          <w:sz w:val="26"/>
          <w:szCs w:val="26"/>
        </w:rPr>
        <w:t xml:space="preserve">xtending Phase III could harm </w:t>
      </w:r>
      <w:r w:rsidR="00181929">
        <w:rPr>
          <w:sz w:val="26"/>
          <w:szCs w:val="26"/>
        </w:rPr>
        <w:t>DLC</w:t>
      </w:r>
      <w:r w:rsidR="001E2F30" w:rsidRPr="001E2F30">
        <w:rPr>
          <w:sz w:val="26"/>
          <w:szCs w:val="26"/>
        </w:rPr>
        <w:t xml:space="preserve"> and its customers by requiring </w:t>
      </w:r>
      <w:r w:rsidR="00181929">
        <w:rPr>
          <w:sz w:val="26"/>
          <w:szCs w:val="26"/>
        </w:rPr>
        <w:t>it</w:t>
      </w:r>
      <w:r w:rsidR="001E2F30" w:rsidRPr="001E2F30">
        <w:rPr>
          <w:sz w:val="26"/>
          <w:szCs w:val="26"/>
        </w:rPr>
        <w:t xml:space="preserve"> to pare back its EE&amp;C programs</w:t>
      </w:r>
      <w:r w:rsidR="00181929">
        <w:rPr>
          <w:sz w:val="26"/>
          <w:szCs w:val="26"/>
        </w:rPr>
        <w:t>, and that stretching its Phase III programs</w:t>
      </w:r>
      <w:r w:rsidR="003522C3">
        <w:rPr>
          <w:sz w:val="26"/>
          <w:szCs w:val="26"/>
        </w:rPr>
        <w:t xml:space="preserve"> for an additional nine months </w:t>
      </w:r>
      <w:r w:rsidR="003522C3" w:rsidRPr="003522C3">
        <w:rPr>
          <w:sz w:val="26"/>
          <w:szCs w:val="26"/>
        </w:rPr>
        <w:t xml:space="preserve">could yield gaps in EE&amp;C programming, </w:t>
      </w:r>
      <w:r w:rsidR="006E02AC" w:rsidRPr="003522C3">
        <w:rPr>
          <w:sz w:val="26"/>
          <w:szCs w:val="26"/>
        </w:rPr>
        <w:t>necessitat</w:t>
      </w:r>
      <w:r w:rsidR="006E02AC">
        <w:rPr>
          <w:sz w:val="26"/>
          <w:szCs w:val="26"/>
        </w:rPr>
        <w:t>ing</w:t>
      </w:r>
      <w:r w:rsidR="006E02AC" w:rsidRPr="003522C3">
        <w:rPr>
          <w:sz w:val="26"/>
          <w:szCs w:val="26"/>
        </w:rPr>
        <w:t xml:space="preserve"> </w:t>
      </w:r>
      <w:r w:rsidR="003522C3" w:rsidRPr="003522C3">
        <w:rPr>
          <w:sz w:val="26"/>
          <w:szCs w:val="26"/>
        </w:rPr>
        <w:t xml:space="preserve">modifications to </w:t>
      </w:r>
      <w:r w:rsidR="006E02AC">
        <w:rPr>
          <w:sz w:val="26"/>
          <w:szCs w:val="26"/>
        </w:rPr>
        <w:t>its</w:t>
      </w:r>
      <w:r w:rsidR="003522C3" w:rsidRPr="003522C3">
        <w:rPr>
          <w:sz w:val="26"/>
          <w:szCs w:val="26"/>
        </w:rPr>
        <w:t xml:space="preserve"> Phase III EE&amp;C Plan, and complicate a smooth transition to Phase IV.</w:t>
      </w:r>
      <w:r w:rsidR="003522C3">
        <w:rPr>
          <w:sz w:val="26"/>
          <w:szCs w:val="26"/>
        </w:rPr>
        <w:t xml:space="preserve">  </w:t>
      </w:r>
      <w:r w:rsidR="00347DF9" w:rsidRPr="00B60916">
        <w:rPr>
          <w:sz w:val="26"/>
          <w:szCs w:val="26"/>
        </w:rPr>
        <w:t xml:space="preserve">DLC supports the </w:t>
      </w:r>
      <w:r w:rsidR="00347DF9" w:rsidRPr="00B60916">
        <w:rPr>
          <w:i/>
          <w:iCs/>
          <w:sz w:val="26"/>
          <w:szCs w:val="26"/>
        </w:rPr>
        <w:t>Petition of the Energy Association of Pennsylvania to Amend the Commission’s June 19, 2015 Implementation Order</w:t>
      </w:r>
      <w:r w:rsidR="00347DF9" w:rsidRPr="00B60916">
        <w:rPr>
          <w:sz w:val="26"/>
          <w:szCs w:val="26"/>
        </w:rPr>
        <w:t>, filed May 1, 2020, at Docket No. M</w:t>
      </w:r>
      <w:r w:rsidR="00D64885">
        <w:rPr>
          <w:sz w:val="26"/>
          <w:szCs w:val="26"/>
        </w:rPr>
        <w:noBreakHyphen/>
      </w:r>
      <w:r w:rsidR="00347DF9" w:rsidRPr="00B60916">
        <w:rPr>
          <w:sz w:val="26"/>
          <w:szCs w:val="26"/>
        </w:rPr>
        <w:t xml:space="preserve">2014-2424864 (EAP Petition) as a more </w:t>
      </w:r>
      <w:r w:rsidR="00347DF9" w:rsidRPr="00B60916">
        <w:rPr>
          <w:sz w:val="26"/>
          <w:szCs w:val="26"/>
        </w:rPr>
        <w:lastRenderedPageBreak/>
        <w:t>measured, incremental approach to COVID</w:t>
      </w:r>
      <w:r w:rsidR="00D64885">
        <w:rPr>
          <w:sz w:val="26"/>
          <w:szCs w:val="26"/>
        </w:rPr>
        <w:noBreakHyphen/>
      </w:r>
      <w:r w:rsidR="00347DF9" w:rsidRPr="00B60916">
        <w:rPr>
          <w:sz w:val="26"/>
          <w:szCs w:val="26"/>
        </w:rPr>
        <w:t>19 issues.</w:t>
      </w:r>
      <w:r w:rsidR="00414BE7">
        <w:rPr>
          <w:rStyle w:val="FootnoteReference"/>
          <w:sz w:val="26"/>
          <w:szCs w:val="26"/>
        </w:rPr>
        <w:footnoteReference w:id="6"/>
      </w:r>
      <w:r w:rsidR="00347DF9" w:rsidRPr="00B60916">
        <w:rPr>
          <w:sz w:val="26"/>
          <w:szCs w:val="26"/>
        </w:rPr>
        <w:t xml:space="preserve">  </w:t>
      </w:r>
      <w:r w:rsidR="000B6694" w:rsidRPr="00B60916">
        <w:rPr>
          <w:sz w:val="26"/>
          <w:szCs w:val="26"/>
        </w:rPr>
        <w:t>DLC notes that t</w:t>
      </w:r>
      <w:r w:rsidR="00347DF9" w:rsidRPr="00B60916">
        <w:rPr>
          <w:sz w:val="26"/>
          <w:szCs w:val="26"/>
        </w:rPr>
        <w:t>he EAP Petition requests that</w:t>
      </w:r>
      <w:r w:rsidR="0018697C">
        <w:rPr>
          <w:sz w:val="26"/>
          <w:szCs w:val="26"/>
        </w:rPr>
        <w:t xml:space="preserve"> </w:t>
      </w:r>
      <w:r w:rsidR="00347DF9" w:rsidRPr="00B60916">
        <w:rPr>
          <w:sz w:val="26"/>
          <w:szCs w:val="26"/>
        </w:rPr>
        <w:t xml:space="preserve">the Commission permit EDCs to implement their EE&amp;C demand response programs on a voluntary basis for the fifth year of EE&amp;C Phase III.  </w:t>
      </w:r>
      <w:r w:rsidR="00E770C4">
        <w:rPr>
          <w:sz w:val="26"/>
          <w:szCs w:val="26"/>
        </w:rPr>
        <w:t>DLC at 6-7.</w:t>
      </w:r>
      <w:r w:rsidR="00347DF9">
        <w:rPr>
          <w:sz w:val="26"/>
          <w:szCs w:val="26"/>
        </w:rPr>
        <w:t xml:space="preserve"> </w:t>
      </w:r>
      <w:r w:rsidR="00F317FE">
        <w:rPr>
          <w:sz w:val="26"/>
          <w:szCs w:val="26"/>
        </w:rPr>
        <w:t xml:space="preserve"> </w:t>
      </w:r>
      <w:r w:rsidR="00F317FE" w:rsidRPr="00F317FE">
        <w:rPr>
          <w:sz w:val="26"/>
          <w:szCs w:val="26"/>
        </w:rPr>
        <w:t xml:space="preserve">PPL submits that an extension is not needed because the current and ongoing Phase III compliance targets remain attainable. </w:t>
      </w:r>
      <w:r w:rsidR="002D6264">
        <w:rPr>
          <w:sz w:val="26"/>
          <w:szCs w:val="26"/>
        </w:rPr>
        <w:t xml:space="preserve"> PPL at 5.  </w:t>
      </w:r>
      <w:r>
        <w:rPr>
          <w:sz w:val="26"/>
          <w:szCs w:val="26"/>
        </w:rPr>
        <w:br/>
      </w:r>
      <w:r w:rsidR="001643F1">
        <w:rPr>
          <w:sz w:val="26"/>
          <w:szCs w:val="26"/>
        </w:rPr>
        <w:br/>
      </w:r>
      <w:r w:rsidR="00C836F7">
        <w:rPr>
          <w:sz w:val="26"/>
          <w:szCs w:val="26"/>
        </w:rPr>
        <w:tab/>
      </w:r>
      <w:r w:rsidR="00C47421">
        <w:rPr>
          <w:sz w:val="26"/>
          <w:szCs w:val="26"/>
        </w:rPr>
        <w:t xml:space="preserve">The </w:t>
      </w:r>
      <w:r w:rsidR="00E770C4">
        <w:rPr>
          <w:sz w:val="26"/>
          <w:szCs w:val="26"/>
        </w:rPr>
        <w:t>SEF</w:t>
      </w:r>
      <w:r w:rsidR="004E28B9">
        <w:rPr>
          <w:sz w:val="26"/>
          <w:szCs w:val="26"/>
        </w:rPr>
        <w:t xml:space="preserve"> notes that IECPA’s p</w:t>
      </w:r>
      <w:r w:rsidR="004E28B9" w:rsidRPr="004E28B9">
        <w:rPr>
          <w:sz w:val="26"/>
          <w:szCs w:val="26"/>
        </w:rPr>
        <w:t>roposal to extend Phase III is problematic because it ignores the budgetary constraints that limit EDCs</w:t>
      </w:r>
      <w:r w:rsidR="00457F83">
        <w:rPr>
          <w:sz w:val="26"/>
          <w:szCs w:val="26"/>
        </w:rPr>
        <w:t>’</w:t>
      </w:r>
      <w:r w:rsidR="004E28B9" w:rsidRPr="004E28B9">
        <w:rPr>
          <w:sz w:val="26"/>
          <w:szCs w:val="26"/>
        </w:rPr>
        <w:t xml:space="preserve"> spending on Act 129 programs to 2% of each EDC’s annual revenue as of December 31, 2006.</w:t>
      </w:r>
      <w:r w:rsidR="00457F83">
        <w:rPr>
          <w:sz w:val="26"/>
          <w:szCs w:val="26"/>
        </w:rPr>
        <w:t xml:space="preserve"> </w:t>
      </w:r>
      <w:r w:rsidR="004E28B9" w:rsidRPr="004E28B9">
        <w:rPr>
          <w:sz w:val="26"/>
          <w:szCs w:val="26"/>
        </w:rPr>
        <w:t xml:space="preserve"> 66 </w:t>
      </w:r>
      <w:proofErr w:type="spellStart"/>
      <w:r w:rsidR="004E28B9" w:rsidRPr="004E28B9">
        <w:rPr>
          <w:sz w:val="26"/>
          <w:szCs w:val="26"/>
        </w:rPr>
        <w:t>Pa.C.S</w:t>
      </w:r>
      <w:proofErr w:type="spellEnd"/>
      <w:r w:rsidR="004E28B9" w:rsidRPr="004E28B9">
        <w:rPr>
          <w:sz w:val="26"/>
          <w:szCs w:val="26"/>
        </w:rPr>
        <w:t xml:space="preserve">. §2806.1(g). </w:t>
      </w:r>
      <w:r w:rsidR="000E0FBC">
        <w:rPr>
          <w:sz w:val="26"/>
          <w:szCs w:val="26"/>
        </w:rPr>
        <w:t xml:space="preserve"> </w:t>
      </w:r>
      <w:r w:rsidR="00954CD4">
        <w:rPr>
          <w:sz w:val="26"/>
          <w:szCs w:val="26"/>
        </w:rPr>
        <w:t xml:space="preserve">The </w:t>
      </w:r>
      <w:r w:rsidR="005A5D71">
        <w:rPr>
          <w:sz w:val="26"/>
          <w:szCs w:val="26"/>
        </w:rPr>
        <w:t>SEF</w:t>
      </w:r>
      <w:r w:rsidR="00954CD4">
        <w:rPr>
          <w:sz w:val="26"/>
          <w:szCs w:val="26"/>
        </w:rPr>
        <w:t xml:space="preserve"> </w:t>
      </w:r>
      <w:r w:rsidR="00AB2120">
        <w:rPr>
          <w:sz w:val="26"/>
          <w:szCs w:val="26"/>
        </w:rPr>
        <w:t>is concerned that</w:t>
      </w:r>
      <w:r w:rsidR="004E28B9" w:rsidRPr="004E28B9">
        <w:rPr>
          <w:sz w:val="26"/>
          <w:szCs w:val="26"/>
        </w:rPr>
        <w:t xml:space="preserve"> if EDCs pursued their EE&amp;C Plans during </w:t>
      </w:r>
      <w:r w:rsidR="00090E1A">
        <w:rPr>
          <w:sz w:val="26"/>
          <w:szCs w:val="26"/>
        </w:rPr>
        <w:t>the</w:t>
      </w:r>
      <w:r w:rsidR="004E28B9" w:rsidRPr="004E28B9">
        <w:rPr>
          <w:sz w:val="26"/>
          <w:szCs w:val="26"/>
        </w:rPr>
        <w:t xml:space="preserve"> extension of Phase III in earnest it is possible </w:t>
      </w:r>
      <w:r w:rsidR="00F23FA4">
        <w:rPr>
          <w:sz w:val="26"/>
          <w:szCs w:val="26"/>
        </w:rPr>
        <w:t>that the cost limits</w:t>
      </w:r>
      <w:r w:rsidR="004E28B9" w:rsidRPr="004E28B9">
        <w:rPr>
          <w:sz w:val="26"/>
          <w:szCs w:val="26"/>
        </w:rPr>
        <w:t xml:space="preserve"> could become relevant and in turn may subject EDCs to penalties</w:t>
      </w:r>
      <w:r w:rsidR="00C836F7">
        <w:rPr>
          <w:sz w:val="26"/>
          <w:szCs w:val="26"/>
        </w:rPr>
        <w:t xml:space="preserve">.  </w:t>
      </w:r>
      <w:r w:rsidR="00F23FA4">
        <w:rPr>
          <w:sz w:val="26"/>
          <w:szCs w:val="26"/>
        </w:rPr>
        <w:t>SEF</w:t>
      </w:r>
      <w:r w:rsidR="00C836F7">
        <w:rPr>
          <w:sz w:val="26"/>
          <w:szCs w:val="26"/>
        </w:rPr>
        <w:t xml:space="preserve"> at 5.</w:t>
      </w:r>
    </w:p>
    <w:p w14:paraId="78F7A1B3" w14:textId="77777777" w:rsidR="00470538" w:rsidRDefault="00470538" w:rsidP="003A293E">
      <w:pPr>
        <w:pStyle w:val="ListParagraph"/>
        <w:rPr>
          <w:sz w:val="26"/>
          <w:szCs w:val="26"/>
        </w:rPr>
      </w:pPr>
    </w:p>
    <w:p w14:paraId="5989B4CF" w14:textId="03C3A133" w:rsidR="0011421F" w:rsidRDefault="0011421F" w:rsidP="003A293E">
      <w:pPr>
        <w:pStyle w:val="ListParagraph"/>
        <w:numPr>
          <w:ilvl w:val="0"/>
          <w:numId w:val="5"/>
        </w:numPr>
        <w:rPr>
          <w:sz w:val="26"/>
          <w:szCs w:val="26"/>
        </w:rPr>
      </w:pPr>
      <w:r w:rsidRPr="00FB0404">
        <w:rPr>
          <w:b/>
          <w:bCs/>
          <w:sz w:val="26"/>
          <w:szCs w:val="26"/>
        </w:rPr>
        <w:t>Reduction of</w:t>
      </w:r>
      <w:r>
        <w:rPr>
          <w:sz w:val="26"/>
          <w:szCs w:val="26"/>
        </w:rPr>
        <w:t xml:space="preserve"> </w:t>
      </w:r>
      <w:r w:rsidR="00FB0404" w:rsidRPr="00FB0404">
        <w:rPr>
          <w:b/>
          <w:bCs/>
          <w:sz w:val="26"/>
          <w:szCs w:val="26"/>
        </w:rPr>
        <w:t xml:space="preserve">surcharges </w:t>
      </w:r>
    </w:p>
    <w:p w14:paraId="6B4FECAB" w14:textId="77777777" w:rsidR="000D0E2D" w:rsidRDefault="000D0E2D" w:rsidP="007C3CE2">
      <w:pPr>
        <w:spacing w:line="360" w:lineRule="auto"/>
        <w:rPr>
          <w:color w:val="4472C4" w:themeColor="accent1"/>
          <w:sz w:val="26"/>
          <w:szCs w:val="26"/>
        </w:rPr>
      </w:pPr>
    </w:p>
    <w:p w14:paraId="09B2BB5A" w14:textId="5F32E103" w:rsidR="000D0E2D" w:rsidRPr="00041749" w:rsidRDefault="00785DF3" w:rsidP="007C3CE2">
      <w:pPr>
        <w:spacing w:line="360" w:lineRule="auto"/>
        <w:rPr>
          <w:sz w:val="26"/>
          <w:szCs w:val="26"/>
        </w:rPr>
      </w:pPr>
      <w:r w:rsidRPr="00041749">
        <w:rPr>
          <w:sz w:val="26"/>
          <w:szCs w:val="26"/>
        </w:rPr>
        <w:tab/>
      </w:r>
      <w:r w:rsidR="000D0E2D" w:rsidRPr="00041749">
        <w:rPr>
          <w:sz w:val="26"/>
          <w:szCs w:val="26"/>
        </w:rPr>
        <w:t>The Industrial Customers</w:t>
      </w:r>
      <w:r w:rsidR="00CC6651">
        <w:rPr>
          <w:sz w:val="26"/>
          <w:szCs w:val="26"/>
        </w:rPr>
        <w:t xml:space="preserve">, who support IECPA’s proposal to reduce Phase III surcharges by 50%, </w:t>
      </w:r>
      <w:r w:rsidRPr="00041749">
        <w:rPr>
          <w:sz w:val="26"/>
          <w:szCs w:val="26"/>
        </w:rPr>
        <w:t xml:space="preserve">suggest that </w:t>
      </w:r>
      <w:r w:rsidR="000D0E2D" w:rsidRPr="00041749">
        <w:rPr>
          <w:sz w:val="26"/>
          <w:szCs w:val="26"/>
        </w:rPr>
        <w:t xml:space="preserve">funds currently being collected by the EDCs are not being used due to COVID-19 or that the surcharges do not reasonably reflect </w:t>
      </w:r>
      <w:r w:rsidR="00716DC4">
        <w:rPr>
          <w:sz w:val="26"/>
          <w:szCs w:val="26"/>
        </w:rPr>
        <w:t>the</w:t>
      </w:r>
      <w:r w:rsidR="000D0E2D" w:rsidRPr="00041749">
        <w:rPr>
          <w:sz w:val="26"/>
          <w:szCs w:val="26"/>
        </w:rPr>
        <w:t xml:space="preserve"> benefits </w:t>
      </w:r>
      <w:r w:rsidR="00716DC4">
        <w:rPr>
          <w:sz w:val="26"/>
          <w:szCs w:val="26"/>
        </w:rPr>
        <w:t>being</w:t>
      </w:r>
      <w:r w:rsidR="000D0E2D" w:rsidRPr="00041749">
        <w:rPr>
          <w:sz w:val="26"/>
          <w:szCs w:val="26"/>
        </w:rPr>
        <w:t xml:space="preserve"> provided.</w:t>
      </w:r>
      <w:r w:rsidRPr="00041749">
        <w:rPr>
          <w:sz w:val="26"/>
          <w:szCs w:val="26"/>
        </w:rPr>
        <w:t xml:space="preserve">  The Industrial Customers assert that</w:t>
      </w:r>
      <w:r w:rsidR="000D0E2D" w:rsidRPr="00041749">
        <w:rPr>
          <w:sz w:val="26"/>
          <w:szCs w:val="26"/>
        </w:rPr>
        <w:t xml:space="preserve"> </w:t>
      </w:r>
      <w:r w:rsidRPr="00041749">
        <w:rPr>
          <w:sz w:val="26"/>
          <w:szCs w:val="26"/>
        </w:rPr>
        <w:t>r</w:t>
      </w:r>
      <w:r w:rsidR="000D0E2D" w:rsidRPr="00041749">
        <w:rPr>
          <w:sz w:val="26"/>
          <w:szCs w:val="26"/>
        </w:rPr>
        <w:t xml:space="preserve">educing the surcharges would provide customers with immediate financial relief during this public health and resulting economic crisis. </w:t>
      </w:r>
      <w:r w:rsidRPr="00041749">
        <w:rPr>
          <w:sz w:val="26"/>
          <w:szCs w:val="26"/>
        </w:rPr>
        <w:t xml:space="preserve"> The Industrial Customers also </w:t>
      </w:r>
      <w:r w:rsidR="00FC6C1A" w:rsidRPr="00041749">
        <w:rPr>
          <w:sz w:val="26"/>
          <w:szCs w:val="26"/>
        </w:rPr>
        <w:t>submit that r</w:t>
      </w:r>
      <w:r w:rsidR="000D0E2D" w:rsidRPr="00041749">
        <w:rPr>
          <w:sz w:val="26"/>
          <w:szCs w:val="26"/>
        </w:rPr>
        <w:t>educing the regulatory charges on Large</w:t>
      </w:r>
      <w:r w:rsidR="00FC6C1A" w:rsidRPr="00041749">
        <w:rPr>
          <w:sz w:val="26"/>
          <w:szCs w:val="26"/>
        </w:rPr>
        <w:t xml:space="preserve"> </w:t>
      </w:r>
      <w:r w:rsidR="000D0E2D" w:rsidRPr="00041749">
        <w:rPr>
          <w:sz w:val="26"/>
          <w:szCs w:val="26"/>
        </w:rPr>
        <w:t xml:space="preserve">C&amp;I customers </w:t>
      </w:r>
      <w:r w:rsidR="004E069B">
        <w:rPr>
          <w:sz w:val="26"/>
          <w:szCs w:val="26"/>
        </w:rPr>
        <w:t>will</w:t>
      </w:r>
      <w:r w:rsidR="004E069B" w:rsidRPr="00041749">
        <w:rPr>
          <w:sz w:val="26"/>
          <w:szCs w:val="26"/>
        </w:rPr>
        <w:t xml:space="preserve"> </w:t>
      </w:r>
      <w:r w:rsidR="000D0E2D" w:rsidRPr="00041749">
        <w:rPr>
          <w:sz w:val="26"/>
          <w:szCs w:val="26"/>
        </w:rPr>
        <w:t xml:space="preserve">help </w:t>
      </w:r>
      <w:r w:rsidR="004E069B">
        <w:rPr>
          <w:sz w:val="26"/>
          <w:szCs w:val="26"/>
        </w:rPr>
        <w:t>these</w:t>
      </w:r>
      <w:r w:rsidR="000D0E2D" w:rsidRPr="00041749">
        <w:rPr>
          <w:sz w:val="26"/>
          <w:szCs w:val="26"/>
        </w:rPr>
        <w:t xml:space="preserve"> customers by </w:t>
      </w:r>
      <w:r w:rsidR="004E069B">
        <w:rPr>
          <w:sz w:val="26"/>
          <w:szCs w:val="26"/>
        </w:rPr>
        <w:t>allowing them to direct more funds</w:t>
      </w:r>
      <w:r w:rsidR="000D0E2D" w:rsidRPr="00041749">
        <w:rPr>
          <w:sz w:val="26"/>
          <w:szCs w:val="26"/>
        </w:rPr>
        <w:t xml:space="preserve"> to critical operations</w:t>
      </w:r>
      <w:r w:rsidR="008946EF">
        <w:rPr>
          <w:sz w:val="26"/>
          <w:szCs w:val="26"/>
        </w:rPr>
        <w:t>,</w:t>
      </w:r>
      <w:r w:rsidR="000D0E2D" w:rsidRPr="00041749">
        <w:rPr>
          <w:sz w:val="26"/>
          <w:szCs w:val="26"/>
        </w:rPr>
        <w:t xml:space="preserve"> efforts to maintain</w:t>
      </w:r>
      <w:r w:rsidR="006345B4">
        <w:rPr>
          <w:sz w:val="26"/>
          <w:szCs w:val="26"/>
        </w:rPr>
        <w:t>ing</w:t>
      </w:r>
      <w:r w:rsidR="000D0E2D" w:rsidRPr="00041749">
        <w:rPr>
          <w:sz w:val="26"/>
          <w:szCs w:val="26"/>
        </w:rPr>
        <w:t xml:space="preserve"> employee complement</w:t>
      </w:r>
      <w:r w:rsidR="008946EF">
        <w:rPr>
          <w:sz w:val="26"/>
          <w:szCs w:val="26"/>
        </w:rPr>
        <w:t>s</w:t>
      </w:r>
      <w:r w:rsidR="000D0E2D" w:rsidRPr="00041749">
        <w:rPr>
          <w:sz w:val="26"/>
          <w:szCs w:val="26"/>
        </w:rPr>
        <w:t xml:space="preserve"> and avoid permanent harm, such as closure</w:t>
      </w:r>
      <w:r w:rsidR="008946EF">
        <w:rPr>
          <w:sz w:val="26"/>
          <w:szCs w:val="26"/>
        </w:rPr>
        <w:t>s</w:t>
      </w:r>
      <w:r w:rsidR="000D0E2D" w:rsidRPr="00041749">
        <w:rPr>
          <w:sz w:val="26"/>
          <w:szCs w:val="26"/>
        </w:rPr>
        <w:t xml:space="preserve"> and layoffs.</w:t>
      </w:r>
      <w:r w:rsidR="00FC6C1A" w:rsidRPr="00041749">
        <w:rPr>
          <w:sz w:val="26"/>
          <w:szCs w:val="26"/>
        </w:rPr>
        <w:t xml:space="preserve">  Industrial Customers at </w:t>
      </w:r>
      <w:r w:rsidR="00041749" w:rsidRPr="00041749">
        <w:rPr>
          <w:sz w:val="26"/>
          <w:szCs w:val="26"/>
        </w:rPr>
        <w:t>19.</w:t>
      </w:r>
    </w:p>
    <w:p w14:paraId="16E44925" w14:textId="6FB20CA5" w:rsidR="001737F9" w:rsidRDefault="00B57DC7" w:rsidP="007C3CE2">
      <w:pPr>
        <w:spacing w:line="360" w:lineRule="auto"/>
        <w:rPr>
          <w:sz w:val="26"/>
          <w:szCs w:val="26"/>
        </w:rPr>
      </w:pPr>
      <w:r>
        <w:rPr>
          <w:color w:val="4472C4" w:themeColor="accent1"/>
          <w:sz w:val="26"/>
          <w:szCs w:val="26"/>
        </w:rPr>
        <w:lastRenderedPageBreak/>
        <w:tab/>
      </w:r>
      <w:r w:rsidRPr="004E31BD">
        <w:rPr>
          <w:sz w:val="26"/>
          <w:szCs w:val="26"/>
        </w:rPr>
        <w:t>FirstEnergy</w:t>
      </w:r>
      <w:r w:rsidR="003B3229" w:rsidRPr="004E31BD">
        <w:rPr>
          <w:sz w:val="26"/>
          <w:szCs w:val="26"/>
        </w:rPr>
        <w:t xml:space="preserve"> points to the cost-recovery </w:t>
      </w:r>
      <w:r w:rsidR="00F00262" w:rsidRPr="004E31BD">
        <w:rPr>
          <w:sz w:val="26"/>
          <w:szCs w:val="26"/>
        </w:rPr>
        <w:t xml:space="preserve">provision of Act 129, which provides that EDCs shall be assured full and current recovery of prudent and reasonable costs </w:t>
      </w:r>
      <w:r w:rsidR="00A5684D">
        <w:rPr>
          <w:sz w:val="26"/>
          <w:szCs w:val="26"/>
        </w:rPr>
        <w:t xml:space="preserve">associated with </w:t>
      </w:r>
      <w:r w:rsidR="00F00262" w:rsidRPr="004E31BD">
        <w:rPr>
          <w:sz w:val="26"/>
          <w:szCs w:val="26"/>
        </w:rPr>
        <w:t xml:space="preserve">their EE&amp;C plans.  </w:t>
      </w:r>
      <w:r w:rsidR="00ED4A42" w:rsidRPr="004E31BD">
        <w:rPr>
          <w:sz w:val="26"/>
          <w:szCs w:val="26"/>
        </w:rPr>
        <w:t>FirstEnergy</w:t>
      </w:r>
      <w:r w:rsidRPr="004E31BD">
        <w:rPr>
          <w:sz w:val="26"/>
          <w:szCs w:val="26"/>
        </w:rPr>
        <w:t xml:space="preserve"> </w:t>
      </w:r>
      <w:r w:rsidR="00F06571" w:rsidRPr="004E31BD">
        <w:rPr>
          <w:sz w:val="26"/>
          <w:szCs w:val="26"/>
        </w:rPr>
        <w:t>asserts that reducing all EE&amp;C surcharges by 50% would not provide full and current cost recovery</w:t>
      </w:r>
      <w:r w:rsidR="00CE67A5" w:rsidRPr="004E31BD">
        <w:rPr>
          <w:sz w:val="26"/>
          <w:szCs w:val="26"/>
        </w:rPr>
        <w:t>, and cause long-term disruption of collections</w:t>
      </w:r>
      <w:r w:rsidR="00151F24" w:rsidRPr="004E31BD">
        <w:rPr>
          <w:sz w:val="26"/>
          <w:szCs w:val="26"/>
        </w:rPr>
        <w:t xml:space="preserve">, as well as causing negative customer reactions and financial instability </w:t>
      </w:r>
      <w:r w:rsidR="00E26699">
        <w:rPr>
          <w:sz w:val="26"/>
          <w:szCs w:val="26"/>
        </w:rPr>
        <w:t>for</w:t>
      </w:r>
      <w:r w:rsidR="00151F24" w:rsidRPr="004E31BD">
        <w:rPr>
          <w:sz w:val="26"/>
          <w:szCs w:val="26"/>
        </w:rPr>
        <w:t xml:space="preserve"> EE&amp;C programs.  FirstEnergy at 8-9.</w:t>
      </w:r>
      <w:r w:rsidR="00794927">
        <w:rPr>
          <w:sz w:val="26"/>
          <w:szCs w:val="26"/>
        </w:rPr>
        <w:t xml:space="preserve">  PECO asserts that IECPA’s request to immediately reduce EE&amp;C surcharges is not prudent.  </w:t>
      </w:r>
      <w:r w:rsidR="004E2CE6">
        <w:rPr>
          <w:sz w:val="26"/>
          <w:szCs w:val="26"/>
        </w:rPr>
        <w:t xml:space="preserve">PECO </w:t>
      </w:r>
      <w:r w:rsidR="00870098">
        <w:rPr>
          <w:sz w:val="26"/>
          <w:szCs w:val="26"/>
        </w:rPr>
        <w:t>asserts</w:t>
      </w:r>
      <w:r w:rsidR="004E2CE6">
        <w:rPr>
          <w:sz w:val="26"/>
          <w:szCs w:val="26"/>
        </w:rPr>
        <w:t xml:space="preserve"> that such reduction may </w:t>
      </w:r>
      <w:r w:rsidR="007F1C9B">
        <w:rPr>
          <w:sz w:val="26"/>
          <w:szCs w:val="26"/>
        </w:rPr>
        <w:t>disrupt existing programs and make it difficult to re-institute such programs</w:t>
      </w:r>
      <w:r w:rsidR="0066289C">
        <w:rPr>
          <w:sz w:val="26"/>
          <w:szCs w:val="26"/>
        </w:rPr>
        <w:t xml:space="preserve"> after an extended hiatus.  PECO recommends that </w:t>
      </w:r>
      <w:r w:rsidR="00F33EC0">
        <w:rPr>
          <w:sz w:val="26"/>
          <w:szCs w:val="26"/>
        </w:rPr>
        <w:t xml:space="preserve">the </w:t>
      </w:r>
      <w:r w:rsidR="00F33EC0" w:rsidRPr="00F33EC0">
        <w:rPr>
          <w:sz w:val="26"/>
          <w:szCs w:val="26"/>
        </w:rPr>
        <w:t>Commission maintain current surcharges</w:t>
      </w:r>
      <w:r w:rsidR="00F33EC0">
        <w:rPr>
          <w:sz w:val="26"/>
          <w:szCs w:val="26"/>
        </w:rPr>
        <w:t>, noting that e</w:t>
      </w:r>
      <w:r w:rsidR="00F33EC0" w:rsidRPr="00F33EC0">
        <w:rPr>
          <w:sz w:val="26"/>
          <w:szCs w:val="26"/>
        </w:rPr>
        <w:t>ven if EDCs ultimately end up spending less than their Phase III budgets, customers will not be at any financial risk since the EDCs perform a reconciliation.</w:t>
      </w:r>
      <w:r w:rsidR="00F33EC0">
        <w:rPr>
          <w:sz w:val="26"/>
          <w:szCs w:val="26"/>
        </w:rPr>
        <w:t xml:space="preserve">  PECO at </w:t>
      </w:r>
      <w:r w:rsidR="001737F9">
        <w:rPr>
          <w:sz w:val="26"/>
          <w:szCs w:val="26"/>
        </w:rPr>
        <w:t>5</w:t>
      </w:r>
      <w:r w:rsidR="001737F9">
        <w:rPr>
          <w:sz w:val="26"/>
          <w:szCs w:val="26"/>
        </w:rPr>
        <w:noBreakHyphen/>
      </w:r>
      <w:r w:rsidR="00F33EC0">
        <w:rPr>
          <w:sz w:val="26"/>
          <w:szCs w:val="26"/>
        </w:rPr>
        <w:t xml:space="preserve">6. </w:t>
      </w:r>
      <w:r w:rsidR="007D137D">
        <w:rPr>
          <w:sz w:val="26"/>
          <w:szCs w:val="26"/>
        </w:rPr>
        <w:t xml:space="preserve"> </w:t>
      </w:r>
    </w:p>
    <w:p w14:paraId="2220C949" w14:textId="77777777" w:rsidR="001737F9" w:rsidRDefault="001737F9" w:rsidP="007C3CE2">
      <w:pPr>
        <w:spacing w:line="360" w:lineRule="auto"/>
        <w:rPr>
          <w:sz w:val="26"/>
          <w:szCs w:val="26"/>
        </w:rPr>
      </w:pPr>
    </w:p>
    <w:p w14:paraId="6F1495E4" w14:textId="45758455" w:rsidR="000D0E2D" w:rsidRDefault="007D137D" w:rsidP="00CB4B6A">
      <w:pPr>
        <w:spacing w:line="360" w:lineRule="auto"/>
        <w:ind w:firstLine="720"/>
        <w:rPr>
          <w:color w:val="4472C4" w:themeColor="accent1"/>
          <w:sz w:val="26"/>
          <w:szCs w:val="26"/>
        </w:rPr>
      </w:pPr>
      <w:r>
        <w:rPr>
          <w:sz w:val="26"/>
          <w:szCs w:val="26"/>
        </w:rPr>
        <w:t xml:space="preserve">DLC </w:t>
      </w:r>
      <w:r w:rsidR="00230580">
        <w:rPr>
          <w:sz w:val="26"/>
          <w:szCs w:val="26"/>
        </w:rPr>
        <w:t>concludes</w:t>
      </w:r>
      <w:r w:rsidR="0097421C">
        <w:rPr>
          <w:sz w:val="26"/>
          <w:szCs w:val="26"/>
        </w:rPr>
        <w:t xml:space="preserve"> that </w:t>
      </w:r>
      <w:r w:rsidR="0097421C" w:rsidRPr="0097421C">
        <w:rPr>
          <w:sz w:val="26"/>
          <w:szCs w:val="26"/>
        </w:rPr>
        <w:t>IECPA’s request to immediately reduce EE&amp;C surcharges is</w:t>
      </w:r>
      <w:r w:rsidR="0097421C">
        <w:rPr>
          <w:sz w:val="26"/>
          <w:szCs w:val="26"/>
        </w:rPr>
        <w:t xml:space="preserve"> </w:t>
      </w:r>
      <w:r w:rsidR="0097421C" w:rsidRPr="0097421C">
        <w:rPr>
          <w:sz w:val="26"/>
          <w:szCs w:val="26"/>
        </w:rPr>
        <w:t xml:space="preserve">counterproductive and should be denied. </w:t>
      </w:r>
      <w:r w:rsidR="0097421C">
        <w:rPr>
          <w:sz w:val="26"/>
          <w:szCs w:val="26"/>
        </w:rPr>
        <w:t xml:space="preserve"> DLC asserts that t</w:t>
      </w:r>
      <w:r w:rsidR="0097421C" w:rsidRPr="0097421C">
        <w:rPr>
          <w:sz w:val="26"/>
          <w:szCs w:val="26"/>
        </w:rPr>
        <w:t xml:space="preserve">his requested reduction would impede </w:t>
      </w:r>
      <w:r w:rsidR="001737F9">
        <w:rPr>
          <w:sz w:val="26"/>
          <w:szCs w:val="26"/>
        </w:rPr>
        <w:t>its</w:t>
      </w:r>
      <w:r w:rsidR="0097421C" w:rsidRPr="0097421C">
        <w:rPr>
          <w:sz w:val="26"/>
          <w:szCs w:val="26"/>
        </w:rPr>
        <w:t xml:space="preserve"> ability to deliver energy and money-saving measures to customers.</w:t>
      </w:r>
      <w:r w:rsidR="00BF14FA">
        <w:rPr>
          <w:sz w:val="26"/>
          <w:szCs w:val="26"/>
        </w:rPr>
        <w:t xml:space="preserve">  </w:t>
      </w:r>
      <w:r w:rsidR="00BF14FA" w:rsidRPr="00BF14FA">
        <w:rPr>
          <w:i/>
          <w:iCs/>
          <w:sz w:val="26"/>
          <w:szCs w:val="26"/>
        </w:rPr>
        <w:t>Id.</w:t>
      </w:r>
      <w:r w:rsidR="00BF14FA">
        <w:rPr>
          <w:sz w:val="26"/>
          <w:szCs w:val="26"/>
        </w:rPr>
        <w:t xml:space="preserve">  </w:t>
      </w:r>
      <w:r w:rsidR="000705B7">
        <w:rPr>
          <w:sz w:val="26"/>
          <w:szCs w:val="26"/>
        </w:rPr>
        <w:t xml:space="preserve">DLC asserts that </w:t>
      </w:r>
      <w:r w:rsidR="000705B7" w:rsidRPr="000705B7">
        <w:rPr>
          <w:sz w:val="26"/>
          <w:szCs w:val="26"/>
        </w:rPr>
        <w:t xml:space="preserve">IECPA’s request is unnecessary because EE&amp;C surcharges are reconcilable charges that only recover costs actually incurred. </w:t>
      </w:r>
      <w:r w:rsidR="001737F9">
        <w:rPr>
          <w:sz w:val="26"/>
          <w:szCs w:val="26"/>
        </w:rPr>
        <w:t xml:space="preserve"> </w:t>
      </w:r>
      <w:r w:rsidR="0082778E">
        <w:rPr>
          <w:sz w:val="26"/>
          <w:szCs w:val="26"/>
        </w:rPr>
        <w:t xml:space="preserve">DLC </w:t>
      </w:r>
      <w:r w:rsidR="00230580">
        <w:rPr>
          <w:sz w:val="26"/>
          <w:szCs w:val="26"/>
        </w:rPr>
        <w:t>represents</w:t>
      </w:r>
      <w:r w:rsidR="0082778E">
        <w:rPr>
          <w:sz w:val="26"/>
          <w:szCs w:val="26"/>
        </w:rPr>
        <w:t xml:space="preserve"> that t</w:t>
      </w:r>
      <w:r w:rsidR="000705B7" w:rsidRPr="000705B7">
        <w:rPr>
          <w:sz w:val="26"/>
          <w:szCs w:val="26"/>
        </w:rPr>
        <w:t>o the extent an EDC experiences an overcollection attributable to COVID-19 – an outcome that is speculative at this time – such overcollection will be refunded to customers through the ordinary operation of the EDC’s EE&amp;C surcharge.</w:t>
      </w:r>
      <w:r w:rsidR="0082778E">
        <w:rPr>
          <w:sz w:val="26"/>
          <w:szCs w:val="26"/>
        </w:rPr>
        <w:t xml:space="preserve">  </w:t>
      </w:r>
      <w:r w:rsidR="001737F9">
        <w:rPr>
          <w:sz w:val="26"/>
          <w:szCs w:val="26"/>
        </w:rPr>
        <w:t xml:space="preserve">DLC at </w:t>
      </w:r>
      <w:r w:rsidR="00E11BAC">
        <w:rPr>
          <w:sz w:val="26"/>
          <w:szCs w:val="26"/>
        </w:rPr>
        <w:t>7</w:t>
      </w:r>
      <w:r w:rsidR="00E11BAC">
        <w:rPr>
          <w:sz w:val="26"/>
          <w:szCs w:val="26"/>
        </w:rPr>
        <w:noBreakHyphen/>
        <w:t>8.</w:t>
      </w:r>
      <w:r w:rsidR="001E0CED">
        <w:rPr>
          <w:i/>
          <w:iCs/>
          <w:sz w:val="26"/>
          <w:szCs w:val="26"/>
        </w:rPr>
        <w:t xml:space="preserve">  </w:t>
      </w:r>
      <w:r w:rsidR="001E0CED">
        <w:rPr>
          <w:sz w:val="26"/>
          <w:szCs w:val="26"/>
        </w:rPr>
        <w:t xml:space="preserve">PPL </w:t>
      </w:r>
      <w:r w:rsidR="005C495C">
        <w:rPr>
          <w:sz w:val="26"/>
          <w:szCs w:val="26"/>
        </w:rPr>
        <w:t>submits that IECPA’s proposal to reduce EE&amp;C surcharges is unnecessary and inappropriate for several reasons</w:t>
      </w:r>
      <w:r w:rsidR="00401D34">
        <w:rPr>
          <w:sz w:val="26"/>
          <w:szCs w:val="26"/>
        </w:rPr>
        <w:t xml:space="preserve">.  </w:t>
      </w:r>
      <w:r w:rsidR="004F74D5">
        <w:rPr>
          <w:sz w:val="26"/>
          <w:szCs w:val="26"/>
        </w:rPr>
        <w:t xml:space="preserve">PPL asserts that </w:t>
      </w:r>
      <w:r w:rsidR="00D263B7" w:rsidRPr="00D263B7">
        <w:rPr>
          <w:sz w:val="26"/>
          <w:szCs w:val="26"/>
        </w:rPr>
        <w:t>the continued provision of cost-effective energy efficiency and demand response measures could be more beneficial to customers than a reduction of the EE&amp;C surcharges</w:t>
      </w:r>
      <w:r w:rsidR="00D263B7">
        <w:rPr>
          <w:sz w:val="26"/>
          <w:szCs w:val="26"/>
        </w:rPr>
        <w:t xml:space="preserve">, </w:t>
      </w:r>
      <w:r w:rsidR="00D263B7" w:rsidRPr="00D263B7">
        <w:rPr>
          <w:sz w:val="26"/>
          <w:szCs w:val="26"/>
        </w:rPr>
        <w:t>th</w:t>
      </w:r>
      <w:r w:rsidR="00D263B7">
        <w:rPr>
          <w:sz w:val="26"/>
          <w:szCs w:val="26"/>
        </w:rPr>
        <w:t>at</w:t>
      </w:r>
      <w:r w:rsidR="00D263B7" w:rsidRPr="00D263B7">
        <w:rPr>
          <w:sz w:val="26"/>
          <w:szCs w:val="26"/>
        </w:rPr>
        <w:t xml:space="preserve"> Phase III EE&amp;C surcharges are based upon projected program costs and are fully reconciled on an annual basi</w:t>
      </w:r>
      <w:r w:rsidR="00D263B7">
        <w:rPr>
          <w:sz w:val="26"/>
          <w:szCs w:val="26"/>
        </w:rPr>
        <w:t xml:space="preserve">s, </w:t>
      </w:r>
      <w:r w:rsidR="00E81890">
        <w:rPr>
          <w:sz w:val="26"/>
          <w:szCs w:val="26"/>
        </w:rPr>
        <w:t xml:space="preserve">that </w:t>
      </w:r>
      <w:r w:rsidR="00E81890" w:rsidRPr="00E81890">
        <w:rPr>
          <w:sz w:val="26"/>
          <w:szCs w:val="26"/>
        </w:rPr>
        <w:t>IECPA’s proposal could result in a substantial rate shock to customers</w:t>
      </w:r>
      <w:r w:rsidR="00CB4B8D">
        <w:rPr>
          <w:sz w:val="26"/>
          <w:szCs w:val="26"/>
        </w:rPr>
        <w:t xml:space="preserve">, and that </w:t>
      </w:r>
      <w:r w:rsidR="0067557C">
        <w:rPr>
          <w:sz w:val="26"/>
          <w:szCs w:val="26"/>
        </w:rPr>
        <w:t>PPL’s customers already benefit from the reconciliation process</w:t>
      </w:r>
      <w:r w:rsidR="00CB4B8D">
        <w:rPr>
          <w:sz w:val="26"/>
          <w:szCs w:val="26"/>
        </w:rPr>
        <w:t>.</w:t>
      </w:r>
      <w:r w:rsidR="0067557C">
        <w:rPr>
          <w:sz w:val="26"/>
          <w:szCs w:val="26"/>
        </w:rPr>
        <w:t xml:space="preserve">  PPL at </w:t>
      </w:r>
      <w:r w:rsidR="00E11BAC">
        <w:rPr>
          <w:sz w:val="26"/>
          <w:szCs w:val="26"/>
        </w:rPr>
        <w:t>5</w:t>
      </w:r>
      <w:r w:rsidR="009E452F">
        <w:rPr>
          <w:sz w:val="26"/>
          <w:szCs w:val="26"/>
        </w:rPr>
        <w:t>-7.</w:t>
      </w:r>
      <w:r w:rsidR="00B57DC7">
        <w:rPr>
          <w:color w:val="4472C4" w:themeColor="accent1"/>
          <w:sz w:val="26"/>
          <w:szCs w:val="26"/>
        </w:rPr>
        <w:br/>
      </w:r>
    </w:p>
    <w:p w14:paraId="285A45CB" w14:textId="0F7E7581" w:rsidR="00556D87" w:rsidRDefault="00556D87" w:rsidP="007C3CE2">
      <w:pPr>
        <w:spacing w:line="360" w:lineRule="auto"/>
        <w:rPr>
          <w:sz w:val="26"/>
          <w:szCs w:val="26"/>
        </w:rPr>
      </w:pPr>
      <w:r>
        <w:rPr>
          <w:color w:val="4472C4" w:themeColor="accent1"/>
          <w:sz w:val="26"/>
          <w:szCs w:val="26"/>
        </w:rPr>
        <w:lastRenderedPageBreak/>
        <w:tab/>
      </w:r>
      <w:r w:rsidRPr="00144AFE">
        <w:rPr>
          <w:sz w:val="26"/>
          <w:szCs w:val="26"/>
        </w:rPr>
        <w:t xml:space="preserve"> </w:t>
      </w:r>
      <w:r w:rsidR="00E87095">
        <w:rPr>
          <w:sz w:val="26"/>
          <w:szCs w:val="26"/>
        </w:rPr>
        <w:t xml:space="preserve">The OCA </w:t>
      </w:r>
      <w:r w:rsidR="005F4461">
        <w:rPr>
          <w:sz w:val="26"/>
          <w:szCs w:val="26"/>
        </w:rPr>
        <w:t xml:space="preserve">notes that while IECPA’s proposal to reduce </w:t>
      </w:r>
      <w:r w:rsidR="00B17DA7">
        <w:rPr>
          <w:sz w:val="26"/>
          <w:szCs w:val="26"/>
        </w:rPr>
        <w:t>Phase III surcharges may provide</w:t>
      </w:r>
      <w:r w:rsidR="00B17DA7" w:rsidRPr="00B17DA7">
        <w:rPr>
          <w:sz w:val="26"/>
          <w:szCs w:val="26"/>
        </w:rPr>
        <w:t xml:space="preserve"> rate relief </w:t>
      </w:r>
      <w:r w:rsidR="00B17DA7">
        <w:rPr>
          <w:sz w:val="26"/>
          <w:szCs w:val="26"/>
        </w:rPr>
        <w:t xml:space="preserve">that would be </w:t>
      </w:r>
      <w:r w:rsidR="00B17DA7" w:rsidRPr="00B17DA7">
        <w:rPr>
          <w:sz w:val="26"/>
          <w:szCs w:val="26"/>
        </w:rPr>
        <w:t>beneficial to customers</w:t>
      </w:r>
      <w:r w:rsidR="00B17DA7">
        <w:rPr>
          <w:sz w:val="26"/>
          <w:szCs w:val="26"/>
        </w:rPr>
        <w:t xml:space="preserve"> at this time</w:t>
      </w:r>
      <w:r w:rsidR="00B17DA7" w:rsidRPr="00B17DA7">
        <w:rPr>
          <w:sz w:val="26"/>
          <w:szCs w:val="26"/>
        </w:rPr>
        <w:t>, continuing with cost-effective energy efficiency and demand response that can be safely and cost</w:t>
      </w:r>
      <w:r w:rsidR="00E11BAC">
        <w:rPr>
          <w:sz w:val="26"/>
          <w:szCs w:val="26"/>
        </w:rPr>
        <w:noBreakHyphen/>
      </w:r>
      <w:r w:rsidR="00B17DA7" w:rsidRPr="00B17DA7">
        <w:rPr>
          <w:sz w:val="26"/>
          <w:szCs w:val="26"/>
        </w:rPr>
        <w:t>effectively delivered could be more beneficial to customers</w:t>
      </w:r>
      <w:r w:rsidR="006B6936">
        <w:rPr>
          <w:sz w:val="26"/>
          <w:szCs w:val="26"/>
        </w:rPr>
        <w:t xml:space="preserve">.  </w:t>
      </w:r>
      <w:r w:rsidR="00F51C72">
        <w:rPr>
          <w:sz w:val="26"/>
          <w:szCs w:val="26"/>
        </w:rPr>
        <w:t xml:space="preserve">The OCA recommends revisiting any proposals to reduce charges at a later date when there is a better understanding of what programs </w:t>
      </w:r>
      <w:r w:rsidR="00C30103">
        <w:rPr>
          <w:sz w:val="26"/>
          <w:szCs w:val="26"/>
        </w:rPr>
        <w:t xml:space="preserve">can </w:t>
      </w:r>
      <w:r w:rsidR="00F51C72">
        <w:rPr>
          <w:sz w:val="26"/>
          <w:szCs w:val="26"/>
        </w:rPr>
        <w:t xml:space="preserve">be delivered safely and at what cost.  OCA at </w:t>
      </w:r>
      <w:r w:rsidR="0026566F">
        <w:rPr>
          <w:sz w:val="26"/>
          <w:szCs w:val="26"/>
        </w:rPr>
        <w:t xml:space="preserve">3.  </w:t>
      </w:r>
    </w:p>
    <w:p w14:paraId="7BF0F235" w14:textId="6588CCFE" w:rsidR="007D36CB" w:rsidRDefault="007D36CB" w:rsidP="007C3CE2">
      <w:pPr>
        <w:spacing w:line="360" w:lineRule="auto"/>
        <w:rPr>
          <w:sz w:val="26"/>
          <w:szCs w:val="26"/>
        </w:rPr>
      </w:pPr>
    </w:p>
    <w:p w14:paraId="22B79C59" w14:textId="04D92919" w:rsidR="00783DE9" w:rsidRPr="00BA598F" w:rsidRDefault="007D36CB" w:rsidP="009F1C8E">
      <w:pPr>
        <w:pStyle w:val="ListParagraph"/>
        <w:spacing w:line="360" w:lineRule="auto"/>
        <w:ind w:left="0"/>
        <w:rPr>
          <w:sz w:val="26"/>
          <w:szCs w:val="26"/>
        </w:rPr>
      </w:pPr>
      <w:r>
        <w:rPr>
          <w:sz w:val="26"/>
          <w:szCs w:val="26"/>
        </w:rPr>
        <w:tab/>
        <w:t xml:space="preserve">CAUSE-PA </w:t>
      </w:r>
      <w:r w:rsidR="00CA201F">
        <w:rPr>
          <w:sz w:val="26"/>
          <w:szCs w:val="26"/>
        </w:rPr>
        <w:t xml:space="preserve">asserts that IECPA’s proposal for a reduction in </w:t>
      </w:r>
      <w:r w:rsidR="0034590E">
        <w:rPr>
          <w:sz w:val="26"/>
          <w:szCs w:val="26"/>
        </w:rPr>
        <w:t xml:space="preserve">Phase III </w:t>
      </w:r>
      <w:r w:rsidR="00CA201F">
        <w:rPr>
          <w:sz w:val="26"/>
          <w:szCs w:val="26"/>
        </w:rPr>
        <w:t xml:space="preserve">surcharges </w:t>
      </w:r>
      <w:r w:rsidR="0034590E">
        <w:rPr>
          <w:sz w:val="26"/>
          <w:szCs w:val="26"/>
        </w:rPr>
        <w:t>is not appropriate</w:t>
      </w:r>
      <w:r w:rsidR="009C687A">
        <w:rPr>
          <w:sz w:val="26"/>
          <w:szCs w:val="26"/>
        </w:rPr>
        <w:t xml:space="preserve"> given the current data, and that</w:t>
      </w:r>
      <w:r w:rsidR="0034590E">
        <w:rPr>
          <w:sz w:val="26"/>
          <w:szCs w:val="26"/>
        </w:rPr>
        <w:t xml:space="preserve"> doing so, in conjunction with freezing and delaying </w:t>
      </w:r>
      <w:r w:rsidR="00582C86">
        <w:rPr>
          <w:sz w:val="26"/>
          <w:szCs w:val="26"/>
        </w:rPr>
        <w:t xml:space="preserve">the implementation of Phase IV, could have a detrimental effect on the viability of EE&amp;C programs, including shuttering programs and </w:t>
      </w:r>
      <w:r w:rsidR="009C687A">
        <w:rPr>
          <w:sz w:val="26"/>
          <w:szCs w:val="26"/>
        </w:rPr>
        <w:t>workers becoming unemployed.  CAUSE-PA at 11.</w:t>
      </w:r>
      <w:r w:rsidR="00527873">
        <w:rPr>
          <w:sz w:val="26"/>
          <w:szCs w:val="26"/>
        </w:rPr>
        <w:t xml:space="preserve">  </w:t>
      </w:r>
      <w:r w:rsidRPr="00144AFE">
        <w:rPr>
          <w:sz w:val="26"/>
          <w:szCs w:val="26"/>
        </w:rPr>
        <w:t>The BPA</w:t>
      </w:r>
      <w:r w:rsidR="001C3407">
        <w:rPr>
          <w:sz w:val="26"/>
          <w:szCs w:val="26"/>
        </w:rPr>
        <w:t xml:space="preserve"> </w:t>
      </w:r>
      <w:r w:rsidR="00007290">
        <w:rPr>
          <w:sz w:val="26"/>
          <w:szCs w:val="26"/>
        </w:rPr>
        <w:t xml:space="preserve">and Ceres </w:t>
      </w:r>
      <w:r w:rsidRPr="00144AFE">
        <w:rPr>
          <w:sz w:val="26"/>
          <w:szCs w:val="26"/>
        </w:rPr>
        <w:t xml:space="preserve">oppose IECPA’s proposal to reduce energy efficiency funding.  BPA </w:t>
      </w:r>
      <w:r w:rsidR="00482ED0">
        <w:rPr>
          <w:sz w:val="26"/>
          <w:szCs w:val="26"/>
        </w:rPr>
        <w:t>June 18 Comments at</w:t>
      </w:r>
      <w:r w:rsidRPr="00144AFE">
        <w:rPr>
          <w:sz w:val="26"/>
          <w:szCs w:val="26"/>
        </w:rPr>
        <w:t xml:space="preserve"> 1</w:t>
      </w:r>
      <w:r w:rsidR="00482ED0">
        <w:rPr>
          <w:sz w:val="26"/>
          <w:szCs w:val="26"/>
        </w:rPr>
        <w:t>, BPA May 12 Comments at 6</w:t>
      </w:r>
      <w:r w:rsidR="00007290">
        <w:rPr>
          <w:sz w:val="26"/>
          <w:szCs w:val="26"/>
        </w:rPr>
        <w:t xml:space="preserve">, </w:t>
      </w:r>
      <w:r w:rsidR="00007290" w:rsidRPr="00BA598F">
        <w:rPr>
          <w:sz w:val="26"/>
          <w:szCs w:val="26"/>
        </w:rPr>
        <w:t>Ceres at 1</w:t>
      </w:r>
      <w:r w:rsidRPr="00144AFE">
        <w:rPr>
          <w:sz w:val="26"/>
          <w:szCs w:val="26"/>
        </w:rPr>
        <w:t xml:space="preserve">.  </w:t>
      </w:r>
      <w:r w:rsidR="00C62D5C">
        <w:rPr>
          <w:sz w:val="26"/>
          <w:szCs w:val="26"/>
        </w:rPr>
        <w:t xml:space="preserve">KEEA </w:t>
      </w:r>
      <w:r w:rsidR="00C614DC">
        <w:rPr>
          <w:sz w:val="26"/>
          <w:szCs w:val="26"/>
        </w:rPr>
        <w:t xml:space="preserve">argues that a reduction in surcharges would not provide meaningful economic relief for all electric customers and would lead to further harm </w:t>
      </w:r>
      <w:r w:rsidR="009B42FA">
        <w:rPr>
          <w:sz w:val="26"/>
          <w:szCs w:val="26"/>
        </w:rPr>
        <w:t xml:space="preserve">to </w:t>
      </w:r>
      <w:r w:rsidR="009B42FA" w:rsidRPr="009B42FA">
        <w:rPr>
          <w:sz w:val="26"/>
          <w:szCs w:val="26"/>
        </w:rPr>
        <w:t>customers of all classes and energy efficiency providers</w:t>
      </w:r>
      <w:r w:rsidR="00D57ACE">
        <w:rPr>
          <w:sz w:val="26"/>
          <w:szCs w:val="26"/>
        </w:rPr>
        <w:t>.  KEEA at 8</w:t>
      </w:r>
      <w:r w:rsidR="00254533">
        <w:rPr>
          <w:sz w:val="26"/>
          <w:szCs w:val="26"/>
        </w:rPr>
        <w:noBreakHyphen/>
      </w:r>
      <w:r w:rsidR="00D57ACE">
        <w:rPr>
          <w:sz w:val="26"/>
          <w:szCs w:val="26"/>
        </w:rPr>
        <w:t>12.</w:t>
      </w:r>
      <w:r w:rsidR="00603C40">
        <w:rPr>
          <w:sz w:val="26"/>
          <w:szCs w:val="26"/>
        </w:rPr>
        <w:t xml:space="preserve">  EEA asserts that IECPA’s proposal to cut surcharges </w:t>
      </w:r>
      <w:r w:rsidR="00603C40" w:rsidRPr="00603C40">
        <w:rPr>
          <w:sz w:val="26"/>
          <w:szCs w:val="26"/>
        </w:rPr>
        <w:t>fails to acknowledge that Act 129 has a</w:t>
      </w:r>
      <w:r w:rsidR="00603C40">
        <w:rPr>
          <w:sz w:val="26"/>
          <w:szCs w:val="26"/>
        </w:rPr>
        <w:t xml:space="preserve"> </w:t>
      </w:r>
      <w:r w:rsidR="00603C40" w:rsidRPr="00603C40">
        <w:rPr>
          <w:sz w:val="26"/>
          <w:szCs w:val="26"/>
        </w:rPr>
        <w:t>decade-long record of achieving high</w:t>
      </w:r>
      <w:r w:rsidR="00603C40">
        <w:rPr>
          <w:sz w:val="26"/>
          <w:szCs w:val="26"/>
        </w:rPr>
        <w:t xml:space="preserve"> </w:t>
      </w:r>
      <w:r w:rsidR="00603C40" w:rsidRPr="00603C40">
        <w:rPr>
          <w:sz w:val="26"/>
          <w:szCs w:val="26"/>
        </w:rPr>
        <w:t>annual investment returns, and</w:t>
      </w:r>
      <w:r w:rsidR="00BF6605">
        <w:rPr>
          <w:sz w:val="26"/>
          <w:szCs w:val="26"/>
        </w:rPr>
        <w:t>,</w:t>
      </w:r>
      <w:r w:rsidR="00603C40" w:rsidRPr="00603C40">
        <w:rPr>
          <w:sz w:val="26"/>
          <w:szCs w:val="26"/>
        </w:rPr>
        <w:t xml:space="preserve"> more importantly</w:t>
      </w:r>
      <w:r w:rsidR="00BF6605">
        <w:rPr>
          <w:sz w:val="26"/>
          <w:szCs w:val="26"/>
        </w:rPr>
        <w:t>,</w:t>
      </w:r>
      <w:r w:rsidR="00603C40" w:rsidRPr="00603C40">
        <w:rPr>
          <w:sz w:val="26"/>
          <w:szCs w:val="26"/>
        </w:rPr>
        <w:t xml:space="preserve"> fails to show</w:t>
      </w:r>
      <w:r w:rsidR="00603C40">
        <w:rPr>
          <w:sz w:val="26"/>
          <w:szCs w:val="26"/>
        </w:rPr>
        <w:t xml:space="preserve"> </w:t>
      </w:r>
      <w:r w:rsidR="00603C40" w:rsidRPr="00603C40">
        <w:rPr>
          <w:sz w:val="26"/>
          <w:szCs w:val="26"/>
        </w:rPr>
        <w:t>that cutting investment in Act 129 would benefit Pennsylvanians</w:t>
      </w:r>
      <w:r w:rsidR="00603C40">
        <w:rPr>
          <w:sz w:val="26"/>
          <w:szCs w:val="26"/>
        </w:rPr>
        <w:t xml:space="preserve"> </w:t>
      </w:r>
      <w:r w:rsidR="00603C40" w:rsidRPr="00603C40">
        <w:rPr>
          <w:sz w:val="26"/>
          <w:szCs w:val="26"/>
        </w:rPr>
        <w:t>generally.</w:t>
      </w:r>
      <w:r w:rsidR="00603C40">
        <w:rPr>
          <w:sz w:val="26"/>
          <w:szCs w:val="26"/>
        </w:rPr>
        <w:t xml:space="preserve">  EEA at </w:t>
      </w:r>
      <w:r w:rsidR="00C56079">
        <w:rPr>
          <w:sz w:val="26"/>
          <w:szCs w:val="26"/>
        </w:rPr>
        <w:t>11.</w:t>
      </w:r>
    </w:p>
    <w:p w14:paraId="5858662B" w14:textId="77777777" w:rsidR="00470538" w:rsidRDefault="00470538" w:rsidP="003A293E">
      <w:pPr>
        <w:pStyle w:val="ListParagraph"/>
        <w:rPr>
          <w:sz w:val="26"/>
          <w:szCs w:val="26"/>
        </w:rPr>
      </w:pPr>
    </w:p>
    <w:p w14:paraId="69BF5702" w14:textId="7D631256" w:rsidR="0011421F" w:rsidRPr="00470538" w:rsidRDefault="009179E1" w:rsidP="003A293E">
      <w:pPr>
        <w:pStyle w:val="ListParagraph"/>
        <w:numPr>
          <w:ilvl w:val="0"/>
          <w:numId w:val="5"/>
        </w:numPr>
        <w:rPr>
          <w:sz w:val="26"/>
          <w:szCs w:val="26"/>
        </w:rPr>
      </w:pPr>
      <w:r w:rsidRPr="009179E1">
        <w:rPr>
          <w:b/>
          <w:bCs/>
          <w:sz w:val="26"/>
          <w:szCs w:val="26"/>
        </w:rPr>
        <w:t xml:space="preserve">Mandating </w:t>
      </w:r>
      <w:r w:rsidR="004D663C">
        <w:rPr>
          <w:b/>
          <w:bCs/>
          <w:sz w:val="26"/>
          <w:szCs w:val="26"/>
        </w:rPr>
        <w:t>the immediate completion of</w:t>
      </w:r>
      <w:r w:rsidR="004D663C" w:rsidRPr="009179E1">
        <w:rPr>
          <w:b/>
          <w:bCs/>
          <w:sz w:val="26"/>
          <w:szCs w:val="26"/>
        </w:rPr>
        <w:t xml:space="preserve"> </w:t>
      </w:r>
      <w:r w:rsidRPr="009179E1">
        <w:rPr>
          <w:b/>
          <w:bCs/>
          <w:sz w:val="26"/>
          <w:szCs w:val="26"/>
        </w:rPr>
        <w:t xml:space="preserve">all Phase III projects </w:t>
      </w:r>
    </w:p>
    <w:p w14:paraId="65A0AB02" w14:textId="71EEDE87" w:rsidR="00CA10CC" w:rsidRDefault="00161616" w:rsidP="00450BF8">
      <w:pPr>
        <w:pStyle w:val="ListParagraph"/>
        <w:spacing w:line="360" w:lineRule="auto"/>
        <w:ind w:left="0"/>
        <w:rPr>
          <w:sz w:val="26"/>
          <w:szCs w:val="26"/>
        </w:rPr>
      </w:pPr>
      <w:r>
        <w:rPr>
          <w:sz w:val="26"/>
          <w:szCs w:val="26"/>
        </w:rPr>
        <w:br/>
      </w:r>
      <w:r w:rsidR="007740A8">
        <w:rPr>
          <w:sz w:val="26"/>
          <w:szCs w:val="26"/>
        </w:rPr>
        <w:tab/>
        <w:t xml:space="preserve">The OCA </w:t>
      </w:r>
      <w:r w:rsidR="00AC2284">
        <w:rPr>
          <w:sz w:val="26"/>
          <w:szCs w:val="26"/>
        </w:rPr>
        <w:t>asserts</w:t>
      </w:r>
      <w:r w:rsidR="007740A8">
        <w:rPr>
          <w:sz w:val="26"/>
          <w:szCs w:val="26"/>
        </w:rPr>
        <w:t xml:space="preserve"> that Phase IV implementation should be paused, and efforts be refocused on delivering those programs in Phase III</w:t>
      </w:r>
      <w:r w:rsidR="007740A8" w:rsidRPr="00C31997">
        <w:rPr>
          <w:sz w:val="30"/>
          <w:szCs w:val="30"/>
        </w:rPr>
        <w:t xml:space="preserve"> </w:t>
      </w:r>
      <w:r w:rsidR="007740A8" w:rsidRPr="00C31997">
        <w:rPr>
          <w:sz w:val="26"/>
          <w:szCs w:val="26"/>
        </w:rPr>
        <w:t>that can be safely delivered while maintaining the ability to move forward quickly with additional program delivery when it is safe to do so</w:t>
      </w:r>
      <w:r w:rsidR="007740A8">
        <w:rPr>
          <w:sz w:val="26"/>
          <w:szCs w:val="26"/>
        </w:rPr>
        <w:t>.  OCA at 1.</w:t>
      </w:r>
      <w:r w:rsidR="004E305D">
        <w:rPr>
          <w:sz w:val="26"/>
          <w:szCs w:val="26"/>
        </w:rPr>
        <w:t xml:space="preserve">  The SEF and Ceres agree that EDCs should return to pursuing current and planned projects as soon as it is safe to do so.  SEF at 4-5.</w:t>
      </w:r>
    </w:p>
    <w:p w14:paraId="6200D130" w14:textId="77777777" w:rsidR="00CA10CC" w:rsidRDefault="00CA10CC" w:rsidP="00450BF8">
      <w:pPr>
        <w:pStyle w:val="ListParagraph"/>
        <w:spacing w:line="360" w:lineRule="auto"/>
        <w:ind w:left="0"/>
        <w:rPr>
          <w:sz w:val="26"/>
          <w:szCs w:val="26"/>
        </w:rPr>
      </w:pPr>
    </w:p>
    <w:p w14:paraId="099CAE2C" w14:textId="1D508214" w:rsidR="00470538" w:rsidRPr="009179E1" w:rsidRDefault="00CA10CC" w:rsidP="00F26BEB">
      <w:pPr>
        <w:pStyle w:val="ListParagraph"/>
        <w:spacing w:line="360" w:lineRule="auto"/>
        <w:ind w:left="0"/>
        <w:rPr>
          <w:sz w:val="26"/>
          <w:szCs w:val="26"/>
        </w:rPr>
      </w:pPr>
      <w:r>
        <w:rPr>
          <w:sz w:val="26"/>
          <w:szCs w:val="26"/>
        </w:rPr>
        <w:lastRenderedPageBreak/>
        <w:tab/>
        <w:t>DLC</w:t>
      </w:r>
      <w:r w:rsidR="009E5D47">
        <w:rPr>
          <w:sz w:val="26"/>
          <w:szCs w:val="26"/>
        </w:rPr>
        <w:t xml:space="preserve"> is unclear </w:t>
      </w:r>
      <w:r w:rsidR="00AC3A90">
        <w:rPr>
          <w:sz w:val="26"/>
          <w:szCs w:val="26"/>
        </w:rPr>
        <w:t>as to the import of IEC</w:t>
      </w:r>
      <w:r w:rsidR="00B52636">
        <w:rPr>
          <w:sz w:val="26"/>
          <w:szCs w:val="26"/>
        </w:rPr>
        <w:t>P</w:t>
      </w:r>
      <w:r w:rsidR="00AC3A90">
        <w:rPr>
          <w:sz w:val="26"/>
          <w:szCs w:val="26"/>
        </w:rPr>
        <w:t>A</w:t>
      </w:r>
      <w:r w:rsidR="00717564">
        <w:rPr>
          <w:sz w:val="26"/>
          <w:szCs w:val="26"/>
        </w:rPr>
        <w:t>’s</w:t>
      </w:r>
      <w:r w:rsidR="00AC3A90">
        <w:rPr>
          <w:sz w:val="26"/>
          <w:szCs w:val="26"/>
        </w:rPr>
        <w:t xml:space="preserve"> </w:t>
      </w:r>
      <w:r w:rsidR="00C67B18">
        <w:rPr>
          <w:sz w:val="26"/>
          <w:szCs w:val="26"/>
        </w:rPr>
        <w:t>proposal but</w:t>
      </w:r>
      <w:r w:rsidR="00AC3A90">
        <w:rPr>
          <w:sz w:val="26"/>
          <w:szCs w:val="26"/>
        </w:rPr>
        <w:t xml:space="preserve"> notes that it has maintained its EE&amp;C programs to </w:t>
      </w:r>
      <w:r w:rsidR="00717564">
        <w:rPr>
          <w:sz w:val="26"/>
          <w:szCs w:val="26"/>
        </w:rPr>
        <w:t xml:space="preserve">the </w:t>
      </w:r>
      <w:r w:rsidR="00AC3A90">
        <w:rPr>
          <w:sz w:val="26"/>
          <w:szCs w:val="26"/>
        </w:rPr>
        <w:t xml:space="preserve">extent reasonably </w:t>
      </w:r>
      <w:r w:rsidR="00717564">
        <w:rPr>
          <w:sz w:val="26"/>
          <w:szCs w:val="26"/>
        </w:rPr>
        <w:t xml:space="preserve">possible </w:t>
      </w:r>
      <w:r w:rsidR="00AC3A90">
        <w:rPr>
          <w:sz w:val="26"/>
          <w:szCs w:val="26"/>
        </w:rPr>
        <w:t>under the circumstances</w:t>
      </w:r>
      <w:r w:rsidR="00717564">
        <w:rPr>
          <w:sz w:val="26"/>
          <w:szCs w:val="26"/>
        </w:rPr>
        <w:t xml:space="preserve">.  </w:t>
      </w:r>
      <w:r w:rsidR="002668E7">
        <w:rPr>
          <w:sz w:val="26"/>
          <w:szCs w:val="26"/>
        </w:rPr>
        <w:t>DLC</w:t>
      </w:r>
      <w:r w:rsidR="00C03D14">
        <w:rPr>
          <w:sz w:val="26"/>
          <w:szCs w:val="26"/>
        </w:rPr>
        <w:t xml:space="preserve"> </w:t>
      </w:r>
      <w:r w:rsidR="00C03D14" w:rsidRPr="00C03D14">
        <w:rPr>
          <w:sz w:val="26"/>
          <w:szCs w:val="26"/>
        </w:rPr>
        <w:t>object</w:t>
      </w:r>
      <w:r w:rsidR="002668E7">
        <w:rPr>
          <w:sz w:val="26"/>
          <w:szCs w:val="26"/>
        </w:rPr>
        <w:t>s</w:t>
      </w:r>
      <w:r w:rsidR="00C03D14" w:rsidRPr="00C03D14">
        <w:rPr>
          <w:sz w:val="26"/>
          <w:szCs w:val="26"/>
        </w:rPr>
        <w:t xml:space="preserve"> to being required to conduct any EE&amp;C-related activity that poses an unreasonable risk to customers, employees, or contractors</w:t>
      </w:r>
      <w:r w:rsidR="00C03D14">
        <w:rPr>
          <w:sz w:val="26"/>
          <w:szCs w:val="26"/>
        </w:rPr>
        <w:t>.  DLC at 9-10.</w:t>
      </w:r>
      <w:r w:rsidR="006774D7">
        <w:rPr>
          <w:sz w:val="26"/>
          <w:szCs w:val="26"/>
        </w:rPr>
        <w:t xml:space="preserve"> </w:t>
      </w:r>
      <w:r w:rsidR="006774D7" w:rsidRPr="006774D7">
        <w:rPr>
          <w:sz w:val="30"/>
          <w:szCs w:val="30"/>
        </w:rPr>
        <w:t xml:space="preserve"> </w:t>
      </w:r>
      <w:r w:rsidR="006774D7" w:rsidRPr="006774D7">
        <w:rPr>
          <w:sz w:val="26"/>
          <w:szCs w:val="26"/>
        </w:rPr>
        <w:t>PPL notes that it is already prioritizing projects that have been scheduled for completion, to the extent that the projects can be safely completed consistent with the restrictions imposed by the Commonwealth.</w:t>
      </w:r>
      <w:r w:rsidR="006774D7">
        <w:rPr>
          <w:sz w:val="26"/>
          <w:szCs w:val="26"/>
        </w:rPr>
        <w:t xml:space="preserve">  PPL at 8.</w:t>
      </w:r>
      <w:r w:rsidR="007740A8">
        <w:rPr>
          <w:sz w:val="26"/>
          <w:szCs w:val="26"/>
        </w:rPr>
        <w:br/>
      </w:r>
      <w:r w:rsidR="00B923C9">
        <w:rPr>
          <w:sz w:val="26"/>
          <w:szCs w:val="26"/>
        </w:rPr>
        <w:t xml:space="preserve">  </w:t>
      </w:r>
      <w:r w:rsidR="00BA598F">
        <w:rPr>
          <w:sz w:val="26"/>
          <w:szCs w:val="26"/>
        </w:rPr>
        <w:t xml:space="preserve"> </w:t>
      </w:r>
      <w:r w:rsidR="00437CB3">
        <w:rPr>
          <w:sz w:val="26"/>
          <w:szCs w:val="26"/>
        </w:rPr>
        <w:t xml:space="preserve"> </w:t>
      </w:r>
    </w:p>
    <w:p w14:paraId="6EE7A438" w14:textId="1B08B6F3" w:rsidR="009179E1" w:rsidRPr="00102910" w:rsidRDefault="009179E1" w:rsidP="003A293E">
      <w:pPr>
        <w:pStyle w:val="ListParagraph"/>
        <w:numPr>
          <w:ilvl w:val="0"/>
          <w:numId w:val="5"/>
        </w:numPr>
        <w:rPr>
          <w:sz w:val="26"/>
          <w:szCs w:val="26"/>
        </w:rPr>
      </w:pPr>
      <w:r>
        <w:rPr>
          <w:b/>
          <w:bCs/>
          <w:sz w:val="26"/>
          <w:szCs w:val="26"/>
        </w:rPr>
        <w:t>S</w:t>
      </w:r>
      <w:r w:rsidRPr="009179E1">
        <w:rPr>
          <w:b/>
          <w:bCs/>
          <w:sz w:val="26"/>
          <w:szCs w:val="26"/>
        </w:rPr>
        <w:t xml:space="preserve">uspending penalties </w:t>
      </w:r>
    </w:p>
    <w:p w14:paraId="5F8CAE04" w14:textId="1E2F81FE" w:rsidR="00E20D91" w:rsidRDefault="00830A65" w:rsidP="00770CF0">
      <w:pPr>
        <w:spacing w:line="360" w:lineRule="auto"/>
        <w:rPr>
          <w:sz w:val="26"/>
          <w:szCs w:val="26"/>
        </w:rPr>
      </w:pPr>
      <w:r>
        <w:rPr>
          <w:sz w:val="26"/>
          <w:szCs w:val="26"/>
        </w:rPr>
        <w:br/>
      </w:r>
      <w:r w:rsidR="00C75B98">
        <w:rPr>
          <w:sz w:val="26"/>
          <w:szCs w:val="26"/>
        </w:rPr>
        <w:tab/>
        <w:t xml:space="preserve">The Industrial Customers </w:t>
      </w:r>
      <w:r w:rsidR="00252755">
        <w:rPr>
          <w:sz w:val="26"/>
          <w:szCs w:val="26"/>
        </w:rPr>
        <w:t>acknowledge th</w:t>
      </w:r>
      <w:r w:rsidR="001B6AA7">
        <w:rPr>
          <w:sz w:val="26"/>
          <w:szCs w:val="26"/>
        </w:rPr>
        <w:t>at under Act 129</w:t>
      </w:r>
      <w:r w:rsidR="004E305D">
        <w:rPr>
          <w:sz w:val="26"/>
          <w:szCs w:val="26"/>
        </w:rPr>
        <w:t>,</w:t>
      </w:r>
      <w:r w:rsidR="001B6AA7" w:rsidRPr="001B6AA7">
        <w:rPr>
          <w:sz w:val="30"/>
          <w:szCs w:val="30"/>
        </w:rPr>
        <w:t xml:space="preserve"> </w:t>
      </w:r>
      <w:r w:rsidR="001B6AA7" w:rsidRPr="001B6AA7">
        <w:rPr>
          <w:sz w:val="26"/>
          <w:szCs w:val="26"/>
        </w:rPr>
        <w:t>Section 2806.1(f)(2) states than an EDC shall be subject to penalties for failure to achieve reductions as required by Sections 2806.1(c)</w:t>
      </w:r>
      <w:r w:rsidR="00E62C01" w:rsidRPr="00E62C01">
        <w:rPr>
          <w:sz w:val="30"/>
          <w:szCs w:val="30"/>
        </w:rPr>
        <w:t xml:space="preserve"> </w:t>
      </w:r>
      <w:r w:rsidR="00E62C01" w:rsidRPr="00E62C01">
        <w:rPr>
          <w:sz w:val="26"/>
          <w:szCs w:val="26"/>
        </w:rPr>
        <w:t>and 2806.1(d).</w:t>
      </w:r>
      <w:r w:rsidR="00E62C01">
        <w:rPr>
          <w:sz w:val="26"/>
          <w:szCs w:val="26"/>
        </w:rPr>
        <w:t xml:space="preserve">  However, the Industrial Customers </w:t>
      </w:r>
      <w:r w:rsidR="006B3B2C">
        <w:rPr>
          <w:sz w:val="26"/>
          <w:szCs w:val="26"/>
        </w:rPr>
        <w:t xml:space="preserve">assert that </w:t>
      </w:r>
      <w:r w:rsidR="006B3B2C" w:rsidRPr="006B3B2C">
        <w:rPr>
          <w:sz w:val="26"/>
          <w:szCs w:val="26"/>
        </w:rPr>
        <w:t xml:space="preserve">Sections 2806.1(c) and (d) in Act 129 regarding </w:t>
      </w:r>
      <w:r w:rsidR="006B3B2C">
        <w:rPr>
          <w:sz w:val="26"/>
          <w:szCs w:val="26"/>
        </w:rPr>
        <w:t>Commission</w:t>
      </w:r>
      <w:r w:rsidR="006B3B2C" w:rsidRPr="006B3B2C">
        <w:rPr>
          <w:sz w:val="26"/>
          <w:szCs w:val="26"/>
        </w:rPr>
        <w:t xml:space="preserve">-ordered reductions in consumption and peak demand do not expressly require further reduction requirements. </w:t>
      </w:r>
      <w:r w:rsidR="00B67C98">
        <w:rPr>
          <w:sz w:val="26"/>
          <w:szCs w:val="26"/>
        </w:rPr>
        <w:t xml:space="preserve">Citing Section </w:t>
      </w:r>
      <w:r w:rsidR="000454EF">
        <w:rPr>
          <w:sz w:val="26"/>
          <w:szCs w:val="26"/>
        </w:rPr>
        <w:t>2806</w:t>
      </w:r>
      <w:r w:rsidR="000130E4">
        <w:rPr>
          <w:sz w:val="26"/>
          <w:szCs w:val="26"/>
        </w:rPr>
        <w:t>.1</w:t>
      </w:r>
      <w:r w:rsidR="000454EF">
        <w:rPr>
          <w:sz w:val="26"/>
          <w:szCs w:val="26"/>
        </w:rPr>
        <w:t xml:space="preserve">(c)(3), </w:t>
      </w:r>
      <w:r w:rsidR="00633767">
        <w:rPr>
          <w:sz w:val="26"/>
          <w:szCs w:val="26"/>
        </w:rPr>
        <w:t>66 Pa. C.S. § 2806</w:t>
      </w:r>
      <w:r w:rsidR="000130E4">
        <w:rPr>
          <w:sz w:val="26"/>
          <w:szCs w:val="26"/>
        </w:rPr>
        <w:t>.1</w:t>
      </w:r>
      <w:r w:rsidR="00633767">
        <w:rPr>
          <w:sz w:val="26"/>
          <w:szCs w:val="26"/>
        </w:rPr>
        <w:t xml:space="preserve">(c)(3), </w:t>
      </w:r>
      <w:r w:rsidR="000454EF">
        <w:rPr>
          <w:sz w:val="26"/>
          <w:szCs w:val="26"/>
        </w:rPr>
        <w:t>the Industrial Customers claim that</w:t>
      </w:r>
      <w:r w:rsidR="006B3B2C" w:rsidRPr="006B3B2C">
        <w:rPr>
          <w:sz w:val="26"/>
          <w:szCs w:val="26"/>
        </w:rPr>
        <w:t xml:space="preserve"> the Commission must “adopt additional required incremental reductions in consumption” only if the Commission “determines that the benefits of the program exceed the costs.”</w:t>
      </w:r>
      <w:r w:rsidR="00FE67FF">
        <w:rPr>
          <w:sz w:val="26"/>
          <w:szCs w:val="26"/>
        </w:rPr>
        <w:t xml:space="preserve">  </w:t>
      </w:r>
      <w:r w:rsidR="00FE67FF" w:rsidRPr="00FE67FF">
        <w:rPr>
          <w:sz w:val="26"/>
          <w:szCs w:val="26"/>
        </w:rPr>
        <w:t xml:space="preserve">As to reductions in peak demand, </w:t>
      </w:r>
      <w:r w:rsidR="00FE67FF">
        <w:rPr>
          <w:sz w:val="26"/>
          <w:szCs w:val="26"/>
        </w:rPr>
        <w:t>the Industrial Customers assert that</w:t>
      </w:r>
      <w:r w:rsidR="00021752">
        <w:rPr>
          <w:sz w:val="26"/>
          <w:szCs w:val="26"/>
        </w:rPr>
        <w:t xml:space="preserve"> Section</w:t>
      </w:r>
      <w:r w:rsidR="00FE67FF">
        <w:rPr>
          <w:sz w:val="26"/>
          <w:szCs w:val="26"/>
        </w:rPr>
        <w:t xml:space="preserve"> </w:t>
      </w:r>
      <w:r w:rsidR="00021752" w:rsidRPr="00021752">
        <w:rPr>
          <w:sz w:val="26"/>
          <w:szCs w:val="26"/>
        </w:rPr>
        <w:t>2806.1(d)(2)</w:t>
      </w:r>
      <w:r w:rsidR="59896D05">
        <w:rPr>
          <w:sz w:val="26"/>
          <w:szCs w:val="26"/>
        </w:rPr>
        <w:t xml:space="preserve"> of</w:t>
      </w:r>
      <w:r w:rsidR="00021752">
        <w:rPr>
          <w:sz w:val="26"/>
          <w:szCs w:val="26"/>
        </w:rPr>
        <w:t xml:space="preserve"> </w:t>
      </w:r>
      <w:r w:rsidR="00FE67FF" w:rsidRPr="00FE67FF">
        <w:rPr>
          <w:sz w:val="26"/>
          <w:szCs w:val="26"/>
        </w:rPr>
        <w:t>Act 129</w:t>
      </w:r>
      <w:r w:rsidR="00494DB8">
        <w:rPr>
          <w:sz w:val="26"/>
          <w:szCs w:val="26"/>
        </w:rPr>
        <w:t>, 66 Pa. C.S. § 2806.1(d)(2),</w:t>
      </w:r>
      <w:r w:rsidR="00FE67FF" w:rsidRPr="00FE67FF">
        <w:rPr>
          <w:sz w:val="26"/>
          <w:szCs w:val="26"/>
        </w:rPr>
        <w:t xml:space="preserve"> only requires reductions in consumption to be accomplished “no later than May 31, 2017</w:t>
      </w:r>
      <w:r w:rsidR="00021752">
        <w:rPr>
          <w:sz w:val="26"/>
          <w:szCs w:val="26"/>
        </w:rPr>
        <w:t>,</w:t>
      </w:r>
      <w:r w:rsidR="00FE67FF" w:rsidRPr="00FE67FF">
        <w:rPr>
          <w:sz w:val="26"/>
          <w:szCs w:val="26"/>
        </w:rPr>
        <w:t>”</w:t>
      </w:r>
      <w:r w:rsidR="00021752">
        <w:rPr>
          <w:sz w:val="26"/>
          <w:szCs w:val="26"/>
        </w:rPr>
        <w:t xml:space="preserve"> </w:t>
      </w:r>
      <w:r w:rsidR="008D103A">
        <w:rPr>
          <w:sz w:val="26"/>
          <w:szCs w:val="26"/>
        </w:rPr>
        <w:t>and, therefore, the</w:t>
      </w:r>
      <w:r w:rsidR="00FE67FF" w:rsidRPr="00FE67FF">
        <w:rPr>
          <w:sz w:val="26"/>
          <w:szCs w:val="26"/>
        </w:rPr>
        <w:t xml:space="preserve"> current Phase III reductions are only required by Commission order, not by statute. </w:t>
      </w:r>
      <w:r w:rsidR="008D103A">
        <w:rPr>
          <w:sz w:val="26"/>
          <w:szCs w:val="26"/>
        </w:rPr>
        <w:t xml:space="preserve"> </w:t>
      </w:r>
      <w:r w:rsidR="001302EB">
        <w:rPr>
          <w:sz w:val="26"/>
          <w:szCs w:val="26"/>
        </w:rPr>
        <w:t xml:space="preserve">The Industrial Customers </w:t>
      </w:r>
      <w:r w:rsidR="003E1ACF">
        <w:rPr>
          <w:sz w:val="26"/>
          <w:szCs w:val="26"/>
        </w:rPr>
        <w:t>suggest that</w:t>
      </w:r>
      <w:r w:rsidR="005011A1">
        <w:rPr>
          <w:sz w:val="26"/>
          <w:szCs w:val="26"/>
        </w:rPr>
        <w:t>,</w:t>
      </w:r>
      <w:r w:rsidR="003E1ACF">
        <w:rPr>
          <w:sz w:val="26"/>
          <w:szCs w:val="26"/>
        </w:rPr>
        <w:t xml:space="preserve"> </w:t>
      </w:r>
      <w:r w:rsidR="005011A1">
        <w:rPr>
          <w:sz w:val="26"/>
          <w:szCs w:val="26"/>
        </w:rPr>
        <w:t>d</w:t>
      </w:r>
      <w:r w:rsidR="00FE67FF" w:rsidRPr="00FE67FF">
        <w:rPr>
          <w:sz w:val="26"/>
          <w:szCs w:val="26"/>
        </w:rPr>
        <w:t>ue to a change in circumstances</w:t>
      </w:r>
      <w:r w:rsidR="005011A1">
        <w:rPr>
          <w:sz w:val="26"/>
          <w:szCs w:val="26"/>
        </w:rPr>
        <w:t xml:space="preserve">, </w:t>
      </w:r>
      <w:r w:rsidR="00FE67FF" w:rsidRPr="00FE67FF">
        <w:rPr>
          <w:sz w:val="26"/>
          <w:szCs w:val="26"/>
        </w:rPr>
        <w:t>the Commission has the power and discretion to amend its prior order</w:t>
      </w:r>
      <w:r w:rsidR="003E1ACF">
        <w:rPr>
          <w:sz w:val="26"/>
          <w:szCs w:val="26"/>
        </w:rPr>
        <w:t>.</w:t>
      </w:r>
      <w:r w:rsidR="005011A1">
        <w:rPr>
          <w:sz w:val="26"/>
          <w:szCs w:val="26"/>
        </w:rPr>
        <w:t xml:space="preserve">  Industrial Customers at </w:t>
      </w:r>
      <w:r w:rsidR="001A666A">
        <w:rPr>
          <w:sz w:val="26"/>
          <w:szCs w:val="26"/>
        </w:rPr>
        <w:t>20-21.</w:t>
      </w:r>
      <w:r w:rsidR="00C75B98">
        <w:rPr>
          <w:sz w:val="26"/>
          <w:szCs w:val="26"/>
        </w:rPr>
        <w:br/>
      </w:r>
    </w:p>
    <w:p w14:paraId="3879027D" w14:textId="0C8B3E30" w:rsidR="00C80CDA" w:rsidRDefault="00E20D91" w:rsidP="00770CF0">
      <w:pPr>
        <w:spacing w:line="360" w:lineRule="auto"/>
        <w:rPr>
          <w:sz w:val="26"/>
          <w:szCs w:val="26"/>
        </w:rPr>
      </w:pPr>
      <w:r>
        <w:rPr>
          <w:sz w:val="26"/>
          <w:szCs w:val="26"/>
        </w:rPr>
        <w:tab/>
      </w:r>
      <w:bookmarkStart w:id="11" w:name="_Hlk51883770"/>
      <w:r>
        <w:rPr>
          <w:sz w:val="26"/>
          <w:szCs w:val="26"/>
        </w:rPr>
        <w:t xml:space="preserve">FirstEnergy </w:t>
      </w:r>
      <w:r w:rsidR="00AF75BF">
        <w:rPr>
          <w:sz w:val="26"/>
          <w:szCs w:val="26"/>
        </w:rPr>
        <w:t xml:space="preserve">agrees </w:t>
      </w:r>
      <w:r w:rsidR="00875929">
        <w:rPr>
          <w:sz w:val="26"/>
          <w:szCs w:val="26"/>
        </w:rPr>
        <w:t xml:space="preserve">with IECPA that </w:t>
      </w:r>
      <w:r w:rsidR="00C80CDA">
        <w:rPr>
          <w:sz w:val="26"/>
          <w:szCs w:val="26"/>
        </w:rPr>
        <w:t>t</w:t>
      </w:r>
      <w:r w:rsidR="00875929" w:rsidRPr="00875929">
        <w:rPr>
          <w:sz w:val="26"/>
          <w:szCs w:val="26"/>
        </w:rPr>
        <w:t>he imposition of penalties for an EDC’s failure to attain targets would be unreasonable given the unprecedented and unforeseeable</w:t>
      </w:r>
      <w:r w:rsidR="00875929">
        <w:rPr>
          <w:sz w:val="26"/>
          <w:szCs w:val="26"/>
        </w:rPr>
        <w:t xml:space="preserve"> </w:t>
      </w:r>
      <w:r w:rsidR="00875929" w:rsidRPr="00875929">
        <w:rPr>
          <w:sz w:val="26"/>
          <w:szCs w:val="26"/>
        </w:rPr>
        <w:t>circumstances of the COVID-19</w:t>
      </w:r>
      <w:r w:rsidR="00875929">
        <w:rPr>
          <w:sz w:val="26"/>
          <w:szCs w:val="26"/>
        </w:rPr>
        <w:t xml:space="preserve"> </w:t>
      </w:r>
      <w:r w:rsidR="00875929" w:rsidRPr="00875929">
        <w:rPr>
          <w:sz w:val="26"/>
          <w:szCs w:val="26"/>
        </w:rPr>
        <w:t>pandemic.</w:t>
      </w:r>
      <w:r w:rsidR="00875929">
        <w:rPr>
          <w:sz w:val="26"/>
          <w:szCs w:val="26"/>
        </w:rPr>
        <w:t xml:space="preserve">  However, FirstEnergy concedes that </w:t>
      </w:r>
      <w:r w:rsidR="00D25ECD">
        <w:rPr>
          <w:sz w:val="26"/>
          <w:szCs w:val="26"/>
        </w:rPr>
        <w:t xml:space="preserve">the penalties imposed by Act 129 are legislatively mandated, and that the </w:t>
      </w:r>
      <w:r w:rsidR="00D25ECD">
        <w:rPr>
          <w:sz w:val="26"/>
          <w:szCs w:val="26"/>
        </w:rPr>
        <w:lastRenderedPageBreak/>
        <w:t xml:space="preserve">Commission may not have authority to modify them. </w:t>
      </w:r>
      <w:r w:rsidR="002278A6">
        <w:rPr>
          <w:sz w:val="26"/>
          <w:szCs w:val="26"/>
        </w:rPr>
        <w:t xml:space="preserve"> </w:t>
      </w:r>
      <w:r w:rsidR="00830785">
        <w:rPr>
          <w:sz w:val="26"/>
          <w:szCs w:val="26"/>
        </w:rPr>
        <w:t xml:space="preserve">As an alternative to waiving penalties, FirstEnergy proposes that </w:t>
      </w:r>
      <w:r w:rsidR="00D77FC7">
        <w:rPr>
          <w:sz w:val="26"/>
          <w:szCs w:val="26"/>
        </w:rPr>
        <w:t xml:space="preserve">the Commission adopt the approach presented in </w:t>
      </w:r>
      <w:r w:rsidR="00E32A4B">
        <w:rPr>
          <w:sz w:val="26"/>
          <w:szCs w:val="26"/>
        </w:rPr>
        <w:t>EAP’s</w:t>
      </w:r>
      <w:r w:rsidR="00D77FC7">
        <w:rPr>
          <w:sz w:val="26"/>
          <w:szCs w:val="26"/>
        </w:rPr>
        <w:t xml:space="preserve"> Petition</w:t>
      </w:r>
      <w:r w:rsidR="0000658F">
        <w:rPr>
          <w:sz w:val="26"/>
          <w:szCs w:val="26"/>
        </w:rPr>
        <w:t xml:space="preserve">, which proposed </w:t>
      </w:r>
      <w:r w:rsidR="0000658F" w:rsidRPr="0000658F">
        <w:rPr>
          <w:sz w:val="26"/>
          <w:szCs w:val="26"/>
        </w:rPr>
        <w:t>modify</w:t>
      </w:r>
      <w:r w:rsidR="00C80CDA">
        <w:rPr>
          <w:sz w:val="26"/>
          <w:szCs w:val="26"/>
        </w:rPr>
        <w:t>ing</w:t>
      </w:r>
      <w:r w:rsidR="0000658F" w:rsidRPr="0000658F">
        <w:rPr>
          <w:sz w:val="26"/>
          <w:szCs w:val="26"/>
        </w:rPr>
        <w:t xml:space="preserve"> the </w:t>
      </w:r>
      <w:r w:rsidR="0000658F" w:rsidRPr="0000658F">
        <w:rPr>
          <w:i/>
          <w:iCs/>
          <w:sz w:val="26"/>
          <w:szCs w:val="26"/>
        </w:rPr>
        <w:t>Phase III Implementation Order</w:t>
      </w:r>
      <w:r w:rsidR="0000658F">
        <w:rPr>
          <w:sz w:val="26"/>
          <w:szCs w:val="26"/>
        </w:rPr>
        <w:t xml:space="preserve"> </w:t>
      </w:r>
      <w:r w:rsidR="0000658F" w:rsidRPr="0000658F">
        <w:rPr>
          <w:sz w:val="26"/>
          <w:szCs w:val="26"/>
        </w:rPr>
        <w:t>to measure demand compliance</w:t>
      </w:r>
      <w:r w:rsidR="0000658F">
        <w:rPr>
          <w:sz w:val="26"/>
          <w:szCs w:val="26"/>
        </w:rPr>
        <w:t xml:space="preserve"> </w:t>
      </w:r>
      <w:r w:rsidR="0000658F" w:rsidRPr="0000658F">
        <w:rPr>
          <w:sz w:val="26"/>
          <w:szCs w:val="26"/>
        </w:rPr>
        <w:t>based on EDC performance during the second, third</w:t>
      </w:r>
      <w:r w:rsidR="0000658F">
        <w:rPr>
          <w:sz w:val="26"/>
          <w:szCs w:val="26"/>
        </w:rPr>
        <w:t xml:space="preserve"> </w:t>
      </w:r>
      <w:r w:rsidR="0000658F" w:rsidRPr="0000658F">
        <w:rPr>
          <w:sz w:val="26"/>
          <w:szCs w:val="26"/>
        </w:rPr>
        <w:t>and fourth years of Phase III.</w:t>
      </w:r>
      <w:r w:rsidR="00E32A4B">
        <w:rPr>
          <w:sz w:val="26"/>
          <w:szCs w:val="26"/>
        </w:rPr>
        <w:t xml:space="preserve"> </w:t>
      </w:r>
      <w:r w:rsidR="0000658F">
        <w:rPr>
          <w:sz w:val="26"/>
          <w:szCs w:val="26"/>
        </w:rPr>
        <w:t xml:space="preserve"> </w:t>
      </w:r>
      <w:r w:rsidR="00D613EA">
        <w:rPr>
          <w:sz w:val="26"/>
          <w:szCs w:val="26"/>
        </w:rPr>
        <w:t xml:space="preserve">FirstEnergy also proposes that the Commission </w:t>
      </w:r>
      <w:r w:rsidR="006D5977">
        <w:rPr>
          <w:sz w:val="26"/>
          <w:szCs w:val="26"/>
        </w:rPr>
        <w:t xml:space="preserve">create an additional process in Phase IV through which targets could be revised due to force majeure events.  </w:t>
      </w:r>
      <w:r w:rsidR="00C80CDA">
        <w:rPr>
          <w:sz w:val="26"/>
          <w:szCs w:val="26"/>
        </w:rPr>
        <w:t xml:space="preserve">FirstEnergy at 9-10.  </w:t>
      </w:r>
      <w:r w:rsidR="00824814">
        <w:rPr>
          <w:i/>
          <w:iCs/>
          <w:sz w:val="26"/>
          <w:szCs w:val="26"/>
        </w:rPr>
        <w:t xml:space="preserve">  </w:t>
      </w:r>
    </w:p>
    <w:p w14:paraId="50106898" w14:textId="77777777" w:rsidR="00C80CDA" w:rsidRDefault="00C80CDA" w:rsidP="00770CF0">
      <w:pPr>
        <w:spacing w:line="360" w:lineRule="auto"/>
        <w:rPr>
          <w:sz w:val="26"/>
          <w:szCs w:val="26"/>
        </w:rPr>
      </w:pPr>
    </w:p>
    <w:p w14:paraId="22EBC8ED" w14:textId="19C7864B" w:rsidR="00E20D91" w:rsidRPr="00307C8A" w:rsidRDefault="00824814" w:rsidP="00CB4B6A">
      <w:pPr>
        <w:spacing w:line="360" w:lineRule="auto"/>
        <w:ind w:firstLine="720"/>
        <w:rPr>
          <w:sz w:val="26"/>
          <w:szCs w:val="26"/>
        </w:rPr>
      </w:pPr>
      <w:r>
        <w:rPr>
          <w:sz w:val="26"/>
          <w:szCs w:val="26"/>
        </w:rPr>
        <w:t xml:space="preserve">DLC agrees with IEPCA </w:t>
      </w:r>
      <w:r w:rsidRPr="00824814">
        <w:rPr>
          <w:sz w:val="26"/>
          <w:szCs w:val="26"/>
        </w:rPr>
        <w:t>that COVID-19, and the associated governmental actions and economic impacts, may ultimately prevent EDCs from meeting certain targets mandated under the Commission’s Phase III Implementation Order.</w:t>
      </w:r>
      <w:r w:rsidR="00214DC0">
        <w:rPr>
          <w:sz w:val="26"/>
          <w:szCs w:val="26"/>
        </w:rPr>
        <w:t xml:space="preserve">  DLC </w:t>
      </w:r>
      <w:r w:rsidR="00AC2284">
        <w:rPr>
          <w:sz w:val="26"/>
          <w:szCs w:val="26"/>
        </w:rPr>
        <w:t>maintains</w:t>
      </w:r>
      <w:r w:rsidR="00214DC0">
        <w:rPr>
          <w:sz w:val="26"/>
          <w:szCs w:val="26"/>
        </w:rPr>
        <w:t xml:space="preserve"> that o</w:t>
      </w:r>
      <w:r w:rsidR="00214DC0" w:rsidRPr="00214DC0">
        <w:rPr>
          <w:sz w:val="26"/>
          <w:szCs w:val="26"/>
        </w:rPr>
        <w:t>nce the impacts of COVID-19 are better understood, additional modifications to Phase III may be warranted, potentially including waivers of penalties related to energy savings and/or demand reduction targets</w:t>
      </w:r>
      <w:r w:rsidR="00214DC0">
        <w:rPr>
          <w:sz w:val="26"/>
          <w:szCs w:val="26"/>
        </w:rPr>
        <w:t xml:space="preserve">. </w:t>
      </w:r>
      <w:r w:rsidR="00C80CDA">
        <w:rPr>
          <w:sz w:val="26"/>
          <w:szCs w:val="26"/>
        </w:rPr>
        <w:t xml:space="preserve">DLC at 10.  </w:t>
      </w:r>
      <w:r w:rsidR="00F73069">
        <w:rPr>
          <w:sz w:val="26"/>
          <w:szCs w:val="26"/>
        </w:rPr>
        <w:t xml:space="preserve">PPL </w:t>
      </w:r>
      <w:r w:rsidR="00670F16">
        <w:rPr>
          <w:sz w:val="26"/>
          <w:szCs w:val="26"/>
        </w:rPr>
        <w:t xml:space="preserve">generally does not oppose </w:t>
      </w:r>
      <w:r w:rsidR="008F34C9">
        <w:rPr>
          <w:sz w:val="26"/>
          <w:szCs w:val="26"/>
        </w:rPr>
        <w:t>the suspension or waiver of penalties</w:t>
      </w:r>
      <w:r w:rsidR="00A85CDC">
        <w:rPr>
          <w:sz w:val="26"/>
          <w:szCs w:val="26"/>
        </w:rPr>
        <w:t>, it does however</w:t>
      </w:r>
      <w:r w:rsidR="00444234">
        <w:rPr>
          <w:sz w:val="26"/>
          <w:szCs w:val="26"/>
        </w:rPr>
        <w:t xml:space="preserve">, </w:t>
      </w:r>
      <w:r w:rsidR="00A85CDC">
        <w:rPr>
          <w:sz w:val="26"/>
          <w:szCs w:val="26"/>
        </w:rPr>
        <w:t>note</w:t>
      </w:r>
      <w:r w:rsidR="00444234">
        <w:rPr>
          <w:sz w:val="26"/>
          <w:szCs w:val="26"/>
        </w:rPr>
        <w:t xml:space="preserve"> that </w:t>
      </w:r>
      <w:r w:rsidR="003E222B">
        <w:rPr>
          <w:sz w:val="26"/>
          <w:szCs w:val="26"/>
        </w:rPr>
        <w:t xml:space="preserve">it remains on track to meet existing Phase III compliance targets, and that an appropriate solution for </w:t>
      </w:r>
      <w:r w:rsidR="004B38C2" w:rsidRPr="004B38C2">
        <w:rPr>
          <w:sz w:val="26"/>
          <w:szCs w:val="26"/>
        </w:rPr>
        <w:t>address</w:t>
      </w:r>
      <w:r w:rsidR="004B38C2">
        <w:rPr>
          <w:sz w:val="26"/>
          <w:szCs w:val="26"/>
        </w:rPr>
        <w:t>ing</w:t>
      </w:r>
      <w:r w:rsidR="004B38C2" w:rsidRPr="004B38C2">
        <w:rPr>
          <w:sz w:val="26"/>
          <w:szCs w:val="26"/>
        </w:rPr>
        <w:t xml:space="preserve"> the impacts of the pandemic on EDCs’ ability to achieve certain Phase III compliance targets</w:t>
      </w:r>
      <w:r w:rsidR="004B38C2">
        <w:rPr>
          <w:sz w:val="26"/>
          <w:szCs w:val="26"/>
        </w:rPr>
        <w:t xml:space="preserve"> is contained in EAP’s Petition.  </w:t>
      </w:r>
      <w:bookmarkEnd w:id="11"/>
      <w:r w:rsidR="00307C8A">
        <w:rPr>
          <w:sz w:val="26"/>
          <w:szCs w:val="26"/>
        </w:rPr>
        <w:t>PPL at 8</w:t>
      </w:r>
      <w:r w:rsidR="008610C6">
        <w:rPr>
          <w:sz w:val="26"/>
          <w:szCs w:val="26"/>
        </w:rPr>
        <w:t>.</w:t>
      </w:r>
    </w:p>
    <w:p w14:paraId="151877F1" w14:textId="64013C81" w:rsidR="008B43C5" w:rsidRPr="000171CA" w:rsidRDefault="00C75B98" w:rsidP="00770CF0">
      <w:pPr>
        <w:spacing w:line="360" w:lineRule="auto"/>
        <w:rPr>
          <w:sz w:val="26"/>
          <w:szCs w:val="26"/>
        </w:rPr>
      </w:pPr>
      <w:r>
        <w:rPr>
          <w:sz w:val="26"/>
          <w:szCs w:val="26"/>
        </w:rPr>
        <w:br/>
      </w:r>
      <w:r w:rsidR="004C4AAD">
        <w:rPr>
          <w:sz w:val="26"/>
          <w:szCs w:val="26"/>
        </w:rPr>
        <w:tab/>
      </w:r>
      <w:r w:rsidR="00830A65">
        <w:rPr>
          <w:sz w:val="26"/>
          <w:szCs w:val="26"/>
        </w:rPr>
        <w:t>The OCA</w:t>
      </w:r>
      <w:r w:rsidR="00B13711">
        <w:rPr>
          <w:sz w:val="26"/>
          <w:szCs w:val="26"/>
        </w:rPr>
        <w:t xml:space="preserve"> does not support waiving </w:t>
      </w:r>
      <w:r w:rsidR="00563D7E">
        <w:rPr>
          <w:sz w:val="26"/>
          <w:szCs w:val="26"/>
        </w:rPr>
        <w:t xml:space="preserve">Act 129 penalties at this time, since many EDCs are </w:t>
      </w:r>
      <w:r w:rsidR="009872BC">
        <w:rPr>
          <w:sz w:val="26"/>
          <w:szCs w:val="26"/>
        </w:rPr>
        <w:t xml:space="preserve">well on their way to achieving </w:t>
      </w:r>
      <w:r w:rsidR="008610C6">
        <w:rPr>
          <w:sz w:val="26"/>
          <w:szCs w:val="26"/>
        </w:rPr>
        <w:t xml:space="preserve">their </w:t>
      </w:r>
      <w:r w:rsidR="009872BC">
        <w:rPr>
          <w:sz w:val="26"/>
          <w:szCs w:val="26"/>
        </w:rPr>
        <w:t xml:space="preserve">Phase III consumption </w:t>
      </w:r>
      <w:proofErr w:type="gramStart"/>
      <w:r w:rsidR="00C67B18">
        <w:rPr>
          <w:sz w:val="26"/>
          <w:szCs w:val="26"/>
        </w:rPr>
        <w:t>targets</w:t>
      </w:r>
      <w:r w:rsidR="00184D36">
        <w:rPr>
          <w:sz w:val="26"/>
          <w:szCs w:val="26"/>
        </w:rPr>
        <w:t>,</w:t>
      </w:r>
      <w:r w:rsidR="00C67B18">
        <w:rPr>
          <w:sz w:val="26"/>
          <w:szCs w:val="26"/>
        </w:rPr>
        <w:t xml:space="preserve"> and</w:t>
      </w:r>
      <w:proofErr w:type="gramEnd"/>
      <w:r w:rsidR="009872BC">
        <w:rPr>
          <w:sz w:val="26"/>
          <w:szCs w:val="26"/>
        </w:rPr>
        <w:t xml:space="preserve"> recommends revisiting the issue </w:t>
      </w:r>
      <w:r w:rsidR="004C4AAD">
        <w:rPr>
          <w:sz w:val="26"/>
          <w:szCs w:val="26"/>
        </w:rPr>
        <w:t xml:space="preserve">at a later date.  OCA at 3-4. </w:t>
      </w:r>
      <w:r w:rsidR="000D1B39">
        <w:rPr>
          <w:sz w:val="26"/>
          <w:szCs w:val="26"/>
        </w:rPr>
        <w:t xml:space="preserve"> </w:t>
      </w:r>
      <w:r w:rsidR="000E0FBC">
        <w:rPr>
          <w:sz w:val="26"/>
          <w:szCs w:val="26"/>
        </w:rPr>
        <w:t xml:space="preserve">The </w:t>
      </w:r>
      <w:r w:rsidR="000D1B39">
        <w:rPr>
          <w:sz w:val="26"/>
          <w:szCs w:val="26"/>
        </w:rPr>
        <w:t>SEF</w:t>
      </w:r>
      <w:r w:rsidR="000E0FBC">
        <w:rPr>
          <w:sz w:val="26"/>
          <w:szCs w:val="26"/>
        </w:rPr>
        <w:t xml:space="preserve"> argues that Act 129 does not permit waiver of </w:t>
      </w:r>
      <w:r w:rsidR="000D1B39">
        <w:rPr>
          <w:sz w:val="26"/>
          <w:szCs w:val="26"/>
        </w:rPr>
        <w:t xml:space="preserve">the </w:t>
      </w:r>
      <w:r w:rsidR="000E0FBC">
        <w:rPr>
          <w:sz w:val="26"/>
          <w:szCs w:val="26"/>
        </w:rPr>
        <w:t>penalty provisions</w:t>
      </w:r>
      <w:r w:rsidR="00233CCA">
        <w:rPr>
          <w:sz w:val="26"/>
          <w:szCs w:val="26"/>
        </w:rPr>
        <w:t>, and specifically notes that Section 2806.1(f)</w:t>
      </w:r>
      <w:r w:rsidR="000D1B39">
        <w:rPr>
          <w:sz w:val="26"/>
          <w:szCs w:val="26"/>
        </w:rPr>
        <w:t>, 66 Pa. C.S. §</w:t>
      </w:r>
      <w:r w:rsidR="00896A61">
        <w:rPr>
          <w:sz w:val="26"/>
          <w:szCs w:val="26"/>
        </w:rPr>
        <w:t> s806.1(f),</w:t>
      </w:r>
      <w:r w:rsidR="00233CCA">
        <w:rPr>
          <w:sz w:val="26"/>
          <w:szCs w:val="26"/>
        </w:rPr>
        <w:t xml:space="preserve"> imposes mandatory penalties on EDCs </w:t>
      </w:r>
      <w:r w:rsidR="00896A61">
        <w:rPr>
          <w:sz w:val="26"/>
          <w:szCs w:val="26"/>
        </w:rPr>
        <w:t>that</w:t>
      </w:r>
      <w:r w:rsidR="00233CCA">
        <w:rPr>
          <w:sz w:val="26"/>
          <w:szCs w:val="26"/>
        </w:rPr>
        <w:t xml:space="preserve"> fail to meet the requirements of Act 129.  </w:t>
      </w:r>
      <w:r w:rsidR="00896A61">
        <w:rPr>
          <w:sz w:val="26"/>
          <w:szCs w:val="26"/>
        </w:rPr>
        <w:t>SEF</w:t>
      </w:r>
      <w:r w:rsidR="00F33F59">
        <w:rPr>
          <w:sz w:val="26"/>
          <w:szCs w:val="26"/>
        </w:rPr>
        <w:t xml:space="preserve"> at 5.</w:t>
      </w:r>
      <w:r w:rsidR="00233CCA">
        <w:rPr>
          <w:sz w:val="26"/>
          <w:szCs w:val="26"/>
        </w:rPr>
        <w:t xml:space="preserve"> </w:t>
      </w:r>
      <w:r w:rsidR="00896A61">
        <w:rPr>
          <w:sz w:val="26"/>
          <w:szCs w:val="26"/>
        </w:rPr>
        <w:t xml:space="preserve"> </w:t>
      </w:r>
      <w:r w:rsidR="006861F2">
        <w:rPr>
          <w:sz w:val="26"/>
          <w:szCs w:val="26"/>
        </w:rPr>
        <w:t xml:space="preserve">CAUSE-PA </w:t>
      </w:r>
      <w:r w:rsidR="00644D2D">
        <w:rPr>
          <w:sz w:val="26"/>
          <w:szCs w:val="26"/>
        </w:rPr>
        <w:t xml:space="preserve">argues that it is premature to waive all penalties before any EDC has even requested such a waiver, </w:t>
      </w:r>
      <w:r w:rsidR="009E057D">
        <w:rPr>
          <w:sz w:val="26"/>
          <w:szCs w:val="26"/>
        </w:rPr>
        <w:t xml:space="preserve">particularly since it seems likely that several EDCs will be able to achieve their targets.  CAUSE-PA at </w:t>
      </w:r>
      <w:r w:rsidR="00E61911">
        <w:rPr>
          <w:sz w:val="26"/>
          <w:szCs w:val="26"/>
        </w:rPr>
        <w:t>12.</w:t>
      </w:r>
      <w:r w:rsidR="000171CA">
        <w:rPr>
          <w:sz w:val="26"/>
          <w:szCs w:val="26"/>
        </w:rPr>
        <w:t xml:space="preserve">  </w:t>
      </w:r>
      <w:r w:rsidR="008B43C5">
        <w:rPr>
          <w:sz w:val="26"/>
          <w:szCs w:val="26"/>
        </w:rPr>
        <w:t xml:space="preserve">Ceres </w:t>
      </w:r>
      <w:r w:rsidR="000171CA">
        <w:rPr>
          <w:sz w:val="26"/>
          <w:szCs w:val="26"/>
        </w:rPr>
        <w:t xml:space="preserve">and KEEA </w:t>
      </w:r>
      <w:r w:rsidR="008B43C5">
        <w:rPr>
          <w:sz w:val="26"/>
          <w:szCs w:val="26"/>
        </w:rPr>
        <w:t xml:space="preserve">oppose </w:t>
      </w:r>
      <w:r w:rsidR="00161616">
        <w:rPr>
          <w:sz w:val="26"/>
          <w:szCs w:val="26"/>
        </w:rPr>
        <w:t>suspension of penalties.  Ceres at 1-2</w:t>
      </w:r>
      <w:r w:rsidR="000171CA">
        <w:rPr>
          <w:sz w:val="26"/>
          <w:szCs w:val="26"/>
        </w:rPr>
        <w:t>, KEEA at 13</w:t>
      </w:r>
      <w:r w:rsidR="000171CA">
        <w:rPr>
          <w:sz w:val="26"/>
          <w:szCs w:val="26"/>
        </w:rPr>
        <w:noBreakHyphen/>
        <w:t>14</w:t>
      </w:r>
      <w:r w:rsidR="00161616">
        <w:rPr>
          <w:sz w:val="26"/>
          <w:szCs w:val="26"/>
        </w:rPr>
        <w:t>.</w:t>
      </w:r>
      <w:r w:rsidR="00D57ACE">
        <w:rPr>
          <w:sz w:val="26"/>
          <w:szCs w:val="26"/>
        </w:rPr>
        <w:t xml:space="preserve">  </w:t>
      </w:r>
    </w:p>
    <w:p w14:paraId="41D021C3" w14:textId="77777777" w:rsidR="007865E2" w:rsidRDefault="007865E2" w:rsidP="00770CF0">
      <w:pPr>
        <w:spacing w:line="360" w:lineRule="auto"/>
        <w:rPr>
          <w:b/>
          <w:bCs/>
          <w:sz w:val="26"/>
          <w:szCs w:val="26"/>
        </w:rPr>
      </w:pPr>
    </w:p>
    <w:p w14:paraId="634BDF0D" w14:textId="77777777" w:rsidR="003D3064" w:rsidRPr="00891D09" w:rsidRDefault="00931B44" w:rsidP="00123B63">
      <w:pPr>
        <w:keepNext/>
        <w:keepLines/>
        <w:rPr>
          <w:b/>
          <w:bCs/>
          <w:sz w:val="26"/>
          <w:szCs w:val="26"/>
        </w:rPr>
      </w:pPr>
      <w:r w:rsidRPr="00891D09">
        <w:rPr>
          <w:b/>
          <w:bCs/>
          <w:sz w:val="26"/>
          <w:szCs w:val="26"/>
        </w:rPr>
        <w:lastRenderedPageBreak/>
        <w:t>Analysis</w:t>
      </w:r>
      <w:r w:rsidR="00393C28" w:rsidRPr="00891D09">
        <w:rPr>
          <w:b/>
          <w:bCs/>
          <w:sz w:val="26"/>
          <w:szCs w:val="26"/>
        </w:rPr>
        <w:t xml:space="preserve"> </w:t>
      </w:r>
    </w:p>
    <w:p w14:paraId="7E80DEA7" w14:textId="77777777" w:rsidR="003D3064" w:rsidRPr="00891D09" w:rsidRDefault="003D3064" w:rsidP="00CA1E81">
      <w:pPr>
        <w:keepNext/>
        <w:rPr>
          <w:b/>
          <w:bCs/>
          <w:sz w:val="26"/>
          <w:szCs w:val="26"/>
        </w:rPr>
      </w:pPr>
    </w:p>
    <w:p w14:paraId="48815D62" w14:textId="0AE46B17" w:rsidR="006C34FC" w:rsidRDefault="006C34FC" w:rsidP="00123B63">
      <w:pPr>
        <w:pStyle w:val="ListParagraph"/>
        <w:keepNext/>
        <w:keepLines/>
        <w:numPr>
          <w:ilvl w:val="0"/>
          <w:numId w:val="4"/>
        </w:numPr>
        <w:rPr>
          <w:b/>
          <w:bCs/>
          <w:sz w:val="26"/>
          <w:szCs w:val="26"/>
        </w:rPr>
      </w:pPr>
      <w:r>
        <w:rPr>
          <w:b/>
          <w:bCs/>
          <w:sz w:val="26"/>
          <w:szCs w:val="26"/>
        </w:rPr>
        <w:t>Effect of the March 20, 2020 Emergen</w:t>
      </w:r>
      <w:r w:rsidR="00CC72F8">
        <w:rPr>
          <w:b/>
          <w:bCs/>
          <w:sz w:val="26"/>
          <w:szCs w:val="26"/>
        </w:rPr>
        <w:t>cy Order</w:t>
      </w:r>
      <w:r w:rsidR="00123B63">
        <w:rPr>
          <w:b/>
          <w:bCs/>
          <w:sz w:val="26"/>
          <w:szCs w:val="26"/>
        </w:rPr>
        <w:t xml:space="preserve"> (</w:t>
      </w:r>
      <w:r w:rsidR="00123B63" w:rsidRPr="00123B63">
        <w:rPr>
          <w:b/>
          <w:bCs/>
          <w:sz w:val="26"/>
          <w:szCs w:val="26"/>
        </w:rPr>
        <w:t>Docket N</w:t>
      </w:r>
      <w:r w:rsidR="00123B63">
        <w:rPr>
          <w:b/>
          <w:bCs/>
          <w:sz w:val="26"/>
          <w:szCs w:val="26"/>
        </w:rPr>
        <w:t>o.</w:t>
      </w:r>
      <w:r w:rsidR="00123B63" w:rsidRPr="00123B63">
        <w:rPr>
          <w:b/>
          <w:bCs/>
          <w:sz w:val="26"/>
          <w:szCs w:val="26"/>
        </w:rPr>
        <w:t xml:space="preserve"> M-2020-3019262</w:t>
      </w:r>
      <w:r w:rsidR="00123B63">
        <w:rPr>
          <w:b/>
          <w:bCs/>
          <w:sz w:val="26"/>
          <w:szCs w:val="26"/>
        </w:rPr>
        <w:t>)</w:t>
      </w:r>
    </w:p>
    <w:p w14:paraId="0994C459" w14:textId="6DD23FC9" w:rsidR="00CC72F8" w:rsidRDefault="00CC72F8" w:rsidP="00123B63">
      <w:pPr>
        <w:keepNext/>
        <w:keepLines/>
        <w:rPr>
          <w:b/>
          <w:bCs/>
          <w:sz w:val="26"/>
          <w:szCs w:val="26"/>
        </w:rPr>
      </w:pPr>
    </w:p>
    <w:p w14:paraId="4A981802" w14:textId="0BAEFE9C" w:rsidR="00BF6605" w:rsidRDefault="005F002B" w:rsidP="00BF6605">
      <w:pPr>
        <w:spacing w:line="360" w:lineRule="auto"/>
        <w:rPr>
          <w:color w:val="000000" w:themeColor="text1"/>
          <w:sz w:val="26"/>
          <w:szCs w:val="26"/>
        </w:rPr>
      </w:pPr>
      <w:r>
        <w:rPr>
          <w:sz w:val="26"/>
          <w:szCs w:val="26"/>
        </w:rPr>
        <w:tab/>
        <w:t xml:space="preserve">Initially, we will address IECPA’s </w:t>
      </w:r>
      <w:r w:rsidR="00A66B02">
        <w:rPr>
          <w:sz w:val="26"/>
          <w:szCs w:val="26"/>
        </w:rPr>
        <w:t xml:space="preserve">reference </w:t>
      </w:r>
      <w:r>
        <w:rPr>
          <w:sz w:val="26"/>
          <w:szCs w:val="26"/>
        </w:rPr>
        <w:t xml:space="preserve">to the Emergency Order </w:t>
      </w:r>
      <w:r w:rsidRPr="00712D25">
        <w:rPr>
          <w:sz w:val="26"/>
          <w:szCs w:val="26"/>
        </w:rPr>
        <w:t xml:space="preserve">Chairman Gladys Brown </w:t>
      </w:r>
      <w:proofErr w:type="spellStart"/>
      <w:r w:rsidRPr="00712D25">
        <w:rPr>
          <w:sz w:val="26"/>
          <w:szCs w:val="26"/>
        </w:rPr>
        <w:t>Dutrieuille</w:t>
      </w:r>
      <w:proofErr w:type="spellEnd"/>
      <w:r w:rsidRPr="00712D25">
        <w:rPr>
          <w:sz w:val="26"/>
          <w:szCs w:val="26"/>
        </w:rPr>
        <w:t xml:space="preserve"> issued on March 20, 2020, providing</w:t>
      </w:r>
      <w:r>
        <w:rPr>
          <w:sz w:val="26"/>
          <w:szCs w:val="26"/>
        </w:rPr>
        <w:t xml:space="preserve"> </w:t>
      </w:r>
      <w:r w:rsidRPr="00712D25">
        <w:rPr>
          <w:sz w:val="26"/>
          <w:szCs w:val="26"/>
        </w:rPr>
        <w:t>for the modification of Commission filing and service requirements</w:t>
      </w:r>
      <w:r>
        <w:rPr>
          <w:sz w:val="26"/>
          <w:szCs w:val="26"/>
        </w:rPr>
        <w:t xml:space="preserve">. </w:t>
      </w:r>
      <w:r w:rsidRPr="00712D25">
        <w:rPr>
          <w:sz w:val="26"/>
          <w:szCs w:val="26"/>
        </w:rPr>
        <w:t xml:space="preserve"> </w:t>
      </w:r>
      <w:r w:rsidRPr="61A9DE7A">
        <w:rPr>
          <w:i/>
          <w:iCs/>
          <w:color w:val="000000" w:themeColor="text1"/>
          <w:sz w:val="26"/>
          <w:szCs w:val="26"/>
        </w:rPr>
        <w:t>Re: Suspension of Regulatory and Statutory Deadlines</w:t>
      </w:r>
      <w:r w:rsidRPr="004C0EE2">
        <w:rPr>
          <w:i/>
          <w:iCs/>
          <w:color w:val="000000" w:themeColor="text1"/>
          <w:sz w:val="26"/>
          <w:szCs w:val="26"/>
        </w:rPr>
        <w:t xml:space="preserve">; </w:t>
      </w:r>
      <w:r w:rsidRPr="00687E8A">
        <w:rPr>
          <w:i/>
          <w:iCs/>
          <w:color w:val="000000" w:themeColor="text1"/>
          <w:sz w:val="26"/>
          <w:szCs w:val="26"/>
        </w:rPr>
        <w:t>Modification to Filing and Service Requirements</w:t>
      </w:r>
      <w:r w:rsidRPr="00C4670D">
        <w:rPr>
          <w:color w:val="000000" w:themeColor="text1"/>
          <w:sz w:val="26"/>
          <w:szCs w:val="26"/>
        </w:rPr>
        <w:t xml:space="preserve">, </w:t>
      </w:r>
      <w:bookmarkStart w:id="12" w:name="_Hlk51109326"/>
      <w:r w:rsidRPr="00C4670D">
        <w:rPr>
          <w:color w:val="000000" w:themeColor="text1"/>
          <w:sz w:val="26"/>
          <w:szCs w:val="26"/>
        </w:rPr>
        <w:t>Docket Number M-2020-3019262</w:t>
      </w:r>
      <w:r>
        <w:rPr>
          <w:color w:val="000000" w:themeColor="text1"/>
          <w:sz w:val="26"/>
          <w:szCs w:val="26"/>
        </w:rPr>
        <w:t xml:space="preserve"> </w:t>
      </w:r>
      <w:bookmarkEnd w:id="12"/>
      <w:r>
        <w:rPr>
          <w:color w:val="000000" w:themeColor="text1"/>
          <w:sz w:val="26"/>
          <w:szCs w:val="26"/>
        </w:rPr>
        <w:t>(</w:t>
      </w:r>
      <w:r w:rsidRPr="61A9DE7A">
        <w:rPr>
          <w:i/>
          <w:iCs/>
          <w:color w:val="000000" w:themeColor="text1"/>
          <w:sz w:val="26"/>
          <w:szCs w:val="26"/>
        </w:rPr>
        <w:t>March 20, 2020</w:t>
      </w:r>
      <w:r>
        <w:rPr>
          <w:color w:val="000000" w:themeColor="text1"/>
          <w:sz w:val="26"/>
          <w:szCs w:val="26"/>
        </w:rPr>
        <w:t xml:space="preserve"> </w:t>
      </w:r>
      <w:r w:rsidRPr="61A9DE7A">
        <w:rPr>
          <w:i/>
          <w:iCs/>
          <w:color w:val="000000" w:themeColor="text1"/>
          <w:sz w:val="26"/>
          <w:szCs w:val="26"/>
        </w:rPr>
        <w:t>Emergency Order</w:t>
      </w:r>
      <w:r>
        <w:rPr>
          <w:color w:val="000000" w:themeColor="text1"/>
          <w:sz w:val="26"/>
          <w:szCs w:val="26"/>
        </w:rPr>
        <w:t>)</w:t>
      </w:r>
      <w:r w:rsidRPr="00C4670D">
        <w:rPr>
          <w:color w:val="000000" w:themeColor="text1"/>
          <w:sz w:val="26"/>
          <w:szCs w:val="26"/>
        </w:rPr>
        <w:t>.</w:t>
      </w:r>
      <w:r>
        <w:rPr>
          <w:color w:val="000000" w:themeColor="text1"/>
          <w:sz w:val="26"/>
          <w:szCs w:val="26"/>
        </w:rPr>
        <w:t xml:space="preserve">  IECPA </w:t>
      </w:r>
      <w:r w:rsidR="00BE5EFF">
        <w:rPr>
          <w:color w:val="000000" w:themeColor="text1"/>
          <w:sz w:val="26"/>
          <w:szCs w:val="26"/>
        </w:rPr>
        <w:t xml:space="preserve">filed its Petition at the </w:t>
      </w:r>
      <w:r w:rsidR="00BE5EFF" w:rsidRPr="00BE5EFF">
        <w:rPr>
          <w:i/>
          <w:iCs/>
          <w:color w:val="000000" w:themeColor="text1"/>
          <w:sz w:val="26"/>
          <w:szCs w:val="26"/>
        </w:rPr>
        <w:t xml:space="preserve">March 20, 2020 Emergency Order </w:t>
      </w:r>
      <w:r w:rsidR="00BE5EFF">
        <w:rPr>
          <w:color w:val="000000" w:themeColor="text1"/>
          <w:sz w:val="26"/>
          <w:szCs w:val="26"/>
        </w:rPr>
        <w:t xml:space="preserve">docket and </w:t>
      </w:r>
      <w:r>
        <w:rPr>
          <w:color w:val="000000" w:themeColor="text1"/>
          <w:sz w:val="26"/>
          <w:szCs w:val="26"/>
        </w:rPr>
        <w:t>claims that the relief requested in its petition</w:t>
      </w:r>
      <w:r w:rsidR="005676AB">
        <w:rPr>
          <w:color w:val="000000" w:themeColor="text1"/>
          <w:sz w:val="26"/>
          <w:szCs w:val="26"/>
        </w:rPr>
        <w:t xml:space="preserve">, specifically the proposed 270-day </w:t>
      </w:r>
      <w:r w:rsidR="0071143E">
        <w:rPr>
          <w:color w:val="000000" w:themeColor="text1"/>
          <w:sz w:val="26"/>
          <w:szCs w:val="26"/>
        </w:rPr>
        <w:t xml:space="preserve">delay in implementing Phase IV and waiver of </w:t>
      </w:r>
      <w:r w:rsidR="00D57C91">
        <w:rPr>
          <w:color w:val="000000" w:themeColor="text1"/>
          <w:sz w:val="26"/>
          <w:szCs w:val="26"/>
        </w:rPr>
        <w:t xml:space="preserve">Act 129 penalties, </w:t>
      </w:r>
      <w:r w:rsidR="00F81E2F">
        <w:rPr>
          <w:color w:val="000000" w:themeColor="text1"/>
          <w:sz w:val="26"/>
          <w:szCs w:val="26"/>
        </w:rPr>
        <w:t>are</w:t>
      </w:r>
      <w:r w:rsidR="00D57C91">
        <w:rPr>
          <w:color w:val="000000" w:themeColor="text1"/>
          <w:sz w:val="26"/>
          <w:szCs w:val="26"/>
        </w:rPr>
        <w:t xml:space="preserve"> </w:t>
      </w:r>
      <w:r w:rsidR="00295F2F">
        <w:rPr>
          <w:color w:val="000000" w:themeColor="text1"/>
          <w:sz w:val="26"/>
          <w:szCs w:val="26"/>
        </w:rPr>
        <w:t>encompassed by</w:t>
      </w:r>
      <w:r w:rsidR="00D57C91">
        <w:rPr>
          <w:color w:val="000000" w:themeColor="text1"/>
          <w:sz w:val="26"/>
          <w:szCs w:val="26"/>
        </w:rPr>
        <w:t xml:space="preserve"> </w:t>
      </w:r>
      <w:r>
        <w:rPr>
          <w:color w:val="000000" w:themeColor="text1"/>
          <w:sz w:val="26"/>
          <w:szCs w:val="26"/>
        </w:rPr>
        <w:t>the Commission’s</w:t>
      </w:r>
      <w:r w:rsidR="54D20B9F">
        <w:rPr>
          <w:color w:val="000000" w:themeColor="text1"/>
          <w:sz w:val="26"/>
          <w:szCs w:val="26"/>
        </w:rPr>
        <w:t xml:space="preserve"> </w:t>
      </w:r>
      <w:r w:rsidR="4FDACD02" w:rsidRPr="61A9DE7A">
        <w:rPr>
          <w:i/>
          <w:iCs/>
          <w:color w:val="000000" w:themeColor="text1"/>
          <w:sz w:val="26"/>
          <w:szCs w:val="26"/>
        </w:rPr>
        <w:t>March 20, 2020</w:t>
      </w:r>
      <w:r w:rsidRPr="61A9DE7A">
        <w:rPr>
          <w:color w:val="000000" w:themeColor="text1"/>
          <w:sz w:val="26"/>
          <w:szCs w:val="26"/>
        </w:rPr>
        <w:t xml:space="preserve"> </w:t>
      </w:r>
      <w:r w:rsidRPr="61A9DE7A">
        <w:rPr>
          <w:i/>
          <w:iCs/>
          <w:color w:val="000000" w:themeColor="text1"/>
          <w:sz w:val="26"/>
          <w:szCs w:val="26"/>
        </w:rPr>
        <w:t>Emergency Order</w:t>
      </w:r>
      <w:r w:rsidR="00656C4A">
        <w:rPr>
          <w:color w:val="000000" w:themeColor="text1"/>
          <w:sz w:val="26"/>
          <w:szCs w:val="26"/>
        </w:rPr>
        <w:t>.</w:t>
      </w:r>
      <w:r>
        <w:rPr>
          <w:color w:val="000000" w:themeColor="text1"/>
          <w:sz w:val="26"/>
          <w:szCs w:val="26"/>
        </w:rPr>
        <w:t xml:space="preserve"> </w:t>
      </w:r>
      <w:r w:rsidR="00295F2F">
        <w:rPr>
          <w:color w:val="000000" w:themeColor="text1"/>
          <w:sz w:val="26"/>
          <w:szCs w:val="26"/>
        </w:rPr>
        <w:t xml:space="preserve"> </w:t>
      </w:r>
      <w:r w:rsidR="001C0F13">
        <w:rPr>
          <w:color w:val="000000" w:themeColor="text1"/>
          <w:sz w:val="26"/>
          <w:szCs w:val="26"/>
        </w:rPr>
        <w:t xml:space="preserve">Petition at </w:t>
      </w:r>
      <w:r w:rsidR="001038D8">
        <w:rPr>
          <w:color w:val="000000" w:themeColor="text1"/>
          <w:sz w:val="26"/>
          <w:szCs w:val="26"/>
        </w:rPr>
        <w:t xml:space="preserve">3, 4, 12. </w:t>
      </w:r>
      <w:r w:rsidR="002B08F6">
        <w:rPr>
          <w:color w:val="000000" w:themeColor="text1"/>
          <w:sz w:val="26"/>
          <w:szCs w:val="26"/>
        </w:rPr>
        <w:t xml:space="preserve"> </w:t>
      </w:r>
      <w:r>
        <w:rPr>
          <w:color w:val="000000" w:themeColor="text1"/>
          <w:sz w:val="26"/>
          <w:szCs w:val="26"/>
        </w:rPr>
        <w:t>We disagree.</w:t>
      </w:r>
      <w:r>
        <w:rPr>
          <w:color w:val="000000" w:themeColor="text1"/>
          <w:sz w:val="26"/>
          <w:szCs w:val="26"/>
        </w:rPr>
        <w:br/>
      </w:r>
      <w:r>
        <w:rPr>
          <w:color w:val="000000" w:themeColor="text1"/>
          <w:sz w:val="26"/>
          <w:szCs w:val="26"/>
        </w:rPr>
        <w:br/>
      </w:r>
      <w:r>
        <w:rPr>
          <w:color w:val="000000" w:themeColor="text1"/>
          <w:sz w:val="26"/>
          <w:szCs w:val="26"/>
        </w:rPr>
        <w:tab/>
      </w:r>
      <w:r w:rsidR="00191D38">
        <w:rPr>
          <w:color w:val="000000" w:themeColor="text1"/>
          <w:sz w:val="26"/>
          <w:szCs w:val="26"/>
        </w:rPr>
        <w:t xml:space="preserve"> </w:t>
      </w:r>
      <w:r w:rsidR="00E81D37">
        <w:rPr>
          <w:color w:val="000000" w:themeColor="text1"/>
          <w:sz w:val="26"/>
          <w:szCs w:val="26"/>
        </w:rPr>
        <w:t>T</w:t>
      </w:r>
      <w:r>
        <w:rPr>
          <w:color w:val="000000" w:themeColor="text1"/>
          <w:sz w:val="26"/>
          <w:szCs w:val="26"/>
        </w:rPr>
        <w:t xml:space="preserve">he Commission’s </w:t>
      </w:r>
      <w:r w:rsidRPr="61A9DE7A">
        <w:rPr>
          <w:i/>
          <w:iCs/>
          <w:color w:val="000000" w:themeColor="text1"/>
          <w:sz w:val="26"/>
          <w:szCs w:val="26"/>
        </w:rPr>
        <w:t>March 20, 2020</w:t>
      </w:r>
      <w:r>
        <w:rPr>
          <w:color w:val="000000" w:themeColor="text1"/>
          <w:sz w:val="26"/>
          <w:szCs w:val="26"/>
        </w:rPr>
        <w:t xml:space="preserve"> </w:t>
      </w:r>
      <w:r w:rsidRPr="61A9DE7A">
        <w:rPr>
          <w:i/>
          <w:iCs/>
          <w:color w:val="000000" w:themeColor="text1"/>
          <w:sz w:val="26"/>
          <w:szCs w:val="26"/>
        </w:rPr>
        <w:t>Emergency Order</w:t>
      </w:r>
      <w:r>
        <w:rPr>
          <w:color w:val="000000" w:themeColor="text1"/>
          <w:sz w:val="26"/>
          <w:szCs w:val="26"/>
        </w:rPr>
        <w:t xml:space="preserve"> </w:t>
      </w:r>
      <w:r w:rsidRPr="002C7A72">
        <w:rPr>
          <w:color w:val="000000" w:themeColor="text1"/>
          <w:sz w:val="26"/>
          <w:szCs w:val="26"/>
        </w:rPr>
        <w:t>acknowledged that the Commission’s response to the COVID-19 pandemic, namely implementing telework for its entire staff and vacating its physical offices across the Commonwealth, could result in challenges for the Commission, the regulated community, and the public with regard to compliance with statutory and regulatory deadlines, and other procedural and administrative requirements</w:t>
      </w:r>
      <w:r w:rsidR="5F7F7B12" w:rsidRPr="002C7A72">
        <w:rPr>
          <w:color w:val="000000" w:themeColor="text1"/>
          <w:sz w:val="26"/>
          <w:szCs w:val="26"/>
        </w:rPr>
        <w:t xml:space="preserve"> for filing and service of documents</w:t>
      </w:r>
      <w:r w:rsidRPr="002C7A72">
        <w:rPr>
          <w:color w:val="000000" w:themeColor="text1"/>
          <w:sz w:val="26"/>
          <w:szCs w:val="26"/>
        </w:rPr>
        <w:t xml:space="preserve">.  As such, the </w:t>
      </w:r>
      <w:r w:rsidRPr="61A9DE7A">
        <w:rPr>
          <w:i/>
          <w:iCs/>
          <w:color w:val="000000" w:themeColor="text1"/>
          <w:sz w:val="26"/>
          <w:szCs w:val="26"/>
        </w:rPr>
        <w:t>March 20, 2020</w:t>
      </w:r>
      <w:r>
        <w:rPr>
          <w:color w:val="000000" w:themeColor="text1"/>
          <w:sz w:val="26"/>
          <w:szCs w:val="26"/>
        </w:rPr>
        <w:t xml:space="preserve"> </w:t>
      </w:r>
      <w:r w:rsidRPr="61A9DE7A">
        <w:rPr>
          <w:i/>
          <w:iCs/>
          <w:color w:val="000000" w:themeColor="text1"/>
          <w:sz w:val="26"/>
          <w:szCs w:val="26"/>
        </w:rPr>
        <w:t>Emergency Order</w:t>
      </w:r>
      <w:r w:rsidRPr="002C7A72">
        <w:rPr>
          <w:color w:val="000000" w:themeColor="text1"/>
          <w:sz w:val="26"/>
          <w:szCs w:val="26"/>
        </w:rPr>
        <w:t xml:space="preserve"> </w:t>
      </w:r>
      <w:r>
        <w:rPr>
          <w:color w:val="000000" w:themeColor="text1"/>
          <w:sz w:val="26"/>
          <w:szCs w:val="26"/>
        </w:rPr>
        <w:t xml:space="preserve">stated that </w:t>
      </w:r>
      <w:r w:rsidRPr="61A9DE7A">
        <w:rPr>
          <w:color w:val="000000" w:themeColor="text1"/>
          <w:sz w:val="26"/>
          <w:szCs w:val="26"/>
        </w:rPr>
        <w:t xml:space="preserve">statutory and regulatory deadlines </w:t>
      </w:r>
      <w:r w:rsidR="79AF4DC4" w:rsidRPr="61A9DE7A">
        <w:rPr>
          <w:color w:val="000000" w:themeColor="text1"/>
          <w:sz w:val="26"/>
          <w:szCs w:val="26"/>
        </w:rPr>
        <w:t xml:space="preserve">for filing and service of documents </w:t>
      </w:r>
      <w:r w:rsidRPr="61A9DE7A">
        <w:rPr>
          <w:color w:val="000000" w:themeColor="text1"/>
          <w:sz w:val="26"/>
          <w:szCs w:val="26"/>
        </w:rPr>
        <w:t>may be s</w:t>
      </w:r>
      <w:r w:rsidRPr="00540434">
        <w:rPr>
          <w:color w:val="000000" w:themeColor="text1"/>
          <w:sz w:val="26"/>
          <w:szCs w:val="26"/>
        </w:rPr>
        <w:t xml:space="preserve">uspended, extended, waived or changed </w:t>
      </w:r>
      <w:r w:rsidRPr="61A9DE7A">
        <w:rPr>
          <w:color w:val="000000" w:themeColor="text1"/>
          <w:sz w:val="26"/>
          <w:szCs w:val="26"/>
        </w:rPr>
        <w:t xml:space="preserve">during the pendency of the Governor’s </w:t>
      </w:r>
      <w:r w:rsidR="001F74EC" w:rsidRPr="00FE39FC">
        <w:rPr>
          <w:color w:val="000000" w:themeColor="text1"/>
          <w:sz w:val="26"/>
          <w:szCs w:val="26"/>
        </w:rPr>
        <w:t>Proclamation of Disaster Emergency</w:t>
      </w:r>
      <w:r w:rsidR="000356DA">
        <w:rPr>
          <w:color w:val="000000" w:themeColor="text1"/>
          <w:sz w:val="26"/>
          <w:szCs w:val="26"/>
        </w:rPr>
        <w:t>,</w:t>
      </w:r>
      <w:r w:rsidR="005B6171">
        <w:rPr>
          <w:rStyle w:val="FootnoteReference"/>
          <w:color w:val="000000" w:themeColor="text1"/>
          <w:sz w:val="26"/>
          <w:szCs w:val="26"/>
        </w:rPr>
        <w:footnoteReference w:id="7"/>
      </w:r>
      <w:r w:rsidRPr="61A9DE7A">
        <w:rPr>
          <w:color w:val="000000" w:themeColor="text1"/>
          <w:sz w:val="26"/>
          <w:szCs w:val="26"/>
        </w:rPr>
        <w:t xml:space="preserve"> and delegated authority to the Commission’s Bureau Directors to implement such modifications at their discretion, subject to Commission review.  In short, the </w:t>
      </w:r>
      <w:r w:rsidRPr="61A9DE7A">
        <w:rPr>
          <w:i/>
          <w:iCs/>
          <w:color w:val="000000" w:themeColor="text1"/>
          <w:sz w:val="26"/>
          <w:szCs w:val="26"/>
        </w:rPr>
        <w:t>March 20, 2020</w:t>
      </w:r>
      <w:r>
        <w:rPr>
          <w:color w:val="000000" w:themeColor="text1"/>
          <w:sz w:val="26"/>
          <w:szCs w:val="26"/>
        </w:rPr>
        <w:t xml:space="preserve"> </w:t>
      </w:r>
      <w:r w:rsidRPr="61A9DE7A">
        <w:rPr>
          <w:i/>
          <w:iCs/>
          <w:color w:val="000000" w:themeColor="text1"/>
          <w:sz w:val="26"/>
          <w:szCs w:val="26"/>
        </w:rPr>
        <w:t xml:space="preserve">Emergency </w:t>
      </w:r>
      <w:r w:rsidRPr="61A9DE7A">
        <w:rPr>
          <w:i/>
          <w:iCs/>
          <w:color w:val="000000" w:themeColor="text1"/>
          <w:sz w:val="26"/>
          <w:szCs w:val="26"/>
        </w:rPr>
        <w:lastRenderedPageBreak/>
        <w:t>Order</w:t>
      </w:r>
      <w:r w:rsidR="003B350D" w:rsidRPr="61A9DE7A">
        <w:rPr>
          <w:color w:val="000000" w:themeColor="text1"/>
          <w:sz w:val="26"/>
          <w:szCs w:val="26"/>
        </w:rPr>
        <w:t xml:space="preserve">, </w:t>
      </w:r>
      <w:r w:rsidRPr="61A9DE7A">
        <w:rPr>
          <w:color w:val="000000" w:themeColor="text1"/>
          <w:sz w:val="26"/>
          <w:szCs w:val="26"/>
        </w:rPr>
        <w:t>was intended to allow for</w:t>
      </w:r>
      <w:r w:rsidRPr="61A9DE7A">
        <w:rPr>
          <w:b/>
          <w:bCs/>
          <w:color w:val="000000" w:themeColor="text1"/>
          <w:sz w:val="26"/>
          <w:szCs w:val="26"/>
        </w:rPr>
        <w:t xml:space="preserve"> </w:t>
      </w:r>
      <w:r w:rsidRPr="00295F2F">
        <w:rPr>
          <w:color w:val="000000" w:themeColor="text1"/>
          <w:sz w:val="26"/>
          <w:szCs w:val="26"/>
        </w:rPr>
        <w:t xml:space="preserve">procedural </w:t>
      </w:r>
      <w:r w:rsidRPr="61A9DE7A">
        <w:rPr>
          <w:color w:val="000000" w:themeColor="text1"/>
          <w:sz w:val="26"/>
          <w:szCs w:val="26"/>
        </w:rPr>
        <w:t>flexibility to accommodate any administrative complications</w:t>
      </w:r>
      <w:r w:rsidR="0DCC2C52" w:rsidRPr="61A9DE7A">
        <w:rPr>
          <w:color w:val="000000" w:themeColor="text1"/>
          <w:sz w:val="26"/>
          <w:szCs w:val="26"/>
        </w:rPr>
        <w:t xml:space="preserve"> regarding </w:t>
      </w:r>
      <w:r w:rsidR="00004CA4">
        <w:rPr>
          <w:color w:val="000000" w:themeColor="text1"/>
          <w:sz w:val="26"/>
          <w:szCs w:val="26"/>
        </w:rPr>
        <w:t xml:space="preserve">the </w:t>
      </w:r>
      <w:r w:rsidR="0DCC2C52" w:rsidRPr="61A9DE7A">
        <w:rPr>
          <w:color w:val="000000" w:themeColor="text1"/>
          <w:sz w:val="26"/>
          <w:szCs w:val="26"/>
        </w:rPr>
        <w:t>filing and service requirements</w:t>
      </w:r>
      <w:r w:rsidRPr="61A9DE7A">
        <w:rPr>
          <w:color w:val="000000" w:themeColor="text1"/>
          <w:sz w:val="26"/>
          <w:szCs w:val="26"/>
        </w:rPr>
        <w:t xml:space="preserve"> experienced by the Commission and any parties appearing before it due to the pandemic.  </w:t>
      </w:r>
      <w:r w:rsidR="55135B32" w:rsidRPr="61A9DE7A">
        <w:rPr>
          <w:color w:val="000000" w:themeColor="text1"/>
          <w:sz w:val="26"/>
          <w:szCs w:val="26"/>
        </w:rPr>
        <w:t xml:space="preserve">The </w:t>
      </w:r>
      <w:r w:rsidR="55135B32" w:rsidRPr="00295F2F">
        <w:rPr>
          <w:i/>
          <w:iCs/>
          <w:color w:val="000000" w:themeColor="text1"/>
          <w:sz w:val="26"/>
          <w:szCs w:val="26"/>
        </w:rPr>
        <w:t>March 20, 2020 Emergency Order</w:t>
      </w:r>
      <w:r w:rsidR="55135B32" w:rsidRPr="61A9DE7A">
        <w:rPr>
          <w:color w:val="000000" w:themeColor="text1"/>
          <w:sz w:val="26"/>
          <w:szCs w:val="26"/>
        </w:rPr>
        <w:t xml:space="preserve"> also allowed flexibility </w:t>
      </w:r>
      <w:r w:rsidR="551B8E39" w:rsidRPr="61A9DE7A">
        <w:rPr>
          <w:color w:val="000000" w:themeColor="text1"/>
          <w:sz w:val="26"/>
          <w:szCs w:val="26"/>
        </w:rPr>
        <w:t>to extend</w:t>
      </w:r>
      <w:r w:rsidR="55135B32" w:rsidRPr="61A9DE7A">
        <w:rPr>
          <w:color w:val="000000" w:themeColor="text1"/>
          <w:sz w:val="26"/>
          <w:szCs w:val="26"/>
        </w:rPr>
        <w:t xml:space="preserve"> statutor</w:t>
      </w:r>
      <w:r w:rsidR="393DCFF0" w:rsidRPr="61A9DE7A">
        <w:rPr>
          <w:color w:val="000000" w:themeColor="text1"/>
          <w:sz w:val="26"/>
          <w:szCs w:val="26"/>
        </w:rPr>
        <w:t>ily</w:t>
      </w:r>
      <w:r w:rsidR="55135B32" w:rsidRPr="61A9DE7A">
        <w:rPr>
          <w:color w:val="000000" w:themeColor="text1"/>
          <w:sz w:val="26"/>
          <w:szCs w:val="26"/>
        </w:rPr>
        <w:t xml:space="preserve"> </w:t>
      </w:r>
      <w:r w:rsidR="51D2C36E" w:rsidRPr="61A9DE7A">
        <w:rPr>
          <w:color w:val="000000" w:themeColor="text1"/>
          <w:sz w:val="26"/>
          <w:szCs w:val="26"/>
        </w:rPr>
        <w:t>established</w:t>
      </w:r>
      <w:r w:rsidR="55135B32" w:rsidRPr="61A9DE7A">
        <w:rPr>
          <w:color w:val="000000" w:themeColor="text1"/>
          <w:sz w:val="26"/>
          <w:szCs w:val="26"/>
        </w:rPr>
        <w:t xml:space="preserve"> time periods for the Commission to take final action on matters before it.</w:t>
      </w:r>
      <w:r w:rsidR="55135B32">
        <w:rPr>
          <w:color w:val="000000" w:themeColor="text1"/>
          <w:sz w:val="26"/>
          <w:szCs w:val="26"/>
        </w:rPr>
        <w:t xml:space="preserve"> </w:t>
      </w:r>
      <w:r w:rsidR="556367EC">
        <w:rPr>
          <w:color w:val="000000" w:themeColor="text1"/>
          <w:sz w:val="26"/>
          <w:szCs w:val="26"/>
        </w:rPr>
        <w:t xml:space="preserve"> </w:t>
      </w:r>
      <w:r w:rsidRPr="61A9DE7A">
        <w:rPr>
          <w:color w:val="000000" w:themeColor="text1"/>
          <w:sz w:val="26"/>
          <w:szCs w:val="26"/>
        </w:rPr>
        <w:t xml:space="preserve">The </w:t>
      </w:r>
      <w:r w:rsidRPr="61A9DE7A">
        <w:rPr>
          <w:i/>
          <w:iCs/>
          <w:color w:val="000000" w:themeColor="text1"/>
          <w:sz w:val="26"/>
          <w:szCs w:val="26"/>
        </w:rPr>
        <w:t>March 20, 2020</w:t>
      </w:r>
      <w:r w:rsidRPr="61A9DE7A">
        <w:rPr>
          <w:color w:val="000000" w:themeColor="text1"/>
          <w:sz w:val="26"/>
          <w:szCs w:val="26"/>
        </w:rPr>
        <w:t xml:space="preserve"> </w:t>
      </w:r>
      <w:r w:rsidRPr="61A9DE7A">
        <w:rPr>
          <w:i/>
          <w:iCs/>
          <w:color w:val="000000" w:themeColor="text1"/>
          <w:sz w:val="26"/>
          <w:szCs w:val="26"/>
        </w:rPr>
        <w:t>Emergency Order</w:t>
      </w:r>
      <w:r w:rsidRPr="61A9DE7A">
        <w:rPr>
          <w:color w:val="000000" w:themeColor="text1"/>
          <w:sz w:val="26"/>
          <w:szCs w:val="26"/>
        </w:rPr>
        <w:t xml:space="preserve"> was not intended to circumvent the formal proceedings required for disposing of </w:t>
      </w:r>
      <w:r w:rsidRPr="00295F2F">
        <w:rPr>
          <w:color w:val="000000" w:themeColor="text1"/>
          <w:sz w:val="26"/>
          <w:szCs w:val="26"/>
        </w:rPr>
        <w:t xml:space="preserve">substantive </w:t>
      </w:r>
      <w:r>
        <w:rPr>
          <w:color w:val="000000" w:themeColor="text1"/>
          <w:sz w:val="26"/>
          <w:szCs w:val="26"/>
        </w:rPr>
        <w:t xml:space="preserve">matters pending before the Commission. </w:t>
      </w:r>
      <w:r w:rsidR="00B74887">
        <w:rPr>
          <w:color w:val="000000" w:themeColor="text1"/>
          <w:sz w:val="26"/>
          <w:szCs w:val="26"/>
        </w:rPr>
        <w:t xml:space="preserve"> </w:t>
      </w:r>
      <w:r w:rsidR="00253EC5">
        <w:rPr>
          <w:color w:val="000000" w:themeColor="text1"/>
          <w:sz w:val="26"/>
          <w:szCs w:val="26"/>
        </w:rPr>
        <w:t>The</w:t>
      </w:r>
      <w:r w:rsidR="00D408A1">
        <w:rPr>
          <w:color w:val="000000" w:themeColor="text1"/>
          <w:sz w:val="26"/>
          <w:szCs w:val="26"/>
        </w:rPr>
        <w:t>refore, the</w:t>
      </w:r>
      <w:r w:rsidR="00253EC5">
        <w:rPr>
          <w:color w:val="000000" w:themeColor="text1"/>
          <w:sz w:val="26"/>
          <w:szCs w:val="26"/>
        </w:rPr>
        <w:t xml:space="preserve"> </w:t>
      </w:r>
      <w:r w:rsidR="00253EC5" w:rsidRPr="002E472C">
        <w:rPr>
          <w:i/>
          <w:iCs/>
          <w:color w:val="000000" w:themeColor="text1"/>
          <w:sz w:val="26"/>
          <w:szCs w:val="26"/>
        </w:rPr>
        <w:t>March 20, 2020 Emergency Order</w:t>
      </w:r>
      <w:r w:rsidR="00253EC5">
        <w:rPr>
          <w:color w:val="000000" w:themeColor="text1"/>
          <w:sz w:val="26"/>
          <w:szCs w:val="26"/>
        </w:rPr>
        <w:t xml:space="preserve"> is irrelevant</w:t>
      </w:r>
      <w:r w:rsidR="00D408A1">
        <w:rPr>
          <w:color w:val="000000" w:themeColor="text1"/>
          <w:sz w:val="26"/>
          <w:szCs w:val="26"/>
        </w:rPr>
        <w:t xml:space="preserve"> and inapplicable</w:t>
      </w:r>
      <w:r w:rsidR="00253EC5">
        <w:rPr>
          <w:color w:val="000000" w:themeColor="text1"/>
          <w:sz w:val="26"/>
          <w:szCs w:val="26"/>
        </w:rPr>
        <w:t xml:space="preserve"> to the relief sought by IECPA and other stakeholders.  </w:t>
      </w:r>
    </w:p>
    <w:p w14:paraId="00455AF1" w14:textId="77777777" w:rsidR="001D7920" w:rsidRDefault="001D7920" w:rsidP="00123B63">
      <w:pPr>
        <w:keepNext/>
        <w:keepLines/>
        <w:spacing w:line="360" w:lineRule="auto"/>
        <w:rPr>
          <w:color w:val="000000" w:themeColor="text1"/>
          <w:sz w:val="26"/>
          <w:szCs w:val="26"/>
        </w:rPr>
      </w:pPr>
    </w:p>
    <w:p w14:paraId="257D1373" w14:textId="77F776A6" w:rsidR="000342F9" w:rsidRDefault="001D7920" w:rsidP="00123B63">
      <w:pPr>
        <w:keepNext/>
        <w:keepLines/>
        <w:spacing w:line="360" w:lineRule="auto"/>
        <w:rPr>
          <w:color w:val="000000" w:themeColor="text1"/>
          <w:sz w:val="26"/>
          <w:szCs w:val="26"/>
        </w:rPr>
      </w:pPr>
      <w:r>
        <w:rPr>
          <w:color w:val="000000" w:themeColor="text1"/>
          <w:sz w:val="26"/>
          <w:szCs w:val="26"/>
        </w:rPr>
        <w:tab/>
      </w:r>
      <w:r w:rsidR="008C2771">
        <w:rPr>
          <w:color w:val="000000" w:themeColor="text1"/>
          <w:sz w:val="26"/>
          <w:szCs w:val="26"/>
        </w:rPr>
        <w:t>Although IECPA</w:t>
      </w:r>
      <w:r w:rsidR="00FF2F23">
        <w:rPr>
          <w:color w:val="000000" w:themeColor="text1"/>
          <w:sz w:val="26"/>
          <w:szCs w:val="26"/>
        </w:rPr>
        <w:t xml:space="preserve"> </w:t>
      </w:r>
      <w:r w:rsidR="008C2771">
        <w:rPr>
          <w:color w:val="000000" w:themeColor="text1"/>
          <w:sz w:val="26"/>
          <w:szCs w:val="26"/>
        </w:rPr>
        <w:t xml:space="preserve">specifically invoked our </w:t>
      </w:r>
      <w:r w:rsidR="008C2771" w:rsidRPr="00A24CB6">
        <w:rPr>
          <w:i/>
          <w:iCs/>
          <w:color w:val="000000" w:themeColor="text1"/>
          <w:sz w:val="26"/>
          <w:szCs w:val="26"/>
        </w:rPr>
        <w:t>March 20, 2020 Emergency Order</w:t>
      </w:r>
      <w:r w:rsidR="008C2771">
        <w:rPr>
          <w:color w:val="000000" w:themeColor="text1"/>
          <w:sz w:val="26"/>
          <w:szCs w:val="26"/>
        </w:rPr>
        <w:t xml:space="preserve"> as the basis for seeking relief</w:t>
      </w:r>
      <w:r w:rsidR="00965071">
        <w:rPr>
          <w:color w:val="000000" w:themeColor="text1"/>
          <w:sz w:val="26"/>
          <w:szCs w:val="26"/>
        </w:rPr>
        <w:t xml:space="preserve">, the Petition also referenced the </w:t>
      </w:r>
      <w:r w:rsidR="00965071" w:rsidRPr="00965071">
        <w:rPr>
          <w:i/>
          <w:iCs/>
          <w:color w:val="000000" w:themeColor="text1"/>
          <w:sz w:val="26"/>
          <w:szCs w:val="26"/>
        </w:rPr>
        <w:t>Emergency Proclamation</w:t>
      </w:r>
      <w:r w:rsidR="00965071">
        <w:rPr>
          <w:color w:val="000000" w:themeColor="text1"/>
          <w:sz w:val="26"/>
          <w:szCs w:val="26"/>
        </w:rPr>
        <w:t xml:space="preserve">.  </w:t>
      </w:r>
      <w:r w:rsidR="006D1063">
        <w:rPr>
          <w:color w:val="000000" w:themeColor="text1"/>
          <w:sz w:val="26"/>
          <w:szCs w:val="26"/>
        </w:rPr>
        <w:t xml:space="preserve">Petition at 3.  </w:t>
      </w:r>
      <w:r w:rsidR="00965071">
        <w:rPr>
          <w:color w:val="000000" w:themeColor="text1"/>
          <w:sz w:val="26"/>
          <w:szCs w:val="26"/>
        </w:rPr>
        <w:t>Therefore, we will exercise our authority</w:t>
      </w:r>
      <w:r w:rsidR="00636B19">
        <w:rPr>
          <w:color w:val="000000" w:themeColor="text1"/>
          <w:sz w:val="26"/>
          <w:szCs w:val="26"/>
        </w:rPr>
        <w:t xml:space="preserve"> under 52 Pa. Code § 1.2(a)</w:t>
      </w:r>
      <w:r w:rsidR="00965071">
        <w:rPr>
          <w:color w:val="000000" w:themeColor="text1"/>
          <w:sz w:val="26"/>
          <w:szCs w:val="26"/>
        </w:rPr>
        <w:t xml:space="preserve"> </w:t>
      </w:r>
      <w:r w:rsidR="00636B19">
        <w:rPr>
          <w:color w:val="000000" w:themeColor="text1"/>
          <w:sz w:val="26"/>
          <w:szCs w:val="26"/>
        </w:rPr>
        <w:t xml:space="preserve">to disregard procedural defects and </w:t>
      </w:r>
      <w:r w:rsidR="00F71C30">
        <w:rPr>
          <w:color w:val="000000" w:themeColor="text1"/>
          <w:sz w:val="26"/>
          <w:szCs w:val="26"/>
        </w:rPr>
        <w:t xml:space="preserve">will also treat IECPA’s Petition as a request for </w:t>
      </w:r>
      <w:r w:rsidR="009A42A0">
        <w:rPr>
          <w:color w:val="000000" w:themeColor="text1"/>
          <w:sz w:val="26"/>
          <w:szCs w:val="26"/>
        </w:rPr>
        <w:t>suspension of certain provisions of the Code to aid in coping with the COVID-19 pandemic, pursuant to</w:t>
      </w:r>
      <w:r w:rsidR="00F71C30">
        <w:rPr>
          <w:color w:val="000000" w:themeColor="text1"/>
          <w:sz w:val="26"/>
          <w:szCs w:val="26"/>
        </w:rPr>
        <w:t xml:space="preserve"> the Governor’s </w:t>
      </w:r>
      <w:r w:rsidR="00F71C30" w:rsidRPr="00F71C30">
        <w:rPr>
          <w:i/>
          <w:iCs/>
          <w:color w:val="000000" w:themeColor="text1"/>
          <w:sz w:val="26"/>
          <w:szCs w:val="26"/>
        </w:rPr>
        <w:t>Emergency Proclamation</w:t>
      </w:r>
      <w:r w:rsidR="00F71C30">
        <w:rPr>
          <w:color w:val="000000" w:themeColor="text1"/>
          <w:sz w:val="26"/>
          <w:szCs w:val="26"/>
        </w:rPr>
        <w:t>.</w:t>
      </w:r>
    </w:p>
    <w:p w14:paraId="6B8FBC42" w14:textId="043616DB" w:rsidR="00726F7E" w:rsidRDefault="00726F7E" w:rsidP="00123B63">
      <w:pPr>
        <w:keepNext/>
        <w:keepLines/>
        <w:spacing w:line="360" w:lineRule="auto"/>
        <w:rPr>
          <w:color w:val="000000" w:themeColor="text1"/>
          <w:sz w:val="26"/>
          <w:szCs w:val="26"/>
        </w:rPr>
      </w:pPr>
    </w:p>
    <w:p w14:paraId="2A17922C" w14:textId="4C3D5D30" w:rsidR="00726F7E" w:rsidRDefault="00726F7E" w:rsidP="00123B63">
      <w:pPr>
        <w:keepNext/>
        <w:keepLines/>
        <w:spacing w:line="360" w:lineRule="auto"/>
        <w:rPr>
          <w:color w:val="000000" w:themeColor="text1"/>
          <w:sz w:val="26"/>
          <w:szCs w:val="26"/>
        </w:rPr>
      </w:pPr>
      <w:r>
        <w:rPr>
          <w:color w:val="000000" w:themeColor="text1"/>
          <w:sz w:val="26"/>
          <w:szCs w:val="26"/>
        </w:rPr>
        <w:tab/>
        <w:t>For the reasons explained below, IECPA has failed to meet i</w:t>
      </w:r>
      <w:r w:rsidR="00FA317D">
        <w:rPr>
          <w:color w:val="000000" w:themeColor="text1"/>
          <w:sz w:val="26"/>
          <w:szCs w:val="26"/>
        </w:rPr>
        <w:t>t</w:t>
      </w:r>
      <w:r>
        <w:rPr>
          <w:color w:val="000000" w:themeColor="text1"/>
          <w:sz w:val="26"/>
          <w:szCs w:val="26"/>
        </w:rPr>
        <w:t xml:space="preserve">s burden to show that Phase III should be extended by 270 days and that Phase IV should be suspended by 270 days. </w:t>
      </w:r>
    </w:p>
    <w:p w14:paraId="30581C31" w14:textId="77777777" w:rsidR="00CC72F8" w:rsidRPr="00CC72F8" w:rsidRDefault="00CC72F8" w:rsidP="00CC72F8">
      <w:pPr>
        <w:keepNext/>
        <w:keepLines/>
        <w:rPr>
          <w:b/>
          <w:bCs/>
          <w:sz w:val="26"/>
          <w:szCs w:val="26"/>
        </w:rPr>
      </w:pPr>
    </w:p>
    <w:p w14:paraId="01E5E25A" w14:textId="4838E974" w:rsidR="003D3064" w:rsidRPr="00891D09" w:rsidRDefault="00AC1204" w:rsidP="003D3064">
      <w:pPr>
        <w:pStyle w:val="ListParagraph"/>
        <w:keepNext/>
        <w:keepLines/>
        <w:numPr>
          <w:ilvl w:val="0"/>
          <w:numId w:val="4"/>
        </w:numPr>
        <w:rPr>
          <w:b/>
          <w:bCs/>
          <w:sz w:val="26"/>
          <w:szCs w:val="26"/>
        </w:rPr>
      </w:pPr>
      <w:r>
        <w:rPr>
          <w:b/>
          <w:bCs/>
          <w:sz w:val="26"/>
          <w:szCs w:val="26"/>
        </w:rPr>
        <w:t xml:space="preserve">The </w:t>
      </w:r>
      <w:r w:rsidR="00393C28" w:rsidRPr="00AC1204">
        <w:rPr>
          <w:b/>
          <w:bCs/>
          <w:i/>
          <w:iCs/>
          <w:sz w:val="26"/>
          <w:szCs w:val="26"/>
        </w:rPr>
        <w:t>Phase IV Implementation Order</w:t>
      </w:r>
      <w:r w:rsidR="00393C28" w:rsidRPr="00891D09">
        <w:rPr>
          <w:b/>
          <w:bCs/>
          <w:sz w:val="26"/>
          <w:szCs w:val="26"/>
        </w:rPr>
        <w:t xml:space="preserve"> A</w:t>
      </w:r>
      <w:r>
        <w:rPr>
          <w:b/>
          <w:bCs/>
          <w:sz w:val="26"/>
          <w:szCs w:val="26"/>
        </w:rPr>
        <w:t>lready A</w:t>
      </w:r>
      <w:r w:rsidR="00393C28" w:rsidRPr="00891D09">
        <w:rPr>
          <w:b/>
          <w:bCs/>
          <w:sz w:val="26"/>
          <w:szCs w:val="26"/>
        </w:rPr>
        <w:t>ddresses COVID</w:t>
      </w:r>
      <w:r w:rsidR="006B7B8A">
        <w:rPr>
          <w:b/>
          <w:bCs/>
          <w:sz w:val="26"/>
          <w:szCs w:val="26"/>
        </w:rPr>
        <w:t>-19</w:t>
      </w:r>
      <w:r>
        <w:rPr>
          <w:b/>
          <w:bCs/>
          <w:sz w:val="26"/>
          <w:szCs w:val="26"/>
        </w:rPr>
        <w:t xml:space="preserve"> Issues</w:t>
      </w:r>
    </w:p>
    <w:p w14:paraId="5924E7EC" w14:textId="044E8615" w:rsidR="00BA162D" w:rsidRPr="00E55875" w:rsidRDefault="003D3064" w:rsidP="00E55875">
      <w:pPr>
        <w:overflowPunct/>
        <w:autoSpaceDE/>
        <w:spacing w:line="360" w:lineRule="auto"/>
        <w:ind w:firstLine="720"/>
        <w:textAlignment w:val="auto"/>
        <w:rPr>
          <w:sz w:val="26"/>
          <w:szCs w:val="26"/>
        </w:rPr>
      </w:pPr>
      <w:r>
        <w:rPr>
          <w:b/>
          <w:bCs/>
          <w:color w:val="FF0000"/>
          <w:sz w:val="26"/>
          <w:szCs w:val="26"/>
        </w:rPr>
        <w:br/>
      </w:r>
      <w:r>
        <w:rPr>
          <w:sz w:val="26"/>
          <w:szCs w:val="26"/>
        </w:rPr>
        <w:tab/>
        <w:t xml:space="preserve">We note that IECPA filed comments to the </w:t>
      </w:r>
      <w:r w:rsidRPr="005846D4">
        <w:rPr>
          <w:i/>
          <w:iCs/>
          <w:sz w:val="26"/>
          <w:szCs w:val="26"/>
        </w:rPr>
        <w:t>Phase IV</w:t>
      </w:r>
      <w:r w:rsidR="005846D4" w:rsidRPr="005846D4">
        <w:rPr>
          <w:i/>
          <w:iCs/>
          <w:sz w:val="26"/>
          <w:szCs w:val="26"/>
        </w:rPr>
        <w:t xml:space="preserve"> Tentative</w:t>
      </w:r>
      <w:r w:rsidRPr="005846D4">
        <w:rPr>
          <w:i/>
          <w:iCs/>
          <w:sz w:val="26"/>
          <w:szCs w:val="26"/>
        </w:rPr>
        <w:t xml:space="preserve"> Implementation </w:t>
      </w:r>
      <w:r w:rsidR="005846D4" w:rsidRPr="005846D4">
        <w:rPr>
          <w:i/>
          <w:iCs/>
          <w:sz w:val="26"/>
          <w:szCs w:val="26"/>
        </w:rPr>
        <w:t>Order</w:t>
      </w:r>
      <w:r w:rsidR="005846D4">
        <w:rPr>
          <w:sz w:val="26"/>
          <w:szCs w:val="26"/>
        </w:rPr>
        <w:t xml:space="preserve"> </w:t>
      </w:r>
      <w:r>
        <w:rPr>
          <w:sz w:val="26"/>
          <w:szCs w:val="26"/>
        </w:rPr>
        <w:t>at Docket No. M</w:t>
      </w:r>
      <w:r w:rsidRPr="00B1000E">
        <w:rPr>
          <w:sz w:val="26"/>
          <w:szCs w:val="26"/>
        </w:rPr>
        <w:t>-2020-3015228</w:t>
      </w:r>
      <w:r>
        <w:rPr>
          <w:sz w:val="26"/>
          <w:szCs w:val="26"/>
        </w:rPr>
        <w:t xml:space="preserve"> (IECPA Phase IV Comments), which incorporated the instant Petition by reference.  IECPA’s comments, </w:t>
      </w:r>
      <w:r w:rsidR="000F5A6E">
        <w:rPr>
          <w:sz w:val="26"/>
          <w:szCs w:val="26"/>
        </w:rPr>
        <w:t>much like</w:t>
      </w:r>
      <w:r>
        <w:rPr>
          <w:sz w:val="26"/>
          <w:szCs w:val="26"/>
        </w:rPr>
        <w:t xml:space="preserve"> the instant Petition, recommended that the implementation of Phase IV be suspended by 270 days </w:t>
      </w:r>
      <w:r w:rsidRPr="00793BA5">
        <w:rPr>
          <w:sz w:val="26"/>
          <w:szCs w:val="26"/>
        </w:rPr>
        <w:t xml:space="preserve">to permit </w:t>
      </w:r>
      <w:r>
        <w:rPr>
          <w:sz w:val="26"/>
          <w:szCs w:val="26"/>
        </w:rPr>
        <w:t>EDCs’,</w:t>
      </w:r>
      <w:r w:rsidRPr="00793BA5">
        <w:rPr>
          <w:sz w:val="26"/>
          <w:szCs w:val="26"/>
        </w:rPr>
        <w:t xml:space="preserve"> their customers, and the Pennsylvania public to begin meaningful recovery from the current pandemic, as much as is possible, before additional </w:t>
      </w:r>
      <w:r w:rsidRPr="00793BA5">
        <w:rPr>
          <w:sz w:val="26"/>
          <w:szCs w:val="26"/>
        </w:rPr>
        <w:lastRenderedPageBreak/>
        <w:t>EE&amp;C</w:t>
      </w:r>
      <w:r w:rsidR="00ED217A">
        <w:rPr>
          <w:sz w:val="26"/>
          <w:szCs w:val="26"/>
        </w:rPr>
        <w:noBreakHyphen/>
      </w:r>
      <w:r w:rsidRPr="00793BA5">
        <w:rPr>
          <w:sz w:val="26"/>
          <w:szCs w:val="26"/>
        </w:rPr>
        <w:t>related programs and expenditures are put in place</w:t>
      </w:r>
      <w:r>
        <w:rPr>
          <w:sz w:val="26"/>
          <w:szCs w:val="26"/>
        </w:rPr>
        <w:t xml:space="preserve">.  IECPA </w:t>
      </w:r>
      <w:r w:rsidRPr="00BB3AB5">
        <w:rPr>
          <w:sz w:val="26"/>
          <w:szCs w:val="26"/>
        </w:rPr>
        <w:t>Phase IV</w:t>
      </w:r>
      <w:r w:rsidRPr="00CD31F2">
        <w:rPr>
          <w:i/>
          <w:iCs/>
          <w:sz w:val="26"/>
          <w:szCs w:val="26"/>
        </w:rPr>
        <w:t xml:space="preserve"> </w:t>
      </w:r>
      <w:r>
        <w:rPr>
          <w:sz w:val="26"/>
          <w:szCs w:val="26"/>
        </w:rPr>
        <w:t xml:space="preserve">Comments at 2.  </w:t>
      </w:r>
      <w:r w:rsidR="00FA5364">
        <w:rPr>
          <w:sz w:val="26"/>
          <w:szCs w:val="26"/>
        </w:rPr>
        <w:br/>
      </w:r>
      <w:r>
        <w:rPr>
          <w:sz w:val="26"/>
          <w:szCs w:val="26"/>
        </w:rPr>
        <w:br/>
      </w:r>
      <w:r>
        <w:rPr>
          <w:sz w:val="26"/>
          <w:szCs w:val="26"/>
        </w:rPr>
        <w:tab/>
        <w:t>Upon review, w</w:t>
      </w:r>
      <w:r w:rsidRPr="00F430F9">
        <w:rPr>
          <w:sz w:val="26"/>
          <w:szCs w:val="26"/>
        </w:rPr>
        <w:t xml:space="preserve">e </w:t>
      </w:r>
      <w:r>
        <w:rPr>
          <w:sz w:val="26"/>
          <w:szCs w:val="26"/>
        </w:rPr>
        <w:t>determined that</w:t>
      </w:r>
      <w:r w:rsidRPr="00F430F9">
        <w:rPr>
          <w:sz w:val="26"/>
          <w:szCs w:val="26"/>
        </w:rPr>
        <w:t xml:space="preserve"> IECPA’s and others’ comments regarding potential future impacts of COVID-19 a</w:t>
      </w:r>
      <w:r w:rsidR="00A47F43">
        <w:rPr>
          <w:sz w:val="26"/>
          <w:szCs w:val="26"/>
        </w:rPr>
        <w:t xml:space="preserve">s grounds </w:t>
      </w:r>
      <w:r w:rsidR="00161ED2">
        <w:rPr>
          <w:sz w:val="26"/>
          <w:szCs w:val="26"/>
        </w:rPr>
        <w:t>for modifying or delaying Phase IV</w:t>
      </w:r>
      <w:r w:rsidR="005945D1">
        <w:rPr>
          <w:sz w:val="26"/>
          <w:szCs w:val="26"/>
        </w:rPr>
        <w:t xml:space="preserve"> implementation</w:t>
      </w:r>
      <w:r w:rsidRPr="00F430F9">
        <w:rPr>
          <w:sz w:val="26"/>
          <w:szCs w:val="26"/>
        </w:rPr>
        <w:t xml:space="preserve"> </w:t>
      </w:r>
      <w:r w:rsidR="00355D83">
        <w:rPr>
          <w:sz w:val="26"/>
          <w:szCs w:val="26"/>
        </w:rPr>
        <w:t>were</w:t>
      </w:r>
      <w:r>
        <w:rPr>
          <w:sz w:val="26"/>
          <w:szCs w:val="26"/>
        </w:rPr>
        <w:t xml:space="preserve"> </w:t>
      </w:r>
      <w:r w:rsidRPr="00F430F9">
        <w:rPr>
          <w:sz w:val="26"/>
          <w:szCs w:val="26"/>
        </w:rPr>
        <w:t xml:space="preserve">speculative and premature. </w:t>
      </w:r>
      <w:r w:rsidR="000150E2">
        <w:rPr>
          <w:sz w:val="26"/>
          <w:szCs w:val="26"/>
        </w:rPr>
        <w:t xml:space="preserve"> </w:t>
      </w:r>
    </w:p>
    <w:p w14:paraId="7750F00E" w14:textId="77777777" w:rsidR="005846D4" w:rsidRDefault="005846D4" w:rsidP="00BA162D">
      <w:pPr>
        <w:overflowPunct/>
        <w:autoSpaceDE/>
        <w:spacing w:line="360" w:lineRule="auto"/>
        <w:contextualSpacing/>
        <w:textAlignment w:val="auto"/>
        <w:rPr>
          <w:sz w:val="26"/>
          <w:szCs w:val="26"/>
        </w:rPr>
      </w:pPr>
    </w:p>
    <w:p w14:paraId="06BA2A16" w14:textId="4E87F9CB" w:rsidR="009400A5" w:rsidRDefault="009400A5" w:rsidP="00CB4B6A">
      <w:pPr>
        <w:overflowPunct/>
        <w:autoSpaceDE/>
        <w:ind w:left="720" w:right="720"/>
        <w:jc w:val="both"/>
        <w:textAlignment w:val="auto"/>
        <w:rPr>
          <w:sz w:val="26"/>
          <w:szCs w:val="26"/>
        </w:rPr>
      </w:pPr>
      <w:r w:rsidRPr="009400A5">
        <w:rPr>
          <w:sz w:val="26"/>
          <w:szCs w:val="26"/>
        </w:rPr>
        <w:t>IECPA’s comments and those made by other stakeholders regarding potential future impacts of COVID-19 and suspending the Phase IV planning process as premature, noting that there is significant uncertainty regarding the length of time in which COVID-19 will continue to impact EDCs’ programs and the wider economy.  This uncertainty, paired with the Phase IV start date, which is still over a year away, supports the Commission’s finding that now is not the appropriate time to engage in speculative estimates of future COVID-19 impacts on Phase IV of Act 129.  We maintain our position that this timeline balances the needs of all stakeholders; therefore, the Commission directs staff to proceed as outlined above.</w:t>
      </w:r>
    </w:p>
    <w:p w14:paraId="3F2BD786" w14:textId="77777777" w:rsidR="009400A5" w:rsidRDefault="009400A5" w:rsidP="00AA3DE9">
      <w:pPr>
        <w:overflowPunct/>
        <w:autoSpaceDE/>
        <w:spacing w:line="360" w:lineRule="auto"/>
        <w:textAlignment w:val="auto"/>
        <w:rPr>
          <w:sz w:val="26"/>
          <w:szCs w:val="26"/>
        </w:rPr>
      </w:pPr>
    </w:p>
    <w:p w14:paraId="04C51811" w14:textId="66638545" w:rsidR="003D3064" w:rsidRDefault="009400A5" w:rsidP="007F6843">
      <w:pPr>
        <w:overflowPunct/>
        <w:autoSpaceDE/>
        <w:spacing w:line="360" w:lineRule="auto"/>
        <w:textAlignment w:val="auto"/>
        <w:rPr>
          <w:sz w:val="26"/>
          <w:szCs w:val="26"/>
        </w:rPr>
      </w:pPr>
      <w:r w:rsidRPr="00602654">
        <w:rPr>
          <w:i/>
          <w:iCs/>
          <w:sz w:val="26"/>
          <w:szCs w:val="26"/>
        </w:rPr>
        <w:t>Phase IV Implementation Order</w:t>
      </w:r>
      <w:r>
        <w:rPr>
          <w:sz w:val="26"/>
          <w:szCs w:val="26"/>
        </w:rPr>
        <w:t xml:space="preserve"> at </w:t>
      </w:r>
      <w:r w:rsidR="00BA162D">
        <w:rPr>
          <w:sz w:val="26"/>
          <w:szCs w:val="26"/>
        </w:rPr>
        <w:t>91.</w:t>
      </w:r>
    </w:p>
    <w:p w14:paraId="08321E7A" w14:textId="4381C92B" w:rsidR="008F3A90" w:rsidRDefault="008F3A90" w:rsidP="007F6843">
      <w:pPr>
        <w:overflowPunct/>
        <w:autoSpaceDE/>
        <w:spacing w:line="360" w:lineRule="auto"/>
        <w:textAlignment w:val="auto"/>
        <w:rPr>
          <w:sz w:val="26"/>
          <w:szCs w:val="26"/>
        </w:rPr>
      </w:pPr>
      <w:r>
        <w:rPr>
          <w:sz w:val="26"/>
          <w:szCs w:val="26"/>
        </w:rPr>
        <w:tab/>
      </w:r>
    </w:p>
    <w:p w14:paraId="49EAE2AE" w14:textId="27430776" w:rsidR="0046583A" w:rsidRPr="0046583A" w:rsidRDefault="00984C98" w:rsidP="0046583A">
      <w:pPr>
        <w:spacing w:line="360" w:lineRule="auto"/>
        <w:ind w:firstLine="720"/>
        <w:rPr>
          <w:sz w:val="26"/>
          <w:szCs w:val="26"/>
        </w:rPr>
      </w:pPr>
      <w:r>
        <w:rPr>
          <w:sz w:val="26"/>
          <w:szCs w:val="26"/>
        </w:rPr>
        <w:t xml:space="preserve">The </w:t>
      </w:r>
      <w:r w:rsidR="0046774B">
        <w:rPr>
          <w:sz w:val="26"/>
          <w:szCs w:val="26"/>
        </w:rPr>
        <w:t>COVID-19 pandemic situation in Pennsylvania has changed significantly s</w:t>
      </w:r>
      <w:r w:rsidR="005E1918">
        <w:rPr>
          <w:sz w:val="26"/>
          <w:szCs w:val="26"/>
        </w:rPr>
        <w:t>ince we considered and disposed of IEPCA’s</w:t>
      </w:r>
      <w:r w:rsidR="0092482D">
        <w:rPr>
          <w:sz w:val="26"/>
          <w:szCs w:val="26"/>
        </w:rPr>
        <w:t xml:space="preserve"> Phase IV commen</w:t>
      </w:r>
      <w:r w:rsidR="005E1918">
        <w:rPr>
          <w:sz w:val="26"/>
          <w:szCs w:val="26"/>
        </w:rPr>
        <w:t xml:space="preserve">ts in our </w:t>
      </w:r>
      <w:r w:rsidR="005E1918" w:rsidRPr="0092482D">
        <w:rPr>
          <w:i/>
          <w:iCs/>
          <w:sz w:val="26"/>
          <w:szCs w:val="26"/>
        </w:rPr>
        <w:t>Phase IV Implementation Order</w:t>
      </w:r>
      <w:r>
        <w:rPr>
          <w:sz w:val="26"/>
          <w:szCs w:val="26"/>
        </w:rPr>
        <w:t>.</w:t>
      </w:r>
      <w:r w:rsidR="005E1918">
        <w:rPr>
          <w:sz w:val="26"/>
          <w:szCs w:val="26"/>
        </w:rPr>
        <w:t xml:space="preserve"> </w:t>
      </w:r>
      <w:r w:rsidR="0046583A" w:rsidRPr="0046583A">
        <w:rPr>
          <w:sz w:val="26"/>
          <w:szCs w:val="26"/>
        </w:rPr>
        <w:t xml:space="preserve"> </w:t>
      </w:r>
      <w:r w:rsidR="00977006">
        <w:rPr>
          <w:sz w:val="26"/>
          <w:szCs w:val="26"/>
        </w:rPr>
        <w:t xml:space="preserve"> </w:t>
      </w:r>
      <w:r w:rsidR="008E04B7" w:rsidRPr="005F5043" w:rsidDel="002A0523">
        <w:rPr>
          <w:sz w:val="26"/>
          <w:szCs w:val="26"/>
        </w:rPr>
        <w:t>Pursuant to Section 5.408 of our regulations, we take official notice of the fact that</w:t>
      </w:r>
      <w:r w:rsidR="00CB6E6D">
        <w:rPr>
          <w:sz w:val="26"/>
          <w:szCs w:val="26"/>
        </w:rPr>
        <w:t xml:space="preserve"> Governor Wolf lifted the statewide stay-at-home </w:t>
      </w:r>
      <w:r w:rsidR="00C35AE2">
        <w:rPr>
          <w:sz w:val="26"/>
          <w:szCs w:val="26"/>
        </w:rPr>
        <w:t>requirements on May 8, 2020.</w:t>
      </w:r>
      <w:r w:rsidR="00C35AE2">
        <w:rPr>
          <w:rStyle w:val="FootnoteReference"/>
          <w:sz w:val="26"/>
          <w:szCs w:val="26"/>
        </w:rPr>
        <w:footnoteReference w:id="8"/>
      </w:r>
      <w:r w:rsidR="00C35AE2">
        <w:rPr>
          <w:sz w:val="26"/>
          <w:szCs w:val="26"/>
        </w:rPr>
        <w:t xml:space="preserve"> </w:t>
      </w:r>
      <w:r w:rsidR="008E04B7" w:rsidRPr="005F5043" w:rsidDel="002A0523">
        <w:rPr>
          <w:sz w:val="26"/>
          <w:szCs w:val="26"/>
        </w:rPr>
        <w:t xml:space="preserve"> </w:t>
      </w:r>
      <w:r w:rsidR="00F9051C" w:rsidRPr="005F5043" w:rsidDel="002A0523">
        <w:rPr>
          <w:i/>
          <w:iCs/>
          <w:sz w:val="26"/>
          <w:szCs w:val="26"/>
        </w:rPr>
        <w:t xml:space="preserve">See </w:t>
      </w:r>
      <w:r w:rsidR="00F9051C" w:rsidRPr="005F5043" w:rsidDel="002A0523">
        <w:rPr>
          <w:sz w:val="26"/>
          <w:szCs w:val="26"/>
        </w:rPr>
        <w:t xml:space="preserve">52 Pa. Code § 5.408 and 66 Pa. C.S. § 331(g). </w:t>
      </w:r>
      <w:r w:rsidR="00F9051C" w:rsidRPr="00CB26D8" w:rsidDel="002A0523">
        <w:rPr>
          <w:color w:val="FF0000"/>
          <w:sz w:val="26"/>
          <w:szCs w:val="26"/>
        </w:rPr>
        <w:t xml:space="preserve"> </w:t>
      </w:r>
      <w:r w:rsidR="00474E7C">
        <w:rPr>
          <w:sz w:val="26"/>
          <w:szCs w:val="26"/>
        </w:rPr>
        <w:t xml:space="preserve">Further, as of July 3, 2020, </w:t>
      </w:r>
      <w:r w:rsidR="008E04B7" w:rsidRPr="005F5043" w:rsidDel="002A0523">
        <w:rPr>
          <w:sz w:val="26"/>
          <w:szCs w:val="26"/>
        </w:rPr>
        <w:t>all counties in the Commonwealth have been operating in the “</w:t>
      </w:r>
      <w:r w:rsidR="008E04B7" w:rsidDel="002A0523">
        <w:rPr>
          <w:sz w:val="26"/>
          <w:szCs w:val="26"/>
        </w:rPr>
        <w:t>G</w:t>
      </w:r>
      <w:r w:rsidR="008E04B7" w:rsidRPr="005F5043" w:rsidDel="002A0523">
        <w:rPr>
          <w:sz w:val="26"/>
          <w:szCs w:val="26"/>
        </w:rPr>
        <w:t xml:space="preserve">reen </w:t>
      </w:r>
      <w:r w:rsidR="008E04B7" w:rsidDel="002A0523">
        <w:rPr>
          <w:sz w:val="26"/>
          <w:szCs w:val="26"/>
        </w:rPr>
        <w:t>P</w:t>
      </w:r>
      <w:r w:rsidR="008E04B7" w:rsidRPr="005F5043" w:rsidDel="002A0523">
        <w:rPr>
          <w:sz w:val="26"/>
          <w:szCs w:val="26"/>
        </w:rPr>
        <w:t>hase</w:t>
      </w:r>
      <w:r w:rsidR="00CB6E6D">
        <w:rPr>
          <w:sz w:val="26"/>
          <w:szCs w:val="26"/>
        </w:rPr>
        <w:t>.”</w:t>
      </w:r>
      <w:r w:rsidR="001D0CBE">
        <w:rPr>
          <w:rStyle w:val="FootnoteReference"/>
          <w:sz w:val="26"/>
          <w:szCs w:val="26"/>
        </w:rPr>
        <w:footnoteReference w:id="9"/>
      </w:r>
      <w:r w:rsidR="008E04B7" w:rsidRPr="005F5043" w:rsidDel="002A0523">
        <w:rPr>
          <w:sz w:val="26"/>
          <w:szCs w:val="26"/>
        </w:rPr>
        <w:t xml:space="preserve">  </w:t>
      </w:r>
      <w:r w:rsidR="008E04B7" w:rsidRPr="004909F4" w:rsidDel="002A0523">
        <w:rPr>
          <w:sz w:val="26"/>
          <w:szCs w:val="26"/>
        </w:rPr>
        <w:lastRenderedPageBreak/>
        <w:t>Under the Green Phase, all businesses</w:t>
      </w:r>
      <w:r w:rsidR="008E04B7" w:rsidDel="002A0523">
        <w:rPr>
          <w:sz w:val="26"/>
          <w:szCs w:val="26"/>
        </w:rPr>
        <w:t xml:space="preserve"> in the Commonwealth</w:t>
      </w:r>
      <w:r w:rsidR="008E04B7" w:rsidRPr="004909F4" w:rsidDel="002A0523">
        <w:rPr>
          <w:sz w:val="26"/>
          <w:szCs w:val="26"/>
        </w:rPr>
        <w:t xml:space="preserve"> may operate, subject to applicable safety requirements</w:t>
      </w:r>
      <w:r w:rsidR="008E04B7" w:rsidDel="002A0523">
        <w:rPr>
          <w:sz w:val="26"/>
          <w:szCs w:val="26"/>
        </w:rPr>
        <w:t xml:space="preserve"> and restrictions to mitigate against the spread of COVID-19.</w:t>
      </w:r>
      <w:r w:rsidR="00976B60" w:rsidRPr="0046583A">
        <w:rPr>
          <w:bCs/>
          <w:sz w:val="26"/>
          <w:szCs w:val="26"/>
          <w:vertAlign w:val="superscript"/>
        </w:rPr>
        <w:footnoteReference w:id="10"/>
      </w:r>
      <w:r w:rsidR="00976B60" w:rsidRPr="0046583A">
        <w:rPr>
          <w:bCs/>
          <w:sz w:val="26"/>
          <w:szCs w:val="26"/>
        </w:rPr>
        <w:t xml:space="preserve"> </w:t>
      </w:r>
      <w:r w:rsidR="008E04B7" w:rsidDel="002A0523">
        <w:rPr>
          <w:sz w:val="26"/>
          <w:szCs w:val="26"/>
        </w:rPr>
        <w:t xml:space="preserve"> </w:t>
      </w:r>
      <w:r w:rsidR="00B748A3">
        <w:rPr>
          <w:bCs/>
          <w:sz w:val="26"/>
          <w:szCs w:val="26"/>
        </w:rPr>
        <w:t>A</w:t>
      </w:r>
      <w:r w:rsidR="001F0ED0" w:rsidRPr="001F0ED0">
        <w:rPr>
          <w:bCs/>
          <w:sz w:val="26"/>
          <w:szCs w:val="26"/>
        </w:rPr>
        <w:t xml:space="preserve">lthough the </w:t>
      </w:r>
      <w:r w:rsidR="007D73EE">
        <w:rPr>
          <w:bCs/>
          <w:sz w:val="26"/>
          <w:szCs w:val="26"/>
        </w:rPr>
        <w:t>G</w:t>
      </w:r>
      <w:r w:rsidR="001F0ED0" w:rsidRPr="001F0ED0">
        <w:rPr>
          <w:bCs/>
          <w:sz w:val="26"/>
          <w:szCs w:val="26"/>
        </w:rPr>
        <w:t xml:space="preserve">reen </w:t>
      </w:r>
      <w:r w:rsidR="007D73EE">
        <w:rPr>
          <w:bCs/>
          <w:sz w:val="26"/>
          <w:szCs w:val="26"/>
        </w:rPr>
        <w:t>P</w:t>
      </w:r>
      <w:r w:rsidR="001F0ED0" w:rsidRPr="001F0ED0">
        <w:rPr>
          <w:bCs/>
          <w:sz w:val="26"/>
          <w:szCs w:val="26"/>
        </w:rPr>
        <w:t>hase</w:t>
      </w:r>
      <w:r w:rsidR="006726AE">
        <w:rPr>
          <w:bCs/>
          <w:sz w:val="26"/>
          <w:szCs w:val="26"/>
        </w:rPr>
        <w:t xml:space="preserve"> </w:t>
      </w:r>
      <w:r w:rsidR="001F0ED0" w:rsidRPr="001F0ED0">
        <w:rPr>
          <w:bCs/>
          <w:sz w:val="26"/>
          <w:szCs w:val="26"/>
        </w:rPr>
        <w:t>allow</w:t>
      </w:r>
      <w:r w:rsidR="006726AE">
        <w:rPr>
          <w:bCs/>
          <w:sz w:val="26"/>
          <w:szCs w:val="26"/>
        </w:rPr>
        <w:t>s</w:t>
      </w:r>
      <w:r w:rsidR="001F0ED0" w:rsidRPr="001F0ED0">
        <w:rPr>
          <w:bCs/>
          <w:sz w:val="26"/>
          <w:szCs w:val="26"/>
        </w:rPr>
        <w:t xml:space="preserve"> for the resumption of certain activities, a number of restrictions remain in place pursuant to the directives of the Governor and the Pennsylvania Secretary of Health.</w:t>
      </w:r>
      <w:r w:rsidR="001F0ED0" w:rsidRPr="001F0ED0">
        <w:rPr>
          <w:bCs/>
          <w:sz w:val="26"/>
          <w:szCs w:val="26"/>
          <w:vertAlign w:val="superscript"/>
        </w:rPr>
        <w:footnoteReference w:id="11"/>
      </w:r>
      <w:r w:rsidR="001F0ED0" w:rsidRPr="001F0ED0">
        <w:rPr>
          <w:bCs/>
          <w:sz w:val="26"/>
          <w:szCs w:val="26"/>
        </w:rPr>
        <w:t xml:space="preserve">  In the </w:t>
      </w:r>
      <w:r w:rsidR="007D73EE">
        <w:rPr>
          <w:bCs/>
          <w:sz w:val="26"/>
          <w:szCs w:val="26"/>
        </w:rPr>
        <w:t>G</w:t>
      </w:r>
      <w:r w:rsidR="001F0ED0" w:rsidRPr="001F0ED0">
        <w:rPr>
          <w:bCs/>
          <w:sz w:val="26"/>
          <w:szCs w:val="26"/>
        </w:rPr>
        <w:t xml:space="preserve">reen </w:t>
      </w:r>
      <w:r w:rsidR="007D73EE">
        <w:rPr>
          <w:bCs/>
          <w:sz w:val="26"/>
          <w:szCs w:val="26"/>
        </w:rPr>
        <w:t>P</w:t>
      </w:r>
      <w:r w:rsidR="001F0ED0" w:rsidRPr="001F0ED0">
        <w:rPr>
          <w:bCs/>
          <w:sz w:val="26"/>
          <w:szCs w:val="26"/>
        </w:rPr>
        <w:t xml:space="preserve">hase, for example, continued telework is strongly encouraged, businesses with in-person operations must operate at a reduced capacity, masks are required in most settings, large gatherings are prohibited, and social distancing is required.  </w:t>
      </w:r>
      <w:r w:rsidR="001F0ED0" w:rsidRPr="001F0ED0">
        <w:rPr>
          <w:bCs/>
          <w:i/>
          <w:sz w:val="26"/>
          <w:szCs w:val="26"/>
        </w:rPr>
        <w:t>See sup</w:t>
      </w:r>
      <w:r w:rsidR="00D854AF">
        <w:rPr>
          <w:bCs/>
          <w:i/>
          <w:sz w:val="26"/>
          <w:szCs w:val="26"/>
        </w:rPr>
        <w:t>r</w:t>
      </w:r>
      <w:r w:rsidR="001F0ED0" w:rsidRPr="001F0ED0">
        <w:rPr>
          <w:bCs/>
          <w:i/>
          <w:sz w:val="26"/>
          <w:szCs w:val="26"/>
        </w:rPr>
        <w:t>a</w:t>
      </w:r>
      <w:r w:rsidR="001F0ED0" w:rsidRPr="001F0ED0">
        <w:rPr>
          <w:bCs/>
          <w:sz w:val="26"/>
          <w:szCs w:val="26"/>
        </w:rPr>
        <w:t xml:space="preserve">, n. </w:t>
      </w:r>
      <w:r w:rsidR="001F0ED0">
        <w:rPr>
          <w:bCs/>
          <w:sz w:val="26"/>
          <w:szCs w:val="26"/>
        </w:rPr>
        <w:t>8</w:t>
      </w:r>
      <w:r w:rsidR="001F0ED0" w:rsidRPr="001F0ED0">
        <w:rPr>
          <w:bCs/>
          <w:sz w:val="26"/>
          <w:szCs w:val="26"/>
        </w:rPr>
        <w:t xml:space="preserve">.  </w:t>
      </w:r>
    </w:p>
    <w:p w14:paraId="5306F72A" w14:textId="77777777" w:rsidR="0046583A" w:rsidRPr="0046583A" w:rsidRDefault="0046583A" w:rsidP="0046583A">
      <w:pPr>
        <w:suppressAutoHyphens w:val="0"/>
        <w:adjustRightInd w:val="0"/>
        <w:spacing w:line="360" w:lineRule="auto"/>
        <w:ind w:firstLine="720"/>
        <w:textAlignment w:val="auto"/>
        <w:rPr>
          <w:sz w:val="26"/>
          <w:szCs w:val="26"/>
        </w:rPr>
      </w:pPr>
    </w:p>
    <w:p w14:paraId="77211348" w14:textId="77777777" w:rsidR="00480221" w:rsidRDefault="0046583A" w:rsidP="0046583A">
      <w:pPr>
        <w:suppressAutoHyphens w:val="0"/>
        <w:adjustRightInd w:val="0"/>
        <w:spacing w:line="360" w:lineRule="auto"/>
        <w:ind w:firstLine="720"/>
        <w:textAlignment w:val="auto"/>
        <w:rPr>
          <w:bCs/>
          <w:sz w:val="26"/>
          <w:szCs w:val="26"/>
        </w:rPr>
      </w:pPr>
      <w:r w:rsidRPr="002103B2">
        <w:rPr>
          <w:bCs/>
          <w:sz w:val="26"/>
          <w:szCs w:val="26"/>
        </w:rPr>
        <w:t>In light of the Commonwealth’s progress in the phased reopening p</w:t>
      </w:r>
      <w:r w:rsidRPr="00F146A7">
        <w:rPr>
          <w:bCs/>
          <w:sz w:val="26"/>
          <w:szCs w:val="26"/>
        </w:rPr>
        <w:t>lan</w:t>
      </w:r>
      <w:r w:rsidR="00811CD8" w:rsidRPr="00FE39FC">
        <w:rPr>
          <w:bCs/>
          <w:sz w:val="26"/>
          <w:szCs w:val="26"/>
        </w:rPr>
        <w:t xml:space="preserve"> since the issuance of </w:t>
      </w:r>
      <w:r w:rsidR="00CA5890" w:rsidRPr="00FE39FC">
        <w:rPr>
          <w:bCs/>
          <w:sz w:val="26"/>
          <w:szCs w:val="26"/>
        </w:rPr>
        <w:t>our</w:t>
      </w:r>
      <w:r w:rsidR="00811CD8" w:rsidRPr="00FE39FC">
        <w:rPr>
          <w:bCs/>
          <w:sz w:val="26"/>
          <w:szCs w:val="26"/>
        </w:rPr>
        <w:t xml:space="preserve"> </w:t>
      </w:r>
      <w:r w:rsidR="00811CD8" w:rsidRPr="00FE39FC">
        <w:rPr>
          <w:bCs/>
          <w:i/>
          <w:iCs/>
          <w:sz w:val="26"/>
          <w:szCs w:val="26"/>
        </w:rPr>
        <w:t>Phase IV Implementation Order</w:t>
      </w:r>
      <w:r w:rsidRPr="002103B2">
        <w:rPr>
          <w:bCs/>
          <w:sz w:val="26"/>
          <w:szCs w:val="26"/>
        </w:rPr>
        <w:t xml:space="preserve">, we </w:t>
      </w:r>
      <w:r w:rsidR="002F3CFB">
        <w:rPr>
          <w:bCs/>
          <w:sz w:val="26"/>
          <w:szCs w:val="26"/>
        </w:rPr>
        <w:t xml:space="preserve">reaffirm that </w:t>
      </w:r>
      <w:r w:rsidR="00BD50B9">
        <w:rPr>
          <w:bCs/>
          <w:sz w:val="26"/>
          <w:szCs w:val="26"/>
        </w:rPr>
        <w:t xml:space="preserve">the relief sought by </w:t>
      </w:r>
    </w:p>
    <w:p w14:paraId="1395B58B" w14:textId="77777777" w:rsidR="00480221" w:rsidRDefault="009D3552" w:rsidP="00480221">
      <w:pPr>
        <w:suppressAutoHyphens w:val="0"/>
        <w:adjustRightInd w:val="0"/>
        <w:spacing w:line="360" w:lineRule="auto"/>
        <w:textAlignment w:val="auto"/>
        <w:rPr>
          <w:bCs/>
          <w:sz w:val="26"/>
          <w:szCs w:val="26"/>
        </w:rPr>
      </w:pPr>
      <w:r w:rsidRPr="00C004C7">
        <w:rPr>
          <w:bCs/>
          <w:sz w:val="26"/>
          <w:szCs w:val="26"/>
        </w:rPr>
        <w:t xml:space="preserve">IECPA </w:t>
      </w:r>
      <w:r w:rsidR="00CE4776" w:rsidRPr="00C004C7">
        <w:rPr>
          <w:bCs/>
          <w:sz w:val="26"/>
          <w:szCs w:val="26"/>
        </w:rPr>
        <w:t xml:space="preserve">is premature and based on speculative assertions.  Therefore, we decline to </w:t>
      </w:r>
    </w:p>
    <w:p w14:paraId="4D44EAD0" w14:textId="66A99A6A" w:rsidR="0046583A" w:rsidRDefault="00CE4776" w:rsidP="00480221">
      <w:pPr>
        <w:suppressAutoHyphens w:val="0"/>
        <w:adjustRightInd w:val="0"/>
        <w:spacing w:line="360" w:lineRule="auto"/>
        <w:textAlignment w:val="auto"/>
        <w:rPr>
          <w:bCs/>
          <w:sz w:val="26"/>
          <w:szCs w:val="26"/>
        </w:rPr>
      </w:pPr>
      <w:r w:rsidRPr="00C004C7">
        <w:rPr>
          <w:bCs/>
          <w:sz w:val="26"/>
          <w:szCs w:val="26"/>
        </w:rPr>
        <w:t>mo</w:t>
      </w:r>
      <w:r w:rsidR="00480221">
        <w:rPr>
          <w:bCs/>
          <w:sz w:val="26"/>
          <w:szCs w:val="26"/>
        </w:rPr>
        <w:t>d</w:t>
      </w:r>
      <w:r w:rsidRPr="00C004C7">
        <w:rPr>
          <w:bCs/>
          <w:sz w:val="26"/>
          <w:szCs w:val="26"/>
        </w:rPr>
        <w:t>ify</w:t>
      </w:r>
      <w:r>
        <w:rPr>
          <w:bCs/>
          <w:sz w:val="26"/>
          <w:szCs w:val="26"/>
        </w:rPr>
        <w:t xml:space="preserve"> the </w:t>
      </w:r>
      <w:r w:rsidRPr="00FE39FC">
        <w:rPr>
          <w:bCs/>
          <w:i/>
          <w:iCs/>
          <w:sz w:val="26"/>
          <w:szCs w:val="26"/>
        </w:rPr>
        <w:t>Phase IV Implementation Order</w:t>
      </w:r>
      <w:r>
        <w:rPr>
          <w:bCs/>
          <w:sz w:val="26"/>
          <w:szCs w:val="26"/>
        </w:rPr>
        <w:t>.</w:t>
      </w:r>
    </w:p>
    <w:p w14:paraId="5A96AD7C" w14:textId="03924618" w:rsidR="008C78A0" w:rsidRDefault="008C78A0" w:rsidP="00D95DBC">
      <w:pPr>
        <w:rPr>
          <w:b/>
          <w:bCs/>
          <w:sz w:val="26"/>
          <w:szCs w:val="26"/>
        </w:rPr>
      </w:pPr>
    </w:p>
    <w:p w14:paraId="1D97BF71" w14:textId="77777777" w:rsidR="00480221" w:rsidRPr="00C7693D" w:rsidRDefault="00480221" w:rsidP="00D95DBC">
      <w:pPr>
        <w:rPr>
          <w:b/>
          <w:bCs/>
          <w:sz w:val="26"/>
          <w:szCs w:val="26"/>
        </w:rPr>
      </w:pPr>
    </w:p>
    <w:p w14:paraId="6F55FFE3" w14:textId="77777777" w:rsidR="00D95DBC" w:rsidRDefault="00667104" w:rsidP="00D95DBC">
      <w:pPr>
        <w:pStyle w:val="ListParagraph"/>
        <w:numPr>
          <w:ilvl w:val="0"/>
          <w:numId w:val="4"/>
        </w:numPr>
        <w:spacing w:line="360" w:lineRule="auto"/>
        <w:ind w:left="0" w:firstLine="360"/>
        <w:rPr>
          <w:b/>
          <w:bCs/>
          <w:i/>
          <w:iCs/>
          <w:sz w:val="26"/>
          <w:szCs w:val="26"/>
        </w:rPr>
      </w:pPr>
      <w:r>
        <w:rPr>
          <w:b/>
          <w:bCs/>
          <w:sz w:val="26"/>
          <w:szCs w:val="26"/>
        </w:rPr>
        <w:t xml:space="preserve">Act 129 </w:t>
      </w:r>
      <w:r w:rsidR="00B55BB6">
        <w:rPr>
          <w:b/>
          <w:bCs/>
          <w:sz w:val="26"/>
          <w:szCs w:val="26"/>
        </w:rPr>
        <w:t xml:space="preserve">Mandates </w:t>
      </w:r>
      <w:r w:rsidR="0007061C">
        <w:rPr>
          <w:b/>
          <w:bCs/>
          <w:sz w:val="26"/>
          <w:szCs w:val="26"/>
        </w:rPr>
        <w:t>Continue</w:t>
      </w:r>
      <w:r w:rsidR="00B55BB6">
        <w:rPr>
          <w:b/>
          <w:bCs/>
          <w:sz w:val="26"/>
          <w:szCs w:val="26"/>
        </w:rPr>
        <w:t>d</w:t>
      </w:r>
      <w:r w:rsidR="0007061C">
        <w:rPr>
          <w:b/>
          <w:bCs/>
          <w:sz w:val="26"/>
          <w:szCs w:val="26"/>
        </w:rPr>
        <w:t xml:space="preserve"> Implementing EE&amp;C Programs</w:t>
      </w:r>
      <w:r w:rsidR="00BA39B2" w:rsidRPr="0051035B">
        <w:rPr>
          <w:b/>
          <w:bCs/>
          <w:sz w:val="26"/>
          <w:szCs w:val="26"/>
        </w:rPr>
        <w:br/>
      </w:r>
      <w:r w:rsidR="002D3235" w:rsidRPr="00477F12">
        <w:rPr>
          <w:sz w:val="26"/>
          <w:szCs w:val="26"/>
        </w:rPr>
        <w:br/>
      </w:r>
      <w:r w:rsidR="008D6D22">
        <w:rPr>
          <w:sz w:val="26"/>
          <w:szCs w:val="26"/>
        </w:rPr>
        <w:tab/>
      </w:r>
      <w:r w:rsidR="00B47D3B">
        <w:rPr>
          <w:sz w:val="26"/>
          <w:szCs w:val="26"/>
        </w:rPr>
        <w:t xml:space="preserve">We now turn our attention to the </w:t>
      </w:r>
      <w:r w:rsidR="008D6D22">
        <w:rPr>
          <w:sz w:val="26"/>
          <w:szCs w:val="26"/>
        </w:rPr>
        <w:t>Industrial Customers</w:t>
      </w:r>
      <w:r w:rsidR="00B47D3B">
        <w:rPr>
          <w:sz w:val="26"/>
          <w:szCs w:val="26"/>
        </w:rPr>
        <w:t>’</w:t>
      </w:r>
      <w:r w:rsidR="008D6D22">
        <w:rPr>
          <w:sz w:val="26"/>
          <w:szCs w:val="26"/>
        </w:rPr>
        <w:t xml:space="preserve"> a</w:t>
      </w:r>
      <w:r w:rsidR="00B47D3B">
        <w:rPr>
          <w:sz w:val="26"/>
          <w:szCs w:val="26"/>
        </w:rPr>
        <w:t xml:space="preserve">rgument </w:t>
      </w:r>
      <w:r w:rsidR="008D6D22">
        <w:rPr>
          <w:sz w:val="26"/>
          <w:szCs w:val="26"/>
        </w:rPr>
        <w:t>that</w:t>
      </w:r>
      <w:r w:rsidR="00B47D3B" w:rsidRPr="00B47D3B">
        <w:rPr>
          <w:sz w:val="26"/>
          <w:szCs w:val="26"/>
        </w:rPr>
        <w:t xml:space="preserve"> Sections 2806.1(c) and (d) </w:t>
      </w:r>
      <w:r w:rsidR="00A650E0">
        <w:rPr>
          <w:sz w:val="26"/>
          <w:szCs w:val="26"/>
        </w:rPr>
        <w:t>of the Code</w:t>
      </w:r>
      <w:r w:rsidR="00B47D3B" w:rsidRPr="00B47D3B">
        <w:rPr>
          <w:sz w:val="26"/>
          <w:szCs w:val="26"/>
        </w:rPr>
        <w:t xml:space="preserve"> </w:t>
      </w:r>
      <w:r w:rsidR="00A4624A" w:rsidRPr="00B47D3B">
        <w:rPr>
          <w:sz w:val="26"/>
          <w:szCs w:val="26"/>
        </w:rPr>
        <w:t xml:space="preserve">do not expressly require </w:t>
      </w:r>
      <w:r w:rsidR="00592BE6">
        <w:rPr>
          <w:sz w:val="26"/>
          <w:szCs w:val="26"/>
        </w:rPr>
        <w:t>further</w:t>
      </w:r>
      <w:r w:rsidR="00B47D3B" w:rsidRPr="00B47D3B">
        <w:rPr>
          <w:sz w:val="26"/>
          <w:szCs w:val="26"/>
        </w:rPr>
        <w:t xml:space="preserve"> reductions in consumption and peak demand</w:t>
      </w:r>
      <w:r w:rsidR="00925336" w:rsidRPr="00E80C87">
        <w:rPr>
          <w:sz w:val="26"/>
          <w:szCs w:val="26"/>
        </w:rPr>
        <w:t xml:space="preserve">, and that the current Phase III reductions are only required by Commission order, not by statute.  The Industrial Customers suggest that, due to a change in circumstances, the Commission </w:t>
      </w:r>
      <w:r w:rsidR="00EB4A83" w:rsidRPr="00E80C87">
        <w:rPr>
          <w:sz w:val="26"/>
          <w:szCs w:val="26"/>
        </w:rPr>
        <w:t>should</w:t>
      </w:r>
      <w:r w:rsidR="00925336" w:rsidRPr="00E80C87">
        <w:rPr>
          <w:sz w:val="26"/>
          <w:szCs w:val="26"/>
        </w:rPr>
        <w:t xml:space="preserve"> amend its </w:t>
      </w:r>
      <w:r w:rsidR="00925336" w:rsidRPr="00E80C87">
        <w:rPr>
          <w:i/>
          <w:iCs/>
          <w:sz w:val="26"/>
          <w:szCs w:val="26"/>
        </w:rPr>
        <w:t>Phase III Final Implementation Order</w:t>
      </w:r>
      <w:r w:rsidR="00925336" w:rsidRPr="00E80C87">
        <w:rPr>
          <w:sz w:val="26"/>
          <w:szCs w:val="26"/>
        </w:rPr>
        <w:t>, under Section 703(g) of the Public Utility Code.  Industrial Customers at 20-21.</w:t>
      </w:r>
      <w:r w:rsidR="00925336" w:rsidRPr="00925336">
        <w:rPr>
          <w:color w:val="4472C4" w:themeColor="accent1"/>
          <w:sz w:val="26"/>
          <w:szCs w:val="26"/>
        </w:rPr>
        <w:br/>
      </w:r>
      <w:r w:rsidR="00EB4A83">
        <w:rPr>
          <w:b/>
          <w:bCs/>
          <w:i/>
          <w:iCs/>
          <w:sz w:val="26"/>
          <w:szCs w:val="26"/>
        </w:rPr>
        <w:br/>
      </w:r>
      <w:r w:rsidR="00EB4A83">
        <w:rPr>
          <w:b/>
          <w:bCs/>
          <w:i/>
          <w:iCs/>
          <w:sz w:val="26"/>
          <w:szCs w:val="26"/>
        </w:rPr>
        <w:tab/>
      </w:r>
    </w:p>
    <w:p w14:paraId="1A738CB9" w14:textId="77777777" w:rsidR="00D95DBC" w:rsidRDefault="00D95DBC">
      <w:pPr>
        <w:suppressAutoHyphens w:val="0"/>
        <w:overflowPunct/>
        <w:autoSpaceDE/>
        <w:rPr>
          <w:b/>
          <w:bCs/>
          <w:i/>
          <w:iCs/>
          <w:sz w:val="26"/>
          <w:szCs w:val="26"/>
        </w:rPr>
      </w:pPr>
      <w:r>
        <w:rPr>
          <w:b/>
          <w:bCs/>
          <w:i/>
          <w:iCs/>
          <w:sz w:val="26"/>
          <w:szCs w:val="26"/>
        </w:rPr>
        <w:br w:type="page"/>
      </w:r>
    </w:p>
    <w:p w14:paraId="741EDE85" w14:textId="51468BF1" w:rsidR="003D3064" w:rsidRPr="00477F12" w:rsidRDefault="004F6688" w:rsidP="00D95DBC">
      <w:pPr>
        <w:pStyle w:val="ListParagraph"/>
        <w:spacing w:line="360" w:lineRule="auto"/>
        <w:ind w:left="360"/>
        <w:rPr>
          <w:b/>
          <w:bCs/>
          <w:i/>
          <w:iCs/>
          <w:sz w:val="26"/>
          <w:szCs w:val="26"/>
        </w:rPr>
      </w:pPr>
      <w:r>
        <w:rPr>
          <w:sz w:val="26"/>
          <w:szCs w:val="26"/>
        </w:rPr>
        <w:lastRenderedPageBreak/>
        <w:t>We disagree.  Similar argument</w:t>
      </w:r>
      <w:r w:rsidR="00B243FB">
        <w:rPr>
          <w:sz w:val="26"/>
          <w:szCs w:val="26"/>
        </w:rPr>
        <w:t>s</w:t>
      </w:r>
      <w:r>
        <w:rPr>
          <w:sz w:val="26"/>
          <w:szCs w:val="26"/>
        </w:rPr>
        <w:t xml:space="preserve"> were raised by FirstEnergy during the Phase III EE&amp;C proceeding.  We addressed</w:t>
      </w:r>
      <w:r w:rsidR="004E0B1A">
        <w:rPr>
          <w:sz w:val="26"/>
          <w:szCs w:val="26"/>
        </w:rPr>
        <w:t xml:space="preserve"> and rejected</w:t>
      </w:r>
      <w:r>
        <w:rPr>
          <w:sz w:val="26"/>
          <w:szCs w:val="26"/>
        </w:rPr>
        <w:t xml:space="preserve"> those arguments in our </w:t>
      </w:r>
      <w:r w:rsidRPr="004F6688">
        <w:rPr>
          <w:i/>
          <w:iCs/>
          <w:sz w:val="26"/>
          <w:szCs w:val="26"/>
        </w:rPr>
        <w:t>Phase III Implementation Order</w:t>
      </w:r>
      <w:r>
        <w:rPr>
          <w:sz w:val="26"/>
          <w:szCs w:val="26"/>
        </w:rPr>
        <w:t>.</w:t>
      </w:r>
    </w:p>
    <w:p w14:paraId="186296D6" w14:textId="77777777" w:rsidR="00136A55" w:rsidRDefault="00136A55" w:rsidP="006E012F">
      <w:pPr>
        <w:spacing w:line="360" w:lineRule="auto"/>
        <w:rPr>
          <w:sz w:val="26"/>
          <w:szCs w:val="26"/>
        </w:rPr>
      </w:pPr>
    </w:p>
    <w:p w14:paraId="29A5A95C" w14:textId="03448DBA" w:rsidR="006E012F" w:rsidRPr="006E012F" w:rsidRDefault="000725B2" w:rsidP="00CB4B6A">
      <w:pPr>
        <w:ind w:left="720" w:right="720"/>
        <w:jc w:val="both"/>
        <w:rPr>
          <w:sz w:val="26"/>
          <w:szCs w:val="26"/>
        </w:rPr>
      </w:pPr>
      <w:r>
        <w:rPr>
          <w:sz w:val="26"/>
          <w:szCs w:val="26"/>
        </w:rPr>
        <w:t>[T]</w:t>
      </w:r>
      <w:r w:rsidR="006E012F" w:rsidRPr="006E012F">
        <w:rPr>
          <w:sz w:val="26"/>
          <w:szCs w:val="26"/>
        </w:rPr>
        <w:t xml:space="preserve">his Commission observes that the Act is clear in providing us with the authority to prescribe additional peak demand reduction requirements, if the peak demand reduction programs are cost-effective.  In fact, we are of the opinion that we are required to prescribe additional requirements in the event a cost-effective peak demand reduction methodology is available within the Act 129 framework.   We also note that FirstEnergy’s argument erroneously relies on the supposition that, because the General Assembly did not include the phrase “and every five years thereafter” in subsection 2806.1(d)(2) as it did in subsection 2806.1(d)(3), it could not have intended for DR to continue past Phase I.  But FirstEnergy’s argument incorrectly converts the lack of a legislative requirement into a prohibition against Commission action.  In other words, FirstEnergy is erroneously asserting that because the General Assembly did not expressly require the Commission to look at the cost-effectiveness of the peak demand reduction program every five years, the Commission is prohibited from instituting a cost-effective peak demand reduction program.  But, in fact, the General Assembly did not expressly or impliedly make such a prohibition.  Nowhere in Act 129 did the General Assembly expressly state that the Commission is prohibited from continuing either the consumption reduction or peak demand programs.  In fact, it expressly required the Commission to adopt additional incremental reductions if the programs were found to be cost-effective.   </w:t>
      </w:r>
    </w:p>
    <w:p w14:paraId="535F044A" w14:textId="77777777" w:rsidR="006E012F" w:rsidRPr="006E012F" w:rsidRDefault="006E012F" w:rsidP="00CB4B6A">
      <w:pPr>
        <w:ind w:left="720" w:right="720"/>
        <w:jc w:val="both"/>
        <w:rPr>
          <w:sz w:val="26"/>
          <w:szCs w:val="26"/>
        </w:rPr>
      </w:pPr>
    </w:p>
    <w:p w14:paraId="458465FD" w14:textId="75F8EC34" w:rsidR="32F2AF2F" w:rsidRDefault="006E012F" w:rsidP="00CB4B6A">
      <w:pPr>
        <w:ind w:left="720" w:right="720"/>
        <w:jc w:val="both"/>
        <w:rPr>
          <w:sz w:val="26"/>
          <w:szCs w:val="26"/>
        </w:rPr>
      </w:pPr>
      <w:r w:rsidRPr="006E012F">
        <w:rPr>
          <w:sz w:val="26"/>
          <w:szCs w:val="26"/>
        </w:rPr>
        <w:t xml:space="preserve">Furthermore, we find it significant that the General Assembly did not include a “sunset” provision into Act 129.  The General Assembly has previously imposed such “sunset” provisions in the Public Utility Code, e.g. 66 </w:t>
      </w:r>
      <w:proofErr w:type="spellStart"/>
      <w:r w:rsidRPr="006E012F">
        <w:rPr>
          <w:sz w:val="26"/>
          <w:szCs w:val="26"/>
        </w:rPr>
        <w:t>Pa.C.S</w:t>
      </w:r>
      <w:proofErr w:type="spellEnd"/>
      <w:r w:rsidRPr="006E012F">
        <w:rPr>
          <w:sz w:val="26"/>
          <w:szCs w:val="26"/>
        </w:rPr>
        <w:t>. § 1419; thus, had the General Assembly intended that either the consumption reduction requirements in subsection 2806.1(c) or the peak demand reduction requirements in subsection 2806.1(d) to end upon a certain date, as FirstEnergy asserts, it would have provided for such an expiration date, which it did not.  Therefore, we continue to maintain that it was the intent of the General Assembly that both of these reduction requirements are to continue, provided they are cost-effective.</w:t>
      </w:r>
      <w:r w:rsidRPr="006E012F">
        <w:rPr>
          <w:sz w:val="26"/>
          <w:szCs w:val="26"/>
        </w:rPr>
        <w:tab/>
      </w:r>
    </w:p>
    <w:p w14:paraId="79E92229" w14:textId="7FD06BD6" w:rsidR="006E012F" w:rsidRDefault="006E012F" w:rsidP="006E012F">
      <w:pPr>
        <w:spacing w:line="360" w:lineRule="auto"/>
        <w:rPr>
          <w:sz w:val="26"/>
          <w:szCs w:val="26"/>
        </w:rPr>
      </w:pPr>
    </w:p>
    <w:p w14:paraId="79C5F523" w14:textId="438D95D6" w:rsidR="006E012F" w:rsidRDefault="006E012F" w:rsidP="006E012F">
      <w:pPr>
        <w:spacing w:line="360" w:lineRule="auto"/>
        <w:rPr>
          <w:sz w:val="26"/>
          <w:szCs w:val="26"/>
        </w:rPr>
      </w:pPr>
      <w:r w:rsidRPr="00136A55">
        <w:rPr>
          <w:i/>
          <w:iCs/>
          <w:sz w:val="26"/>
          <w:szCs w:val="26"/>
        </w:rPr>
        <w:t>Phase III Implementation Order</w:t>
      </w:r>
      <w:r>
        <w:rPr>
          <w:sz w:val="26"/>
          <w:szCs w:val="26"/>
        </w:rPr>
        <w:t xml:space="preserve"> at </w:t>
      </w:r>
      <w:r w:rsidR="00136A55">
        <w:rPr>
          <w:sz w:val="26"/>
          <w:szCs w:val="26"/>
        </w:rPr>
        <w:t>19-20.</w:t>
      </w:r>
    </w:p>
    <w:p w14:paraId="50AB60E3" w14:textId="59B0C50C" w:rsidR="00854F90" w:rsidRDefault="00854F90" w:rsidP="61A9DE7A">
      <w:pPr>
        <w:spacing w:line="360" w:lineRule="auto"/>
        <w:rPr>
          <w:sz w:val="26"/>
          <w:szCs w:val="26"/>
        </w:rPr>
      </w:pPr>
    </w:p>
    <w:p w14:paraId="6D843C5E" w14:textId="05E91D7E" w:rsidR="00854F90" w:rsidRDefault="00854F90" w:rsidP="61A9DE7A">
      <w:pPr>
        <w:spacing w:line="360" w:lineRule="auto"/>
        <w:rPr>
          <w:sz w:val="26"/>
          <w:szCs w:val="26"/>
        </w:rPr>
      </w:pPr>
      <w:r>
        <w:rPr>
          <w:sz w:val="26"/>
          <w:szCs w:val="26"/>
        </w:rPr>
        <w:lastRenderedPageBreak/>
        <w:tab/>
        <w:t>Further</w:t>
      </w:r>
      <w:r w:rsidR="000F5A6E">
        <w:rPr>
          <w:sz w:val="26"/>
          <w:szCs w:val="26"/>
        </w:rPr>
        <w:t>more</w:t>
      </w:r>
      <w:r>
        <w:rPr>
          <w:sz w:val="26"/>
          <w:szCs w:val="26"/>
        </w:rPr>
        <w:t>, the Commission</w:t>
      </w:r>
      <w:r w:rsidR="00904118">
        <w:rPr>
          <w:sz w:val="26"/>
          <w:szCs w:val="26"/>
        </w:rPr>
        <w:t xml:space="preserve"> has made no finding that the reduction requirements in Phase IV, or in any preceding EE&amp;C program, was not cost-effective.  Therefore, </w:t>
      </w:r>
      <w:r w:rsidR="00BB0775">
        <w:rPr>
          <w:sz w:val="26"/>
          <w:szCs w:val="26"/>
        </w:rPr>
        <w:t xml:space="preserve">pursuant to Act 129, </w:t>
      </w:r>
      <w:r w:rsidR="00CE1D9B">
        <w:rPr>
          <w:sz w:val="26"/>
          <w:szCs w:val="26"/>
        </w:rPr>
        <w:t xml:space="preserve">the Commission must continue consumption and peak demand reduction programs until </w:t>
      </w:r>
      <w:r w:rsidR="00AD11DE">
        <w:rPr>
          <w:sz w:val="26"/>
          <w:szCs w:val="26"/>
        </w:rPr>
        <w:t>such additional incremental reductions are no longer found to be cost-effective.</w:t>
      </w:r>
    </w:p>
    <w:p w14:paraId="008EBF9B" w14:textId="77777777" w:rsidR="003D3064" w:rsidRPr="0051035B" w:rsidRDefault="003D3064" w:rsidP="003D3064">
      <w:pPr>
        <w:pStyle w:val="ListParagraph"/>
        <w:keepNext/>
        <w:keepLines/>
        <w:rPr>
          <w:b/>
          <w:bCs/>
          <w:sz w:val="26"/>
          <w:szCs w:val="26"/>
        </w:rPr>
      </w:pPr>
    </w:p>
    <w:p w14:paraId="33F74CD9" w14:textId="3ED92DED" w:rsidR="00640612" w:rsidRPr="00D6017E" w:rsidRDefault="003A7F24" w:rsidP="003D3064">
      <w:pPr>
        <w:pStyle w:val="ListParagraph"/>
        <w:keepNext/>
        <w:keepLines/>
        <w:numPr>
          <w:ilvl w:val="0"/>
          <w:numId w:val="4"/>
        </w:numPr>
        <w:rPr>
          <w:b/>
          <w:bCs/>
          <w:sz w:val="26"/>
          <w:szCs w:val="26"/>
        </w:rPr>
      </w:pPr>
      <w:r w:rsidRPr="61A9DE7A">
        <w:rPr>
          <w:b/>
          <w:bCs/>
          <w:sz w:val="26"/>
          <w:szCs w:val="26"/>
        </w:rPr>
        <w:t>IECPA</w:t>
      </w:r>
      <w:r w:rsidR="008C6CDD">
        <w:rPr>
          <w:b/>
          <w:bCs/>
          <w:sz w:val="26"/>
          <w:szCs w:val="26"/>
        </w:rPr>
        <w:t>’s</w:t>
      </w:r>
      <w:r w:rsidRPr="61A9DE7A">
        <w:rPr>
          <w:b/>
          <w:bCs/>
          <w:sz w:val="26"/>
          <w:szCs w:val="26"/>
        </w:rPr>
        <w:t xml:space="preserve"> </w:t>
      </w:r>
      <w:r w:rsidR="0051035B" w:rsidRPr="61A9DE7A">
        <w:rPr>
          <w:b/>
          <w:bCs/>
          <w:sz w:val="26"/>
          <w:szCs w:val="26"/>
        </w:rPr>
        <w:t xml:space="preserve">Request for Rescission or Amendment of the </w:t>
      </w:r>
      <w:r w:rsidR="0051035B" w:rsidRPr="61A9DE7A">
        <w:rPr>
          <w:b/>
          <w:bCs/>
          <w:i/>
          <w:iCs/>
          <w:sz w:val="26"/>
          <w:szCs w:val="26"/>
        </w:rPr>
        <w:t>Phase IV Implementation Order</w:t>
      </w:r>
    </w:p>
    <w:p w14:paraId="2659396F" w14:textId="47FD2A1F" w:rsidR="00D6017E" w:rsidRPr="005F5043" w:rsidRDefault="00D6017E" w:rsidP="00D6017E">
      <w:pPr>
        <w:pStyle w:val="ListParagraph"/>
        <w:keepNext/>
        <w:keepLines/>
        <w:rPr>
          <w:b/>
          <w:bCs/>
          <w:sz w:val="26"/>
          <w:szCs w:val="26"/>
        </w:rPr>
      </w:pPr>
    </w:p>
    <w:p w14:paraId="559EE35D" w14:textId="2CC3C147" w:rsidR="00031708" w:rsidRDefault="002906B8" w:rsidP="00CB4B6A">
      <w:pPr>
        <w:spacing w:line="360" w:lineRule="auto"/>
        <w:ind w:left="720"/>
        <w:rPr>
          <w:sz w:val="26"/>
          <w:szCs w:val="26"/>
        </w:rPr>
      </w:pPr>
      <w:r>
        <w:rPr>
          <w:sz w:val="26"/>
          <w:szCs w:val="26"/>
        </w:rPr>
        <w:t>In support of its Petition</w:t>
      </w:r>
      <w:r w:rsidR="00160FA7">
        <w:rPr>
          <w:sz w:val="26"/>
          <w:szCs w:val="26"/>
        </w:rPr>
        <w:t xml:space="preserve">, IECPA </w:t>
      </w:r>
      <w:r w:rsidR="00031708">
        <w:rPr>
          <w:sz w:val="26"/>
          <w:szCs w:val="26"/>
        </w:rPr>
        <w:t>claims,</w:t>
      </w:r>
    </w:p>
    <w:p w14:paraId="0940765B" w14:textId="51FE14C6" w:rsidR="000F5A6E" w:rsidRDefault="00031708" w:rsidP="000F5A6E">
      <w:pPr>
        <w:ind w:left="720" w:right="720"/>
        <w:jc w:val="both"/>
        <w:rPr>
          <w:sz w:val="26"/>
          <w:szCs w:val="26"/>
        </w:rPr>
      </w:pPr>
      <w:r>
        <w:rPr>
          <w:sz w:val="26"/>
          <w:szCs w:val="26"/>
        </w:rPr>
        <w:t>[</w:t>
      </w:r>
      <w:r w:rsidR="00DA53D9">
        <w:rPr>
          <w:sz w:val="26"/>
          <w:szCs w:val="26"/>
        </w:rPr>
        <w:t>m</w:t>
      </w:r>
      <w:r>
        <w:rPr>
          <w:sz w:val="26"/>
          <w:szCs w:val="26"/>
        </w:rPr>
        <w:t>]</w:t>
      </w:r>
      <w:proofErr w:type="spellStart"/>
      <w:r w:rsidRPr="00031708">
        <w:rPr>
          <w:sz w:val="26"/>
          <w:szCs w:val="26"/>
        </w:rPr>
        <w:t>uch</w:t>
      </w:r>
      <w:proofErr w:type="spellEnd"/>
      <w:r w:rsidRPr="00031708">
        <w:rPr>
          <w:sz w:val="26"/>
          <w:szCs w:val="26"/>
        </w:rPr>
        <w:t xml:space="preserve"> has changed in Pennsylvania since the issuance of the Tentative Implementation Order and the publication of the SWE</w:t>
      </w:r>
      <w:r w:rsidR="000F5A6E">
        <w:rPr>
          <w:sz w:val="26"/>
          <w:szCs w:val="26"/>
        </w:rPr>
        <w:t>’</w:t>
      </w:r>
      <w:r w:rsidRPr="00031708">
        <w:rPr>
          <w:sz w:val="26"/>
          <w:szCs w:val="26"/>
        </w:rPr>
        <w:t>s EEPDR, both for utilities and their customers. Specifically, the current novel-coronavirus and COVID-19 pandemic, as well as the Commonwealth</w:t>
      </w:r>
      <w:r w:rsidR="000F5A6E">
        <w:rPr>
          <w:sz w:val="26"/>
          <w:szCs w:val="26"/>
        </w:rPr>
        <w:t>’</w:t>
      </w:r>
      <w:r w:rsidRPr="00031708">
        <w:rPr>
          <w:sz w:val="26"/>
          <w:szCs w:val="26"/>
        </w:rPr>
        <w:t xml:space="preserve">s response to the emergency, which currently includes a statewide </w:t>
      </w:r>
      <w:r w:rsidR="000F5A6E">
        <w:rPr>
          <w:sz w:val="26"/>
          <w:szCs w:val="26"/>
        </w:rPr>
        <w:t>“</w:t>
      </w:r>
      <w:r w:rsidRPr="00031708">
        <w:rPr>
          <w:sz w:val="26"/>
          <w:szCs w:val="26"/>
        </w:rPr>
        <w:t>stay at home</w:t>
      </w:r>
      <w:r w:rsidR="000F5A6E">
        <w:rPr>
          <w:sz w:val="26"/>
          <w:szCs w:val="26"/>
        </w:rPr>
        <w:t>”</w:t>
      </w:r>
      <w:r w:rsidRPr="00031708">
        <w:rPr>
          <w:sz w:val="26"/>
          <w:szCs w:val="26"/>
        </w:rPr>
        <w:t xml:space="preserve"> order and an order requiring the closure of all </w:t>
      </w:r>
      <w:r w:rsidR="000F5A6E">
        <w:rPr>
          <w:sz w:val="26"/>
          <w:szCs w:val="26"/>
        </w:rPr>
        <w:t>“</w:t>
      </w:r>
      <w:r w:rsidRPr="00031708">
        <w:rPr>
          <w:sz w:val="26"/>
          <w:szCs w:val="26"/>
        </w:rPr>
        <w:t>non-life sustaining businesses,</w:t>
      </w:r>
      <w:r w:rsidR="000F5A6E">
        <w:rPr>
          <w:sz w:val="26"/>
          <w:szCs w:val="26"/>
        </w:rPr>
        <w:t>”</w:t>
      </w:r>
      <w:r w:rsidRPr="00031708">
        <w:rPr>
          <w:sz w:val="26"/>
          <w:szCs w:val="26"/>
        </w:rPr>
        <w:t xml:space="preserve"> have forcefully impacted every aspect of economic life in Pennsylvania. For many commercial and industrial (</w:t>
      </w:r>
      <w:r w:rsidR="000F5A6E">
        <w:rPr>
          <w:sz w:val="26"/>
          <w:szCs w:val="26"/>
        </w:rPr>
        <w:t>“</w:t>
      </w:r>
      <w:r w:rsidRPr="00031708">
        <w:rPr>
          <w:sz w:val="26"/>
          <w:szCs w:val="26"/>
        </w:rPr>
        <w:t>C&amp;I</w:t>
      </w:r>
      <w:r w:rsidR="000F5A6E">
        <w:rPr>
          <w:sz w:val="26"/>
          <w:szCs w:val="26"/>
        </w:rPr>
        <w:t>”</w:t>
      </w:r>
      <w:r w:rsidRPr="00031708">
        <w:rPr>
          <w:sz w:val="26"/>
          <w:szCs w:val="26"/>
        </w:rPr>
        <w:t xml:space="preserve">) utility customers, this has meant either the wholesale closure of operations or significant reductions in production capability and output. For residential ratepayers of electric utilities, this includes the loss of jobs for many and the reduction in income for many others. </w:t>
      </w:r>
      <w:r w:rsidRPr="00814AB3">
        <w:rPr>
          <w:b/>
          <w:bCs/>
          <w:sz w:val="26"/>
          <w:szCs w:val="26"/>
        </w:rPr>
        <w:t xml:space="preserve">While the actual economic impact of the pandemic is </w:t>
      </w:r>
      <w:bookmarkStart w:id="13" w:name="_Hlk51828081"/>
      <w:r w:rsidRPr="00814AB3">
        <w:rPr>
          <w:b/>
          <w:bCs/>
          <w:sz w:val="26"/>
          <w:szCs w:val="26"/>
        </w:rPr>
        <w:t>not currently known in full, and will not likely be known for many months</w:t>
      </w:r>
      <w:bookmarkEnd w:id="13"/>
      <w:r w:rsidRPr="00031708">
        <w:rPr>
          <w:sz w:val="26"/>
          <w:szCs w:val="26"/>
        </w:rPr>
        <w:t>, as of April 21, 2020, the Pennsylvania Department of Labor and Industry reported as many as 1.56 million unemployment claims. All of this has had an immediate and substantial impact on electric utilities within the Commonwealth, and on electricity consumption, the demand for electrical power, and projections going forward for what electricity needs (both demand and energy) may arise in the future, both near and far.</w:t>
      </w:r>
    </w:p>
    <w:p w14:paraId="02CEA538" w14:textId="74B4B0DC" w:rsidR="00DA53D9" w:rsidRDefault="00DA53D9" w:rsidP="00CB4B6A">
      <w:pPr>
        <w:ind w:left="720" w:right="720"/>
        <w:jc w:val="both"/>
        <w:rPr>
          <w:sz w:val="26"/>
          <w:szCs w:val="26"/>
        </w:rPr>
      </w:pPr>
    </w:p>
    <w:p w14:paraId="1752CC60" w14:textId="6202DF87" w:rsidR="00356641" w:rsidRDefault="00814AB3" w:rsidP="00314BB4">
      <w:pPr>
        <w:spacing w:line="360" w:lineRule="auto"/>
        <w:rPr>
          <w:sz w:val="26"/>
          <w:szCs w:val="26"/>
        </w:rPr>
      </w:pPr>
      <w:r>
        <w:rPr>
          <w:sz w:val="26"/>
          <w:szCs w:val="26"/>
        </w:rPr>
        <w:t>I</w:t>
      </w:r>
      <w:r w:rsidR="005E7720">
        <w:rPr>
          <w:sz w:val="26"/>
          <w:szCs w:val="26"/>
        </w:rPr>
        <w:t>ECP</w:t>
      </w:r>
      <w:r>
        <w:rPr>
          <w:sz w:val="26"/>
          <w:szCs w:val="26"/>
        </w:rPr>
        <w:t>A Petition at 3 (</w:t>
      </w:r>
      <w:r w:rsidR="00940559">
        <w:rPr>
          <w:sz w:val="26"/>
          <w:szCs w:val="26"/>
        </w:rPr>
        <w:t>internal citations omitted</w:t>
      </w:r>
      <w:r w:rsidR="000E7E3D">
        <w:rPr>
          <w:sz w:val="26"/>
          <w:szCs w:val="26"/>
        </w:rPr>
        <w:t>)</w:t>
      </w:r>
      <w:r w:rsidR="00940559">
        <w:rPr>
          <w:sz w:val="26"/>
          <w:szCs w:val="26"/>
        </w:rPr>
        <w:t xml:space="preserve"> </w:t>
      </w:r>
      <w:r w:rsidR="000E7E3D">
        <w:rPr>
          <w:sz w:val="26"/>
          <w:szCs w:val="26"/>
        </w:rPr>
        <w:t>(</w:t>
      </w:r>
      <w:r>
        <w:rPr>
          <w:sz w:val="26"/>
          <w:szCs w:val="26"/>
        </w:rPr>
        <w:t>emphasis added)</w:t>
      </w:r>
      <w:r w:rsidR="008C6CDD">
        <w:rPr>
          <w:sz w:val="26"/>
          <w:szCs w:val="26"/>
        </w:rPr>
        <w:t>.</w:t>
      </w:r>
      <w:r w:rsidR="00356641">
        <w:rPr>
          <w:sz w:val="26"/>
          <w:szCs w:val="26"/>
        </w:rPr>
        <w:t xml:space="preserve">  </w:t>
      </w:r>
      <w:r w:rsidR="002906B8">
        <w:rPr>
          <w:sz w:val="26"/>
          <w:szCs w:val="26"/>
        </w:rPr>
        <w:t xml:space="preserve"> </w:t>
      </w:r>
      <w:r w:rsidR="00286921">
        <w:rPr>
          <w:sz w:val="26"/>
          <w:szCs w:val="26"/>
        </w:rPr>
        <w:t xml:space="preserve">Outside of a single Department of Labor and Industry unemployment statistic, </w:t>
      </w:r>
      <w:r w:rsidR="00EC0269">
        <w:rPr>
          <w:sz w:val="26"/>
          <w:szCs w:val="26"/>
        </w:rPr>
        <w:t>IECP</w:t>
      </w:r>
      <w:r w:rsidR="00936A67">
        <w:rPr>
          <w:sz w:val="26"/>
          <w:szCs w:val="26"/>
        </w:rPr>
        <w:t xml:space="preserve">A’s </w:t>
      </w:r>
      <w:r w:rsidR="001458A6">
        <w:rPr>
          <w:sz w:val="26"/>
          <w:szCs w:val="26"/>
        </w:rPr>
        <w:t>argument is based on sweeping generalization</w:t>
      </w:r>
      <w:r w:rsidR="00712AFE">
        <w:rPr>
          <w:sz w:val="26"/>
          <w:szCs w:val="26"/>
        </w:rPr>
        <w:t>s</w:t>
      </w:r>
      <w:r w:rsidR="001458A6">
        <w:rPr>
          <w:sz w:val="26"/>
          <w:szCs w:val="26"/>
        </w:rPr>
        <w:t xml:space="preserve"> and speculation </w:t>
      </w:r>
      <w:r w:rsidR="007B15F0">
        <w:rPr>
          <w:sz w:val="26"/>
          <w:szCs w:val="26"/>
        </w:rPr>
        <w:t>about the long</w:t>
      </w:r>
      <w:r w:rsidR="008C6CDD">
        <w:rPr>
          <w:sz w:val="26"/>
          <w:szCs w:val="26"/>
        </w:rPr>
        <w:noBreakHyphen/>
      </w:r>
      <w:r w:rsidR="007B15F0">
        <w:rPr>
          <w:sz w:val="26"/>
          <w:szCs w:val="26"/>
        </w:rPr>
        <w:t>term impacts of the COVID-19 pandemic on utility customers</w:t>
      </w:r>
      <w:r w:rsidR="00EC0269">
        <w:rPr>
          <w:sz w:val="26"/>
          <w:szCs w:val="26"/>
        </w:rPr>
        <w:t xml:space="preserve">.  </w:t>
      </w:r>
    </w:p>
    <w:p w14:paraId="1FC4C1FF" w14:textId="77777777" w:rsidR="00356641" w:rsidRDefault="00356641" w:rsidP="00314BB4">
      <w:pPr>
        <w:spacing w:line="360" w:lineRule="auto"/>
        <w:rPr>
          <w:sz w:val="26"/>
          <w:szCs w:val="26"/>
        </w:rPr>
      </w:pPr>
    </w:p>
    <w:p w14:paraId="5970F2C0" w14:textId="3C307CB6" w:rsidR="00940559" w:rsidRDefault="00356641" w:rsidP="00CB4B6A">
      <w:pPr>
        <w:spacing w:line="360" w:lineRule="auto"/>
        <w:ind w:firstLine="720"/>
        <w:rPr>
          <w:sz w:val="26"/>
          <w:szCs w:val="26"/>
        </w:rPr>
      </w:pPr>
      <w:r>
        <w:rPr>
          <w:sz w:val="26"/>
          <w:szCs w:val="26"/>
        </w:rPr>
        <w:t>In addition,</w:t>
      </w:r>
      <w:r w:rsidR="00336696">
        <w:rPr>
          <w:sz w:val="26"/>
          <w:szCs w:val="26"/>
        </w:rPr>
        <w:t xml:space="preserve"> IECPA </w:t>
      </w:r>
      <w:r>
        <w:rPr>
          <w:sz w:val="26"/>
          <w:szCs w:val="26"/>
        </w:rPr>
        <w:t xml:space="preserve">fails to </w:t>
      </w:r>
      <w:r w:rsidR="00336696">
        <w:rPr>
          <w:sz w:val="26"/>
          <w:szCs w:val="26"/>
        </w:rPr>
        <w:t xml:space="preserve">explain the basis for its </w:t>
      </w:r>
      <w:r w:rsidR="00BE2DC8">
        <w:rPr>
          <w:sz w:val="26"/>
          <w:szCs w:val="26"/>
        </w:rPr>
        <w:t>proposals.</w:t>
      </w:r>
      <w:r w:rsidR="007B5AFD">
        <w:rPr>
          <w:sz w:val="26"/>
          <w:szCs w:val="26"/>
        </w:rPr>
        <w:t xml:space="preserve">  For example, IECPA provides no explanation for the methodology or data by which it arrived at its </w:t>
      </w:r>
      <w:r w:rsidR="007B5AFD">
        <w:rPr>
          <w:sz w:val="26"/>
          <w:szCs w:val="26"/>
        </w:rPr>
        <w:lastRenderedPageBreak/>
        <w:t>proposed 270</w:t>
      </w:r>
      <w:r w:rsidR="007C0A8F">
        <w:rPr>
          <w:sz w:val="26"/>
          <w:szCs w:val="26"/>
        </w:rPr>
        <w:t>-</w:t>
      </w:r>
      <w:r w:rsidR="007B5AFD">
        <w:rPr>
          <w:sz w:val="26"/>
          <w:szCs w:val="26"/>
        </w:rPr>
        <w:t xml:space="preserve">day delay of Phase IV, </w:t>
      </w:r>
      <w:r w:rsidR="00301FD8">
        <w:rPr>
          <w:sz w:val="26"/>
          <w:szCs w:val="26"/>
        </w:rPr>
        <w:t>n</w:t>
      </w:r>
      <w:r w:rsidR="004D23D8">
        <w:rPr>
          <w:sz w:val="26"/>
          <w:szCs w:val="26"/>
        </w:rPr>
        <w:t xml:space="preserve">or </w:t>
      </w:r>
      <w:r w:rsidR="00301FD8">
        <w:rPr>
          <w:sz w:val="26"/>
          <w:szCs w:val="26"/>
        </w:rPr>
        <w:t xml:space="preserve">does it </w:t>
      </w:r>
      <w:r w:rsidR="00D80403">
        <w:rPr>
          <w:sz w:val="26"/>
          <w:szCs w:val="26"/>
        </w:rPr>
        <w:t xml:space="preserve">describe </w:t>
      </w:r>
      <w:r w:rsidR="004D23D8">
        <w:rPr>
          <w:sz w:val="26"/>
          <w:szCs w:val="26"/>
        </w:rPr>
        <w:t xml:space="preserve">what calculations </w:t>
      </w:r>
      <w:r w:rsidR="00301FD8">
        <w:rPr>
          <w:sz w:val="26"/>
          <w:szCs w:val="26"/>
        </w:rPr>
        <w:t xml:space="preserve">were </w:t>
      </w:r>
      <w:r w:rsidR="004D23D8">
        <w:rPr>
          <w:sz w:val="26"/>
          <w:szCs w:val="26"/>
        </w:rPr>
        <w:t xml:space="preserve">employed </w:t>
      </w:r>
      <w:r w:rsidR="00301FD8">
        <w:rPr>
          <w:sz w:val="26"/>
          <w:szCs w:val="26"/>
        </w:rPr>
        <w:t>in concluding</w:t>
      </w:r>
      <w:r w:rsidR="004D23D8">
        <w:rPr>
          <w:sz w:val="26"/>
          <w:szCs w:val="26"/>
        </w:rPr>
        <w:t xml:space="preserve"> that </w:t>
      </w:r>
      <w:r w:rsidR="00B81EA2">
        <w:rPr>
          <w:sz w:val="26"/>
          <w:szCs w:val="26"/>
        </w:rPr>
        <w:t>Phase III EE&amp;C surcharges</w:t>
      </w:r>
      <w:r w:rsidR="00301FD8">
        <w:rPr>
          <w:sz w:val="26"/>
          <w:szCs w:val="26"/>
        </w:rPr>
        <w:t xml:space="preserve"> should</w:t>
      </w:r>
      <w:r w:rsidR="00B81EA2">
        <w:rPr>
          <w:sz w:val="26"/>
          <w:szCs w:val="26"/>
        </w:rPr>
        <w:t xml:space="preserve"> be reduced by “at least” 50%.</w:t>
      </w:r>
      <w:r w:rsidR="009C47BE">
        <w:rPr>
          <w:sz w:val="26"/>
          <w:szCs w:val="26"/>
        </w:rPr>
        <w:t xml:space="preserve"> </w:t>
      </w:r>
      <w:r w:rsidR="00B81EA2">
        <w:rPr>
          <w:sz w:val="26"/>
          <w:szCs w:val="26"/>
        </w:rPr>
        <w:t xml:space="preserve"> </w:t>
      </w:r>
      <w:r>
        <w:rPr>
          <w:sz w:val="26"/>
          <w:szCs w:val="26"/>
        </w:rPr>
        <w:t xml:space="preserve">Nor does </w:t>
      </w:r>
      <w:r w:rsidR="00193275">
        <w:rPr>
          <w:sz w:val="26"/>
          <w:szCs w:val="26"/>
        </w:rPr>
        <w:t xml:space="preserve">IEPCA </w:t>
      </w:r>
      <w:r w:rsidR="008252E2">
        <w:rPr>
          <w:sz w:val="26"/>
          <w:szCs w:val="26"/>
        </w:rPr>
        <w:t xml:space="preserve">provide evidence of </w:t>
      </w:r>
      <w:r w:rsidR="00193275">
        <w:rPr>
          <w:sz w:val="26"/>
          <w:szCs w:val="26"/>
        </w:rPr>
        <w:t xml:space="preserve">how, under the </w:t>
      </w:r>
      <w:r w:rsidR="00E224D5">
        <w:rPr>
          <w:sz w:val="26"/>
          <w:szCs w:val="26"/>
        </w:rPr>
        <w:t xml:space="preserve">Governor’s </w:t>
      </w:r>
      <w:r w:rsidR="00E224D5" w:rsidRPr="008252E2">
        <w:rPr>
          <w:i/>
          <w:iCs/>
          <w:sz w:val="26"/>
          <w:szCs w:val="26"/>
        </w:rPr>
        <w:t>Emergency Proclamation</w:t>
      </w:r>
      <w:r w:rsidR="00E224D5">
        <w:rPr>
          <w:sz w:val="26"/>
          <w:szCs w:val="26"/>
        </w:rPr>
        <w:t>, their</w:t>
      </w:r>
      <w:r w:rsidR="008252E2">
        <w:rPr>
          <w:sz w:val="26"/>
          <w:szCs w:val="26"/>
        </w:rPr>
        <w:t xml:space="preserve"> specific</w:t>
      </w:r>
      <w:r w:rsidR="00E224D5">
        <w:rPr>
          <w:sz w:val="26"/>
          <w:szCs w:val="26"/>
        </w:rPr>
        <w:t xml:space="preserve"> proposals would help </w:t>
      </w:r>
      <w:r w:rsidR="008252E2">
        <w:rPr>
          <w:sz w:val="26"/>
          <w:szCs w:val="26"/>
        </w:rPr>
        <w:t>stakeholders cope with the impacts of the COVID-19 pandemic.</w:t>
      </w:r>
      <w:r w:rsidR="00D2681B">
        <w:rPr>
          <w:rStyle w:val="FootnoteReference"/>
          <w:sz w:val="26"/>
          <w:szCs w:val="26"/>
        </w:rPr>
        <w:footnoteReference w:id="12"/>
      </w:r>
      <w:r w:rsidR="0053129E">
        <w:rPr>
          <w:sz w:val="26"/>
          <w:szCs w:val="26"/>
        </w:rPr>
        <w:t xml:space="preserve"> </w:t>
      </w:r>
    </w:p>
    <w:p w14:paraId="6855D76E" w14:textId="77777777" w:rsidR="009828DE" w:rsidRDefault="005841DB" w:rsidP="00D854AF">
      <w:pPr>
        <w:spacing w:line="360" w:lineRule="auto"/>
        <w:rPr>
          <w:color w:val="000000" w:themeColor="text1"/>
          <w:sz w:val="26"/>
          <w:szCs w:val="26"/>
        </w:rPr>
      </w:pPr>
      <w:r>
        <w:rPr>
          <w:sz w:val="26"/>
          <w:szCs w:val="26"/>
        </w:rPr>
        <w:br/>
      </w:r>
      <w:bookmarkStart w:id="14" w:name="_Hlk52877501"/>
      <w:r w:rsidR="00F3517C">
        <w:rPr>
          <w:sz w:val="26"/>
          <w:szCs w:val="26"/>
        </w:rPr>
        <w:tab/>
      </w:r>
      <w:r w:rsidR="00727967">
        <w:rPr>
          <w:sz w:val="26"/>
          <w:szCs w:val="26"/>
        </w:rPr>
        <w:t>It is well-established that s</w:t>
      </w:r>
      <w:r w:rsidR="00EB3375">
        <w:rPr>
          <w:sz w:val="26"/>
          <w:szCs w:val="26"/>
        </w:rPr>
        <w:t>peculation does not amount to substantial evidence.</w:t>
      </w:r>
      <w:bookmarkEnd w:id="14"/>
      <w:r w:rsidR="00F3517C">
        <w:rPr>
          <w:rStyle w:val="FootnoteReference"/>
          <w:sz w:val="26"/>
          <w:szCs w:val="26"/>
        </w:rPr>
        <w:footnoteReference w:id="13"/>
      </w:r>
      <w:r w:rsidR="00CA50AE">
        <w:rPr>
          <w:color w:val="FF0000"/>
          <w:sz w:val="26"/>
          <w:szCs w:val="26"/>
        </w:rPr>
        <w:t xml:space="preserve"> </w:t>
      </w:r>
      <w:r w:rsidR="00314BB4" w:rsidRPr="002A7990">
        <w:rPr>
          <w:sz w:val="26"/>
          <w:szCs w:val="26"/>
        </w:rPr>
        <w:t xml:space="preserve">Accordingly, IECPA has failed to sustain its burden of proof under Section 332(a) </w:t>
      </w:r>
      <w:r w:rsidR="00356641">
        <w:rPr>
          <w:sz w:val="26"/>
          <w:szCs w:val="26"/>
        </w:rPr>
        <w:t xml:space="preserve">of the Code, 66 Pa. C.S. § 332(a), </w:t>
      </w:r>
      <w:r w:rsidR="00314BB4" w:rsidRPr="002A7990">
        <w:rPr>
          <w:sz w:val="26"/>
          <w:szCs w:val="26"/>
        </w:rPr>
        <w:t>due to a lack of substantial evidence.  As such</w:t>
      </w:r>
      <w:r w:rsidR="00F53056">
        <w:rPr>
          <w:sz w:val="26"/>
          <w:szCs w:val="26"/>
        </w:rPr>
        <w:t>,</w:t>
      </w:r>
      <w:r w:rsidR="00314BB4" w:rsidRPr="002A7990">
        <w:rPr>
          <w:sz w:val="26"/>
          <w:szCs w:val="26"/>
        </w:rPr>
        <w:t xml:space="preserve"> we decline to exercise our authority under Section 703(g) </w:t>
      </w:r>
      <w:r w:rsidR="00356641">
        <w:rPr>
          <w:sz w:val="26"/>
          <w:szCs w:val="26"/>
        </w:rPr>
        <w:t xml:space="preserve">of the Code, 66 Pa. C.S. § 703(g) </w:t>
      </w:r>
      <w:r w:rsidR="00314BB4" w:rsidRPr="002A7990">
        <w:rPr>
          <w:sz w:val="26"/>
          <w:szCs w:val="26"/>
        </w:rPr>
        <w:t xml:space="preserve">to amend the </w:t>
      </w:r>
      <w:r w:rsidR="00314BB4" w:rsidRPr="002A7990">
        <w:rPr>
          <w:i/>
          <w:iCs/>
          <w:sz w:val="26"/>
          <w:szCs w:val="26"/>
        </w:rPr>
        <w:t>Phase I</w:t>
      </w:r>
      <w:r w:rsidR="002A7990" w:rsidRPr="002A7990">
        <w:rPr>
          <w:i/>
          <w:iCs/>
          <w:sz w:val="26"/>
          <w:szCs w:val="26"/>
        </w:rPr>
        <w:t xml:space="preserve">II </w:t>
      </w:r>
      <w:r w:rsidR="00314BB4" w:rsidRPr="002A7990">
        <w:rPr>
          <w:i/>
          <w:iCs/>
          <w:sz w:val="26"/>
          <w:szCs w:val="26"/>
        </w:rPr>
        <w:t>Implementation Order</w:t>
      </w:r>
      <w:r w:rsidR="00314BB4" w:rsidRPr="002A7990">
        <w:rPr>
          <w:sz w:val="26"/>
          <w:szCs w:val="26"/>
        </w:rPr>
        <w:t xml:space="preserve"> </w:t>
      </w:r>
      <w:r w:rsidR="00584ABF">
        <w:rPr>
          <w:sz w:val="26"/>
          <w:szCs w:val="26"/>
        </w:rPr>
        <w:t xml:space="preserve">or to suspend provisions of the Code pursuant to the Governor’s </w:t>
      </w:r>
      <w:r w:rsidR="00584ABF" w:rsidRPr="00584ABF">
        <w:rPr>
          <w:i/>
          <w:iCs/>
          <w:sz w:val="26"/>
          <w:szCs w:val="26"/>
        </w:rPr>
        <w:t>Emergency Proclamation</w:t>
      </w:r>
      <w:r w:rsidR="00584ABF">
        <w:rPr>
          <w:sz w:val="26"/>
          <w:szCs w:val="26"/>
        </w:rPr>
        <w:t xml:space="preserve"> </w:t>
      </w:r>
      <w:r w:rsidR="00314BB4" w:rsidRPr="002A7990">
        <w:rPr>
          <w:sz w:val="26"/>
          <w:szCs w:val="26"/>
        </w:rPr>
        <w:t xml:space="preserve">and deny IECPA’s </w:t>
      </w:r>
      <w:proofErr w:type="gramStart"/>
      <w:r w:rsidR="00314BB4" w:rsidRPr="002A7990">
        <w:rPr>
          <w:sz w:val="26"/>
          <w:szCs w:val="26"/>
        </w:rPr>
        <w:t>Petition</w:t>
      </w:r>
      <w:r w:rsidR="00276C8F" w:rsidRPr="00CA61A1">
        <w:rPr>
          <w:color w:val="000000" w:themeColor="text1"/>
          <w:sz w:val="26"/>
          <w:szCs w:val="26"/>
        </w:rPr>
        <w:t>;</w:t>
      </w:r>
      <w:proofErr w:type="gramEnd"/>
      <w:r w:rsidR="00815571" w:rsidRPr="00CA61A1">
        <w:rPr>
          <w:color w:val="000000" w:themeColor="text1"/>
          <w:sz w:val="26"/>
          <w:szCs w:val="26"/>
        </w:rPr>
        <w:t xml:space="preserve"> </w:t>
      </w:r>
    </w:p>
    <w:p w14:paraId="33F74D09" w14:textId="0E3A297A" w:rsidR="00640612" w:rsidRPr="00D854AF" w:rsidRDefault="00CB26D8" w:rsidP="00D854AF">
      <w:pPr>
        <w:spacing w:line="360" w:lineRule="auto"/>
        <w:rPr>
          <w:sz w:val="26"/>
          <w:szCs w:val="26"/>
        </w:rPr>
      </w:pPr>
      <w:r w:rsidRPr="00CA61A1">
        <w:rPr>
          <w:b/>
          <w:bCs/>
          <w:color w:val="000000" w:themeColor="text1"/>
          <w:sz w:val="26"/>
          <w:szCs w:val="26"/>
        </w:rPr>
        <w:t>THEREFORE,</w:t>
      </w:r>
      <w:r w:rsidRPr="00CA61A1">
        <w:rPr>
          <w:color w:val="000000" w:themeColor="text1"/>
          <w:sz w:val="26"/>
          <w:szCs w:val="26"/>
        </w:rPr>
        <w:t> </w:t>
      </w:r>
      <w:r w:rsidR="00931B44" w:rsidRPr="00CA61A1">
        <w:rPr>
          <w:b/>
          <w:color w:val="000000" w:themeColor="text1"/>
          <w:sz w:val="26"/>
          <w:szCs w:val="26"/>
        </w:rPr>
        <w:tab/>
      </w:r>
    </w:p>
    <w:p w14:paraId="33F74D0A" w14:textId="77777777" w:rsidR="00640612" w:rsidRPr="00CA61A1" w:rsidRDefault="00931B44">
      <w:pPr>
        <w:spacing w:line="360" w:lineRule="auto"/>
        <w:rPr>
          <w:b/>
          <w:bCs/>
          <w:color w:val="000000" w:themeColor="text1"/>
          <w:sz w:val="26"/>
          <w:szCs w:val="26"/>
        </w:rPr>
      </w:pPr>
      <w:r w:rsidRPr="00CA61A1">
        <w:rPr>
          <w:b/>
          <w:bCs/>
          <w:color w:val="000000" w:themeColor="text1"/>
          <w:sz w:val="26"/>
          <w:szCs w:val="26"/>
        </w:rPr>
        <w:tab/>
      </w:r>
    </w:p>
    <w:p w14:paraId="33F74D0B" w14:textId="77777777" w:rsidR="00640612" w:rsidRPr="00D24562" w:rsidRDefault="00931B44">
      <w:pPr>
        <w:spacing w:line="360" w:lineRule="auto"/>
        <w:rPr>
          <w:b/>
          <w:bCs/>
          <w:sz w:val="26"/>
          <w:szCs w:val="26"/>
        </w:rPr>
      </w:pPr>
      <w:r w:rsidRPr="00D24562">
        <w:rPr>
          <w:b/>
          <w:bCs/>
          <w:sz w:val="26"/>
          <w:szCs w:val="26"/>
        </w:rPr>
        <w:tab/>
        <w:t>IT IS ORDERED:</w:t>
      </w:r>
    </w:p>
    <w:p w14:paraId="33F74D0C" w14:textId="77777777" w:rsidR="00640612" w:rsidRPr="00CE17F2" w:rsidRDefault="00640612">
      <w:pPr>
        <w:tabs>
          <w:tab w:val="left" w:pos="4320"/>
        </w:tabs>
        <w:rPr>
          <w:color w:val="FF0000"/>
          <w:sz w:val="26"/>
          <w:szCs w:val="26"/>
        </w:rPr>
      </w:pPr>
    </w:p>
    <w:p w14:paraId="33F74D0E" w14:textId="4D7E92E0" w:rsidR="00640612" w:rsidRPr="00667B3D" w:rsidRDefault="00931B44" w:rsidP="00DB6971">
      <w:pPr>
        <w:tabs>
          <w:tab w:val="left" w:pos="1440"/>
          <w:tab w:val="left" w:pos="4320"/>
        </w:tabs>
        <w:spacing w:line="360" w:lineRule="auto"/>
        <w:ind w:firstLine="720"/>
        <w:rPr>
          <w:sz w:val="26"/>
          <w:szCs w:val="26"/>
        </w:rPr>
      </w:pPr>
      <w:r w:rsidRPr="00667B3D">
        <w:rPr>
          <w:sz w:val="26"/>
          <w:szCs w:val="26"/>
        </w:rPr>
        <w:t xml:space="preserve">1.  </w:t>
      </w:r>
      <w:r w:rsidRPr="00667B3D">
        <w:rPr>
          <w:sz w:val="26"/>
          <w:szCs w:val="26"/>
        </w:rPr>
        <w:tab/>
      </w:r>
      <w:bookmarkStart w:id="15" w:name="_Hlk48904183"/>
      <w:r w:rsidRPr="00667B3D">
        <w:rPr>
          <w:sz w:val="26"/>
          <w:szCs w:val="26"/>
        </w:rPr>
        <w:t xml:space="preserve">That </w:t>
      </w:r>
      <w:r w:rsidR="00667B3D" w:rsidRPr="00667B3D">
        <w:rPr>
          <w:sz w:val="26"/>
          <w:szCs w:val="26"/>
        </w:rPr>
        <w:t xml:space="preserve">Industrial Energy Consumers of Pennsylvania’s Petition to Suspend Implementation of the Act 129 Phase IV Requirements and For Other Relief at </w:t>
      </w:r>
      <w:r w:rsidRPr="00667B3D">
        <w:rPr>
          <w:sz w:val="26"/>
          <w:szCs w:val="26"/>
        </w:rPr>
        <w:t>Docket No</w:t>
      </w:r>
      <w:r w:rsidR="00667B3D" w:rsidRPr="00667B3D">
        <w:rPr>
          <w:sz w:val="26"/>
          <w:szCs w:val="26"/>
        </w:rPr>
        <w:t>s</w:t>
      </w:r>
      <w:r w:rsidRPr="00667B3D">
        <w:rPr>
          <w:sz w:val="26"/>
          <w:szCs w:val="26"/>
        </w:rPr>
        <w:t xml:space="preserve">. </w:t>
      </w:r>
      <w:r w:rsidR="00667B3D" w:rsidRPr="00667B3D">
        <w:rPr>
          <w:sz w:val="26"/>
          <w:szCs w:val="26"/>
        </w:rPr>
        <w:t>M-2020-3015228 and P-2020-3019562</w:t>
      </w:r>
      <w:r w:rsidRPr="00667B3D">
        <w:rPr>
          <w:sz w:val="26"/>
          <w:szCs w:val="26"/>
        </w:rPr>
        <w:t xml:space="preserve"> is </w:t>
      </w:r>
      <w:r w:rsidR="00422F34">
        <w:rPr>
          <w:sz w:val="26"/>
          <w:szCs w:val="26"/>
        </w:rPr>
        <w:t>denied</w:t>
      </w:r>
      <w:r w:rsidRPr="00667B3D">
        <w:rPr>
          <w:sz w:val="26"/>
          <w:szCs w:val="26"/>
        </w:rPr>
        <w:t>.</w:t>
      </w:r>
      <w:bookmarkEnd w:id="15"/>
    </w:p>
    <w:p w14:paraId="5E0771BD" w14:textId="77777777" w:rsidR="001B447D" w:rsidRDefault="001B447D" w:rsidP="00902C87">
      <w:pPr>
        <w:tabs>
          <w:tab w:val="left" w:pos="1440"/>
          <w:tab w:val="left" w:pos="4320"/>
        </w:tabs>
        <w:spacing w:line="360" w:lineRule="auto"/>
        <w:ind w:firstLine="720"/>
        <w:rPr>
          <w:sz w:val="26"/>
          <w:szCs w:val="26"/>
        </w:rPr>
      </w:pPr>
    </w:p>
    <w:p w14:paraId="2EC79B05" w14:textId="1B8458F0" w:rsidR="00902C87" w:rsidRPr="00902C87" w:rsidRDefault="001C6B5E" w:rsidP="00902C87">
      <w:pPr>
        <w:tabs>
          <w:tab w:val="left" w:pos="1440"/>
          <w:tab w:val="left" w:pos="4320"/>
        </w:tabs>
        <w:spacing w:line="360" w:lineRule="auto"/>
        <w:ind w:firstLine="720"/>
        <w:rPr>
          <w:sz w:val="26"/>
          <w:szCs w:val="26"/>
        </w:rPr>
      </w:pPr>
      <w:r>
        <w:rPr>
          <w:sz w:val="26"/>
          <w:szCs w:val="26"/>
        </w:rPr>
        <w:t>2</w:t>
      </w:r>
      <w:r w:rsidR="001B447D">
        <w:rPr>
          <w:sz w:val="26"/>
          <w:szCs w:val="26"/>
        </w:rPr>
        <w:t>.</w:t>
      </w:r>
      <w:r w:rsidR="001B447D">
        <w:rPr>
          <w:sz w:val="26"/>
          <w:szCs w:val="26"/>
        </w:rPr>
        <w:tab/>
      </w:r>
      <w:r w:rsidR="00931B44" w:rsidRPr="00902C87">
        <w:rPr>
          <w:sz w:val="26"/>
          <w:szCs w:val="26"/>
        </w:rPr>
        <w:t xml:space="preserve">That </w:t>
      </w:r>
      <w:r w:rsidR="00C87689" w:rsidRPr="00902C87">
        <w:rPr>
          <w:sz w:val="26"/>
          <w:szCs w:val="26"/>
        </w:rPr>
        <w:t xml:space="preserve">this order be served on all jurisdictional electric distribution companies subject to the requirements of the Act 129 Energy Efficiency and Conservation Program, the Commission’s Bureau of Investigation and Enforcement, The </w:t>
      </w:r>
      <w:r w:rsidR="00C87689" w:rsidRPr="00902C87">
        <w:rPr>
          <w:sz w:val="26"/>
          <w:szCs w:val="26"/>
        </w:rPr>
        <w:lastRenderedPageBreak/>
        <w:t>Office of Consumer Advocate, the Office of Small Business Advocate, and all parties that filed responses to th</w:t>
      </w:r>
      <w:r w:rsidR="00B62003">
        <w:rPr>
          <w:sz w:val="26"/>
          <w:szCs w:val="26"/>
        </w:rPr>
        <w:t xml:space="preserve">is </w:t>
      </w:r>
      <w:r w:rsidR="00C87689" w:rsidRPr="00902C87">
        <w:rPr>
          <w:sz w:val="26"/>
          <w:szCs w:val="26"/>
        </w:rPr>
        <w:t>Petition</w:t>
      </w:r>
      <w:r w:rsidR="00902C87" w:rsidRPr="00902C87">
        <w:rPr>
          <w:sz w:val="26"/>
          <w:szCs w:val="26"/>
        </w:rPr>
        <w:t>.</w:t>
      </w:r>
    </w:p>
    <w:p w14:paraId="711DFC9E" w14:textId="77777777" w:rsidR="00902C87" w:rsidRPr="00902C87" w:rsidRDefault="00902C87" w:rsidP="00902C87">
      <w:pPr>
        <w:tabs>
          <w:tab w:val="left" w:pos="1440"/>
          <w:tab w:val="left" w:pos="4320"/>
        </w:tabs>
        <w:spacing w:line="360" w:lineRule="auto"/>
        <w:ind w:firstLine="720"/>
        <w:rPr>
          <w:sz w:val="26"/>
          <w:szCs w:val="26"/>
        </w:rPr>
      </w:pPr>
    </w:p>
    <w:p w14:paraId="5C9C3293" w14:textId="3F54BE3D" w:rsidR="00902C87" w:rsidRDefault="001C6B5E" w:rsidP="00902C87">
      <w:pPr>
        <w:tabs>
          <w:tab w:val="left" w:pos="1440"/>
          <w:tab w:val="left" w:pos="4320"/>
        </w:tabs>
        <w:spacing w:line="360" w:lineRule="auto"/>
        <w:ind w:firstLine="720"/>
        <w:rPr>
          <w:sz w:val="26"/>
          <w:szCs w:val="26"/>
        </w:rPr>
      </w:pPr>
      <w:r>
        <w:rPr>
          <w:sz w:val="26"/>
          <w:szCs w:val="26"/>
        </w:rPr>
        <w:t>3</w:t>
      </w:r>
      <w:r w:rsidR="00902C87" w:rsidRPr="00902C87">
        <w:rPr>
          <w:sz w:val="26"/>
          <w:szCs w:val="26"/>
        </w:rPr>
        <w:t>.</w:t>
      </w:r>
      <w:r w:rsidR="00902C87" w:rsidRPr="00902C87">
        <w:rPr>
          <w:sz w:val="26"/>
          <w:szCs w:val="26"/>
        </w:rPr>
        <w:tab/>
        <w:t>That this case be marked closed.</w:t>
      </w:r>
    </w:p>
    <w:p w14:paraId="5F2F04F4" w14:textId="77777777" w:rsidR="00D24562" w:rsidRPr="00902C87" w:rsidRDefault="00D24562" w:rsidP="00902C87">
      <w:pPr>
        <w:tabs>
          <w:tab w:val="left" w:pos="1440"/>
          <w:tab w:val="left" w:pos="4320"/>
        </w:tabs>
        <w:spacing w:line="360" w:lineRule="auto"/>
        <w:ind w:firstLine="720"/>
        <w:rPr>
          <w:sz w:val="26"/>
          <w:szCs w:val="26"/>
        </w:rPr>
      </w:pPr>
    </w:p>
    <w:p w14:paraId="33F74D14" w14:textId="06203B35" w:rsidR="00640612" w:rsidRPr="00E833D1" w:rsidRDefault="00705CEB" w:rsidP="00E833D1">
      <w:pPr>
        <w:suppressAutoHyphens w:val="0"/>
        <w:overflowPunct/>
        <w:autoSpaceDE/>
        <w:rPr>
          <w:color w:val="FF0000"/>
          <w:sz w:val="26"/>
          <w:szCs w:val="26"/>
        </w:rPr>
      </w:pPr>
      <w:bookmarkStart w:id="16" w:name="_GoBack"/>
      <w:r w:rsidRPr="009F01BA">
        <w:rPr>
          <w:b/>
          <w:noProof/>
          <w:sz w:val="20"/>
        </w:rPr>
        <w:drawing>
          <wp:anchor distT="0" distB="0" distL="114300" distR="114300" simplePos="0" relativeHeight="251659264" behindDoc="1" locked="0" layoutInCell="1" allowOverlap="1" wp14:anchorId="56DFDEA5" wp14:editId="78ECC6D8">
            <wp:simplePos x="0" y="0"/>
            <wp:positionH relativeFrom="column">
              <wp:posOffset>2886075</wp:posOffset>
            </wp:positionH>
            <wp:positionV relativeFrom="paragraph">
              <wp:posOffset>66040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6"/>
      <w:r w:rsidR="00D24562">
        <w:rPr>
          <w:color w:val="FF0000"/>
          <w:sz w:val="26"/>
          <w:szCs w:val="26"/>
        </w:rPr>
        <w:tab/>
      </w:r>
      <w:r w:rsidR="00D24562">
        <w:rPr>
          <w:color w:val="FF0000"/>
          <w:sz w:val="26"/>
          <w:szCs w:val="26"/>
        </w:rPr>
        <w:tab/>
      </w:r>
      <w:r w:rsidR="00D24562">
        <w:rPr>
          <w:color w:val="FF0000"/>
          <w:sz w:val="26"/>
          <w:szCs w:val="26"/>
        </w:rPr>
        <w:tab/>
      </w:r>
      <w:r w:rsidR="00D24562">
        <w:rPr>
          <w:color w:val="FF0000"/>
          <w:sz w:val="26"/>
          <w:szCs w:val="26"/>
        </w:rPr>
        <w:tab/>
      </w:r>
      <w:r w:rsidR="00D24562">
        <w:rPr>
          <w:color w:val="FF0000"/>
          <w:sz w:val="26"/>
          <w:szCs w:val="26"/>
        </w:rPr>
        <w:tab/>
      </w:r>
      <w:r w:rsidR="00D24562">
        <w:rPr>
          <w:color w:val="FF0000"/>
          <w:sz w:val="26"/>
          <w:szCs w:val="26"/>
        </w:rPr>
        <w:tab/>
      </w:r>
      <w:r w:rsidR="00D24562">
        <w:rPr>
          <w:color w:val="FF0000"/>
          <w:sz w:val="26"/>
          <w:szCs w:val="26"/>
        </w:rPr>
        <w:tab/>
      </w:r>
      <w:r w:rsidR="00931B44" w:rsidRPr="00E833D1">
        <w:rPr>
          <w:b/>
          <w:bCs/>
          <w:sz w:val="26"/>
          <w:szCs w:val="26"/>
        </w:rPr>
        <w:t>BY THE COMMISSION</w:t>
      </w:r>
    </w:p>
    <w:p w14:paraId="33F74D15" w14:textId="7DB439F4" w:rsidR="00640612" w:rsidRPr="00E833D1" w:rsidRDefault="00640612">
      <w:pPr>
        <w:tabs>
          <w:tab w:val="left" w:pos="5057"/>
        </w:tabs>
        <w:rPr>
          <w:bCs/>
          <w:sz w:val="26"/>
          <w:szCs w:val="26"/>
        </w:rPr>
      </w:pPr>
    </w:p>
    <w:p w14:paraId="33F74D16" w14:textId="49D8D91B" w:rsidR="00640612" w:rsidRPr="00E833D1" w:rsidRDefault="00640612">
      <w:pPr>
        <w:tabs>
          <w:tab w:val="left" w:pos="5057"/>
        </w:tabs>
        <w:rPr>
          <w:b/>
          <w:bCs/>
          <w:sz w:val="26"/>
          <w:szCs w:val="26"/>
        </w:rPr>
      </w:pPr>
    </w:p>
    <w:p w14:paraId="33F74D17" w14:textId="77777777" w:rsidR="00640612" w:rsidRPr="00E833D1" w:rsidRDefault="00640612">
      <w:pPr>
        <w:tabs>
          <w:tab w:val="left" w:pos="5057"/>
        </w:tabs>
        <w:rPr>
          <w:b/>
          <w:bCs/>
          <w:sz w:val="26"/>
          <w:szCs w:val="26"/>
        </w:rPr>
      </w:pPr>
    </w:p>
    <w:p w14:paraId="33F74D18" w14:textId="77777777" w:rsidR="00640612" w:rsidRPr="00E833D1" w:rsidRDefault="00931B44">
      <w:pPr>
        <w:pStyle w:val="p18"/>
        <w:ind w:left="5062"/>
        <w:rPr>
          <w:sz w:val="26"/>
          <w:szCs w:val="26"/>
        </w:rPr>
      </w:pPr>
      <w:r w:rsidRPr="00E833D1">
        <w:rPr>
          <w:sz w:val="26"/>
          <w:szCs w:val="26"/>
        </w:rPr>
        <w:t>Rosemary Chiavetta</w:t>
      </w:r>
    </w:p>
    <w:p w14:paraId="33F74D19" w14:textId="77777777" w:rsidR="00640612" w:rsidRPr="00E833D1" w:rsidRDefault="00931B44">
      <w:pPr>
        <w:pStyle w:val="p18"/>
        <w:ind w:left="5062"/>
        <w:rPr>
          <w:sz w:val="26"/>
          <w:szCs w:val="26"/>
        </w:rPr>
      </w:pPr>
      <w:r w:rsidRPr="00E833D1">
        <w:rPr>
          <w:sz w:val="26"/>
          <w:szCs w:val="26"/>
        </w:rPr>
        <w:t>Secretary</w:t>
      </w:r>
    </w:p>
    <w:p w14:paraId="33F74D1A" w14:textId="77777777" w:rsidR="00640612" w:rsidRPr="00E833D1" w:rsidRDefault="00640612">
      <w:pPr>
        <w:tabs>
          <w:tab w:val="left" w:pos="5062"/>
        </w:tabs>
        <w:rPr>
          <w:sz w:val="26"/>
          <w:szCs w:val="26"/>
        </w:rPr>
      </w:pPr>
    </w:p>
    <w:p w14:paraId="33F74D1B" w14:textId="77777777" w:rsidR="00640612" w:rsidRPr="00E833D1" w:rsidRDefault="00931B44">
      <w:pPr>
        <w:pStyle w:val="p14"/>
        <w:rPr>
          <w:sz w:val="26"/>
          <w:szCs w:val="26"/>
        </w:rPr>
      </w:pPr>
      <w:r w:rsidRPr="00E833D1">
        <w:rPr>
          <w:sz w:val="26"/>
          <w:szCs w:val="26"/>
        </w:rPr>
        <w:t>(SEAL)</w:t>
      </w:r>
    </w:p>
    <w:p w14:paraId="33F74D1C" w14:textId="77777777" w:rsidR="00640612" w:rsidRPr="00E833D1" w:rsidRDefault="00640612">
      <w:pPr>
        <w:tabs>
          <w:tab w:val="left" w:pos="204"/>
        </w:tabs>
        <w:rPr>
          <w:sz w:val="26"/>
          <w:szCs w:val="26"/>
        </w:rPr>
      </w:pPr>
    </w:p>
    <w:p w14:paraId="33F74D1D" w14:textId="257D3F50" w:rsidR="00640612" w:rsidRPr="00E833D1" w:rsidRDefault="00931B44">
      <w:pPr>
        <w:pStyle w:val="p14"/>
        <w:rPr>
          <w:sz w:val="26"/>
          <w:szCs w:val="26"/>
        </w:rPr>
      </w:pPr>
      <w:r w:rsidRPr="00E833D1">
        <w:rPr>
          <w:sz w:val="26"/>
          <w:szCs w:val="26"/>
        </w:rPr>
        <w:t xml:space="preserve">ORDER ADOPTED:  </w:t>
      </w:r>
      <w:r w:rsidR="00705CEB">
        <w:rPr>
          <w:sz w:val="26"/>
          <w:szCs w:val="26"/>
        </w:rPr>
        <w:t>October 29, 2020</w:t>
      </w:r>
    </w:p>
    <w:p w14:paraId="33F74D1E" w14:textId="77777777" w:rsidR="00640612" w:rsidRPr="00E833D1" w:rsidRDefault="00640612">
      <w:pPr>
        <w:pStyle w:val="p14"/>
        <w:rPr>
          <w:sz w:val="26"/>
          <w:szCs w:val="26"/>
        </w:rPr>
      </w:pPr>
    </w:p>
    <w:p w14:paraId="33F74D1F" w14:textId="7605A9EE" w:rsidR="00640612" w:rsidRPr="00E833D1" w:rsidRDefault="00931B44">
      <w:pPr>
        <w:pStyle w:val="p14"/>
        <w:rPr>
          <w:sz w:val="26"/>
          <w:szCs w:val="26"/>
        </w:rPr>
      </w:pPr>
      <w:r w:rsidRPr="00E833D1">
        <w:rPr>
          <w:sz w:val="26"/>
          <w:szCs w:val="26"/>
        </w:rPr>
        <w:t xml:space="preserve">ORDER ENTERED:  </w:t>
      </w:r>
      <w:r w:rsidR="00705CEB">
        <w:rPr>
          <w:sz w:val="26"/>
          <w:szCs w:val="26"/>
        </w:rPr>
        <w:t>October 29, 2020</w:t>
      </w:r>
    </w:p>
    <w:sectPr w:rsidR="00640612" w:rsidRPr="00E833D1">
      <w:headerReference w:type="default" r:id="rId12"/>
      <w:footerReference w:type="default" r:id="rId13"/>
      <w:footerReference w:type="first" r:id="rId14"/>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9A81" w14:textId="77777777" w:rsidR="003E69D9" w:rsidRDefault="003E69D9">
      <w:r>
        <w:separator/>
      </w:r>
    </w:p>
  </w:endnote>
  <w:endnote w:type="continuationSeparator" w:id="0">
    <w:p w14:paraId="02903B6B" w14:textId="77777777" w:rsidR="003E69D9" w:rsidRDefault="003E69D9">
      <w:r>
        <w:continuationSeparator/>
      </w:r>
    </w:p>
  </w:endnote>
  <w:endnote w:type="continuationNotice" w:id="1">
    <w:p w14:paraId="3C3167A7" w14:textId="77777777" w:rsidR="003E69D9" w:rsidRDefault="003E6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629498"/>
      <w:docPartObj>
        <w:docPartGallery w:val="Page Numbers (Bottom of Page)"/>
        <w:docPartUnique/>
      </w:docPartObj>
    </w:sdtPr>
    <w:sdtEndPr>
      <w:rPr>
        <w:noProof/>
      </w:rPr>
    </w:sdtEndPr>
    <w:sdtContent>
      <w:p w14:paraId="15AA755F" w14:textId="6ECFF5BC" w:rsidR="003A3590" w:rsidRDefault="003A35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74C7B" w14:textId="6ECFF5BC" w:rsidR="00020AAB" w:rsidRDefault="00020AAB" w:rsidP="03E0B75C">
    <w:pPr>
      <w:tabs>
        <w:tab w:val="left" w:pos="6285"/>
      </w:tabs>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C7F" w14:textId="6ECFF5BC" w:rsidR="00020AAB" w:rsidRDefault="00020AAB">
    <w:pPr>
      <w:pStyle w:val="Footer"/>
      <w:jc w:val="center"/>
    </w:pPr>
  </w:p>
  <w:p w14:paraId="33F74C80" w14:textId="6ECFF5BC" w:rsidR="00020AAB" w:rsidRDefault="00020AAB" w:rsidP="03E0B75C">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3922" w14:textId="77777777" w:rsidR="003E69D9" w:rsidRDefault="003E69D9">
      <w:r>
        <w:rPr>
          <w:color w:val="000000"/>
        </w:rPr>
        <w:separator/>
      </w:r>
    </w:p>
  </w:footnote>
  <w:footnote w:type="continuationSeparator" w:id="0">
    <w:p w14:paraId="6DE0ABF3" w14:textId="77777777" w:rsidR="003E69D9" w:rsidRDefault="003E69D9">
      <w:r>
        <w:continuationSeparator/>
      </w:r>
    </w:p>
  </w:footnote>
  <w:footnote w:type="continuationNotice" w:id="1">
    <w:p w14:paraId="0ADE6093" w14:textId="77777777" w:rsidR="003E69D9" w:rsidRDefault="003E69D9"/>
  </w:footnote>
  <w:footnote w:id="2">
    <w:p w14:paraId="5AC7B30D" w14:textId="2A8513E2" w:rsidR="000A3F12" w:rsidRPr="00592FF6" w:rsidRDefault="000A3F12">
      <w:pPr>
        <w:pStyle w:val="FootnoteText"/>
        <w:rPr>
          <w:sz w:val="22"/>
          <w:szCs w:val="22"/>
        </w:rPr>
      </w:pPr>
      <w:r w:rsidRPr="00592FF6">
        <w:rPr>
          <w:rStyle w:val="FootnoteReference"/>
          <w:sz w:val="22"/>
          <w:szCs w:val="22"/>
        </w:rPr>
        <w:footnoteRef/>
      </w:r>
      <w:r w:rsidRPr="00592FF6">
        <w:rPr>
          <w:sz w:val="22"/>
          <w:szCs w:val="22"/>
        </w:rPr>
        <w:t xml:space="preserve"> </w:t>
      </w:r>
      <w:r w:rsidR="00592FF6" w:rsidRPr="00592FF6">
        <w:rPr>
          <w:sz w:val="22"/>
          <w:szCs w:val="22"/>
        </w:rPr>
        <w:t>IECPA is an association of energy-intensive industrial consumers taking service from a variety of regulated utilities in Pennsylvania</w:t>
      </w:r>
      <w:r w:rsidR="00716764">
        <w:rPr>
          <w:sz w:val="22"/>
          <w:szCs w:val="22"/>
        </w:rPr>
        <w:t xml:space="preserve">. </w:t>
      </w:r>
    </w:p>
  </w:footnote>
  <w:footnote w:id="3">
    <w:p w14:paraId="53C31572" w14:textId="24893BAE" w:rsidR="00081BB4" w:rsidRPr="00081BB4" w:rsidRDefault="00081BB4">
      <w:pPr>
        <w:pStyle w:val="FootnoteText"/>
        <w:rPr>
          <w:sz w:val="22"/>
          <w:szCs w:val="22"/>
        </w:rPr>
      </w:pPr>
      <w:r w:rsidRPr="00081BB4">
        <w:rPr>
          <w:rStyle w:val="FootnoteReference"/>
          <w:sz w:val="22"/>
          <w:szCs w:val="22"/>
        </w:rPr>
        <w:footnoteRef/>
      </w:r>
      <w:r w:rsidRPr="00081BB4">
        <w:rPr>
          <w:sz w:val="22"/>
          <w:szCs w:val="22"/>
        </w:rPr>
        <w:t xml:space="preserve"> A</w:t>
      </w:r>
      <w:r w:rsidR="008D78AC">
        <w:rPr>
          <w:sz w:val="22"/>
          <w:szCs w:val="22"/>
        </w:rPr>
        <w:t xml:space="preserve">n expanded </w:t>
      </w:r>
      <w:r w:rsidRPr="00081BB4">
        <w:rPr>
          <w:sz w:val="22"/>
          <w:szCs w:val="22"/>
        </w:rPr>
        <w:t xml:space="preserve">history of Act 129 can be found at pages 2-6 of the </w:t>
      </w:r>
      <w:r w:rsidRPr="00081BB4">
        <w:rPr>
          <w:i/>
          <w:iCs/>
          <w:sz w:val="22"/>
          <w:szCs w:val="22"/>
        </w:rPr>
        <w:t>Phase IV Final Implementation Order.</w:t>
      </w:r>
    </w:p>
  </w:footnote>
  <w:footnote w:id="4">
    <w:p w14:paraId="7AFA794E" w14:textId="098CA031" w:rsidR="00F146A7" w:rsidRDefault="00F146A7">
      <w:pPr>
        <w:pStyle w:val="FootnoteText"/>
      </w:pPr>
      <w:r w:rsidRPr="00FE39FC">
        <w:rPr>
          <w:rStyle w:val="FootnoteReference"/>
          <w:sz w:val="22"/>
          <w:szCs w:val="22"/>
        </w:rPr>
        <w:footnoteRef/>
      </w:r>
      <w:r w:rsidRPr="00FE39FC">
        <w:rPr>
          <w:sz w:val="22"/>
          <w:szCs w:val="22"/>
        </w:rPr>
        <w:t xml:space="preserve"> Since with this Order we deny IECPA’s Petition and take no action to rescind or amend our </w:t>
      </w:r>
      <w:r w:rsidRPr="00FE39FC">
        <w:rPr>
          <w:i/>
          <w:iCs/>
          <w:sz w:val="22"/>
          <w:szCs w:val="22"/>
        </w:rPr>
        <w:t>Phase IV Implementation Order</w:t>
      </w:r>
      <w:r w:rsidRPr="00FE39FC">
        <w:rPr>
          <w:sz w:val="22"/>
          <w:szCs w:val="22"/>
        </w:rPr>
        <w:t xml:space="preserve">, we will, pursuant to Section 1.2(a) of our regulations (52 Pa. Code § 1.2(a)), treat the Petitions to Intervene </w:t>
      </w:r>
      <w:r w:rsidR="00783524">
        <w:rPr>
          <w:sz w:val="22"/>
          <w:szCs w:val="22"/>
        </w:rPr>
        <w:t xml:space="preserve">and Petitions for Admission </w:t>
      </w:r>
      <w:r w:rsidR="00783524" w:rsidRPr="00FE39FC">
        <w:rPr>
          <w:i/>
          <w:iCs/>
          <w:sz w:val="22"/>
          <w:szCs w:val="22"/>
        </w:rPr>
        <w:t xml:space="preserve">Pro </w:t>
      </w:r>
      <w:proofErr w:type="spellStart"/>
      <w:r w:rsidR="00783524" w:rsidRPr="00FE39FC">
        <w:rPr>
          <w:i/>
          <w:iCs/>
          <w:sz w:val="22"/>
          <w:szCs w:val="22"/>
        </w:rPr>
        <w:t>Hac</w:t>
      </w:r>
      <w:proofErr w:type="spellEnd"/>
      <w:r w:rsidR="00783524" w:rsidRPr="00FE39FC">
        <w:rPr>
          <w:i/>
          <w:iCs/>
          <w:sz w:val="22"/>
          <w:szCs w:val="22"/>
        </w:rPr>
        <w:t xml:space="preserve"> Vice</w:t>
      </w:r>
      <w:r w:rsidR="00783524">
        <w:rPr>
          <w:sz w:val="22"/>
          <w:szCs w:val="22"/>
        </w:rPr>
        <w:t xml:space="preserve"> </w:t>
      </w:r>
      <w:r w:rsidRPr="00FE39FC">
        <w:rPr>
          <w:sz w:val="22"/>
          <w:szCs w:val="22"/>
        </w:rPr>
        <w:t xml:space="preserve">filed at this docket as part of those entities’ Answers to the IEPCA Petition.  We find that this action does not prejudice the substantive rights of the entities that filed Petitions to Intervene, since their arguments were considered and disposed of in our </w:t>
      </w:r>
      <w:r w:rsidRPr="00FE39FC">
        <w:rPr>
          <w:i/>
          <w:iCs/>
          <w:sz w:val="22"/>
          <w:szCs w:val="22"/>
        </w:rPr>
        <w:t>Phase IV Implementation Order</w:t>
      </w:r>
      <w:r w:rsidRPr="00FE39FC">
        <w:rPr>
          <w:sz w:val="22"/>
          <w:szCs w:val="22"/>
        </w:rPr>
        <w:t>.</w:t>
      </w:r>
    </w:p>
  </w:footnote>
  <w:footnote w:id="5">
    <w:p w14:paraId="41BE168A" w14:textId="5AEB3E16" w:rsidR="00D6270F" w:rsidRPr="00A60CCE" w:rsidRDefault="00D6270F">
      <w:pPr>
        <w:pStyle w:val="FootnoteText"/>
        <w:rPr>
          <w:sz w:val="22"/>
          <w:szCs w:val="22"/>
        </w:rPr>
      </w:pPr>
      <w:r w:rsidRPr="00A60CCE">
        <w:rPr>
          <w:rStyle w:val="FootnoteReference"/>
          <w:sz w:val="22"/>
          <w:szCs w:val="22"/>
        </w:rPr>
        <w:footnoteRef/>
      </w:r>
      <w:r w:rsidRPr="00A60CCE">
        <w:rPr>
          <w:sz w:val="22"/>
          <w:szCs w:val="22"/>
        </w:rPr>
        <w:t xml:space="preserve"> </w:t>
      </w:r>
      <w:r w:rsidR="00635903" w:rsidRPr="00A60CCE">
        <w:rPr>
          <w:sz w:val="22"/>
          <w:szCs w:val="22"/>
        </w:rPr>
        <w:t>IECPA cite</w:t>
      </w:r>
      <w:r w:rsidR="00A60CCE" w:rsidRPr="00A60CCE">
        <w:rPr>
          <w:sz w:val="22"/>
          <w:szCs w:val="22"/>
        </w:rPr>
        <w:t>s</w:t>
      </w:r>
      <w:r w:rsidR="00635903" w:rsidRPr="00A60CCE">
        <w:rPr>
          <w:sz w:val="22"/>
          <w:szCs w:val="22"/>
        </w:rPr>
        <w:t xml:space="preserve"> our </w:t>
      </w:r>
      <w:r w:rsidR="00425ABC" w:rsidRPr="00425ABC">
        <w:rPr>
          <w:i/>
          <w:iCs/>
          <w:sz w:val="22"/>
          <w:szCs w:val="22"/>
        </w:rPr>
        <w:t>March 20, 2020</w:t>
      </w:r>
      <w:r w:rsidR="00425ABC">
        <w:rPr>
          <w:sz w:val="22"/>
          <w:szCs w:val="22"/>
        </w:rPr>
        <w:t xml:space="preserve"> </w:t>
      </w:r>
      <w:r w:rsidR="00635903" w:rsidRPr="00A60CCE">
        <w:rPr>
          <w:i/>
          <w:iCs/>
          <w:sz w:val="22"/>
          <w:szCs w:val="22"/>
        </w:rPr>
        <w:t>Emergency Order</w:t>
      </w:r>
      <w:r w:rsidR="00635903" w:rsidRPr="00A60CCE">
        <w:rPr>
          <w:sz w:val="22"/>
          <w:szCs w:val="22"/>
        </w:rPr>
        <w:t xml:space="preserve"> as support for its argument that the Phase IV </w:t>
      </w:r>
      <w:r w:rsidR="004E254E" w:rsidRPr="00A60CCE">
        <w:rPr>
          <w:sz w:val="22"/>
          <w:szCs w:val="22"/>
        </w:rPr>
        <w:t>program schedules and deadlines are regulatory functions</w:t>
      </w:r>
      <w:r w:rsidR="00416620" w:rsidRPr="00A60CCE">
        <w:rPr>
          <w:sz w:val="22"/>
          <w:szCs w:val="22"/>
        </w:rPr>
        <w:t xml:space="preserve"> and not statutory deadlines.</w:t>
      </w:r>
      <w:r w:rsidR="009E494A" w:rsidRPr="00A60CCE">
        <w:rPr>
          <w:sz w:val="22"/>
          <w:szCs w:val="22"/>
        </w:rPr>
        <w:t xml:space="preserve"> </w:t>
      </w:r>
      <w:r w:rsidR="00991A12">
        <w:rPr>
          <w:sz w:val="22"/>
          <w:szCs w:val="22"/>
        </w:rPr>
        <w:t xml:space="preserve"> </w:t>
      </w:r>
      <w:r w:rsidR="006E1A64">
        <w:rPr>
          <w:sz w:val="22"/>
          <w:szCs w:val="22"/>
        </w:rPr>
        <w:t>The</w:t>
      </w:r>
      <w:r w:rsidR="00412286" w:rsidRPr="00412286">
        <w:rPr>
          <w:sz w:val="22"/>
          <w:szCs w:val="22"/>
        </w:rPr>
        <w:t xml:space="preserve"> Industrial Customers cite the Commission’s </w:t>
      </w:r>
      <w:r w:rsidR="00412286" w:rsidRPr="00412286">
        <w:rPr>
          <w:i/>
          <w:iCs/>
          <w:sz w:val="22"/>
          <w:szCs w:val="22"/>
        </w:rPr>
        <w:t xml:space="preserve">March 20, 2020 Emergency Order </w:t>
      </w:r>
      <w:r w:rsidR="00412286" w:rsidRPr="00412286">
        <w:rPr>
          <w:sz w:val="22"/>
          <w:szCs w:val="22"/>
        </w:rPr>
        <w:t xml:space="preserve">as support that the Commission has discretionary authority to suspend certain regulatory and statutory deadlines that would permit the Commission to grant IECPA’s Petition.  Industrial Customers at 7. </w:t>
      </w:r>
      <w:r w:rsidR="001D5E01">
        <w:rPr>
          <w:sz w:val="22"/>
          <w:szCs w:val="22"/>
        </w:rPr>
        <w:t xml:space="preserve"> </w:t>
      </w:r>
      <w:r w:rsidR="00390409">
        <w:rPr>
          <w:sz w:val="22"/>
          <w:szCs w:val="22"/>
        </w:rPr>
        <w:t xml:space="preserve"> </w:t>
      </w:r>
      <w:r w:rsidR="006D4A93" w:rsidRPr="00A60CCE">
        <w:rPr>
          <w:sz w:val="22"/>
          <w:szCs w:val="22"/>
        </w:rPr>
        <w:t xml:space="preserve"> </w:t>
      </w:r>
    </w:p>
  </w:footnote>
  <w:footnote w:id="6">
    <w:p w14:paraId="3D86176E" w14:textId="0F922760" w:rsidR="00414BE7" w:rsidRDefault="00414BE7">
      <w:pPr>
        <w:pStyle w:val="FootnoteText"/>
      </w:pPr>
      <w:r w:rsidRPr="00FE39FC">
        <w:rPr>
          <w:rStyle w:val="FootnoteReference"/>
          <w:sz w:val="22"/>
          <w:szCs w:val="22"/>
        </w:rPr>
        <w:footnoteRef/>
      </w:r>
      <w:r w:rsidRPr="00FE39FC">
        <w:rPr>
          <w:sz w:val="22"/>
          <w:szCs w:val="22"/>
        </w:rPr>
        <w:t xml:space="preserve"> </w:t>
      </w:r>
      <w:r>
        <w:rPr>
          <w:sz w:val="22"/>
          <w:szCs w:val="22"/>
        </w:rPr>
        <w:t>O</w:t>
      </w:r>
      <w:r w:rsidRPr="00FE39FC">
        <w:rPr>
          <w:sz w:val="22"/>
          <w:szCs w:val="22"/>
        </w:rPr>
        <w:t xml:space="preserve">n June 3, 2020, we issued our Order granting EAP’s Petition.  </w:t>
      </w:r>
      <w:r w:rsidRPr="00FE39FC">
        <w:rPr>
          <w:i/>
          <w:iCs/>
          <w:sz w:val="22"/>
          <w:szCs w:val="22"/>
        </w:rPr>
        <w:t>Petition to Amend the Commission’s June 19, 2015 Implementation Order</w:t>
      </w:r>
      <w:r w:rsidRPr="00FE39FC">
        <w:rPr>
          <w:sz w:val="22"/>
          <w:szCs w:val="22"/>
        </w:rPr>
        <w:t>, Docket No. M</w:t>
      </w:r>
      <w:r w:rsidRPr="00FE39FC">
        <w:rPr>
          <w:sz w:val="22"/>
          <w:szCs w:val="22"/>
        </w:rPr>
        <w:noBreakHyphen/>
        <w:t>2014</w:t>
      </w:r>
      <w:r w:rsidRPr="00FE39FC">
        <w:rPr>
          <w:sz w:val="22"/>
          <w:szCs w:val="22"/>
        </w:rPr>
        <w:noBreakHyphen/>
        <w:t>2424864 (Order entered June 3, 2020) (</w:t>
      </w:r>
      <w:r w:rsidRPr="00FE39FC">
        <w:rPr>
          <w:i/>
          <w:iCs/>
          <w:sz w:val="22"/>
          <w:szCs w:val="22"/>
        </w:rPr>
        <w:t>EAP Petition Order</w:t>
      </w:r>
      <w:r w:rsidRPr="00FE39FC">
        <w:rPr>
          <w:sz w:val="22"/>
          <w:szCs w:val="22"/>
        </w:rPr>
        <w:t xml:space="preserve">).  In granting EAP’s Petition, we modified our </w:t>
      </w:r>
      <w:r w:rsidRPr="00FE39FC">
        <w:rPr>
          <w:i/>
          <w:iCs/>
          <w:sz w:val="22"/>
          <w:szCs w:val="22"/>
        </w:rPr>
        <w:t>Phase III Implementation Order</w:t>
      </w:r>
      <w:r w:rsidRPr="00FE39FC">
        <w:rPr>
          <w:sz w:val="22"/>
          <w:szCs w:val="22"/>
        </w:rPr>
        <w:t xml:space="preserve"> </w:t>
      </w:r>
      <w:r w:rsidRPr="00FE39FC">
        <w:rPr>
          <w:bCs/>
          <w:sz w:val="22"/>
          <w:szCs w:val="22"/>
        </w:rPr>
        <w:t xml:space="preserve">to measure EDCs’ compliance with peak demand reduction (DR) targets based on EDC performance during the second, third, and fourth program years of Phase III (June 1, 2017 through May 31, 2020), and permit EDCs to implement approved DR programs on a voluntary basis for the fifth and final program year (June 1, 2020 through May 31, 2021).  </w:t>
      </w:r>
    </w:p>
  </w:footnote>
  <w:footnote w:id="7">
    <w:p w14:paraId="1F4BA598" w14:textId="3112F5D7" w:rsidR="005B6171" w:rsidRPr="00B2791D" w:rsidRDefault="005B6171" w:rsidP="005B6171">
      <w:pPr>
        <w:pStyle w:val="FootnoteText"/>
        <w:rPr>
          <w:sz w:val="22"/>
          <w:szCs w:val="22"/>
        </w:rPr>
      </w:pPr>
      <w:r w:rsidRPr="00B2791D">
        <w:rPr>
          <w:rStyle w:val="FootnoteReference"/>
          <w:sz w:val="22"/>
          <w:szCs w:val="22"/>
        </w:rPr>
        <w:footnoteRef/>
      </w:r>
      <w:r w:rsidRPr="00B2791D">
        <w:rPr>
          <w:sz w:val="22"/>
          <w:szCs w:val="22"/>
        </w:rPr>
        <w:t xml:space="preserve"> </w:t>
      </w:r>
      <w:r w:rsidRPr="005B6171">
        <w:rPr>
          <w:sz w:val="22"/>
          <w:szCs w:val="22"/>
        </w:rPr>
        <w:t>Governor Wolf’s Proclamation of Disaster Emergency issued on March 6, 2020 in response to the COVID-19 pandemic (</w:t>
      </w:r>
      <w:r w:rsidRPr="005B6171">
        <w:rPr>
          <w:i/>
          <w:iCs/>
          <w:sz w:val="22"/>
          <w:szCs w:val="22"/>
        </w:rPr>
        <w:t>Emergency Proclamation</w:t>
      </w:r>
      <w:r w:rsidRPr="005B6171">
        <w:rPr>
          <w:sz w:val="22"/>
          <w:szCs w:val="22"/>
        </w:rPr>
        <w:t>) authorized and directed the suspension of “the provisions of any regulatory statute prescribing the procedures for conduct of Commonwealth business,</w:t>
      </w:r>
      <w:r w:rsidRPr="005B6171">
        <w:rPr>
          <w:b/>
          <w:bCs/>
          <w:sz w:val="22"/>
          <w:szCs w:val="22"/>
        </w:rPr>
        <w:t xml:space="preserve"> </w:t>
      </w:r>
      <w:r w:rsidRPr="005B6171">
        <w:rPr>
          <w:sz w:val="22"/>
          <w:szCs w:val="22"/>
        </w:rPr>
        <w:t xml:space="preserve">or the orders, rules or regulations of any Commonwealth agency, if strict compliance with the provisions . . . would in any </w:t>
      </w:r>
      <w:r w:rsidRPr="00F26BEB">
        <w:rPr>
          <w:sz w:val="22"/>
          <w:szCs w:val="22"/>
        </w:rPr>
        <w:t xml:space="preserve">way prevent, hinder, or delay necessary action in coping with this emergency.”  A copy of the </w:t>
      </w:r>
      <w:r w:rsidRPr="00F26BEB">
        <w:rPr>
          <w:i/>
          <w:iCs/>
          <w:sz w:val="22"/>
          <w:szCs w:val="22"/>
        </w:rPr>
        <w:t>Emergency Proclamation</w:t>
      </w:r>
      <w:r w:rsidRPr="00F26BEB">
        <w:rPr>
          <w:sz w:val="22"/>
          <w:szCs w:val="22"/>
        </w:rPr>
        <w:t xml:space="preserve"> can be viewed at: </w:t>
      </w:r>
      <w:hyperlink r:id="rId1" w:history="1">
        <w:r w:rsidRPr="00F26BEB">
          <w:rPr>
            <w:rStyle w:val="Hyperlink"/>
            <w:color w:val="auto"/>
            <w:sz w:val="22"/>
            <w:szCs w:val="22"/>
          </w:rPr>
          <w:t>https://www.governor.pa.gov/wp-content/uploads/2020/03/20200306-COVID19-Digital-Proclamation.pdf</w:t>
        </w:r>
      </w:hyperlink>
      <w:r w:rsidRPr="00F26BEB">
        <w:rPr>
          <w:sz w:val="22"/>
          <w:szCs w:val="22"/>
        </w:rPr>
        <w:t xml:space="preserve"> </w:t>
      </w:r>
    </w:p>
  </w:footnote>
  <w:footnote w:id="8">
    <w:p w14:paraId="40157829" w14:textId="696A775D" w:rsidR="00C35AE2" w:rsidRPr="00F26BEB" w:rsidRDefault="00C35AE2">
      <w:pPr>
        <w:pStyle w:val="FootnoteText"/>
      </w:pPr>
      <w:r w:rsidRPr="00F26BEB">
        <w:rPr>
          <w:rStyle w:val="FootnoteReference"/>
          <w:sz w:val="22"/>
          <w:szCs w:val="22"/>
        </w:rPr>
        <w:footnoteRef/>
      </w:r>
      <w:r w:rsidRPr="00F26BEB">
        <w:rPr>
          <w:sz w:val="22"/>
          <w:szCs w:val="22"/>
        </w:rPr>
        <w:t xml:space="preserve"> </w:t>
      </w:r>
      <w:r w:rsidRPr="00F26BEB">
        <w:rPr>
          <w:i/>
          <w:iCs/>
          <w:sz w:val="22"/>
          <w:szCs w:val="22"/>
        </w:rPr>
        <w:t xml:space="preserve">Order of the </w:t>
      </w:r>
      <w:r w:rsidR="00A04315" w:rsidRPr="00F26BEB">
        <w:rPr>
          <w:i/>
          <w:iCs/>
          <w:sz w:val="22"/>
          <w:szCs w:val="22"/>
        </w:rPr>
        <w:t>Governor of the Commonwealth of Pennsylvania for Limited Opening of Businesses, Lifting of Stay at Home Requirements, and Continued Aggressive Mitigation Efforts</w:t>
      </w:r>
      <w:r w:rsidR="000750CA" w:rsidRPr="00F26BEB">
        <w:rPr>
          <w:sz w:val="22"/>
          <w:szCs w:val="22"/>
        </w:rPr>
        <w:t xml:space="preserve">, Commonwealth of Pennsylvania, Office of the Governor (May </w:t>
      </w:r>
      <w:r w:rsidR="005D35C7" w:rsidRPr="00F26BEB">
        <w:rPr>
          <w:sz w:val="22"/>
          <w:szCs w:val="22"/>
        </w:rPr>
        <w:t xml:space="preserve">7, 2020), available at: </w:t>
      </w:r>
      <w:hyperlink r:id="rId2" w:history="1">
        <w:r w:rsidR="005D35C7" w:rsidRPr="00F26BEB">
          <w:rPr>
            <w:rStyle w:val="Hyperlink"/>
            <w:color w:val="auto"/>
            <w:sz w:val="22"/>
            <w:szCs w:val="22"/>
          </w:rPr>
          <w:t>https://www.governor.pa.gov/wp-content/uploads/2020/05/20200507-TWW-Yellow-Phase-Order.pdf</w:t>
        </w:r>
      </w:hyperlink>
      <w:r w:rsidR="005D35C7" w:rsidRPr="00F26BEB">
        <w:rPr>
          <w:sz w:val="22"/>
          <w:szCs w:val="22"/>
        </w:rPr>
        <w:t xml:space="preserve">. </w:t>
      </w:r>
    </w:p>
  </w:footnote>
  <w:footnote w:id="9">
    <w:p w14:paraId="6D01F922" w14:textId="62AF42EC" w:rsidR="001D0CBE" w:rsidRPr="00F26BEB" w:rsidRDefault="001D0CBE">
      <w:pPr>
        <w:pStyle w:val="FootnoteText"/>
        <w:rPr>
          <w:sz w:val="22"/>
          <w:szCs w:val="22"/>
        </w:rPr>
      </w:pPr>
      <w:r w:rsidRPr="00F26BEB">
        <w:rPr>
          <w:rStyle w:val="FootnoteReference"/>
          <w:sz w:val="22"/>
          <w:szCs w:val="22"/>
        </w:rPr>
        <w:footnoteRef/>
      </w:r>
      <w:r w:rsidRPr="00F26BEB">
        <w:rPr>
          <w:sz w:val="22"/>
          <w:szCs w:val="22"/>
        </w:rPr>
        <w:t xml:space="preserve"> </w:t>
      </w:r>
      <w:r w:rsidR="006D315A" w:rsidRPr="00F26BEB">
        <w:rPr>
          <w:i/>
          <w:sz w:val="22"/>
          <w:szCs w:val="22"/>
        </w:rPr>
        <w:t>Governor Wolf Green Phase Orders Updated to Include Last County Moving to Green on July 3</w:t>
      </w:r>
      <w:r w:rsidR="006D315A" w:rsidRPr="00F26BEB">
        <w:rPr>
          <w:iCs/>
          <w:sz w:val="22"/>
          <w:szCs w:val="22"/>
        </w:rPr>
        <w:t xml:space="preserve">, Commonwealth of Pennsylvania, Office of the Governor </w:t>
      </w:r>
      <w:r w:rsidR="008753B8" w:rsidRPr="00F26BEB">
        <w:rPr>
          <w:sz w:val="22"/>
          <w:szCs w:val="22"/>
        </w:rPr>
        <w:t xml:space="preserve"> (July 2, 2020) available at </w:t>
      </w:r>
      <w:hyperlink r:id="rId3" w:history="1">
        <w:r w:rsidR="00162127" w:rsidRPr="00F26BEB">
          <w:rPr>
            <w:rStyle w:val="Hyperlink"/>
            <w:color w:val="auto"/>
            <w:sz w:val="22"/>
            <w:szCs w:val="22"/>
          </w:rPr>
          <w:t>https://www.governor.pa.gov/newsroom/reopening-phase-orders-updated-to-include-last-county-moving-to-green-on-july-3/</w:t>
        </w:r>
      </w:hyperlink>
      <w:r w:rsidR="00973E0E" w:rsidRPr="00F26BEB">
        <w:rPr>
          <w:sz w:val="22"/>
          <w:szCs w:val="22"/>
        </w:rPr>
        <w:t xml:space="preserve"> </w:t>
      </w:r>
    </w:p>
    <w:p w14:paraId="78A74739" w14:textId="77777777" w:rsidR="00C97648" w:rsidRPr="00D95DBC" w:rsidRDefault="00C97648">
      <w:pPr>
        <w:pStyle w:val="FootnoteText"/>
        <w:rPr>
          <w:sz w:val="22"/>
          <w:szCs w:val="22"/>
        </w:rPr>
      </w:pPr>
    </w:p>
  </w:footnote>
  <w:footnote w:id="10">
    <w:p w14:paraId="62B0A388" w14:textId="02E42E26" w:rsidR="00976B60" w:rsidRPr="00726F7E" w:rsidRDefault="00976B60" w:rsidP="00976B60">
      <w:pPr>
        <w:pStyle w:val="FootnoteText"/>
        <w:rPr>
          <w:sz w:val="22"/>
          <w:szCs w:val="22"/>
        </w:rPr>
      </w:pPr>
      <w:r w:rsidRPr="00D95DBC">
        <w:rPr>
          <w:rStyle w:val="FootnoteReference"/>
          <w:sz w:val="22"/>
          <w:szCs w:val="22"/>
        </w:rPr>
        <w:footnoteRef/>
      </w:r>
      <w:r w:rsidRPr="00D95DBC">
        <w:rPr>
          <w:sz w:val="22"/>
          <w:szCs w:val="22"/>
        </w:rPr>
        <w:t xml:space="preserve"> </w:t>
      </w:r>
      <w:r w:rsidRPr="00D95DBC">
        <w:rPr>
          <w:i/>
          <w:sz w:val="22"/>
          <w:szCs w:val="22"/>
        </w:rPr>
        <w:t>Process to Reopen Pennsylvania</w:t>
      </w:r>
      <w:r w:rsidRPr="00D95DBC">
        <w:rPr>
          <w:sz w:val="22"/>
          <w:szCs w:val="22"/>
        </w:rPr>
        <w:t xml:space="preserve">, Commonwealth of Pennsylvania, Office of the Governor </w:t>
      </w:r>
      <w:r w:rsidRPr="00D95DBC">
        <w:rPr>
          <w:sz w:val="22"/>
          <w:szCs w:val="22"/>
        </w:rPr>
        <w:br/>
        <w:t xml:space="preserve">(Last updated </w:t>
      </w:r>
      <w:r w:rsidR="00852912" w:rsidRPr="00D95DBC">
        <w:rPr>
          <w:sz w:val="22"/>
          <w:szCs w:val="22"/>
        </w:rPr>
        <w:t>October 1, 2020</w:t>
      </w:r>
      <w:r w:rsidRPr="00D95DBC">
        <w:rPr>
          <w:sz w:val="22"/>
          <w:szCs w:val="22"/>
        </w:rPr>
        <w:t xml:space="preserve">) available at </w:t>
      </w:r>
      <w:hyperlink r:id="rId4" w:history="1">
        <w:r w:rsidRPr="00D95DBC">
          <w:rPr>
            <w:rStyle w:val="Hyperlink"/>
            <w:color w:val="auto"/>
            <w:sz w:val="22"/>
            <w:szCs w:val="22"/>
          </w:rPr>
          <w:t>https://www.governor.pa.gov/process-to-reopen-pennsylvania/</w:t>
        </w:r>
      </w:hyperlink>
      <w:r w:rsidRPr="00D95DBC">
        <w:rPr>
          <w:sz w:val="22"/>
          <w:szCs w:val="22"/>
        </w:rPr>
        <w:t xml:space="preserve">. </w:t>
      </w:r>
    </w:p>
  </w:footnote>
  <w:footnote w:id="11">
    <w:p w14:paraId="06296D2E" w14:textId="362E1701" w:rsidR="001F0ED0" w:rsidRPr="00726F7E" w:rsidRDefault="001F0ED0" w:rsidP="001F0ED0">
      <w:pPr>
        <w:pStyle w:val="FootnoteText"/>
        <w:rPr>
          <w:sz w:val="22"/>
          <w:szCs w:val="22"/>
        </w:rPr>
      </w:pPr>
      <w:r w:rsidRPr="005B3D5E">
        <w:rPr>
          <w:rStyle w:val="FootnoteReference"/>
          <w:sz w:val="22"/>
          <w:szCs w:val="22"/>
        </w:rPr>
        <w:footnoteRef/>
      </w:r>
      <w:r w:rsidRPr="005B3D5E">
        <w:rPr>
          <w:sz w:val="22"/>
          <w:szCs w:val="22"/>
        </w:rPr>
        <w:t xml:space="preserve"> </w:t>
      </w:r>
      <w:r w:rsidR="007D73EE" w:rsidRPr="00726F7E">
        <w:rPr>
          <w:i/>
          <w:sz w:val="22"/>
          <w:szCs w:val="22"/>
        </w:rPr>
        <w:t>Id.</w:t>
      </w:r>
      <w:r w:rsidRPr="00726F7E">
        <w:rPr>
          <w:sz w:val="22"/>
          <w:szCs w:val="22"/>
        </w:rPr>
        <w:t xml:space="preserve"> </w:t>
      </w:r>
    </w:p>
  </w:footnote>
  <w:footnote w:id="12">
    <w:p w14:paraId="57514334" w14:textId="46D193EC" w:rsidR="00D2681B" w:rsidRDefault="00D2681B" w:rsidP="00D2681B">
      <w:pPr>
        <w:pStyle w:val="FootnoteText"/>
      </w:pPr>
      <w:r w:rsidRPr="0094105C">
        <w:rPr>
          <w:rStyle w:val="FootnoteReference"/>
          <w:sz w:val="22"/>
          <w:szCs w:val="22"/>
        </w:rPr>
        <w:footnoteRef/>
      </w:r>
      <w:r w:rsidRPr="0094105C">
        <w:rPr>
          <w:sz w:val="22"/>
          <w:szCs w:val="22"/>
        </w:rPr>
        <w:t xml:space="preserve"> We note that EDCs that filed responses to IECPA’s Petition, while not opposed the potential waiver of Act 129 penalties, </w:t>
      </w:r>
      <w:r w:rsidR="00282106">
        <w:rPr>
          <w:sz w:val="22"/>
          <w:szCs w:val="22"/>
        </w:rPr>
        <w:t xml:space="preserve">and some </w:t>
      </w:r>
      <w:r w:rsidR="002103B2">
        <w:rPr>
          <w:sz w:val="22"/>
          <w:szCs w:val="22"/>
        </w:rPr>
        <w:t>asserted</w:t>
      </w:r>
      <w:r w:rsidRPr="0094105C">
        <w:rPr>
          <w:sz w:val="22"/>
          <w:szCs w:val="22"/>
        </w:rPr>
        <w:t xml:space="preserve"> that they were on target to meet existing Phase III consumption reduction requirements, and would prefer to wait until there exists a better understanding of the ultimate financial impact of COVID-19 before requesting modification or waiver of penalties.  </w:t>
      </w:r>
      <w:r w:rsidRPr="0094105C">
        <w:rPr>
          <w:i/>
          <w:iCs/>
          <w:sz w:val="22"/>
          <w:szCs w:val="22"/>
        </w:rPr>
        <w:t xml:space="preserve">See </w:t>
      </w:r>
      <w:r w:rsidRPr="0094105C">
        <w:rPr>
          <w:sz w:val="22"/>
          <w:szCs w:val="22"/>
        </w:rPr>
        <w:t xml:space="preserve">Page </w:t>
      </w:r>
      <w:r w:rsidR="00282106">
        <w:rPr>
          <w:sz w:val="22"/>
          <w:szCs w:val="22"/>
        </w:rPr>
        <w:t>18</w:t>
      </w:r>
      <w:r w:rsidR="007119F6">
        <w:rPr>
          <w:sz w:val="22"/>
          <w:szCs w:val="22"/>
        </w:rPr>
        <w:t>.</w:t>
      </w:r>
    </w:p>
  </w:footnote>
  <w:footnote w:id="13">
    <w:p w14:paraId="1F0889FE" w14:textId="2C7E6AA8" w:rsidR="00F3517C" w:rsidRPr="00FE39FC" w:rsidRDefault="00F3517C" w:rsidP="00FE39FC">
      <w:pPr>
        <w:suppressAutoHyphens w:val="0"/>
        <w:overflowPunct/>
        <w:autoSpaceDE/>
        <w:rPr>
          <w:sz w:val="22"/>
          <w:szCs w:val="22"/>
        </w:rPr>
      </w:pPr>
      <w:r w:rsidRPr="00FE39FC">
        <w:rPr>
          <w:rStyle w:val="FootnoteReference"/>
          <w:sz w:val="22"/>
          <w:szCs w:val="22"/>
        </w:rPr>
        <w:footnoteRef/>
      </w:r>
      <w:r w:rsidRPr="00FE39FC">
        <w:rPr>
          <w:sz w:val="22"/>
          <w:szCs w:val="22"/>
        </w:rPr>
        <w:t xml:space="preserve"> </w:t>
      </w:r>
      <w:r w:rsidR="00874FB0" w:rsidRPr="00FE39FC">
        <w:rPr>
          <w:i/>
          <w:iCs/>
          <w:sz w:val="22"/>
          <w:szCs w:val="22"/>
        </w:rPr>
        <w:t>W. Penn Power Co. v. Pa. PUC</w:t>
      </w:r>
      <w:r w:rsidR="00874FB0" w:rsidRPr="00FE39FC">
        <w:rPr>
          <w:sz w:val="22"/>
          <w:szCs w:val="22"/>
        </w:rPr>
        <w:t xml:space="preserve">, 219 A.3d 716, (Pa. </w:t>
      </w:r>
      <w:proofErr w:type="spellStart"/>
      <w:r w:rsidR="00874FB0" w:rsidRPr="00FE39FC">
        <w:rPr>
          <w:sz w:val="22"/>
          <w:szCs w:val="22"/>
        </w:rPr>
        <w:t>Cmwlth</w:t>
      </w:r>
      <w:proofErr w:type="spellEnd"/>
      <w:r w:rsidR="00874FB0" w:rsidRPr="00FE39FC">
        <w:rPr>
          <w:sz w:val="22"/>
          <w:szCs w:val="22"/>
        </w:rPr>
        <w:t>. 2019)</w:t>
      </w:r>
      <w:r w:rsidR="00CE49C0" w:rsidRPr="00FE39FC">
        <w:rPr>
          <w:sz w:val="22"/>
          <w:szCs w:val="22"/>
        </w:rPr>
        <w:t xml:space="preserve">, </w:t>
      </w:r>
      <w:r w:rsidR="00C51E7B" w:rsidRPr="00FE39FC">
        <w:rPr>
          <w:sz w:val="22"/>
          <w:szCs w:val="22"/>
        </w:rPr>
        <w:t xml:space="preserve">quoting </w:t>
      </w:r>
      <w:proofErr w:type="spellStart"/>
      <w:r w:rsidR="00C51E7B" w:rsidRPr="00FE39FC">
        <w:rPr>
          <w:i/>
          <w:iCs/>
          <w:sz w:val="22"/>
          <w:szCs w:val="22"/>
        </w:rPr>
        <w:t>Bobchock</w:t>
      </w:r>
      <w:proofErr w:type="spellEnd"/>
      <w:r w:rsidR="00C51E7B" w:rsidRPr="00FE39FC">
        <w:rPr>
          <w:i/>
          <w:iCs/>
          <w:sz w:val="22"/>
          <w:szCs w:val="22"/>
        </w:rPr>
        <w:t xml:space="preserve"> v. Unemployment Comp. Bd. of Review</w:t>
      </w:r>
      <w:r w:rsidR="00C51E7B" w:rsidRPr="00FE39FC">
        <w:rPr>
          <w:sz w:val="22"/>
          <w:szCs w:val="22"/>
        </w:rPr>
        <w:t xml:space="preserve">, 525 A.2d 463, 465 (Pa. </w:t>
      </w:r>
      <w:proofErr w:type="spellStart"/>
      <w:r w:rsidR="00C51E7B" w:rsidRPr="00FE39FC">
        <w:rPr>
          <w:sz w:val="22"/>
          <w:szCs w:val="22"/>
        </w:rPr>
        <w:t>Cmwlth</w:t>
      </w:r>
      <w:proofErr w:type="spellEnd"/>
      <w:r w:rsidR="00C51E7B" w:rsidRPr="00FE39FC">
        <w:rPr>
          <w:sz w:val="22"/>
          <w:szCs w:val="22"/>
        </w:rPr>
        <w:t>. 1987)</w:t>
      </w:r>
      <w:r w:rsidR="008D4F41" w:rsidRPr="008D4F41">
        <w:rPr>
          <w:sz w:val="22"/>
          <w:szCs w:val="22"/>
        </w:rPr>
        <w:t xml:space="preserve">, </w:t>
      </w:r>
      <w:r w:rsidR="008D4F41" w:rsidRPr="00B5129D">
        <w:rPr>
          <w:sz w:val="22"/>
          <w:szCs w:val="22"/>
        </w:rPr>
        <w:t xml:space="preserve">see also </w:t>
      </w:r>
      <w:r w:rsidR="008D4F41" w:rsidRPr="0000517E">
        <w:rPr>
          <w:i/>
          <w:iCs/>
          <w:sz w:val="22"/>
          <w:szCs w:val="22"/>
        </w:rPr>
        <w:t xml:space="preserve">W.J. </w:t>
      </w:r>
      <w:proofErr w:type="spellStart"/>
      <w:r w:rsidR="008D4F41" w:rsidRPr="0000517E">
        <w:rPr>
          <w:i/>
          <w:iCs/>
          <w:sz w:val="22"/>
          <w:szCs w:val="22"/>
        </w:rPr>
        <w:t>Menkins</w:t>
      </w:r>
      <w:proofErr w:type="spellEnd"/>
      <w:r w:rsidR="008D4F41" w:rsidRPr="0000517E">
        <w:rPr>
          <w:i/>
          <w:iCs/>
          <w:sz w:val="22"/>
          <w:szCs w:val="22"/>
        </w:rPr>
        <w:t xml:space="preserve"> Holdings, LLC v. Douglass Twp.</w:t>
      </w:r>
      <w:r w:rsidR="008D4F41" w:rsidRPr="0000517E">
        <w:rPr>
          <w:sz w:val="22"/>
          <w:szCs w:val="22"/>
        </w:rPr>
        <w:t>, 208 A.3d 190</w:t>
      </w:r>
      <w:r w:rsidR="00431AA4" w:rsidRPr="0000517E">
        <w:rPr>
          <w:sz w:val="22"/>
          <w:szCs w:val="22"/>
        </w:rPr>
        <w:t>, 199</w:t>
      </w:r>
      <w:r w:rsidR="008D4F41" w:rsidRPr="0000517E">
        <w:rPr>
          <w:sz w:val="22"/>
          <w:szCs w:val="22"/>
        </w:rPr>
        <w:t xml:space="preserve"> (Pa. </w:t>
      </w:r>
      <w:proofErr w:type="spellStart"/>
      <w:r w:rsidR="008D4F41" w:rsidRPr="0000517E">
        <w:rPr>
          <w:sz w:val="22"/>
          <w:szCs w:val="22"/>
        </w:rPr>
        <w:t>Cmwlth</w:t>
      </w:r>
      <w:proofErr w:type="spellEnd"/>
      <w:r w:rsidR="008D4F41" w:rsidRPr="0000517E">
        <w:rPr>
          <w:sz w:val="22"/>
          <w:szCs w:val="22"/>
        </w:rPr>
        <w:t>. 2019)</w:t>
      </w:r>
      <w:r w:rsidR="008D4F41" w:rsidRPr="00431AA4">
        <w:rPr>
          <w:sz w:val="22"/>
          <w:szCs w:val="22"/>
        </w:rPr>
        <w:t>.</w:t>
      </w:r>
    </w:p>
    <w:p w14:paraId="7CF61B2E" w14:textId="25A28561" w:rsidR="00F3517C" w:rsidRDefault="00F351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C78" w14:textId="6ECFF5BC" w:rsidR="00020AAB" w:rsidRDefault="00020AAB" w:rsidP="03E0B75C">
    <w:pPr>
      <w:ind w:firstLine="612"/>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076"/>
    <w:multiLevelType w:val="hybridMultilevel"/>
    <w:tmpl w:val="4832FFF8"/>
    <w:lvl w:ilvl="0" w:tplc="987089C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2566D"/>
    <w:multiLevelType w:val="hybridMultilevel"/>
    <w:tmpl w:val="A906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07538"/>
    <w:multiLevelType w:val="hybridMultilevel"/>
    <w:tmpl w:val="B5E0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4776F"/>
    <w:multiLevelType w:val="hybridMultilevel"/>
    <w:tmpl w:val="F5D0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703D1"/>
    <w:multiLevelType w:val="multilevel"/>
    <w:tmpl w:val="16E2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12"/>
    <w:rsid w:val="000013E7"/>
    <w:rsid w:val="00004CA4"/>
    <w:rsid w:val="0000517E"/>
    <w:rsid w:val="0000658F"/>
    <w:rsid w:val="0000666F"/>
    <w:rsid w:val="00007290"/>
    <w:rsid w:val="000130E4"/>
    <w:rsid w:val="000133BC"/>
    <w:rsid w:val="00013F07"/>
    <w:rsid w:val="00014347"/>
    <w:rsid w:val="00014828"/>
    <w:rsid w:val="000150E2"/>
    <w:rsid w:val="000169E3"/>
    <w:rsid w:val="000171CA"/>
    <w:rsid w:val="000178D8"/>
    <w:rsid w:val="00020AAB"/>
    <w:rsid w:val="00021752"/>
    <w:rsid w:val="00022A8E"/>
    <w:rsid w:val="00024E96"/>
    <w:rsid w:val="00030876"/>
    <w:rsid w:val="00030FA6"/>
    <w:rsid w:val="00031708"/>
    <w:rsid w:val="000338F9"/>
    <w:rsid w:val="000342F9"/>
    <w:rsid w:val="00034A31"/>
    <w:rsid w:val="000356DA"/>
    <w:rsid w:val="000404AB"/>
    <w:rsid w:val="00040ADD"/>
    <w:rsid w:val="00041749"/>
    <w:rsid w:val="0004323B"/>
    <w:rsid w:val="00044A73"/>
    <w:rsid w:val="00044FEF"/>
    <w:rsid w:val="000454EF"/>
    <w:rsid w:val="00050655"/>
    <w:rsid w:val="0005424F"/>
    <w:rsid w:val="0005762D"/>
    <w:rsid w:val="0005775F"/>
    <w:rsid w:val="000579D5"/>
    <w:rsid w:val="00060032"/>
    <w:rsid w:val="00062192"/>
    <w:rsid w:val="00065220"/>
    <w:rsid w:val="000657D5"/>
    <w:rsid w:val="00065C61"/>
    <w:rsid w:val="000705B7"/>
    <w:rsid w:val="0007061C"/>
    <w:rsid w:val="00070C01"/>
    <w:rsid w:val="000725B2"/>
    <w:rsid w:val="00072F49"/>
    <w:rsid w:val="000750CA"/>
    <w:rsid w:val="0007739F"/>
    <w:rsid w:val="000773A0"/>
    <w:rsid w:val="000802D3"/>
    <w:rsid w:val="000808C4"/>
    <w:rsid w:val="00080C6C"/>
    <w:rsid w:val="00081BB4"/>
    <w:rsid w:val="000839A3"/>
    <w:rsid w:val="000853EA"/>
    <w:rsid w:val="0008740A"/>
    <w:rsid w:val="00090E1A"/>
    <w:rsid w:val="00092030"/>
    <w:rsid w:val="0009217C"/>
    <w:rsid w:val="00094FEC"/>
    <w:rsid w:val="00095A78"/>
    <w:rsid w:val="00097532"/>
    <w:rsid w:val="000A0765"/>
    <w:rsid w:val="000A12DB"/>
    <w:rsid w:val="000A1710"/>
    <w:rsid w:val="000A1F52"/>
    <w:rsid w:val="000A3F12"/>
    <w:rsid w:val="000A457E"/>
    <w:rsid w:val="000A567B"/>
    <w:rsid w:val="000B1D6E"/>
    <w:rsid w:val="000B3554"/>
    <w:rsid w:val="000B4EE7"/>
    <w:rsid w:val="000B541B"/>
    <w:rsid w:val="000B5C58"/>
    <w:rsid w:val="000B6694"/>
    <w:rsid w:val="000B73A4"/>
    <w:rsid w:val="000B7E9C"/>
    <w:rsid w:val="000C3CEC"/>
    <w:rsid w:val="000D0559"/>
    <w:rsid w:val="000D0E2D"/>
    <w:rsid w:val="000D1956"/>
    <w:rsid w:val="000D1B39"/>
    <w:rsid w:val="000D26A2"/>
    <w:rsid w:val="000D2B16"/>
    <w:rsid w:val="000D4FAE"/>
    <w:rsid w:val="000D5999"/>
    <w:rsid w:val="000D7ABC"/>
    <w:rsid w:val="000E0FBC"/>
    <w:rsid w:val="000E184C"/>
    <w:rsid w:val="000E1B0D"/>
    <w:rsid w:val="000E28E2"/>
    <w:rsid w:val="000E574C"/>
    <w:rsid w:val="000E760F"/>
    <w:rsid w:val="000E7E3D"/>
    <w:rsid w:val="000F2149"/>
    <w:rsid w:val="000F530A"/>
    <w:rsid w:val="000F5A6E"/>
    <w:rsid w:val="000F5DE2"/>
    <w:rsid w:val="000F701E"/>
    <w:rsid w:val="001012A0"/>
    <w:rsid w:val="00101AD7"/>
    <w:rsid w:val="00102910"/>
    <w:rsid w:val="00103313"/>
    <w:rsid w:val="001038D8"/>
    <w:rsid w:val="00104011"/>
    <w:rsid w:val="00113D83"/>
    <w:rsid w:val="0011421F"/>
    <w:rsid w:val="00114DE6"/>
    <w:rsid w:val="0011603C"/>
    <w:rsid w:val="00116F73"/>
    <w:rsid w:val="001177E2"/>
    <w:rsid w:val="00120293"/>
    <w:rsid w:val="00122077"/>
    <w:rsid w:val="00122CE2"/>
    <w:rsid w:val="00123B63"/>
    <w:rsid w:val="00123FA1"/>
    <w:rsid w:val="0012401C"/>
    <w:rsid w:val="00124B2C"/>
    <w:rsid w:val="001302EB"/>
    <w:rsid w:val="00134CEE"/>
    <w:rsid w:val="001362AE"/>
    <w:rsid w:val="00136A55"/>
    <w:rsid w:val="00140C29"/>
    <w:rsid w:val="001421C8"/>
    <w:rsid w:val="00144AFE"/>
    <w:rsid w:val="001458A6"/>
    <w:rsid w:val="00150B72"/>
    <w:rsid w:val="00151F24"/>
    <w:rsid w:val="0015313F"/>
    <w:rsid w:val="00153F52"/>
    <w:rsid w:val="00155E6A"/>
    <w:rsid w:val="00160FA7"/>
    <w:rsid w:val="00161616"/>
    <w:rsid w:val="00161ED2"/>
    <w:rsid w:val="00162127"/>
    <w:rsid w:val="00162B38"/>
    <w:rsid w:val="00163F7A"/>
    <w:rsid w:val="001643F1"/>
    <w:rsid w:val="0016471E"/>
    <w:rsid w:val="00170102"/>
    <w:rsid w:val="001737F9"/>
    <w:rsid w:val="0017405B"/>
    <w:rsid w:val="001750BC"/>
    <w:rsid w:val="00176861"/>
    <w:rsid w:val="00177F58"/>
    <w:rsid w:val="00181929"/>
    <w:rsid w:val="00183922"/>
    <w:rsid w:val="00184654"/>
    <w:rsid w:val="00184D36"/>
    <w:rsid w:val="0018697C"/>
    <w:rsid w:val="00191D38"/>
    <w:rsid w:val="00193275"/>
    <w:rsid w:val="001942E1"/>
    <w:rsid w:val="001A2A2D"/>
    <w:rsid w:val="001A2FAB"/>
    <w:rsid w:val="001A4A48"/>
    <w:rsid w:val="001A4EFD"/>
    <w:rsid w:val="001A52CA"/>
    <w:rsid w:val="001A666A"/>
    <w:rsid w:val="001B135F"/>
    <w:rsid w:val="001B2194"/>
    <w:rsid w:val="001B24C5"/>
    <w:rsid w:val="001B447D"/>
    <w:rsid w:val="001B6AA7"/>
    <w:rsid w:val="001B6C7C"/>
    <w:rsid w:val="001C0399"/>
    <w:rsid w:val="001C0F13"/>
    <w:rsid w:val="001C3407"/>
    <w:rsid w:val="001C4109"/>
    <w:rsid w:val="001C5AEB"/>
    <w:rsid w:val="001C695C"/>
    <w:rsid w:val="001C6B5E"/>
    <w:rsid w:val="001C745B"/>
    <w:rsid w:val="001D0CBE"/>
    <w:rsid w:val="001D4F45"/>
    <w:rsid w:val="001D5A57"/>
    <w:rsid w:val="001D5E01"/>
    <w:rsid w:val="001D6A44"/>
    <w:rsid w:val="001D735F"/>
    <w:rsid w:val="001D7920"/>
    <w:rsid w:val="001E0CED"/>
    <w:rsid w:val="001E1E05"/>
    <w:rsid w:val="001E2F30"/>
    <w:rsid w:val="001E56D5"/>
    <w:rsid w:val="001F0ED0"/>
    <w:rsid w:val="001F1615"/>
    <w:rsid w:val="001F41CF"/>
    <w:rsid w:val="001F60BA"/>
    <w:rsid w:val="001F74EC"/>
    <w:rsid w:val="002022AA"/>
    <w:rsid w:val="0020379C"/>
    <w:rsid w:val="00204130"/>
    <w:rsid w:val="002060E6"/>
    <w:rsid w:val="00207621"/>
    <w:rsid w:val="002103B2"/>
    <w:rsid w:val="00213F1A"/>
    <w:rsid w:val="00214DC0"/>
    <w:rsid w:val="00214FF5"/>
    <w:rsid w:val="00221B4F"/>
    <w:rsid w:val="00221EC9"/>
    <w:rsid w:val="0022224F"/>
    <w:rsid w:val="00226722"/>
    <w:rsid w:val="002278A6"/>
    <w:rsid w:val="00230580"/>
    <w:rsid w:val="002334FA"/>
    <w:rsid w:val="00233A45"/>
    <w:rsid w:val="00233CCA"/>
    <w:rsid w:val="00233F28"/>
    <w:rsid w:val="00235CBC"/>
    <w:rsid w:val="00240B3C"/>
    <w:rsid w:val="00241106"/>
    <w:rsid w:val="00243227"/>
    <w:rsid w:val="00244A77"/>
    <w:rsid w:val="00246651"/>
    <w:rsid w:val="00246704"/>
    <w:rsid w:val="00246CF6"/>
    <w:rsid w:val="00246D4D"/>
    <w:rsid w:val="002511F8"/>
    <w:rsid w:val="002519AA"/>
    <w:rsid w:val="00252755"/>
    <w:rsid w:val="00253EC5"/>
    <w:rsid w:val="00254533"/>
    <w:rsid w:val="00260C77"/>
    <w:rsid w:val="0026566F"/>
    <w:rsid w:val="002660CB"/>
    <w:rsid w:val="002664DE"/>
    <w:rsid w:val="0026677D"/>
    <w:rsid w:val="002668E7"/>
    <w:rsid w:val="0026762B"/>
    <w:rsid w:val="002722E7"/>
    <w:rsid w:val="00273CB0"/>
    <w:rsid w:val="0027439B"/>
    <w:rsid w:val="002749A1"/>
    <w:rsid w:val="00276C8F"/>
    <w:rsid w:val="00282106"/>
    <w:rsid w:val="00286921"/>
    <w:rsid w:val="00286C27"/>
    <w:rsid w:val="002906B8"/>
    <w:rsid w:val="0029204E"/>
    <w:rsid w:val="00294F1B"/>
    <w:rsid w:val="00295F2F"/>
    <w:rsid w:val="002A0523"/>
    <w:rsid w:val="002A3FCF"/>
    <w:rsid w:val="002A625D"/>
    <w:rsid w:val="002A7990"/>
    <w:rsid w:val="002B08F6"/>
    <w:rsid w:val="002B12C2"/>
    <w:rsid w:val="002B1D5C"/>
    <w:rsid w:val="002B1E0E"/>
    <w:rsid w:val="002B5966"/>
    <w:rsid w:val="002B64A7"/>
    <w:rsid w:val="002C1ABA"/>
    <w:rsid w:val="002C230B"/>
    <w:rsid w:val="002C3296"/>
    <w:rsid w:val="002C7A72"/>
    <w:rsid w:val="002D00A0"/>
    <w:rsid w:val="002D1762"/>
    <w:rsid w:val="002D2E47"/>
    <w:rsid w:val="002D3235"/>
    <w:rsid w:val="002D47C3"/>
    <w:rsid w:val="002D6264"/>
    <w:rsid w:val="002D648A"/>
    <w:rsid w:val="002E3601"/>
    <w:rsid w:val="002E6F0B"/>
    <w:rsid w:val="002F0258"/>
    <w:rsid w:val="002F3CFB"/>
    <w:rsid w:val="002F5688"/>
    <w:rsid w:val="002F6C3B"/>
    <w:rsid w:val="003001F9"/>
    <w:rsid w:val="00301FD8"/>
    <w:rsid w:val="00302192"/>
    <w:rsid w:val="003066E1"/>
    <w:rsid w:val="0030780C"/>
    <w:rsid w:val="00307C8A"/>
    <w:rsid w:val="003112B3"/>
    <w:rsid w:val="00312D06"/>
    <w:rsid w:val="00314A66"/>
    <w:rsid w:val="00314BB4"/>
    <w:rsid w:val="00315160"/>
    <w:rsid w:val="00315AD6"/>
    <w:rsid w:val="003163BE"/>
    <w:rsid w:val="0032073A"/>
    <w:rsid w:val="00321FB2"/>
    <w:rsid w:val="003243AA"/>
    <w:rsid w:val="0033027D"/>
    <w:rsid w:val="00331B57"/>
    <w:rsid w:val="00336696"/>
    <w:rsid w:val="00340B92"/>
    <w:rsid w:val="00340E17"/>
    <w:rsid w:val="00341567"/>
    <w:rsid w:val="0034245A"/>
    <w:rsid w:val="00342827"/>
    <w:rsid w:val="00342ADA"/>
    <w:rsid w:val="0034590E"/>
    <w:rsid w:val="00345C0C"/>
    <w:rsid w:val="00345EDD"/>
    <w:rsid w:val="00347DF9"/>
    <w:rsid w:val="0035197B"/>
    <w:rsid w:val="003522C3"/>
    <w:rsid w:val="00352DCD"/>
    <w:rsid w:val="0035526C"/>
    <w:rsid w:val="00355ABD"/>
    <w:rsid w:val="00355BCF"/>
    <w:rsid w:val="00355D83"/>
    <w:rsid w:val="00356058"/>
    <w:rsid w:val="0035619E"/>
    <w:rsid w:val="00356641"/>
    <w:rsid w:val="0035719D"/>
    <w:rsid w:val="00357D0F"/>
    <w:rsid w:val="00360705"/>
    <w:rsid w:val="003625F2"/>
    <w:rsid w:val="003627CC"/>
    <w:rsid w:val="00370740"/>
    <w:rsid w:val="00374FA2"/>
    <w:rsid w:val="00377558"/>
    <w:rsid w:val="0038047D"/>
    <w:rsid w:val="00381C95"/>
    <w:rsid w:val="00384CF1"/>
    <w:rsid w:val="0038720F"/>
    <w:rsid w:val="00390409"/>
    <w:rsid w:val="0039067E"/>
    <w:rsid w:val="00393280"/>
    <w:rsid w:val="003935E2"/>
    <w:rsid w:val="00393C28"/>
    <w:rsid w:val="00394CB5"/>
    <w:rsid w:val="00396AAD"/>
    <w:rsid w:val="003A0881"/>
    <w:rsid w:val="003A293E"/>
    <w:rsid w:val="003A3590"/>
    <w:rsid w:val="003A44D0"/>
    <w:rsid w:val="003A7F24"/>
    <w:rsid w:val="003B3229"/>
    <w:rsid w:val="003B350D"/>
    <w:rsid w:val="003B353F"/>
    <w:rsid w:val="003B75E8"/>
    <w:rsid w:val="003B7602"/>
    <w:rsid w:val="003B7D8B"/>
    <w:rsid w:val="003C3A78"/>
    <w:rsid w:val="003C4618"/>
    <w:rsid w:val="003C4FD2"/>
    <w:rsid w:val="003C6343"/>
    <w:rsid w:val="003C6D28"/>
    <w:rsid w:val="003C7019"/>
    <w:rsid w:val="003C79AD"/>
    <w:rsid w:val="003D2FAA"/>
    <w:rsid w:val="003D3064"/>
    <w:rsid w:val="003D43D1"/>
    <w:rsid w:val="003D45E3"/>
    <w:rsid w:val="003D48FB"/>
    <w:rsid w:val="003D6B38"/>
    <w:rsid w:val="003D7280"/>
    <w:rsid w:val="003E16B7"/>
    <w:rsid w:val="003E1ACF"/>
    <w:rsid w:val="003E222B"/>
    <w:rsid w:val="003E2FE9"/>
    <w:rsid w:val="003E616B"/>
    <w:rsid w:val="003E69D9"/>
    <w:rsid w:val="003F0157"/>
    <w:rsid w:val="003F172D"/>
    <w:rsid w:val="003F635B"/>
    <w:rsid w:val="00400DAA"/>
    <w:rsid w:val="00401037"/>
    <w:rsid w:val="00401C79"/>
    <w:rsid w:val="00401D34"/>
    <w:rsid w:val="00401DA6"/>
    <w:rsid w:val="00410253"/>
    <w:rsid w:val="0041039F"/>
    <w:rsid w:val="0041041E"/>
    <w:rsid w:val="00410B15"/>
    <w:rsid w:val="00412286"/>
    <w:rsid w:val="00412E34"/>
    <w:rsid w:val="00414BE7"/>
    <w:rsid w:val="0041518E"/>
    <w:rsid w:val="00416620"/>
    <w:rsid w:val="00417A76"/>
    <w:rsid w:val="00420DBD"/>
    <w:rsid w:val="00422F34"/>
    <w:rsid w:val="0042418A"/>
    <w:rsid w:val="00424542"/>
    <w:rsid w:val="00424EAC"/>
    <w:rsid w:val="00425ABC"/>
    <w:rsid w:val="00431AA4"/>
    <w:rsid w:val="004341FB"/>
    <w:rsid w:val="00435318"/>
    <w:rsid w:val="00435C17"/>
    <w:rsid w:val="00436F1D"/>
    <w:rsid w:val="00437577"/>
    <w:rsid w:val="00437CB3"/>
    <w:rsid w:val="00444234"/>
    <w:rsid w:val="0044478E"/>
    <w:rsid w:val="00445FAD"/>
    <w:rsid w:val="00446D68"/>
    <w:rsid w:val="00446E4E"/>
    <w:rsid w:val="00450BF8"/>
    <w:rsid w:val="004519A6"/>
    <w:rsid w:val="00452EE7"/>
    <w:rsid w:val="00453013"/>
    <w:rsid w:val="004568A1"/>
    <w:rsid w:val="00457F83"/>
    <w:rsid w:val="004630BD"/>
    <w:rsid w:val="004652D7"/>
    <w:rsid w:val="0046583A"/>
    <w:rsid w:val="00465C11"/>
    <w:rsid w:val="00465F53"/>
    <w:rsid w:val="0046774B"/>
    <w:rsid w:val="004678CE"/>
    <w:rsid w:val="00470538"/>
    <w:rsid w:val="004742FB"/>
    <w:rsid w:val="00474E7C"/>
    <w:rsid w:val="00477C6B"/>
    <w:rsid w:val="00477F12"/>
    <w:rsid w:val="00480221"/>
    <w:rsid w:val="00481240"/>
    <w:rsid w:val="00481677"/>
    <w:rsid w:val="00482660"/>
    <w:rsid w:val="00482ED0"/>
    <w:rsid w:val="0048621F"/>
    <w:rsid w:val="00486E3A"/>
    <w:rsid w:val="004909F4"/>
    <w:rsid w:val="004914FF"/>
    <w:rsid w:val="00492E34"/>
    <w:rsid w:val="00493B93"/>
    <w:rsid w:val="00494DB8"/>
    <w:rsid w:val="004A15FA"/>
    <w:rsid w:val="004A3D5C"/>
    <w:rsid w:val="004A4493"/>
    <w:rsid w:val="004A5BCA"/>
    <w:rsid w:val="004B38C2"/>
    <w:rsid w:val="004C0EE2"/>
    <w:rsid w:val="004C232F"/>
    <w:rsid w:val="004C3330"/>
    <w:rsid w:val="004C4AAD"/>
    <w:rsid w:val="004C59EF"/>
    <w:rsid w:val="004C7A91"/>
    <w:rsid w:val="004D02FD"/>
    <w:rsid w:val="004D1696"/>
    <w:rsid w:val="004D23D8"/>
    <w:rsid w:val="004D644C"/>
    <w:rsid w:val="004D663C"/>
    <w:rsid w:val="004D66CD"/>
    <w:rsid w:val="004D672B"/>
    <w:rsid w:val="004D7366"/>
    <w:rsid w:val="004E0039"/>
    <w:rsid w:val="004E069B"/>
    <w:rsid w:val="004E0B1A"/>
    <w:rsid w:val="004E1AB7"/>
    <w:rsid w:val="004E254E"/>
    <w:rsid w:val="004E28B9"/>
    <w:rsid w:val="004E2CE6"/>
    <w:rsid w:val="004E305D"/>
    <w:rsid w:val="004E31BD"/>
    <w:rsid w:val="004E3B52"/>
    <w:rsid w:val="004E428C"/>
    <w:rsid w:val="004E7A3E"/>
    <w:rsid w:val="004F1E5E"/>
    <w:rsid w:val="004F6688"/>
    <w:rsid w:val="004F74D5"/>
    <w:rsid w:val="004F7FAA"/>
    <w:rsid w:val="005011A1"/>
    <w:rsid w:val="0050131C"/>
    <w:rsid w:val="00503228"/>
    <w:rsid w:val="00504380"/>
    <w:rsid w:val="005078C6"/>
    <w:rsid w:val="0051035B"/>
    <w:rsid w:val="0051286F"/>
    <w:rsid w:val="00527873"/>
    <w:rsid w:val="00527F7A"/>
    <w:rsid w:val="0053129E"/>
    <w:rsid w:val="00531756"/>
    <w:rsid w:val="00531AD4"/>
    <w:rsid w:val="00533556"/>
    <w:rsid w:val="005336B6"/>
    <w:rsid w:val="00540434"/>
    <w:rsid w:val="00541607"/>
    <w:rsid w:val="005425D7"/>
    <w:rsid w:val="005433D7"/>
    <w:rsid w:val="00543764"/>
    <w:rsid w:val="00544FEC"/>
    <w:rsid w:val="005471C1"/>
    <w:rsid w:val="00550AD6"/>
    <w:rsid w:val="0055504A"/>
    <w:rsid w:val="00556D87"/>
    <w:rsid w:val="00560A6D"/>
    <w:rsid w:val="00563D7E"/>
    <w:rsid w:val="005651E5"/>
    <w:rsid w:val="005655BA"/>
    <w:rsid w:val="00565802"/>
    <w:rsid w:val="005676AB"/>
    <w:rsid w:val="00567F4A"/>
    <w:rsid w:val="005717E3"/>
    <w:rsid w:val="00571A67"/>
    <w:rsid w:val="00575F5F"/>
    <w:rsid w:val="00576C19"/>
    <w:rsid w:val="00580768"/>
    <w:rsid w:val="005822EF"/>
    <w:rsid w:val="00582C86"/>
    <w:rsid w:val="005841DB"/>
    <w:rsid w:val="005846D4"/>
    <w:rsid w:val="00584ABF"/>
    <w:rsid w:val="00591913"/>
    <w:rsid w:val="00592BE6"/>
    <w:rsid w:val="00592FF6"/>
    <w:rsid w:val="005945D1"/>
    <w:rsid w:val="00594D2A"/>
    <w:rsid w:val="00596494"/>
    <w:rsid w:val="00596BA7"/>
    <w:rsid w:val="005A1651"/>
    <w:rsid w:val="005A2F40"/>
    <w:rsid w:val="005A3856"/>
    <w:rsid w:val="005A46E3"/>
    <w:rsid w:val="005A5845"/>
    <w:rsid w:val="005A5D71"/>
    <w:rsid w:val="005A6726"/>
    <w:rsid w:val="005B0768"/>
    <w:rsid w:val="005B0C0B"/>
    <w:rsid w:val="005B3D5E"/>
    <w:rsid w:val="005B49E7"/>
    <w:rsid w:val="005B6171"/>
    <w:rsid w:val="005B760C"/>
    <w:rsid w:val="005C0AC5"/>
    <w:rsid w:val="005C264E"/>
    <w:rsid w:val="005C495C"/>
    <w:rsid w:val="005C4ECF"/>
    <w:rsid w:val="005C5DBC"/>
    <w:rsid w:val="005D189D"/>
    <w:rsid w:val="005D35C7"/>
    <w:rsid w:val="005D481D"/>
    <w:rsid w:val="005D5E21"/>
    <w:rsid w:val="005D76A6"/>
    <w:rsid w:val="005E1918"/>
    <w:rsid w:val="005E2D3D"/>
    <w:rsid w:val="005E370A"/>
    <w:rsid w:val="005E3891"/>
    <w:rsid w:val="005E7720"/>
    <w:rsid w:val="005F002B"/>
    <w:rsid w:val="005F1375"/>
    <w:rsid w:val="005F1749"/>
    <w:rsid w:val="005F2567"/>
    <w:rsid w:val="005F4461"/>
    <w:rsid w:val="005F5043"/>
    <w:rsid w:val="005F7AFF"/>
    <w:rsid w:val="00601D0D"/>
    <w:rsid w:val="00602654"/>
    <w:rsid w:val="00602868"/>
    <w:rsid w:val="00602A83"/>
    <w:rsid w:val="00603C40"/>
    <w:rsid w:val="00614E51"/>
    <w:rsid w:val="00617325"/>
    <w:rsid w:val="0062108D"/>
    <w:rsid w:val="006233ED"/>
    <w:rsid w:val="00625F41"/>
    <w:rsid w:val="00631FD4"/>
    <w:rsid w:val="00632FE6"/>
    <w:rsid w:val="006334AC"/>
    <w:rsid w:val="00633767"/>
    <w:rsid w:val="006345B4"/>
    <w:rsid w:val="00635903"/>
    <w:rsid w:val="00635A35"/>
    <w:rsid w:val="00636B19"/>
    <w:rsid w:val="00640612"/>
    <w:rsid w:val="00640878"/>
    <w:rsid w:val="0064095C"/>
    <w:rsid w:val="00644D2D"/>
    <w:rsid w:val="006529FF"/>
    <w:rsid w:val="00654466"/>
    <w:rsid w:val="00655B9F"/>
    <w:rsid w:val="00656C4A"/>
    <w:rsid w:val="00657104"/>
    <w:rsid w:val="00660827"/>
    <w:rsid w:val="00660A6B"/>
    <w:rsid w:val="0066289C"/>
    <w:rsid w:val="0066532C"/>
    <w:rsid w:val="00667104"/>
    <w:rsid w:val="00667B3D"/>
    <w:rsid w:val="00670F16"/>
    <w:rsid w:val="00672284"/>
    <w:rsid w:val="0067236A"/>
    <w:rsid w:val="006726AE"/>
    <w:rsid w:val="00672FD9"/>
    <w:rsid w:val="00673ACA"/>
    <w:rsid w:val="0067557C"/>
    <w:rsid w:val="006762D1"/>
    <w:rsid w:val="00676D82"/>
    <w:rsid w:val="006774D7"/>
    <w:rsid w:val="00677D4B"/>
    <w:rsid w:val="006861F2"/>
    <w:rsid w:val="00686874"/>
    <w:rsid w:val="006878D9"/>
    <w:rsid w:val="00687E8A"/>
    <w:rsid w:val="00692806"/>
    <w:rsid w:val="00693025"/>
    <w:rsid w:val="00697E98"/>
    <w:rsid w:val="006A10D7"/>
    <w:rsid w:val="006A1918"/>
    <w:rsid w:val="006A2EEA"/>
    <w:rsid w:val="006A3088"/>
    <w:rsid w:val="006A3380"/>
    <w:rsid w:val="006A404F"/>
    <w:rsid w:val="006A4956"/>
    <w:rsid w:val="006A75E7"/>
    <w:rsid w:val="006B091F"/>
    <w:rsid w:val="006B2DC4"/>
    <w:rsid w:val="006B3B2C"/>
    <w:rsid w:val="006B6936"/>
    <w:rsid w:val="006B7B8A"/>
    <w:rsid w:val="006C34FC"/>
    <w:rsid w:val="006C570A"/>
    <w:rsid w:val="006C5CC6"/>
    <w:rsid w:val="006C5FDA"/>
    <w:rsid w:val="006C73FA"/>
    <w:rsid w:val="006D1063"/>
    <w:rsid w:val="006D208A"/>
    <w:rsid w:val="006D2127"/>
    <w:rsid w:val="006D315A"/>
    <w:rsid w:val="006D4A93"/>
    <w:rsid w:val="006D5977"/>
    <w:rsid w:val="006D7E35"/>
    <w:rsid w:val="006E012F"/>
    <w:rsid w:val="006E01D7"/>
    <w:rsid w:val="006E02AC"/>
    <w:rsid w:val="006E1A64"/>
    <w:rsid w:val="006E1B10"/>
    <w:rsid w:val="006E2077"/>
    <w:rsid w:val="006E2282"/>
    <w:rsid w:val="006E28B8"/>
    <w:rsid w:val="006E2C9D"/>
    <w:rsid w:val="006E44BD"/>
    <w:rsid w:val="006F0077"/>
    <w:rsid w:val="006F49C1"/>
    <w:rsid w:val="006F6482"/>
    <w:rsid w:val="006F672C"/>
    <w:rsid w:val="007013BB"/>
    <w:rsid w:val="0070188E"/>
    <w:rsid w:val="0070382C"/>
    <w:rsid w:val="00703BFF"/>
    <w:rsid w:val="0070555E"/>
    <w:rsid w:val="00705CEB"/>
    <w:rsid w:val="0071081F"/>
    <w:rsid w:val="0071143E"/>
    <w:rsid w:val="007119F6"/>
    <w:rsid w:val="00712AFE"/>
    <w:rsid w:val="00712D25"/>
    <w:rsid w:val="00716764"/>
    <w:rsid w:val="00716DC4"/>
    <w:rsid w:val="00717564"/>
    <w:rsid w:val="0072033B"/>
    <w:rsid w:val="007221DF"/>
    <w:rsid w:val="007238F1"/>
    <w:rsid w:val="00726F7E"/>
    <w:rsid w:val="00727967"/>
    <w:rsid w:val="007328EF"/>
    <w:rsid w:val="0073480A"/>
    <w:rsid w:val="0073490C"/>
    <w:rsid w:val="007376E5"/>
    <w:rsid w:val="0074331B"/>
    <w:rsid w:val="0074400F"/>
    <w:rsid w:val="00744752"/>
    <w:rsid w:val="00744E85"/>
    <w:rsid w:val="00745DC4"/>
    <w:rsid w:val="00753A7A"/>
    <w:rsid w:val="00753BEA"/>
    <w:rsid w:val="00755D09"/>
    <w:rsid w:val="00755E9A"/>
    <w:rsid w:val="00760640"/>
    <w:rsid w:val="0076132C"/>
    <w:rsid w:val="0076416A"/>
    <w:rsid w:val="00770CF0"/>
    <w:rsid w:val="007737C8"/>
    <w:rsid w:val="00773C04"/>
    <w:rsid w:val="007740A8"/>
    <w:rsid w:val="00776BC5"/>
    <w:rsid w:val="0078002A"/>
    <w:rsid w:val="0078139C"/>
    <w:rsid w:val="00782A45"/>
    <w:rsid w:val="00783181"/>
    <w:rsid w:val="00783524"/>
    <w:rsid w:val="00783DE9"/>
    <w:rsid w:val="00784358"/>
    <w:rsid w:val="00785DF3"/>
    <w:rsid w:val="007865E2"/>
    <w:rsid w:val="0078694A"/>
    <w:rsid w:val="007906C9"/>
    <w:rsid w:val="0079301E"/>
    <w:rsid w:val="00793BA5"/>
    <w:rsid w:val="00793FC4"/>
    <w:rsid w:val="00794491"/>
    <w:rsid w:val="00794927"/>
    <w:rsid w:val="007A0D6A"/>
    <w:rsid w:val="007A25F9"/>
    <w:rsid w:val="007A2899"/>
    <w:rsid w:val="007A40CB"/>
    <w:rsid w:val="007A49E9"/>
    <w:rsid w:val="007A7B8F"/>
    <w:rsid w:val="007B015D"/>
    <w:rsid w:val="007B0439"/>
    <w:rsid w:val="007B15F0"/>
    <w:rsid w:val="007B1C5F"/>
    <w:rsid w:val="007B454A"/>
    <w:rsid w:val="007B5AFD"/>
    <w:rsid w:val="007C0A8F"/>
    <w:rsid w:val="007C252C"/>
    <w:rsid w:val="007C398F"/>
    <w:rsid w:val="007C3CE2"/>
    <w:rsid w:val="007C7752"/>
    <w:rsid w:val="007C7C49"/>
    <w:rsid w:val="007D137D"/>
    <w:rsid w:val="007D28E8"/>
    <w:rsid w:val="007D36CB"/>
    <w:rsid w:val="007D4BCA"/>
    <w:rsid w:val="007D73EE"/>
    <w:rsid w:val="007E1CEB"/>
    <w:rsid w:val="007F021B"/>
    <w:rsid w:val="007F0EEF"/>
    <w:rsid w:val="007F184A"/>
    <w:rsid w:val="007F1C9B"/>
    <w:rsid w:val="007F52DB"/>
    <w:rsid w:val="007F5660"/>
    <w:rsid w:val="007F639E"/>
    <w:rsid w:val="007F6843"/>
    <w:rsid w:val="008009D0"/>
    <w:rsid w:val="0080170E"/>
    <w:rsid w:val="00804146"/>
    <w:rsid w:val="0081058F"/>
    <w:rsid w:val="00811576"/>
    <w:rsid w:val="00811CD8"/>
    <w:rsid w:val="00811DFC"/>
    <w:rsid w:val="0081446E"/>
    <w:rsid w:val="00814AB3"/>
    <w:rsid w:val="00815571"/>
    <w:rsid w:val="00815DA0"/>
    <w:rsid w:val="0082143F"/>
    <w:rsid w:val="00821A4D"/>
    <w:rsid w:val="00822016"/>
    <w:rsid w:val="00822F8B"/>
    <w:rsid w:val="00823DD0"/>
    <w:rsid w:val="00824399"/>
    <w:rsid w:val="00824814"/>
    <w:rsid w:val="008252E2"/>
    <w:rsid w:val="0082778E"/>
    <w:rsid w:val="00830785"/>
    <w:rsid w:val="00830A65"/>
    <w:rsid w:val="0083516E"/>
    <w:rsid w:val="008366C3"/>
    <w:rsid w:val="00840F72"/>
    <w:rsid w:val="00841B59"/>
    <w:rsid w:val="008456A9"/>
    <w:rsid w:val="008463B8"/>
    <w:rsid w:val="00850611"/>
    <w:rsid w:val="00851FCE"/>
    <w:rsid w:val="00852045"/>
    <w:rsid w:val="00852912"/>
    <w:rsid w:val="00854F90"/>
    <w:rsid w:val="0085763E"/>
    <w:rsid w:val="00860435"/>
    <w:rsid w:val="00860FB7"/>
    <w:rsid w:val="008610C6"/>
    <w:rsid w:val="00862EC1"/>
    <w:rsid w:val="00863DBE"/>
    <w:rsid w:val="00867907"/>
    <w:rsid w:val="00870098"/>
    <w:rsid w:val="00871658"/>
    <w:rsid w:val="008735DA"/>
    <w:rsid w:val="00873AF9"/>
    <w:rsid w:val="00874FB0"/>
    <w:rsid w:val="008753B8"/>
    <w:rsid w:val="00875929"/>
    <w:rsid w:val="00880361"/>
    <w:rsid w:val="00881CF7"/>
    <w:rsid w:val="00882CA1"/>
    <w:rsid w:val="00883466"/>
    <w:rsid w:val="00887B00"/>
    <w:rsid w:val="00890A7C"/>
    <w:rsid w:val="00891C1E"/>
    <w:rsid w:val="00891D09"/>
    <w:rsid w:val="008946EF"/>
    <w:rsid w:val="008947A5"/>
    <w:rsid w:val="0089585C"/>
    <w:rsid w:val="00896A61"/>
    <w:rsid w:val="008A16CD"/>
    <w:rsid w:val="008A24BD"/>
    <w:rsid w:val="008A281C"/>
    <w:rsid w:val="008A7606"/>
    <w:rsid w:val="008B35C5"/>
    <w:rsid w:val="008B3676"/>
    <w:rsid w:val="008B43C5"/>
    <w:rsid w:val="008B56D4"/>
    <w:rsid w:val="008C2771"/>
    <w:rsid w:val="008C2C73"/>
    <w:rsid w:val="008C2D9E"/>
    <w:rsid w:val="008C6CDD"/>
    <w:rsid w:val="008C78A0"/>
    <w:rsid w:val="008D02F6"/>
    <w:rsid w:val="008D0314"/>
    <w:rsid w:val="008D103A"/>
    <w:rsid w:val="008D4F41"/>
    <w:rsid w:val="008D544A"/>
    <w:rsid w:val="008D6D22"/>
    <w:rsid w:val="008D78AC"/>
    <w:rsid w:val="008E04B7"/>
    <w:rsid w:val="008E18E2"/>
    <w:rsid w:val="008E1D26"/>
    <w:rsid w:val="008E2EC0"/>
    <w:rsid w:val="008E4DE8"/>
    <w:rsid w:val="008E5E00"/>
    <w:rsid w:val="008E79B4"/>
    <w:rsid w:val="008F0397"/>
    <w:rsid w:val="008F1380"/>
    <w:rsid w:val="008F2B4F"/>
    <w:rsid w:val="008F2EB2"/>
    <w:rsid w:val="008F34C9"/>
    <w:rsid w:val="008F3A90"/>
    <w:rsid w:val="008F3C61"/>
    <w:rsid w:val="008F6AD0"/>
    <w:rsid w:val="009001CF"/>
    <w:rsid w:val="0090257E"/>
    <w:rsid w:val="00902C87"/>
    <w:rsid w:val="00904118"/>
    <w:rsid w:val="00905F06"/>
    <w:rsid w:val="009065D1"/>
    <w:rsid w:val="00910089"/>
    <w:rsid w:val="00910705"/>
    <w:rsid w:val="00910C57"/>
    <w:rsid w:val="00912500"/>
    <w:rsid w:val="00913D8B"/>
    <w:rsid w:val="00913DAE"/>
    <w:rsid w:val="00914318"/>
    <w:rsid w:val="009164C2"/>
    <w:rsid w:val="009179E1"/>
    <w:rsid w:val="00921FB0"/>
    <w:rsid w:val="009244C5"/>
    <w:rsid w:val="0092482D"/>
    <w:rsid w:val="00924F75"/>
    <w:rsid w:val="00925336"/>
    <w:rsid w:val="00925BF1"/>
    <w:rsid w:val="00931B44"/>
    <w:rsid w:val="00936A67"/>
    <w:rsid w:val="009378BF"/>
    <w:rsid w:val="009400A5"/>
    <w:rsid w:val="00940559"/>
    <w:rsid w:val="00941EF1"/>
    <w:rsid w:val="00942562"/>
    <w:rsid w:val="0094323D"/>
    <w:rsid w:val="00943605"/>
    <w:rsid w:val="00944ACE"/>
    <w:rsid w:val="00950401"/>
    <w:rsid w:val="009530BB"/>
    <w:rsid w:val="00954B88"/>
    <w:rsid w:val="00954CD4"/>
    <w:rsid w:val="00955173"/>
    <w:rsid w:val="00957C29"/>
    <w:rsid w:val="00960D45"/>
    <w:rsid w:val="009621F8"/>
    <w:rsid w:val="009639F5"/>
    <w:rsid w:val="00963E28"/>
    <w:rsid w:val="00965071"/>
    <w:rsid w:val="00966E98"/>
    <w:rsid w:val="0097045E"/>
    <w:rsid w:val="00971795"/>
    <w:rsid w:val="009733A0"/>
    <w:rsid w:val="00973E0E"/>
    <w:rsid w:val="0097421C"/>
    <w:rsid w:val="00975154"/>
    <w:rsid w:val="0097576C"/>
    <w:rsid w:val="00975E1C"/>
    <w:rsid w:val="00976B60"/>
    <w:rsid w:val="00977006"/>
    <w:rsid w:val="009771E1"/>
    <w:rsid w:val="00981453"/>
    <w:rsid w:val="00981E31"/>
    <w:rsid w:val="009828DE"/>
    <w:rsid w:val="009829A0"/>
    <w:rsid w:val="009834AD"/>
    <w:rsid w:val="00984C98"/>
    <w:rsid w:val="00986878"/>
    <w:rsid w:val="009872BC"/>
    <w:rsid w:val="00991A12"/>
    <w:rsid w:val="00994260"/>
    <w:rsid w:val="00995055"/>
    <w:rsid w:val="00995CB8"/>
    <w:rsid w:val="009A263F"/>
    <w:rsid w:val="009A42A0"/>
    <w:rsid w:val="009A4B13"/>
    <w:rsid w:val="009B42FA"/>
    <w:rsid w:val="009B5EDC"/>
    <w:rsid w:val="009C47BE"/>
    <w:rsid w:val="009C5A6D"/>
    <w:rsid w:val="009C687A"/>
    <w:rsid w:val="009D0045"/>
    <w:rsid w:val="009D0B02"/>
    <w:rsid w:val="009D2409"/>
    <w:rsid w:val="009D3552"/>
    <w:rsid w:val="009D57B6"/>
    <w:rsid w:val="009D6CA4"/>
    <w:rsid w:val="009D7AFE"/>
    <w:rsid w:val="009E057D"/>
    <w:rsid w:val="009E0EAE"/>
    <w:rsid w:val="009E111D"/>
    <w:rsid w:val="009E289D"/>
    <w:rsid w:val="009E452F"/>
    <w:rsid w:val="009E494A"/>
    <w:rsid w:val="009E50A9"/>
    <w:rsid w:val="009E5716"/>
    <w:rsid w:val="009E5D47"/>
    <w:rsid w:val="009F1C8E"/>
    <w:rsid w:val="009F30F9"/>
    <w:rsid w:val="009F3C1D"/>
    <w:rsid w:val="009F3E9B"/>
    <w:rsid w:val="009F4279"/>
    <w:rsid w:val="009F4FB5"/>
    <w:rsid w:val="009F5559"/>
    <w:rsid w:val="009F77BE"/>
    <w:rsid w:val="009F7E94"/>
    <w:rsid w:val="00A0007A"/>
    <w:rsid w:val="00A01448"/>
    <w:rsid w:val="00A02CD7"/>
    <w:rsid w:val="00A04315"/>
    <w:rsid w:val="00A04A5B"/>
    <w:rsid w:val="00A0612E"/>
    <w:rsid w:val="00A075C6"/>
    <w:rsid w:val="00A0772F"/>
    <w:rsid w:val="00A10262"/>
    <w:rsid w:val="00A1030D"/>
    <w:rsid w:val="00A117EF"/>
    <w:rsid w:val="00A11B2C"/>
    <w:rsid w:val="00A1239E"/>
    <w:rsid w:val="00A24CB6"/>
    <w:rsid w:val="00A251B1"/>
    <w:rsid w:val="00A25AB4"/>
    <w:rsid w:val="00A25C84"/>
    <w:rsid w:val="00A26C06"/>
    <w:rsid w:val="00A305E2"/>
    <w:rsid w:val="00A33411"/>
    <w:rsid w:val="00A356C6"/>
    <w:rsid w:val="00A4624A"/>
    <w:rsid w:val="00A47F43"/>
    <w:rsid w:val="00A52085"/>
    <w:rsid w:val="00A5483D"/>
    <w:rsid w:val="00A5492D"/>
    <w:rsid w:val="00A56378"/>
    <w:rsid w:val="00A5684D"/>
    <w:rsid w:val="00A60CCE"/>
    <w:rsid w:val="00A6262F"/>
    <w:rsid w:val="00A6471F"/>
    <w:rsid w:val="00A64A55"/>
    <w:rsid w:val="00A650E0"/>
    <w:rsid w:val="00A66B02"/>
    <w:rsid w:val="00A67B6E"/>
    <w:rsid w:val="00A67F86"/>
    <w:rsid w:val="00A70036"/>
    <w:rsid w:val="00A75A16"/>
    <w:rsid w:val="00A77218"/>
    <w:rsid w:val="00A77C3C"/>
    <w:rsid w:val="00A83FC8"/>
    <w:rsid w:val="00A85CDC"/>
    <w:rsid w:val="00A85E87"/>
    <w:rsid w:val="00A91214"/>
    <w:rsid w:val="00A92689"/>
    <w:rsid w:val="00A93290"/>
    <w:rsid w:val="00A93C16"/>
    <w:rsid w:val="00A958FD"/>
    <w:rsid w:val="00AA1862"/>
    <w:rsid w:val="00AA1AD4"/>
    <w:rsid w:val="00AA1C44"/>
    <w:rsid w:val="00AA26A6"/>
    <w:rsid w:val="00AA2E51"/>
    <w:rsid w:val="00AA3DE9"/>
    <w:rsid w:val="00AA4E6F"/>
    <w:rsid w:val="00AA559B"/>
    <w:rsid w:val="00AB1327"/>
    <w:rsid w:val="00AB2120"/>
    <w:rsid w:val="00AB24A1"/>
    <w:rsid w:val="00AB4CB4"/>
    <w:rsid w:val="00AB70AC"/>
    <w:rsid w:val="00AC1204"/>
    <w:rsid w:val="00AC2284"/>
    <w:rsid w:val="00AC2447"/>
    <w:rsid w:val="00AC3251"/>
    <w:rsid w:val="00AC3A90"/>
    <w:rsid w:val="00AC5592"/>
    <w:rsid w:val="00AD04E4"/>
    <w:rsid w:val="00AD11DE"/>
    <w:rsid w:val="00AD49D0"/>
    <w:rsid w:val="00AD66B6"/>
    <w:rsid w:val="00AE34F0"/>
    <w:rsid w:val="00AE4967"/>
    <w:rsid w:val="00AE5B7D"/>
    <w:rsid w:val="00AE72EE"/>
    <w:rsid w:val="00AE7C84"/>
    <w:rsid w:val="00AF2A2A"/>
    <w:rsid w:val="00AF2FD0"/>
    <w:rsid w:val="00AF5483"/>
    <w:rsid w:val="00AF6C4B"/>
    <w:rsid w:val="00AF75BF"/>
    <w:rsid w:val="00AF7631"/>
    <w:rsid w:val="00AF7A3F"/>
    <w:rsid w:val="00B00AD2"/>
    <w:rsid w:val="00B0235C"/>
    <w:rsid w:val="00B0327A"/>
    <w:rsid w:val="00B0379C"/>
    <w:rsid w:val="00B06ED8"/>
    <w:rsid w:val="00B1000E"/>
    <w:rsid w:val="00B13711"/>
    <w:rsid w:val="00B14B8B"/>
    <w:rsid w:val="00B16E6E"/>
    <w:rsid w:val="00B16EC3"/>
    <w:rsid w:val="00B17D75"/>
    <w:rsid w:val="00B17DA7"/>
    <w:rsid w:val="00B241F5"/>
    <w:rsid w:val="00B243FB"/>
    <w:rsid w:val="00B24825"/>
    <w:rsid w:val="00B24E49"/>
    <w:rsid w:val="00B26DF1"/>
    <w:rsid w:val="00B27871"/>
    <w:rsid w:val="00B2791D"/>
    <w:rsid w:val="00B27C33"/>
    <w:rsid w:val="00B31971"/>
    <w:rsid w:val="00B3232C"/>
    <w:rsid w:val="00B37111"/>
    <w:rsid w:val="00B41CD2"/>
    <w:rsid w:val="00B44D43"/>
    <w:rsid w:val="00B474F6"/>
    <w:rsid w:val="00B47D3B"/>
    <w:rsid w:val="00B5129D"/>
    <w:rsid w:val="00B52636"/>
    <w:rsid w:val="00B531D9"/>
    <w:rsid w:val="00B531F4"/>
    <w:rsid w:val="00B55BB6"/>
    <w:rsid w:val="00B57DC7"/>
    <w:rsid w:val="00B60916"/>
    <w:rsid w:val="00B62003"/>
    <w:rsid w:val="00B620CC"/>
    <w:rsid w:val="00B65428"/>
    <w:rsid w:val="00B65699"/>
    <w:rsid w:val="00B66BE5"/>
    <w:rsid w:val="00B66D94"/>
    <w:rsid w:val="00B67C98"/>
    <w:rsid w:val="00B70133"/>
    <w:rsid w:val="00B70527"/>
    <w:rsid w:val="00B74887"/>
    <w:rsid w:val="00B748A3"/>
    <w:rsid w:val="00B77DFC"/>
    <w:rsid w:val="00B81E02"/>
    <w:rsid w:val="00B81EA2"/>
    <w:rsid w:val="00B82E7E"/>
    <w:rsid w:val="00B848C5"/>
    <w:rsid w:val="00B85BFB"/>
    <w:rsid w:val="00B85EB2"/>
    <w:rsid w:val="00B86E84"/>
    <w:rsid w:val="00B87482"/>
    <w:rsid w:val="00B878F1"/>
    <w:rsid w:val="00B923C9"/>
    <w:rsid w:val="00B9635E"/>
    <w:rsid w:val="00BA162D"/>
    <w:rsid w:val="00BA1E47"/>
    <w:rsid w:val="00BA241F"/>
    <w:rsid w:val="00BA39B2"/>
    <w:rsid w:val="00BA598F"/>
    <w:rsid w:val="00BA59CC"/>
    <w:rsid w:val="00BA65CB"/>
    <w:rsid w:val="00BB0775"/>
    <w:rsid w:val="00BB20C5"/>
    <w:rsid w:val="00BB3113"/>
    <w:rsid w:val="00BB3AB5"/>
    <w:rsid w:val="00BB41EA"/>
    <w:rsid w:val="00BB7E69"/>
    <w:rsid w:val="00BC0EF0"/>
    <w:rsid w:val="00BC47BB"/>
    <w:rsid w:val="00BD319B"/>
    <w:rsid w:val="00BD3647"/>
    <w:rsid w:val="00BD42B7"/>
    <w:rsid w:val="00BD44D2"/>
    <w:rsid w:val="00BD50B9"/>
    <w:rsid w:val="00BD5854"/>
    <w:rsid w:val="00BD7709"/>
    <w:rsid w:val="00BD7FDA"/>
    <w:rsid w:val="00BE18F4"/>
    <w:rsid w:val="00BE216F"/>
    <w:rsid w:val="00BE2DC8"/>
    <w:rsid w:val="00BE501A"/>
    <w:rsid w:val="00BE5EFF"/>
    <w:rsid w:val="00BE614C"/>
    <w:rsid w:val="00BE7469"/>
    <w:rsid w:val="00BE77A8"/>
    <w:rsid w:val="00BF14FA"/>
    <w:rsid w:val="00BF36EF"/>
    <w:rsid w:val="00BF619B"/>
    <w:rsid w:val="00BF6605"/>
    <w:rsid w:val="00BF66A2"/>
    <w:rsid w:val="00BF6F86"/>
    <w:rsid w:val="00C004C7"/>
    <w:rsid w:val="00C03D14"/>
    <w:rsid w:val="00C04E01"/>
    <w:rsid w:val="00C04EAB"/>
    <w:rsid w:val="00C05330"/>
    <w:rsid w:val="00C05677"/>
    <w:rsid w:val="00C0633C"/>
    <w:rsid w:val="00C078CC"/>
    <w:rsid w:val="00C10BBD"/>
    <w:rsid w:val="00C15954"/>
    <w:rsid w:val="00C22D56"/>
    <w:rsid w:val="00C24AF2"/>
    <w:rsid w:val="00C25100"/>
    <w:rsid w:val="00C25DBA"/>
    <w:rsid w:val="00C2773C"/>
    <w:rsid w:val="00C27C7C"/>
    <w:rsid w:val="00C300BD"/>
    <w:rsid w:val="00C30103"/>
    <w:rsid w:val="00C30525"/>
    <w:rsid w:val="00C314A8"/>
    <w:rsid w:val="00C31997"/>
    <w:rsid w:val="00C33A32"/>
    <w:rsid w:val="00C35AE2"/>
    <w:rsid w:val="00C35FC0"/>
    <w:rsid w:val="00C3731C"/>
    <w:rsid w:val="00C37543"/>
    <w:rsid w:val="00C411D9"/>
    <w:rsid w:val="00C41C77"/>
    <w:rsid w:val="00C43DA7"/>
    <w:rsid w:val="00C4511B"/>
    <w:rsid w:val="00C458B9"/>
    <w:rsid w:val="00C45A96"/>
    <w:rsid w:val="00C45DA2"/>
    <w:rsid w:val="00C4670D"/>
    <w:rsid w:val="00C47421"/>
    <w:rsid w:val="00C51785"/>
    <w:rsid w:val="00C518B5"/>
    <w:rsid w:val="00C51B41"/>
    <w:rsid w:val="00C51E7B"/>
    <w:rsid w:val="00C55B91"/>
    <w:rsid w:val="00C55D86"/>
    <w:rsid w:val="00C56079"/>
    <w:rsid w:val="00C5626B"/>
    <w:rsid w:val="00C5705A"/>
    <w:rsid w:val="00C607C4"/>
    <w:rsid w:val="00C614DC"/>
    <w:rsid w:val="00C62D5C"/>
    <w:rsid w:val="00C650C2"/>
    <w:rsid w:val="00C67B18"/>
    <w:rsid w:val="00C717AF"/>
    <w:rsid w:val="00C71977"/>
    <w:rsid w:val="00C7256E"/>
    <w:rsid w:val="00C73C22"/>
    <w:rsid w:val="00C75B98"/>
    <w:rsid w:val="00C7693D"/>
    <w:rsid w:val="00C7E617"/>
    <w:rsid w:val="00C80CDA"/>
    <w:rsid w:val="00C82DF1"/>
    <w:rsid w:val="00C836F7"/>
    <w:rsid w:val="00C87689"/>
    <w:rsid w:val="00C90F58"/>
    <w:rsid w:val="00C90F71"/>
    <w:rsid w:val="00C92328"/>
    <w:rsid w:val="00C923BB"/>
    <w:rsid w:val="00C929EC"/>
    <w:rsid w:val="00C92E82"/>
    <w:rsid w:val="00C963BE"/>
    <w:rsid w:val="00C97648"/>
    <w:rsid w:val="00CA0809"/>
    <w:rsid w:val="00CA10CC"/>
    <w:rsid w:val="00CA1E81"/>
    <w:rsid w:val="00CA201F"/>
    <w:rsid w:val="00CA2C92"/>
    <w:rsid w:val="00CA41FE"/>
    <w:rsid w:val="00CA50AE"/>
    <w:rsid w:val="00CA5890"/>
    <w:rsid w:val="00CA61A1"/>
    <w:rsid w:val="00CA6DE5"/>
    <w:rsid w:val="00CA7893"/>
    <w:rsid w:val="00CA7E80"/>
    <w:rsid w:val="00CB26D8"/>
    <w:rsid w:val="00CB4224"/>
    <w:rsid w:val="00CB4989"/>
    <w:rsid w:val="00CB4B6A"/>
    <w:rsid w:val="00CB4B8D"/>
    <w:rsid w:val="00CB5713"/>
    <w:rsid w:val="00CB6E6D"/>
    <w:rsid w:val="00CB77CD"/>
    <w:rsid w:val="00CC4A5A"/>
    <w:rsid w:val="00CC616B"/>
    <w:rsid w:val="00CC6651"/>
    <w:rsid w:val="00CC72F8"/>
    <w:rsid w:val="00CD0318"/>
    <w:rsid w:val="00CD31F2"/>
    <w:rsid w:val="00CD3EC9"/>
    <w:rsid w:val="00CE17F2"/>
    <w:rsid w:val="00CE1D9B"/>
    <w:rsid w:val="00CE25E1"/>
    <w:rsid w:val="00CE4776"/>
    <w:rsid w:val="00CE49C0"/>
    <w:rsid w:val="00CE67A5"/>
    <w:rsid w:val="00CE67E3"/>
    <w:rsid w:val="00CE7301"/>
    <w:rsid w:val="00CF1020"/>
    <w:rsid w:val="00CF1824"/>
    <w:rsid w:val="00CF5F58"/>
    <w:rsid w:val="00CF7570"/>
    <w:rsid w:val="00D01FFE"/>
    <w:rsid w:val="00D0643D"/>
    <w:rsid w:val="00D116BE"/>
    <w:rsid w:val="00D11CF3"/>
    <w:rsid w:val="00D14ED8"/>
    <w:rsid w:val="00D220EC"/>
    <w:rsid w:val="00D24562"/>
    <w:rsid w:val="00D25ECD"/>
    <w:rsid w:val="00D263B7"/>
    <w:rsid w:val="00D2681B"/>
    <w:rsid w:val="00D26F3F"/>
    <w:rsid w:val="00D27751"/>
    <w:rsid w:val="00D3024A"/>
    <w:rsid w:val="00D336FB"/>
    <w:rsid w:val="00D34999"/>
    <w:rsid w:val="00D36024"/>
    <w:rsid w:val="00D408A1"/>
    <w:rsid w:val="00D445FF"/>
    <w:rsid w:val="00D524B3"/>
    <w:rsid w:val="00D5277D"/>
    <w:rsid w:val="00D530D8"/>
    <w:rsid w:val="00D5605D"/>
    <w:rsid w:val="00D561E0"/>
    <w:rsid w:val="00D57684"/>
    <w:rsid w:val="00D57ACE"/>
    <w:rsid w:val="00D57C91"/>
    <w:rsid w:val="00D6017E"/>
    <w:rsid w:val="00D613EA"/>
    <w:rsid w:val="00D6270F"/>
    <w:rsid w:val="00D64158"/>
    <w:rsid w:val="00D64885"/>
    <w:rsid w:val="00D64C82"/>
    <w:rsid w:val="00D66BE0"/>
    <w:rsid w:val="00D66FB3"/>
    <w:rsid w:val="00D674F3"/>
    <w:rsid w:val="00D72865"/>
    <w:rsid w:val="00D73AE9"/>
    <w:rsid w:val="00D748BE"/>
    <w:rsid w:val="00D75118"/>
    <w:rsid w:val="00D761C5"/>
    <w:rsid w:val="00D77D75"/>
    <w:rsid w:val="00D77FC7"/>
    <w:rsid w:val="00D80403"/>
    <w:rsid w:val="00D81299"/>
    <w:rsid w:val="00D81536"/>
    <w:rsid w:val="00D83D06"/>
    <w:rsid w:val="00D854AF"/>
    <w:rsid w:val="00D857FA"/>
    <w:rsid w:val="00D95DBC"/>
    <w:rsid w:val="00DA5171"/>
    <w:rsid w:val="00DA53D9"/>
    <w:rsid w:val="00DA77E7"/>
    <w:rsid w:val="00DB0DB1"/>
    <w:rsid w:val="00DB3E56"/>
    <w:rsid w:val="00DB4FBC"/>
    <w:rsid w:val="00DB5530"/>
    <w:rsid w:val="00DB6971"/>
    <w:rsid w:val="00DB751E"/>
    <w:rsid w:val="00DC3852"/>
    <w:rsid w:val="00DC54BA"/>
    <w:rsid w:val="00DC75FD"/>
    <w:rsid w:val="00DC7911"/>
    <w:rsid w:val="00DD0273"/>
    <w:rsid w:val="00DD06DA"/>
    <w:rsid w:val="00DD0B87"/>
    <w:rsid w:val="00DD0CC0"/>
    <w:rsid w:val="00DD249E"/>
    <w:rsid w:val="00DD3F74"/>
    <w:rsid w:val="00DD7741"/>
    <w:rsid w:val="00DE09A2"/>
    <w:rsid w:val="00DE358A"/>
    <w:rsid w:val="00DE4BE9"/>
    <w:rsid w:val="00DE54FC"/>
    <w:rsid w:val="00DF2B86"/>
    <w:rsid w:val="00DF5922"/>
    <w:rsid w:val="00DF6718"/>
    <w:rsid w:val="00DF739E"/>
    <w:rsid w:val="00E018E9"/>
    <w:rsid w:val="00E02A82"/>
    <w:rsid w:val="00E02B2F"/>
    <w:rsid w:val="00E036EE"/>
    <w:rsid w:val="00E03B63"/>
    <w:rsid w:val="00E0458F"/>
    <w:rsid w:val="00E0667D"/>
    <w:rsid w:val="00E069A1"/>
    <w:rsid w:val="00E10596"/>
    <w:rsid w:val="00E11BAC"/>
    <w:rsid w:val="00E120CA"/>
    <w:rsid w:val="00E12DB0"/>
    <w:rsid w:val="00E13786"/>
    <w:rsid w:val="00E13E74"/>
    <w:rsid w:val="00E14ABE"/>
    <w:rsid w:val="00E14F45"/>
    <w:rsid w:val="00E15B4B"/>
    <w:rsid w:val="00E1717F"/>
    <w:rsid w:val="00E20D91"/>
    <w:rsid w:val="00E224D5"/>
    <w:rsid w:val="00E22CDB"/>
    <w:rsid w:val="00E22F6C"/>
    <w:rsid w:val="00E23388"/>
    <w:rsid w:val="00E26699"/>
    <w:rsid w:val="00E27329"/>
    <w:rsid w:val="00E325EA"/>
    <w:rsid w:val="00E32A4B"/>
    <w:rsid w:val="00E3304D"/>
    <w:rsid w:val="00E331B8"/>
    <w:rsid w:val="00E35DBD"/>
    <w:rsid w:val="00E42DC4"/>
    <w:rsid w:val="00E430FF"/>
    <w:rsid w:val="00E46586"/>
    <w:rsid w:val="00E52493"/>
    <w:rsid w:val="00E52D11"/>
    <w:rsid w:val="00E53049"/>
    <w:rsid w:val="00E53F6E"/>
    <w:rsid w:val="00E54BBD"/>
    <w:rsid w:val="00E55875"/>
    <w:rsid w:val="00E55D5B"/>
    <w:rsid w:val="00E5625D"/>
    <w:rsid w:val="00E565E4"/>
    <w:rsid w:val="00E56696"/>
    <w:rsid w:val="00E56735"/>
    <w:rsid w:val="00E61911"/>
    <w:rsid w:val="00E61F25"/>
    <w:rsid w:val="00E62C01"/>
    <w:rsid w:val="00E640CF"/>
    <w:rsid w:val="00E648D7"/>
    <w:rsid w:val="00E65E90"/>
    <w:rsid w:val="00E65FB4"/>
    <w:rsid w:val="00E67AB6"/>
    <w:rsid w:val="00E71769"/>
    <w:rsid w:val="00E72F07"/>
    <w:rsid w:val="00E7388F"/>
    <w:rsid w:val="00E74253"/>
    <w:rsid w:val="00E76E24"/>
    <w:rsid w:val="00E770C4"/>
    <w:rsid w:val="00E80C87"/>
    <w:rsid w:val="00E81890"/>
    <w:rsid w:val="00E81D37"/>
    <w:rsid w:val="00E833D1"/>
    <w:rsid w:val="00E854EA"/>
    <w:rsid w:val="00E865DC"/>
    <w:rsid w:val="00E87095"/>
    <w:rsid w:val="00E87C14"/>
    <w:rsid w:val="00E92CA6"/>
    <w:rsid w:val="00E94E6E"/>
    <w:rsid w:val="00E94F9B"/>
    <w:rsid w:val="00E97036"/>
    <w:rsid w:val="00EA186B"/>
    <w:rsid w:val="00EA29A0"/>
    <w:rsid w:val="00EA2B5E"/>
    <w:rsid w:val="00EA3D6D"/>
    <w:rsid w:val="00EA414E"/>
    <w:rsid w:val="00EA5479"/>
    <w:rsid w:val="00EA5CCF"/>
    <w:rsid w:val="00EB01F0"/>
    <w:rsid w:val="00EB3375"/>
    <w:rsid w:val="00EB3A7C"/>
    <w:rsid w:val="00EB4A78"/>
    <w:rsid w:val="00EB4A83"/>
    <w:rsid w:val="00EB5F53"/>
    <w:rsid w:val="00EB628F"/>
    <w:rsid w:val="00EB6CA3"/>
    <w:rsid w:val="00EB75CC"/>
    <w:rsid w:val="00EB7BE9"/>
    <w:rsid w:val="00EC0269"/>
    <w:rsid w:val="00EC3793"/>
    <w:rsid w:val="00EC6FDA"/>
    <w:rsid w:val="00EC7178"/>
    <w:rsid w:val="00ED217A"/>
    <w:rsid w:val="00ED4680"/>
    <w:rsid w:val="00ED4A42"/>
    <w:rsid w:val="00ED65E7"/>
    <w:rsid w:val="00ED6B03"/>
    <w:rsid w:val="00EE1388"/>
    <w:rsid w:val="00EE4084"/>
    <w:rsid w:val="00EE4D09"/>
    <w:rsid w:val="00EF1B72"/>
    <w:rsid w:val="00EF24D6"/>
    <w:rsid w:val="00EF4816"/>
    <w:rsid w:val="00EF7D79"/>
    <w:rsid w:val="00F00262"/>
    <w:rsid w:val="00F010B6"/>
    <w:rsid w:val="00F04899"/>
    <w:rsid w:val="00F06571"/>
    <w:rsid w:val="00F106E4"/>
    <w:rsid w:val="00F146A7"/>
    <w:rsid w:val="00F14E06"/>
    <w:rsid w:val="00F163ED"/>
    <w:rsid w:val="00F1697D"/>
    <w:rsid w:val="00F23FA4"/>
    <w:rsid w:val="00F2423C"/>
    <w:rsid w:val="00F26BEB"/>
    <w:rsid w:val="00F3029C"/>
    <w:rsid w:val="00F317FE"/>
    <w:rsid w:val="00F33EC0"/>
    <w:rsid w:val="00F33F59"/>
    <w:rsid w:val="00F3517C"/>
    <w:rsid w:val="00F4037A"/>
    <w:rsid w:val="00F430F9"/>
    <w:rsid w:val="00F46C2F"/>
    <w:rsid w:val="00F51C72"/>
    <w:rsid w:val="00F53056"/>
    <w:rsid w:val="00F567B2"/>
    <w:rsid w:val="00F57EB2"/>
    <w:rsid w:val="00F62D2A"/>
    <w:rsid w:val="00F64146"/>
    <w:rsid w:val="00F648BC"/>
    <w:rsid w:val="00F65150"/>
    <w:rsid w:val="00F66EB9"/>
    <w:rsid w:val="00F6743E"/>
    <w:rsid w:val="00F71C30"/>
    <w:rsid w:val="00F72267"/>
    <w:rsid w:val="00F7267E"/>
    <w:rsid w:val="00F728C1"/>
    <w:rsid w:val="00F73069"/>
    <w:rsid w:val="00F74403"/>
    <w:rsid w:val="00F74D76"/>
    <w:rsid w:val="00F758C5"/>
    <w:rsid w:val="00F759B7"/>
    <w:rsid w:val="00F75AAE"/>
    <w:rsid w:val="00F77713"/>
    <w:rsid w:val="00F777ED"/>
    <w:rsid w:val="00F81256"/>
    <w:rsid w:val="00F81E2F"/>
    <w:rsid w:val="00F86F17"/>
    <w:rsid w:val="00F87B42"/>
    <w:rsid w:val="00F9051C"/>
    <w:rsid w:val="00F9346E"/>
    <w:rsid w:val="00F95D22"/>
    <w:rsid w:val="00F96F58"/>
    <w:rsid w:val="00FA19C0"/>
    <w:rsid w:val="00FA317D"/>
    <w:rsid w:val="00FA5364"/>
    <w:rsid w:val="00FA53A9"/>
    <w:rsid w:val="00FA59B0"/>
    <w:rsid w:val="00FB0404"/>
    <w:rsid w:val="00FB5256"/>
    <w:rsid w:val="00FB5C69"/>
    <w:rsid w:val="00FB75A3"/>
    <w:rsid w:val="00FB76CE"/>
    <w:rsid w:val="00FC14E3"/>
    <w:rsid w:val="00FC31C2"/>
    <w:rsid w:val="00FC3859"/>
    <w:rsid w:val="00FC4466"/>
    <w:rsid w:val="00FC4652"/>
    <w:rsid w:val="00FC6C1A"/>
    <w:rsid w:val="00FC7945"/>
    <w:rsid w:val="00FD66E9"/>
    <w:rsid w:val="00FD68EB"/>
    <w:rsid w:val="00FE04AA"/>
    <w:rsid w:val="00FE09B2"/>
    <w:rsid w:val="00FE19BC"/>
    <w:rsid w:val="00FE35EB"/>
    <w:rsid w:val="00FE39FC"/>
    <w:rsid w:val="00FE67FF"/>
    <w:rsid w:val="00FE6D0A"/>
    <w:rsid w:val="00FF2F23"/>
    <w:rsid w:val="00FF5BE3"/>
    <w:rsid w:val="00FF6262"/>
    <w:rsid w:val="01AAC792"/>
    <w:rsid w:val="03AAB29A"/>
    <w:rsid w:val="03E0B75C"/>
    <w:rsid w:val="04E970BE"/>
    <w:rsid w:val="0532A553"/>
    <w:rsid w:val="05915028"/>
    <w:rsid w:val="059D9AD2"/>
    <w:rsid w:val="05FFADD0"/>
    <w:rsid w:val="063FD70F"/>
    <w:rsid w:val="06599434"/>
    <w:rsid w:val="066A81E8"/>
    <w:rsid w:val="067C1E9F"/>
    <w:rsid w:val="07BB67FA"/>
    <w:rsid w:val="0873D57D"/>
    <w:rsid w:val="096BB076"/>
    <w:rsid w:val="0B601B44"/>
    <w:rsid w:val="0BB903D8"/>
    <w:rsid w:val="0BC699F4"/>
    <w:rsid w:val="0C019AE2"/>
    <w:rsid w:val="0DCC2C52"/>
    <w:rsid w:val="0ED3E065"/>
    <w:rsid w:val="10EFEFF8"/>
    <w:rsid w:val="1234D9BF"/>
    <w:rsid w:val="1391620B"/>
    <w:rsid w:val="1482E1E4"/>
    <w:rsid w:val="16C32B7D"/>
    <w:rsid w:val="17B2FAD1"/>
    <w:rsid w:val="17DD3482"/>
    <w:rsid w:val="18F0A0BA"/>
    <w:rsid w:val="18F822AF"/>
    <w:rsid w:val="190A0D5E"/>
    <w:rsid w:val="194BDEE4"/>
    <w:rsid w:val="1D2EFFC0"/>
    <w:rsid w:val="1F557DE1"/>
    <w:rsid w:val="2005E669"/>
    <w:rsid w:val="20C55D57"/>
    <w:rsid w:val="20D60BB8"/>
    <w:rsid w:val="21379E8C"/>
    <w:rsid w:val="22708B6A"/>
    <w:rsid w:val="255493AE"/>
    <w:rsid w:val="26B83080"/>
    <w:rsid w:val="29DB20ED"/>
    <w:rsid w:val="2A6D3F61"/>
    <w:rsid w:val="2A8539E4"/>
    <w:rsid w:val="2C3B70C7"/>
    <w:rsid w:val="2CC8EFE5"/>
    <w:rsid w:val="2D0B03DB"/>
    <w:rsid w:val="2D14B7ED"/>
    <w:rsid w:val="2D708616"/>
    <w:rsid w:val="2E128F52"/>
    <w:rsid w:val="2EBDB3F4"/>
    <w:rsid w:val="2F8BCB88"/>
    <w:rsid w:val="311EF17D"/>
    <w:rsid w:val="320C75D3"/>
    <w:rsid w:val="32329BFD"/>
    <w:rsid w:val="32896142"/>
    <w:rsid w:val="32F2AF2F"/>
    <w:rsid w:val="368B3A28"/>
    <w:rsid w:val="378A7CC4"/>
    <w:rsid w:val="389C4829"/>
    <w:rsid w:val="393DCFF0"/>
    <w:rsid w:val="3AE642FF"/>
    <w:rsid w:val="3B95241C"/>
    <w:rsid w:val="3B972400"/>
    <w:rsid w:val="3BC75505"/>
    <w:rsid w:val="3BD27156"/>
    <w:rsid w:val="3D0B051F"/>
    <w:rsid w:val="3E19351D"/>
    <w:rsid w:val="400D943A"/>
    <w:rsid w:val="407A4C7C"/>
    <w:rsid w:val="41C641C9"/>
    <w:rsid w:val="440E1414"/>
    <w:rsid w:val="45117442"/>
    <w:rsid w:val="45472088"/>
    <w:rsid w:val="465371AC"/>
    <w:rsid w:val="4798109F"/>
    <w:rsid w:val="47C13F4A"/>
    <w:rsid w:val="49BDB5F5"/>
    <w:rsid w:val="4BC3C03E"/>
    <w:rsid w:val="4F11B045"/>
    <w:rsid w:val="4F4BFF54"/>
    <w:rsid w:val="4FDACD02"/>
    <w:rsid w:val="51D2C36E"/>
    <w:rsid w:val="522079AB"/>
    <w:rsid w:val="54D20B9F"/>
    <w:rsid w:val="55135B32"/>
    <w:rsid w:val="551B8E39"/>
    <w:rsid w:val="556367EC"/>
    <w:rsid w:val="56B133BC"/>
    <w:rsid w:val="5707FCC3"/>
    <w:rsid w:val="5791FD96"/>
    <w:rsid w:val="58B287A9"/>
    <w:rsid w:val="58D1E700"/>
    <w:rsid w:val="59896D05"/>
    <w:rsid w:val="59FD47D6"/>
    <w:rsid w:val="5A97CA05"/>
    <w:rsid w:val="5AB42A79"/>
    <w:rsid w:val="5AB55318"/>
    <w:rsid w:val="5ABB0D93"/>
    <w:rsid w:val="5C13EEC1"/>
    <w:rsid w:val="5C5B4766"/>
    <w:rsid w:val="5F0BFE8D"/>
    <w:rsid w:val="5F7F7B12"/>
    <w:rsid w:val="60369A76"/>
    <w:rsid w:val="61A9DE7A"/>
    <w:rsid w:val="62CDCECD"/>
    <w:rsid w:val="63A4F4C4"/>
    <w:rsid w:val="63F6B0EB"/>
    <w:rsid w:val="6805D999"/>
    <w:rsid w:val="69065A50"/>
    <w:rsid w:val="6A345575"/>
    <w:rsid w:val="6B9F0859"/>
    <w:rsid w:val="6C5A9D17"/>
    <w:rsid w:val="6D9C7561"/>
    <w:rsid w:val="6E2F679C"/>
    <w:rsid w:val="709F76A7"/>
    <w:rsid w:val="72DF9696"/>
    <w:rsid w:val="75090AD2"/>
    <w:rsid w:val="7528BFFB"/>
    <w:rsid w:val="7717AC28"/>
    <w:rsid w:val="7793734B"/>
    <w:rsid w:val="789474E2"/>
    <w:rsid w:val="79AE6F73"/>
    <w:rsid w:val="79AF4DC4"/>
    <w:rsid w:val="7A6CFDCB"/>
    <w:rsid w:val="7B0EE263"/>
    <w:rsid w:val="7B43FCE3"/>
    <w:rsid w:val="7BF39F3B"/>
    <w:rsid w:val="7CFC7BAC"/>
    <w:rsid w:val="7E149635"/>
    <w:rsid w:val="7F04F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C70"/>
  <w15:docId w15:val="{A2AABE80-0117-4092-AF67-90E2746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pPr>
      <w:suppressAutoHyphens/>
      <w:overflowPunct w:val="0"/>
      <w:autoSpaceDE w:val="0"/>
    </w:pPr>
    <w:rPr>
      <w:sz w:val="24"/>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A3D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rPr>
      <w:position w:val="0"/>
      <w:vertAlign w:val="superscript"/>
    </w:rPr>
  </w:style>
  <w:style w:type="paragraph" w:customStyle="1" w:styleId="c1">
    <w:name w:val="c1"/>
    <w:basedOn w:val="Normal"/>
    <w:pPr>
      <w:widowControl w:val="0"/>
      <w:overflowPunct/>
      <w:jc w:val="center"/>
      <w:textAlignment w:val="auto"/>
    </w:pPr>
    <w:rPr>
      <w:szCs w:val="24"/>
    </w:rPr>
  </w:style>
  <w:style w:type="paragraph" w:customStyle="1" w:styleId="p3">
    <w:name w:val="p3"/>
    <w:basedOn w:val="Normal"/>
    <w:pPr>
      <w:widowControl w:val="0"/>
      <w:tabs>
        <w:tab w:val="left" w:pos="204"/>
      </w:tabs>
      <w:overflowPunct/>
      <w:textAlignment w:val="auto"/>
    </w:pPr>
    <w:rPr>
      <w:szCs w:val="24"/>
    </w:rPr>
  </w:style>
  <w:style w:type="paragraph" w:customStyle="1" w:styleId="p6">
    <w:name w:val="p6"/>
    <w:basedOn w:val="Normal"/>
    <w:pPr>
      <w:widowControl w:val="0"/>
      <w:overflowPunct/>
      <w:ind w:firstLine="742"/>
      <w:textAlignment w:val="auto"/>
    </w:pPr>
    <w:rPr>
      <w:szCs w:val="24"/>
    </w:rPr>
  </w:style>
  <w:style w:type="paragraph" w:customStyle="1" w:styleId="p8">
    <w:name w:val="p8"/>
    <w:basedOn w:val="Normal"/>
    <w:pPr>
      <w:widowControl w:val="0"/>
      <w:tabs>
        <w:tab w:val="left" w:pos="204"/>
      </w:tabs>
      <w:overflowPunct/>
      <w:textAlignment w:val="auto"/>
    </w:pPr>
    <w:rPr>
      <w:szCs w:val="24"/>
    </w:rPr>
  </w:style>
  <w:style w:type="paragraph" w:customStyle="1" w:styleId="c9">
    <w:name w:val="c9"/>
    <w:basedOn w:val="Normal"/>
    <w:pPr>
      <w:widowControl w:val="0"/>
      <w:overflowPunct/>
      <w:jc w:val="center"/>
      <w:textAlignment w:val="auto"/>
    </w:pPr>
    <w:rPr>
      <w:szCs w:val="24"/>
    </w:rPr>
  </w:style>
  <w:style w:type="paragraph" w:customStyle="1" w:styleId="c10">
    <w:name w:val="c10"/>
    <w:basedOn w:val="Normal"/>
    <w:pPr>
      <w:widowControl w:val="0"/>
      <w:overflowPunct/>
      <w:jc w:val="center"/>
      <w:textAlignment w:val="auto"/>
    </w:pPr>
    <w:rPr>
      <w:szCs w:val="24"/>
    </w:rPr>
  </w:style>
  <w:style w:type="paragraph" w:customStyle="1" w:styleId="p13">
    <w:name w:val="p13"/>
    <w:basedOn w:val="Normal"/>
    <w:pPr>
      <w:widowControl w:val="0"/>
      <w:tabs>
        <w:tab w:val="left" w:pos="742"/>
        <w:tab w:val="left" w:pos="1451"/>
      </w:tabs>
      <w:overflowPunct/>
      <w:ind w:left="742" w:firstLine="709"/>
      <w:textAlignment w:val="auto"/>
    </w:pPr>
    <w:rPr>
      <w:szCs w:val="24"/>
    </w:rPr>
  </w:style>
  <w:style w:type="paragraph" w:customStyle="1" w:styleId="p14">
    <w:name w:val="p14"/>
    <w:basedOn w:val="Normal"/>
    <w:pPr>
      <w:widowControl w:val="0"/>
      <w:tabs>
        <w:tab w:val="left" w:pos="204"/>
      </w:tabs>
      <w:overflowPunct/>
      <w:textAlignment w:val="auto"/>
    </w:pPr>
    <w:rPr>
      <w:szCs w:val="24"/>
    </w:rPr>
  </w:style>
  <w:style w:type="paragraph" w:customStyle="1" w:styleId="p15">
    <w:name w:val="p15"/>
    <w:basedOn w:val="Normal"/>
    <w:pPr>
      <w:widowControl w:val="0"/>
      <w:tabs>
        <w:tab w:val="left" w:pos="204"/>
      </w:tabs>
      <w:overflowPunct/>
      <w:textAlignment w:val="auto"/>
    </w:pPr>
    <w:rPr>
      <w:szCs w:val="24"/>
    </w:rPr>
  </w:style>
  <w:style w:type="paragraph" w:customStyle="1" w:styleId="p17">
    <w:name w:val="p17"/>
    <w:basedOn w:val="Normal"/>
    <w:pPr>
      <w:widowControl w:val="0"/>
      <w:tabs>
        <w:tab w:val="left" w:pos="5057"/>
      </w:tabs>
      <w:overflowPunct/>
      <w:ind w:left="3617"/>
      <w:textAlignment w:val="auto"/>
    </w:pPr>
    <w:rPr>
      <w:szCs w:val="24"/>
    </w:rPr>
  </w:style>
  <w:style w:type="paragraph" w:customStyle="1" w:styleId="p18">
    <w:name w:val="p18"/>
    <w:basedOn w:val="Normal"/>
    <w:pPr>
      <w:widowControl w:val="0"/>
      <w:tabs>
        <w:tab w:val="left" w:pos="5062"/>
      </w:tabs>
      <w:overflowPunct/>
      <w:ind w:left="3622"/>
      <w:textAlignment w:val="auto"/>
    </w:pPr>
    <w:rPr>
      <w:szCs w:val="24"/>
    </w:rPr>
  </w:style>
  <w:style w:type="paragraph" w:styleId="BalloonText">
    <w:name w:val="Balloon Text"/>
    <w:basedOn w:val="Normal"/>
    <w:rPr>
      <w:rFonts w:ascii="Tahoma" w:hAnsi="Tahoma" w:cs="Tahoma"/>
      <w:sz w:val="16"/>
      <w:szCs w:val="16"/>
    </w:rPr>
  </w:style>
  <w:style w:type="paragraph" w:customStyle="1" w:styleId="StyleCentered">
    <w:name w:val="Style Centered"/>
    <w:basedOn w:val="Normal"/>
    <w:pPr>
      <w:jc w:val="center"/>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Hyperlink">
    <w:name w:val="Hyperlink"/>
    <w:basedOn w:val="DefaultParagraphFont"/>
    <w:rPr>
      <w:color w:val="0563C1"/>
      <w:u w:val="single"/>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character" w:customStyle="1" w:styleId="FooterChar">
    <w:name w:val="Footer Char"/>
    <w:basedOn w:val="DefaultParagraphFont"/>
    <w:uiPriority w:val="99"/>
    <w:rPr>
      <w:sz w:val="24"/>
    </w:rPr>
  </w:style>
  <w:style w:type="character" w:customStyle="1" w:styleId="Heading4Char">
    <w:name w:val="Heading 4 Char"/>
    <w:basedOn w:val="DefaultParagraphFont"/>
    <w:link w:val="Heading4"/>
    <w:uiPriority w:val="9"/>
    <w:semiHidden/>
    <w:rsid w:val="00EA3D6D"/>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EA3D6D"/>
    <w:pPr>
      <w:suppressAutoHyphens w:val="0"/>
      <w:overflowPunct/>
      <w:autoSpaceDE/>
      <w:autoSpaceDN/>
      <w:spacing w:before="100" w:beforeAutospacing="1" w:after="100" w:afterAutospacing="1"/>
      <w:textAlignment w:val="auto"/>
    </w:pPr>
    <w:rPr>
      <w:szCs w:val="24"/>
    </w:rPr>
  </w:style>
  <w:style w:type="paragraph" w:styleId="NoSpacing">
    <w:name w:val="No Spacing"/>
    <w:uiPriority w:val="1"/>
    <w:qFormat/>
    <w:rsid w:val="00C15954"/>
    <w:pPr>
      <w:autoSpaceDN/>
      <w:textAlignment w:val="auto"/>
    </w:pPr>
    <w:rPr>
      <w:rFonts w:ascii="Calibri" w:eastAsia="Calibri" w:hAnsi="Calibri"/>
      <w:sz w:val="22"/>
      <w:szCs w:val="22"/>
    </w:rPr>
  </w:style>
  <w:style w:type="character" w:customStyle="1" w:styleId="FootnoteTextChar">
    <w:name w:val="Footnote Text Char"/>
    <w:basedOn w:val="DefaultParagraphFont"/>
    <w:link w:val="FootnoteText"/>
    <w:rsid w:val="00331B57"/>
  </w:style>
  <w:style w:type="character" w:styleId="FollowedHyperlink">
    <w:name w:val="FollowedHyperlink"/>
    <w:basedOn w:val="DefaultParagraphFont"/>
    <w:uiPriority w:val="99"/>
    <w:semiHidden/>
    <w:unhideWhenUsed/>
    <w:rsid w:val="001D7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2265">
      <w:bodyDiv w:val="1"/>
      <w:marLeft w:val="0"/>
      <w:marRight w:val="0"/>
      <w:marTop w:val="0"/>
      <w:marBottom w:val="0"/>
      <w:divBdr>
        <w:top w:val="none" w:sz="0" w:space="0" w:color="auto"/>
        <w:left w:val="none" w:sz="0" w:space="0" w:color="auto"/>
        <w:bottom w:val="none" w:sz="0" w:space="0" w:color="auto"/>
        <w:right w:val="none" w:sz="0" w:space="0" w:color="auto"/>
      </w:divBdr>
    </w:div>
    <w:div w:id="89394283">
      <w:bodyDiv w:val="1"/>
      <w:marLeft w:val="0"/>
      <w:marRight w:val="0"/>
      <w:marTop w:val="0"/>
      <w:marBottom w:val="0"/>
      <w:divBdr>
        <w:top w:val="none" w:sz="0" w:space="0" w:color="auto"/>
        <w:left w:val="none" w:sz="0" w:space="0" w:color="auto"/>
        <w:bottom w:val="none" w:sz="0" w:space="0" w:color="auto"/>
        <w:right w:val="none" w:sz="0" w:space="0" w:color="auto"/>
      </w:divBdr>
    </w:div>
    <w:div w:id="192765192">
      <w:bodyDiv w:val="1"/>
      <w:marLeft w:val="0"/>
      <w:marRight w:val="0"/>
      <w:marTop w:val="0"/>
      <w:marBottom w:val="0"/>
      <w:divBdr>
        <w:top w:val="none" w:sz="0" w:space="0" w:color="auto"/>
        <w:left w:val="none" w:sz="0" w:space="0" w:color="auto"/>
        <w:bottom w:val="none" w:sz="0" w:space="0" w:color="auto"/>
        <w:right w:val="none" w:sz="0" w:space="0" w:color="auto"/>
      </w:divBdr>
      <w:divsChild>
        <w:div w:id="663312974">
          <w:marLeft w:val="0"/>
          <w:marRight w:val="0"/>
          <w:marTop w:val="0"/>
          <w:marBottom w:val="0"/>
          <w:divBdr>
            <w:top w:val="none" w:sz="0" w:space="0" w:color="auto"/>
            <w:left w:val="none" w:sz="0" w:space="0" w:color="auto"/>
            <w:bottom w:val="none" w:sz="0" w:space="0" w:color="auto"/>
            <w:right w:val="none" w:sz="0" w:space="0" w:color="auto"/>
          </w:divBdr>
        </w:div>
      </w:divsChild>
    </w:div>
    <w:div w:id="226649287">
      <w:bodyDiv w:val="1"/>
      <w:marLeft w:val="0"/>
      <w:marRight w:val="0"/>
      <w:marTop w:val="0"/>
      <w:marBottom w:val="0"/>
      <w:divBdr>
        <w:top w:val="none" w:sz="0" w:space="0" w:color="auto"/>
        <w:left w:val="none" w:sz="0" w:space="0" w:color="auto"/>
        <w:bottom w:val="none" w:sz="0" w:space="0" w:color="auto"/>
        <w:right w:val="none" w:sz="0" w:space="0" w:color="auto"/>
      </w:divBdr>
    </w:div>
    <w:div w:id="239413254">
      <w:bodyDiv w:val="1"/>
      <w:marLeft w:val="0"/>
      <w:marRight w:val="0"/>
      <w:marTop w:val="0"/>
      <w:marBottom w:val="0"/>
      <w:divBdr>
        <w:top w:val="none" w:sz="0" w:space="0" w:color="auto"/>
        <w:left w:val="none" w:sz="0" w:space="0" w:color="auto"/>
        <w:bottom w:val="none" w:sz="0" w:space="0" w:color="auto"/>
        <w:right w:val="none" w:sz="0" w:space="0" w:color="auto"/>
      </w:divBdr>
    </w:div>
    <w:div w:id="315113890">
      <w:bodyDiv w:val="1"/>
      <w:marLeft w:val="0"/>
      <w:marRight w:val="0"/>
      <w:marTop w:val="0"/>
      <w:marBottom w:val="0"/>
      <w:divBdr>
        <w:top w:val="none" w:sz="0" w:space="0" w:color="auto"/>
        <w:left w:val="none" w:sz="0" w:space="0" w:color="auto"/>
        <w:bottom w:val="none" w:sz="0" w:space="0" w:color="auto"/>
        <w:right w:val="none" w:sz="0" w:space="0" w:color="auto"/>
      </w:divBdr>
    </w:div>
    <w:div w:id="490683134">
      <w:bodyDiv w:val="1"/>
      <w:marLeft w:val="0"/>
      <w:marRight w:val="0"/>
      <w:marTop w:val="0"/>
      <w:marBottom w:val="0"/>
      <w:divBdr>
        <w:top w:val="none" w:sz="0" w:space="0" w:color="auto"/>
        <w:left w:val="none" w:sz="0" w:space="0" w:color="auto"/>
        <w:bottom w:val="none" w:sz="0" w:space="0" w:color="auto"/>
        <w:right w:val="none" w:sz="0" w:space="0" w:color="auto"/>
      </w:divBdr>
    </w:div>
    <w:div w:id="523179294">
      <w:bodyDiv w:val="1"/>
      <w:marLeft w:val="0"/>
      <w:marRight w:val="0"/>
      <w:marTop w:val="0"/>
      <w:marBottom w:val="0"/>
      <w:divBdr>
        <w:top w:val="none" w:sz="0" w:space="0" w:color="auto"/>
        <w:left w:val="none" w:sz="0" w:space="0" w:color="auto"/>
        <w:bottom w:val="none" w:sz="0" w:space="0" w:color="auto"/>
        <w:right w:val="none" w:sz="0" w:space="0" w:color="auto"/>
      </w:divBdr>
    </w:div>
    <w:div w:id="702629657">
      <w:bodyDiv w:val="1"/>
      <w:marLeft w:val="0"/>
      <w:marRight w:val="0"/>
      <w:marTop w:val="0"/>
      <w:marBottom w:val="0"/>
      <w:divBdr>
        <w:top w:val="none" w:sz="0" w:space="0" w:color="auto"/>
        <w:left w:val="none" w:sz="0" w:space="0" w:color="auto"/>
        <w:bottom w:val="none" w:sz="0" w:space="0" w:color="auto"/>
        <w:right w:val="none" w:sz="0" w:space="0" w:color="auto"/>
      </w:divBdr>
    </w:div>
    <w:div w:id="795568826">
      <w:bodyDiv w:val="1"/>
      <w:marLeft w:val="0"/>
      <w:marRight w:val="0"/>
      <w:marTop w:val="0"/>
      <w:marBottom w:val="0"/>
      <w:divBdr>
        <w:top w:val="none" w:sz="0" w:space="0" w:color="auto"/>
        <w:left w:val="none" w:sz="0" w:space="0" w:color="auto"/>
        <w:bottom w:val="none" w:sz="0" w:space="0" w:color="auto"/>
        <w:right w:val="none" w:sz="0" w:space="0" w:color="auto"/>
      </w:divBdr>
    </w:div>
    <w:div w:id="824511671">
      <w:bodyDiv w:val="1"/>
      <w:marLeft w:val="0"/>
      <w:marRight w:val="0"/>
      <w:marTop w:val="0"/>
      <w:marBottom w:val="0"/>
      <w:divBdr>
        <w:top w:val="none" w:sz="0" w:space="0" w:color="auto"/>
        <w:left w:val="none" w:sz="0" w:space="0" w:color="auto"/>
        <w:bottom w:val="none" w:sz="0" w:space="0" w:color="auto"/>
        <w:right w:val="none" w:sz="0" w:space="0" w:color="auto"/>
      </w:divBdr>
    </w:div>
    <w:div w:id="924148879">
      <w:bodyDiv w:val="1"/>
      <w:marLeft w:val="0"/>
      <w:marRight w:val="0"/>
      <w:marTop w:val="0"/>
      <w:marBottom w:val="0"/>
      <w:divBdr>
        <w:top w:val="none" w:sz="0" w:space="0" w:color="auto"/>
        <w:left w:val="none" w:sz="0" w:space="0" w:color="auto"/>
        <w:bottom w:val="none" w:sz="0" w:space="0" w:color="auto"/>
        <w:right w:val="none" w:sz="0" w:space="0" w:color="auto"/>
      </w:divBdr>
      <w:divsChild>
        <w:div w:id="793249581">
          <w:marLeft w:val="0"/>
          <w:marRight w:val="0"/>
          <w:marTop w:val="0"/>
          <w:marBottom w:val="0"/>
          <w:divBdr>
            <w:top w:val="none" w:sz="0" w:space="0" w:color="auto"/>
            <w:left w:val="none" w:sz="0" w:space="0" w:color="auto"/>
            <w:bottom w:val="none" w:sz="0" w:space="0" w:color="auto"/>
            <w:right w:val="none" w:sz="0" w:space="0" w:color="auto"/>
          </w:divBdr>
        </w:div>
        <w:div w:id="846604330">
          <w:marLeft w:val="0"/>
          <w:marRight w:val="0"/>
          <w:marTop w:val="0"/>
          <w:marBottom w:val="0"/>
          <w:divBdr>
            <w:top w:val="none" w:sz="0" w:space="0" w:color="auto"/>
            <w:left w:val="none" w:sz="0" w:space="0" w:color="auto"/>
            <w:bottom w:val="none" w:sz="0" w:space="0" w:color="auto"/>
            <w:right w:val="none" w:sz="0" w:space="0" w:color="auto"/>
          </w:divBdr>
        </w:div>
        <w:div w:id="909652843">
          <w:marLeft w:val="0"/>
          <w:marRight w:val="0"/>
          <w:marTop w:val="0"/>
          <w:marBottom w:val="0"/>
          <w:divBdr>
            <w:top w:val="none" w:sz="0" w:space="0" w:color="auto"/>
            <w:left w:val="none" w:sz="0" w:space="0" w:color="auto"/>
            <w:bottom w:val="none" w:sz="0" w:space="0" w:color="auto"/>
            <w:right w:val="none" w:sz="0" w:space="0" w:color="auto"/>
          </w:divBdr>
        </w:div>
        <w:div w:id="1200432352">
          <w:marLeft w:val="0"/>
          <w:marRight w:val="0"/>
          <w:marTop w:val="0"/>
          <w:marBottom w:val="0"/>
          <w:divBdr>
            <w:top w:val="none" w:sz="0" w:space="0" w:color="auto"/>
            <w:left w:val="none" w:sz="0" w:space="0" w:color="auto"/>
            <w:bottom w:val="none" w:sz="0" w:space="0" w:color="auto"/>
            <w:right w:val="none" w:sz="0" w:space="0" w:color="auto"/>
          </w:divBdr>
        </w:div>
        <w:div w:id="1828937742">
          <w:marLeft w:val="0"/>
          <w:marRight w:val="0"/>
          <w:marTop w:val="0"/>
          <w:marBottom w:val="0"/>
          <w:divBdr>
            <w:top w:val="none" w:sz="0" w:space="0" w:color="auto"/>
            <w:left w:val="none" w:sz="0" w:space="0" w:color="auto"/>
            <w:bottom w:val="none" w:sz="0" w:space="0" w:color="auto"/>
            <w:right w:val="none" w:sz="0" w:space="0" w:color="auto"/>
          </w:divBdr>
        </w:div>
      </w:divsChild>
    </w:div>
    <w:div w:id="970479191">
      <w:bodyDiv w:val="1"/>
      <w:marLeft w:val="0"/>
      <w:marRight w:val="0"/>
      <w:marTop w:val="0"/>
      <w:marBottom w:val="0"/>
      <w:divBdr>
        <w:top w:val="none" w:sz="0" w:space="0" w:color="auto"/>
        <w:left w:val="none" w:sz="0" w:space="0" w:color="auto"/>
        <w:bottom w:val="none" w:sz="0" w:space="0" w:color="auto"/>
        <w:right w:val="none" w:sz="0" w:space="0" w:color="auto"/>
      </w:divBdr>
      <w:divsChild>
        <w:div w:id="919171365">
          <w:marLeft w:val="0"/>
          <w:marRight w:val="0"/>
          <w:marTop w:val="0"/>
          <w:marBottom w:val="0"/>
          <w:divBdr>
            <w:top w:val="none" w:sz="0" w:space="0" w:color="auto"/>
            <w:left w:val="none" w:sz="0" w:space="0" w:color="auto"/>
            <w:bottom w:val="none" w:sz="0" w:space="0" w:color="auto"/>
            <w:right w:val="none" w:sz="0" w:space="0" w:color="auto"/>
          </w:divBdr>
        </w:div>
      </w:divsChild>
    </w:div>
    <w:div w:id="1059480784">
      <w:bodyDiv w:val="1"/>
      <w:marLeft w:val="0"/>
      <w:marRight w:val="0"/>
      <w:marTop w:val="0"/>
      <w:marBottom w:val="0"/>
      <w:divBdr>
        <w:top w:val="none" w:sz="0" w:space="0" w:color="auto"/>
        <w:left w:val="none" w:sz="0" w:space="0" w:color="auto"/>
        <w:bottom w:val="none" w:sz="0" w:space="0" w:color="auto"/>
        <w:right w:val="none" w:sz="0" w:space="0" w:color="auto"/>
      </w:divBdr>
    </w:div>
    <w:div w:id="1131482739">
      <w:bodyDiv w:val="1"/>
      <w:marLeft w:val="0"/>
      <w:marRight w:val="0"/>
      <w:marTop w:val="0"/>
      <w:marBottom w:val="0"/>
      <w:divBdr>
        <w:top w:val="none" w:sz="0" w:space="0" w:color="auto"/>
        <w:left w:val="none" w:sz="0" w:space="0" w:color="auto"/>
        <w:bottom w:val="none" w:sz="0" w:space="0" w:color="auto"/>
        <w:right w:val="none" w:sz="0" w:space="0" w:color="auto"/>
      </w:divBdr>
    </w:div>
    <w:div w:id="1206257757">
      <w:bodyDiv w:val="1"/>
      <w:marLeft w:val="0"/>
      <w:marRight w:val="0"/>
      <w:marTop w:val="0"/>
      <w:marBottom w:val="0"/>
      <w:divBdr>
        <w:top w:val="none" w:sz="0" w:space="0" w:color="auto"/>
        <w:left w:val="none" w:sz="0" w:space="0" w:color="auto"/>
        <w:bottom w:val="none" w:sz="0" w:space="0" w:color="auto"/>
        <w:right w:val="none" w:sz="0" w:space="0" w:color="auto"/>
      </w:divBdr>
    </w:div>
    <w:div w:id="1422068602">
      <w:bodyDiv w:val="1"/>
      <w:marLeft w:val="0"/>
      <w:marRight w:val="0"/>
      <w:marTop w:val="0"/>
      <w:marBottom w:val="0"/>
      <w:divBdr>
        <w:top w:val="none" w:sz="0" w:space="0" w:color="auto"/>
        <w:left w:val="none" w:sz="0" w:space="0" w:color="auto"/>
        <w:bottom w:val="none" w:sz="0" w:space="0" w:color="auto"/>
        <w:right w:val="none" w:sz="0" w:space="0" w:color="auto"/>
      </w:divBdr>
    </w:div>
    <w:div w:id="1623075011">
      <w:bodyDiv w:val="1"/>
      <w:marLeft w:val="0"/>
      <w:marRight w:val="0"/>
      <w:marTop w:val="0"/>
      <w:marBottom w:val="0"/>
      <w:divBdr>
        <w:top w:val="none" w:sz="0" w:space="0" w:color="auto"/>
        <w:left w:val="none" w:sz="0" w:space="0" w:color="auto"/>
        <w:bottom w:val="none" w:sz="0" w:space="0" w:color="auto"/>
        <w:right w:val="none" w:sz="0" w:space="0" w:color="auto"/>
      </w:divBdr>
    </w:div>
    <w:div w:id="202462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ernor.pa.gov/newsroom/reopening-phase-orders-updated-to-include-last-county-moving-to-green-on-july-3/" TargetMode="External"/><Relationship Id="rId2" Type="http://schemas.openxmlformats.org/officeDocument/2006/relationships/hyperlink" Target="https://www.governor.pa.gov/wp-content/uploads/2020/05/20200507-TWW-Yellow-Phase-Order.pdf" TargetMode="External"/><Relationship Id="rId1" Type="http://schemas.openxmlformats.org/officeDocument/2006/relationships/hyperlink" Target="https://www.governor.pa.gov/wp-content/uploads/2020/03/20200306-COVID19-Digital-Proclamation.pdf" TargetMode="External"/><Relationship Id="rId4" Type="http://schemas.openxmlformats.org/officeDocument/2006/relationships/hyperlink" Target="https://www.governor.pa.gov/process-to-reopen-pennsy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2bdf3cb8d832cd5a1d6e6b6d7dff0908">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55d1bea75b44b810c87d19d1416971bd"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F524-F4D5-41D5-98FB-7A869E21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95C8E-6F6F-4D2B-9F7B-ABE0128E72A5}">
  <ds:schemaRefs>
    <ds:schemaRef ds:uri="http://schemas.microsoft.com/sharepoint/v3/contenttype/forms"/>
  </ds:schemaRefs>
</ds:datastoreItem>
</file>

<file path=customXml/itemProps3.xml><?xml version="1.0" encoding="utf-8"?>
<ds:datastoreItem xmlns:ds="http://schemas.openxmlformats.org/officeDocument/2006/customXml" ds:itemID="{A22E1305-F0F8-49B2-AF1F-E87CA42BE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77439-5BEC-473C-94E6-3B7792E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41</cp:revision>
  <cp:lastPrinted>2004-05-11T15:38:00Z</cp:lastPrinted>
  <dcterms:created xsi:type="dcterms:W3CDTF">2020-10-07T21:05:00Z</dcterms:created>
  <dcterms:modified xsi:type="dcterms:W3CDTF">2020-10-29T15:26:00Z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y fmtid="{D5CDD505-2E9C-101B-9397-08002B2CF9AE}" pid="3" name="display_urn:schemas-microsoft-com:office:office#SharedWithUsers">
    <vt:lpwstr>Schneck, Cornelia;Edinger, David</vt:lpwstr>
  </property>
  <property fmtid="{D5CDD505-2E9C-101B-9397-08002B2CF9AE}" pid="4" name="SharedWithUsers">
    <vt:lpwstr>12;#Schneck, Cornelia;#18;#Edinger, David</vt:lpwstr>
  </property>
</Properties>
</file>