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7B051" w14:textId="77777777" w:rsidR="0038698E" w:rsidRPr="006A631A" w:rsidRDefault="0038698E" w:rsidP="00F510B9">
      <w:pPr>
        <w:widowControl/>
        <w:suppressAutoHyphens/>
        <w:jc w:val="center"/>
        <w:rPr>
          <w:b/>
          <w:sz w:val="26"/>
          <w:szCs w:val="26"/>
        </w:rPr>
      </w:pPr>
      <w:r w:rsidRPr="006A631A">
        <w:rPr>
          <w:b/>
          <w:sz w:val="26"/>
          <w:szCs w:val="26"/>
        </w:rPr>
        <w:t>PENNSYLVANIA</w:t>
      </w:r>
    </w:p>
    <w:p w14:paraId="1223F68F" w14:textId="77777777" w:rsidR="0038698E" w:rsidRPr="006A631A" w:rsidRDefault="0038698E" w:rsidP="00F510B9">
      <w:pPr>
        <w:widowControl/>
        <w:suppressAutoHyphens/>
        <w:jc w:val="center"/>
        <w:rPr>
          <w:sz w:val="26"/>
          <w:szCs w:val="26"/>
        </w:rPr>
      </w:pPr>
      <w:r w:rsidRPr="006A631A">
        <w:rPr>
          <w:b/>
          <w:sz w:val="26"/>
          <w:szCs w:val="26"/>
        </w:rPr>
        <w:t>PUBLIC UTILITY COMMISSION</w:t>
      </w:r>
    </w:p>
    <w:p w14:paraId="08B68B58" w14:textId="00110855" w:rsidR="0038698E" w:rsidRPr="006A631A" w:rsidRDefault="0038698E" w:rsidP="00F510B9">
      <w:pPr>
        <w:widowControl/>
        <w:suppressAutoHyphens/>
        <w:jc w:val="center"/>
        <w:rPr>
          <w:b/>
          <w:sz w:val="26"/>
          <w:szCs w:val="26"/>
        </w:rPr>
      </w:pPr>
      <w:r w:rsidRPr="006A631A">
        <w:rPr>
          <w:b/>
          <w:sz w:val="26"/>
          <w:szCs w:val="26"/>
        </w:rPr>
        <w:t>Harrisburg, PA 171</w:t>
      </w:r>
      <w:r w:rsidR="00F148E4" w:rsidRPr="006A631A">
        <w:rPr>
          <w:b/>
          <w:sz w:val="26"/>
          <w:szCs w:val="26"/>
        </w:rPr>
        <w:t>20</w:t>
      </w:r>
    </w:p>
    <w:p w14:paraId="1A40D713" w14:textId="711041CA" w:rsidR="0038698E" w:rsidRPr="006A631A" w:rsidRDefault="0038698E" w:rsidP="00F510B9">
      <w:pPr>
        <w:widowControl/>
        <w:suppressAutoHyphens/>
        <w:rPr>
          <w:sz w:val="26"/>
          <w:szCs w:val="26"/>
        </w:rPr>
      </w:pPr>
    </w:p>
    <w:p w14:paraId="17B8D2C7" w14:textId="77777777" w:rsidR="00B37F11" w:rsidRPr="006A631A" w:rsidRDefault="00B37F11" w:rsidP="00F510B9">
      <w:pPr>
        <w:widowControl/>
        <w:suppressAutoHyphens/>
        <w:rPr>
          <w:sz w:val="26"/>
          <w:szCs w:val="26"/>
        </w:rPr>
      </w:pPr>
    </w:p>
    <w:p w14:paraId="4487B0F8" w14:textId="38BE214C" w:rsidR="0038698E" w:rsidRPr="006A631A" w:rsidRDefault="0038698E" w:rsidP="00F510B9">
      <w:pPr>
        <w:widowControl/>
        <w:suppressAutoHyphens/>
        <w:jc w:val="right"/>
        <w:rPr>
          <w:sz w:val="26"/>
          <w:szCs w:val="26"/>
        </w:rPr>
      </w:pPr>
      <w:r w:rsidRPr="006A631A">
        <w:rPr>
          <w:sz w:val="26"/>
          <w:szCs w:val="26"/>
        </w:rPr>
        <w:t xml:space="preserve">Public Meeting held </w:t>
      </w:r>
      <w:r w:rsidR="00B37F11" w:rsidRPr="006A631A">
        <w:rPr>
          <w:sz w:val="26"/>
          <w:szCs w:val="26"/>
        </w:rPr>
        <w:t>November 19</w:t>
      </w:r>
      <w:r w:rsidRPr="006A631A">
        <w:rPr>
          <w:sz w:val="26"/>
          <w:szCs w:val="26"/>
        </w:rPr>
        <w:t>, 20</w:t>
      </w:r>
      <w:r w:rsidR="00B104A2" w:rsidRPr="006A631A">
        <w:rPr>
          <w:sz w:val="26"/>
          <w:szCs w:val="26"/>
        </w:rPr>
        <w:t>20</w:t>
      </w:r>
    </w:p>
    <w:p w14:paraId="4EB26273" w14:textId="596E1B0C" w:rsidR="0038698E" w:rsidRPr="006A631A" w:rsidRDefault="0038698E" w:rsidP="00F510B9">
      <w:pPr>
        <w:widowControl/>
        <w:suppressAutoHyphens/>
        <w:rPr>
          <w:sz w:val="26"/>
          <w:szCs w:val="26"/>
        </w:rPr>
      </w:pPr>
    </w:p>
    <w:p w14:paraId="7010854E" w14:textId="77777777" w:rsidR="00FE2807" w:rsidRPr="006A631A" w:rsidRDefault="00FE2807" w:rsidP="00F510B9">
      <w:pPr>
        <w:widowControl/>
        <w:suppressAutoHyphens/>
        <w:rPr>
          <w:sz w:val="26"/>
          <w:szCs w:val="26"/>
        </w:rPr>
      </w:pPr>
    </w:p>
    <w:p w14:paraId="2C77AB1F" w14:textId="77777777" w:rsidR="0038698E" w:rsidRPr="006A631A" w:rsidRDefault="0038698E" w:rsidP="00F510B9">
      <w:pPr>
        <w:widowControl/>
        <w:suppressAutoHyphens/>
        <w:rPr>
          <w:sz w:val="26"/>
          <w:szCs w:val="26"/>
        </w:rPr>
      </w:pPr>
      <w:r w:rsidRPr="006A631A">
        <w:rPr>
          <w:sz w:val="26"/>
          <w:szCs w:val="26"/>
        </w:rPr>
        <w:t>Commissioners Present:</w:t>
      </w:r>
    </w:p>
    <w:p w14:paraId="05EC99D5" w14:textId="77777777" w:rsidR="0038698E" w:rsidRPr="006A631A" w:rsidRDefault="0038698E" w:rsidP="00F510B9">
      <w:pPr>
        <w:widowControl/>
        <w:suppressAutoHyphens/>
        <w:rPr>
          <w:sz w:val="26"/>
          <w:szCs w:val="26"/>
        </w:rPr>
      </w:pPr>
    </w:p>
    <w:p w14:paraId="60D6447D" w14:textId="08750E88" w:rsidR="0038698E" w:rsidRPr="006A631A" w:rsidRDefault="000D7B91" w:rsidP="00F510B9">
      <w:pPr>
        <w:widowControl/>
        <w:ind w:firstLine="720"/>
        <w:rPr>
          <w:sz w:val="26"/>
          <w:szCs w:val="26"/>
        </w:rPr>
      </w:pPr>
      <w:r w:rsidRPr="006A631A">
        <w:rPr>
          <w:sz w:val="26"/>
          <w:szCs w:val="26"/>
        </w:rPr>
        <w:t xml:space="preserve">Gladys Brown Dutrieuille, Chairman </w:t>
      </w:r>
    </w:p>
    <w:p w14:paraId="708DE3E4" w14:textId="09515F67" w:rsidR="0038698E" w:rsidRPr="006A631A" w:rsidRDefault="0038698E" w:rsidP="00F510B9">
      <w:pPr>
        <w:widowControl/>
        <w:ind w:firstLine="720"/>
        <w:rPr>
          <w:sz w:val="26"/>
          <w:szCs w:val="26"/>
        </w:rPr>
      </w:pPr>
      <w:r w:rsidRPr="006A631A">
        <w:rPr>
          <w:sz w:val="26"/>
          <w:szCs w:val="26"/>
        </w:rPr>
        <w:t>David W. Sweet, Vice Chairman</w:t>
      </w:r>
      <w:r w:rsidR="00A4543D">
        <w:rPr>
          <w:sz w:val="26"/>
          <w:szCs w:val="26"/>
        </w:rPr>
        <w:t xml:space="preserve">, Statement </w:t>
      </w:r>
    </w:p>
    <w:p w14:paraId="0E6C8569" w14:textId="42238E2E" w:rsidR="0038698E" w:rsidRPr="006A631A" w:rsidRDefault="0038698E" w:rsidP="00F510B9">
      <w:pPr>
        <w:widowControl/>
        <w:ind w:firstLine="720"/>
        <w:rPr>
          <w:sz w:val="26"/>
          <w:szCs w:val="26"/>
        </w:rPr>
      </w:pPr>
      <w:r w:rsidRPr="006A631A">
        <w:rPr>
          <w:sz w:val="26"/>
          <w:szCs w:val="26"/>
        </w:rPr>
        <w:t>John F. Coleman, Jr.</w:t>
      </w:r>
    </w:p>
    <w:p w14:paraId="7446D00D" w14:textId="11B0AD5A" w:rsidR="0038698E" w:rsidRPr="006A631A" w:rsidRDefault="00B01567" w:rsidP="00F510B9">
      <w:pPr>
        <w:widowControl/>
        <w:ind w:firstLine="720"/>
        <w:rPr>
          <w:sz w:val="26"/>
          <w:szCs w:val="26"/>
        </w:rPr>
      </w:pPr>
      <w:r w:rsidRPr="006A631A">
        <w:rPr>
          <w:sz w:val="26"/>
          <w:szCs w:val="26"/>
        </w:rPr>
        <w:t>Ralph V. Yanora</w:t>
      </w:r>
    </w:p>
    <w:p w14:paraId="6BE16230" w14:textId="44D6FB65" w:rsidR="0038698E" w:rsidRPr="006A631A" w:rsidRDefault="0038698E" w:rsidP="00F510B9">
      <w:pPr>
        <w:widowControl/>
        <w:suppressAutoHyphens/>
        <w:rPr>
          <w:sz w:val="26"/>
          <w:szCs w:val="26"/>
        </w:rPr>
      </w:pPr>
    </w:p>
    <w:p w14:paraId="0677277D" w14:textId="77777777" w:rsidR="00FE2807" w:rsidRPr="006A631A" w:rsidRDefault="00FE2807" w:rsidP="00F510B9">
      <w:pPr>
        <w:widowControl/>
        <w:suppressAutoHyphens/>
        <w:rPr>
          <w:sz w:val="26"/>
          <w:szCs w:val="26"/>
        </w:rPr>
      </w:pPr>
    </w:p>
    <w:p w14:paraId="437C6CBE" w14:textId="1D1C6F8A" w:rsidR="00401247" w:rsidRPr="006A631A" w:rsidRDefault="00401247" w:rsidP="00F510B9">
      <w:pPr>
        <w:widowControl/>
        <w:tabs>
          <w:tab w:val="left" w:pos="-720"/>
        </w:tabs>
        <w:suppressAutoHyphens/>
        <w:jc w:val="both"/>
        <w:rPr>
          <w:sz w:val="26"/>
          <w:szCs w:val="26"/>
        </w:rPr>
      </w:pPr>
      <w:r w:rsidRPr="006A631A">
        <w:rPr>
          <w:sz w:val="26"/>
          <w:szCs w:val="26"/>
        </w:rPr>
        <w:t>Pennsylvania Public Utility Commission</w:t>
      </w:r>
      <w:r w:rsidRPr="006A631A">
        <w:rPr>
          <w:sz w:val="26"/>
          <w:szCs w:val="26"/>
        </w:rPr>
        <w:tab/>
      </w:r>
      <w:r w:rsidRPr="006A631A">
        <w:rPr>
          <w:sz w:val="26"/>
          <w:szCs w:val="26"/>
        </w:rPr>
        <w:tab/>
      </w:r>
      <w:r w:rsidRPr="006A631A">
        <w:rPr>
          <w:sz w:val="26"/>
          <w:szCs w:val="26"/>
        </w:rPr>
        <w:tab/>
      </w:r>
      <w:r w:rsidRPr="006A631A">
        <w:rPr>
          <w:sz w:val="26"/>
          <w:szCs w:val="26"/>
        </w:rPr>
        <w:tab/>
      </w:r>
      <w:r w:rsidRPr="006A631A">
        <w:rPr>
          <w:sz w:val="26"/>
          <w:szCs w:val="26"/>
        </w:rPr>
        <w:tab/>
        <w:t xml:space="preserve">   R-2</w:t>
      </w:r>
      <w:r w:rsidR="00832765" w:rsidRPr="006A631A">
        <w:rPr>
          <w:sz w:val="26"/>
          <w:szCs w:val="26"/>
        </w:rPr>
        <w:t>020-3017206</w:t>
      </w:r>
    </w:p>
    <w:p w14:paraId="2EBEC176" w14:textId="0DFBD74F" w:rsidR="00FF5136" w:rsidRPr="006A631A" w:rsidRDefault="00FF5136" w:rsidP="00F510B9">
      <w:pPr>
        <w:widowControl/>
        <w:rPr>
          <w:sz w:val="26"/>
          <w:szCs w:val="26"/>
        </w:rPr>
      </w:pPr>
      <w:r w:rsidRPr="006A631A">
        <w:rPr>
          <w:sz w:val="26"/>
          <w:szCs w:val="26"/>
        </w:rPr>
        <w:t>Office of Consumer Advocate</w:t>
      </w:r>
      <w:r w:rsidR="00B37F11" w:rsidRPr="006A631A">
        <w:rPr>
          <w:sz w:val="26"/>
          <w:szCs w:val="26"/>
        </w:rPr>
        <w:tab/>
      </w:r>
      <w:r w:rsidR="00B37F11" w:rsidRPr="006A631A">
        <w:rPr>
          <w:sz w:val="26"/>
          <w:szCs w:val="26"/>
        </w:rPr>
        <w:tab/>
      </w:r>
      <w:r w:rsidR="00B37F11" w:rsidRPr="006A631A">
        <w:rPr>
          <w:sz w:val="26"/>
          <w:szCs w:val="26"/>
        </w:rPr>
        <w:tab/>
      </w:r>
      <w:r w:rsidR="00B37F11" w:rsidRPr="006A631A">
        <w:rPr>
          <w:sz w:val="26"/>
          <w:szCs w:val="26"/>
        </w:rPr>
        <w:tab/>
      </w:r>
      <w:r w:rsidR="00B37F11" w:rsidRPr="006A631A">
        <w:rPr>
          <w:sz w:val="26"/>
          <w:szCs w:val="26"/>
        </w:rPr>
        <w:tab/>
        <w:t xml:space="preserve">         </w:t>
      </w:r>
      <w:r w:rsidR="00B37F11" w:rsidRPr="006A631A">
        <w:rPr>
          <w:sz w:val="26"/>
          <w:szCs w:val="26"/>
        </w:rPr>
        <w:tab/>
        <w:t xml:space="preserve">  </w:t>
      </w:r>
      <w:r w:rsidR="006A631A">
        <w:rPr>
          <w:sz w:val="26"/>
          <w:szCs w:val="26"/>
        </w:rPr>
        <w:t xml:space="preserve"> </w:t>
      </w:r>
      <w:r w:rsidR="00B37F11" w:rsidRPr="006A631A">
        <w:rPr>
          <w:sz w:val="26"/>
          <w:szCs w:val="26"/>
        </w:rPr>
        <w:t>C-2020-3019161</w:t>
      </w:r>
    </w:p>
    <w:p w14:paraId="2F75F768" w14:textId="40E45CB2" w:rsidR="00FF5136" w:rsidRPr="006A631A" w:rsidRDefault="00FF5136" w:rsidP="00F510B9">
      <w:pPr>
        <w:widowControl/>
        <w:rPr>
          <w:sz w:val="26"/>
          <w:szCs w:val="26"/>
        </w:rPr>
      </w:pPr>
      <w:r w:rsidRPr="006A631A">
        <w:rPr>
          <w:sz w:val="26"/>
          <w:szCs w:val="26"/>
        </w:rPr>
        <w:t>Office of Small Business Advocate</w:t>
      </w:r>
      <w:r w:rsidR="00B37F11" w:rsidRPr="006A631A">
        <w:rPr>
          <w:sz w:val="26"/>
          <w:szCs w:val="26"/>
        </w:rPr>
        <w:tab/>
      </w:r>
      <w:r w:rsidR="00B37F11" w:rsidRPr="006A631A">
        <w:rPr>
          <w:sz w:val="26"/>
          <w:szCs w:val="26"/>
        </w:rPr>
        <w:tab/>
      </w:r>
      <w:r w:rsidR="00B37F11" w:rsidRPr="006A631A">
        <w:rPr>
          <w:sz w:val="26"/>
          <w:szCs w:val="26"/>
        </w:rPr>
        <w:tab/>
      </w:r>
      <w:r w:rsidR="00B37F11" w:rsidRPr="006A631A">
        <w:rPr>
          <w:sz w:val="26"/>
          <w:szCs w:val="26"/>
        </w:rPr>
        <w:tab/>
      </w:r>
      <w:r w:rsidR="006A631A">
        <w:rPr>
          <w:sz w:val="26"/>
          <w:szCs w:val="26"/>
        </w:rPr>
        <w:tab/>
      </w:r>
      <w:r w:rsidR="000D2E3A">
        <w:rPr>
          <w:sz w:val="26"/>
          <w:szCs w:val="26"/>
        </w:rPr>
        <w:t xml:space="preserve">   </w:t>
      </w:r>
      <w:r w:rsidR="00B37F11" w:rsidRPr="006A631A">
        <w:rPr>
          <w:sz w:val="26"/>
          <w:szCs w:val="26"/>
        </w:rPr>
        <w:t>C-2020-3019100</w:t>
      </w:r>
    </w:p>
    <w:p w14:paraId="2063788C" w14:textId="105C024A" w:rsidR="00FF5136" w:rsidRPr="006A631A" w:rsidRDefault="00FF5136" w:rsidP="00F510B9">
      <w:pPr>
        <w:widowControl/>
        <w:rPr>
          <w:sz w:val="26"/>
          <w:szCs w:val="26"/>
        </w:rPr>
      </w:pPr>
      <w:r w:rsidRPr="006A631A">
        <w:rPr>
          <w:sz w:val="26"/>
          <w:szCs w:val="26"/>
        </w:rPr>
        <w:t>Philadelphia Industrial and Commercial</w:t>
      </w:r>
    </w:p>
    <w:p w14:paraId="362E299A" w14:textId="13C4EDC9" w:rsidR="00401247" w:rsidRPr="006A631A" w:rsidRDefault="00B37F11" w:rsidP="00F510B9">
      <w:pPr>
        <w:widowControl/>
        <w:rPr>
          <w:sz w:val="26"/>
          <w:szCs w:val="26"/>
        </w:rPr>
      </w:pPr>
      <w:r w:rsidRPr="006A631A">
        <w:rPr>
          <w:sz w:val="26"/>
          <w:szCs w:val="26"/>
        </w:rPr>
        <w:t xml:space="preserve">Gas Users Group     </w:t>
      </w:r>
      <w:r w:rsidR="00401247" w:rsidRPr="006A631A">
        <w:rPr>
          <w:sz w:val="26"/>
          <w:szCs w:val="26"/>
        </w:rPr>
        <w:t xml:space="preserve"> </w:t>
      </w:r>
      <w:r w:rsidR="00401247" w:rsidRPr="006A631A">
        <w:rPr>
          <w:sz w:val="26"/>
          <w:szCs w:val="26"/>
        </w:rPr>
        <w:tab/>
      </w:r>
      <w:r w:rsidR="00401247" w:rsidRPr="006A631A">
        <w:rPr>
          <w:sz w:val="26"/>
          <w:szCs w:val="26"/>
        </w:rPr>
        <w:tab/>
      </w:r>
      <w:r w:rsidR="00401247" w:rsidRPr="006A631A">
        <w:rPr>
          <w:sz w:val="26"/>
          <w:szCs w:val="26"/>
        </w:rPr>
        <w:tab/>
      </w:r>
      <w:r w:rsidR="00401247" w:rsidRPr="006A631A">
        <w:rPr>
          <w:sz w:val="26"/>
          <w:szCs w:val="26"/>
        </w:rPr>
        <w:tab/>
      </w:r>
      <w:r w:rsidRPr="006A631A">
        <w:rPr>
          <w:sz w:val="26"/>
          <w:szCs w:val="26"/>
        </w:rPr>
        <w:tab/>
      </w:r>
      <w:r w:rsidRPr="006A631A">
        <w:rPr>
          <w:sz w:val="26"/>
          <w:szCs w:val="26"/>
        </w:rPr>
        <w:tab/>
      </w:r>
      <w:r w:rsidRPr="006A631A">
        <w:rPr>
          <w:sz w:val="26"/>
          <w:szCs w:val="26"/>
        </w:rPr>
        <w:tab/>
      </w:r>
      <w:r w:rsidR="00401247" w:rsidRPr="006A631A">
        <w:rPr>
          <w:sz w:val="26"/>
          <w:szCs w:val="26"/>
        </w:rPr>
        <w:t xml:space="preserve">   C-</w:t>
      </w:r>
      <w:r w:rsidRPr="006A631A">
        <w:rPr>
          <w:sz w:val="26"/>
          <w:szCs w:val="26"/>
        </w:rPr>
        <w:t>2020-3019430</w:t>
      </w:r>
    </w:p>
    <w:p w14:paraId="23FED99B" w14:textId="77777777" w:rsidR="00401247" w:rsidRPr="006A631A" w:rsidRDefault="00401247" w:rsidP="00F510B9">
      <w:pPr>
        <w:widowControl/>
        <w:tabs>
          <w:tab w:val="left" w:pos="-720"/>
        </w:tabs>
        <w:suppressAutoHyphens/>
        <w:jc w:val="both"/>
        <w:rPr>
          <w:sz w:val="26"/>
          <w:szCs w:val="26"/>
        </w:rPr>
      </w:pPr>
    </w:p>
    <w:p w14:paraId="02EECEED" w14:textId="1AF17C78" w:rsidR="00401247" w:rsidRPr="006A631A" w:rsidRDefault="00401247" w:rsidP="00F510B9">
      <w:pPr>
        <w:widowControl/>
        <w:tabs>
          <w:tab w:val="left" w:pos="-720"/>
        </w:tabs>
        <w:suppressAutoHyphens/>
        <w:jc w:val="both"/>
        <w:rPr>
          <w:sz w:val="26"/>
          <w:szCs w:val="26"/>
        </w:rPr>
      </w:pPr>
      <w:r w:rsidRPr="006A631A">
        <w:rPr>
          <w:sz w:val="26"/>
          <w:szCs w:val="26"/>
        </w:rPr>
        <w:tab/>
        <w:t>v.</w:t>
      </w:r>
    </w:p>
    <w:p w14:paraId="1E8515BE" w14:textId="77777777" w:rsidR="00401247" w:rsidRPr="006A631A" w:rsidRDefault="00401247" w:rsidP="00F510B9">
      <w:pPr>
        <w:widowControl/>
        <w:tabs>
          <w:tab w:val="left" w:pos="-720"/>
        </w:tabs>
        <w:suppressAutoHyphens/>
        <w:jc w:val="both"/>
        <w:rPr>
          <w:sz w:val="26"/>
          <w:szCs w:val="26"/>
        </w:rPr>
      </w:pPr>
    </w:p>
    <w:p w14:paraId="729FE3FA" w14:textId="44AB8261" w:rsidR="00401247" w:rsidRPr="006A631A" w:rsidRDefault="00FF5136" w:rsidP="00F510B9">
      <w:pPr>
        <w:widowControl/>
        <w:tabs>
          <w:tab w:val="left" w:pos="-720"/>
        </w:tabs>
        <w:suppressAutoHyphens/>
        <w:jc w:val="both"/>
        <w:rPr>
          <w:sz w:val="26"/>
          <w:szCs w:val="26"/>
        </w:rPr>
      </w:pPr>
      <w:r w:rsidRPr="006A631A">
        <w:rPr>
          <w:sz w:val="26"/>
          <w:szCs w:val="26"/>
        </w:rPr>
        <w:t>Philadelphia Gas Works</w:t>
      </w:r>
    </w:p>
    <w:p w14:paraId="33E469C3" w14:textId="49F5355B" w:rsidR="00344C68" w:rsidRPr="006A631A" w:rsidRDefault="00344C68" w:rsidP="00F510B9">
      <w:pPr>
        <w:widowControl/>
        <w:rPr>
          <w:b/>
          <w:sz w:val="26"/>
          <w:szCs w:val="26"/>
        </w:rPr>
      </w:pPr>
    </w:p>
    <w:p w14:paraId="5F0CBB59" w14:textId="067C36A1" w:rsidR="00865783" w:rsidRPr="006A631A" w:rsidRDefault="00865783" w:rsidP="00F510B9">
      <w:pPr>
        <w:widowControl/>
        <w:rPr>
          <w:b/>
          <w:sz w:val="26"/>
          <w:szCs w:val="26"/>
        </w:rPr>
      </w:pPr>
    </w:p>
    <w:p w14:paraId="6648642D" w14:textId="0237FA34" w:rsidR="00865783" w:rsidRPr="006A631A" w:rsidRDefault="00865783" w:rsidP="00F510B9">
      <w:pPr>
        <w:widowControl/>
        <w:rPr>
          <w:b/>
          <w:sz w:val="26"/>
          <w:szCs w:val="26"/>
        </w:rPr>
      </w:pPr>
    </w:p>
    <w:p w14:paraId="388646ED" w14:textId="7F90CB11" w:rsidR="00865783" w:rsidRPr="006A631A" w:rsidRDefault="00865783" w:rsidP="00F510B9">
      <w:pPr>
        <w:widowControl/>
        <w:jc w:val="center"/>
        <w:rPr>
          <w:b/>
          <w:sz w:val="26"/>
          <w:szCs w:val="26"/>
        </w:rPr>
      </w:pPr>
      <w:r w:rsidRPr="006A631A">
        <w:rPr>
          <w:b/>
          <w:sz w:val="26"/>
          <w:szCs w:val="26"/>
        </w:rPr>
        <w:t>OPINION AND ORDER</w:t>
      </w:r>
    </w:p>
    <w:p w14:paraId="0DACE716" w14:textId="5FF5408D" w:rsidR="00865783" w:rsidRPr="006A631A" w:rsidRDefault="00865783" w:rsidP="00F510B9">
      <w:pPr>
        <w:widowControl/>
        <w:rPr>
          <w:b/>
          <w:sz w:val="26"/>
          <w:szCs w:val="26"/>
        </w:rPr>
      </w:pPr>
    </w:p>
    <w:p w14:paraId="5EBA3AE9" w14:textId="2972E6BF" w:rsidR="00865783" w:rsidRPr="006A631A" w:rsidRDefault="00865783" w:rsidP="00F510B9">
      <w:pPr>
        <w:widowControl/>
        <w:rPr>
          <w:b/>
          <w:sz w:val="26"/>
          <w:szCs w:val="26"/>
        </w:rPr>
      </w:pPr>
    </w:p>
    <w:p w14:paraId="380AE8A8" w14:textId="287AE174" w:rsidR="00865783" w:rsidRPr="006A631A" w:rsidRDefault="00865783" w:rsidP="00F510B9">
      <w:pPr>
        <w:widowControl/>
        <w:rPr>
          <w:b/>
          <w:sz w:val="26"/>
          <w:szCs w:val="26"/>
        </w:rPr>
      </w:pPr>
    </w:p>
    <w:p w14:paraId="0D27EBB9" w14:textId="4F8ABDBF" w:rsidR="00B37F11" w:rsidRPr="006A631A" w:rsidRDefault="00B37F11" w:rsidP="00F510B9">
      <w:pPr>
        <w:widowControl/>
        <w:rPr>
          <w:b/>
          <w:sz w:val="26"/>
          <w:szCs w:val="26"/>
        </w:rPr>
      </w:pPr>
    </w:p>
    <w:p w14:paraId="189E224E" w14:textId="77777777" w:rsidR="00B37F11" w:rsidRPr="006A631A" w:rsidRDefault="00B37F11" w:rsidP="00F510B9">
      <w:pPr>
        <w:widowControl/>
        <w:rPr>
          <w:b/>
          <w:sz w:val="26"/>
          <w:szCs w:val="26"/>
        </w:rPr>
      </w:pPr>
    </w:p>
    <w:p w14:paraId="22D49777" w14:textId="50C36A4D" w:rsidR="00865783" w:rsidRPr="006A631A" w:rsidRDefault="00865783" w:rsidP="00F510B9">
      <w:pPr>
        <w:widowControl/>
        <w:rPr>
          <w:b/>
          <w:sz w:val="26"/>
          <w:szCs w:val="26"/>
        </w:rPr>
      </w:pPr>
    </w:p>
    <w:p w14:paraId="73D1DD0B" w14:textId="5519DD5D" w:rsidR="00865783" w:rsidRPr="006A631A" w:rsidRDefault="00865783" w:rsidP="00F510B9">
      <w:pPr>
        <w:widowControl/>
        <w:rPr>
          <w:b/>
          <w:sz w:val="26"/>
          <w:szCs w:val="26"/>
        </w:rPr>
      </w:pPr>
    </w:p>
    <w:p w14:paraId="5C4E280D" w14:textId="77777777" w:rsidR="00865783" w:rsidRPr="006A631A" w:rsidRDefault="00865783" w:rsidP="00F510B9">
      <w:pPr>
        <w:widowControl/>
        <w:rPr>
          <w:b/>
          <w:sz w:val="26"/>
          <w:szCs w:val="26"/>
        </w:rPr>
      </w:pPr>
    </w:p>
    <w:p w14:paraId="66190575" w14:textId="4BA4339F" w:rsidR="00865783" w:rsidRPr="006A631A" w:rsidRDefault="00865783" w:rsidP="00F510B9">
      <w:pPr>
        <w:widowControl/>
        <w:rPr>
          <w:b/>
          <w:sz w:val="26"/>
          <w:szCs w:val="26"/>
        </w:rPr>
      </w:pPr>
    </w:p>
    <w:p w14:paraId="5658B961" w14:textId="77777777" w:rsidR="00865783" w:rsidRPr="006A631A" w:rsidRDefault="00865783" w:rsidP="00F510B9">
      <w:pPr>
        <w:widowControl/>
        <w:rPr>
          <w:b/>
          <w:sz w:val="26"/>
          <w:szCs w:val="26"/>
        </w:rPr>
      </w:pPr>
    </w:p>
    <w:p w14:paraId="5F8C4DF9" w14:textId="249841CB" w:rsidR="00540231" w:rsidRPr="006A631A" w:rsidRDefault="00540231" w:rsidP="00F510B9">
      <w:pPr>
        <w:widowControl/>
        <w:rPr>
          <w:b/>
          <w:sz w:val="26"/>
          <w:szCs w:val="26"/>
        </w:rPr>
      </w:pPr>
    </w:p>
    <w:bookmarkStart w:id="0" w:name="_Hlk523834991" w:displacedByCustomXml="next"/>
    <w:sdt>
      <w:sdtPr>
        <w:rPr>
          <w:sz w:val="26"/>
          <w:szCs w:val="26"/>
        </w:rPr>
        <w:id w:val="934635144"/>
        <w:docPartObj>
          <w:docPartGallery w:val="Table of Contents"/>
          <w:docPartUnique/>
        </w:docPartObj>
      </w:sdtPr>
      <w:sdtEndPr>
        <w:rPr>
          <w:noProof/>
        </w:rPr>
      </w:sdtEndPr>
      <w:sdtContent>
        <w:p w14:paraId="24056A15" w14:textId="77777777" w:rsidR="00A32A88" w:rsidRPr="006A631A" w:rsidRDefault="00A32A88" w:rsidP="00F510B9">
          <w:pPr>
            <w:widowControl/>
            <w:spacing w:before="480" w:line="360" w:lineRule="auto"/>
            <w:jc w:val="center"/>
            <w:rPr>
              <w:sz w:val="26"/>
              <w:szCs w:val="26"/>
            </w:rPr>
            <w:sectPr w:rsidR="00A32A88" w:rsidRPr="006A631A" w:rsidSect="003742CF">
              <w:footerReference w:type="even" r:id="rId8"/>
              <w:footerReference w:type="default" r:id="rId9"/>
              <w:headerReference w:type="first" r:id="rId10"/>
              <w:pgSz w:w="12240" w:h="15840"/>
              <w:pgMar w:top="1440" w:right="1440" w:bottom="1440" w:left="1440" w:header="720" w:footer="720" w:gutter="0"/>
              <w:cols w:space="720"/>
              <w:titlePg/>
              <w:docGrid w:linePitch="360"/>
            </w:sectPr>
          </w:pPr>
        </w:p>
        <w:p w14:paraId="6D81C4A3" w14:textId="082F921F" w:rsidR="005A74D5" w:rsidRPr="006A631A" w:rsidRDefault="005A74D5" w:rsidP="00F510B9">
          <w:pPr>
            <w:widowControl/>
            <w:spacing w:before="480" w:line="360" w:lineRule="auto"/>
            <w:jc w:val="center"/>
            <w:rPr>
              <w:b/>
              <w:bCs/>
              <w:sz w:val="26"/>
              <w:szCs w:val="26"/>
              <w:lang w:eastAsia="ja-JP"/>
            </w:rPr>
          </w:pPr>
          <w:r w:rsidRPr="006A631A">
            <w:rPr>
              <w:b/>
              <w:sz w:val="26"/>
              <w:szCs w:val="26"/>
            </w:rPr>
            <w:lastRenderedPageBreak/>
            <w:t>Table of</w:t>
          </w:r>
          <w:r w:rsidRPr="006A631A">
            <w:rPr>
              <w:sz w:val="26"/>
              <w:szCs w:val="26"/>
            </w:rPr>
            <w:t xml:space="preserve"> </w:t>
          </w:r>
          <w:r w:rsidRPr="006A631A">
            <w:rPr>
              <w:b/>
              <w:bCs/>
              <w:sz w:val="26"/>
              <w:szCs w:val="26"/>
              <w:lang w:eastAsia="ja-JP"/>
            </w:rPr>
            <w:t>Contents</w:t>
          </w:r>
        </w:p>
        <w:p w14:paraId="26618FF6" w14:textId="77777777" w:rsidR="005A74D5" w:rsidRPr="006A631A" w:rsidRDefault="005A74D5" w:rsidP="00F510B9">
          <w:pPr>
            <w:widowControl/>
            <w:ind w:firstLine="1440"/>
            <w:rPr>
              <w:sz w:val="26"/>
              <w:szCs w:val="26"/>
              <w:lang w:eastAsia="ja-JP"/>
            </w:rPr>
          </w:pPr>
        </w:p>
        <w:p w14:paraId="7634069A" w14:textId="74CA7567" w:rsidR="00006A72" w:rsidRDefault="005A74D5">
          <w:pPr>
            <w:pStyle w:val="TOC1"/>
            <w:rPr>
              <w:rFonts w:asciiTheme="minorHAnsi" w:eastAsiaTheme="minorEastAsia" w:hAnsiTheme="minorHAnsi" w:cstheme="minorBidi"/>
              <w:noProof/>
              <w:sz w:val="22"/>
              <w:szCs w:val="22"/>
            </w:rPr>
          </w:pPr>
          <w:r w:rsidRPr="006A631A">
            <w:rPr>
              <w:szCs w:val="26"/>
            </w:rPr>
            <w:fldChar w:fldCharType="begin"/>
          </w:r>
          <w:r w:rsidRPr="006A631A">
            <w:rPr>
              <w:szCs w:val="26"/>
            </w:rPr>
            <w:instrText xml:space="preserve"> TOC \o "1-4" \h \z \u </w:instrText>
          </w:r>
          <w:r w:rsidRPr="006A631A">
            <w:rPr>
              <w:szCs w:val="26"/>
            </w:rPr>
            <w:fldChar w:fldCharType="separate"/>
          </w:r>
          <w:hyperlink w:anchor="_Toc55888180" w:history="1">
            <w:r w:rsidR="00006A72" w:rsidRPr="005E6B81">
              <w:rPr>
                <w:rStyle w:val="Hyperlink"/>
                <w:noProof/>
              </w:rPr>
              <w:t>I.</w:t>
            </w:r>
            <w:r w:rsidR="00006A72">
              <w:rPr>
                <w:rFonts w:asciiTheme="minorHAnsi" w:eastAsiaTheme="minorEastAsia" w:hAnsiTheme="minorHAnsi" w:cstheme="minorBidi"/>
                <w:noProof/>
                <w:sz w:val="22"/>
                <w:szCs w:val="22"/>
              </w:rPr>
              <w:tab/>
            </w:r>
            <w:r w:rsidR="00006A72" w:rsidRPr="005E6B81">
              <w:rPr>
                <w:rStyle w:val="Hyperlink"/>
                <w:noProof/>
              </w:rPr>
              <w:t>Background</w:t>
            </w:r>
            <w:r w:rsidR="00006A72">
              <w:rPr>
                <w:noProof/>
                <w:webHidden/>
              </w:rPr>
              <w:tab/>
            </w:r>
            <w:r w:rsidR="00006A72">
              <w:rPr>
                <w:noProof/>
                <w:webHidden/>
              </w:rPr>
              <w:fldChar w:fldCharType="begin"/>
            </w:r>
            <w:r w:rsidR="00006A72">
              <w:rPr>
                <w:noProof/>
                <w:webHidden/>
              </w:rPr>
              <w:instrText xml:space="preserve"> PAGEREF _Toc55888180 \h </w:instrText>
            </w:r>
            <w:r w:rsidR="00006A72">
              <w:rPr>
                <w:noProof/>
                <w:webHidden/>
              </w:rPr>
            </w:r>
            <w:r w:rsidR="00006A72">
              <w:rPr>
                <w:noProof/>
                <w:webHidden/>
              </w:rPr>
              <w:fldChar w:fldCharType="separate"/>
            </w:r>
            <w:r w:rsidR="00A866B3">
              <w:rPr>
                <w:noProof/>
                <w:webHidden/>
              </w:rPr>
              <w:t>3</w:t>
            </w:r>
            <w:r w:rsidR="00006A72">
              <w:rPr>
                <w:noProof/>
                <w:webHidden/>
              </w:rPr>
              <w:fldChar w:fldCharType="end"/>
            </w:r>
          </w:hyperlink>
        </w:p>
        <w:p w14:paraId="44EE3D0D" w14:textId="0C95409E" w:rsidR="00006A72" w:rsidRDefault="00A51D09">
          <w:pPr>
            <w:pStyle w:val="TOC1"/>
            <w:rPr>
              <w:rFonts w:asciiTheme="minorHAnsi" w:eastAsiaTheme="minorEastAsia" w:hAnsiTheme="minorHAnsi" w:cstheme="minorBidi"/>
              <w:noProof/>
              <w:sz w:val="22"/>
              <w:szCs w:val="22"/>
            </w:rPr>
          </w:pPr>
          <w:hyperlink w:anchor="_Toc55888181" w:history="1">
            <w:r w:rsidR="00006A72" w:rsidRPr="005E6B81">
              <w:rPr>
                <w:rStyle w:val="Hyperlink"/>
                <w:noProof/>
              </w:rPr>
              <w:t>II.</w:t>
            </w:r>
            <w:r w:rsidR="00006A72">
              <w:rPr>
                <w:rFonts w:asciiTheme="minorHAnsi" w:eastAsiaTheme="minorEastAsia" w:hAnsiTheme="minorHAnsi" w:cstheme="minorBidi"/>
                <w:noProof/>
                <w:sz w:val="22"/>
                <w:szCs w:val="22"/>
              </w:rPr>
              <w:tab/>
            </w:r>
            <w:r w:rsidR="00006A72" w:rsidRPr="005E6B81">
              <w:rPr>
                <w:rStyle w:val="Hyperlink"/>
                <w:noProof/>
              </w:rPr>
              <w:t>History of Proceeding</w:t>
            </w:r>
            <w:r w:rsidR="00006A72">
              <w:rPr>
                <w:noProof/>
                <w:webHidden/>
              </w:rPr>
              <w:tab/>
            </w:r>
            <w:r w:rsidR="00006A72">
              <w:rPr>
                <w:noProof/>
                <w:webHidden/>
              </w:rPr>
              <w:fldChar w:fldCharType="begin"/>
            </w:r>
            <w:r w:rsidR="00006A72">
              <w:rPr>
                <w:noProof/>
                <w:webHidden/>
              </w:rPr>
              <w:instrText xml:space="preserve"> PAGEREF _Toc55888181 \h </w:instrText>
            </w:r>
            <w:r w:rsidR="00006A72">
              <w:rPr>
                <w:noProof/>
                <w:webHidden/>
              </w:rPr>
            </w:r>
            <w:r w:rsidR="00006A72">
              <w:rPr>
                <w:noProof/>
                <w:webHidden/>
              </w:rPr>
              <w:fldChar w:fldCharType="separate"/>
            </w:r>
            <w:r w:rsidR="00A866B3">
              <w:rPr>
                <w:noProof/>
                <w:webHidden/>
              </w:rPr>
              <w:t>4</w:t>
            </w:r>
            <w:r w:rsidR="00006A72">
              <w:rPr>
                <w:noProof/>
                <w:webHidden/>
              </w:rPr>
              <w:fldChar w:fldCharType="end"/>
            </w:r>
          </w:hyperlink>
        </w:p>
        <w:p w14:paraId="02A9065A" w14:textId="1F67F499" w:rsidR="00006A72" w:rsidRDefault="00A51D09">
          <w:pPr>
            <w:pStyle w:val="TOC1"/>
            <w:rPr>
              <w:rFonts w:asciiTheme="minorHAnsi" w:eastAsiaTheme="minorEastAsia" w:hAnsiTheme="minorHAnsi" w:cstheme="minorBidi"/>
              <w:noProof/>
              <w:sz w:val="22"/>
              <w:szCs w:val="22"/>
            </w:rPr>
          </w:pPr>
          <w:hyperlink w:anchor="_Toc55888182" w:history="1">
            <w:r w:rsidR="00006A72" w:rsidRPr="005E6B81">
              <w:rPr>
                <w:rStyle w:val="Hyperlink"/>
                <w:noProof/>
              </w:rPr>
              <w:t>III.</w:t>
            </w:r>
            <w:r w:rsidR="00006A72">
              <w:rPr>
                <w:rFonts w:asciiTheme="minorHAnsi" w:eastAsiaTheme="minorEastAsia" w:hAnsiTheme="minorHAnsi" w:cstheme="minorBidi"/>
                <w:noProof/>
                <w:sz w:val="22"/>
                <w:szCs w:val="22"/>
              </w:rPr>
              <w:tab/>
            </w:r>
            <w:r w:rsidR="00006A72" w:rsidRPr="005E6B81">
              <w:rPr>
                <w:rStyle w:val="Hyperlink"/>
                <w:noProof/>
              </w:rPr>
              <w:t>Discussion</w:t>
            </w:r>
            <w:r w:rsidR="00006A72">
              <w:rPr>
                <w:noProof/>
                <w:webHidden/>
              </w:rPr>
              <w:tab/>
            </w:r>
            <w:r w:rsidR="00006A72">
              <w:rPr>
                <w:noProof/>
                <w:webHidden/>
              </w:rPr>
              <w:fldChar w:fldCharType="begin"/>
            </w:r>
            <w:r w:rsidR="00006A72">
              <w:rPr>
                <w:noProof/>
                <w:webHidden/>
              </w:rPr>
              <w:instrText xml:space="preserve"> PAGEREF _Toc55888182 \h </w:instrText>
            </w:r>
            <w:r w:rsidR="00006A72">
              <w:rPr>
                <w:noProof/>
                <w:webHidden/>
              </w:rPr>
            </w:r>
            <w:r w:rsidR="00006A72">
              <w:rPr>
                <w:noProof/>
                <w:webHidden/>
              </w:rPr>
              <w:fldChar w:fldCharType="separate"/>
            </w:r>
            <w:r w:rsidR="00A866B3">
              <w:rPr>
                <w:noProof/>
                <w:webHidden/>
              </w:rPr>
              <w:t>11</w:t>
            </w:r>
            <w:r w:rsidR="00006A72">
              <w:rPr>
                <w:noProof/>
                <w:webHidden/>
              </w:rPr>
              <w:fldChar w:fldCharType="end"/>
            </w:r>
          </w:hyperlink>
        </w:p>
        <w:p w14:paraId="29654A04" w14:textId="6B2F52E6" w:rsidR="00006A72" w:rsidRDefault="00A51D09">
          <w:pPr>
            <w:pStyle w:val="TOC2"/>
            <w:rPr>
              <w:rFonts w:asciiTheme="minorHAnsi" w:eastAsiaTheme="minorEastAsia" w:hAnsiTheme="minorHAnsi" w:cstheme="minorBidi"/>
              <w:noProof/>
              <w:sz w:val="22"/>
              <w:szCs w:val="22"/>
            </w:rPr>
          </w:pPr>
          <w:hyperlink w:anchor="_Toc55888183" w:history="1">
            <w:r w:rsidR="00006A72" w:rsidRPr="005E6B81">
              <w:rPr>
                <w:rStyle w:val="Hyperlink"/>
                <w:noProof/>
              </w:rPr>
              <w:t>A.</w:t>
            </w:r>
            <w:r w:rsidR="00006A72">
              <w:rPr>
                <w:rFonts w:asciiTheme="minorHAnsi" w:eastAsiaTheme="minorEastAsia" w:hAnsiTheme="minorHAnsi" w:cstheme="minorBidi"/>
                <w:noProof/>
                <w:sz w:val="22"/>
                <w:szCs w:val="22"/>
              </w:rPr>
              <w:tab/>
            </w:r>
            <w:r w:rsidR="00006A72" w:rsidRPr="005E6B81">
              <w:rPr>
                <w:rStyle w:val="Hyperlink"/>
                <w:noProof/>
              </w:rPr>
              <w:t>Legal Standards</w:t>
            </w:r>
            <w:r w:rsidR="00006A72">
              <w:rPr>
                <w:noProof/>
                <w:webHidden/>
              </w:rPr>
              <w:tab/>
            </w:r>
            <w:r w:rsidR="00006A72">
              <w:rPr>
                <w:noProof/>
                <w:webHidden/>
              </w:rPr>
              <w:fldChar w:fldCharType="begin"/>
            </w:r>
            <w:r w:rsidR="00006A72">
              <w:rPr>
                <w:noProof/>
                <w:webHidden/>
              </w:rPr>
              <w:instrText xml:space="preserve"> PAGEREF _Toc55888183 \h </w:instrText>
            </w:r>
            <w:r w:rsidR="00006A72">
              <w:rPr>
                <w:noProof/>
                <w:webHidden/>
              </w:rPr>
            </w:r>
            <w:r w:rsidR="00006A72">
              <w:rPr>
                <w:noProof/>
                <w:webHidden/>
              </w:rPr>
              <w:fldChar w:fldCharType="separate"/>
            </w:r>
            <w:r w:rsidR="00A866B3">
              <w:rPr>
                <w:noProof/>
                <w:webHidden/>
              </w:rPr>
              <w:t>11</w:t>
            </w:r>
            <w:r w:rsidR="00006A72">
              <w:rPr>
                <w:noProof/>
                <w:webHidden/>
              </w:rPr>
              <w:fldChar w:fldCharType="end"/>
            </w:r>
          </w:hyperlink>
        </w:p>
        <w:p w14:paraId="2DD55273" w14:textId="237F5DD2" w:rsidR="00006A72" w:rsidRDefault="00A51D09">
          <w:pPr>
            <w:pStyle w:val="TOC2"/>
            <w:rPr>
              <w:rFonts w:asciiTheme="minorHAnsi" w:eastAsiaTheme="minorEastAsia" w:hAnsiTheme="minorHAnsi" w:cstheme="minorBidi"/>
              <w:noProof/>
              <w:sz w:val="22"/>
              <w:szCs w:val="22"/>
            </w:rPr>
          </w:pPr>
          <w:hyperlink w:anchor="_Toc55888184" w:history="1">
            <w:r w:rsidR="00006A72" w:rsidRPr="005E6B81">
              <w:rPr>
                <w:rStyle w:val="Hyperlink"/>
                <w:noProof/>
              </w:rPr>
              <w:t>B.</w:t>
            </w:r>
            <w:r w:rsidR="00006A72">
              <w:rPr>
                <w:rFonts w:asciiTheme="minorHAnsi" w:eastAsiaTheme="minorEastAsia" w:hAnsiTheme="minorHAnsi" w:cstheme="minorBidi"/>
                <w:noProof/>
                <w:sz w:val="22"/>
                <w:szCs w:val="22"/>
              </w:rPr>
              <w:tab/>
            </w:r>
            <w:r w:rsidR="00006A72" w:rsidRPr="005E6B81">
              <w:rPr>
                <w:rStyle w:val="Hyperlink"/>
                <w:noProof/>
              </w:rPr>
              <w:t>Settlements Must Serve the Public Interest and be Supported By Substantial Evidence</w:t>
            </w:r>
            <w:r w:rsidR="00006A72">
              <w:rPr>
                <w:noProof/>
                <w:webHidden/>
              </w:rPr>
              <w:tab/>
            </w:r>
            <w:r w:rsidR="00006A72">
              <w:rPr>
                <w:noProof/>
                <w:webHidden/>
              </w:rPr>
              <w:fldChar w:fldCharType="begin"/>
            </w:r>
            <w:r w:rsidR="00006A72">
              <w:rPr>
                <w:noProof/>
                <w:webHidden/>
              </w:rPr>
              <w:instrText xml:space="preserve"> PAGEREF _Toc55888184 \h </w:instrText>
            </w:r>
            <w:r w:rsidR="00006A72">
              <w:rPr>
                <w:noProof/>
                <w:webHidden/>
              </w:rPr>
            </w:r>
            <w:r w:rsidR="00006A72">
              <w:rPr>
                <w:noProof/>
                <w:webHidden/>
              </w:rPr>
              <w:fldChar w:fldCharType="separate"/>
            </w:r>
            <w:r w:rsidR="00A866B3">
              <w:rPr>
                <w:noProof/>
                <w:webHidden/>
              </w:rPr>
              <w:t>13</w:t>
            </w:r>
            <w:r w:rsidR="00006A72">
              <w:rPr>
                <w:noProof/>
                <w:webHidden/>
              </w:rPr>
              <w:fldChar w:fldCharType="end"/>
            </w:r>
          </w:hyperlink>
        </w:p>
        <w:p w14:paraId="6BC8CBD5" w14:textId="38F905F0" w:rsidR="00006A72" w:rsidRDefault="00A51D09">
          <w:pPr>
            <w:pStyle w:val="TOC2"/>
            <w:rPr>
              <w:rFonts w:asciiTheme="minorHAnsi" w:eastAsiaTheme="minorEastAsia" w:hAnsiTheme="minorHAnsi" w:cstheme="minorBidi"/>
              <w:noProof/>
              <w:sz w:val="22"/>
              <w:szCs w:val="22"/>
            </w:rPr>
          </w:pPr>
          <w:hyperlink w:anchor="_Toc55888185" w:history="1">
            <w:r w:rsidR="00006A72" w:rsidRPr="005E6B81">
              <w:rPr>
                <w:rStyle w:val="Hyperlink"/>
                <w:noProof/>
              </w:rPr>
              <w:t>C.</w:t>
            </w:r>
            <w:r w:rsidR="00006A72">
              <w:rPr>
                <w:rFonts w:asciiTheme="minorHAnsi" w:eastAsiaTheme="minorEastAsia" w:hAnsiTheme="minorHAnsi" w:cstheme="minorBidi"/>
                <w:noProof/>
                <w:sz w:val="22"/>
                <w:szCs w:val="22"/>
              </w:rPr>
              <w:tab/>
            </w:r>
            <w:r w:rsidR="00006A72" w:rsidRPr="005E6B81">
              <w:rPr>
                <w:rStyle w:val="Hyperlink"/>
                <w:noProof/>
              </w:rPr>
              <w:t>Justness and Reasonableness of Rates/Burden of Proof</w:t>
            </w:r>
            <w:r w:rsidR="00006A72">
              <w:rPr>
                <w:noProof/>
                <w:webHidden/>
              </w:rPr>
              <w:tab/>
            </w:r>
            <w:r w:rsidR="00006A72">
              <w:rPr>
                <w:noProof/>
                <w:webHidden/>
              </w:rPr>
              <w:fldChar w:fldCharType="begin"/>
            </w:r>
            <w:r w:rsidR="00006A72">
              <w:rPr>
                <w:noProof/>
                <w:webHidden/>
              </w:rPr>
              <w:instrText xml:space="preserve"> PAGEREF _Toc55888185 \h </w:instrText>
            </w:r>
            <w:r w:rsidR="00006A72">
              <w:rPr>
                <w:noProof/>
                <w:webHidden/>
              </w:rPr>
            </w:r>
            <w:r w:rsidR="00006A72">
              <w:rPr>
                <w:noProof/>
                <w:webHidden/>
              </w:rPr>
              <w:fldChar w:fldCharType="separate"/>
            </w:r>
            <w:r w:rsidR="00A866B3">
              <w:rPr>
                <w:noProof/>
                <w:webHidden/>
              </w:rPr>
              <w:t>15</w:t>
            </w:r>
            <w:r w:rsidR="00006A72">
              <w:rPr>
                <w:noProof/>
                <w:webHidden/>
              </w:rPr>
              <w:fldChar w:fldCharType="end"/>
            </w:r>
          </w:hyperlink>
        </w:p>
        <w:p w14:paraId="1140A437" w14:textId="3063A61A" w:rsidR="00006A72" w:rsidRDefault="00A51D09">
          <w:pPr>
            <w:pStyle w:val="TOC2"/>
            <w:rPr>
              <w:rFonts w:asciiTheme="minorHAnsi" w:eastAsiaTheme="minorEastAsia" w:hAnsiTheme="minorHAnsi" w:cstheme="minorBidi"/>
              <w:noProof/>
              <w:sz w:val="22"/>
              <w:szCs w:val="22"/>
            </w:rPr>
          </w:pPr>
          <w:hyperlink w:anchor="_Toc55888186" w:history="1">
            <w:r w:rsidR="00006A72" w:rsidRPr="005E6B81">
              <w:rPr>
                <w:rStyle w:val="Hyperlink"/>
                <w:noProof/>
              </w:rPr>
              <w:t>D.</w:t>
            </w:r>
            <w:r w:rsidR="00006A72">
              <w:rPr>
                <w:rFonts w:asciiTheme="minorHAnsi" w:eastAsiaTheme="minorEastAsia" w:hAnsiTheme="minorHAnsi" w:cstheme="minorBidi"/>
                <w:noProof/>
                <w:sz w:val="22"/>
                <w:szCs w:val="22"/>
              </w:rPr>
              <w:tab/>
            </w:r>
            <w:r w:rsidR="00006A72" w:rsidRPr="005E6B81">
              <w:rPr>
                <w:rStyle w:val="Hyperlink"/>
                <w:noProof/>
              </w:rPr>
              <w:t>Joint Petition for Partial Settlement</w:t>
            </w:r>
            <w:r w:rsidR="00006A72">
              <w:rPr>
                <w:noProof/>
                <w:webHidden/>
              </w:rPr>
              <w:tab/>
            </w:r>
            <w:r w:rsidR="00006A72">
              <w:rPr>
                <w:noProof/>
                <w:webHidden/>
              </w:rPr>
              <w:fldChar w:fldCharType="begin"/>
            </w:r>
            <w:r w:rsidR="00006A72">
              <w:rPr>
                <w:noProof/>
                <w:webHidden/>
              </w:rPr>
              <w:instrText xml:space="preserve"> PAGEREF _Toc55888186 \h </w:instrText>
            </w:r>
            <w:r w:rsidR="00006A72">
              <w:rPr>
                <w:noProof/>
                <w:webHidden/>
              </w:rPr>
            </w:r>
            <w:r w:rsidR="00006A72">
              <w:rPr>
                <w:noProof/>
                <w:webHidden/>
              </w:rPr>
              <w:fldChar w:fldCharType="separate"/>
            </w:r>
            <w:r w:rsidR="00A866B3">
              <w:rPr>
                <w:noProof/>
                <w:webHidden/>
              </w:rPr>
              <w:t>21</w:t>
            </w:r>
            <w:r w:rsidR="00006A72">
              <w:rPr>
                <w:noProof/>
                <w:webHidden/>
              </w:rPr>
              <w:fldChar w:fldCharType="end"/>
            </w:r>
          </w:hyperlink>
        </w:p>
        <w:p w14:paraId="77E892F1" w14:textId="75141CF2" w:rsidR="00006A72" w:rsidRDefault="00A51D09">
          <w:pPr>
            <w:pStyle w:val="TOC3"/>
            <w:rPr>
              <w:rFonts w:asciiTheme="minorHAnsi" w:eastAsiaTheme="minorEastAsia" w:hAnsiTheme="minorHAnsi" w:cstheme="minorBidi"/>
              <w:noProof/>
              <w:sz w:val="22"/>
              <w:szCs w:val="22"/>
            </w:rPr>
          </w:pPr>
          <w:hyperlink w:anchor="_Toc55888187" w:history="1">
            <w:r w:rsidR="00006A72" w:rsidRPr="005E6B81">
              <w:rPr>
                <w:rStyle w:val="Hyperlink"/>
                <w:noProof/>
              </w:rPr>
              <w:t>1.</w:t>
            </w:r>
            <w:r w:rsidR="00006A72">
              <w:rPr>
                <w:rFonts w:asciiTheme="minorHAnsi" w:eastAsiaTheme="minorEastAsia" w:hAnsiTheme="minorHAnsi" w:cstheme="minorBidi"/>
                <w:noProof/>
                <w:sz w:val="22"/>
                <w:szCs w:val="22"/>
              </w:rPr>
              <w:tab/>
            </w:r>
            <w:r w:rsidR="00006A72" w:rsidRPr="005E6B81">
              <w:rPr>
                <w:rStyle w:val="Hyperlink"/>
                <w:noProof/>
              </w:rPr>
              <w:t>Terms and Conditions of the Partial Settlement</w:t>
            </w:r>
            <w:r w:rsidR="00006A72">
              <w:rPr>
                <w:noProof/>
                <w:webHidden/>
              </w:rPr>
              <w:tab/>
            </w:r>
            <w:r w:rsidR="00006A72">
              <w:rPr>
                <w:noProof/>
                <w:webHidden/>
              </w:rPr>
              <w:fldChar w:fldCharType="begin"/>
            </w:r>
            <w:r w:rsidR="00006A72">
              <w:rPr>
                <w:noProof/>
                <w:webHidden/>
              </w:rPr>
              <w:instrText xml:space="preserve"> PAGEREF _Toc55888187 \h </w:instrText>
            </w:r>
            <w:r w:rsidR="00006A72">
              <w:rPr>
                <w:noProof/>
                <w:webHidden/>
              </w:rPr>
            </w:r>
            <w:r w:rsidR="00006A72">
              <w:rPr>
                <w:noProof/>
                <w:webHidden/>
              </w:rPr>
              <w:fldChar w:fldCharType="separate"/>
            </w:r>
            <w:r w:rsidR="00A866B3">
              <w:rPr>
                <w:noProof/>
                <w:webHidden/>
              </w:rPr>
              <w:t>21</w:t>
            </w:r>
            <w:r w:rsidR="00006A72">
              <w:rPr>
                <w:noProof/>
                <w:webHidden/>
              </w:rPr>
              <w:fldChar w:fldCharType="end"/>
            </w:r>
          </w:hyperlink>
        </w:p>
        <w:p w14:paraId="305A13E6" w14:textId="57339BE8" w:rsidR="00006A72" w:rsidRDefault="00A51D09">
          <w:pPr>
            <w:pStyle w:val="TOC3"/>
            <w:rPr>
              <w:rFonts w:asciiTheme="minorHAnsi" w:eastAsiaTheme="minorEastAsia" w:hAnsiTheme="minorHAnsi" w:cstheme="minorBidi"/>
              <w:noProof/>
              <w:sz w:val="22"/>
              <w:szCs w:val="22"/>
            </w:rPr>
          </w:pPr>
          <w:hyperlink w:anchor="_Toc55888188" w:history="1">
            <w:r w:rsidR="00006A72" w:rsidRPr="005E6B81">
              <w:rPr>
                <w:rStyle w:val="Hyperlink"/>
                <w:noProof/>
              </w:rPr>
              <w:t>2.</w:t>
            </w:r>
            <w:r w:rsidR="00006A72">
              <w:rPr>
                <w:rFonts w:asciiTheme="minorHAnsi" w:eastAsiaTheme="minorEastAsia" w:hAnsiTheme="minorHAnsi" w:cstheme="minorBidi"/>
                <w:noProof/>
                <w:sz w:val="22"/>
                <w:szCs w:val="22"/>
              </w:rPr>
              <w:tab/>
            </w:r>
            <w:r w:rsidR="00006A72" w:rsidRPr="005E6B81">
              <w:rPr>
                <w:rStyle w:val="Hyperlink"/>
                <w:noProof/>
              </w:rPr>
              <w:t>Statements in Support of the Partial Settlement</w:t>
            </w:r>
            <w:r w:rsidR="00006A72">
              <w:rPr>
                <w:noProof/>
                <w:webHidden/>
              </w:rPr>
              <w:tab/>
            </w:r>
            <w:r w:rsidR="00006A72">
              <w:rPr>
                <w:noProof/>
                <w:webHidden/>
              </w:rPr>
              <w:fldChar w:fldCharType="begin"/>
            </w:r>
            <w:r w:rsidR="00006A72">
              <w:rPr>
                <w:noProof/>
                <w:webHidden/>
              </w:rPr>
              <w:instrText xml:space="preserve"> PAGEREF _Toc55888188 \h </w:instrText>
            </w:r>
            <w:r w:rsidR="00006A72">
              <w:rPr>
                <w:noProof/>
                <w:webHidden/>
              </w:rPr>
            </w:r>
            <w:r w:rsidR="00006A72">
              <w:rPr>
                <w:noProof/>
                <w:webHidden/>
              </w:rPr>
              <w:fldChar w:fldCharType="separate"/>
            </w:r>
            <w:r w:rsidR="00A866B3">
              <w:rPr>
                <w:noProof/>
                <w:webHidden/>
              </w:rPr>
              <w:t>39</w:t>
            </w:r>
            <w:r w:rsidR="00006A72">
              <w:rPr>
                <w:noProof/>
                <w:webHidden/>
              </w:rPr>
              <w:fldChar w:fldCharType="end"/>
            </w:r>
          </w:hyperlink>
        </w:p>
        <w:p w14:paraId="0ABA2B36" w14:textId="657B7CCC" w:rsidR="00006A72" w:rsidRDefault="00A51D09">
          <w:pPr>
            <w:pStyle w:val="TOC3"/>
            <w:rPr>
              <w:rFonts w:asciiTheme="minorHAnsi" w:eastAsiaTheme="minorEastAsia" w:hAnsiTheme="minorHAnsi" w:cstheme="minorBidi"/>
              <w:noProof/>
              <w:sz w:val="22"/>
              <w:szCs w:val="22"/>
            </w:rPr>
          </w:pPr>
          <w:hyperlink w:anchor="_Toc55888189" w:history="1">
            <w:r w:rsidR="00006A72" w:rsidRPr="005E6B81">
              <w:rPr>
                <w:rStyle w:val="Hyperlink"/>
                <w:noProof/>
              </w:rPr>
              <w:t>3.</w:t>
            </w:r>
            <w:r w:rsidR="00006A72">
              <w:rPr>
                <w:rFonts w:asciiTheme="minorHAnsi" w:eastAsiaTheme="minorEastAsia" w:hAnsiTheme="minorHAnsi" w:cstheme="minorBidi"/>
                <w:noProof/>
                <w:sz w:val="22"/>
                <w:szCs w:val="22"/>
              </w:rPr>
              <w:tab/>
            </w:r>
            <w:r w:rsidR="00006A72" w:rsidRPr="005E6B81">
              <w:rPr>
                <w:rStyle w:val="Hyperlink"/>
                <w:noProof/>
              </w:rPr>
              <w:t>Recommended Decision on Partial Settlement</w:t>
            </w:r>
            <w:r w:rsidR="00006A72">
              <w:rPr>
                <w:noProof/>
                <w:webHidden/>
              </w:rPr>
              <w:tab/>
            </w:r>
            <w:r w:rsidR="00006A72">
              <w:rPr>
                <w:noProof/>
                <w:webHidden/>
              </w:rPr>
              <w:fldChar w:fldCharType="begin"/>
            </w:r>
            <w:r w:rsidR="00006A72">
              <w:rPr>
                <w:noProof/>
                <w:webHidden/>
              </w:rPr>
              <w:instrText xml:space="preserve"> PAGEREF _Toc55888189 \h </w:instrText>
            </w:r>
            <w:r w:rsidR="00006A72">
              <w:rPr>
                <w:noProof/>
                <w:webHidden/>
              </w:rPr>
            </w:r>
            <w:r w:rsidR="00006A72">
              <w:rPr>
                <w:noProof/>
                <w:webHidden/>
              </w:rPr>
              <w:fldChar w:fldCharType="separate"/>
            </w:r>
            <w:r w:rsidR="00A866B3">
              <w:rPr>
                <w:noProof/>
                <w:webHidden/>
              </w:rPr>
              <w:t>41</w:t>
            </w:r>
            <w:r w:rsidR="00006A72">
              <w:rPr>
                <w:noProof/>
                <w:webHidden/>
              </w:rPr>
              <w:fldChar w:fldCharType="end"/>
            </w:r>
          </w:hyperlink>
        </w:p>
        <w:p w14:paraId="23186320" w14:textId="1D0B1979" w:rsidR="00006A72" w:rsidRDefault="00A51D09">
          <w:pPr>
            <w:pStyle w:val="TOC3"/>
            <w:rPr>
              <w:rFonts w:asciiTheme="minorHAnsi" w:eastAsiaTheme="minorEastAsia" w:hAnsiTheme="minorHAnsi" w:cstheme="minorBidi"/>
              <w:noProof/>
              <w:sz w:val="22"/>
              <w:szCs w:val="22"/>
            </w:rPr>
          </w:pPr>
          <w:hyperlink w:anchor="_Toc55888190" w:history="1">
            <w:r w:rsidR="00006A72" w:rsidRPr="005E6B81">
              <w:rPr>
                <w:rStyle w:val="Hyperlink"/>
                <w:noProof/>
              </w:rPr>
              <w:t>4.</w:t>
            </w:r>
            <w:r w:rsidR="00006A72">
              <w:rPr>
                <w:rFonts w:asciiTheme="minorHAnsi" w:eastAsiaTheme="minorEastAsia" w:hAnsiTheme="minorHAnsi" w:cstheme="minorBidi"/>
                <w:noProof/>
                <w:sz w:val="22"/>
                <w:szCs w:val="22"/>
              </w:rPr>
              <w:tab/>
            </w:r>
            <w:r w:rsidR="00006A72" w:rsidRPr="005E6B81">
              <w:rPr>
                <w:rStyle w:val="Hyperlink"/>
                <w:noProof/>
              </w:rPr>
              <w:t>Exceptions and Replies</w:t>
            </w:r>
            <w:r w:rsidR="00006A72">
              <w:rPr>
                <w:noProof/>
                <w:webHidden/>
              </w:rPr>
              <w:tab/>
            </w:r>
            <w:r w:rsidR="00006A72">
              <w:rPr>
                <w:noProof/>
                <w:webHidden/>
              </w:rPr>
              <w:fldChar w:fldCharType="begin"/>
            </w:r>
            <w:r w:rsidR="00006A72">
              <w:rPr>
                <w:noProof/>
                <w:webHidden/>
              </w:rPr>
              <w:instrText xml:space="preserve"> PAGEREF _Toc55888190 \h </w:instrText>
            </w:r>
            <w:r w:rsidR="00006A72">
              <w:rPr>
                <w:noProof/>
                <w:webHidden/>
              </w:rPr>
            </w:r>
            <w:r w:rsidR="00006A72">
              <w:rPr>
                <w:noProof/>
                <w:webHidden/>
              </w:rPr>
              <w:fldChar w:fldCharType="separate"/>
            </w:r>
            <w:r w:rsidR="00A866B3">
              <w:rPr>
                <w:noProof/>
                <w:webHidden/>
              </w:rPr>
              <w:t>44</w:t>
            </w:r>
            <w:r w:rsidR="00006A72">
              <w:rPr>
                <w:noProof/>
                <w:webHidden/>
              </w:rPr>
              <w:fldChar w:fldCharType="end"/>
            </w:r>
          </w:hyperlink>
        </w:p>
        <w:p w14:paraId="799F986A" w14:textId="0CE582FB" w:rsidR="00006A72" w:rsidRDefault="00A51D09">
          <w:pPr>
            <w:pStyle w:val="TOC4"/>
            <w:rPr>
              <w:rFonts w:asciiTheme="minorHAnsi" w:eastAsiaTheme="minorEastAsia" w:hAnsiTheme="minorHAnsi" w:cstheme="minorBidi"/>
              <w:noProof/>
              <w:sz w:val="22"/>
              <w:szCs w:val="22"/>
            </w:rPr>
          </w:pPr>
          <w:hyperlink w:anchor="_Toc55888191" w:history="1">
            <w:r w:rsidR="00006A72" w:rsidRPr="005E6B81">
              <w:rPr>
                <w:rStyle w:val="Hyperlink"/>
                <w:rFonts w:eastAsiaTheme="minorHAnsi"/>
                <w:noProof/>
              </w:rPr>
              <w:t>b.</w:t>
            </w:r>
            <w:r w:rsidR="00006A72">
              <w:rPr>
                <w:rFonts w:asciiTheme="minorHAnsi" w:eastAsiaTheme="minorEastAsia" w:hAnsiTheme="minorHAnsi" w:cstheme="minorBidi"/>
                <w:noProof/>
                <w:sz w:val="22"/>
                <w:szCs w:val="22"/>
              </w:rPr>
              <w:tab/>
            </w:r>
            <w:r w:rsidR="00006A72" w:rsidRPr="005E6B81">
              <w:rPr>
                <w:rStyle w:val="Hyperlink"/>
                <w:rFonts w:eastAsiaTheme="minorHAnsi"/>
                <w:noProof/>
              </w:rPr>
              <w:t>OCA Exceptions</w:t>
            </w:r>
            <w:r w:rsidR="00006A72">
              <w:rPr>
                <w:noProof/>
                <w:webHidden/>
              </w:rPr>
              <w:tab/>
            </w:r>
            <w:r w:rsidR="00006A72">
              <w:rPr>
                <w:noProof/>
                <w:webHidden/>
              </w:rPr>
              <w:fldChar w:fldCharType="begin"/>
            </w:r>
            <w:r w:rsidR="00006A72">
              <w:rPr>
                <w:noProof/>
                <w:webHidden/>
              </w:rPr>
              <w:instrText xml:space="preserve"> PAGEREF _Toc55888191 \h </w:instrText>
            </w:r>
            <w:r w:rsidR="00006A72">
              <w:rPr>
                <w:noProof/>
                <w:webHidden/>
              </w:rPr>
            </w:r>
            <w:r w:rsidR="00006A72">
              <w:rPr>
                <w:noProof/>
                <w:webHidden/>
              </w:rPr>
              <w:fldChar w:fldCharType="separate"/>
            </w:r>
            <w:r w:rsidR="00A866B3">
              <w:rPr>
                <w:noProof/>
                <w:webHidden/>
              </w:rPr>
              <w:t>44</w:t>
            </w:r>
            <w:r w:rsidR="00006A72">
              <w:rPr>
                <w:noProof/>
                <w:webHidden/>
              </w:rPr>
              <w:fldChar w:fldCharType="end"/>
            </w:r>
          </w:hyperlink>
        </w:p>
        <w:p w14:paraId="7AA719E2" w14:textId="207F7536" w:rsidR="00006A72" w:rsidRDefault="00A51D09">
          <w:pPr>
            <w:pStyle w:val="TOC4"/>
            <w:rPr>
              <w:rFonts w:asciiTheme="minorHAnsi" w:eastAsiaTheme="minorEastAsia" w:hAnsiTheme="minorHAnsi" w:cstheme="minorBidi"/>
              <w:noProof/>
              <w:sz w:val="22"/>
              <w:szCs w:val="22"/>
            </w:rPr>
          </w:pPr>
          <w:hyperlink w:anchor="_Toc55888192" w:history="1">
            <w:r w:rsidR="00006A72" w:rsidRPr="005E6B81">
              <w:rPr>
                <w:rStyle w:val="Hyperlink"/>
                <w:rFonts w:eastAsiaTheme="minorHAnsi"/>
                <w:noProof/>
              </w:rPr>
              <w:t>c.</w:t>
            </w:r>
            <w:r w:rsidR="00006A72">
              <w:rPr>
                <w:rFonts w:asciiTheme="minorHAnsi" w:eastAsiaTheme="minorEastAsia" w:hAnsiTheme="minorHAnsi" w:cstheme="minorBidi"/>
                <w:noProof/>
                <w:sz w:val="22"/>
                <w:szCs w:val="22"/>
              </w:rPr>
              <w:tab/>
            </w:r>
            <w:r w:rsidR="00006A72" w:rsidRPr="005E6B81">
              <w:rPr>
                <w:rStyle w:val="Hyperlink"/>
                <w:rFonts w:eastAsiaTheme="minorHAnsi"/>
                <w:noProof/>
              </w:rPr>
              <w:t>I&amp;E Exceptions</w:t>
            </w:r>
            <w:r w:rsidR="00006A72">
              <w:rPr>
                <w:noProof/>
                <w:webHidden/>
              </w:rPr>
              <w:tab/>
            </w:r>
            <w:r w:rsidR="00006A72">
              <w:rPr>
                <w:noProof/>
                <w:webHidden/>
              </w:rPr>
              <w:fldChar w:fldCharType="begin"/>
            </w:r>
            <w:r w:rsidR="00006A72">
              <w:rPr>
                <w:noProof/>
                <w:webHidden/>
              </w:rPr>
              <w:instrText xml:space="preserve"> PAGEREF _Toc55888192 \h </w:instrText>
            </w:r>
            <w:r w:rsidR="00006A72">
              <w:rPr>
                <w:noProof/>
                <w:webHidden/>
              </w:rPr>
            </w:r>
            <w:r w:rsidR="00006A72">
              <w:rPr>
                <w:noProof/>
                <w:webHidden/>
              </w:rPr>
              <w:fldChar w:fldCharType="separate"/>
            </w:r>
            <w:r w:rsidR="00A866B3">
              <w:rPr>
                <w:noProof/>
                <w:webHidden/>
              </w:rPr>
              <w:t>47</w:t>
            </w:r>
            <w:r w:rsidR="00006A72">
              <w:rPr>
                <w:noProof/>
                <w:webHidden/>
              </w:rPr>
              <w:fldChar w:fldCharType="end"/>
            </w:r>
          </w:hyperlink>
        </w:p>
        <w:p w14:paraId="7798EB35" w14:textId="5BA73DE0" w:rsidR="00006A72" w:rsidRDefault="00A51D09">
          <w:pPr>
            <w:pStyle w:val="TOC4"/>
            <w:rPr>
              <w:rFonts w:asciiTheme="minorHAnsi" w:eastAsiaTheme="minorEastAsia" w:hAnsiTheme="minorHAnsi" w:cstheme="minorBidi"/>
              <w:noProof/>
              <w:sz w:val="22"/>
              <w:szCs w:val="22"/>
            </w:rPr>
          </w:pPr>
          <w:hyperlink w:anchor="_Toc55888193" w:history="1">
            <w:r w:rsidR="00006A72" w:rsidRPr="005E6B81">
              <w:rPr>
                <w:rStyle w:val="Hyperlink"/>
                <w:noProof/>
              </w:rPr>
              <w:t>d.</w:t>
            </w:r>
            <w:r w:rsidR="00006A72">
              <w:rPr>
                <w:rFonts w:asciiTheme="minorHAnsi" w:eastAsiaTheme="minorEastAsia" w:hAnsiTheme="minorHAnsi" w:cstheme="minorBidi"/>
                <w:noProof/>
                <w:sz w:val="22"/>
                <w:szCs w:val="22"/>
              </w:rPr>
              <w:tab/>
            </w:r>
            <w:r w:rsidR="00006A72" w:rsidRPr="005E6B81">
              <w:rPr>
                <w:rStyle w:val="Hyperlink"/>
                <w:noProof/>
              </w:rPr>
              <w:t>PICGUG Exceptions</w:t>
            </w:r>
            <w:r w:rsidR="00006A72">
              <w:rPr>
                <w:noProof/>
                <w:webHidden/>
              </w:rPr>
              <w:tab/>
            </w:r>
            <w:r w:rsidR="00006A72">
              <w:rPr>
                <w:noProof/>
                <w:webHidden/>
              </w:rPr>
              <w:fldChar w:fldCharType="begin"/>
            </w:r>
            <w:r w:rsidR="00006A72">
              <w:rPr>
                <w:noProof/>
                <w:webHidden/>
              </w:rPr>
              <w:instrText xml:space="preserve"> PAGEREF _Toc55888193 \h </w:instrText>
            </w:r>
            <w:r w:rsidR="00006A72">
              <w:rPr>
                <w:noProof/>
                <w:webHidden/>
              </w:rPr>
            </w:r>
            <w:r w:rsidR="00006A72">
              <w:rPr>
                <w:noProof/>
                <w:webHidden/>
              </w:rPr>
              <w:fldChar w:fldCharType="separate"/>
            </w:r>
            <w:r w:rsidR="00A866B3">
              <w:rPr>
                <w:noProof/>
                <w:webHidden/>
              </w:rPr>
              <w:t>51</w:t>
            </w:r>
            <w:r w:rsidR="00006A72">
              <w:rPr>
                <w:noProof/>
                <w:webHidden/>
              </w:rPr>
              <w:fldChar w:fldCharType="end"/>
            </w:r>
          </w:hyperlink>
        </w:p>
        <w:p w14:paraId="4084570D" w14:textId="3DCDF6B2" w:rsidR="00006A72" w:rsidRDefault="00A51D09">
          <w:pPr>
            <w:pStyle w:val="TOC4"/>
            <w:rPr>
              <w:rFonts w:asciiTheme="minorHAnsi" w:eastAsiaTheme="minorEastAsia" w:hAnsiTheme="minorHAnsi" w:cstheme="minorBidi"/>
              <w:noProof/>
              <w:sz w:val="22"/>
              <w:szCs w:val="22"/>
            </w:rPr>
          </w:pPr>
          <w:hyperlink w:anchor="_Toc55888194" w:history="1">
            <w:r w:rsidR="00006A72" w:rsidRPr="005E6B81">
              <w:rPr>
                <w:rStyle w:val="Hyperlink"/>
                <w:rFonts w:eastAsiaTheme="minorHAnsi"/>
                <w:noProof/>
              </w:rPr>
              <w:t>e.</w:t>
            </w:r>
            <w:r w:rsidR="00006A72">
              <w:rPr>
                <w:rFonts w:asciiTheme="minorHAnsi" w:eastAsiaTheme="minorEastAsia" w:hAnsiTheme="minorHAnsi" w:cstheme="minorBidi"/>
                <w:noProof/>
                <w:sz w:val="22"/>
                <w:szCs w:val="22"/>
              </w:rPr>
              <w:tab/>
            </w:r>
            <w:r w:rsidR="00006A72" w:rsidRPr="005E6B81">
              <w:rPr>
                <w:rStyle w:val="Hyperlink"/>
                <w:rFonts w:eastAsiaTheme="minorHAnsi"/>
                <w:noProof/>
              </w:rPr>
              <w:t>PGW Exceptions</w:t>
            </w:r>
            <w:r w:rsidR="00006A72">
              <w:rPr>
                <w:noProof/>
                <w:webHidden/>
              </w:rPr>
              <w:tab/>
            </w:r>
            <w:r w:rsidR="00006A72">
              <w:rPr>
                <w:noProof/>
                <w:webHidden/>
              </w:rPr>
              <w:fldChar w:fldCharType="begin"/>
            </w:r>
            <w:r w:rsidR="00006A72">
              <w:rPr>
                <w:noProof/>
                <w:webHidden/>
              </w:rPr>
              <w:instrText xml:space="preserve"> PAGEREF _Toc55888194 \h </w:instrText>
            </w:r>
            <w:r w:rsidR="00006A72">
              <w:rPr>
                <w:noProof/>
                <w:webHidden/>
              </w:rPr>
            </w:r>
            <w:r w:rsidR="00006A72">
              <w:rPr>
                <w:noProof/>
                <w:webHidden/>
              </w:rPr>
              <w:fldChar w:fldCharType="separate"/>
            </w:r>
            <w:r w:rsidR="00A866B3">
              <w:rPr>
                <w:noProof/>
                <w:webHidden/>
              </w:rPr>
              <w:t>52</w:t>
            </w:r>
            <w:r w:rsidR="00006A72">
              <w:rPr>
                <w:noProof/>
                <w:webHidden/>
              </w:rPr>
              <w:fldChar w:fldCharType="end"/>
            </w:r>
          </w:hyperlink>
        </w:p>
        <w:p w14:paraId="300C5EDF" w14:textId="3095EC3B" w:rsidR="00006A72" w:rsidRDefault="00A51D09">
          <w:pPr>
            <w:pStyle w:val="TOC3"/>
            <w:rPr>
              <w:rFonts w:asciiTheme="minorHAnsi" w:eastAsiaTheme="minorEastAsia" w:hAnsiTheme="minorHAnsi" w:cstheme="minorBidi"/>
              <w:noProof/>
              <w:sz w:val="22"/>
              <w:szCs w:val="22"/>
            </w:rPr>
          </w:pPr>
          <w:hyperlink w:anchor="_Toc55888195" w:history="1">
            <w:r w:rsidR="00006A72" w:rsidRPr="005E6B81">
              <w:rPr>
                <w:rStyle w:val="Hyperlink"/>
                <w:noProof/>
              </w:rPr>
              <w:t>5.</w:t>
            </w:r>
            <w:r w:rsidR="00006A72">
              <w:rPr>
                <w:rFonts w:asciiTheme="minorHAnsi" w:eastAsiaTheme="minorEastAsia" w:hAnsiTheme="minorHAnsi" w:cstheme="minorBidi"/>
                <w:noProof/>
                <w:sz w:val="22"/>
                <w:szCs w:val="22"/>
              </w:rPr>
              <w:tab/>
            </w:r>
            <w:r w:rsidR="00006A72" w:rsidRPr="005E6B81">
              <w:rPr>
                <w:rStyle w:val="Hyperlink"/>
                <w:noProof/>
              </w:rPr>
              <w:t>Disposition</w:t>
            </w:r>
            <w:r w:rsidR="00006A72">
              <w:rPr>
                <w:noProof/>
                <w:webHidden/>
              </w:rPr>
              <w:tab/>
            </w:r>
            <w:r w:rsidR="00006A72">
              <w:rPr>
                <w:noProof/>
                <w:webHidden/>
              </w:rPr>
              <w:fldChar w:fldCharType="begin"/>
            </w:r>
            <w:r w:rsidR="00006A72">
              <w:rPr>
                <w:noProof/>
                <w:webHidden/>
              </w:rPr>
              <w:instrText xml:space="preserve"> PAGEREF _Toc55888195 \h </w:instrText>
            </w:r>
            <w:r w:rsidR="00006A72">
              <w:rPr>
                <w:noProof/>
                <w:webHidden/>
              </w:rPr>
            </w:r>
            <w:r w:rsidR="00006A72">
              <w:rPr>
                <w:noProof/>
                <w:webHidden/>
              </w:rPr>
              <w:fldChar w:fldCharType="separate"/>
            </w:r>
            <w:r w:rsidR="00A866B3">
              <w:rPr>
                <w:noProof/>
                <w:webHidden/>
              </w:rPr>
              <w:t>64</w:t>
            </w:r>
            <w:r w:rsidR="00006A72">
              <w:rPr>
                <w:noProof/>
                <w:webHidden/>
              </w:rPr>
              <w:fldChar w:fldCharType="end"/>
            </w:r>
          </w:hyperlink>
        </w:p>
        <w:p w14:paraId="65A05FFC" w14:textId="13A8EAF5" w:rsidR="00006A72" w:rsidRDefault="00A51D09">
          <w:pPr>
            <w:pStyle w:val="TOC2"/>
            <w:rPr>
              <w:rFonts w:asciiTheme="minorHAnsi" w:eastAsiaTheme="minorEastAsia" w:hAnsiTheme="minorHAnsi" w:cstheme="minorBidi"/>
              <w:noProof/>
              <w:sz w:val="22"/>
              <w:szCs w:val="22"/>
            </w:rPr>
          </w:pPr>
          <w:hyperlink w:anchor="_Toc55888196" w:history="1">
            <w:r w:rsidR="00006A72" w:rsidRPr="005E6B81">
              <w:rPr>
                <w:rStyle w:val="Hyperlink"/>
                <w:noProof/>
              </w:rPr>
              <w:t>E.</w:t>
            </w:r>
            <w:r w:rsidR="00006A72">
              <w:rPr>
                <w:rFonts w:asciiTheme="minorHAnsi" w:eastAsiaTheme="minorEastAsia" w:hAnsiTheme="minorHAnsi" w:cstheme="minorBidi"/>
                <w:noProof/>
                <w:sz w:val="22"/>
                <w:szCs w:val="22"/>
              </w:rPr>
              <w:tab/>
            </w:r>
            <w:r w:rsidR="00006A72" w:rsidRPr="005E6B81">
              <w:rPr>
                <w:rStyle w:val="Hyperlink"/>
                <w:noProof/>
              </w:rPr>
              <w:t>Litigated Issues</w:t>
            </w:r>
            <w:r w:rsidR="00006A72">
              <w:rPr>
                <w:noProof/>
                <w:webHidden/>
              </w:rPr>
              <w:tab/>
            </w:r>
            <w:r w:rsidR="00006A72">
              <w:rPr>
                <w:noProof/>
                <w:webHidden/>
              </w:rPr>
              <w:fldChar w:fldCharType="begin"/>
            </w:r>
            <w:r w:rsidR="00006A72">
              <w:rPr>
                <w:noProof/>
                <w:webHidden/>
              </w:rPr>
              <w:instrText xml:space="preserve"> PAGEREF _Toc55888196 \h </w:instrText>
            </w:r>
            <w:r w:rsidR="00006A72">
              <w:rPr>
                <w:noProof/>
                <w:webHidden/>
              </w:rPr>
            </w:r>
            <w:r w:rsidR="00006A72">
              <w:rPr>
                <w:noProof/>
                <w:webHidden/>
              </w:rPr>
              <w:fldChar w:fldCharType="separate"/>
            </w:r>
            <w:r w:rsidR="00A866B3">
              <w:rPr>
                <w:noProof/>
                <w:webHidden/>
              </w:rPr>
              <w:t>71</w:t>
            </w:r>
            <w:r w:rsidR="00006A72">
              <w:rPr>
                <w:noProof/>
                <w:webHidden/>
              </w:rPr>
              <w:fldChar w:fldCharType="end"/>
            </w:r>
          </w:hyperlink>
        </w:p>
        <w:p w14:paraId="548F319E" w14:textId="01896C76" w:rsidR="00006A72" w:rsidRDefault="00A51D09">
          <w:pPr>
            <w:pStyle w:val="TOC3"/>
            <w:rPr>
              <w:rFonts w:asciiTheme="minorHAnsi" w:eastAsiaTheme="minorEastAsia" w:hAnsiTheme="minorHAnsi" w:cstheme="minorBidi"/>
              <w:noProof/>
              <w:sz w:val="22"/>
              <w:szCs w:val="22"/>
            </w:rPr>
          </w:pPr>
          <w:hyperlink w:anchor="_Toc55888197" w:history="1">
            <w:r w:rsidR="00006A72" w:rsidRPr="005E6B81">
              <w:rPr>
                <w:rStyle w:val="Hyperlink"/>
                <w:noProof/>
              </w:rPr>
              <w:t>1.</w:t>
            </w:r>
            <w:r w:rsidR="00006A72">
              <w:rPr>
                <w:rFonts w:asciiTheme="minorHAnsi" w:eastAsiaTheme="minorEastAsia" w:hAnsiTheme="minorHAnsi" w:cstheme="minorBidi"/>
                <w:noProof/>
                <w:sz w:val="22"/>
                <w:szCs w:val="22"/>
              </w:rPr>
              <w:tab/>
            </w:r>
            <w:r w:rsidR="00006A72" w:rsidRPr="005E6B81">
              <w:rPr>
                <w:rStyle w:val="Hyperlink"/>
                <w:noProof/>
              </w:rPr>
              <w:t>Overall Rate Increase</w:t>
            </w:r>
            <w:r w:rsidR="00006A72">
              <w:rPr>
                <w:noProof/>
                <w:webHidden/>
              </w:rPr>
              <w:tab/>
            </w:r>
            <w:r w:rsidR="00006A72">
              <w:rPr>
                <w:noProof/>
                <w:webHidden/>
              </w:rPr>
              <w:fldChar w:fldCharType="begin"/>
            </w:r>
            <w:r w:rsidR="00006A72">
              <w:rPr>
                <w:noProof/>
                <w:webHidden/>
              </w:rPr>
              <w:instrText xml:space="preserve"> PAGEREF _Toc55888197 \h </w:instrText>
            </w:r>
            <w:r w:rsidR="00006A72">
              <w:rPr>
                <w:noProof/>
                <w:webHidden/>
              </w:rPr>
            </w:r>
            <w:r w:rsidR="00006A72">
              <w:rPr>
                <w:noProof/>
                <w:webHidden/>
              </w:rPr>
              <w:fldChar w:fldCharType="separate"/>
            </w:r>
            <w:r w:rsidR="00A866B3">
              <w:rPr>
                <w:noProof/>
                <w:webHidden/>
              </w:rPr>
              <w:t>74</w:t>
            </w:r>
            <w:r w:rsidR="00006A72">
              <w:rPr>
                <w:noProof/>
                <w:webHidden/>
              </w:rPr>
              <w:fldChar w:fldCharType="end"/>
            </w:r>
          </w:hyperlink>
        </w:p>
        <w:p w14:paraId="146F69E5" w14:textId="10C9AA6E" w:rsidR="00006A72" w:rsidRDefault="00A51D09">
          <w:pPr>
            <w:pStyle w:val="TOC3"/>
            <w:rPr>
              <w:rFonts w:asciiTheme="minorHAnsi" w:eastAsiaTheme="minorEastAsia" w:hAnsiTheme="minorHAnsi" w:cstheme="minorBidi"/>
              <w:noProof/>
              <w:sz w:val="22"/>
              <w:szCs w:val="22"/>
            </w:rPr>
          </w:pPr>
          <w:hyperlink w:anchor="_Toc55888198" w:history="1">
            <w:r w:rsidR="00006A72" w:rsidRPr="005E6B81">
              <w:rPr>
                <w:rStyle w:val="Hyperlink"/>
                <w:noProof/>
              </w:rPr>
              <w:t>2.</w:t>
            </w:r>
            <w:r w:rsidR="00006A72">
              <w:rPr>
                <w:rFonts w:asciiTheme="minorHAnsi" w:eastAsiaTheme="minorEastAsia" w:hAnsiTheme="minorHAnsi" w:cstheme="minorBidi"/>
                <w:noProof/>
                <w:sz w:val="22"/>
                <w:szCs w:val="22"/>
              </w:rPr>
              <w:tab/>
            </w:r>
            <w:r w:rsidR="00006A72" w:rsidRPr="005E6B81">
              <w:rPr>
                <w:rStyle w:val="Hyperlink"/>
                <w:noProof/>
              </w:rPr>
              <w:t>Fixed Customer Charges</w:t>
            </w:r>
            <w:r w:rsidR="00006A72">
              <w:rPr>
                <w:noProof/>
                <w:webHidden/>
              </w:rPr>
              <w:tab/>
            </w:r>
            <w:r w:rsidR="00006A72">
              <w:rPr>
                <w:noProof/>
                <w:webHidden/>
              </w:rPr>
              <w:fldChar w:fldCharType="begin"/>
            </w:r>
            <w:r w:rsidR="00006A72">
              <w:rPr>
                <w:noProof/>
                <w:webHidden/>
              </w:rPr>
              <w:instrText xml:space="preserve"> PAGEREF _Toc55888198 \h </w:instrText>
            </w:r>
            <w:r w:rsidR="00006A72">
              <w:rPr>
                <w:noProof/>
                <w:webHidden/>
              </w:rPr>
            </w:r>
            <w:r w:rsidR="00006A72">
              <w:rPr>
                <w:noProof/>
                <w:webHidden/>
              </w:rPr>
              <w:fldChar w:fldCharType="separate"/>
            </w:r>
            <w:r w:rsidR="00A866B3">
              <w:rPr>
                <w:noProof/>
                <w:webHidden/>
              </w:rPr>
              <w:t>75</w:t>
            </w:r>
            <w:r w:rsidR="00006A72">
              <w:rPr>
                <w:noProof/>
                <w:webHidden/>
              </w:rPr>
              <w:fldChar w:fldCharType="end"/>
            </w:r>
          </w:hyperlink>
        </w:p>
        <w:p w14:paraId="113E3476" w14:textId="76287433" w:rsidR="00006A72" w:rsidRDefault="00A51D09">
          <w:pPr>
            <w:pStyle w:val="TOC3"/>
            <w:rPr>
              <w:rFonts w:asciiTheme="minorHAnsi" w:eastAsiaTheme="minorEastAsia" w:hAnsiTheme="minorHAnsi" w:cstheme="minorBidi"/>
              <w:noProof/>
              <w:sz w:val="22"/>
              <w:szCs w:val="22"/>
            </w:rPr>
          </w:pPr>
          <w:hyperlink w:anchor="_Toc55888199" w:history="1">
            <w:r w:rsidR="00006A72" w:rsidRPr="005E6B81">
              <w:rPr>
                <w:rStyle w:val="Hyperlink"/>
                <w:noProof/>
              </w:rPr>
              <w:t>3.</w:t>
            </w:r>
            <w:r w:rsidR="00006A72">
              <w:rPr>
                <w:rFonts w:asciiTheme="minorHAnsi" w:eastAsiaTheme="minorEastAsia" w:hAnsiTheme="minorHAnsi" w:cstheme="minorBidi"/>
                <w:noProof/>
                <w:sz w:val="22"/>
                <w:szCs w:val="22"/>
              </w:rPr>
              <w:tab/>
            </w:r>
            <w:r w:rsidR="00006A72" w:rsidRPr="005E6B81">
              <w:rPr>
                <w:rStyle w:val="Hyperlink"/>
                <w:noProof/>
              </w:rPr>
              <w:t>Infrastructure Improvements and Pipeline Safety Issues</w:t>
            </w:r>
            <w:r w:rsidR="00006A72">
              <w:rPr>
                <w:noProof/>
                <w:webHidden/>
              </w:rPr>
              <w:tab/>
            </w:r>
            <w:r w:rsidR="00006A72">
              <w:rPr>
                <w:noProof/>
                <w:webHidden/>
              </w:rPr>
              <w:fldChar w:fldCharType="begin"/>
            </w:r>
            <w:r w:rsidR="00006A72">
              <w:rPr>
                <w:noProof/>
                <w:webHidden/>
              </w:rPr>
              <w:instrText xml:space="preserve"> PAGEREF _Toc55888199 \h </w:instrText>
            </w:r>
            <w:r w:rsidR="00006A72">
              <w:rPr>
                <w:noProof/>
                <w:webHidden/>
              </w:rPr>
            </w:r>
            <w:r w:rsidR="00006A72">
              <w:rPr>
                <w:noProof/>
                <w:webHidden/>
              </w:rPr>
              <w:fldChar w:fldCharType="separate"/>
            </w:r>
            <w:r w:rsidR="00A866B3">
              <w:rPr>
                <w:noProof/>
                <w:webHidden/>
              </w:rPr>
              <w:t>75</w:t>
            </w:r>
            <w:r w:rsidR="00006A72">
              <w:rPr>
                <w:noProof/>
                <w:webHidden/>
              </w:rPr>
              <w:fldChar w:fldCharType="end"/>
            </w:r>
          </w:hyperlink>
        </w:p>
        <w:p w14:paraId="1A6F442C" w14:textId="395A397A" w:rsidR="00006A72" w:rsidRDefault="00A51D09">
          <w:pPr>
            <w:pStyle w:val="TOC4"/>
            <w:rPr>
              <w:rFonts w:asciiTheme="minorHAnsi" w:eastAsiaTheme="minorEastAsia" w:hAnsiTheme="minorHAnsi" w:cstheme="minorBidi"/>
              <w:noProof/>
              <w:sz w:val="22"/>
              <w:szCs w:val="22"/>
            </w:rPr>
          </w:pPr>
          <w:hyperlink w:anchor="_Toc55888200" w:history="1">
            <w:r w:rsidR="00006A72" w:rsidRPr="005E6B81">
              <w:rPr>
                <w:rStyle w:val="Hyperlink"/>
                <w:noProof/>
              </w:rPr>
              <w:t>a.</w:t>
            </w:r>
            <w:r w:rsidR="00006A72">
              <w:rPr>
                <w:rFonts w:asciiTheme="minorHAnsi" w:eastAsiaTheme="minorEastAsia" w:hAnsiTheme="minorHAnsi" w:cstheme="minorBidi"/>
                <w:noProof/>
                <w:sz w:val="22"/>
                <w:szCs w:val="22"/>
              </w:rPr>
              <w:tab/>
            </w:r>
            <w:r w:rsidR="00006A72" w:rsidRPr="005E6B81">
              <w:rPr>
                <w:rStyle w:val="Hyperlink"/>
                <w:noProof/>
              </w:rPr>
              <w:t>Parties’ Positions</w:t>
            </w:r>
            <w:r w:rsidR="00006A72">
              <w:rPr>
                <w:noProof/>
                <w:webHidden/>
              </w:rPr>
              <w:tab/>
            </w:r>
            <w:r w:rsidR="00006A72">
              <w:rPr>
                <w:noProof/>
                <w:webHidden/>
              </w:rPr>
              <w:fldChar w:fldCharType="begin"/>
            </w:r>
            <w:r w:rsidR="00006A72">
              <w:rPr>
                <w:noProof/>
                <w:webHidden/>
              </w:rPr>
              <w:instrText xml:space="preserve"> PAGEREF _Toc55888200 \h </w:instrText>
            </w:r>
            <w:r w:rsidR="00006A72">
              <w:rPr>
                <w:noProof/>
                <w:webHidden/>
              </w:rPr>
            </w:r>
            <w:r w:rsidR="00006A72">
              <w:rPr>
                <w:noProof/>
                <w:webHidden/>
              </w:rPr>
              <w:fldChar w:fldCharType="separate"/>
            </w:r>
            <w:r w:rsidR="00A866B3">
              <w:rPr>
                <w:noProof/>
                <w:webHidden/>
              </w:rPr>
              <w:t>76</w:t>
            </w:r>
            <w:r w:rsidR="00006A72">
              <w:rPr>
                <w:noProof/>
                <w:webHidden/>
              </w:rPr>
              <w:fldChar w:fldCharType="end"/>
            </w:r>
          </w:hyperlink>
        </w:p>
        <w:p w14:paraId="39971364" w14:textId="115E9290" w:rsidR="00006A72" w:rsidRDefault="00A51D09">
          <w:pPr>
            <w:pStyle w:val="TOC4"/>
            <w:rPr>
              <w:rFonts w:asciiTheme="minorHAnsi" w:eastAsiaTheme="minorEastAsia" w:hAnsiTheme="minorHAnsi" w:cstheme="minorBidi"/>
              <w:noProof/>
              <w:sz w:val="22"/>
              <w:szCs w:val="22"/>
            </w:rPr>
          </w:pPr>
          <w:hyperlink w:anchor="_Toc55888201" w:history="1">
            <w:r w:rsidR="00006A72" w:rsidRPr="005E6B81">
              <w:rPr>
                <w:rStyle w:val="Hyperlink"/>
                <w:noProof/>
              </w:rPr>
              <w:t>b.</w:t>
            </w:r>
            <w:r w:rsidR="00006A72">
              <w:rPr>
                <w:rFonts w:asciiTheme="minorHAnsi" w:eastAsiaTheme="minorEastAsia" w:hAnsiTheme="minorHAnsi" w:cstheme="minorBidi"/>
                <w:noProof/>
                <w:sz w:val="22"/>
                <w:szCs w:val="22"/>
              </w:rPr>
              <w:tab/>
            </w:r>
            <w:r w:rsidR="00006A72" w:rsidRPr="005E6B81">
              <w:rPr>
                <w:rStyle w:val="Hyperlink"/>
                <w:noProof/>
              </w:rPr>
              <w:t>ALJs’ Recommendation</w:t>
            </w:r>
            <w:r w:rsidR="00006A72">
              <w:rPr>
                <w:noProof/>
                <w:webHidden/>
              </w:rPr>
              <w:tab/>
            </w:r>
            <w:r w:rsidR="00006A72">
              <w:rPr>
                <w:noProof/>
                <w:webHidden/>
              </w:rPr>
              <w:fldChar w:fldCharType="begin"/>
            </w:r>
            <w:r w:rsidR="00006A72">
              <w:rPr>
                <w:noProof/>
                <w:webHidden/>
              </w:rPr>
              <w:instrText xml:space="preserve"> PAGEREF _Toc55888201 \h </w:instrText>
            </w:r>
            <w:r w:rsidR="00006A72">
              <w:rPr>
                <w:noProof/>
                <w:webHidden/>
              </w:rPr>
            </w:r>
            <w:r w:rsidR="00006A72">
              <w:rPr>
                <w:noProof/>
                <w:webHidden/>
              </w:rPr>
              <w:fldChar w:fldCharType="separate"/>
            </w:r>
            <w:r w:rsidR="00A866B3">
              <w:rPr>
                <w:noProof/>
                <w:webHidden/>
              </w:rPr>
              <w:t>79</w:t>
            </w:r>
            <w:r w:rsidR="00006A72">
              <w:rPr>
                <w:noProof/>
                <w:webHidden/>
              </w:rPr>
              <w:fldChar w:fldCharType="end"/>
            </w:r>
          </w:hyperlink>
        </w:p>
        <w:p w14:paraId="73CFC123" w14:textId="3C587102" w:rsidR="00006A72" w:rsidRDefault="00A51D09">
          <w:pPr>
            <w:pStyle w:val="TOC4"/>
            <w:rPr>
              <w:rFonts w:asciiTheme="minorHAnsi" w:eastAsiaTheme="minorEastAsia" w:hAnsiTheme="minorHAnsi" w:cstheme="minorBidi"/>
              <w:noProof/>
              <w:sz w:val="22"/>
              <w:szCs w:val="22"/>
            </w:rPr>
          </w:pPr>
          <w:hyperlink w:anchor="_Toc55888202" w:history="1">
            <w:r w:rsidR="00006A72" w:rsidRPr="005E6B81">
              <w:rPr>
                <w:rStyle w:val="Hyperlink"/>
                <w:noProof/>
              </w:rPr>
              <w:t>c.</w:t>
            </w:r>
            <w:r w:rsidR="00006A72">
              <w:rPr>
                <w:rFonts w:asciiTheme="minorHAnsi" w:eastAsiaTheme="minorEastAsia" w:hAnsiTheme="minorHAnsi" w:cstheme="minorBidi"/>
                <w:noProof/>
                <w:sz w:val="22"/>
                <w:szCs w:val="22"/>
              </w:rPr>
              <w:tab/>
            </w:r>
            <w:r w:rsidR="00006A72" w:rsidRPr="005E6B81">
              <w:rPr>
                <w:rStyle w:val="Hyperlink"/>
                <w:noProof/>
              </w:rPr>
              <w:t>Exceptions and Replies to Exceptions</w:t>
            </w:r>
            <w:r w:rsidR="00006A72">
              <w:rPr>
                <w:noProof/>
                <w:webHidden/>
              </w:rPr>
              <w:tab/>
            </w:r>
            <w:r w:rsidR="00006A72">
              <w:rPr>
                <w:noProof/>
                <w:webHidden/>
              </w:rPr>
              <w:fldChar w:fldCharType="begin"/>
            </w:r>
            <w:r w:rsidR="00006A72">
              <w:rPr>
                <w:noProof/>
                <w:webHidden/>
              </w:rPr>
              <w:instrText xml:space="preserve"> PAGEREF _Toc55888202 \h </w:instrText>
            </w:r>
            <w:r w:rsidR="00006A72">
              <w:rPr>
                <w:noProof/>
                <w:webHidden/>
              </w:rPr>
            </w:r>
            <w:r w:rsidR="00006A72">
              <w:rPr>
                <w:noProof/>
                <w:webHidden/>
              </w:rPr>
              <w:fldChar w:fldCharType="separate"/>
            </w:r>
            <w:r w:rsidR="00A866B3">
              <w:rPr>
                <w:noProof/>
                <w:webHidden/>
              </w:rPr>
              <w:t>80</w:t>
            </w:r>
            <w:r w:rsidR="00006A72">
              <w:rPr>
                <w:noProof/>
                <w:webHidden/>
              </w:rPr>
              <w:fldChar w:fldCharType="end"/>
            </w:r>
          </w:hyperlink>
        </w:p>
        <w:p w14:paraId="04314571" w14:textId="161BC7A7" w:rsidR="00006A72" w:rsidRDefault="00A51D09">
          <w:pPr>
            <w:pStyle w:val="TOC4"/>
            <w:rPr>
              <w:rFonts w:asciiTheme="minorHAnsi" w:eastAsiaTheme="minorEastAsia" w:hAnsiTheme="minorHAnsi" w:cstheme="minorBidi"/>
              <w:noProof/>
              <w:sz w:val="22"/>
              <w:szCs w:val="22"/>
            </w:rPr>
          </w:pPr>
          <w:hyperlink w:anchor="_Toc55888203" w:history="1">
            <w:r w:rsidR="00006A72" w:rsidRPr="005E6B81">
              <w:rPr>
                <w:rStyle w:val="Hyperlink"/>
                <w:noProof/>
              </w:rPr>
              <w:t>d.</w:t>
            </w:r>
            <w:r w:rsidR="00006A72">
              <w:rPr>
                <w:rFonts w:asciiTheme="minorHAnsi" w:eastAsiaTheme="minorEastAsia" w:hAnsiTheme="minorHAnsi" w:cstheme="minorBidi"/>
                <w:noProof/>
                <w:sz w:val="22"/>
                <w:szCs w:val="22"/>
              </w:rPr>
              <w:tab/>
            </w:r>
            <w:r w:rsidR="00006A72" w:rsidRPr="005E6B81">
              <w:rPr>
                <w:rStyle w:val="Hyperlink"/>
                <w:noProof/>
              </w:rPr>
              <w:t>Disposition</w:t>
            </w:r>
            <w:r w:rsidR="00006A72">
              <w:rPr>
                <w:noProof/>
                <w:webHidden/>
              </w:rPr>
              <w:tab/>
            </w:r>
            <w:r w:rsidR="00006A72">
              <w:rPr>
                <w:noProof/>
                <w:webHidden/>
              </w:rPr>
              <w:fldChar w:fldCharType="begin"/>
            </w:r>
            <w:r w:rsidR="00006A72">
              <w:rPr>
                <w:noProof/>
                <w:webHidden/>
              </w:rPr>
              <w:instrText xml:space="preserve"> PAGEREF _Toc55888203 \h </w:instrText>
            </w:r>
            <w:r w:rsidR="00006A72">
              <w:rPr>
                <w:noProof/>
                <w:webHidden/>
              </w:rPr>
            </w:r>
            <w:r w:rsidR="00006A72">
              <w:rPr>
                <w:noProof/>
                <w:webHidden/>
              </w:rPr>
              <w:fldChar w:fldCharType="separate"/>
            </w:r>
            <w:r w:rsidR="00A866B3">
              <w:rPr>
                <w:noProof/>
                <w:webHidden/>
              </w:rPr>
              <w:t>90</w:t>
            </w:r>
            <w:r w:rsidR="00006A72">
              <w:rPr>
                <w:noProof/>
                <w:webHidden/>
              </w:rPr>
              <w:fldChar w:fldCharType="end"/>
            </w:r>
          </w:hyperlink>
        </w:p>
        <w:p w14:paraId="7141BEEA" w14:textId="12C89794" w:rsidR="00006A72" w:rsidRDefault="00A51D09">
          <w:pPr>
            <w:pStyle w:val="TOC1"/>
            <w:rPr>
              <w:rFonts w:asciiTheme="minorHAnsi" w:eastAsiaTheme="minorEastAsia" w:hAnsiTheme="minorHAnsi" w:cstheme="minorBidi"/>
              <w:noProof/>
              <w:sz w:val="22"/>
              <w:szCs w:val="22"/>
            </w:rPr>
          </w:pPr>
          <w:hyperlink w:anchor="_Toc55888204" w:history="1">
            <w:r w:rsidR="00006A72" w:rsidRPr="005E6B81">
              <w:rPr>
                <w:rStyle w:val="Hyperlink"/>
                <w:noProof/>
              </w:rPr>
              <w:t>IV.</w:t>
            </w:r>
            <w:r w:rsidR="00006A72">
              <w:rPr>
                <w:rFonts w:asciiTheme="minorHAnsi" w:eastAsiaTheme="minorEastAsia" w:hAnsiTheme="minorHAnsi" w:cstheme="minorBidi"/>
                <w:noProof/>
                <w:sz w:val="22"/>
                <w:szCs w:val="22"/>
              </w:rPr>
              <w:tab/>
            </w:r>
            <w:r w:rsidR="00006A72" w:rsidRPr="005E6B81">
              <w:rPr>
                <w:rStyle w:val="Hyperlink"/>
                <w:noProof/>
              </w:rPr>
              <w:t>Conclusion</w:t>
            </w:r>
            <w:r w:rsidR="00006A72">
              <w:rPr>
                <w:noProof/>
                <w:webHidden/>
              </w:rPr>
              <w:tab/>
            </w:r>
            <w:r w:rsidR="00006A72">
              <w:rPr>
                <w:noProof/>
                <w:webHidden/>
              </w:rPr>
              <w:fldChar w:fldCharType="begin"/>
            </w:r>
            <w:r w:rsidR="00006A72">
              <w:rPr>
                <w:noProof/>
                <w:webHidden/>
              </w:rPr>
              <w:instrText xml:space="preserve"> PAGEREF _Toc55888204 \h </w:instrText>
            </w:r>
            <w:r w:rsidR="00006A72">
              <w:rPr>
                <w:noProof/>
                <w:webHidden/>
              </w:rPr>
            </w:r>
            <w:r w:rsidR="00006A72">
              <w:rPr>
                <w:noProof/>
                <w:webHidden/>
              </w:rPr>
              <w:fldChar w:fldCharType="separate"/>
            </w:r>
            <w:r w:rsidR="00A866B3">
              <w:rPr>
                <w:noProof/>
                <w:webHidden/>
              </w:rPr>
              <w:t>95</w:t>
            </w:r>
            <w:r w:rsidR="00006A72">
              <w:rPr>
                <w:noProof/>
                <w:webHidden/>
              </w:rPr>
              <w:fldChar w:fldCharType="end"/>
            </w:r>
          </w:hyperlink>
        </w:p>
        <w:p w14:paraId="4CC2016A" w14:textId="02460010" w:rsidR="005A74D5" w:rsidRPr="006A631A" w:rsidRDefault="005A74D5" w:rsidP="00F510B9">
          <w:pPr>
            <w:widowControl/>
            <w:rPr>
              <w:noProof/>
              <w:sz w:val="26"/>
              <w:szCs w:val="26"/>
            </w:rPr>
          </w:pPr>
          <w:r w:rsidRPr="006A631A">
            <w:rPr>
              <w:sz w:val="26"/>
              <w:szCs w:val="26"/>
            </w:rPr>
            <w:fldChar w:fldCharType="end"/>
          </w:r>
        </w:p>
      </w:sdtContent>
    </w:sdt>
    <w:bookmarkEnd w:id="0" w:displacedByCustomXml="prev"/>
    <w:p w14:paraId="2E3C9DF1" w14:textId="1B5510A1" w:rsidR="005A74D5" w:rsidRPr="006A631A" w:rsidRDefault="005A74D5" w:rsidP="00F510B9">
      <w:pPr>
        <w:widowControl/>
        <w:spacing w:line="360" w:lineRule="auto"/>
        <w:jc w:val="center"/>
        <w:rPr>
          <w:b/>
          <w:sz w:val="26"/>
          <w:szCs w:val="26"/>
        </w:rPr>
      </w:pPr>
    </w:p>
    <w:p w14:paraId="296BC070" w14:textId="25C25B43" w:rsidR="005B7603" w:rsidRPr="006A631A" w:rsidRDefault="005B7603" w:rsidP="00F510B9">
      <w:pPr>
        <w:widowControl/>
        <w:spacing w:line="360" w:lineRule="auto"/>
        <w:jc w:val="center"/>
        <w:rPr>
          <w:b/>
          <w:sz w:val="26"/>
          <w:szCs w:val="26"/>
        </w:rPr>
      </w:pPr>
    </w:p>
    <w:p w14:paraId="7C58F892" w14:textId="77777777" w:rsidR="00A32A88" w:rsidRPr="006A631A" w:rsidRDefault="00A32A88" w:rsidP="00F510B9">
      <w:pPr>
        <w:widowControl/>
        <w:spacing w:line="360" w:lineRule="auto"/>
        <w:rPr>
          <w:b/>
          <w:sz w:val="26"/>
          <w:szCs w:val="26"/>
        </w:rPr>
        <w:sectPr w:rsidR="00A32A88" w:rsidRPr="006A631A" w:rsidSect="00A32A88">
          <w:pgSz w:w="12240" w:h="15840"/>
          <w:pgMar w:top="1440" w:right="1440" w:bottom="1440" w:left="1440" w:header="720" w:footer="720" w:gutter="0"/>
          <w:pgNumType w:fmt="lowerRoman" w:start="1"/>
          <w:cols w:space="720"/>
          <w:titlePg/>
          <w:docGrid w:linePitch="360"/>
        </w:sectPr>
      </w:pPr>
    </w:p>
    <w:p w14:paraId="7A0F3CB7" w14:textId="693522CD" w:rsidR="00CE01AD" w:rsidRPr="006A631A" w:rsidRDefault="00CE01AD" w:rsidP="00F510B9">
      <w:pPr>
        <w:widowControl/>
        <w:spacing w:line="360" w:lineRule="auto"/>
        <w:rPr>
          <w:b/>
          <w:sz w:val="26"/>
          <w:szCs w:val="26"/>
        </w:rPr>
      </w:pPr>
      <w:r w:rsidRPr="006A631A">
        <w:rPr>
          <w:b/>
          <w:sz w:val="26"/>
          <w:szCs w:val="26"/>
        </w:rPr>
        <w:lastRenderedPageBreak/>
        <w:t>BY THE COMMISSION:</w:t>
      </w:r>
    </w:p>
    <w:p w14:paraId="467B9228" w14:textId="77777777" w:rsidR="00275807" w:rsidRPr="006A631A" w:rsidRDefault="00275807" w:rsidP="00F510B9">
      <w:pPr>
        <w:widowControl/>
        <w:spacing w:line="360" w:lineRule="auto"/>
        <w:rPr>
          <w:b/>
          <w:sz w:val="26"/>
          <w:szCs w:val="26"/>
        </w:rPr>
      </w:pPr>
    </w:p>
    <w:p w14:paraId="1A872CC6" w14:textId="4F0E15D4" w:rsidR="007D482A" w:rsidRPr="006A631A" w:rsidRDefault="000F1318" w:rsidP="00F510B9">
      <w:pPr>
        <w:widowControl/>
        <w:tabs>
          <w:tab w:val="left" w:pos="-720"/>
        </w:tabs>
        <w:suppressAutoHyphens/>
        <w:spacing w:line="360" w:lineRule="auto"/>
        <w:ind w:firstLine="1440"/>
        <w:rPr>
          <w:sz w:val="26"/>
          <w:szCs w:val="26"/>
        </w:rPr>
      </w:pPr>
      <w:bookmarkStart w:id="1" w:name="_Hlk54681843"/>
      <w:r w:rsidRPr="006A631A">
        <w:rPr>
          <w:sz w:val="26"/>
          <w:szCs w:val="26"/>
        </w:rPr>
        <w:t xml:space="preserve">Before the </w:t>
      </w:r>
      <w:r w:rsidR="005C7928" w:rsidRPr="006A631A">
        <w:rPr>
          <w:sz w:val="26"/>
          <w:szCs w:val="26"/>
        </w:rPr>
        <w:t xml:space="preserve">Pennsylvania Public Utility </w:t>
      </w:r>
      <w:r w:rsidRPr="006A631A">
        <w:rPr>
          <w:sz w:val="26"/>
          <w:szCs w:val="26"/>
        </w:rPr>
        <w:t xml:space="preserve">Commission </w:t>
      </w:r>
      <w:r w:rsidR="005C7928" w:rsidRPr="006A631A">
        <w:rPr>
          <w:sz w:val="26"/>
          <w:szCs w:val="26"/>
        </w:rPr>
        <w:t xml:space="preserve">(Commission) </w:t>
      </w:r>
      <w:r w:rsidRPr="006A631A">
        <w:rPr>
          <w:sz w:val="26"/>
          <w:szCs w:val="26"/>
        </w:rPr>
        <w:t>for co</w:t>
      </w:r>
      <w:r w:rsidR="00893951" w:rsidRPr="006A631A">
        <w:rPr>
          <w:sz w:val="26"/>
          <w:szCs w:val="26"/>
        </w:rPr>
        <w:t xml:space="preserve">nsideration and </w:t>
      </w:r>
      <w:bookmarkStart w:id="2" w:name="_Hlk37835909"/>
      <w:r w:rsidR="00893951" w:rsidRPr="006A631A">
        <w:rPr>
          <w:sz w:val="26"/>
          <w:szCs w:val="26"/>
        </w:rPr>
        <w:t>disposition</w:t>
      </w:r>
      <w:r w:rsidR="00D340F2" w:rsidRPr="006A631A">
        <w:rPr>
          <w:sz w:val="26"/>
          <w:szCs w:val="26"/>
        </w:rPr>
        <w:t xml:space="preserve"> is</w:t>
      </w:r>
      <w:r w:rsidR="007D482A" w:rsidRPr="006A631A">
        <w:rPr>
          <w:sz w:val="26"/>
          <w:szCs w:val="26"/>
        </w:rPr>
        <w:t xml:space="preserve"> the </w:t>
      </w:r>
      <w:bookmarkStart w:id="3" w:name="_Hlk54175764"/>
      <w:r w:rsidR="007D482A" w:rsidRPr="006A631A">
        <w:rPr>
          <w:sz w:val="26"/>
          <w:szCs w:val="26"/>
        </w:rPr>
        <w:t>Joint Petition for Partial Settlement</w:t>
      </w:r>
      <w:r w:rsidR="0082155F" w:rsidRPr="006A631A">
        <w:rPr>
          <w:sz w:val="26"/>
          <w:szCs w:val="26"/>
        </w:rPr>
        <w:t xml:space="preserve"> (Joint Petition or Partial Settlement) filed on August 26, 2020, by the Commission’s Bureau of Investigation and Enforcement (I&amp;E), the Office of Consumer Advocate (OCA), the Office of Small Business Advocate (OSBA), the Philadelphia Industrial and Commercial Gas Users Group (PICGUG), and Philadelphia Gas Works (PGW</w:t>
      </w:r>
      <w:r w:rsidR="0035771A" w:rsidRPr="006A631A">
        <w:rPr>
          <w:sz w:val="26"/>
          <w:szCs w:val="26"/>
        </w:rPr>
        <w:t xml:space="preserve"> or the Company</w:t>
      </w:r>
      <w:r w:rsidR="0082155F" w:rsidRPr="006A631A">
        <w:rPr>
          <w:sz w:val="26"/>
          <w:szCs w:val="26"/>
        </w:rPr>
        <w:t xml:space="preserve">) (collectively, the Joint Petitioners).  </w:t>
      </w:r>
    </w:p>
    <w:bookmarkEnd w:id="1"/>
    <w:bookmarkEnd w:id="3"/>
    <w:p w14:paraId="38D663D5" w14:textId="77777777" w:rsidR="007D482A" w:rsidRPr="006A631A" w:rsidRDefault="007D482A" w:rsidP="00F510B9">
      <w:pPr>
        <w:widowControl/>
        <w:tabs>
          <w:tab w:val="left" w:pos="-720"/>
        </w:tabs>
        <w:suppressAutoHyphens/>
        <w:spacing w:line="360" w:lineRule="auto"/>
        <w:ind w:firstLine="1440"/>
        <w:rPr>
          <w:sz w:val="26"/>
          <w:szCs w:val="26"/>
        </w:rPr>
      </w:pPr>
    </w:p>
    <w:p w14:paraId="7E5381FA" w14:textId="095CCD95" w:rsidR="0050244F" w:rsidRPr="006A631A" w:rsidRDefault="00E946F9" w:rsidP="00F510B9">
      <w:pPr>
        <w:widowControl/>
        <w:tabs>
          <w:tab w:val="left" w:pos="-720"/>
        </w:tabs>
        <w:suppressAutoHyphens/>
        <w:spacing w:line="360" w:lineRule="auto"/>
        <w:ind w:firstLine="1440"/>
        <w:rPr>
          <w:sz w:val="26"/>
          <w:szCs w:val="26"/>
        </w:rPr>
      </w:pPr>
      <w:r w:rsidRPr="006A631A">
        <w:rPr>
          <w:sz w:val="26"/>
          <w:szCs w:val="26"/>
        </w:rPr>
        <w:t>Also, before the Commission for consideration and disposition is</w:t>
      </w:r>
      <w:r w:rsidR="00D340F2" w:rsidRPr="006A631A">
        <w:rPr>
          <w:sz w:val="26"/>
          <w:szCs w:val="26"/>
        </w:rPr>
        <w:t xml:space="preserve"> the Recommended Decision</w:t>
      </w:r>
      <w:r w:rsidR="0074430E" w:rsidRPr="006A631A">
        <w:rPr>
          <w:sz w:val="26"/>
          <w:szCs w:val="26"/>
        </w:rPr>
        <w:t xml:space="preserve"> (R.D.)</w:t>
      </w:r>
      <w:r w:rsidR="00D340F2" w:rsidRPr="006A631A">
        <w:rPr>
          <w:sz w:val="26"/>
          <w:szCs w:val="26"/>
        </w:rPr>
        <w:t xml:space="preserve"> of Administrative Law Judge</w:t>
      </w:r>
      <w:r w:rsidR="0092657D" w:rsidRPr="006A631A">
        <w:rPr>
          <w:sz w:val="26"/>
          <w:szCs w:val="26"/>
        </w:rPr>
        <w:t>s</w:t>
      </w:r>
      <w:r w:rsidR="00D340F2" w:rsidRPr="006A631A">
        <w:rPr>
          <w:sz w:val="26"/>
          <w:szCs w:val="26"/>
        </w:rPr>
        <w:t xml:space="preserve"> (ALJ</w:t>
      </w:r>
      <w:r w:rsidR="0092657D" w:rsidRPr="006A631A">
        <w:rPr>
          <w:sz w:val="26"/>
          <w:szCs w:val="26"/>
        </w:rPr>
        <w:t>s</w:t>
      </w:r>
      <w:r w:rsidR="00D340F2" w:rsidRPr="006A631A">
        <w:rPr>
          <w:sz w:val="26"/>
          <w:szCs w:val="26"/>
        </w:rPr>
        <w:t xml:space="preserve">) </w:t>
      </w:r>
      <w:r w:rsidRPr="006A631A">
        <w:rPr>
          <w:sz w:val="26"/>
          <w:szCs w:val="26"/>
        </w:rPr>
        <w:t>Darlene Davis Heep</w:t>
      </w:r>
      <w:r w:rsidR="0092657D" w:rsidRPr="006A631A">
        <w:rPr>
          <w:sz w:val="26"/>
          <w:szCs w:val="26"/>
        </w:rPr>
        <w:t xml:space="preserve"> and </w:t>
      </w:r>
      <w:r w:rsidRPr="006A631A">
        <w:rPr>
          <w:sz w:val="26"/>
          <w:szCs w:val="26"/>
        </w:rPr>
        <w:t>Marta Guhl</w:t>
      </w:r>
      <w:r w:rsidR="00D340F2" w:rsidRPr="006A631A">
        <w:rPr>
          <w:sz w:val="26"/>
          <w:szCs w:val="26"/>
        </w:rPr>
        <w:t xml:space="preserve">, issued on </w:t>
      </w:r>
      <w:r w:rsidRPr="006A631A">
        <w:rPr>
          <w:sz w:val="26"/>
          <w:szCs w:val="26"/>
        </w:rPr>
        <w:t>October 5</w:t>
      </w:r>
      <w:r w:rsidR="00D340F2" w:rsidRPr="006A631A">
        <w:rPr>
          <w:sz w:val="26"/>
          <w:szCs w:val="26"/>
        </w:rPr>
        <w:t>, 20</w:t>
      </w:r>
      <w:r w:rsidR="0092657D" w:rsidRPr="006A631A">
        <w:rPr>
          <w:sz w:val="26"/>
          <w:szCs w:val="26"/>
        </w:rPr>
        <w:t>20</w:t>
      </w:r>
      <w:r w:rsidR="00D340F2" w:rsidRPr="006A631A">
        <w:rPr>
          <w:sz w:val="26"/>
          <w:szCs w:val="26"/>
        </w:rPr>
        <w:t>, and the Exceptions and Reply Exceptions filed thereto</w:t>
      </w:r>
      <w:r w:rsidR="0074430E" w:rsidRPr="006A631A">
        <w:rPr>
          <w:sz w:val="26"/>
          <w:szCs w:val="26"/>
        </w:rPr>
        <w:t>, in the above-captioned proceeding</w:t>
      </w:r>
      <w:r w:rsidR="00D340F2" w:rsidRPr="006A631A">
        <w:rPr>
          <w:sz w:val="26"/>
          <w:szCs w:val="26"/>
        </w:rPr>
        <w:t>.</w:t>
      </w:r>
    </w:p>
    <w:p w14:paraId="2EFE6F90" w14:textId="7594057A" w:rsidR="004E1C65" w:rsidRPr="006A631A" w:rsidRDefault="004E1C65" w:rsidP="00F510B9">
      <w:pPr>
        <w:widowControl/>
        <w:tabs>
          <w:tab w:val="left" w:pos="-720"/>
        </w:tabs>
        <w:suppressAutoHyphens/>
        <w:spacing w:line="360" w:lineRule="auto"/>
        <w:rPr>
          <w:sz w:val="26"/>
          <w:szCs w:val="26"/>
        </w:rPr>
      </w:pPr>
    </w:p>
    <w:p w14:paraId="4AA2FF39" w14:textId="55ABF23C" w:rsidR="004E1C65" w:rsidRPr="006A631A" w:rsidRDefault="004E1C65" w:rsidP="00F510B9">
      <w:pPr>
        <w:widowControl/>
        <w:tabs>
          <w:tab w:val="left" w:pos="-720"/>
        </w:tabs>
        <w:suppressAutoHyphens/>
        <w:spacing w:line="360" w:lineRule="auto"/>
        <w:ind w:firstLine="1440"/>
        <w:rPr>
          <w:sz w:val="26"/>
          <w:szCs w:val="26"/>
        </w:rPr>
      </w:pPr>
      <w:r w:rsidRPr="006A631A">
        <w:rPr>
          <w:sz w:val="26"/>
          <w:szCs w:val="26"/>
        </w:rPr>
        <w:t>Exceptions</w:t>
      </w:r>
      <w:r w:rsidR="00326EBF" w:rsidRPr="006A631A">
        <w:rPr>
          <w:sz w:val="26"/>
          <w:szCs w:val="26"/>
        </w:rPr>
        <w:t xml:space="preserve"> to the Recommended Decision</w:t>
      </w:r>
      <w:r w:rsidRPr="006A631A">
        <w:rPr>
          <w:sz w:val="26"/>
          <w:szCs w:val="26"/>
        </w:rPr>
        <w:t xml:space="preserve"> were filed</w:t>
      </w:r>
      <w:r w:rsidR="002A66C8" w:rsidRPr="006A631A">
        <w:rPr>
          <w:sz w:val="26"/>
          <w:szCs w:val="26"/>
        </w:rPr>
        <w:t xml:space="preserve"> by I&amp;E</w:t>
      </w:r>
      <w:r w:rsidR="00E946F9" w:rsidRPr="006A631A">
        <w:rPr>
          <w:sz w:val="26"/>
          <w:szCs w:val="26"/>
        </w:rPr>
        <w:t>, the OCA, PICGUG, and PGW</w:t>
      </w:r>
      <w:r w:rsidRPr="006A631A">
        <w:rPr>
          <w:sz w:val="26"/>
          <w:szCs w:val="26"/>
        </w:rPr>
        <w:t xml:space="preserve"> on </w:t>
      </w:r>
      <w:r w:rsidR="00E946F9" w:rsidRPr="006A631A">
        <w:rPr>
          <w:sz w:val="26"/>
          <w:szCs w:val="26"/>
        </w:rPr>
        <w:t>October 15</w:t>
      </w:r>
      <w:r w:rsidRPr="006A631A">
        <w:rPr>
          <w:sz w:val="26"/>
          <w:szCs w:val="26"/>
        </w:rPr>
        <w:t>, 20</w:t>
      </w:r>
      <w:r w:rsidR="00DC0453" w:rsidRPr="006A631A">
        <w:rPr>
          <w:sz w:val="26"/>
          <w:szCs w:val="26"/>
        </w:rPr>
        <w:t>20</w:t>
      </w:r>
      <w:r w:rsidR="00E946F9" w:rsidRPr="006A631A">
        <w:rPr>
          <w:sz w:val="26"/>
          <w:szCs w:val="26"/>
        </w:rPr>
        <w:t>.</w:t>
      </w:r>
      <w:r w:rsidR="00A14152" w:rsidRPr="006A631A">
        <w:rPr>
          <w:sz w:val="26"/>
          <w:szCs w:val="26"/>
        </w:rPr>
        <w:t xml:space="preserve"> </w:t>
      </w:r>
      <w:r w:rsidR="00E946F9" w:rsidRPr="006A631A">
        <w:rPr>
          <w:sz w:val="26"/>
          <w:szCs w:val="26"/>
        </w:rPr>
        <w:t xml:space="preserve"> </w:t>
      </w:r>
      <w:r w:rsidR="000A339A" w:rsidRPr="006A631A">
        <w:rPr>
          <w:sz w:val="26"/>
          <w:szCs w:val="26"/>
        </w:rPr>
        <w:t>Reply Exceptions were filed</w:t>
      </w:r>
      <w:r w:rsidR="00287DDC" w:rsidRPr="006A631A">
        <w:rPr>
          <w:sz w:val="26"/>
          <w:szCs w:val="26"/>
        </w:rPr>
        <w:t xml:space="preserve"> by</w:t>
      </w:r>
      <w:r w:rsidR="0064437E" w:rsidRPr="006A631A">
        <w:rPr>
          <w:sz w:val="26"/>
          <w:szCs w:val="26"/>
        </w:rPr>
        <w:t xml:space="preserve"> the Clean Air Council and Sierra Club/PA Chapter (collectively, the Environmental Stakeholders) </w:t>
      </w:r>
      <w:r w:rsidR="000A339A" w:rsidRPr="006A631A">
        <w:rPr>
          <w:sz w:val="26"/>
          <w:szCs w:val="26"/>
        </w:rPr>
        <w:t xml:space="preserve">on </w:t>
      </w:r>
      <w:r w:rsidR="00E946F9" w:rsidRPr="006A631A">
        <w:rPr>
          <w:sz w:val="26"/>
          <w:szCs w:val="26"/>
        </w:rPr>
        <w:t>October 20</w:t>
      </w:r>
      <w:r w:rsidR="000A339A" w:rsidRPr="006A631A">
        <w:rPr>
          <w:sz w:val="26"/>
          <w:szCs w:val="26"/>
        </w:rPr>
        <w:t>, 20</w:t>
      </w:r>
      <w:r w:rsidR="00430E70" w:rsidRPr="006A631A">
        <w:rPr>
          <w:sz w:val="26"/>
          <w:szCs w:val="26"/>
        </w:rPr>
        <w:t>20</w:t>
      </w:r>
      <w:r w:rsidR="000A339A" w:rsidRPr="006A631A">
        <w:rPr>
          <w:sz w:val="26"/>
          <w:szCs w:val="26"/>
        </w:rPr>
        <w:t xml:space="preserve">. </w:t>
      </w:r>
      <w:r w:rsidR="00A14152" w:rsidRPr="006A631A">
        <w:rPr>
          <w:rStyle w:val="FootnoteReference"/>
          <w:sz w:val="26"/>
          <w:szCs w:val="26"/>
        </w:rPr>
        <w:footnoteReference w:id="2"/>
      </w:r>
    </w:p>
    <w:bookmarkEnd w:id="2"/>
    <w:p w14:paraId="75A59337" w14:textId="0B41B7A5" w:rsidR="00326EBF" w:rsidRPr="006A631A" w:rsidRDefault="00326EBF" w:rsidP="00F510B9">
      <w:pPr>
        <w:widowControl/>
        <w:tabs>
          <w:tab w:val="left" w:pos="-720"/>
        </w:tabs>
        <w:suppressAutoHyphens/>
        <w:spacing w:line="360" w:lineRule="auto"/>
        <w:ind w:firstLine="1440"/>
        <w:rPr>
          <w:sz w:val="26"/>
          <w:szCs w:val="26"/>
        </w:rPr>
      </w:pPr>
    </w:p>
    <w:p w14:paraId="2BA113F9" w14:textId="0C9FEF92" w:rsidR="00317685" w:rsidRPr="006A631A" w:rsidRDefault="00317685" w:rsidP="00F510B9">
      <w:pPr>
        <w:widowControl/>
        <w:spacing w:line="360" w:lineRule="auto"/>
        <w:ind w:firstLine="1440"/>
        <w:rPr>
          <w:sz w:val="26"/>
          <w:szCs w:val="26"/>
        </w:rPr>
      </w:pPr>
      <w:r w:rsidRPr="006A631A">
        <w:rPr>
          <w:sz w:val="26"/>
          <w:szCs w:val="26"/>
        </w:rPr>
        <w:t xml:space="preserve">For the reasons stated, </w:t>
      </w:r>
      <w:r w:rsidRPr="006A631A">
        <w:rPr>
          <w:i/>
          <w:sz w:val="26"/>
          <w:szCs w:val="26"/>
        </w:rPr>
        <w:t>infra</w:t>
      </w:r>
      <w:r w:rsidRPr="006A631A">
        <w:rPr>
          <w:sz w:val="26"/>
          <w:szCs w:val="26"/>
        </w:rPr>
        <w:t>, we shall</w:t>
      </w:r>
      <w:r w:rsidR="009E450F" w:rsidRPr="006A631A">
        <w:rPr>
          <w:sz w:val="26"/>
          <w:szCs w:val="26"/>
        </w:rPr>
        <w:t>:</w:t>
      </w:r>
      <w:r w:rsidRPr="006A631A">
        <w:rPr>
          <w:sz w:val="26"/>
          <w:szCs w:val="26"/>
        </w:rPr>
        <w:t xml:space="preserve"> </w:t>
      </w:r>
      <w:r w:rsidR="00CC62B4" w:rsidRPr="006A631A">
        <w:rPr>
          <w:sz w:val="26"/>
          <w:szCs w:val="26"/>
        </w:rPr>
        <w:t xml:space="preserve">(1) </w:t>
      </w:r>
      <w:r w:rsidR="00BF0C45" w:rsidRPr="006A631A">
        <w:rPr>
          <w:sz w:val="26"/>
          <w:szCs w:val="26"/>
        </w:rPr>
        <w:t>grant</w:t>
      </w:r>
      <w:r w:rsidRPr="006A631A">
        <w:rPr>
          <w:sz w:val="26"/>
          <w:szCs w:val="26"/>
        </w:rPr>
        <w:t xml:space="preserve"> the Exceptions filed by </w:t>
      </w:r>
      <w:r w:rsidR="00D6471A" w:rsidRPr="006A631A">
        <w:rPr>
          <w:sz w:val="26"/>
          <w:szCs w:val="26"/>
        </w:rPr>
        <w:t>I&amp;E</w:t>
      </w:r>
      <w:r w:rsidRPr="006A631A">
        <w:rPr>
          <w:sz w:val="26"/>
          <w:szCs w:val="26"/>
        </w:rPr>
        <w:t>,</w:t>
      </w:r>
      <w:r w:rsidR="00D6471A" w:rsidRPr="006A631A">
        <w:rPr>
          <w:sz w:val="26"/>
          <w:szCs w:val="26"/>
        </w:rPr>
        <w:t xml:space="preserve"> the OCA, PICGUG, and PGW</w:t>
      </w:r>
      <w:r w:rsidR="00CC62B4" w:rsidRPr="006A631A">
        <w:rPr>
          <w:sz w:val="26"/>
          <w:szCs w:val="26"/>
        </w:rPr>
        <w:t>; (2)</w:t>
      </w:r>
      <w:r w:rsidRPr="006A631A">
        <w:rPr>
          <w:sz w:val="26"/>
          <w:szCs w:val="26"/>
        </w:rPr>
        <w:t xml:space="preserve"> </w:t>
      </w:r>
      <w:r w:rsidR="00BF0C45" w:rsidRPr="006A631A">
        <w:rPr>
          <w:sz w:val="26"/>
          <w:szCs w:val="26"/>
        </w:rPr>
        <w:t xml:space="preserve">modify </w:t>
      </w:r>
      <w:r w:rsidRPr="006A631A">
        <w:rPr>
          <w:sz w:val="26"/>
          <w:szCs w:val="26"/>
        </w:rPr>
        <w:t>the ALJs’ Recommended Decision</w:t>
      </w:r>
      <w:r w:rsidR="00290771" w:rsidRPr="006A631A">
        <w:rPr>
          <w:sz w:val="26"/>
          <w:szCs w:val="26"/>
        </w:rPr>
        <w:t xml:space="preserve"> </w:t>
      </w:r>
      <w:r w:rsidR="00290771" w:rsidRPr="006A631A">
        <w:rPr>
          <w:sz w:val="26"/>
          <w:szCs w:val="26"/>
        </w:rPr>
        <w:lastRenderedPageBreak/>
        <w:t>regarding the settled and litigated issues</w:t>
      </w:r>
      <w:r w:rsidRPr="006A631A">
        <w:rPr>
          <w:sz w:val="26"/>
          <w:szCs w:val="26"/>
        </w:rPr>
        <w:t>, consistent with this Opinion and Order</w:t>
      </w:r>
      <w:r w:rsidR="00CC62B4" w:rsidRPr="006A631A">
        <w:rPr>
          <w:sz w:val="26"/>
          <w:szCs w:val="26"/>
        </w:rPr>
        <w:t>; and (3)</w:t>
      </w:r>
      <w:r w:rsidR="00E03C9E" w:rsidRPr="006A631A">
        <w:rPr>
          <w:sz w:val="26"/>
          <w:szCs w:val="26"/>
        </w:rPr>
        <w:t> </w:t>
      </w:r>
      <w:r w:rsidR="00CC62B4" w:rsidRPr="006A631A">
        <w:rPr>
          <w:sz w:val="26"/>
          <w:szCs w:val="26"/>
        </w:rPr>
        <w:t xml:space="preserve">approve the Joint Petition for Partial Settlement, </w:t>
      </w:r>
      <w:r w:rsidR="00BF0C45" w:rsidRPr="006A631A">
        <w:rPr>
          <w:sz w:val="26"/>
          <w:szCs w:val="26"/>
        </w:rPr>
        <w:t>in its entirety, without modification</w:t>
      </w:r>
      <w:r w:rsidR="00CC62B4" w:rsidRPr="006A631A">
        <w:rPr>
          <w:sz w:val="26"/>
          <w:szCs w:val="26"/>
        </w:rPr>
        <w:t>.</w:t>
      </w:r>
    </w:p>
    <w:p w14:paraId="61E9E883" w14:textId="77777777" w:rsidR="00317685" w:rsidRPr="006A631A" w:rsidRDefault="00317685" w:rsidP="00F510B9">
      <w:pPr>
        <w:widowControl/>
        <w:tabs>
          <w:tab w:val="left" w:pos="-720"/>
        </w:tabs>
        <w:suppressAutoHyphens/>
        <w:spacing w:line="360" w:lineRule="auto"/>
        <w:rPr>
          <w:sz w:val="26"/>
          <w:szCs w:val="26"/>
        </w:rPr>
      </w:pPr>
    </w:p>
    <w:p w14:paraId="530B4227" w14:textId="16AE1FCD" w:rsidR="003513D9" w:rsidRPr="006A631A" w:rsidRDefault="00326EBF" w:rsidP="00F510B9">
      <w:pPr>
        <w:widowControl/>
        <w:tabs>
          <w:tab w:val="left" w:pos="-720"/>
        </w:tabs>
        <w:suppressAutoHyphens/>
        <w:spacing w:line="360" w:lineRule="auto"/>
        <w:ind w:firstLine="1440"/>
        <w:rPr>
          <w:sz w:val="26"/>
          <w:szCs w:val="26"/>
        </w:rPr>
      </w:pPr>
      <w:r w:rsidRPr="006A631A">
        <w:rPr>
          <w:sz w:val="26"/>
          <w:szCs w:val="26"/>
        </w:rPr>
        <w:t>As discussed below,</w:t>
      </w:r>
      <w:r w:rsidR="002038EF" w:rsidRPr="006A631A">
        <w:rPr>
          <w:sz w:val="26"/>
          <w:szCs w:val="26"/>
        </w:rPr>
        <w:t xml:space="preserve"> PGW</w:t>
      </w:r>
      <w:r w:rsidR="00260CDE" w:rsidRPr="006A631A">
        <w:rPr>
          <w:sz w:val="26"/>
          <w:szCs w:val="26"/>
        </w:rPr>
        <w:t xml:space="preserve"> proposed a base rate change that would have increased its total annual operating revenues by </w:t>
      </w:r>
      <w:r w:rsidR="00677736" w:rsidRPr="006A631A">
        <w:rPr>
          <w:sz w:val="26"/>
          <w:szCs w:val="26"/>
        </w:rPr>
        <w:t>approximately $70 million</w:t>
      </w:r>
      <w:r w:rsidR="00260CDE" w:rsidRPr="006A631A">
        <w:rPr>
          <w:sz w:val="26"/>
          <w:szCs w:val="26"/>
        </w:rPr>
        <w:t>, or 1</w:t>
      </w:r>
      <w:r w:rsidR="00677736" w:rsidRPr="006A631A">
        <w:rPr>
          <w:sz w:val="26"/>
          <w:szCs w:val="26"/>
        </w:rPr>
        <w:t>0</w:t>
      </w:r>
      <w:r w:rsidR="00260CDE" w:rsidRPr="006A631A">
        <w:rPr>
          <w:sz w:val="26"/>
          <w:szCs w:val="26"/>
        </w:rPr>
        <w:t>.5%</w:t>
      </w:r>
      <w:r w:rsidR="00AC0AF2" w:rsidRPr="006A631A">
        <w:rPr>
          <w:sz w:val="26"/>
          <w:szCs w:val="26"/>
        </w:rPr>
        <w:t xml:space="preserve"> on a total revenue basis</w:t>
      </w:r>
      <w:r w:rsidR="00260CDE" w:rsidRPr="006A631A">
        <w:rPr>
          <w:sz w:val="26"/>
          <w:szCs w:val="26"/>
        </w:rPr>
        <w:t xml:space="preserve">, based on a </w:t>
      </w:r>
      <w:r w:rsidR="00FF5387" w:rsidRPr="006A631A">
        <w:rPr>
          <w:sz w:val="26"/>
          <w:szCs w:val="26"/>
        </w:rPr>
        <w:t>f</w:t>
      </w:r>
      <w:r w:rsidR="00260CDE" w:rsidRPr="006A631A">
        <w:rPr>
          <w:sz w:val="26"/>
          <w:szCs w:val="26"/>
        </w:rPr>
        <w:t xml:space="preserve">ully </w:t>
      </w:r>
      <w:r w:rsidR="00FF5387" w:rsidRPr="006A631A">
        <w:rPr>
          <w:sz w:val="26"/>
          <w:szCs w:val="26"/>
        </w:rPr>
        <w:t>p</w:t>
      </w:r>
      <w:r w:rsidR="00260CDE" w:rsidRPr="006A631A">
        <w:rPr>
          <w:sz w:val="26"/>
          <w:szCs w:val="26"/>
        </w:rPr>
        <w:t xml:space="preserve">rojected </w:t>
      </w:r>
      <w:r w:rsidR="00FF5387" w:rsidRPr="006A631A">
        <w:rPr>
          <w:sz w:val="26"/>
          <w:szCs w:val="26"/>
        </w:rPr>
        <w:t>f</w:t>
      </w:r>
      <w:r w:rsidR="00260CDE" w:rsidRPr="006A631A">
        <w:rPr>
          <w:sz w:val="26"/>
          <w:szCs w:val="26"/>
        </w:rPr>
        <w:t xml:space="preserve">uture </w:t>
      </w:r>
      <w:r w:rsidR="00FF5387" w:rsidRPr="006A631A">
        <w:rPr>
          <w:sz w:val="26"/>
          <w:szCs w:val="26"/>
        </w:rPr>
        <w:t>t</w:t>
      </w:r>
      <w:r w:rsidR="00260CDE" w:rsidRPr="006A631A">
        <w:rPr>
          <w:sz w:val="26"/>
          <w:szCs w:val="26"/>
        </w:rPr>
        <w:t xml:space="preserve">est </w:t>
      </w:r>
      <w:r w:rsidR="00FF5387" w:rsidRPr="006A631A">
        <w:rPr>
          <w:sz w:val="26"/>
          <w:szCs w:val="26"/>
        </w:rPr>
        <w:t>y</w:t>
      </w:r>
      <w:r w:rsidR="00260CDE" w:rsidRPr="006A631A">
        <w:rPr>
          <w:sz w:val="26"/>
          <w:szCs w:val="26"/>
        </w:rPr>
        <w:t>ear (FPFTY)</w:t>
      </w:r>
      <w:r w:rsidR="00677736" w:rsidRPr="006A631A">
        <w:rPr>
          <w:sz w:val="26"/>
          <w:szCs w:val="26"/>
        </w:rPr>
        <w:t xml:space="preserve"> beginning September 1, 2020 and</w:t>
      </w:r>
      <w:r w:rsidR="00260CDE" w:rsidRPr="006A631A">
        <w:rPr>
          <w:sz w:val="26"/>
          <w:szCs w:val="26"/>
        </w:rPr>
        <w:t xml:space="preserve"> ending </w:t>
      </w:r>
      <w:r w:rsidR="00677736" w:rsidRPr="006A631A">
        <w:rPr>
          <w:sz w:val="26"/>
          <w:szCs w:val="26"/>
        </w:rPr>
        <w:t>August</w:t>
      </w:r>
      <w:r w:rsidR="00260CDE" w:rsidRPr="006A631A">
        <w:rPr>
          <w:sz w:val="26"/>
          <w:szCs w:val="26"/>
        </w:rPr>
        <w:t xml:space="preserve"> 31, 202</w:t>
      </w:r>
      <w:r w:rsidR="00677736" w:rsidRPr="006A631A">
        <w:rPr>
          <w:sz w:val="26"/>
          <w:szCs w:val="26"/>
        </w:rPr>
        <w:t>1</w:t>
      </w:r>
      <w:r w:rsidR="00260CDE" w:rsidRPr="006A631A">
        <w:rPr>
          <w:sz w:val="26"/>
          <w:szCs w:val="26"/>
        </w:rPr>
        <w:t>.</w:t>
      </w:r>
      <w:r w:rsidR="00E968D7" w:rsidRPr="006A631A">
        <w:rPr>
          <w:rStyle w:val="FootnoteReference"/>
          <w:sz w:val="26"/>
          <w:szCs w:val="26"/>
        </w:rPr>
        <w:footnoteReference w:id="3"/>
      </w:r>
      <w:r w:rsidR="00027EE4" w:rsidRPr="006A631A">
        <w:rPr>
          <w:sz w:val="26"/>
          <w:szCs w:val="26"/>
          <w:vertAlign w:val="superscript"/>
        </w:rPr>
        <w:t xml:space="preserve">, </w:t>
      </w:r>
      <w:r w:rsidR="00027EE4" w:rsidRPr="006A631A">
        <w:rPr>
          <w:rStyle w:val="FootnoteReference"/>
          <w:sz w:val="26"/>
          <w:szCs w:val="26"/>
        </w:rPr>
        <w:footnoteReference w:id="4"/>
      </w:r>
      <w:r w:rsidR="00260CDE" w:rsidRPr="006A631A">
        <w:rPr>
          <w:sz w:val="26"/>
          <w:szCs w:val="26"/>
        </w:rPr>
        <w:t xml:space="preserve">  In this Opinion and Order, </w:t>
      </w:r>
      <w:r w:rsidR="003513D9" w:rsidRPr="006A631A">
        <w:rPr>
          <w:sz w:val="26"/>
          <w:szCs w:val="26"/>
        </w:rPr>
        <w:t xml:space="preserve">we shall approve the Joint Petition, which embodies a “black box” settlement, which allows PGW to file new tariff rates designed to provide an overall distribution base rate increase of $35 million over </w:t>
      </w:r>
      <w:r w:rsidR="00A85999" w:rsidRPr="006A631A">
        <w:rPr>
          <w:sz w:val="26"/>
          <w:szCs w:val="26"/>
        </w:rPr>
        <w:t xml:space="preserve">the course of </w:t>
      </w:r>
      <w:r w:rsidR="003513D9" w:rsidRPr="006A631A">
        <w:rPr>
          <w:sz w:val="26"/>
          <w:szCs w:val="26"/>
        </w:rPr>
        <w:t xml:space="preserve">three </w:t>
      </w:r>
      <w:r w:rsidR="00A85999" w:rsidRPr="006A631A">
        <w:rPr>
          <w:sz w:val="26"/>
          <w:szCs w:val="26"/>
        </w:rPr>
        <w:t>phases</w:t>
      </w:r>
      <w:r w:rsidR="003513D9" w:rsidRPr="006A631A">
        <w:rPr>
          <w:sz w:val="26"/>
          <w:szCs w:val="26"/>
        </w:rPr>
        <w:t>.</w:t>
      </w:r>
      <w:r w:rsidR="00F81E51" w:rsidRPr="006A631A">
        <w:rPr>
          <w:rStyle w:val="FootnoteReference"/>
          <w:sz w:val="26"/>
          <w:szCs w:val="26"/>
        </w:rPr>
        <w:footnoteReference w:id="5"/>
      </w:r>
      <w:r w:rsidR="00C53042" w:rsidRPr="006A631A">
        <w:rPr>
          <w:sz w:val="26"/>
          <w:szCs w:val="26"/>
        </w:rPr>
        <w:t xml:space="preserve">  </w:t>
      </w:r>
    </w:p>
    <w:p w14:paraId="44729151" w14:textId="372171BE" w:rsidR="00C53042" w:rsidRPr="006A631A" w:rsidRDefault="00C53042" w:rsidP="00F510B9">
      <w:pPr>
        <w:widowControl/>
        <w:tabs>
          <w:tab w:val="left" w:pos="-720"/>
        </w:tabs>
        <w:suppressAutoHyphens/>
        <w:spacing w:line="360" w:lineRule="auto"/>
        <w:ind w:firstLine="1440"/>
        <w:rPr>
          <w:sz w:val="26"/>
          <w:szCs w:val="26"/>
        </w:rPr>
      </w:pPr>
    </w:p>
    <w:p w14:paraId="64C92A6B" w14:textId="08BB30C5" w:rsidR="00C53042" w:rsidRPr="006A631A" w:rsidRDefault="00C53042" w:rsidP="00E03C9E">
      <w:pPr>
        <w:widowControl/>
        <w:kinsoku w:val="0"/>
        <w:overflowPunct w:val="0"/>
        <w:spacing w:line="360" w:lineRule="auto"/>
        <w:ind w:firstLine="1440"/>
        <w:textAlignment w:val="baseline"/>
        <w:rPr>
          <w:sz w:val="26"/>
          <w:szCs w:val="26"/>
        </w:rPr>
      </w:pPr>
      <w:r w:rsidRPr="006A631A">
        <w:rPr>
          <w:sz w:val="26"/>
          <w:szCs w:val="26"/>
        </w:rPr>
        <w:t xml:space="preserve">The Partial Settlement would </w:t>
      </w:r>
      <w:r w:rsidR="00E26C8C" w:rsidRPr="006A631A">
        <w:rPr>
          <w:sz w:val="26"/>
          <w:szCs w:val="26"/>
        </w:rPr>
        <w:t xml:space="preserve">provide </w:t>
      </w:r>
      <w:r w:rsidRPr="006A631A">
        <w:rPr>
          <w:sz w:val="26"/>
          <w:szCs w:val="26"/>
        </w:rPr>
        <w:t xml:space="preserve">PGW </w:t>
      </w:r>
      <w:r w:rsidR="00E26C8C" w:rsidRPr="006A631A">
        <w:rPr>
          <w:sz w:val="26"/>
          <w:szCs w:val="26"/>
        </w:rPr>
        <w:t>with</w:t>
      </w:r>
      <w:r w:rsidRPr="006A631A">
        <w:rPr>
          <w:sz w:val="26"/>
          <w:szCs w:val="26"/>
        </w:rPr>
        <w:t xml:space="preserve"> a total $35 million dollar base rate increase, with phased-in increases as follows: (1) $10 million for service rendered on or after January 1, 2021; (2) an additional $10 million for service rendered on or after July 1, 2021; and (3) $15 million for service rendered on or after January</w:t>
      </w:r>
      <w:r w:rsidR="000D2E3A">
        <w:rPr>
          <w:sz w:val="26"/>
          <w:szCs w:val="26"/>
        </w:rPr>
        <w:t> </w:t>
      </w:r>
      <w:r w:rsidRPr="006A631A">
        <w:rPr>
          <w:sz w:val="26"/>
          <w:szCs w:val="26"/>
        </w:rPr>
        <w:t>1,</w:t>
      </w:r>
      <w:r w:rsidR="000D2E3A">
        <w:rPr>
          <w:sz w:val="26"/>
          <w:szCs w:val="26"/>
        </w:rPr>
        <w:t> </w:t>
      </w:r>
      <w:r w:rsidRPr="006A631A">
        <w:rPr>
          <w:sz w:val="26"/>
          <w:szCs w:val="26"/>
        </w:rPr>
        <w:t xml:space="preserve">2022.  Under the Partial Settlement, PGW has agreed to forego recoupment of revenues that it otherwise would collect if such a phased increase were not put in place.  The Partial Settlement also permits PGW to slightly increase its customer charges.  For residential customers, the customer charge would increase in phases, on the same </w:t>
      </w:r>
      <w:r w:rsidRPr="006A631A">
        <w:rPr>
          <w:sz w:val="26"/>
          <w:szCs w:val="26"/>
        </w:rPr>
        <w:lastRenderedPageBreak/>
        <w:t xml:space="preserve">schedule as the overall rate increase, with the charge increasing in total </w:t>
      </w:r>
      <w:r w:rsidR="00256EDC" w:rsidRPr="006A631A">
        <w:rPr>
          <w:sz w:val="26"/>
          <w:szCs w:val="26"/>
        </w:rPr>
        <w:t xml:space="preserve">to </w:t>
      </w:r>
      <w:r w:rsidRPr="006A631A">
        <w:rPr>
          <w:sz w:val="26"/>
          <w:szCs w:val="26"/>
        </w:rPr>
        <w:t xml:space="preserve">$1.15/month by the third </w:t>
      </w:r>
      <w:r w:rsidR="00256EDC" w:rsidRPr="006A631A">
        <w:rPr>
          <w:sz w:val="26"/>
          <w:szCs w:val="26"/>
        </w:rPr>
        <w:t>general</w:t>
      </w:r>
      <w:r w:rsidRPr="006A631A">
        <w:rPr>
          <w:sz w:val="26"/>
          <w:szCs w:val="26"/>
        </w:rPr>
        <w:t xml:space="preserve"> rate increase phase.  Importantly, the Partial Settlement also includes COVID-19 relief, and changes to the Company’s low-income program and data collection and reporting requirements.  </w:t>
      </w:r>
    </w:p>
    <w:p w14:paraId="2763298E" w14:textId="77777777" w:rsidR="00E234AB" w:rsidRPr="006A631A" w:rsidRDefault="00E234AB" w:rsidP="00E03C9E">
      <w:pPr>
        <w:widowControl/>
        <w:kinsoku w:val="0"/>
        <w:overflowPunct w:val="0"/>
        <w:spacing w:line="360" w:lineRule="auto"/>
        <w:ind w:firstLine="1440"/>
        <w:textAlignment w:val="baseline"/>
        <w:rPr>
          <w:sz w:val="26"/>
          <w:szCs w:val="26"/>
        </w:rPr>
      </w:pPr>
    </w:p>
    <w:p w14:paraId="6422F3F1" w14:textId="00C76E24" w:rsidR="00B00BC3" w:rsidRPr="006A631A" w:rsidRDefault="007357EB" w:rsidP="00E03C9E">
      <w:pPr>
        <w:pStyle w:val="Heading1"/>
        <w:ind w:left="0" w:firstLine="0"/>
        <w:rPr>
          <w:szCs w:val="26"/>
        </w:rPr>
      </w:pPr>
      <w:bookmarkStart w:id="4" w:name="_Toc55888180"/>
      <w:r w:rsidRPr="006A631A">
        <w:rPr>
          <w:szCs w:val="26"/>
        </w:rPr>
        <w:t>Background</w:t>
      </w:r>
      <w:bookmarkEnd w:id="4"/>
    </w:p>
    <w:p w14:paraId="4514396E" w14:textId="557C8F15" w:rsidR="009B3AA5" w:rsidRPr="006A631A" w:rsidRDefault="009B3AA5" w:rsidP="00E03C9E">
      <w:pPr>
        <w:widowControl/>
        <w:spacing w:line="360" w:lineRule="auto"/>
        <w:ind w:firstLine="1440"/>
        <w:rPr>
          <w:sz w:val="26"/>
          <w:szCs w:val="26"/>
        </w:rPr>
      </w:pPr>
    </w:p>
    <w:p w14:paraId="268A0DBE" w14:textId="6E29342E" w:rsidR="00604AE9" w:rsidRPr="006A631A" w:rsidRDefault="00604AE9" w:rsidP="00E03C9E">
      <w:pPr>
        <w:widowControl/>
        <w:spacing w:line="360" w:lineRule="auto"/>
        <w:ind w:firstLine="1440"/>
        <w:rPr>
          <w:sz w:val="26"/>
          <w:szCs w:val="26"/>
        </w:rPr>
      </w:pPr>
      <w:r w:rsidRPr="006A631A">
        <w:rPr>
          <w:sz w:val="26"/>
          <w:szCs w:val="26"/>
        </w:rPr>
        <w:t>PGW is</w:t>
      </w:r>
      <w:r w:rsidR="0021076F" w:rsidRPr="006A631A">
        <w:rPr>
          <w:sz w:val="26"/>
          <w:szCs w:val="26"/>
        </w:rPr>
        <w:t xml:space="preserve"> a municipal public utility company, owned by the City of Philadelphia and managed and operated by the Philadelphia Facilities Management Corporation.  Further, PGW is</w:t>
      </w:r>
      <w:r w:rsidRPr="006A631A">
        <w:rPr>
          <w:sz w:val="26"/>
          <w:szCs w:val="26"/>
        </w:rPr>
        <w:t xml:space="preserve"> a “City Natural Gas Distribution Operation,” as defined in the Public Utility Code (Code), 66 Pa. C.S. § 102.  </w:t>
      </w:r>
      <w:r w:rsidR="00E94210" w:rsidRPr="006A631A">
        <w:rPr>
          <w:sz w:val="26"/>
          <w:szCs w:val="26"/>
        </w:rPr>
        <w:t xml:space="preserve">As </w:t>
      </w:r>
      <w:r w:rsidR="00F1390B" w:rsidRPr="006A631A">
        <w:rPr>
          <w:sz w:val="26"/>
          <w:szCs w:val="26"/>
        </w:rPr>
        <w:t xml:space="preserve">explained </w:t>
      </w:r>
      <w:r w:rsidR="00F1390B" w:rsidRPr="006A631A">
        <w:rPr>
          <w:i/>
          <w:iCs/>
          <w:sz w:val="26"/>
          <w:szCs w:val="26"/>
        </w:rPr>
        <w:t>infra</w:t>
      </w:r>
      <w:r w:rsidR="00E94210" w:rsidRPr="006A631A">
        <w:rPr>
          <w:sz w:val="26"/>
          <w:szCs w:val="26"/>
        </w:rPr>
        <w:t xml:space="preserve">, </w:t>
      </w:r>
      <w:r w:rsidR="00F1390B" w:rsidRPr="006A631A">
        <w:rPr>
          <w:sz w:val="26"/>
          <w:szCs w:val="26"/>
        </w:rPr>
        <w:t xml:space="preserve">PGW’s ratemaking process is based on a Cash Flow </w:t>
      </w:r>
      <w:r w:rsidR="009352B3" w:rsidRPr="006A631A">
        <w:rPr>
          <w:sz w:val="26"/>
          <w:szCs w:val="26"/>
        </w:rPr>
        <w:t>Ratemaking Method where its revenue requirement</w:t>
      </w:r>
      <w:r w:rsidR="00DB7E18" w:rsidRPr="006A631A">
        <w:rPr>
          <w:sz w:val="26"/>
          <w:szCs w:val="26"/>
        </w:rPr>
        <w:t xml:space="preserve"> is the sum of operating expenses, debt service, and a “margin” sufficient to maintain the organization’s ability to attract capital on reasonable terms.</w:t>
      </w:r>
      <w:r w:rsidR="00E94210" w:rsidRPr="006A631A">
        <w:rPr>
          <w:rStyle w:val="FootnoteReference"/>
          <w:sz w:val="26"/>
          <w:szCs w:val="26"/>
        </w:rPr>
        <w:footnoteReference w:id="6"/>
      </w:r>
      <w:r w:rsidR="00E94210" w:rsidRPr="006A631A">
        <w:rPr>
          <w:sz w:val="26"/>
          <w:szCs w:val="26"/>
        </w:rPr>
        <w:t xml:space="preserve">  </w:t>
      </w:r>
      <w:r w:rsidR="008F7416" w:rsidRPr="006A631A">
        <w:rPr>
          <w:i/>
          <w:sz w:val="26"/>
          <w:szCs w:val="26"/>
        </w:rPr>
        <w:t>See</w:t>
      </w:r>
      <w:r w:rsidR="008F7416" w:rsidRPr="006A631A">
        <w:rPr>
          <w:sz w:val="26"/>
          <w:szCs w:val="26"/>
        </w:rPr>
        <w:t xml:space="preserve"> OCA St. No. 3 at 2-3.  </w:t>
      </w:r>
      <w:r w:rsidR="00671AC0" w:rsidRPr="006A631A">
        <w:rPr>
          <w:sz w:val="26"/>
          <w:szCs w:val="26"/>
        </w:rPr>
        <w:t>PGW’s service territory consists of an urban area of 134 square miles, the limits of the City of Philadelphia, Pennsylvania, and is the exclusive distributor of natural gas within the limits of the city.  As of December 31, 2018, PGW served approximately 506,000</w:t>
      </w:r>
      <w:r w:rsidR="0021076F" w:rsidRPr="006A631A">
        <w:rPr>
          <w:sz w:val="26"/>
          <w:szCs w:val="26"/>
        </w:rPr>
        <w:t xml:space="preserve"> </w:t>
      </w:r>
      <w:r w:rsidR="00671AC0" w:rsidRPr="006A631A">
        <w:rPr>
          <w:sz w:val="26"/>
          <w:szCs w:val="26"/>
        </w:rPr>
        <w:t>customers</w:t>
      </w:r>
      <w:r w:rsidR="00D64F9E" w:rsidRPr="006A631A">
        <w:rPr>
          <w:sz w:val="26"/>
          <w:szCs w:val="26"/>
        </w:rPr>
        <w:t>, 95% of which were residential</w:t>
      </w:r>
      <w:r w:rsidR="00F161A7" w:rsidRPr="006A631A">
        <w:rPr>
          <w:sz w:val="26"/>
          <w:szCs w:val="26"/>
        </w:rPr>
        <w:t xml:space="preserve">.  PGW St. No. 4 at 5.  </w:t>
      </w:r>
    </w:p>
    <w:p w14:paraId="7BCD154A" w14:textId="77777777" w:rsidR="00604AE9" w:rsidRPr="006A631A" w:rsidRDefault="00604AE9" w:rsidP="00F510B9">
      <w:pPr>
        <w:widowControl/>
        <w:spacing w:line="360" w:lineRule="auto"/>
        <w:ind w:firstLine="1440"/>
        <w:rPr>
          <w:sz w:val="26"/>
          <w:szCs w:val="26"/>
        </w:rPr>
      </w:pPr>
    </w:p>
    <w:p w14:paraId="51FF78C8" w14:textId="201BF45C" w:rsidR="00714060" w:rsidRPr="006A631A" w:rsidRDefault="00ED5CE9" w:rsidP="00F510B9">
      <w:pPr>
        <w:widowControl/>
        <w:spacing w:line="360" w:lineRule="auto"/>
        <w:ind w:firstLine="1440"/>
        <w:rPr>
          <w:sz w:val="26"/>
          <w:szCs w:val="26"/>
        </w:rPr>
      </w:pPr>
      <w:r w:rsidRPr="006A631A">
        <w:rPr>
          <w:sz w:val="26"/>
          <w:szCs w:val="26"/>
        </w:rPr>
        <w:t xml:space="preserve">The Company’s testimony provided that its $70 million base rate increase proposal was driven by several factors, including modernizing infrastructure and increases in the following: pension costs, post-retirement benefit costs, capital spending, and debt service.  The Company also argued that it is critically important that it maintain its financial metrics and current financial position so that it can </w:t>
      </w:r>
      <w:r w:rsidR="007C558D" w:rsidRPr="006A631A">
        <w:rPr>
          <w:sz w:val="26"/>
          <w:szCs w:val="26"/>
        </w:rPr>
        <w:t>re</w:t>
      </w:r>
      <w:r w:rsidRPr="006A631A">
        <w:rPr>
          <w:sz w:val="26"/>
          <w:szCs w:val="26"/>
        </w:rPr>
        <w:t>tain access to, and improve its borrowing costs for long-term bond transactions and access to credit facilities.  PGW St. No. 1 at 3.</w:t>
      </w:r>
      <w:r w:rsidR="00B851D6" w:rsidRPr="006A631A">
        <w:rPr>
          <w:sz w:val="26"/>
          <w:szCs w:val="26"/>
        </w:rPr>
        <w:t xml:space="preserve">  In its request, PGW proposed to </w:t>
      </w:r>
      <w:r w:rsidR="00895840" w:rsidRPr="006A631A">
        <w:rPr>
          <w:sz w:val="26"/>
          <w:szCs w:val="26"/>
        </w:rPr>
        <w:t xml:space="preserve">allocate </w:t>
      </w:r>
      <w:r w:rsidR="00EA5118" w:rsidRPr="006A631A">
        <w:rPr>
          <w:sz w:val="26"/>
          <w:szCs w:val="26"/>
        </w:rPr>
        <w:t xml:space="preserve">approximately </w:t>
      </w:r>
      <w:r w:rsidR="00EA5118" w:rsidRPr="006A631A">
        <w:rPr>
          <w:sz w:val="26"/>
          <w:szCs w:val="26"/>
        </w:rPr>
        <w:lastRenderedPageBreak/>
        <w:t>84% of the proposed $70 million increase to residential customers.  PGW Exh. CEH-1, Sch. A.</w:t>
      </w:r>
      <w:r w:rsidR="00895840" w:rsidRPr="006A631A">
        <w:rPr>
          <w:sz w:val="26"/>
          <w:szCs w:val="26"/>
        </w:rPr>
        <w:t xml:space="preserve">  </w:t>
      </w:r>
      <w:r w:rsidR="00A85999" w:rsidRPr="006A631A">
        <w:rPr>
          <w:sz w:val="26"/>
          <w:szCs w:val="26"/>
        </w:rPr>
        <w:t>In contrast</w:t>
      </w:r>
      <w:r w:rsidR="00895840" w:rsidRPr="006A631A">
        <w:rPr>
          <w:sz w:val="26"/>
          <w:szCs w:val="26"/>
        </w:rPr>
        <w:t>, the Partial Settlement provides that approximately 78% of the</w:t>
      </w:r>
      <w:r w:rsidR="00714060" w:rsidRPr="006A631A">
        <w:rPr>
          <w:sz w:val="26"/>
          <w:szCs w:val="26"/>
        </w:rPr>
        <w:t xml:space="preserve"> total</w:t>
      </w:r>
      <w:r w:rsidR="00895840" w:rsidRPr="006A631A">
        <w:rPr>
          <w:sz w:val="26"/>
          <w:szCs w:val="26"/>
        </w:rPr>
        <w:t xml:space="preserve"> $35 million increase be allocated to residential customers.  Partial Settlement at ¶ 23.  Additionally, the Partial Settlement</w:t>
      </w:r>
      <w:r w:rsidR="00714060" w:rsidRPr="006A631A">
        <w:rPr>
          <w:sz w:val="26"/>
          <w:szCs w:val="26"/>
        </w:rPr>
        <w:t xml:space="preserve"> provides that the residential customer charge would increase in phases, on the same schedule as the overall base rate increase, with the residential monthly customer charge increasing in total by $1.15</w:t>
      </w:r>
      <w:r w:rsidR="008101AF" w:rsidRPr="006A631A">
        <w:rPr>
          <w:sz w:val="26"/>
          <w:szCs w:val="26"/>
        </w:rPr>
        <w:t xml:space="preserve">, </w:t>
      </w:r>
      <w:r w:rsidR="00F640B0" w:rsidRPr="006A631A">
        <w:rPr>
          <w:sz w:val="26"/>
          <w:szCs w:val="26"/>
        </w:rPr>
        <w:t xml:space="preserve">from $13.75 to $14.90 or </w:t>
      </w:r>
      <w:r w:rsidR="008101AF" w:rsidRPr="006A631A">
        <w:rPr>
          <w:sz w:val="26"/>
          <w:szCs w:val="26"/>
        </w:rPr>
        <w:t>a</w:t>
      </w:r>
      <w:r w:rsidR="00A85999" w:rsidRPr="006A631A">
        <w:rPr>
          <w:sz w:val="26"/>
          <w:szCs w:val="26"/>
        </w:rPr>
        <w:t>n</w:t>
      </w:r>
      <w:r w:rsidR="008101AF" w:rsidRPr="006A631A">
        <w:rPr>
          <w:sz w:val="26"/>
          <w:szCs w:val="26"/>
        </w:rPr>
        <w:t xml:space="preserve"> </w:t>
      </w:r>
      <w:r w:rsidR="00714060" w:rsidRPr="006A631A">
        <w:rPr>
          <w:sz w:val="26"/>
          <w:szCs w:val="26"/>
        </w:rPr>
        <w:t>8.4%</w:t>
      </w:r>
      <w:r w:rsidR="008101AF" w:rsidRPr="006A631A">
        <w:rPr>
          <w:sz w:val="26"/>
          <w:szCs w:val="26"/>
        </w:rPr>
        <w:t xml:space="preserve"> increase, in lieu of the Company’s proposal to increase the monthly residential customer charge from $13.75 to $19.25, </w:t>
      </w:r>
      <w:r w:rsidR="00F640B0" w:rsidRPr="006A631A">
        <w:rPr>
          <w:sz w:val="26"/>
          <w:szCs w:val="26"/>
        </w:rPr>
        <w:t xml:space="preserve">which is </w:t>
      </w:r>
      <w:r w:rsidR="008101AF" w:rsidRPr="006A631A">
        <w:rPr>
          <w:sz w:val="26"/>
          <w:szCs w:val="26"/>
        </w:rPr>
        <w:t>a 40% increase.  Partial Settlement at ¶ 24</w:t>
      </w:r>
      <w:r w:rsidR="00022848" w:rsidRPr="006A631A">
        <w:rPr>
          <w:sz w:val="26"/>
          <w:szCs w:val="26"/>
        </w:rPr>
        <w:t>; PGW St. No. 1 at 7.</w:t>
      </w:r>
    </w:p>
    <w:p w14:paraId="22ABBB80" w14:textId="77777777" w:rsidR="00121203" w:rsidRPr="006A631A" w:rsidRDefault="00121203" w:rsidP="00F510B9">
      <w:pPr>
        <w:widowControl/>
        <w:tabs>
          <w:tab w:val="left" w:pos="-720"/>
        </w:tabs>
        <w:suppressAutoHyphens/>
        <w:spacing w:line="360" w:lineRule="auto"/>
        <w:rPr>
          <w:sz w:val="26"/>
          <w:szCs w:val="26"/>
        </w:rPr>
      </w:pPr>
    </w:p>
    <w:p w14:paraId="694800AA" w14:textId="27700EF7" w:rsidR="002B0C7E" w:rsidRPr="006A631A" w:rsidRDefault="007357EB" w:rsidP="00F510B9">
      <w:pPr>
        <w:pStyle w:val="Heading1"/>
        <w:rPr>
          <w:szCs w:val="26"/>
        </w:rPr>
      </w:pPr>
      <w:bookmarkStart w:id="5" w:name="_Toc55888181"/>
      <w:r w:rsidRPr="006A631A">
        <w:rPr>
          <w:szCs w:val="26"/>
        </w:rPr>
        <w:t>History of Proceeding</w:t>
      </w:r>
      <w:bookmarkEnd w:id="5"/>
    </w:p>
    <w:p w14:paraId="57ACE3E3" w14:textId="626815DD" w:rsidR="002B0C7E" w:rsidRPr="006A631A" w:rsidRDefault="002B0C7E" w:rsidP="00F510B9">
      <w:pPr>
        <w:widowControl/>
        <w:spacing w:line="360" w:lineRule="auto"/>
        <w:rPr>
          <w:sz w:val="26"/>
          <w:szCs w:val="26"/>
        </w:rPr>
      </w:pPr>
    </w:p>
    <w:p w14:paraId="4E1B9B85" w14:textId="1D42818F" w:rsidR="006E1E81" w:rsidRPr="006A631A" w:rsidRDefault="006E1E81" w:rsidP="00F510B9">
      <w:pPr>
        <w:widowControl/>
        <w:spacing w:line="360" w:lineRule="auto"/>
        <w:ind w:firstLine="1440"/>
        <w:rPr>
          <w:sz w:val="26"/>
          <w:szCs w:val="26"/>
        </w:rPr>
      </w:pPr>
      <w:r w:rsidRPr="006A631A">
        <w:rPr>
          <w:sz w:val="26"/>
          <w:szCs w:val="26"/>
        </w:rPr>
        <w:t>On February 28, 2020, PGW filed Supplement No. 128 to PGW’s Gas Service</w:t>
      </w:r>
      <w:r w:rsidR="002B4210" w:rsidRPr="006A631A">
        <w:rPr>
          <w:sz w:val="26"/>
          <w:szCs w:val="26"/>
        </w:rPr>
        <w:t xml:space="preserve"> Tariff – Pa. P.U.C. No. 2 (Supplement No. 128) and Supplement No. 85 to PGW’s Supplier Tariff – Pa. P.U.C. No. 1 (Supplement No. 85), to become effective April 28, 2020, containing proposed changes to base rates designed to produce a net increase in PGW’s annual distribution revenue of approximately $70 million, or 10.5%, above existing distribution revenues.</w:t>
      </w:r>
    </w:p>
    <w:p w14:paraId="5AEE5579" w14:textId="221D2FB8" w:rsidR="002B4210" w:rsidRPr="006A631A" w:rsidRDefault="002B4210" w:rsidP="00F510B9">
      <w:pPr>
        <w:widowControl/>
        <w:spacing w:line="360" w:lineRule="auto"/>
        <w:rPr>
          <w:sz w:val="26"/>
          <w:szCs w:val="26"/>
        </w:rPr>
      </w:pPr>
    </w:p>
    <w:p w14:paraId="27DEDB13" w14:textId="27A30F1C" w:rsidR="004618E7" w:rsidRPr="006A631A" w:rsidRDefault="004618E7" w:rsidP="00F510B9">
      <w:pPr>
        <w:widowControl/>
        <w:spacing w:line="360" w:lineRule="auto"/>
        <w:ind w:firstLine="1440"/>
        <w:rPr>
          <w:sz w:val="26"/>
          <w:szCs w:val="26"/>
        </w:rPr>
      </w:pPr>
      <w:r w:rsidRPr="006A631A">
        <w:rPr>
          <w:sz w:val="26"/>
          <w:szCs w:val="26"/>
        </w:rPr>
        <w:t xml:space="preserve">On March 6, 2020, </w:t>
      </w:r>
      <w:r w:rsidR="004E0BE8" w:rsidRPr="006A631A">
        <w:rPr>
          <w:sz w:val="26"/>
          <w:szCs w:val="26"/>
        </w:rPr>
        <w:t xml:space="preserve">the </w:t>
      </w:r>
      <w:r w:rsidRPr="006A631A">
        <w:rPr>
          <w:sz w:val="26"/>
          <w:szCs w:val="26"/>
        </w:rPr>
        <w:t>OSBA filed a Formal Complaint.  On March</w:t>
      </w:r>
      <w:r w:rsidR="00E03C9E" w:rsidRPr="006A631A">
        <w:rPr>
          <w:sz w:val="26"/>
          <w:szCs w:val="26"/>
        </w:rPr>
        <w:t> </w:t>
      </w:r>
      <w:r w:rsidRPr="006A631A">
        <w:rPr>
          <w:sz w:val="26"/>
          <w:szCs w:val="26"/>
        </w:rPr>
        <w:t>10,</w:t>
      </w:r>
      <w:r w:rsidR="00E03C9E" w:rsidRPr="006A631A">
        <w:rPr>
          <w:sz w:val="26"/>
          <w:szCs w:val="26"/>
        </w:rPr>
        <w:t> </w:t>
      </w:r>
      <w:r w:rsidRPr="006A631A">
        <w:rPr>
          <w:sz w:val="26"/>
          <w:szCs w:val="26"/>
        </w:rPr>
        <w:t xml:space="preserve">2020, the OCA filed a Formal Complaint, and the Coalition for Affordable Utility Services and </w:t>
      </w:r>
      <w:r w:rsidR="004E0BE8" w:rsidRPr="006A631A">
        <w:rPr>
          <w:sz w:val="26"/>
          <w:szCs w:val="26"/>
        </w:rPr>
        <w:t xml:space="preserve">Energy </w:t>
      </w:r>
      <w:r w:rsidRPr="006A631A">
        <w:rPr>
          <w:sz w:val="26"/>
          <w:szCs w:val="26"/>
        </w:rPr>
        <w:t>Efficiency in Pennsylvania (CAUSE-PA) filed a Petition to Intervene.  On March 11, 2020, I&amp;E filed a Notice of Appearance.  On March 19, 2020, Direct Energy Services, Inc. (Direct Energy) filed a Petition to Intervene.  On April</w:t>
      </w:r>
      <w:r w:rsidR="00FD2ECE">
        <w:rPr>
          <w:sz w:val="26"/>
          <w:szCs w:val="26"/>
        </w:rPr>
        <w:t> </w:t>
      </w:r>
      <w:r w:rsidRPr="006A631A">
        <w:rPr>
          <w:sz w:val="26"/>
          <w:szCs w:val="26"/>
        </w:rPr>
        <w:t>7,</w:t>
      </w:r>
      <w:r w:rsidR="00FD2ECE">
        <w:rPr>
          <w:sz w:val="26"/>
          <w:szCs w:val="26"/>
        </w:rPr>
        <w:t> </w:t>
      </w:r>
      <w:r w:rsidRPr="006A631A">
        <w:rPr>
          <w:sz w:val="26"/>
          <w:szCs w:val="26"/>
        </w:rPr>
        <w:t xml:space="preserve">2020, PICGUG filed a Formal Complaint, and on April 10, 2020, the Tenant Union Representative Network and Action Alliance of Senior Citizens of Greater Philadelphia (TURN, </w:t>
      </w:r>
      <w:r w:rsidRPr="006A631A">
        <w:rPr>
          <w:i/>
          <w:iCs/>
          <w:sz w:val="26"/>
          <w:szCs w:val="26"/>
        </w:rPr>
        <w:t>et al</w:t>
      </w:r>
      <w:r w:rsidRPr="006A631A">
        <w:rPr>
          <w:sz w:val="26"/>
          <w:szCs w:val="26"/>
        </w:rPr>
        <w:t xml:space="preserve">.) filed a Petition to Intervene.  </w:t>
      </w:r>
    </w:p>
    <w:p w14:paraId="4182B4C6" w14:textId="77777777" w:rsidR="004618E7" w:rsidRPr="006A631A" w:rsidRDefault="004618E7" w:rsidP="00F510B9">
      <w:pPr>
        <w:widowControl/>
        <w:spacing w:line="360" w:lineRule="auto"/>
        <w:rPr>
          <w:sz w:val="26"/>
          <w:szCs w:val="26"/>
        </w:rPr>
      </w:pPr>
    </w:p>
    <w:p w14:paraId="3F3D77D0" w14:textId="50EBF324" w:rsidR="00873444" w:rsidRPr="006A631A" w:rsidRDefault="00116E37" w:rsidP="00F510B9">
      <w:pPr>
        <w:widowControl/>
        <w:spacing w:line="360" w:lineRule="auto"/>
        <w:ind w:firstLine="1440"/>
        <w:rPr>
          <w:sz w:val="26"/>
          <w:szCs w:val="26"/>
        </w:rPr>
      </w:pPr>
      <w:r w:rsidRPr="006A631A">
        <w:rPr>
          <w:sz w:val="26"/>
          <w:szCs w:val="26"/>
        </w:rPr>
        <w:lastRenderedPageBreak/>
        <w:t xml:space="preserve">By </w:t>
      </w:r>
      <w:r w:rsidR="00F43459" w:rsidRPr="006A631A">
        <w:rPr>
          <w:sz w:val="26"/>
          <w:szCs w:val="26"/>
        </w:rPr>
        <w:t xml:space="preserve">Commission </w:t>
      </w:r>
      <w:r w:rsidRPr="006A631A">
        <w:rPr>
          <w:sz w:val="26"/>
          <w:szCs w:val="26"/>
        </w:rPr>
        <w:t xml:space="preserve">Order entered </w:t>
      </w:r>
      <w:r w:rsidR="00D15362" w:rsidRPr="006A631A">
        <w:rPr>
          <w:sz w:val="26"/>
          <w:szCs w:val="26"/>
        </w:rPr>
        <w:t>April 16, 2020</w:t>
      </w:r>
      <w:r w:rsidRPr="006A631A">
        <w:rPr>
          <w:sz w:val="26"/>
          <w:szCs w:val="26"/>
        </w:rPr>
        <w:t xml:space="preserve">, </w:t>
      </w:r>
      <w:r w:rsidR="00123F81" w:rsidRPr="006A631A">
        <w:rPr>
          <w:sz w:val="26"/>
          <w:szCs w:val="26"/>
        </w:rPr>
        <w:t>Supplement No. 1</w:t>
      </w:r>
      <w:r w:rsidR="00D15362" w:rsidRPr="006A631A">
        <w:rPr>
          <w:sz w:val="26"/>
          <w:szCs w:val="26"/>
        </w:rPr>
        <w:t>28 and Supplement No. 85</w:t>
      </w:r>
      <w:r w:rsidRPr="006A631A">
        <w:rPr>
          <w:sz w:val="26"/>
          <w:szCs w:val="26"/>
        </w:rPr>
        <w:t xml:space="preserve"> w</w:t>
      </w:r>
      <w:r w:rsidR="00D15362" w:rsidRPr="006A631A">
        <w:rPr>
          <w:sz w:val="26"/>
          <w:szCs w:val="26"/>
        </w:rPr>
        <w:t>ere</w:t>
      </w:r>
      <w:r w:rsidRPr="006A631A">
        <w:rPr>
          <w:sz w:val="26"/>
          <w:szCs w:val="26"/>
        </w:rPr>
        <w:t xml:space="preserve"> suspended by operation of law pursuant to Section 1308(d) of the Code, 66 Pa. C.S. § 1308(d), for up to nine months, or until </w:t>
      </w:r>
      <w:r w:rsidR="00D15362" w:rsidRPr="006A631A">
        <w:rPr>
          <w:sz w:val="26"/>
          <w:szCs w:val="26"/>
        </w:rPr>
        <w:t>November 28</w:t>
      </w:r>
      <w:r w:rsidRPr="006A631A">
        <w:rPr>
          <w:sz w:val="26"/>
          <w:szCs w:val="26"/>
        </w:rPr>
        <w:t xml:space="preserve">, 2020, unless permitted by Commission Order to become effective at an earlier date.  The Commission also initiated an investigation of </w:t>
      </w:r>
      <w:r w:rsidR="00D15362" w:rsidRPr="006A631A">
        <w:rPr>
          <w:sz w:val="26"/>
          <w:szCs w:val="26"/>
        </w:rPr>
        <w:t>PGW’s</w:t>
      </w:r>
      <w:r w:rsidRPr="006A631A">
        <w:rPr>
          <w:sz w:val="26"/>
          <w:szCs w:val="26"/>
        </w:rPr>
        <w:t xml:space="preserve"> proposed general rate increase.</w:t>
      </w:r>
      <w:r w:rsidR="00FC58E9" w:rsidRPr="006A631A">
        <w:rPr>
          <w:sz w:val="26"/>
          <w:szCs w:val="26"/>
        </w:rPr>
        <w:t xml:space="preserve">  </w:t>
      </w:r>
    </w:p>
    <w:p w14:paraId="51E498E3" w14:textId="77777777" w:rsidR="00873444" w:rsidRPr="006A631A" w:rsidRDefault="00873444" w:rsidP="00F510B9">
      <w:pPr>
        <w:widowControl/>
        <w:spacing w:line="360" w:lineRule="auto"/>
        <w:ind w:firstLine="1440"/>
        <w:rPr>
          <w:sz w:val="26"/>
          <w:szCs w:val="26"/>
        </w:rPr>
      </w:pPr>
    </w:p>
    <w:p w14:paraId="0FFFF852" w14:textId="6729E23C" w:rsidR="00116E37" w:rsidRPr="006A631A" w:rsidRDefault="00873444" w:rsidP="00F510B9">
      <w:pPr>
        <w:widowControl/>
        <w:spacing w:line="360" w:lineRule="auto"/>
        <w:ind w:firstLine="1440"/>
        <w:rPr>
          <w:sz w:val="26"/>
          <w:szCs w:val="26"/>
        </w:rPr>
      </w:pPr>
      <w:r w:rsidRPr="006A631A">
        <w:rPr>
          <w:sz w:val="26"/>
          <w:szCs w:val="26"/>
        </w:rPr>
        <w:t>On April 29, 2020</w:t>
      </w:r>
      <w:r w:rsidR="00A85999" w:rsidRPr="006A631A">
        <w:rPr>
          <w:sz w:val="26"/>
          <w:szCs w:val="26"/>
        </w:rPr>
        <w:t>,</w:t>
      </w:r>
      <w:r w:rsidRPr="006A631A">
        <w:rPr>
          <w:sz w:val="26"/>
          <w:szCs w:val="26"/>
        </w:rPr>
        <w:t xml:space="preserve"> I&amp;E filed an Expedited Motion to Extend the Statutory Suspension Period During the Emergency Interruption of Normal Operations of the Pennsylvania Public Utility Commission, seeking to extend the period until January</w:t>
      </w:r>
      <w:r w:rsidR="00E03C9E" w:rsidRPr="006A631A">
        <w:rPr>
          <w:sz w:val="26"/>
          <w:szCs w:val="26"/>
        </w:rPr>
        <w:t> </w:t>
      </w:r>
      <w:r w:rsidRPr="006A631A">
        <w:rPr>
          <w:sz w:val="26"/>
          <w:szCs w:val="26"/>
        </w:rPr>
        <w:t>14,</w:t>
      </w:r>
      <w:r w:rsidR="00E03C9E" w:rsidRPr="006A631A">
        <w:rPr>
          <w:sz w:val="26"/>
          <w:szCs w:val="26"/>
        </w:rPr>
        <w:t> </w:t>
      </w:r>
      <w:r w:rsidRPr="006A631A">
        <w:rPr>
          <w:sz w:val="26"/>
          <w:szCs w:val="26"/>
        </w:rPr>
        <w:t>2021.</w:t>
      </w:r>
      <w:r w:rsidR="00E70AD2" w:rsidRPr="006A631A">
        <w:rPr>
          <w:rStyle w:val="FootnoteReference"/>
          <w:sz w:val="26"/>
          <w:szCs w:val="26"/>
        </w:rPr>
        <w:footnoteReference w:id="7"/>
      </w:r>
      <w:r w:rsidRPr="006A631A">
        <w:rPr>
          <w:sz w:val="26"/>
          <w:szCs w:val="26"/>
        </w:rPr>
        <w:t xml:space="preserve">  </w:t>
      </w:r>
      <w:r w:rsidR="00183C3D" w:rsidRPr="006A631A">
        <w:rPr>
          <w:sz w:val="26"/>
          <w:szCs w:val="26"/>
        </w:rPr>
        <w:t xml:space="preserve">On May 4, 2020, </w:t>
      </w:r>
      <w:r w:rsidR="004E0BE8" w:rsidRPr="006A631A">
        <w:rPr>
          <w:sz w:val="26"/>
          <w:szCs w:val="26"/>
        </w:rPr>
        <w:t xml:space="preserve">the </w:t>
      </w:r>
      <w:r w:rsidR="00183C3D" w:rsidRPr="006A631A">
        <w:rPr>
          <w:sz w:val="26"/>
          <w:szCs w:val="26"/>
        </w:rPr>
        <w:t>OCA filed an Answer in support of I&amp;E’s Motion and, on May 5, 2020, PGW filed an Answer opposing I&amp;E’s Motion.</w:t>
      </w:r>
    </w:p>
    <w:p w14:paraId="0AB73983" w14:textId="4104EBF3" w:rsidR="00587717" w:rsidRPr="006A631A" w:rsidRDefault="00587717" w:rsidP="00F510B9">
      <w:pPr>
        <w:widowControl/>
        <w:spacing w:line="360" w:lineRule="auto"/>
        <w:ind w:firstLine="1440"/>
        <w:rPr>
          <w:sz w:val="26"/>
          <w:szCs w:val="26"/>
        </w:rPr>
      </w:pPr>
    </w:p>
    <w:p w14:paraId="74DC9733" w14:textId="3E8354CB" w:rsidR="001D351C" w:rsidRPr="006A631A" w:rsidRDefault="001D351C" w:rsidP="00F510B9">
      <w:pPr>
        <w:widowControl/>
        <w:spacing w:line="360" w:lineRule="auto"/>
        <w:ind w:firstLine="1440"/>
        <w:rPr>
          <w:sz w:val="26"/>
          <w:szCs w:val="26"/>
        </w:rPr>
      </w:pPr>
      <w:r w:rsidRPr="006A631A">
        <w:rPr>
          <w:sz w:val="26"/>
          <w:szCs w:val="26"/>
        </w:rPr>
        <w:t xml:space="preserve">A Telephonic Prehearing Conference was held on May 5, 2020, at which time the litigation schedule, discovery, extension of the statutory period, public input hearings and the pending Petitions to Intervene were discussed.  During the </w:t>
      </w:r>
      <w:r w:rsidR="00E82E05" w:rsidRPr="006A631A">
        <w:rPr>
          <w:sz w:val="26"/>
          <w:szCs w:val="26"/>
        </w:rPr>
        <w:t>P</w:t>
      </w:r>
      <w:r w:rsidRPr="006A631A">
        <w:rPr>
          <w:sz w:val="26"/>
          <w:szCs w:val="26"/>
        </w:rPr>
        <w:t xml:space="preserve">rehearing </w:t>
      </w:r>
      <w:r w:rsidR="00E82E05" w:rsidRPr="006A631A">
        <w:rPr>
          <w:sz w:val="26"/>
          <w:szCs w:val="26"/>
        </w:rPr>
        <w:t>C</w:t>
      </w:r>
      <w:r w:rsidRPr="006A631A">
        <w:rPr>
          <w:sz w:val="26"/>
          <w:szCs w:val="26"/>
        </w:rPr>
        <w:t xml:space="preserve">onference, PGW voluntarily agreed to extend the statutory suspension period until December 4, 2020.  The extension of the suspension period to December 4, 2020 was reflected in </w:t>
      </w:r>
      <w:r w:rsidR="00A85999" w:rsidRPr="006A631A">
        <w:rPr>
          <w:sz w:val="26"/>
          <w:szCs w:val="26"/>
        </w:rPr>
        <w:t xml:space="preserve">PGW’s </w:t>
      </w:r>
      <w:r w:rsidRPr="006A631A">
        <w:rPr>
          <w:sz w:val="26"/>
          <w:szCs w:val="26"/>
        </w:rPr>
        <w:t>Tariff Supplement No. 132 to its Gas Service Tariff – Pa. P.U.C. No.</w:t>
      </w:r>
      <w:r w:rsidR="00E03C9E" w:rsidRPr="006A631A">
        <w:rPr>
          <w:sz w:val="26"/>
          <w:szCs w:val="26"/>
        </w:rPr>
        <w:t> </w:t>
      </w:r>
      <w:r w:rsidRPr="006A631A">
        <w:rPr>
          <w:sz w:val="26"/>
          <w:szCs w:val="26"/>
        </w:rPr>
        <w:t>2 and Tariff Supplement No. 89 to its Gas Supplier Tariff – Pa. P.U.C. No. 1, which were filed on May 12, 2020.</w:t>
      </w:r>
    </w:p>
    <w:p w14:paraId="20B11AE8" w14:textId="4561F1ED" w:rsidR="0061398D" w:rsidRPr="006A631A" w:rsidRDefault="0061398D" w:rsidP="00F510B9">
      <w:pPr>
        <w:widowControl/>
        <w:spacing w:line="360" w:lineRule="auto"/>
        <w:ind w:firstLine="1440"/>
        <w:rPr>
          <w:sz w:val="26"/>
          <w:szCs w:val="26"/>
        </w:rPr>
      </w:pPr>
    </w:p>
    <w:p w14:paraId="598AF20E" w14:textId="268B3F08" w:rsidR="0061398D" w:rsidRPr="006A631A" w:rsidRDefault="007D3E78" w:rsidP="00F510B9">
      <w:pPr>
        <w:widowControl/>
        <w:spacing w:line="360" w:lineRule="auto"/>
        <w:ind w:firstLine="1440"/>
        <w:rPr>
          <w:sz w:val="26"/>
          <w:szCs w:val="26"/>
        </w:rPr>
      </w:pPr>
      <w:r w:rsidRPr="006A631A">
        <w:rPr>
          <w:sz w:val="26"/>
          <w:szCs w:val="26"/>
        </w:rPr>
        <w:t xml:space="preserve">On May 13, 2020, a Prehearing Order was issued.  The Prehearing Order granted the Petitions to Intervene of CAUSE-PA, Direct Energy and TURN, </w:t>
      </w:r>
      <w:r w:rsidRPr="006A631A">
        <w:rPr>
          <w:i/>
          <w:iCs/>
          <w:sz w:val="26"/>
          <w:szCs w:val="26"/>
        </w:rPr>
        <w:t>et al</w:t>
      </w:r>
      <w:r w:rsidRPr="006A631A">
        <w:rPr>
          <w:sz w:val="26"/>
          <w:szCs w:val="26"/>
        </w:rPr>
        <w:t xml:space="preserve">., and </w:t>
      </w:r>
      <w:r w:rsidRPr="006A631A">
        <w:rPr>
          <w:sz w:val="26"/>
          <w:szCs w:val="26"/>
        </w:rPr>
        <w:lastRenderedPageBreak/>
        <w:t xml:space="preserve">granted a Motion for </w:t>
      </w:r>
      <w:r w:rsidRPr="006A631A">
        <w:rPr>
          <w:i/>
          <w:iCs/>
          <w:sz w:val="26"/>
          <w:szCs w:val="26"/>
        </w:rPr>
        <w:t xml:space="preserve">Pro Hac Vice </w:t>
      </w:r>
      <w:r w:rsidRPr="006A631A">
        <w:rPr>
          <w:sz w:val="26"/>
          <w:szCs w:val="26"/>
        </w:rPr>
        <w:t xml:space="preserve">Admission of Craig Berry, Esquire, to appear on behalf of PGW.  Further, the procedural schedule and discovery matters were addressed.  This Order also consolidated with this proceeding </w:t>
      </w:r>
      <w:r w:rsidR="00183C3D" w:rsidRPr="006A631A">
        <w:rPr>
          <w:sz w:val="26"/>
          <w:szCs w:val="26"/>
        </w:rPr>
        <w:t xml:space="preserve">and granted </w:t>
      </w:r>
      <w:r w:rsidRPr="006A631A">
        <w:rPr>
          <w:sz w:val="26"/>
          <w:szCs w:val="26"/>
        </w:rPr>
        <w:t>PGW</w:t>
      </w:r>
      <w:r w:rsidR="00183C3D" w:rsidRPr="006A631A">
        <w:rPr>
          <w:sz w:val="26"/>
          <w:szCs w:val="26"/>
        </w:rPr>
        <w:t>’s</w:t>
      </w:r>
      <w:r w:rsidRPr="006A631A">
        <w:rPr>
          <w:sz w:val="26"/>
          <w:szCs w:val="26"/>
        </w:rPr>
        <w:t xml:space="preserve"> Petition</w:t>
      </w:r>
      <w:r w:rsidR="00183C3D" w:rsidRPr="006A631A">
        <w:rPr>
          <w:sz w:val="26"/>
          <w:szCs w:val="26"/>
        </w:rPr>
        <w:t xml:space="preserve"> at </w:t>
      </w:r>
      <w:r w:rsidRPr="006A631A">
        <w:rPr>
          <w:sz w:val="26"/>
          <w:szCs w:val="26"/>
        </w:rPr>
        <w:t>Docket N</w:t>
      </w:r>
      <w:r w:rsidR="00C91031">
        <w:rPr>
          <w:sz w:val="26"/>
          <w:szCs w:val="26"/>
        </w:rPr>
        <w:t>o.</w:t>
      </w:r>
      <w:r w:rsidRPr="006A631A">
        <w:rPr>
          <w:sz w:val="26"/>
          <w:szCs w:val="26"/>
        </w:rPr>
        <w:t xml:space="preserve"> </w:t>
      </w:r>
      <w:r w:rsidR="00C91031">
        <w:rPr>
          <w:sz w:val="26"/>
          <w:szCs w:val="26"/>
        </w:rPr>
        <w:t>P</w:t>
      </w:r>
      <w:r w:rsidRPr="006A631A">
        <w:rPr>
          <w:sz w:val="26"/>
          <w:szCs w:val="26"/>
        </w:rPr>
        <w:t xml:space="preserve">-2020-3018975, </w:t>
      </w:r>
      <w:r w:rsidR="00183C3D" w:rsidRPr="006A631A">
        <w:rPr>
          <w:sz w:val="26"/>
          <w:szCs w:val="26"/>
        </w:rPr>
        <w:t xml:space="preserve">wherein PGW sought </w:t>
      </w:r>
      <w:r w:rsidRPr="006A631A">
        <w:rPr>
          <w:sz w:val="26"/>
          <w:szCs w:val="26"/>
        </w:rPr>
        <w:t xml:space="preserve">waiver of the application of the statutory definition of </w:t>
      </w:r>
      <w:r w:rsidR="00183C3D" w:rsidRPr="006A631A">
        <w:rPr>
          <w:sz w:val="26"/>
          <w:szCs w:val="26"/>
        </w:rPr>
        <w:t xml:space="preserve">the </w:t>
      </w:r>
      <w:r w:rsidRPr="006A631A">
        <w:rPr>
          <w:sz w:val="26"/>
          <w:szCs w:val="26"/>
        </w:rPr>
        <w:t>FPFTY</w:t>
      </w:r>
      <w:r w:rsidR="00183C3D" w:rsidRPr="006A631A">
        <w:rPr>
          <w:sz w:val="26"/>
          <w:szCs w:val="26"/>
        </w:rPr>
        <w:t>, so as</w:t>
      </w:r>
      <w:r w:rsidRPr="006A631A">
        <w:rPr>
          <w:sz w:val="26"/>
          <w:szCs w:val="26"/>
        </w:rPr>
        <w:t xml:space="preserve"> to permit PGW to use a FPFTY beginning in September</w:t>
      </w:r>
      <w:r w:rsidR="00E03C9E" w:rsidRPr="006A631A">
        <w:rPr>
          <w:sz w:val="26"/>
          <w:szCs w:val="26"/>
        </w:rPr>
        <w:t> </w:t>
      </w:r>
      <w:r w:rsidRPr="006A631A">
        <w:rPr>
          <w:sz w:val="26"/>
          <w:szCs w:val="26"/>
        </w:rPr>
        <w:t>1,</w:t>
      </w:r>
      <w:r w:rsidR="00E03C9E" w:rsidRPr="006A631A">
        <w:rPr>
          <w:sz w:val="26"/>
          <w:szCs w:val="26"/>
        </w:rPr>
        <w:t> </w:t>
      </w:r>
      <w:r w:rsidRPr="006A631A">
        <w:rPr>
          <w:sz w:val="26"/>
          <w:szCs w:val="26"/>
        </w:rPr>
        <w:t xml:space="preserve">2020.  Finally, this Order scheduled </w:t>
      </w:r>
      <w:r w:rsidR="000D7389" w:rsidRPr="006A631A">
        <w:rPr>
          <w:sz w:val="26"/>
          <w:szCs w:val="26"/>
        </w:rPr>
        <w:t>p</w:t>
      </w:r>
      <w:r w:rsidRPr="006A631A">
        <w:rPr>
          <w:sz w:val="26"/>
          <w:szCs w:val="26"/>
        </w:rPr>
        <w:t xml:space="preserve">ublic </w:t>
      </w:r>
      <w:r w:rsidR="000D7389" w:rsidRPr="006A631A">
        <w:rPr>
          <w:sz w:val="26"/>
          <w:szCs w:val="26"/>
        </w:rPr>
        <w:t>i</w:t>
      </w:r>
      <w:r w:rsidRPr="006A631A">
        <w:rPr>
          <w:sz w:val="26"/>
          <w:szCs w:val="26"/>
        </w:rPr>
        <w:t xml:space="preserve">nput </w:t>
      </w:r>
      <w:r w:rsidR="000D7389" w:rsidRPr="006A631A">
        <w:rPr>
          <w:sz w:val="26"/>
          <w:szCs w:val="26"/>
        </w:rPr>
        <w:t>h</w:t>
      </w:r>
      <w:r w:rsidRPr="006A631A">
        <w:rPr>
          <w:sz w:val="26"/>
          <w:szCs w:val="26"/>
        </w:rPr>
        <w:t>earings for June</w:t>
      </w:r>
      <w:r w:rsidR="00E03C9E" w:rsidRPr="006A631A">
        <w:rPr>
          <w:sz w:val="26"/>
          <w:szCs w:val="26"/>
        </w:rPr>
        <w:t> </w:t>
      </w:r>
      <w:r w:rsidRPr="006A631A">
        <w:rPr>
          <w:sz w:val="26"/>
          <w:szCs w:val="26"/>
        </w:rPr>
        <w:t>2</w:t>
      </w:r>
      <w:r w:rsidR="00E03C9E" w:rsidRPr="006A631A">
        <w:rPr>
          <w:sz w:val="26"/>
          <w:szCs w:val="26"/>
        </w:rPr>
        <w:noBreakHyphen/>
      </w:r>
      <w:r w:rsidRPr="006A631A">
        <w:rPr>
          <w:sz w:val="26"/>
          <w:szCs w:val="26"/>
        </w:rPr>
        <w:t>3,</w:t>
      </w:r>
      <w:r w:rsidR="00E03C9E" w:rsidRPr="006A631A">
        <w:rPr>
          <w:sz w:val="26"/>
          <w:szCs w:val="26"/>
        </w:rPr>
        <w:t> </w:t>
      </w:r>
      <w:r w:rsidRPr="006A631A">
        <w:rPr>
          <w:sz w:val="26"/>
          <w:szCs w:val="26"/>
        </w:rPr>
        <w:t>2020 and Evidentiary Hearings for July 28-30, 2020.</w:t>
      </w:r>
    </w:p>
    <w:p w14:paraId="529D0824" w14:textId="6D4E2258" w:rsidR="007D3E78" w:rsidRPr="006A631A" w:rsidRDefault="007D3E78" w:rsidP="00F510B9">
      <w:pPr>
        <w:widowControl/>
        <w:spacing w:line="360" w:lineRule="auto"/>
        <w:ind w:firstLine="1440"/>
        <w:rPr>
          <w:sz w:val="26"/>
          <w:szCs w:val="26"/>
        </w:rPr>
      </w:pPr>
    </w:p>
    <w:p w14:paraId="69887EEE" w14:textId="04F4C7FC" w:rsidR="007D3E78" w:rsidRPr="006A631A" w:rsidRDefault="009F1472" w:rsidP="00F510B9">
      <w:pPr>
        <w:widowControl/>
        <w:spacing w:line="360" w:lineRule="auto"/>
        <w:ind w:firstLine="1440"/>
        <w:rPr>
          <w:sz w:val="26"/>
          <w:szCs w:val="26"/>
        </w:rPr>
      </w:pPr>
      <w:r w:rsidRPr="006A631A">
        <w:rPr>
          <w:sz w:val="26"/>
          <w:szCs w:val="26"/>
        </w:rPr>
        <w:t>On May 15, 2020, a Corrected Prehearing Order was issued, adjusting discovery deadlines.</w:t>
      </w:r>
    </w:p>
    <w:p w14:paraId="3DA8CF83" w14:textId="102D9A93" w:rsidR="009F1472" w:rsidRPr="006A631A" w:rsidRDefault="009F1472" w:rsidP="00F510B9">
      <w:pPr>
        <w:widowControl/>
        <w:spacing w:line="360" w:lineRule="auto"/>
        <w:ind w:firstLine="1440"/>
        <w:rPr>
          <w:sz w:val="26"/>
          <w:szCs w:val="26"/>
        </w:rPr>
      </w:pPr>
    </w:p>
    <w:p w14:paraId="408FC5E8" w14:textId="1F2D838F" w:rsidR="009F1472" w:rsidRPr="006A631A" w:rsidRDefault="009F1472" w:rsidP="00F510B9">
      <w:pPr>
        <w:widowControl/>
        <w:spacing w:line="360" w:lineRule="auto"/>
        <w:ind w:firstLine="1440"/>
        <w:rPr>
          <w:sz w:val="26"/>
          <w:szCs w:val="26"/>
        </w:rPr>
      </w:pPr>
      <w:r w:rsidRPr="006A631A">
        <w:rPr>
          <w:sz w:val="26"/>
          <w:szCs w:val="26"/>
        </w:rPr>
        <w:t>On May 2</w:t>
      </w:r>
      <w:r w:rsidR="000B1E64" w:rsidRPr="006A631A">
        <w:rPr>
          <w:sz w:val="26"/>
          <w:szCs w:val="26"/>
        </w:rPr>
        <w:t>5</w:t>
      </w:r>
      <w:r w:rsidRPr="006A631A">
        <w:rPr>
          <w:sz w:val="26"/>
          <w:szCs w:val="26"/>
        </w:rPr>
        <w:t>, 2020</w:t>
      </w:r>
      <w:r w:rsidR="000B1E64" w:rsidRPr="006A631A">
        <w:rPr>
          <w:rStyle w:val="FootnoteReference"/>
          <w:sz w:val="26"/>
          <w:szCs w:val="26"/>
        </w:rPr>
        <w:footnoteReference w:id="8"/>
      </w:r>
      <w:r w:rsidRPr="006A631A">
        <w:rPr>
          <w:sz w:val="26"/>
          <w:szCs w:val="26"/>
        </w:rPr>
        <w:t xml:space="preserve">, </w:t>
      </w:r>
      <w:r w:rsidR="00957976" w:rsidRPr="006A631A">
        <w:rPr>
          <w:sz w:val="26"/>
          <w:szCs w:val="26"/>
        </w:rPr>
        <w:t xml:space="preserve">the </w:t>
      </w:r>
      <w:r w:rsidRPr="006A631A">
        <w:rPr>
          <w:sz w:val="26"/>
          <w:szCs w:val="26"/>
        </w:rPr>
        <w:t>Environmental Stakeholders filed a Petition to Intervene</w:t>
      </w:r>
      <w:r w:rsidR="00183C3D" w:rsidRPr="006A631A">
        <w:rPr>
          <w:sz w:val="26"/>
          <w:szCs w:val="26"/>
        </w:rPr>
        <w:t xml:space="preserve">.  Intervention </w:t>
      </w:r>
      <w:r w:rsidRPr="006A631A">
        <w:rPr>
          <w:sz w:val="26"/>
          <w:szCs w:val="26"/>
        </w:rPr>
        <w:t>was granted, over the opposition of PGW, by Order dated June</w:t>
      </w:r>
      <w:r w:rsidR="00E03C9E" w:rsidRPr="006A631A">
        <w:rPr>
          <w:sz w:val="26"/>
          <w:szCs w:val="26"/>
        </w:rPr>
        <w:t> </w:t>
      </w:r>
      <w:r w:rsidRPr="006A631A">
        <w:rPr>
          <w:sz w:val="26"/>
          <w:szCs w:val="26"/>
        </w:rPr>
        <w:t>1,</w:t>
      </w:r>
      <w:r w:rsidR="00E03C9E" w:rsidRPr="006A631A">
        <w:rPr>
          <w:sz w:val="26"/>
          <w:szCs w:val="26"/>
        </w:rPr>
        <w:t> </w:t>
      </w:r>
      <w:r w:rsidRPr="006A631A">
        <w:rPr>
          <w:sz w:val="26"/>
          <w:szCs w:val="26"/>
        </w:rPr>
        <w:t>2020.</w:t>
      </w:r>
    </w:p>
    <w:p w14:paraId="63973AFE" w14:textId="3BBF19EF" w:rsidR="009F1472" w:rsidRPr="006A631A" w:rsidRDefault="009F1472" w:rsidP="00F510B9">
      <w:pPr>
        <w:widowControl/>
        <w:spacing w:line="360" w:lineRule="auto"/>
        <w:ind w:firstLine="1440"/>
        <w:rPr>
          <w:sz w:val="26"/>
          <w:szCs w:val="26"/>
        </w:rPr>
      </w:pPr>
    </w:p>
    <w:p w14:paraId="2D52C2BD" w14:textId="0EEDE6A6" w:rsidR="009F1472" w:rsidRPr="006A631A" w:rsidRDefault="009F1472" w:rsidP="00F510B9">
      <w:pPr>
        <w:widowControl/>
        <w:spacing w:line="360" w:lineRule="auto"/>
        <w:ind w:firstLine="1440"/>
        <w:rPr>
          <w:sz w:val="26"/>
          <w:szCs w:val="26"/>
        </w:rPr>
      </w:pPr>
      <w:r w:rsidRPr="006A631A">
        <w:rPr>
          <w:sz w:val="26"/>
          <w:szCs w:val="26"/>
        </w:rPr>
        <w:t>On May 26, 2020, an Order was issued, gra</w:t>
      </w:r>
      <w:r w:rsidR="00183C3D" w:rsidRPr="006A631A">
        <w:rPr>
          <w:sz w:val="26"/>
          <w:szCs w:val="26"/>
        </w:rPr>
        <w:t>n</w:t>
      </w:r>
      <w:r w:rsidRPr="006A631A">
        <w:rPr>
          <w:sz w:val="26"/>
          <w:szCs w:val="26"/>
        </w:rPr>
        <w:t xml:space="preserve">ting the Motion for Admission </w:t>
      </w:r>
      <w:r w:rsidRPr="006A631A">
        <w:rPr>
          <w:i/>
          <w:iCs/>
          <w:sz w:val="26"/>
          <w:szCs w:val="26"/>
        </w:rPr>
        <w:t xml:space="preserve">Pro Hac Vice </w:t>
      </w:r>
      <w:r w:rsidRPr="006A631A">
        <w:rPr>
          <w:sz w:val="26"/>
          <w:szCs w:val="26"/>
        </w:rPr>
        <w:t xml:space="preserve">of Kintéshia Scott, Esquire, on behalf of TURN, </w:t>
      </w:r>
      <w:r w:rsidRPr="006A631A">
        <w:rPr>
          <w:i/>
          <w:iCs/>
          <w:sz w:val="26"/>
          <w:szCs w:val="26"/>
        </w:rPr>
        <w:t>et al</w:t>
      </w:r>
      <w:r w:rsidRPr="006A631A">
        <w:rPr>
          <w:sz w:val="26"/>
          <w:szCs w:val="26"/>
        </w:rPr>
        <w:t>.</w:t>
      </w:r>
    </w:p>
    <w:p w14:paraId="4DBADD15" w14:textId="14C046F9" w:rsidR="009F1472" w:rsidRPr="006A631A" w:rsidRDefault="009F1472" w:rsidP="00F510B9">
      <w:pPr>
        <w:widowControl/>
        <w:spacing w:line="360" w:lineRule="auto"/>
        <w:ind w:firstLine="1440"/>
        <w:rPr>
          <w:sz w:val="26"/>
          <w:szCs w:val="26"/>
        </w:rPr>
      </w:pPr>
    </w:p>
    <w:p w14:paraId="30CC868B" w14:textId="2E0BA8F4" w:rsidR="009F1472" w:rsidRPr="006A631A" w:rsidRDefault="009F1472" w:rsidP="00F510B9">
      <w:pPr>
        <w:widowControl/>
        <w:spacing w:line="360" w:lineRule="auto"/>
        <w:ind w:firstLine="1440"/>
        <w:rPr>
          <w:sz w:val="26"/>
          <w:szCs w:val="26"/>
        </w:rPr>
      </w:pPr>
      <w:r w:rsidRPr="006A631A">
        <w:rPr>
          <w:sz w:val="26"/>
          <w:szCs w:val="26"/>
        </w:rPr>
        <w:t xml:space="preserve">On June 2 and 3, 2020, a total of four telephonic public input hearings were held, at which a total of 25 persons including members of the public and </w:t>
      </w:r>
      <w:r w:rsidR="00183C3D" w:rsidRPr="006A631A">
        <w:rPr>
          <w:sz w:val="26"/>
          <w:szCs w:val="26"/>
        </w:rPr>
        <w:t xml:space="preserve">members of the </w:t>
      </w:r>
      <w:r w:rsidRPr="006A631A">
        <w:rPr>
          <w:sz w:val="26"/>
          <w:szCs w:val="26"/>
        </w:rPr>
        <w:t xml:space="preserve">Pennsylvania </w:t>
      </w:r>
      <w:r w:rsidR="00183C3D" w:rsidRPr="006A631A">
        <w:rPr>
          <w:sz w:val="26"/>
          <w:szCs w:val="26"/>
        </w:rPr>
        <w:t>General Assembly</w:t>
      </w:r>
      <w:r w:rsidRPr="006A631A">
        <w:rPr>
          <w:sz w:val="26"/>
          <w:szCs w:val="26"/>
        </w:rPr>
        <w:t xml:space="preserve"> provided testimony.</w:t>
      </w:r>
      <w:r w:rsidR="007C558D" w:rsidRPr="006A631A">
        <w:rPr>
          <w:sz w:val="26"/>
          <w:szCs w:val="26"/>
        </w:rPr>
        <w:t xml:space="preserve">  </w:t>
      </w:r>
      <w:r w:rsidRPr="006A631A">
        <w:rPr>
          <w:sz w:val="26"/>
          <w:szCs w:val="26"/>
        </w:rPr>
        <w:t xml:space="preserve">On June 3, 2020, State Senator Anthony Williams filed a letter in </w:t>
      </w:r>
      <w:r w:rsidR="00906138" w:rsidRPr="006A631A">
        <w:rPr>
          <w:sz w:val="26"/>
          <w:szCs w:val="26"/>
        </w:rPr>
        <w:t>o</w:t>
      </w:r>
      <w:r w:rsidRPr="006A631A">
        <w:rPr>
          <w:sz w:val="26"/>
          <w:szCs w:val="26"/>
        </w:rPr>
        <w:t xml:space="preserve">pposition to the </w:t>
      </w:r>
      <w:r w:rsidR="00F620B2" w:rsidRPr="006A631A">
        <w:rPr>
          <w:sz w:val="26"/>
          <w:szCs w:val="26"/>
        </w:rPr>
        <w:t>r</w:t>
      </w:r>
      <w:r w:rsidRPr="006A631A">
        <w:rPr>
          <w:sz w:val="26"/>
          <w:szCs w:val="26"/>
        </w:rPr>
        <w:t>ate increase.</w:t>
      </w:r>
    </w:p>
    <w:p w14:paraId="61743712" w14:textId="4271A559" w:rsidR="009F1472" w:rsidRPr="006A631A" w:rsidRDefault="009F1472" w:rsidP="00F510B9">
      <w:pPr>
        <w:widowControl/>
        <w:spacing w:line="360" w:lineRule="auto"/>
        <w:ind w:firstLine="1440"/>
        <w:rPr>
          <w:sz w:val="26"/>
          <w:szCs w:val="26"/>
        </w:rPr>
      </w:pPr>
    </w:p>
    <w:p w14:paraId="1CE1322F" w14:textId="2CBEC9F9" w:rsidR="009F1472" w:rsidRPr="006A631A" w:rsidRDefault="009F1472" w:rsidP="00F510B9">
      <w:pPr>
        <w:widowControl/>
        <w:spacing w:line="360" w:lineRule="auto"/>
        <w:ind w:firstLine="1440"/>
        <w:rPr>
          <w:sz w:val="26"/>
          <w:szCs w:val="26"/>
        </w:rPr>
      </w:pPr>
      <w:r w:rsidRPr="006A631A">
        <w:rPr>
          <w:sz w:val="26"/>
          <w:szCs w:val="26"/>
        </w:rPr>
        <w:t xml:space="preserve">On June 12, 2020, </w:t>
      </w:r>
      <w:r w:rsidR="004E0BE8" w:rsidRPr="006A631A">
        <w:rPr>
          <w:sz w:val="26"/>
          <w:szCs w:val="26"/>
        </w:rPr>
        <w:t xml:space="preserve">the </w:t>
      </w:r>
      <w:r w:rsidRPr="006A631A">
        <w:rPr>
          <w:sz w:val="26"/>
          <w:szCs w:val="26"/>
        </w:rPr>
        <w:t xml:space="preserve">Environmental Stakeholders filed a Motion for Admission </w:t>
      </w:r>
      <w:r w:rsidRPr="006A631A">
        <w:rPr>
          <w:i/>
          <w:iCs/>
          <w:sz w:val="26"/>
          <w:szCs w:val="26"/>
        </w:rPr>
        <w:t xml:space="preserve">Pro Hac Vice </w:t>
      </w:r>
      <w:r w:rsidRPr="006A631A">
        <w:rPr>
          <w:sz w:val="26"/>
          <w:szCs w:val="26"/>
        </w:rPr>
        <w:t xml:space="preserve">of Devin McDougall, which was granted by Order </w:t>
      </w:r>
      <w:r w:rsidR="003B700E" w:rsidRPr="006A631A">
        <w:rPr>
          <w:sz w:val="26"/>
          <w:szCs w:val="26"/>
        </w:rPr>
        <w:t xml:space="preserve">on </w:t>
      </w:r>
      <w:r w:rsidRPr="006A631A">
        <w:rPr>
          <w:sz w:val="26"/>
          <w:szCs w:val="26"/>
        </w:rPr>
        <w:t>June</w:t>
      </w:r>
      <w:r w:rsidR="00E03C9E" w:rsidRPr="006A631A">
        <w:rPr>
          <w:sz w:val="26"/>
          <w:szCs w:val="26"/>
        </w:rPr>
        <w:t> </w:t>
      </w:r>
      <w:r w:rsidRPr="006A631A">
        <w:rPr>
          <w:sz w:val="26"/>
          <w:szCs w:val="26"/>
        </w:rPr>
        <w:t>22,</w:t>
      </w:r>
      <w:r w:rsidR="00E03C9E" w:rsidRPr="006A631A">
        <w:rPr>
          <w:sz w:val="26"/>
          <w:szCs w:val="26"/>
        </w:rPr>
        <w:t> </w:t>
      </w:r>
      <w:r w:rsidRPr="006A631A">
        <w:rPr>
          <w:sz w:val="26"/>
          <w:szCs w:val="26"/>
        </w:rPr>
        <w:t xml:space="preserve">2020.  Also, on June 12, 2020, </w:t>
      </w:r>
      <w:r w:rsidR="004E0BE8" w:rsidRPr="006A631A">
        <w:rPr>
          <w:sz w:val="26"/>
          <w:szCs w:val="26"/>
        </w:rPr>
        <w:t xml:space="preserve">the </w:t>
      </w:r>
      <w:r w:rsidRPr="006A631A">
        <w:rPr>
          <w:sz w:val="26"/>
          <w:szCs w:val="26"/>
        </w:rPr>
        <w:t xml:space="preserve">Environmental Stakeholders filed a Motion to </w:t>
      </w:r>
      <w:r w:rsidRPr="006A631A">
        <w:rPr>
          <w:sz w:val="26"/>
          <w:szCs w:val="26"/>
        </w:rPr>
        <w:lastRenderedPageBreak/>
        <w:t>Dismiss Objections [of PGW] and Direct Answers to Interrogatories of the Environmental Stakeholders.  PGW filed an Answer in opposition to the Motion to Dismiss of the Environmental Stakeholders on June 15, 2020.</w:t>
      </w:r>
    </w:p>
    <w:p w14:paraId="1A9E371D" w14:textId="77777777" w:rsidR="00F640B0" w:rsidRPr="006A631A" w:rsidRDefault="00F640B0" w:rsidP="00F510B9">
      <w:pPr>
        <w:widowControl/>
        <w:spacing w:line="360" w:lineRule="auto"/>
        <w:ind w:firstLine="1440"/>
        <w:rPr>
          <w:sz w:val="26"/>
          <w:szCs w:val="26"/>
        </w:rPr>
      </w:pPr>
    </w:p>
    <w:p w14:paraId="3B04F64F" w14:textId="201669A6" w:rsidR="00957976" w:rsidRPr="006A631A" w:rsidRDefault="00957976" w:rsidP="00F510B9">
      <w:pPr>
        <w:widowControl/>
        <w:autoSpaceDE w:val="0"/>
        <w:autoSpaceDN w:val="0"/>
        <w:adjustRightInd w:val="0"/>
        <w:spacing w:line="360" w:lineRule="auto"/>
        <w:ind w:firstLine="1440"/>
        <w:rPr>
          <w:sz w:val="26"/>
          <w:szCs w:val="26"/>
        </w:rPr>
      </w:pPr>
      <w:r w:rsidRPr="006A631A">
        <w:rPr>
          <w:sz w:val="26"/>
          <w:szCs w:val="26"/>
        </w:rPr>
        <w:t xml:space="preserve">Pursuant to the procedural schedule agreed to at the </w:t>
      </w:r>
      <w:r w:rsidR="00AD7807" w:rsidRPr="006A631A">
        <w:rPr>
          <w:sz w:val="26"/>
          <w:szCs w:val="26"/>
        </w:rPr>
        <w:t>P</w:t>
      </w:r>
      <w:r w:rsidRPr="006A631A">
        <w:rPr>
          <w:sz w:val="26"/>
          <w:szCs w:val="26"/>
        </w:rPr>
        <w:t xml:space="preserve">rehearing </w:t>
      </w:r>
      <w:r w:rsidR="00AD7807" w:rsidRPr="006A631A">
        <w:rPr>
          <w:sz w:val="26"/>
          <w:szCs w:val="26"/>
        </w:rPr>
        <w:t>C</w:t>
      </w:r>
      <w:r w:rsidRPr="006A631A">
        <w:rPr>
          <w:sz w:val="26"/>
          <w:szCs w:val="26"/>
        </w:rPr>
        <w:t xml:space="preserve">onference, the </w:t>
      </w:r>
      <w:r w:rsidR="0089551D" w:rsidRPr="006A631A">
        <w:rPr>
          <w:sz w:val="26"/>
          <w:szCs w:val="26"/>
        </w:rPr>
        <w:t>P</w:t>
      </w:r>
      <w:r w:rsidRPr="006A631A">
        <w:rPr>
          <w:sz w:val="26"/>
          <w:szCs w:val="26"/>
        </w:rPr>
        <w:t>arties s</w:t>
      </w:r>
      <w:r w:rsidR="00183C3D" w:rsidRPr="006A631A">
        <w:rPr>
          <w:sz w:val="26"/>
          <w:szCs w:val="26"/>
        </w:rPr>
        <w:t>erved</w:t>
      </w:r>
      <w:r w:rsidRPr="006A631A">
        <w:rPr>
          <w:sz w:val="26"/>
          <w:szCs w:val="26"/>
        </w:rPr>
        <w:t xml:space="preserve"> direct and rebuttal testimony on June 15, 2020 and July 13, 2020, respectively.  Surrebuttal testimony was served on July 24, 2020.</w:t>
      </w:r>
    </w:p>
    <w:p w14:paraId="24F3B5E1" w14:textId="77777777" w:rsidR="00957976" w:rsidRPr="006A631A" w:rsidRDefault="00957976" w:rsidP="00F510B9">
      <w:pPr>
        <w:widowControl/>
        <w:spacing w:line="360" w:lineRule="auto"/>
        <w:ind w:firstLine="1440"/>
        <w:rPr>
          <w:sz w:val="26"/>
          <w:szCs w:val="26"/>
        </w:rPr>
      </w:pPr>
    </w:p>
    <w:p w14:paraId="3415BF57" w14:textId="2F3318A1" w:rsidR="009F1472" w:rsidRPr="006A631A" w:rsidRDefault="009F1472" w:rsidP="00F510B9">
      <w:pPr>
        <w:widowControl/>
        <w:spacing w:line="360" w:lineRule="auto"/>
        <w:ind w:firstLine="1440"/>
        <w:rPr>
          <w:sz w:val="26"/>
          <w:szCs w:val="26"/>
        </w:rPr>
      </w:pPr>
      <w:r w:rsidRPr="006A631A">
        <w:rPr>
          <w:sz w:val="26"/>
          <w:szCs w:val="26"/>
        </w:rPr>
        <w:t xml:space="preserve">On June 23, 2020, an </w:t>
      </w:r>
      <w:r w:rsidR="008A4508" w:rsidRPr="006A631A">
        <w:rPr>
          <w:sz w:val="26"/>
          <w:szCs w:val="26"/>
        </w:rPr>
        <w:t>O</w:t>
      </w:r>
      <w:r w:rsidRPr="006A631A">
        <w:rPr>
          <w:sz w:val="26"/>
          <w:szCs w:val="26"/>
        </w:rPr>
        <w:t xml:space="preserve">rder was issued admitting into the record the written statements of </w:t>
      </w:r>
      <w:r w:rsidR="007B739C" w:rsidRPr="006A631A">
        <w:rPr>
          <w:sz w:val="26"/>
          <w:szCs w:val="26"/>
        </w:rPr>
        <w:t>p</w:t>
      </w:r>
      <w:r w:rsidRPr="006A631A">
        <w:rPr>
          <w:sz w:val="26"/>
          <w:szCs w:val="26"/>
        </w:rPr>
        <w:t xml:space="preserve">ublic </w:t>
      </w:r>
      <w:r w:rsidR="007B739C" w:rsidRPr="006A631A">
        <w:rPr>
          <w:sz w:val="26"/>
          <w:szCs w:val="26"/>
        </w:rPr>
        <w:t>i</w:t>
      </w:r>
      <w:r w:rsidRPr="006A631A">
        <w:rPr>
          <w:sz w:val="26"/>
          <w:szCs w:val="26"/>
        </w:rPr>
        <w:t>nput hearing witnesses Meenal Ravel and State Senator Sharif Street.</w:t>
      </w:r>
    </w:p>
    <w:p w14:paraId="70AC804B" w14:textId="24C2A0AE" w:rsidR="009F1472" w:rsidRPr="006A631A" w:rsidRDefault="009F1472" w:rsidP="00F510B9">
      <w:pPr>
        <w:widowControl/>
        <w:spacing w:line="360" w:lineRule="auto"/>
        <w:ind w:firstLine="1440"/>
        <w:rPr>
          <w:sz w:val="26"/>
          <w:szCs w:val="26"/>
        </w:rPr>
      </w:pPr>
    </w:p>
    <w:p w14:paraId="76539F01" w14:textId="78994182" w:rsidR="009F1472" w:rsidRPr="006A631A" w:rsidRDefault="009F1472" w:rsidP="00F510B9">
      <w:pPr>
        <w:widowControl/>
        <w:spacing w:line="360" w:lineRule="auto"/>
        <w:ind w:firstLine="1440"/>
        <w:rPr>
          <w:sz w:val="26"/>
          <w:szCs w:val="26"/>
        </w:rPr>
      </w:pPr>
      <w:r w:rsidRPr="006A631A">
        <w:rPr>
          <w:sz w:val="26"/>
          <w:szCs w:val="26"/>
        </w:rPr>
        <w:t>On June 24, 2020, PGW filed a Motion in Limine Regarding Testimony Submitted by the Environmental Stakeholders.</w:t>
      </w:r>
      <w:r w:rsidR="007C558D" w:rsidRPr="006A631A">
        <w:rPr>
          <w:sz w:val="26"/>
          <w:szCs w:val="26"/>
        </w:rPr>
        <w:t xml:space="preserve">  </w:t>
      </w:r>
      <w:r w:rsidRPr="006A631A">
        <w:rPr>
          <w:sz w:val="26"/>
          <w:szCs w:val="26"/>
        </w:rPr>
        <w:t xml:space="preserve">On June 25, 2020, PGW filed two motions: a Motion in Limine Regarding Certain Portions of Testimony Submitted by TURN, </w:t>
      </w:r>
      <w:r w:rsidRPr="006A631A">
        <w:rPr>
          <w:i/>
          <w:iCs/>
          <w:sz w:val="26"/>
          <w:szCs w:val="26"/>
        </w:rPr>
        <w:t>et al</w:t>
      </w:r>
      <w:r w:rsidRPr="006A631A">
        <w:rPr>
          <w:sz w:val="26"/>
          <w:szCs w:val="26"/>
        </w:rPr>
        <w:t>., regarding Universal Service Programs; and a Motion in Limine Regarding Certain Portions of Testimony Submitted by the O</w:t>
      </w:r>
      <w:r w:rsidR="00167068" w:rsidRPr="006A631A">
        <w:rPr>
          <w:sz w:val="26"/>
          <w:szCs w:val="26"/>
        </w:rPr>
        <w:t>CA</w:t>
      </w:r>
      <w:r w:rsidRPr="006A631A">
        <w:rPr>
          <w:sz w:val="26"/>
          <w:szCs w:val="26"/>
        </w:rPr>
        <w:t xml:space="preserve"> Regarding Universal Service Programs.</w:t>
      </w:r>
      <w:r w:rsidR="007C558D" w:rsidRPr="006A631A">
        <w:rPr>
          <w:sz w:val="26"/>
          <w:szCs w:val="26"/>
        </w:rPr>
        <w:t xml:space="preserve">  </w:t>
      </w:r>
      <w:r w:rsidRPr="006A631A">
        <w:rPr>
          <w:sz w:val="26"/>
          <w:szCs w:val="26"/>
        </w:rPr>
        <w:t xml:space="preserve">During a hearing on June 25, 2020, the Environmental Stakeholders’ Motion to Dismiss was granted in part and denied in part.  </w:t>
      </w:r>
    </w:p>
    <w:p w14:paraId="6185EBF9" w14:textId="69BAA099" w:rsidR="009F1472" w:rsidRPr="006A631A" w:rsidRDefault="009F1472" w:rsidP="00F510B9">
      <w:pPr>
        <w:widowControl/>
        <w:spacing w:line="360" w:lineRule="auto"/>
        <w:ind w:firstLine="1440"/>
        <w:rPr>
          <w:sz w:val="26"/>
          <w:szCs w:val="26"/>
        </w:rPr>
      </w:pPr>
    </w:p>
    <w:p w14:paraId="37AFF210" w14:textId="180E8E66" w:rsidR="009F1472" w:rsidRPr="006A631A" w:rsidRDefault="009F1472" w:rsidP="00F510B9">
      <w:pPr>
        <w:widowControl/>
        <w:spacing w:line="360" w:lineRule="auto"/>
        <w:ind w:firstLine="1440"/>
        <w:rPr>
          <w:sz w:val="26"/>
          <w:szCs w:val="26"/>
        </w:rPr>
      </w:pPr>
      <w:r w:rsidRPr="006A631A">
        <w:rPr>
          <w:sz w:val="26"/>
          <w:szCs w:val="26"/>
        </w:rPr>
        <w:t xml:space="preserve">On June 30, 2020, CAUSE-PA, </w:t>
      </w:r>
      <w:r w:rsidR="00167068" w:rsidRPr="006A631A">
        <w:rPr>
          <w:sz w:val="26"/>
          <w:szCs w:val="26"/>
        </w:rPr>
        <w:t xml:space="preserve">the </w:t>
      </w:r>
      <w:r w:rsidRPr="006A631A">
        <w:rPr>
          <w:sz w:val="26"/>
          <w:szCs w:val="26"/>
        </w:rPr>
        <w:t xml:space="preserve">Environmental Stakeholders, the </w:t>
      </w:r>
      <w:proofErr w:type="gramStart"/>
      <w:r w:rsidRPr="006A631A">
        <w:rPr>
          <w:sz w:val="26"/>
          <w:szCs w:val="26"/>
        </w:rPr>
        <w:t>OCA</w:t>
      </w:r>
      <w:proofErr w:type="gramEnd"/>
      <w:r w:rsidRPr="006A631A">
        <w:rPr>
          <w:sz w:val="26"/>
          <w:szCs w:val="26"/>
        </w:rPr>
        <w:t xml:space="preserve"> and TURN, </w:t>
      </w:r>
      <w:r w:rsidRPr="006A631A">
        <w:rPr>
          <w:i/>
          <w:iCs/>
          <w:sz w:val="26"/>
          <w:szCs w:val="26"/>
        </w:rPr>
        <w:t xml:space="preserve">et al. </w:t>
      </w:r>
      <w:r w:rsidRPr="006A631A">
        <w:rPr>
          <w:sz w:val="26"/>
          <w:szCs w:val="26"/>
        </w:rPr>
        <w:t>filed Answers to PGW’s Motions in Limine.</w:t>
      </w:r>
    </w:p>
    <w:p w14:paraId="5B218AAB" w14:textId="30D197EA" w:rsidR="009F1472" w:rsidRPr="006A631A" w:rsidRDefault="009F1472" w:rsidP="00F510B9">
      <w:pPr>
        <w:widowControl/>
        <w:spacing w:line="360" w:lineRule="auto"/>
        <w:ind w:firstLine="1440"/>
        <w:rPr>
          <w:sz w:val="26"/>
          <w:szCs w:val="26"/>
        </w:rPr>
      </w:pPr>
    </w:p>
    <w:p w14:paraId="750A0E7A" w14:textId="426B4EC8" w:rsidR="009F1472" w:rsidRPr="006A631A" w:rsidRDefault="009F1472" w:rsidP="00F510B9">
      <w:pPr>
        <w:widowControl/>
        <w:spacing w:line="360" w:lineRule="auto"/>
        <w:ind w:firstLine="1440"/>
        <w:rPr>
          <w:sz w:val="26"/>
          <w:szCs w:val="26"/>
        </w:rPr>
      </w:pPr>
      <w:r w:rsidRPr="006A631A">
        <w:rPr>
          <w:sz w:val="26"/>
          <w:szCs w:val="26"/>
        </w:rPr>
        <w:t xml:space="preserve">On July 2, 2020, PGW filed a Motion to Dismiss the Objections of </w:t>
      </w:r>
      <w:r w:rsidR="00167068" w:rsidRPr="006A631A">
        <w:rPr>
          <w:sz w:val="26"/>
          <w:szCs w:val="26"/>
        </w:rPr>
        <w:t xml:space="preserve">the </w:t>
      </w:r>
      <w:r w:rsidRPr="006A631A">
        <w:rPr>
          <w:sz w:val="26"/>
          <w:szCs w:val="26"/>
        </w:rPr>
        <w:t xml:space="preserve">Environmental Stakeholders and Compel Responses to PGW’s Interrogatories. </w:t>
      </w:r>
    </w:p>
    <w:p w14:paraId="34F2EEFB" w14:textId="66C6D292" w:rsidR="009F1472" w:rsidRPr="006A631A" w:rsidRDefault="009F1472" w:rsidP="00F510B9">
      <w:pPr>
        <w:widowControl/>
        <w:spacing w:line="360" w:lineRule="auto"/>
        <w:ind w:firstLine="1440"/>
        <w:rPr>
          <w:sz w:val="26"/>
          <w:szCs w:val="26"/>
        </w:rPr>
      </w:pPr>
    </w:p>
    <w:p w14:paraId="74891E80" w14:textId="6453E918" w:rsidR="009F1472" w:rsidRPr="006A631A" w:rsidRDefault="007D256B" w:rsidP="00F510B9">
      <w:pPr>
        <w:widowControl/>
        <w:spacing w:line="360" w:lineRule="auto"/>
        <w:ind w:firstLine="1440"/>
        <w:rPr>
          <w:sz w:val="26"/>
          <w:szCs w:val="26"/>
        </w:rPr>
      </w:pPr>
      <w:r w:rsidRPr="006A631A">
        <w:rPr>
          <w:sz w:val="26"/>
          <w:szCs w:val="26"/>
        </w:rPr>
        <w:t>O</w:t>
      </w:r>
      <w:r w:rsidR="009F1472" w:rsidRPr="006A631A">
        <w:rPr>
          <w:sz w:val="26"/>
          <w:szCs w:val="26"/>
        </w:rPr>
        <w:t xml:space="preserve">n July 7, 2020, an Order was issued on PGW’s Motion in Limine Regarding </w:t>
      </w:r>
      <w:r w:rsidR="00167068" w:rsidRPr="006A631A">
        <w:rPr>
          <w:sz w:val="26"/>
          <w:szCs w:val="26"/>
        </w:rPr>
        <w:t xml:space="preserve">the </w:t>
      </w:r>
      <w:r w:rsidR="009F1472" w:rsidRPr="006A631A">
        <w:rPr>
          <w:sz w:val="26"/>
          <w:szCs w:val="26"/>
        </w:rPr>
        <w:t>Environmental Stakeholders, granting the Motion in part and denying the Motion in part.</w:t>
      </w:r>
    </w:p>
    <w:p w14:paraId="56AE8E78" w14:textId="10CFC536" w:rsidR="009F1472" w:rsidRPr="006A631A" w:rsidRDefault="009F1472" w:rsidP="00F510B9">
      <w:pPr>
        <w:widowControl/>
        <w:spacing w:line="360" w:lineRule="auto"/>
        <w:ind w:firstLine="1440"/>
        <w:rPr>
          <w:sz w:val="26"/>
          <w:szCs w:val="26"/>
        </w:rPr>
      </w:pPr>
      <w:r w:rsidRPr="006A631A">
        <w:rPr>
          <w:sz w:val="26"/>
          <w:szCs w:val="26"/>
        </w:rPr>
        <w:lastRenderedPageBreak/>
        <w:t xml:space="preserve">On July 8, 2020, an Order was issued granting in part and denying in part the PGW Motions in Limine regarding TURN, </w:t>
      </w:r>
      <w:r w:rsidRPr="006A631A">
        <w:rPr>
          <w:i/>
          <w:iCs/>
          <w:sz w:val="26"/>
          <w:szCs w:val="26"/>
        </w:rPr>
        <w:t xml:space="preserve">et al. </w:t>
      </w:r>
      <w:r w:rsidRPr="006A631A">
        <w:rPr>
          <w:sz w:val="26"/>
          <w:szCs w:val="26"/>
        </w:rPr>
        <w:t>and the OCA.  The Motions were granted with respect to striking testimony related to specific language access requirements under the Civil Rights Act of 1964 and the Philadelphia Home Rule Charter.</w:t>
      </w:r>
    </w:p>
    <w:p w14:paraId="0DCD7007" w14:textId="1D4F73FE" w:rsidR="009F1472" w:rsidRPr="006A631A" w:rsidRDefault="009F1472" w:rsidP="00F510B9">
      <w:pPr>
        <w:widowControl/>
        <w:spacing w:line="360" w:lineRule="auto"/>
        <w:ind w:firstLine="1440"/>
        <w:rPr>
          <w:sz w:val="26"/>
          <w:szCs w:val="26"/>
        </w:rPr>
      </w:pPr>
    </w:p>
    <w:p w14:paraId="0C219AA3" w14:textId="23D04F6D" w:rsidR="009F1472" w:rsidRPr="006A631A" w:rsidRDefault="009F1472" w:rsidP="00F510B9">
      <w:pPr>
        <w:widowControl/>
        <w:spacing w:line="360" w:lineRule="auto"/>
        <w:ind w:firstLine="1440"/>
        <w:rPr>
          <w:sz w:val="26"/>
          <w:szCs w:val="26"/>
        </w:rPr>
      </w:pPr>
      <w:r w:rsidRPr="006A631A">
        <w:rPr>
          <w:sz w:val="26"/>
          <w:szCs w:val="26"/>
        </w:rPr>
        <w:t xml:space="preserve">On July 9, 2020, </w:t>
      </w:r>
      <w:r w:rsidR="00167068" w:rsidRPr="006A631A">
        <w:rPr>
          <w:sz w:val="26"/>
          <w:szCs w:val="26"/>
        </w:rPr>
        <w:t xml:space="preserve">the </w:t>
      </w:r>
      <w:r w:rsidRPr="006A631A">
        <w:rPr>
          <w:sz w:val="26"/>
          <w:szCs w:val="26"/>
        </w:rPr>
        <w:t xml:space="preserve">Environmental Stakeholders filed an Answer </w:t>
      </w:r>
      <w:r w:rsidR="00C65E1D" w:rsidRPr="006A631A">
        <w:rPr>
          <w:sz w:val="26"/>
          <w:szCs w:val="26"/>
        </w:rPr>
        <w:t xml:space="preserve">to </w:t>
      </w:r>
      <w:r w:rsidRPr="006A631A">
        <w:rPr>
          <w:sz w:val="26"/>
          <w:szCs w:val="26"/>
        </w:rPr>
        <w:t>PGW's Motion to Dismiss the Objections of the Environmental Stakeholders and Compel Responses to PGW’s Interrogatories.</w:t>
      </w:r>
    </w:p>
    <w:p w14:paraId="395C0824" w14:textId="1AB11AB5" w:rsidR="009F1472" w:rsidRPr="006A631A" w:rsidRDefault="009F1472" w:rsidP="00F510B9">
      <w:pPr>
        <w:widowControl/>
        <w:spacing w:line="360" w:lineRule="auto"/>
        <w:ind w:firstLine="1440"/>
        <w:rPr>
          <w:sz w:val="26"/>
          <w:szCs w:val="26"/>
        </w:rPr>
      </w:pPr>
    </w:p>
    <w:p w14:paraId="175A4C20" w14:textId="7E2EE61C" w:rsidR="009F1472" w:rsidRPr="006A631A" w:rsidRDefault="009F1472" w:rsidP="00F510B9">
      <w:pPr>
        <w:widowControl/>
        <w:spacing w:line="360" w:lineRule="auto"/>
        <w:ind w:firstLine="1440"/>
        <w:rPr>
          <w:sz w:val="26"/>
          <w:szCs w:val="26"/>
        </w:rPr>
      </w:pPr>
      <w:r w:rsidRPr="006A631A">
        <w:rPr>
          <w:sz w:val="26"/>
          <w:szCs w:val="26"/>
        </w:rPr>
        <w:t>On July 10, 2020, PGW filed a letter stating that it would present the testimony of the following additional witnesses: Denise Adamucci, Esquire; Bernard Cummings; H. Gil Peach, Ph.D., and former PUC Commissioner James H. Cawley, Esquire.</w:t>
      </w:r>
    </w:p>
    <w:p w14:paraId="683EB1D6" w14:textId="48394DB6" w:rsidR="00386609" w:rsidRPr="006A631A" w:rsidRDefault="00386609" w:rsidP="00F510B9">
      <w:pPr>
        <w:widowControl/>
        <w:spacing w:line="360" w:lineRule="auto"/>
        <w:ind w:firstLine="1440"/>
        <w:rPr>
          <w:sz w:val="26"/>
          <w:szCs w:val="26"/>
        </w:rPr>
      </w:pPr>
    </w:p>
    <w:p w14:paraId="6BE27099" w14:textId="77777777" w:rsidR="00F6232C" w:rsidRPr="006A631A" w:rsidRDefault="00386609" w:rsidP="00F510B9">
      <w:pPr>
        <w:widowControl/>
        <w:spacing w:line="360" w:lineRule="auto"/>
        <w:ind w:firstLine="1440"/>
        <w:rPr>
          <w:sz w:val="26"/>
          <w:szCs w:val="26"/>
        </w:rPr>
      </w:pPr>
      <w:r w:rsidRPr="006A631A">
        <w:rPr>
          <w:sz w:val="26"/>
          <w:szCs w:val="26"/>
        </w:rPr>
        <w:t xml:space="preserve">On July 14, 2020, an Order was issued </w:t>
      </w:r>
      <w:r w:rsidR="00F6232C" w:rsidRPr="006A631A">
        <w:rPr>
          <w:sz w:val="26"/>
          <w:szCs w:val="26"/>
        </w:rPr>
        <w:t>denying PGW’s Motion to Dismiss the Objections of the Environmental Stakeholders and Compel Responses to PGW’s Interrogatories.</w:t>
      </w:r>
    </w:p>
    <w:p w14:paraId="0885EED7" w14:textId="15286661" w:rsidR="009F1472" w:rsidRPr="006A631A" w:rsidRDefault="009F1472" w:rsidP="00F510B9">
      <w:pPr>
        <w:widowControl/>
        <w:spacing w:line="360" w:lineRule="auto"/>
        <w:ind w:firstLine="1440"/>
        <w:rPr>
          <w:sz w:val="26"/>
          <w:szCs w:val="26"/>
        </w:rPr>
      </w:pPr>
    </w:p>
    <w:p w14:paraId="49EC5A86" w14:textId="01E090EF" w:rsidR="009F1472" w:rsidRPr="006A631A" w:rsidRDefault="009F1472" w:rsidP="00F510B9">
      <w:pPr>
        <w:widowControl/>
        <w:spacing w:line="360" w:lineRule="auto"/>
        <w:ind w:firstLine="1440"/>
        <w:rPr>
          <w:sz w:val="26"/>
          <w:szCs w:val="26"/>
        </w:rPr>
      </w:pPr>
      <w:r w:rsidRPr="006A631A">
        <w:rPr>
          <w:sz w:val="26"/>
          <w:szCs w:val="26"/>
        </w:rPr>
        <w:t xml:space="preserve">On July 15, 2020, and July 21, 2020, TURN, </w:t>
      </w:r>
      <w:r w:rsidRPr="006A631A">
        <w:rPr>
          <w:i/>
          <w:iCs/>
          <w:sz w:val="26"/>
          <w:szCs w:val="26"/>
        </w:rPr>
        <w:t>et al</w:t>
      </w:r>
      <w:r w:rsidRPr="006A631A">
        <w:rPr>
          <w:sz w:val="26"/>
          <w:szCs w:val="26"/>
        </w:rPr>
        <w:t>., and the OCA, respectively, filed Petitions for Interlocutory Review and Answer to Material Questions seeking Commission review of the July 8, 2020 Order on PGW’s Motion in Limine.</w:t>
      </w:r>
    </w:p>
    <w:p w14:paraId="1F24E037" w14:textId="64BA6B15" w:rsidR="009F1472" w:rsidRPr="006A631A" w:rsidRDefault="009F1472" w:rsidP="00F510B9">
      <w:pPr>
        <w:widowControl/>
        <w:spacing w:line="360" w:lineRule="auto"/>
        <w:ind w:firstLine="1440"/>
        <w:rPr>
          <w:sz w:val="26"/>
          <w:szCs w:val="26"/>
        </w:rPr>
      </w:pPr>
    </w:p>
    <w:p w14:paraId="5EAAF1F3" w14:textId="0BD5D0CE" w:rsidR="009F1472" w:rsidRPr="006A631A" w:rsidRDefault="009F1472" w:rsidP="00F510B9">
      <w:pPr>
        <w:widowControl/>
        <w:spacing w:line="360" w:lineRule="auto"/>
        <w:ind w:firstLine="1440"/>
        <w:rPr>
          <w:sz w:val="26"/>
          <w:szCs w:val="26"/>
        </w:rPr>
      </w:pPr>
      <w:r w:rsidRPr="006A631A">
        <w:rPr>
          <w:sz w:val="26"/>
          <w:szCs w:val="26"/>
        </w:rPr>
        <w:t xml:space="preserve">On July 22, 2020, </w:t>
      </w:r>
      <w:r w:rsidR="00167068" w:rsidRPr="006A631A">
        <w:rPr>
          <w:sz w:val="26"/>
          <w:szCs w:val="26"/>
        </w:rPr>
        <w:t xml:space="preserve">the </w:t>
      </w:r>
      <w:r w:rsidRPr="006A631A">
        <w:rPr>
          <w:sz w:val="26"/>
          <w:szCs w:val="26"/>
        </w:rPr>
        <w:t xml:space="preserve">Environmental Stakeholders filed a Motion to Dismiss Objections and to Compel Answers to the Environmental Stakeholders’ Set I of Interrogatories Directed to PGW. </w:t>
      </w:r>
      <w:r w:rsidR="00330BE2" w:rsidRPr="006A631A">
        <w:rPr>
          <w:sz w:val="26"/>
          <w:szCs w:val="26"/>
        </w:rPr>
        <w:t xml:space="preserve"> </w:t>
      </w:r>
      <w:r w:rsidRPr="006A631A">
        <w:rPr>
          <w:sz w:val="26"/>
          <w:szCs w:val="26"/>
        </w:rPr>
        <w:t>PGW filed an Answer to the Motion on July 22, 2020.</w:t>
      </w:r>
    </w:p>
    <w:p w14:paraId="1B183D1C" w14:textId="0BED2880" w:rsidR="00330BE2" w:rsidRPr="006A631A" w:rsidRDefault="00330BE2" w:rsidP="00F510B9">
      <w:pPr>
        <w:widowControl/>
        <w:spacing w:line="360" w:lineRule="auto"/>
        <w:ind w:firstLine="1440"/>
        <w:rPr>
          <w:sz w:val="26"/>
          <w:szCs w:val="26"/>
        </w:rPr>
      </w:pPr>
    </w:p>
    <w:p w14:paraId="24377B5C" w14:textId="669A9550" w:rsidR="00330BE2" w:rsidRPr="006A631A" w:rsidRDefault="00330BE2" w:rsidP="00F510B9">
      <w:pPr>
        <w:widowControl/>
        <w:spacing w:line="360" w:lineRule="auto"/>
        <w:ind w:firstLine="1440"/>
        <w:rPr>
          <w:sz w:val="26"/>
          <w:szCs w:val="26"/>
        </w:rPr>
      </w:pPr>
      <w:r w:rsidRPr="006A631A">
        <w:rPr>
          <w:sz w:val="26"/>
          <w:szCs w:val="26"/>
        </w:rPr>
        <w:t>On July 23, 2020, the Environmental Stakeholders filed a Motion in Limine to Exclude Portions of the Rebuttal Testimony of PGW’s witness Mr. James Cawley.</w:t>
      </w:r>
    </w:p>
    <w:p w14:paraId="3EDA1CC5" w14:textId="54DE89C2" w:rsidR="00330BE2" w:rsidRPr="006A631A" w:rsidRDefault="00330BE2" w:rsidP="00F510B9">
      <w:pPr>
        <w:widowControl/>
        <w:spacing w:line="360" w:lineRule="auto"/>
        <w:ind w:firstLine="1440"/>
        <w:rPr>
          <w:sz w:val="26"/>
          <w:szCs w:val="26"/>
        </w:rPr>
      </w:pPr>
      <w:r w:rsidRPr="006A631A">
        <w:rPr>
          <w:sz w:val="26"/>
          <w:szCs w:val="26"/>
        </w:rPr>
        <w:lastRenderedPageBreak/>
        <w:t xml:space="preserve">On July 24, 2020, the </w:t>
      </w:r>
      <w:r w:rsidR="0089551D" w:rsidRPr="006A631A">
        <w:rPr>
          <w:sz w:val="26"/>
          <w:szCs w:val="26"/>
        </w:rPr>
        <w:t>P</w:t>
      </w:r>
      <w:r w:rsidRPr="006A631A">
        <w:rPr>
          <w:sz w:val="26"/>
          <w:szCs w:val="26"/>
        </w:rPr>
        <w:t xml:space="preserve">arties advised </w:t>
      </w:r>
      <w:r w:rsidR="00171270" w:rsidRPr="006A631A">
        <w:rPr>
          <w:sz w:val="26"/>
          <w:szCs w:val="26"/>
        </w:rPr>
        <w:t xml:space="preserve">the ALJs </w:t>
      </w:r>
      <w:r w:rsidRPr="006A631A">
        <w:rPr>
          <w:sz w:val="26"/>
          <w:szCs w:val="26"/>
        </w:rPr>
        <w:t>that they were attempting to resolve all or most of the issues and requested that the hearing scheduled for July</w:t>
      </w:r>
      <w:r w:rsidR="00E03C9E" w:rsidRPr="006A631A">
        <w:rPr>
          <w:sz w:val="26"/>
          <w:szCs w:val="26"/>
        </w:rPr>
        <w:t> </w:t>
      </w:r>
      <w:r w:rsidRPr="006A631A">
        <w:rPr>
          <w:sz w:val="26"/>
          <w:szCs w:val="26"/>
        </w:rPr>
        <w:t>28,</w:t>
      </w:r>
      <w:r w:rsidR="00E03C9E" w:rsidRPr="006A631A">
        <w:rPr>
          <w:sz w:val="26"/>
          <w:szCs w:val="26"/>
        </w:rPr>
        <w:t> </w:t>
      </w:r>
      <w:r w:rsidRPr="006A631A">
        <w:rPr>
          <w:sz w:val="26"/>
          <w:szCs w:val="26"/>
        </w:rPr>
        <w:t>2020, be cancelled and that the hearing start on July 29, 2020.  Th</w:t>
      </w:r>
      <w:r w:rsidR="001F4656" w:rsidRPr="006A631A">
        <w:rPr>
          <w:sz w:val="26"/>
          <w:szCs w:val="26"/>
        </w:rPr>
        <w:t xml:space="preserve">e ALJs </w:t>
      </w:r>
      <w:r w:rsidRPr="006A631A">
        <w:rPr>
          <w:sz w:val="26"/>
          <w:szCs w:val="26"/>
        </w:rPr>
        <w:t>granted</w:t>
      </w:r>
      <w:r w:rsidR="001F4656" w:rsidRPr="006A631A">
        <w:rPr>
          <w:sz w:val="26"/>
          <w:szCs w:val="26"/>
        </w:rPr>
        <w:t xml:space="preserve"> the request</w:t>
      </w:r>
      <w:r w:rsidRPr="006A631A">
        <w:rPr>
          <w:sz w:val="26"/>
          <w:szCs w:val="26"/>
        </w:rPr>
        <w:t>.</w:t>
      </w:r>
    </w:p>
    <w:p w14:paraId="6C127A4F" w14:textId="1BEB0FA7" w:rsidR="00330BE2" w:rsidRPr="006A631A" w:rsidRDefault="00330BE2" w:rsidP="00F510B9">
      <w:pPr>
        <w:widowControl/>
        <w:spacing w:line="360" w:lineRule="auto"/>
        <w:ind w:firstLine="1440"/>
        <w:rPr>
          <w:sz w:val="26"/>
          <w:szCs w:val="26"/>
        </w:rPr>
      </w:pPr>
    </w:p>
    <w:p w14:paraId="23C44353" w14:textId="6B64067E" w:rsidR="00330BE2" w:rsidRPr="006A631A" w:rsidRDefault="00330BE2" w:rsidP="00F510B9">
      <w:pPr>
        <w:widowControl/>
        <w:spacing w:line="360" w:lineRule="auto"/>
        <w:ind w:firstLine="1440"/>
        <w:rPr>
          <w:sz w:val="26"/>
          <w:szCs w:val="26"/>
        </w:rPr>
      </w:pPr>
      <w:r w:rsidRPr="006A631A">
        <w:rPr>
          <w:sz w:val="26"/>
          <w:szCs w:val="26"/>
        </w:rPr>
        <w:t>On July 27, 2020, PGW filed an Answer in Opposition to the Environmental Stakeholders’ Motion in Limine to Exclude Portions of the Rebuttal Testimony of PGW’s witness Mr. James Cawley and a Brief in Opposition to the interlocutory review petitions.</w:t>
      </w:r>
    </w:p>
    <w:p w14:paraId="775A028F" w14:textId="532132A4" w:rsidR="00330BE2" w:rsidRPr="006A631A" w:rsidRDefault="00330BE2" w:rsidP="00F510B9">
      <w:pPr>
        <w:widowControl/>
        <w:spacing w:line="360" w:lineRule="auto"/>
        <w:ind w:firstLine="1440"/>
        <w:rPr>
          <w:sz w:val="26"/>
          <w:szCs w:val="26"/>
        </w:rPr>
      </w:pPr>
    </w:p>
    <w:p w14:paraId="3BA09FCF" w14:textId="68C5C447" w:rsidR="00330BE2" w:rsidRPr="006A631A" w:rsidRDefault="00330BE2" w:rsidP="00F510B9">
      <w:pPr>
        <w:widowControl/>
        <w:spacing w:line="360" w:lineRule="auto"/>
        <w:ind w:firstLine="1440"/>
        <w:rPr>
          <w:sz w:val="26"/>
          <w:szCs w:val="26"/>
        </w:rPr>
      </w:pPr>
      <w:r w:rsidRPr="006A631A">
        <w:rPr>
          <w:sz w:val="26"/>
          <w:szCs w:val="26"/>
        </w:rPr>
        <w:t xml:space="preserve">On July 27, 2020, the OCA, TURN, </w:t>
      </w:r>
      <w:r w:rsidRPr="006A631A">
        <w:rPr>
          <w:i/>
          <w:iCs/>
          <w:sz w:val="26"/>
          <w:szCs w:val="26"/>
        </w:rPr>
        <w:t xml:space="preserve">et al. </w:t>
      </w:r>
      <w:r w:rsidRPr="006A631A">
        <w:rPr>
          <w:sz w:val="26"/>
          <w:szCs w:val="26"/>
        </w:rPr>
        <w:t>and CAUSE-PA filed briefs in support of the petitions for interlocutory review.  PGW filed briefs in opposition.</w:t>
      </w:r>
    </w:p>
    <w:p w14:paraId="0607D860" w14:textId="760482A9" w:rsidR="00330BE2" w:rsidRPr="006A631A" w:rsidRDefault="00330BE2" w:rsidP="00F510B9">
      <w:pPr>
        <w:widowControl/>
        <w:spacing w:line="360" w:lineRule="auto"/>
        <w:ind w:firstLine="1440"/>
        <w:rPr>
          <w:sz w:val="26"/>
          <w:szCs w:val="26"/>
        </w:rPr>
      </w:pPr>
    </w:p>
    <w:p w14:paraId="2615788B" w14:textId="6425F840" w:rsidR="00330BE2" w:rsidRPr="006A631A" w:rsidRDefault="00330BE2" w:rsidP="00F510B9">
      <w:pPr>
        <w:widowControl/>
        <w:spacing w:line="360" w:lineRule="auto"/>
        <w:ind w:firstLine="1440"/>
        <w:rPr>
          <w:sz w:val="26"/>
          <w:szCs w:val="26"/>
        </w:rPr>
      </w:pPr>
      <w:r w:rsidRPr="006A631A">
        <w:rPr>
          <w:sz w:val="26"/>
          <w:szCs w:val="26"/>
        </w:rPr>
        <w:t xml:space="preserve">An </w:t>
      </w:r>
      <w:r w:rsidR="006508F3" w:rsidRPr="006A631A">
        <w:rPr>
          <w:sz w:val="26"/>
          <w:szCs w:val="26"/>
        </w:rPr>
        <w:t>e</w:t>
      </w:r>
      <w:r w:rsidRPr="006A631A">
        <w:rPr>
          <w:sz w:val="26"/>
          <w:szCs w:val="26"/>
        </w:rPr>
        <w:t xml:space="preserve">videntiary </w:t>
      </w:r>
      <w:r w:rsidR="006508F3" w:rsidRPr="006A631A">
        <w:rPr>
          <w:sz w:val="26"/>
          <w:szCs w:val="26"/>
        </w:rPr>
        <w:t>h</w:t>
      </w:r>
      <w:r w:rsidRPr="006A631A">
        <w:rPr>
          <w:sz w:val="26"/>
          <w:szCs w:val="26"/>
        </w:rPr>
        <w:t>earing was held on July 29, 2020</w:t>
      </w:r>
      <w:r w:rsidR="001D045A" w:rsidRPr="006A631A">
        <w:rPr>
          <w:sz w:val="26"/>
          <w:szCs w:val="26"/>
        </w:rPr>
        <w:t xml:space="preserve">.  The active </w:t>
      </w:r>
      <w:r w:rsidR="0089551D" w:rsidRPr="006A631A">
        <w:rPr>
          <w:sz w:val="26"/>
          <w:szCs w:val="26"/>
        </w:rPr>
        <w:t>P</w:t>
      </w:r>
      <w:r w:rsidR="001D045A" w:rsidRPr="006A631A">
        <w:rPr>
          <w:sz w:val="26"/>
          <w:szCs w:val="26"/>
        </w:rPr>
        <w:t>arties waived cross-examination with limited exception</w:t>
      </w:r>
      <w:r w:rsidR="001F4656" w:rsidRPr="006A631A">
        <w:rPr>
          <w:sz w:val="26"/>
          <w:szCs w:val="26"/>
        </w:rPr>
        <w:t>s</w:t>
      </w:r>
      <w:r w:rsidR="001D045A" w:rsidRPr="006A631A">
        <w:rPr>
          <w:sz w:val="26"/>
          <w:szCs w:val="26"/>
        </w:rPr>
        <w:t xml:space="preserve">, and </w:t>
      </w:r>
      <w:proofErr w:type="gramStart"/>
      <w:r w:rsidR="001D045A" w:rsidRPr="006A631A">
        <w:rPr>
          <w:sz w:val="26"/>
          <w:szCs w:val="26"/>
        </w:rPr>
        <w:t>all of</w:t>
      </w:r>
      <w:proofErr w:type="gramEnd"/>
      <w:r w:rsidR="001D045A" w:rsidRPr="006A631A">
        <w:rPr>
          <w:sz w:val="26"/>
          <w:szCs w:val="26"/>
        </w:rPr>
        <w:t xml:space="preserve"> their testimony and exhibits were admitted into the record</w:t>
      </w:r>
      <w:r w:rsidRPr="006A631A">
        <w:rPr>
          <w:sz w:val="26"/>
          <w:szCs w:val="26"/>
        </w:rPr>
        <w:t>.  During the hearing, the Motion to Exclude testimony of Mr. James Cawley was denied.  The hearing was completed on July 29, 2020, and the July 30, 2020 hearing date was cancelled.</w:t>
      </w:r>
    </w:p>
    <w:p w14:paraId="29B9370F" w14:textId="4181F21F" w:rsidR="00330BE2" w:rsidRPr="006A631A" w:rsidRDefault="00330BE2" w:rsidP="00F510B9">
      <w:pPr>
        <w:widowControl/>
        <w:spacing w:line="360" w:lineRule="auto"/>
        <w:ind w:firstLine="1440"/>
        <w:rPr>
          <w:sz w:val="26"/>
          <w:szCs w:val="26"/>
        </w:rPr>
      </w:pPr>
    </w:p>
    <w:p w14:paraId="31326787" w14:textId="739FB3F3" w:rsidR="00330BE2" w:rsidRPr="006A631A" w:rsidRDefault="00330BE2" w:rsidP="00F510B9">
      <w:pPr>
        <w:widowControl/>
        <w:spacing w:line="360" w:lineRule="auto"/>
        <w:ind w:firstLine="1440"/>
        <w:rPr>
          <w:sz w:val="26"/>
          <w:szCs w:val="26"/>
        </w:rPr>
      </w:pPr>
      <w:r w:rsidRPr="006A631A">
        <w:rPr>
          <w:sz w:val="26"/>
          <w:szCs w:val="26"/>
        </w:rPr>
        <w:t xml:space="preserve">On August 6, 2020, the Commission granted the Petitions for Interlocutory Review and Answer to Material Question filed by TURN, </w:t>
      </w:r>
      <w:r w:rsidRPr="006A631A">
        <w:rPr>
          <w:i/>
          <w:iCs/>
          <w:sz w:val="26"/>
          <w:szCs w:val="26"/>
        </w:rPr>
        <w:t xml:space="preserve">et al. </w:t>
      </w:r>
      <w:r w:rsidRPr="006A631A">
        <w:rPr>
          <w:sz w:val="26"/>
          <w:szCs w:val="26"/>
        </w:rPr>
        <w:t>and the OCA.  In accordance with th</w:t>
      </w:r>
      <w:r w:rsidR="00547BA5" w:rsidRPr="006A631A">
        <w:rPr>
          <w:sz w:val="26"/>
          <w:szCs w:val="26"/>
        </w:rPr>
        <w:t>at O</w:t>
      </w:r>
      <w:r w:rsidRPr="006A631A">
        <w:rPr>
          <w:sz w:val="26"/>
          <w:szCs w:val="26"/>
        </w:rPr>
        <w:t xml:space="preserve">pinion and Order, </w:t>
      </w:r>
      <w:r w:rsidR="00547BA5" w:rsidRPr="006A631A">
        <w:rPr>
          <w:sz w:val="26"/>
          <w:szCs w:val="26"/>
        </w:rPr>
        <w:t xml:space="preserve">the ALJs issued </w:t>
      </w:r>
      <w:r w:rsidRPr="006A631A">
        <w:rPr>
          <w:sz w:val="26"/>
          <w:szCs w:val="26"/>
        </w:rPr>
        <w:t xml:space="preserve">an Order on August 10, 2020, directing TURN, </w:t>
      </w:r>
      <w:r w:rsidRPr="006A631A">
        <w:rPr>
          <w:i/>
          <w:iCs/>
          <w:sz w:val="26"/>
          <w:szCs w:val="26"/>
        </w:rPr>
        <w:t xml:space="preserve">et al. </w:t>
      </w:r>
      <w:r w:rsidRPr="006A631A">
        <w:rPr>
          <w:sz w:val="26"/>
          <w:szCs w:val="26"/>
        </w:rPr>
        <w:t>and the OCA to file amended testimony by August 17, 2020.</w:t>
      </w:r>
    </w:p>
    <w:p w14:paraId="53FD8339" w14:textId="3FA00E0E" w:rsidR="00330BE2" w:rsidRPr="006A631A" w:rsidRDefault="00330BE2" w:rsidP="00F510B9">
      <w:pPr>
        <w:widowControl/>
        <w:spacing w:line="360" w:lineRule="auto"/>
        <w:ind w:firstLine="1440"/>
        <w:rPr>
          <w:sz w:val="26"/>
          <w:szCs w:val="26"/>
        </w:rPr>
      </w:pPr>
    </w:p>
    <w:p w14:paraId="21D2B036" w14:textId="19C75D42" w:rsidR="00330BE2" w:rsidRPr="006A631A" w:rsidRDefault="00330BE2" w:rsidP="00F510B9">
      <w:pPr>
        <w:widowControl/>
        <w:spacing w:line="360" w:lineRule="auto"/>
        <w:ind w:firstLine="1440"/>
        <w:rPr>
          <w:sz w:val="26"/>
          <w:szCs w:val="26"/>
        </w:rPr>
      </w:pPr>
      <w:r w:rsidRPr="006A631A">
        <w:rPr>
          <w:sz w:val="26"/>
          <w:szCs w:val="26"/>
        </w:rPr>
        <w:t xml:space="preserve">The </w:t>
      </w:r>
      <w:r w:rsidR="0089551D" w:rsidRPr="006A631A">
        <w:rPr>
          <w:sz w:val="26"/>
          <w:szCs w:val="26"/>
        </w:rPr>
        <w:t>P</w:t>
      </w:r>
      <w:r w:rsidRPr="006A631A">
        <w:rPr>
          <w:sz w:val="26"/>
          <w:szCs w:val="26"/>
        </w:rPr>
        <w:t xml:space="preserve">arties advised on August 18, 2020, that they were close to partial settlement.  The </w:t>
      </w:r>
      <w:r w:rsidR="0089551D" w:rsidRPr="006A631A">
        <w:rPr>
          <w:sz w:val="26"/>
          <w:szCs w:val="26"/>
        </w:rPr>
        <w:t>P</w:t>
      </w:r>
      <w:r w:rsidRPr="006A631A">
        <w:rPr>
          <w:sz w:val="26"/>
          <w:szCs w:val="26"/>
        </w:rPr>
        <w:t xml:space="preserve">arties were given a revised litigation schedule with extensions </w:t>
      </w:r>
      <w:r w:rsidR="00547BA5" w:rsidRPr="006A631A">
        <w:rPr>
          <w:sz w:val="26"/>
          <w:szCs w:val="26"/>
        </w:rPr>
        <w:t xml:space="preserve">of time should a </w:t>
      </w:r>
      <w:r w:rsidRPr="006A631A">
        <w:rPr>
          <w:sz w:val="26"/>
          <w:szCs w:val="26"/>
        </w:rPr>
        <w:t>settlement</w:t>
      </w:r>
      <w:r w:rsidR="00547BA5" w:rsidRPr="006A631A">
        <w:rPr>
          <w:sz w:val="26"/>
          <w:szCs w:val="26"/>
        </w:rPr>
        <w:t xml:space="preserve"> materialize</w:t>
      </w:r>
      <w:r w:rsidRPr="006A631A">
        <w:rPr>
          <w:sz w:val="26"/>
          <w:szCs w:val="26"/>
        </w:rPr>
        <w:t>.</w:t>
      </w:r>
      <w:r w:rsidR="00A31E07" w:rsidRPr="006A631A">
        <w:rPr>
          <w:sz w:val="26"/>
          <w:szCs w:val="26"/>
        </w:rPr>
        <w:t xml:space="preserve">  </w:t>
      </w:r>
      <w:r w:rsidRPr="006A631A">
        <w:rPr>
          <w:sz w:val="26"/>
          <w:szCs w:val="26"/>
        </w:rPr>
        <w:t xml:space="preserve">On August 19, 2020, the </w:t>
      </w:r>
      <w:r w:rsidR="0089551D" w:rsidRPr="006A631A">
        <w:rPr>
          <w:sz w:val="26"/>
          <w:szCs w:val="26"/>
        </w:rPr>
        <w:t>P</w:t>
      </w:r>
      <w:r w:rsidRPr="006A631A">
        <w:rPr>
          <w:sz w:val="26"/>
          <w:szCs w:val="26"/>
        </w:rPr>
        <w:t xml:space="preserve">arties advised that they had reached a settlement except for the following issues raised by </w:t>
      </w:r>
      <w:r w:rsidR="0089551D" w:rsidRPr="006A631A">
        <w:rPr>
          <w:sz w:val="26"/>
          <w:szCs w:val="26"/>
        </w:rPr>
        <w:t xml:space="preserve">the </w:t>
      </w:r>
      <w:r w:rsidRPr="006A631A">
        <w:rPr>
          <w:sz w:val="26"/>
          <w:szCs w:val="26"/>
        </w:rPr>
        <w:t xml:space="preserve">Environmental Stakeholders, framed as follows: </w:t>
      </w:r>
    </w:p>
    <w:p w14:paraId="2ABED40C" w14:textId="11FD0CD8" w:rsidR="00330BE2" w:rsidRPr="006A631A" w:rsidRDefault="00330BE2" w:rsidP="00F510B9">
      <w:pPr>
        <w:pStyle w:val="ListParagraph"/>
        <w:widowControl/>
        <w:numPr>
          <w:ilvl w:val="0"/>
          <w:numId w:val="5"/>
        </w:numPr>
        <w:ind w:left="2160" w:right="1440" w:hanging="720"/>
        <w:rPr>
          <w:sz w:val="26"/>
          <w:szCs w:val="26"/>
        </w:rPr>
      </w:pPr>
      <w:r w:rsidRPr="006A631A">
        <w:rPr>
          <w:b/>
          <w:bCs/>
          <w:sz w:val="26"/>
          <w:szCs w:val="26"/>
        </w:rPr>
        <w:lastRenderedPageBreak/>
        <w:t>Rate Increase</w:t>
      </w:r>
      <w:r w:rsidRPr="006A631A">
        <w:rPr>
          <w:sz w:val="26"/>
          <w:szCs w:val="26"/>
        </w:rPr>
        <w:t xml:space="preserve">: Whether PGW’s rate increase should be denied because its infrastructure modernization program inadequately accounts for potential future mandates related to climate change. </w:t>
      </w:r>
    </w:p>
    <w:p w14:paraId="33E26794" w14:textId="77777777" w:rsidR="00330BE2" w:rsidRPr="006A631A" w:rsidRDefault="00330BE2" w:rsidP="00F510B9">
      <w:pPr>
        <w:pStyle w:val="ListParagraph"/>
        <w:widowControl/>
        <w:ind w:left="2160" w:right="1440" w:hanging="720"/>
        <w:rPr>
          <w:sz w:val="26"/>
          <w:szCs w:val="26"/>
        </w:rPr>
      </w:pPr>
    </w:p>
    <w:p w14:paraId="78972706" w14:textId="75D98E52" w:rsidR="00330BE2" w:rsidRPr="006A631A" w:rsidRDefault="00330BE2" w:rsidP="00F510B9">
      <w:pPr>
        <w:pStyle w:val="ListParagraph"/>
        <w:widowControl/>
        <w:numPr>
          <w:ilvl w:val="0"/>
          <w:numId w:val="5"/>
        </w:numPr>
        <w:ind w:left="2160" w:right="1440" w:hanging="720"/>
        <w:rPr>
          <w:sz w:val="26"/>
          <w:szCs w:val="26"/>
        </w:rPr>
      </w:pPr>
      <w:r w:rsidRPr="006A631A">
        <w:rPr>
          <w:b/>
          <w:bCs/>
          <w:sz w:val="26"/>
          <w:szCs w:val="26"/>
        </w:rPr>
        <w:t>Climate Business Plan</w:t>
      </w:r>
      <w:r w:rsidRPr="006A631A">
        <w:rPr>
          <w:sz w:val="26"/>
          <w:szCs w:val="26"/>
        </w:rPr>
        <w:t>: Whether PGW should prepare and submit to the Commission a Climate Business Plan to significantly reduce or eliminate greenhouse gas emissions prior to being granted a rate increase.</w:t>
      </w:r>
    </w:p>
    <w:p w14:paraId="2B2F8F25" w14:textId="5A933763" w:rsidR="00330BE2" w:rsidRPr="006A631A" w:rsidRDefault="00330BE2" w:rsidP="00F510B9">
      <w:pPr>
        <w:widowControl/>
        <w:ind w:left="2160" w:right="1440" w:hanging="720"/>
        <w:rPr>
          <w:sz w:val="26"/>
          <w:szCs w:val="26"/>
        </w:rPr>
      </w:pPr>
    </w:p>
    <w:p w14:paraId="5CC0AC9A" w14:textId="781AD646" w:rsidR="00330BE2" w:rsidRPr="006A631A" w:rsidRDefault="00330BE2" w:rsidP="00F510B9">
      <w:pPr>
        <w:pStyle w:val="ListParagraph"/>
        <w:widowControl/>
        <w:numPr>
          <w:ilvl w:val="0"/>
          <w:numId w:val="5"/>
        </w:numPr>
        <w:ind w:left="2160" w:right="1440" w:hanging="720"/>
        <w:rPr>
          <w:sz w:val="26"/>
          <w:szCs w:val="26"/>
        </w:rPr>
      </w:pPr>
      <w:r w:rsidRPr="006A631A">
        <w:rPr>
          <w:b/>
          <w:bCs/>
          <w:sz w:val="26"/>
          <w:szCs w:val="26"/>
        </w:rPr>
        <w:t>Customer Charges</w:t>
      </w:r>
      <w:r w:rsidRPr="006A631A">
        <w:rPr>
          <w:sz w:val="26"/>
          <w:szCs w:val="26"/>
        </w:rPr>
        <w:t>: Whether any increase in the customers charges should be granted.</w:t>
      </w:r>
    </w:p>
    <w:p w14:paraId="37767A26" w14:textId="77777777" w:rsidR="00836E79" w:rsidRPr="006A631A" w:rsidRDefault="00836E79" w:rsidP="00E03C9E">
      <w:pPr>
        <w:pStyle w:val="ListParagraph"/>
        <w:widowControl/>
        <w:spacing w:line="360" w:lineRule="auto"/>
        <w:rPr>
          <w:sz w:val="26"/>
          <w:szCs w:val="26"/>
        </w:rPr>
      </w:pPr>
    </w:p>
    <w:p w14:paraId="389B436D" w14:textId="61016318" w:rsidR="00836E79" w:rsidRPr="006A631A" w:rsidRDefault="00836E79" w:rsidP="00F510B9">
      <w:pPr>
        <w:widowControl/>
        <w:spacing w:line="360" w:lineRule="auto"/>
        <w:ind w:right="1440"/>
        <w:rPr>
          <w:sz w:val="26"/>
          <w:szCs w:val="26"/>
        </w:rPr>
      </w:pPr>
      <w:r w:rsidRPr="006A631A">
        <w:rPr>
          <w:sz w:val="26"/>
          <w:szCs w:val="26"/>
        </w:rPr>
        <w:t xml:space="preserve">Joint Petition at </w:t>
      </w:r>
      <w:r w:rsidR="001F4656" w:rsidRPr="006A631A">
        <w:rPr>
          <w:sz w:val="26"/>
          <w:szCs w:val="26"/>
        </w:rPr>
        <w:t xml:space="preserve">17-18 and </w:t>
      </w:r>
      <w:r w:rsidRPr="006A631A">
        <w:rPr>
          <w:sz w:val="26"/>
          <w:szCs w:val="26"/>
        </w:rPr>
        <w:t>¶ 46.</w:t>
      </w:r>
    </w:p>
    <w:p w14:paraId="00790757" w14:textId="3E1B447C" w:rsidR="00836E79" w:rsidRPr="006A631A" w:rsidRDefault="00836E79" w:rsidP="00F510B9">
      <w:pPr>
        <w:widowControl/>
        <w:spacing w:line="360" w:lineRule="auto"/>
        <w:ind w:right="1440"/>
        <w:rPr>
          <w:sz w:val="26"/>
          <w:szCs w:val="26"/>
        </w:rPr>
      </w:pPr>
    </w:p>
    <w:p w14:paraId="371F2583" w14:textId="65D9C2CE" w:rsidR="00836E79" w:rsidRPr="006A631A" w:rsidRDefault="001F4656" w:rsidP="00F510B9">
      <w:pPr>
        <w:widowControl/>
        <w:spacing w:line="360" w:lineRule="auto"/>
        <w:ind w:firstLine="1440"/>
        <w:rPr>
          <w:sz w:val="26"/>
          <w:szCs w:val="26"/>
        </w:rPr>
      </w:pPr>
      <w:r w:rsidRPr="006A631A">
        <w:rPr>
          <w:sz w:val="26"/>
          <w:szCs w:val="26"/>
        </w:rPr>
        <w:t>T</w:t>
      </w:r>
      <w:r w:rsidR="00915BD2" w:rsidRPr="006A631A">
        <w:rPr>
          <w:sz w:val="26"/>
          <w:szCs w:val="26"/>
        </w:rPr>
        <w:t xml:space="preserve">he Joint Petition was filed </w:t>
      </w:r>
      <w:r w:rsidRPr="006A631A">
        <w:rPr>
          <w:sz w:val="26"/>
          <w:szCs w:val="26"/>
        </w:rPr>
        <w:t>on August 26, 2020</w:t>
      </w:r>
      <w:r w:rsidR="00547BA5" w:rsidRPr="006A631A">
        <w:rPr>
          <w:sz w:val="26"/>
          <w:szCs w:val="26"/>
        </w:rPr>
        <w:t xml:space="preserve">, including </w:t>
      </w:r>
      <w:r w:rsidR="00915BD2" w:rsidRPr="006A631A">
        <w:rPr>
          <w:sz w:val="26"/>
          <w:szCs w:val="26"/>
        </w:rPr>
        <w:t xml:space="preserve">Joint Petitioners’ Statements in Support of the Partial Settlement attached </w:t>
      </w:r>
      <w:r w:rsidR="00547BA5" w:rsidRPr="006A631A">
        <w:rPr>
          <w:sz w:val="26"/>
          <w:szCs w:val="26"/>
        </w:rPr>
        <w:t>t</w:t>
      </w:r>
      <w:r w:rsidR="00915BD2" w:rsidRPr="006A631A">
        <w:rPr>
          <w:sz w:val="26"/>
          <w:szCs w:val="26"/>
        </w:rPr>
        <w:t>he</w:t>
      </w:r>
      <w:r w:rsidR="00547BA5" w:rsidRPr="006A631A">
        <w:rPr>
          <w:sz w:val="26"/>
          <w:szCs w:val="26"/>
        </w:rPr>
        <w:t>reto</w:t>
      </w:r>
      <w:r w:rsidR="00915BD2" w:rsidRPr="006A631A">
        <w:rPr>
          <w:sz w:val="26"/>
          <w:szCs w:val="26"/>
        </w:rPr>
        <w:t>.</w:t>
      </w:r>
      <w:r w:rsidR="00A63B03" w:rsidRPr="006A631A">
        <w:rPr>
          <w:sz w:val="26"/>
          <w:szCs w:val="26"/>
        </w:rPr>
        <w:t xml:space="preserve">  </w:t>
      </w:r>
      <w:r w:rsidR="00915BD2" w:rsidRPr="006A631A">
        <w:rPr>
          <w:sz w:val="26"/>
          <w:szCs w:val="26"/>
        </w:rPr>
        <w:t xml:space="preserve">TURN, </w:t>
      </w:r>
      <w:r w:rsidR="00915BD2" w:rsidRPr="006A631A">
        <w:rPr>
          <w:i/>
          <w:iCs/>
          <w:sz w:val="26"/>
          <w:szCs w:val="26"/>
        </w:rPr>
        <w:t>et</w:t>
      </w:r>
      <w:r w:rsidR="00260582">
        <w:rPr>
          <w:i/>
          <w:iCs/>
          <w:sz w:val="26"/>
          <w:szCs w:val="26"/>
        </w:rPr>
        <w:t> </w:t>
      </w:r>
      <w:r w:rsidR="00915BD2" w:rsidRPr="006A631A">
        <w:rPr>
          <w:i/>
          <w:iCs/>
          <w:sz w:val="26"/>
          <w:szCs w:val="26"/>
        </w:rPr>
        <w:t xml:space="preserve">al. </w:t>
      </w:r>
      <w:r w:rsidR="00915BD2" w:rsidRPr="006A631A">
        <w:rPr>
          <w:sz w:val="26"/>
          <w:szCs w:val="26"/>
        </w:rPr>
        <w:t xml:space="preserve">and CAUSE-PA </w:t>
      </w:r>
      <w:r w:rsidR="00547BA5" w:rsidRPr="006A631A">
        <w:rPr>
          <w:sz w:val="26"/>
          <w:szCs w:val="26"/>
        </w:rPr>
        <w:t xml:space="preserve">were not </w:t>
      </w:r>
      <w:r w:rsidR="00915BD2" w:rsidRPr="006A631A">
        <w:rPr>
          <w:sz w:val="26"/>
          <w:szCs w:val="26"/>
        </w:rPr>
        <w:t>sign</w:t>
      </w:r>
      <w:r w:rsidR="00547BA5" w:rsidRPr="006A631A">
        <w:rPr>
          <w:sz w:val="26"/>
          <w:szCs w:val="26"/>
        </w:rPr>
        <w:t>atories to</w:t>
      </w:r>
      <w:r w:rsidR="00915BD2" w:rsidRPr="006A631A">
        <w:rPr>
          <w:sz w:val="26"/>
          <w:szCs w:val="26"/>
        </w:rPr>
        <w:t xml:space="preserve"> the Partial Settlement </w:t>
      </w:r>
      <w:r w:rsidR="00547BA5" w:rsidRPr="006A631A">
        <w:rPr>
          <w:sz w:val="26"/>
          <w:szCs w:val="26"/>
        </w:rPr>
        <w:t xml:space="preserve">but </w:t>
      </w:r>
      <w:r w:rsidR="00915BD2" w:rsidRPr="006A631A">
        <w:rPr>
          <w:sz w:val="26"/>
          <w:szCs w:val="26"/>
        </w:rPr>
        <w:t xml:space="preserve">indicated </w:t>
      </w:r>
      <w:r w:rsidR="00547BA5" w:rsidRPr="006A631A">
        <w:rPr>
          <w:sz w:val="26"/>
          <w:szCs w:val="26"/>
        </w:rPr>
        <w:t xml:space="preserve">that they </w:t>
      </w:r>
      <w:r w:rsidR="00915BD2" w:rsidRPr="006A631A">
        <w:rPr>
          <w:sz w:val="26"/>
          <w:szCs w:val="26"/>
        </w:rPr>
        <w:t>do not oppose the Partial Settlement.</w:t>
      </w:r>
      <w:r w:rsidR="00971612" w:rsidRPr="006A631A">
        <w:rPr>
          <w:rStyle w:val="FootnoteReference"/>
          <w:sz w:val="26"/>
          <w:szCs w:val="26"/>
        </w:rPr>
        <w:footnoteReference w:id="9"/>
      </w:r>
      <w:r w:rsidR="00A63B03" w:rsidRPr="006A631A">
        <w:rPr>
          <w:sz w:val="26"/>
          <w:szCs w:val="26"/>
        </w:rPr>
        <w:t xml:space="preserve">  Joint Petition at 1.  </w:t>
      </w:r>
    </w:p>
    <w:p w14:paraId="25BDCE7E" w14:textId="676BA731" w:rsidR="00836E79" w:rsidRPr="006A631A" w:rsidRDefault="00836E79" w:rsidP="00F510B9">
      <w:pPr>
        <w:widowControl/>
        <w:spacing w:line="360" w:lineRule="auto"/>
        <w:ind w:right="1440"/>
        <w:rPr>
          <w:sz w:val="26"/>
          <w:szCs w:val="26"/>
        </w:rPr>
      </w:pPr>
    </w:p>
    <w:p w14:paraId="27F9E196" w14:textId="2178299C" w:rsidR="00D821C6" w:rsidRPr="006A631A" w:rsidRDefault="006E62A6" w:rsidP="00F510B9">
      <w:pPr>
        <w:widowControl/>
        <w:spacing w:line="360" w:lineRule="auto"/>
        <w:ind w:firstLine="1440"/>
        <w:rPr>
          <w:sz w:val="26"/>
          <w:szCs w:val="26"/>
        </w:rPr>
      </w:pPr>
      <w:r w:rsidRPr="006A631A">
        <w:rPr>
          <w:sz w:val="26"/>
          <w:szCs w:val="26"/>
        </w:rPr>
        <w:t>The remaining issues raised by the Environmental Stakeholders were reserved for briefing.  Accordingly, o</w:t>
      </w:r>
      <w:r w:rsidR="00D821C6" w:rsidRPr="006A631A">
        <w:rPr>
          <w:sz w:val="26"/>
          <w:szCs w:val="26"/>
        </w:rPr>
        <w:t>n August 26, 2020, PGW and the Environmental Stakeholders filed Main Briefs.  Reply Briefs were filed by PGW, the Environmental Stakeholders and I&amp;E on September 2, 2020</w:t>
      </w:r>
      <w:r w:rsidR="001F4656" w:rsidRPr="006A631A">
        <w:rPr>
          <w:sz w:val="26"/>
          <w:szCs w:val="26"/>
        </w:rPr>
        <w:t xml:space="preserve"> and the record closed</w:t>
      </w:r>
      <w:r w:rsidR="00D821C6" w:rsidRPr="006A631A">
        <w:rPr>
          <w:sz w:val="26"/>
          <w:szCs w:val="26"/>
        </w:rPr>
        <w:t>.</w:t>
      </w:r>
    </w:p>
    <w:p w14:paraId="542938A9" w14:textId="4C6F8323" w:rsidR="008C0879" w:rsidRPr="006A631A" w:rsidRDefault="008C0879" w:rsidP="00F510B9">
      <w:pPr>
        <w:widowControl/>
        <w:spacing w:line="360" w:lineRule="auto"/>
        <w:ind w:firstLine="1440"/>
        <w:rPr>
          <w:sz w:val="26"/>
          <w:szCs w:val="26"/>
        </w:rPr>
      </w:pPr>
    </w:p>
    <w:p w14:paraId="3AB56FFA" w14:textId="04181F26" w:rsidR="00E56D96" w:rsidRPr="006A631A" w:rsidRDefault="0068308D" w:rsidP="00F510B9">
      <w:pPr>
        <w:widowControl/>
        <w:spacing w:line="360" w:lineRule="auto"/>
        <w:ind w:firstLine="1440"/>
        <w:rPr>
          <w:sz w:val="26"/>
          <w:szCs w:val="26"/>
        </w:rPr>
      </w:pPr>
      <w:r w:rsidRPr="006A631A">
        <w:rPr>
          <w:sz w:val="26"/>
          <w:szCs w:val="26"/>
        </w:rPr>
        <w:t>T</w:t>
      </w:r>
      <w:r w:rsidR="008C0879" w:rsidRPr="006A631A">
        <w:rPr>
          <w:sz w:val="26"/>
          <w:szCs w:val="26"/>
        </w:rPr>
        <w:t>he ALJs’ Recommended Decision</w:t>
      </w:r>
      <w:r w:rsidRPr="006A631A">
        <w:rPr>
          <w:sz w:val="26"/>
          <w:szCs w:val="26"/>
        </w:rPr>
        <w:t xml:space="preserve"> was issued on October 5, 2020.  The </w:t>
      </w:r>
      <w:r w:rsidR="008C0879" w:rsidRPr="006A631A">
        <w:rPr>
          <w:sz w:val="26"/>
          <w:szCs w:val="26"/>
        </w:rPr>
        <w:t xml:space="preserve">ALJs recommended </w:t>
      </w:r>
      <w:r w:rsidR="00784525" w:rsidRPr="006A631A">
        <w:rPr>
          <w:sz w:val="26"/>
          <w:szCs w:val="26"/>
        </w:rPr>
        <w:t xml:space="preserve">approval of the Partial Settlement with </w:t>
      </w:r>
      <w:r w:rsidRPr="006A631A">
        <w:rPr>
          <w:sz w:val="26"/>
          <w:szCs w:val="26"/>
        </w:rPr>
        <w:t xml:space="preserve">the following </w:t>
      </w:r>
      <w:r w:rsidR="00784525" w:rsidRPr="006A631A">
        <w:rPr>
          <w:sz w:val="26"/>
          <w:szCs w:val="26"/>
        </w:rPr>
        <w:t>modifications</w:t>
      </w:r>
      <w:r w:rsidRPr="006A631A">
        <w:rPr>
          <w:sz w:val="26"/>
          <w:szCs w:val="26"/>
        </w:rPr>
        <w:t>:</w:t>
      </w:r>
      <w:r w:rsidR="00784525" w:rsidRPr="006A631A">
        <w:rPr>
          <w:sz w:val="26"/>
          <w:szCs w:val="26"/>
        </w:rPr>
        <w:t xml:space="preserve"> (1) the start of the phased-in rate increases be delayed by six months, beginning July </w:t>
      </w:r>
      <w:r w:rsidRPr="006A631A">
        <w:rPr>
          <w:sz w:val="26"/>
          <w:szCs w:val="26"/>
        </w:rPr>
        <w:t>of</w:t>
      </w:r>
      <w:r w:rsidR="00784525" w:rsidRPr="006A631A">
        <w:rPr>
          <w:sz w:val="26"/>
          <w:szCs w:val="26"/>
        </w:rPr>
        <w:t xml:space="preserve"> 2021; (2) PGW</w:t>
      </w:r>
      <w:r w:rsidR="006E2680" w:rsidRPr="006A631A">
        <w:rPr>
          <w:sz w:val="26"/>
          <w:szCs w:val="26"/>
        </w:rPr>
        <w:t xml:space="preserve"> should not file a general rate increase pursuant to 66 Pa. C.S. § 1308(d) </w:t>
      </w:r>
      <w:r w:rsidR="006E2680" w:rsidRPr="006A631A">
        <w:rPr>
          <w:sz w:val="26"/>
          <w:szCs w:val="26"/>
        </w:rPr>
        <w:lastRenderedPageBreak/>
        <w:t xml:space="preserve">any sooner than </w:t>
      </w:r>
      <w:r w:rsidR="00784525" w:rsidRPr="006A631A">
        <w:rPr>
          <w:sz w:val="26"/>
          <w:szCs w:val="26"/>
        </w:rPr>
        <w:t>January 1, 2023</w:t>
      </w:r>
      <w:r w:rsidR="006E2680" w:rsidRPr="006A631A">
        <w:rPr>
          <w:sz w:val="26"/>
          <w:szCs w:val="26"/>
        </w:rPr>
        <w:t>,</w:t>
      </w:r>
      <w:r w:rsidR="006E2680" w:rsidRPr="006A631A">
        <w:rPr>
          <w:color w:val="000000"/>
          <w:sz w:val="26"/>
          <w:szCs w:val="26"/>
        </w:rPr>
        <w:t xml:space="preserve"> </w:t>
      </w:r>
      <w:r w:rsidR="006E2680" w:rsidRPr="006A631A">
        <w:rPr>
          <w:sz w:val="26"/>
          <w:szCs w:val="26"/>
        </w:rPr>
        <w:t>absent emergency relief, tariff changes or as authorized by Commission order or industry-wide changes in regulatory policy which affect PGW’s rates</w:t>
      </w:r>
      <w:r w:rsidR="00784525" w:rsidRPr="006A631A">
        <w:rPr>
          <w:sz w:val="26"/>
          <w:szCs w:val="26"/>
        </w:rPr>
        <w:t xml:space="preserve">; and (3) </w:t>
      </w:r>
      <w:r w:rsidR="006E2680" w:rsidRPr="006A631A">
        <w:rPr>
          <w:sz w:val="26"/>
          <w:szCs w:val="26"/>
        </w:rPr>
        <w:t>no later than 90 days following entry of the Final Order in this matter, and biannually through 2022,</w:t>
      </w:r>
      <w:r w:rsidR="00784525" w:rsidRPr="006A631A">
        <w:rPr>
          <w:sz w:val="26"/>
          <w:szCs w:val="26"/>
        </w:rPr>
        <w:t xml:space="preserve"> PGW </w:t>
      </w:r>
      <w:r w:rsidR="00167068" w:rsidRPr="006A631A">
        <w:rPr>
          <w:sz w:val="26"/>
          <w:szCs w:val="26"/>
        </w:rPr>
        <w:t>must</w:t>
      </w:r>
      <w:r w:rsidRPr="006A631A">
        <w:rPr>
          <w:sz w:val="26"/>
          <w:szCs w:val="26"/>
        </w:rPr>
        <w:t xml:space="preserve"> </w:t>
      </w:r>
      <w:r w:rsidR="00784525" w:rsidRPr="006A631A">
        <w:rPr>
          <w:sz w:val="26"/>
          <w:szCs w:val="26"/>
        </w:rPr>
        <w:t xml:space="preserve">meet with </w:t>
      </w:r>
      <w:r w:rsidR="001E3E55" w:rsidRPr="006A631A">
        <w:rPr>
          <w:sz w:val="26"/>
          <w:szCs w:val="26"/>
        </w:rPr>
        <w:t xml:space="preserve">the </w:t>
      </w:r>
      <w:r w:rsidR="00784525" w:rsidRPr="006A631A">
        <w:rPr>
          <w:sz w:val="26"/>
          <w:szCs w:val="26"/>
        </w:rPr>
        <w:t xml:space="preserve">Commission’s Pipeline Safety Division to review PGW’s increasing costs of pipeline replacement and to develop a plan to reduce pipeline replacement costs and leaks.  </w:t>
      </w:r>
      <w:r w:rsidRPr="006A631A">
        <w:rPr>
          <w:sz w:val="26"/>
          <w:szCs w:val="26"/>
        </w:rPr>
        <w:t>R.D. at 2.</w:t>
      </w:r>
    </w:p>
    <w:p w14:paraId="4CF72722" w14:textId="77777777" w:rsidR="00E56D96" w:rsidRPr="006A631A" w:rsidRDefault="00E56D96" w:rsidP="00F510B9">
      <w:pPr>
        <w:widowControl/>
        <w:spacing w:line="360" w:lineRule="auto"/>
        <w:ind w:firstLine="1440"/>
        <w:rPr>
          <w:sz w:val="26"/>
          <w:szCs w:val="26"/>
        </w:rPr>
      </w:pPr>
    </w:p>
    <w:p w14:paraId="1E427FF6" w14:textId="46708BCB" w:rsidR="00836E79" w:rsidRPr="006A631A" w:rsidRDefault="00A0706F" w:rsidP="00F510B9">
      <w:pPr>
        <w:widowControl/>
        <w:spacing w:line="360" w:lineRule="auto"/>
        <w:ind w:firstLine="1440"/>
        <w:rPr>
          <w:sz w:val="26"/>
          <w:szCs w:val="26"/>
        </w:rPr>
      </w:pPr>
      <w:r w:rsidRPr="006A631A">
        <w:rPr>
          <w:sz w:val="26"/>
          <w:szCs w:val="26"/>
        </w:rPr>
        <w:t xml:space="preserve">With regard to the remaining litigated issues raised by the Environmental Stakeholders, </w:t>
      </w:r>
      <w:r w:rsidR="00E56D96" w:rsidRPr="006A631A">
        <w:rPr>
          <w:sz w:val="26"/>
          <w:szCs w:val="26"/>
        </w:rPr>
        <w:t>the ALJs found no merit in the argument that</w:t>
      </w:r>
      <w:r w:rsidR="00547BA5" w:rsidRPr="006A631A">
        <w:rPr>
          <w:sz w:val="26"/>
          <w:szCs w:val="26"/>
        </w:rPr>
        <w:t>:</w:t>
      </w:r>
      <w:r w:rsidR="00E56D96" w:rsidRPr="006A631A">
        <w:rPr>
          <w:sz w:val="26"/>
          <w:szCs w:val="26"/>
        </w:rPr>
        <w:t xml:space="preserve"> </w:t>
      </w:r>
      <w:r w:rsidR="00547BA5" w:rsidRPr="006A631A">
        <w:rPr>
          <w:sz w:val="26"/>
          <w:szCs w:val="26"/>
        </w:rPr>
        <w:t xml:space="preserve">1) </w:t>
      </w:r>
      <w:r w:rsidR="00E56D96" w:rsidRPr="006A631A">
        <w:rPr>
          <w:sz w:val="26"/>
          <w:szCs w:val="26"/>
        </w:rPr>
        <w:t>PGW’s requested rate increase is not sufficiently supported by the evidence</w:t>
      </w:r>
      <w:r w:rsidR="00547BA5" w:rsidRPr="006A631A">
        <w:rPr>
          <w:sz w:val="26"/>
          <w:szCs w:val="26"/>
        </w:rPr>
        <w:t>;</w:t>
      </w:r>
      <w:r w:rsidR="00E56D96" w:rsidRPr="006A631A">
        <w:rPr>
          <w:sz w:val="26"/>
          <w:szCs w:val="26"/>
        </w:rPr>
        <w:t xml:space="preserve"> and</w:t>
      </w:r>
      <w:r w:rsidR="00547BA5" w:rsidRPr="006A631A">
        <w:rPr>
          <w:sz w:val="26"/>
          <w:szCs w:val="26"/>
        </w:rPr>
        <w:t>, 2)</w:t>
      </w:r>
      <w:r w:rsidR="00E56D96" w:rsidRPr="006A631A">
        <w:rPr>
          <w:sz w:val="26"/>
          <w:szCs w:val="26"/>
        </w:rPr>
        <w:t xml:space="preserve"> the Commission should order PGW to submit a Climate Business Plan.  However, because the ALJs found that the Environmental Stakeholders met their burden in establishing that the Commission may consider environmental issues when determining whether a rate increase is just and reasonable, the ALJs recommended that the Commission direct PGW to include in its next </w:t>
      </w:r>
      <w:r w:rsidR="00547BA5" w:rsidRPr="006A631A">
        <w:rPr>
          <w:sz w:val="26"/>
          <w:szCs w:val="26"/>
        </w:rPr>
        <w:t xml:space="preserve">base </w:t>
      </w:r>
      <w:r w:rsidR="00E56D96" w:rsidRPr="006A631A">
        <w:rPr>
          <w:sz w:val="26"/>
          <w:szCs w:val="26"/>
        </w:rPr>
        <w:t>rate increase request</w:t>
      </w:r>
      <w:r w:rsidR="0068308D" w:rsidRPr="006A631A">
        <w:rPr>
          <w:sz w:val="26"/>
          <w:szCs w:val="26"/>
        </w:rPr>
        <w:t>,</w:t>
      </w:r>
      <w:r w:rsidR="00E56D96" w:rsidRPr="006A631A">
        <w:rPr>
          <w:sz w:val="26"/>
          <w:szCs w:val="26"/>
        </w:rPr>
        <w:t xml:space="preserve"> information on PGW’s planning regarding the impact of warming trends on PGW’s future infrastructure projects and costs.  </w:t>
      </w:r>
      <w:r w:rsidR="00E56D96" w:rsidRPr="006A631A">
        <w:rPr>
          <w:i/>
          <w:iCs/>
          <w:sz w:val="26"/>
          <w:szCs w:val="26"/>
        </w:rPr>
        <w:t>Id</w:t>
      </w:r>
      <w:r w:rsidR="00E56D96" w:rsidRPr="006A631A">
        <w:rPr>
          <w:sz w:val="26"/>
          <w:szCs w:val="26"/>
        </w:rPr>
        <w:t xml:space="preserve">. </w:t>
      </w:r>
    </w:p>
    <w:p w14:paraId="47C374BE" w14:textId="77777777" w:rsidR="00784525" w:rsidRPr="006A631A" w:rsidRDefault="00784525" w:rsidP="00F510B9">
      <w:pPr>
        <w:widowControl/>
        <w:spacing w:line="360" w:lineRule="auto"/>
        <w:ind w:firstLine="1440"/>
        <w:rPr>
          <w:sz w:val="26"/>
          <w:szCs w:val="26"/>
        </w:rPr>
      </w:pPr>
    </w:p>
    <w:p w14:paraId="110AF57D" w14:textId="3676F3F5" w:rsidR="0064437E" w:rsidRPr="006A631A" w:rsidRDefault="00B0705E" w:rsidP="00E03C9E">
      <w:pPr>
        <w:widowControl/>
        <w:spacing w:line="360" w:lineRule="auto"/>
        <w:ind w:firstLine="1440"/>
        <w:rPr>
          <w:sz w:val="26"/>
          <w:szCs w:val="26"/>
        </w:rPr>
      </w:pPr>
      <w:r w:rsidRPr="006A631A">
        <w:rPr>
          <w:sz w:val="26"/>
          <w:szCs w:val="26"/>
        </w:rPr>
        <w:t>As previously noted, I&amp;E</w:t>
      </w:r>
      <w:r w:rsidR="0064437E" w:rsidRPr="006A631A">
        <w:rPr>
          <w:sz w:val="26"/>
          <w:szCs w:val="26"/>
        </w:rPr>
        <w:t>, the OCA, PICGUG, and PGW</w:t>
      </w:r>
      <w:r w:rsidRPr="006A631A">
        <w:rPr>
          <w:sz w:val="26"/>
          <w:szCs w:val="26"/>
        </w:rPr>
        <w:t xml:space="preserve"> filed Exceptions on </w:t>
      </w:r>
      <w:r w:rsidR="0064437E" w:rsidRPr="006A631A">
        <w:rPr>
          <w:sz w:val="26"/>
          <w:szCs w:val="26"/>
        </w:rPr>
        <w:t>October 15</w:t>
      </w:r>
      <w:r w:rsidRPr="006A631A">
        <w:rPr>
          <w:sz w:val="26"/>
          <w:szCs w:val="26"/>
        </w:rPr>
        <w:t>, 2020</w:t>
      </w:r>
      <w:r w:rsidR="0064437E" w:rsidRPr="006A631A">
        <w:rPr>
          <w:sz w:val="26"/>
          <w:szCs w:val="26"/>
        </w:rPr>
        <w:t xml:space="preserve">.  Reply Exceptions were filed by the Environmental Stakeholders on October 20, 2020. </w:t>
      </w:r>
    </w:p>
    <w:p w14:paraId="5BB0012A" w14:textId="77777777" w:rsidR="0064437E" w:rsidRPr="006A631A" w:rsidRDefault="0064437E" w:rsidP="00E03C9E">
      <w:pPr>
        <w:widowControl/>
        <w:spacing w:line="360" w:lineRule="auto"/>
        <w:rPr>
          <w:sz w:val="26"/>
          <w:szCs w:val="26"/>
        </w:rPr>
      </w:pPr>
    </w:p>
    <w:p w14:paraId="6C34C186" w14:textId="2ECC132D" w:rsidR="00736196" w:rsidRPr="006A631A" w:rsidRDefault="00E234AB" w:rsidP="00E03C9E">
      <w:pPr>
        <w:pStyle w:val="Heading1"/>
        <w:rPr>
          <w:szCs w:val="26"/>
        </w:rPr>
      </w:pPr>
      <w:bookmarkStart w:id="6" w:name="_Toc55888182"/>
      <w:bookmarkStart w:id="7" w:name="_Hlk35439594"/>
      <w:r w:rsidRPr="006A631A">
        <w:rPr>
          <w:szCs w:val="26"/>
        </w:rPr>
        <w:t>Discussion</w:t>
      </w:r>
      <w:bookmarkEnd w:id="6"/>
    </w:p>
    <w:p w14:paraId="25EE3F90" w14:textId="77777777" w:rsidR="00E234AB" w:rsidRPr="006A631A" w:rsidRDefault="00E234AB" w:rsidP="00E03C9E">
      <w:pPr>
        <w:widowControl/>
        <w:spacing w:line="360" w:lineRule="auto"/>
        <w:rPr>
          <w:sz w:val="26"/>
          <w:szCs w:val="26"/>
        </w:rPr>
      </w:pPr>
    </w:p>
    <w:p w14:paraId="648D2C14" w14:textId="0854A9F7" w:rsidR="00E20E9B" w:rsidRPr="006A631A" w:rsidRDefault="00E234AB" w:rsidP="00E03C9E">
      <w:pPr>
        <w:pStyle w:val="Heading2"/>
        <w:widowControl/>
        <w:numPr>
          <w:ilvl w:val="2"/>
          <w:numId w:val="1"/>
        </w:numPr>
        <w:ind w:left="720"/>
      </w:pPr>
      <w:bookmarkStart w:id="8" w:name="_Toc55888183"/>
      <w:bookmarkEnd w:id="7"/>
      <w:r w:rsidRPr="006A631A">
        <w:t>Legal Standards</w:t>
      </w:r>
      <w:bookmarkEnd w:id="8"/>
    </w:p>
    <w:p w14:paraId="33091F48" w14:textId="77777777" w:rsidR="00E234AB" w:rsidRPr="006A631A" w:rsidRDefault="00E234AB" w:rsidP="00E03C9E">
      <w:pPr>
        <w:widowControl/>
        <w:spacing w:line="360" w:lineRule="auto"/>
        <w:rPr>
          <w:sz w:val="26"/>
          <w:szCs w:val="26"/>
        </w:rPr>
      </w:pPr>
    </w:p>
    <w:p w14:paraId="0DE7B305" w14:textId="4AC472CB" w:rsidR="00A455C4" w:rsidRPr="006A631A" w:rsidRDefault="00A455C4" w:rsidP="00E03C9E">
      <w:pPr>
        <w:widowControl/>
        <w:spacing w:line="360" w:lineRule="auto"/>
        <w:ind w:firstLine="1440"/>
        <w:rPr>
          <w:sz w:val="26"/>
          <w:szCs w:val="26"/>
        </w:rPr>
      </w:pPr>
      <w:r w:rsidRPr="006A631A">
        <w:rPr>
          <w:sz w:val="26"/>
          <w:szCs w:val="26"/>
        </w:rPr>
        <w:t>As a preliminary matter, we note that the ALJs made seventy-two Findings of Fact and reached thirteen Conclusions of Law.  R.D. at 13-23; 97-99.  We will adopt the Findings of Fact and Conclusions of Law unless they are overruled expressly or by necessary implication.</w:t>
      </w:r>
    </w:p>
    <w:p w14:paraId="76785165" w14:textId="32EDB6FC" w:rsidR="00A455C4" w:rsidRPr="006A631A" w:rsidRDefault="00A455C4" w:rsidP="00F510B9">
      <w:pPr>
        <w:widowControl/>
        <w:spacing w:line="360" w:lineRule="auto"/>
        <w:ind w:firstLine="1440"/>
        <w:rPr>
          <w:sz w:val="26"/>
          <w:szCs w:val="26"/>
        </w:rPr>
      </w:pPr>
      <w:r w:rsidRPr="006A631A">
        <w:rPr>
          <w:sz w:val="26"/>
          <w:szCs w:val="26"/>
        </w:rPr>
        <w:lastRenderedPageBreak/>
        <w:t xml:space="preserve">Additionally, as we proceed in our review of the various positions espoused in this proceeding, we are not required to consider expressly or at great length </w:t>
      </w:r>
      <w:proofErr w:type="gramStart"/>
      <w:r w:rsidRPr="006A631A">
        <w:rPr>
          <w:sz w:val="26"/>
          <w:szCs w:val="26"/>
        </w:rPr>
        <w:t>each and every</w:t>
      </w:r>
      <w:proofErr w:type="gramEnd"/>
      <w:r w:rsidRPr="006A631A">
        <w:rPr>
          <w:sz w:val="26"/>
          <w:szCs w:val="26"/>
        </w:rPr>
        <w:t xml:space="preserve"> contention raised by a party to our proceedings.  </w:t>
      </w:r>
      <w:r w:rsidRPr="006A631A">
        <w:rPr>
          <w:i/>
          <w:sz w:val="26"/>
          <w:szCs w:val="26"/>
        </w:rPr>
        <w:t>University of Pennsylvania</w:t>
      </w:r>
      <w:r w:rsidRPr="006A631A">
        <w:rPr>
          <w:sz w:val="26"/>
          <w:szCs w:val="26"/>
        </w:rPr>
        <w:t xml:space="preserve"> </w:t>
      </w:r>
      <w:r w:rsidRPr="006A631A">
        <w:rPr>
          <w:i/>
          <w:sz w:val="26"/>
          <w:szCs w:val="26"/>
        </w:rPr>
        <w:t>v. Pa.</w:t>
      </w:r>
      <w:r w:rsidR="00E03C9E" w:rsidRPr="006A631A">
        <w:rPr>
          <w:i/>
          <w:sz w:val="26"/>
          <w:szCs w:val="26"/>
        </w:rPr>
        <w:t> </w:t>
      </w:r>
      <w:r w:rsidRPr="006A631A">
        <w:rPr>
          <w:i/>
          <w:sz w:val="26"/>
          <w:szCs w:val="26"/>
        </w:rPr>
        <w:t>PUC</w:t>
      </w:r>
      <w:r w:rsidRPr="006A631A">
        <w:rPr>
          <w:sz w:val="26"/>
          <w:szCs w:val="26"/>
        </w:rPr>
        <w:t xml:space="preserve">, 485 A.2d 1217, 1222 (Pa. Cmwlth. 1984).  Any exception or argument that is not specifically addressed herein shall be deemed to have been duly considered and denied without further discussion. </w:t>
      </w:r>
    </w:p>
    <w:p w14:paraId="00D793A5" w14:textId="77777777" w:rsidR="00A455C4" w:rsidRPr="006A631A" w:rsidRDefault="00A455C4" w:rsidP="00F510B9">
      <w:pPr>
        <w:widowControl/>
        <w:spacing w:line="360" w:lineRule="auto"/>
        <w:ind w:firstLine="1440"/>
        <w:rPr>
          <w:sz w:val="26"/>
          <w:szCs w:val="26"/>
        </w:rPr>
      </w:pPr>
    </w:p>
    <w:p w14:paraId="3FAB6AB3" w14:textId="06B05D89" w:rsidR="00C912BF" w:rsidRPr="006A631A" w:rsidRDefault="00A455C4" w:rsidP="00F510B9">
      <w:pPr>
        <w:widowControl/>
        <w:kinsoku w:val="0"/>
        <w:overflowPunct w:val="0"/>
        <w:spacing w:line="360" w:lineRule="auto"/>
        <w:ind w:right="72" w:firstLine="1440"/>
        <w:textAlignment w:val="baseline"/>
        <w:rPr>
          <w:sz w:val="26"/>
          <w:szCs w:val="26"/>
        </w:rPr>
      </w:pPr>
      <w:r w:rsidRPr="006A631A">
        <w:rPr>
          <w:sz w:val="26"/>
          <w:szCs w:val="26"/>
        </w:rPr>
        <w:t xml:space="preserve">Moreover, Section 1308(d) of the Code requires that we render a final decision granting or denying, in whole or in part, the general rate increase requested by a public utility, within a general time frame not to exceed seven months from the proposed effective date of the utility’s proposed tariff supplement.  </w:t>
      </w:r>
      <w:r w:rsidRPr="006A631A">
        <w:rPr>
          <w:i/>
          <w:sz w:val="26"/>
          <w:szCs w:val="26"/>
        </w:rPr>
        <w:t xml:space="preserve">See </w:t>
      </w:r>
      <w:r w:rsidRPr="006A631A">
        <w:rPr>
          <w:sz w:val="26"/>
          <w:szCs w:val="26"/>
        </w:rPr>
        <w:t xml:space="preserve">66 Pa. C.S. § 1308(d); </w:t>
      </w:r>
      <w:r w:rsidRPr="006A631A">
        <w:rPr>
          <w:i/>
          <w:sz w:val="26"/>
          <w:szCs w:val="26"/>
        </w:rPr>
        <w:t>see also</w:t>
      </w:r>
      <w:r w:rsidR="002D7079">
        <w:rPr>
          <w:sz w:val="26"/>
          <w:szCs w:val="26"/>
        </w:rPr>
        <w:t xml:space="preserve">, </w:t>
      </w:r>
      <w:r w:rsidRPr="006A631A">
        <w:rPr>
          <w:sz w:val="26"/>
          <w:szCs w:val="26"/>
        </w:rPr>
        <w:t xml:space="preserve">52 Pa. Code § 53.31. </w:t>
      </w:r>
      <w:r w:rsidR="002F3F80" w:rsidRPr="006A631A">
        <w:rPr>
          <w:sz w:val="26"/>
          <w:szCs w:val="26"/>
        </w:rPr>
        <w:t xml:space="preserve"> In accordance with the statutory </w:t>
      </w:r>
      <w:r w:rsidR="00C912BF" w:rsidRPr="006A631A">
        <w:rPr>
          <w:sz w:val="26"/>
          <w:szCs w:val="26"/>
        </w:rPr>
        <w:t>mandate</w:t>
      </w:r>
      <w:r w:rsidR="002F3F80" w:rsidRPr="006A631A">
        <w:rPr>
          <w:sz w:val="26"/>
          <w:szCs w:val="26"/>
        </w:rPr>
        <w:t xml:space="preserve">, the Commission does not unilaterally possess the ability to implement a rate increase later than the statutorily proscribed seven-month period, except upon agreement of the parties.  </w:t>
      </w:r>
      <w:r w:rsidR="00C912BF" w:rsidRPr="006A631A">
        <w:rPr>
          <w:sz w:val="26"/>
          <w:szCs w:val="26"/>
        </w:rPr>
        <w:t>In that regard, t</w:t>
      </w:r>
      <w:r w:rsidR="002F3F80" w:rsidRPr="006A631A">
        <w:rPr>
          <w:sz w:val="26"/>
          <w:szCs w:val="26"/>
        </w:rPr>
        <w:t>he Pennsylvania appellate courts have held that the appropriate time for rates to go into effect was at the end of the statutorily proscribed suspension period and not the date of a compliance filing, and going beyond the statutory seven month deadline violated Section 1308(d) of the Code.</w:t>
      </w:r>
      <w:r w:rsidRPr="006A631A">
        <w:rPr>
          <w:sz w:val="26"/>
          <w:szCs w:val="26"/>
        </w:rPr>
        <w:t xml:space="preserve"> </w:t>
      </w:r>
      <w:r w:rsidR="002F3F80" w:rsidRPr="006A631A">
        <w:rPr>
          <w:i/>
          <w:iCs/>
          <w:sz w:val="26"/>
          <w:szCs w:val="26"/>
        </w:rPr>
        <w:t>See Bell Telephone Co. v. Pa. PUC</w:t>
      </w:r>
      <w:r w:rsidR="002F3F80" w:rsidRPr="006A631A">
        <w:rPr>
          <w:sz w:val="26"/>
          <w:szCs w:val="26"/>
        </w:rPr>
        <w:t>, 452 A.2d 86 (Pa.</w:t>
      </w:r>
      <w:r w:rsidR="00E03C9E" w:rsidRPr="006A631A">
        <w:rPr>
          <w:sz w:val="26"/>
          <w:szCs w:val="26"/>
        </w:rPr>
        <w:t> </w:t>
      </w:r>
      <w:r w:rsidR="002F3F80" w:rsidRPr="006A631A">
        <w:rPr>
          <w:sz w:val="26"/>
          <w:szCs w:val="26"/>
        </w:rPr>
        <w:t>Cmwlth. 1982)</w:t>
      </w:r>
      <w:r w:rsidR="00A31E07" w:rsidRPr="006A631A">
        <w:rPr>
          <w:sz w:val="26"/>
          <w:szCs w:val="26"/>
        </w:rPr>
        <w:t xml:space="preserve"> (</w:t>
      </w:r>
      <w:r w:rsidR="00A31E07" w:rsidRPr="006A631A">
        <w:rPr>
          <w:i/>
          <w:iCs/>
          <w:sz w:val="26"/>
          <w:szCs w:val="26"/>
        </w:rPr>
        <w:t>Bell Telephone</w:t>
      </w:r>
      <w:r w:rsidR="00A31E07" w:rsidRPr="006A631A">
        <w:rPr>
          <w:sz w:val="26"/>
          <w:szCs w:val="26"/>
        </w:rPr>
        <w:t>)</w:t>
      </w:r>
      <w:r w:rsidR="002F3F80" w:rsidRPr="006A631A">
        <w:rPr>
          <w:sz w:val="26"/>
          <w:szCs w:val="26"/>
        </w:rPr>
        <w:t xml:space="preserve">; </w:t>
      </w:r>
      <w:r w:rsidR="002F3F80" w:rsidRPr="006A631A">
        <w:rPr>
          <w:i/>
          <w:iCs/>
          <w:sz w:val="26"/>
          <w:szCs w:val="26"/>
        </w:rPr>
        <w:t>Joseph Horne Co. v. Pa.</w:t>
      </w:r>
      <w:r w:rsidR="00C912BF" w:rsidRPr="006A631A">
        <w:rPr>
          <w:i/>
          <w:iCs/>
          <w:sz w:val="26"/>
          <w:szCs w:val="26"/>
        </w:rPr>
        <w:t xml:space="preserve"> </w:t>
      </w:r>
      <w:r w:rsidR="002F3F80" w:rsidRPr="006A631A">
        <w:rPr>
          <w:i/>
          <w:iCs/>
          <w:sz w:val="26"/>
          <w:szCs w:val="26"/>
        </w:rPr>
        <w:t>PUC</w:t>
      </w:r>
      <w:r w:rsidR="002F3F80" w:rsidRPr="006A631A">
        <w:rPr>
          <w:sz w:val="26"/>
          <w:szCs w:val="26"/>
        </w:rPr>
        <w:t>,</w:t>
      </w:r>
      <w:r w:rsidR="002F3F80" w:rsidRPr="006A631A">
        <w:rPr>
          <w:i/>
          <w:iCs/>
          <w:sz w:val="26"/>
          <w:szCs w:val="26"/>
        </w:rPr>
        <w:t xml:space="preserve"> </w:t>
      </w:r>
      <w:r w:rsidR="002F3F80" w:rsidRPr="006A631A">
        <w:rPr>
          <w:sz w:val="26"/>
          <w:szCs w:val="26"/>
        </w:rPr>
        <w:t>485 A.2d 1105 (Pa.</w:t>
      </w:r>
      <w:r w:rsidR="00E03C9E" w:rsidRPr="006A631A">
        <w:rPr>
          <w:sz w:val="26"/>
          <w:szCs w:val="26"/>
        </w:rPr>
        <w:t> </w:t>
      </w:r>
      <w:r w:rsidR="002F3F80" w:rsidRPr="006A631A">
        <w:rPr>
          <w:sz w:val="26"/>
          <w:szCs w:val="26"/>
        </w:rPr>
        <w:t>1984)</w:t>
      </w:r>
      <w:r w:rsidR="00A31E07" w:rsidRPr="006A631A">
        <w:rPr>
          <w:sz w:val="26"/>
          <w:szCs w:val="26"/>
        </w:rPr>
        <w:t xml:space="preserve"> (</w:t>
      </w:r>
      <w:r w:rsidR="00A31E07" w:rsidRPr="006A631A">
        <w:rPr>
          <w:i/>
          <w:iCs/>
          <w:sz w:val="26"/>
          <w:szCs w:val="26"/>
        </w:rPr>
        <w:t>Joseph Horne)</w:t>
      </w:r>
      <w:r w:rsidR="002F3F80" w:rsidRPr="006A631A">
        <w:rPr>
          <w:sz w:val="26"/>
          <w:szCs w:val="26"/>
        </w:rPr>
        <w:t xml:space="preserve">.  </w:t>
      </w:r>
    </w:p>
    <w:p w14:paraId="7CB2CF6C" w14:textId="77777777" w:rsidR="00C912BF" w:rsidRPr="006A631A" w:rsidRDefault="00C912BF" w:rsidP="00F510B9">
      <w:pPr>
        <w:widowControl/>
        <w:kinsoku w:val="0"/>
        <w:overflowPunct w:val="0"/>
        <w:spacing w:line="360" w:lineRule="auto"/>
        <w:ind w:right="72"/>
        <w:textAlignment w:val="baseline"/>
        <w:rPr>
          <w:sz w:val="26"/>
          <w:szCs w:val="26"/>
        </w:rPr>
      </w:pPr>
    </w:p>
    <w:p w14:paraId="3F6127EF" w14:textId="2E292D12" w:rsidR="002F3F80" w:rsidRPr="006A631A" w:rsidRDefault="002F3F80" w:rsidP="00F510B9">
      <w:pPr>
        <w:widowControl/>
        <w:kinsoku w:val="0"/>
        <w:overflowPunct w:val="0"/>
        <w:spacing w:line="360" w:lineRule="auto"/>
        <w:ind w:right="72" w:firstLine="1440"/>
        <w:textAlignment w:val="baseline"/>
        <w:rPr>
          <w:sz w:val="26"/>
          <w:szCs w:val="26"/>
        </w:rPr>
      </w:pPr>
      <w:r w:rsidRPr="006A631A">
        <w:rPr>
          <w:sz w:val="26"/>
          <w:szCs w:val="26"/>
        </w:rPr>
        <w:t xml:space="preserve">More recently, the Commission has acknowledged that, while it may have the ability to alter litigation deadlines as a result of the Governor’s Proclamation of a Disaster Emergency and the Commission’s subsequent Emergency Order, it does not </w:t>
      </w:r>
      <w:r w:rsidRPr="006A631A">
        <w:rPr>
          <w:sz w:val="26"/>
          <w:szCs w:val="26"/>
        </w:rPr>
        <w:lastRenderedPageBreak/>
        <w:t>have the authority to alter a utility’s substantive right of a rate increase going into effect at the end of the seven-month deadline.</w:t>
      </w:r>
      <w:r w:rsidRPr="006A631A">
        <w:rPr>
          <w:rStyle w:val="FootnoteReference"/>
          <w:sz w:val="26"/>
          <w:szCs w:val="26"/>
        </w:rPr>
        <w:footnoteReference w:id="10"/>
      </w:r>
    </w:p>
    <w:p w14:paraId="7FFA0E9C" w14:textId="77777777" w:rsidR="00A455C4" w:rsidRPr="006A631A" w:rsidRDefault="00A455C4" w:rsidP="00E03C9E">
      <w:pPr>
        <w:widowControl/>
        <w:spacing w:line="360" w:lineRule="auto"/>
        <w:rPr>
          <w:sz w:val="26"/>
          <w:szCs w:val="26"/>
        </w:rPr>
      </w:pPr>
    </w:p>
    <w:p w14:paraId="16CCC88D" w14:textId="41AA554B" w:rsidR="00326449" w:rsidRPr="006A631A" w:rsidRDefault="00326449" w:rsidP="000B4724">
      <w:pPr>
        <w:pStyle w:val="Heading2"/>
        <w:widowControl/>
        <w:numPr>
          <w:ilvl w:val="2"/>
          <w:numId w:val="1"/>
        </w:numPr>
        <w:spacing w:line="240" w:lineRule="auto"/>
        <w:ind w:left="720"/>
      </w:pPr>
      <w:bookmarkStart w:id="9" w:name="_Toc55888184"/>
      <w:r w:rsidRPr="006A631A">
        <w:t>Settlements Must Serve the Public Interest</w:t>
      </w:r>
      <w:r w:rsidR="009B6CDF" w:rsidRPr="006A631A">
        <w:t xml:space="preserve"> and be Supported </w:t>
      </w:r>
      <w:proofErr w:type="gramStart"/>
      <w:r w:rsidR="009B6CDF" w:rsidRPr="006A631A">
        <w:t>By</w:t>
      </w:r>
      <w:proofErr w:type="gramEnd"/>
      <w:r w:rsidR="009B6CDF" w:rsidRPr="006A631A">
        <w:t xml:space="preserve"> Substantial</w:t>
      </w:r>
      <w:r w:rsidR="00277CC7">
        <w:t> </w:t>
      </w:r>
      <w:r w:rsidR="009B6CDF" w:rsidRPr="006A631A">
        <w:t>Evidence</w:t>
      </w:r>
      <w:bookmarkEnd w:id="9"/>
    </w:p>
    <w:p w14:paraId="490A76D5" w14:textId="77777777" w:rsidR="00326449" w:rsidRPr="006A631A" w:rsidRDefault="00326449" w:rsidP="00E03C9E">
      <w:pPr>
        <w:keepNext/>
        <w:keepLines/>
        <w:widowControl/>
        <w:spacing w:line="480" w:lineRule="auto"/>
        <w:rPr>
          <w:sz w:val="26"/>
          <w:szCs w:val="26"/>
        </w:rPr>
      </w:pPr>
    </w:p>
    <w:p w14:paraId="4C4586B4" w14:textId="720590C3" w:rsidR="00C912BF" w:rsidRPr="006A631A" w:rsidRDefault="00C912BF" w:rsidP="00F510B9">
      <w:pPr>
        <w:keepNext/>
        <w:keepLines/>
        <w:widowControl/>
        <w:spacing w:line="360" w:lineRule="auto"/>
        <w:ind w:firstLine="1440"/>
        <w:contextualSpacing/>
        <w:rPr>
          <w:sz w:val="26"/>
          <w:szCs w:val="26"/>
        </w:rPr>
      </w:pPr>
      <w:r w:rsidRPr="006A631A">
        <w:rPr>
          <w:sz w:val="26"/>
          <w:szCs w:val="26"/>
        </w:rPr>
        <w:t xml:space="preserve">In the instant matter, the Joint Petitioners reached an unopposed compromise on </w:t>
      </w:r>
      <w:proofErr w:type="gramStart"/>
      <w:r w:rsidRPr="006A631A">
        <w:rPr>
          <w:sz w:val="26"/>
          <w:szCs w:val="26"/>
        </w:rPr>
        <w:t>all of</w:t>
      </w:r>
      <w:proofErr w:type="gramEnd"/>
      <w:r w:rsidRPr="006A631A">
        <w:rPr>
          <w:sz w:val="26"/>
          <w:szCs w:val="26"/>
        </w:rPr>
        <w:t xml:space="preserve"> the issues, except for three issues raised by the Environmental Stakeholders.  The Joint Petition submitted for our review and approval set forth the terms and conditions of the Partial Settlement, which the Joint Petitioners requested be approved in its entirety without modification. </w:t>
      </w:r>
    </w:p>
    <w:p w14:paraId="1191AF8D" w14:textId="77777777" w:rsidR="00C912BF" w:rsidRPr="006A631A" w:rsidRDefault="00C912BF" w:rsidP="00F510B9">
      <w:pPr>
        <w:widowControl/>
        <w:spacing w:line="360" w:lineRule="auto"/>
        <w:ind w:firstLine="1440"/>
        <w:contextualSpacing/>
        <w:rPr>
          <w:sz w:val="26"/>
          <w:szCs w:val="26"/>
        </w:rPr>
      </w:pPr>
    </w:p>
    <w:p w14:paraId="4564E0C2" w14:textId="79B1CBD0" w:rsidR="00326449" w:rsidRPr="006A631A" w:rsidRDefault="00326449" w:rsidP="00F510B9">
      <w:pPr>
        <w:widowControl/>
        <w:spacing w:line="360" w:lineRule="auto"/>
        <w:ind w:firstLine="1440"/>
        <w:contextualSpacing/>
        <w:rPr>
          <w:sz w:val="26"/>
          <w:szCs w:val="26"/>
        </w:rPr>
      </w:pPr>
      <w:r w:rsidRPr="006A631A">
        <w:rPr>
          <w:sz w:val="26"/>
          <w:szCs w:val="26"/>
        </w:rPr>
        <w:t xml:space="preserve">The policy of the Commission is to encourage settlements, and the Commission has stated that settlement rates are often preferable to those achieved at the conclusion of a fully litigated proceeding.  </w:t>
      </w:r>
      <w:r w:rsidR="00C912BF" w:rsidRPr="006A631A">
        <w:rPr>
          <w:i/>
          <w:iCs/>
          <w:sz w:val="26"/>
          <w:szCs w:val="26"/>
        </w:rPr>
        <w:t xml:space="preserve">See </w:t>
      </w:r>
      <w:r w:rsidRPr="006A631A">
        <w:rPr>
          <w:sz w:val="26"/>
          <w:szCs w:val="26"/>
        </w:rPr>
        <w:t xml:space="preserve">52 Pa. Code §§ 5.231, 69.401.  A full settlement of all the issues in a proceeding eliminates the time, effort and expense that otherwise would have been used in litigating the proceeding, while a partial settlement may significantly reduce the time, effort and expense of litigating a case.  </w:t>
      </w:r>
      <w:r w:rsidR="00847F78" w:rsidRPr="006A631A">
        <w:rPr>
          <w:sz w:val="26"/>
          <w:szCs w:val="26"/>
        </w:rPr>
        <w:t>Rate cases, in general, are expensive to litigate and settlements may reduce a utility’s rate case expense; an expense which, if reasonable and prudently incurred, is entitled to be recovered from customers through rates approved by the Commission, as a cost of regulation.</w:t>
      </w:r>
      <w:r w:rsidR="00D03852" w:rsidRPr="006A631A">
        <w:rPr>
          <w:sz w:val="26"/>
          <w:szCs w:val="26"/>
        </w:rPr>
        <w:t xml:space="preserve"> </w:t>
      </w:r>
      <w:r w:rsidR="00847F78" w:rsidRPr="006A631A">
        <w:rPr>
          <w:sz w:val="26"/>
          <w:szCs w:val="26"/>
        </w:rPr>
        <w:t xml:space="preserve"> Therefore, a</w:t>
      </w:r>
      <w:r w:rsidRPr="006A631A">
        <w:rPr>
          <w:sz w:val="26"/>
          <w:szCs w:val="26"/>
        </w:rPr>
        <w:t xml:space="preserve"> settlement, whether whole or partial, benefits not only the named parties directly, but, indirectly, </w:t>
      </w:r>
      <w:proofErr w:type="gramStart"/>
      <w:r w:rsidRPr="006A631A">
        <w:rPr>
          <w:sz w:val="26"/>
          <w:szCs w:val="26"/>
        </w:rPr>
        <w:t xml:space="preserve">all </w:t>
      </w:r>
      <w:r w:rsidR="005A7001" w:rsidRPr="006A631A">
        <w:rPr>
          <w:sz w:val="26"/>
          <w:szCs w:val="26"/>
        </w:rPr>
        <w:t>of</w:t>
      </w:r>
      <w:proofErr w:type="gramEnd"/>
      <w:r w:rsidR="005A7001" w:rsidRPr="006A631A">
        <w:rPr>
          <w:sz w:val="26"/>
          <w:szCs w:val="26"/>
        </w:rPr>
        <w:t xml:space="preserve"> the </w:t>
      </w:r>
      <w:r w:rsidRPr="006A631A">
        <w:rPr>
          <w:sz w:val="26"/>
          <w:szCs w:val="26"/>
        </w:rPr>
        <w:t xml:space="preserve">customers of the case.  </w:t>
      </w:r>
      <w:r w:rsidR="00847F78" w:rsidRPr="006A631A">
        <w:rPr>
          <w:sz w:val="26"/>
          <w:szCs w:val="26"/>
        </w:rPr>
        <w:t xml:space="preserve">It is for these reasons, that settlements are encouraged by long-standing Commission policy. </w:t>
      </w:r>
    </w:p>
    <w:p w14:paraId="4A0F3922" w14:textId="77777777" w:rsidR="00326449" w:rsidRPr="006A631A" w:rsidRDefault="00326449" w:rsidP="00F510B9">
      <w:pPr>
        <w:widowControl/>
        <w:suppressAutoHyphens/>
        <w:spacing w:line="360" w:lineRule="auto"/>
        <w:ind w:firstLine="1440"/>
        <w:contextualSpacing/>
        <w:rPr>
          <w:sz w:val="26"/>
          <w:szCs w:val="26"/>
        </w:rPr>
      </w:pPr>
    </w:p>
    <w:p w14:paraId="450FB234" w14:textId="6EBE65D5" w:rsidR="00326449" w:rsidRPr="006A631A" w:rsidRDefault="00326449" w:rsidP="00F510B9">
      <w:pPr>
        <w:widowControl/>
        <w:spacing w:line="360" w:lineRule="auto"/>
        <w:ind w:firstLine="1440"/>
        <w:contextualSpacing/>
        <w:rPr>
          <w:sz w:val="26"/>
          <w:szCs w:val="26"/>
        </w:rPr>
      </w:pPr>
      <w:r w:rsidRPr="006A631A">
        <w:rPr>
          <w:sz w:val="26"/>
          <w:szCs w:val="26"/>
        </w:rPr>
        <w:lastRenderedPageBreak/>
        <w:t xml:space="preserve">The </w:t>
      </w:r>
      <w:r w:rsidR="00847F78" w:rsidRPr="006A631A">
        <w:rPr>
          <w:sz w:val="26"/>
          <w:szCs w:val="26"/>
        </w:rPr>
        <w:t xml:space="preserve">ALJs noted that the </w:t>
      </w:r>
      <w:r w:rsidRPr="006A631A">
        <w:rPr>
          <w:sz w:val="26"/>
          <w:szCs w:val="26"/>
        </w:rPr>
        <w:t xml:space="preserve">Partial Settlement is a “black box” settlement.  This means that the parties were not able to agree on </w:t>
      </w:r>
      <w:proofErr w:type="gramStart"/>
      <w:r w:rsidRPr="006A631A">
        <w:rPr>
          <w:sz w:val="26"/>
          <w:szCs w:val="26"/>
        </w:rPr>
        <w:t>each and every</w:t>
      </w:r>
      <w:proofErr w:type="gramEnd"/>
      <w:r w:rsidRPr="006A631A">
        <w:rPr>
          <w:sz w:val="26"/>
          <w:szCs w:val="26"/>
        </w:rPr>
        <w:t xml:space="preserve"> element of the revenue requirement calculation.  The Commission has recognized that “black box” settlements can serve an important purpose in reaching consensus in rate cases:</w:t>
      </w:r>
    </w:p>
    <w:p w14:paraId="06346177" w14:textId="77777777" w:rsidR="00326449" w:rsidRPr="006A631A" w:rsidRDefault="00326449" w:rsidP="00F510B9">
      <w:pPr>
        <w:widowControl/>
        <w:ind w:left="1440" w:right="1440"/>
        <w:contextualSpacing/>
        <w:rPr>
          <w:sz w:val="26"/>
          <w:szCs w:val="26"/>
        </w:rPr>
      </w:pPr>
    </w:p>
    <w:p w14:paraId="228BCD47" w14:textId="77777777" w:rsidR="00326449" w:rsidRPr="006A631A" w:rsidRDefault="00326449" w:rsidP="00F510B9">
      <w:pPr>
        <w:widowControl/>
        <w:ind w:left="1440" w:right="1440"/>
        <w:contextualSpacing/>
        <w:rPr>
          <w:sz w:val="26"/>
          <w:szCs w:val="26"/>
        </w:rPr>
      </w:pPr>
      <w:r w:rsidRPr="006A631A">
        <w:rPr>
          <w:sz w:val="26"/>
          <w:szCs w:val="26"/>
        </w:rPr>
        <w:t xml:space="preserve">We have historically permitted the use of “black box” settlements as a means of promoting settlement among the parties in contentious base rate proceedings.  Settlement of rate cases saves a significant amount of time and expense for customers, companies, and the Commission and often results in alternatives that may not have been realized during the litigation process.  Determining a company’s revenue requirement is a calculation involving many complex and interrelated adjustments that affect expenses, depreciation, rate base, </w:t>
      </w:r>
      <w:proofErr w:type="gramStart"/>
      <w:r w:rsidRPr="006A631A">
        <w:rPr>
          <w:sz w:val="26"/>
          <w:szCs w:val="26"/>
        </w:rPr>
        <w:t>taxes</w:t>
      </w:r>
      <w:proofErr w:type="gramEnd"/>
      <w:r w:rsidRPr="006A631A">
        <w:rPr>
          <w:sz w:val="26"/>
          <w:szCs w:val="26"/>
        </w:rPr>
        <w:t xml:space="preserve"> and the company’s cost of capital.  Reaching an agreement between various parties on each component of a rate increase can be difficult and impractical in many cases.</w:t>
      </w:r>
      <w:r w:rsidRPr="006A631A">
        <w:rPr>
          <w:sz w:val="26"/>
          <w:szCs w:val="26"/>
          <w:vertAlign w:val="superscript"/>
        </w:rPr>
        <w:footnoteReference w:id="11"/>
      </w:r>
      <w:r w:rsidRPr="006A631A">
        <w:rPr>
          <w:sz w:val="26"/>
          <w:szCs w:val="26"/>
        </w:rPr>
        <w:t xml:space="preserve">  </w:t>
      </w:r>
    </w:p>
    <w:p w14:paraId="684ED55D" w14:textId="77777777" w:rsidR="00326449" w:rsidRPr="006A631A" w:rsidRDefault="00326449" w:rsidP="00E03C9E">
      <w:pPr>
        <w:widowControl/>
        <w:spacing w:line="360" w:lineRule="auto"/>
        <w:ind w:left="1440" w:right="1440"/>
        <w:contextualSpacing/>
        <w:rPr>
          <w:sz w:val="26"/>
          <w:szCs w:val="26"/>
        </w:rPr>
      </w:pPr>
    </w:p>
    <w:p w14:paraId="335C2FF2" w14:textId="05BE8754" w:rsidR="00326449" w:rsidRPr="006A631A" w:rsidRDefault="00326449" w:rsidP="00F510B9">
      <w:pPr>
        <w:widowControl/>
        <w:spacing w:line="360" w:lineRule="auto"/>
        <w:rPr>
          <w:rFonts w:eastAsiaTheme="minorHAnsi"/>
          <w:color w:val="000000"/>
          <w:sz w:val="26"/>
          <w:szCs w:val="26"/>
        </w:rPr>
      </w:pPr>
      <w:r w:rsidRPr="006A631A">
        <w:rPr>
          <w:rFonts w:eastAsiaTheme="minorHAnsi"/>
          <w:i/>
          <w:color w:val="000000"/>
          <w:sz w:val="26"/>
          <w:szCs w:val="26"/>
        </w:rPr>
        <w:t>Pa.</w:t>
      </w:r>
      <w:r w:rsidRPr="006A631A">
        <w:rPr>
          <w:rFonts w:eastAsiaTheme="minorHAnsi"/>
          <w:color w:val="000000"/>
          <w:sz w:val="26"/>
          <w:szCs w:val="26"/>
        </w:rPr>
        <w:t xml:space="preserve"> </w:t>
      </w:r>
      <w:r w:rsidRPr="006A631A">
        <w:rPr>
          <w:rFonts w:eastAsiaTheme="minorHAnsi"/>
          <w:i/>
          <w:color w:val="000000"/>
          <w:sz w:val="26"/>
          <w:szCs w:val="26"/>
        </w:rPr>
        <w:t>PUC v. Peoples TWP LLC</w:t>
      </w:r>
      <w:r w:rsidRPr="006A631A">
        <w:rPr>
          <w:rFonts w:eastAsiaTheme="minorHAnsi"/>
          <w:color w:val="000000"/>
          <w:sz w:val="26"/>
          <w:szCs w:val="26"/>
        </w:rPr>
        <w:t>, Docket No. R-2013-2355886 (Order entered December</w:t>
      </w:r>
      <w:r w:rsidR="00E03C9E" w:rsidRPr="006A631A">
        <w:rPr>
          <w:rFonts w:eastAsiaTheme="minorHAnsi"/>
          <w:color w:val="000000"/>
          <w:sz w:val="26"/>
          <w:szCs w:val="26"/>
        </w:rPr>
        <w:t> </w:t>
      </w:r>
      <w:r w:rsidRPr="006A631A">
        <w:rPr>
          <w:rFonts w:eastAsiaTheme="minorHAnsi"/>
          <w:color w:val="000000"/>
          <w:sz w:val="26"/>
          <w:szCs w:val="26"/>
        </w:rPr>
        <w:t>19, 2013), at 28 (citations omitted).</w:t>
      </w:r>
    </w:p>
    <w:p w14:paraId="72A8249D" w14:textId="77777777" w:rsidR="00326449" w:rsidRPr="006A631A" w:rsidRDefault="00326449" w:rsidP="00F510B9">
      <w:pPr>
        <w:widowControl/>
        <w:suppressAutoHyphens/>
        <w:spacing w:line="360" w:lineRule="auto"/>
        <w:contextualSpacing/>
        <w:rPr>
          <w:sz w:val="26"/>
          <w:szCs w:val="26"/>
        </w:rPr>
      </w:pPr>
    </w:p>
    <w:p w14:paraId="59794055" w14:textId="3A5A383F" w:rsidR="00326449" w:rsidRPr="006A631A" w:rsidRDefault="00326449" w:rsidP="00F510B9">
      <w:pPr>
        <w:widowControl/>
        <w:tabs>
          <w:tab w:val="left" w:pos="-720"/>
        </w:tabs>
        <w:spacing w:line="360" w:lineRule="auto"/>
        <w:ind w:firstLine="1440"/>
        <w:rPr>
          <w:i/>
          <w:sz w:val="26"/>
          <w:szCs w:val="26"/>
        </w:rPr>
      </w:pPr>
      <w:r w:rsidRPr="006A631A">
        <w:rPr>
          <w:sz w:val="26"/>
          <w:szCs w:val="26"/>
        </w:rPr>
        <w:t xml:space="preserve">Despite the policy favoring settlements, </w:t>
      </w:r>
      <w:r w:rsidR="00847F78" w:rsidRPr="006A631A">
        <w:rPr>
          <w:sz w:val="26"/>
          <w:szCs w:val="26"/>
        </w:rPr>
        <w:t xml:space="preserve">it is well understood that </w:t>
      </w:r>
      <w:r w:rsidRPr="006A631A">
        <w:rPr>
          <w:sz w:val="26"/>
          <w:szCs w:val="26"/>
        </w:rPr>
        <w:t xml:space="preserve">the Commission does not simply rubber stamp settlements without further inquiry.  </w:t>
      </w:r>
      <w:proofErr w:type="gramStart"/>
      <w:r w:rsidRPr="006A631A">
        <w:rPr>
          <w:sz w:val="26"/>
          <w:szCs w:val="26"/>
        </w:rPr>
        <w:t>In order to</w:t>
      </w:r>
      <w:proofErr w:type="gramEnd"/>
      <w:r w:rsidRPr="006A631A">
        <w:rPr>
          <w:sz w:val="26"/>
          <w:szCs w:val="26"/>
        </w:rPr>
        <w:t xml:space="preserve"> accept a settlement such as those proposed here, the Commission must determine that the proposed terms and conditions are in the public interest.  </w:t>
      </w:r>
      <w:r w:rsidRPr="006A631A">
        <w:rPr>
          <w:i/>
          <w:sz w:val="26"/>
          <w:szCs w:val="26"/>
        </w:rPr>
        <w:t>Pa. PUC v. York Water Co.</w:t>
      </w:r>
      <w:r w:rsidRPr="006A631A">
        <w:rPr>
          <w:sz w:val="26"/>
          <w:szCs w:val="26"/>
        </w:rPr>
        <w:t>, Docket No. R</w:t>
      </w:r>
      <w:r w:rsidRPr="006A631A">
        <w:rPr>
          <w:sz w:val="26"/>
          <w:szCs w:val="26"/>
        </w:rPr>
        <w:noBreakHyphen/>
        <w:t xml:space="preserve">00049165 (Order entered October 4, 2004); </w:t>
      </w:r>
      <w:r w:rsidRPr="006A631A">
        <w:rPr>
          <w:i/>
          <w:sz w:val="26"/>
          <w:szCs w:val="26"/>
        </w:rPr>
        <w:t>Pa. PUC v. C.</w:t>
      </w:r>
      <w:r w:rsidR="00E03C9E" w:rsidRPr="006A631A">
        <w:rPr>
          <w:i/>
          <w:sz w:val="26"/>
          <w:szCs w:val="26"/>
        </w:rPr>
        <w:t xml:space="preserve"> </w:t>
      </w:r>
      <w:r w:rsidRPr="006A631A">
        <w:rPr>
          <w:i/>
          <w:sz w:val="26"/>
          <w:szCs w:val="26"/>
        </w:rPr>
        <w:t>S. Water and Sewer Assoc.</w:t>
      </w:r>
      <w:r w:rsidRPr="006A631A">
        <w:rPr>
          <w:sz w:val="26"/>
          <w:szCs w:val="26"/>
        </w:rPr>
        <w:t>, 74 Pa. P.U.C. 767 (1991)</w:t>
      </w:r>
      <w:r w:rsidR="00F03136" w:rsidRPr="006A631A">
        <w:rPr>
          <w:sz w:val="26"/>
          <w:szCs w:val="26"/>
        </w:rPr>
        <w:t xml:space="preserve"> (</w:t>
      </w:r>
      <w:r w:rsidR="00F03136" w:rsidRPr="006A631A">
        <w:rPr>
          <w:i/>
          <w:iCs/>
          <w:sz w:val="26"/>
          <w:szCs w:val="26"/>
        </w:rPr>
        <w:t>CS Water and Sewer</w:t>
      </w:r>
      <w:r w:rsidR="00F03136" w:rsidRPr="006A631A">
        <w:rPr>
          <w:sz w:val="26"/>
          <w:szCs w:val="26"/>
        </w:rPr>
        <w:t>)</w:t>
      </w:r>
      <w:r w:rsidRPr="006A631A">
        <w:rPr>
          <w:sz w:val="26"/>
          <w:szCs w:val="26"/>
        </w:rPr>
        <w:t xml:space="preserve">.  The focus of the inquiry for determining whether a proposed settlement should be approved by the Commission is whether the proposed terms and conditions foster, </w:t>
      </w:r>
      <w:proofErr w:type="gramStart"/>
      <w:r w:rsidRPr="006A631A">
        <w:rPr>
          <w:sz w:val="26"/>
          <w:szCs w:val="26"/>
        </w:rPr>
        <w:t>promote</w:t>
      </w:r>
      <w:proofErr w:type="gramEnd"/>
      <w:r w:rsidRPr="006A631A">
        <w:rPr>
          <w:sz w:val="26"/>
          <w:szCs w:val="26"/>
        </w:rPr>
        <w:t xml:space="preserve"> and serve the public interest.  </w:t>
      </w:r>
      <w:r w:rsidRPr="006A631A">
        <w:rPr>
          <w:i/>
          <w:sz w:val="26"/>
          <w:szCs w:val="26"/>
        </w:rPr>
        <w:t>Pa. PUC, et al. v. City of Lancaster – Bureau of Water</w:t>
      </w:r>
      <w:r w:rsidRPr="006A631A">
        <w:rPr>
          <w:sz w:val="26"/>
          <w:szCs w:val="26"/>
        </w:rPr>
        <w:t xml:space="preserve">, Docket Nos. R-2010-2179103, </w:t>
      </w:r>
      <w:r w:rsidRPr="006A631A">
        <w:rPr>
          <w:i/>
          <w:sz w:val="26"/>
          <w:szCs w:val="26"/>
        </w:rPr>
        <w:lastRenderedPageBreak/>
        <w:t>et</w:t>
      </w:r>
      <w:r w:rsidR="00E03C9E" w:rsidRPr="006A631A">
        <w:rPr>
          <w:i/>
          <w:sz w:val="26"/>
          <w:szCs w:val="26"/>
        </w:rPr>
        <w:t> </w:t>
      </w:r>
      <w:r w:rsidRPr="006A631A">
        <w:rPr>
          <w:i/>
          <w:sz w:val="26"/>
          <w:szCs w:val="26"/>
        </w:rPr>
        <w:t>al</w:t>
      </w:r>
      <w:r w:rsidRPr="006A631A">
        <w:rPr>
          <w:sz w:val="26"/>
          <w:szCs w:val="26"/>
        </w:rPr>
        <w:t xml:space="preserve">. (Order entered July 14, 2011), citing </w:t>
      </w:r>
      <w:r w:rsidRPr="006A631A">
        <w:rPr>
          <w:i/>
          <w:sz w:val="26"/>
          <w:szCs w:val="26"/>
        </w:rPr>
        <w:t>Warner v. GTE North, Inc</w:t>
      </w:r>
      <w:r w:rsidRPr="006A631A">
        <w:rPr>
          <w:sz w:val="26"/>
          <w:szCs w:val="26"/>
        </w:rPr>
        <w:t>., Docket No. C</w:t>
      </w:r>
      <w:r w:rsidRPr="006A631A">
        <w:rPr>
          <w:sz w:val="26"/>
          <w:szCs w:val="26"/>
        </w:rPr>
        <w:noBreakHyphen/>
        <w:t xml:space="preserve">00902815 (Order entered April 1, 1996) and </w:t>
      </w:r>
      <w:r w:rsidRPr="006A631A">
        <w:rPr>
          <w:i/>
          <w:sz w:val="26"/>
          <w:szCs w:val="26"/>
        </w:rPr>
        <w:t>CS Water and Sewer</w:t>
      </w:r>
      <w:r w:rsidR="00847F78" w:rsidRPr="006A631A">
        <w:rPr>
          <w:i/>
          <w:sz w:val="26"/>
          <w:szCs w:val="26"/>
        </w:rPr>
        <w:t>.</w:t>
      </w:r>
    </w:p>
    <w:p w14:paraId="4F05F0CC" w14:textId="31F3A9BD" w:rsidR="009B6CDF" w:rsidRPr="006A631A" w:rsidRDefault="009B6CDF" w:rsidP="00F510B9">
      <w:pPr>
        <w:widowControl/>
        <w:tabs>
          <w:tab w:val="left" w:pos="-720"/>
        </w:tabs>
        <w:spacing w:line="360" w:lineRule="auto"/>
        <w:ind w:firstLine="1440"/>
        <w:rPr>
          <w:i/>
          <w:sz w:val="26"/>
          <w:szCs w:val="26"/>
        </w:rPr>
      </w:pPr>
    </w:p>
    <w:p w14:paraId="2DC0BF1E" w14:textId="51C1F6BA" w:rsidR="009B6CDF" w:rsidRPr="006A631A" w:rsidRDefault="009B6CDF" w:rsidP="00F510B9">
      <w:pPr>
        <w:widowControl/>
        <w:spacing w:line="360" w:lineRule="auto"/>
        <w:ind w:firstLine="1440"/>
        <w:contextualSpacing/>
        <w:rPr>
          <w:sz w:val="26"/>
          <w:szCs w:val="26"/>
        </w:rPr>
      </w:pPr>
      <w:r w:rsidRPr="006A631A">
        <w:rPr>
          <w:rFonts w:eastAsiaTheme="minorHAnsi"/>
          <w:sz w:val="26"/>
          <w:szCs w:val="26"/>
        </w:rPr>
        <w:t>Finally, we recognize that Section 704 of the Administrative Agency Law requires that adjudications by the Commission must be supported by substantial evidence in the record.  2 Pa.</w:t>
      </w:r>
      <w:r w:rsidR="00F03136" w:rsidRPr="006A631A">
        <w:rPr>
          <w:rFonts w:eastAsiaTheme="minorHAnsi"/>
          <w:sz w:val="26"/>
          <w:szCs w:val="26"/>
        </w:rPr>
        <w:t xml:space="preserve"> </w:t>
      </w:r>
      <w:r w:rsidRPr="006A631A">
        <w:rPr>
          <w:rFonts w:eastAsiaTheme="minorHAnsi"/>
          <w:sz w:val="26"/>
          <w:szCs w:val="26"/>
        </w:rPr>
        <w:t xml:space="preserve">C.S. § 704.  “Substantial evidence” is such relevant evidence that a reasonable mind might accept as adequate to support a conclusion.  More is required than a mere trace of evidence or a suspicion of the existence of a fact sought to be established.  </w:t>
      </w:r>
      <w:r w:rsidRPr="006A631A">
        <w:rPr>
          <w:rFonts w:eastAsiaTheme="minorHAnsi"/>
          <w:i/>
          <w:sz w:val="26"/>
          <w:szCs w:val="26"/>
        </w:rPr>
        <w:t xml:space="preserve">Norfolk &amp; Western Ry. Co. v. Pa. PUC, </w:t>
      </w:r>
      <w:r w:rsidRPr="006A631A">
        <w:rPr>
          <w:rFonts w:eastAsiaTheme="minorHAnsi"/>
          <w:sz w:val="26"/>
          <w:szCs w:val="26"/>
        </w:rPr>
        <w:t xml:space="preserve">489 Pa. 109, 413 A.2d 1037 (1980); </w:t>
      </w:r>
      <w:r w:rsidRPr="006A631A">
        <w:rPr>
          <w:rFonts w:eastAsiaTheme="minorHAnsi"/>
          <w:i/>
          <w:sz w:val="26"/>
          <w:szCs w:val="26"/>
        </w:rPr>
        <w:t>Erie Resistor Corp. v. Unemployment Comp. Bd. of Review</w:t>
      </w:r>
      <w:r w:rsidRPr="006A631A">
        <w:rPr>
          <w:rFonts w:eastAsiaTheme="minorHAnsi"/>
          <w:sz w:val="26"/>
          <w:szCs w:val="26"/>
        </w:rPr>
        <w:t xml:space="preserve">, 166 A.2d 96 (Pa. Super. 1961); </w:t>
      </w:r>
      <w:r w:rsidRPr="006A631A">
        <w:rPr>
          <w:rFonts w:eastAsiaTheme="minorHAnsi"/>
          <w:i/>
          <w:sz w:val="26"/>
          <w:szCs w:val="26"/>
        </w:rPr>
        <w:t>Murphy v. Comm. Dept. of Public Welfare, White Haven Center</w:t>
      </w:r>
      <w:r w:rsidRPr="006A631A">
        <w:rPr>
          <w:rFonts w:eastAsiaTheme="minorHAnsi"/>
          <w:sz w:val="26"/>
          <w:szCs w:val="26"/>
        </w:rPr>
        <w:t>, 480 A.2d 382 (Pa.</w:t>
      </w:r>
      <w:r w:rsidR="00DF6019" w:rsidRPr="006A631A">
        <w:rPr>
          <w:rFonts w:eastAsiaTheme="minorHAnsi"/>
          <w:sz w:val="26"/>
          <w:szCs w:val="26"/>
        </w:rPr>
        <w:t> </w:t>
      </w:r>
      <w:r w:rsidRPr="006A631A">
        <w:rPr>
          <w:rFonts w:eastAsiaTheme="minorHAnsi"/>
          <w:sz w:val="26"/>
          <w:szCs w:val="26"/>
        </w:rPr>
        <w:t>Cmwlth. 1984).</w:t>
      </w:r>
    </w:p>
    <w:p w14:paraId="6BC37327" w14:textId="77777777" w:rsidR="009B6CDF" w:rsidRPr="006A631A" w:rsidRDefault="009B6CDF" w:rsidP="00F510B9">
      <w:pPr>
        <w:widowControl/>
        <w:tabs>
          <w:tab w:val="left" w:pos="-720"/>
        </w:tabs>
        <w:spacing w:line="360" w:lineRule="auto"/>
        <w:ind w:firstLine="1440"/>
        <w:rPr>
          <w:iCs/>
          <w:color w:val="000000"/>
          <w:sz w:val="26"/>
          <w:szCs w:val="26"/>
        </w:rPr>
      </w:pPr>
    </w:p>
    <w:p w14:paraId="26EAE27B" w14:textId="18BABE65" w:rsidR="00326449" w:rsidRPr="006A631A" w:rsidRDefault="00D759C2" w:rsidP="006D38EE">
      <w:pPr>
        <w:pStyle w:val="Heading2"/>
        <w:widowControl/>
        <w:numPr>
          <w:ilvl w:val="2"/>
          <w:numId w:val="1"/>
        </w:numPr>
        <w:ind w:left="720"/>
      </w:pPr>
      <w:bookmarkStart w:id="11" w:name="_Toc55888185"/>
      <w:r w:rsidRPr="006A631A">
        <w:t>Justness and Reasonableness of Rates</w:t>
      </w:r>
      <w:r w:rsidR="009B6CDF" w:rsidRPr="006A631A">
        <w:t>/Burden of Proof</w:t>
      </w:r>
      <w:bookmarkEnd w:id="11"/>
    </w:p>
    <w:p w14:paraId="509A4DA3" w14:textId="77777777" w:rsidR="00326449" w:rsidRPr="006A631A" w:rsidRDefault="00326449" w:rsidP="00F510B9">
      <w:pPr>
        <w:widowControl/>
        <w:tabs>
          <w:tab w:val="left" w:pos="-720"/>
        </w:tabs>
        <w:spacing w:line="360" w:lineRule="auto"/>
        <w:ind w:firstLine="1440"/>
        <w:rPr>
          <w:color w:val="000000"/>
          <w:sz w:val="26"/>
          <w:szCs w:val="26"/>
        </w:rPr>
      </w:pPr>
    </w:p>
    <w:p w14:paraId="02A1A1FE" w14:textId="20502320" w:rsidR="00BB28EE" w:rsidRPr="006A631A" w:rsidRDefault="00BB28EE" w:rsidP="00F510B9">
      <w:pPr>
        <w:widowControl/>
        <w:tabs>
          <w:tab w:val="left" w:pos="-720"/>
        </w:tabs>
        <w:spacing w:line="360" w:lineRule="auto"/>
        <w:ind w:firstLine="1440"/>
        <w:rPr>
          <w:sz w:val="26"/>
          <w:szCs w:val="26"/>
        </w:rPr>
      </w:pPr>
      <w:r w:rsidRPr="006A631A">
        <w:rPr>
          <w:color w:val="000000"/>
          <w:sz w:val="26"/>
          <w:szCs w:val="26"/>
        </w:rPr>
        <w:t xml:space="preserve">At issue here is the Company’s general rate increase filing governed by Section 1308(d) of the Code, which provides the procedures for changing rates, the time limitations for the suspension of the new rates, and the time limitations on the Commission’s actions. </w:t>
      </w:r>
      <w:r w:rsidR="00F03136" w:rsidRPr="006A631A">
        <w:rPr>
          <w:color w:val="000000"/>
          <w:sz w:val="26"/>
          <w:szCs w:val="26"/>
        </w:rPr>
        <w:t xml:space="preserve"> </w:t>
      </w:r>
      <w:r w:rsidRPr="006A631A">
        <w:rPr>
          <w:sz w:val="26"/>
          <w:szCs w:val="26"/>
        </w:rPr>
        <w:t>66 Pa. C.S. § 1308(d).</w:t>
      </w:r>
      <w:bookmarkStart w:id="12" w:name="co_fnRef_B00022050131946_ID0EO2AE_1"/>
      <w:bookmarkEnd w:id="12"/>
      <w:r w:rsidRPr="006A631A">
        <w:rPr>
          <w:sz w:val="26"/>
          <w:szCs w:val="26"/>
          <w:vertAlign w:val="superscript"/>
        </w:rPr>
        <w:footnoteReference w:id="12"/>
      </w:r>
      <w:r w:rsidRPr="006A631A">
        <w:rPr>
          <w:sz w:val="26"/>
          <w:szCs w:val="26"/>
        </w:rPr>
        <w:t xml:space="preserve">  </w:t>
      </w:r>
      <w:r w:rsidRPr="006A631A">
        <w:rPr>
          <w:rFonts w:eastAsiaTheme="minorEastAsia"/>
          <w:sz w:val="26"/>
          <w:szCs w:val="26"/>
        </w:rPr>
        <w:t xml:space="preserve">“Under traditional ratemaking, utilities may not change rates charged to customers outside of a base rate case.” </w:t>
      </w:r>
      <w:r w:rsidR="00F03136" w:rsidRPr="006A631A">
        <w:rPr>
          <w:rFonts w:eastAsiaTheme="minorEastAsia"/>
          <w:sz w:val="26"/>
          <w:szCs w:val="26"/>
        </w:rPr>
        <w:t xml:space="preserve"> </w:t>
      </w:r>
      <w:r w:rsidRPr="006A631A">
        <w:rPr>
          <w:rFonts w:eastAsiaTheme="minorEastAsia"/>
          <w:i/>
          <w:iCs/>
          <w:sz w:val="26"/>
          <w:szCs w:val="26"/>
        </w:rPr>
        <w:t>McCloskey v. Pa. PUC</w:t>
      </w:r>
      <w:r w:rsidRPr="006A631A">
        <w:rPr>
          <w:rFonts w:eastAsiaTheme="minorEastAsia"/>
          <w:sz w:val="26"/>
          <w:szCs w:val="26"/>
        </w:rPr>
        <w:t>, 127 A.3d 860, 863 n.2 (Pa. Cmwlth. 2015).</w:t>
      </w:r>
    </w:p>
    <w:p w14:paraId="0DD03FDA" w14:textId="77777777" w:rsidR="00BB28EE" w:rsidRPr="006A631A" w:rsidRDefault="00BB28EE" w:rsidP="00F510B9">
      <w:pPr>
        <w:widowControl/>
        <w:tabs>
          <w:tab w:val="left" w:pos="-720"/>
        </w:tabs>
        <w:spacing w:line="360" w:lineRule="auto"/>
        <w:ind w:firstLine="1440"/>
        <w:rPr>
          <w:sz w:val="26"/>
          <w:szCs w:val="26"/>
        </w:rPr>
      </w:pPr>
    </w:p>
    <w:p w14:paraId="5E7364ED" w14:textId="15EA6959" w:rsidR="00BB28EE" w:rsidRPr="006A631A" w:rsidRDefault="00BB28EE" w:rsidP="00F510B9">
      <w:pPr>
        <w:widowControl/>
        <w:tabs>
          <w:tab w:val="left" w:pos="-720"/>
        </w:tabs>
        <w:suppressAutoHyphens/>
        <w:spacing w:line="360" w:lineRule="auto"/>
        <w:ind w:firstLine="1440"/>
        <w:contextualSpacing/>
        <w:rPr>
          <w:rFonts w:eastAsiaTheme="minorEastAsia"/>
          <w:sz w:val="26"/>
          <w:szCs w:val="26"/>
        </w:rPr>
      </w:pPr>
      <w:r w:rsidRPr="006A631A">
        <w:rPr>
          <w:rFonts w:eastAsiaTheme="minorEastAsia"/>
          <w:sz w:val="26"/>
          <w:szCs w:val="26"/>
        </w:rPr>
        <w:lastRenderedPageBreak/>
        <w:t xml:space="preserve">Section 1301(a) of the Code mandates that “[e]very rate made, demanded, or received by any public utility ... shall be just and reasonable, and in conformity with [the] regulations or orders of the [C]ommission.”  66 Pa. C.S. § 1301(a).  Pursuant to the just and reasonable standard, a utility may obtain “a rate that allows it to recover those expenses that are reasonably necessary to provide service to its customers[,] as well as a reasonable rate of return on its investment.”  </w:t>
      </w:r>
      <w:r w:rsidRPr="006A631A">
        <w:rPr>
          <w:rFonts w:eastAsiaTheme="minorEastAsia"/>
          <w:i/>
          <w:iCs/>
          <w:sz w:val="26"/>
          <w:szCs w:val="26"/>
        </w:rPr>
        <w:t>City of Lancaster (Sewer Fund) v. Pa. PUC</w:t>
      </w:r>
      <w:r w:rsidRPr="006A631A">
        <w:rPr>
          <w:rFonts w:eastAsiaTheme="minorEastAsia"/>
          <w:sz w:val="26"/>
          <w:szCs w:val="26"/>
        </w:rPr>
        <w:t xml:space="preserve">, 793 A.2d 978, 982 (Pa. Cmwlth. 2002).  There is no single way to arrive at just and reasonable rates, and “[t]he [Commission] has broad discretion in determining whether rates are reasonable” and “is vested with discretion to decide what factors it will consider in setting or evaluating a utility’s rates.” </w:t>
      </w:r>
      <w:r w:rsidR="006B7D38" w:rsidRPr="006A631A">
        <w:rPr>
          <w:rFonts w:eastAsiaTheme="minorEastAsia"/>
          <w:sz w:val="26"/>
          <w:szCs w:val="26"/>
        </w:rPr>
        <w:t xml:space="preserve"> </w:t>
      </w:r>
      <w:r w:rsidRPr="006A631A">
        <w:rPr>
          <w:rFonts w:eastAsiaTheme="minorEastAsia"/>
          <w:i/>
          <w:iCs/>
          <w:sz w:val="26"/>
          <w:szCs w:val="26"/>
        </w:rPr>
        <w:t>Popowsky v. Pa. PUC</w:t>
      </w:r>
      <w:r w:rsidRPr="006A631A">
        <w:rPr>
          <w:rFonts w:eastAsiaTheme="minorEastAsia"/>
          <w:sz w:val="26"/>
          <w:szCs w:val="26"/>
        </w:rPr>
        <w:t>, 683 A.2d 958, 961 (Pa.</w:t>
      </w:r>
      <w:r w:rsidR="00DF6019" w:rsidRPr="006A631A">
        <w:rPr>
          <w:rFonts w:eastAsiaTheme="minorEastAsia"/>
          <w:sz w:val="26"/>
          <w:szCs w:val="26"/>
        </w:rPr>
        <w:t> </w:t>
      </w:r>
      <w:r w:rsidRPr="006A631A">
        <w:rPr>
          <w:rFonts w:eastAsiaTheme="minorEastAsia"/>
          <w:sz w:val="26"/>
          <w:szCs w:val="26"/>
        </w:rPr>
        <w:t>Cmwlth. 1996) (</w:t>
      </w:r>
      <w:r w:rsidRPr="006A631A">
        <w:rPr>
          <w:rFonts w:eastAsiaTheme="minorEastAsia"/>
          <w:i/>
          <w:iCs/>
          <w:sz w:val="26"/>
          <w:szCs w:val="26"/>
        </w:rPr>
        <w:t>Popowsky</w:t>
      </w:r>
      <w:r w:rsidRPr="006A631A">
        <w:rPr>
          <w:rFonts w:eastAsiaTheme="minorEastAsia"/>
          <w:sz w:val="26"/>
          <w:szCs w:val="26"/>
        </w:rPr>
        <w:t>).</w:t>
      </w:r>
    </w:p>
    <w:p w14:paraId="61EEF330" w14:textId="77777777" w:rsidR="00BB28EE" w:rsidRPr="006A631A" w:rsidRDefault="00BB28EE" w:rsidP="00F510B9">
      <w:pPr>
        <w:widowControl/>
        <w:tabs>
          <w:tab w:val="left" w:pos="-720"/>
        </w:tabs>
        <w:suppressAutoHyphens/>
        <w:spacing w:line="360" w:lineRule="auto"/>
        <w:ind w:firstLine="1440"/>
        <w:contextualSpacing/>
        <w:rPr>
          <w:rFonts w:eastAsiaTheme="minorHAnsi"/>
          <w:sz w:val="26"/>
          <w:szCs w:val="26"/>
        </w:rPr>
      </w:pPr>
    </w:p>
    <w:p w14:paraId="2289BE46" w14:textId="13F0E64D" w:rsidR="00446EA6" w:rsidRPr="006A631A" w:rsidRDefault="00BB28EE" w:rsidP="00F510B9">
      <w:pPr>
        <w:widowControl/>
        <w:tabs>
          <w:tab w:val="left" w:pos="-720"/>
        </w:tabs>
        <w:suppressAutoHyphens/>
        <w:spacing w:line="360" w:lineRule="auto"/>
        <w:ind w:firstLine="1440"/>
        <w:contextualSpacing/>
        <w:rPr>
          <w:rFonts w:eastAsiaTheme="minorHAnsi"/>
          <w:sz w:val="26"/>
          <w:szCs w:val="26"/>
        </w:rPr>
      </w:pPr>
      <w:r w:rsidRPr="006A631A">
        <w:rPr>
          <w:sz w:val="26"/>
          <w:szCs w:val="26"/>
        </w:rPr>
        <w:t xml:space="preserve">The Commission is required to investigate all general rate increase filings. </w:t>
      </w:r>
      <w:r w:rsidRPr="006A631A">
        <w:rPr>
          <w:i/>
          <w:iCs/>
          <w:sz w:val="26"/>
          <w:szCs w:val="26"/>
        </w:rPr>
        <w:t>Popowsky</w:t>
      </w:r>
      <w:r w:rsidRPr="006A631A">
        <w:rPr>
          <w:sz w:val="26"/>
          <w:szCs w:val="26"/>
        </w:rPr>
        <w:t xml:space="preserve">, 683 A.2d at 961.  </w:t>
      </w:r>
      <w:r w:rsidR="00446EA6" w:rsidRPr="006A631A">
        <w:rPr>
          <w:rFonts w:eastAsiaTheme="minorHAnsi"/>
          <w:sz w:val="26"/>
          <w:szCs w:val="26"/>
        </w:rPr>
        <w:t xml:space="preserve">In deciding this or any other general rate increase case brought under Section 1308(d) of the Code, 66 Pa. C.S. § 1308(d), certain general principles always apply.  A public utility is entitled to an opportunity to earn a fair rate of return on the value of the property dedicated to public service.  </w:t>
      </w:r>
      <w:r w:rsidR="00446EA6" w:rsidRPr="006A631A">
        <w:rPr>
          <w:rFonts w:eastAsiaTheme="minorHAnsi"/>
          <w:i/>
          <w:sz w:val="26"/>
          <w:szCs w:val="26"/>
        </w:rPr>
        <w:t>Pa. PUC v.</w:t>
      </w:r>
      <w:r w:rsidR="00446EA6" w:rsidRPr="006A631A">
        <w:rPr>
          <w:rFonts w:eastAsiaTheme="minorHAnsi"/>
          <w:sz w:val="26"/>
          <w:szCs w:val="26"/>
        </w:rPr>
        <w:t xml:space="preserve"> </w:t>
      </w:r>
      <w:r w:rsidR="00446EA6" w:rsidRPr="006A631A">
        <w:rPr>
          <w:rFonts w:eastAsiaTheme="minorHAnsi"/>
          <w:i/>
          <w:sz w:val="26"/>
          <w:szCs w:val="26"/>
        </w:rPr>
        <w:t>Pennsylvania Gas and Water Co.</w:t>
      </w:r>
      <w:r w:rsidR="006A631A" w:rsidRPr="006A631A">
        <w:rPr>
          <w:rFonts w:eastAsiaTheme="minorHAnsi"/>
          <w:sz w:val="26"/>
          <w:szCs w:val="26"/>
        </w:rPr>
        <w:t xml:space="preserve">, </w:t>
      </w:r>
      <w:r w:rsidR="00446EA6" w:rsidRPr="006A631A">
        <w:rPr>
          <w:rFonts w:eastAsiaTheme="minorHAnsi"/>
          <w:sz w:val="26"/>
          <w:szCs w:val="26"/>
        </w:rPr>
        <w:t xml:space="preserve">341 A.2d 239, 251 (Pa. Cmwlth. 1975).  In determining a fair rate of return, the Commission is guided by the criteria provided by the United States Supreme Court in the landmark cases of </w:t>
      </w:r>
      <w:r w:rsidR="00446EA6" w:rsidRPr="006A631A">
        <w:rPr>
          <w:rFonts w:eastAsiaTheme="minorHAnsi"/>
          <w:i/>
          <w:sz w:val="26"/>
          <w:szCs w:val="26"/>
        </w:rPr>
        <w:t>Bluefield Water Works and Improvement Co. v. Public Service Comm’n of West Virginia</w:t>
      </w:r>
      <w:r w:rsidR="00446EA6" w:rsidRPr="006A631A">
        <w:rPr>
          <w:rFonts w:eastAsiaTheme="minorHAnsi"/>
          <w:sz w:val="26"/>
          <w:szCs w:val="26"/>
        </w:rPr>
        <w:t>, 262 U.S. 679 (1923)</w:t>
      </w:r>
      <w:r w:rsidR="00F148E4" w:rsidRPr="006A631A">
        <w:rPr>
          <w:rFonts w:eastAsiaTheme="minorHAnsi"/>
          <w:sz w:val="26"/>
          <w:szCs w:val="26"/>
        </w:rPr>
        <w:t xml:space="preserve"> (</w:t>
      </w:r>
      <w:r w:rsidR="00F148E4" w:rsidRPr="006A631A">
        <w:rPr>
          <w:rFonts w:eastAsiaTheme="minorHAnsi"/>
          <w:i/>
          <w:iCs/>
          <w:sz w:val="26"/>
          <w:szCs w:val="26"/>
        </w:rPr>
        <w:t>Bluefield</w:t>
      </w:r>
      <w:r w:rsidR="00F148E4" w:rsidRPr="006A631A">
        <w:rPr>
          <w:rFonts w:eastAsiaTheme="minorHAnsi"/>
          <w:sz w:val="26"/>
          <w:szCs w:val="26"/>
        </w:rPr>
        <w:t>)</w:t>
      </w:r>
      <w:r w:rsidR="00446EA6" w:rsidRPr="006A631A">
        <w:rPr>
          <w:rFonts w:eastAsiaTheme="minorHAnsi"/>
          <w:sz w:val="26"/>
          <w:szCs w:val="26"/>
        </w:rPr>
        <w:t xml:space="preserve"> and </w:t>
      </w:r>
      <w:r w:rsidR="00446EA6" w:rsidRPr="006A631A">
        <w:rPr>
          <w:rFonts w:eastAsiaTheme="minorHAnsi"/>
          <w:i/>
          <w:sz w:val="26"/>
          <w:szCs w:val="26"/>
        </w:rPr>
        <w:t>Federal Power Comm’n v. Hope Natural Gas Co.</w:t>
      </w:r>
      <w:r w:rsidR="00446EA6" w:rsidRPr="006A631A">
        <w:rPr>
          <w:rFonts w:eastAsiaTheme="minorHAnsi"/>
          <w:sz w:val="26"/>
          <w:szCs w:val="26"/>
        </w:rPr>
        <w:t xml:space="preserve">, 320 U.S. 591 (1944).  In </w:t>
      </w:r>
      <w:r w:rsidR="00446EA6" w:rsidRPr="006A631A">
        <w:rPr>
          <w:rFonts w:eastAsiaTheme="minorHAnsi"/>
          <w:i/>
          <w:sz w:val="26"/>
          <w:szCs w:val="26"/>
        </w:rPr>
        <w:t>Bluefield</w:t>
      </w:r>
      <w:r w:rsidR="00446EA6" w:rsidRPr="006A631A">
        <w:rPr>
          <w:rFonts w:eastAsiaTheme="minorHAnsi"/>
          <w:sz w:val="26"/>
          <w:szCs w:val="26"/>
        </w:rPr>
        <w:t>, the Court stated:</w:t>
      </w:r>
    </w:p>
    <w:p w14:paraId="19555601" w14:textId="77777777" w:rsidR="00446EA6" w:rsidRPr="006A631A" w:rsidRDefault="00446EA6" w:rsidP="00DF6019">
      <w:pPr>
        <w:widowControl/>
        <w:tabs>
          <w:tab w:val="left" w:pos="-720"/>
        </w:tabs>
        <w:suppressAutoHyphens/>
        <w:ind w:firstLine="1440"/>
        <w:contextualSpacing/>
        <w:rPr>
          <w:rFonts w:eastAsiaTheme="minorHAnsi"/>
          <w:sz w:val="26"/>
          <w:szCs w:val="26"/>
        </w:rPr>
      </w:pPr>
    </w:p>
    <w:p w14:paraId="79D11E48" w14:textId="77777777" w:rsidR="00446EA6" w:rsidRPr="006A631A" w:rsidRDefault="00446EA6" w:rsidP="00F510B9">
      <w:pPr>
        <w:widowControl/>
        <w:ind w:left="1440" w:right="1440"/>
        <w:contextualSpacing/>
        <w:rPr>
          <w:rFonts w:eastAsiaTheme="minorHAnsi"/>
          <w:sz w:val="26"/>
          <w:szCs w:val="26"/>
        </w:rPr>
      </w:pPr>
      <w:r w:rsidRPr="006A631A">
        <w:rPr>
          <w:rFonts w:eastAsiaTheme="minorHAnsi"/>
          <w:sz w:val="26"/>
          <w:szCs w:val="26"/>
        </w:rPr>
        <w:t xml:space="preserve">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w:t>
      </w:r>
      <w:r w:rsidRPr="006A631A">
        <w:rPr>
          <w:rFonts w:eastAsiaTheme="minorHAnsi"/>
          <w:sz w:val="26"/>
          <w:szCs w:val="26"/>
        </w:rPr>
        <w:lastRenderedPageBreak/>
        <w:t>confidence in the financial soundness of the utility and should be adequate, under efficient and economical management, to maintain and support its credit and enable it to raise the money necessary for the proper discharge of its public duties.  A rate of return may be too high or too low by changes affecting opportunities for investment, the money market and business conditions generally.</w:t>
      </w:r>
    </w:p>
    <w:p w14:paraId="61AA9247" w14:textId="77777777" w:rsidR="00446EA6" w:rsidRPr="006A631A" w:rsidRDefault="00446EA6" w:rsidP="00DF6019">
      <w:pPr>
        <w:widowControl/>
        <w:spacing w:line="360" w:lineRule="auto"/>
        <w:ind w:left="1440" w:right="1440"/>
        <w:contextualSpacing/>
        <w:rPr>
          <w:rFonts w:eastAsiaTheme="minorHAnsi"/>
          <w:sz w:val="26"/>
          <w:szCs w:val="26"/>
        </w:rPr>
      </w:pPr>
    </w:p>
    <w:p w14:paraId="67BA9C3C" w14:textId="39DEC3AD" w:rsidR="00446EA6" w:rsidRPr="006A631A" w:rsidRDefault="00446EA6" w:rsidP="00F510B9">
      <w:pPr>
        <w:widowControl/>
        <w:spacing w:line="360" w:lineRule="auto"/>
        <w:ind w:right="1440"/>
        <w:contextualSpacing/>
        <w:rPr>
          <w:rFonts w:eastAsiaTheme="minorHAnsi"/>
          <w:sz w:val="26"/>
          <w:szCs w:val="26"/>
        </w:rPr>
      </w:pPr>
      <w:r w:rsidRPr="006A631A">
        <w:rPr>
          <w:rFonts w:eastAsiaTheme="minorHAnsi"/>
          <w:i/>
          <w:sz w:val="26"/>
          <w:szCs w:val="26"/>
        </w:rPr>
        <w:t>Bluefield</w:t>
      </w:r>
      <w:r w:rsidRPr="006A631A">
        <w:rPr>
          <w:rFonts w:eastAsiaTheme="minorHAnsi"/>
          <w:sz w:val="26"/>
          <w:szCs w:val="26"/>
        </w:rPr>
        <w:t>, 262 U.S. at 692-693.</w:t>
      </w:r>
    </w:p>
    <w:p w14:paraId="3205A2B5" w14:textId="77777777" w:rsidR="00142A6B" w:rsidRPr="006A631A" w:rsidRDefault="00142A6B" w:rsidP="00F510B9">
      <w:pPr>
        <w:widowControl/>
        <w:spacing w:line="360" w:lineRule="auto"/>
        <w:ind w:right="1440"/>
        <w:contextualSpacing/>
        <w:rPr>
          <w:rFonts w:eastAsiaTheme="minorHAnsi"/>
          <w:sz w:val="26"/>
          <w:szCs w:val="26"/>
        </w:rPr>
      </w:pPr>
    </w:p>
    <w:p w14:paraId="7D089FF5" w14:textId="2628B623" w:rsidR="00446EA6" w:rsidRPr="006A631A" w:rsidRDefault="00FE4ACE" w:rsidP="00F510B9">
      <w:pPr>
        <w:widowControl/>
        <w:tabs>
          <w:tab w:val="left" w:pos="-720"/>
        </w:tabs>
        <w:suppressAutoHyphens/>
        <w:spacing w:line="360" w:lineRule="auto"/>
        <w:ind w:firstLine="1440"/>
        <w:contextualSpacing/>
        <w:rPr>
          <w:sz w:val="26"/>
          <w:szCs w:val="26"/>
        </w:rPr>
      </w:pPr>
      <w:r w:rsidRPr="006A631A">
        <w:rPr>
          <w:sz w:val="26"/>
          <w:szCs w:val="26"/>
        </w:rPr>
        <w:t>PGW’s ratemaking process is based on a Cash Flow Ratemaking Method where its revenue requirement is the sum of operating expenses, debt service, and a “margin” sufficient to maintain the organization’s ability to attract capital on reasonable terms.</w:t>
      </w:r>
    </w:p>
    <w:p w14:paraId="152E796F" w14:textId="77777777" w:rsidR="00240BBC" w:rsidRPr="006A631A" w:rsidRDefault="00240BBC" w:rsidP="00F510B9">
      <w:pPr>
        <w:widowControl/>
        <w:tabs>
          <w:tab w:val="left" w:pos="-720"/>
        </w:tabs>
        <w:suppressAutoHyphens/>
        <w:spacing w:line="360" w:lineRule="auto"/>
        <w:ind w:firstLine="1440"/>
        <w:contextualSpacing/>
        <w:rPr>
          <w:rFonts w:eastAsiaTheme="minorHAnsi"/>
          <w:sz w:val="26"/>
          <w:szCs w:val="26"/>
        </w:rPr>
      </w:pPr>
    </w:p>
    <w:p w14:paraId="6E3ADB86" w14:textId="2A17DF2F" w:rsidR="00FE4ACE" w:rsidRPr="006A631A" w:rsidRDefault="00FE4ACE" w:rsidP="00F510B9">
      <w:pPr>
        <w:widowControl/>
        <w:tabs>
          <w:tab w:val="left" w:pos="-720"/>
        </w:tabs>
        <w:suppressAutoHyphens/>
        <w:spacing w:line="360" w:lineRule="auto"/>
        <w:ind w:firstLine="1440"/>
        <w:contextualSpacing/>
        <w:rPr>
          <w:rFonts w:eastAsiaTheme="minorHAnsi"/>
          <w:sz w:val="26"/>
          <w:szCs w:val="26"/>
        </w:rPr>
      </w:pPr>
      <w:r w:rsidRPr="006A631A">
        <w:rPr>
          <w:rFonts w:eastAsiaTheme="minorHAnsi"/>
          <w:sz w:val="26"/>
          <w:szCs w:val="26"/>
        </w:rPr>
        <w:t xml:space="preserve">In 2010, the Commission issued a policy statement setting forth the criteria and the financial and other considerations that are to be examined in setting PGW’s base rates at just and reasonable levels.  </w:t>
      </w:r>
      <w:r w:rsidRPr="006A631A">
        <w:rPr>
          <w:rFonts w:eastAsiaTheme="minorHAnsi"/>
          <w:i/>
          <w:iCs/>
          <w:sz w:val="26"/>
          <w:szCs w:val="26"/>
        </w:rPr>
        <w:t>See</w:t>
      </w:r>
      <w:r w:rsidRPr="006A631A">
        <w:rPr>
          <w:rFonts w:eastAsiaTheme="minorHAnsi"/>
          <w:sz w:val="26"/>
          <w:szCs w:val="26"/>
        </w:rPr>
        <w:t xml:space="preserve"> 52 Pa. Code §§ 69.2701-2703.  In its Policy Statement, the Commission described the requirements of the Cash Flow Method as follows:  </w:t>
      </w:r>
    </w:p>
    <w:p w14:paraId="630491FA" w14:textId="77777777" w:rsidR="00FE4ACE" w:rsidRPr="006A631A" w:rsidRDefault="00FE4ACE" w:rsidP="006A631A">
      <w:pPr>
        <w:widowControl/>
        <w:tabs>
          <w:tab w:val="left" w:pos="-720"/>
        </w:tabs>
        <w:suppressAutoHyphens/>
        <w:ind w:firstLine="1440"/>
        <w:contextualSpacing/>
        <w:rPr>
          <w:rFonts w:eastAsiaTheme="minorHAnsi"/>
          <w:sz w:val="26"/>
          <w:szCs w:val="26"/>
        </w:rPr>
      </w:pPr>
    </w:p>
    <w:p w14:paraId="4160FCC3" w14:textId="1692D87C" w:rsidR="00FE4ACE" w:rsidRPr="006A631A" w:rsidRDefault="00FE4ACE" w:rsidP="00C50F92">
      <w:pPr>
        <w:widowControl/>
        <w:tabs>
          <w:tab w:val="left" w:pos="-720"/>
        </w:tabs>
        <w:suppressAutoHyphens/>
        <w:ind w:left="1440" w:right="1440"/>
        <w:contextualSpacing/>
        <w:rPr>
          <w:rFonts w:eastAsiaTheme="minorHAnsi"/>
          <w:sz w:val="26"/>
          <w:szCs w:val="26"/>
        </w:rPr>
      </w:pPr>
      <w:r w:rsidRPr="006A631A">
        <w:rPr>
          <w:rFonts w:eastAsiaTheme="minorHAnsi"/>
          <w:sz w:val="26"/>
          <w:szCs w:val="26"/>
        </w:rPr>
        <w:t xml:space="preserve">(b) </w:t>
      </w:r>
      <w:r w:rsidR="00C50F92" w:rsidRPr="006A631A">
        <w:rPr>
          <w:rFonts w:eastAsiaTheme="minorHAnsi"/>
          <w:sz w:val="26"/>
          <w:szCs w:val="26"/>
        </w:rPr>
        <w:tab/>
      </w:r>
      <w:r w:rsidRPr="006A631A">
        <w:rPr>
          <w:rFonts w:eastAsiaTheme="minorHAnsi"/>
          <w:sz w:val="26"/>
          <w:szCs w:val="26"/>
        </w:rPr>
        <w:t>The Commission is obligated under law to use the cash flow methodology to determine PGW’s just and reasonable rates. Included in that requirement is the subsidiary obligation to provide revenue allowances from rates adequate to cover its reasonable and prudent operating expenses, depreciation allowances and debt service, as well as sufficient margins to meet bond coverage requirements and other internally generated funds over and above its bond coverage requirements, as the Commission deems appropriate and in the public interest for purposes such as capital improvements, retirement of debt and working capital.</w:t>
      </w:r>
    </w:p>
    <w:p w14:paraId="40CD8F9E" w14:textId="77777777" w:rsidR="00FE4ACE" w:rsidRPr="006A631A" w:rsidRDefault="00FE4ACE" w:rsidP="00F510B9">
      <w:pPr>
        <w:widowControl/>
        <w:tabs>
          <w:tab w:val="left" w:pos="-720"/>
        </w:tabs>
        <w:suppressAutoHyphens/>
        <w:spacing w:line="360" w:lineRule="auto"/>
        <w:contextualSpacing/>
        <w:rPr>
          <w:rFonts w:eastAsiaTheme="minorHAnsi"/>
          <w:sz w:val="26"/>
          <w:szCs w:val="26"/>
        </w:rPr>
      </w:pPr>
    </w:p>
    <w:p w14:paraId="290B84E1" w14:textId="77777777" w:rsidR="00FE4ACE" w:rsidRPr="006A631A" w:rsidRDefault="00FE4ACE" w:rsidP="00F510B9">
      <w:pPr>
        <w:widowControl/>
        <w:tabs>
          <w:tab w:val="left" w:pos="-720"/>
        </w:tabs>
        <w:suppressAutoHyphens/>
        <w:spacing w:line="360" w:lineRule="auto"/>
        <w:contextualSpacing/>
        <w:rPr>
          <w:rFonts w:eastAsiaTheme="minorHAnsi"/>
          <w:sz w:val="26"/>
          <w:szCs w:val="26"/>
        </w:rPr>
      </w:pPr>
      <w:r w:rsidRPr="006A631A">
        <w:rPr>
          <w:rFonts w:eastAsiaTheme="minorHAnsi"/>
          <w:sz w:val="26"/>
          <w:szCs w:val="26"/>
        </w:rPr>
        <w:lastRenderedPageBreak/>
        <w:t>52 Pa. Code § 69.2702(b).  The Commission also stated that, in determining just and reasonable rate levels for PGW it would consider, among other relevant factors, the following financial factors:</w:t>
      </w:r>
    </w:p>
    <w:p w14:paraId="39F57578" w14:textId="77777777" w:rsidR="00FE4ACE" w:rsidRPr="006A631A" w:rsidRDefault="00FE4ACE" w:rsidP="009B1BF5">
      <w:pPr>
        <w:widowControl/>
        <w:tabs>
          <w:tab w:val="left" w:pos="-720"/>
        </w:tabs>
        <w:suppressAutoHyphens/>
        <w:contextualSpacing/>
        <w:rPr>
          <w:rFonts w:eastAsiaTheme="minorHAnsi"/>
          <w:sz w:val="26"/>
          <w:szCs w:val="26"/>
        </w:rPr>
      </w:pPr>
    </w:p>
    <w:p w14:paraId="18A84C3F" w14:textId="77777777" w:rsidR="00FE4ACE" w:rsidRPr="006A631A" w:rsidRDefault="00FE4ACE" w:rsidP="00C50F92">
      <w:pPr>
        <w:pStyle w:val="ListParagraph"/>
        <w:widowControl/>
        <w:numPr>
          <w:ilvl w:val="0"/>
          <w:numId w:val="6"/>
        </w:numPr>
        <w:tabs>
          <w:tab w:val="left" w:pos="-720"/>
        </w:tabs>
        <w:suppressAutoHyphens/>
        <w:ind w:left="2160" w:right="1440" w:hanging="720"/>
        <w:rPr>
          <w:rFonts w:eastAsiaTheme="minorHAnsi"/>
          <w:sz w:val="26"/>
          <w:szCs w:val="26"/>
        </w:rPr>
      </w:pPr>
      <w:r w:rsidRPr="006A631A">
        <w:rPr>
          <w:rFonts w:eastAsiaTheme="minorHAnsi"/>
          <w:sz w:val="26"/>
          <w:szCs w:val="26"/>
        </w:rPr>
        <w:t>PGW’s test year-end and (as a check) projected future levels of non-borrowed year-end cash.</w:t>
      </w:r>
    </w:p>
    <w:p w14:paraId="0B81C397" w14:textId="77777777" w:rsidR="00FE4ACE" w:rsidRPr="006A631A" w:rsidRDefault="00FE4ACE" w:rsidP="00C50F92">
      <w:pPr>
        <w:pStyle w:val="ListParagraph"/>
        <w:widowControl/>
        <w:tabs>
          <w:tab w:val="left" w:pos="-720"/>
        </w:tabs>
        <w:suppressAutoHyphens/>
        <w:ind w:left="2160" w:right="1440" w:hanging="720"/>
        <w:rPr>
          <w:rFonts w:eastAsiaTheme="minorHAnsi"/>
          <w:sz w:val="26"/>
          <w:szCs w:val="26"/>
        </w:rPr>
      </w:pPr>
    </w:p>
    <w:p w14:paraId="0C391BE6" w14:textId="77777777" w:rsidR="00FE4ACE" w:rsidRPr="006A631A" w:rsidRDefault="00FE4ACE" w:rsidP="00C50F92">
      <w:pPr>
        <w:pStyle w:val="ListParagraph"/>
        <w:widowControl/>
        <w:numPr>
          <w:ilvl w:val="0"/>
          <w:numId w:val="6"/>
        </w:numPr>
        <w:tabs>
          <w:tab w:val="left" w:pos="-720"/>
        </w:tabs>
        <w:suppressAutoHyphens/>
        <w:ind w:left="2160" w:right="1440" w:hanging="720"/>
        <w:rPr>
          <w:rFonts w:eastAsiaTheme="minorHAnsi"/>
          <w:sz w:val="26"/>
          <w:szCs w:val="26"/>
        </w:rPr>
      </w:pPr>
      <w:r w:rsidRPr="006A631A">
        <w:rPr>
          <w:rFonts w:eastAsiaTheme="minorHAnsi"/>
          <w:sz w:val="26"/>
          <w:szCs w:val="26"/>
        </w:rPr>
        <w:t>Available short-term borrowing capacity and internal generation of funds to fund construction.</w:t>
      </w:r>
    </w:p>
    <w:p w14:paraId="05F00832" w14:textId="77777777" w:rsidR="00FE4ACE" w:rsidRPr="006A631A" w:rsidRDefault="00FE4ACE" w:rsidP="00C50F92">
      <w:pPr>
        <w:pStyle w:val="ListParagraph"/>
        <w:widowControl/>
        <w:ind w:left="2160" w:hanging="720"/>
        <w:rPr>
          <w:rFonts w:eastAsiaTheme="minorHAnsi"/>
          <w:sz w:val="26"/>
          <w:szCs w:val="26"/>
        </w:rPr>
      </w:pPr>
    </w:p>
    <w:p w14:paraId="64771E22" w14:textId="77777777" w:rsidR="00FE4ACE" w:rsidRPr="006A631A" w:rsidRDefault="00FE4ACE" w:rsidP="00C50F92">
      <w:pPr>
        <w:pStyle w:val="ListParagraph"/>
        <w:widowControl/>
        <w:numPr>
          <w:ilvl w:val="0"/>
          <w:numId w:val="6"/>
        </w:numPr>
        <w:tabs>
          <w:tab w:val="left" w:pos="-720"/>
        </w:tabs>
        <w:suppressAutoHyphens/>
        <w:ind w:left="2160" w:right="1440" w:hanging="720"/>
        <w:rPr>
          <w:rFonts w:eastAsiaTheme="minorHAnsi"/>
          <w:sz w:val="26"/>
          <w:szCs w:val="26"/>
        </w:rPr>
      </w:pPr>
      <w:r w:rsidRPr="006A631A">
        <w:rPr>
          <w:rFonts w:eastAsiaTheme="minorHAnsi"/>
          <w:sz w:val="26"/>
          <w:szCs w:val="26"/>
        </w:rPr>
        <w:t>Debt to equity ratios and financial performance of similarly situated utility enterprises.</w:t>
      </w:r>
    </w:p>
    <w:p w14:paraId="48CBF27D" w14:textId="77777777" w:rsidR="00FE4ACE" w:rsidRPr="006A631A" w:rsidRDefault="00FE4ACE" w:rsidP="00C50F92">
      <w:pPr>
        <w:pStyle w:val="ListParagraph"/>
        <w:widowControl/>
        <w:ind w:left="2160" w:hanging="720"/>
        <w:rPr>
          <w:rFonts w:eastAsiaTheme="minorHAnsi"/>
          <w:sz w:val="26"/>
          <w:szCs w:val="26"/>
        </w:rPr>
      </w:pPr>
    </w:p>
    <w:p w14:paraId="53229414" w14:textId="77777777" w:rsidR="00FE4ACE" w:rsidRPr="006A631A" w:rsidRDefault="00FE4ACE" w:rsidP="00C50F92">
      <w:pPr>
        <w:pStyle w:val="ListParagraph"/>
        <w:widowControl/>
        <w:numPr>
          <w:ilvl w:val="0"/>
          <w:numId w:val="6"/>
        </w:numPr>
        <w:tabs>
          <w:tab w:val="left" w:pos="-720"/>
        </w:tabs>
        <w:suppressAutoHyphens/>
        <w:ind w:left="2160" w:right="1440" w:hanging="720"/>
        <w:rPr>
          <w:rFonts w:eastAsiaTheme="minorHAnsi"/>
          <w:sz w:val="26"/>
          <w:szCs w:val="26"/>
        </w:rPr>
      </w:pPr>
      <w:r w:rsidRPr="006A631A">
        <w:rPr>
          <w:rFonts w:eastAsiaTheme="minorHAnsi"/>
          <w:sz w:val="26"/>
          <w:szCs w:val="26"/>
        </w:rPr>
        <w:t>Level of operating and other expenses in comparison to similarly situated utility enterprises.</w:t>
      </w:r>
    </w:p>
    <w:p w14:paraId="7097A7F7" w14:textId="77777777" w:rsidR="00FE4ACE" w:rsidRPr="006A631A" w:rsidRDefault="00FE4ACE" w:rsidP="00C50F92">
      <w:pPr>
        <w:pStyle w:val="ListParagraph"/>
        <w:widowControl/>
        <w:ind w:left="2160" w:hanging="720"/>
        <w:rPr>
          <w:rFonts w:eastAsiaTheme="minorHAnsi"/>
          <w:sz w:val="26"/>
          <w:szCs w:val="26"/>
        </w:rPr>
      </w:pPr>
    </w:p>
    <w:p w14:paraId="0513B3BB" w14:textId="77777777" w:rsidR="00FE4ACE" w:rsidRPr="006A631A" w:rsidRDefault="00FE4ACE" w:rsidP="00C50F92">
      <w:pPr>
        <w:pStyle w:val="ListParagraph"/>
        <w:widowControl/>
        <w:numPr>
          <w:ilvl w:val="0"/>
          <w:numId w:val="6"/>
        </w:numPr>
        <w:tabs>
          <w:tab w:val="left" w:pos="-720"/>
        </w:tabs>
        <w:suppressAutoHyphens/>
        <w:ind w:left="2160" w:right="1440" w:hanging="720"/>
        <w:rPr>
          <w:rFonts w:eastAsiaTheme="minorHAnsi"/>
          <w:sz w:val="26"/>
          <w:szCs w:val="26"/>
        </w:rPr>
      </w:pPr>
      <w:r w:rsidRPr="006A631A">
        <w:rPr>
          <w:rFonts w:eastAsiaTheme="minorHAnsi"/>
          <w:sz w:val="26"/>
          <w:szCs w:val="26"/>
        </w:rPr>
        <w:t>Level of financial performance needed to maintain or improve PGW’s bond rating thereby permitting PGW to access the capital markets at the lowest reasonable costs to customers over time.</w:t>
      </w:r>
    </w:p>
    <w:p w14:paraId="5FE2D04B" w14:textId="77777777" w:rsidR="00FE4ACE" w:rsidRPr="006A631A" w:rsidRDefault="00FE4ACE" w:rsidP="00C50F92">
      <w:pPr>
        <w:pStyle w:val="ListParagraph"/>
        <w:widowControl/>
        <w:ind w:left="2160" w:hanging="720"/>
        <w:rPr>
          <w:rFonts w:eastAsiaTheme="minorHAnsi"/>
          <w:sz w:val="26"/>
          <w:szCs w:val="26"/>
        </w:rPr>
      </w:pPr>
    </w:p>
    <w:p w14:paraId="1B5DB267" w14:textId="77777777" w:rsidR="00FE4ACE" w:rsidRPr="006A631A" w:rsidRDefault="00FE4ACE" w:rsidP="00C50F92">
      <w:pPr>
        <w:pStyle w:val="ListParagraph"/>
        <w:widowControl/>
        <w:numPr>
          <w:ilvl w:val="0"/>
          <w:numId w:val="6"/>
        </w:numPr>
        <w:tabs>
          <w:tab w:val="left" w:pos="-720"/>
        </w:tabs>
        <w:suppressAutoHyphens/>
        <w:ind w:left="2160" w:right="1440" w:hanging="720"/>
        <w:rPr>
          <w:rFonts w:eastAsiaTheme="minorHAnsi"/>
          <w:sz w:val="26"/>
          <w:szCs w:val="26"/>
        </w:rPr>
      </w:pPr>
      <w:r w:rsidRPr="006A631A">
        <w:rPr>
          <w:rFonts w:eastAsiaTheme="minorHAnsi"/>
          <w:sz w:val="26"/>
          <w:szCs w:val="26"/>
        </w:rPr>
        <w:t xml:space="preserve">PGW’s management quality, </w:t>
      </w:r>
      <w:proofErr w:type="gramStart"/>
      <w:r w:rsidRPr="006A631A">
        <w:rPr>
          <w:rFonts w:eastAsiaTheme="minorHAnsi"/>
          <w:sz w:val="26"/>
          <w:szCs w:val="26"/>
        </w:rPr>
        <w:t>efficiency</w:t>
      </w:r>
      <w:proofErr w:type="gramEnd"/>
      <w:r w:rsidRPr="006A631A">
        <w:rPr>
          <w:rFonts w:eastAsiaTheme="minorHAnsi"/>
          <w:sz w:val="26"/>
          <w:szCs w:val="26"/>
        </w:rPr>
        <w:t xml:space="preserve"> and effectiveness.</w:t>
      </w:r>
    </w:p>
    <w:p w14:paraId="7491D522" w14:textId="77777777" w:rsidR="00FE4ACE" w:rsidRPr="006A631A" w:rsidRDefault="00FE4ACE" w:rsidP="00C50F92">
      <w:pPr>
        <w:pStyle w:val="ListParagraph"/>
        <w:widowControl/>
        <w:ind w:left="2160" w:hanging="720"/>
        <w:rPr>
          <w:rFonts w:eastAsiaTheme="minorHAnsi"/>
          <w:sz w:val="26"/>
          <w:szCs w:val="26"/>
        </w:rPr>
      </w:pPr>
    </w:p>
    <w:p w14:paraId="19AA70A4" w14:textId="77777777" w:rsidR="00FE4ACE" w:rsidRPr="006A631A" w:rsidRDefault="00FE4ACE" w:rsidP="00C50F92">
      <w:pPr>
        <w:pStyle w:val="ListParagraph"/>
        <w:widowControl/>
        <w:numPr>
          <w:ilvl w:val="0"/>
          <w:numId w:val="6"/>
        </w:numPr>
        <w:tabs>
          <w:tab w:val="left" w:pos="-720"/>
        </w:tabs>
        <w:suppressAutoHyphens/>
        <w:ind w:left="2160" w:right="1440" w:hanging="720"/>
        <w:rPr>
          <w:rFonts w:eastAsiaTheme="minorHAnsi"/>
          <w:sz w:val="26"/>
          <w:szCs w:val="26"/>
        </w:rPr>
      </w:pPr>
      <w:r w:rsidRPr="006A631A">
        <w:rPr>
          <w:rFonts w:eastAsiaTheme="minorHAnsi"/>
          <w:sz w:val="26"/>
          <w:szCs w:val="26"/>
        </w:rPr>
        <w:t>Service quality and reliability.</w:t>
      </w:r>
    </w:p>
    <w:p w14:paraId="3AAFFDA6" w14:textId="77777777" w:rsidR="00FE4ACE" w:rsidRPr="006A631A" w:rsidRDefault="00FE4ACE" w:rsidP="00C50F92">
      <w:pPr>
        <w:pStyle w:val="ListParagraph"/>
        <w:widowControl/>
        <w:ind w:left="2160" w:hanging="720"/>
        <w:rPr>
          <w:rFonts w:eastAsiaTheme="minorHAnsi"/>
          <w:sz w:val="26"/>
          <w:szCs w:val="26"/>
        </w:rPr>
      </w:pPr>
    </w:p>
    <w:p w14:paraId="0CA29A61" w14:textId="77777777" w:rsidR="00FE4ACE" w:rsidRPr="006A631A" w:rsidRDefault="00FE4ACE" w:rsidP="000C2E03">
      <w:pPr>
        <w:pStyle w:val="ListParagraph"/>
        <w:keepNext/>
        <w:widowControl/>
        <w:numPr>
          <w:ilvl w:val="0"/>
          <w:numId w:val="6"/>
        </w:numPr>
        <w:tabs>
          <w:tab w:val="left" w:pos="-720"/>
        </w:tabs>
        <w:suppressAutoHyphens/>
        <w:ind w:left="2160" w:right="1440" w:hanging="720"/>
        <w:rPr>
          <w:rFonts w:eastAsiaTheme="minorHAnsi"/>
          <w:sz w:val="26"/>
          <w:szCs w:val="26"/>
        </w:rPr>
      </w:pPr>
      <w:r w:rsidRPr="006A631A">
        <w:rPr>
          <w:rFonts w:eastAsiaTheme="minorHAnsi"/>
          <w:sz w:val="26"/>
          <w:szCs w:val="26"/>
        </w:rPr>
        <w:t>Effect on universal service.</w:t>
      </w:r>
    </w:p>
    <w:p w14:paraId="5509433E" w14:textId="77777777" w:rsidR="00FE4ACE" w:rsidRPr="006A631A" w:rsidRDefault="00FE4ACE" w:rsidP="000C2E03">
      <w:pPr>
        <w:pStyle w:val="ListParagraph"/>
        <w:keepNext/>
        <w:widowControl/>
        <w:spacing w:line="360" w:lineRule="auto"/>
        <w:rPr>
          <w:rFonts w:eastAsiaTheme="minorHAnsi"/>
          <w:sz w:val="26"/>
          <w:szCs w:val="26"/>
        </w:rPr>
      </w:pPr>
    </w:p>
    <w:p w14:paraId="5F6590B7" w14:textId="77777777" w:rsidR="00FE4ACE" w:rsidRPr="006A631A" w:rsidRDefault="00FE4ACE" w:rsidP="000C2E03">
      <w:pPr>
        <w:keepNext/>
        <w:widowControl/>
        <w:tabs>
          <w:tab w:val="left" w:pos="-720"/>
        </w:tabs>
        <w:suppressAutoHyphens/>
        <w:spacing w:line="360" w:lineRule="auto"/>
        <w:ind w:right="1440"/>
        <w:rPr>
          <w:rFonts w:eastAsiaTheme="minorHAnsi"/>
          <w:sz w:val="26"/>
          <w:szCs w:val="26"/>
        </w:rPr>
      </w:pPr>
      <w:r w:rsidRPr="006A631A">
        <w:rPr>
          <w:rFonts w:eastAsiaTheme="minorHAnsi"/>
          <w:sz w:val="26"/>
          <w:szCs w:val="26"/>
        </w:rPr>
        <w:t>52 Pa. Code § 69.2703.</w:t>
      </w:r>
    </w:p>
    <w:p w14:paraId="02E03416" w14:textId="77777777" w:rsidR="00FE4ACE" w:rsidRPr="006A631A" w:rsidRDefault="00FE4ACE" w:rsidP="00F510B9">
      <w:pPr>
        <w:widowControl/>
        <w:tabs>
          <w:tab w:val="left" w:pos="-720"/>
        </w:tabs>
        <w:suppressAutoHyphens/>
        <w:spacing w:line="360" w:lineRule="auto"/>
        <w:ind w:firstLine="1440"/>
        <w:contextualSpacing/>
        <w:rPr>
          <w:rFonts w:eastAsiaTheme="minorHAnsi"/>
          <w:sz w:val="26"/>
          <w:szCs w:val="26"/>
        </w:rPr>
      </w:pPr>
    </w:p>
    <w:p w14:paraId="4EED6500" w14:textId="77777777" w:rsidR="00446EA6" w:rsidRPr="006A631A" w:rsidRDefault="00446EA6" w:rsidP="00F510B9">
      <w:pPr>
        <w:widowControl/>
        <w:spacing w:line="360" w:lineRule="auto"/>
        <w:ind w:firstLine="1440"/>
        <w:contextualSpacing/>
        <w:rPr>
          <w:rFonts w:eastAsiaTheme="minorHAnsi"/>
          <w:sz w:val="26"/>
          <w:szCs w:val="26"/>
        </w:rPr>
      </w:pPr>
      <w:r w:rsidRPr="006A631A">
        <w:rPr>
          <w:rFonts w:eastAsiaTheme="minorHAnsi"/>
          <w:sz w:val="26"/>
          <w:szCs w:val="26"/>
        </w:rPr>
        <w:t>The burden of proof to establish the justness and reasonableness of every element of a public utility’s rate increase request rests solely upon the public utility in all proceedings filed under Section 1308(d) of the Code.  The standard to be met by the public utility is set forth in Section 315(a) of the Code, 66 Pa. C.S. § 315(a), as follows:</w:t>
      </w:r>
    </w:p>
    <w:p w14:paraId="04489987" w14:textId="77777777" w:rsidR="00446EA6" w:rsidRPr="006A631A" w:rsidRDefault="00446EA6" w:rsidP="00F510B9">
      <w:pPr>
        <w:widowControl/>
        <w:spacing w:line="360" w:lineRule="auto"/>
        <w:ind w:left="1440" w:right="1440"/>
        <w:contextualSpacing/>
        <w:rPr>
          <w:rFonts w:eastAsiaTheme="minorHAnsi"/>
          <w:b/>
          <w:sz w:val="26"/>
          <w:szCs w:val="26"/>
        </w:rPr>
      </w:pPr>
    </w:p>
    <w:p w14:paraId="7036926D" w14:textId="77777777" w:rsidR="00446EA6" w:rsidRPr="006A631A" w:rsidRDefault="00446EA6" w:rsidP="00F510B9">
      <w:pPr>
        <w:keepNext/>
        <w:keepLines/>
        <w:widowControl/>
        <w:ind w:left="1440" w:right="1440"/>
        <w:contextualSpacing/>
        <w:rPr>
          <w:rFonts w:eastAsiaTheme="minorHAnsi"/>
          <w:sz w:val="26"/>
          <w:szCs w:val="26"/>
        </w:rPr>
      </w:pPr>
      <w:r w:rsidRPr="006A631A">
        <w:rPr>
          <w:rFonts w:eastAsiaTheme="minorHAnsi"/>
          <w:b/>
          <w:sz w:val="26"/>
          <w:szCs w:val="26"/>
        </w:rPr>
        <w:lastRenderedPageBreak/>
        <w:t>Reasonableness of rates.</w:t>
      </w:r>
      <w:r w:rsidRPr="006A631A">
        <w:rPr>
          <w:rFonts w:eastAsiaTheme="minorHAnsi"/>
          <w:sz w:val="26"/>
          <w:szCs w:val="26"/>
        </w:rPr>
        <w:t xml:space="preserve"> – In any proceeding upon the motion of the commission, involving any proposed or existing rate of any public utility, or in any proceedings upon complaint involving any proposed increase in rates, the burden of proof to show that the rate involved is just and reasonable shall be upon the public utility.</w:t>
      </w:r>
    </w:p>
    <w:p w14:paraId="789C5D40" w14:textId="77777777" w:rsidR="00446EA6" w:rsidRPr="006A631A" w:rsidRDefault="00446EA6" w:rsidP="00F510B9">
      <w:pPr>
        <w:keepNext/>
        <w:keepLines/>
        <w:widowControl/>
        <w:ind w:left="1440" w:right="1440"/>
        <w:contextualSpacing/>
        <w:rPr>
          <w:rFonts w:eastAsiaTheme="minorHAnsi"/>
          <w:sz w:val="26"/>
          <w:szCs w:val="26"/>
        </w:rPr>
      </w:pPr>
    </w:p>
    <w:p w14:paraId="21B2519E" w14:textId="77777777" w:rsidR="00446EA6" w:rsidRPr="006A631A" w:rsidRDefault="00446EA6" w:rsidP="00F510B9">
      <w:pPr>
        <w:keepNext/>
        <w:keepLines/>
        <w:widowControl/>
        <w:ind w:left="1440" w:right="1440"/>
        <w:contextualSpacing/>
        <w:rPr>
          <w:rFonts w:eastAsiaTheme="minorHAnsi"/>
          <w:sz w:val="26"/>
          <w:szCs w:val="26"/>
        </w:rPr>
      </w:pPr>
    </w:p>
    <w:p w14:paraId="50F1ED7E" w14:textId="77777777" w:rsidR="00446EA6" w:rsidRPr="006A631A" w:rsidRDefault="00446EA6" w:rsidP="00F510B9">
      <w:pPr>
        <w:widowControl/>
        <w:spacing w:line="360" w:lineRule="auto"/>
        <w:ind w:firstLine="1440"/>
        <w:contextualSpacing/>
        <w:rPr>
          <w:rFonts w:eastAsiaTheme="minorHAnsi"/>
          <w:sz w:val="26"/>
          <w:szCs w:val="26"/>
        </w:rPr>
      </w:pPr>
      <w:r w:rsidRPr="006A631A">
        <w:rPr>
          <w:rFonts w:eastAsiaTheme="minorHAnsi"/>
          <w:sz w:val="26"/>
          <w:szCs w:val="26"/>
        </w:rPr>
        <w:t>In reviewing Section 315(a) of the Code, the Pennsylvania Commonwealth Court interpreted a public utility’s burden of proof in a rate proceeding as follows:</w:t>
      </w:r>
    </w:p>
    <w:p w14:paraId="6C30E578" w14:textId="77777777" w:rsidR="00446EA6" w:rsidRPr="006A631A" w:rsidRDefault="00446EA6" w:rsidP="00B81CE1">
      <w:pPr>
        <w:widowControl/>
        <w:ind w:firstLine="1440"/>
        <w:contextualSpacing/>
        <w:rPr>
          <w:rFonts w:eastAsiaTheme="minorHAnsi"/>
          <w:sz w:val="26"/>
          <w:szCs w:val="26"/>
        </w:rPr>
      </w:pPr>
    </w:p>
    <w:p w14:paraId="2AE01F9C" w14:textId="77777777" w:rsidR="00446EA6" w:rsidRPr="006A631A" w:rsidRDefault="00446EA6" w:rsidP="00F510B9">
      <w:pPr>
        <w:widowControl/>
        <w:ind w:left="1440" w:right="1296"/>
        <w:contextualSpacing/>
        <w:rPr>
          <w:rFonts w:eastAsiaTheme="minorHAnsi"/>
          <w:sz w:val="26"/>
          <w:szCs w:val="26"/>
        </w:rPr>
      </w:pPr>
      <w:r w:rsidRPr="006A631A">
        <w:rPr>
          <w:rFonts w:eastAsiaTheme="minorHAnsi"/>
          <w:sz w:val="26"/>
          <w:szCs w:val="26"/>
        </w:rPr>
        <w:t xml:space="preserve">Section 315(a) of the Public Utility Code, 66 Pa. C.S. § 315(a), places the burden of proving the justness and reasonableness of a proposed rate hike squarely on the public utility.  </w:t>
      </w:r>
      <w:r w:rsidRPr="006A631A">
        <w:rPr>
          <w:rFonts w:eastAsiaTheme="minorHAnsi"/>
          <w:i/>
          <w:sz w:val="26"/>
          <w:szCs w:val="26"/>
        </w:rPr>
        <w:t>It is well-established that the evidence adduced by a utility to meet this burden must be substantial</w:t>
      </w:r>
      <w:r w:rsidRPr="006A631A">
        <w:rPr>
          <w:rFonts w:eastAsiaTheme="minorHAnsi"/>
          <w:sz w:val="26"/>
          <w:szCs w:val="26"/>
        </w:rPr>
        <w:t>.</w:t>
      </w:r>
    </w:p>
    <w:p w14:paraId="18B8682A" w14:textId="77777777" w:rsidR="00446EA6" w:rsidRPr="006A631A" w:rsidRDefault="00446EA6" w:rsidP="00B81CE1">
      <w:pPr>
        <w:widowControl/>
        <w:spacing w:line="360" w:lineRule="auto"/>
        <w:ind w:right="1296"/>
        <w:contextualSpacing/>
        <w:rPr>
          <w:rFonts w:eastAsiaTheme="minorHAnsi"/>
          <w:sz w:val="26"/>
          <w:szCs w:val="26"/>
        </w:rPr>
      </w:pPr>
    </w:p>
    <w:p w14:paraId="7580C1EF" w14:textId="6808E0CD" w:rsidR="00446EA6" w:rsidRPr="006A631A" w:rsidRDefault="00446EA6" w:rsidP="00F510B9">
      <w:pPr>
        <w:widowControl/>
        <w:spacing w:line="360" w:lineRule="auto"/>
        <w:contextualSpacing/>
        <w:rPr>
          <w:rFonts w:eastAsiaTheme="minorHAnsi"/>
          <w:sz w:val="26"/>
          <w:szCs w:val="26"/>
        </w:rPr>
      </w:pPr>
      <w:r w:rsidRPr="006A631A">
        <w:rPr>
          <w:rFonts w:eastAsiaTheme="minorHAnsi"/>
          <w:i/>
          <w:sz w:val="26"/>
          <w:szCs w:val="26"/>
        </w:rPr>
        <w:t>Lower Frederick Twp. Water Co. v. Pa. PUC</w:t>
      </w:r>
      <w:r w:rsidRPr="006A631A">
        <w:rPr>
          <w:rFonts w:eastAsiaTheme="minorHAnsi"/>
          <w:sz w:val="26"/>
          <w:szCs w:val="26"/>
        </w:rPr>
        <w:t xml:space="preserve">, 409 A.2d 505, 507 (Pa. Cmwlth. 1980) (emphasis added).  </w:t>
      </w:r>
      <w:r w:rsidRPr="006A631A">
        <w:rPr>
          <w:rFonts w:eastAsiaTheme="minorHAnsi"/>
          <w:i/>
          <w:sz w:val="26"/>
          <w:szCs w:val="26"/>
        </w:rPr>
        <w:t>See also</w:t>
      </w:r>
      <w:r w:rsidRPr="006A631A">
        <w:rPr>
          <w:rFonts w:eastAsiaTheme="minorHAnsi"/>
          <w:sz w:val="26"/>
          <w:szCs w:val="26"/>
        </w:rPr>
        <w:t xml:space="preserve">, </w:t>
      </w:r>
      <w:r w:rsidRPr="006A631A">
        <w:rPr>
          <w:rFonts w:eastAsiaTheme="minorHAnsi"/>
          <w:i/>
          <w:sz w:val="26"/>
          <w:szCs w:val="26"/>
        </w:rPr>
        <w:t>Brockway Glass Co. v. Pa. PUC</w:t>
      </w:r>
      <w:r w:rsidRPr="006A631A">
        <w:rPr>
          <w:rFonts w:eastAsiaTheme="minorHAnsi"/>
          <w:sz w:val="26"/>
          <w:szCs w:val="26"/>
        </w:rPr>
        <w:t>, 437 A.2d 1067 (Pa.</w:t>
      </w:r>
      <w:r w:rsidR="00B81CE1">
        <w:rPr>
          <w:rFonts w:eastAsiaTheme="minorHAnsi"/>
          <w:sz w:val="26"/>
          <w:szCs w:val="26"/>
        </w:rPr>
        <w:t> </w:t>
      </w:r>
      <w:r w:rsidRPr="006A631A">
        <w:rPr>
          <w:rFonts w:eastAsiaTheme="minorHAnsi"/>
          <w:sz w:val="26"/>
          <w:szCs w:val="26"/>
        </w:rPr>
        <w:t>Cmwlth. 1981).</w:t>
      </w:r>
    </w:p>
    <w:p w14:paraId="679CF43E" w14:textId="77777777" w:rsidR="00446EA6" w:rsidRPr="006A631A" w:rsidRDefault="00446EA6" w:rsidP="00F510B9">
      <w:pPr>
        <w:widowControl/>
        <w:spacing w:line="360" w:lineRule="auto"/>
        <w:contextualSpacing/>
        <w:rPr>
          <w:rFonts w:eastAsiaTheme="minorHAnsi"/>
          <w:sz w:val="26"/>
          <w:szCs w:val="26"/>
        </w:rPr>
      </w:pPr>
    </w:p>
    <w:p w14:paraId="0B52E9A2" w14:textId="77777777" w:rsidR="00446EA6" w:rsidRPr="006A631A" w:rsidRDefault="00446EA6" w:rsidP="00F510B9">
      <w:pPr>
        <w:widowControl/>
        <w:spacing w:line="360" w:lineRule="auto"/>
        <w:ind w:firstLine="1440"/>
        <w:contextualSpacing/>
        <w:rPr>
          <w:rFonts w:eastAsiaTheme="minorHAnsi"/>
          <w:sz w:val="26"/>
          <w:szCs w:val="26"/>
        </w:rPr>
      </w:pPr>
      <w:r w:rsidRPr="006A631A">
        <w:rPr>
          <w:rFonts w:eastAsiaTheme="minorHAnsi"/>
          <w:sz w:val="26"/>
          <w:szCs w:val="26"/>
        </w:rPr>
        <w:t>In general rate increase proceedings, it is well established that the burden of proof does not shift to parties challenging a requested rate increase.  Rather, the utility’s burden of establishing the justness and reasonableness of every component of its rate request is an affirmative one, and that burden remains with the public utility throughout the course of the rate proceeding.  There is no similar burden placed on parties to justify a proposed adjustment to the Company’s filing.  The Pennsylvania Supreme Court has held:</w:t>
      </w:r>
    </w:p>
    <w:p w14:paraId="06D9B00A" w14:textId="77777777" w:rsidR="00446EA6" w:rsidRPr="006A631A" w:rsidRDefault="00446EA6" w:rsidP="00B81CE1">
      <w:pPr>
        <w:widowControl/>
        <w:ind w:firstLine="1440"/>
        <w:contextualSpacing/>
        <w:rPr>
          <w:rFonts w:eastAsiaTheme="minorHAnsi"/>
          <w:sz w:val="26"/>
          <w:szCs w:val="26"/>
        </w:rPr>
      </w:pPr>
    </w:p>
    <w:p w14:paraId="68432E58" w14:textId="77777777" w:rsidR="00446EA6" w:rsidRPr="006A631A" w:rsidRDefault="00446EA6" w:rsidP="00F510B9">
      <w:pPr>
        <w:widowControl/>
        <w:ind w:left="1440" w:right="1296"/>
        <w:contextualSpacing/>
        <w:rPr>
          <w:rFonts w:eastAsiaTheme="minorHAnsi"/>
          <w:sz w:val="26"/>
          <w:szCs w:val="26"/>
        </w:rPr>
      </w:pPr>
      <w:r w:rsidRPr="006A631A">
        <w:rPr>
          <w:rFonts w:eastAsiaTheme="minorHAnsi"/>
          <w:sz w:val="26"/>
          <w:szCs w:val="26"/>
        </w:rPr>
        <w:t xml:space="preserve">[T]he appellants did not have the burden of proving that the plant additions were improper, </w:t>
      </w:r>
      <w:proofErr w:type="gramStart"/>
      <w:r w:rsidRPr="006A631A">
        <w:rPr>
          <w:rFonts w:eastAsiaTheme="minorHAnsi"/>
          <w:sz w:val="26"/>
          <w:szCs w:val="26"/>
        </w:rPr>
        <w:t>unnecessary</w:t>
      </w:r>
      <w:proofErr w:type="gramEnd"/>
      <w:r w:rsidRPr="006A631A">
        <w:rPr>
          <w:rFonts w:eastAsiaTheme="minorHAnsi"/>
          <w:sz w:val="26"/>
          <w:szCs w:val="26"/>
        </w:rPr>
        <w:t xml:space="preserve"> or too costly; on the contrary, that burden is, by statute, on the utility to </w:t>
      </w:r>
    </w:p>
    <w:p w14:paraId="7455E771" w14:textId="77777777" w:rsidR="00446EA6" w:rsidRPr="006A631A" w:rsidRDefault="00446EA6" w:rsidP="00F510B9">
      <w:pPr>
        <w:keepNext/>
        <w:keepLines/>
        <w:widowControl/>
        <w:ind w:left="1440" w:right="1296"/>
        <w:contextualSpacing/>
        <w:rPr>
          <w:rFonts w:eastAsiaTheme="minorHAnsi"/>
          <w:sz w:val="26"/>
          <w:szCs w:val="26"/>
        </w:rPr>
      </w:pPr>
      <w:r w:rsidRPr="006A631A">
        <w:rPr>
          <w:rFonts w:eastAsiaTheme="minorHAnsi"/>
          <w:sz w:val="26"/>
          <w:szCs w:val="26"/>
        </w:rPr>
        <w:lastRenderedPageBreak/>
        <w:t>demonstrate the reasonable necessity and cost of the installations, and that is the burden which the utility patently failed to carry.</w:t>
      </w:r>
    </w:p>
    <w:p w14:paraId="01B5C9A4" w14:textId="77777777" w:rsidR="00446EA6" w:rsidRPr="006A631A" w:rsidRDefault="00446EA6" w:rsidP="00B81CE1">
      <w:pPr>
        <w:keepNext/>
        <w:keepLines/>
        <w:widowControl/>
        <w:spacing w:line="360" w:lineRule="auto"/>
        <w:ind w:left="1440" w:right="1296"/>
        <w:contextualSpacing/>
        <w:rPr>
          <w:rFonts w:eastAsiaTheme="minorHAnsi"/>
          <w:sz w:val="26"/>
          <w:szCs w:val="26"/>
        </w:rPr>
      </w:pPr>
    </w:p>
    <w:p w14:paraId="36054DC7" w14:textId="77777777" w:rsidR="00446EA6" w:rsidRPr="006A631A" w:rsidRDefault="00446EA6" w:rsidP="00C5373F">
      <w:pPr>
        <w:widowControl/>
        <w:spacing w:line="360" w:lineRule="auto"/>
        <w:ind w:right="1440"/>
        <w:contextualSpacing/>
        <w:rPr>
          <w:rFonts w:eastAsiaTheme="minorHAnsi"/>
          <w:sz w:val="26"/>
          <w:szCs w:val="26"/>
        </w:rPr>
      </w:pPr>
      <w:r w:rsidRPr="006A631A">
        <w:rPr>
          <w:rFonts w:eastAsiaTheme="minorHAnsi"/>
          <w:i/>
          <w:sz w:val="26"/>
          <w:szCs w:val="26"/>
        </w:rPr>
        <w:t>Berner v. Pa. PUC</w:t>
      </w:r>
      <w:r w:rsidRPr="006A631A">
        <w:rPr>
          <w:rFonts w:eastAsiaTheme="minorHAnsi"/>
          <w:sz w:val="26"/>
          <w:szCs w:val="26"/>
        </w:rPr>
        <w:t>, 382 Pa. 622, 631, 116 A.2d 738, 744 (1955).</w:t>
      </w:r>
    </w:p>
    <w:p w14:paraId="0485A3CA" w14:textId="77777777" w:rsidR="00446EA6" w:rsidRPr="006A631A" w:rsidRDefault="00446EA6" w:rsidP="00C5373F">
      <w:pPr>
        <w:widowControl/>
        <w:spacing w:line="360" w:lineRule="auto"/>
        <w:ind w:right="1440"/>
        <w:contextualSpacing/>
        <w:rPr>
          <w:rFonts w:eastAsiaTheme="minorHAnsi"/>
          <w:sz w:val="26"/>
          <w:szCs w:val="26"/>
        </w:rPr>
      </w:pPr>
    </w:p>
    <w:p w14:paraId="15E9345B" w14:textId="77777777" w:rsidR="00446EA6" w:rsidRPr="006A631A" w:rsidRDefault="00446EA6" w:rsidP="00C5373F">
      <w:pPr>
        <w:widowControl/>
        <w:tabs>
          <w:tab w:val="left" w:pos="-720"/>
        </w:tabs>
        <w:suppressAutoHyphens/>
        <w:spacing w:line="360" w:lineRule="auto"/>
        <w:ind w:firstLine="1440"/>
        <w:contextualSpacing/>
        <w:rPr>
          <w:rFonts w:eastAsiaTheme="minorHAnsi"/>
          <w:sz w:val="26"/>
          <w:szCs w:val="26"/>
        </w:rPr>
      </w:pPr>
      <w:r w:rsidRPr="006A631A">
        <w:rPr>
          <w:rFonts w:eastAsiaTheme="minorHAnsi"/>
          <w:sz w:val="26"/>
          <w:szCs w:val="26"/>
        </w:rPr>
        <w:t>This does not mean, however, that in proving that its proposed rates are just and reasonable, a public utility must affirmatively defend every claim it has made in its filing, even those which no other party has questioned.  As the Pennsylvania Commonwealth Court has held:</w:t>
      </w:r>
    </w:p>
    <w:p w14:paraId="2E8A54D6" w14:textId="77777777" w:rsidR="00446EA6" w:rsidRPr="006A631A" w:rsidRDefault="00446EA6" w:rsidP="00B81CE1">
      <w:pPr>
        <w:widowControl/>
        <w:ind w:left="1440" w:right="1296"/>
        <w:contextualSpacing/>
        <w:rPr>
          <w:rFonts w:eastAsiaTheme="minorHAnsi"/>
          <w:sz w:val="26"/>
          <w:szCs w:val="26"/>
        </w:rPr>
      </w:pPr>
    </w:p>
    <w:p w14:paraId="0BE55E0D" w14:textId="77777777" w:rsidR="00446EA6" w:rsidRPr="006A631A" w:rsidRDefault="00446EA6" w:rsidP="00F510B9">
      <w:pPr>
        <w:widowControl/>
        <w:ind w:left="1440" w:right="1296"/>
        <w:contextualSpacing/>
        <w:rPr>
          <w:rFonts w:eastAsiaTheme="minorHAnsi"/>
          <w:sz w:val="26"/>
          <w:szCs w:val="26"/>
        </w:rPr>
      </w:pPr>
      <w:r w:rsidRPr="006A631A">
        <w:rPr>
          <w:rFonts w:eastAsiaTheme="minorHAnsi"/>
          <w:sz w:val="26"/>
          <w:szCs w:val="26"/>
        </w:rPr>
        <w:t>While it is axiomatic that a utility has the burden of proving the justness and reasonableness of its proposed rates, it cannot be called upon to account for every action absent prior notice that such action is to be challenged.</w:t>
      </w:r>
    </w:p>
    <w:p w14:paraId="6D285F72" w14:textId="77777777" w:rsidR="00446EA6" w:rsidRPr="006A631A" w:rsidRDefault="00446EA6" w:rsidP="000C2E03">
      <w:pPr>
        <w:widowControl/>
        <w:spacing w:line="360" w:lineRule="auto"/>
        <w:ind w:left="1440" w:right="1296"/>
        <w:contextualSpacing/>
        <w:rPr>
          <w:rFonts w:eastAsiaTheme="minorHAnsi"/>
          <w:sz w:val="26"/>
          <w:szCs w:val="26"/>
        </w:rPr>
      </w:pPr>
    </w:p>
    <w:p w14:paraId="40E28223" w14:textId="77777777" w:rsidR="00446EA6" w:rsidRPr="006A631A" w:rsidRDefault="00446EA6" w:rsidP="00F510B9">
      <w:pPr>
        <w:widowControl/>
        <w:spacing w:line="360" w:lineRule="auto"/>
        <w:contextualSpacing/>
        <w:rPr>
          <w:rFonts w:eastAsiaTheme="minorHAnsi"/>
          <w:sz w:val="26"/>
          <w:szCs w:val="26"/>
        </w:rPr>
      </w:pPr>
      <w:r w:rsidRPr="006A631A">
        <w:rPr>
          <w:rFonts w:eastAsiaTheme="minorHAnsi"/>
          <w:i/>
          <w:sz w:val="26"/>
          <w:szCs w:val="26"/>
        </w:rPr>
        <w:t>Allegheny Center Assocs. v. Pa. PUC</w:t>
      </w:r>
      <w:r w:rsidRPr="006A631A">
        <w:rPr>
          <w:rFonts w:eastAsiaTheme="minorHAnsi"/>
          <w:sz w:val="26"/>
          <w:szCs w:val="26"/>
        </w:rPr>
        <w:t xml:space="preserve">, 570 A.2d 149, 153 (Pa. Cmwlth. 1990) (citation omitted).  </w:t>
      </w:r>
      <w:r w:rsidRPr="006A631A">
        <w:rPr>
          <w:rFonts w:eastAsiaTheme="minorHAnsi"/>
          <w:i/>
          <w:sz w:val="26"/>
          <w:szCs w:val="26"/>
        </w:rPr>
        <w:t>See also, Pa. PUC v. Equitable Gas Co.</w:t>
      </w:r>
      <w:r w:rsidRPr="006A631A">
        <w:rPr>
          <w:rFonts w:eastAsiaTheme="minorHAnsi"/>
          <w:sz w:val="26"/>
          <w:szCs w:val="26"/>
        </w:rPr>
        <w:t>, 73 Pa. P.U.C. 310, 359-360 (1990).</w:t>
      </w:r>
    </w:p>
    <w:p w14:paraId="4CA75DF1" w14:textId="77777777" w:rsidR="00446EA6" w:rsidRPr="006A631A" w:rsidRDefault="00446EA6" w:rsidP="00F510B9">
      <w:pPr>
        <w:widowControl/>
        <w:spacing w:line="360" w:lineRule="auto"/>
        <w:ind w:firstLine="1440"/>
        <w:contextualSpacing/>
        <w:rPr>
          <w:rFonts w:eastAsiaTheme="minorHAnsi"/>
          <w:sz w:val="26"/>
          <w:szCs w:val="26"/>
        </w:rPr>
      </w:pPr>
    </w:p>
    <w:p w14:paraId="4BCBCF9A" w14:textId="77777777" w:rsidR="00446EA6" w:rsidRPr="006A631A" w:rsidRDefault="00446EA6" w:rsidP="00F510B9">
      <w:pPr>
        <w:widowControl/>
        <w:spacing w:line="360" w:lineRule="auto"/>
        <w:ind w:firstLine="1440"/>
        <w:contextualSpacing/>
        <w:rPr>
          <w:rFonts w:eastAsiaTheme="minorHAnsi"/>
          <w:sz w:val="26"/>
          <w:szCs w:val="26"/>
        </w:rPr>
      </w:pPr>
      <w:r w:rsidRPr="006A631A">
        <w:rPr>
          <w:rFonts w:eastAsiaTheme="minorHAnsi"/>
          <w:sz w:val="26"/>
          <w:szCs w:val="26"/>
        </w:rPr>
        <w:t>Additionally, Section 315(a) of the Code, 66 Pa. C.S. § 315(a), cannot reasonably be read to place the burden of proof on the utility with respect to an issue the utility did not include in its general rate case filing and which, frequently, the utility would oppose.  Inasmuch as the Legislature is not presumed to intend an absurd result in interpretation of its enactments,</w:t>
      </w:r>
      <w:r w:rsidRPr="006A631A">
        <w:rPr>
          <w:rFonts w:eastAsiaTheme="minorHAnsi"/>
          <w:sz w:val="26"/>
          <w:szCs w:val="26"/>
          <w:vertAlign w:val="superscript"/>
        </w:rPr>
        <w:footnoteReference w:id="13"/>
      </w:r>
      <w:r w:rsidRPr="006A631A">
        <w:rPr>
          <w:rFonts w:eastAsiaTheme="minorHAnsi"/>
          <w:sz w:val="26"/>
          <w:szCs w:val="26"/>
        </w:rPr>
        <w:t xml:space="preserve"> the burden of proof must be on the party who proposes a rate increase beyond that sought by the utility.  The mere rejection of evidence contrary to that adduced by the public utility is not an impermissible shifting of the evidentiary burden.  </w:t>
      </w:r>
      <w:r w:rsidRPr="006A631A">
        <w:rPr>
          <w:rFonts w:eastAsiaTheme="minorHAnsi"/>
          <w:i/>
          <w:sz w:val="26"/>
          <w:szCs w:val="26"/>
        </w:rPr>
        <w:t>United States Steel Corp. v. Pa. PUC</w:t>
      </w:r>
      <w:r w:rsidRPr="006A631A">
        <w:rPr>
          <w:rFonts w:eastAsiaTheme="minorHAnsi"/>
          <w:sz w:val="26"/>
          <w:szCs w:val="26"/>
        </w:rPr>
        <w:t>, 456 A.2d 686 (Pa. Cmwlth. 1983).</w:t>
      </w:r>
    </w:p>
    <w:p w14:paraId="64E813BF" w14:textId="511CB378" w:rsidR="00446EA6" w:rsidRPr="006A631A" w:rsidRDefault="00446EA6" w:rsidP="00F510B9">
      <w:pPr>
        <w:widowControl/>
        <w:tabs>
          <w:tab w:val="left" w:pos="-720"/>
        </w:tabs>
        <w:suppressAutoHyphens/>
        <w:spacing w:line="360" w:lineRule="auto"/>
        <w:ind w:firstLine="1440"/>
        <w:contextualSpacing/>
        <w:rPr>
          <w:rFonts w:eastAsiaTheme="minorHAnsi"/>
          <w:sz w:val="26"/>
          <w:szCs w:val="26"/>
        </w:rPr>
      </w:pPr>
    </w:p>
    <w:p w14:paraId="5C1F643E" w14:textId="7ED764E0" w:rsidR="00446EA6" w:rsidRPr="006A631A" w:rsidRDefault="00446EA6" w:rsidP="00F510B9">
      <w:pPr>
        <w:widowControl/>
        <w:spacing w:line="360" w:lineRule="auto"/>
        <w:ind w:firstLine="1440"/>
        <w:contextualSpacing/>
        <w:rPr>
          <w:rFonts w:eastAsiaTheme="minorHAnsi"/>
          <w:sz w:val="26"/>
          <w:szCs w:val="26"/>
        </w:rPr>
      </w:pPr>
      <w:r w:rsidRPr="006A631A">
        <w:rPr>
          <w:rFonts w:eastAsiaTheme="minorHAnsi"/>
          <w:sz w:val="26"/>
          <w:szCs w:val="26"/>
        </w:rPr>
        <w:lastRenderedPageBreak/>
        <w:t xml:space="preserve">As we proceed in our review of the various positions of the Parties in this proceeding, we are reminded that any issue or Exception that we do not specifically address </w:t>
      </w:r>
      <w:r w:rsidRPr="006A631A">
        <w:rPr>
          <w:sz w:val="26"/>
          <w:szCs w:val="26"/>
        </w:rPr>
        <w:t xml:space="preserve">shall be deemed to have been duly considered and denied without further discussion.  The Commission is not required to consider expressly or at length each contention or argument raised by the parties.  </w:t>
      </w:r>
      <w:hyperlink r:id="rId11" w:history="1">
        <w:r w:rsidRPr="006A631A">
          <w:rPr>
            <w:i/>
            <w:iCs/>
            <w:color w:val="000000"/>
            <w:sz w:val="26"/>
            <w:szCs w:val="26"/>
          </w:rPr>
          <w:t>Consolidated Rail Corp. v. Pa. PUC</w:t>
        </w:r>
        <w:r w:rsidRPr="00B81CE1">
          <w:rPr>
            <w:color w:val="000000"/>
            <w:sz w:val="26"/>
            <w:szCs w:val="26"/>
          </w:rPr>
          <w:t xml:space="preserve">, </w:t>
        </w:r>
        <w:r w:rsidRPr="006A631A">
          <w:rPr>
            <w:color w:val="000000"/>
            <w:sz w:val="26"/>
            <w:szCs w:val="26"/>
          </w:rPr>
          <w:t>625</w:t>
        </w:r>
        <w:r w:rsidR="00B81CE1">
          <w:rPr>
            <w:color w:val="000000"/>
            <w:sz w:val="26"/>
            <w:szCs w:val="26"/>
          </w:rPr>
          <w:t>, </w:t>
        </w:r>
        <w:r w:rsidRPr="006A631A">
          <w:rPr>
            <w:color w:val="000000"/>
            <w:sz w:val="26"/>
            <w:szCs w:val="26"/>
          </w:rPr>
          <w:t>A.2d 741 (Pa. Cmwlth. 1993);</w:t>
        </w:r>
      </w:hyperlink>
      <w:r w:rsidRPr="006A631A">
        <w:rPr>
          <w:color w:val="000000"/>
          <w:sz w:val="26"/>
          <w:szCs w:val="26"/>
        </w:rPr>
        <w:t xml:space="preserve"> </w:t>
      </w:r>
      <w:r w:rsidRPr="006A631A">
        <w:rPr>
          <w:i/>
          <w:color w:val="000000"/>
          <w:sz w:val="26"/>
          <w:szCs w:val="26"/>
        </w:rPr>
        <w:t xml:space="preserve">also </w:t>
      </w:r>
      <w:r w:rsidRPr="006A631A">
        <w:rPr>
          <w:i/>
          <w:iCs/>
          <w:color w:val="000000"/>
          <w:sz w:val="26"/>
          <w:szCs w:val="26"/>
        </w:rPr>
        <w:t xml:space="preserve">see, generally, </w:t>
      </w:r>
      <w:hyperlink r:id="rId12" w:history="1">
        <w:r w:rsidRPr="006A631A">
          <w:rPr>
            <w:i/>
            <w:iCs/>
            <w:color w:val="000000"/>
            <w:sz w:val="26"/>
            <w:szCs w:val="26"/>
          </w:rPr>
          <w:t>University of Pennsylvania v. Pa.</w:t>
        </w:r>
        <w:r w:rsidR="00B81CE1">
          <w:rPr>
            <w:i/>
            <w:iCs/>
            <w:color w:val="000000"/>
            <w:sz w:val="26"/>
            <w:szCs w:val="26"/>
          </w:rPr>
          <w:t> </w:t>
        </w:r>
        <w:r w:rsidRPr="006A631A">
          <w:rPr>
            <w:i/>
            <w:iCs/>
            <w:color w:val="000000"/>
            <w:sz w:val="26"/>
            <w:szCs w:val="26"/>
          </w:rPr>
          <w:t>PUC</w:t>
        </w:r>
        <w:r w:rsidRPr="006A631A">
          <w:rPr>
            <w:color w:val="000000"/>
            <w:sz w:val="26"/>
            <w:szCs w:val="26"/>
          </w:rPr>
          <w:t>, 485 A.2d 1217 (Pa. Cmwlth. 1984).</w:t>
        </w:r>
      </w:hyperlink>
    </w:p>
    <w:p w14:paraId="3B558F97" w14:textId="53608E45" w:rsidR="00446EA6" w:rsidRPr="006A631A" w:rsidRDefault="00446EA6" w:rsidP="00F510B9">
      <w:pPr>
        <w:widowControl/>
        <w:spacing w:line="360" w:lineRule="auto"/>
        <w:contextualSpacing/>
        <w:rPr>
          <w:b/>
          <w:sz w:val="26"/>
          <w:szCs w:val="26"/>
        </w:rPr>
      </w:pPr>
    </w:p>
    <w:p w14:paraId="2486B8F8" w14:textId="3D31460A" w:rsidR="002863A0" w:rsidRPr="006A631A" w:rsidRDefault="00D3174F" w:rsidP="00F510B9">
      <w:pPr>
        <w:pStyle w:val="Heading2"/>
        <w:widowControl/>
        <w:numPr>
          <w:ilvl w:val="0"/>
          <w:numId w:val="0"/>
        </w:numPr>
      </w:pPr>
      <w:bookmarkStart w:id="13" w:name="_Toc55888186"/>
      <w:r w:rsidRPr="006A631A">
        <w:t>D.</w:t>
      </w:r>
      <w:r w:rsidR="000C2E03" w:rsidRPr="006A631A">
        <w:tab/>
      </w:r>
      <w:r w:rsidR="009A0956" w:rsidRPr="006A631A">
        <w:t>Joint Petition for Partial Settlement</w:t>
      </w:r>
      <w:bookmarkEnd w:id="13"/>
    </w:p>
    <w:p w14:paraId="06593D78" w14:textId="77777777" w:rsidR="00672A3B" w:rsidRPr="006A631A" w:rsidRDefault="00672A3B" w:rsidP="00F510B9">
      <w:pPr>
        <w:keepNext/>
        <w:keepLines/>
        <w:widowControl/>
        <w:spacing w:line="360" w:lineRule="auto"/>
        <w:contextualSpacing/>
        <w:rPr>
          <w:b/>
          <w:sz w:val="26"/>
          <w:szCs w:val="26"/>
        </w:rPr>
      </w:pPr>
    </w:p>
    <w:p w14:paraId="1A76F279" w14:textId="362414D6" w:rsidR="000341DE" w:rsidRPr="006A631A" w:rsidRDefault="009A0956" w:rsidP="00F510B9">
      <w:pPr>
        <w:pStyle w:val="Heading3"/>
        <w:ind w:left="1440" w:hanging="720"/>
      </w:pPr>
      <w:bookmarkStart w:id="14" w:name="_Toc55888187"/>
      <w:bookmarkStart w:id="15" w:name="_Hlk54185476"/>
      <w:bookmarkStart w:id="16" w:name="_Hlk37136938"/>
      <w:r w:rsidRPr="006A631A">
        <w:t>Terms and Conditions of the Partial Settlement</w:t>
      </w:r>
      <w:bookmarkEnd w:id="14"/>
    </w:p>
    <w:bookmarkEnd w:id="15"/>
    <w:p w14:paraId="2140162F" w14:textId="329FC4A5" w:rsidR="005B6A99" w:rsidRPr="006A631A" w:rsidRDefault="005B6A99" w:rsidP="00F510B9">
      <w:pPr>
        <w:widowControl/>
        <w:spacing w:line="360" w:lineRule="auto"/>
        <w:rPr>
          <w:sz w:val="26"/>
          <w:szCs w:val="26"/>
        </w:rPr>
      </w:pPr>
    </w:p>
    <w:p w14:paraId="18A46423" w14:textId="0029A7D9" w:rsidR="00C3796D" w:rsidRPr="006A631A" w:rsidRDefault="004826FD" w:rsidP="00F510B9">
      <w:pPr>
        <w:widowControl/>
        <w:spacing w:line="360" w:lineRule="auto"/>
        <w:ind w:firstLine="1440"/>
        <w:textAlignment w:val="baseline"/>
        <w:rPr>
          <w:sz w:val="26"/>
          <w:szCs w:val="26"/>
        </w:rPr>
      </w:pPr>
      <w:r w:rsidRPr="006A631A">
        <w:rPr>
          <w:rFonts w:eastAsiaTheme="minorHAnsi"/>
          <w:sz w:val="26"/>
          <w:szCs w:val="26"/>
        </w:rPr>
        <w:t xml:space="preserve">As previously indicated, the Partial Settlement is a “black box” agreement, which does not specifically identify the resolution of certain disputed issues.  </w:t>
      </w:r>
      <w:r w:rsidR="003B1329" w:rsidRPr="006A631A">
        <w:rPr>
          <w:sz w:val="26"/>
          <w:szCs w:val="26"/>
        </w:rPr>
        <w:t xml:space="preserve">The Joint Petition represents a Partial Settlement of all the issues raised in this proceeding, except for the three litigated issues addressed further herein, and provides for increases in rates designed to produce a net increase in PGW’s annual distribution operating revenues in the </w:t>
      </w:r>
      <w:r w:rsidR="006B7D38" w:rsidRPr="006A631A">
        <w:rPr>
          <w:sz w:val="26"/>
          <w:szCs w:val="26"/>
        </w:rPr>
        <w:t xml:space="preserve">total </w:t>
      </w:r>
      <w:r w:rsidR="003B1329" w:rsidRPr="006A631A">
        <w:rPr>
          <w:sz w:val="26"/>
          <w:szCs w:val="26"/>
        </w:rPr>
        <w:t>amount of $35 million</w:t>
      </w:r>
      <w:r w:rsidR="00C3796D" w:rsidRPr="006A631A">
        <w:rPr>
          <w:sz w:val="26"/>
          <w:szCs w:val="26"/>
        </w:rPr>
        <w:t xml:space="preserve"> in three </w:t>
      </w:r>
      <w:r w:rsidR="00970FEE" w:rsidRPr="006A631A">
        <w:rPr>
          <w:sz w:val="26"/>
          <w:szCs w:val="26"/>
        </w:rPr>
        <w:t xml:space="preserve">implementation </w:t>
      </w:r>
      <w:r w:rsidR="00C3796D" w:rsidRPr="006A631A">
        <w:rPr>
          <w:sz w:val="26"/>
          <w:szCs w:val="26"/>
        </w:rPr>
        <w:t>phases.</w:t>
      </w:r>
      <w:r w:rsidR="003B1329" w:rsidRPr="006A631A">
        <w:rPr>
          <w:sz w:val="26"/>
          <w:szCs w:val="26"/>
        </w:rPr>
        <w:t xml:space="preserve">  Joint Petition at 4.</w:t>
      </w:r>
      <w:r w:rsidR="00DD0F41" w:rsidRPr="006A631A">
        <w:rPr>
          <w:rFonts w:eastAsiaTheme="minorHAnsi"/>
          <w:sz w:val="26"/>
          <w:szCs w:val="26"/>
          <w:vertAlign w:val="superscript"/>
        </w:rPr>
        <w:t xml:space="preserve"> </w:t>
      </w:r>
      <w:r w:rsidR="00DD0F41" w:rsidRPr="006A631A">
        <w:rPr>
          <w:rFonts w:eastAsiaTheme="minorHAnsi"/>
          <w:sz w:val="26"/>
          <w:szCs w:val="26"/>
          <w:vertAlign w:val="superscript"/>
        </w:rPr>
        <w:footnoteReference w:id="14"/>
      </w:r>
      <w:r w:rsidR="00970FEE" w:rsidRPr="006A631A">
        <w:rPr>
          <w:sz w:val="26"/>
          <w:szCs w:val="26"/>
        </w:rPr>
        <w:t xml:space="preserve"> </w:t>
      </w:r>
      <w:r w:rsidR="003B1329" w:rsidRPr="006A631A">
        <w:rPr>
          <w:sz w:val="26"/>
          <w:szCs w:val="26"/>
        </w:rPr>
        <w:t xml:space="preserve"> </w:t>
      </w:r>
      <w:r w:rsidR="00C3796D" w:rsidRPr="006A631A">
        <w:rPr>
          <w:color w:val="000000"/>
          <w:sz w:val="26"/>
          <w:szCs w:val="26"/>
        </w:rPr>
        <w:t>This represents a significant reduction compared to a scenario in which PGW w</w:t>
      </w:r>
      <w:r w:rsidR="000C5A9A" w:rsidRPr="006A631A">
        <w:rPr>
          <w:color w:val="000000"/>
          <w:sz w:val="26"/>
          <w:szCs w:val="26"/>
        </w:rPr>
        <w:t xml:space="preserve">ould be </w:t>
      </w:r>
      <w:r w:rsidR="00C3796D" w:rsidRPr="006A631A">
        <w:rPr>
          <w:color w:val="000000"/>
          <w:sz w:val="26"/>
          <w:szCs w:val="26"/>
        </w:rPr>
        <w:t>permitted to increase its rates for the full $3</w:t>
      </w:r>
      <w:r w:rsidR="000C5A9A" w:rsidRPr="006A631A">
        <w:rPr>
          <w:color w:val="000000"/>
          <w:sz w:val="26"/>
          <w:szCs w:val="26"/>
        </w:rPr>
        <w:t>5</w:t>
      </w:r>
      <w:r w:rsidR="00C3796D" w:rsidRPr="006A631A">
        <w:rPr>
          <w:color w:val="000000"/>
          <w:sz w:val="26"/>
          <w:szCs w:val="26"/>
        </w:rPr>
        <w:t xml:space="preserve"> million in January 2021. </w:t>
      </w:r>
      <w:r w:rsidR="00970FEE" w:rsidRPr="006A631A">
        <w:rPr>
          <w:color w:val="000000"/>
          <w:sz w:val="26"/>
          <w:szCs w:val="26"/>
        </w:rPr>
        <w:t xml:space="preserve"> </w:t>
      </w:r>
      <w:r w:rsidR="00C3796D" w:rsidRPr="006A631A">
        <w:rPr>
          <w:color w:val="000000"/>
          <w:sz w:val="26"/>
          <w:szCs w:val="26"/>
        </w:rPr>
        <w:t xml:space="preserve">These </w:t>
      </w:r>
      <w:r w:rsidR="000C5A9A" w:rsidRPr="006A631A">
        <w:rPr>
          <w:color w:val="000000"/>
          <w:sz w:val="26"/>
          <w:szCs w:val="26"/>
        </w:rPr>
        <w:t xml:space="preserve">voluntary rate increase </w:t>
      </w:r>
      <w:r w:rsidR="00C3796D" w:rsidRPr="006A631A">
        <w:rPr>
          <w:color w:val="000000"/>
          <w:sz w:val="26"/>
          <w:szCs w:val="26"/>
        </w:rPr>
        <w:t xml:space="preserve">deferrals </w:t>
      </w:r>
      <w:r w:rsidR="00A644F1" w:rsidRPr="006A631A">
        <w:rPr>
          <w:color w:val="000000"/>
          <w:sz w:val="26"/>
          <w:szCs w:val="26"/>
        </w:rPr>
        <w:t xml:space="preserve">and this related revenue recovery concession </w:t>
      </w:r>
      <w:r w:rsidR="00C3796D" w:rsidRPr="006A631A">
        <w:rPr>
          <w:color w:val="000000"/>
          <w:sz w:val="26"/>
          <w:szCs w:val="26"/>
        </w:rPr>
        <w:t>mean</w:t>
      </w:r>
      <w:r w:rsidR="00A644F1" w:rsidRPr="006A631A">
        <w:rPr>
          <w:color w:val="000000"/>
          <w:sz w:val="26"/>
          <w:szCs w:val="26"/>
        </w:rPr>
        <w:t>s</w:t>
      </w:r>
      <w:r w:rsidR="00C3796D" w:rsidRPr="006A631A">
        <w:rPr>
          <w:color w:val="000000"/>
          <w:sz w:val="26"/>
          <w:szCs w:val="26"/>
        </w:rPr>
        <w:t xml:space="preserve"> that the increases as a percentage of total rates are materially lower than PGW’s original, $70 million rate request and</w:t>
      </w:r>
      <w:r w:rsidR="00A644F1" w:rsidRPr="006A631A">
        <w:rPr>
          <w:color w:val="000000"/>
          <w:sz w:val="26"/>
          <w:szCs w:val="26"/>
        </w:rPr>
        <w:t xml:space="preserve">, in fact, </w:t>
      </w:r>
      <w:r w:rsidR="00C3796D" w:rsidRPr="006A631A">
        <w:rPr>
          <w:color w:val="000000"/>
          <w:sz w:val="26"/>
          <w:szCs w:val="26"/>
        </w:rPr>
        <w:t xml:space="preserve">PGW’s actual billed revenues will be materially lower in </w:t>
      </w:r>
      <w:r w:rsidR="00C3796D" w:rsidRPr="006A631A">
        <w:rPr>
          <w:color w:val="000000"/>
          <w:sz w:val="26"/>
          <w:szCs w:val="26"/>
        </w:rPr>
        <w:lastRenderedPageBreak/>
        <w:t>FY 2020-21 than $35 million.</w:t>
      </w:r>
      <w:r w:rsidR="00970FEE" w:rsidRPr="006A631A">
        <w:rPr>
          <w:rStyle w:val="FootnoteReference"/>
          <w:color w:val="000000"/>
          <w:sz w:val="26"/>
          <w:szCs w:val="26"/>
        </w:rPr>
        <w:footnoteReference w:id="15"/>
      </w:r>
      <w:r w:rsidR="00C3796D" w:rsidRPr="006A631A">
        <w:rPr>
          <w:color w:val="000000"/>
          <w:sz w:val="26"/>
          <w:szCs w:val="26"/>
        </w:rPr>
        <w:t xml:space="preserve">  In addition, as part of the Settlement, PGW has agreed that it will not file a general rate increase pursuant to 66 Pa. C.S. § 1308(d) before January 1, 2022.</w:t>
      </w:r>
      <w:r w:rsidR="00DD0F41" w:rsidRPr="006A631A">
        <w:rPr>
          <w:rFonts w:eastAsiaTheme="minorHAnsi"/>
          <w:sz w:val="26"/>
          <w:szCs w:val="26"/>
          <w:vertAlign w:val="superscript"/>
        </w:rPr>
        <w:footnoteReference w:id="16"/>
      </w:r>
      <w:r w:rsidR="003B1329" w:rsidRPr="006A631A">
        <w:rPr>
          <w:sz w:val="26"/>
          <w:szCs w:val="26"/>
        </w:rPr>
        <w:t xml:space="preserve"> </w:t>
      </w:r>
    </w:p>
    <w:p w14:paraId="70B8B173" w14:textId="77777777" w:rsidR="00C3796D" w:rsidRPr="006A631A" w:rsidRDefault="00C3796D" w:rsidP="00F510B9">
      <w:pPr>
        <w:widowControl/>
        <w:spacing w:line="360" w:lineRule="auto"/>
        <w:ind w:firstLine="1440"/>
        <w:rPr>
          <w:sz w:val="26"/>
          <w:szCs w:val="26"/>
        </w:rPr>
      </w:pPr>
    </w:p>
    <w:p w14:paraId="646C889A" w14:textId="14F4CA60" w:rsidR="003B1329" w:rsidRPr="006A631A" w:rsidRDefault="003B1329" w:rsidP="00F510B9">
      <w:pPr>
        <w:widowControl/>
        <w:spacing w:line="360" w:lineRule="auto"/>
        <w:ind w:firstLine="1440"/>
        <w:rPr>
          <w:sz w:val="26"/>
          <w:szCs w:val="26"/>
        </w:rPr>
      </w:pPr>
      <w:r w:rsidRPr="006A631A">
        <w:rPr>
          <w:sz w:val="26"/>
          <w:szCs w:val="26"/>
        </w:rPr>
        <w:t xml:space="preserve">The Joint Petition consists of a </w:t>
      </w:r>
      <w:r w:rsidR="00C3796D" w:rsidRPr="006A631A">
        <w:rPr>
          <w:sz w:val="26"/>
          <w:szCs w:val="26"/>
        </w:rPr>
        <w:t xml:space="preserve">twenty-two </w:t>
      </w:r>
      <w:r w:rsidRPr="006A631A">
        <w:rPr>
          <w:sz w:val="26"/>
          <w:szCs w:val="26"/>
        </w:rPr>
        <w:t>page document with</w:t>
      </w:r>
      <w:r w:rsidR="00970FEE" w:rsidRPr="006A631A">
        <w:rPr>
          <w:sz w:val="26"/>
          <w:szCs w:val="26"/>
        </w:rPr>
        <w:t xml:space="preserve"> a Proof of Revenues</w:t>
      </w:r>
      <w:r w:rsidRPr="006A631A">
        <w:rPr>
          <w:sz w:val="26"/>
          <w:szCs w:val="26"/>
        </w:rPr>
        <w:t xml:space="preserve"> </w:t>
      </w:r>
      <w:r w:rsidR="000C5A9A" w:rsidRPr="006A631A">
        <w:rPr>
          <w:sz w:val="26"/>
          <w:szCs w:val="26"/>
        </w:rPr>
        <w:t xml:space="preserve">and Rates </w:t>
      </w:r>
      <w:r w:rsidRPr="006A631A">
        <w:rPr>
          <w:sz w:val="26"/>
          <w:szCs w:val="26"/>
        </w:rPr>
        <w:t xml:space="preserve">attached </w:t>
      </w:r>
      <w:r w:rsidR="00970FEE" w:rsidRPr="006A631A">
        <w:rPr>
          <w:sz w:val="26"/>
          <w:szCs w:val="26"/>
        </w:rPr>
        <w:t xml:space="preserve">as </w:t>
      </w:r>
      <w:r w:rsidRPr="006A631A">
        <w:rPr>
          <w:sz w:val="26"/>
          <w:szCs w:val="26"/>
        </w:rPr>
        <w:t xml:space="preserve">Exhibit 1 and </w:t>
      </w:r>
      <w:r w:rsidR="00970FEE" w:rsidRPr="006A631A">
        <w:rPr>
          <w:sz w:val="26"/>
          <w:szCs w:val="26"/>
        </w:rPr>
        <w:t xml:space="preserve">Attachments A through E, constituting </w:t>
      </w:r>
      <w:r w:rsidRPr="006A631A">
        <w:rPr>
          <w:sz w:val="26"/>
          <w:szCs w:val="26"/>
        </w:rPr>
        <w:t xml:space="preserve">Statements </w:t>
      </w:r>
      <w:r w:rsidR="00970FEE" w:rsidRPr="006A631A">
        <w:rPr>
          <w:sz w:val="26"/>
          <w:szCs w:val="26"/>
        </w:rPr>
        <w:t xml:space="preserve">in Support of the Joint Petition submitted by PGW, I&amp;E, the OCA, the OSBA, RESA, PICGUG, CAUSE-PA and TURN </w:t>
      </w:r>
      <w:r w:rsidR="00970FEE" w:rsidRPr="006A631A">
        <w:rPr>
          <w:i/>
          <w:sz w:val="26"/>
          <w:szCs w:val="26"/>
        </w:rPr>
        <w:t>et al</w:t>
      </w:r>
      <w:r w:rsidR="00970FEE" w:rsidRPr="006A631A">
        <w:rPr>
          <w:sz w:val="26"/>
          <w:szCs w:val="26"/>
        </w:rPr>
        <w:t>., respectively.</w:t>
      </w:r>
      <w:r w:rsidRPr="006A631A">
        <w:rPr>
          <w:sz w:val="26"/>
          <w:szCs w:val="26"/>
        </w:rPr>
        <w:t xml:space="preserve">  The body of the document contains the terms and conditions of the Partial Settlement as agreed to by the Joint Petitioners.  </w:t>
      </w:r>
    </w:p>
    <w:p w14:paraId="1F3A6C88" w14:textId="034FD64C" w:rsidR="0068693A" w:rsidRPr="006A631A" w:rsidRDefault="0068693A" w:rsidP="00F510B9">
      <w:pPr>
        <w:widowControl/>
        <w:spacing w:line="360" w:lineRule="auto"/>
        <w:ind w:firstLine="1440"/>
        <w:contextualSpacing/>
        <w:jc w:val="both"/>
        <w:rPr>
          <w:rFonts w:eastAsiaTheme="minorHAnsi"/>
          <w:sz w:val="26"/>
          <w:szCs w:val="26"/>
        </w:rPr>
      </w:pPr>
    </w:p>
    <w:p w14:paraId="27A560D7" w14:textId="0C6E8AE3" w:rsidR="0068693A" w:rsidRPr="006A631A" w:rsidRDefault="0068693A" w:rsidP="00F510B9">
      <w:pPr>
        <w:widowControl/>
        <w:spacing w:line="360" w:lineRule="auto"/>
        <w:ind w:firstLine="1440"/>
        <w:contextualSpacing/>
        <w:rPr>
          <w:iCs/>
          <w:sz w:val="26"/>
          <w:szCs w:val="26"/>
        </w:rPr>
      </w:pPr>
      <w:r w:rsidRPr="006A631A">
        <w:rPr>
          <w:sz w:val="26"/>
          <w:szCs w:val="26"/>
        </w:rPr>
        <w:t xml:space="preserve">The Joint Petitioners state that the Partial Settlement was achieved after conducting discovery and engaging in </w:t>
      </w:r>
      <w:r w:rsidR="00A644F1" w:rsidRPr="006A631A">
        <w:rPr>
          <w:sz w:val="26"/>
          <w:szCs w:val="26"/>
        </w:rPr>
        <w:t>extended</w:t>
      </w:r>
      <w:r w:rsidRPr="006A631A">
        <w:rPr>
          <w:sz w:val="26"/>
          <w:szCs w:val="26"/>
        </w:rPr>
        <w:t xml:space="preserve"> discussions.  They further state that the </w:t>
      </w:r>
      <w:r w:rsidR="00A7595E" w:rsidRPr="006A631A">
        <w:rPr>
          <w:sz w:val="26"/>
          <w:szCs w:val="26"/>
        </w:rPr>
        <w:t xml:space="preserve">Partial </w:t>
      </w:r>
      <w:r w:rsidRPr="006A631A">
        <w:rPr>
          <w:sz w:val="26"/>
          <w:szCs w:val="26"/>
        </w:rPr>
        <w:t>Settlement terms and conditions constitute a re</w:t>
      </w:r>
      <w:r w:rsidR="00A7595E" w:rsidRPr="006A631A">
        <w:rPr>
          <w:sz w:val="26"/>
          <w:szCs w:val="26"/>
        </w:rPr>
        <w:t>asonably</w:t>
      </w:r>
      <w:r w:rsidRPr="006A631A">
        <w:rPr>
          <w:sz w:val="26"/>
          <w:szCs w:val="26"/>
        </w:rPr>
        <w:t xml:space="preserve"> negotiated compromise on the issues addressed therein.  Partial Settlement ¶ </w:t>
      </w:r>
      <w:r w:rsidR="00FA7E28" w:rsidRPr="006A631A">
        <w:rPr>
          <w:sz w:val="26"/>
          <w:szCs w:val="26"/>
        </w:rPr>
        <w:t>48</w:t>
      </w:r>
      <w:r w:rsidRPr="006A631A">
        <w:rPr>
          <w:sz w:val="26"/>
          <w:szCs w:val="26"/>
        </w:rPr>
        <w:t>.  The</w:t>
      </w:r>
      <w:r w:rsidR="00352F9E" w:rsidRPr="006A631A">
        <w:rPr>
          <w:sz w:val="26"/>
          <w:szCs w:val="26"/>
        </w:rPr>
        <w:t xml:space="preserve"> Joint Petitioners</w:t>
      </w:r>
      <w:r w:rsidRPr="006A631A">
        <w:rPr>
          <w:sz w:val="26"/>
          <w:szCs w:val="26"/>
        </w:rPr>
        <w:t xml:space="preserve"> also </w:t>
      </w:r>
      <w:r w:rsidR="00970FEE" w:rsidRPr="006A631A">
        <w:rPr>
          <w:sz w:val="26"/>
          <w:szCs w:val="26"/>
        </w:rPr>
        <w:t xml:space="preserve">agree </w:t>
      </w:r>
      <w:r w:rsidRPr="006A631A">
        <w:rPr>
          <w:sz w:val="26"/>
          <w:szCs w:val="26"/>
        </w:rPr>
        <w:t xml:space="preserve">that the Partial Settlement is in the public interest for several reasons including: the reduced </w:t>
      </w:r>
      <w:r w:rsidRPr="006A631A">
        <w:rPr>
          <w:sz w:val="26"/>
          <w:szCs w:val="26"/>
        </w:rPr>
        <w:lastRenderedPageBreak/>
        <w:t xml:space="preserve">base rate increase, the reduced administrative burden </w:t>
      </w:r>
      <w:r w:rsidR="00970FEE" w:rsidRPr="006A631A">
        <w:rPr>
          <w:sz w:val="26"/>
          <w:szCs w:val="26"/>
        </w:rPr>
        <w:t xml:space="preserve">and cost of proceeding to uncertain litigation, </w:t>
      </w:r>
      <w:r w:rsidRPr="006A631A">
        <w:rPr>
          <w:sz w:val="26"/>
          <w:szCs w:val="26"/>
        </w:rPr>
        <w:t xml:space="preserve">and the reasonable revenue allocation.  </w:t>
      </w:r>
      <w:r w:rsidRPr="006A631A">
        <w:rPr>
          <w:i/>
          <w:sz w:val="26"/>
          <w:szCs w:val="26"/>
        </w:rPr>
        <w:t>Id.</w:t>
      </w:r>
      <w:r w:rsidR="00220F33" w:rsidRPr="006A631A">
        <w:rPr>
          <w:i/>
          <w:sz w:val="26"/>
          <w:szCs w:val="26"/>
        </w:rPr>
        <w:t xml:space="preserve">  </w:t>
      </w:r>
      <w:r w:rsidR="00220F33" w:rsidRPr="006A631A">
        <w:rPr>
          <w:iCs/>
          <w:sz w:val="26"/>
          <w:szCs w:val="26"/>
        </w:rPr>
        <w:t>Furthermore, the Partial Settlement addresses low-income customer issues, pipeline safety issues, and includes a COVID-19 Relief Plan to assist customers affected by the ongoing pandemic.  Partial Settlement at ¶¶ 18-22; 33-45</w:t>
      </w:r>
      <w:r w:rsidR="00352F9E" w:rsidRPr="006A631A">
        <w:rPr>
          <w:iCs/>
          <w:sz w:val="26"/>
          <w:szCs w:val="26"/>
        </w:rPr>
        <w:t>; Statements in Support A-E, generally</w:t>
      </w:r>
      <w:r w:rsidR="00220F33" w:rsidRPr="006A631A">
        <w:rPr>
          <w:iCs/>
          <w:sz w:val="26"/>
          <w:szCs w:val="26"/>
        </w:rPr>
        <w:t xml:space="preserve">.  </w:t>
      </w:r>
    </w:p>
    <w:p w14:paraId="6B308C78" w14:textId="22E7DB62" w:rsidR="00220F33" w:rsidRPr="006A631A" w:rsidRDefault="00220F33" w:rsidP="00F510B9">
      <w:pPr>
        <w:widowControl/>
        <w:spacing w:line="360" w:lineRule="auto"/>
        <w:ind w:firstLine="1440"/>
        <w:contextualSpacing/>
        <w:rPr>
          <w:iCs/>
          <w:sz w:val="26"/>
          <w:szCs w:val="26"/>
        </w:rPr>
      </w:pPr>
    </w:p>
    <w:p w14:paraId="21137A66" w14:textId="19B71A4C" w:rsidR="009A5E93" w:rsidRPr="006A631A" w:rsidRDefault="009A5E93" w:rsidP="00F510B9">
      <w:pPr>
        <w:widowControl/>
        <w:spacing w:line="360" w:lineRule="auto"/>
        <w:ind w:firstLine="1440"/>
        <w:contextualSpacing/>
        <w:rPr>
          <w:iCs/>
          <w:sz w:val="26"/>
          <w:szCs w:val="26"/>
        </w:rPr>
      </w:pPr>
      <w:r w:rsidRPr="006A631A">
        <w:rPr>
          <w:iCs/>
          <w:sz w:val="26"/>
          <w:szCs w:val="26"/>
        </w:rPr>
        <w:t xml:space="preserve">The essential terms and conditions of the Partial Settlement are set forth in Paragraphs </w:t>
      </w:r>
      <w:r w:rsidR="000C5A9A" w:rsidRPr="006A631A">
        <w:rPr>
          <w:iCs/>
          <w:sz w:val="26"/>
          <w:szCs w:val="26"/>
        </w:rPr>
        <w:t>1</w:t>
      </w:r>
      <w:r w:rsidR="00352F9E" w:rsidRPr="006A631A">
        <w:rPr>
          <w:iCs/>
          <w:sz w:val="26"/>
          <w:szCs w:val="26"/>
        </w:rPr>
        <w:t>6-45</w:t>
      </w:r>
      <w:r w:rsidRPr="006A631A">
        <w:rPr>
          <w:iCs/>
          <w:sz w:val="26"/>
          <w:szCs w:val="26"/>
        </w:rPr>
        <w:t xml:space="preserve"> of the Joint Petition, and are repeated verbatim below as follows:</w:t>
      </w:r>
    </w:p>
    <w:p w14:paraId="01E25CBB" w14:textId="640C1D77" w:rsidR="009A5E93" w:rsidRPr="006A631A" w:rsidRDefault="009A5E93" w:rsidP="00A415D2">
      <w:pPr>
        <w:widowControl/>
        <w:ind w:firstLine="1440"/>
        <w:contextualSpacing/>
        <w:rPr>
          <w:iCs/>
          <w:sz w:val="26"/>
          <w:szCs w:val="26"/>
        </w:rPr>
      </w:pPr>
    </w:p>
    <w:p w14:paraId="43A25518" w14:textId="77777777" w:rsidR="009A5E93" w:rsidRPr="006A631A" w:rsidRDefault="009A5E93" w:rsidP="00F510B9">
      <w:pPr>
        <w:widowControl/>
        <w:numPr>
          <w:ilvl w:val="0"/>
          <w:numId w:val="7"/>
        </w:numPr>
        <w:ind w:left="1440" w:right="1440" w:firstLine="0"/>
        <w:contextualSpacing/>
        <w:rPr>
          <w:b/>
          <w:iCs/>
          <w:sz w:val="26"/>
          <w:szCs w:val="26"/>
        </w:rPr>
      </w:pPr>
      <w:r w:rsidRPr="006A631A">
        <w:rPr>
          <w:b/>
          <w:iCs/>
          <w:sz w:val="26"/>
          <w:szCs w:val="26"/>
        </w:rPr>
        <w:t>Revenue Requirement</w:t>
      </w:r>
    </w:p>
    <w:p w14:paraId="45A7482B" w14:textId="77777777" w:rsidR="009A5E93" w:rsidRPr="006A631A" w:rsidRDefault="009A5E93" w:rsidP="00F510B9">
      <w:pPr>
        <w:widowControl/>
        <w:ind w:left="1440" w:right="1440"/>
        <w:contextualSpacing/>
        <w:rPr>
          <w:b/>
          <w:iCs/>
          <w:sz w:val="26"/>
          <w:szCs w:val="26"/>
        </w:rPr>
      </w:pPr>
    </w:p>
    <w:p w14:paraId="3FD34C87" w14:textId="1AAB3644" w:rsidR="009A5E93" w:rsidRPr="006A631A" w:rsidRDefault="009A5E93" w:rsidP="00F510B9">
      <w:pPr>
        <w:widowControl/>
        <w:ind w:left="1440" w:right="1440"/>
        <w:contextualSpacing/>
        <w:rPr>
          <w:iCs/>
          <w:sz w:val="26"/>
          <w:szCs w:val="26"/>
        </w:rPr>
      </w:pPr>
      <w:r w:rsidRPr="006A631A">
        <w:rPr>
          <w:iCs/>
          <w:sz w:val="26"/>
          <w:szCs w:val="26"/>
        </w:rPr>
        <w:t>16.</w:t>
      </w:r>
      <w:r w:rsidRPr="006A631A">
        <w:rPr>
          <w:iCs/>
          <w:sz w:val="26"/>
          <w:szCs w:val="26"/>
        </w:rPr>
        <w:tab/>
        <w:t>In lieu of its proposed $70 million base rate increase PGW shall be permitted to increase base rates as follows: (1)</w:t>
      </w:r>
      <w:r w:rsidR="00AA489C">
        <w:rPr>
          <w:iCs/>
          <w:sz w:val="26"/>
          <w:szCs w:val="26"/>
        </w:rPr>
        <w:t> </w:t>
      </w:r>
      <w:r w:rsidRPr="006A631A">
        <w:rPr>
          <w:iCs/>
          <w:sz w:val="26"/>
          <w:szCs w:val="26"/>
        </w:rPr>
        <w:t>$10 Million for service rendered on or after January 1, 2021; (2) additional $10 million for service rendered on or after July 1, 2021; and (3) $15 million for service rendered on or after January 1, 2022.</w:t>
      </w:r>
    </w:p>
    <w:p w14:paraId="0BC7373C" w14:textId="749EAB85" w:rsidR="009A5E93" w:rsidRPr="006A631A" w:rsidRDefault="009A5E93" w:rsidP="00F510B9">
      <w:pPr>
        <w:widowControl/>
        <w:ind w:left="1440" w:right="1440"/>
        <w:contextualSpacing/>
        <w:rPr>
          <w:iCs/>
          <w:sz w:val="26"/>
          <w:szCs w:val="26"/>
        </w:rPr>
      </w:pPr>
    </w:p>
    <w:p w14:paraId="06270C66" w14:textId="05AFD139" w:rsidR="009A5E93" w:rsidRPr="006A631A" w:rsidRDefault="009A5E93" w:rsidP="00F510B9">
      <w:pPr>
        <w:widowControl/>
        <w:ind w:left="1440" w:right="1440"/>
        <w:contextualSpacing/>
        <w:rPr>
          <w:i/>
          <w:sz w:val="26"/>
          <w:szCs w:val="26"/>
        </w:rPr>
      </w:pPr>
      <w:r w:rsidRPr="006A631A">
        <w:rPr>
          <w:i/>
          <w:sz w:val="26"/>
          <w:szCs w:val="26"/>
        </w:rPr>
        <w:t>Rate Case Filing</w:t>
      </w:r>
    </w:p>
    <w:p w14:paraId="5AAF9AEC" w14:textId="77777777" w:rsidR="009A5E93" w:rsidRPr="006A631A" w:rsidRDefault="009A5E93" w:rsidP="00F510B9">
      <w:pPr>
        <w:widowControl/>
        <w:ind w:right="1440"/>
        <w:contextualSpacing/>
        <w:rPr>
          <w:iCs/>
          <w:sz w:val="26"/>
          <w:szCs w:val="26"/>
        </w:rPr>
      </w:pPr>
    </w:p>
    <w:p w14:paraId="2F084175" w14:textId="594E3767" w:rsidR="009A5E93" w:rsidRPr="006A631A" w:rsidRDefault="009A5E93" w:rsidP="00F510B9">
      <w:pPr>
        <w:widowControl/>
        <w:ind w:left="1440" w:right="1440"/>
        <w:contextualSpacing/>
        <w:rPr>
          <w:iCs/>
          <w:sz w:val="26"/>
          <w:szCs w:val="26"/>
        </w:rPr>
      </w:pPr>
      <w:r w:rsidRPr="006A631A">
        <w:rPr>
          <w:iCs/>
          <w:sz w:val="26"/>
          <w:szCs w:val="26"/>
        </w:rPr>
        <w:t xml:space="preserve">17. </w:t>
      </w:r>
      <w:r w:rsidRPr="006A631A">
        <w:rPr>
          <w:iCs/>
          <w:sz w:val="26"/>
          <w:szCs w:val="26"/>
        </w:rPr>
        <w:tab/>
        <w:t>PGW shall not file a general rate increase pursuant to 66 Pa.C.S. § 1308(d) any sooner than January 1, 2022.  This paragraph does not apply to extraordinary or emergency rate relief pursuant to 66 Pa. C. S. § 1308(e) (or upon a petition for emergency rate increase), tariff changes required or authorized by PUC order or industry-wide changes in regulatory policy which affect PGW’s rates.</w:t>
      </w:r>
    </w:p>
    <w:p w14:paraId="28B0404A" w14:textId="0C9F1082" w:rsidR="00B01F10" w:rsidRPr="006A631A" w:rsidRDefault="00B01F10" w:rsidP="00F510B9">
      <w:pPr>
        <w:widowControl/>
        <w:ind w:left="1440" w:right="1440"/>
        <w:contextualSpacing/>
        <w:rPr>
          <w:iCs/>
          <w:sz w:val="26"/>
          <w:szCs w:val="26"/>
        </w:rPr>
      </w:pPr>
    </w:p>
    <w:p w14:paraId="4D48F27D" w14:textId="3E66F762" w:rsidR="00B01F10" w:rsidRPr="006A631A" w:rsidRDefault="00B01F10" w:rsidP="00F510B9">
      <w:pPr>
        <w:pStyle w:val="ListParagraph"/>
        <w:widowControl/>
        <w:numPr>
          <w:ilvl w:val="0"/>
          <w:numId w:val="7"/>
        </w:numPr>
        <w:ind w:right="1440"/>
        <w:rPr>
          <w:b/>
          <w:bCs/>
          <w:iCs/>
          <w:sz w:val="26"/>
          <w:szCs w:val="26"/>
        </w:rPr>
      </w:pPr>
      <w:bookmarkStart w:id="17" w:name="_Hlk54182700"/>
      <w:r w:rsidRPr="006A631A">
        <w:rPr>
          <w:b/>
          <w:bCs/>
          <w:iCs/>
          <w:sz w:val="26"/>
          <w:szCs w:val="26"/>
        </w:rPr>
        <w:t>COVID-19 Relief Plan (Limited to $2 million or maximum 6,600 customers at up to $300 per customer)</w:t>
      </w:r>
    </w:p>
    <w:bookmarkEnd w:id="17"/>
    <w:p w14:paraId="05CFDBB1" w14:textId="77777777" w:rsidR="00826FF0" w:rsidRPr="006A631A" w:rsidRDefault="00826FF0" w:rsidP="00F510B9">
      <w:pPr>
        <w:widowControl/>
        <w:ind w:left="1440" w:right="1440"/>
        <w:rPr>
          <w:iCs/>
          <w:sz w:val="26"/>
          <w:szCs w:val="26"/>
        </w:rPr>
      </w:pPr>
    </w:p>
    <w:p w14:paraId="0F2D5334" w14:textId="17FDFC97" w:rsidR="007A310B" w:rsidRPr="006A631A" w:rsidRDefault="007A310B" w:rsidP="00F510B9">
      <w:pPr>
        <w:widowControl/>
        <w:ind w:left="1440" w:right="1440"/>
        <w:rPr>
          <w:iCs/>
          <w:sz w:val="26"/>
          <w:szCs w:val="26"/>
        </w:rPr>
      </w:pPr>
      <w:r w:rsidRPr="006A631A">
        <w:rPr>
          <w:iCs/>
          <w:sz w:val="26"/>
          <w:szCs w:val="26"/>
        </w:rPr>
        <w:t>18.</w:t>
      </w:r>
      <w:r w:rsidRPr="006A631A">
        <w:rPr>
          <w:iCs/>
          <w:sz w:val="26"/>
          <w:szCs w:val="26"/>
        </w:rPr>
        <w:tab/>
        <w:t>Beginning on or after the PUC adopts this Proposed Settlement, but no sooner than September 1, 2020, PGW shall implement a COVID-19 Relief Plan (C19RP) with the following major elements:</w:t>
      </w:r>
    </w:p>
    <w:p w14:paraId="2C10A258" w14:textId="1530CEFB" w:rsidR="007A310B" w:rsidRPr="006A631A" w:rsidRDefault="007A310B" w:rsidP="00F510B9">
      <w:pPr>
        <w:widowControl/>
        <w:ind w:left="1440" w:right="1440"/>
        <w:rPr>
          <w:iCs/>
          <w:sz w:val="26"/>
          <w:szCs w:val="26"/>
        </w:rPr>
      </w:pPr>
    </w:p>
    <w:p w14:paraId="0C8131D4" w14:textId="7BF79220" w:rsidR="007A310B" w:rsidRPr="006A631A" w:rsidRDefault="000B4477" w:rsidP="00A415D2">
      <w:pPr>
        <w:pStyle w:val="ListParagraph"/>
        <w:keepLines/>
        <w:widowControl/>
        <w:ind w:left="2880" w:right="1440" w:hanging="720"/>
        <w:rPr>
          <w:iCs/>
          <w:sz w:val="26"/>
          <w:szCs w:val="26"/>
        </w:rPr>
      </w:pPr>
      <w:bookmarkStart w:id="18" w:name="_Hlk54181641"/>
      <w:r w:rsidRPr="006A631A">
        <w:rPr>
          <w:iCs/>
          <w:sz w:val="26"/>
          <w:szCs w:val="26"/>
        </w:rPr>
        <w:lastRenderedPageBreak/>
        <w:t>a.</w:t>
      </w:r>
      <w:r w:rsidR="000C2E03" w:rsidRPr="006A631A">
        <w:rPr>
          <w:iCs/>
          <w:sz w:val="26"/>
          <w:szCs w:val="26"/>
        </w:rPr>
        <w:tab/>
      </w:r>
      <w:r w:rsidR="007A310B" w:rsidRPr="006A631A">
        <w:rPr>
          <w:iCs/>
          <w:sz w:val="26"/>
          <w:szCs w:val="26"/>
        </w:rPr>
        <w:t>Availability: Residential customers who are in arrears including Customer Responsibility Program (“CRP”) asked to pay bills without unauthorized usage on account.</w:t>
      </w:r>
    </w:p>
    <w:p w14:paraId="61C7AFDF" w14:textId="6EBAC54D" w:rsidR="007A310B" w:rsidRPr="006A631A" w:rsidRDefault="007A310B" w:rsidP="000C2E03">
      <w:pPr>
        <w:pStyle w:val="ListParagraph"/>
        <w:widowControl/>
        <w:ind w:left="2880" w:right="1440" w:hanging="720"/>
        <w:rPr>
          <w:iCs/>
          <w:sz w:val="26"/>
          <w:szCs w:val="26"/>
        </w:rPr>
      </w:pPr>
    </w:p>
    <w:p w14:paraId="639E4F1D" w14:textId="22F2ADA4" w:rsidR="007A310B" w:rsidRPr="006A631A" w:rsidRDefault="007A310B" w:rsidP="000C2E03">
      <w:pPr>
        <w:pStyle w:val="ListParagraph"/>
        <w:widowControl/>
        <w:numPr>
          <w:ilvl w:val="1"/>
          <w:numId w:val="1"/>
        </w:numPr>
        <w:ind w:left="2880" w:right="1440" w:hanging="720"/>
        <w:rPr>
          <w:iCs/>
          <w:sz w:val="26"/>
          <w:szCs w:val="26"/>
        </w:rPr>
      </w:pPr>
      <w:r w:rsidRPr="006A631A">
        <w:rPr>
          <w:iCs/>
          <w:sz w:val="26"/>
          <w:szCs w:val="26"/>
        </w:rPr>
        <w:t>Benefit: One-time, $300 credit per customer on PGW gas bill; credit will roll-over until exhausted.</w:t>
      </w:r>
    </w:p>
    <w:p w14:paraId="2DBCC6E1" w14:textId="77777777" w:rsidR="007A310B" w:rsidRPr="006A631A" w:rsidRDefault="007A310B" w:rsidP="000C2E03">
      <w:pPr>
        <w:pStyle w:val="ListParagraph"/>
        <w:widowControl/>
        <w:ind w:left="2880" w:hanging="720"/>
        <w:rPr>
          <w:iCs/>
          <w:sz w:val="26"/>
          <w:szCs w:val="26"/>
        </w:rPr>
      </w:pPr>
    </w:p>
    <w:p w14:paraId="52FC224D" w14:textId="04DCA626" w:rsidR="007A310B" w:rsidRPr="006A631A" w:rsidRDefault="007A310B" w:rsidP="000C2E03">
      <w:pPr>
        <w:pStyle w:val="ListParagraph"/>
        <w:widowControl/>
        <w:numPr>
          <w:ilvl w:val="1"/>
          <w:numId w:val="1"/>
        </w:numPr>
        <w:ind w:left="2880" w:right="1440" w:hanging="720"/>
        <w:rPr>
          <w:iCs/>
          <w:sz w:val="26"/>
          <w:szCs w:val="26"/>
        </w:rPr>
      </w:pPr>
      <w:r w:rsidRPr="006A631A">
        <w:rPr>
          <w:iCs/>
          <w:sz w:val="26"/>
          <w:szCs w:val="26"/>
        </w:rPr>
        <w:t>Enrollment: self-certification.</w:t>
      </w:r>
    </w:p>
    <w:p w14:paraId="3CD8AB1B" w14:textId="77777777" w:rsidR="007A310B" w:rsidRPr="006A631A" w:rsidRDefault="007A310B" w:rsidP="000C2E03">
      <w:pPr>
        <w:pStyle w:val="ListParagraph"/>
        <w:widowControl/>
        <w:ind w:left="2880" w:hanging="720"/>
        <w:rPr>
          <w:iCs/>
          <w:sz w:val="26"/>
          <w:szCs w:val="26"/>
        </w:rPr>
      </w:pPr>
    </w:p>
    <w:p w14:paraId="1FDEAE7D" w14:textId="7CD416A8" w:rsidR="007A310B" w:rsidRPr="006A631A" w:rsidRDefault="007A310B" w:rsidP="000C2E03">
      <w:pPr>
        <w:pStyle w:val="ListParagraph"/>
        <w:widowControl/>
        <w:numPr>
          <w:ilvl w:val="1"/>
          <w:numId w:val="1"/>
        </w:numPr>
        <w:ind w:left="2880" w:right="1440" w:hanging="720"/>
        <w:rPr>
          <w:iCs/>
          <w:sz w:val="26"/>
          <w:szCs w:val="26"/>
        </w:rPr>
      </w:pPr>
      <w:r w:rsidRPr="006A631A">
        <w:rPr>
          <w:iCs/>
          <w:sz w:val="26"/>
          <w:szCs w:val="26"/>
        </w:rPr>
        <w:t>Funding: GCR Pipeline Refunds in the amount of $2 million; benefit is “first come-first serve.” Limited to 6660 customers.  This $2.0 million is a single</w:t>
      </w:r>
      <w:bookmarkEnd w:id="18"/>
      <w:r w:rsidRPr="006A631A">
        <w:rPr>
          <w:iCs/>
          <w:sz w:val="26"/>
          <w:szCs w:val="26"/>
        </w:rPr>
        <w:t>-issue usage one-time only use of residential pipeline refunds and does not permit future use of pipeline refunds for this purpose.  However, nothing herein limits a party’s right to argue for a different application of pipeline refunds in future proceedings.</w:t>
      </w:r>
    </w:p>
    <w:p w14:paraId="222C1CB8" w14:textId="77777777" w:rsidR="007A310B" w:rsidRPr="006A631A" w:rsidRDefault="007A310B" w:rsidP="000C2E03">
      <w:pPr>
        <w:pStyle w:val="ListParagraph"/>
        <w:widowControl/>
        <w:ind w:left="2880" w:hanging="720"/>
        <w:rPr>
          <w:iCs/>
          <w:sz w:val="26"/>
          <w:szCs w:val="26"/>
        </w:rPr>
      </w:pPr>
    </w:p>
    <w:p w14:paraId="6F762310" w14:textId="33FC830D" w:rsidR="007A310B" w:rsidRPr="006A631A" w:rsidRDefault="00932F55" w:rsidP="000C2E03">
      <w:pPr>
        <w:pStyle w:val="ListParagraph"/>
        <w:widowControl/>
        <w:numPr>
          <w:ilvl w:val="1"/>
          <w:numId w:val="1"/>
        </w:numPr>
        <w:ind w:left="2880" w:right="1440" w:hanging="720"/>
        <w:rPr>
          <w:iCs/>
          <w:sz w:val="26"/>
          <w:szCs w:val="26"/>
        </w:rPr>
      </w:pPr>
      <w:r w:rsidRPr="006A631A">
        <w:rPr>
          <w:iCs/>
          <w:sz w:val="26"/>
          <w:szCs w:val="26"/>
        </w:rPr>
        <w:t>C19RP will end March 31, 2021 or when Funding is exhausted.</w:t>
      </w:r>
    </w:p>
    <w:p w14:paraId="1AF591CF" w14:textId="77777777" w:rsidR="00932F55" w:rsidRPr="006A631A" w:rsidRDefault="00932F55" w:rsidP="00F510B9">
      <w:pPr>
        <w:pStyle w:val="ListParagraph"/>
        <w:widowControl/>
        <w:rPr>
          <w:iCs/>
          <w:sz w:val="26"/>
          <w:szCs w:val="26"/>
        </w:rPr>
      </w:pPr>
    </w:p>
    <w:p w14:paraId="793C577F" w14:textId="52416F3F" w:rsidR="00932F55" w:rsidRPr="006A631A" w:rsidRDefault="00932F55" w:rsidP="00F510B9">
      <w:pPr>
        <w:widowControl/>
        <w:ind w:left="1440" w:right="1440"/>
        <w:rPr>
          <w:iCs/>
          <w:sz w:val="26"/>
          <w:szCs w:val="26"/>
        </w:rPr>
      </w:pPr>
      <w:r w:rsidRPr="006A631A">
        <w:rPr>
          <w:iCs/>
          <w:sz w:val="26"/>
          <w:szCs w:val="26"/>
        </w:rPr>
        <w:t>19.</w:t>
      </w:r>
      <w:r w:rsidRPr="006A631A">
        <w:rPr>
          <w:iCs/>
          <w:sz w:val="26"/>
          <w:szCs w:val="26"/>
        </w:rPr>
        <w:tab/>
        <w:t>The following residential customers are eligible for the program:</w:t>
      </w:r>
    </w:p>
    <w:p w14:paraId="789E2D60" w14:textId="673FB568" w:rsidR="009A5E93" w:rsidRPr="006A631A" w:rsidRDefault="009A5E93" w:rsidP="00AA489C">
      <w:pPr>
        <w:widowControl/>
        <w:ind w:firstLine="1440"/>
        <w:contextualSpacing/>
        <w:rPr>
          <w:iCs/>
          <w:sz w:val="26"/>
          <w:szCs w:val="26"/>
        </w:rPr>
      </w:pPr>
    </w:p>
    <w:p w14:paraId="278745A8" w14:textId="27FDFE9F" w:rsidR="00932F55" w:rsidRPr="006A631A" w:rsidRDefault="00932F55" w:rsidP="00B10577">
      <w:pPr>
        <w:pStyle w:val="ListParagraph"/>
        <w:widowControl/>
        <w:numPr>
          <w:ilvl w:val="0"/>
          <w:numId w:val="8"/>
        </w:numPr>
        <w:ind w:left="2880" w:right="1440" w:hanging="720"/>
        <w:rPr>
          <w:iCs/>
          <w:sz w:val="26"/>
          <w:szCs w:val="26"/>
        </w:rPr>
      </w:pPr>
      <w:r w:rsidRPr="006A631A">
        <w:rPr>
          <w:iCs/>
          <w:sz w:val="26"/>
          <w:szCs w:val="26"/>
        </w:rPr>
        <w:t>Contract employees and self-employed.</w:t>
      </w:r>
    </w:p>
    <w:p w14:paraId="0B88097D" w14:textId="77777777" w:rsidR="00932F55" w:rsidRPr="006A631A" w:rsidRDefault="00932F55" w:rsidP="00B10577">
      <w:pPr>
        <w:pStyle w:val="ListParagraph"/>
        <w:widowControl/>
        <w:ind w:left="2880" w:right="1440" w:hanging="720"/>
        <w:rPr>
          <w:iCs/>
          <w:sz w:val="26"/>
          <w:szCs w:val="26"/>
        </w:rPr>
      </w:pPr>
    </w:p>
    <w:p w14:paraId="7CE0B083" w14:textId="3D213BDA" w:rsidR="00932F55" w:rsidRPr="006A631A" w:rsidRDefault="00932F55" w:rsidP="00B10577">
      <w:pPr>
        <w:pStyle w:val="ListParagraph"/>
        <w:widowControl/>
        <w:numPr>
          <w:ilvl w:val="0"/>
          <w:numId w:val="8"/>
        </w:numPr>
        <w:ind w:left="2880" w:right="1440" w:hanging="720"/>
        <w:rPr>
          <w:iCs/>
          <w:sz w:val="26"/>
          <w:szCs w:val="26"/>
        </w:rPr>
      </w:pPr>
      <w:r w:rsidRPr="006A631A">
        <w:rPr>
          <w:iCs/>
          <w:sz w:val="26"/>
          <w:szCs w:val="26"/>
        </w:rPr>
        <w:t>Households in which a household member is caring for someone with COVID-19.</w:t>
      </w:r>
    </w:p>
    <w:p w14:paraId="49DEE4B9" w14:textId="77777777" w:rsidR="00932F55" w:rsidRPr="006A631A" w:rsidRDefault="00932F55" w:rsidP="00B10577">
      <w:pPr>
        <w:pStyle w:val="ListParagraph"/>
        <w:widowControl/>
        <w:ind w:left="2880" w:hanging="720"/>
        <w:rPr>
          <w:iCs/>
          <w:sz w:val="26"/>
          <w:szCs w:val="26"/>
        </w:rPr>
      </w:pPr>
    </w:p>
    <w:p w14:paraId="3F01F9F4" w14:textId="4BA6B8FF" w:rsidR="00932F55" w:rsidRPr="006A631A" w:rsidRDefault="00932F55" w:rsidP="00B10577">
      <w:pPr>
        <w:pStyle w:val="ListParagraph"/>
        <w:widowControl/>
        <w:numPr>
          <w:ilvl w:val="0"/>
          <w:numId w:val="8"/>
        </w:numPr>
        <w:ind w:left="2880" w:right="1440" w:hanging="720"/>
        <w:rPr>
          <w:iCs/>
          <w:sz w:val="26"/>
          <w:szCs w:val="26"/>
        </w:rPr>
      </w:pPr>
      <w:r w:rsidRPr="006A631A">
        <w:rPr>
          <w:iCs/>
          <w:sz w:val="26"/>
          <w:szCs w:val="26"/>
        </w:rPr>
        <w:t>Households in which a household member is caring for children at a time when the children’s school or childcare is normally open but is not open.  This will include situations in which a normally fulltime school or childcare is running in shifts to maintain social distancing (for example, putting children on two-week or three-week rotations).</w:t>
      </w:r>
    </w:p>
    <w:p w14:paraId="52DBF83C" w14:textId="77777777" w:rsidR="00932F55" w:rsidRPr="006A631A" w:rsidRDefault="00932F55" w:rsidP="00B10577">
      <w:pPr>
        <w:pStyle w:val="ListParagraph"/>
        <w:widowControl/>
        <w:ind w:left="2880" w:hanging="720"/>
        <w:rPr>
          <w:iCs/>
          <w:sz w:val="26"/>
          <w:szCs w:val="26"/>
        </w:rPr>
      </w:pPr>
    </w:p>
    <w:p w14:paraId="5613DB96" w14:textId="5B0490F0" w:rsidR="00932F55" w:rsidRPr="006A631A" w:rsidRDefault="00932F55" w:rsidP="00B10577">
      <w:pPr>
        <w:pStyle w:val="ListParagraph"/>
        <w:widowControl/>
        <w:numPr>
          <w:ilvl w:val="0"/>
          <w:numId w:val="8"/>
        </w:numPr>
        <w:ind w:left="2880" w:right="1440" w:hanging="720"/>
        <w:rPr>
          <w:iCs/>
          <w:sz w:val="26"/>
          <w:szCs w:val="26"/>
        </w:rPr>
      </w:pPr>
      <w:r w:rsidRPr="006A631A">
        <w:rPr>
          <w:iCs/>
          <w:sz w:val="26"/>
          <w:szCs w:val="26"/>
        </w:rPr>
        <w:t>Households with a member on furlough.</w:t>
      </w:r>
    </w:p>
    <w:p w14:paraId="5939375B" w14:textId="27B953DE" w:rsidR="00932F55" w:rsidRPr="006A631A" w:rsidRDefault="00932F55" w:rsidP="00B10577">
      <w:pPr>
        <w:pStyle w:val="ListParagraph"/>
        <w:widowControl/>
        <w:numPr>
          <w:ilvl w:val="0"/>
          <w:numId w:val="8"/>
        </w:numPr>
        <w:ind w:left="2880" w:right="1440" w:hanging="720"/>
        <w:rPr>
          <w:iCs/>
          <w:sz w:val="26"/>
          <w:szCs w:val="26"/>
        </w:rPr>
      </w:pPr>
      <w:r w:rsidRPr="006A631A">
        <w:rPr>
          <w:iCs/>
          <w:sz w:val="26"/>
          <w:szCs w:val="26"/>
        </w:rPr>
        <w:lastRenderedPageBreak/>
        <w:t>Households experiencing financial hardship related to the pandemic.</w:t>
      </w:r>
    </w:p>
    <w:p w14:paraId="404C1E8B" w14:textId="77777777" w:rsidR="00932F55" w:rsidRPr="006A631A" w:rsidRDefault="00932F55" w:rsidP="00B10577">
      <w:pPr>
        <w:pStyle w:val="ListParagraph"/>
        <w:widowControl/>
        <w:ind w:left="2880" w:hanging="720"/>
        <w:rPr>
          <w:iCs/>
          <w:sz w:val="26"/>
          <w:szCs w:val="26"/>
        </w:rPr>
      </w:pPr>
    </w:p>
    <w:p w14:paraId="0BD332AF" w14:textId="032888BC" w:rsidR="00932F55" w:rsidRPr="006A631A" w:rsidRDefault="00932F55" w:rsidP="00B10577">
      <w:pPr>
        <w:pStyle w:val="ListParagraph"/>
        <w:widowControl/>
        <w:numPr>
          <w:ilvl w:val="0"/>
          <w:numId w:val="8"/>
        </w:numPr>
        <w:ind w:left="2880" w:right="1440" w:hanging="720"/>
        <w:rPr>
          <w:iCs/>
          <w:sz w:val="26"/>
          <w:szCs w:val="26"/>
        </w:rPr>
      </w:pPr>
      <w:r w:rsidRPr="006A631A">
        <w:rPr>
          <w:iCs/>
          <w:sz w:val="26"/>
          <w:szCs w:val="26"/>
        </w:rPr>
        <w:t>Households in which a member has lost work, even if there is another income-earning member in the household.</w:t>
      </w:r>
    </w:p>
    <w:p w14:paraId="679ABCA6" w14:textId="77777777" w:rsidR="00932F55" w:rsidRPr="006A631A" w:rsidRDefault="00932F55" w:rsidP="00F510B9">
      <w:pPr>
        <w:pStyle w:val="ListParagraph"/>
        <w:widowControl/>
        <w:rPr>
          <w:iCs/>
          <w:sz w:val="26"/>
          <w:szCs w:val="26"/>
        </w:rPr>
      </w:pPr>
    </w:p>
    <w:p w14:paraId="45123C29" w14:textId="1B210414" w:rsidR="00932F55" w:rsidRPr="006A631A" w:rsidRDefault="00932F55" w:rsidP="00F510B9">
      <w:pPr>
        <w:widowControl/>
        <w:ind w:left="1440" w:right="1440"/>
        <w:rPr>
          <w:iCs/>
          <w:sz w:val="26"/>
          <w:szCs w:val="26"/>
        </w:rPr>
      </w:pPr>
      <w:r w:rsidRPr="006A631A">
        <w:rPr>
          <w:iCs/>
          <w:sz w:val="26"/>
          <w:szCs w:val="26"/>
        </w:rPr>
        <w:t>20.</w:t>
      </w:r>
      <w:r w:rsidRPr="006A631A">
        <w:rPr>
          <w:iCs/>
          <w:sz w:val="26"/>
          <w:szCs w:val="26"/>
        </w:rPr>
        <w:tab/>
        <w:t>Note: Acceptance of a credit from the program should not in any way be treated as interfering with qualification for and acceptance into CRP (although CRP customers will be eligible).</w:t>
      </w:r>
    </w:p>
    <w:p w14:paraId="5CA646BC" w14:textId="71F48178" w:rsidR="00932F55" w:rsidRPr="006A631A" w:rsidRDefault="00932F55" w:rsidP="00F510B9">
      <w:pPr>
        <w:widowControl/>
        <w:ind w:left="1440" w:right="1440"/>
        <w:rPr>
          <w:iCs/>
          <w:sz w:val="26"/>
          <w:szCs w:val="26"/>
        </w:rPr>
      </w:pPr>
    </w:p>
    <w:p w14:paraId="4C17DD5E" w14:textId="421F5E3A" w:rsidR="00932F55" w:rsidRPr="006A631A" w:rsidRDefault="00932F55" w:rsidP="00F510B9">
      <w:pPr>
        <w:widowControl/>
        <w:ind w:left="1440" w:right="1440"/>
        <w:rPr>
          <w:iCs/>
          <w:sz w:val="26"/>
          <w:szCs w:val="26"/>
        </w:rPr>
      </w:pPr>
      <w:r w:rsidRPr="006A631A">
        <w:rPr>
          <w:iCs/>
          <w:sz w:val="26"/>
          <w:szCs w:val="26"/>
        </w:rPr>
        <w:t>21.</w:t>
      </w:r>
      <w:r w:rsidRPr="006A631A">
        <w:rPr>
          <w:iCs/>
          <w:sz w:val="26"/>
          <w:szCs w:val="26"/>
        </w:rPr>
        <w:tab/>
        <w:t>PGW shall comply with the PUC Order at Docket No. M-2020-3019244 dated March 13, 2020 regarding terminations.  In addition, PGW shall do the following through March 31, 2021, unless otherwise indicated below:</w:t>
      </w:r>
    </w:p>
    <w:p w14:paraId="486EB10F" w14:textId="598B6C0E" w:rsidR="00932F55" w:rsidRPr="006A631A" w:rsidRDefault="00932F55" w:rsidP="00F510B9">
      <w:pPr>
        <w:widowControl/>
        <w:ind w:left="1440" w:right="1440"/>
        <w:rPr>
          <w:iCs/>
          <w:sz w:val="26"/>
          <w:szCs w:val="26"/>
        </w:rPr>
      </w:pPr>
    </w:p>
    <w:p w14:paraId="54BD4C98" w14:textId="7D50A5D0" w:rsidR="00932F55" w:rsidRPr="006A631A" w:rsidRDefault="00932F55" w:rsidP="00B10577">
      <w:pPr>
        <w:pStyle w:val="ListParagraph"/>
        <w:widowControl/>
        <w:numPr>
          <w:ilvl w:val="0"/>
          <w:numId w:val="9"/>
        </w:numPr>
        <w:ind w:left="2880" w:right="1440" w:hanging="720"/>
        <w:rPr>
          <w:iCs/>
          <w:sz w:val="26"/>
          <w:szCs w:val="26"/>
        </w:rPr>
      </w:pPr>
      <w:r w:rsidRPr="006A631A">
        <w:rPr>
          <w:iCs/>
          <w:sz w:val="26"/>
          <w:szCs w:val="26"/>
        </w:rPr>
        <w:t>Until July 1, 2021, PGW shall not remove customers from CRP for failing to complete their re-certification process.</w:t>
      </w:r>
    </w:p>
    <w:p w14:paraId="19F612E0" w14:textId="4B42C5E2" w:rsidR="00932F55" w:rsidRPr="006A631A" w:rsidRDefault="00932F55" w:rsidP="00B10577">
      <w:pPr>
        <w:pStyle w:val="ListParagraph"/>
        <w:widowControl/>
        <w:ind w:left="2880" w:right="1440" w:hanging="720"/>
        <w:rPr>
          <w:iCs/>
          <w:sz w:val="26"/>
          <w:szCs w:val="26"/>
        </w:rPr>
      </w:pPr>
    </w:p>
    <w:p w14:paraId="1FC245E8" w14:textId="1555AA02" w:rsidR="00932F55" w:rsidRPr="006A631A" w:rsidRDefault="00932F55" w:rsidP="00B10577">
      <w:pPr>
        <w:pStyle w:val="ListParagraph"/>
        <w:widowControl/>
        <w:numPr>
          <w:ilvl w:val="0"/>
          <w:numId w:val="9"/>
        </w:numPr>
        <w:ind w:left="2880" w:right="1440" w:hanging="720"/>
        <w:rPr>
          <w:iCs/>
          <w:sz w:val="26"/>
          <w:szCs w:val="26"/>
        </w:rPr>
      </w:pPr>
      <w:r w:rsidRPr="006A631A">
        <w:rPr>
          <w:iCs/>
          <w:sz w:val="26"/>
          <w:szCs w:val="26"/>
        </w:rPr>
        <w:t>Until December 31, 2020, PGW shall not require acceptance of LIURP weatherization as a condition of CRP participation.</w:t>
      </w:r>
    </w:p>
    <w:p w14:paraId="31C5D43C" w14:textId="77777777" w:rsidR="00932F55" w:rsidRPr="006A631A" w:rsidRDefault="00932F55" w:rsidP="00B10577">
      <w:pPr>
        <w:pStyle w:val="ListParagraph"/>
        <w:widowControl/>
        <w:ind w:left="2880" w:hanging="720"/>
        <w:rPr>
          <w:iCs/>
          <w:sz w:val="26"/>
          <w:szCs w:val="26"/>
        </w:rPr>
      </w:pPr>
    </w:p>
    <w:p w14:paraId="1267C38E" w14:textId="0EA892FC" w:rsidR="00932F55" w:rsidRPr="006A631A" w:rsidRDefault="00932F55" w:rsidP="00B10577">
      <w:pPr>
        <w:pStyle w:val="ListParagraph"/>
        <w:widowControl/>
        <w:numPr>
          <w:ilvl w:val="0"/>
          <w:numId w:val="9"/>
        </w:numPr>
        <w:ind w:left="2880" w:right="1440" w:hanging="720"/>
        <w:rPr>
          <w:iCs/>
          <w:sz w:val="26"/>
          <w:szCs w:val="26"/>
        </w:rPr>
      </w:pPr>
      <w:r w:rsidRPr="006A631A">
        <w:rPr>
          <w:iCs/>
          <w:sz w:val="26"/>
          <w:szCs w:val="26"/>
        </w:rPr>
        <w:t>PGW shall allow the submission of emailed documentation for new service applications.</w:t>
      </w:r>
    </w:p>
    <w:p w14:paraId="61704F7A" w14:textId="77777777" w:rsidR="00932F55" w:rsidRPr="006A631A" w:rsidRDefault="00932F55" w:rsidP="00B10577">
      <w:pPr>
        <w:pStyle w:val="ListParagraph"/>
        <w:widowControl/>
        <w:ind w:left="2880" w:hanging="720"/>
        <w:rPr>
          <w:iCs/>
          <w:sz w:val="26"/>
          <w:szCs w:val="26"/>
        </w:rPr>
      </w:pPr>
    </w:p>
    <w:p w14:paraId="741B96AD" w14:textId="54E11E16" w:rsidR="00932F55" w:rsidRPr="006A631A" w:rsidRDefault="00932F55" w:rsidP="00B10577">
      <w:pPr>
        <w:pStyle w:val="ListParagraph"/>
        <w:widowControl/>
        <w:numPr>
          <w:ilvl w:val="0"/>
          <w:numId w:val="9"/>
        </w:numPr>
        <w:ind w:left="2880" w:right="1440" w:hanging="720"/>
        <w:rPr>
          <w:iCs/>
          <w:sz w:val="26"/>
          <w:szCs w:val="26"/>
        </w:rPr>
      </w:pPr>
      <w:r w:rsidRPr="006A631A">
        <w:rPr>
          <w:iCs/>
          <w:sz w:val="26"/>
          <w:szCs w:val="26"/>
        </w:rPr>
        <w:t>Within 45 days of approval of the settlement in this case, PGW shall conduct outreach to customers who were terminated for non-payment in the last 12 months who owe $300 or less and provide them with information about PGW’s C19RP and options for restoration of service.</w:t>
      </w:r>
    </w:p>
    <w:p w14:paraId="11B921AC" w14:textId="77777777" w:rsidR="00932F55" w:rsidRPr="006A631A" w:rsidRDefault="00932F55" w:rsidP="00B10577">
      <w:pPr>
        <w:pStyle w:val="ListParagraph"/>
        <w:widowControl/>
        <w:ind w:left="2880" w:hanging="720"/>
        <w:rPr>
          <w:iCs/>
          <w:sz w:val="26"/>
          <w:szCs w:val="26"/>
        </w:rPr>
      </w:pPr>
    </w:p>
    <w:p w14:paraId="5B4C1B1E" w14:textId="5199167E" w:rsidR="00932F55" w:rsidRPr="006A631A" w:rsidRDefault="00932F55" w:rsidP="00B10577">
      <w:pPr>
        <w:pStyle w:val="ListParagraph"/>
        <w:widowControl/>
        <w:numPr>
          <w:ilvl w:val="0"/>
          <w:numId w:val="9"/>
        </w:numPr>
        <w:ind w:left="2880" w:right="1440" w:hanging="720"/>
        <w:rPr>
          <w:iCs/>
          <w:sz w:val="26"/>
          <w:szCs w:val="26"/>
        </w:rPr>
      </w:pPr>
      <w:r w:rsidRPr="006A631A">
        <w:rPr>
          <w:iCs/>
          <w:sz w:val="26"/>
          <w:szCs w:val="26"/>
        </w:rPr>
        <w:t xml:space="preserve">PGW shall track the number of customers who are able to restore service solely </w:t>
      </w:r>
      <w:proofErr w:type="gramStart"/>
      <w:r w:rsidRPr="006A631A">
        <w:rPr>
          <w:iCs/>
          <w:sz w:val="26"/>
          <w:szCs w:val="26"/>
        </w:rPr>
        <w:t>through the use of</w:t>
      </w:r>
      <w:proofErr w:type="gramEnd"/>
      <w:r w:rsidRPr="006A631A">
        <w:rPr>
          <w:iCs/>
          <w:sz w:val="26"/>
          <w:szCs w:val="26"/>
        </w:rPr>
        <w:t xml:space="preserve"> PGW’s C19RP.</w:t>
      </w:r>
    </w:p>
    <w:p w14:paraId="2A25C17F" w14:textId="77777777" w:rsidR="00932F55" w:rsidRPr="006A631A" w:rsidRDefault="00932F55" w:rsidP="00B10577">
      <w:pPr>
        <w:pStyle w:val="ListParagraph"/>
        <w:widowControl/>
        <w:ind w:left="2880" w:hanging="720"/>
        <w:rPr>
          <w:iCs/>
          <w:sz w:val="26"/>
          <w:szCs w:val="26"/>
        </w:rPr>
      </w:pPr>
    </w:p>
    <w:p w14:paraId="7900AE25" w14:textId="3B819E16" w:rsidR="00932F55" w:rsidRPr="006A631A" w:rsidRDefault="00932F55" w:rsidP="00B10577">
      <w:pPr>
        <w:pStyle w:val="ListParagraph"/>
        <w:widowControl/>
        <w:numPr>
          <w:ilvl w:val="0"/>
          <w:numId w:val="9"/>
        </w:numPr>
        <w:ind w:left="2880" w:right="1440" w:hanging="720"/>
        <w:rPr>
          <w:iCs/>
          <w:sz w:val="26"/>
          <w:szCs w:val="26"/>
        </w:rPr>
      </w:pPr>
      <w:r w:rsidRPr="006A631A">
        <w:rPr>
          <w:iCs/>
          <w:sz w:val="26"/>
          <w:szCs w:val="26"/>
        </w:rPr>
        <w:t xml:space="preserve">Within 90 days of the conclusion of C19RP, PGW shall provide the parties to this settlement </w:t>
      </w:r>
      <w:r w:rsidRPr="006A631A">
        <w:rPr>
          <w:iCs/>
          <w:sz w:val="26"/>
          <w:szCs w:val="26"/>
        </w:rPr>
        <w:lastRenderedPageBreak/>
        <w:t>with the number of customers who were able to restore service through C19RP.</w:t>
      </w:r>
    </w:p>
    <w:p w14:paraId="2074ED41" w14:textId="77777777" w:rsidR="00932F55" w:rsidRPr="006A631A" w:rsidRDefault="00932F55" w:rsidP="00B10577">
      <w:pPr>
        <w:pStyle w:val="ListParagraph"/>
        <w:widowControl/>
        <w:ind w:left="2880" w:hanging="720"/>
        <w:rPr>
          <w:iCs/>
          <w:sz w:val="26"/>
          <w:szCs w:val="26"/>
        </w:rPr>
      </w:pPr>
    </w:p>
    <w:p w14:paraId="769A81DD" w14:textId="025DA6BE" w:rsidR="00932F55" w:rsidRPr="006A631A" w:rsidRDefault="00932F55" w:rsidP="00B10577">
      <w:pPr>
        <w:pStyle w:val="ListParagraph"/>
        <w:widowControl/>
        <w:numPr>
          <w:ilvl w:val="0"/>
          <w:numId w:val="9"/>
        </w:numPr>
        <w:ind w:left="2880" w:right="1440" w:hanging="720"/>
        <w:rPr>
          <w:iCs/>
          <w:sz w:val="26"/>
          <w:szCs w:val="26"/>
        </w:rPr>
      </w:pPr>
      <w:r w:rsidRPr="006A631A">
        <w:rPr>
          <w:iCs/>
          <w:sz w:val="26"/>
          <w:szCs w:val="26"/>
        </w:rPr>
        <w:t>PGW shall accept at least one additional medical certificate to stop the involuntary termination of service for non-payment, regardless of whether the household has submitted the maximum number of renewal certificates in the past.</w:t>
      </w:r>
    </w:p>
    <w:p w14:paraId="6E6A7568" w14:textId="77777777" w:rsidR="00932F55" w:rsidRPr="006A631A" w:rsidRDefault="00932F55" w:rsidP="00B10577">
      <w:pPr>
        <w:pStyle w:val="ListParagraph"/>
        <w:widowControl/>
        <w:ind w:left="2880" w:hanging="720"/>
        <w:rPr>
          <w:iCs/>
          <w:sz w:val="26"/>
          <w:szCs w:val="26"/>
        </w:rPr>
      </w:pPr>
    </w:p>
    <w:p w14:paraId="5DD278A0" w14:textId="06E381A9" w:rsidR="00932F55" w:rsidRPr="006A631A" w:rsidRDefault="00932F55" w:rsidP="00B10577">
      <w:pPr>
        <w:pStyle w:val="ListParagraph"/>
        <w:widowControl/>
        <w:numPr>
          <w:ilvl w:val="0"/>
          <w:numId w:val="9"/>
        </w:numPr>
        <w:ind w:left="2880" w:right="1440" w:hanging="720"/>
        <w:rPr>
          <w:iCs/>
          <w:sz w:val="26"/>
          <w:szCs w:val="26"/>
        </w:rPr>
      </w:pPr>
      <w:r w:rsidRPr="006A631A">
        <w:rPr>
          <w:iCs/>
          <w:sz w:val="26"/>
          <w:szCs w:val="26"/>
        </w:rPr>
        <w:t>Conduct outreach to all customers for whom PGW has income documentation on file indicating the customer was confirmed low income within the last 12 months and promote PGW’s CRP.</w:t>
      </w:r>
    </w:p>
    <w:p w14:paraId="3B32AE83" w14:textId="77777777" w:rsidR="00932F55" w:rsidRPr="006A631A" w:rsidRDefault="00932F55" w:rsidP="00F510B9">
      <w:pPr>
        <w:pStyle w:val="ListParagraph"/>
        <w:widowControl/>
        <w:rPr>
          <w:iCs/>
          <w:sz w:val="26"/>
          <w:szCs w:val="26"/>
        </w:rPr>
      </w:pPr>
    </w:p>
    <w:p w14:paraId="60F1E6DE" w14:textId="3BB01E07" w:rsidR="00932F55" w:rsidRPr="006A631A" w:rsidRDefault="00932F55" w:rsidP="00F510B9">
      <w:pPr>
        <w:widowControl/>
        <w:ind w:left="1440" w:right="1440"/>
        <w:rPr>
          <w:iCs/>
          <w:sz w:val="26"/>
          <w:szCs w:val="26"/>
        </w:rPr>
      </w:pPr>
      <w:bookmarkStart w:id="19" w:name="_Hlk54182762"/>
      <w:r w:rsidRPr="006A631A">
        <w:rPr>
          <w:iCs/>
          <w:sz w:val="26"/>
          <w:szCs w:val="26"/>
        </w:rPr>
        <w:t>22.</w:t>
      </w:r>
      <w:r w:rsidRPr="006A631A">
        <w:rPr>
          <w:iCs/>
          <w:sz w:val="26"/>
          <w:szCs w:val="26"/>
        </w:rPr>
        <w:tab/>
        <w:t>Residential customer C19RP benefits shall include:</w:t>
      </w:r>
    </w:p>
    <w:bookmarkEnd w:id="19"/>
    <w:p w14:paraId="6E7CD1C6" w14:textId="458893F6" w:rsidR="00932F55" w:rsidRPr="006A631A" w:rsidRDefault="00932F55" w:rsidP="00F510B9">
      <w:pPr>
        <w:widowControl/>
        <w:ind w:left="1440" w:right="1440"/>
        <w:rPr>
          <w:iCs/>
          <w:sz w:val="26"/>
          <w:szCs w:val="26"/>
        </w:rPr>
      </w:pPr>
    </w:p>
    <w:p w14:paraId="23A12819" w14:textId="160AF7EB" w:rsidR="00932F55" w:rsidRPr="006A631A" w:rsidRDefault="00932F55" w:rsidP="00B10577">
      <w:pPr>
        <w:pStyle w:val="ListParagraph"/>
        <w:widowControl/>
        <w:numPr>
          <w:ilvl w:val="0"/>
          <w:numId w:val="10"/>
        </w:numPr>
        <w:ind w:left="2880" w:right="1440" w:hanging="720"/>
        <w:rPr>
          <w:iCs/>
          <w:sz w:val="26"/>
          <w:szCs w:val="26"/>
        </w:rPr>
      </w:pPr>
      <w:bookmarkStart w:id="20" w:name="_Hlk54183556"/>
      <w:r w:rsidRPr="006A631A">
        <w:rPr>
          <w:iCs/>
          <w:sz w:val="26"/>
          <w:szCs w:val="26"/>
        </w:rPr>
        <w:t xml:space="preserve">Upon enrollment, suspension of PUC-regulated collection efforts for any amounts due for service beginning as of the March 2020 billing cycle and continuing through the duration of the PUC Emergency Order or April 1, 2021, whichever comes first. Customers </w:t>
      </w:r>
      <w:bookmarkEnd w:id="20"/>
      <w:r w:rsidRPr="006A631A">
        <w:rPr>
          <w:iCs/>
          <w:sz w:val="26"/>
          <w:szCs w:val="26"/>
        </w:rPr>
        <w:t>with unauthorized usage on their accounts are not eligible for a C19RP benefit.</w:t>
      </w:r>
    </w:p>
    <w:p w14:paraId="3DD5B32F" w14:textId="3E56E818" w:rsidR="00932F55" w:rsidRPr="006A631A" w:rsidRDefault="00932F55" w:rsidP="00B10577">
      <w:pPr>
        <w:pStyle w:val="ListParagraph"/>
        <w:widowControl/>
        <w:ind w:left="2880" w:right="1440" w:hanging="720"/>
        <w:rPr>
          <w:iCs/>
          <w:sz w:val="26"/>
          <w:szCs w:val="26"/>
        </w:rPr>
      </w:pPr>
    </w:p>
    <w:p w14:paraId="2B8A603F" w14:textId="4F790BB9" w:rsidR="00932F55" w:rsidRPr="006A631A" w:rsidRDefault="00932F55" w:rsidP="00B10577">
      <w:pPr>
        <w:pStyle w:val="ListParagraph"/>
        <w:widowControl/>
        <w:numPr>
          <w:ilvl w:val="0"/>
          <w:numId w:val="10"/>
        </w:numPr>
        <w:ind w:left="2880" w:right="1440" w:hanging="720"/>
        <w:rPr>
          <w:iCs/>
          <w:sz w:val="26"/>
          <w:szCs w:val="26"/>
        </w:rPr>
      </w:pPr>
      <w:r w:rsidRPr="006A631A">
        <w:rPr>
          <w:iCs/>
          <w:sz w:val="26"/>
          <w:szCs w:val="26"/>
        </w:rPr>
        <w:t xml:space="preserve">All C19RP customers who may be eligible for CRP will be encouraged to apply for CRP as a condition of receipt. </w:t>
      </w:r>
      <w:r w:rsidR="0004176B" w:rsidRPr="006A631A">
        <w:rPr>
          <w:iCs/>
          <w:sz w:val="26"/>
          <w:szCs w:val="26"/>
        </w:rPr>
        <w:t xml:space="preserve"> </w:t>
      </w:r>
      <w:r w:rsidRPr="006A631A">
        <w:rPr>
          <w:iCs/>
          <w:sz w:val="26"/>
          <w:szCs w:val="26"/>
        </w:rPr>
        <w:t xml:space="preserve">For customers determined to be ineligible for CRP, any remaining current applicable balance shall be eligible for a long-term deferred payment arrangement (including the suspended amount) of no less than 12 months. </w:t>
      </w:r>
      <w:r w:rsidR="0004176B" w:rsidRPr="006A631A">
        <w:rPr>
          <w:iCs/>
          <w:sz w:val="26"/>
          <w:szCs w:val="26"/>
        </w:rPr>
        <w:t xml:space="preserve"> </w:t>
      </w:r>
      <w:r w:rsidRPr="006A631A">
        <w:rPr>
          <w:iCs/>
          <w:sz w:val="26"/>
          <w:szCs w:val="26"/>
        </w:rPr>
        <w:t xml:space="preserve">The 12 month payment arrangement will be provided even if the customer has had a previous PGW and/or PUC payment arrangement; this C19RP payment agreement will not be counted by PGW as a PUC or PGW payment agreement with respect to future payment agreement eligibility. </w:t>
      </w:r>
      <w:r w:rsidR="0004176B" w:rsidRPr="006A631A">
        <w:rPr>
          <w:iCs/>
          <w:sz w:val="26"/>
          <w:szCs w:val="26"/>
        </w:rPr>
        <w:t xml:space="preserve"> </w:t>
      </w:r>
      <w:r w:rsidRPr="006A631A">
        <w:rPr>
          <w:iCs/>
          <w:sz w:val="26"/>
          <w:szCs w:val="26"/>
        </w:rPr>
        <w:t xml:space="preserve">Longer payment arrangements may be offered to C19RP participants at the discretion of the Company. </w:t>
      </w:r>
      <w:r w:rsidRPr="006A631A">
        <w:rPr>
          <w:iCs/>
          <w:sz w:val="26"/>
          <w:szCs w:val="26"/>
        </w:rPr>
        <w:lastRenderedPageBreak/>
        <w:t>Customers who receive C19RP payment agreements do not waive their right to obtaining a PUC payment</w:t>
      </w:r>
      <w:r w:rsidR="0004176B" w:rsidRPr="006A631A">
        <w:rPr>
          <w:iCs/>
          <w:sz w:val="26"/>
          <w:szCs w:val="26"/>
        </w:rPr>
        <w:t xml:space="preserve"> </w:t>
      </w:r>
      <w:r w:rsidRPr="006A631A">
        <w:rPr>
          <w:iCs/>
          <w:sz w:val="26"/>
          <w:szCs w:val="26"/>
        </w:rPr>
        <w:t xml:space="preserve">agreement under Section 1405. </w:t>
      </w:r>
      <w:r w:rsidR="0004176B" w:rsidRPr="006A631A">
        <w:rPr>
          <w:iCs/>
          <w:sz w:val="26"/>
          <w:szCs w:val="26"/>
        </w:rPr>
        <w:t xml:space="preserve"> </w:t>
      </w:r>
      <w:r w:rsidRPr="006A631A">
        <w:rPr>
          <w:iCs/>
          <w:sz w:val="26"/>
          <w:szCs w:val="26"/>
        </w:rPr>
        <w:t>Customers who currently do not have active</w:t>
      </w:r>
      <w:r w:rsidR="0004176B" w:rsidRPr="006A631A">
        <w:rPr>
          <w:iCs/>
          <w:sz w:val="26"/>
          <w:szCs w:val="26"/>
        </w:rPr>
        <w:t xml:space="preserve"> </w:t>
      </w:r>
      <w:r w:rsidRPr="006A631A">
        <w:rPr>
          <w:iCs/>
          <w:sz w:val="26"/>
          <w:szCs w:val="26"/>
        </w:rPr>
        <w:t>service and owe more than $600 or who have unauthorized usage on their</w:t>
      </w:r>
      <w:r w:rsidR="0004176B" w:rsidRPr="006A631A">
        <w:rPr>
          <w:iCs/>
          <w:sz w:val="26"/>
          <w:szCs w:val="26"/>
        </w:rPr>
        <w:t xml:space="preserve"> </w:t>
      </w:r>
      <w:r w:rsidRPr="006A631A">
        <w:rPr>
          <w:iCs/>
          <w:sz w:val="26"/>
          <w:szCs w:val="26"/>
        </w:rPr>
        <w:t>accounts are not eligible for a C19RP payment arrangement.</w:t>
      </w:r>
    </w:p>
    <w:p w14:paraId="7584B683" w14:textId="77777777" w:rsidR="0004176B" w:rsidRPr="006A631A" w:rsidRDefault="0004176B" w:rsidP="00B10577">
      <w:pPr>
        <w:pStyle w:val="ListParagraph"/>
        <w:widowControl/>
        <w:ind w:left="2880" w:hanging="720"/>
        <w:rPr>
          <w:iCs/>
          <w:sz w:val="26"/>
          <w:szCs w:val="26"/>
        </w:rPr>
      </w:pPr>
    </w:p>
    <w:p w14:paraId="71C389A7" w14:textId="1F5F7460" w:rsidR="0004176B" w:rsidRPr="006A631A" w:rsidRDefault="00421CC3" w:rsidP="00B10577">
      <w:pPr>
        <w:pStyle w:val="ListParagraph"/>
        <w:widowControl/>
        <w:numPr>
          <w:ilvl w:val="0"/>
          <w:numId w:val="10"/>
        </w:numPr>
        <w:ind w:left="2880" w:right="1440" w:hanging="720"/>
        <w:rPr>
          <w:iCs/>
          <w:sz w:val="26"/>
          <w:szCs w:val="26"/>
        </w:rPr>
      </w:pPr>
      <w:r w:rsidRPr="006A631A">
        <w:rPr>
          <w:iCs/>
          <w:sz w:val="26"/>
          <w:szCs w:val="26"/>
        </w:rPr>
        <w:t>Effective March 19, 2020, the customer will be eligible to receive waiver of late fees from March 19 until the end date of the current waiver of late fees.  If late fees are re-implemented prior to a customer enrolling in C19RP, the customer will be responsible for those charges.  Upon enrollment in C19RP, however, waiver of late fees shall commence for the customer’s most recent billing cycle through April 1, 2021.</w:t>
      </w:r>
    </w:p>
    <w:p w14:paraId="211031C1" w14:textId="77777777" w:rsidR="00421CC3" w:rsidRPr="006A631A" w:rsidRDefault="00421CC3" w:rsidP="00B10577">
      <w:pPr>
        <w:pStyle w:val="ListParagraph"/>
        <w:widowControl/>
        <w:ind w:left="2880" w:hanging="720"/>
        <w:rPr>
          <w:iCs/>
          <w:sz w:val="26"/>
          <w:szCs w:val="26"/>
        </w:rPr>
      </w:pPr>
    </w:p>
    <w:p w14:paraId="2C0042D2" w14:textId="656272DA" w:rsidR="00421CC3" w:rsidRPr="006A631A" w:rsidRDefault="00C17E88" w:rsidP="00B10577">
      <w:pPr>
        <w:pStyle w:val="ListParagraph"/>
        <w:widowControl/>
        <w:numPr>
          <w:ilvl w:val="0"/>
          <w:numId w:val="10"/>
        </w:numPr>
        <w:ind w:left="2880" w:right="1440" w:hanging="720"/>
        <w:rPr>
          <w:iCs/>
          <w:sz w:val="26"/>
          <w:szCs w:val="26"/>
        </w:rPr>
      </w:pPr>
      <w:r w:rsidRPr="006A631A">
        <w:rPr>
          <w:iCs/>
          <w:sz w:val="26"/>
          <w:szCs w:val="26"/>
        </w:rPr>
        <w:t>Upon enrollment in C19RP, reconnection fees will be waived for the duration of the PUC Emergency Order.</w:t>
      </w:r>
    </w:p>
    <w:p w14:paraId="161817EC" w14:textId="77777777" w:rsidR="00C17E88" w:rsidRPr="006A631A" w:rsidRDefault="00C17E88" w:rsidP="00B10577">
      <w:pPr>
        <w:pStyle w:val="ListParagraph"/>
        <w:widowControl/>
        <w:ind w:left="2880" w:hanging="720"/>
        <w:rPr>
          <w:iCs/>
          <w:sz w:val="26"/>
          <w:szCs w:val="26"/>
        </w:rPr>
      </w:pPr>
    </w:p>
    <w:p w14:paraId="0CDD0511" w14:textId="02FDAD1F" w:rsidR="00C17E88" w:rsidRPr="006A631A" w:rsidRDefault="00C17E88" w:rsidP="00B10577">
      <w:pPr>
        <w:pStyle w:val="ListParagraph"/>
        <w:widowControl/>
        <w:numPr>
          <w:ilvl w:val="0"/>
          <w:numId w:val="10"/>
        </w:numPr>
        <w:ind w:left="2880" w:right="1440" w:hanging="720"/>
        <w:rPr>
          <w:iCs/>
          <w:sz w:val="26"/>
          <w:szCs w:val="26"/>
        </w:rPr>
      </w:pPr>
      <w:r w:rsidRPr="006A631A">
        <w:rPr>
          <w:iCs/>
          <w:sz w:val="26"/>
          <w:szCs w:val="26"/>
        </w:rPr>
        <w:t>For customers enrolling in C19RP who currently do not have active service:</w:t>
      </w:r>
    </w:p>
    <w:p w14:paraId="3575137A" w14:textId="77777777" w:rsidR="00C17E88" w:rsidRPr="006A631A" w:rsidRDefault="00C17E88" w:rsidP="00B10577">
      <w:pPr>
        <w:pStyle w:val="ListParagraph"/>
        <w:widowControl/>
        <w:ind w:left="2880" w:hanging="720"/>
        <w:rPr>
          <w:iCs/>
          <w:sz w:val="26"/>
          <w:szCs w:val="26"/>
        </w:rPr>
      </w:pPr>
    </w:p>
    <w:p w14:paraId="58E71DF5" w14:textId="278C2C7D" w:rsidR="00C17E88" w:rsidRPr="006A631A" w:rsidRDefault="00C17E88" w:rsidP="00B10577">
      <w:pPr>
        <w:pStyle w:val="ListParagraph"/>
        <w:widowControl/>
        <w:numPr>
          <w:ilvl w:val="0"/>
          <w:numId w:val="9"/>
        </w:numPr>
        <w:ind w:left="3600" w:right="1440" w:hanging="720"/>
        <w:rPr>
          <w:iCs/>
          <w:sz w:val="26"/>
          <w:szCs w:val="26"/>
        </w:rPr>
      </w:pPr>
      <w:bookmarkStart w:id="21" w:name="_Hlk54184666"/>
      <w:r w:rsidRPr="006A631A">
        <w:rPr>
          <w:iCs/>
          <w:sz w:val="26"/>
          <w:szCs w:val="26"/>
        </w:rPr>
        <w:t>If the customer owes $300 or less, PGW will credit the amount owed up to $300 and will waive the reconnection fee.</w:t>
      </w:r>
    </w:p>
    <w:p w14:paraId="47937D65" w14:textId="74DE241E" w:rsidR="00C17E88" w:rsidRPr="006A631A" w:rsidRDefault="00C17E88" w:rsidP="00B10577">
      <w:pPr>
        <w:pStyle w:val="ListParagraph"/>
        <w:widowControl/>
        <w:ind w:left="3600" w:right="1440" w:hanging="720"/>
        <w:rPr>
          <w:iCs/>
          <w:sz w:val="26"/>
          <w:szCs w:val="26"/>
        </w:rPr>
      </w:pPr>
    </w:p>
    <w:p w14:paraId="5ABFC1A0" w14:textId="65D22524" w:rsidR="00C17E88" w:rsidRPr="006A631A" w:rsidRDefault="00C17E88" w:rsidP="00B10577">
      <w:pPr>
        <w:pStyle w:val="ListParagraph"/>
        <w:widowControl/>
        <w:numPr>
          <w:ilvl w:val="0"/>
          <w:numId w:val="21"/>
        </w:numPr>
        <w:ind w:left="3600" w:right="1440"/>
        <w:rPr>
          <w:iCs/>
          <w:sz w:val="26"/>
          <w:szCs w:val="26"/>
        </w:rPr>
      </w:pPr>
      <w:r w:rsidRPr="006A631A">
        <w:rPr>
          <w:iCs/>
          <w:sz w:val="26"/>
          <w:szCs w:val="26"/>
        </w:rPr>
        <w:t>If the customer owes more than $300 and not more than $600, PGW will credit the $300 towards the customer’s unpaid balance, waive the reconnection fee and the customer shall be eligible for a long-term deferred payment arrangement (including the suspended amount) of no less than 12 months (if not otherwise eligible for a Chapter 14 payment arrangement).</w:t>
      </w:r>
    </w:p>
    <w:p w14:paraId="72790A98" w14:textId="30CAB243" w:rsidR="00E642C4" w:rsidRPr="006A631A" w:rsidRDefault="00E642C4" w:rsidP="00F510B9">
      <w:pPr>
        <w:widowControl/>
        <w:ind w:left="2520" w:right="1440"/>
        <w:rPr>
          <w:iCs/>
          <w:sz w:val="26"/>
          <w:szCs w:val="26"/>
        </w:rPr>
      </w:pPr>
    </w:p>
    <w:p w14:paraId="70DD8368" w14:textId="6F40FDA4" w:rsidR="00E642C4" w:rsidRPr="006A631A" w:rsidRDefault="00E642C4" w:rsidP="00B10577">
      <w:pPr>
        <w:pStyle w:val="ListParagraph"/>
        <w:widowControl/>
        <w:numPr>
          <w:ilvl w:val="0"/>
          <w:numId w:val="21"/>
        </w:numPr>
        <w:ind w:left="3600" w:right="1440"/>
        <w:rPr>
          <w:iCs/>
          <w:sz w:val="26"/>
          <w:szCs w:val="26"/>
        </w:rPr>
      </w:pPr>
      <w:r w:rsidRPr="006A631A">
        <w:rPr>
          <w:iCs/>
          <w:sz w:val="26"/>
          <w:szCs w:val="26"/>
        </w:rPr>
        <w:t xml:space="preserve">Customers or applicants with balances above $600 will be advised to bring their </w:t>
      </w:r>
      <w:r w:rsidRPr="006A631A">
        <w:rPr>
          <w:iCs/>
          <w:sz w:val="26"/>
          <w:szCs w:val="26"/>
        </w:rPr>
        <w:lastRenderedPageBreak/>
        <w:t>balance down to $600 to participate in the program.</w:t>
      </w:r>
    </w:p>
    <w:bookmarkEnd w:id="21"/>
    <w:p w14:paraId="52E082F5" w14:textId="77777777" w:rsidR="00932F55" w:rsidRPr="006A631A" w:rsidRDefault="00932F55" w:rsidP="00F510B9">
      <w:pPr>
        <w:pStyle w:val="ListParagraph"/>
        <w:widowControl/>
        <w:ind w:left="2160"/>
        <w:rPr>
          <w:iCs/>
          <w:sz w:val="26"/>
          <w:szCs w:val="26"/>
        </w:rPr>
      </w:pPr>
    </w:p>
    <w:p w14:paraId="5AC6F4DE" w14:textId="21C58443" w:rsidR="00A7595E" w:rsidRPr="006A631A" w:rsidRDefault="00C024E3" w:rsidP="00C024E3">
      <w:pPr>
        <w:pStyle w:val="ListParagraph"/>
        <w:widowControl/>
        <w:ind w:left="2880" w:right="1440" w:hanging="720"/>
        <w:jc w:val="both"/>
        <w:rPr>
          <w:rFonts w:eastAsiaTheme="minorHAnsi"/>
          <w:sz w:val="26"/>
          <w:szCs w:val="26"/>
        </w:rPr>
      </w:pPr>
      <w:r w:rsidRPr="006A631A">
        <w:rPr>
          <w:rFonts w:eastAsiaTheme="minorHAnsi"/>
          <w:sz w:val="26"/>
          <w:szCs w:val="26"/>
        </w:rPr>
        <w:t>f.</w:t>
      </w:r>
      <w:r w:rsidRPr="006A631A">
        <w:rPr>
          <w:rFonts w:eastAsiaTheme="minorHAnsi"/>
          <w:sz w:val="26"/>
          <w:szCs w:val="26"/>
        </w:rPr>
        <w:tab/>
      </w:r>
      <w:r w:rsidR="00F20C2B" w:rsidRPr="006A631A">
        <w:rPr>
          <w:rFonts w:eastAsiaTheme="minorHAnsi"/>
          <w:sz w:val="26"/>
          <w:szCs w:val="26"/>
        </w:rPr>
        <w:t>Customers terminated for unauthorized use are not eligible for a C19RP payment arrangement and are not eligible for a waiver of reconnection fees.</w:t>
      </w:r>
    </w:p>
    <w:p w14:paraId="1E4EEFE9" w14:textId="3B623DEA" w:rsidR="00A0171D" w:rsidRPr="006A631A" w:rsidRDefault="00A0171D" w:rsidP="003122FE">
      <w:pPr>
        <w:pStyle w:val="ListParagraph"/>
        <w:widowControl/>
        <w:ind w:left="2880" w:hanging="720"/>
        <w:jc w:val="both"/>
        <w:rPr>
          <w:rFonts w:eastAsiaTheme="minorHAnsi"/>
          <w:sz w:val="26"/>
          <w:szCs w:val="26"/>
        </w:rPr>
      </w:pPr>
    </w:p>
    <w:p w14:paraId="7A3FAF83" w14:textId="3B504BED" w:rsidR="00A0171D" w:rsidRPr="006A631A" w:rsidRDefault="00C024E3" w:rsidP="00C024E3">
      <w:pPr>
        <w:pStyle w:val="ListParagraph"/>
        <w:widowControl/>
        <w:ind w:left="2880" w:right="1440" w:hanging="720"/>
        <w:jc w:val="both"/>
        <w:rPr>
          <w:rFonts w:eastAsiaTheme="minorHAnsi"/>
          <w:sz w:val="26"/>
          <w:szCs w:val="26"/>
        </w:rPr>
      </w:pPr>
      <w:r w:rsidRPr="006A631A">
        <w:rPr>
          <w:rFonts w:eastAsiaTheme="minorHAnsi"/>
          <w:sz w:val="26"/>
          <w:szCs w:val="26"/>
        </w:rPr>
        <w:t>g.</w:t>
      </w:r>
      <w:r w:rsidRPr="006A631A">
        <w:rPr>
          <w:rFonts w:eastAsiaTheme="minorHAnsi"/>
          <w:sz w:val="26"/>
          <w:szCs w:val="26"/>
        </w:rPr>
        <w:tab/>
      </w:r>
      <w:r w:rsidR="00A0171D" w:rsidRPr="006A631A">
        <w:rPr>
          <w:rFonts w:eastAsiaTheme="minorHAnsi"/>
          <w:sz w:val="26"/>
          <w:szCs w:val="26"/>
        </w:rPr>
        <w:t>If the PUC’s Emergency Order has not ended by March 1, 2021, the Company agrees to meet with the parties by no later than March 5, 2021 to discuss a possible extension of the customer benefits contained in the C19RP.</w:t>
      </w:r>
    </w:p>
    <w:p w14:paraId="48BD1E24" w14:textId="77777777" w:rsidR="0007712F" w:rsidRPr="006A631A" w:rsidRDefault="0007712F" w:rsidP="00F510B9">
      <w:pPr>
        <w:pStyle w:val="ListParagraph"/>
        <w:widowControl/>
        <w:rPr>
          <w:rFonts w:eastAsiaTheme="minorHAnsi"/>
          <w:sz w:val="26"/>
          <w:szCs w:val="26"/>
        </w:rPr>
      </w:pPr>
    </w:p>
    <w:p w14:paraId="180160CB" w14:textId="5D54854B" w:rsidR="0007712F" w:rsidRPr="006A631A" w:rsidRDefault="0007712F" w:rsidP="00F510B9">
      <w:pPr>
        <w:pStyle w:val="ListParagraph"/>
        <w:widowControl/>
        <w:numPr>
          <w:ilvl w:val="0"/>
          <w:numId w:val="7"/>
        </w:numPr>
        <w:ind w:right="1440"/>
        <w:rPr>
          <w:b/>
          <w:bCs/>
          <w:iCs/>
          <w:sz w:val="26"/>
          <w:szCs w:val="26"/>
        </w:rPr>
      </w:pPr>
      <w:bookmarkStart w:id="22" w:name="_Hlk54184215"/>
      <w:r w:rsidRPr="006A631A">
        <w:rPr>
          <w:b/>
          <w:bCs/>
          <w:iCs/>
          <w:sz w:val="26"/>
          <w:szCs w:val="26"/>
        </w:rPr>
        <w:t>Revenue Allocation and Rate Design</w:t>
      </w:r>
    </w:p>
    <w:bookmarkEnd w:id="22"/>
    <w:p w14:paraId="0E8A6A90" w14:textId="671EF66C" w:rsidR="0007712F" w:rsidRPr="006A631A" w:rsidRDefault="0007712F" w:rsidP="00F510B9">
      <w:pPr>
        <w:pStyle w:val="ListParagraph"/>
        <w:widowControl/>
        <w:ind w:left="2160" w:right="1440"/>
        <w:rPr>
          <w:b/>
          <w:bCs/>
          <w:iCs/>
          <w:sz w:val="26"/>
          <w:szCs w:val="26"/>
        </w:rPr>
      </w:pPr>
    </w:p>
    <w:p w14:paraId="343F538A" w14:textId="385C77A4" w:rsidR="0007712F" w:rsidRPr="006A631A" w:rsidRDefault="0007712F" w:rsidP="00F510B9">
      <w:pPr>
        <w:widowControl/>
        <w:ind w:left="1440" w:right="1440"/>
        <w:rPr>
          <w:iCs/>
          <w:sz w:val="26"/>
          <w:szCs w:val="26"/>
        </w:rPr>
      </w:pPr>
      <w:bookmarkStart w:id="23" w:name="_Hlk54182880"/>
      <w:r w:rsidRPr="006A631A">
        <w:rPr>
          <w:iCs/>
          <w:sz w:val="26"/>
          <w:szCs w:val="26"/>
        </w:rPr>
        <w:t>23.</w:t>
      </w:r>
      <w:r w:rsidRPr="006A631A">
        <w:rPr>
          <w:iCs/>
          <w:sz w:val="26"/>
          <w:szCs w:val="26"/>
        </w:rPr>
        <w:tab/>
        <w:t xml:space="preserve">The Joint Petitioners agree to the following revenue </w:t>
      </w:r>
      <w:bookmarkEnd w:id="23"/>
      <w:r w:rsidRPr="006A631A">
        <w:rPr>
          <w:iCs/>
          <w:sz w:val="26"/>
          <w:szCs w:val="26"/>
        </w:rPr>
        <w:t>allocation:</w:t>
      </w:r>
    </w:p>
    <w:p w14:paraId="5F5BAE8D" w14:textId="77777777" w:rsidR="00930A6C" w:rsidRPr="006A631A" w:rsidRDefault="00930A6C" w:rsidP="00930A6C">
      <w:pPr>
        <w:widowControl/>
        <w:spacing w:line="360" w:lineRule="auto"/>
        <w:ind w:left="1440" w:right="1440"/>
        <w:rPr>
          <w:iCs/>
          <w:sz w:val="26"/>
          <w:szCs w:val="26"/>
        </w:rPr>
      </w:pPr>
    </w:p>
    <w:tbl>
      <w:tblPr>
        <w:tblW w:w="0" w:type="auto"/>
        <w:jc w:val="center"/>
        <w:tblLayout w:type="fixed"/>
        <w:tblCellMar>
          <w:left w:w="0" w:type="dxa"/>
          <w:right w:w="0" w:type="dxa"/>
        </w:tblCellMar>
        <w:tblLook w:val="04A0" w:firstRow="1" w:lastRow="0" w:firstColumn="1" w:lastColumn="0" w:noHBand="0" w:noVBand="1"/>
      </w:tblPr>
      <w:tblGrid>
        <w:gridCol w:w="2240"/>
        <w:gridCol w:w="2160"/>
        <w:gridCol w:w="2689"/>
      </w:tblGrid>
      <w:tr w:rsidR="0007712F" w:rsidRPr="006A631A" w14:paraId="7398D204" w14:textId="77777777" w:rsidTr="00AA489C">
        <w:trPr>
          <w:trHeight w:hRule="exact" w:val="566"/>
          <w:jc w:val="center"/>
        </w:trPr>
        <w:tc>
          <w:tcPr>
            <w:tcW w:w="2240" w:type="dxa"/>
            <w:tcBorders>
              <w:top w:val="single" w:sz="5" w:space="0" w:color="000000"/>
              <w:left w:val="single" w:sz="5" w:space="0" w:color="000000"/>
              <w:bottom w:val="single" w:sz="5" w:space="0" w:color="000000"/>
              <w:right w:val="single" w:sz="5" w:space="0" w:color="000000"/>
            </w:tcBorders>
            <w:shd w:val="clear" w:color="E6E6E6" w:fill="E6E6E6"/>
          </w:tcPr>
          <w:p w14:paraId="18B5E187" w14:textId="77777777" w:rsidR="0007712F" w:rsidRPr="006A631A" w:rsidRDefault="0007712F" w:rsidP="00F510B9">
            <w:pPr>
              <w:widowControl/>
              <w:spacing w:after="255" w:line="276" w:lineRule="exact"/>
              <w:jc w:val="center"/>
              <w:textAlignment w:val="baseline"/>
              <w:rPr>
                <w:b/>
                <w:color w:val="000000"/>
                <w:sz w:val="26"/>
                <w:szCs w:val="26"/>
              </w:rPr>
            </w:pPr>
            <w:r w:rsidRPr="006A631A">
              <w:rPr>
                <w:b/>
                <w:color w:val="000000"/>
                <w:sz w:val="26"/>
                <w:szCs w:val="26"/>
              </w:rPr>
              <w:t>Rate Class</w:t>
            </w:r>
          </w:p>
        </w:tc>
        <w:tc>
          <w:tcPr>
            <w:tcW w:w="2160" w:type="dxa"/>
            <w:tcBorders>
              <w:top w:val="single" w:sz="5" w:space="0" w:color="000000"/>
              <w:left w:val="single" w:sz="5" w:space="0" w:color="000000"/>
              <w:bottom w:val="single" w:sz="5" w:space="0" w:color="000000"/>
              <w:right w:val="single" w:sz="5" w:space="0" w:color="000000"/>
            </w:tcBorders>
            <w:shd w:val="clear" w:color="E6E6E6" w:fill="E6E6E6"/>
          </w:tcPr>
          <w:p w14:paraId="1499ADC5" w14:textId="77777777" w:rsidR="0007712F" w:rsidRPr="006A631A" w:rsidRDefault="0007712F" w:rsidP="00F510B9">
            <w:pPr>
              <w:widowControl/>
              <w:spacing w:line="269" w:lineRule="exact"/>
              <w:jc w:val="center"/>
              <w:textAlignment w:val="baseline"/>
              <w:rPr>
                <w:b/>
                <w:color w:val="000000"/>
                <w:sz w:val="26"/>
                <w:szCs w:val="26"/>
              </w:rPr>
            </w:pPr>
            <w:r w:rsidRPr="006A631A">
              <w:rPr>
                <w:b/>
                <w:color w:val="000000"/>
                <w:sz w:val="26"/>
                <w:szCs w:val="26"/>
              </w:rPr>
              <w:t xml:space="preserve">Increase </w:t>
            </w:r>
            <w:r w:rsidRPr="006A631A">
              <w:rPr>
                <w:b/>
                <w:color w:val="000000"/>
                <w:sz w:val="26"/>
                <w:szCs w:val="26"/>
              </w:rPr>
              <w:br/>
              <w:t>Percentage</w:t>
            </w:r>
          </w:p>
        </w:tc>
        <w:tc>
          <w:tcPr>
            <w:tcW w:w="2689" w:type="dxa"/>
            <w:tcBorders>
              <w:top w:val="single" w:sz="5" w:space="0" w:color="000000"/>
              <w:left w:val="single" w:sz="5" w:space="0" w:color="000000"/>
              <w:bottom w:val="single" w:sz="5" w:space="0" w:color="000000"/>
              <w:right w:val="single" w:sz="5" w:space="0" w:color="000000"/>
            </w:tcBorders>
            <w:shd w:val="clear" w:color="E6E6E6" w:fill="E6E6E6"/>
          </w:tcPr>
          <w:p w14:paraId="66AC1B1B" w14:textId="77777777" w:rsidR="0007712F" w:rsidRPr="006A631A" w:rsidRDefault="0007712F" w:rsidP="00F510B9">
            <w:pPr>
              <w:widowControl/>
              <w:spacing w:line="269" w:lineRule="exact"/>
              <w:jc w:val="center"/>
              <w:textAlignment w:val="baseline"/>
              <w:rPr>
                <w:b/>
                <w:color w:val="000000"/>
                <w:sz w:val="26"/>
                <w:szCs w:val="26"/>
              </w:rPr>
            </w:pPr>
            <w:r w:rsidRPr="006A631A">
              <w:rPr>
                <w:b/>
                <w:color w:val="000000"/>
                <w:sz w:val="26"/>
                <w:szCs w:val="26"/>
              </w:rPr>
              <w:t xml:space="preserve">Revenue Allocation </w:t>
            </w:r>
            <w:r w:rsidRPr="006A631A">
              <w:rPr>
                <w:b/>
                <w:color w:val="000000"/>
                <w:sz w:val="26"/>
                <w:szCs w:val="26"/>
              </w:rPr>
              <w:br/>
              <w:t>Scaled to $35 million</w:t>
            </w:r>
          </w:p>
        </w:tc>
      </w:tr>
      <w:tr w:rsidR="0007712F" w:rsidRPr="006A631A" w14:paraId="6B4530A6" w14:textId="77777777" w:rsidTr="00AA489C">
        <w:trPr>
          <w:trHeight w:hRule="exact" w:val="284"/>
          <w:jc w:val="center"/>
        </w:trPr>
        <w:tc>
          <w:tcPr>
            <w:tcW w:w="2240" w:type="dxa"/>
            <w:tcBorders>
              <w:top w:val="single" w:sz="5" w:space="0" w:color="000000"/>
              <w:left w:val="single" w:sz="5" w:space="0" w:color="000000"/>
              <w:bottom w:val="single" w:sz="5" w:space="0" w:color="000000"/>
              <w:right w:val="single" w:sz="5" w:space="0" w:color="000000"/>
            </w:tcBorders>
            <w:vAlign w:val="center"/>
          </w:tcPr>
          <w:p w14:paraId="48BDE348" w14:textId="77777777" w:rsidR="0007712F" w:rsidRPr="006A631A" w:rsidRDefault="0007712F" w:rsidP="00F510B9">
            <w:pPr>
              <w:widowControl/>
              <w:spacing w:line="254" w:lineRule="exact"/>
              <w:ind w:left="111"/>
              <w:textAlignment w:val="baseline"/>
              <w:rPr>
                <w:color w:val="000000"/>
                <w:sz w:val="26"/>
                <w:szCs w:val="26"/>
              </w:rPr>
            </w:pPr>
            <w:r w:rsidRPr="006A631A">
              <w:rPr>
                <w:color w:val="000000"/>
                <w:sz w:val="26"/>
                <w:szCs w:val="26"/>
              </w:rPr>
              <w:t>Residential</w:t>
            </w:r>
          </w:p>
        </w:tc>
        <w:tc>
          <w:tcPr>
            <w:tcW w:w="2160" w:type="dxa"/>
            <w:tcBorders>
              <w:top w:val="single" w:sz="5" w:space="0" w:color="000000"/>
              <w:left w:val="single" w:sz="5" w:space="0" w:color="000000"/>
              <w:bottom w:val="single" w:sz="5" w:space="0" w:color="000000"/>
              <w:right w:val="single" w:sz="5" w:space="0" w:color="000000"/>
            </w:tcBorders>
            <w:vAlign w:val="center"/>
          </w:tcPr>
          <w:p w14:paraId="37C51680" w14:textId="77777777" w:rsidR="0007712F" w:rsidRPr="006A631A" w:rsidRDefault="0007712F" w:rsidP="00F510B9">
            <w:pPr>
              <w:widowControl/>
              <w:tabs>
                <w:tab w:val="decimal" w:pos="864"/>
              </w:tabs>
              <w:spacing w:line="254" w:lineRule="exact"/>
              <w:textAlignment w:val="baseline"/>
              <w:rPr>
                <w:color w:val="000000"/>
                <w:sz w:val="26"/>
                <w:szCs w:val="26"/>
              </w:rPr>
            </w:pPr>
            <w:r w:rsidRPr="006A631A">
              <w:rPr>
                <w:color w:val="000000"/>
                <w:sz w:val="26"/>
                <w:szCs w:val="26"/>
              </w:rPr>
              <w:t>8.603%</w:t>
            </w:r>
          </w:p>
        </w:tc>
        <w:tc>
          <w:tcPr>
            <w:tcW w:w="2689" w:type="dxa"/>
            <w:tcBorders>
              <w:top w:val="single" w:sz="5" w:space="0" w:color="000000"/>
              <w:left w:val="single" w:sz="5" w:space="0" w:color="000000"/>
              <w:bottom w:val="single" w:sz="5" w:space="0" w:color="000000"/>
              <w:right w:val="single" w:sz="5" w:space="0" w:color="000000"/>
            </w:tcBorders>
            <w:vAlign w:val="center"/>
          </w:tcPr>
          <w:p w14:paraId="1EFD0212" w14:textId="77777777" w:rsidR="0007712F" w:rsidRPr="006A631A" w:rsidRDefault="0007712F" w:rsidP="00F510B9">
            <w:pPr>
              <w:widowControl/>
              <w:spacing w:line="254" w:lineRule="exact"/>
              <w:jc w:val="center"/>
              <w:textAlignment w:val="baseline"/>
              <w:rPr>
                <w:color w:val="000000"/>
                <w:sz w:val="26"/>
                <w:szCs w:val="26"/>
              </w:rPr>
            </w:pPr>
            <w:r w:rsidRPr="006A631A">
              <w:rPr>
                <w:color w:val="000000"/>
                <w:sz w:val="26"/>
                <w:szCs w:val="26"/>
              </w:rPr>
              <w:t>27,396</w:t>
            </w:r>
          </w:p>
        </w:tc>
      </w:tr>
      <w:tr w:rsidR="0007712F" w:rsidRPr="006A631A" w14:paraId="259FD1E2" w14:textId="77777777" w:rsidTr="00AA489C">
        <w:trPr>
          <w:trHeight w:hRule="exact" w:val="288"/>
          <w:jc w:val="center"/>
        </w:trPr>
        <w:tc>
          <w:tcPr>
            <w:tcW w:w="2240" w:type="dxa"/>
            <w:tcBorders>
              <w:top w:val="single" w:sz="5" w:space="0" w:color="000000"/>
              <w:left w:val="single" w:sz="5" w:space="0" w:color="000000"/>
              <w:bottom w:val="single" w:sz="5" w:space="0" w:color="000000"/>
              <w:right w:val="single" w:sz="5" w:space="0" w:color="000000"/>
            </w:tcBorders>
            <w:vAlign w:val="center"/>
          </w:tcPr>
          <w:p w14:paraId="58682E6A" w14:textId="77777777" w:rsidR="0007712F" w:rsidRPr="006A631A" w:rsidRDefault="0007712F" w:rsidP="00F510B9">
            <w:pPr>
              <w:widowControl/>
              <w:spacing w:line="259" w:lineRule="exact"/>
              <w:ind w:left="111"/>
              <w:textAlignment w:val="baseline"/>
              <w:rPr>
                <w:color w:val="000000"/>
                <w:sz w:val="26"/>
                <w:szCs w:val="26"/>
              </w:rPr>
            </w:pPr>
            <w:r w:rsidRPr="006A631A">
              <w:rPr>
                <w:color w:val="000000"/>
                <w:sz w:val="26"/>
                <w:szCs w:val="26"/>
              </w:rPr>
              <w:t>Commercial</w:t>
            </w:r>
          </w:p>
        </w:tc>
        <w:tc>
          <w:tcPr>
            <w:tcW w:w="2160" w:type="dxa"/>
            <w:tcBorders>
              <w:top w:val="single" w:sz="5" w:space="0" w:color="000000"/>
              <w:left w:val="single" w:sz="5" w:space="0" w:color="000000"/>
              <w:bottom w:val="single" w:sz="5" w:space="0" w:color="000000"/>
              <w:right w:val="single" w:sz="5" w:space="0" w:color="000000"/>
            </w:tcBorders>
            <w:vAlign w:val="center"/>
          </w:tcPr>
          <w:p w14:paraId="2FC977BE" w14:textId="77777777" w:rsidR="0007712F" w:rsidRPr="006A631A" w:rsidRDefault="0007712F" w:rsidP="00F510B9">
            <w:pPr>
              <w:widowControl/>
              <w:tabs>
                <w:tab w:val="decimal" w:pos="864"/>
              </w:tabs>
              <w:spacing w:line="259" w:lineRule="exact"/>
              <w:textAlignment w:val="baseline"/>
              <w:rPr>
                <w:color w:val="000000"/>
                <w:sz w:val="26"/>
                <w:szCs w:val="26"/>
              </w:rPr>
            </w:pPr>
            <w:r w:rsidRPr="006A631A">
              <w:rPr>
                <w:color w:val="000000"/>
                <w:sz w:val="26"/>
                <w:szCs w:val="26"/>
              </w:rPr>
              <w:t>6.833%</w:t>
            </w:r>
          </w:p>
        </w:tc>
        <w:tc>
          <w:tcPr>
            <w:tcW w:w="2689" w:type="dxa"/>
            <w:tcBorders>
              <w:top w:val="single" w:sz="5" w:space="0" w:color="000000"/>
              <w:left w:val="single" w:sz="5" w:space="0" w:color="000000"/>
              <w:bottom w:val="single" w:sz="5" w:space="0" w:color="000000"/>
              <w:right w:val="single" w:sz="5" w:space="0" w:color="000000"/>
            </w:tcBorders>
            <w:vAlign w:val="center"/>
          </w:tcPr>
          <w:p w14:paraId="5F0388B1" w14:textId="77777777" w:rsidR="0007712F" w:rsidRPr="006A631A" w:rsidRDefault="0007712F" w:rsidP="00F510B9">
            <w:pPr>
              <w:widowControl/>
              <w:spacing w:line="259" w:lineRule="exact"/>
              <w:jc w:val="center"/>
              <w:textAlignment w:val="baseline"/>
              <w:rPr>
                <w:color w:val="000000"/>
                <w:sz w:val="26"/>
                <w:szCs w:val="26"/>
              </w:rPr>
            </w:pPr>
            <w:r w:rsidRPr="006A631A">
              <w:rPr>
                <w:color w:val="000000"/>
                <w:sz w:val="26"/>
                <w:szCs w:val="26"/>
              </w:rPr>
              <w:t>4,092</w:t>
            </w:r>
          </w:p>
        </w:tc>
      </w:tr>
      <w:tr w:rsidR="0007712F" w:rsidRPr="006A631A" w14:paraId="757D6DED" w14:textId="77777777" w:rsidTr="00AA489C">
        <w:trPr>
          <w:trHeight w:hRule="exact" w:val="283"/>
          <w:jc w:val="center"/>
        </w:trPr>
        <w:tc>
          <w:tcPr>
            <w:tcW w:w="2240" w:type="dxa"/>
            <w:tcBorders>
              <w:top w:val="single" w:sz="5" w:space="0" w:color="000000"/>
              <w:left w:val="single" w:sz="5" w:space="0" w:color="000000"/>
              <w:bottom w:val="single" w:sz="5" w:space="0" w:color="000000"/>
              <w:right w:val="single" w:sz="5" w:space="0" w:color="000000"/>
            </w:tcBorders>
            <w:vAlign w:val="center"/>
          </w:tcPr>
          <w:p w14:paraId="7F438DEF" w14:textId="77777777" w:rsidR="0007712F" w:rsidRPr="006A631A" w:rsidRDefault="0007712F" w:rsidP="00F510B9">
            <w:pPr>
              <w:widowControl/>
              <w:spacing w:line="259" w:lineRule="exact"/>
              <w:ind w:left="111"/>
              <w:textAlignment w:val="baseline"/>
              <w:rPr>
                <w:color w:val="000000"/>
                <w:sz w:val="26"/>
                <w:szCs w:val="26"/>
              </w:rPr>
            </w:pPr>
            <w:r w:rsidRPr="006A631A">
              <w:rPr>
                <w:color w:val="000000"/>
                <w:sz w:val="26"/>
                <w:szCs w:val="26"/>
              </w:rPr>
              <w:t>Industrial</w:t>
            </w:r>
          </w:p>
        </w:tc>
        <w:tc>
          <w:tcPr>
            <w:tcW w:w="2160" w:type="dxa"/>
            <w:tcBorders>
              <w:top w:val="single" w:sz="5" w:space="0" w:color="000000"/>
              <w:left w:val="single" w:sz="5" w:space="0" w:color="000000"/>
              <w:bottom w:val="single" w:sz="5" w:space="0" w:color="000000"/>
              <w:right w:val="single" w:sz="5" w:space="0" w:color="000000"/>
            </w:tcBorders>
            <w:vAlign w:val="center"/>
          </w:tcPr>
          <w:p w14:paraId="5DA90AED" w14:textId="77777777" w:rsidR="0007712F" w:rsidRPr="006A631A" w:rsidRDefault="0007712F" w:rsidP="00F510B9">
            <w:pPr>
              <w:widowControl/>
              <w:tabs>
                <w:tab w:val="decimal" w:pos="864"/>
              </w:tabs>
              <w:spacing w:line="259" w:lineRule="exact"/>
              <w:textAlignment w:val="baseline"/>
              <w:rPr>
                <w:color w:val="000000"/>
                <w:sz w:val="26"/>
                <w:szCs w:val="26"/>
              </w:rPr>
            </w:pPr>
            <w:r w:rsidRPr="006A631A">
              <w:rPr>
                <w:color w:val="000000"/>
                <w:sz w:val="26"/>
                <w:szCs w:val="26"/>
              </w:rPr>
              <w:t>8.286%</w:t>
            </w:r>
          </w:p>
        </w:tc>
        <w:tc>
          <w:tcPr>
            <w:tcW w:w="2689" w:type="dxa"/>
            <w:tcBorders>
              <w:top w:val="single" w:sz="5" w:space="0" w:color="000000"/>
              <w:left w:val="single" w:sz="5" w:space="0" w:color="000000"/>
              <w:bottom w:val="single" w:sz="5" w:space="0" w:color="000000"/>
              <w:right w:val="single" w:sz="5" w:space="0" w:color="000000"/>
            </w:tcBorders>
            <w:vAlign w:val="center"/>
          </w:tcPr>
          <w:p w14:paraId="3914FEBD" w14:textId="77777777" w:rsidR="0007712F" w:rsidRPr="006A631A" w:rsidRDefault="0007712F" w:rsidP="00F510B9">
            <w:pPr>
              <w:widowControl/>
              <w:spacing w:line="259" w:lineRule="exact"/>
              <w:jc w:val="center"/>
              <w:textAlignment w:val="baseline"/>
              <w:rPr>
                <w:color w:val="000000"/>
                <w:sz w:val="26"/>
                <w:szCs w:val="26"/>
              </w:rPr>
            </w:pPr>
            <w:r w:rsidRPr="006A631A">
              <w:rPr>
                <w:color w:val="000000"/>
                <w:sz w:val="26"/>
                <w:szCs w:val="26"/>
              </w:rPr>
              <w:t>388</w:t>
            </w:r>
          </w:p>
        </w:tc>
      </w:tr>
      <w:tr w:rsidR="0007712F" w:rsidRPr="006A631A" w14:paraId="6EC36194" w14:textId="77777777" w:rsidTr="00AA489C">
        <w:trPr>
          <w:trHeight w:hRule="exact" w:val="288"/>
          <w:jc w:val="center"/>
        </w:trPr>
        <w:tc>
          <w:tcPr>
            <w:tcW w:w="2240" w:type="dxa"/>
            <w:tcBorders>
              <w:top w:val="single" w:sz="5" w:space="0" w:color="000000"/>
              <w:left w:val="single" w:sz="5" w:space="0" w:color="000000"/>
              <w:bottom w:val="single" w:sz="5" w:space="0" w:color="000000"/>
              <w:right w:val="single" w:sz="5" w:space="0" w:color="000000"/>
            </w:tcBorders>
            <w:vAlign w:val="center"/>
          </w:tcPr>
          <w:p w14:paraId="67EF120F" w14:textId="77777777" w:rsidR="0007712F" w:rsidRPr="006A631A" w:rsidRDefault="0007712F" w:rsidP="00F510B9">
            <w:pPr>
              <w:widowControl/>
              <w:spacing w:line="259" w:lineRule="exact"/>
              <w:ind w:left="111"/>
              <w:textAlignment w:val="baseline"/>
              <w:rPr>
                <w:color w:val="000000"/>
                <w:sz w:val="26"/>
                <w:szCs w:val="26"/>
              </w:rPr>
            </w:pPr>
            <w:r w:rsidRPr="006A631A">
              <w:rPr>
                <w:color w:val="000000"/>
                <w:sz w:val="26"/>
                <w:szCs w:val="26"/>
              </w:rPr>
              <w:t>Municipal</w:t>
            </w:r>
          </w:p>
        </w:tc>
        <w:tc>
          <w:tcPr>
            <w:tcW w:w="2160" w:type="dxa"/>
            <w:tcBorders>
              <w:top w:val="single" w:sz="5" w:space="0" w:color="000000"/>
              <w:left w:val="single" w:sz="5" w:space="0" w:color="000000"/>
              <w:bottom w:val="single" w:sz="5" w:space="0" w:color="000000"/>
              <w:right w:val="single" w:sz="5" w:space="0" w:color="000000"/>
            </w:tcBorders>
            <w:vAlign w:val="center"/>
          </w:tcPr>
          <w:p w14:paraId="5994B81E" w14:textId="77777777" w:rsidR="0007712F" w:rsidRPr="006A631A" w:rsidRDefault="0007712F" w:rsidP="00F510B9">
            <w:pPr>
              <w:widowControl/>
              <w:tabs>
                <w:tab w:val="decimal" w:pos="864"/>
              </w:tabs>
              <w:spacing w:line="259" w:lineRule="exact"/>
              <w:textAlignment w:val="baseline"/>
              <w:rPr>
                <w:color w:val="000000"/>
                <w:sz w:val="26"/>
                <w:szCs w:val="26"/>
              </w:rPr>
            </w:pPr>
            <w:r w:rsidRPr="006A631A">
              <w:rPr>
                <w:color w:val="000000"/>
                <w:sz w:val="26"/>
                <w:szCs w:val="26"/>
              </w:rPr>
              <w:t>11.562%</w:t>
            </w:r>
          </w:p>
        </w:tc>
        <w:tc>
          <w:tcPr>
            <w:tcW w:w="2689" w:type="dxa"/>
            <w:tcBorders>
              <w:top w:val="single" w:sz="5" w:space="0" w:color="000000"/>
              <w:left w:val="single" w:sz="5" w:space="0" w:color="000000"/>
              <w:bottom w:val="single" w:sz="5" w:space="0" w:color="000000"/>
              <w:right w:val="single" w:sz="5" w:space="0" w:color="000000"/>
            </w:tcBorders>
            <w:vAlign w:val="center"/>
          </w:tcPr>
          <w:p w14:paraId="39683B9A" w14:textId="77777777" w:rsidR="0007712F" w:rsidRPr="006A631A" w:rsidRDefault="0007712F" w:rsidP="00F510B9">
            <w:pPr>
              <w:widowControl/>
              <w:spacing w:line="259" w:lineRule="exact"/>
              <w:jc w:val="center"/>
              <w:textAlignment w:val="baseline"/>
              <w:rPr>
                <w:color w:val="000000"/>
                <w:sz w:val="26"/>
                <w:szCs w:val="26"/>
              </w:rPr>
            </w:pPr>
            <w:r w:rsidRPr="006A631A">
              <w:rPr>
                <w:color w:val="000000"/>
                <w:sz w:val="26"/>
                <w:szCs w:val="26"/>
              </w:rPr>
              <w:t>525</w:t>
            </w:r>
          </w:p>
        </w:tc>
      </w:tr>
      <w:tr w:rsidR="0007712F" w:rsidRPr="006A631A" w14:paraId="028A9932" w14:textId="77777777" w:rsidTr="00AA489C">
        <w:trPr>
          <w:trHeight w:hRule="exact" w:val="288"/>
          <w:jc w:val="center"/>
        </w:trPr>
        <w:tc>
          <w:tcPr>
            <w:tcW w:w="2240" w:type="dxa"/>
            <w:tcBorders>
              <w:top w:val="single" w:sz="5" w:space="0" w:color="000000"/>
              <w:left w:val="single" w:sz="5" w:space="0" w:color="000000"/>
              <w:bottom w:val="single" w:sz="5" w:space="0" w:color="000000"/>
              <w:right w:val="single" w:sz="5" w:space="0" w:color="000000"/>
            </w:tcBorders>
            <w:vAlign w:val="center"/>
          </w:tcPr>
          <w:p w14:paraId="5883546A" w14:textId="77777777" w:rsidR="0007712F" w:rsidRPr="006A631A" w:rsidRDefault="0007712F" w:rsidP="00F510B9">
            <w:pPr>
              <w:widowControl/>
              <w:spacing w:line="264" w:lineRule="exact"/>
              <w:ind w:left="111"/>
              <w:textAlignment w:val="baseline"/>
              <w:rPr>
                <w:color w:val="000000"/>
                <w:sz w:val="26"/>
                <w:szCs w:val="26"/>
              </w:rPr>
            </w:pPr>
            <w:r w:rsidRPr="006A631A">
              <w:rPr>
                <w:color w:val="000000"/>
                <w:sz w:val="26"/>
                <w:szCs w:val="26"/>
              </w:rPr>
              <w:t>PHA-GS</w:t>
            </w:r>
          </w:p>
        </w:tc>
        <w:tc>
          <w:tcPr>
            <w:tcW w:w="2160" w:type="dxa"/>
            <w:tcBorders>
              <w:top w:val="single" w:sz="5" w:space="0" w:color="000000"/>
              <w:left w:val="single" w:sz="5" w:space="0" w:color="000000"/>
              <w:bottom w:val="single" w:sz="5" w:space="0" w:color="000000"/>
              <w:right w:val="single" w:sz="5" w:space="0" w:color="000000"/>
            </w:tcBorders>
            <w:vAlign w:val="center"/>
          </w:tcPr>
          <w:p w14:paraId="414A44D8" w14:textId="77777777" w:rsidR="0007712F" w:rsidRPr="006A631A" w:rsidRDefault="0007712F" w:rsidP="00F510B9">
            <w:pPr>
              <w:widowControl/>
              <w:tabs>
                <w:tab w:val="decimal" w:pos="864"/>
              </w:tabs>
              <w:spacing w:line="264" w:lineRule="exact"/>
              <w:textAlignment w:val="baseline"/>
              <w:rPr>
                <w:color w:val="000000"/>
                <w:sz w:val="26"/>
                <w:szCs w:val="26"/>
              </w:rPr>
            </w:pPr>
            <w:r w:rsidRPr="006A631A">
              <w:rPr>
                <w:color w:val="000000"/>
                <w:sz w:val="26"/>
                <w:szCs w:val="26"/>
              </w:rPr>
              <w:t>12.929%</w:t>
            </w:r>
          </w:p>
        </w:tc>
        <w:tc>
          <w:tcPr>
            <w:tcW w:w="2689" w:type="dxa"/>
            <w:tcBorders>
              <w:top w:val="single" w:sz="5" w:space="0" w:color="000000"/>
              <w:left w:val="single" w:sz="5" w:space="0" w:color="000000"/>
              <w:bottom w:val="single" w:sz="5" w:space="0" w:color="000000"/>
              <w:right w:val="single" w:sz="5" w:space="0" w:color="000000"/>
            </w:tcBorders>
            <w:vAlign w:val="center"/>
          </w:tcPr>
          <w:p w14:paraId="593FE03E" w14:textId="77777777" w:rsidR="0007712F" w:rsidRPr="006A631A" w:rsidRDefault="0007712F" w:rsidP="00F510B9">
            <w:pPr>
              <w:widowControl/>
              <w:spacing w:line="264" w:lineRule="exact"/>
              <w:jc w:val="center"/>
              <w:textAlignment w:val="baseline"/>
              <w:rPr>
                <w:color w:val="000000"/>
                <w:sz w:val="26"/>
                <w:szCs w:val="26"/>
              </w:rPr>
            </w:pPr>
            <w:r w:rsidRPr="006A631A">
              <w:rPr>
                <w:color w:val="000000"/>
                <w:sz w:val="26"/>
                <w:szCs w:val="26"/>
              </w:rPr>
              <w:t>175</w:t>
            </w:r>
          </w:p>
        </w:tc>
      </w:tr>
      <w:tr w:rsidR="0007712F" w:rsidRPr="006A631A" w14:paraId="16E82294" w14:textId="77777777" w:rsidTr="00AA489C">
        <w:trPr>
          <w:trHeight w:hRule="exact" w:val="283"/>
          <w:jc w:val="center"/>
        </w:trPr>
        <w:tc>
          <w:tcPr>
            <w:tcW w:w="2240" w:type="dxa"/>
            <w:tcBorders>
              <w:top w:val="single" w:sz="5" w:space="0" w:color="000000"/>
              <w:left w:val="single" w:sz="5" w:space="0" w:color="000000"/>
              <w:bottom w:val="single" w:sz="5" w:space="0" w:color="000000"/>
              <w:right w:val="single" w:sz="5" w:space="0" w:color="000000"/>
            </w:tcBorders>
            <w:vAlign w:val="center"/>
          </w:tcPr>
          <w:p w14:paraId="1A23D182" w14:textId="77777777" w:rsidR="0007712F" w:rsidRPr="006A631A" w:rsidRDefault="0007712F" w:rsidP="00F510B9">
            <w:pPr>
              <w:widowControl/>
              <w:spacing w:line="264" w:lineRule="exact"/>
              <w:ind w:left="111"/>
              <w:textAlignment w:val="baseline"/>
              <w:rPr>
                <w:color w:val="000000"/>
                <w:sz w:val="26"/>
                <w:szCs w:val="26"/>
              </w:rPr>
            </w:pPr>
            <w:r w:rsidRPr="006A631A">
              <w:rPr>
                <w:color w:val="000000"/>
                <w:sz w:val="26"/>
                <w:szCs w:val="26"/>
              </w:rPr>
              <w:t>PHA-Rate 8</w:t>
            </w:r>
          </w:p>
        </w:tc>
        <w:tc>
          <w:tcPr>
            <w:tcW w:w="2160" w:type="dxa"/>
            <w:tcBorders>
              <w:top w:val="single" w:sz="5" w:space="0" w:color="000000"/>
              <w:left w:val="single" w:sz="5" w:space="0" w:color="000000"/>
              <w:bottom w:val="single" w:sz="5" w:space="0" w:color="000000"/>
              <w:right w:val="single" w:sz="5" w:space="0" w:color="000000"/>
            </w:tcBorders>
            <w:vAlign w:val="center"/>
          </w:tcPr>
          <w:p w14:paraId="6B29207F" w14:textId="77777777" w:rsidR="0007712F" w:rsidRPr="006A631A" w:rsidRDefault="0007712F" w:rsidP="00F510B9">
            <w:pPr>
              <w:widowControl/>
              <w:tabs>
                <w:tab w:val="decimal" w:pos="864"/>
              </w:tabs>
              <w:spacing w:line="264" w:lineRule="exact"/>
              <w:textAlignment w:val="baseline"/>
              <w:rPr>
                <w:color w:val="000000"/>
                <w:sz w:val="26"/>
                <w:szCs w:val="26"/>
              </w:rPr>
            </w:pPr>
            <w:r w:rsidRPr="006A631A">
              <w:rPr>
                <w:color w:val="000000"/>
                <w:sz w:val="26"/>
                <w:szCs w:val="26"/>
              </w:rPr>
              <w:t>8.660%</w:t>
            </w:r>
          </w:p>
        </w:tc>
        <w:tc>
          <w:tcPr>
            <w:tcW w:w="2689" w:type="dxa"/>
            <w:tcBorders>
              <w:top w:val="single" w:sz="5" w:space="0" w:color="000000"/>
              <w:left w:val="single" w:sz="5" w:space="0" w:color="000000"/>
              <w:bottom w:val="single" w:sz="5" w:space="0" w:color="000000"/>
              <w:right w:val="single" w:sz="5" w:space="0" w:color="000000"/>
            </w:tcBorders>
            <w:vAlign w:val="center"/>
          </w:tcPr>
          <w:p w14:paraId="23D0A8CA" w14:textId="77777777" w:rsidR="0007712F" w:rsidRPr="006A631A" w:rsidRDefault="0007712F" w:rsidP="00F510B9">
            <w:pPr>
              <w:widowControl/>
              <w:spacing w:line="264" w:lineRule="exact"/>
              <w:jc w:val="center"/>
              <w:textAlignment w:val="baseline"/>
              <w:rPr>
                <w:color w:val="000000"/>
                <w:sz w:val="26"/>
                <w:szCs w:val="26"/>
              </w:rPr>
            </w:pPr>
            <w:r w:rsidRPr="006A631A">
              <w:rPr>
                <w:color w:val="000000"/>
                <w:sz w:val="26"/>
                <w:szCs w:val="26"/>
              </w:rPr>
              <w:t>225</w:t>
            </w:r>
          </w:p>
        </w:tc>
      </w:tr>
      <w:tr w:rsidR="0007712F" w:rsidRPr="006A631A" w14:paraId="7C501A5A" w14:textId="77777777" w:rsidTr="00AA489C">
        <w:trPr>
          <w:trHeight w:hRule="exact" w:val="312"/>
          <w:jc w:val="center"/>
        </w:trPr>
        <w:tc>
          <w:tcPr>
            <w:tcW w:w="2240" w:type="dxa"/>
            <w:tcBorders>
              <w:top w:val="single" w:sz="5" w:space="0" w:color="000000"/>
              <w:left w:val="single" w:sz="5" w:space="0" w:color="000000"/>
              <w:bottom w:val="single" w:sz="5" w:space="0" w:color="000000"/>
              <w:right w:val="single" w:sz="5" w:space="0" w:color="000000"/>
            </w:tcBorders>
            <w:vAlign w:val="center"/>
          </w:tcPr>
          <w:p w14:paraId="62834F65" w14:textId="77777777" w:rsidR="0007712F" w:rsidRPr="006A631A" w:rsidRDefault="0007712F" w:rsidP="00F510B9">
            <w:pPr>
              <w:widowControl/>
              <w:spacing w:before="34" w:after="1" w:line="267" w:lineRule="exact"/>
              <w:ind w:left="111"/>
              <w:textAlignment w:val="baseline"/>
              <w:rPr>
                <w:color w:val="000000"/>
                <w:sz w:val="26"/>
                <w:szCs w:val="26"/>
              </w:rPr>
            </w:pPr>
            <w:r w:rsidRPr="006A631A">
              <w:rPr>
                <w:color w:val="000000"/>
                <w:sz w:val="26"/>
                <w:szCs w:val="26"/>
              </w:rPr>
              <w:t>NGVS</w:t>
            </w:r>
          </w:p>
        </w:tc>
        <w:tc>
          <w:tcPr>
            <w:tcW w:w="2160" w:type="dxa"/>
            <w:tcBorders>
              <w:top w:val="single" w:sz="5" w:space="0" w:color="000000"/>
              <w:left w:val="single" w:sz="5" w:space="0" w:color="000000"/>
              <w:bottom w:val="single" w:sz="5" w:space="0" w:color="000000"/>
              <w:right w:val="single" w:sz="5" w:space="0" w:color="000000"/>
            </w:tcBorders>
            <w:vAlign w:val="center"/>
          </w:tcPr>
          <w:p w14:paraId="6289C868" w14:textId="77777777" w:rsidR="0007712F" w:rsidRPr="006A631A" w:rsidRDefault="0007712F" w:rsidP="00F510B9">
            <w:pPr>
              <w:widowControl/>
              <w:tabs>
                <w:tab w:val="decimal" w:pos="864"/>
              </w:tabs>
              <w:spacing w:before="34" w:after="1" w:line="267" w:lineRule="exact"/>
              <w:textAlignment w:val="baseline"/>
              <w:rPr>
                <w:color w:val="000000"/>
                <w:sz w:val="26"/>
                <w:szCs w:val="26"/>
              </w:rPr>
            </w:pPr>
            <w:r w:rsidRPr="006A631A">
              <w:rPr>
                <w:color w:val="000000"/>
                <w:sz w:val="26"/>
                <w:szCs w:val="26"/>
              </w:rPr>
              <w:t>0.000%</w:t>
            </w:r>
          </w:p>
        </w:tc>
        <w:tc>
          <w:tcPr>
            <w:tcW w:w="2689" w:type="dxa"/>
            <w:tcBorders>
              <w:top w:val="single" w:sz="5" w:space="0" w:color="000000"/>
              <w:left w:val="single" w:sz="5" w:space="0" w:color="000000"/>
              <w:bottom w:val="single" w:sz="5" w:space="0" w:color="000000"/>
              <w:right w:val="single" w:sz="5" w:space="0" w:color="000000"/>
            </w:tcBorders>
            <w:vAlign w:val="center"/>
          </w:tcPr>
          <w:p w14:paraId="5ADA1B24" w14:textId="77777777" w:rsidR="0007712F" w:rsidRPr="006A631A" w:rsidRDefault="0007712F" w:rsidP="00F510B9">
            <w:pPr>
              <w:widowControl/>
              <w:spacing w:before="34" w:after="1" w:line="267" w:lineRule="exact"/>
              <w:jc w:val="center"/>
              <w:textAlignment w:val="baseline"/>
              <w:rPr>
                <w:color w:val="000000"/>
                <w:sz w:val="26"/>
                <w:szCs w:val="26"/>
              </w:rPr>
            </w:pPr>
            <w:r w:rsidRPr="006A631A">
              <w:rPr>
                <w:color w:val="000000"/>
                <w:sz w:val="26"/>
                <w:szCs w:val="26"/>
              </w:rPr>
              <w:t>0</w:t>
            </w:r>
          </w:p>
        </w:tc>
      </w:tr>
      <w:tr w:rsidR="0007712F" w:rsidRPr="006A631A" w14:paraId="5A74DFCE" w14:textId="77777777" w:rsidTr="00AA489C">
        <w:trPr>
          <w:trHeight w:hRule="exact" w:val="288"/>
          <w:jc w:val="center"/>
        </w:trPr>
        <w:tc>
          <w:tcPr>
            <w:tcW w:w="2240" w:type="dxa"/>
            <w:tcBorders>
              <w:top w:val="single" w:sz="5" w:space="0" w:color="000000"/>
              <w:left w:val="single" w:sz="5" w:space="0" w:color="000000"/>
              <w:bottom w:val="single" w:sz="5" w:space="0" w:color="000000"/>
              <w:right w:val="single" w:sz="5" w:space="0" w:color="000000"/>
            </w:tcBorders>
            <w:vAlign w:val="center"/>
          </w:tcPr>
          <w:p w14:paraId="280FEC94" w14:textId="77777777" w:rsidR="0007712F" w:rsidRPr="006A631A" w:rsidRDefault="0007712F" w:rsidP="00F510B9">
            <w:pPr>
              <w:widowControl/>
              <w:spacing w:line="259" w:lineRule="exact"/>
              <w:ind w:left="111"/>
              <w:textAlignment w:val="baseline"/>
              <w:rPr>
                <w:color w:val="000000"/>
                <w:sz w:val="26"/>
                <w:szCs w:val="26"/>
              </w:rPr>
            </w:pPr>
            <w:r w:rsidRPr="006A631A">
              <w:rPr>
                <w:color w:val="000000"/>
                <w:sz w:val="26"/>
                <w:szCs w:val="26"/>
              </w:rPr>
              <w:t>Rate IT</w:t>
            </w:r>
          </w:p>
        </w:tc>
        <w:tc>
          <w:tcPr>
            <w:tcW w:w="2160" w:type="dxa"/>
            <w:tcBorders>
              <w:top w:val="single" w:sz="5" w:space="0" w:color="000000"/>
              <w:left w:val="single" w:sz="5" w:space="0" w:color="000000"/>
              <w:bottom w:val="single" w:sz="5" w:space="0" w:color="000000"/>
              <w:right w:val="single" w:sz="5" w:space="0" w:color="000000"/>
            </w:tcBorders>
            <w:vAlign w:val="center"/>
          </w:tcPr>
          <w:p w14:paraId="05F3A33D" w14:textId="77777777" w:rsidR="0007712F" w:rsidRPr="006A631A" w:rsidRDefault="0007712F" w:rsidP="00F510B9">
            <w:pPr>
              <w:widowControl/>
              <w:tabs>
                <w:tab w:val="decimal" w:pos="864"/>
              </w:tabs>
              <w:spacing w:line="259" w:lineRule="exact"/>
              <w:textAlignment w:val="baseline"/>
              <w:rPr>
                <w:color w:val="000000"/>
                <w:sz w:val="26"/>
                <w:szCs w:val="26"/>
              </w:rPr>
            </w:pPr>
            <w:r w:rsidRPr="006A631A">
              <w:rPr>
                <w:color w:val="000000"/>
                <w:sz w:val="26"/>
                <w:szCs w:val="26"/>
              </w:rPr>
              <w:t>17.317%</w:t>
            </w:r>
          </w:p>
        </w:tc>
        <w:tc>
          <w:tcPr>
            <w:tcW w:w="2689" w:type="dxa"/>
            <w:tcBorders>
              <w:top w:val="single" w:sz="5" w:space="0" w:color="000000"/>
              <w:left w:val="single" w:sz="5" w:space="0" w:color="000000"/>
              <w:bottom w:val="single" w:sz="5" w:space="0" w:color="000000"/>
              <w:right w:val="single" w:sz="5" w:space="0" w:color="000000"/>
            </w:tcBorders>
            <w:vAlign w:val="center"/>
          </w:tcPr>
          <w:p w14:paraId="6ECA1AD9" w14:textId="77777777" w:rsidR="0007712F" w:rsidRPr="006A631A" w:rsidRDefault="0007712F" w:rsidP="00F510B9">
            <w:pPr>
              <w:widowControl/>
              <w:spacing w:line="259" w:lineRule="exact"/>
              <w:jc w:val="center"/>
              <w:textAlignment w:val="baseline"/>
              <w:rPr>
                <w:color w:val="000000"/>
                <w:sz w:val="26"/>
                <w:szCs w:val="26"/>
              </w:rPr>
            </w:pPr>
            <w:r w:rsidRPr="006A631A">
              <w:rPr>
                <w:color w:val="000000"/>
                <w:sz w:val="26"/>
                <w:szCs w:val="26"/>
              </w:rPr>
              <w:t>2,199</w:t>
            </w:r>
          </w:p>
        </w:tc>
      </w:tr>
      <w:tr w:rsidR="0007712F" w:rsidRPr="006A631A" w14:paraId="435E1FDC" w14:textId="77777777" w:rsidTr="00AA489C">
        <w:trPr>
          <w:trHeight w:hRule="exact" w:val="288"/>
          <w:jc w:val="center"/>
        </w:trPr>
        <w:tc>
          <w:tcPr>
            <w:tcW w:w="2240" w:type="dxa"/>
            <w:tcBorders>
              <w:top w:val="single" w:sz="5" w:space="0" w:color="000000"/>
              <w:left w:val="single" w:sz="5" w:space="0" w:color="000000"/>
              <w:bottom w:val="single" w:sz="5" w:space="0" w:color="000000"/>
              <w:right w:val="single" w:sz="5" w:space="0" w:color="000000"/>
            </w:tcBorders>
            <w:vAlign w:val="center"/>
          </w:tcPr>
          <w:p w14:paraId="50BACE1B" w14:textId="77777777" w:rsidR="0007712F" w:rsidRPr="006A631A" w:rsidRDefault="0007712F" w:rsidP="00F510B9">
            <w:pPr>
              <w:widowControl/>
              <w:spacing w:line="266" w:lineRule="exact"/>
              <w:ind w:right="110"/>
              <w:jc w:val="right"/>
              <w:textAlignment w:val="baseline"/>
              <w:rPr>
                <w:b/>
                <w:color w:val="000000"/>
                <w:sz w:val="26"/>
                <w:szCs w:val="26"/>
              </w:rPr>
            </w:pPr>
            <w:r w:rsidRPr="006A631A">
              <w:rPr>
                <w:b/>
                <w:color w:val="000000"/>
                <w:sz w:val="26"/>
                <w:szCs w:val="26"/>
              </w:rPr>
              <w:t>TOTAL</w:t>
            </w:r>
          </w:p>
        </w:tc>
        <w:tc>
          <w:tcPr>
            <w:tcW w:w="2160" w:type="dxa"/>
            <w:tcBorders>
              <w:top w:val="single" w:sz="5" w:space="0" w:color="000000"/>
              <w:left w:val="single" w:sz="5" w:space="0" w:color="000000"/>
              <w:bottom w:val="single" w:sz="5" w:space="0" w:color="000000"/>
              <w:right w:val="single" w:sz="5" w:space="0" w:color="000000"/>
            </w:tcBorders>
          </w:tcPr>
          <w:p w14:paraId="2981CDB5" w14:textId="77777777" w:rsidR="0007712F" w:rsidRPr="006A631A" w:rsidRDefault="0007712F" w:rsidP="00F510B9">
            <w:pPr>
              <w:widowControl/>
              <w:textAlignment w:val="baseline"/>
              <w:rPr>
                <w:color w:val="000000"/>
                <w:sz w:val="26"/>
                <w:szCs w:val="26"/>
              </w:rPr>
            </w:pPr>
            <w:r w:rsidRPr="006A631A">
              <w:rPr>
                <w:color w:val="000000"/>
                <w:sz w:val="26"/>
                <w:szCs w:val="26"/>
              </w:rPr>
              <w:t xml:space="preserve"> </w:t>
            </w:r>
          </w:p>
        </w:tc>
        <w:tc>
          <w:tcPr>
            <w:tcW w:w="2689" w:type="dxa"/>
            <w:tcBorders>
              <w:top w:val="single" w:sz="5" w:space="0" w:color="000000"/>
              <w:left w:val="single" w:sz="5" w:space="0" w:color="000000"/>
              <w:bottom w:val="single" w:sz="5" w:space="0" w:color="000000"/>
              <w:right w:val="single" w:sz="5" w:space="0" w:color="000000"/>
            </w:tcBorders>
            <w:vAlign w:val="center"/>
          </w:tcPr>
          <w:p w14:paraId="73BD61CE" w14:textId="77777777" w:rsidR="0007712F" w:rsidRPr="006A631A" w:rsidRDefault="0007712F" w:rsidP="00F510B9">
            <w:pPr>
              <w:widowControl/>
              <w:spacing w:line="266" w:lineRule="exact"/>
              <w:jc w:val="center"/>
              <w:textAlignment w:val="baseline"/>
              <w:rPr>
                <w:b/>
                <w:color w:val="000000"/>
                <w:sz w:val="26"/>
                <w:szCs w:val="26"/>
              </w:rPr>
            </w:pPr>
            <w:r w:rsidRPr="006A631A">
              <w:rPr>
                <w:b/>
                <w:color w:val="000000"/>
                <w:sz w:val="26"/>
                <w:szCs w:val="26"/>
              </w:rPr>
              <w:t>35,000</w:t>
            </w:r>
          </w:p>
        </w:tc>
      </w:tr>
    </w:tbl>
    <w:p w14:paraId="07C9BA01" w14:textId="30CBB394" w:rsidR="0007712F" w:rsidRDefault="0007712F" w:rsidP="00F510B9">
      <w:pPr>
        <w:widowControl/>
        <w:ind w:left="1440" w:right="1440"/>
        <w:rPr>
          <w:iCs/>
          <w:sz w:val="26"/>
          <w:szCs w:val="26"/>
        </w:rPr>
      </w:pPr>
    </w:p>
    <w:p w14:paraId="11B4FCED" w14:textId="77777777" w:rsidR="007F7F98" w:rsidRPr="006A631A" w:rsidRDefault="007F7F98" w:rsidP="00F510B9">
      <w:pPr>
        <w:widowControl/>
        <w:ind w:left="1440" w:right="1440"/>
        <w:rPr>
          <w:iCs/>
          <w:sz w:val="26"/>
          <w:szCs w:val="26"/>
        </w:rPr>
      </w:pPr>
    </w:p>
    <w:tbl>
      <w:tblPr>
        <w:tblW w:w="0" w:type="auto"/>
        <w:jc w:val="center"/>
        <w:tblLayout w:type="fixed"/>
        <w:tblCellMar>
          <w:left w:w="0" w:type="dxa"/>
          <w:right w:w="0" w:type="dxa"/>
        </w:tblCellMar>
        <w:tblLook w:val="04A0" w:firstRow="1" w:lastRow="0" w:firstColumn="1" w:lastColumn="0" w:noHBand="0" w:noVBand="1"/>
      </w:tblPr>
      <w:tblGrid>
        <w:gridCol w:w="1728"/>
        <w:gridCol w:w="1800"/>
        <w:gridCol w:w="1882"/>
        <w:gridCol w:w="1723"/>
        <w:gridCol w:w="1896"/>
      </w:tblGrid>
      <w:tr w:rsidR="00D22018" w:rsidRPr="006A631A" w14:paraId="7A9807C2" w14:textId="77777777" w:rsidTr="00AA489C">
        <w:trPr>
          <w:trHeight w:hRule="exact" w:val="1118"/>
          <w:tblHeader/>
          <w:jc w:val="center"/>
        </w:trPr>
        <w:tc>
          <w:tcPr>
            <w:tcW w:w="172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862DB55" w14:textId="77777777" w:rsidR="00D22018" w:rsidRPr="006A631A" w:rsidRDefault="00D22018" w:rsidP="007F7F98">
            <w:pPr>
              <w:widowControl/>
              <w:spacing w:before="439" w:after="393" w:line="276" w:lineRule="exact"/>
              <w:ind w:right="326"/>
              <w:jc w:val="right"/>
              <w:textAlignment w:val="baseline"/>
              <w:rPr>
                <w:b/>
                <w:color w:val="000000"/>
                <w:sz w:val="26"/>
                <w:szCs w:val="26"/>
              </w:rPr>
            </w:pPr>
            <w:r w:rsidRPr="006A631A">
              <w:rPr>
                <w:b/>
                <w:color w:val="000000"/>
                <w:sz w:val="26"/>
                <w:szCs w:val="26"/>
              </w:rPr>
              <w:t>Rate Class</w:t>
            </w:r>
          </w:p>
        </w:tc>
        <w:tc>
          <w:tcPr>
            <w:tcW w:w="180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538503C6" w14:textId="77777777" w:rsidR="00D22018" w:rsidRPr="006A631A" w:rsidRDefault="00D22018" w:rsidP="007F7F98">
            <w:pPr>
              <w:widowControl/>
              <w:spacing w:before="439" w:after="393" w:line="276" w:lineRule="exact"/>
              <w:jc w:val="center"/>
              <w:textAlignment w:val="baseline"/>
              <w:rPr>
                <w:b/>
                <w:color w:val="000000"/>
                <w:sz w:val="26"/>
                <w:szCs w:val="26"/>
              </w:rPr>
            </w:pPr>
            <w:r w:rsidRPr="006A631A">
              <w:rPr>
                <w:b/>
                <w:color w:val="000000"/>
                <w:sz w:val="26"/>
                <w:szCs w:val="26"/>
              </w:rPr>
              <w:t>1-Jan-2021</w:t>
            </w:r>
          </w:p>
        </w:tc>
        <w:tc>
          <w:tcPr>
            <w:tcW w:w="1882"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30EEB01A" w14:textId="77777777" w:rsidR="00D22018" w:rsidRPr="006A631A" w:rsidRDefault="00D22018" w:rsidP="007F7F98">
            <w:pPr>
              <w:widowControl/>
              <w:spacing w:before="439" w:after="393" w:line="276" w:lineRule="exact"/>
              <w:jc w:val="center"/>
              <w:textAlignment w:val="baseline"/>
              <w:rPr>
                <w:b/>
                <w:color w:val="000000"/>
                <w:sz w:val="26"/>
                <w:szCs w:val="26"/>
              </w:rPr>
            </w:pPr>
            <w:r w:rsidRPr="006A631A">
              <w:rPr>
                <w:b/>
                <w:color w:val="000000"/>
                <w:sz w:val="26"/>
                <w:szCs w:val="26"/>
              </w:rPr>
              <w:t>1-Jul-2021</w:t>
            </w:r>
          </w:p>
        </w:tc>
        <w:tc>
          <w:tcPr>
            <w:tcW w:w="1723"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FE6A1DF" w14:textId="77777777" w:rsidR="00D22018" w:rsidRPr="006A631A" w:rsidRDefault="00D22018" w:rsidP="007F7F98">
            <w:pPr>
              <w:widowControl/>
              <w:spacing w:before="439" w:after="393" w:line="276" w:lineRule="exact"/>
              <w:jc w:val="center"/>
              <w:textAlignment w:val="baseline"/>
              <w:rPr>
                <w:b/>
                <w:color w:val="000000"/>
                <w:sz w:val="26"/>
                <w:szCs w:val="26"/>
              </w:rPr>
            </w:pPr>
            <w:r w:rsidRPr="006A631A">
              <w:rPr>
                <w:b/>
                <w:color w:val="000000"/>
                <w:sz w:val="26"/>
                <w:szCs w:val="26"/>
              </w:rPr>
              <w:t>1-Jan-2022</w:t>
            </w:r>
          </w:p>
        </w:tc>
        <w:tc>
          <w:tcPr>
            <w:tcW w:w="1896" w:type="dxa"/>
            <w:tcBorders>
              <w:top w:val="single" w:sz="5" w:space="0" w:color="000000"/>
              <w:left w:val="single" w:sz="5" w:space="0" w:color="000000"/>
              <w:bottom w:val="single" w:sz="5" w:space="0" w:color="000000"/>
              <w:right w:val="single" w:sz="5" w:space="0" w:color="000000"/>
            </w:tcBorders>
            <w:shd w:val="clear" w:color="E6E6E6" w:fill="E6E6E6"/>
          </w:tcPr>
          <w:p w14:paraId="5DDCCC57" w14:textId="77777777" w:rsidR="00D22018" w:rsidRPr="006A631A" w:rsidRDefault="00D22018" w:rsidP="007F7F98">
            <w:pPr>
              <w:widowControl/>
              <w:spacing w:line="273" w:lineRule="exact"/>
              <w:jc w:val="center"/>
              <w:textAlignment w:val="baseline"/>
              <w:rPr>
                <w:b/>
                <w:color w:val="000000"/>
                <w:sz w:val="26"/>
                <w:szCs w:val="26"/>
              </w:rPr>
            </w:pPr>
            <w:r w:rsidRPr="006A631A">
              <w:rPr>
                <w:b/>
                <w:color w:val="000000"/>
                <w:sz w:val="26"/>
                <w:szCs w:val="26"/>
              </w:rPr>
              <w:t xml:space="preserve">Revenue </w:t>
            </w:r>
            <w:r w:rsidRPr="006A631A">
              <w:rPr>
                <w:b/>
                <w:color w:val="000000"/>
                <w:sz w:val="26"/>
                <w:szCs w:val="26"/>
              </w:rPr>
              <w:br/>
              <w:t xml:space="preserve">Allocation </w:t>
            </w:r>
            <w:r w:rsidRPr="006A631A">
              <w:rPr>
                <w:b/>
                <w:color w:val="000000"/>
                <w:sz w:val="26"/>
                <w:szCs w:val="26"/>
              </w:rPr>
              <w:br/>
              <w:t xml:space="preserve">Scaled to $35 </w:t>
            </w:r>
            <w:r w:rsidRPr="006A631A">
              <w:rPr>
                <w:b/>
                <w:color w:val="000000"/>
                <w:sz w:val="26"/>
                <w:szCs w:val="26"/>
              </w:rPr>
              <w:br/>
              <w:t>million</w:t>
            </w:r>
          </w:p>
        </w:tc>
      </w:tr>
      <w:tr w:rsidR="00D22018" w:rsidRPr="006A631A" w14:paraId="1711C2E5" w14:textId="77777777" w:rsidTr="00D22018">
        <w:trPr>
          <w:trHeight w:hRule="exact" w:val="413"/>
          <w:jc w:val="center"/>
        </w:trPr>
        <w:tc>
          <w:tcPr>
            <w:tcW w:w="1728" w:type="dxa"/>
            <w:tcBorders>
              <w:top w:val="single" w:sz="5" w:space="0" w:color="000000"/>
              <w:left w:val="single" w:sz="5" w:space="0" w:color="000000"/>
              <w:bottom w:val="single" w:sz="5" w:space="0" w:color="000000"/>
              <w:right w:val="single" w:sz="5" w:space="0" w:color="000000"/>
            </w:tcBorders>
            <w:vAlign w:val="center"/>
          </w:tcPr>
          <w:p w14:paraId="356E9BBB" w14:textId="77777777" w:rsidR="00D22018" w:rsidRPr="006A631A" w:rsidRDefault="00D22018" w:rsidP="007F7F98">
            <w:pPr>
              <w:widowControl/>
              <w:spacing w:before="87" w:after="54" w:line="267" w:lineRule="exact"/>
              <w:ind w:left="111"/>
              <w:textAlignment w:val="baseline"/>
              <w:rPr>
                <w:color w:val="000000"/>
                <w:sz w:val="26"/>
                <w:szCs w:val="26"/>
              </w:rPr>
            </w:pPr>
            <w:r w:rsidRPr="006A631A">
              <w:rPr>
                <w:color w:val="000000"/>
                <w:sz w:val="26"/>
                <w:szCs w:val="26"/>
              </w:rPr>
              <w:t>Residential</w:t>
            </w:r>
          </w:p>
        </w:tc>
        <w:tc>
          <w:tcPr>
            <w:tcW w:w="1800" w:type="dxa"/>
            <w:tcBorders>
              <w:top w:val="single" w:sz="5" w:space="0" w:color="000000"/>
              <w:left w:val="single" w:sz="5" w:space="0" w:color="000000"/>
              <w:bottom w:val="single" w:sz="5" w:space="0" w:color="000000"/>
              <w:right w:val="single" w:sz="5" w:space="0" w:color="000000"/>
            </w:tcBorders>
            <w:vAlign w:val="center"/>
          </w:tcPr>
          <w:p w14:paraId="6F593151" w14:textId="77777777" w:rsidR="00D22018" w:rsidRPr="006A631A" w:rsidRDefault="00D22018" w:rsidP="007F7F98">
            <w:pPr>
              <w:widowControl/>
              <w:spacing w:before="87" w:after="54" w:line="267" w:lineRule="exact"/>
              <w:jc w:val="center"/>
              <w:textAlignment w:val="baseline"/>
              <w:rPr>
                <w:color w:val="000000"/>
                <w:sz w:val="26"/>
                <w:szCs w:val="26"/>
              </w:rPr>
            </w:pPr>
            <w:r w:rsidRPr="006A631A">
              <w:rPr>
                <w:color w:val="000000"/>
                <w:sz w:val="26"/>
                <w:szCs w:val="26"/>
              </w:rPr>
              <w:t>7,828</w:t>
            </w:r>
          </w:p>
        </w:tc>
        <w:tc>
          <w:tcPr>
            <w:tcW w:w="1882" w:type="dxa"/>
            <w:tcBorders>
              <w:top w:val="single" w:sz="5" w:space="0" w:color="000000"/>
              <w:left w:val="single" w:sz="5" w:space="0" w:color="000000"/>
              <w:bottom w:val="single" w:sz="5" w:space="0" w:color="000000"/>
              <w:right w:val="single" w:sz="5" w:space="0" w:color="000000"/>
            </w:tcBorders>
            <w:vAlign w:val="center"/>
          </w:tcPr>
          <w:p w14:paraId="4BC5EF34" w14:textId="77777777" w:rsidR="00D22018" w:rsidRPr="006A631A" w:rsidRDefault="00D22018" w:rsidP="007F7F98">
            <w:pPr>
              <w:widowControl/>
              <w:spacing w:before="87" w:after="54" w:line="267" w:lineRule="exact"/>
              <w:jc w:val="center"/>
              <w:textAlignment w:val="baseline"/>
              <w:rPr>
                <w:color w:val="000000"/>
                <w:sz w:val="26"/>
                <w:szCs w:val="26"/>
              </w:rPr>
            </w:pPr>
            <w:r w:rsidRPr="006A631A">
              <w:rPr>
                <w:color w:val="000000"/>
                <w:sz w:val="26"/>
                <w:szCs w:val="26"/>
              </w:rPr>
              <w:t>7,828</w:t>
            </w:r>
          </w:p>
        </w:tc>
        <w:tc>
          <w:tcPr>
            <w:tcW w:w="1723" w:type="dxa"/>
            <w:tcBorders>
              <w:top w:val="single" w:sz="5" w:space="0" w:color="000000"/>
              <w:left w:val="single" w:sz="5" w:space="0" w:color="000000"/>
              <w:bottom w:val="single" w:sz="5" w:space="0" w:color="000000"/>
              <w:right w:val="single" w:sz="5" w:space="0" w:color="000000"/>
            </w:tcBorders>
            <w:vAlign w:val="center"/>
          </w:tcPr>
          <w:p w14:paraId="0376849F" w14:textId="77777777" w:rsidR="00D22018" w:rsidRPr="006A631A" w:rsidRDefault="00D22018" w:rsidP="007F7F98">
            <w:pPr>
              <w:widowControl/>
              <w:spacing w:before="87" w:after="54" w:line="267" w:lineRule="exact"/>
              <w:jc w:val="center"/>
              <w:textAlignment w:val="baseline"/>
              <w:rPr>
                <w:color w:val="000000"/>
                <w:sz w:val="26"/>
                <w:szCs w:val="26"/>
              </w:rPr>
            </w:pPr>
            <w:r w:rsidRPr="006A631A">
              <w:rPr>
                <w:color w:val="000000"/>
                <w:sz w:val="26"/>
                <w:szCs w:val="26"/>
              </w:rPr>
              <w:t>11,741</w:t>
            </w:r>
          </w:p>
        </w:tc>
        <w:tc>
          <w:tcPr>
            <w:tcW w:w="1896" w:type="dxa"/>
            <w:tcBorders>
              <w:top w:val="single" w:sz="5" w:space="0" w:color="000000"/>
              <w:left w:val="single" w:sz="5" w:space="0" w:color="000000"/>
              <w:bottom w:val="single" w:sz="5" w:space="0" w:color="000000"/>
              <w:right w:val="single" w:sz="5" w:space="0" w:color="000000"/>
            </w:tcBorders>
            <w:vAlign w:val="center"/>
          </w:tcPr>
          <w:p w14:paraId="74CA7C5C" w14:textId="77777777" w:rsidR="00D22018" w:rsidRPr="006A631A" w:rsidRDefault="00D22018" w:rsidP="007F7F98">
            <w:pPr>
              <w:widowControl/>
              <w:spacing w:before="87" w:after="54" w:line="267" w:lineRule="exact"/>
              <w:jc w:val="center"/>
              <w:textAlignment w:val="baseline"/>
              <w:rPr>
                <w:color w:val="000000"/>
                <w:sz w:val="26"/>
                <w:szCs w:val="26"/>
              </w:rPr>
            </w:pPr>
            <w:r w:rsidRPr="006A631A">
              <w:rPr>
                <w:color w:val="000000"/>
                <w:sz w:val="26"/>
                <w:szCs w:val="26"/>
              </w:rPr>
              <w:t>27,396</w:t>
            </w:r>
          </w:p>
        </w:tc>
      </w:tr>
      <w:tr w:rsidR="00D22018" w:rsidRPr="006A631A" w14:paraId="6AABF68D" w14:textId="77777777" w:rsidTr="00D22018">
        <w:trPr>
          <w:trHeight w:hRule="exact" w:val="413"/>
          <w:jc w:val="center"/>
        </w:trPr>
        <w:tc>
          <w:tcPr>
            <w:tcW w:w="1728" w:type="dxa"/>
            <w:tcBorders>
              <w:top w:val="single" w:sz="5" w:space="0" w:color="000000"/>
              <w:left w:val="single" w:sz="5" w:space="0" w:color="000000"/>
              <w:bottom w:val="single" w:sz="5" w:space="0" w:color="000000"/>
              <w:right w:val="single" w:sz="5" w:space="0" w:color="000000"/>
            </w:tcBorders>
            <w:vAlign w:val="center"/>
          </w:tcPr>
          <w:p w14:paraId="1F6E8D35" w14:textId="77777777" w:rsidR="00D22018" w:rsidRPr="006A631A" w:rsidRDefault="00D22018" w:rsidP="007F7F98">
            <w:pPr>
              <w:widowControl/>
              <w:spacing w:before="82" w:after="64" w:line="267" w:lineRule="exact"/>
              <w:ind w:left="111"/>
              <w:textAlignment w:val="baseline"/>
              <w:rPr>
                <w:color w:val="000000"/>
                <w:sz w:val="26"/>
                <w:szCs w:val="26"/>
              </w:rPr>
            </w:pPr>
            <w:r w:rsidRPr="006A631A">
              <w:rPr>
                <w:color w:val="000000"/>
                <w:sz w:val="26"/>
                <w:szCs w:val="26"/>
              </w:rPr>
              <w:t>Commercial</w:t>
            </w:r>
          </w:p>
        </w:tc>
        <w:tc>
          <w:tcPr>
            <w:tcW w:w="1800" w:type="dxa"/>
            <w:tcBorders>
              <w:top w:val="single" w:sz="5" w:space="0" w:color="000000"/>
              <w:left w:val="single" w:sz="5" w:space="0" w:color="000000"/>
              <w:bottom w:val="single" w:sz="5" w:space="0" w:color="000000"/>
              <w:right w:val="single" w:sz="5" w:space="0" w:color="000000"/>
            </w:tcBorders>
            <w:vAlign w:val="center"/>
          </w:tcPr>
          <w:p w14:paraId="6F2BDEB3" w14:textId="77777777" w:rsidR="00D22018" w:rsidRPr="006A631A" w:rsidRDefault="00D22018" w:rsidP="007F7F98">
            <w:pPr>
              <w:widowControl/>
              <w:spacing w:before="82" w:after="64" w:line="267" w:lineRule="exact"/>
              <w:jc w:val="center"/>
              <w:textAlignment w:val="baseline"/>
              <w:rPr>
                <w:color w:val="000000"/>
                <w:sz w:val="26"/>
                <w:szCs w:val="26"/>
              </w:rPr>
            </w:pPr>
            <w:r w:rsidRPr="006A631A">
              <w:rPr>
                <w:color w:val="000000"/>
                <w:sz w:val="26"/>
                <w:szCs w:val="26"/>
              </w:rPr>
              <w:t>1,169</w:t>
            </w:r>
          </w:p>
        </w:tc>
        <w:tc>
          <w:tcPr>
            <w:tcW w:w="1882" w:type="dxa"/>
            <w:tcBorders>
              <w:top w:val="single" w:sz="5" w:space="0" w:color="000000"/>
              <w:left w:val="single" w:sz="5" w:space="0" w:color="000000"/>
              <w:bottom w:val="single" w:sz="5" w:space="0" w:color="000000"/>
              <w:right w:val="single" w:sz="5" w:space="0" w:color="000000"/>
            </w:tcBorders>
            <w:vAlign w:val="center"/>
          </w:tcPr>
          <w:p w14:paraId="010B7EEE" w14:textId="77777777" w:rsidR="00D22018" w:rsidRPr="006A631A" w:rsidRDefault="00D22018" w:rsidP="007F7F98">
            <w:pPr>
              <w:widowControl/>
              <w:spacing w:before="82" w:after="64" w:line="267" w:lineRule="exact"/>
              <w:jc w:val="center"/>
              <w:textAlignment w:val="baseline"/>
              <w:rPr>
                <w:color w:val="000000"/>
                <w:sz w:val="26"/>
                <w:szCs w:val="26"/>
              </w:rPr>
            </w:pPr>
            <w:r w:rsidRPr="006A631A">
              <w:rPr>
                <w:color w:val="000000"/>
                <w:sz w:val="26"/>
                <w:szCs w:val="26"/>
              </w:rPr>
              <w:t>1,169</w:t>
            </w:r>
          </w:p>
        </w:tc>
        <w:tc>
          <w:tcPr>
            <w:tcW w:w="1723" w:type="dxa"/>
            <w:tcBorders>
              <w:top w:val="single" w:sz="5" w:space="0" w:color="000000"/>
              <w:left w:val="single" w:sz="5" w:space="0" w:color="000000"/>
              <w:bottom w:val="single" w:sz="5" w:space="0" w:color="000000"/>
              <w:right w:val="single" w:sz="5" w:space="0" w:color="000000"/>
            </w:tcBorders>
            <w:vAlign w:val="center"/>
          </w:tcPr>
          <w:p w14:paraId="3111145A" w14:textId="77777777" w:rsidR="00D22018" w:rsidRPr="006A631A" w:rsidRDefault="00D22018" w:rsidP="007F7F98">
            <w:pPr>
              <w:widowControl/>
              <w:spacing w:before="82" w:after="64" w:line="267" w:lineRule="exact"/>
              <w:jc w:val="center"/>
              <w:textAlignment w:val="baseline"/>
              <w:rPr>
                <w:color w:val="000000"/>
                <w:sz w:val="26"/>
                <w:szCs w:val="26"/>
              </w:rPr>
            </w:pPr>
            <w:r w:rsidRPr="006A631A">
              <w:rPr>
                <w:color w:val="000000"/>
                <w:sz w:val="26"/>
                <w:szCs w:val="26"/>
              </w:rPr>
              <w:t>1,754</w:t>
            </w:r>
          </w:p>
        </w:tc>
        <w:tc>
          <w:tcPr>
            <w:tcW w:w="1896" w:type="dxa"/>
            <w:tcBorders>
              <w:top w:val="single" w:sz="5" w:space="0" w:color="000000"/>
              <w:left w:val="single" w:sz="5" w:space="0" w:color="000000"/>
              <w:bottom w:val="single" w:sz="5" w:space="0" w:color="000000"/>
              <w:right w:val="single" w:sz="5" w:space="0" w:color="000000"/>
            </w:tcBorders>
            <w:vAlign w:val="center"/>
          </w:tcPr>
          <w:p w14:paraId="77469AC2" w14:textId="77777777" w:rsidR="00D22018" w:rsidRPr="006A631A" w:rsidRDefault="00D22018" w:rsidP="007F7F98">
            <w:pPr>
              <w:widowControl/>
              <w:spacing w:before="82" w:after="64" w:line="267" w:lineRule="exact"/>
              <w:jc w:val="center"/>
              <w:textAlignment w:val="baseline"/>
              <w:rPr>
                <w:color w:val="000000"/>
                <w:sz w:val="26"/>
                <w:szCs w:val="26"/>
              </w:rPr>
            </w:pPr>
            <w:r w:rsidRPr="006A631A">
              <w:rPr>
                <w:color w:val="000000"/>
                <w:sz w:val="26"/>
                <w:szCs w:val="26"/>
              </w:rPr>
              <w:t>4,092</w:t>
            </w:r>
          </w:p>
        </w:tc>
      </w:tr>
      <w:tr w:rsidR="00D22018" w:rsidRPr="006A631A" w14:paraId="3CA4C47C" w14:textId="77777777" w:rsidTr="00D22018">
        <w:trPr>
          <w:trHeight w:hRule="exact" w:val="413"/>
          <w:jc w:val="center"/>
        </w:trPr>
        <w:tc>
          <w:tcPr>
            <w:tcW w:w="1728" w:type="dxa"/>
            <w:tcBorders>
              <w:top w:val="single" w:sz="5" w:space="0" w:color="000000"/>
              <w:left w:val="single" w:sz="5" w:space="0" w:color="000000"/>
              <w:bottom w:val="single" w:sz="5" w:space="0" w:color="000000"/>
              <w:right w:val="single" w:sz="5" w:space="0" w:color="000000"/>
            </w:tcBorders>
            <w:vAlign w:val="center"/>
          </w:tcPr>
          <w:p w14:paraId="621E815F" w14:textId="77777777" w:rsidR="00D22018" w:rsidRPr="006A631A" w:rsidRDefault="00D22018" w:rsidP="007F7F98">
            <w:pPr>
              <w:widowControl/>
              <w:spacing w:before="82" w:after="54" w:line="267" w:lineRule="exact"/>
              <w:ind w:left="111"/>
              <w:textAlignment w:val="baseline"/>
              <w:rPr>
                <w:color w:val="000000"/>
                <w:sz w:val="26"/>
                <w:szCs w:val="26"/>
              </w:rPr>
            </w:pPr>
            <w:r w:rsidRPr="006A631A">
              <w:rPr>
                <w:color w:val="000000"/>
                <w:sz w:val="26"/>
                <w:szCs w:val="26"/>
              </w:rPr>
              <w:t>Industrial</w:t>
            </w:r>
          </w:p>
        </w:tc>
        <w:tc>
          <w:tcPr>
            <w:tcW w:w="1800" w:type="dxa"/>
            <w:tcBorders>
              <w:top w:val="single" w:sz="5" w:space="0" w:color="000000"/>
              <w:left w:val="single" w:sz="5" w:space="0" w:color="000000"/>
              <w:bottom w:val="single" w:sz="5" w:space="0" w:color="000000"/>
              <w:right w:val="single" w:sz="5" w:space="0" w:color="000000"/>
            </w:tcBorders>
            <w:vAlign w:val="center"/>
          </w:tcPr>
          <w:p w14:paraId="475606E8" w14:textId="77777777" w:rsidR="00D22018" w:rsidRPr="006A631A" w:rsidRDefault="00D22018" w:rsidP="007F7F98">
            <w:pPr>
              <w:widowControl/>
              <w:spacing w:before="82" w:after="54" w:line="267" w:lineRule="exact"/>
              <w:jc w:val="center"/>
              <w:textAlignment w:val="baseline"/>
              <w:rPr>
                <w:color w:val="000000"/>
                <w:sz w:val="26"/>
                <w:szCs w:val="26"/>
              </w:rPr>
            </w:pPr>
            <w:r w:rsidRPr="006A631A">
              <w:rPr>
                <w:color w:val="000000"/>
                <w:sz w:val="26"/>
                <w:szCs w:val="26"/>
              </w:rPr>
              <w:t>111</w:t>
            </w:r>
          </w:p>
        </w:tc>
        <w:tc>
          <w:tcPr>
            <w:tcW w:w="1882" w:type="dxa"/>
            <w:tcBorders>
              <w:top w:val="single" w:sz="5" w:space="0" w:color="000000"/>
              <w:left w:val="single" w:sz="5" w:space="0" w:color="000000"/>
              <w:bottom w:val="single" w:sz="5" w:space="0" w:color="000000"/>
              <w:right w:val="single" w:sz="5" w:space="0" w:color="000000"/>
            </w:tcBorders>
            <w:vAlign w:val="center"/>
          </w:tcPr>
          <w:p w14:paraId="4A53D39D" w14:textId="77777777" w:rsidR="00D22018" w:rsidRPr="006A631A" w:rsidRDefault="00D22018" w:rsidP="007F7F98">
            <w:pPr>
              <w:widowControl/>
              <w:spacing w:before="82" w:after="54" w:line="267" w:lineRule="exact"/>
              <w:jc w:val="center"/>
              <w:textAlignment w:val="baseline"/>
              <w:rPr>
                <w:color w:val="000000"/>
                <w:sz w:val="26"/>
                <w:szCs w:val="26"/>
              </w:rPr>
            </w:pPr>
            <w:r w:rsidRPr="006A631A">
              <w:rPr>
                <w:color w:val="000000"/>
                <w:sz w:val="26"/>
                <w:szCs w:val="26"/>
              </w:rPr>
              <w:t>111</w:t>
            </w:r>
          </w:p>
        </w:tc>
        <w:tc>
          <w:tcPr>
            <w:tcW w:w="1723" w:type="dxa"/>
            <w:tcBorders>
              <w:top w:val="single" w:sz="5" w:space="0" w:color="000000"/>
              <w:left w:val="single" w:sz="5" w:space="0" w:color="000000"/>
              <w:bottom w:val="single" w:sz="5" w:space="0" w:color="000000"/>
              <w:right w:val="single" w:sz="5" w:space="0" w:color="000000"/>
            </w:tcBorders>
            <w:vAlign w:val="center"/>
          </w:tcPr>
          <w:p w14:paraId="0CEA0601" w14:textId="77777777" w:rsidR="00D22018" w:rsidRPr="006A631A" w:rsidRDefault="00D22018" w:rsidP="007F7F98">
            <w:pPr>
              <w:widowControl/>
              <w:spacing w:before="82" w:after="54" w:line="267" w:lineRule="exact"/>
              <w:jc w:val="center"/>
              <w:textAlignment w:val="baseline"/>
              <w:rPr>
                <w:color w:val="000000"/>
                <w:sz w:val="26"/>
                <w:szCs w:val="26"/>
              </w:rPr>
            </w:pPr>
            <w:r w:rsidRPr="006A631A">
              <w:rPr>
                <w:color w:val="000000"/>
                <w:sz w:val="26"/>
                <w:szCs w:val="26"/>
              </w:rPr>
              <w:t>166</w:t>
            </w:r>
          </w:p>
        </w:tc>
        <w:tc>
          <w:tcPr>
            <w:tcW w:w="1896" w:type="dxa"/>
            <w:tcBorders>
              <w:top w:val="single" w:sz="5" w:space="0" w:color="000000"/>
              <w:left w:val="single" w:sz="5" w:space="0" w:color="000000"/>
              <w:bottom w:val="single" w:sz="5" w:space="0" w:color="000000"/>
              <w:right w:val="single" w:sz="5" w:space="0" w:color="000000"/>
            </w:tcBorders>
            <w:vAlign w:val="center"/>
          </w:tcPr>
          <w:p w14:paraId="08F51149" w14:textId="77777777" w:rsidR="00D22018" w:rsidRPr="006A631A" w:rsidRDefault="00D22018" w:rsidP="007F7F98">
            <w:pPr>
              <w:widowControl/>
              <w:spacing w:before="82" w:after="54" w:line="267" w:lineRule="exact"/>
              <w:jc w:val="center"/>
              <w:textAlignment w:val="baseline"/>
              <w:rPr>
                <w:color w:val="000000"/>
                <w:sz w:val="26"/>
                <w:szCs w:val="26"/>
              </w:rPr>
            </w:pPr>
            <w:r w:rsidRPr="006A631A">
              <w:rPr>
                <w:color w:val="000000"/>
                <w:sz w:val="26"/>
                <w:szCs w:val="26"/>
              </w:rPr>
              <w:t>388</w:t>
            </w:r>
          </w:p>
        </w:tc>
      </w:tr>
      <w:tr w:rsidR="00D22018" w:rsidRPr="006A631A" w14:paraId="7FAC475A" w14:textId="77777777" w:rsidTr="00D22018">
        <w:trPr>
          <w:trHeight w:hRule="exact" w:val="413"/>
          <w:jc w:val="center"/>
        </w:trPr>
        <w:tc>
          <w:tcPr>
            <w:tcW w:w="1728" w:type="dxa"/>
            <w:tcBorders>
              <w:top w:val="single" w:sz="5" w:space="0" w:color="000000"/>
              <w:left w:val="single" w:sz="5" w:space="0" w:color="000000"/>
              <w:bottom w:val="single" w:sz="5" w:space="0" w:color="000000"/>
              <w:right w:val="single" w:sz="5" w:space="0" w:color="000000"/>
            </w:tcBorders>
            <w:vAlign w:val="center"/>
          </w:tcPr>
          <w:p w14:paraId="18128DE9" w14:textId="77777777" w:rsidR="00D22018" w:rsidRPr="006A631A" w:rsidRDefault="00D22018" w:rsidP="007F7F98">
            <w:pPr>
              <w:widowControl/>
              <w:spacing w:before="82" w:after="58" w:line="267" w:lineRule="exact"/>
              <w:ind w:left="111"/>
              <w:textAlignment w:val="baseline"/>
              <w:rPr>
                <w:color w:val="000000"/>
                <w:sz w:val="26"/>
                <w:szCs w:val="26"/>
              </w:rPr>
            </w:pPr>
            <w:r w:rsidRPr="006A631A">
              <w:rPr>
                <w:color w:val="000000"/>
                <w:sz w:val="26"/>
                <w:szCs w:val="26"/>
              </w:rPr>
              <w:t>Municipal</w:t>
            </w:r>
          </w:p>
        </w:tc>
        <w:tc>
          <w:tcPr>
            <w:tcW w:w="1800" w:type="dxa"/>
            <w:tcBorders>
              <w:top w:val="single" w:sz="5" w:space="0" w:color="000000"/>
              <w:left w:val="single" w:sz="5" w:space="0" w:color="000000"/>
              <w:bottom w:val="single" w:sz="5" w:space="0" w:color="000000"/>
              <w:right w:val="single" w:sz="5" w:space="0" w:color="000000"/>
            </w:tcBorders>
            <w:vAlign w:val="center"/>
          </w:tcPr>
          <w:p w14:paraId="1ADAD45A" w14:textId="77777777" w:rsidR="00D22018" w:rsidRPr="006A631A" w:rsidRDefault="00D22018" w:rsidP="007F7F98">
            <w:pPr>
              <w:widowControl/>
              <w:spacing w:before="82" w:after="58" w:line="267" w:lineRule="exact"/>
              <w:jc w:val="center"/>
              <w:textAlignment w:val="baseline"/>
              <w:rPr>
                <w:color w:val="000000"/>
                <w:sz w:val="26"/>
                <w:szCs w:val="26"/>
              </w:rPr>
            </w:pPr>
            <w:r w:rsidRPr="006A631A">
              <w:rPr>
                <w:color w:val="000000"/>
                <w:sz w:val="26"/>
                <w:szCs w:val="26"/>
              </w:rPr>
              <w:t>150</w:t>
            </w:r>
          </w:p>
        </w:tc>
        <w:tc>
          <w:tcPr>
            <w:tcW w:w="1882" w:type="dxa"/>
            <w:tcBorders>
              <w:top w:val="single" w:sz="5" w:space="0" w:color="000000"/>
              <w:left w:val="single" w:sz="5" w:space="0" w:color="000000"/>
              <w:bottom w:val="single" w:sz="5" w:space="0" w:color="000000"/>
              <w:right w:val="single" w:sz="5" w:space="0" w:color="000000"/>
            </w:tcBorders>
            <w:vAlign w:val="center"/>
          </w:tcPr>
          <w:p w14:paraId="581136B8" w14:textId="77777777" w:rsidR="00D22018" w:rsidRPr="006A631A" w:rsidRDefault="00D22018" w:rsidP="007F7F98">
            <w:pPr>
              <w:widowControl/>
              <w:spacing w:before="82" w:after="58" w:line="267" w:lineRule="exact"/>
              <w:jc w:val="center"/>
              <w:textAlignment w:val="baseline"/>
              <w:rPr>
                <w:color w:val="000000"/>
                <w:sz w:val="26"/>
                <w:szCs w:val="26"/>
              </w:rPr>
            </w:pPr>
            <w:r w:rsidRPr="006A631A">
              <w:rPr>
                <w:color w:val="000000"/>
                <w:sz w:val="26"/>
                <w:szCs w:val="26"/>
              </w:rPr>
              <w:t>150</w:t>
            </w:r>
          </w:p>
        </w:tc>
        <w:tc>
          <w:tcPr>
            <w:tcW w:w="1723" w:type="dxa"/>
            <w:tcBorders>
              <w:top w:val="single" w:sz="5" w:space="0" w:color="000000"/>
              <w:left w:val="single" w:sz="5" w:space="0" w:color="000000"/>
              <w:bottom w:val="single" w:sz="5" w:space="0" w:color="000000"/>
              <w:right w:val="single" w:sz="5" w:space="0" w:color="000000"/>
            </w:tcBorders>
            <w:vAlign w:val="center"/>
          </w:tcPr>
          <w:p w14:paraId="276D0943" w14:textId="77777777" w:rsidR="00D22018" w:rsidRPr="006A631A" w:rsidRDefault="00D22018" w:rsidP="007F7F98">
            <w:pPr>
              <w:widowControl/>
              <w:spacing w:before="82" w:after="58" w:line="267" w:lineRule="exact"/>
              <w:jc w:val="center"/>
              <w:textAlignment w:val="baseline"/>
              <w:rPr>
                <w:color w:val="000000"/>
                <w:sz w:val="26"/>
                <w:szCs w:val="26"/>
              </w:rPr>
            </w:pPr>
            <w:r w:rsidRPr="006A631A">
              <w:rPr>
                <w:color w:val="000000"/>
                <w:sz w:val="26"/>
                <w:szCs w:val="26"/>
              </w:rPr>
              <w:t>225</w:t>
            </w:r>
          </w:p>
        </w:tc>
        <w:tc>
          <w:tcPr>
            <w:tcW w:w="1896" w:type="dxa"/>
            <w:tcBorders>
              <w:top w:val="single" w:sz="5" w:space="0" w:color="000000"/>
              <w:left w:val="single" w:sz="5" w:space="0" w:color="000000"/>
              <w:bottom w:val="single" w:sz="5" w:space="0" w:color="000000"/>
              <w:right w:val="single" w:sz="5" w:space="0" w:color="000000"/>
            </w:tcBorders>
            <w:vAlign w:val="center"/>
          </w:tcPr>
          <w:p w14:paraId="1D090FB5" w14:textId="77777777" w:rsidR="00D22018" w:rsidRPr="006A631A" w:rsidRDefault="00D22018" w:rsidP="007F7F98">
            <w:pPr>
              <w:widowControl/>
              <w:spacing w:before="82" w:after="58" w:line="267" w:lineRule="exact"/>
              <w:jc w:val="center"/>
              <w:textAlignment w:val="baseline"/>
              <w:rPr>
                <w:color w:val="000000"/>
                <w:sz w:val="26"/>
                <w:szCs w:val="26"/>
              </w:rPr>
            </w:pPr>
            <w:r w:rsidRPr="006A631A">
              <w:rPr>
                <w:color w:val="000000"/>
                <w:sz w:val="26"/>
                <w:szCs w:val="26"/>
              </w:rPr>
              <w:t>525</w:t>
            </w:r>
          </w:p>
        </w:tc>
      </w:tr>
      <w:tr w:rsidR="00D22018" w:rsidRPr="006A631A" w14:paraId="5A34EDD7" w14:textId="77777777" w:rsidTr="00D22018">
        <w:trPr>
          <w:trHeight w:hRule="exact" w:val="408"/>
          <w:jc w:val="center"/>
        </w:trPr>
        <w:tc>
          <w:tcPr>
            <w:tcW w:w="1728" w:type="dxa"/>
            <w:tcBorders>
              <w:top w:val="single" w:sz="5" w:space="0" w:color="000000"/>
              <w:left w:val="single" w:sz="5" w:space="0" w:color="000000"/>
              <w:bottom w:val="single" w:sz="5" w:space="0" w:color="000000"/>
              <w:right w:val="single" w:sz="5" w:space="0" w:color="000000"/>
            </w:tcBorders>
            <w:vAlign w:val="center"/>
          </w:tcPr>
          <w:p w14:paraId="0F3A352B" w14:textId="77777777" w:rsidR="00D22018" w:rsidRPr="006A631A" w:rsidRDefault="00D22018" w:rsidP="007F7F98">
            <w:pPr>
              <w:widowControl/>
              <w:spacing w:before="81" w:after="50" w:line="267" w:lineRule="exact"/>
              <w:ind w:left="111"/>
              <w:textAlignment w:val="baseline"/>
              <w:rPr>
                <w:color w:val="000000"/>
                <w:sz w:val="26"/>
                <w:szCs w:val="26"/>
              </w:rPr>
            </w:pPr>
            <w:r w:rsidRPr="006A631A">
              <w:rPr>
                <w:color w:val="000000"/>
                <w:sz w:val="26"/>
                <w:szCs w:val="26"/>
              </w:rPr>
              <w:t>PHA-GS</w:t>
            </w:r>
          </w:p>
        </w:tc>
        <w:tc>
          <w:tcPr>
            <w:tcW w:w="1800" w:type="dxa"/>
            <w:tcBorders>
              <w:top w:val="single" w:sz="5" w:space="0" w:color="000000"/>
              <w:left w:val="single" w:sz="5" w:space="0" w:color="000000"/>
              <w:bottom w:val="single" w:sz="5" w:space="0" w:color="000000"/>
              <w:right w:val="single" w:sz="5" w:space="0" w:color="000000"/>
            </w:tcBorders>
            <w:vAlign w:val="center"/>
          </w:tcPr>
          <w:p w14:paraId="471674A2" w14:textId="77777777" w:rsidR="00D22018" w:rsidRPr="006A631A" w:rsidRDefault="00D22018" w:rsidP="007F7F98">
            <w:pPr>
              <w:widowControl/>
              <w:spacing w:before="81" w:after="50" w:line="267" w:lineRule="exact"/>
              <w:jc w:val="center"/>
              <w:textAlignment w:val="baseline"/>
              <w:rPr>
                <w:color w:val="000000"/>
                <w:sz w:val="26"/>
                <w:szCs w:val="26"/>
              </w:rPr>
            </w:pPr>
            <w:r w:rsidRPr="006A631A">
              <w:rPr>
                <w:color w:val="000000"/>
                <w:sz w:val="26"/>
                <w:szCs w:val="26"/>
              </w:rPr>
              <w:t>50</w:t>
            </w:r>
          </w:p>
        </w:tc>
        <w:tc>
          <w:tcPr>
            <w:tcW w:w="1882" w:type="dxa"/>
            <w:tcBorders>
              <w:top w:val="single" w:sz="5" w:space="0" w:color="000000"/>
              <w:left w:val="single" w:sz="5" w:space="0" w:color="000000"/>
              <w:bottom w:val="single" w:sz="5" w:space="0" w:color="000000"/>
              <w:right w:val="single" w:sz="5" w:space="0" w:color="000000"/>
            </w:tcBorders>
            <w:vAlign w:val="center"/>
          </w:tcPr>
          <w:p w14:paraId="438545AA" w14:textId="77777777" w:rsidR="00D22018" w:rsidRPr="006A631A" w:rsidRDefault="00D22018" w:rsidP="007F7F98">
            <w:pPr>
              <w:widowControl/>
              <w:spacing w:before="81" w:after="50" w:line="267" w:lineRule="exact"/>
              <w:jc w:val="center"/>
              <w:textAlignment w:val="baseline"/>
              <w:rPr>
                <w:color w:val="000000"/>
                <w:sz w:val="26"/>
                <w:szCs w:val="26"/>
              </w:rPr>
            </w:pPr>
            <w:r w:rsidRPr="006A631A">
              <w:rPr>
                <w:color w:val="000000"/>
                <w:sz w:val="26"/>
                <w:szCs w:val="26"/>
              </w:rPr>
              <w:t>50</w:t>
            </w:r>
          </w:p>
        </w:tc>
        <w:tc>
          <w:tcPr>
            <w:tcW w:w="1723" w:type="dxa"/>
            <w:tcBorders>
              <w:top w:val="single" w:sz="5" w:space="0" w:color="000000"/>
              <w:left w:val="single" w:sz="5" w:space="0" w:color="000000"/>
              <w:bottom w:val="single" w:sz="5" w:space="0" w:color="000000"/>
              <w:right w:val="single" w:sz="5" w:space="0" w:color="000000"/>
            </w:tcBorders>
            <w:vAlign w:val="center"/>
          </w:tcPr>
          <w:p w14:paraId="6ACE6A4A" w14:textId="77777777" w:rsidR="00D22018" w:rsidRPr="006A631A" w:rsidRDefault="00D22018" w:rsidP="007F7F98">
            <w:pPr>
              <w:widowControl/>
              <w:spacing w:before="81" w:after="50" w:line="267" w:lineRule="exact"/>
              <w:jc w:val="center"/>
              <w:textAlignment w:val="baseline"/>
              <w:rPr>
                <w:color w:val="000000"/>
                <w:sz w:val="26"/>
                <w:szCs w:val="26"/>
              </w:rPr>
            </w:pPr>
            <w:r w:rsidRPr="006A631A">
              <w:rPr>
                <w:color w:val="000000"/>
                <w:sz w:val="26"/>
                <w:szCs w:val="26"/>
              </w:rPr>
              <w:t>75</w:t>
            </w:r>
          </w:p>
        </w:tc>
        <w:tc>
          <w:tcPr>
            <w:tcW w:w="1896" w:type="dxa"/>
            <w:tcBorders>
              <w:top w:val="single" w:sz="5" w:space="0" w:color="000000"/>
              <w:left w:val="single" w:sz="5" w:space="0" w:color="000000"/>
              <w:bottom w:val="single" w:sz="5" w:space="0" w:color="000000"/>
              <w:right w:val="single" w:sz="5" w:space="0" w:color="000000"/>
            </w:tcBorders>
            <w:vAlign w:val="center"/>
          </w:tcPr>
          <w:p w14:paraId="0BD0896E" w14:textId="77777777" w:rsidR="00D22018" w:rsidRPr="006A631A" w:rsidRDefault="00D22018" w:rsidP="007F7F98">
            <w:pPr>
              <w:widowControl/>
              <w:spacing w:before="81" w:after="50" w:line="267" w:lineRule="exact"/>
              <w:jc w:val="center"/>
              <w:textAlignment w:val="baseline"/>
              <w:rPr>
                <w:color w:val="000000"/>
                <w:sz w:val="26"/>
                <w:szCs w:val="26"/>
              </w:rPr>
            </w:pPr>
            <w:r w:rsidRPr="006A631A">
              <w:rPr>
                <w:color w:val="000000"/>
                <w:sz w:val="26"/>
                <w:szCs w:val="26"/>
              </w:rPr>
              <w:t>175</w:t>
            </w:r>
          </w:p>
        </w:tc>
      </w:tr>
      <w:tr w:rsidR="00D22018" w:rsidRPr="006A631A" w14:paraId="70A7D997" w14:textId="77777777" w:rsidTr="00D22018">
        <w:trPr>
          <w:trHeight w:hRule="exact" w:val="412"/>
          <w:jc w:val="center"/>
        </w:trPr>
        <w:tc>
          <w:tcPr>
            <w:tcW w:w="1728" w:type="dxa"/>
            <w:tcBorders>
              <w:top w:val="single" w:sz="5" w:space="0" w:color="000000"/>
              <w:left w:val="single" w:sz="5" w:space="0" w:color="000000"/>
              <w:bottom w:val="single" w:sz="5" w:space="0" w:color="000000"/>
              <w:right w:val="single" w:sz="5" w:space="0" w:color="000000"/>
            </w:tcBorders>
            <w:vAlign w:val="center"/>
          </w:tcPr>
          <w:p w14:paraId="3B9549BE" w14:textId="77777777" w:rsidR="00D22018" w:rsidRPr="006A631A" w:rsidRDefault="00D22018" w:rsidP="007F7F98">
            <w:pPr>
              <w:widowControl/>
              <w:spacing w:before="86" w:after="54" w:line="267" w:lineRule="exact"/>
              <w:ind w:left="111"/>
              <w:textAlignment w:val="baseline"/>
              <w:rPr>
                <w:color w:val="000000"/>
                <w:sz w:val="26"/>
                <w:szCs w:val="26"/>
              </w:rPr>
            </w:pPr>
            <w:r w:rsidRPr="006A631A">
              <w:rPr>
                <w:color w:val="000000"/>
                <w:sz w:val="26"/>
                <w:szCs w:val="26"/>
              </w:rPr>
              <w:lastRenderedPageBreak/>
              <w:t>PHA-Rate 8</w:t>
            </w:r>
          </w:p>
        </w:tc>
        <w:tc>
          <w:tcPr>
            <w:tcW w:w="1800" w:type="dxa"/>
            <w:tcBorders>
              <w:top w:val="single" w:sz="5" w:space="0" w:color="000000"/>
              <w:left w:val="single" w:sz="5" w:space="0" w:color="000000"/>
              <w:bottom w:val="single" w:sz="5" w:space="0" w:color="000000"/>
              <w:right w:val="single" w:sz="5" w:space="0" w:color="000000"/>
            </w:tcBorders>
            <w:vAlign w:val="center"/>
          </w:tcPr>
          <w:p w14:paraId="693AC26E" w14:textId="77777777" w:rsidR="00D22018" w:rsidRPr="006A631A" w:rsidRDefault="00D22018" w:rsidP="007F7F98">
            <w:pPr>
              <w:widowControl/>
              <w:spacing w:before="86" w:after="54" w:line="267" w:lineRule="exact"/>
              <w:jc w:val="center"/>
              <w:textAlignment w:val="baseline"/>
              <w:rPr>
                <w:color w:val="000000"/>
                <w:sz w:val="26"/>
                <w:szCs w:val="26"/>
              </w:rPr>
            </w:pPr>
            <w:r w:rsidRPr="006A631A">
              <w:rPr>
                <w:color w:val="000000"/>
                <w:sz w:val="26"/>
                <w:szCs w:val="26"/>
              </w:rPr>
              <w:t>64</w:t>
            </w:r>
          </w:p>
        </w:tc>
        <w:tc>
          <w:tcPr>
            <w:tcW w:w="1882" w:type="dxa"/>
            <w:tcBorders>
              <w:top w:val="single" w:sz="5" w:space="0" w:color="000000"/>
              <w:left w:val="single" w:sz="5" w:space="0" w:color="000000"/>
              <w:bottom w:val="single" w:sz="5" w:space="0" w:color="000000"/>
              <w:right w:val="single" w:sz="5" w:space="0" w:color="000000"/>
            </w:tcBorders>
            <w:vAlign w:val="center"/>
          </w:tcPr>
          <w:p w14:paraId="0E41EFF3" w14:textId="77777777" w:rsidR="00D22018" w:rsidRPr="006A631A" w:rsidRDefault="00D22018" w:rsidP="007F7F98">
            <w:pPr>
              <w:widowControl/>
              <w:spacing w:before="86" w:after="54" w:line="267" w:lineRule="exact"/>
              <w:jc w:val="center"/>
              <w:textAlignment w:val="baseline"/>
              <w:rPr>
                <w:color w:val="000000"/>
                <w:sz w:val="26"/>
                <w:szCs w:val="26"/>
              </w:rPr>
            </w:pPr>
            <w:r w:rsidRPr="006A631A">
              <w:rPr>
                <w:color w:val="000000"/>
                <w:sz w:val="26"/>
                <w:szCs w:val="26"/>
              </w:rPr>
              <w:t>64</w:t>
            </w:r>
          </w:p>
        </w:tc>
        <w:tc>
          <w:tcPr>
            <w:tcW w:w="1723" w:type="dxa"/>
            <w:tcBorders>
              <w:top w:val="single" w:sz="5" w:space="0" w:color="000000"/>
              <w:left w:val="single" w:sz="5" w:space="0" w:color="000000"/>
              <w:bottom w:val="single" w:sz="5" w:space="0" w:color="000000"/>
              <w:right w:val="single" w:sz="5" w:space="0" w:color="000000"/>
            </w:tcBorders>
            <w:vAlign w:val="center"/>
          </w:tcPr>
          <w:p w14:paraId="129EE5AB" w14:textId="77777777" w:rsidR="00D22018" w:rsidRPr="006A631A" w:rsidRDefault="00D22018" w:rsidP="007F7F98">
            <w:pPr>
              <w:widowControl/>
              <w:spacing w:before="86" w:after="54" w:line="267" w:lineRule="exact"/>
              <w:jc w:val="center"/>
              <w:textAlignment w:val="baseline"/>
              <w:rPr>
                <w:color w:val="000000"/>
                <w:sz w:val="26"/>
                <w:szCs w:val="26"/>
              </w:rPr>
            </w:pPr>
            <w:r w:rsidRPr="006A631A">
              <w:rPr>
                <w:color w:val="000000"/>
                <w:sz w:val="26"/>
                <w:szCs w:val="26"/>
              </w:rPr>
              <w:t>96</w:t>
            </w:r>
          </w:p>
        </w:tc>
        <w:tc>
          <w:tcPr>
            <w:tcW w:w="1896" w:type="dxa"/>
            <w:tcBorders>
              <w:top w:val="single" w:sz="5" w:space="0" w:color="000000"/>
              <w:left w:val="single" w:sz="5" w:space="0" w:color="000000"/>
              <w:bottom w:val="single" w:sz="5" w:space="0" w:color="000000"/>
              <w:right w:val="single" w:sz="5" w:space="0" w:color="000000"/>
            </w:tcBorders>
            <w:vAlign w:val="center"/>
          </w:tcPr>
          <w:p w14:paraId="74DD80EC" w14:textId="77777777" w:rsidR="00D22018" w:rsidRPr="006A631A" w:rsidRDefault="00D22018" w:rsidP="007F7F98">
            <w:pPr>
              <w:widowControl/>
              <w:spacing w:before="86" w:after="54" w:line="267" w:lineRule="exact"/>
              <w:jc w:val="center"/>
              <w:textAlignment w:val="baseline"/>
              <w:rPr>
                <w:color w:val="000000"/>
                <w:sz w:val="26"/>
                <w:szCs w:val="26"/>
              </w:rPr>
            </w:pPr>
            <w:r w:rsidRPr="006A631A">
              <w:rPr>
                <w:color w:val="000000"/>
                <w:sz w:val="26"/>
                <w:szCs w:val="26"/>
              </w:rPr>
              <w:t>225</w:t>
            </w:r>
          </w:p>
        </w:tc>
      </w:tr>
      <w:tr w:rsidR="00D22018" w:rsidRPr="006A631A" w14:paraId="114CB27E" w14:textId="77777777" w:rsidTr="00D22018">
        <w:trPr>
          <w:trHeight w:hRule="exact" w:val="413"/>
          <w:jc w:val="center"/>
        </w:trPr>
        <w:tc>
          <w:tcPr>
            <w:tcW w:w="1728" w:type="dxa"/>
            <w:tcBorders>
              <w:top w:val="single" w:sz="5" w:space="0" w:color="000000"/>
              <w:left w:val="single" w:sz="5" w:space="0" w:color="000000"/>
              <w:bottom w:val="single" w:sz="5" w:space="0" w:color="000000"/>
              <w:right w:val="single" w:sz="5" w:space="0" w:color="000000"/>
            </w:tcBorders>
            <w:vAlign w:val="center"/>
          </w:tcPr>
          <w:p w14:paraId="7253596F" w14:textId="77777777" w:rsidR="00D22018" w:rsidRPr="006A631A" w:rsidRDefault="00D22018" w:rsidP="007F7F98">
            <w:pPr>
              <w:widowControl/>
              <w:spacing w:before="87" w:after="44" w:line="267" w:lineRule="exact"/>
              <w:ind w:left="111"/>
              <w:textAlignment w:val="baseline"/>
              <w:rPr>
                <w:color w:val="000000"/>
                <w:sz w:val="26"/>
                <w:szCs w:val="26"/>
              </w:rPr>
            </w:pPr>
            <w:r w:rsidRPr="006A631A">
              <w:rPr>
                <w:color w:val="000000"/>
                <w:sz w:val="26"/>
                <w:szCs w:val="26"/>
              </w:rPr>
              <w:t>NGVS</w:t>
            </w:r>
          </w:p>
        </w:tc>
        <w:tc>
          <w:tcPr>
            <w:tcW w:w="1800" w:type="dxa"/>
            <w:tcBorders>
              <w:top w:val="single" w:sz="5" w:space="0" w:color="000000"/>
              <w:left w:val="single" w:sz="5" w:space="0" w:color="000000"/>
              <w:bottom w:val="single" w:sz="5" w:space="0" w:color="000000"/>
              <w:right w:val="single" w:sz="5" w:space="0" w:color="000000"/>
            </w:tcBorders>
            <w:vAlign w:val="center"/>
          </w:tcPr>
          <w:p w14:paraId="029AE09A" w14:textId="77777777" w:rsidR="00D22018" w:rsidRPr="006A631A" w:rsidRDefault="00D22018" w:rsidP="007F7F98">
            <w:pPr>
              <w:widowControl/>
              <w:spacing w:before="87" w:after="44" w:line="267" w:lineRule="exact"/>
              <w:jc w:val="center"/>
              <w:textAlignment w:val="baseline"/>
              <w:rPr>
                <w:color w:val="000000"/>
                <w:sz w:val="26"/>
                <w:szCs w:val="26"/>
              </w:rPr>
            </w:pPr>
            <w:r w:rsidRPr="006A631A">
              <w:rPr>
                <w:color w:val="000000"/>
                <w:sz w:val="26"/>
                <w:szCs w:val="26"/>
              </w:rPr>
              <w:t>0</w:t>
            </w:r>
          </w:p>
        </w:tc>
        <w:tc>
          <w:tcPr>
            <w:tcW w:w="1882" w:type="dxa"/>
            <w:tcBorders>
              <w:top w:val="single" w:sz="5" w:space="0" w:color="000000"/>
              <w:left w:val="single" w:sz="5" w:space="0" w:color="000000"/>
              <w:bottom w:val="single" w:sz="5" w:space="0" w:color="000000"/>
              <w:right w:val="single" w:sz="5" w:space="0" w:color="000000"/>
            </w:tcBorders>
            <w:vAlign w:val="center"/>
          </w:tcPr>
          <w:p w14:paraId="0AA72F5E" w14:textId="77777777" w:rsidR="00D22018" w:rsidRPr="006A631A" w:rsidRDefault="00D22018" w:rsidP="007F7F98">
            <w:pPr>
              <w:widowControl/>
              <w:spacing w:before="87" w:after="44" w:line="267" w:lineRule="exact"/>
              <w:jc w:val="center"/>
              <w:textAlignment w:val="baseline"/>
              <w:rPr>
                <w:color w:val="000000"/>
                <w:sz w:val="26"/>
                <w:szCs w:val="26"/>
              </w:rPr>
            </w:pPr>
            <w:r w:rsidRPr="006A631A">
              <w:rPr>
                <w:color w:val="000000"/>
                <w:sz w:val="26"/>
                <w:szCs w:val="26"/>
              </w:rPr>
              <w:t>0</w:t>
            </w:r>
          </w:p>
        </w:tc>
        <w:tc>
          <w:tcPr>
            <w:tcW w:w="1723" w:type="dxa"/>
            <w:tcBorders>
              <w:top w:val="single" w:sz="5" w:space="0" w:color="000000"/>
              <w:left w:val="single" w:sz="5" w:space="0" w:color="000000"/>
              <w:bottom w:val="single" w:sz="5" w:space="0" w:color="000000"/>
              <w:right w:val="single" w:sz="5" w:space="0" w:color="000000"/>
            </w:tcBorders>
            <w:vAlign w:val="center"/>
          </w:tcPr>
          <w:p w14:paraId="4AD0DE33" w14:textId="77777777" w:rsidR="00D22018" w:rsidRPr="006A631A" w:rsidRDefault="00D22018" w:rsidP="007F7F98">
            <w:pPr>
              <w:widowControl/>
              <w:spacing w:before="87" w:after="44" w:line="267" w:lineRule="exact"/>
              <w:jc w:val="center"/>
              <w:textAlignment w:val="baseline"/>
              <w:rPr>
                <w:color w:val="000000"/>
                <w:sz w:val="26"/>
                <w:szCs w:val="26"/>
              </w:rPr>
            </w:pPr>
            <w:r w:rsidRPr="006A631A">
              <w:rPr>
                <w:color w:val="000000"/>
                <w:sz w:val="26"/>
                <w:szCs w:val="26"/>
              </w:rPr>
              <w:t>0</w:t>
            </w:r>
          </w:p>
        </w:tc>
        <w:tc>
          <w:tcPr>
            <w:tcW w:w="1896" w:type="dxa"/>
            <w:tcBorders>
              <w:top w:val="single" w:sz="5" w:space="0" w:color="000000"/>
              <w:left w:val="single" w:sz="5" w:space="0" w:color="000000"/>
              <w:bottom w:val="single" w:sz="5" w:space="0" w:color="000000"/>
              <w:right w:val="single" w:sz="5" w:space="0" w:color="000000"/>
            </w:tcBorders>
            <w:vAlign w:val="center"/>
          </w:tcPr>
          <w:p w14:paraId="49E92C13" w14:textId="77777777" w:rsidR="00D22018" w:rsidRPr="006A631A" w:rsidRDefault="00D22018" w:rsidP="007F7F98">
            <w:pPr>
              <w:widowControl/>
              <w:spacing w:before="87" w:after="44" w:line="267" w:lineRule="exact"/>
              <w:jc w:val="center"/>
              <w:textAlignment w:val="baseline"/>
              <w:rPr>
                <w:color w:val="000000"/>
                <w:sz w:val="26"/>
                <w:szCs w:val="26"/>
              </w:rPr>
            </w:pPr>
            <w:r w:rsidRPr="006A631A">
              <w:rPr>
                <w:color w:val="000000"/>
                <w:sz w:val="26"/>
                <w:szCs w:val="26"/>
              </w:rPr>
              <w:t>0</w:t>
            </w:r>
          </w:p>
        </w:tc>
      </w:tr>
      <w:tr w:rsidR="00D22018" w:rsidRPr="006A631A" w14:paraId="650E0085" w14:textId="77777777" w:rsidTr="00D22018">
        <w:trPr>
          <w:trHeight w:hRule="exact" w:val="418"/>
          <w:jc w:val="center"/>
        </w:trPr>
        <w:tc>
          <w:tcPr>
            <w:tcW w:w="1728" w:type="dxa"/>
            <w:tcBorders>
              <w:top w:val="single" w:sz="5" w:space="0" w:color="000000"/>
              <w:left w:val="single" w:sz="5" w:space="0" w:color="000000"/>
              <w:bottom w:val="single" w:sz="5" w:space="0" w:color="000000"/>
              <w:right w:val="single" w:sz="5" w:space="0" w:color="000000"/>
            </w:tcBorders>
            <w:vAlign w:val="center"/>
          </w:tcPr>
          <w:p w14:paraId="46683A3B" w14:textId="77777777" w:rsidR="00D22018" w:rsidRPr="006A631A" w:rsidRDefault="00D22018" w:rsidP="007F7F98">
            <w:pPr>
              <w:widowControl/>
              <w:spacing w:before="82" w:after="68" w:line="267" w:lineRule="exact"/>
              <w:ind w:left="111"/>
              <w:textAlignment w:val="baseline"/>
              <w:rPr>
                <w:color w:val="000000"/>
                <w:sz w:val="26"/>
                <w:szCs w:val="26"/>
              </w:rPr>
            </w:pPr>
            <w:r w:rsidRPr="006A631A">
              <w:rPr>
                <w:color w:val="000000"/>
                <w:sz w:val="26"/>
                <w:szCs w:val="26"/>
              </w:rPr>
              <w:t>Rate IT</w:t>
            </w:r>
          </w:p>
        </w:tc>
        <w:tc>
          <w:tcPr>
            <w:tcW w:w="1800" w:type="dxa"/>
            <w:tcBorders>
              <w:top w:val="single" w:sz="5" w:space="0" w:color="000000"/>
              <w:left w:val="single" w:sz="5" w:space="0" w:color="000000"/>
              <w:bottom w:val="single" w:sz="5" w:space="0" w:color="000000"/>
              <w:right w:val="single" w:sz="5" w:space="0" w:color="000000"/>
            </w:tcBorders>
            <w:vAlign w:val="center"/>
          </w:tcPr>
          <w:p w14:paraId="278EB497" w14:textId="77777777" w:rsidR="00D22018" w:rsidRPr="006A631A" w:rsidRDefault="00D22018" w:rsidP="007F7F98">
            <w:pPr>
              <w:widowControl/>
              <w:spacing w:before="82" w:after="68" w:line="267" w:lineRule="exact"/>
              <w:jc w:val="center"/>
              <w:textAlignment w:val="baseline"/>
              <w:rPr>
                <w:color w:val="000000"/>
                <w:sz w:val="26"/>
                <w:szCs w:val="26"/>
              </w:rPr>
            </w:pPr>
            <w:r w:rsidRPr="006A631A">
              <w:rPr>
                <w:color w:val="000000"/>
                <w:sz w:val="26"/>
                <w:szCs w:val="26"/>
              </w:rPr>
              <w:t>628</w:t>
            </w:r>
          </w:p>
        </w:tc>
        <w:tc>
          <w:tcPr>
            <w:tcW w:w="1882" w:type="dxa"/>
            <w:tcBorders>
              <w:top w:val="single" w:sz="5" w:space="0" w:color="000000"/>
              <w:left w:val="single" w:sz="5" w:space="0" w:color="000000"/>
              <w:bottom w:val="single" w:sz="5" w:space="0" w:color="000000"/>
              <w:right w:val="single" w:sz="5" w:space="0" w:color="000000"/>
            </w:tcBorders>
            <w:vAlign w:val="center"/>
          </w:tcPr>
          <w:p w14:paraId="28B2BF73" w14:textId="77777777" w:rsidR="00D22018" w:rsidRPr="006A631A" w:rsidRDefault="00D22018" w:rsidP="007F7F98">
            <w:pPr>
              <w:widowControl/>
              <w:spacing w:before="82" w:after="68" w:line="267" w:lineRule="exact"/>
              <w:jc w:val="center"/>
              <w:textAlignment w:val="baseline"/>
              <w:rPr>
                <w:color w:val="000000"/>
                <w:sz w:val="26"/>
                <w:szCs w:val="26"/>
              </w:rPr>
            </w:pPr>
            <w:r w:rsidRPr="006A631A">
              <w:rPr>
                <w:color w:val="000000"/>
                <w:sz w:val="26"/>
                <w:szCs w:val="26"/>
              </w:rPr>
              <w:t>628</w:t>
            </w:r>
          </w:p>
        </w:tc>
        <w:tc>
          <w:tcPr>
            <w:tcW w:w="1723" w:type="dxa"/>
            <w:tcBorders>
              <w:top w:val="single" w:sz="5" w:space="0" w:color="000000"/>
              <w:left w:val="single" w:sz="5" w:space="0" w:color="000000"/>
              <w:bottom w:val="single" w:sz="5" w:space="0" w:color="000000"/>
              <w:right w:val="single" w:sz="5" w:space="0" w:color="000000"/>
            </w:tcBorders>
            <w:vAlign w:val="center"/>
          </w:tcPr>
          <w:p w14:paraId="6C677A43" w14:textId="77777777" w:rsidR="00D22018" w:rsidRPr="006A631A" w:rsidRDefault="00D22018" w:rsidP="007F7F98">
            <w:pPr>
              <w:widowControl/>
              <w:spacing w:before="82" w:after="68" w:line="267" w:lineRule="exact"/>
              <w:jc w:val="center"/>
              <w:textAlignment w:val="baseline"/>
              <w:rPr>
                <w:color w:val="000000"/>
                <w:sz w:val="26"/>
                <w:szCs w:val="26"/>
              </w:rPr>
            </w:pPr>
            <w:r w:rsidRPr="006A631A">
              <w:rPr>
                <w:color w:val="000000"/>
                <w:sz w:val="26"/>
                <w:szCs w:val="26"/>
              </w:rPr>
              <w:t>943</w:t>
            </w:r>
          </w:p>
        </w:tc>
        <w:tc>
          <w:tcPr>
            <w:tcW w:w="1896" w:type="dxa"/>
            <w:tcBorders>
              <w:top w:val="single" w:sz="5" w:space="0" w:color="000000"/>
              <w:left w:val="single" w:sz="5" w:space="0" w:color="000000"/>
              <w:bottom w:val="single" w:sz="5" w:space="0" w:color="000000"/>
              <w:right w:val="single" w:sz="5" w:space="0" w:color="000000"/>
            </w:tcBorders>
            <w:vAlign w:val="center"/>
          </w:tcPr>
          <w:p w14:paraId="58CA5439" w14:textId="77777777" w:rsidR="00D22018" w:rsidRPr="006A631A" w:rsidRDefault="00D22018" w:rsidP="007F7F98">
            <w:pPr>
              <w:widowControl/>
              <w:spacing w:before="82" w:after="68" w:line="267" w:lineRule="exact"/>
              <w:jc w:val="center"/>
              <w:textAlignment w:val="baseline"/>
              <w:rPr>
                <w:color w:val="000000"/>
                <w:sz w:val="26"/>
                <w:szCs w:val="26"/>
              </w:rPr>
            </w:pPr>
            <w:r w:rsidRPr="006A631A">
              <w:rPr>
                <w:color w:val="000000"/>
                <w:sz w:val="26"/>
                <w:szCs w:val="26"/>
              </w:rPr>
              <w:t>2,199</w:t>
            </w:r>
          </w:p>
        </w:tc>
      </w:tr>
    </w:tbl>
    <w:p w14:paraId="059F9DBA" w14:textId="77777777" w:rsidR="0007712F" w:rsidRPr="006A631A" w:rsidRDefault="0007712F" w:rsidP="00F510B9">
      <w:pPr>
        <w:widowControl/>
        <w:ind w:left="1440" w:right="1440"/>
        <w:rPr>
          <w:iCs/>
          <w:sz w:val="26"/>
          <w:szCs w:val="26"/>
        </w:rPr>
      </w:pPr>
    </w:p>
    <w:p w14:paraId="29E06F78" w14:textId="19DCC8C3" w:rsidR="0007712F" w:rsidRPr="006A631A" w:rsidRDefault="00D22018" w:rsidP="00F510B9">
      <w:pPr>
        <w:pStyle w:val="ListParagraph"/>
        <w:widowControl/>
        <w:ind w:left="1440" w:right="1440"/>
        <w:rPr>
          <w:i/>
          <w:sz w:val="26"/>
          <w:szCs w:val="26"/>
        </w:rPr>
      </w:pPr>
      <w:r w:rsidRPr="006A631A">
        <w:rPr>
          <w:i/>
          <w:sz w:val="26"/>
          <w:szCs w:val="26"/>
        </w:rPr>
        <w:t>Customer Charges</w:t>
      </w:r>
    </w:p>
    <w:p w14:paraId="17257EAF" w14:textId="77777777" w:rsidR="00D22018" w:rsidRPr="006A631A" w:rsidRDefault="00D22018" w:rsidP="00F510B9">
      <w:pPr>
        <w:pStyle w:val="ListParagraph"/>
        <w:widowControl/>
        <w:ind w:left="2160" w:right="1440"/>
        <w:rPr>
          <w:b/>
          <w:bCs/>
          <w:iCs/>
          <w:sz w:val="26"/>
          <w:szCs w:val="26"/>
        </w:rPr>
      </w:pPr>
    </w:p>
    <w:p w14:paraId="6F62652E" w14:textId="7B7CE1B3" w:rsidR="0007712F" w:rsidRPr="006A631A" w:rsidRDefault="00D22018" w:rsidP="00F510B9">
      <w:pPr>
        <w:widowControl/>
        <w:ind w:left="1440" w:right="1440"/>
        <w:jc w:val="both"/>
        <w:rPr>
          <w:iCs/>
          <w:sz w:val="26"/>
          <w:szCs w:val="26"/>
        </w:rPr>
      </w:pPr>
      <w:bookmarkStart w:id="24" w:name="_Hlk54183463"/>
      <w:r w:rsidRPr="006A631A">
        <w:rPr>
          <w:iCs/>
          <w:sz w:val="26"/>
          <w:szCs w:val="26"/>
        </w:rPr>
        <w:t>24.</w:t>
      </w:r>
      <w:r w:rsidRPr="006A631A">
        <w:rPr>
          <w:iCs/>
          <w:sz w:val="26"/>
          <w:szCs w:val="26"/>
        </w:rPr>
        <w:tab/>
        <w:t xml:space="preserve">The Joint Petitioners agree to the following customer </w:t>
      </w:r>
      <w:bookmarkEnd w:id="24"/>
      <w:r w:rsidRPr="006A631A">
        <w:rPr>
          <w:iCs/>
          <w:sz w:val="26"/>
          <w:szCs w:val="26"/>
        </w:rPr>
        <w:t>charges:</w:t>
      </w:r>
    </w:p>
    <w:p w14:paraId="00EB88E4" w14:textId="159E2D1C" w:rsidR="00D22018" w:rsidRPr="006A631A" w:rsidRDefault="00D22018" w:rsidP="003B6168">
      <w:pPr>
        <w:widowControl/>
        <w:spacing w:line="360" w:lineRule="auto"/>
        <w:ind w:left="1440"/>
        <w:jc w:val="both"/>
        <w:rPr>
          <w:iCs/>
          <w:sz w:val="26"/>
          <w:szCs w:val="26"/>
        </w:rPr>
      </w:pPr>
    </w:p>
    <w:tbl>
      <w:tblPr>
        <w:tblW w:w="9198" w:type="dxa"/>
        <w:jc w:val="center"/>
        <w:tblLayout w:type="fixed"/>
        <w:tblCellMar>
          <w:left w:w="0" w:type="dxa"/>
          <w:right w:w="0" w:type="dxa"/>
        </w:tblCellMar>
        <w:tblLook w:val="04A0" w:firstRow="1" w:lastRow="0" w:firstColumn="1" w:lastColumn="0" w:noHBand="0" w:noVBand="1"/>
      </w:tblPr>
      <w:tblGrid>
        <w:gridCol w:w="1615"/>
        <w:gridCol w:w="1176"/>
        <w:gridCol w:w="965"/>
        <w:gridCol w:w="672"/>
        <w:gridCol w:w="900"/>
        <w:gridCol w:w="540"/>
        <w:gridCol w:w="900"/>
        <w:gridCol w:w="730"/>
        <w:gridCol w:w="1250"/>
        <w:gridCol w:w="450"/>
      </w:tblGrid>
      <w:tr w:rsidR="00D22018" w:rsidRPr="006A631A" w14:paraId="786EB6FC" w14:textId="77777777" w:rsidTr="000E6608">
        <w:trPr>
          <w:trHeight w:hRule="exact" w:val="283"/>
          <w:jc w:val="center"/>
        </w:trPr>
        <w:tc>
          <w:tcPr>
            <w:tcW w:w="1615" w:type="dxa"/>
            <w:vMerge w:val="restart"/>
            <w:tcBorders>
              <w:top w:val="single" w:sz="4" w:space="0" w:color="auto"/>
              <w:left w:val="single" w:sz="4" w:space="0" w:color="auto"/>
              <w:right w:val="single" w:sz="4" w:space="0" w:color="auto"/>
            </w:tcBorders>
            <w:vAlign w:val="bottom"/>
          </w:tcPr>
          <w:p w14:paraId="14CF1012" w14:textId="77777777" w:rsidR="00D22018" w:rsidRPr="006A631A" w:rsidRDefault="00D22018" w:rsidP="00F510B9">
            <w:pPr>
              <w:widowControl/>
              <w:spacing w:before="651" w:line="203" w:lineRule="exact"/>
              <w:jc w:val="center"/>
              <w:textAlignment w:val="baseline"/>
              <w:rPr>
                <w:b/>
                <w:color w:val="000000"/>
                <w:sz w:val="26"/>
                <w:szCs w:val="26"/>
                <w:u w:val="single"/>
              </w:rPr>
            </w:pPr>
            <w:r w:rsidRPr="006A631A">
              <w:rPr>
                <w:b/>
                <w:color w:val="000000"/>
                <w:sz w:val="26"/>
                <w:szCs w:val="26"/>
                <w:u w:val="single"/>
              </w:rPr>
              <w:t>Customer</w:t>
            </w:r>
          </w:p>
        </w:tc>
        <w:tc>
          <w:tcPr>
            <w:tcW w:w="1176" w:type="dxa"/>
            <w:vMerge w:val="restart"/>
            <w:tcBorders>
              <w:top w:val="single" w:sz="4" w:space="0" w:color="auto"/>
              <w:left w:val="single" w:sz="4" w:space="0" w:color="auto"/>
              <w:right w:val="single" w:sz="4" w:space="0" w:color="auto"/>
            </w:tcBorders>
            <w:vAlign w:val="bottom"/>
          </w:tcPr>
          <w:p w14:paraId="66A83AE2" w14:textId="77777777" w:rsidR="00D22018" w:rsidRPr="006A631A" w:rsidRDefault="00D22018" w:rsidP="00F510B9">
            <w:pPr>
              <w:widowControl/>
              <w:spacing w:before="368" w:line="198" w:lineRule="exact"/>
              <w:jc w:val="center"/>
              <w:textAlignment w:val="baseline"/>
              <w:rPr>
                <w:b/>
                <w:color w:val="000000"/>
                <w:sz w:val="26"/>
                <w:szCs w:val="26"/>
              </w:rPr>
            </w:pPr>
            <w:r w:rsidRPr="006A631A">
              <w:rPr>
                <w:b/>
                <w:color w:val="000000"/>
                <w:sz w:val="26"/>
                <w:szCs w:val="26"/>
              </w:rPr>
              <w:t>Present</w:t>
            </w:r>
          </w:p>
        </w:tc>
        <w:tc>
          <w:tcPr>
            <w:tcW w:w="965" w:type="dxa"/>
            <w:vMerge w:val="restart"/>
            <w:tcBorders>
              <w:top w:val="single" w:sz="4" w:space="0" w:color="auto"/>
              <w:left w:val="single" w:sz="4" w:space="0" w:color="auto"/>
            </w:tcBorders>
            <w:vAlign w:val="bottom"/>
          </w:tcPr>
          <w:p w14:paraId="5EE7E0B8" w14:textId="77777777" w:rsidR="00D22018" w:rsidRPr="006A631A" w:rsidRDefault="00D22018" w:rsidP="00F510B9">
            <w:pPr>
              <w:widowControl/>
              <w:spacing w:before="368" w:line="198" w:lineRule="exact"/>
              <w:jc w:val="center"/>
              <w:textAlignment w:val="baseline"/>
              <w:rPr>
                <w:b/>
                <w:color w:val="000000"/>
                <w:sz w:val="26"/>
                <w:szCs w:val="26"/>
              </w:rPr>
            </w:pPr>
            <w:r w:rsidRPr="006A631A">
              <w:rPr>
                <w:b/>
                <w:color w:val="000000"/>
                <w:sz w:val="26"/>
                <w:szCs w:val="26"/>
              </w:rPr>
              <w:t>Increase</w:t>
            </w:r>
          </w:p>
        </w:tc>
        <w:tc>
          <w:tcPr>
            <w:tcW w:w="672" w:type="dxa"/>
            <w:vMerge w:val="restart"/>
            <w:tcBorders>
              <w:top w:val="single" w:sz="4" w:space="0" w:color="auto"/>
              <w:right w:val="single" w:sz="4" w:space="0" w:color="auto"/>
            </w:tcBorders>
          </w:tcPr>
          <w:p w14:paraId="00A4CCE9"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900" w:type="dxa"/>
            <w:vMerge w:val="restart"/>
            <w:tcBorders>
              <w:top w:val="single" w:sz="4" w:space="0" w:color="auto"/>
              <w:left w:val="single" w:sz="4" w:space="0" w:color="auto"/>
            </w:tcBorders>
            <w:vAlign w:val="bottom"/>
          </w:tcPr>
          <w:p w14:paraId="4D55C6DC" w14:textId="77777777" w:rsidR="00D22018" w:rsidRPr="006A631A" w:rsidRDefault="00D22018" w:rsidP="00F510B9">
            <w:pPr>
              <w:widowControl/>
              <w:spacing w:before="368" w:line="198" w:lineRule="exact"/>
              <w:jc w:val="center"/>
              <w:textAlignment w:val="baseline"/>
              <w:rPr>
                <w:b/>
                <w:color w:val="000000"/>
                <w:sz w:val="26"/>
                <w:szCs w:val="26"/>
              </w:rPr>
            </w:pPr>
            <w:r w:rsidRPr="006A631A">
              <w:rPr>
                <w:b/>
                <w:color w:val="000000"/>
                <w:sz w:val="26"/>
                <w:szCs w:val="26"/>
              </w:rPr>
              <w:t>Increase</w:t>
            </w:r>
          </w:p>
        </w:tc>
        <w:tc>
          <w:tcPr>
            <w:tcW w:w="540" w:type="dxa"/>
            <w:vMerge w:val="restart"/>
            <w:tcBorders>
              <w:top w:val="single" w:sz="4" w:space="0" w:color="auto"/>
              <w:right w:val="single" w:sz="4" w:space="0" w:color="auto"/>
            </w:tcBorders>
          </w:tcPr>
          <w:p w14:paraId="6EBAB2F2"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900" w:type="dxa"/>
            <w:vMerge w:val="restart"/>
            <w:tcBorders>
              <w:top w:val="single" w:sz="4" w:space="0" w:color="auto"/>
              <w:left w:val="single" w:sz="4" w:space="0" w:color="auto"/>
            </w:tcBorders>
            <w:vAlign w:val="bottom"/>
          </w:tcPr>
          <w:p w14:paraId="0B6FEF18" w14:textId="77777777" w:rsidR="00D22018" w:rsidRPr="006A631A" w:rsidRDefault="00D22018" w:rsidP="00F510B9">
            <w:pPr>
              <w:widowControl/>
              <w:spacing w:before="368" w:line="198" w:lineRule="exact"/>
              <w:jc w:val="center"/>
              <w:textAlignment w:val="baseline"/>
              <w:rPr>
                <w:b/>
                <w:color w:val="000000"/>
                <w:sz w:val="26"/>
                <w:szCs w:val="26"/>
              </w:rPr>
            </w:pPr>
            <w:r w:rsidRPr="006A631A">
              <w:rPr>
                <w:b/>
                <w:color w:val="000000"/>
                <w:sz w:val="26"/>
                <w:szCs w:val="26"/>
              </w:rPr>
              <w:t>Increase</w:t>
            </w:r>
          </w:p>
        </w:tc>
        <w:tc>
          <w:tcPr>
            <w:tcW w:w="730" w:type="dxa"/>
            <w:vMerge w:val="restart"/>
            <w:tcBorders>
              <w:top w:val="single" w:sz="4" w:space="0" w:color="auto"/>
              <w:right w:val="single" w:sz="4" w:space="0" w:color="auto"/>
            </w:tcBorders>
          </w:tcPr>
          <w:p w14:paraId="603424E3"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1250" w:type="dxa"/>
            <w:tcBorders>
              <w:top w:val="single" w:sz="4" w:space="0" w:color="auto"/>
              <w:left w:val="single" w:sz="4" w:space="0" w:color="auto"/>
            </w:tcBorders>
            <w:vAlign w:val="center"/>
          </w:tcPr>
          <w:p w14:paraId="4B780902" w14:textId="77777777" w:rsidR="00D22018" w:rsidRPr="006A631A" w:rsidRDefault="00D22018" w:rsidP="00F510B9">
            <w:pPr>
              <w:widowControl/>
              <w:spacing w:before="80" w:line="198" w:lineRule="exact"/>
              <w:jc w:val="center"/>
              <w:textAlignment w:val="baseline"/>
              <w:rPr>
                <w:b/>
                <w:color w:val="000000"/>
                <w:sz w:val="26"/>
                <w:szCs w:val="26"/>
              </w:rPr>
            </w:pPr>
            <w:r w:rsidRPr="006A631A">
              <w:rPr>
                <w:b/>
                <w:color w:val="000000"/>
                <w:sz w:val="26"/>
                <w:szCs w:val="26"/>
              </w:rPr>
              <w:t>Total</w:t>
            </w:r>
          </w:p>
        </w:tc>
        <w:tc>
          <w:tcPr>
            <w:tcW w:w="450" w:type="dxa"/>
            <w:vMerge w:val="restart"/>
            <w:tcBorders>
              <w:top w:val="single" w:sz="4" w:space="0" w:color="auto"/>
              <w:left w:val="nil"/>
              <w:bottom w:val="single" w:sz="0" w:space="0" w:color="000000"/>
              <w:right w:val="single" w:sz="12" w:space="0" w:color="000000"/>
            </w:tcBorders>
          </w:tcPr>
          <w:p w14:paraId="56FE64D2"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r>
      <w:tr w:rsidR="00D22018" w:rsidRPr="006A631A" w14:paraId="2DB07AF5" w14:textId="77777777" w:rsidTr="000E6608">
        <w:trPr>
          <w:trHeight w:hRule="exact" w:val="288"/>
          <w:jc w:val="center"/>
        </w:trPr>
        <w:tc>
          <w:tcPr>
            <w:tcW w:w="1615" w:type="dxa"/>
            <w:vMerge/>
            <w:tcBorders>
              <w:left w:val="single" w:sz="4" w:space="0" w:color="auto"/>
              <w:right w:val="single" w:sz="4" w:space="0" w:color="auto"/>
            </w:tcBorders>
            <w:vAlign w:val="bottom"/>
          </w:tcPr>
          <w:p w14:paraId="4A6ED490" w14:textId="77777777" w:rsidR="00D22018" w:rsidRPr="006A631A" w:rsidRDefault="00D22018" w:rsidP="00F510B9">
            <w:pPr>
              <w:widowControl/>
              <w:rPr>
                <w:sz w:val="26"/>
                <w:szCs w:val="26"/>
                <w:u w:val="single"/>
              </w:rPr>
            </w:pPr>
          </w:p>
        </w:tc>
        <w:tc>
          <w:tcPr>
            <w:tcW w:w="1176" w:type="dxa"/>
            <w:vMerge/>
            <w:tcBorders>
              <w:left w:val="single" w:sz="4" w:space="0" w:color="auto"/>
              <w:right w:val="single" w:sz="4" w:space="0" w:color="auto"/>
            </w:tcBorders>
            <w:vAlign w:val="bottom"/>
          </w:tcPr>
          <w:p w14:paraId="18DD6B43" w14:textId="77777777" w:rsidR="00D22018" w:rsidRPr="006A631A" w:rsidRDefault="00D22018" w:rsidP="00F510B9">
            <w:pPr>
              <w:widowControl/>
              <w:rPr>
                <w:sz w:val="26"/>
                <w:szCs w:val="26"/>
              </w:rPr>
            </w:pPr>
          </w:p>
        </w:tc>
        <w:tc>
          <w:tcPr>
            <w:tcW w:w="965" w:type="dxa"/>
            <w:vMerge/>
            <w:tcBorders>
              <w:left w:val="single" w:sz="4" w:space="0" w:color="auto"/>
            </w:tcBorders>
            <w:vAlign w:val="bottom"/>
          </w:tcPr>
          <w:p w14:paraId="01689FBE" w14:textId="77777777" w:rsidR="00D22018" w:rsidRPr="006A631A" w:rsidRDefault="00D22018" w:rsidP="00F510B9">
            <w:pPr>
              <w:widowControl/>
              <w:rPr>
                <w:sz w:val="26"/>
                <w:szCs w:val="26"/>
              </w:rPr>
            </w:pPr>
          </w:p>
        </w:tc>
        <w:tc>
          <w:tcPr>
            <w:tcW w:w="672" w:type="dxa"/>
            <w:vMerge/>
            <w:tcBorders>
              <w:right w:val="single" w:sz="4" w:space="0" w:color="auto"/>
            </w:tcBorders>
          </w:tcPr>
          <w:p w14:paraId="25C4EA8E" w14:textId="77777777" w:rsidR="00D22018" w:rsidRPr="006A631A" w:rsidRDefault="00D22018" w:rsidP="00F510B9">
            <w:pPr>
              <w:widowControl/>
              <w:rPr>
                <w:sz w:val="26"/>
                <w:szCs w:val="26"/>
              </w:rPr>
            </w:pPr>
          </w:p>
        </w:tc>
        <w:tc>
          <w:tcPr>
            <w:tcW w:w="900" w:type="dxa"/>
            <w:vMerge/>
            <w:tcBorders>
              <w:left w:val="single" w:sz="4" w:space="0" w:color="auto"/>
            </w:tcBorders>
            <w:vAlign w:val="bottom"/>
          </w:tcPr>
          <w:p w14:paraId="0E671BB6" w14:textId="77777777" w:rsidR="00D22018" w:rsidRPr="006A631A" w:rsidRDefault="00D22018" w:rsidP="00F510B9">
            <w:pPr>
              <w:widowControl/>
              <w:rPr>
                <w:sz w:val="26"/>
                <w:szCs w:val="26"/>
              </w:rPr>
            </w:pPr>
          </w:p>
        </w:tc>
        <w:tc>
          <w:tcPr>
            <w:tcW w:w="540" w:type="dxa"/>
            <w:vMerge/>
            <w:tcBorders>
              <w:right w:val="single" w:sz="4" w:space="0" w:color="auto"/>
            </w:tcBorders>
          </w:tcPr>
          <w:p w14:paraId="249ED718" w14:textId="77777777" w:rsidR="00D22018" w:rsidRPr="006A631A" w:rsidRDefault="00D22018" w:rsidP="00F510B9">
            <w:pPr>
              <w:widowControl/>
              <w:rPr>
                <w:sz w:val="26"/>
                <w:szCs w:val="26"/>
              </w:rPr>
            </w:pPr>
          </w:p>
        </w:tc>
        <w:tc>
          <w:tcPr>
            <w:tcW w:w="900" w:type="dxa"/>
            <w:vMerge/>
            <w:tcBorders>
              <w:left w:val="single" w:sz="4" w:space="0" w:color="auto"/>
            </w:tcBorders>
            <w:vAlign w:val="bottom"/>
          </w:tcPr>
          <w:p w14:paraId="7CAE77DD" w14:textId="77777777" w:rsidR="00D22018" w:rsidRPr="006A631A" w:rsidRDefault="00D22018" w:rsidP="00F510B9">
            <w:pPr>
              <w:widowControl/>
              <w:rPr>
                <w:sz w:val="26"/>
                <w:szCs w:val="26"/>
              </w:rPr>
            </w:pPr>
          </w:p>
        </w:tc>
        <w:tc>
          <w:tcPr>
            <w:tcW w:w="730" w:type="dxa"/>
            <w:vMerge/>
            <w:tcBorders>
              <w:right w:val="single" w:sz="4" w:space="0" w:color="auto"/>
            </w:tcBorders>
          </w:tcPr>
          <w:p w14:paraId="4C394E0F" w14:textId="77777777" w:rsidR="00D22018" w:rsidRPr="006A631A" w:rsidRDefault="00D22018" w:rsidP="00F510B9">
            <w:pPr>
              <w:widowControl/>
              <w:rPr>
                <w:sz w:val="26"/>
                <w:szCs w:val="26"/>
              </w:rPr>
            </w:pPr>
          </w:p>
        </w:tc>
        <w:tc>
          <w:tcPr>
            <w:tcW w:w="1250" w:type="dxa"/>
            <w:tcBorders>
              <w:left w:val="single" w:sz="4" w:space="0" w:color="auto"/>
            </w:tcBorders>
            <w:vAlign w:val="center"/>
          </w:tcPr>
          <w:p w14:paraId="4D7485EB" w14:textId="77777777" w:rsidR="00D22018" w:rsidRPr="006A631A" w:rsidRDefault="00D22018" w:rsidP="00F510B9">
            <w:pPr>
              <w:widowControl/>
              <w:spacing w:before="85" w:line="198" w:lineRule="exact"/>
              <w:jc w:val="center"/>
              <w:textAlignment w:val="baseline"/>
              <w:rPr>
                <w:b/>
                <w:color w:val="000000"/>
                <w:sz w:val="26"/>
                <w:szCs w:val="26"/>
              </w:rPr>
            </w:pPr>
            <w:r w:rsidRPr="006A631A">
              <w:rPr>
                <w:b/>
                <w:color w:val="000000"/>
                <w:sz w:val="26"/>
                <w:szCs w:val="26"/>
              </w:rPr>
              <w:t>Cumulative</w:t>
            </w:r>
          </w:p>
        </w:tc>
        <w:tc>
          <w:tcPr>
            <w:tcW w:w="450" w:type="dxa"/>
            <w:vMerge/>
            <w:tcBorders>
              <w:top w:val="single" w:sz="0" w:space="0" w:color="000000"/>
              <w:left w:val="nil"/>
              <w:bottom w:val="single" w:sz="0" w:space="0" w:color="000000"/>
              <w:right w:val="single" w:sz="9" w:space="0" w:color="000000"/>
            </w:tcBorders>
          </w:tcPr>
          <w:p w14:paraId="0A425480" w14:textId="77777777" w:rsidR="00D22018" w:rsidRPr="006A631A" w:rsidRDefault="00D22018" w:rsidP="00F510B9">
            <w:pPr>
              <w:widowControl/>
              <w:rPr>
                <w:sz w:val="26"/>
                <w:szCs w:val="26"/>
              </w:rPr>
            </w:pPr>
          </w:p>
        </w:tc>
      </w:tr>
      <w:tr w:rsidR="00D22018" w:rsidRPr="006A631A" w14:paraId="3C6B2F7A" w14:textId="77777777" w:rsidTr="000E6608">
        <w:trPr>
          <w:trHeight w:hRule="exact" w:val="283"/>
          <w:jc w:val="center"/>
        </w:trPr>
        <w:tc>
          <w:tcPr>
            <w:tcW w:w="1615" w:type="dxa"/>
            <w:vMerge/>
            <w:tcBorders>
              <w:left w:val="single" w:sz="4" w:space="0" w:color="auto"/>
              <w:right w:val="single" w:sz="4" w:space="0" w:color="auto"/>
            </w:tcBorders>
            <w:vAlign w:val="bottom"/>
          </w:tcPr>
          <w:p w14:paraId="6669D547" w14:textId="77777777" w:rsidR="00D22018" w:rsidRPr="006A631A" w:rsidRDefault="00D22018" w:rsidP="00F510B9">
            <w:pPr>
              <w:widowControl/>
              <w:rPr>
                <w:sz w:val="26"/>
                <w:szCs w:val="26"/>
                <w:u w:val="single"/>
              </w:rPr>
            </w:pPr>
          </w:p>
        </w:tc>
        <w:tc>
          <w:tcPr>
            <w:tcW w:w="1176" w:type="dxa"/>
            <w:tcBorders>
              <w:left w:val="single" w:sz="4" w:space="0" w:color="auto"/>
              <w:right w:val="single" w:sz="4" w:space="0" w:color="auto"/>
            </w:tcBorders>
            <w:vAlign w:val="center"/>
          </w:tcPr>
          <w:p w14:paraId="0528018D" w14:textId="77777777" w:rsidR="00D22018" w:rsidRPr="006A631A" w:rsidRDefault="00D22018" w:rsidP="00F510B9">
            <w:pPr>
              <w:widowControl/>
              <w:spacing w:before="80" w:line="203" w:lineRule="exact"/>
              <w:jc w:val="center"/>
              <w:textAlignment w:val="baseline"/>
              <w:rPr>
                <w:b/>
                <w:color w:val="000000"/>
                <w:sz w:val="26"/>
                <w:szCs w:val="26"/>
              </w:rPr>
            </w:pPr>
            <w:r w:rsidRPr="006A631A">
              <w:rPr>
                <w:b/>
                <w:color w:val="000000"/>
                <w:sz w:val="26"/>
                <w:szCs w:val="26"/>
              </w:rPr>
              <w:t>Customer</w:t>
            </w:r>
          </w:p>
        </w:tc>
        <w:tc>
          <w:tcPr>
            <w:tcW w:w="965" w:type="dxa"/>
            <w:tcBorders>
              <w:left w:val="single" w:sz="4" w:space="0" w:color="auto"/>
            </w:tcBorders>
            <w:vAlign w:val="center"/>
          </w:tcPr>
          <w:p w14:paraId="6AD04241" w14:textId="77777777" w:rsidR="00D22018" w:rsidRPr="006A631A" w:rsidRDefault="00D22018" w:rsidP="00F510B9">
            <w:pPr>
              <w:widowControl/>
              <w:spacing w:before="80" w:line="203" w:lineRule="exact"/>
              <w:jc w:val="center"/>
              <w:textAlignment w:val="baseline"/>
              <w:rPr>
                <w:b/>
                <w:color w:val="000000"/>
                <w:sz w:val="26"/>
                <w:szCs w:val="26"/>
              </w:rPr>
            </w:pPr>
            <w:r w:rsidRPr="006A631A">
              <w:rPr>
                <w:b/>
                <w:color w:val="000000"/>
                <w:sz w:val="26"/>
                <w:szCs w:val="26"/>
              </w:rPr>
              <w:t>On</w:t>
            </w:r>
          </w:p>
        </w:tc>
        <w:tc>
          <w:tcPr>
            <w:tcW w:w="672" w:type="dxa"/>
            <w:vMerge/>
            <w:tcBorders>
              <w:right w:val="single" w:sz="4" w:space="0" w:color="auto"/>
            </w:tcBorders>
          </w:tcPr>
          <w:p w14:paraId="528AB51E" w14:textId="77777777" w:rsidR="00D22018" w:rsidRPr="006A631A" w:rsidRDefault="00D22018" w:rsidP="00F510B9">
            <w:pPr>
              <w:widowControl/>
              <w:rPr>
                <w:sz w:val="26"/>
                <w:szCs w:val="26"/>
              </w:rPr>
            </w:pPr>
          </w:p>
        </w:tc>
        <w:tc>
          <w:tcPr>
            <w:tcW w:w="900" w:type="dxa"/>
            <w:tcBorders>
              <w:left w:val="single" w:sz="4" w:space="0" w:color="auto"/>
            </w:tcBorders>
            <w:vAlign w:val="center"/>
          </w:tcPr>
          <w:p w14:paraId="2E532354" w14:textId="77777777" w:rsidR="00D22018" w:rsidRPr="006A631A" w:rsidRDefault="00D22018" w:rsidP="00F510B9">
            <w:pPr>
              <w:widowControl/>
              <w:spacing w:before="80" w:line="203" w:lineRule="exact"/>
              <w:jc w:val="center"/>
              <w:textAlignment w:val="baseline"/>
              <w:rPr>
                <w:b/>
                <w:color w:val="000000"/>
                <w:sz w:val="26"/>
                <w:szCs w:val="26"/>
              </w:rPr>
            </w:pPr>
            <w:r w:rsidRPr="006A631A">
              <w:rPr>
                <w:b/>
                <w:color w:val="000000"/>
                <w:sz w:val="26"/>
                <w:szCs w:val="26"/>
              </w:rPr>
              <w:t>on</w:t>
            </w:r>
          </w:p>
        </w:tc>
        <w:tc>
          <w:tcPr>
            <w:tcW w:w="540" w:type="dxa"/>
            <w:vMerge/>
            <w:tcBorders>
              <w:right w:val="single" w:sz="4" w:space="0" w:color="auto"/>
            </w:tcBorders>
          </w:tcPr>
          <w:p w14:paraId="467F28C7" w14:textId="77777777" w:rsidR="00D22018" w:rsidRPr="006A631A" w:rsidRDefault="00D22018" w:rsidP="00F510B9">
            <w:pPr>
              <w:widowControl/>
              <w:rPr>
                <w:sz w:val="26"/>
                <w:szCs w:val="26"/>
              </w:rPr>
            </w:pPr>
          </w:p>
        </w:tc>
        <w:tc>
          <w:tcPr>
            <w:tcW w:w="900" w:type="dxa"/>
            <w:tcBorders>
              <w:left w:val="single" w:sz="4" w:space="0" w:color="auto"/>
            </w:tcBorders>
            <w:vAlign w:val="center"/>
          </w:tcPr>
          <w:p w14:paraId="174C3D47" w14:textId="77777777" w:rsidR="00D22018" w:rsidRPr="006A631A" w:rsidRDefault="00D22018" w:rsidP="00F510B9">
            <w:pPr>
              <w:widowControl/>
              <w:spacing w:before="80" w:line="203" w:lineRule="exact"/>
              <w:jc w:val="center"/>
              <w:textAlignment w:val="baseline"/>
              <w:rPr>
                <w:b/>
                <w:color w:val="000000"/>
                <w:sz w:val="26"/>
                <w:szCs w:val="26"/>
              </w:rPr>
            </w:pPr>
            <w:r w:rsidRPr="006A631A">
              <w:rPr>
                <w:b/>
                <w:color w:val="000000"/>
                <w:sz w:val="26"/>
                <w:szCs w:val="26"/>
              </w:rPr>
              <w:t>on</w:t>
            </w:r>
          </w:p>
        </w:tc>
        <w:tc>
          <w:tcPr>
            <w:tcW w:w="730" w:type="dxa"/>
            <w:vMerge/>
            <w:tcBorders>
              <w:right w:val="single" w:sz="4" w:space="0" w:color="auto"/>
            </w:tcBorders>
          </w:tcPr>
          <w:p w14:paraId="62D77E3E" w14:textId="77777777" w:rsidR="00D22018" w:rsidRPr="006A631A" w:rsidRDefault="00D22018" w:rsidP="00F510B9">
            <w:pPr>
              <w:widowControl/>
              <w:rPr>
                <w:sz w:val="26"/>
                <w:szCs w:val="26"/>
              </w:rPr>
            </w:pPr>
          </w:p>
        </w:tc>
        <w:tc>
          <w:tcPr>
            <w:tcW w:w="1250" w:type="dxa"/>
            <w:tcBorders>
              <w:left w:val="single" w:sz="4" w:space="0" w:color="auto"/>
            </w:tcBorders>
            <w:vAlign w:val="center"/>
          </w:tcPr>
          <w:p w14:paraId="00130C3C" w14:textId="77777777" w:rsidR="00D22018" w:rsidRPr="006A631A" w:rsidRDefault="00D22018" w:rsidP="00F510B9">
            <w:pPr>
              <w:widowControl/>
              <w:spacing w:before="80" w:line="203" w:lineRule="exact"/>
              <w:jc w:val="center"/>
              <w:textAlignment w:val="baseline"/>
              <w:rPr>
                <w:b/>
                <w:color w:val="000000"/>
                <w:sz w:val="26"/>
                <w:szCs w:val="26"/>
              </w:rPr>
            </w:pPr>
            <w:r w:rsidRPr="006A631A">
              <w:rPr>
                <w:b/>
                <w:color w:val="000000"/>
                <w:sz w:val="26"/>
                <w:szCs w:val="26"/>
              </w:rPr>
              <w:t>Increase</w:t>
            </w:r>
          </w:p>
        </w:tc>
        <w:tc>
          <w:tcPr>
            <w:tcW w:w="450" w:type="dxa"/>
            <w:vMerge/>
            <w:tcBorders>
              <w:top w:val="single" w:sz="0" w:space="0" w:color="000000"/>
              <w:left w:val="nil"/>
              <w:bottom w:val="none" w:sz="0" w:space="0" w:color="020000"/>
              <w:right w:val="single" w:sz="9" w:space="0" w:color="000000"/>
            </w:tcBorders>
          </w:tcPr>
          <w:p w14:paraId="75C90900" w14:textId="77777777" w:rsidR="00D22018" w:rsidRPr="006A631A" w:rsidRDefault="00D22018" w:rsidP="00F510B9">
            <w:pPr>
              <w:widowControl/>
              <w:rPr>
                <w:sz w:val="26"/>
                <w:szCs w:val="26"/>
              </w:rPr>
            </w:pPr>
          </w:p>
        </w:tc>
      </w:tr>
      <w:tr w:rsidR="00D22018" w:rsidRPr="006A631A" w14:paraId="59AF8DC8" w14:textId="77777777" w:rsidTr="000E6608">
        <w:trPr>
          <w:trHeight w:hRule="exact" w:val="288"/>
          <w:jc w:val="center"/>
        </w:trPr>
        <w:tc>
          <w:tcPr>
            <w:tcW w:w="1615" w:type="dxa"/>
            <w:tcBorders>
              <w:left w:val="single" w:sz="4" w:space="0" w:color="auto"/>
              <w:right w:val="single" w:sz="4" w:space="0" w:color="auto"/>
            </w:tcBorders>
            <w:vAlign w:val="center"/>
          </w:tcPr>
          <w:p w14:paraId="770920C7" w14:textId="77777777" w:rsidR="00D22018" w:rsidRPr="006A631A" w:rsidRDefault="00D22018" w:rsidP="00F510B9">
            <w:pPr>
              <w:widowControl/>
              <w:spacing w:before="85" w:line="203" w:lineRule="exact"/>
              <w:jc w:val="center"/>
              <w:textAlignment w:val="baseline"/>
              <w:rPr>
                <w:b/>
                <w:color w:val="000000"/>
                <w:sz w:val="26"/>
                <w:szCs w:val="26"/>
                <w:u w:val="single"/>
              </w:rPr>
            </w:pPr>
            <w:r w:rsidRPr="006A631A">
              <w:rPr>
                <w:b/>
                <w:color w:val="000000"/>
                <w:sz w:val="26"/>
                <w:szCs w:val="26"/>
                <w:u w:val="single"/>
              </w:rPr>
              <w:t>Class</w:t>
            </w:r>
          </w:p>
        </w:tc>
        <w:tc>
          <w:tcPr>
            <w:tcW w:w="1176" w:type="dxa"/>
            <w:tcBorders>
              <w:left w:val="single" w:sz="4" w:space="0" w:color="auto"/>
              <w:right w:val="single" w:sz="4" w:space="0" w:color="auto"/>
            </w:tcBorders>
            <w:vAlign w:val="center"/>
          </w:tcPr>
          <w:p w14:paraId="343B5ABE" w14:textId="77777777" w:rsidR="00D22018" w:rsidRPr="006A631A" w:rsidRDefault="00D22018" w:rsidP="00F510B9">
            <w:pPr>
              <w:widowControl/>
              <w:spacing w:before="85" w:line="203" w:lineRule="exact"/>
              <w:ind w:right="316"/>
              <w:jc w:val="right"/>
              <w:textAlignment w:val="baseline"/>
              <w:rPr>
                <w:b/>
                <w:color w:val="000000"/>
                <w:sz w:val="26"/>
                <w:szCs w:val="26"/>
              </w:rPr>
            </w:pPr>
            <w:r w:rsidRPr="006A631A">
              <w:rPr>
                <w:b/>
                <w:color w:val="000000"/>
                <w:sz w:val="26"/>
                <w:szCs w:val="26"/>
                <w:u w:val="single"/>
              </w:rPr>
              <w:t>Charge</w:t>
            </w:r>
          </w:p>
        </w:tc>
        <w:tc>
          <w:tcPr>
            <w:tcW w:w="965" w:type="dxa"/>
            <w:tcBorders>
              <w:left w:val="single" w:sz="4" w:space="0" w:color="auto"/>
            </w:tcBorders>
            <w:vAlign w:val="center"/>
          </w:tcPr>
          <w:p w14:paraId="64150CF4" w14:textId="77777777" w:rsidR="00D22018" w:rsidRPr="006A631A" w:rsidRDefault="00D22018" w:rsidP="00F510B9">
            <w:pPr>
              <w:widowControl/>
              <w:spacing w:before="85" w:line="203" w:lineRule="exact"/>
              <w:ind w:left="164"/>
              <w:textAlignment w:val="baseline"/>
              <w:rPr>
                <w:b/>
                <w:color w:val="000000"/>
                <w:sz w:val="26"/>
                <w:szCs w:val="26"/>
                <w:u w:val="single"/>
              </w:rPr>
            </w:pPr>
            <w:r w:rsidRPr="006A631A">
              <w:rPr>
                <w:b/>
                <w:color w:val="000000"/>
                <w:sz w:val="26"/>
                <w:szCs w:val="26"/>
                <w:u w:val="single"/>
              </w:rPr>
              <w:t>1/1/2021</w:t>
            </w:r>
          </w:p>
        </w:tc>
        <w:tc>
          <w:tcPr>
            <w:tcW w:w="672" w:type="dxa"/>
            <w:tcBorders>
              <w:right w:val="single" w:sz="4" w:space="0" w:color="auto"/>
            </w:tcBorders>
            <w:vAlign w:val="center"/>
          </w:tcPr>
          <w:p w14:paraId="169ED5FE" w14:textId="77777777" w:rsidR="00D22018" w:rsidRPr="006A631A" w:rsidRDefault="00D22018" w:rsidP="00F510B9">
            <w:pPr>
              <w:widowControl/>
              <w:spacing w:before="85" w:line="203" w:lineRule="exact"/>
              <w:ind w:right="110"/>
              <w:jc w:val="right"/>
              <w:textAlignment w:val="baseline"/>
              <w:rPr>
                <w:b/>
                <w:color w:val="000000"/>
                <w:sz w:val="26"/>
                <w:szCs w:val="26"/>
                <w:u w:val="single"/>
              </w:rPr>
            </w:pPr>
            <w:r w:rsidRPr="006A631A">
              <w:rPr>
                <w:b/>
                <w:color w:val="000000"/>
                <w:sz w:val="26"/>
                <w:szCs w:val="26"/>
                <w:u w:val="single"/>
              </w:rPr>
              <w:t>%</w:t>
            </w:r>
          </w:p>
        </w:tc>
        <w:tc>
          <w:tcPr>
            <w:tcW w:w="900" w:type="dxa"/>
            <w:tcBorders>
              <w:left w:val="single" w:sz="4" w:space="0" w:color="auto"/>
            </w:tcBorders>
            <w:vAlign w:val="center"/>
          </w:tcPr>
          <w:p w14:paraId="66843395" w14:textId="77777777" w:rsidR="00D22018" w:rsidRPr="006A631A" w:rsidRDefault="00D22018" w:rsidP="00F510B9">
            <w:pPr>
              <w:widowControl/>
              <w:spacing w:before="85" w:line="203" w:lineRule="exact"/>
              <w:jc w:val="center"/>
              <w:textAlignment w:val="baseline"/>
              <w:rPr>
                <w:b/>
                <w:color w:val="000000"/>
                <w:sz w:val="26"/>
                <w:szCs w:val="26"/>
                <w:u w:val="single"/>
              </w:rPr>
            </w:pPr>
            <w:r w:rsidRPr="006A631A">
              <w:rPr>
                <w:b/>
                <w:color w:val="000000"/>
                <w:sz w:val="26"/>
                <w:szCs w:val="26"/>
                <w:u w:val="single"/>
              </w:rPr>
              <w:t>7/1/2021</w:t>
            </w:r>
          </w:p>
        </w:tc>
        <w:tc>
          <w:tcPr>
            <w:tcW w:w="540" w:type="dxa"/>
            <w:tcBorders>
              <w:right w:val="single" w:sz="4" w:space="0" w:color="auto"/>
            </w:tcBorders>
            <w:vAlign w:val="center"/>
          </w:tcPr>
          <w:p w14:paraId="78BBD1D0" w14:textId="77777777" w:rsidR="00D22018" w:rsidRPr="006A631A" w:rsidRDefault="00D22018" w:rsidP="00F510B9">
            <w:pPr>
              <w:widowControl/>
              <w:spacing w:before="85" w:line="203" w:lineRule="exact"/>
              <w:ind w:right="195"/>
              <w:jc w:val="right"/>
              <w:textAlignment w:val="baseline"/>
              <w:rPr>
                <w:b/>
                <w:color w:val="000000"/>
                <w:sz w:val="26"/>
                <w:szCs w:val="26"/>
                <w:u w:val="single"/>
              </w:rPr>
            </w:pPr>
            <w:r w:rsidRPr="006A631A">
              <w:rPr>
                <w:b/>
                <w:color w:val="000000"/>
                <w:sz w:val="26"/>
                <w:szCs w:val="26"/>
                <w:u w:val="single"/>
              </w:rPr>
              <w:t>%</w:t>
            </w:r>
          </w:p>
        </w:tc>
        <w:tc>
          <w:tcPr>
            <w:tcW w:w="900" w:type="dxa"/>
            <w:tcBorders>
              <w:left w:val="single" w:sz="4" w:space="0" w:color="auto"/>
            </w:tcBorders>
            <w:vAlign w:val="center"/>
          </w:tcPr>
          <w:p w14:paraId="586D0DF9" w14:textId="77777777" w:rsidR="00D22018" w:rsidRPr="006A631A" w:rsidRDefault="00D22018" w:rsidP="00F510B9">
            <w:pPr>
              <w:widowControl/>
              <w:spacing w:before="85" w:line="203" w:lineRule="exact"/>
              <w:jc w:val="center"/>
              <w:textAlignment w:val="baseline"/>
              <w:rPr>
                <w:b/>
                <w:color w:val="000000"/>
                <w:sz w:val="26"/>
                <w:szCs w:val="26"/>
                <w:u w:val="single"/>
              </w:rPr>
            </w:pPr>
            <w:r w:rsidRPr="006A631A">
              <w:rPr>
                <w:b/>
                <w:color w:val="000000"/>
                <w:sz w:val="26"/>
                <w:szCs w:val="26"/>
                <w:u w:val="single"/>
              </w:rPr>
              <w:t>1/1/2022</w:t>
            </w:r>
          </w:p>
        </w:tc>
        <w:tc>
          <w:tcPr>
            <w:tcW w:w="730" w:type="dxa"/>
            <w:tcBorders>
              <w:right w:val="single" w:sz="4" w:space="0" w:color="auto"/>
            </w:tcBorders>
            <w:vAlign w:val="center"/>
          </w:tcPr>
          <w:p w14:paraId="6ABDFB92" w14:textId="77777777" w:rsidR="00D22018" w:rsidRPr="006A631A" w:rsidRDefault="00D22018" w:rsidP="00F510B9">
            <w:pPr>
              <w:widowControl/>
              <w:spacing w:before="85" w:line="203" w:lineRule="exact"/>
              <w:jc w:val="center"/>
              <w:textAlignment w:val="baseline"/>
              <w:rPr>
                <w:b/>
                <w:color w:val="000000"/>
                <w:sz w:val="26"/>
                <w:szCs w:val="26"/>
                <w:u w:val="single"/>
              </w:rPr>
            </w:pPr>
            <w:r w:rsidRPr="006A631A">
              <w:rPr>
                <w:b/>
                <w:color w:val="000000"/>
                <w:sz w:val="26"/>
                <w:szCs w:val="26"/>
                <w:u w:val="single"/>
              </w:rPr>
              <w:t>%</w:t>
            </w:r>
          </w:p>
        </w:tc>
        <w:tc>
          <w:tcPr>
            <w:tcW w:w="1250" w:type="dxa"/>
            <w:tcBorders>
              <w:left w:val="single" w:sz="4" w:space="0" w:color="auto"/>
            </w:tcBorders>
            <w:vAlign w:val="center"/>
          </w:tcPr>
          <w:p w14:paraId="15690262" w14:textId="77777777" w:rsidR="00D22018" w:rsidRPr="006A631A" w:rsidRDefault="00D22018" w:rsidP="00F510B9">
            <w:pPr>
              <w:widowControl/>
              <w:spacing w:before="85" w:line="203" w:lineRule="exact"/>
              <w:jc w:val="center"/>
              <w:textAlignment w:val="baseline"/>
              <w:rPr>
                <w:b/>
                <w:color w:val="000000"/>
                <w:sz w:val="26"/>
                <w:szCs w:val="26"/>
                <w:u w:val="single"/>
              </w:rPr>
            </w:pPr>
            <w:r w:rsidRPr="006A631A">
              <w:rPr>
                <w:b/>
                <w:color w:val="000000"/>
                <w:sz w:val="26"/>
                <w:szCs w:val="26"/>
                <w:u w:val="single"/>
              </w:rPr>
              <w:t>on 1/1/2022</w:t>
            </w:r>
          </w:p>
        </w:tc>
        <w:tc>
          <w:tcPr>
            <w:tcW w:w="450" w:type="dxa"/>
            <w:tcBorders>
              <w:top w:val="none" w:sz="0" w:space="0" w:color="020000"/>
              <w:left w:val="nil"/>
              <w:bottom w:val="none" w:sz="0" w:space="0" w:color="020000"/>
              <w:right w:val="single" w:sz="9" w:space="0" w:color="000000"/>
            </w:tcBorders>
            <w:vAlign w:val="center"/>
          </w:tcPr>
          <w:p w14:paraId="788D241E" w14:textId="77777777" w:rsidR="00D22018" w:rsidRPr="006A631A" w:rsidRDefault="00D22018" w:rsidP="00F510B9">
            <w:pPr>
              <w:widowControl/>
              <w:spacing w:before="85" w:line="203" w:lineRule="exact"/>
              <w:ind w:right="120"/>
              <w:jc w:val="right"/>
              <w:textAlignment w:val="baseline"/>
              <w:rPr>
                <w:b/>
                <w:color w:val="000000"/>
                <w:sz w:val="26"/>
                <w:szCs w:val="26"/>
                <w:u w:val="single"/>
              </w:rPr>
            </w:pPr>
            <w:r w:rsidRPr="006A631A">
              <w:rPr>
                <w:b/>
                <w:color w:val="000000"/>
                <w:sz w:val="26"/>
                <w:szCs w:val="26"/>
                <w:u w:val="single"/>
              </w:rPr>
              <w:t>%</w:t>
            </w:r>
          </w:p>
        </w:tc>
      </w:tr>
      <w:tr w:rsidR="00D22018" w:rsidRPr="006A631A" w14:paraId="67352D95" w14:textId="77777777" w:rsidTr="000E6608">
        <w:trPr>
          <w:trHeight w:hRule="exact" w:val="735"/>
          <w:jc w:val="center"/>
        </w:trPr>
        <w:tc>
          <w:tcPr>
            <w:tcW w:w="1615" w:type="dxa"/>
            <w:tcBorders>
              <w:left w:val="single" w:sz="9" w:space="0" w:color="000000"/>
              <w:bottom w:val="none" w:sz="0" w:space="0" w:color="020000"/>
              <w:right w:val="single" w:sz="9" w:space="0" w:color="000000"/>
            </w:tcBorders>
            <w:vAlign w:val="center"/>
          </w:tcPr>
          <w:p w14:paraId="3EDF074D" w14:textId="77777777" w:rsidR="00D22018" w:rsidRPr="006A631A" w:rsidRDefault="00D22018" w:rsidP="00F510B9">
            <w:pPr>
              <w:widowControl/>
              <w:spacing w:before="342" w:after="164" w:line="228" w:lineRule="exact"/>
              <w:ind w:left="116"/>
              <w:textAlignment w:val="baseline"/>
              <w:rPr>
                <w:color w:val="000000"/>
                <w:sz w:val="26"/>
                <w:szCs w:val="26"/>
              </w:rPr>
            </w:pPr>
            <w:r w:rsidRPr="006A631A">
              <w:rPr>
                <w:color w:val="000000"/>
                <w:sz w:val="26"/>
                <w:szCs w:val="26"/>
              </w:rPr>
              <w:t>Residential</w:t>
            </w:r>
          </w:p>
        </w:tc>
        <w:tc>
          <w:tcPr>
            <w:tcW w:w="1176" w:type="dxa"/>
            <w:tcBorders>
              <w:left w:val="single" w:sz="9" w:space="0" w:color="000000"/>
              <w:bottom w:val="none" w:sz="0" w:space="0" w:color="020000"/>
              <w:right w:val="single" w:sz="9" w:space="0" w:color="000000"/>
            </w:tcBorders>
            <w:vAlign w:val="center"/>
          </w:tcPr>
          <w:p w14:paraId="0D27E00E" w14:textId="77777777" w:rsidR="00D22018" w:rsidRPr="006A631A" w:rsidRDefault="00D22018" w:rsidP="00F510B9">
            <w:pPr>
              <w:widowControl/>
              <w:spacing w:before="342" w:after="164" w:line="228" w:lineRule="exact"/>
              <w:ind w:left="169"/>
              <w:textAlignment w:val="baseline"/>
              <w:rPr>
                <w:color w:val="000000"/>
                <w:sz w:val="26"/>
                <w:szCs w:val="26"/>
              </w:rPr>
            </w:pPr>
            <w:r w:rsidRPr="006A631A">
              <w:rPr>
                <w:color w:val="000000"/>
                <w:sz w:val="26"/>
                <w:szCs w:val="26"/>
              </w:rPr>
              <w:t>$13.75</w:t>
            </w:r>
          </w:p>
        </w:tc>
        <w:tc>
          <w:tcPr>
            <w:tcW w:w="965" w:type="dxa"/>
            <w:tcBorders>
              <w:left w:val="single" w:sz="9" w:space="0" w:color="000000"/>
              <w:bottom w:val="none" w:sz="0" w:space="0" w:color="020000"/>
              <w:right w:val="none" w:sz="0" w:space="0" w:color="020000"/>
            </w:tcBorders>
            <w:vAlign w:val="center"/>
          </w:tcPr>
          <w:p w14:paraId="4DCB2CB6" w14:textId="77777777" w:rsidR="00D22018" w:rsidRPr="006A631A" w:rsidRDefault="00D22018" w:rsidP="00F510B9">
            <w:pPr>
              <w:widowControl/>
              <w:tabs>
                <w:tab w:val="decimal" w:pos="360"/>
              </w:tabs>
              <w:spacing w:before="342" w:after="164" w:line="228" w:lineRule="exact"/>
              <w:textAlignment w:val="baseline"/>
              <w:rPr>
                <w:color w:val="000000"/>
                <w:sz w:val="26"/>
                <w:szCs w:val="26"/>
              </w:rPr>
            </w:pPr>
            <w:r w:rsidRPr="006A631A">
              <w:rPr>
                <w:color w:val="000000"/>
                <w:sz w:val="26"/>
                <w:szCs w:val="26"/>
              </w:rPr>
              <w:t>$0.35</w:t>
            </w:r>
          </w:p>
        </w:tc>
        <w:tc>
          <w:tcPr>
            <w:tcW w:w="672" w:type="dxa"/>
            <w:tcBorders>
              <w:left w:val="none" w:sz="0" w:space="0" w:color="020000"/>
              <w:bottom w:val="none" w:sz="0" w:space="0" w:color="020000"/>
              <w:right w:val="single" w:sz="9" w:space="0" w:color="000000"/>
            </w:tcBorders>
            <w:vAlign w:val="center"/>
          </w:tcPr>
          <w:p w14:paraId="067F21BB" w14:textId="77777777" w:rsidR="00D22018" w:rsidRPr="006A631A" w:rsidRDefault="00D22018" w:rsidP="00F510B9">
            <w:pPr>
              <w:widowControl/>
              <w:tabs>
                <w:tab w:val="decimal" w:pos="216"/>
              </w:tabs>
              <w:spacing w:before="342" w:after="164" w:line="228" w:lineRule="exact"/>
              <w:textAlignment w:val="baseline"/>
              <w:rPr>
                <w:color w:val="000000"/>
                <w:sz w:val="26"/>
                <w:szCs w:val="26"/>
              </w:rPr>
            </w:pPr>
            <w:r w:rsidRPr="006A631A">
              <w:rPr>
                <w:color w:val="000000"/>
                <w:sz w:val="26"/>
                <w:szCs w:val="26"/>
              </w:rPr>
              <w:t>2.5%</w:t>
            </w:r>
          </w:p>
        </w:tc>
        <w:tc>
          <w:tcPr>
            <w:tcW w:w="900" w:type="dxa"/>
            <w:tcBorders>
              <w:left w:val="single" w:sz="9" w:space="0" w:color="000000"/>
              <w:bottom w:val="none" w:sz="0" w:space="0" w:color="020000"/>
              <w:right w:val="none" w:sz="0" w:space="0" w:color="020000"/>
            </w:tcBorders>
            <w:vAlign w:val="center"/>
          </w:tcPr>
          <w:p w14:paraId="563DADB7" w14:textId="77777777" w:rsidR="00D22018" w:rsidRPr="006A631A" w:rsidRDefault="00D22018" w:rsidP="00F510B9">
            <w:pPr>
              <w:widowControl/>
              <w:tabs>
                <w:tab w:val="decimal" w:pos="360"/>
              </w:tabs>
              <w:spacing w:before="342" w:after="164" w:line="228" w:lineRule="exact"/>
              <w:textAlignment w:val="baseline"/>
              <w:rPr>
                <w:color w:val="000000"/>
                <w:sz w:val="26"/>
                <w:szCs w:val="26"/>
              </w:rPr>
            </w:pPr>
            <w:r w:rsidRPr="006A631A">
              <w:rPr>
                <w:color w:val="000000"/>
                <w:sz w:val="26"/>
                <w:szCs w:val="26"/>
              </w:rPr>
              <w:t>$0.35</w:t>
            </w:r>
          </w:p>
        </w:tc>
        <w:tc>
          <w:tcPr>
            <w:tcW w:w="540" w:type="dxa"/>
            <w:tcBorders>
              <w:left w:val="none" w:sz="0" w:space="0" w:color="020000"/>
              <w:bottom w:val="none" w:sz="0" w:space="0" w:color="020000"/>
              <w:right w:val="single" w:sz="9" w:space="0" w:color="000000"/>
            </w:tcBorders>
            <w:vAlign w:val="center"/>
          </w:tcPr>
          <w:p w14:paraId="173E3AD2" w14:textId="77777777" w:rsidR="00D22018" w:rsidRPr="006A631A" w:rsidRDefault="00D22018" w:rsidP="00F510B9">
            <w:pPr>
              <w:widowControl/>
              <w:tabs>
                <w:tab w:val="decimal" w:pos="360"/>
              </w:tabs>
              <w:spacing w:before="342" w:after="164" w:line="228" w:lineRule="exact"/>
              <w:textAlignment w:val="baseline"/>
              <w:rPr>
                <w:color w:val="000000"/>
                <w:sz w:val="26"/>
                <w:szCs w:val="26"/>
              </w:rPr>
            </w:pPr>
            <w:r w:rsidRPr="006A631A">
              <w:rPr>
                <w:color w:val="000000"/>
                <w:sz w:val="26"/>
                <w:szCs w:val="26"/>
              </w:rPr>
              <w:t>2.5%</w:t>
            </w:r>
          </w:p>
        </w:tc>
        <w:tc>
          <w:tcPr>
            <w:tcW w:w="900" w:type="dxa"/>
            <w:tcBorders>
              <w:left w:val="single" w:sz="9" w:space="0" w:color="000000"/>
              <w:bottom w:val="none" w:sz="0" w:space="0" w:color="020000"/>
              <w:right w:val="none" w:sz="0" w:space="0" w:color="020000"/>
            </w:tcBorders>
            <w:vAlign w:val="center"/>
          </w:tcPr>
          <w:p w14:paraId="49634F00" w14:textId="77777777" w:rsidR="00D22018" w:rsidRPr="006A631A" w:rsidRDefault="00D22018" w:rsidP="00F510B9">
            <w:pPr>
              <w:widowControl/>
              <w:tabs>
                <w:tab w:val="decimal" w:pos="360"/>
              </w:tabs>
              <w:spacing w:before="342" w:after="164" w:line="228" w:lineRule="exact"/>
              <w:textAlignment w:val="baseline"/>
              <w:rPr>
                <w:color w:val="000000"/>
                <w:sz w:val="26"/>
                <w:szCs w:val="26"/>
              </w:rPr>
            </w:pPr>
            <w:r w:rsidRPr="006A631A">
              <w:rPr>
                <w:color w:val="000000"/>
                <w:sz w:val="26"/>
                <w:szCs w:val="26"/>
              </w:rPr>
              <w:t>$0.45</w:t>
            </w:r>
          </w:p>
        </w:tc>
        <w:tc>
          <w:tcPr>
            <w:tcW w:w="730" w:type="dxa"/>
            <w:tcBorders>
              <w:left w:val="none" w:sz="0" w:space="0" w:color="020000"/>
              <w:bottom w:val="none" w:sz="0" w:space="0" w:color="020000"/>
              <w:right w:val="single" w:sz="9" w:space="0" w:color="000000"/>
            </w:tcBorders>
            <w:vAlign w:val="center"/>
          </w:tcPr>
          <w:p w14:paraId="01DA7C22" w14:textId="77777777" w:rsidR="00D22018" w:rsidRPr="006A631A" w:rsidRDefault="00D22018" w:rsidP="00F510B9">
            <w:pPr>
              <w:widowControl/>
              <w:tabs>
                <w:tab w:val="decimal" w:pos="288"/>
              </w:tabs>
              <w:spacing w:before="342" w:after="164" w:line="228" w:lineRule="exact"/>
              <w:textAlignment w:val="baseline"/>
              <w:rPr>
                <w:color w:val="000000"/>
                <w:sz w:val="26"/>
                <w:szCs w:val="26"/>
              </w:rPr>
            </w:pPr>
            <w:r w:rsidRPr="006A631A">
              <w:rPr>
                <w:color w:val="000000"/>
                <w:sz w:val="26"/>
                <w:szCs w:val="26"/>
              </w:rPr>
              <w:t>3.3%</w:t>
            </w:r>
          </w:p>
        </w:tc>
        <w:tc>
          <w:tcPr>
            <w:tcW w:w="1250" w:type="dxa"/>
            <w:tcBorders>
              <w:left w:val="single" w:sz="9" w:space="0" w:color="000000"/>
              <w:bottom w:val="none" w:sz="0" w:space="0" w:color="020000"/>
              <w:right w:val="none" w:sz="0" w:space="0" w:color="020000"/>
            </w:tcBorders>
            <w:vAlign w:val="center"/>
          </w:tcPr>
          <w:p w14:paraId="35D8E29E" w14:textId="77777777" w:rsidR="00D22018" w:rsidRPr="006A631A" w:rsidRDefault="00D22018" w:rsidP="00F510B9">
            <w:pPr>
              <w:widowControl/>
              <w:tabs>
                <w:tab w:val="decimal" w:pos="360"/>
              </w:tabs>
              <w:spacing w:before="342" w:after="164" w:line="228" w:lineRule="exact"/>
              <w:textAlignment w:val="baseline"/>
              <w:rPr>
                <w:color w:val="000000"/>
                <w:sz w:val="26"/>
                <w:szCs w:val="26"/>
              </w:rPr>
            </w:pPr>
            <w:r w:rsidRPr="006A631A">
              <w:rPr>
                <w:color w:val="000000"/>
                <w:sz w:val="26"/>
                <w:szCs w:val="26"/>
              </w:rPr>
              <w:t>$1.15</w:t>
            </w:r>
          </w:p>
        </w:tc>
        <w:tc>
          <w:tcPr>
            <w:tcW w:w="450" w:type="dxa"/>
            <w:tcBorders>
              <w:top w:val="none" w:sz="0" w:space="0" w:color="020000"/>
              <w:left w:val="none" w:sz="0" w:space="0" w:color="020000"/>
              <w:bottom w:val="none" w:sz="0" w:space="0" w:color="020000"/>
              <w:right w:val="single" w:sz="9" w:space="0" w:color="000000"/>
            </w:tcBorders>
            <w:vAlign w:val="center"/>
          </w:tcPr>
          <w:p w14:paraId="5C7A9F11" w14:textId="77777777" w:rsidR="00D22018" w:rsidRPr="006A631A" w:rsidRDefault="00D22018" w:rsidP="00F510B9">
            <w:pPr>
              <w:widowControl/>
              <w:tabs>
                <w:tab w:val="decimal" w:pos="288"/>
              </w:tabs>
              <w:spacing w:before="342" w:after="164" w:line="228" w:lineRule="exact"/>
              <w:textAlignment w:val="baseline"/>
              <w:rPr>
                <w:color w:val="000000"/>
                <w:sz w:val="26"/>
                <w:szCs w:val="26"/>
              </w:rPr>
            </w:pPr>
            <w:r w:rsidRPr="006A631A">
              <w:rPr>
                <w:color w:val="000000"/>
                <w:sz w:val="26"/>
                <w:szCs w:val="26"/>
              </w:rPr>
              <w:t>8.4%</w:t>
            </w:r>
          </w:p>
        </w:tc>
      </w:tr>
      <w:tr w:rsidR="00D22018" w:rsidRPr="006A631A" w14:paraId="77F238E0" w14:textId="77777777" w:rsidTr="000E6608">
        <w:trPr>
          <w:trHeight w:hRule="exact" w:val="566"/>
          <w:jc w:val="center"/>
        </w:trPr>
        <w:tc>
          <w:tcPr>
            <w:tcW w:w="1615" w:type="dxa"/>
            <w:tcBorders>
              <w:top w:val="none" w:sz="0" w:space="0" w:color="020000"/>
              <w:left w:val="single" w:sz="9" w:space="0" w:color="000000"/>
              <w:bottom w:val="none" w:sz="0" w:space="0" w:color="020000"/>
              <w:right w:val="single" w:sz="9" w:space="0" w:color="000000"/>
            </w:tcBorders>
            <w:vAlign w:val="center"/>
          </w:tcPr>
          <w:p w14:paraId="7E22A83C" w14:textId="77777777" w:rsidR="00D22018" w:rsidRPr="006A631A" w:rsidRDefault="00D22018" w:rsidP="00F510B9">
            <w:pPr>
              <w:widowControl/>
              <w:spacing w:before="179" w:after="154" w:line="228" w:lineRule="exact"/>
              <w:ind w:left="116"/>
              <w:textAlignment w:val="baseline"/>
              <w:rPr>
                <w:color w:val="000000"/>
                <w:sz w:val="26"/>
                <w:szCs w:val="26"/>
              </w:rPr>
            </w:pPr>
            <w:r w:rsidRPr="006A631A">
              <w:rPr>
                <w:color w:val="000000"/>
                <w:sz w:val="26"/>
                <w:szCs w:val="26"/>
              </w:rPr>
              <w:t>Commercial</w:t>
            </w:r>
          </w:p>
        </w:tc>
        <w:tc>
          <w:tcPr>
            <w:tcW w:w="1176" w:type="dxa"/>
            <w:tcBorders>
              <w:top w:val="none" w:sz="0" w:space="0" w:color="020000"/>
              <w:left w:val="single" w:sz="9" w:space="0" w:color="000000"/>
              <w:bottom w:val="none" w:sz="0" w:space="0" w:color="020000"/>
              <w:right w:val="single" w:sz="9" w:space="0" w:color="000000"/>
            </w:tcBorders>
            <w:vAlign w:val="center"/>
          </w:tcPr>
          <w:p w14:paraId="129CF059" w14:textId="77777777" w:rsidR="00D22018" w:rsidRPr="006A631A" w:rsidRDefault="00D22018" w:rsidP="00F510B9">
            <w:pPr>
              <w:widowControl/>
              <w:spacing w:before="179" w:after="154" w:line="228" w:lineRule="exact"/>
              <w:ind w:left="169"/>
              <w:textAlignment w:val="baseline"/>
              <w:rPr>
                <w:color w:val="000000"/>
                <w:sz w:val="26"/>
                <w:szCs w:val="26"/>
              </w:rPr>
            </w:pPr>
            <w:r w:rsidRPr="006A631A">
              <w:rPr>
                <w:color w:val="000000"/>
                <w:sz w:val="26"/>
                <w:szCs w:val="26"/>
              </w:rPr>
              <w:t>$23.40</w:t>
            </w:r>
          </w:p>
        </w:tc>
        <w:tc>
          <w:tcPr>
            <w:tcW w:w="965" w:type="dxa"/>
            <w:tcBorders>
              <w:top w:val="none" w:sz="0" w:space="0" w:color="020000"/>
              <w:left w:val="single" w:sz="9" w:space="0" w:color="000000"/>
              <w:bottom w:val="none" w:sz="0" w:space="0" w:color="020000"/>
              <w:right w:val="none" w:sz="0" w:space="0" w:color="020000"/>
            </w:tcBorders>
            <w:vAlign w:val="center"/>
          </w:tcPr>
          <w:p w14:paraId="29BD4533" w14:textId="77777777" w:rsidR="00D22018" w:rsidRPr="006A631A" w:rsidRDefault="00D22018" w:rsidP="00F510B9">
            <w:pPr>
              <w:widowControl/>
              <w:tabs>
                <w:tab w:val="decimal" w:pos="360"/>
              </w:tabs>
              <w:spacing w:before="179" w:after="154" w:line="228" w:lineRule="exact"/>
              <w:textAlignment w:val="baseline"/>
              <w:rPr>
                <w:color w:val="000000"/>
                <w:sz w:val="26"/>
                <w:szCs w:val="26"/>
              </w:rPr>
            </w:pPr>
            <w:r w:rsidRPr="006A631A">
              <w:rPr>
                <w:color w:val="000000"/>
                <w:sz w:val="26"/>
                <w:szCs w:val="26"/>
              </w:rPr>
              <w:t>$0.60</w:t>
            </w:r>
          </w:p>
        </w:tc>
        <w:tc>
          <w:tcPr>
            <w:tcW w:w="672" w:type="dxa"/>
            <w:tcBorders>
              <w:top w:val="none" w:sz="0" w:space="0" w:color="020000"/>
              <w:left w:val="none" w:sz="0" w:space="0" w:color="020000"/>
              <w:bottom w:val="none" w:sz="0" w:space="0" w:color="020000"/>
              <w:right w:val="single" w:sz="9" w:space="0" w:color="000000"/>
            </w:tcBorders>
            <w:vAlign w:val="center"/>
          </w:tcPr>
          <w:p w14:paraId="5D147836" w14:textId="77777777" w:rsidR="00D22018" w:rsidRPr="006A631A" w:rsidRDefault="00D22018" w:rsidP="00F510B9">
            <w:pPr>
              <w:widowControl/>
              <w:tabs>
                <w:tab w:val="decimal" w:pos="216"/>
              </w:tabs>
              <w:spacing w:before="179" w:after="154" w:line="228" w:lineRule="exact"/>
              <w:textAlignment w:val="baseline"/>
              <w:rPr>
                <w:color w:val="000000"/>
                <w:sz w:val="26"/>
                <w:szCs w:val="26"/>
              </w:rPr>
            </w:pPr>
            <w:r w:rsidRPr="006A631A">
              <w:rPr>
                <w:color w:val="000000"/>
                <w:sz w:val="26"/>
                <w:szCs w:val="26"/>
              </w:rPr>
              <w:t>2.5%</w:t>
            </w:r>
          </w:p>
        </w:tc>
        <w:tc>
          <w:tcPr>
            <w:tcW w:w="900" w:type="dxa"/>
            <w:tcBorders>
              <w:top w:val="none" w:sz="0" w:space="0" w:color="020000"/>
              <w:left w:val="single" w:sz="9" w:space="0" w:color="000000"/>
              <w:bottom w:val="none" w:sz="0" w:space="0" w:color="020000"/>
              <w:right w:val="none" w:sz="0" w:space="0" w:color="020000"/>
            </w:tcBorders>
            <w:vAlign w:val="center"/>
          </w:tcPr>
          <w:p w14:paraId="7554A2C7" w14:textId="77777777" w:rsidR="00D22018" w:rsidRPr="006A631A" w:rsidRDefault="00D22018" w:rsidP="00F510B9">
            <w:pPr>
              <w:widowControl/>
              <w:tabs>
                <w:tab w:val="decimal" w:pos="360"/>
              </w:tabs>
              <w:spacing w:before="179" w:after="154" w:line="228" w:lineRule="exact"/>
              <w:textAlignment w:val="baseline"/>
              <w:rPr>
                <w:color w:val="000000"/>
                <w:sz w:val="26"/>
                <w:szCs w:val="26"/>
              </w:rPr>
            </w:pPr>
            <w:r w:rsidRPr="006A631A">
              <w:rPr>
                <w:color w:val="000000"/>
                <w:sz w:val="26"/>
                <w:szCs w:val="26"/>
              </w:rPr>
              <w:t>$0.60</w:t>
            </w:r>
          </w:p>
        </w:tc>
        <w:tc>
          <w:tcPr>
            <w:tcW w:w="540" w:type="dxa"/>
            <w:tcBorders>
              <w:top w:val="none" w:sz="0" w:space="0" w:color="020000"/>
              <w:left w:val="none" w:sz="0" w:space="0" w:color="020000"/>
              <w:bottom w:val="none" w:sz="0" w:space="0" w:color="020000"/>
              <w:right w:val="single" w:sz="9" w:space="0" w:color="000000"/>
            </w:tcBorders>
            <w:vAlign w:val="center"/>
          </w:tcPr>
          <w:p w14:paraId="4AF5B377" w14:textId="77777777" w:rsidR="00D22018" w:rsidRPr="006A631A" w:rsidRDefault="00D22018" w:rsidP="00F510B9">
            <w:pPr>
              <w:widowControl/>
              <w:tabs>
                <w:tab w:val="decimal" w:pos="360"/>
              </w:tabs>
              <w:spacing w:before="179" w:after="154" w:line="228" w:lineRule="exact"/>
              <w:textAlignment w:val="baseline"/>
              <w:rPr>
                <w:color w:val="000000"/>
                <w:sz w:val="26"/>
                <w:szCs w:val="26"/>
              </w:rPr>
            </w:pPr>
            <w:r w:rsidRPr="006A631A">
              <w:rPr>
                <w:color w:val="000000"/>
                <w:sz w:val="26"/>
                <w:szCs w:val="26"/>
              </w:rPr>
              <w:t>2.5%</w:t>
            </w:r>
          </w:p>
        </w:tc>
        <w:tc>
          <w:tcPr>
            <w:tcW w:w="900" w:type="dxa"/>
            <w:tcBorders>
              <w:top w:val="none" w:sz="0" w:space="0" w:color="020000"/>
              <w:left w:val="single" w:sz="9" w:space="0" w:color="000000"/>
              <w:bottom w:val="none" w:sz="0" w:space="0" w:color="020000"/>
              <w:right w:val="none" w:sz="0" w:space="0" w:color="020000"/>
            </w:tcBorders>
            <w:vAlign w:val="center"/>
          </w:tcPr>
          <w:p w14:paraId="4EF2A9C8" w14:textId="77777777" w:rsidR="00D22018" w:rsidRPr="006A631A" w:rsidRDefault="00D22018" w:rsidP="00F510B9">
            <w:pPr>
              <w:widowControl/>
              <w:tabs>
                <w:tab w:val="decimal" w:pos="360"/>
              </w:tabs>
              <w:spacing w:before="179" w:after="154" w:line="228" w:lineRule="exact"/>
              <w:textAlignment w:val="baseline"/>
              <w:rPr>
                <w:color w:val="000000"/>
                <w:sz w:val="26"/>
                <w:szCs w:val="26"/>
              </w:rPr>
            </w:pPr>
            <w:r w:rsidRPr="006A631A">
              <w:rPr>
                <w:color w:val="000000"/>
                <w:sz w:val="26"/>
                <w:szCs w:val="26"/>
              </w:rPr>
              <w:t>$0.75</w:t>
            </w:r>
          </w:p>
        </w:tc>
        <w:tc>
          <w:tcPr>
            <w:tcW w:w="730" w:type="dxa"/>
            <w:tcBorders>
              <w:top w:val="none" w:sz="0" w:space="0" w:color="020000"/>
              <w:left w:val="none" w:sz="0" w:space="0" w:color="020000"/>
              <w:bottom w:val="none" w:sz="0" w:space="0" w:color="020000"/>
              <w:right w:val="single" w:sz="9" w:space="0" w:color="000000"/>
            </w:tcBorders>
            <w:vAlign w:val="center"/>
          </w:tcPr>
          <w:p w14:paraId="4E68376B" w14:textId="77777777" w:rsidR="00D22018" w:rsidRPr="006A631A" w:rsidRDefault="00D22018" w:rsidP="00F510B9">
            <w:pPr>
              <w:widowControl/>
              <w:tabs>
                <w:tab w:val="decimal" w:pos="288"/>
              </w:tabs>
              <w:spacing w:before="179" w:after="154" w:line="228" w:lineRule="exact"/>
              <w:textAlignment w:val="baseline"/>
              <w:rPr>
                <w:color w:val="000000"/>
                <w:sz w:val="26"/>
                <w:szCs w:val="26"/>
              </w:rPr>
            </w:pPr>
            <w:r w:rsidRPr="006A631A">
              <w:rPr>
                <w:color w:val="000000"/>
                <w:sz w:val="26"/>
                <w:szCs w:val="26"/>
              </w:rPr>
              <w:t>3.2%</w:t>
            </w:r>
          </w:p>
        </w:tc>
        <w:tc>
          <w:tcPr>
            <w:tcW w:w="1250" w:type="dxa"/>
            <w:tcBorders>
              <w:top w:val="none" w:sz="0" w:space="0" w:color="020000"/>
              <w:left w:val="single" w:sz="9" w:space="0" w:color="000000"/>
              <w:bottom w:val="none" w:sz="0" w:space="0" w:color="020000"/>
              <w:right w:val="none" w:sz="0" w:space="0" w:color="020000"/>
            </w:tcBorders>
            <w:vAlign w:val="center"/>
          </w:tcPr>
          <w:p w14:paraId="0F22F4F1" w14:textId="77777777" w:rsidR="00D22018" w:rsidRPr="006A631A" w:rsidRDefault="00D22018" w:rsidP="00F510B9">
            <w:pPr>
              <w:widowControl/>
              <w:tabs>
                <w:tab w:val="decimal" w:pos="360"/>
              </w:tabs>
              <w:spacing w:before="179" w:after="154" w:line="228" w:lineRule="exact"/>
              <w:textAlignment w:val="baseline"/>
              <w:rPr>
                <w:color w:val="000000"/>
                <w:sz w:val="26"/>
                <w:szCs w:val="26"/>
              </w:rPr>
            </w:pPr>
            <w:r w:rsidRPr="006A631A">
              <w:rPr>
                <w:color w:val="000000"/>
                <w:sz w:val="26"/>
                <w:szCs w:val="26"/>
              </w:rPr>
              <w:t>$1.95</w:t>
            </w:r>
          </w:p>
        </w:tc>
        <w:tc>
          <w:tcPr>
            <w:tcW w:w="450" w:type="dxa"/>
            <w:tcBorders>
              <w:top w:val="none" w:sz="0" w:space="0" w:color="020000"/>
              <w:left w:val="none" w:sz="0" w:space="0" w:color="020000"/>
              <w:bottom w:val="none" w:sz="0" w:space="0" w:color="020000"/>
              <w:right w:val="single" w:sz="9" w:space="0" w:color="000000"/>
            </w:tcBorders>
            <w:vAlign w:val="center"/>
          </w:tcPr>
          <w:p w14:paraId="4B1B78B3" w14:textId="77777777" w:rsidR="00D22018" w:rsidRPr="006A631A" w:rsidRDefault="00D22018" w:rsidP="00F510B9">
            <w:pPr>
              <w:widowControl/>
              <w:tabs>
                <w:tab w:val="decimal" w:pos="288"/>
              </w:tabs>
              <w:spacing w:before="179" w:after="154" w:line="228" w:lineRule="exact"/>
              <w:textAlignment w:val="baseline"/>
              <w:rPr>
                <w:color w:val="000000"/>
                <w:sz w:val="26"/>
                <w:szCs w:val="26"/>
              </w:rPr>
            </w:pPr>
            <w:r w:rsidRPr="006A631A">
              <w:rPr>
                <w:color w:val="000000"/>
                <w:sz w:val="26"/>
                <w:szCs w:val="26"/>
              </w:rPr>
              <w:t>8.3%</w:t>
            </w:r>
          </w:p>
        </w:tc>
      </w:tr>
      <w:tr w:rsidR="00D22018" w:rsidRPr="006A631A" w14:paraId="3FE627A0" w14:textId="77777777" w:rsidTr="000E6608">
        <w:trPr>
          <w:trHeight w:hRule="exact" w:val="571"/>
          <w:jc w:val="center"/>
        </w:trPr>
        <w:tc>
          <w:tcPr>
            <w:tcW w:w="1615" w:type="dxa"/>
            <w:tcBorders>
              <w:top w:val="none" w:sz="0" w:space="0" w:color="020000"/>
              <w:left w:val="single" w:sz="9" w:space="0" w:color="000000"/>
              <w:bottom w:val="none" w:sz="0" w:space="0" w:color="020000"/>
              <w:right w:val="single" w:sz="9" w:space="0" w:color="000000"/>
            </w:tcBorders>
            <w:vAlign w:val="center"/>
          </w:tcPr>
          <w:p w14:paraId="227CDF04" w14:textId="77777777" w:rsidR="00D22018" w:rsidRPr="006A631A" w:rsidRDefault="00D22018" w:rsidP="00F510B9">
            <w:pPr>
              <w:widowControl/>
              <w:spacing w:before="179" w:after="164" w:line="228" w:lineRule="exact"/>
              <w:ind w:left="116"/>
              <w:textAlignment w:val="baseline"/>
              <w:rPr>
                <w:color w:val="000000"/>
                <w:sz w:val="26"/>
                <w:szCs w:val="26"/>
              </w:rPr>
            </w:pPr>
            <w:r w:rsidRPr="006A631A">
              <w:rPr>
                <w:color w:val="000000"/>
                <w:sz w:val="26"/>
                <w:szCs w:val="26"/>
              </w:rPr>
              <w:t>Industrial</w:t>
            </w:r>
          </w:p>
        </w:tc>
        <w:tc>
          <w:tcPr>
            <w:tcW w:w="1176" w:type="dxa"/>
            <w:tcBorders>
              <w:top w:val="none" w:sz="0" w:space="0" w:color="020000"/>
              <w:left w:val="single" w:sz="9" w:space="0" w:color="000000"/>
              <w:bottom w:val="none" w:sz="0" w:space="0" w:color="020000"/>
              <w:right w:val="single" w:sz="9" w:space="0" w:color="000000"/>
            </w:tcBorders>
            <w:vAlign w:val="center"/>
          </w:tcPr>
          <w:p w14:paraId="2B8456D3" w14:textId="77777777" w:rsidR="00D22018" w:rsidRPr="006A631A" w:rsidRDefault="00D22018" w:rsidP="00F510B9">
            <w:pPr>
              <w:widowControl/>
              <w:spacing w:before="179" w:after="164" w:line="228" w:lineRule="exact"/>
              <w:ind w:left="169"/>
              <w:textAlignment w:val="baseline"/>
              <w:rPr>
                <w:color w:val="000000"/>
                <w:sz w:val="26"/>
                <w:szCs w:val="26"/>
              </w:rPr>
            </w:pPr>
            <w:r w:rsidRPr="006A631A">
              <w:rPr>
                <w:color w:val="000000"/>
                <w:sz w:val="26"/>
                <w:szCs w:val="26"/>
              </w:rPr>
              <w:t>$70.00</w:t>
            </w:r>
          </w:p>
        </w:tc>
        <w:tc>
          <w:tcPr>
            <w:tcW w:w="965" w:type="dxa"/>
            <w:tcBorders>
              <w:top w:val="none" w:sz="0" w:space="0" w:color="020000"/>
              <w:left w:val="single" w:sz="9" w:space="0" w:color="000000"/>
              <w:bottom w:val="none" w:sz="0" w:space="0" w:color="020000"/>
              <w:right w:val="none" w:sz="0" w:space="0" w:color="020000"/>
            </w:tcBorders>
            <w:vAlign w:val="center"/>
          </w:tcPr>
          <w:p w14:paraId="0F03A33D" w14:textId="77777777" w:rsidR="00D22018" w:rsidRPr="006A631A" w:rsidRDefault="00D22018" w:rsidP="00F510B9">
            <w:pPr>
              <w:widowControl/>
              <w:tabs>
                <w:tab w:val="decimal" w:pos="360"/>
              </w:tabs>
              <w:spacing w:before="179" w:after="164" w:line="228" w:lineRule="exact"/>
              <w:textAlignment w:val="baseline"/>
              <w:rPr>
                <w:color w:val="000000"/>
                <w:sz w:val="26"/>
                <w:szCs w:val="26"/>
              </w:rPr>
            </w:pPr>
            <w:r w:rsidRPr="006A631A">
              <w:rPr>
                <w:color w:val="000000"/>
                <w:sz w:val="26"/>
                <w:szCs w:val="26"/>
              </w:rPr>
              <w:t>$1.80</w:t>
            </w:r>
          </w:p>
        </w:tc>
        <w:tc>
          <w:tcPr>
            <w:tcW w:w="672" w:type="dxa"/>
            <w:tcBorders>
              <w:top w:val="none" w:sz="0" w:space="0" w:color="020000"/>
              <w:left w:val="none" w:sz="0" w:space="0" w:color="020000"/>
              <w:bottom w:val="none" w:sz="0" w:space="0" w:color="020000"/>
              <w:right w:val="single" w:sz="9" w:space="0" w:color="000000"/>
            </w:tcBorders>
            <w:vAlign w:val="center"/>
          </w:tcPr>
          <w:p w14:paraId="199A12AF" w14:textId="77777777" w:rsidR="00D22018" w:rsidRPr="006A631A" w:rsidRDefault="00D22018" w:rsidP="00F510B9">
            <w:pPr>
              <w:widowControl/>
              <w:tabs>
                <w:tab w:val="decimal" w:pos="216"/>
              </w:tabs>
              <w:spacing w:before="179" w:after="164" w:line="228" w:lineRule="exact"/>
              <w:textAlignment w:val="baseline"/>
              <w:rPr>
                <w:color w:val="000000"/>
                <w:sz w:val="26"/>
                <w:szCs w:val="26"/>
              </w:rPr>
            </w:pPr>
            <w:r w:rsidRPr="006A631A">
              <w:rPr>
                <w:color w:val="000000"/>
                <w:sz w:val="26"/>
                <w:szCs w:val="26"/>
              </w:rPr>
              <w:t>2.5%</w:t>
            </w:r>
          </w:p>
        </w:tc>
        <w:tc>
          <w:tcPr>
            <w:tcW w:w="900" w:type="dxa"/>
            <w:tcBorders>
              <w:top w:val="none" w:sz="0" w:space="0" w:color="020000"/>
              <w:left w:val="single" w:sz="9" w:space="0" w:color="000000"/>
              <w:bottom w:val="none" w:sz="0" w:space="0" w:color="020000"/>
              <w:right w:val="none" w:sz="0" w:space="0" w:color="020000"/>
            </w:tcBorders>
            <w:vAlign w:val="center"/>
          </w:tcPr>
          <w:p w14:paraId="46CB8DE7" w14:textId="77777777" w:rsidR="00D22018" w:rsidRPr="006A631A" w:rsidRDefault="00D22018" w:rsidP="00F510B9">
            <w:pPr>
              <w:widowControl/>
              <w:tabs>
                <w:tab w:val="decimal" w:pos="360"/>
              </w:tabs>
              <w:spacing w:before="179" w:after="164" w:line="228" w:lineRule="exact"/>
              <w:textAlignment w:val="baseline"/>
              <w:rPr>
                <w:color w:val="000000"/>
                <w:sz w:val="26"/>
                <w:szCs w:val="26"/>
              </w:rPr>
            </w:pPr>
            <w:r w:rsidRPr="006A631A">
              <w:rPr>
                <w:color w:val="000000"/>
                <w:sz w:val="26"/>
                <w:szCs w:val="26"/>
              </w:rPr>
              <w:t>$1.80</w:t>
            </w:r>
          </w:p>
        </w:tc>
        <w:tc>
          <w:tcPr>
            <w:tcW w:w="540" w:type="dxa"/>
            <w:tcBorders>
              <w:top w:val="none" w:sz="0" w:space="0" w:color="020000"/>
              <w:left w:val="none" w:sz="0" w:space="0" w:color="020000"/>
              <w:bottom w:val="none" w:sz="0" w:space="0" w:color="020000"/>
              <w:right w:val="single" w:sz="9" w:space="0" w:color="000000"/>
            </w:tcBorders>
            <w:vAlign w:val="center"/>
          </w:tcPr>
          <w:p w14:paraId="0A0FB7F4" w14:textId="77777777" w:rsidR="00D22018" w:rsidRPr="006A631A" w:rsidRDefault="00D22018" w:rsidP="00F510B9">
            <w:pPr>
              <w:widowControl/>
              <w:tabs>
                <w:tab w:val="decimal" w:pos="360"/>
              </w:tabs>
              <w:spacing w:before="179" w:after="164" w:line="228" w:lineRule="exact"/>
              <w:textAlignment w:val="baseline"/>
              <w:rPr>
                <w:color w:val="000000"/>
                <w:sz w:val="26"/>
                <w:szCs w:val="26"/>
              </w:rPr>
            </w:pPr>
            <w:r w:rsidRPr="006A631A">
              <w:rPr>
                <w:color w:val="000000"/>
                <w:sz w:val="26"/>
                <w:szCs w:val="26"/>
              </w:rPr>
              <w:t>2.5%</w:t>
            </w:r>
          </w:p>
        </w:tc>
        <w:tc>
          <w:tcPr>
            <w:tcW w:w="900" w:type="dxa"/>
            <w:tcBorders>
              <w:top w:val="none" w:sz="0" w:space="0" w:color="020000"/>
              <w:left w:val="single" w:sz="9" w:space="0" w:color="000000"/>
              <w:bottom w:val="none" w:sz="0" w:space="0" w:color="020000"/>
              <w:right w:val="none" w:sz="0" w:space="0" w:color="020000"/>
            </w:tcBorders>
            <w:vAlign w:val="center"/>
          </w:tcPr>
          <w:p w14:paraId="1810C7BC" w14:textId="77777777" w:rsidR="00D22018" w:rsidRPr="006A631A" w:rsidRDefault="00D22018" w:rsidP="00F510B9">
            <w:pPr>
              <w:widowControl/>
              <w:tabs>
                <w:tab w:val="decimal" w:pos="360"/>
              </w:tabs>
              <w:spacing w:before="179" w:after="164" w:line="228" w:lineRule="exact"/>
              <w:textAlignment w:val="baseline"/>
              <w:rPr>
                <w:color w:val="000000"/>
                <w:sz w:val="26"/>
                <w:szCs w:val="26"/>
              </w:rPr>
            </w:pPr>
            <w:r w:rsidRPr="006A631A">
              <w:rPr>
                <w:color w:val="000000"/>
                <w:sz w:val="26"/>
                <w:szCs w:val="26"/>
              </w:rPr>
              <w:t>$2.30</w:t>
            </w:r>
          </w:p>
        </w:tc>
        <w:tc>
          <w:tcPr>
            <w:tcW w:w="730" w:type="dxa"/>
            <w:tcBorders>
              <w:top w:val="none" w:sz="0" w:space="0" w:color="020000"/>
              <w:left w:val="none" w:sz="0" w:space="0" w:color="020000"/>
              <w:bottom w:val="none" w:sz="0" w:space="0" w:color="020000"/>
              <w:right w:val="single" w:sz="9" w:space="0" w:color="000000"/>
            </w:tcBorders>
            <w:vAlign w:val="center"/>
          </w:tcPr>
          <w:p w14:paraId="56CB44B2" w14:textId="77777777" w:rsidR="00D22018" w:rsidRPr="006A631A" w:rsidRDefault="00D22018" w:rsidP="00F510B9">
            <w:pPr>
              <w:widowControl/>
              <w:tabs>
                <w:tab w:val="decimal" w:pos="288"/>
              </w:tabs>
              <w:spacing w:before="179" w:after="164" w:line="228" w:lineRule="exact"/>
              <w:textAlignment w:val="baseline"/>
              <w:rPr>
                <w:color w:val="000000"/>
                <w:sz w:val="26"/>
                <w:szCs w:val="26"/>
              </w:rPr>
            </w:pPr>
            <w:r w:rsidRPr="006A631A">
              <w:rPr>
                <w:color w:val="000000"/>
                <w:sz w:val="26"/>
                <w:szCs w:val="26"/>
              </w:rPr>
              <w:t>3.3%</w:t>
            </w:r>
          </w:p>
        </w:tc>
        <w:tc>
          <w:tcPr>
            <w:tcW w:w="1250" w:type="dxa"/>
            <w:tcBorders>
              <w:top w:val="none" w:sz="0" w:space="0" w:color="020000"/>
              <w:left w:val="single" w:sz="9" w:space="0" w:color="000000"/>
              <w:bottom w:val="none" w:sz="0" w:space="0" w:color="020000"/>
              <w:right w:val="none" w:sz="0" w:space="0" w:color="020000"/>
            </w:tcBorders>
            <w:vAlign w:val="center"/>
          </w:tcPr>
          <w:p w14:paraId="4F1752DB" w14:textId="77777777" w:rsidR="00D22018" w:rsidRPr="006A631A" w:rsidRDefault="00D22018" w:rsidP="00F510B9">
            <w:pPr>
              <w:widowControl/>
              <w:tabs>
                <w:tab w:val="decimal" w:pos="360"/>
              </w:tabs>
              <w:spacing w:before="179" w:after="164" w:line="228" w:lineRule="exact"/>
              <w:textAlignment w:val="baseline"/>
              <w:rPr>
                <w:color w:val="000000"/>
                <w:sz w:val="26"/>
                <w:szCs w:val="26"/>
              </w:rPr>
            </w:pPr>
            <w:r w:rsidRPr="006A631A">
              <w:rPr>
                <w:color w:val="000000"/>
                <w:sz w:val="26"/>
                <w:szCs w:val="26"/>
              </w:rPr>
              <w:t>$5.90</w:t>
            </w:r>
          </w:p>
        </w:tc>
        <w:tc>
          <w:tcPr>
            <w:tcW w:w="450" w:type="dxa"/>
            <w:tcBorders>
              <w:top w:val="none" w:sz="0" w:space="0" w:color="020000"/>
              <w:left w:val="none" w:sz="0" w:space="0" w:color="020000"/>
              <w:bottom w:val="none" w:sz="0" w:space="0" w:color="020000"/>
              <w:right w:val="single" w:sz="9" w:space="0" w:color="000000"/>
            </w:tcBorders>
            <w:vAlign w:val="center"/>
          </w:tcPr>
          <w:p w14:paraId="4CD26E81" w14:textId="77777777" w:rsidR="00D22018" w:rsidRPr="006A631A" w:rsidRDefault="00D22018" w:rsidP="00F510B9">
            <w:pPr>
              <w:widowControl/>
              <w:tabs>
                <w:tab w:val="decimal" w:pos="288"/>
              </w:tabs>
              <w:spacing w:before="179" w:after="164" w:line="228" w:lineRule="exact"/>
              <w:textAlignment w:val="baseline"/>
              <w:rPr>
                <w:color w:val="000000"/>
                <w:sz w:val="26"/>
                <w:szCs w:val="26"/>
              </w:rPr>
            </w:pPr>
            <w:r w:rsidRPr="006A631A">
              <w:rPr>
                <w:color w:val="000000"/>
                <w:sz w:val="26"/>
                <w:szCs w:val="26"/>
              </w:rPr>
              <w:t>8.4%</w:t>
            </w:r>
          </w:p>
        </w:tc>
      </w:tr>
      <w:tr w:rsidR="00D22018" w:rsidRPr="006A631A" w14:paraId="511560BD" w14:textId="77777777" w:rsidTr="000E6608">
        <w:trPr>
          <w:trHeight w:hRule="exact" w:val="572"/>
          <w:jc w:val="center"/>
        </w:trPr>
        <w:tc>
          <w:tcPr>
            <w:tcW w:w="1615" w:type="dxa"/>
            <w:tcBorders>
              <w:top w:val="none" w:sz="0" w:space="0" w:color="020000"/>
              <w:left w:val="single" w:sz="9" w:space="0" w:color="000000"/>
              <w:bottom w:val="none" w:sz="0" w:space="0" w:color="020000"/>
              <w:right w:val="single" w:sz="9" w:space="0" w:color="000000"/>
            </w:tcBorders>
            <w:vAlign w:val="center"/>
          </w:tcPr>
          <w:p w14:paraId="7B8AFA04" w14:textId="77777777" w:rsidR="00D22018" w:rsidRPr="006A631A" w:rsidRDefault="00D22018" w:rsidP="00F510B9">
            <w:pPr>
              <w:widowControl/>
              <w:spacing w:before="179" w:after="154" w:line="228" w:lineRule="exact"/>
              <w:ind w:left="116"/>
              <w:textAlignment w:val="baseline"/>
              <w:rPr>
                <w:color w:val="000000"/>
                <w:sz w:val="26"/>
                <w:szCs w:val="26"/>
              </w:rPr>
            </w:pPr>
            <w:r w:rsidRPr="006A631A">
              <w:rPr>
                <w:color w:val="000000"/>
                <w:sz w:val="26"/>
                <w:szCs w:val="26"/>
              </w:rPr>
              <w:t>Municipal</w:t>
            </w:r>
          </w:p>
        </w:tc>
        <w:tc>
          <w:tcPr>
            <w:tcW w:w="1176" w:type="dxa"/>
            <w:tcBorders>
              <w:top w:val="none" w:sz="0" w:space="0" w:color="020000"/>
              <w:left w:val="single" w:sz="9" w:space="0" w:color="000000"/>
              <w:bottom w:val="none" w:sz="0" w:space="0" w:color="020000"/>
              <w:right w:val="single" w:sz="9" w:space="0" w:color="000000"/>
            </w:tcBorders>
            <w:vAlign w:val="center"/>
          </w:tcPr>
          <w:p w14:paraId="1DA663F1" w14:textId="77777777" w:rsidR="00D22018" w:rsidRPr="006A631A" w:rsidRDefault="00D22018" w:rsidP="00F510B9">
            <w:pPr>
              <w:widowControl/>
              <w:spacing w:before="179" w:after="154" w:line="228" w:lineRule="exact"/>
              <w:ind w:left="169"/>
              <w:textAlignment w:val="baseline"/>
              <w:rPr>
                <w:color w:val="000000"/>
                <w:sz w:val="26"/>
                <w:szCs w:val="26"/>
              </w:rPr>
            </w:pPr>
            <w:r w:rsidRPr="006A631A">
              <w:rPr>
                <w:color w:val="000000"/>
                <w:sz w:val="26"/>
                <w:szCs w:val="26"/>
              </w:rPr>
              <w:t>$23.40</w:t>
            </w:r>
          </w:p>
        </w:tc>
        <w:tc>
          <w:tcPr>
            <w:tcW w:w="965" w:type="dxa"/>
            <w:tcBorders>
              <w:top w:val="none" w:sz="0" w:space="0" w:color="020000"/>
              <w:left w:val="single" w:sz="9" w:space="0" w:color="000000"/>
              <w:bottom w:val="none" w:sz="0" w:space="0" w:color="020000"/>
              <w:right w:val="none" w:sz="0" w:space="0" w:color="020000"/>
            </w:tcBorders>
            <w:vAlign w:val="center"/>
          </w:tcPr>
          <w:p w14:paraId="1354CB07" w14:textId="77777777" w:rsidR="00D22018" w:rsidRPr="006A631A" w:rsidRDefault="00D22018" w:rsidP="00F510B9">
            <w:pPr>
              <w:widowControl/>
              <w:tabs>
                <w:tab w:val="decimal" w:pos="360"/>
              </w:tabs>
              <w:spacing w:before="179" w:after="154" w:line="228" w:lineRule="exact"/>
              <w:textAlignment w:val="baseline"/>
              <w:rPr>
                <w:color w:val="000000"/>
                <w:sz w:val="26"/>
                <w:szCs w:val="26"/>
              </w:rPr>
            </w:pPr>
            <w:r w:rsidRPr="006A631A">
              <w:rPr>
                <w:color w:val="000000"/>
                <w:sz w:val="26"/>
                <w:szCs w:val="26"/>
              </w:rPr>
              <w:t>$0.60</w:t>
            </w:r>
          </w:p>
        </w:tc>
        <w:tc>
          <w:tcPr>
            <w:tcW w:w="672" w:type="dxa"/>
            <w:tcBorders>
              <w:top w:val="none" w:sz="0" w:space="0" w:color="020000"/>
              <w:left w:val="none" w:sz="0" w:space="0" w:color="020000"/>
              <w:bottom w:val="none" w:sz="0" w:space="0" w:color="020000"/>
              <w:right w:val="single" w:sz="9" w:space="0" w:color="000000"/>
            </w:tcBorders>
            <w:vAlign w:val="center"/>
          </w:tcPr>
          <w:p w14:paraId="36FD810B" w14:textId="77777777" w:rsidR="00D22018" w:rsidRPr="006A631A" w:rsidRDefault="00D22018" w:rsidP="00F510B9">
            <w:pPr>
              <w:widowControl/>
              <w:tabs>
                <w:tab w:val="decimal" w:pos="216"/>
              </w:tabs>
              <w:spacing w:before="179" w:after="154" w:line="228" w:lineRule="exact"/>
              <w:textAlignment w:val="baseline"/>
              <w:rPr>
                <w:color w:val="000000"/>
                <w:sz w:val="26"/>
                <w:szCs w:val="26"/>
              </w:rPr>
            </w:pPr>
            <w:r w:rsidRPr="006A631A">
              <w:rPr>
                <w:color w:val="000000"/>
                <w:sz w:val="26"/>
                <w:szCs w:val="26"/>
              </w:rPr>
              <w:t>2.5%</w:t>
            </w:r>
          </w:p>
        </w:tc>
        <w:tc>
          <w:tcPr>
            <w:tcW w:w="900" w:type="dxa"/>
            <w:tcBorders>
              <w:top w:val="none" w:sz="0" w:space="0" w:color="020000"/>
              <w:left w:val="single" w:sz="9" w:space="0" w:color="000000"/>
              <w:bottom w:val="none" w:sz="0" w:space="0" w:color="020000"/>
              <w:right w:val="none" w:sz="0" w:space="0" w:color="020000"/>
            </w:tcBorders>
            <w:vAlign w:val="center"/>
          </w:tcPr>
          <w:p w14:paraId="364C50FF" w14:textId="77777777" w:rsidR="00D22018" w:rsidRPr="006A631A" w:rsidRDefault="00D22018" w:rsidP="00F510B9">
            <w:pPr>
              <w:widowControl/>
              <w:tabs>
                <w:tab w:val="decimal" w:pos="360"/>
              </w:tabs>
              <w:spacing w:before="179" w:after="154" w:line="228" w:lineRule="exact"/>
              <w:textAlignment w:val="baseline"/>
              <w:rPr>
                <w:color w:val="000000"/>
                <w:sz w:val="26"/>
                <w:szCs w:val="26"/>
              </w:rPr>
            </w:pPr>
            <w:r w:rsidRPr="006A631A">
              <w:rPr>
                <w:color w:val="000000"/>
                <w:sz w:val="26"/>
                <w:szCs w:val="26"/>
              </w:rPr>
              <w:t>$0.60</w:t>
            </w:r>
          </w:p>
        </w:tc>
        <w:tc>
          <w:tcPr>
            <w:tcW w:w="540" w:type="dxa"/>
            <w:tcBorders>
              <w:top w:val="none" w:sz="0" w:space="0" w:color="020000"/>
              <w:left w:val="none" w:sz="0" w:space="0" w:color="020000"/>
              <w:bottom w:val="none" w:sz="0" w:space="0" w:color="020000"/>
              <w:right w:val="single" w:sz="9" w:space="0" w:color="000000"/>
            </w:tcBorders>
            <w:vAlign w:val="center"/>
          </w:tcPr>
          <w:p w14:paraId="28CC23D9" w14:textId="77777777" w:rsidR="00D22018" w:rsidRPr="006A631A" w:rsidRDefault="00D22018" w:rsidP="00F510B9">
            <w:pPr>
              <w:widowControl/>
              <w:tabs>
                <w:tab w:val="decimal" w:pos="360"/>
              </w:tabs>
              <w:spacing w:before="179" w:after="154" w:line="228" w:lineRule="exact"/>
              <w:textAlignment w:val="baseline"/>
              <w:rPr>
                <w:color w:val="000000"/>
                <w:sz w:val="26"/>
                <w:szCs w:val="26"/>
              </w:rPr>
            </w:pPr>
            <w:r w:rsidRPr="006A631A">
              <w:rPr>
                <w:color w:val="000000"/>
                <w:sz w:val="26"/>
                <w:szCs w:val="26"/>
              </w:rPr>
              <w:t>2.5%</w:t>
            </w:r>
          </w:p>
        </w:tc>
        <w:tc>
          <w:tcPr>
            <w:tcW w:w="900" w:type="dxa"/>
            <w:tcBorders>
              <w:top w:val="none" w:sz="0" w:space="0" w:color="020000"/>
              <w:left w:val="single" w:sz="9" w:space="0" w:color="000000"/>
              <w:bottom w:val="none" w:sz="0" w:space="0" w:color="020000"/>
              <w:right w:val="none" w:sz="0" w:space="0" w:color="020000"/>
            </w:tcBorders>
            <w:vAlign w:val="center"/>
          </w:tcPr>
          <w:p w14:paraId="3A88142C" w14:textId="77777777" w:rsidR="00D22018" w:rsidRPr="006A631A" w:rsidRDefault="00D22018" w:rsidP="00F510B9">
            <w:pPr>
              <w:widowControl/>
              <w:tabs>
                <w:tab w:val="decimal" w:pos="360"/>
              </w:tabs>
              <w:spacing w:before="179" w:after="154" w:line="228" w:lineRule="exact"/>
              <w:textAlignment w:val="baseline"/>
              <w:rPr>
                <w:color w:val="000000"/>
                <w:sz w:val="26"/>
                <w:szCs w:val="26"/>
              </w:rPr>
            </w:pPr>
            <w:r w:rsidRPr="006A631A">
              <w:rPr>
                <w:color w:val="000000"/>
                <w:sz w:val="26"/>
                <w:szCs w:val="26"/>
              </w:rPr>
              <w:t>$0.75</w:t>
            </w:r>
          </w:p>
        </w:tc>
        <w:tc>
          <w:tcPr>
            <w:tcW w:w="730" w:type="dxa"/>
            <w:tcBorders>
              <w:top w:val="none" w:sz="0" w:space="0" w:color="020000"/>
              <w:left w:val="none" w:sz="0" w:space="0" w:color="020000"/>
              <w:bottom w:val="none" w:sz="0" w:space="0" w:color="020000"/>
              <w:right w:val="single" w:sz="9" w:space="0" w:color="000000"/>
            </w:tcBorders>
            <w:vAlign w:val="center"/>
          </w:tcPr>
          <w:p w14:paraId="117ABBBF" w14:textId="77777777" w:rsidR="00D22018" w:rsidRPr="006A631A" w:rsidRDefault="00D22018" w:rsidP="00F510B9">
            <w:pPr>
              <w:widowControl/>
              <w:tabs>
                <w:tab w:val="decimal" w:pos="288"/>
              </w:tabs>
              <w:spacing w:before="179" w:after="154" w:line="228" w:lineRule="exact"/>
              <w:textAlignment w:val="baseline"/>
              <w:rPr>
                <w:color w:val="000000"/>
                <w:sz w:val="26"/>
                <w:szCs w:val="26"/>
              </w:rPr>
            </w:pPr>
            <w:r w:rsidRPr="006A631A">
              <w:rPr>
                <w:color w:val="000000"/>
                <w:sz w:val="26"/>
                <w:szCs w:val="26"/>
              </w:rPr>
              <w:t>3.2%</w:t>
            </w:r>
          </w:p>
        </w:tc>
        <w:tc>
          <w:tcPr>
            <w:tcW w:w="1250" w:type="dxa"/>
            <w:tcBorders>
              <w:top w:val="none" w:sz="0" w:space="0" w:color="020000"/>
              <w:left w:val="single" w:sz="9" w:space="0" w:color="000000"/>
              <w:bottom w:val="none" w:sz="0" w:space="0" w:color="020000"/>
              <w:right w:val="none" w:sz="0" w:space="0" w:color="020000"/>
            </w:tcBorders>
            <w:vAlign w:val="center"/>
          </w:tcPr>
          <w:p w14:paraId="2C81471C" w14:textId="77777777" w:rsidR="00D22018" w:rsidRPr="006A631A" w:rsidRDefault="00D22018" w:rsidP="00F510B9">
            <w:pPr>
              <w:widowControl/>
              <w:tabs>
                <w:tab w:val="decimal" w:pos="360"/>
              </w:tabs>
              <w:spacing w:before="179" w:after="154" w:line="228" w:lineRule="exact"/>
              <w:textAlignment w:val="baseline"/>
              <w:rPr>
                <w:color w:val="000000"/>
                <w:sz w:val="26"/>
                <w:szCs w:val="26"/>
              </w:rPr>
            </w:pPr>
            <w:r w:rsidRPr="006A631A">
              <w:rPr>
                <w:color w:val="000000"/>
                <w:sz w:val="26"/>
                <w:szCs w:val="26"/>
              </w:rPr>
              <w:t>$1.95</w:t>
            </w:r>
          </w:p>
        </w:tc>
        <w:tc>
          <w:tcPr>
            <w:tcW w:w="450" w:type="dxa"/>
            <w:tcBorders>
              <w:top w:val="none" w:sz="0" w:space="0" w:color="020000"/>
              <w:left w:val="none" w:sz="0" w:space="0" w:color="020000"/>
              <w:bottom w:val="none" w:sz="0" w:space="0" w:color="020000"/>
              <w:right w:val="single" w:sz="9" w:space="0" w:color="000000"/>
            </w:tcBorders>
            <w:vAlign w:val="center"/>
          </w:tcPr>
          <w:p w14:paraId="7691C3E7" w14:textId="77777777" w:rsidR="00D22018" w:rsidRPr="006A631A" w:rsidRDefault="00D22018" w:rsidP="00F510B9">
            <w:pPr>
              <w:widowControl/>
              <w:tabs>
                <w:tab w:val="decimal" w:pos="288"/>
              </w:tabs>
              <w:spacing w:before="179" w:after="154" w:line="228" w:lineRule="exact"/>
              <w:textAlignment w:val="baseline"/>
              <w:rPr>
                <w:color w:val="000000"/>
                <w:sz w:val="26"/>
                <w:szCs w:val="26"/>
              </w:rPr>
            </w:pPr>
            <w:r w:rsidRPr="006A631A">
              <w:rPr>
                <w:color w:val="000000"/>
                <w:sz w:val="26"/>
                <w:szCs w:val="26"/>
              </w:rPr>
              <w:t>8.3%</w:t>
            </w:r>
          </w:p>
        </w:tc>
      </w:tr>
      <w:tr w:rsidR="00D22018" w:rsidRPr="006A631A" w14:paraId="3D4B108A" w14:textId="77777777" w:rsidTr="000E6608">
        <w:trPr>
          <w:trHeight w:hRule="exact" w:val="571"/>
          <w:jc w:val="center"/>
        </w:trPr>
        <w:tc>
          <w:tcPr>
            <w:tcW w:w="1615" w:type="dxa"/>
            <w:tcBorders>
              <w:top w:val="none" w:sz="0" w:space="0" w:color="020000"/>
              <w:left w:val="single" w:sz="9" w:space="0" w:color="000000"/>
              <w:bottom w:val="none" w:sz="0" w:space="0" w:color="020000"/>
              <w:right w:val="single" w:sz="9" w:space="0" w:color="000000"/>
            </w:tcBorders>
            <w:vAlign w:val="center"/>
          </w:tcPr>
          <w:p w14:paraId="3C2D1B30" w14:textId="77777777" w:rsidR="00D22018" w:rsidRPr="006A631A" w:rsidRDefault="00D22018" w:rsidP="00F510B9">
            <w:pPr>
              <w:widowControl/>
              <w:spacing w:before="166" w:after="154" w:line="245" w:lineRule="exact"/>
              <w:ind w:left="116"/>
              <w:textAlignment w:val="baseline"/>
              <w:rPr>
                <w:color w:val="000000"/>
                <w:sz w:val="26"/>
                <w:szCs w:val="26"/>
              </w:rPr>
            </w:pPr>
            <w:r w:rsidRPr="006A631A">
              <w:rPr>
                <w:color w:val="000000"/>
                <w:sz w:val="26"/>
                <w:szCs w:val="26"/>
              </w:rPr>
              <w:t>PHA – GS</w:t>
            </w:r>
          </w:p>
        </w:tc>
        <w:tc>
          <w:tcPr>
            <w:tcW w:w="1176" w:type="dxa"/>
            <w:tcBorders>
              <w:top w:val="none" w:sz="0" w:space="0" w:color="020000"/>
              <w:left w:val="single" w:sz="9" w:space="0" w:color="000000"/>
              <w:bottom w:val="none" w:sz="0" w:space="0" w:color="020000"/>
              <w:right w:val="single" w:sz="9" w:space="0" w:color="000000"/>
            </w:tcBorders>
            <w:vAlign w:val="center"/>
          </w:tcPr>
          <w:p w14:paraId="2978C2D3" w14:textId="77777777" w:rsidR="00D22018" w:rsidRPr="006A631A" w:rsidRDefault="00D22018" w:rsidP="00F510B9">
            <w:pPr>
              <w:widowControl/>
              <w:spacing w:before="178" w:after="159" w:line="228" w:lineRule="exact"/>
              <w:ind w:left="169"/>
              <w:textAlignment w:val="baseline"/>
              <w:rPr>
                <w:color w:val="000000"/>
                <w:sz w:val="26"/>
                <w:szCs w:val="26"/>
              </w:rPr>
            </w:pPr>
            <w:r w:rsidRPr="006A631A">
              <w:rPr>
                <w:color w:val="000000"/>
                <w:sz w:val="26"/>
                <w:szCs w:val="26"/>
              </w:rPr>
              <w:t>$13.75</w:t>
            </w:r>
          </w:p>
        </w:tc>
        <w:tc>
          <w:tcPr>
            <w:tcW w:w="965" w:type="dxa"/>
            <w:tcBorders>
              <w:top w:val="none" w:sz="0" w:space="0" w:color="020000"/>
              <w:left w:val="single" w:sz="9" w:space="0" w:color="000000"/>
              <w:bottom w:val="none" w:sz="0" w:space="0" w:color="020000"/>
              <w:right w:val="none" w:sz="0" w:space="0" w:color="020000"/>
            </w:tcBorders>
            <w:vAlign w:val="center"/>
          </w:tcPr>
          <w:p w14:paraId="18D6EFF2" w14:textId="77777777" w:rsidR="00D22018" w:rsidRPr="006A631A" w:rsidRDefault="00D22018" w:rsidP="00F510B9">
            <w:pPr>
              <w:widowControl/>
              <w:tabs>
                <w:tab w:val="decimal" w:pos="360"/>
              </w:tabs>
              <w:spacing w:before="178" w:after="159" w:line="228" w:lineRule="exact"/>
              <w:textAlignment w:val="baseline"/>
              <w:rPr>
                <w:color w:val="000000"/>
                <w:sz w:val="26"/>
                <w:szCs w:val="26"/>
              </w:rPr>
            </w:pPr>
            <w:r w:rsidRPr="006A631A">
              <w:rPr>
                <w:color w:val="000000"/>
                <w:sz w:val="26"/>
                <w:szCs w:val="26"/>
              </w:rPr>
              <w:t>$0.35</w:t>
            </w:r>
          </w:p>
        </w:tc>
        <w:tc>
          <w:tcPr>
            <w:tcW w:w="672" w:type="dxa"/>
            <w:tcBorders>
              <w:top w:val="none" w:sz="0" w:space="0" w:color="020000"/>
              <w:left w:val="none" w:sz="0" w:space="0" w:color="020000"/>
              <w:bottom w:val="none" w:sz="0" w:space="0" w:color="020000"/>
              <w:right w:val="single" w:sz="9" w:space="0" w:color="000000"/>
            </w:tcBorders>
            <w:vAlign w:val="center"/>
          </w:tcPr>
          <w:p w14:paraId="08BFE1D9" w14:textId="77777777" w:rsidR="00D22018" w:rsidRPr="006A631A" w:rsidRDefault="00D22018" w:rsidP="00F510B9">
            <w:pPr>
              <w:widowControl/>
              <w:tabs>
                <w:tab w:val="decimal" w:pos="216"/>
              </w:tabs>
              <w:spacing w:before="178" w:after="159" w:line="228" w:lineRule="exact"/>
              <w:textAlignment w:val="baseline"/>
              <w:rPr>
                <w:color w:val="000000"/>
                <w:sz w:val="26"/>
                <w:szCs w:val="26"/>
              </w:rPr>
            </w:pPr>
            <w:r w:rsidRPr="006A631A">
              <w:rPr>
                <w:color w:val="000000"/>
                <w:sz w:val="26"/>
                <w:szCs w:val="26"/>
              </w:rPr>
              <w:t>2.5%</w:t>
            </w:r>
          </w:p>
        </w:tc>
        <w:tc>
          <w:tcPr>
            <w:tcW w:w="900" w:type="dxa"/>
            <w:tcBorders>
              <w:top w:val="none" w:sz="0" w:space="0" w:color="020000"/>
              <w:left w:val="single" w:sz="9" w:space="0" w:color="000000"/>
              <w:bottom w:val="none" w:sz="0" w:space="0" w:color="020000"/>
              <w:right w:val="none" w:sz="0" w:space="0" w:color="020000"/>
            </w:tcBorders>
            <w:vAlign w:val="center"/>
          </w:tcPr>
          <w:p w14:paraId="4447E785" w14:textId="77777777" w:rsidR="00D22018" w:rsidRPr="006A631A" w:rsidRDefault="00D22018" w:rsidP="00F510B9">
            <w:pPr>
              <w:widowControl/>
              <w:tabs>
                <w:tab w:val="decimal" w:pos="360"/>
              </w:tabs>
              <w:spacing w:before="178" w:after="159" w:line="228" w:lineRule="exact"/>
              <w:textAlignment w:val="baseline"/>
              <w:rPr>
                <w:color w:val="000000"/>
                <w:sz w:val="26"/>
                <w:szCs w:val="26"/>
              </w:rPr>
            </w:pPr>
            <w:r w:rsidRPr="006A631A">
              <w:rPr>
                <w:color w:val="000000"/>
                <w:sz w:val="26"/>
                <w:szCs w:val="26"/>
              </w:rPr>
              <w:t>$0.35</w:t>
            </w:r>
          </w:p>
        </w:tc>
        <w:tc>
          <w:tcPr>
            <w:tcW w:w="540" w:type="dxa"/>
            <w:tcBorders>
              <w:top w:val="none" w:sz="0" w:space="0" w:color="020000"/>
              <w:left w:val="none" w:sz="0" w:space="0" w:color="020000"/>
              <w:bottom w:val="none" w:sz="0" w:space="0" w:color="020000"/>
              <w:right w:val="single" w:sz="9" w:space="0" w:color="000000"/>
            </w:tcBorders>
            <w:vAlign w:val="center"/>
          </w:tcPr>
          <w:p w14:paraId="1589C12C" w14:textId="77777777" w:rsidR="00D22018" w:rsidRPr="006A631A" w:rsidRDefault="00D22018" w:rsidP="00F510B9">
            <w:pPr>
              <w:widowControl/>
              <w:tabs>
                <w:tab w:val="decimal" w:pos="360"/>
              </w:tabs>
              <w:spacing w:before="178" w:after="159" w:line="228" w:lineRule="exact"/>
              <w:textAlignment w:val="baseline"/>
              <w:rPr>
                <w:color w:val="000000"/>
                <w:sz w:val="26"/>
                <w:szCs w:val="26"/>
              </w:rPr>
            </w:pPr>
            <w:r w:rsidRPr="006A631A">
              <w:rPr>
                <w:color w:val="000000"/>
                <w:sz w:val="26"/>
                <w:szCs w:val="26"/>
              </w:rPr>
              <w:t>2.5%</w:t>
            </w:r>
          </w:p>
        </w:tc>
        <w:tc>
          <w:tcPr>
            <w:tcW w:w="900" w:type="dxa"/>
            <w:tcBorders>
              <w:top w:val="none" w:sz="0" w:space="0" w:color="020000"/>
              <w:left w:val="single" w:sz="9" w:space="0" w:color="000000"/>
              <w:bottom w:val="none" w:sz="0" w:space="0" w:color="020000"/>
              <w:right w:val="none" w:sz="0" w:space="0" w:color="020000"/>
            </w:tcBorders>
            <w:vAlign w:val="center"/>
          </w:tcPr>
          <w:p w14:paraId="60C45F04" w14:textId="77777777" w:rsidR="00D22018" w:rsidRPr="006A631A" w:rsidRDefault="00D22018" w:rsidP="00F510B9">
            <w:pPr>
              <w:widowControl/>
              <w:tabs>
                <w:tab w:val="decimal" w:pos="360"/>
              </w:tabs>
              <w:spacing w:before="178" w:after="159" w:line="228" w:lineRule="exact"/>
              <w:textAlignment w:val="baseline"/>
              <w:rPr>
                <w:color w:val="000000"/>
                <w:sz w:val="26"/>
                <w:szCs w:val="26"/>
              </w:rPr>
            </w:pPr>
            <w:r w:rsidRPr="006A631A">
              <w:rPr>
                <w:color w:val="000000"/>
                <w:sz w:val="26"/>
                <w:szCs w:val="26"/>
              </w:rPr>
              <w:t>$0.45</w:t>
            </w:r>
          </w:p>
        </w:tc>
        <w:tc>
          <w:tcPr>
            <w:tcW w:w="730" w:type="dxa"/>
            <w:tcBorders>
              <w:top w:val="none" w:sz="0" w:space="0" w:color="020000"/>
              <w:left w:val="none" w:sz="0" w:space="0" w:color="020000"/>
              <w:bottom w:val="none" w:sz="0" w:space="0" w:color="020000"/>
              <w:right w:val="single" w:sz="9" w:space="0" w:color="000000"/>
            </w:tcBorders>
            <w:vAlign w:val="center"/>
          </w:tcPr>
          <w:p w14:paraId="687E18D5" w14:textId="77777777" w:rsidR="00D22018" w:rsidRPr="006A631A" w:rsidRDefault="00D22018" w:rsidP="00F510B9">
            <w:pPr>
              <w:widowControl/>
              <w:tabs>
                <w:tab w:val="decimal" w:pos="288"/>
              </w:tabs>
              <w:spacing w:before="178" w:after="159" w:line="228" w:lineRule="exact"/>
              <w:textAlignment w:val="baseline"/>
              <w:rPr>
                <w:color w:val="000000"/>
                <w:sz w:val="26"/>
                <w:szCs w:val="26"/>
              </w:rPr>
            </w:pPr>
            <w:r w:rsidRPr="006A631A">
              <w:rPr>
                <w:color w:val="000000"/>
                <w:sz w:val="26"/>
                <w:szCs w:val="26"/>
              </w:rPr>
              <w:t>3.3%</w:t>
            </w:r>
          </w:p>
        </w:tc>
        <w:tc>
          <w:tcPr>
            <w:tcW w:w="1250" w:type="dxa"/>
            <w:tcBorders>
              <w:top w:val="none" w:sz="0" w:space="0" w:color="020000"/>
              <w:left w:val="single" w:sz="9" w:space="0" w:color="000000"/>
              <w:bottom w:val="none" w:sz="0" w:space="0" w:color="020000"/>
              <w:right w:val="none" w:sz="0" w:space="0" w:color="020000"/>
            </w:tcBorders>
            <w:vAlign w:val="center"/>
          </w:tcPr>
          <w:p w14:paraId="488B914C" w14:textId="77777777" w:rsidR="00D22018" w:rsidRPr="006A631A" w:rsidRDefault="00D22018" w:rsidP="00F510B9">
            <w:pPr>
              <w:widowControl/>
              <w:tabs>
                <w:tab w:val="decimal" w:pos="360"/>
              </w:tabs>
              <w:spacing w:before="178" w:after="159" w:line="228" w:lineRule="exact"/>
              <w:textAlignment w:val="baseline"/>
              <w:rPr>
                <w:color w:val="000000"/>
                <w:sz w:val="26"/>
                <w:szCs w:val="26"/>
              </w:rPr>
            </w:pPr>
            <w:r w:rsidRPr="006A631A">
              <w:rPr>
                <w:color w:val="000000"/>
                <w:sz w:val="26"/>
                <w:szCs w:val="26"/>
              </w:rPr>
              <w:t>$1.15</w:t>
            </w:r>
          </w:p>
        </w:tc>
        <w:tc>
          <w:tcPr>
            <w:tcW w:w="450" w:type="dxa"/>
            <w:tcBorders>
              <w:top w:val="none" w:sz="0" w:space="0" w:color="020000"/>
              <w:left w:val="none" w:sz="0" w:space="0" w:color="020000"/>
              <w:bottom w:val="none" w:sz="0" w:space="0" w:color="020000"/>
              <w:right w:val="single" w:sz="9" w:space="0" w:color="000000"/>
            </w:tcBorders>
            <w:vAlign w:val="center"/>
          </w:tcPr>
          <w:p w14:paraId="2D51FC5C" w14:textId="77777777" w:rsidR="00D22018" w:rsidRPr="006A631A" w:rsidRDefault="00D22018" w:rsidP="00F510B9">
            <w:pPr>
              <w:widowControl/>
              <w:tabs>
                <w:tab w:val="decimal" w:pos="288"/>
              </w:tabs>
              <w:spacing w:before="178" w:after="159" w:line="228" w:lineRule="exact"/>
              <w:textAlignment w:val="baseline"/>
              <w:rPr>
                <w:color w:val="000000"/>
                <w:sz w:val="26"/>
                <w:szCs w:val="26"/>
              </w:rPr>
            </w:pPr>
            <w:r w:rsidRPr="006A631A">
              <w:rPr>
                <w:color w:val="000000"/>
                <w:sz w:val="26"/>
                <w:szCs w:val="26"/>
              </w:rPr>
              <w:t>8.4%</w:t>
            </w:r>
          </w:p>
        </w:tc>
      </w:tr>
      <w:tr w:rsidR="00D22018" w:rsidRPr="006A631A" w14:paraId="22A94E07" w14:textId="77777777" w:rsidTr="000E6608">
        <w:trPr>
          <w:trHeight w:hRule="exact" w:val="571"/>
          <w:jc w:val="center"/>
        </w:trPr>
        <w:tc>
          <w:tcPr>
            <w:tcW w:w="1615" w:type="dxa"/>
            <w:tcBorders>
              <w:top w:val="none" w:sz="0" w:space="0" w:color="020000"/>
              <w:left w:val="single" w:sz="9" w:space="0" w:color="000000"/>
              <w:bottom w:val="none" w:sz="0" w:space="0" w:color="020000"/>
              <w:right w:val="single" w:sz="9" w:space="0" w:color="000000"/>
            </w:tcBorders>
            <w:vAlign w:val="center"/>
          </w:tcPr>
          <w:p w14:paraId="03C6640A" w14:textId="77777777" w:rsidR="00D22018" w:rsidRPr="006A631A" w:rsidRDefault="00D22018" w:rsidP="00F510B9">
            <w:pPr>
              <w:widowControl/>
              <w:spacing w:before="179" w:after="163" w:line="228" w:lineRule="exact"/>
              <w:ind w:left="116"/>
              <w:textAlignment w:val="baseline"/>
              <w:rPr>
                <w:color w:val="000000"/>
                <w:sz w:val="26"/>
                <w:szCs w:val="26"/>
              </w:rPr>
            </w:pPr>
            <w:r w:rsidRPr="006A631A">
              <w:rPr>
                <w:color w:val="000000"/>
                <w:sz w:val="26"/>
                <w:szCs w:val="26"/>
              </w:rPr>
              <w:t>PHA - Rate 8</w:t>
            </w:r>
          </w:p>
        </w:tc>
        <w:tc>
          <w:tcPr>
            <w:tcW w:w="1176" w:type="dxa"/>
            <w:tcBorders>
              <w:top w:val="none" w:sz="0" w:space="0" w:color="020000"/>
              <w:left w:val="single" w:sz="9" w:space="0" w:color="000000"/>
              <w:bottom w:val="none" w:sz="0" w:space="0" w:color="020000"/>
              <w:right w:val="single" w:sz="9" w:space="0" w:color="000000"/>
            </w:tcBorders>
            <w:vAlign w:val="center"/>
          </w:tcPr>
          <w:p w14:paraId="6CF8884E" w14:textId="77777777" w:rsidR="00D22018" w:rsidRPr="006A631A" w:rsidRDefault="00D22018" w:rsidP="00F510B9">
            <w:pPr>
              <w:widowControl/>
              <w:spacing w:before="179" w:after="163" w:line="228" w:lineRule="exact"/>
              <w:ind w:left="169"/>
              <w:textAlignment w:val="baseline"/>
              <w:rPr>
                <w:color w:val="000000"/>
                <w:sz w:val="26"/>
                <w:szCs w:val="26"/>
              </w:rPr>
            </w:pPr>
            <w:r w:rsidRPr="006A631A">
              <w:rPr>
                <w:color w:val="000000"/>
                <w:sz w:val="26"/>
                <w:szCs w:val="26"/>
              </w:rPr>
              <w:t>$23.40</w:t>
            </w:r>
          </w:p>
        </w:tc>
        <w:tc>
          <w:tcPr>
            <w:tcW w:w="965" w:type="dxa"/>
            <w:tcBorders>
              <w:top w:val="none" w:sz="0" w:space="0" w:color="020000"/>
              <w:left w:val="single" w:sz="9" w:space="0" w:color="000000"/>
              <w:bottom w:val="none" w:sz="0" w:space="0" w:color="020000"/>
              <w:right w:val="none" w:sz="0" w:space="0" w:color="020000"/>
            </w:tcBorders>
            <w:vAlign w:val="center"/>
          </w:tcPr>
          <w:p w14:paraId="15920CC7" w14:textId="77777777" w:rsidR="00D22018" w:rsidRPr="006A631A" w:rsidRDefault="00D22018" w:rsidP="00F510B9">
            <w:pPr>
              <w:widowControl/>
              <w:tabs>
                <w:tab w:val="decimal" w:pos="360"/>
              </w:tabs>
              <w:spacing w:before="179" w:after="163" w:line="228" w:lineRule="exact"/>
              <w:textAlignment w:val="baseline"/>
              <w:rPr>
                <w:color w:val="000000"/>
                <w:sz w:val="26"/>
                <w:szCs w:val="26"/>
              </w:rPr>
            </w:pPr>
            <w:r w:rsidRPr="006A631A">
              <w:rPr>
                <w:color w:val="000000"/>
                <w:sz w:val="26"/>
                <w:szCs w:val="26"/>
              </w:rPr>
              <w:t>$0.60</w:t>
            </w:r>
          </w:p>
        </w:tc>
        <w:tc>
          <w:tcPr>
            <w:tcW w:w="672" w:type="dxa"/>
            <w:tcBorders>
              <w:top w:val="none" w:sz="0" w:space="0" w:color="020000"/>
              <w:left w:val="none" w:sz="0" w:space="0" w:color="020000"/>
              <w:bottom w:val="none" w:sz="0" w:space="0" w:color="020000"/>
              <w:right w:val="single" w:sz="9" w:space="0" w:color="000000"/>
            </w:tcBorders>
            <w:vAlign w:val="center"/>
          </w:tcPr>
          <w:p w14:paraId="1F00EC43" w14:textId="77777777" w:rsidR="00D22018" w:rsidRPr="006A631A" w:rsidRDefault="00D22018" w:rsidP="00F510B9">
            <w:pPr>
              <w:widowControl/>
              <w:tabs>
                <w:tab w:val="decimal" w:pos="216"/>
              </w:tabs>
              <w:spacing w:before="179" w:after="163" w:line="228" w:lineRule="exact"/>
              <w:textAlignment w:val="baseline"/>
              <w:rPr>
                <w:color w:val="000000"/>
                <w:sz w:val="26"/>
                <w:szCs w:val="26"/>
              </w:rPr>
            </w:pPr>
            <w:r w:rsidRPr="006A631A">
              <w:rPr>
                <w:color w:val="000000"/>
                <w:sz w:val="26"/>
                <w:szCs w:val="26"/>
              </w:rPr>
              <w:t>2.5%</w:t>
            </w:r>
          </w:p>
        </w:tc>
        <w:tc>
          <w:tcPr>
            <w:tcW w:w="900" w:type="dxa"/>
            <w:tcBorders>
              <w:top w:val="none" w:sz="0" w:space="0" w:color="020000"/>
              <w:left w:val="single" w:sz="9" w:space="0" w:color="000000"/>
              <w:bottom w:val="none" w:sz="0" w:space="0" w:color="020000"/>
              <w:right w:val="none" w:sz="0" w:space="0" w:color="020000"/>
            </w:tcBorders>
            <w:vAlign w:val="center"/>
          </w:tcPr>
          <w:p w14:paraId="01748223" w14:textId="77777777" w:rsidR="00D22018" w:rsidRPr="006A631A" w:rsidRDefault="00D22018" w:rsidP="00F510B9">
            <w:pPr>
              <w:widowControl/>
              <w:tabs>
                <w:tab w:val="decimal" w:pos="360"/>
              </w:tabs>
              <w:spacing w:before="179" w:after="163" w:line="228" w:lineRule="exact"/>
              <w:textAlignment w:val="baseline"/>
              <w:rPr>
                <w:color w:val="000000"/>
                <w:sz w:val="26"/>
                <w:szCs w:val="26"/>
              </w:rPr>
            </w:pPr>
            <w:r w:rsidRPr="006A631A">
              <w:rPr>
                <w:color w:val="000000"/>
                <w:sz w:val="26"/>
                <w:szCs w:val="26"/>
              </w:rPr>
              <w:t>$0.60</w:t>
            </w:r>
          </w:p>
        </w:tc>
        <w:tc>
          <w:tcPr>
            <w:tcW w:w="540" w:type="dxa"/>
            <w:tcBorders>
              <w:top w:val="none" w:sz="0" w:space="0" w:color="020000"/>
              <w:left w:val="none" w:sz="0" w:space="0" w:color="020000"/>
              <w:bottom w:val="none" w:sz="0" w:space="0" w:color="020000"/>
              <w:right w:val="single" w:sz="9" w:space="0" w:color="000000"/>
            </w:tcBorders>
            <w:vAlign w:val="center"/>
          </w:tcPr>
          <w:p w14:paraId="6DB12A3D" w14:textId="77777777" w:rsidR="00D22018" w:rsidRPr="006A631A" w:rsidRDefault="00D22018" w:rsidP="00F510B9">
            <w:pPr>
              <w:widowControl/>
              <w:tabs>
                <w:tab w:val="decimal" w:pos="360"/>
              </w:tabs>
              <w:spacing w:before="179" w:after="163" w:line="228" w:lineRule="exact"/>
              <w:textAlignment w:val="baseline"/>
              <w:rPr>
                <w:color w:val="000000"/>
                <w:sz w:val="26"/>
                <w:szCs w:val="26"/>
              </w:rPr>
            </w:pPr>
            <w:r w:rsidRPr="006A631A">
              <w:rPr>
                <w:color w:val="000000"/>
                <w:sz w:val="26"/>
                <w:szCs w:val="26"/>
              </w:rPr>
              <w:t>2.5%</w:t>
            </w:r>
          </w:p>
        </w:tc>
        <w:tc>
          <w:tcPr>
            <w:tcW w:w="900" w:type="dxa"/>
            <w:tcBorders>
              <w:top w:val="none" w:sz="0" w:space="0" w:color="020000"/>
              <w:left w:val="single" w:sz="9" w:space="0" w:color="000000"/>
              <w:bottom w:val="none" w:sz="0" w:space="0" w:color="020000"/>
              <w:right w:val="none" w:sz="0" w:space="0" w:color="020000"/>
            </w:tcBorders>
            <w:vAlign w:val="center"/>
          </w:tcPr>
          <w:p w14:paraId="40AE68D6" w14:textId="77777777" w:rsidR="00D22018" w:rsidRPr="006A631A" w:rsidRDefault="00D22018" w:rsidP="00F510B9">
            <w:pPr>
              <w:widowControl/>
              <w:tabs>
                <w:tab w:val="decimal" w:pos="360"/>
              </w:tabs>
              <w:spacing w:before="179" w:after="163" w:line="228" w:lineRule="exact"/>
              <w:textAlignment w:val="baseline"/>
              <w:rPr>
                <w:color w:val="000000"/>
                <w:sz w:val="26"/>
                <w:szCs w:val="26"/>
              </w:rPr>
            </w:pPr>
            <w:r w:rsidRPr="006A631A">
              <w:rPr>
                <w:color w:val="000000"/>
                <w:sz w:val="26"/>
                <w:szCs w:val="26"/>
              </w:rPr>
              <w:t>$0.75</w:t>
            </w:r>
          </w:p>
        </w:tc>
        <w:tc>
          <w:tcPr>
            <w:tcW w:w="730" w:type="dxa"/>
            <w:tcBorders>
              <w:top w:val="none" w:sz="0" w:space="0" w:color="020000"/>
              <w:left w:val="none" w:sz="0" w:space="0" w:color="020000"/>
              <w:bottom w:val="none" w:sz="0" w:space="0" w:color="020000"/>
              <w:right w:val="single" w:sz="9" w:space="0" w:color="000000"/>
            </w:tcBorders>
            <w:vAlign w:val="center"/>
          </w:tcPr>
          <w:p w14:paraId="7DF8B6BA" w14:textId="77777777" w:rsidR="00D22018" w:rsidRPr="006A631A" w:rsidRDefault="00D22018" w:rsidP="00F510B9">
            <w:pPr>
              <w:widowControl/>
              <w:tabs>
                <w:tab w:val="decimal" w:pos="288"/>
              </w:tabs>
              <w:spacing w:before="179" w:after="163" w:line="228" w:lineRule="exact"/>
              <w:textAlignment w:val="baseline"/>
              <w:rPr>
                <w:color w:val="000000"/>
                <w:sz w:val="26"/>
                <w:szCs w:val="26"/>
              </w:rPr>
            </w:pPr>
            <w:r w:rsidRPr="006A631A">
              <w:rPr>
                <w:color w:val="000000"/>
                <w:sz w:val="26"/>
                <w:szCs w:val="26"/>
              </w:rPr>
              <w:t>3.2%</w:t>
            </w:r>
          </w:p>
        </w:tc>
        <w:tc>
          <w:tcPr>
            <w:tcW w:w="1250" w:type="dxa"/>
            <w:tcBorders>
              <w:top w:val="none" w:sz="0" w:space="0" w:color="020000"/>
              <w:left w:val="single" w:sz="9" w:space="0" w:color="000000"/>
              <w:bottom w:val="none" w:sz="0" w:space="0" w:color="020000"/>
              <w:right w:val="none" w:sz="0" w:space="0" w:color="020000"/>
            </w:tcBorders>
            <w:vAlign w:val="center"/>
          </w:tcPr>
          <w:p w14:paraId="4986E75E" w14:textId="77777777" w:rsidR="00D22018" w:rsidRPr="006A631A" w:rsidRDefault="00D22018" w:rsidP="00F510B9">
            <w:pPr>
              <w:widowControl/>
              <w:tabs>
                <w:tab w:val="decimal" w:pos="360"/>
              </w:tabs>
              <w:spacing w:before="179" w:after="163" w:line="228" w:lineRule="exact"/>
              <w:textAlignment w:val="baseline"/>
              <w:rPr>
                <w:color w:val="000000"/>
                <w:sz w:val="26"/>
                <w:szCs w:val="26"/>
              </w:rPr>
            </w:pPr>
            <w:r w:rsidRPr="006A631A">
              <w:rPr>
                <w:color w:val="000000"/>
                <w:sz w:val="26"/>
                <w:szCs w:val="26"/>
              </w:rPr>
              <w:t>$1.95</w:t>
            </w:r>
          </w:p>
        </w:tc>
        <w:tc>
          <w:tcPr>
            <w:tcW w:w="450" w:type="dxa"/>
            <w:tcBorders>
              <w:top w:val="none" w:sz="0" w:space="0" w:color="020000"/>
              <w:left w:val="none" w:sz="0" w:space="0" w:color="020000"/>
              <w:bottom w:val="none" w:sz="0" w:space="0" w:color="020000"/>
              <w:right w:val="single" w:sz="9" w:space="0" w:color="000000"/>
            </w:tcBorders>
            <w:vAlign w:val="center"/>
          </w:tcPr>
          <w:p w14:paraId="5766ED45" w14:textId="77777777" w:rsidR="00D22018" w:rsidRPr="006A631A" w:rsidRDefault="00D22018" w:rsidP="00F510B9">
            <w:pPr>
              <w:widowControl/>
              <w:tabs>
                <w:tab w:val="decimal" w:pos="288"/>
              </w:tabs>
              <w:spacing w:before="179" w:after="163" w:line="228" w:lineRule="exact"/>
              <w:textAlignment w:val="baseline"/>
              <w:rPr>
                <w:color w:val="000000"/>
                <w:sz w:val="26"/>
                <w:szCs w:val="26"/>
              </w:rPr>
            </w:pPr>
            <w:r w:rsidRPr="006A631A">
              <w:rPr>
                <w:color w:val="000000"/>
                <w:sz w:val="26"/>
                <w:szCs w:val="26"/>
              </w:rPr>
              <w:t>8.3%</w:t>
            </w:r>
          </w:p>
        </w:tc>
      </w:tr>
      <w:tr w:rsidR="00D22018" w:rsidRPr="006A631A" w14:paraId="44BA7255" w14:textId="77777777" w:rsidTr="000E6608">
        <w:trPr>
          <w:trHeight w:hRule="exact" w:val="571"/>
          <w:jc w:val="center"/>
        </w:trPr>
        <w:tc>
          <w:tcPr>
            <w:tcW w:w="1615" w:type="dxa"/>
            <w:tcBorders>
              <w:top w:val="none" w:sz="0" w:space="0" w:color="020000"/>
              <w:left w:val="single" w:sz="9" w:space="0" w:color="000000"/>
              <w:bottom w:val="none" w:sz="0" w:space="0" w:color="020000"/>
              <w:right w:val="single" w:sz="9" w:space="0" w:color="000000"/>
            </w:tcBorders>
            <w:vAlign w:val="center"/>
          </w:tcPr>
          <w:p w14:paraId="542333D7" w14:textId="77777777" w:rsidR="00D22018" w:rsidRPr="006A631A" w:rsidRDefault="00D22018" w:rsidP="00F510B9">
            <w:pPr>
              <w:widowControl/>
              <w:spacing w:before="174" w:after="159" w:line="228" w:lineRule="exact"/>
              <w:ind w:left="116"/>
              <w:textAlignment w:val="baseline"/>
              <w:rPr>
                <w:color w:val="000000"/>
                <w:sz w:val="26"/>
                <w:szCs w:val="26"/>
              </w:rPr>
            </w:pPr>
            <w:r w:rsidRPr="006A631A">
              <w:rPr>
                <w:color w:val="000000"/>
                <w:sz w:val="26"/>
                <w:szCs w:val="26"/>
              </w:rPr>
              <w:t>NGVS</w:t>
            </w:r>
          </w:p>
        </w:tc>
        <w:tc>
          <w:tcPr>
            <w:tcW w:w="1176" w:type="dxa"/>
            <w:tcBorders>
              <w:top w:val="none" w:sz="0" w:space="0" w:color="020000"/>
              <w:left w:val="single" w:sz="9" w:space="0" w:color="000000"/>
              <w:bottom w:val="none" w:sz="0" w:space="0" w:color="020000"/>
              <w:right w:val="single" w:sz="9" w:space="0" w:color="000000"/>
            </w:tcBorders>
            <w:vAlign w:val="center"/>
          </w:tcPr>
          <w:p w14:paraId="65889C04" w14:textId="77777777" w:rsidR="00D22018" w:rsidRPr="006A631A" w:rsidRDefault="00D22018" w:rsidP="00F510B9">
            <w:pPr>
              <w:widowControl/>
              <w:spacing w:before="174" w:after="159" w:line="228" w:lineRule="exact"/>
              <w:ind w:left="169"/>
              <w:textAlignment w:val="baseline"/>
              <w:rPr>
                <w:color w:val="000000"/>
                <w:sz w:val="26"/>
                <w:szCs w:val="26"/>
              </w:rPr>
            </w:pPr>
            <w:r w:rsidRPr="006A631A">
              <w:rPr>
                <w:color w:val="000000"/>
                <w:sz w:val="26"/>
                <w:szCs w:val="26"/>
              </w:rPr>
              <w:t>$35.00</w:t>
            </w:r>
          </w:p>
        </w:tc>
        <w:tc>
          <w:tcPr>
            <w:tcW w:w="965" w:type="dxa"/>
            <w:tcBorders>
              <w:top w:val="none" w:sz="0" w:space="0" w:color="020000"/>
              <w:left w:val="single" w:sz="9" w:space="0" w:color="000000"/>
              <w:bottom w:val="none" w:sz="0" w:space="0" w:color="020000"/>
              <w:right w:val="none" w:sz="0" w:space="0" w:color="020000"/>
            </w:tcBorders>
            <w:vAlign w:val="center"/>
          </w:tcPr>
          <w:p w14:paraId="44D62849" w14:textId="77777777" w:rsidR="00D22018" w:rsidRPr="006A631A" w:rsidRDefault="00D22018" w:rsidP="00F510B9">
            <w:pPr>
              <w:widowControl/>
              <w:tabs>
                <w:tab w:val="left" w:pos="648"/>
              </w:tabs>
              <w:spacing w:before="174" w:after="159" w:line="228" w:lineRule="exact"/>
              <w:ind w:left="164"/>
              <w:textAlignment w:val="baseline"/>
              <w:rPr>
                <w:color w:val="000000"/>
                <w:sz w:val="26"/>
                <w:szCs w:val="26"/>
              </w:rPr>
            </w:pPr>
            <w:r w:rsidRPr="006A631A">
              <w:rPr>
                <w:color w:val="000000"/>
                <w:sz w:val="26"/>
                <w:szCs w:val="26"/>
              </w:rPr>
              <w:t>$</w:t>
            </w:r>
            <w:r w:rsidRPr="006A631A">
              <w:rPr>
                <w:color w:val="000000"/>
                <w:sz w:val="26"/>
                <w:szCs w:val="26"/>
              </w:rPr>
              <w:tab/>
              <w:t>-</w:t>
            </w:r>
          </w:p>
        </w:tc>
        <w:tc>
          <w:tcPr>
            <w:tcW w:w="672" w:type="dxa"/>
            <w:tcBorders>
              <w:top w:val="none" w:sz="0" w:space="0" w:color="020000"/>
              <w:left w:val="none" w:sz="0" w:space="0" w:color="020000"/>
              <w:bottom w:val="none" w:sz="0" w:space="0" w:color="020000"/>
              <w:right w:val="single" w:sz="9" w:space="0" w:color="000000"/>
            </w:tcBorders>
          </w:tcPr>
          <w:p w14:paraId="66D44266"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900" w:type="dxa"/>
            <w:tcBorders>
              <w:top w:val="none" w:sz="0" w:space="0" w:color="020000"/>
              <w:left w:val="single" w:sz="9" w:space="0" w:color="000000"/>
              <w:bottom w:val="none" w:sz="0" w:space="0" w:color="020000"/>
              <w:right w:val="none" w:sz="0" w:space="0" w:color="020000"/>
            </w:tcBorders>
            <w:vAlign w:val="center"/>
          </w:tcPr>
          <w:p w14:paraId="780420A3" w14:textId="77777777" w:rsidR="00D22018" w:rsidRPr="006A631A" w:rsidRDefault="00D22018" w:rsidP="00F510B9">
            <w:pPr>
              <w:widowControl/>
              <w:tabs>
                <w:tab w:val="left" w:pos="720"/>
              </w:tabs>
              <w:spacing w:before="174" w:after="159" w:line="228" w:lineRule="exact"/>
              <w:jc w:val="center"/>
              <w:textAlignment w:val="baseline"/>
              <w:rPr>
                <w:color w:val="000000"/>
                <w:sz w:val="26"/>
                <w:szCs w:val="26"/>
              </w:rPr>
            </w:pPr>
            <w:r w:rsidRPr="006A631A">
              <w:rPr>
                <w:color w:val="000000"/>
                <w:sz w:val="26"/>
                <w:szCs w:val="26"/>
              </w:rPr>
              <w:t>$</w:t>
            </w:r>
            <w:r w:rsidRPr="006A631A">
              <w:rPr>
                <w:color w:val="000000"/>
                <w:sz w:val="26"/>
                <w:szCs w:val="26"/>
              </w:rPr>
              <w:tab/>
              <w:t>-</w:t>
            </w:r>
          </w:p>
        </w:tc>
        <w:tc>
          <w:tcPr>
            <w:tcW w:w="540" w:type="dxa"/>
            <w:tcBorders>
              <w:top w:val="none" w:sz="0" w:space="0" w:color="020000"/>
              <w:left w:val="none" w:sz="0" w:space="0" w:color="020000"/>
              <w:bottom w:val="none" w:sz="0" w:space="0" w:color="020000"/>
              <w:right w:val="single" w:sz="9" w:space="0" w:color="000000"/>
            </w:tcBorders>
          </w:tcPr>
          <w:p w14:paraId="51650865"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900" w:type="dxa"/>
            <w:tcBorders>
              <w:top w:val="none" w:sz="0" w:space="0" w:color="020000"/>
              <w:left w:val="single" w:sz="9" w:space="0" w:color="000000"/>
              <w:bottom w:val="none" w:sz="0" w:space="0" w:color="020000"/>
              <w:right w:val="none" w:sz="0" w:space="0" w:color="020000"/>
            </w:tcBorders>
            <w:vAlign w:val="center"/>
          </w:tcPr>
          <w:p w14:paraId="2BFFFC36" w14:textId="77777777" w:rsidR="00D22018" w:rsidRPr="006A631A" w:rsidRDefault="00D22018" w:rsidP="00F510B9">
            <w:pPr>
              <w:widowControl/>
              <w:tabs>
                <w:tab w:val="left" w:pos="720"/>
              </w:tabs>
              <w:spacing w:before="174" w:after="159" w:line="228" w:lineRule="exact"/>
              <w:jc w:val="center"/>
              <w:textAlignment w:val="baseline"/>
              <w:rPr>
                <w:color w:val="000000"/>
                <w:sz w:val="26"/>
                <w:szCs w:val="26"/>
              </w:rPr>
            </w:pPr>
            <w:r w:rsidRPr="006A631A">
              <w:rPr>
                <w:color w:val="000000"/>
                <w:sz w:val="26"/>
                <w:szCs w:val="26"/>
              </w:rPr>
              <w:t>$</w:t>
            </w:r>
            <w:r w:rsidRPr="006A631A">
              <w:rPr>
                <w:color w:val="000000"/>
                <w:sz w:val="26"/>
                <w:szCs w:val="26"/>
              </w:rPr>
              <w:tab/>
              <w:t>-</w:t>
            </w:r>
          </w:p>
        </w:tc>
        <w:tc>
          <w:tcPr>
            <w:tcW w:w="730" w:type="dxa"/>
            <w:tcBorders>
              <w:top w:val="none" w:sz="0" w:space="0" w:color="020000"/>
              <w:left w:val="none" w:sz="0" w:space="0" w:color="020000"/>
              <w:bottom w:val="none" w:sz="0" w:space="0" w:color="020000"/>
              <w:right w:val="single" w:sz="9" w:space="0" w:color="000000"/>
            </w:tcBorders>
          </w:tcPr>
          <w:p w14:paraId="167B5E37"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1250" w:type="dxa"/>
            <w:tcBorders>
              <w:top w:val="none" w:sz="0" w:space="0" w:color="020000"/>
              <w:left w:val="single" w:sz="9" w:space="0" w:color="000000"/>
              <w:bottom w:val="none" w:sz="0" w:space="0" w:color="020000"/>
              <w:right w:val="none" w:sz="0" w:space="0" w:color="020000"/>
            </w:tcBorders>
          </w:tcPr>
          <w:p w14:paraId="15DA191C"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450" w:type="dxa"/>
            <w:tcBorders>
              <w:top w:val="none" w:sz="0" w:space="0" w:color="020000"/>
              <w:left w:val="none" w:sz="0" w:space="0" w:color="020000"/>
              <w:bottom w:val="none" w:sz="0" w:space="0" w:color="020000"/>
              <w:right w:val="single" w:sz="9" w:space="0" w:color="000000"/>
            </w:tcBorders>
          </w:tcPr>
          <w:p w14:paraId="6B01F254"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r>
      <w:tr w:rsidR="00D22018" w:rsidRPr="006A631A" w14:paraId="6EE7F208" w14:textId="77777777" w:rsidTr="000E6608">
        <w:trPr>
          <w:trHeight w:hRule="exact" w:val="567"/>
          <w:jc w:val="center"/>
        </w:trPr>
        <w:tc>
          <w:tcPr>
            <w:tcW w:w="1615" w:type="dxa"/>
            <w:tcBorders>
              <w:top w:val="none" w:sz="0" w:space="0" w:color="020000"/>
              <w:left w:val="single" w:sz="9" w:space="0" w:color="000000"/>
              <w:bottom w:val="none" w:sz="0" w:space="0" w:color="020000"/>
              <w:right w:val="single" w:sz="9" w:space="0" w:color="000000"/>
            </w:tcBorders>
            <w:vAlign w:val="center"/>
          </w:tcPr>
          <w:p w14:paraId="3FC0FD6C" w14:textId="77777777" w:rsidR="00D22018" w:rsidRPr="006A631A" w:rsidRDefault="00D22018" w:rsidP="00F510B9">
            <w:pPr>
              <w:widowControl/>
              <w:spacing w:before="174" w:after="164" w:line="228" w:lineRule="exact"/>
              <w:ind w:left="116"/>
              <w:textAlignment w:val="baseline"/>
              <w:rPr>
                <w:color w:val="000000"/>
                <w:sz w:val="26"/>
                <w:szCs w:val="26"/>
              </w:rPr>
            </w:pPr>
            <w:r w:rsidRPr="006A631A">
              <w:rPr>
                <w:color w:val="000000"/>
                <w:sz w:val="26"/>
                <w:szCs w:val="26"/>
              </w:rPr>
              <w:t>Interruptible</w:t>
            </w:r>
          </w:p>
        </w:tc>
        <w:tc>
          <w:tcPr>
            <w:tcW w:w="1176" w:type="dxa"/>
            <w:tcBorders>
              <w:top w:val="none" w:sz="0" w:space="0" w:color="020000"/>
              <w:left w:val="single" w:sz="9" w:space="0" w:color="000000"/>
              <w:bottom w:val="none" w:sz="0" w:space="0" w:color="020000"/>
              <w:right w:val="single" w:sz="9" w:space="0" w:color="000000"/>
            </w:tcBorders>
          </w:tcPr>
          <w:p w14:paraId="69C6EA34"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965" w:type="dxa"/>
            <w:tcBorders>
              <w:top w:val="none" w:sz="0" w:space="0" w:color="020000"/>
              <w:left w:val="single" w:sz="9" w:space="0" w:color="000000"/>
              <w:bottom w:val="none" w:sz="0" w:space="0" w:color="020000"/>
              <w:right w:val="none" w:sz="0" w:space="0" w:color="020000"/>
            </w:tcBorders>
          </w:tcPr>
          <w:p w14:paraId="0F13C228"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672" w:type="dxa"/>
            <w:tcBorders>
              <w:top w:val="none" w:sz="0" w:space="0" w:color="020000"/>
              <w:left w:val="none" w:sz="0" w:space="0" w:color="020000"/>
              <w:bottom w:val="none" w:sz="0" w:space="0" w:color="020000"/>
              <w:right w:val="single" w:sz="9" w:space="0" w:color="000000"/>
            </w:tcBorders>
          </w:tcPr>
          <w:p w14:paraId="040C3647"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900" w:type="dxa"/>
            <w:tcBorders>
              <w:top w:val="none" w:sz="0" w:space="0" w:color="020000"/>
              <w:left w:val="single" w:sz="9" w:space="0" w:color="000000"/>
              <w:bottom w:val="none" w:sz="0" w:space="0" w:color="020000"/>
              <w:right w:val="none" w:sz="0" w:space="0" w:color="020000"/>
            </w:tcBorders>
          </w:tcPr>
          <w:p w14:paraId="638AE8AE"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540" w:type="dxa"/>
            <w:tcBorders>
              <w:top w:val="none" w:sz="0" w:space="0" w:color="020000"/>
              <w:left w:val="none" w:sz="0" w:space="0" w:color="020000"/>
              <w:bottom w:val="none" w:sz="0" w:space="0" w:color="020000"/>
              <w:right w:val="single" w:sz="9" w:space="0" w:color="000000"/>
            </w:tcBorders>
          </w:tcPr>
          <w:p w14:paraId="630D3F77"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900" w:type="dxa"/>
            <w:tcBorders>
              <w:top w:val="none" w:sz="0" w:space="0" w:color="020000"/>
              <w:left w:val="single" w:sz="9" w:space="0" w:color="000000"/>
              <w:bottom w:val="none" w:sz="0" w:space="0" w:color="020000"/>
              <w:right w:val="none" w:sz="0" w:space="0" w:color="020000"/>
            </w:tcBorders>
          </w:tcPr>
          <w:p w14:paraId="0E48936C"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730" w:type="dxa"/>
            <w:tcBorders>
              <w:top w:val="none" w:sz="0" w:space="0" w:color="020000"/>
              <w:left w:val="none" w:sz="0" w:space="0" w:color="020000"/>
              <w:bottom w:val="none" w:sz="0" w:space="0" w:color="020000"/>
              <w:right w:val="single" w:sz="9" w:space="0" w:color="000000"/>
            </w:tcBorders>
          </w:tcPr>
          <w:p w14:paraId="114C4BE3"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1250" w:type="dxa"/>
            <w:tcBorders>
              <w:top w:val="none" w:sz="0" w:space="0" w:color="020000"/>
              <w:left w:val="single" w:sz="9" w:space="0" w:color="000000"/>
              <w:bottom w:val="none" w:sz="0" w:space="0" w:color="020000"/>
              <w:right w:val="none" w:sz="0" w:space="0" w:color="020000"/>
            </w:tcBorders>
          </w:tcPr>
          <w:p w14:paraId="3707F90A"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450" w:type="dxa"/>
            <w:tcBorders>
              <w:top w:val="none" w:sz="0" w:space="0" w:color="020000"/>
              <w:left w:val="none" w:sz="0" w:space="0" w:color="020000"/>
              <w:bottom w:val="none" w:sz="0" w:space="0" w:color="020000"/>
              <w:right w:val="single" w:sz="9" w:space="0" w:color="000000"/>
            </w:tcBorders>
          </w:tcPr>
          <w:p w14:paraId="47E9C99A"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r>
      <w:tr w:rsidR="00D22018" w:rsidRPr="006A631A" w14:paraId="4068673F" w14:textId="77777777" w:rsidTr="000E6608">
        <w:trPr>
          <w:trHeight w:hRule="exact" w:val="1291"/>
          <w:jc w:val="center"/>
        </w:trPr>
        <w:tc>
          <w:tcPr>
            <w:tcW w:w="1615" w:type="dxa"/>
            <w:tcBorders>
              <w:top w:val="none" w:sz="0" w:space="0" w:color="020000"/>
              <w:left w:val="single" w:sz="9" w:space="0" w:color="000000"/>
              <w:bottom w:val="none" w:sz="0" w:space="0" w:color="020000"/>
              <w:right w:val="single" w:sz="9" w:space="0" w:color="000000"/>
            </w:tcBorders>
          </w:tcPr>
          <w:p w14:paraId="533D1BFC" w14:textId="77777777" w:rsidR="00D22018" w:rsidRPr="006A631A" w:rsidRDefault="00D22018" w:rsidP="00F510B9">
            <w:pPr>
              <w:widowControl/>
              <w:spacing w:before="178" w:line="228" w:lineRule="exact"/>
              <w:ind w:right="593"/>
              <w:jc w:val="right"/>
              <w:textAlignment w:val="baseline"/>
              <w:rPr>
                <w:color w:val="000000"/>
                <w:sz w:val="26"/>
                <w:szCs w:val="26"/>
              </w:rPr>
            </w:pPr>
            <w:r w:rsidRPr="006A631A">
              <w:rPr>
                <w:color w:val="000000"/>
                <w:sz w:val="26"/>
                <w:szCs w:val="26"/>
              </w:rPr>
              <w:t>Total</w:t>
            </w:r>
          </w:p>
          <w:p w14:paraId="6A676EC8" w14:textId="77777777" w:rsidR="00D22018" w:rsidRPr="006A631A" w:rsidRDefault="00D22018" w:rsidP="00F510B9">
            <w:pPr>
              <w:widowControl/>
              <w:spacing w:before="627" w:after="19" w:line="228" w:lineRule="exact"/>
              <w:ind w:left="144"/>
              <w:textAlignment w:val="baseline"/>
              <w:rPr>
                <w:color w:val="000000"/>
                <w:sz w:val="26"/>
                <w:szCs w:val="26"/>
              </w:rPr>
            </w:pPr>
            <w:r w:rsidRPr="006A631A">
              <w:rPr>
                <w:color w:val="000000"/>
                <w:sz w:val="26"/>
                <w:szCs w:val="26"/>
              </w:rPr>
              <w:t>IT A</w:t>
            </w:r>
          </w:p>
        </w:tc>
        <w:tc>
          <w:tcPr>
            <w:tcW w:w="1176" w:type="dxa"/>
            <w:tcBorders>
              <w:top w:val="none" w:sz="0" w:space="0" w:color="020000"/>
              <w:left w:val="single" w:sz="9" w:space="0" w:color="000000"/>
              <w:bottom w:val="none" w:sz="0" w:space="0" w:color="020000"/>
              <w:right w:val="single" w:sz="9" w:space="0" w:color="000000"/>
            </w:tcBorders>
            <w:vAlign w:val="bottom"/>
          </w:tcPr>
          <w:p w14:paraId="1D11DF80" w14:textId="77777777" w:rsidR="00D22018" w:rsidRPr="006A631A" w:rsidRDefault="00D22018" w:rsidP="00F510B9">
            <w:pPr>
              <w:widowControl/>
              <w:spacing w:before="1033" w:after="19" w:line="228" w:lineRule="exact"/>
              <w:ind w:left="169"/>
              <w:textAlignment w:val="baseline"/>
              <w:rPr>
                <w:color w:val="000000"/>
                <w:sz w:val="26"/>
                <w:szCs w:val="26"/>
              </w:rPr>
            </w:pPr>
            <w:r w:rsidRPr="006A631A">
              <w:rPr>
                <w:color w:val="000000"/>
                <w:sz w:val="26"/>
                <w:szCs w:val="26"/>
              </w:rPr>
              <w:t>$152.16</w:t>
            </w:r>
          </w:p>
        </w:tc>
        <w:tc>
          <w:tcPr>
            <w:tcW w:w="965" w:type="dxa"/>
            <w:tcBorders>
              <w:top w:val="none" w:sz="0" w:space="0" w:color="020000"/>
              <w:left w:val="single" w:sz="9" w:space="0" w:color="000000"/>
              <w:bottom w:val="none" w:sz="0" w:space="0" w:color="020000"/>
              <w:right w:val="none" w:sz="0" w:space="0" w:color="020000"/>
            </w:tcBorders>
          </w:tcPr>
          <w:p w14:paraId="51B7FA1B"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672" w:type="dxa"/>
            <w:tcBorders>
              <w:top w:val="none" w:sz="0" w:space="0" w:color="020000"/>
              <w:left w:val="none" w:sz="0" w:space="0" w:color="020000"/>
              <w:bottom w:val="none" w:sz="0" w:space="0" w:color="020000"/>
              <w:right w:val="single" w:sz="9" w:space="0" w:color="000000"/>
            </w:tcBorders>
          </w:tcPr>
          <w:p w14:paraId="1A02B806"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900" w:type="dxa"/>
            <w:tcBorders>
              <w:top w:val="none" w:sz="0" w:space="0" w:color="020000"/>
              <w:left w:val="single" w:sz="9" w:space="0" w:color="000000"/>
              <w:bottom w:val="none" w:sz="0" w:space="0" w:color="020000"/>
              <w:right w:val="none" w:sz="0" w:space="0" w:color="020000"/>
            </w:tcBorders>
          </w:tcPr>
          <w:p w14:paraId="755A8C54"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540" w:type="dxa"/>
            <w:tcBorders>
              <w:top w:val="none" w:sz="0" w:space="0" w:color="020000"/>
              <w:left w:val="none" w:sz="0" w:space="0" w:color="020000"/>
              <w:bottom w:val="none" w:sz="0" w:space="0" w:color="020000"/>
              <w:right w:val="single" w:sz="9" w:space="0" w:color="000000"/>
            </w:tcBorders>
          </w:tcPr>
          <w:p w14:paraId="2DC65DAA"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900" w:type="dxa"/>
            <w:tcBorders>
              <w:top w:val="none" w:sz="0" w:space="0" w:color="020000"/>
              <w:left w:val="single" w:sz="9" w:space="0" w:color="000000"/>
              <w:bottom w:val="none" w:sz="0" w:space="0" w:color="020000"/>
              <w:right w:val="none" w:sz="0" w:space="0" w:color="020000"/>
            </w:tcBorders>
          </w:tcPr>
          <w:p w14:paraId="2E041302"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730" w:type="dxa"/>
            <w:tcBorders>
              <w:top w:val="none" w:sz="0" w:space="0" w:color="020000"/>
              <w:left w:val="none" w:sz="0" w:space="0" w:color="020000"/>
              <w:bottom w:val="none" w:sz="0" w:space="0" w:color="020000"/>
              <w:right w:val="single" w:sz="9" w:space="0" w:color="000000"/>
            </w:tcBorders>
          </w:tcPr>
          <w:p w14:paraId="6D59FBCE"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1250" w:type="dxa"/>
            <w:tcBorders>
              <w:top w:val="none" w:sz="0" w:space="0" w:color="020000"/>
              <w:left w:val="single" w:sz="9" w:space="0" w:color="000000"/>
              <w:bottom w:val="none" w:sz="0" w:space="0" w:color="020000"/>
              <w:right w:val="none" w:sz="0" w:space="0" w:color="020000"/>
            </w:tcBorders>
          </w:tcPr>
          <w:p w14:paraId="301E0400"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450" w:type="dxa"/>
            <w:tcBorders>
              <w:top w:val="none" w:sz="0" w:space="0" w:color="020000"/>
              <w:left w:val="none" w:sz="0" w:space="0" w:color="020000"/>
              <w:bottom w:val="none" w:sz="0" w:space="0" w:color="020000"/>
              <w:right w:val="single" w:sz="9" w:space="0" w:color="000000"/>
            </w:tcBorders>
          </w:tcPr>
          <w:p w14:paraId="0A8C38B6"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r>
      <w:tr w:rsidR="00D22018" w:rsidRPr="006A631A" w14:paraId="7516243E" w14:textId="77777777" w:rsidTr="000E6608">
        <w:trPr>
          <w:trHeight w:hRule="exact" w:val="293"/>
          <w:jc w:val="center"/>
        </w:trPr>
        <w:tc>
          <w:tcPr>
            <w:tcW w:w="1615" w:type="dxa"/>
            <w:tcBorders>
              <w:top w:val="none" w:sz="0" w:space="0" w:color="020000"/>
              <w:left w:val="single" w:sz="9" w:space="0" w:color="000000"/>
              <w:bottom w:val="none" w:sz="0" w:space="0" w:color="020000"/>
              <w:right w:val="single" w:sz="9" w:space="0" w:color="000000"/>
            </w:tcBorders>
            <w:vAlign w:val="center"/>
          </w:tcPr>
          <w:p w14:paraId="004DC085" w14:textId="77777777" w:rsidR="00D22018" w:rsidRPr="006A631A" w:rsidRDefault="00D22018" w:rsidP="00F510B9">
            <w:pPr>
              <w:widowControl/>
              <w:spacing w:before="44" w:after="20" w:line="228" w:lineRule="exact"/>
              <w:ind w:left="116"/>
              <w:textAlignment w:val="baseline"/>
              <w:rPr>
                <w:color w:val="000000"/>
                <w:sz w:val="26"/>
                <w:szCs w:val="26"/>
              </w:rPr>
            </w:pPr>
            <w:r w:rsidRPr="006A631A">
              <w:rPr>
                <w:color w:val="000000"/>
                <w:sz w:val="26"/>
                <w:szCs w:val="26"/>
              </w:rPr>
              <w:t>IT B</w:t>
            </w:r>
          </w:p>
        </w:tc>
        <w:tc>
          <w:tcPr>
            <w:tcW w:w="1176" w:type="dxa"/>
            <w:tcBorders>
              <w:top w:val="none" w:sz="0" w:space="0" w:color="020000"/>
              <w:left w:val="single" w:sz="9" w:space="0" w:color="000000"/>
              <w:bottom w:val="none" w:sz="0" w:space="0" w:color="020000"/>
              <w:right w:val="single" w:sz="9" w:space="0" w:color="000000"/>
            </w:tcBorders>
            <w:vAlign w:val="center"/>
          </w:tcPr>
          <w:p w14:paraId="41DF5F9F" w14:textId="77777777" w:rsidR="00D22018" w:rsidRPr="006A631A" w:rsidRDefault="00D22018" w:rsidP="00F510B9">
            <w:pPr>
              <w:widowControl/>
              <w:spacing w:before="44" w:after="20" w:line="228" w:lineRule="exact"/>
              <w:ind w:left="169"/>
              <w:textAlignment w:val="baseline"/>
              <w:rPr>
                <w:color w:val="000000"/>
                <w:sz w:val="26"/>
                <w:szCs w:val="26"/>
              </w:rPr>
            </w:pPr>
            <w:r w:rsidRPr="006A631A">
              <w:rPr>
                <w:color w:val="000000"/>
                <w:sz w:val="26"/>
                <w:szCs w:val="26"/>
              </w:rPr>
              <w:t>$273.89</w:t>
            </w:r>
          </w:p>
        </w:tc>
        <w:tc>
          <w:tcPr>
            <w:tcW w:w="965" w:type="dxa"/>
            <w:tcBorders>
              <w:top w:val="none" w:sz="0" w:space="0" w:color="020000"/>
              <w:left w:val="single" w:sz="9" w:space="0" w:color="000000"/>
              <w:bottom w:val="none" w:sz="0" w:space="0" w:color="020000"/>
              <w:right w:val="none" w:sz="0" w:space="0" w:color="020000"/>
            </w:tcBorders>
          </w:tcPr>
          <w:p w14:paraId="31641E2C"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672" w:type="dxa"/>
            <w:tcBorders>
              <w:top w:val="none" w:sz="0" w:space="0" w:color="020000"/>
              <w:left w:val="none" w:sz="0" w:space="0" w:color="020000"/>
              <w:bottom w:val="none" w:sz="0" w:space="0" w:color="020000"/>
              <w:right w:val="single" w:sz="9" w:space="0" w:color="000000"/>
            </w:tcBorders>
          </w:tcPr>
          <w:p w14:paraId="68E643D1"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900" w:type="dxa"/>
            <w:tcBorders>
              <w:top w:val="none" w:sz="0" w:space="0" w:color="020000"/>
              <w:left w:val="single" w:sz="9" w:space="0" w:color="000000"/>
              <w:bottom w:val="none" w:sz="0" w:space="0" w:color="020000"/>
              <w:right w:val="none" w:sz="0" w:space="0" w:color="020000"/>
            </w:tcBorders>
          </w:tcPr>
          <w:p w14:paraId="64C48DDA"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540" w:type="dxa"/>
            <w:tcBorders>
              <w:top w:val="none" w:sz="0" w:space="0" w:color="020000"/>
              <w:left w:val="none" w:sz="0" w:space="0" w:color="020000"/>
              <w:bottom w:val="none" w:sz="0" w:space="0" w:color="020000"/>
              <w:right w:val="single" w:sz="9" w:space="0" w:color="000000"/>
            </w:tcBorders>
          </w:tcPr>
          <w:p w14:paraId="6382D7BC"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900" w:type="dxa"/>
            <w:tcBorders>
              <w:top w:val="none" w:sz="0" w:space="0" w:color="020000"/>
              <w:left w:val="single" w:sz="9" w:space="0" w:color="000000"/>
              <w:bottom w:val="none" w:sz="0" w:space="0" w:color="020000"/>
              <w:right w:val="none" w:sz="0" w:space="0" w:color="020000"/>
            </w:tcBorders>
          </w:tcPr>
          <w:p w14:paraId="2D9B2496"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730" w:type="dxa"/>
            <w:tcBorders>
              <w:top w:val="none" w:sz="0" w:space="0" w:color="020000"/>
              <w:left w:val="none" w:sz="0" w:space="0" w:color="020000"/>
              <w:bottom w:val="none" w:sz="0" w:space="0" w:color="020000"/>
              <w:right w:val="single" w:sz="9" w:space="0" w:color="000000"/>
            </w:tcBorders>
          </w:tcPr>
          <w:p w14:paraId="33D74770"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1250" w:type="dxa"/>
            <w:tcBorders>
              <w:top w:val="none" w:sz="0" w:space="0" w:color="020000"/>
              <w:left w:val="single" w:sz="9" w:space="0" w:color="000000"/>
              <w:bottom w:val="none" w:sz="0" w:space="0" w:color="020000"/>
              <w:right w:val="none" w:sz="0" w:space="0" w:color="020000"/>
            </w:tcBorders>
          </w:tcPr>
          <w:p w14:paraId="64DC6F53"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450" w:type="dxa"/>
            <w:tcBorders>
              <w:top w:val="none" w:sz="0" w:space="0" w:color="020000"/>
              <w:left w:val="none" w:sz="0" w:space="0" w:color="020000"/>
              <w:bottom w:val="none" w:sz="0" w:space="0" w:color="020000"/>
              <w:right w:val="single" w:sz="9" w:space="0" w:color="000000"/>
            </w:tcBorders>
          </w:tcPr>
          <w:p w14:paraId="77A7A29C"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r>
      <w:tr w:rsidR="00D22018" w:rsidRPr="006A631A" w14:paraId="342C9331" w14:textId="77777777" w:rsidTr="000E6608">
        <w:trPr>
          <w:trHeight w:hRule="exact" w:val="283"/>
          <w:jc w:val="center"/>
        </w:trPr>
        <w:tc>
          <w:tcPr>
            <w:tcW w:w="1615" w:type="dxa"/>
            <w:tcBorders>
              <w:top w:val="none" w:sz="0" w:space="0" w:color="020000"/>
              <w:left w:val="single" w:sz="9" w:space="0" w:color="000000"/>
              <w:bottom w:val="none" w:sz="0" w:space="0" w:color="020000"/>
              <w:right w:val="single" w:sz="9" w:space="0" w:color="000000"/>
            </w:tcBorders>
            <w:vAlign w:val="center"/>
          </w:tcPr>
          <w:p w14:paraId="6D795C2D" w14:textId="77777777" w:rsidR="00D22018" w:rsidRPr="006A631A" w:rsidRDefault="00D22018" w:rsidP="00F510B9">
            <w:pPr>
              <w:widowControl/>
              <w:spacing w:before="34" w:after="10" w:line="228" w:lineRule="exact"/>
              <w:ind w:left="116"/>
              <w:textAlignment w:val="baseline"/>
              <w:rPr>
                <w:color w:val="000000"/>
                <w:sz w:val="26"/>
                <w:szCs w:val="26"/>
              </w:rPr>
            </w:pPr>
            <w:r w:rsidRPr="006A631A">
              <w:rPr>
                <w:color w:val="000000"/>
                <w:sz w:val="26"/>
                <w:szCs w:val="26"/>
              </w:rPr>
              <w:t>IT C</w:t>
            </w:r>
          </w:p>
        </w:tc>
        <w:tc>
          <w:tcPr>
            <w:tcW w:w="1176" w:type="dxa"/>
            <w:tcBorders>
              <w:top w:val="none" w:sz="0" w:space="0" w:color="020000"/>
              <w:left w:val="single" w:sz="9" w:space="0" w:color="000000"/>
              <w:bottom w:val="none" w:sz="0" w:space="0" w:color="020000"/>
              <w:right w:val="single" w:sz="9" w:space="0" w:color="000000"/>
            </w:tcBorders>
            <w:vAlign w:val="center"/>
          </w:tcPr>
          <w:p w14:paraId="63D21BB6" w14:textId="77777777" w:rsidR="00D22018" w:rsidRPr="006A631A" w:rsidRDefault="00D22018" w:rsidP="00F510B9">
            <w:pPr>
              <w:widowControl/>
              <w:spacing w:before="34" w:after="10" w:line="228" w:lineRule="exact"/>
              <w:ind w:left="169"/>
              <w:textAlignment w:val="baseline"/>
              <w:rPr>
                <w:color w:val="000000"/>
                <w:sz w:val="26"/>
                <w:szCs w:val="26"/>
              </w:rPr>
            </w:pPr>
            <w:r w:rsidRPr="006A631A">
              <w:rPr>
                <w:color w:val="000000"/>
                <w:sz w:val="26"/>
                <w:szCs w:val="26"/>
              </w:rPr>
              <w:t>$273.89</w:t>
            </w:r>
          </w:p>
        </w:tc>
        <w:tc>
          <w:tcPr>
            <w:tcW w:w="965" w:type="dxa"/>
            <w:tcBorders>
              <w:top w:val="none" w:sz="0" w:space="0" w:color="020000"/>
              <w:left w:val="single" w:sz="9" w:space="0" w:color="000000"/>
              <w:bottom w:val="none" w:sz="0" w:space="0" w:color="020000"/>
              <w:right w:val="none" w:sz="0" w:space="0" w:color="020000"/>
            </w:tcBorders>
          </w:tcPr>
          <w:p w14:paraId="0E7E0E94"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672" w:type="dxa"/>
            <w:tcBorders>
              <w:top w:val="none" w:sz="0" w:space="0" w:color="020000"/>
              <w:left w:val="none" w:sz="0" w:space="0" w:color="020000"/>
              <w:bottom w:val="none" w:sz="0" w:space="0" w:color="020000"/>
              <w:right w:val="single" w:sz="9" w:space="0" w:color="000000"/>
            </w:tcBorders>
          </w:tcPr>
          <w:p w14:paraId="1502081A"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900" w:type="dxa"/>
            <w:tcBorders>
              <w:top w:val="none" w:sz="0" w:space="0" w:color="020000"/>
              <w:left w:val="single" w:sz="9" w:space="0" w:color="000000"/>
              <w:bottom w:val="none" w:sz="0" w:space="0" w:color="020000"/>
              <w:right w:val="none" w:sz="0" w:space="0" w:color="020000"/>
            </w:tcBorders>
          </w:tcPr>
          <w:p w14:paraId="09FD9A1A"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540" w:type="dxa"/>
            <w:tcBorders>
              <w:top w:val="none" w:sz="0" w:space="0" w:color="020000"/>
              <w:left w:val="none" w:sz="0" w:space="0" w:color="020000"/>
              <w:bottom w:val="none" w:sz="0" w:space="0" w:color="020000"/>
              <w:right w:val="single" w:sz="9" w:space="0" w:color="000000"/>
            </w:tcBorders>
          </w:tcPr>
          <w:p w14:paraId="610D83F3"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900" w:type="dxa"/>
            <w:tcBorders>
              <w:top w:val="none" w:sz="0" w:space="0" w:color="020000"/>
              <w:left w:val="single" w:sz="9" w:space="0" w:color="000000"/>
              <w:bottom w:val="none" w:sz="0" w:space="0" w:color="020000"/>
              <w:right w:val="none" w:sz="0" w:space="0" w:color="020000"/>
            </w:tcBorders>
          </w:tcPr>
          <w:p w14:paraId="5E8BFD6F"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730" w:type="dxa"/>
            <w:tcBorders>
              <w:top w:val="none" w:sz="0" w:space="0" w:color="020000"/>
              <w:left w:val="none" w:sz="0" w:space="0" w:color="020000"/>
              <w:bottom w:val="none" w:sz="0" w:space="0" w:color="020000"/>
              <w:right w:val="single" w:sz="9" w:space="0" w:color="000000"/>
            </w:tcBorders>
          </w:tcPr>
          <w:p w14:paraId="3B866457"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1250" w:type="dxa"/>
            <w:tcBorders>
              <w:top w:val="none" w:sz="0" w:space="0" w:color="020000"/>
              <w:left w:val="single" w:sz="9" w:space="0" w:color="000000"/>
              <w:bottom w:val="none" w:sz="0" w:space="0" w:color="020000"/>
              <w:right w:val="none" w:sz="0" w:space="0" w:color="020000"/>
            </w:tcBorders>
          </w:tcPr>
          <w:p w14:paraId="2DC42F5B"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450" w:type="dxa"/>
            <w:tcBorders>
              <w:top w:val="none" w:sz="0" w:space="0" w:color="020000"/>
              <w:left w:val="none" w:sz="0" w:space="0" w:color="020000"/>
              <w:bottom w:val="none" w:sz="0" w:space="0" w:color="020000"/>
              <w:right w:val="single" w:sz="9" w:space="0" w:color="000000"/>
            </w:tcBorders>
          </w:tcPr>
          <w:p w14:paraId="5A59700D"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r>
      <w:tr w:rsidR="00D22018" w:rsidRPr="006A631A" w14:paraId="3AA20AEC" w14:textId="77777777" w:rsidTr="000E6608">
        <w:trPr>
          <w:trHeight w:hRule="exact" w:val="283"/>
          <w:jc w:val="center"/>
        </w:trPr>
        <w:tc>
          <w:tcPr>
            <w:tcW w:w="1615" w:type="dxa"/>
            <w:tcBorders>
              <w:top w:val="none" w:sz="0" w:space="0" w:color="020000"/>
              <w:left w:val="single" w:sz="9" w:space="0" w:color="000000"/>
              <w:bottom w:val="none" w:sz="0" w:space="0" w:color="020000"/>
              <w:right w:val="single" w:sz="9" w:space="0" w:color="000000"/>
            </w:tcBorders>
            <w:vAlign w:val="center"/>
          </w:tcPr>
          <w:p w14:paraId="2D178AEE" w14:textId="77777777" w:rsidR="00D22018" w:rsidRPr="006A631A" w:rsidRDefault="00D22018" w:rsidP="00F510B9">
            <w:pPr>
              <w:widowControl/>
              <w:spacing w:before="35" w:after="14" w:line="228" w:lineRule="exact"/>
              <w:ind w:left="116"/>
              <w:textAlignment w:val="baseline"/>
              <w:rPr>
                <w:color w:val="000000"/>
                <w:sz w:val="26"/>
                <w:szCs w:val="26"/>
              </w:rPr>
            </w:pPr>
            <w:r w:rsidRPr="006A631A">
              <w:rPr>
                <w:color w:val="000000"/>
                <w:sz w:val="26"/>
                <w:szCs w:val="26"/>
              </w:rPr>
              <w:t>IT D</w:t>
            </w:r>
          </w:p>
        </w:tc>
        <w:tc>
          <w:tcPr>
            <w:tcW w:w="1176" w:type="dxa"/>
            <w:tcBorders>
              <w:top w:val="none" w:sz="0" w:space="0" w:color="020000"/>
              <w:left w:val="single" w:sz="9" w:space="0" w:color="000000"/>
              <w:bottom w:val="none" w:sz="0" w:space="0" w:color="020000"/>
              <w:right w:val="single" w:sz="9" w:space="0" w:color="000000"/>
            </w:tcBorders>
            <w:vAlign w:val="center"/>
          </w:tcPr>
          <w:p w14:paraId="7B3994EA" w14:textId="77777777" w:rsidR="00D22018" w:rsidRPr="006A631A" w:rsidRDefault="00D22018" w:rsidP="00F510B9">
            <w:pPr>
              <w:widowControl/>
              <w:spacing w:before="35" w:after="14" w:line="228" w:lineRule="exact"/>
              <w:ind w:left="169"/>
              <w:textAlignment w:val="baseline"/>
              <w:rPr>
                <w:color w:val="000000"/>
                <w:sz w:val="26"/>
                <w:szCs w:val="26"/>
              </w:rPr>
            </w:pPr>
            <w:r w:rsidRPr="006A631A">
              <w:rPr>
                <w:color w:val="000000"/>
                <w:sz w:val="26"/>
                <w:szCs w:val="26"/>
              </w:rPr>
              <w:t>$273.89</w:t>
            </w:r>
          </w:p>
        </w:tc>
        <w:tc>
          <w:tcPr>
            <w:tcW w:w="965" w:type="dxa"/>
            <w:tcBorders>
              <w:top w:val="none" w:sz="0" w:space="0" w:color="020000"/>
              <w:left w:val="single" w:sz="9" w:space="0" w:color="000000"/>
              <w:bottom w:val="none" w:sz="0" w:space="0" w:color="020000"/>
              <w:right w:val="none" w:sz="0" w:space="0" w:color="020000"/>
            </w:tcBorders>
          </w:tcPr>
          <w:p w14:paraId="6B12C7A5"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672" w:type="dxa"/>
            <w:tcBorders>
              <w:top w:val="none" w:sz="0" w:space="0" w:color="020000"/>
              <w:left w:val="none" w:sz="0" w:space="0" w:color="020000"/>
              <w:bottom w:val="none" w:sz="0" w:space="0" w:color="020000"/>
              <w:right w:val="single" w:sz="9" w:space="0" w:color="000000"/>
            </w:tcBorders>
          </w:tcPr>
          <w:p w14:paraId="4A8201D9"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900" w:type="dxa"/>
            <w:tcBorders>
              <w:top w:val="none" w:sz="0" w:space="0" w:color="020000"/>
              <w:left w:val="single" w:sz="9" w:space="0" w:color="000000"/>
              <w:bottom w:val="none" w:sz="0" w:space="0" w:color="020000"/>
              <w:right w:val="none" w:sz="0" w:space="0" w:color="020000"/>
            </w:tcBorders>
          </w:tcPr>
          <w:p w14:paraId="788DB3E0"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540" w:type="dxa"/>
            <w:tcBorders>
              <w:top w:val="none" w:sz="0" w:space="0" w:color="020000"/>
              <w:left w:val="none" w:sz="0" w:space="0" w:color="020000"/>
              <w:bottom w:val="none" w:sz="0" w:space="0" w:color="020000"/>
              <w:right w:val="single" w:sz="9" w:space="0" w:color="000000"/>
            </w:tcBorders>
          </w:tcPr>
          <w:p w14:paraId="6F3A949B"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900" w:type="dxa"/>
            <w:tcBorders>
              <w:top w:val="none" w:sz="0" w:space="0" w:color="020000"/>
              <w:left w:val="single" w:sz="9" w:space="0" w:color="000000"/>
              <w:bottom w:val="none" w:sz="0" w:space="0" w:color="020000"/>
              <w:right w:val="none" w:sz="0" w:space="0" w:color="020000"/>
            </w:tcBorders>
          </w:tcPr>
          <w:p w14:paraId="3563DE71"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730" w:type="dxa"/>
            <w:tcBorders>
              <w:top w:val="none" w:sz="0" w:space="0" w:color="020000"/>
              <w:left w:val="none" w:sz="0" w:space="0" w:color="020000"/>
              <w:bottom w:val="none" w:sz="0" w:space="0" w:color="020000"/>
              <w:right w:val="single" w:sz="9" w:space="0" w:color="000000"/>
            </w:tcBorders>
          </w:tcPr>
          <w:p w14:paraId="535970B0"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1250" w:type="dxa"/>
            <w:tcBorders>
              <w:top w:val="none" w:sz="0" w:space="0" w:color="020000"/>
              <w:left w:val="single" w:sz="9" w:space="0" w:color="000000"/>
              <w:bottom w:val="none" w:sz="0" w:space="0" w:color="020000"/>
              <w:right w:val="none" w:sz="0" w:space="0" w:color="020000"/>
            </w:tcBorders>
          </w:tcPr>
          <w:p w14:paraId="2944EF66"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450" w:type="dxa"/>
            <w:tcBorders>
              <w:top w:val="none" w:sz="0" w:space="0" w:color="020000"/>
              <w:left w:val="none" w:sz="0" w:space="0" w:color="020000"/>
              <w:bottom w:val="none" w:sz="0" w:space="0" w:color="020000"/>
              <w:right w:val="single" w:sz="9" w:space="0" w:color="000000"/>
            </w:tcBorders>
          </w:tcPr>
          <w:p w14:paraId="54A0DF44"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r>
      <w:tr w:rsidR="00D22018" w:rsidRPr="006A631A" w14:paraId="06B12AB8" w14:textId="77777777" w:rsidTr="000E6608">
        <w:trPr>
          <w:trHeight w:hRule="exact" w:val="576"/>
          <w:jc w:val="center"/>
        </w:trPr>
        <w:tc>
          <w:tcPr>
            <w:tcW w:w="1615" w:type="dxa"/>
            <w:tcBorders>
              <w:top w:val="none" w:sz="0" w:space="0" w:color="020000"/>
              <w:left w:val="single" w:sz="9" w:space="0" w:color="000000"/>
              <w:bottom w:val="single" w:sz="9" w:space="0" w:color="000000"/>
              <w:right w:val="single" w:sz="9" w:space="0" w:color="000000"/>
            </w:tcBorders>
          </w:tcPr>
          <w:p w14:paraId="7589C3B1" w14:textId="77777777" w:rsidR="00D22018" w:rsidRPr="006A631A" w:rsidRDefault="00D22018" w:rsidP="00F510B9">
            <w:pPr>
              <w:widowControl/>
              <w:spacing w:before="40" w:after="302" w:line="228" w:lineRule="exact"/>
              <w:ind w:left="116"/>
              <w:textAlignment w:val="baseline"/>
              <w:rPr>
                <w:color w:val="000000"/>
                <w:sz w:val="26"/>
                <w:szCs w:val="26"/>
              </w:rPr>
            </w:pPr>
            <w:r w:rsidRPr="006A631A">
              <w:rPr>
                <w:color w:val="000000"/>
                <w:sz w:val="26"/>
                <w:szCs w:val="26"/>
              </w:rPr>
              <w:t>IT E</w:t>
            </w:r>
          </w:p>
        </w:tc>
        <w:tc>
          <w:tcPr>
            <w:tcW w:w="1176" w:type="dxa"/>
            <w:tcBorders>
              <w:top w:val="none" w:sz="0" w:space="0" w:color="020000"/>
              <w:left w:val="single" w:sz="9" w:space="0" w:color="000000"/>
              <w:bottom w:val="single" w:sz="9" w:space="0" w:color="000000"/>
              <w:right w:val="single" w:sz="9" w:space="0" w:color="000000"/>
            </w:tcBorders>
          </w:tcPr>
          <w:p w14:paraId="412553D6" w14:textId="77777777" w:rsidR="00D22018" w:rsidRPr="006A631A" w:rsidRDefault="00D22018" w:rsidP="00F510B9">
            <w:pPr>
              <w:widowControl/>
              <w:spacing w:before="40" w:after="302" w:line="228" w:lineRule="exact"/>
              <w:ind w:left="169"/>
              <w:textAlignment w:val="baseline"/>
              <w:rPr>
                <w:color w:val="000000"/>
                <w:sz w:val="26"/>
                <w:szCs w:val="26"/>
              </w:rPr>
            </w:pPr>
            <w:r w:rsidRPr="006A631A">
              <w:rPr>
                <w:color w:val="000000"/>
                <w:sz w:val="26"/>
                <w:szCs w:val="26"/>
              </w:rPr>
              <w:t>$426.06</w:t>
            </w:r>
          </w:p>
        </w:tc>
        <w:tc>
          <w:tcPr>
            <w:tcW w:w="965" w:type="dxa"/>
            <w:tcBorders>
              <w:top w:val="none" w:sz="0" w:space="0" w:color="020000"/>
              <w:left w:val="single" w:sz="9" w:space="0" w:color="000000"/>
              <w:bottom w:val="single" w:sz="9" w:space="0" w:color="000000"/>
              <w:right w:val="none" w:sz="0" w:space="0" w:color="020000"/>
            </w:tcBorders>
          </w:tcPr>
          <w:p w14:paraId="500E205E"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672" w:type="dxa"/>
            <w:tcBorders>
              <w:top w:val="none" w:sz="0" w:space="0" w:color="020000"/>
              <w:left w:val="none" w:sz="0" w:space="0" w:color="020000"/>
              <w:bottom w:val="single" w:sz="9" w:space="0" w:color="000000"/>
              <w:right w:val="single" w:sz="9" w:space="0" w:color="000000"/>
            </w:tcBorders>
          </w:tcPr>
          <w:p w14:paraId="48FC9801"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900" w:type="dxa"/>
            <w:tcBorders>
              <w:top w:val="none" w:sz="0" w:space="0" w:color="020000"/>
              <w:left w:val="single" w:sz="9" w:space="0" w:color="000000"/>
              <w:bottom w:val="single" w:sz="9" w:space="0" w:color="000000"/>
              <w:right w:val="none" w:sz="0" w:space="0" w:color="020000"/>
            </w:tcBorders>
          </w:tcPr>
          <w:p w14:paraId="1D6040BF"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540" w:type="dxa"/>
            <w:tcBorders>
              <w:top w:val="none" w:sz="0" w:space="0" w:color="020000"/>
              <w:left w:val="none" w:sz="0" w:space="0" w:color="020000"/>
              <w:bottom w:val="single" w:sz="9" w:space="0" w:color="000000"/>
              <w:right w:val="single" w:sz="9" w:space="0" w:color="000000"/>
            </w:tcBorders>
          </w:tcPr>
          <w:p w14:paraId="10A0A5D3"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900" w:type="dxa"/>
            <w:tcBorders>
              <w:top w:val="none" w:sz="0" w:space="0" w:color="020000"/>
              <w:left w:val="single" w:sz="9" w:space="0" w:color="000000"/>
              <w:bottom w:val="single" w:sz="9" w:space="0" w:color="000000"/>
              <w:right w:val="none" w:sz="0" w:space="0" w:color="020000"/>
            </w:tcBorders>
          </w:tcPr>
          <w:p w14:paraId="7E06393C"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730" w:type="dxa"/>
            <w:tcBorders>
              <w:top w:val="none" w:sz="0" w:space="0" w:color="020000"/>
              <w:left w:val="none" w:sz="0" w:space="0" w:color="020000"/>
              <w:bottom w:val="single" w:sz="9" w:space="0" w:color="000000"/>
              <w:right w:val="single" w:sz="9" w:space="0" w:color="000000"/>
            </w:tcBorders>
          </w:tcPr>
          <w:p w14:paraId="4FCEABBB"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1250" w:type="dxa"/>
            <w:tcBorders>
              <w:top w:val="none" w:sz="0" w:space="0" w:color="020000"/>
              <w:left w:val="single" w:sz="9" w:space="0" w:color="000000"/>
              <w:bottom w:val="single" w:sz="9" w:space="0" w:color="000000"/>
              <w:right w:val="none" w:sz="0" w:space="0" w:color="020000"/>
            </w:tcBorders>
          </w:tcPr>
          <w:p w14:paraId="469F055E"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c>
          <w:tcPr>
            <w:tcW w:w="450" w:type="dxa"/>
            <w:tcBorders>
              <w:top w:val="none" w:sz="0" w:space="0" w:color="020000"/>
              <w:left w:val="none" w:sz="0" w:space="0" w:color="020000"/>
              <w:bottom w:val="single" w:sz="9" w:space="0" w:color="000000"/>
              <w:right w:val="single" w:sz="9" w:space="0" w:color="000000"/>
            </w:tcBorders>
          </w:tcPr>
          <w:p w14:paraId="5D9DB838" w14:textId="77777777" w:rsidR="00D22018" w:rsidRPr="006A631A" w:rsidRDefault="00D22018" w:rsidP="00F510B9">
            <w:pPr>
              <w:widowControl/>
              <w:textAlignment w:val="baseline"/>
              <w:rPr>
                <w:color w:val="000000"/>
                <w:sz w:val="26"/>
                <w:szCs w:val="26"/>
              </w:rPr>
            </w:pPr>
            <w:r w:rsidRPr="006A631A">
              <w:rPr>
                <w:color w:val="000000"/>
                <w:sz w:val="26"/>
                <w:szCs w:val="26"/>
              </w:rPr>
              <w:t xml:space="preserve"> </w:t>
            </w:r>
          </w:p>
        </w:tc>
      </w:tr>
    </w:tbl>
    <w:p w14:paraId="642D1AC5" w14:textId="3F443E0E" w:rsidR="000341DE" w:rsidRPr="006A631A" w:rsidRDefault="007048B8" w:rsidP="00F510B9">
      <w:pPr>
        <w:widowControl/>
        <w:ind w:left="1440" w:right="1440"/>
        <w:contextualSpacing/>
        <w:rPr>
          <w:bCs/>
          <w:i/>
          <w:iCs/>
          <w:sz w:val="26"/>
          <w:szCs w:val="26"/>
        </w:rPr>
      </w:pPr>
      <w:bookmarkStart w:id="25" w:name="_Hlk54183798"/>
      <w:bookmarkEnd w:id="16"/>
      <w:r w:rsidRPr="006A631A">
        <w:rPr>
          <w:bCs/>
          <w:i/>
          <w:iCs/>
          <w:sz w:val="26"/>
          <w:szCs w:val="26"/>
        </w:rPr>
        <w:lastRenderedPageBreak/>
        <w:t>Evaluation of Potential Firm Transportation Service Rate</w:t>
      </w:r>
    </w:p>
    <w:bookmarkEnd w:id="25"/>
    <w:p w14:paraId="380D848A" w14:textId="79A279B9" w:rsidR="007048B8" w:rsidRPr="006A631A" w:rsidRDefault="007048B8" w:rsidP="00F510B9">
      <w:pPr>
        <w:widowControl/>
        <w:ind w:left="1440" w:right="1440"/>
        <w:contextualSpacing/>
        <w:rPr>
          <w:bCs/>
          <w:sz w:val="26"/>
          <w:szCs w:val="26"/>
        </w:rPr>
      </w:pPr>
    </w:p>
    <w:p w14:paraId="69249502" w14:textId="44BA42CD" w:rsidR="007048B8" w:rsidRPr="006A631A" w:rsidRDefault="003432EC" w:rsidP="00F510B9">
      <w:pPr>
        <w:widowControl/>
        <w:ind w:left="1440" w:right="1440"/>
        <w:contextualSpacing/>
        <w:rPr>
          <w:iCs/>
          <w:sz w:val="26"/>
          <w:szCs w:val="26"/>
        </w:rPr>
      </w:pPr>
      <w:r w:rsidRPr="006A631A">
        <w:rPr>
          <w:iCs/>
          <w:sz w:val="26"/>
          <w:szCs w:val="26"/>
        </w:rPr>
        <w:t>25.</w:t>
      </w:r>
      <w:r w:rsidRPr="006A631A">
        <w:rPr>
          <w:iCs/>
          <w:sz w:val="26"/>
          <w:szCs w:val="26"/>
        </w:rPr>
        <w:tab/>
        <w:t xml:space="preserve">In PGW’s next base rate case filing, PGW will submit an evaluation as to whether it will propose a firm transportation service rate (“FTS”).  If PGW’s evaluation determines that Rate FTS is an appropriate service, PGW will submit </w:t>
      </w:r>
      <w:proofErr w:type="gramStart"/>
      <w:r w:rsidRPr="006A631A">
        <w:rPr>
          <w:iCs/>
          <w:sz w:val="26"/>
          <w:szCs w:val="26"/>
        </w:rPr>
        <w:t>a</w:t>
      </w:r>
      <w:proofErr w:type="gramEnd"/>
      <w:r w:rsidRPr="006A631A">
        <w:rPr>
          <w:iCs/>
          <w:sz w:val="26"/>
          <w:szCs w:val="26"/>
        </w:rPr>
        <w:t xml:space="preserve"> FTS proposal with its next base rate filing.</w:t>
      </w:r>
    </w:p>
    <w:p w14:paraId="38A18A84" w14:textId="284BADD7" w:rsidR="00857F5F" w:rsidRPr="006A631A" w:rsidRDefault="00857F5F" w:rsidP="00F510B9">
      <w:pPr>
        <w:widowControl/>
        <w:ind w:left="1440" w:right="1440"/>
        <w:contextualSpacing/>
        <w:rPr>
          <w:iCs/>
          <w:sz w:val="26"/>
          <w:szCs w:val="26"/>
        </w:rPr>
      </w:pPr>
    </w:p>
    <w:p w14:paraId="7A58DA4F" w14:textId="01C5A135" w:rsidR="00857F5F" w:rsidRPr="006A631A" w:rsidRDefault="00857F5F" w:rsidP="00F510B9">
      <w:pPr>
        <w:widowControl/>
        <w:ind w:left="1440" w:right="1440"/>
        <w:contextualSpacing/>
        <w:rPr>
          <w:iCs/>
          <w:sz w:val="26"/>
          <w:szCs w:val="26"/>
        </w:rPr>
      </w:pPr>
      <w:r w:rsidRPr="006A631A">
        <w:rPr>
          <w:iCs/>
          <w:sz w:val="26"/>
          <w:szCs w:val="26"/>
        </w:rPr>
        <w:t>26.</w:t>
      </w:r>
      <w:r w:rsidRPr="006A631A">
        <w:rPr>
          <w:iCs/>
          <w:sz w:val="26"/>
          <w:szCs w:val="26"/>
        </w:rPr>
        <w:tab/>
        <w:t>The evaluation shall include but not be limited to an evaluation of the following:</w:t>
      </w:r>
    </w:p>
    <w:p w14:paraId="15C60D47" w14:textId="69F817E9" w:rsidR="00857F5F" w:rsidRPr="006A631A" w:rsidRDefault="00857F5F" w:rsidP="00F510B9">
      <w:pPr>
        <w:widowControl/>
        <w:ind w:left="1440" w:right="1440"/>
        <w:contextualSpacing/>
        <w:rPr>
          <w:iCs/>
          <w:sz w:val="26"/>
          <w:szCs w:val="26"/>
        </w:rPr>
      </w:pPr>
    </w:p>
    <w:p w14:paraId="6DBA428C" w14:textId="1AEF5179" w:rsidR="00857F5F" w:rsidRPr="006A631A" w:rsidRDefault="00857F5F" w:rsidP="00C024E3">
      <w:pPr>
        <w:pStyle w:val="ListParagraph"/>
        <w:widowControl/>
        <w:numPr>
          <w:ilvl w:val="0"/>
          <w:numId w:val="11"/>
        </w:numPr>
        <w:ind w:left="2880" w:right="1440" w:hanging="720"/>
        <w:rPr>
          <w:iCs/>
          <w:sz w:val="26"/>
          <w:szCs w:val="26"/>
        </w:rPr>
      </w:pPr>
      <w:bookmarkStart w:id="26" w:name="_Hlk54184264"/>
      <w:r w:rsidRPr="006A631A">
        <w:rPr>
          <w:iCs/>
          <w:sz w:val="26"/>
          <w:szCs w:val="26"/>
        </w:rPr>
        <w:t xml:space="preserve">PGW shall assess the current interruptibility and alternative fuel requirements in the Rate IT tariff language and determine the potential value of interruptible transportation </w:t>
      </w:r>
      <w:proofErr w:type="gramStart"/>
      <w:r w:rsidRPr="006A631A">
        <w:rPr>
          <w:iCs/>
          <w:sz w:val="26"/>
          <w:szCs w:val="26"/>
        </w:rPr>
        <w:t>service;</w:t>
      </w:r>
      <w:proofErr w:type="gramEnd"/>
    </w:p>
    <w:p w14:paraId="6A156187" w14:textId="182A568F" w:rsidR="00857F5F" w:rsidRPr="006A631A" w:rsidRDefault="00857F5F" w:rsidP="00C024E3">
      <w:pPr>
        <w:pStyle w:val="ListParagraph"/>
        <w:widowControl/>
        <w:ind w:left="2880" w:right="1440" w:hanging="720"/>
        <w:rPr>
          <w:iCs/>
          <w:sz w:val="26"/>
          <w:szCs w:val="26"/>
        </w:rPr>
      </w:pPr>
    </w:p>
    <w:p w14:paraId="75875673" w14:textId="2B477502" w:rsidR="00857F5F" w:rsidRPr="006A631A" w:rsidRDefault="00857F5F" w:rsidP="00C024E3">
      <w:pPr>
        <w:pStyle w:val="ListParagraph"/>
        <w:widowControl/>
        <w:numPr>
          <w:ilvl w:val="0"/>
          <w:numId w:val="11"/>
        </w:numPr>
        <w:ind w:left="2880" w:right="1440" w:hanging="720"/>
        <w:rPr>
          <w:iCs/>
          <w:sz w:val="26"/>
          <w:szCs w:val="26"/>
        </w:rPr>
      </w:pPr>
      <w:r w:rsidRPr="006A631A">
        <w:rPr>
          <w:iCs/>
          <w:sz w:val="26"/>
          <w:szCs w:val="26"/>
        </w:rPr>
        <w:t xml:space="preserve">Whether rate IT should be phased </w:t>
      </w:r>
      <w:proofErr w:type="gramStart"/>
      <w:r w:rsidRPr="006A631A">
        <w:rPr>
          <w:iCs/>
          <w:sz w:val="26"/>
          <w:szCs w:val="26"/>
        </w:rPr>
        <w:t>out;</w:t>
      </w:r>
      <w:proofErr w:type="gramEnd"/>
    </w:p>
    <w:p w14:paraId="64DC12F7" w14:textId="77777777" w:rsidR="00857F5F" w:rsidRPr="006A631A" w:rsidRDefault="00857F5F" w:rsidP="00C024E3">
      <w:pPr>
        <w:pStyle w:val="ListParagraph"/>
        <w:widowControl/>
        <w:ind w:left="2880" w:hanging="720"/>
        <w:rPr>
          <w:iCs/>
          <w:sz w:val="26"/>
          <w:szCs w:val="26"/>
        </w:rPr>
      </w:pPr>
    </w:p>
    <w:p w14:paraId="6F608505" w14:textId="71EA53C8" w:rsidR="00857F5F" w:rsidRPr="006A631A" w:rsidRDefault="00857F5F" w:rsidP="00C024E3">
      <w:pPr>
        <w:pStyle w:val="ListParagraph"/>
        <w:widowControl/>
        <w:numPr>
          <w:ilvl w:val="0"/>
          <w:numId w:val="11"/>
        </w:numPr>
        <w:ind w:left="2880" w:right="1440" w:hanging="720"/>
        <w:rPr>
          <w:iCs/>
          <w:sz w:val="26"/>
          <w:szCs w:val="26"/>
        </w:rPr>
      </w:pPr>
      <w:r w:rsidRPr="006A631A">
        <w:rPr>
          <w:iCs/>
          <w:sz w:val="26"/>
          <w:szCs w:val="26"/>
        </w:rPr>
        <w:t xml:space="preserve">If the Company is proposing Rate FTS, whether Rate FTS should include an option for negotiated flex rates for </w:t>
      </w:r>
      <w:bookmarkEnd w:id="26"/>
      <w:r w:rsidRPr="006A631A">
        <w:rPr>
          <w:iCs/>
          <w:sz w:val="26"/>
          <w:szCs w:val="26"/>
        </w:rPr>
        <w:t xml:space="preserve">current IT </w:t>
      </w:r>
      <w:proofErr w:type="gramStart"/>
      <w:r w:rsidRPr="006A631A">
        <w:rPr>
          <w:iCs/>
          <w:sz w:val="26"/>
          <w:szCs w:val="26"/>
        </w:rPr>
        <w:t>customers;</w:t>
      </w:r>
      <w:proofErr w:type="gramEnd"/>
    </w:p>
    <w:p w14:paraId="38E76091" w14:textId="77777777" w:rsidR="00857F5F" w:rsidRPr="006A631A" w:rsidRDefault="00857F5F" w:rsidP="00C024E3">
      <w:pPr>
        <w:pStyle w:val="ListParagraph"/>
        <w:widowControl/>
        <w:ind w:left="2880" w:hanging="720"/>
        <w:rPr>
          <w:iCs/>
          <w:sz w:val="26"/>
          <w:szCs w:val="26"/>
        </w:rPr>
      </w:pPr>
    </w:p>
    <w:p w14:paraId="459D26D4" w14:textId="6E058F62" w:rsidR="00857F5F" w:rsidRPr="006A631A" w:rsidRDefault="00857F5F" w:rsidP="00C024E3">
      <w:pPr>
        <w:pStyle w:val="ListParagraph"/>
        <w:widowControl/>
        <w:numPr>
          <w:ilvl w:val="0"/>
          <w:numId w:val="11"/>
        </w:numPr>
        <w:ind w:left="2880" w:right="1440" w:hanging="720"/>
        <w:rPr>
          <w:iCs/>
          <w:sz w:val="26"/>
          <w:szCs w:val="26"/>
        </w:rPr>
      </w:pPr>
      <w:r w:rsidRPr="006A631A">
        <w:rPr>
          <w:iCs/>
          <w:sz w:val="26"/>
          <w:szCs w:val="26"/>
        </w:rPr>
        <w:t xml:space="preserve">If the Company is proposing Rate FTS, whether Rate FTS should, subject to rate gradualism, be subject to the USEC, ECR, OPEB and DSIC tariff </w:t>
      </w:r>
      <w:proofErr w:type="gramStart"/>
      <w:r w:rsidRPr="006A631A">
        <w:rPr>
          <w:iCs/>
          <w:sz w:val="26"/>
          <w:szCs w:val="26"/>
        </w:rPr>
        <w:t>charges;</w:t>
      </w:r>
      <w:proofErr w:type="gramEnd"/>
    </w:p>
    <w:p w14:paraId="3A9103D0" w14:textId="77777777" w:rsidR="00F2713E" w:rsidRPr="006A631A" w:rsidRDefault="00F2713E" w:rsidP="00C024E3">
      <w:pPr>
        <w:pStyle w:val="ListParagraph"/>
        <w:widowControl/>
        <w:ind w:left="2880" w:hanging="720"/>
        <w:rPr>
          <w:iCs/>
          <w:sz w:val="26"/>
          <w:szCs w:val="26"/>
        </w:rPr>
      </w:pPr>
    </w:p>
    <w:p w14:paraId="665A8AF0" w14:textId="0D3539BD" w:rsidR="00F2713E" w:rsidRPr="006A631A" w:rsidRDefault="00F2713E" w:rsidP="00C024E3">
      <w:pPr>
        <w:pStyle w:val="ListParagraph"/>
        <w:widowControl/>
        <w:numPr>
          <w:ilvl w:val="0"/>
          <w:numId w:val="11"/>
        </w:numPr>
        <w:ind w:left="2880" w:right="1440" w:hanging="720"/>
        <w:rPr>
          <w:iCs/>
          <w:sz w:val="26"/>
          <w:szCs w:val="26"/>
        </w:rPr>
      </w:pPr>
      <w:r w:rsidRPr="006A631A">
        <w:rPr>
          <w:iCs/>
          <w:sz w:val="26"/>
          <w:szCs w:val="26"/>
        </w:rPr>
        <w:t>If the Company is proposing Rate FTS, PGW shall conduct an evaluation of the classification and allocation of distribution mains to determine how mains costs should be reasonably allocated to all customer classes.</w:t>
      </w:r>
    </w:p>
    <w:p w14:paraId="58FC29DA" w14:textId="77777777" w:rsidR="007048B8" w:rsidRPr="006A631A" w:rsidRDefault="007048B8" w:rsidP="00F510B9">
      <w:pPr>
        <w:widowControl/>
        <w:ind w:left="1440"/>
        <w:contextualSpacing/>
        <w:rPr>
          <w:bCs/>
          <w:sz w:val="26"/>
          <w:szCs w:val="26"/>
        </w:rPr>
      </w:pPr>
    </w:p>
    <w:p w14:paraId="5B46C140" w14:textId="4EE13511" w:rsidR="005B1323" w:rsidRPr="006A631A" w:rsidRDefault="005B1323" w:rsidP="00F510B9">
      <w:pPr>
        <w:widowControl/>
        <w:ind w:left="1440" w:right="1440"/>
        <w:contextualSpacing/>
        <w:rPr>
          <w:iCs/>
          <w:sz w:val="26"/>
          <w:szCs w:val="26"/>
        </w:rPr>
      </w:pPr>
      <w:r w:rsidRPr="006A631A">
        <w:rPr>
          <w:iCs/>
          <w:sz w:val="26"/>
          <w:szCs w:val="26"/>
        </w:rPr>
        <w:t>27.</w:t>
      </w:r>
      <w:r w:rsidRPr="006A631A">
        <w:rPr>
          <w:iCs/>
          <w:sz w:val="26"/>
          <w:szCs w:val="26"/>
        </w:rPr>
        <w:tab/>
        <w:t>The parties retain all rights to challenge, refute, or propose modifications to any or all issues related to PGW’s proposal for firm transportation service and/or the results of PGW’s above evaluations.</w:t>
      </w:r>
    </w:p>
    <w:p w14:paraId="30BDA092" w14:textId="75C5E13E" w:rsidR="00746E90" w:rsidRPr="006A631A" w:rsidRDefault="00746E90" w:rsidP="00F510B9">
      <w:pPr>
        <w:widowControl/>
        <w:ind w:left="1440" w:right="1440"/>
        <w:contextualSpacing/>
        <w:rPr>
          <w:iCs/>
          <w:sz w:val="26"/>
          <w:szCs w:val="26"/>
        </w:rPr>
      </w:pPr>
    </w:p>
    <w:p w14:paraId="25735A8F" w14:textId="1F9DFEE1" w:rsidR="00746E90" w:rsidRPr="006A631A" w:rsidRDefault="00746E90" w:rsidP="000E6608">
      <w:pPr>
        <w:keepNext/>
        <w:widowControl/>
        <w:ind w:left="1440" w:right="1440"/>
        <w:contextualSpacing/>
        <w:rPr>
          <w:bCs/>
          <w:i/>
          <w:iCs/>
          <w:sz w:val="26"/>
          <w:szCs w:val="26"/>
        </w:rPr>
      </w:pPr>
      <w:r w:rsidRPr="006A631A">
        <w:rPr>
          <w:bCs/>
          <w:i/>
          <w:iCs/>
          <w:sz w:val="26"/>
          <w:szCs w:val="26"/>
        </w:rPr>
        <w:lastRenderedPageBreak/>
        <w:t>Rate Technology and Economic Development (“TED”) Rider and Micro-Combined Heat and Power (“Micro-CHP”) Incentive Program</w:t>
      </w:r>
    </w:p>
    <w:p w14:paraId="0B47CFCA" w14:textId="5CFB27E3" w:rsidR="00746E90" w:rsidRPr="006A631A" w:rsidRDefault="00746E90" w:rsidP="000E6608">
      <w:pPr>
        <w:keepNext/>
        <w:widowControl/>
        <w:ind w:left="1440" w:right="1440"/>
        <w:contextualSpacing/>
        <w:rPr>
          <w:bCs/>
          <w:i/>
          <w:iCs/>
          <w:sz w:val="26"/>
          <w:szCs w:val="26"/>
        </w:rPr>
      </w:pPr>
    </w:p>
    <w:p w14:paraId="0426E527" w14:textId="186DF83D" w:rsidR="00A67727" w:rsidRPr="006A631A" w:rsidRDefault="00A67727" w:rsidP="000E6608">
      <w:pPr>
        <w:keepNext/>
        <w:widowControl/>
        <w:ind w:left="1440" w:right="1440"/>
        <w:contextualSpacing/>
        <w:rPr>
          <w:iCs/>
          <w:sz w:val="26"/>
          <w:szCs w:val="26"/>
        </w:rPr>
      </w:pPr>
      <w:r w:rsidRPr="006A631A">
        <w:rPr>
          <w:iCs/>
          <w:sz w:val="26"/>
          <w:szCs w:val="26"/>
        </w:rPr>
        <w:t>28.</w:t>
      </w:r>
      <w:r w:rsidRPr="006A631A">
        <w:rPr>
          <w:iCs/>
          <w:sz w:val="26"/>
          <w:szCs w:val="26"/>
        </w:rPr>
        <w:tab/>
        <w:t>The Technology and Economic Development (“TED”) Rider and Micro-CHP Incentive Program will continue as modified in this filing.</w:t>
      </w:r>
    </w:p>
    <w:p w14:paraId="4DD8FFBF" w14:textId="43119D61" w:rsidR="00A67727" w:rsidRPr="006A631A" w:rsidRDefault="00A67727" w:rsidP="00F510B9">
      <w:pPr>
        <w:widowControl/>
        <w:ind w:left="1440" w:right="1440"/>
        <w:contextualSpacing/>
        <w:rPr>
          <w:iCs/>
          <w:sz w:val="26"/>
          <w:szCs w:val="26"/>
        </w:rPr>
      </w:pPr>
    </w:p>
    <w:p w14:paraId="15CF681C" w14:textId="2F7CFCE7" w:rsidR="00A67727" w:rsidRPr="006A631A" w:rsidRDefault="00A67727" w:rsidP="00F510B9">
      <w:pPr>
        <w:widowControl/>
        <w:ind w:left="1440" w:right="1440"/>
        <w:contextualSpacing/>
        <w:rPr>
          <w:iCs/>
          <w:sz w:val="26"/>
          <w:szCs w:val="26"/>
        </w:rPr>
      </w:pPr>
      <w:r w:rsidRPr="006A631A">
        <w:rPr>
          <w:iCs/>
          <w:sz w:val="26"/>
          <w:szCs w:val="26"/>
        </w:rPr>
        <w:t>29.</w:t>
      </w:r>
      <w:r w:rsidRPr="006A631A">
        <w:rPr>
          <w:iCs/>
          <w:sz w:val="26"/>
          <w:szCs w:val="26"/>
        </w:rPr>
        <w:tab/>
        <w:t xml:space="preserve">With respect to the TED Rider and Micro-CHP Incentive Program, PGW agrees to provide data on the number of customers, sales </w:t>
      </w:r>
      <w:proofErr w:type="gramStart"/>
      <w:r w:rsidRPr="006A631A">
        <w:rPr>
          <w:iCs/>
          <w:sz w:val="26"/>
          <w:szCs w:val="26"/>
        </w:rPr>
        <w:t>level</w:t>
      </w:r>
      <w:proofErr w:type="gramEnd"/>
      <w:r w:rsidRPr="006A631A">
        <w:rPr>
          <w:iCs/>
          <w:sz w:val="26"/>
          <w:szCs w:val="26"/>
        </w:rPr>
        <w:t xml:space="preserve"> and costs in its March 1, 2021 Annual Gas Cost Rate (“GCR”) Filing.</w:t>
      </w:r>
    </w:p>
    <w:p w14:paraId="68FEF837" w14:textId="18854F11" w:rsidR="00A67727" w:rsidRPr="006A631A" w:rsidRDefault="00A67727" w:rsidP="00F510B9">
      <w:pPr>
        <w:widowControl/>
        <w:ind w:left="1440" w:right="1440"/>
        <w:contextualSpacing/>
        <w:rPr>
          <w:iCs/>
          <w:sz w:val="26"/>
          <w:szCs w:val="26"/>
        </w:rPr>
      </w:pPr>
    </w:p>
    <w:p w14:paraId="4D370708" w14:textId="12425E9D" w:rsidR="00A67727" w:rsidRPr="006A631A" w:rsidRDefault="00A67727" w:rsidP="00F510B9">
      <w:pPr>
        <w:widowControl/>
        <w:ind w:left="1440" w:right="1440"/>
        <w:contextualSpacing/>
        <w:rPr>
          <w:i/>
          <w:sz w:val="26"/>
          <w:szCs w:val="26"/>
        </w:rPr>
      </w:pPr>
      <w:r w:rsidRPr="006A631A">
        <w:rPr>
          <w:i/>
          <w:sz w:val="26"/>
          <w:szCs w:val="26"/>
        </w:rPr>
        <w:t>Rate BUS: Back-Up Service</w:t>
      </w:r>
    </w:p>
    <w:p w14:paraId="173467DB" w14:textId="50810696" w:rsidR="00A67727" w:rsidRPr="006A631A" w:rsidRDefault="00A67727" w:rsidP="00F510B9">
      <w:pPr>
        <w:widowControl/>
        <w:ind w:left="1440" w:right="1440"/>
        <w:contextualSpacing/>
        <w:rPr>
          <w:i/>
          <w:sz w:val="26"/>
          <w:szCs w:val="26"/>
        </w:rPr>
      </w:pPr>
    </w:p>
    <w:p w14:paraId="00E69405" w14:textId="6CCAB46E" w:rsidR="00A67727" w:rsidRPr="006A631A" w:rsidRDefault="00A67727" w:rsidP="00F510B9">
      <w:pPr>
        <w:widowControl/>
        <w:ind w:left="1440" w:right="1440"/>
        <w:contextualSpacing/>
        <w:rPr>
          <w:iCs/>
          <w:sz w:val="26"/>
          <w:szCs w:val="26"/>
        </w:rPr>
      </w:pPr>
      <w:r w:rsidRPr="006A631A">
        <w:rPr>
          <w:iCs/>
          <w:sz w:val="26"/>
          <w:szCs w:val="26"/>
        </w:rPr>
        <w:t>30.</w:t>
      </w:r>
      <w:r w:rsidRPr="006A631A">
        <w:rPr>
          <w:iCs/>
          <w:sz w:val="26"/>
          <w:szCs w:val="26"/>
        </w:rPr>
        <w:tab/>
        <w:t>The “AVAILABILITY” section of Back-Up Service – Rate BUS will be modified as follows:</w:t>
      </w:r>
    </w:p>
    <w:p w14:paraId="2A360F73" w14:textId="77777777" w:rsidR="00746E90" w:rsidRPr="006A631A" w:rsidRDefault="00746E90" w:rsidP="00F510B9">
      <w:pPr>
        <w:widowControl/>
        <w:ind w:left="1440" w:right="1440"/>
        <w:contextualSpacing/>
        <w:rPr>
          <w:bCs/>
          <w:sz w:val="26"/>
          <w:szCs w:val="26"/>
        </w:rPr>
      </w:pPr>
    </w:p>
    <w:p w14:paraId="67D24034" w14:textId="41E73DF1" w:rsidR="00A67727" w:rsidRPr="006A631A" w:rsidRDefault="00A67727" w:rsidP="00F510B9">
      <w:pPr>
        <w:widowControl/>
        <w:ind w:left="2160" w:right="1440"/>
        <w:contextualSpacing/>
        <w:rPr>
          <w:iCs/>
          <w:sz w:val="26"/>
          <w:szCs w:val="26"/>
        </w:rPr>
      </w:pPr>
      <w:r w:rsidRPr="006A631A">
        <w:rPr>
          <w:iCs/>
          <w:sz w:val="26"/>
          <w:szCs w:val="26"/>
        </w:rPr>
        <w:t>AVAILABILITY</w:t>
      </w:r>
    </w:p>
    <w:p w14:paraId="5F401F0A" w14:textId="77777777" w:rsidR="00A67727" w:rsidRPr="006A631A" w:rsidRDefault="00A67727" w:rsidP="00F510B9">
      <w:pPr>
        <w:widowControl/>
        <w:ind w:left="2160" w:right="1440"/>
        <w:contextualSpacing/>
        <w:rPr>
          <w:iCs/>
          <w:sz w:val="26"/>
          <w:szCs w:val="26"/>
        </w:rPr>
      </w:pPr>
    </w:p>
    <w:p w14:paraId="2484B5CF" w14:textId="6DA5C48D" w:rsidR="00A67727" w:rsidRPr="006A631A" w:rsidRDefault="00A67727" w:rsidP="00F510B9">
      <w:pPr>
        <w:widowControl/>
        <w:ind w:left="2160" w:right="1440"/>
        <w:contextualSpacing/>
        <w:rPr>
          <w:iCs/>
          <w:sz w:val="26"/>
          <w:szCs w:val="26"/>
        </w:rPr>
      </w:pPr>
      <w:r w:rsidRPr="006A631A">
        <w:rPr>
          <w:iCs/>
          <w:sz w:val="26"/>
          <w:szCs w:val="26"/>
        </w:rPr>
        <w:t>Available at the Company’s sole discretion where the Customer has installed any type of operable back-up, supplementary, standby, emergency, electric or heat generation equipment and who from, time to time, will require Gas from the Company for the Customer’s operation of that equipment. This rate shall also apply to gas service for any system for which natural gas is not the primary fuel.</w:t>
      </w:r>
    </w:p>
    <w:p w14:paraId="0B723DC0" w14:textId="77777777" w:rsidR="00317D30" w:rsidRPr="006A631A" w:rsidRDefault="00317D30" w:rsidP="00F510B9">
      <w:pPr>
        <w:widowControl/>
        <w:ind w:left="2160" w:right="1440"/>
        <w:contextualSpacing/>
        <w:rPr>
          <w:iCs/>
          <w:sz w:val="26"/>
          <w:szCs w:val="26"/>
        </w:rPr>
      </w:pPr>
    </w:p>
    <w:p w14:paraId="435F106B" w14:textId="202EE3D6" w:rsidR="00746E90" w:rsidRPr="006A631A" w:rsidRDefault="00A67727" w:rsidP="00F510B9">
      <w:pPr>
        <w:widowControl/>
        <w:ind w:left="2160" w:right="1440"/>
        <w:contextualSpacing/>
        <w:rPr>
          <w:iCs/>
          <w:sz w:val="26"/>
          <w:szCs w:val="26"/>
        </w:rPr>
      </w:pPr>
      <w:r w:rsidRPr="006A631A">
        <w:rPr>
          <w:iCs/>
          <w:sz w:val="26"/>
          <w:szCs w:val="26"/>
        </w:rPr>
        <w:t>If a Customer is seeking interruptible back-up service, the Customer may take interruptible service at IT rates if the Customer meets all requirements of Rate IT, including that the Customer must: (1) have installed and operable alternative fuel equipment, including appropriate fuel storage capacity, capable of displacing the daily quantity of Gas subject to curtailment or interruption; or, in the alternative, (2) demonstrate to the Company’s sole satisfaction the ability to manage its business without the use of Gas during periods of curtailment or interruption.</w:t>
      </w:r>
    </w:p>
    <w:p w14:paraId="2BD76566" w14:textId="73428B0A" w:rsidR="00A0171D" w:rsidRPr="006A631A" w:rsidRDefault="00A0171D" w:rsidP="00F510B9">
      <w:pPr>
        <w:widowControl/>
        <w:ind w:left="1440" w:right="1440"/>
        <w:contextualSpacing/>
        <w:rPr>
          <w:b/>
          <w:sz w:val="26"/>
          <w:szCs w:val="26"/>
        </w:rPr>
      </w:pPr>
    </w:p>
    <w:p w14:paraId="5ADCEB34" w14:textId="78FB35CA" w:rsidR="000D5BFE" w:rsidRPr="006A631A" w:rsidRDefault="000D5BFE" w:rsidP="00F510B9">
      <w:pPr>
        <w:widowControl/>
        <w:ind w:left="1440" w:right="1440"/>
        <w:contextualSpacing/>
        <w:rPr>
          <w:bCs/>
          <w:sz w:val="26"/>
          <w:szCs w:val="26"/>
        </w:rPr>
      </w:pPr>
      <w:r w:rsidRPr="006A631A">
        <w:rPr>
          <w:bCs/>
          <w:sz w:val="26"/>
          <w:szCs w:val="26"/>
        </w:rPr>
        <w:t>31.</w:t>
      </w:r>
      <w:r w:rsidRPr="006A631A">
        <w:rPr>
          <w:bCs/>
          <w:sz w:val="26"/>
          <w:szCs w:val="26"/>
        </w:rPr>
        <w:tab/>
        <w:t>In addition to this change, Back-Up Service – Rate BUS will continue as otherwise modified in this filing.</w:t>
      </w:r>
    </w:p>
    <w:p w14:paraId="068366D5" w14:textId="3D2FD501" w:rsidR="00317D30" w:rsidRPr="006A631A" w:rsidRDefault="00317D30" w:rsidP="00F510B9">
      <w:pPr>
        <w:widowControl/>
        <w:ind w:left="1440" w:right="1440"/>
        <w:contextualSpacing/>
        <w:rPr>
          <w:bCs/>
          <w:sz w:val="26"/>
          <w:szCs w:val="26"/>
        </w:rPr>
      </w:pPr>
      <w:r w:rsidRPr="006A631A">
        <w:rPr>
          <w:bCs/>
          <w:sz w:val="26"/>
          <w:szCs w:val="26"/>
        </w:rPr>
        <w:lastRenderedPageBreak/>
        <w:t>32.</w:t>
      </w:r>
      <w:r w:rsidRPr="006A631A">
        <w:rPr>
          <w:bCs/>
          <w:sz w:val="26"/>
          <w:szCs w:val="26"/>
        </w:rPr>
        <w:tab/>
        <w:t>As part of its Annual GCR filings, PGW will provide data on the number of customers, sales levels, revenues, and the costs incurred to provide service under Rate BUS.</w:t>
      </w:r>
    </w:p>
    <w:p w14:paraId="6F0B5AE8" w14:textId="77777777" w:rsidR="00D3174F" w:rsidRPr="006A631A" w:rsidRDefault="00D3174F" w:rsidP="00F510B9">
      <w:pPr>
        <w:widowControl/>
        <w:ind w:left="1440" w:right="1440"/>
        <w:contextualSpacing/>
        <w:rPr>
          <w:bCs/>
          <w:sz w:val="26"/>
          <w:szCs w:val="26"/>
        </w:rPr>
      </w:pPr>
    </w:p>
    <w:p w14:paraId="59E78093" w14:textId="40F0C30F" w:rsidR="00C70654" w:rsidRPr="006A631A" w:rsidRDefault="00C70654" w:rsidP="00F510B9">
      <w:pPr>
        <w:pStyle w:val="ListParagraph"/>
        <w:widowControl/>
        <w:numPr>
          <w:ilvl w:val="0"/>
          <w:numId w:val="7"/>
        </w:numPr>
        <w:ind w:right="1440"/>
        <w:rPr>
          <w:b/>
          <w:bCs/>
          <w:iCs/>
          <w:sz w:val="26"/>
          <w:szCs w:val="26"/>
        </w:rPr>
      </w:pPr>
      <w:r w:rsidRPr="006A631A">
        <w:rPr>
          <w:b/>
          <w:bCs/>
          <w:iCs/>
          <w:sz w:val="26"/>
          <w:szCs w:val="26"/>
        </w:rPr>
        <w:t>Low Income Customer Issues</w:t>
      </w:r>
    </w:p>
    <w:p w14:paraId="6F77F348" w14:textId="18B75464" w:rsidR="00C70654" w:rsidRPr="006A631A" w:rsidRDefault="00C70654" w:rsidP="00F510B9">
      <w:pPr>
        <w:widowControl/>
        <w:ind w:left="1440" w:right="1440"/>
        <w:rPr>
          <w:b/>
          <w:bCs/>
          <w:iCs/>
          <w:sz w:val="26"/>
          <w:szCs w:val="26"/>
        </w:rPr>
      </w:pPr>
    </w:p>
    <w:p w14:paraId="4C2D4436" w14:textId="5654DC60" w:rsidR="00C70654" w:rsidRPr="006A631A" w:rsidRDefault="00C70654" w:rsidP="00F510B9">
      <w:pPr>
        <w:widowControl/>
        <w:ind w:left="1440" w:right="1440"/>
        <w:rPr>
          <w:iCs/>
          <w:sz w:val="26"/>
          <w:szCs w:val="26"/>
        </w:rPr>
      </w:pPr>
      <w:r w:rsidRPr="006A631A">
        <w:rPr>
          <w:iCs/>
          <w:sz w:val="26"/>
          <w:szCs w:val="26"/>
        </w:rPr>
        <w:t>33.</w:t>
      </w:r>
      <w:r w:rsidRPr="006A631A">
        <w:rPr>
          <w:iCs/>
          <w:sz w:val="26"/>
          <w:szCs w:val="26"/>
        </w:rPr>
        <w:tab/>
        <w:t>PGW shall make the following enhancements to its Universal Service Programs:</w:t>
      </w:r>
    </w:p>
    <w:p w14:paraId="109738AD" w14:textId="14660A9C" w:rsidR="00C70654" w:rsidRPr="006A631A" w:rsidRDefault="00C70654" w:rsidP="00F510B9">
      <w:pPr>
        <w:widowControl/>
        <w:ind w:left="1440" w:right="1440"/>
        <w:rPr>
          <w:iCs/>
          <w:sz w:val="26"/>
          <w:szCs w:val="26"/>
        </w:rPr>
      </w:pPr>
    </w:p>
    <w:p w14:paraId="4996E778" w14:textId="5A74F51F" w:rsidR="00C70654" w:rsidRPr="006A631A" w:rsidRDefault="00C70654" w:rsidP="00C024E3">
      <w:pPr>
        <w:pStyle w:val="ListParagraph"/>
        <w:widowControl/>
        <w:numPr>
          <w:ilvl w:val="0"/>
          <w:numId w:val="12"/>
        </w:numPr>
        <w:ind w:left="2880" w:right="1440" w:hanging="720"/>
        <w:rPr>
          <w:iCs/>
          <w:sz w:val="26"/>
          <w:szCs w:val="26"/>
        </w:rPr>
      </w:pPr>
      <w:r w:rsidRPr="006A631A">
        <w:rPr>
          <w:iCs/>
          <w:sz w:val="26"/>
          <w:szCs w:val="26"/>
        </w:rPr>
        <w:t>No later than March 31, 2021, PGW will provide an annual training to Community Based Organizations that are open on how to use the customer-facing online Customer Responsibility Program (CRP) application tool. The training will also include information about promoting CRP enrollment.</w:t>
      </w:r>
    </w:p>
    <w:p w14:paraId="53EC7CF4" w14:textId="26876428" w:rsidR="00C70654" w:rsidRPr="006A631A" w:rsidRDefault="00C70654" w:rsidP="00C024E3">
      <w:pPr>
        <w:pStyle w:val="ListParagraph"/>
        <w:widowControl/>
        <w:ind w:left="2880" w:right="1440" w:hanging="720"/>
        <w:rPr>
          <w:iCs/>
          <w:sz w:val="26"/>
          <w:szCs w:val="26"/>
        </w:rPr>
      </w:pPr>
    </w:p>
    <w:p w14:paraId="0846AB02" w14:textId="614D1F21" w:rsidR="00C70654" w:rsidRPr="006A631A" w:rsidRDefault="00C70654" w:rsidP="00C024E3">
      <w:pPr>
        <w:pStyle w:val="ListParagraph"/>
        <w:widowControl/>
        <w:numPr>
          <w:ilvl w:val="0"/>
          <w:numId w:val="12"/>
        </w:numPr>
        <w:ind w:left="2880" w:right="1440" w:hanging="720"/>
        <w:rPr>
          <w:iCs/>
          <w:sz w:val="26"/>
          <w:szCs w:val="26"/>
        </w:rPr>
      </w:pPr>
      <w:r w:rsidRPr="006A631A">
        <w:rPr>
          <w:iCs/>
          <w:sz w:val="26"/>
          <w:szCs w:val="26"/>
        </w:rPr>
        <w:t>PGW will create a video explaining how to apply for CRP online and post the video on its website, in social media and will advertise the video in a Good Gas News.  PGW will similarly publicize non-contact methods for CRP application (call for application, mail-in, online).</w:t>
      </w:r>
    </w:p>
    <w:p w14:paraId="0FE176E4" w14:textId="77777777" w:rsidR="00C70654" w:rsidRPr="006A631A" w:rsidRDefault="00C70654" w:rsidP="00C024E3">
      <w:pPr>
        <w:pStyle w:val="ListParagraph"/>
        <w:widowControl/>
        <w:ind w:left="2880" w:hanging="720"/>
        <w:rPr>
          <w:iCs/>
          <w:sz w:val="26"/>
          <w:szCs w:val="26"/>
        </w:rPr>
      </w:pPr>
    </w:p>
    <w:p w14:paraId="66B02DFF" w14:textId="7EC9C6DC" w:rsidR="00C70654" w:rsidRPr="006A631A" w:rsidRDefault="00C70654" w:rsidP="00C024E3">
      <w:pPr>
        <w:pStyle w:val="ListParagraph"/>
        <w:widowControl/>
        <w:numPr>
          <w:ilvl w:val="0"/>
          <w:numId w:val="12"/>
        </w:numPr>
        <w:ind w:left="2880" w:right="1440" w:hanging="720"/>
        <w:rPr>
          <w:iCs/>
          <w:sz w:val="26"/>
          <w:szCs w:val="26"/>
        </w:rPr>
      </w:pPr>
      <w:r w:rsidRPr="006A631A">
        <w:rPr>
          <w:iCs/>
          <w:sz w:val="26"/>
          <w:szCs w:val="26"/>
        </w:rPr>
        <w:t>As part of its new CIS implementation, PGW shall review and adjust CRP asked to pay amounts quarterly, and increase/decrease the asked to pay amount if there has been a change in the average bill amount.  If the average bill amount exceeds the household’s energy burden, the customer shall be switched to a CRP Percentage of Income Bill at that time.</w:t>
      </w:r>
    </w:p>
    <w:p w14:paraId="0BC1C4DB" w14:textId="77777777" w:rsidR="00C70654" w:rsidRPr="006A631A" w:rsidRDefault="00C70654" w:rsidP="00C024E3">
      <w:pPr>
        <w:pStyle w:val="ListParagraph"/>
        <w:widowControl/>
        <w:ind w:left="2880" w:hanging="720"/>
        <w:rPr>
          <w:iCs/>
          <w:sz w:val="26"/>
          <w:szCs w:val="26"/>
        </w:rPr>
      </w:pPr>
    </w:p>
    <w:p w14:paraId="1DDEE9F3" w14:textId="39FF4A6C" w:rsidR="00C70654" w:rsidRPr="006A631A" w:rsidRDefault="00C70654" w:rsidP="00C024E3">
      <w:pPr>
        <w:pStyle w:val="ListParagraph"/>
        <w:widowControl/>
        <w:numPr>
          <w:ilvl w:val="0"/>
          <w:numId w:val="12"/>
        </w:numPr>
        <w:ind w:left="2880" w:right="1440" w:hanging="720"/>
        <w:rPr>
          <w:iCs/>
          <w:sz w:val="26"/>
          <w:szCs w:val="26"/>
        </w:rPr>
      </w:pPr>
      <w:r w:rsidRPr="006A631A">
        <w:rPr>
          <w:iCs/>
          <w:sz w:val="26"/>
          <w:szCs w:val="26"/>
        </w:rPr>
        <w:t>Unspent 2019 and 2020 LIURP funds shall roll over and be added to PGW’s LIURP program budget through the end of the current Universal Service and Energy Conservation Plan (USECP) (i.e. 2023), until expended.  These funds shall be incremental to the existing LIURP budget.</w:t>
      </w:r>
    </w:p>
    <w:p w14:paraId="7B27DF0A" w14:textId="77777777" w:rsidR="00E156D4" w:rsidRPr="006A631A" w:rsidRDefault="00E156D4" w:rsidP="00C024E3">
      <w:pPr>
        <w:pStyle w:val="ListParagraph"/>
        <w:widowControl/>
        <w:ind w:left="2880" w:hanging="720"/>
        <w:rPr>
          <w:iCs/>
          <w:sz w:val="26"/>
          <w:szCs w:val="26"/>
        </w:rPr>
      </w:pPr>
    </w:p>
    <w:p w14:paraId="11D6DEA3" w14:textId="73D3A728" w:rsidR="00E156D4" w:rsidRPr="006A631A" w:rsidRDefault="00E156D4" w:rsidP="00C024E3">
      <w:pPr>
        <w:pStyle w:val="ListParagraph"/>
        <w:widowControl/>
        <w:numPr>
          <w:ilvl w:val="0"/>
          <w:numId w:val="12"/>
        </w:numPr>
        <w:ind w:left="2880" w:right="1440" w:hanging="720"/>
        <w:rPr>
          <w:iCs/>
          <w:sz w:val="26"/>
          <w:szCs w:val="26"/>
        </w:rPr>
      </w:pPr>
      <w:r w:rsidRPr="006A631A">
        <w:rPr>
          <w:iCs/>
          <w:sz w:val="26"/>
          <w:szCs w:val="26"/>
        </w:rPr>
        <w:lastRenderedPageBreak/>
        <w:t>PGW will provide, to the tax mailing address available online or a contact address provided by a tenant, two landlord letters seeking to obtain landlord approval to perform LIURP services for a tenant.  If a landlord telephone number is available, one of the letters will be replaced with a telephone call.</w:t>
      </w:r>
    </w:p>
    <w:p w14:paraId="0D53B908" w14:textId="77777777" w:rsidR="00E156D4" w:rsidRPr="006A631A" w:rsidRDefault="00E156D4" w:rsidP="00F510B9">
      <w:pPr>
        <w:pStyle w:val="ListParagraph"/>
        <w:widowControl/>
        <w:rPr>
          <w:iCs/>
          <w:sz w:val="26"/>
          <w:szCs w:val="26"/>
        </w:rPr>
      </w:pPr>
    </w:p>
    <w:p w14:paraId="19C09D00" w14:textId="416C2F64" w:rsidR="00E156D4" w:rsidRPr="006A631A" w:rsidRDefault="00E156D4" w:rsidP="00F510B9">
      <w:pPr>
        <w:widowControl/>
        <w:ind w:left="1440" w:right="1440"/>
        <w:rPr>
          <w:iCs/>
          <w:sz w:val="26"/>
          <w:szCs w:val="26"/>
        </w:rPr>
      </w:pPr>
      <w:r w:rsidRPr="006A631A">
        <w:rPr>
          <w:iCs/>
          <w:sz w:val="26"/>
          <w:szCs w:val="26"/>
        </w:rPr>
        <w:t>34.</w:t>
      </w:r>
      <w:r w:rsidRPr="006A631A">
        <w:rPr>
          <w:iCs/>
          <w:sz w:val="26"/>
          <w:szCs w:val="26"/>
        </w:rPr>
        <w:tab/>
        <w:t>PGW agrees to track and maintain annual data as follows:</w:t>
      </w:r>
    </w:p>
    <w:p w14:paraId="6E62F860" w14:textId="65DF6E0A" w:rsidR="00E156D4" w:rsidRPr="006A631A" w:rsidRDefault="00E156D4" w:rsidP="00F510B9">
      <w:pPr>
        <w:widowControl/>
        <w:ind w:left="1440" w:right="1440"/>
        <w:rPr>
          <w:iCs/>
          <w:sz w:val="26"/>
          <w:szCs w:val="26"/>
        </w:rPr>
      </w:pPr>
    </w:p>
    <w:p w14:paraId="2AA1AD74" w14:textId="573380E6" w:rsidR="00B773D3" w:rsidRPr="006A631A" w:rsidRDefault="00B773D3" w:rsidP="00C024E3">
      <w:pPr>
        <w:pStyle w:val="ListParagraph"/>
        <w:widowControl/>
        <w:numPr>
          <w:ilvl w:val="0"/>
          <w:numId w:val="13"/>
        </w:numPr>
        <w:ind w:left="2880" w:right="1440" w:hanging="720"/>
        <w:rPr>
          <w:iCs/>
          <w:sz w:val="26"/>
          <w:szCs w:val="26"/>
        </w:rPr>
      </w:pPr>
      <w:bookmarkStart w:id="27" w:name="_Hlk54249199"/>
      <w:r w:rsidRPr="006A631A">
        <w:rPr>
          <w:iCs/>
          <w:sz w:val="26"/>
          <w:szCs w:val="26"/>
        </w:rPr>
        <w:t>For PGW’s LIHEAP Crisis acceptance policy:</w:t>
      </w:r>
    </w:p>
    <w:p w14:paraId="1787F583" w14:textId="6DFD8DE9" w:rsidR="00B773D3" w:rsidRPr="006A631A" w:rsidRDefault="00B773D3" w:rsidP="00F510B9">
      <w:pPr>
        <w:pStyle w:val="ListParagraph"/>
        <w:widowControl/>
        <w:ind w:left="2520" w:right="1440"/>
        <w:rPr>
          <w:iCs/>
          <w:sz w:val="26"/>
          <w:szCs w:val="26"/>
        </w:rPr>
      </w:pPr>
    </w:p>
    <w:p w14:paraId="7990E27D" w14:textId="2EB1421B" w:rsidR="00B773D3" w:rsidRPr="006A631A" w:rsidRDefault="00F225E3" w:rsidP="000E6608">
      <w:pPr>
        <w:pStyle w:val="ListParagraph"/>
        <w:widowControl/>
        <w:numPr>
          <w:ilvl w:val="5"/>
          <w:numId w:val="21"/>
        </w:numPr>
        <w:ind w:left="3600" w:right="1440" w:hanging="540"/>
        <w:rPr>
          <w:iCs/>
          <w:sz w:val="26"/>
          <w:szCs w:val="26"/>
        </w:rPr>
      </w:pPr>
      <w:bookmarkStart w:id="28" w:name="_Hlk54185058"/>
      <w:r w:rsidRPr="006A631A">
        <w:rPr>
          <w:iCs/>
          <w:sz w:val="26"/>
          <w:szCs w:val="26"/>
        </w:rPr>
        <w:t>The number of customers who: receive a LIHEAP Crisis grant who had a balance due to PGW in an amount greater than the maximum Crisis grant amount; and</w:t>
      </w:r>
    </w:p>
    <w:p w14:paraId="464DC4AE" w14:textId="77777777" w:rsidR="00B773D3" w:rsidRPr="006A631A" w:rsidRDefault="00B773D3" w:rsidP="000E6608">
      <w:pPr>
        <w:pStyle w:val="ListParagraph"/>
        <w:widowControl/>
        <w:ind w:left="3600" w:right="1440" w:hanging="540"/>
        <w:rPr>
          <w:iCs/>
          <w:sz w:val="26"/>
          <w:szCs w:val="26"/>
        </w:rPr>
      </w:pPr>
    </w:p>
    <w:p w14:paraId="307F1703" w14:textId="0E4031DA" w:rsidR="00B773D3" w:rsidRPr="006A631A" w:rsidRDefault="00F225E3" w:rsidP="000E6608">
      <w:pPr>
        <w:pStyle w:val="ListParagraph"/>
        <w:widowControl/>
        <w:numPr>
          <w:ilvl w:val="5"/>
          <w:numId w:val="21"/>
        </w:numPr>
        <w:ind w:left="3600" w:right="1440" w:hanging="540"/>
        <w:rPr>
          <w:iCs/>
          <w:sz w:val="26"/>
          <w:szCs w:val="26"/>
        </w:rPr>
      </w:pPr>
      <w:r w:rsidRPr="006A631A">
        <w:rPr>
          <w:iCs/>
          <w:sz w:val="26"/>
          <w:szCs w:val="26"/>
        </w:rPr>
        <w:t>the dollar value of LIHEAP Crisis grants received by PGW for customers with an account balance greater than the maximum Crisis grant amount.</w:t>
      </w:r>
    </w:p>
    <w:p w14:paraId="4FC53543" w14:textId="7B8D50D2" w:rsidR="00F225E3" w:rsidRPr="006A631A" w:rsidRDefault="00F225E3" w:rsidP="000E6608">
      <w:pPr>
        <w:pStyle w:val="ListParagraph"/>
        <w:widowControl/>
        <w:numPr>
          <w:ilvl w:val="5"/>
          <w:numId w:val="21"/>
        </w:numPr>
        <w:ind w:left="3600" w:right="1440" w:hanging="540"/>
        <w:rPr>
          <w:iCs/>
          <w:sz w:val="26"/>
          <w:szCs w:val="26"/>
        </w:rPr>
      </w:pPr>
      <w:r w:rsidRPr="006A631A">
        <w:rPr>
          <w:iCs/>
          <w:sz w:val="26"/>
          <w:szCs w:val="26"/>
        </w:rPr>
        <w:t>PGW will separately track this information for customers whose service is on and applicants or customers restoring service.</w:t>
      </w:r>
    </w:p>
    <w:bookmarkEnd w:id="27"/>
    <w:p w14:paraId="178E98CE" w14:textId="77777777" w:rsidR="00F225E3" w:rsidRPr="006A631A" w:rsidRDefault="00F225E3" w:rsidP="000E6608">
      <w:pPr>
        <w:pStyle w:val="ListParagraph"/>
        <w:widowControl/>
        <w:ind w:left="3600" w:hanging="540"/>
        <w:rPr>
          <w:iCs/>
          <w:sz w:val="26"/>
          <w:szCs w:val="26"/>
        </w:rPr>
      </w:pPr>
    </w:p>
    <w:p w14:paraId="7762777B" w14:textId="3548C866" w:rsidR="00F225E3" w:rsidRPr="006A631A" w:rsidRDefault="00F225E3" w:rsidP="000E6608">
      <w:pPr>
        <w:pStyle w:val="ListParagraph"/>
        <w:widowControl/>
        <w:numPr>
          <w:ilvl w:val="5"/>
          <w:numId w:val="21"/>
        </w:numPr>
        <w:ind w:left="3600" w:right="1440" w:hanging="540"/>
        <w:rPr>
          <w:iCs/>
          <w:sz w:val="26"/>
          <w:szCs w:val="26"/>
        </w:rPr>
      </w:pPr>
      <w:r w:rsidRPr="006A631A">
        <w:rPr>
          <w:iCs/>
          <w:sz w:val="26"/>
          <w:szCs w:val="26"/>
        </w:rPr>
        <w:t>PGW will provide the parties to this settlement with the collected data on or before September 30, 2021 for the 2020-2021 LIHEAP season.</w:t>
      </w:r>
    </w:p>
    <w:bookmarkEnd w:id="28"/>
    <w:p w14:paraId="32E461EE" w14:textId="77777777" w:rsidR="00B773D3" w:rsidRPr="006A631A" w:rsidRDefault="00B773D3" w:rsidP="00F510B9">
      <w:pPr>
        <w:widowControl/>
        <w:ind w:right="1440"/>
        <w:rPr>
          <w:iCs/>
          <w:sz w:val="26"/>
          <w:szCs w:val="26"/>
        </w:rPr>
      </w:pPr>
    </w:p>
    <w:p w14:paraId="3D3AB5F1" w14:textId="7D13F305" w:rsidR="00C70654" w:rsidRPr="006A631A" w:rsidRDefault="00F225E3" w:rsidP="00C024E3">
      <w:pPr>
        <w:pStyle w:val="ListParagraph"/>
        <w:widowControl/>
        <w:numPr>
          <w:ilvl w:val="0"/>
          <w:numId w:val="13"/>
        </w:numPr>
        <w:ind w:left="2880" w:right="1440" w:hanging="720"/>
        <w:rPr>
          <w:iCs/>
          <w:sz w:val="26"/>
          <w:szCs w:val="26"/>
        </w:rPr>
      </w:pPr>
      <w:bookmarkStart w:id="29" w:name="_Hlk54185182"/>
      <w:r w:rsidRPr="006A631A">
        <w:rPr>
          <w:iCs/>
          <w:sz w:val="26"/>
          <w:szCs w:val="26"/>
        </w:rPr>
        <w:t>For properties where service has been terminated due to non-payment:</w:t>
      </w:r>
    </w:p>
    <w:bookmarkEnd w:id="29"/>
    <w:p w14:paraId="33F8A54D" w14:textId="743E55CB" w:rsidR="00F225E3" w:rsidRPr="006A631A" w:rsidRDefault="00F225E3" w:rsidP="00F510B9">
      <w:pPr>
        <w:widowControl/>
        <w:ind w:right="1440"/>
        <w:rPr>
          <w:iCs/>
          <w:sz w:val="26"/>
          <w:szCs w:val="26"/>
        </w:rPr>
      </w:pPr>
    </w:p>
    <w:p w14:paraId="6173156F" w14:textId="262A92CD" w:rsidR="00F225E3" w:rsidRPr="006A631A" w:rsidRDefault="00F225E3" w:rsidP="00C024E3">
      <w:pPr>
        <w:pStyle w:val="ListParagraph"/>
        <w:widowControl/>
        <w:numPr>
          <w:ilvl w:val="0"/>
          <w:numId w:val="14"/>
        </w:numPr>
        <w:ind w:left="3600" w:right="1440"/>
        <w:rPr>
          <w:iCs/>
          <w:sz w:val="26"/>
          <w:szCs w:val="26"/>
        </w:rPr>
      </w:pPr>
      <w:r w:rsidRPr="006A631A">
        <w:rPr>
          <w:iCs/>
          <w:sz w:val="26"/>
          <w:szCs w:val="26"/>
        </w:rPr>
        <w:t>The total number of customers who did not have service restored in the full year following such termination.</w:t>
      </w:r>
    </w:p>
    <w:p w14:paraId="170A3FA2" w14:textId="77777777" w:rsidR="00F225E3" w:rsidRPr="006A631A" w:rsidRDefault="00F225E3" w:rsidP="00C024E3">
      <w:pPr>
        <w:pStyle w:val="ListParagraph"/>
        <w:widowControl/>
        <w:ind w:left="3600" w:right="1440" w:hanging="720"/>
        <w:rPr>
          <w:iCs/>
          <w:sz w:val="26"/>
          <w:szCs w:val="26"/>
        </w:rPr>
      </w:pPr>
    </w:p>
    <w:p w14:paraId="1F29BA8F" w14:textId="1E854399" w:rsidR="00F225E3" w:rsidRPr="006A631A" w:rsidRDefault="00F225E3" w:rsidP="00C024E3">
      <w:pPr>
        <w:pStyle w:val="ListParagraph"/>
        <w:widowControl/>
        <w:numPr>
          <w:ilvl w:val="0"/>
          <w:numId w:val="14"/>
        </w:numPr>
        <w:ind w:left="3600" w:right="1440"/>
        <w:rPr>
          <w:iCs/>
          <w:sz w:val="26"/>
          <w:szCs w:val="26"/>
        </w:rPr>
      </w:pPr>
      <w:r w:rsidRPr="006A631A">
        <w:rPr>
          <w:iCs/>
          <w:sz w:val="26"/>
          <w:szCs w:val="26"/>
        </w:rPr>
        <w:t>PGW will provide the data identified in subpart (b) to its Universal Service Advisory Group in 2022 for calendar year 2021.</w:t>
      </w:r>
    </w:p>
    <w:p w14:paraId="3856AE56" w14:textId="77777777" w:rsidR="00C70654" w:rsidRPr="006A631A" w:rsidRDefault="00C70654" w:rsidP="00F510B9">
      <w:pPr>
        <w:pStyle w:val="ListParagraph"/>
        <w:widowControl/>
        <w:rPr>
          <w:iCs/>
          <w:sz w:val="26"/>
          <w:szCs w:val="26"/>
        </w:rPr>
      </w:pPr>
    </w:p>
    <w:p w14:paraId="39426BAA" w14:textId="33DB065B" w:rsidR="00F225E3" w:rsidRPr="006A631A" w:rsidRDefault="00F225E3" w:rsidP="00C024E3">
      <w:pPr>
        <w:pStyle w:val="ListParagraph"/>
        <w:widowControl/>
        <w:numPr>
          <w:ilvl w:val="0"/>
          <w:numId w:val="13"/>
        </w:numPr>
        <w:ind w:left="2880" w:right="1440" w:hanging="720"/>
        <w:rPr>
          <w:iCs/>
          <w:sz w:val="26"/>
          <w:szCs w:val="26"/>
        </w:rPr>
      </w:pPr>
      <w:r w:rsidRPr="006A631A">
        <w:rPr>
          <w:iCs/>
          <w:sz w:val="26"/>
          <w:szCs w:val="26"/>
        </w:rPr>
        <w:t>PGW will provide the parties to this settlement with the collected data identified in subparts a and b in an excel spreadsheet.</w:t>
      </w:r>
    </w:p>
    <w:p w14:paraId="5AEF1C75" w14:textId="77777777" w:rsidR="00C70654" w:rsidRPr="006A631A" w:rsidRDefault="00C70654" w:rsidP="00F510B9">
      <w:pPr>
        <w:widowControl/>
        <w:ind w:left="1440" w:right="1440"/>
        <w:contextualSpacing/>
        <w:rPr>
          <w:bCs/>
          <w:sz w:val="26"/>
          <w:szCs w:val="26"/>
        </w:rPr>
      </w:pPr>
    </w:p>
    <w:p w14:paraId="250F8B8D" w14:textId="56144BBA" w:rsidR="006A20DF" w:rsidRPr="006A631A" w:rsidRDefault="006A20DF" w:rsidP="00F510B9">
      <w:pPr>
        <w:widowControl/>
        <w:ind w:left="1440" w:right="1440"/>
        <w:rPr>
          <w:iCs/>
          <w:sz w:val="26"/>
          <w:szCs w:val="26"/>
        </w:rPr>
      </w:pPr>
      <w:bookmarkStart w:id="30" w:name="_Hlk54249654"/>
      <w:r w:rsidRPr="006A631A">
        <w:rPr>
          <w:iCs/>
          <w:sz w:val="26"/>
          <w:szCs w:val="26"/>
        </w:rPr>
        <w:t>35.</w:t>
      </w:r>
      <w:r w:rsidRPr="006A631A">
        <w:rPr>
          <w:iCs/>
          <w:sz w:val="26"/>
          <w:szCs w:val="26"/>
        </w:rPr>
        <w:tab/>
        <w:t>PGW shall make the following policy changes:</w:t>
      </w:r>
    </w:p>
    <w:bookmarkEnd w:id="30"/>
    <w:p w14:paraId="63A9FD94" w14:textId="725F37BB" w:rsidR="006A20DF" w:rsidRPr="006A631A" w:rsidRDefault="006A20DF" w:rsidP="00F510B9">
      <w:pPr>
        <w:widowControl/>
        <w:ind w:left="1440" w:right="1440"/>
        <w:rPr>
          <w:iCs/>
          <w:sz w:val="26"/>
          <w:szCs w:val="26"/>
        </w:rPr>
      </w:pPr>
    </w:p>
    <w:p w14:paraId="07379A3C" w14:textId="77777777" w:rsidR="000555EA" w:rsidRPr="006A631A" w:rsidRDefault="000555EA" w:rsidP="00C024E3">
      <w:pPr>
        <w:widowControl/>
        <w:ind w:left="2880" w:right="1440" w:hanging="720"/>
        <w:rPr>
          <w:iCs/>
          <w:sz w:val="26"/>
          <w:szCs w:val="26"/>
        </w:rPr>
      </w:pPr>
      <w:bookmarkStart w:id="31" w:name="_Hlk54249723"/>
      <w:bookmarkStart w:id="32" w:name="_Hlk54249437"/>
      <w:r w:rsidRPr="006A631A">
        <w:rPr>
          <w:iCs/>
          <w:sz w:val="26"/>
          <w:szCs w:val="26"/>
        </w:rPr>
        <w:t>a.</w:t>
      </w:r>
      <w:r w:rsidRPr="006A631A">
        <w:rPr>
          <w:iCs/>
          <w:sz w:val="26"/>
          <w:szCs w:val="26"/>
        </w:rPr>
        <w:tab/>
        <w:t>For PGW’s LIHEAP Crisis acceptance policy:</w:t>
      </w:r>
    </w:p>
    <w:bookmarkEnd w:id="31"/>
    <w:p w14:paraId="7B2494BC" w14:textId="77777777" w:rsidR="000555EA" w:rsidRPr="006A631A" w:rsidRDefault="000555EA" w:rsidP="00F510B9">
      <w:pPr>
        <w:widowControl/>
        <w:ind w:left="1440" w:right="1440"/>
        <w:rPr>
          <w:iCs/>
          <w:sz w:val="26"/>
          <w:szCs w:val="26"/>
        </w:rPr>
      </w:pPr>
    </w:p>
    <w:p w14:paraId="456ADF31" w14:textId="7DF7D6AA" w:rsidR="000555EA" w:rsidRPr="006A631A" w:rsidRDefault="000555EA" w:rsidP="00C024E3">
      <w:pPr>
        <w:widowControl/>
        <w:ind w:left="3600" w:right="1440" w:hanging="720"/>
        <w:rPr>
          <w:iCs/>
          <w:sz w:val="26"/>
          <w:szCs w:val="26"/>
        </w:rPr>
      </w:pPr>
      <w:r w:rsidRPr="006A631A">
        <w:rPr>
          <w:iCs/>
          <w:sz w:val="26"/>
          <w:szCs w:val="26"/>
        </w:rPr>
        <w:t>i.</w:t>
      </w:r>
      <w:r w:rsidRPr="006A631A">
        <w:rPr>
          <w:iCs/>
          <w:sz w:val="26"/>
          <w:szCs w:val="26"/>
        </w:rPr>
        <w:tab/>
        <w:t>PGW shall perform an analysis of the results of its Crisis threshold amount for that LIHEAP season at the conclusion of the LIHEAP 2020-2021 season.</w:t>
      </w:r>
    </w:p>
    <w:p w14:paraId="30012E0C" w14:textId="77777777" w:rsidR="000555EA" w:rsidRPr="006A631A" w:rsidRDefault="000555EA" w:rsidP="00C024E3">
      <w:pPr>
        <w:widowControl/>
        <w:ind w:left="3600" w:right="1440" w:hanging="720"/>
        <w:rPr>
          <w:iCs/>
          <w:sz w:val="26"/>
          <w:szCs w:val="26"/>
        </w:rPr>
      </w:pPr>
    </w:p>
    <w:p w14:paraId="385054A2" w14:textId="4B63BCA0" w:rsidR="000555EA" w:rsidRPr="006A631A" w:rsidRDefault="000555EA" w:rsidP="00C024E3">
      <w:pPr>
        <w:widowControl/>
        <w:ind w:left="3600" w:right="1440" w:hanging="720"/>
        <w:rPr>
          <w:iCs/>
          <w:sz w:val="26"/>
          <w:szCs w:val="26"/>
        </w:rPr>
      </w:pPr>
      <w:r w:rsidRPr="006A631A">
        <w:rPr>
          <w:iCs/>
          <w:sz w:val="26"/>
          <w:szCs w:val="26"/>
        </w:rPr>
        <w:t>ii.</w:t>
      </w:r>
      <w:r w:rsidRPr="006A631A">
        <w:rPr>
          <w:iCs/>
          <w:sz w:val="26"/>
          <w:szCs w:val="26"/>
        </w:rPr>
        <w:tab/>
        <w:t>PGW shall provide this analysis to the parties to the settlement at the conclusion of the LIHEAP 2020-2021 season.</w:t>
      </w:r>
    </w:p>
    <w:p w14:paraId="7CCB8F42" w14:textId="77777777" w:rsidR="000555EA" w:rsidRPr="006A631A" w:rsidRDefault="000555EA" w:rsidP="00C024E3">
      <w:pPr>
        <w:widowControl/>
        <w:ind w:left="3600" w:right="1440" w:hanging="720"/>
        <w:rPr>
          <w:iCs/>
          <w:sz w:val="26"/>
          <w:szCs w:val="26"/>
        </w:rPr>
      </w:pPr>
    </w:p>
    <w:p w14:paraId="49EA052F" w14:textId="57F648E6" w:rsidR="0099221B" w:rsidRPr="006A631A" w:rsidRDefault="000555EA" w:rsidP="00C024E3">
      <w:pPr>
        <w:widowControl/>
        <w:ind w:left="3600" w:right="1440" w:hanging="720"/>
        <w:rPr>
          <w:iCs/>
          <w:sz w:val="26"/>
          <w:szCs w:val="26"/>
        </w:rPr>
      </w:pPr>
      <w:r w:rsidRPr="006A631A">
        <w:rPr>
          <w:iCs/>
          <w:sz w:val="26"/>
          <w:szCs w:val="26"/>
        </w:rPr>
        <w:t>iii.</w:t>
      </w:r>
      <w:r w:rsidRPr="006A631A">
        <w:rPr>
          <w:iCs/>
          <w:sz w:val="26"/>
          <w:szCs w:val="26"/>
        </w:rPr>
        <w:tab/>
        <w:t>For the 2021 LIHEAP season, PGW shall expand its “LIHEAP Crisis Policy” to permit customers to restore PGW service if their balance with PGW is at or below $1200, even if the grant is not enough to pay PGW’s restoration requirement in full.  Unauthorized usage debt is not eligible for such consideration.</w:t>
      </w:r>
    </w:p>
    <w:bookmarkEnd w:id="32"/>
    <w:p w14:paraId="4B6FDA0A" w14:textId="1E578ADB" w:rsidR="000555EA" w:rsidRPr="006A631A" w:rsidRDefault="000555EA" w:rsidP="00F510B9">
      <w:pPr>
        <w:widowControl/>
        <w:ind w:left="1440" w:right="1440"/>
        <w:rPr>
          <w:iCs/>
          <w:sz w:val="26"/>
          <w:szCs w:val="26"/>
        </w:rPr>
      </w:pPr>
    </w:p>
    <w:p w14:paraId="457ED688" w14:textId="3E584527" w:rsidR="000555EA" w:rsidRPr="006A631A" w:rsidRDefault="000555EA" w:rsidP="00C024E3">
      <w:pPr>
        <w:widowControl/>
        <w:ind w:left="2880" w:right="1440" w:hanging="720"/>
        <w:rPr>
          <w:iCs/>
          <w:sz w:val="26"/>
          <w:szCs w:val="26"/>
        </w:rPr>
      </w:pPr>
      <w:r w:rsidRPr="006A631A">
        <w:rPr>
          <w:iCs/>
          <w:sz w:val="26"/>
          <w:szCs w:val="26"/>
        </w:rPr>
        <w:t>b.</w:t>
      </w:r>
      <w:r w:rsidRPr="006A631A">
        <w:rPr>
          <w:iCs/>
          <w:sz w:val="26"/>
          <w:szCs w:val="26"/>
        </w:rPr>
        <w:tab/>
        <w:t xml:space="preserve">Domestic Violence: PGW shall draft a written policy that details how PGW handles cases for victims of domestic violence in compliance with Chapter 14 of the Public Utility Code and Chapter 56 of the Commission’s Regulations.  This written policy will include how a call is referred to a CARES representative when a customer discloses that they are a victim of domestic </w:t>
      </w:r>
      <w:proofErr w:type="gramStart"/>
      <w:r w:rsidRPr="006A631A">
        <w:rPr>
          <w:iCs/>
          <w:sz w:val="26"/>
          <w:szCs w:val="26"/>
        </w:rPr>
        <w:t>violence, and</w:t>
      </w:r>
      <w:proofErr w:type="gramEnd"/>
      <w:r w:rsidRPr="006A631A">
        <w:rPr>
          <w:iCs/>
          <w:sz w:val="26"/>
          <w:szCs w:val="26"/>
        </w:rPr>
        <w:t xml:space="preserve"> designate a specific team within PGW to handle those calls and</w:t>
      </w:r>
      <w:r w:rsidR="0076674A" w:rsidRPr="006A631A">
        <w:rPr>
          <w:iCs/>
          <w:sz w:val="26"/>
          <w:szCs w:val="26"/>
        </w:rPr>
        <w:t xml:space="preserve"> </w:t>
      </w:r>
      <w:r w:rsidRPr="006A631A">
        <w:rPr>
          <w:iCs/>
          <w:sz w:val="26"/>
          <w:szCs w:val="26"/>
        </w:rPr>
        <w:t xml:space="preserve">inquiries. </w:t>
      </w:r>
      <w:r w:rsidR="0076674A" w:rsidRPr="006A631A">
        <w:rPr>
          <w:iCs/>
          <w:sz w:val="26"/>
          <w:szCs w:val="26"/>
        </w:rPr>
        <w:t xml:space="preserve"> </w:t>
      </w:r>
      <w:r w:rsidRPr="006A631A">
        <w:rPr>
          <w:iCs/>
          <w:sz w:val="26"/>
          <w:szCs w:val="26"/>
        </w:rPr>
        <w:t>PGW will provide a copy of this policy to all signatories to this</w:t>
      </w:r>
      <w:r w:rsidR="0076674A" w:rsidRPr="006A631A">
        <w:rPr>
          <w:iCs/>
          <w:sz w:val="26"/>
          <w:szCs w:val="26"/>
        </w:rPr>
        <w:t xml:space="preserve"> </w:t>
      </w:r>
      <w:r w:rsidRPr="006A631A">
        <w:rPr>
          <w:iCs/>
          <w:sz w:val="26"/>
          <w:szCs w:val="26"/>
        </w:rPr>
        <w:t>settlement within 90 days of approval of this settlement agreement.</w:t>
      </w:r>
      <w:r w:rsidR="0076674A" w:rsidRPr="006A631A">
        <w:rPr>
          <w:iCs/>
          <w:sz w:val="26"/>
          <w:szCs w:val="26"/>
        </w:rPr>
        <w:t xml:space="preserve"> </w:t>
      </w:r>
      <w:r w:rsidRPr="006A631A">
        <w:rPr>
          <w:iCs/>
          <w:sz w:val="26"/>
          <w:szCs w:val="26"/>
        </w:rPr>
        <w:t xml:space="preserve"> PGW</w:t>
      </w:r>
      <w:r w:rsidR="0076674A" w:rsidRPr="006A631A">
        <w:rPr>
          <w:iCs/>
          <w:sz w:val="26"/>
          <w:szCs w:val="26"/>
        </w:rPr>
        <w:t xml:space="preserve"> </w:t>
      </w:r>
      <w:r w:rsidRPr="006A631A">
        <w:rPr>
          <w:iCs/>
          <w:sz w:val="26"/>
          <w:szCs w:val="26"/>
        </w:rPr>
        <w:t>agrees to consider input from the rate case parties on the drafted policy for</w:t>
      </w:r>
      <w:r w:rsidR="0076674A" w:rsidRPr="006A631A">
        <w:rPr>
          <w:iCs/>
          <w:sz w:val="26"/>
          <w:szCs w:val="26"/>
        </w:rPr>
        <w:t xml:space="preserve"> </w:t>
      </w:r>
      <w:r w:rsidRPr="006A631A">
        <w:rPr>
          <w:iCs/>
          <w:sz w:val="26"/>
          <w:szCs w:val="26"/>
        </w:rPr>
        <w:lastRenderedPageBreak/>
        <w:t>domestic violence victims, and while the decision is within PGW’s discretion,</w:t>
      </w:r>
      <w:r w:rsidR="0076674A" w:rsidRPr="006A631A">
        <w:rPr>
          <w:iCs/>
          <w:sz w:val="26"/>
          <w:szCs w:val="26"/>
        </w:rPr>
        <w:t xml:space="preserve"> </w:t>
      </w:r>
      <w:r w:rsidRPr="006A631A">
        <w:rPr>
          <w:iCs/>
          <w:sz w:val="26"/>
          <w:szCs w:val="26"/>
        </w:rPr>
        <w:t>will provide an explanation for any input from the rate case parties that is not</w:t>
      </w:r>
      <w:r w:rsidR="0076674A" w:rsidRPr="006A631A">
        <w:rPr>
          <w:iCs/>
          <w:sz w:val="26"/>
          <w:szCs w:val="26"/>
        </w:rPr>
        <w:t xml:space="preserve"> </w:t>
      </w:r>
      <w:r w:rsidRPr="006A631A">
        <w:rPr>
          <w:iCs/>
          <w:sz w:val="26"/>
          <w:szCs w:val="26"/>
        </w:rPr>
        <w:t>adopted and integrated into the policy.</w:t>
      </w:r>
    </w:p>
    <w:p w14:paraId="2DF901A3" w14:textId="77777777" w:rsidR="000555EA" w:rsidRPr="006A631A" w:rsidRDefault="000555EA" w:rsidP="00F510B9">
      <w:pPr>
        <w:widowControl/>
        <w:ind w:left="1440" w:right="1440"/>
        <w:rPr>
          <w:iCs/>
          <w:sz w:val="26"/>
          <w:szCs w:val="26"/>
        </w:rPr>
      </w:pPr>
    </w:p>
    <w:p w14:paraId="44C0A913" w14:textId="1027F8AC" w:rsidR="000555EA" w:rsidRPr="006A631A" w:rsidRDefault="000555EA" w:rsidP="00126A4C">
      <w:pPr>
        <w:widowControl/>
        <w:ind w:left="3600" w:right="1440" w:hanging="720"/>
        <w:rPr>
          <w:iCs/>
          <w:sz w:val="26"/>
          <w:szCs w:val="26"/>
        </w:rPr>
      </w:pPr>
      <w:r w:rsidRPr="006A631A">
        <w:rPr>
          <w:iCs/>
          <w:sz w:val="26"/>
          <w:szCs w:val="26"/>
        </w:rPr>
        <w:t>i.</w:t>
      </w:r>
      <w:r w:rsidRPr="006A631A">
        <w:rPr>
          <w:iCs/>
          <w:sz w:val="26"/>
          <w:szCs w:val="26"/>
        </w:rPr>
        <w:tab/>
      </w:r>
      <w:r w:rsidR="0076674A" w:rsidRPr="006A631A">
        <w:rPr>
          <w:iCs/>
          <w:sz w:val="26"/>
          <w:szCs w:val="26"/>
        </w:rPr>
        <w:t>PGW shall ensure that the team that works with these calls will be specifically trained on the unique statutory and regulatory protections, as well as the vulnerabilities and need for privacy protections of victims.</w:t>
      </w:r>
    </w:p>
    <w:p w14:paraId="2E231618" w14:textId="77777777" w:rsidR="000555EA" w:rsidRPr="006A631A" w:rsidRDefault="000555EA" w:rsidP="00126A4C">
      <w:pPr>
        <w:widowControl/>
        <w:ind w:left="3600" w:right="1440" w:hanging="720"/>
        <w:rPr>
          <w:iCs/>
          <w:sz w:val="26"/>
          <w:szCs w:val="26"/>
        </w:rPr>
      </w:pPr>
    </w:p>
    <w:p w14:paraId="1313688B" w14:textId="2F416B6F" w:rsidR="000555EA" w:rsidRPr="006A631A" w:rsidRDefault="000555EA" w:rsidP="00126A4C">
      <w:pPr>
        <w:widowControl/>
        <w:ind w:left="3600" w:right="1440" w:hanging="720"/>
        <w:rPr>
          <w:iCs/>
          <w:sz w:val="26"/>
          <w:szCs w:val="26"/>
        </w:rPr>
      </w:pPr>
      <w:r w:rsidRPr="006A631A">
        <w:rPr>
          <w:iCs/>
          <w:sz w:val="26"/>
          <w:szCs w:val="26"/>
        </w:rPr>
        <w:t>ii.</w:t>
      </w:r>
      <w:r w:rsidRPr="006A631A">
        <w:rPr>
          <w:iCs/>
          <w:sz w:val="26"/>
          <w:szCs w:val="26"/>
        </w:rPr>
        <w:tab/>
      </w:r>
      <w:r w:rsidR="0076674A" w:rsidRPr="006A631A">
        <w:rPr>
          <w:iCs/>
          <w:sz w:val="26"/>
          <w:szCs w:val="26"/>
        </w:rPr>
        <w:t>PGW shall provide all customer service representatives with annual training addressing handling of customers with a PFA, or court order issued by a court of competent jurisdiction in Pennsylvania providing clear evidence of domestic violence.  This training shall include the rights associated with the domestic violence protections, the procedures used to process documentation, and how to refer customers to the designated team at PGW. PGW will provide the training materials created to the rate case parties.</w:t>
      </w:r>
    </w:p>
    <w:p w14:paraId="6A9E5D75" w14:textId="77777777" w:rsidR="000555EA" w:rsidRPr="006A631A" w:rsidRDefault="000555EA" w:rsidP="00F510B9">
      <w:pPr>
        <w:widowControl/>
        <w:ind w:left="2880" w:right="1440" w:hanging="360"/>
        <w:rPr>
          <w:iCs/>
          <w:sz w:val="26"/>
          <w:szCs w:val="26"/>
        </w:rPr>
      </w:pPr>
    </w:p>
    <w:p w14:paraId="0851CFF9" w14:textId="59763ACF" w:rsidR="000555EA" w:rsidRPr="006A631A" w:rsidRDefault="000555EA" w:rsidP="00126A4C">
      <w:pPr>
        <w:widowControl/>
        <w:ind w:left="3600" w:right="1440" w:hanging="720"/>
        <w:rPr>
          <w:iCs/>
          <w:sz w:val="26"/>
          <w:szCs w:val="26"/>
        </w:rPr>
      </w:pPr>
      <w:r w:rsidRPr="006A631A">
        <w:rPr>
          <w:iCs/>
          <w:sz w:val="26"/>
          <w:szCs w:val="26"/>
        </w:rPr>
        <w:t>iii.</w:t>
      </w:r>
      <w:r w:rsidRPr="006A631A">
        <w:rPr>
          <w:iCs/>
          <w:sz w:val="26"/>
          <w:szCs w:val="26"/>
        </w:rPr>
        <w:tab/>
      </w:r>
      <w:r w:rsidR="0076674A" w:rsidRPr="006A631A">
        <w:rPr>
          <w:iCs/>
          <w:sz w:val="26"/>
          <w:szCs w:val="26"/>
        </w:rPr>
        <w:t>A PGW trainer will work with a domestic violence agency (willing to do so) to obtain input and suggestions on soft skills in working with domestic violence victims protected under a PFA or similar order.  Training materials created from that input will be updated and provided to the rate case parties.</w:t>
      </w:r>
    </w:p>
    <w:p w14:paraId="4901734E" w14:textId="57B1525F" w:rsidR="000555EA" w:rsidRPr="006A631A" w:rsidRDefault="000555EA" w:rsidP="00F510B9">
      <w:pPr>
        <w:widowControl/>
        <w:ind w:left="1440" w:right="1440"/>
        <w:rPr>
          <w:iCs/>
          <w:sz w:val="26"/>
          <w:szCs w:val="26"/>
        </w:rPr>
      </w:pPr>
    </w:p>
    <w:p w14:paraId="56B13B83" w14:textId="70AC07E7" w:rsidR="0076674A" w:rsidRPr="006A631A" w:rsidRDefault="0076674A" w:rsidP="00F510B9">
      <w:pPr>
        <w:widowControl/>
        <w:ind w:left="1440" w:right="1440"/>
        <w:rPr>
          <w:iCs/>
          <w:sz w:val="26"/>
          <w:szCs w:val="26"/>
        </w:rPr>
      </w:pPr>
      <w:r w:rsidRPr="006A631A">
        <w:rPr>
          <w:iCs/>
          <w:sz w:val="26"/>
          <w:szCs w:val="26"/>
        </w:rPr>
        <w:t>36.</w:t>
      </w:r>
      <w:r w:rsidRPr="006A631A">
        <w:rPr>
          <w:iCs/>
          <w:sz w:val="26"/>
          <w:szCs w:val="26"/>
        </w:rPr>
        <w:tab/>
        <w:t>Within 90 days of the approval of this settlement agreement, PGW shall create website content regarding:</w:t>
      </w:r>
    </w:p>
    <w:p w14:paraId="12B81C76" w14:textId="3C2891F1" w:rsidR="0076674A" w:rsidRPr="006A631A" w:rsidRDefault="0076674A" w:rsidP="00F510B9">
      <w:pPr>
        <w:widowControl/>
        <w:ind w:left="1440" w:right="1440"/>
        <w:rPr>
          <w:iCs/>
          <w:sz w:val="26"/>
          <w:szCs w:val="26"/>
        </w:rPr>
      </w:pPr>
    </w:p>
    <w:p w14:paraId="48B1FAF3" w14:textId="72264F1E" w:rsidR="000555EA" w:rsidRPr="006A631A" w:rsidRDefault="0076674A" w:rsidP="00126A4C">
      <w:pPr>
        <w:widowControl/>
        <w:ind w:left="2880" w:right="1440" w:hanging="720"/>
        <w:rPr>
          <w:iCs/>
          <w:sz w:val="26"/>
          <w:szCs w:val="26"/>
        </w:rPr>
      </w:pPr>
      <w:bookmarkStart w:id="33" w:name="_Hlk54249820"/>
      <w:r w:rsidRPr="006A631A">
        <w:rPr>
          <w:iCs/>
          <w:sz w:val="26"/>
          <w:szCs w:val="26"/>
        </w:rPr>
        <w:t>a.</w:t>
      </w:r>
      <w:r w:rsidRPr="006A631A">
        <w:rPr>
          <w:iCs/>
          <w:sz w:val="26"/>
          <w:szCs w:val="26"/>
        </w:rPr>
        <w:tab/>
        <w:t xml:space="preserve">The protections available for victims of domestic violence.  The website shall identify the rights associated with the domestic violence protections and the required </w:t>
      </w:r>
      <w:proofErr w:type="gramStart"/>
      <w:r w:rsidRPr="006A631A">
        <w:rPr>
          <w:iCs/>
          <w:sz w:val="26"/>
          <w:szCs w:val="26"/>
        </w:rPr>
        <w:t>documentation, and</w:t>
      </w:r>
      <w:proofErr w:type="gramEnd"/>
      <w:r w:rsidRPr="006A631A">
        <w:rPr>
          <w:iCs/>
          <w:sz w:val="26"/>
          <w:szCs w:val="26"/>
        </w:rPr>
        <w:t xml:space="preserve"> </w:t>
      </w:r>
      <w:r w:rsidRPr="006A631A">
        <w:rPr>
          <w:iCs/>
          <w:sz w:val="26"/>
          <w:szCs w:val="26"/>
        </w:rPr>
        <w:lastRenderedPageBreak/>
        <w:t>explain specifically how a customer can self-identify and provide information to PGW.  PGW agrees to consider input from rate case parties on this created content.</w:t>
      </w:r>
    </w:p>
    <w:bookmarkEnd w:id="33"/>
    <w:p w14:paraId="4CEAFCB9" w14:textId="6DEE2556" w:rsidR="000555EA" w:rsidRPr="006A631A" w:rsidRDefault="000555EA" w:rsidP="00F510B9">
      <w:pPr>
        <w:widowControl/>
        <w:ind w:left="1440" w:right="1440"/>
        <w:rPr>
          <w:iCs/>
          <w:sz w:val="26"/>
          <w:szCs w:val="26"/>
        </w:rPr>
      </w:pPr>
    </w:p>
    <w:p w14:paraId="641B562A" w14:textId="77D4267E" w:rsidR="000555EA" w:rsidRPr="006A631A" w:rsidRDefault="0076674A" w:rsidP="00F510B9">
      <w:pPr>
        <w:widowControl/>
        <w:ind w:left="1440" w:right="1440"/>
        <w:rPr>
          <w:iCs/>
          <w:sz w:val="26"/>
          <w:szCs w:val="26"/>
        </w:rPr>
      </w:pPr>
      <w:r w:rsidRPr="006A631A">
        <w:rPr>
          <w:iCs/>
          <w:sz w:val="26"/>
          <w:szCs w:val="26"/>
        </w:rPr>
        <w:t>37.</w:t>
      </w:r>
      <w:r w:rsidRPr="006A631A">
        <w:rPr>
          <w:iCs/>
          <w:sz w:val="26"/>
          <w:szCs w:val="26"/>
        </w:rPr>
        <w:tab/>
        <w:t>PGW shall agree to the following:</w:t>
      </w:r>
    </w:p>
    <w:p w14:paraId="4009479C" w14:textId="3F0CFA46" w:rsidR="000555EA" w:rsidRPr="006A631A" w:rsidRDefault="000555EA" w:rsidP="00F510B9">
      <w:pPr>
        <w:widowControl/>
        <w:ind w:left="1440" w:right="1440"/>
        <w:rPr>
          <w:iCs/>
          <w:sz w:val="26"/>
          <w:szCs w:val="26"/>
        </w:rPr>
      </w:pPr>
    </w:p>
    <w:p w14:paraId="6FEA17A8" w14:textId="4E71A3E1" w:rsidR="000555EA" w:rsidRPr="006A631A" w:rsidRDefault="0076674A" w:rsidP="00126A4C">
      <w:pPr>
        <w:widowControl/>
        <w:ind w:left="2880" w:right="1440" w:hanging="720"/>
        <w:rPr>
          <w:iCs/>
          <w:sz w:val="26"/>
          <w:szCs w:val="26"/>
        </w:rPr>
      </w:pPr>
      <w:r w:rsidRPr="006A631A">
        <w:rPr>
          <w:iCs/>
          <w:sz w:val="26"/>
          <w:szCs w:val="26"/>
        </w:rPr>
        <w:t>a.</w:t>
      </w:r>
      <w:r w:rsidRPr="006A631A">
        <w:rPr>
          <w:iCs/>
          <w:sz w:val="26"/>
          <w:szCs w:val="26"/>
        </w:rPr>
        <w:tab/>
        <w:t>PGW shall provide availability to spoken language translation services, regardless of whether customers speaking that language comprise less than 5% of the PGW customer base, for service center communications.</w:t>
      </w:r>
    </w:p>
    <w:p w14:paraId="7DFEB0D1" w14:textId="2ED2322C" w:rsidR="000555EA" w:rsidRPr="006A631A" w:rsidRDefault="000555EA" w:rsidP="00126A4C">
      <w:pPr>
        <w:widowControl/>
        <w:ind w:left="2880" w:right="1440" w:hanging="720"/>
        <w:rPr>
          <w:iCs/>
          <w:sz w:val="26"/>
          <w:szCs w:val="26"/>
        </w:rPr>
      </w:pPr>
    </w:p>
    <w:p w14:paraId="50DB9049" w14:textId="747769A1" w:rsidR="000555EA" w:rsidRPr="006A631A" w:rsidRDefault="0076674A" w:rsidP="00126A4C">
      <w:pPr>
        <w:widowControl/>
        <w:ind w:left="2880" w:right="1440" w:hanging="720"/>
        <w:rPr>
          <w:iCs/>
          <w:sz w:val="26"/>
          <w:szCs w:val="26"/>
        </w:rPr>
      </w:pPr>
      <w:r w:rsidRPr="006A631A">
        <w:rPr>
          <w:iCs/>
          <w:sz w:val="26"/>
          <w:szCs w:val="26"/>
        </w:rPr>
        <w:t>b.</w:t>
      </w:r>
      <w:r w:rsidRPr="006A631A">
        <w:rPr>
          <w:iCs/>
          <w:sz w:val="26"/>
          <w:szCs w:val="26"/>
        </w:rPr>
        <w:tab/>
        <w:t xml:space="preserve">PGW shall provide customer service representatives with annual training on how to utilize language assistance </w:t>
      </w:r>
      <w:proofErr w:type="gramStart"/>
      <w:r w:rsidRPr="006A631A">
        <w:rPr>
          <w:iCs/>
          <w:sz w:val="26"/>
          <w:szCs w:val="26"/>
        </w:rPr>
        <w:t>services, and</w:t>
      </w:r>
      <w:proofErr w:type="gramEnd"/>
      <w:r w:rsidRPr="006A631A">
        <w:rPr>
          <w:iCs/>
          <w:sz w:val="26"/>
          <w:szCs w:val="26"/>
        </w:rPr>
        <w:t xml:space="preserve"> provide written hand-held reference on how to utilize spoken translation services.</w:t>
      </w:r>
    </w:p>
    <w:p w14:paraId="7F5DF960" w14:textId="77777777" w:rsidR="000555EA" w:rsidRPr="006A631A" w:rsidRDefault="000555EA" w:rsidP="00126A4C">
      <w:pPr>
        <w:widowControl/>
        <w:ind w:left="2880" w:right="1440" w:hanging="720"/>
        <w:rPr>
          <w:iCs/>
          <w:sz w:val="26"/>
          <w:szCs w:val="26"/>
        </w:rPr>
      </w:pPr>
    </w:p>
    <w:p w14:paraId="2EFFA6C6" w14:textId="79EE7E60" w:rsidR="006A20DF" w:rsidRPr="006A631A" w:rsidRDefault="0076674A" w:rsidP="00126A4C">
      <w:pPr>
        <w:widowControl/>
        <w:ind w:left="2880" w:right="1440" w:hanging="720"/>
        <w:rPr>
          <w:iCs/>
          <w:sz w:val="26"/>
          <w:szCs w:val="26"/>
        </w:rPr>
      </w:pPr>
      <w:r w:rsidRPr="006A631A">
        <w:rPr>
          <w:iCs/>
          <w:sz w:val="26"/>
          <w:szCs w:val="26"/>
        </w:rPr>
        <w:t>c.</w:t>
      </w:r>
      <w:r w:rsidRPr="006A631A">
        <w:rPr>
          <w:iCs/>
          <w:sz w:val="26"/>
          <w:szCs w:val="26"/>
        </w:rPr>
        <w:tab/>
        <w:t>PGW shall work with the Universal Services Advisory Group (USAG) over the next year to identify no more than ten (10) key universal service, safety, and customer service documents that will be made available in up to five (5) languages (other than English and Spanish) that will be made available on PGW’s website.</w:t>
      </w:r>
    </w:p>
    <w:p w14:paraId="253DF10C" w14:textId="54551201" w:rsidR="000555EA" w:rsidRPr="006A631A" w:rsidRDefault="000555EA" w:rsidP="00F510B9">
      <w:pPr>
        <w:widowControl/>
        <w:ind w:left="1440" w:right="1440"/>
        <w:rPr>
          <w:iCs/>
          <w:sz w:val="26"/>
          <w:szCs w:val="26"/>
        </w:rPr>
      </w:pPr>
    </w:p>
    <w:p w14:paraId="5EA0967D" w14:textId="1F1F4BC8" w:rsidR="000555EA" w:rsidRPr="006A631A" w:rsidRDefault="0076674A" w:rsidP="00F510B9">
      <w:pPr>
        <w:widowControl/>
        <w:ind w:left="1440" w:right="1440"/>
        <w:rPr>
          <w:iCs/>
          <w:sz w:val="26"/>
          <w:szCs w:val="26"/>
        </w:rPr>
      </w:pPr>
      <w:r w:rsidRPr="006A631A">
        <w:rPr>
          <w:iCs/>
          <w:sz w:val="26"/>
          <w:szCs w:val="26"/>
        </w:rPr>
        <w:t>38.</w:t>
      </w:r>
      <w:r w:rsidRPr="006A631A">
        <w:rPr>
          <w:iCs/>
          <w:sz w:val="26"/>
          <w:szCs w:val="26"/>
        </w:rPr>
        <w:tab/>
        <w:t>With respect to liens and arrearage forgiveness cost recovery:</w:t>
      </w:r>
    </w:p>
    <w:p w14:paraId="0F449E68" w14:textId="0EAAFD91" w:rsidR="0076674A" w:rsidRPr="006A631A" w:rsidRDefault="0076674A" w:rsidP="00F510B9">
      <w:pPr>
        <w:widowControl/>
        <w:ind w:left="1440" w:right="1440"/>
        <w:rPr>
          <w:iCs/>
          <w:sz w:val="26"/>
          <w:szCs w:val="26"/>
        </w:rPr>
      </w:pPr>
    </w:p>
    <w:p w14:paraId="5A0E01CD" w14:textId="06EC19A8" w:rsidR="0076674A" w:rsidRPr="006A631A" w:rsidRDefault="0076674A" w:rsidP="00126A4C">
      <w:pPr>
        <w:widowControl/>
        <w:ind w:left="2880" w:right="1440" w:hanging="720"/>
        <w:rPr>
          <w:iCs/>
          <w:sz w:val="26"/>
          <w:szCs w:val="26"/>
        </w:rPr>
      </w:pPr>
      <w:r w:rsidRPr="006A631A">
        <w:rPr>
          <w:iCs/>
          <w:sz w:val="26"/>
          <w:szCs w:val="26"/>
        </w:rPr>
        <w:t>a.</w:t>
      </w:r>
      <w:r w:rsidRPr="006A631A">
        <w:rPr>
          <w:iCs/>
          <w:sz w:val="26"/>
          <w:szCs w:val="26"/>
        </w:rPr>
        <w:tab/>
        <w:t>For 12 months, PGW shall report the number of liens perfected which include dollars subject to forgiveness pursuant to CRP and the dollars of pre-existing arrears covered by such liens.</w:t>
      </w:r>
    </w:p>
    <w:p w14:paraId="6667FC1F" w14:textId="77777777" w:rsidR="0076674A" w:rsidRPr="006A631A" w:rsidRDefault="0076674A" w:rsidP="00126A4C">
      <w:pPr>
        <w:widowControl/>
        <w:ind w:left="2880" w:right="1440" w:hanging="720"/>
        <w:rPr>
          <w:iCs/>
          <w:sz w:val="26"/>
          <w:szCs w:val="26"/>
        </w:rPr>
      </w:pPr>
    </w:p>
    <w:p w14:paraId="3E402B9F" w14:textId="4AD605F5" w:rsidR="0076674A" w:rsidRPr="006A631A" w:rsidRDefault="0076674A" w:rsidP="00126A4C">
      <w:pPr>
        <w:widowControl/>
        <w:ind w:left="2880" w:right="1440" w:hanging="720"/>
        <w:rPr>
          <w:iCs/>
          <w:sz w:val="26"/>
          <w:szCs w:val="26"/>
        </w:rPr>
      </w:pPr>
      <w:r w:rsidRPr="006A631A">
        <w:rPr>
          <w:iCs/>
          <w:sz w:val="26"/>
          <w:szCs w:val="26"/>
        </w:rPr>
        <w:t>b.</w:t>
      </w:r>
      <w:r w:rsidRPr="006A631A">
        <w:rPr>
          <w:iCs/>
          <w:sz w:val="26"/>
          <w:szCs w:val="26"/>
        </w:rPr>
        <w:tab/>
        <w:t>For 12 months, PGW shall report the number of liens paid off which include dollars of pre-existing arrears subject to forgiveness pursuant to CRP.</w:t>
      </w:r>
    </w:p>
    <w:p w14:paraId="3ED63DFD" w14:textId="77777777" w:rsidR="0076674A" w:rsidRPr="006A631A" w:rsidRDefault="0076674A" w:rsidP="00126A4C">
      <w:pPr>
        <w:widowControl/>
        <w:ind w:left="2880" w:right="1440" w:hanging="720"/>
        <w:rPr>
          <w:iCs/>
          <w:sz w:val="26"/>
          <w:szCs w:val="26"/>
        </w:rPr>
      </w:pPr>
    </w:p>
    <w:p w14:paraId="50CE6935" w14:textId="2D703875" w:rsidR="0076674A" w:rsidRPr="006A631A" w:rsidRDefault="0076674A" w:rsidP="00126A4C">
      <w:pPr>
        <w:widowControl/>
        <w:ind w:left="2880" w:right="1440" w:hanging="720"/>
        <w:rPr>
          <w:iCs/>
          <w:sz w:val="26"/>
          <w:szCs w:val="26"/>
        </w:rPr>
      </w:pPr>
      <w:r w:rsidRPr="006A631A">
        <w:rPr>
          <w:iCs/>
          <w:sz w:val="26"/>
          <w:szCs w:val="26"/>
        </w:rPr>
        <w:t>c.</w:t>
      </w:r>
      <w:r w:rsidRPr="006A631A">
        <w:rPr>
          <w:iCs/>
          <w:sz w:val="26"/>
          <w:szCs w:val="26"/>
        </w:rPr>
        <w:tab/>
        <w:t xml:space="preserve">For 12 months, PGW shall report the dollars of pre-existing arrears subject to forgiveness that were paid off </w:t>
      </w:r>
      <w:proofErr w:type="gramStart"/>
      <w:r w:rsidRPr="006A631A">
        <w:rPr>
          <w:iCs/>
          <w:sz w:val="26"/>
          <w:szCs w:val="26"/>
        </w:rPr>
        <w:t>as a result of</w:t>
      </w:r>
      <w:proofErr w:type="gramEnd"/>
      <w:r w:rsidRPr="006A631A">
        <w:rPr>
          <w:iCs/>
          <w:sz w:val="26"/>
          <w:szCs w:val="26"/>
        </w:rPr>
        <w:t xml:space="preserve"> a lien payoff.</w:t>
      </w:r>
    </w:p>
    <w:p w14:paraId="41DF44C9" w14:textId="6489E5C3" w:rsidR="0076674A" w:rsidRPr="006A631A" w:rsidRDefault="0076674A" w:rsidP="00F510B9">
      <w:pPr>
        <w:keepNext/>
        <w:keepLines/>
        <w:widowControl/>
        <w:ind w:left="1440" w:right="1440"/>
        <w:rPr>
          <w:iCs/>
          <w:sz w:val="26"/>
          <w:szCs w:val="26"/>
        </w:rPr>
      </w:pPr>
      <w:r w:rsidRPr="006A631A">
        <w:rPr>
          <w:iCs/>
          <w:sz w:val="26"/>
          <w:szCs w:val="26"/>
        </w:rPr>
        <w:lastRenderedPageBreak/>
        <w:t>39.</w:t>
      </w:r>
      <w:r w:rsidRPr="006A631A">
        <w:rPr>
          <w:iCs/>
          <w:sz w:val="26"/>
          <w:szCs w:val="26"/>
        </w:rPr>
        <w:tab/>
        <w:t>PGW will work with its Universal Services Advisory Committee to refine its Consumer Education and Outreach Plan that was included with its Second Amended Universal</w:t>
      </w:r>
      <w:r w:rsidR="004B32DF" w:rsidRPr="006A631A">
        <w:rPr>
          <w:iCs/>
          <w:sz w:val="26"/>
          <w:szCs w:val="26"/>
        </w:rPr>
        <w:t xml:space="preserve"> </w:t>
      </w:r>
      <w:r w:rsidRPr="006A631A">
        <w:rPr>
          <w:iCs/>
          <w:sz w:val="26"/>
          <w:szCs w:val="26"/>
        </w:rPr>
        <w:t xml:space="preserve">Services and Energy Conservation Plan 2017-2022 at Docket Nos. P-2020-3018867, M-2016-2542415. </w:t>
      </w:r>
      <w:r w:rsidR="004B32DF" w:rsidRPr="006A631A">
        <w:rPr>
          <w:iCs/>
          <w:sz w:val="26"/>
          <w:szCs w:val="26"/>
        </w:rPr>
        <w:t xml:space="preserve"> </w:t>
      </w:r>
      <w:r w:rsidRPr="006A631A">
        <w:rPr>
          <w:iCs/>
          <w:sz w:val="26"/>
          <w:szCs w:val="26"/>
        </w:rPr>
        <w:t>The group will specifically address outreach to low-income customers at or below 0-50% of the Federal Poverty Level.</w:t>
      </w:r>
    </w:p>
    <w:p w14:paraId="23009245" w14:textId="6C6BBD58" w:rsidR="0076674A" w:rsidRPr="006A631A" w:rsidRDefault="0076674A" w:rsidP="00F510B9">
      <w:pPr>
        <w:widowControl/>
        <w:ind w:left="1440" w:right="1440"/>
        <w:rPr>
          <w:iCs/>
          <w:sz w:val="26"/>
          <w:szCs w:val="26"/>
        </w:rPr>
      </w:pPr>
    </w:p>
    <w:p w14:paraId="7C4BDC3E" w14:textId="124914EA" w:rsidR="004B32DF" w:rsidRPr="006A631A" w:rsidRDefault="004B32DF" w:rsidP="00F510B9">
      <w:pPr>
        <w:widowControl/>
        <w:ind w:left="1440" w:right="1440"/>
        <w:rPr>
          <w:iCs/>
          <w:sz w:val="26"/>
          <w:szCs w:val="26"/>
        </w:rPr>
      </w:pPr>
      <w:r w:rsidRPr="006A631A">
        <w:rPr>
          <w:iCs/>
          <w:sz w:val="26"/>
          <w:szCs w:val="26"/>
        </w:rPr>
        <w:t>40.</w:t>
      </w:r>
      <w:r w:rsidRPr="006A631A">
        <w:rPr>
          <w:iCs/>
          <w:sz w:val="26"/>
          <w:szCs w:val="26"/>
        </w:rPr>
        <w:tab/>
        <w:t xml:space="preserve">If, after the Commission’s current termination moratorium expires or is otherwise terminated, the Commission issues a similar order reinstituting a termination moratorium due to the COVID-19 pandemic, while not delaying the Company’s response to any cessation order, the Company will initiate discussions with the parties to this Settlement within thirty (30) days of the order to discuss a possible extension of customer benefits provided.  PGW reserves the right to petition the Commission to </w:t>
      </w:r>
      <w:proofErr w:type="gramStart"/>
      <w:r w:rsidRPr="006A631A">
        <w:rPr>
          <w:iCs/>
          <w:sz w:val="26"/>
          <w:szCs w:val="26"/>
        </w:rPr>
        <w:t>take action</w:t>
      </w:r>
      <w:proofErr w:type="gramEnd"/>
      <w:r w:rsidRPr="006A631A">
        <w:rPr>
          <w:iCs/>
          <w:sz w:val="26"/>
          <w:szCs w:val="26"/>
        </w:rPr>
        <w:t xml:space="preserve"> or modify (i) the current termination moratorium order if the order remains in place beyond December 1, 2020, or (ii) any such similar order.  The parties reserve their respective rights to respond to any Commission Order or any Company Petition or response to a Commission Order.</w:t>
      </w:r>
    </w:p>
    <w:p w14:paraId="7BE36A37" w14:textId="5B9A55A9" w:rsidR="004B32DF" w:rsidRPr="006A631A" w:rsidRDefault="004B32DF" w:rsidP="00F510B9">
      <w:pPr>
        <w:widowControl/>
        <w:ind w:left="1440" w:right="1440"/>
        <w:rPr>
          <w:iCs/>
          <w:sz w:val="26"/>
          <w:szCs w:val="26"/>
        </w:rPr>
      </w:pPr>
    </w:p>
    <w:p w14:paraId="5703DD19" w14:textId="3D9CF10D" w:rsidR="004B32DF" w:rsidRPr="006A631A" w:rsidRDefault="00D95444" w:rsidP="00F510B9">
      <w:pPr>
        <w:widowControl/>
        <w:ind w:left="1440" w:right="1440"/>
        <w:rPr>
          <w:iCs/>
          <w:sz w:val="26"/>
          <w:szCs w:val="26"/>
        </w:rPr>
      </w:pPr>
      <w:r w:rsidRPr="006A631A">
        <w:rPr>
          <w:iCs/>
          <w:sz w:val="26"/>
          <w:szCs w:val="26"/>
        </w:rPr>
        <w:t>41.</w:t>
      </w:r>
      <w:r w:rsidRPr="006A631A">
        <w:rPr>
          <w:iCs/>
          <w:sz w:val="26"/>
          <w:szCs w:val="26"/>
        </w:rPr>
        <w:tab/>
        <w:t>The continuation of a bad debt offset will satisfy the concerns identified by OCA witness Roger Colton at pages 61-65 regarding the double recovery of arrears collected through the CRP.  PGW shall implement a 5.75% Bad Debt Offset which will offset CRP credit amounts (i.e., reported as “CRP Discount” in PGW’s quarterly filings) related to average annual CRP participants exceeding 80,000 customers.  The offset will be calculated as follows: (1)</w:t>
      </w:r>
      <w:r w:rsidR="003B6168">
        <w:rPr>
          <w:iCs/>
          <w:sz w:val="26"/>
          <w:szCs w:val="26"/>
        </w:rPr>
        <w:t> </w:t>
      </w:r>
      <w:r w:rsidRPr="006A631A">
        <w:rPr>
          <w:iCs/>
          <w:sz w:val="26"/>
          <w:szCs w:val="26"/>
        </w:rPr>
        <w:t>average annual CRP credit amount; multiplied by (2)</w:t>
      </w:r>
      <w:r w:rsidR="003B6168">
        <w:rPr>
          <w:iCs/>
          <w:sz w:val="26"/>
          <w:szCs w:val="26"/>
        </w:rPr>
        <w:t> </w:t>
      </w:r>
      <w:r w:rsidRPr="006A631A">
        <w:rPr>
          <w:iCs/>
          <w:sz w:val="26"/>
          <w:szCs w:val="26"/>
        </w:rPr>
        <w:t>average annual number of CRP participants exceeding 80,000 customers; multiplied by (3) 5.75%.  The offset will only be effective during the effective period of the distribution base rates established in this proceeding and, unless extended by a subsequent PUC order, shall terminate upon new base rates becoming effective.  In the next base rate case, all parties reserve their rights to argue their positions as to the offset.</w:t>
      </w:r>
    </w:p>
    <w:p w14:paraId="1407371C" w14:textId="73D9DAF3" w:rsidR="00D95444" w:rsidRPr="006A631A" w:rsidRDefault="00D95444" w:rsidP="00F510B9">
      <w:pPr>
        <w:widowControl/>
        <w:ind w:left="1440" w:right="1440"/>
        <w:rPr>
          <w:iCs/>
          <w:sz w:val="26"/>
          <w:szCs w:val="26"/>
        </w:rPr>
      </w:pPr>
    </w:p>
    <w:p w14:paraId="07B19BCF" w14:textId="137DA893" w:rsidR="00D95444" w:rsidRPr="006A631A" w:rsidRDefault="00D95444" w:rsidP="00F510B9">
      <w:pPr>
        <w:widowControl/>
        <w:ind w:left="1440" w:right="1440"/>
        <w:rPr>
          <w:iCs/>
          <w:sz w:val="26"/>
          <w:szCs w:val="26"/>
        </w:rPr>
      </w:pPr>
      <w:r w:rsidRPr="006A631A">
        <w:rPr>
          <w:iCs/>
          <w:sz w:val="26"/>
          <w:szCs w:val="26"/>
        </w:rPr>
        <w:t>42.</w:t>
      </w:r>
      <w:r w:rsidRPr="006A631A">
        <w:rPr>
          <w:iCs/>
          <w:sz w:val="26"/>
          <w:szCs w:val="26"/>
        </w:rPr>
        <w:tab/>
        <w:t xml:space="preserve">Within 12 months of PUC approval of this Settlement, PGW will review the reasons why customers were denied </w:t>
      </w:r>
      <w:r w:rsidRPr="006A631A">
        <w:rPr>
          <w:iCs/>
          <w:sz w:val="26"/>
          <w:szCs w:val="26"/>
        </w:rPr>
        <w:lastRenderedPageBreak/>
        <w:t xml:space="preserve">enrollment or recertification into CRP for inability to verify income, including whether a customer provided income and was rejected because it was unacceptable. Based on that review, PGW will determine whether PGW’s list of acceptable verification documents should be expanded.  Within 15 months of PUC approval of this Settlement, PGW will convene a meeting of interested Rate Case Parties to present and discuss their findings.  The </w:t>
      </w:r>
      <w:proofErr w:type="gramStart"/>
      <w:r w:rsidRPr="006A631A">
        <w:rPr>
          <w:iCs/>
          <w:sz w:val="26"/>
          <w:szCs w:val="26"/>
        </w:rPr>
        <w:t>final results</w:t>
      </w:r>
      <w:proofErr w:type="gramEnd"/>
      <w:r w:rsidRPr="006A631A">
        <w:rPr>
          <w:iCs/>
          <w:sz w:val="26"/>
          <w:szCs w:val="26"/>
        </w:rPr>
        <w:t xml:space="preserve"> of its review will be communicated to the Rate Case Parties.</w:t>
      </w:r>
    </w:p>
    <w:p w14:paraId="56B8C832" w14:textId="09E51A3B" w:rsidR="00D95444" w:rsidRPr="006A631A" w:rsidRDefault="00D95444" w:rsidP="00F510B9">
      <w:pPr>
        <w:widowControl/>
        <w:ind w:left="1440" w:right="1440"/>
        <w:rPr>
          <w:iCs/>
          <w:sz w:val="26"/>
          <w:szCs w:val="26"/>
        </w:rPr>
      </w:pPr>
    </w:p>
    <w:p w14:paraId="3BAAB2B0" w14:textId="6D2DC76C" w:rsidR="0010234C" w:rsidRPr="006A631A" w:rsidRDefault="0010234C" w:rsidP="00F510B9">
      <w:pPr>
        <w:pStyle w:val="ListParagraph"/>
        <w:widowControl/>
        <w:numPr>
          <w:ilvl w:val="0"/>
          <w:numId w:val="7"/>
        </w:numPr>
        <w:ind w:right="1440"/>
        <w:rPr>
          <w:b/>
          <w:bCs/>
          <w:iCs/>
          <w:sz w:val="26"/>
          <w:szCs w:val="26"/>
        </w:rPr>
      </w:pPr>
      <w:r w:rsidRPr="006A631A">
        <w:rPr>
          <w:b/>
          <w:bCs/>
          <w:iCs/>
          <w:sz w:val="26"/>
          <w:szCs w:val="26"/>
        </w:rPr>
        <w:t>Pipeline Safety Issues</w:t>
      </w:r>
    </w:p>
    <w:p w14:paraId="352C0AC6" w14:textId="75A61063" w:rsidR="00D95444" w:rsidRPr="006A631A" w:rsidRDefault="00D95444" w:rsidP="00F510B9">
      <w:pPr>
        <w:widowControl/>
        <w:ind w:left="1440" w:right="1440"/>
        <w:rPr>
          <w:iCs/>
          <w:sz w:val="26"/>
          <w:szCs w:val="26"/>
        </w:rPr>
      </w:pPr>
    </w:p>
    <w:p w14:paraId="7ECFAA96" w14:textId="3C053FB6" w:rsidR="00D95444" w:rsidRPr="006A631A" w:rsidRDefault="0010234C" w:rsidP="00F510B9">
      <w:pPr>
        <w:widowControl/>
        <w:ind w:left="1440" w:right="1440"/>
        <w:rPr>
          <w:i/>
          <w:sz w:val="26"/>
          <w:szCs w:val="26"/>
        </w:rPr>
      </w:pPr>
      <w:r w:rsidRPr="006A631A">
        <w:rPr>
          <w:i/>
          <w:sz w:val="26"/>
          <w:szCs w:val="26"/>
        </w:rPr>
        <w:t>Cast Iron Main Replacement</w:t>
      </w:r>
    </w:p>
    <w:p w14:paraId="6FE0EB00" w14:textId="3069F8D8" w:rsidR="00D95444" w:rsidRPr="006A631A" w:rsidRDefault="00D95444" w:rsidP="00F510B9">
      <w:pPr>
        <w:widowControl/>
        <w:ind w:left="1440" w:right="1440"/>
        <w:rPr>
          <w:iCs/>
          <w:sz w:val="26"/>
          <w:szCs w:val="26"/>
        </w:rPr>
      </w:pPr>
    </w:p>
    <w:p w14:paraId="6C7C3422" w14:textId="7A0870B3" w:rsidR="0010234C" w:rsidRPr="006A631A" w:rsidRDefault="0010234C" w:rsidP="00F510B9">
      <w:pPr>
        <w:widowControl/>
        <w:ind w:left="1440" w:right="1440"/>
        <w:rPr>
          <w:iCs/>
          <w:sz w:val="26"/>
          <w:szCs w:val="26"/>
        </w:rPr>
      </w:pPr>
      <w:r w:rsidRPr="006A631A">
        <w:rPr>
          <w:iCs/>
          <w:sz w:val="26"/>
          <w:szCs w:val="26"/>
        </w:rPr>
        <w:t>43.</w:t>
      </w:r>
      <w:r w:rsidRPr="006A631A">
        <w:rPr>
          <w:iCs/>
          <w:sz w:val="26"/>
          <w:szCs w:val="26"/>
        </w:rPr>
        <w:tab/>
        <w:t>PGW will remain focused on cast iron main replacement and present a shortened timeframe for cast iron main replacement in its next LTIIP filing.</w:t>
      </w:r>
    </w:p>
    <w:p w14:paraId="493F6729" w14:textId="30D86E7A" w:rsidR="0010234C" w:rsidRPr="006A631A" w:rsidRDefault="0010234C" w:rsidP="00F510B9">
      <w:pPr>
        <w:widowControl/>
        <w:ind w:left="1440" w:right="1440"/>
        <w:rPr>
          <w:iCs/>
          <w:sz w:val="26"/>
          <w:szCs w:val="26"/>
        </w:rPr>
      </w:pPr>
    </w:p>
    <w:p w14:paraId="7A130413" w14:textId="60F9C3BD" w:rsidR="0010234C" w:rsidRPr="006A631A" w:rsidRDefault="0010234C" w:rsidP="00F510B9">
      <w:pPr>
        <w:widowControl/>
        <w:ind w:left="1440" w:right="1440"/>
        <w:rPr>
          <w:iCs/>
          <w:sz w:val="26"/>
          <w:szCs w:val="26"/>
        </w:rPr>
      </w:pPr>
      <w:r w:rsidRPr="006A631A">
        <w:rPr>
          <w:iCs/>
          <w:sz w:val="26"/>
          <w:szCs w:val="26"/>
        </w:rPr>
        <w:t>44.</w:t>
      </w:r>
      <w:r w:rsidRPr="006A631A">
        <w:rPr>
          <w:iCs/>
          <w:sz w:val="26"/>
          <w:szCs w:val="26"/>
        </w:rPr>
        <w:tab/>
        <w:t xml:space="preserve">PGW must focus the cast iron main replacements based on risk and categorize risky assets, particularly </w:t>
      </w:r>
      <w:proofErr w:type="gramStart"/>
      <w:r w:rsidRPr="006A631A">
        <w:rPr>
          <w:iCs/>
          <w:sz w:val="26"/>
          <w:szCs w:val="26"/>
        </w:rPr>
        <w:t>cast iron</w:t>
      </w:r>
      <w:proofErr w:type="gramEnd"/>
      <w:r w:rsidRPr="006A631A">
        <w:rPr>
          <w:iCs/>
          <w:sz w:val="26"/>
          <w:szCs w:val="26"/>
        </w:rPr>
        <w:t xml:space="preserve"> assets, in their Distribution Integrity Management Plan (DIMP).  The DIMP must break down the cast iron assets into smaller asset group categories that allows PGW to measure the effectiveness of the replacement plan.</w:t>
      </w:r>
    </w:p>
    <w:p w14:paraId="6FD5091A" w14:textId="5D784C0F" w:rsidR="0010234C" w:rsidRPr="006A631A" w:rsidRDefault="0010234C" w:rsidP="00F510B9">
      <w:pPr>
        <w:widowControl/>
        <w:ind w:left="1440" w:right="1440"/>
        <w:rPr>
          <w:iCs/>
          <w:sz w:val="26"/>
          <w:szCs w:val="26"/>
        </w:rPr>
      </w:pPr>
    </w:p>
    <w:p w14:paraId="6B0AC732" w14:textId="30FBCDA9" w:rsidR="00A22AA9" w:rsidRPr="006A631A" w:rsidRDefault="00A22AA9" w:rsidP="00F510B9">
      <w:pPr>
        <w:widowControl/>
        <w:ind w:left="1440" w:right="1440"/>
        <w:rPr>
          <w:i/>
          <w:sz w:val="26"/>
          <w:szCs w:val="26"/>
        </w:rPr>
      </w:pPr>
      <w:r w:rsidRPr="006A631A">
        <w:rPr>
          <w:i/>
          <w:sz w:val="26"/>
          <w:szCs w:val="26"/>
        </w:rPr>
        <w:t>Main Replacement Costs</w:t>
      </w:r>
    </w:p>
    <w:p w14:paraId="3C55D4E7" w14:textId="470D9B98" w:rsidR="0010234C" w:rsidRPr="006A631A" w:rsidRDefault="0010234C" w:rsidP="00F510B9">
      <w:pPr>
        <w:widowControl/>
        <w:ind w:left="1440" w:right="1440"/>
        <w:rPr>
          <w:iCs/>
          <w:sz w:val="26"/>
          <w:szCs w:val="26"/>
        </w:rPr>
      </w:pPr>
    </w:p>
    <w:p w14:paraId="7016EFD5" w14:textId="65E1762C" w:rsidR="00A22AA9" w:rsidRPr="006A631A" w:rsidRDefault="00A22AA9" w:rsidP="00F510B9">
      <w:pPr>
        <w:widowControl/>
        <w:ind w:left="1440" w:right="1440"/>
        <w:rPr>
          <w:iCs/>
          <w:sz w:val="26"/>
          <w:szCs w:val="26"/>
        </w:rPr>
      </w:pPr>
      <w:r w:rsidRPr="006A631A">
        <w:rPr>
          <w:iCs/>
          <w:sz w:val="26"/>
          <w:szCs w:val="26"/>
        </w:rPr>
        <w:t>45.</w:t>
      </w:r>
      <w:r w:rsidRPr="006A631A">
        <w:rPr>
          <w:iCs/>
          <w:sz w:val="26"/>
          <w:szCs w:val="26"/>
        </w:rPr>
        <w:tab/>
        <w:t xml:space="preserve">PGW will review its most recent Annual Asset Optimization Plan with the Commission’s Pipeline Safety Division </w:t>
      </w:r>
      <w:proofErr w:type="gramStart"/>
      <w:r w:rsidRPr="006A631A">
        <w:rPr>
          <w:iCs/>
          <w:sz w:val="26"/>
          <w:szCs w:val="26"/>
        </w:rPr>
        <w:t>in order to</w:t>
      </w:r>
      <w:proofErr w:type="gramEnd"/>
      <w:r w:rsidRPr="006A631A">
        <w:rPr>
          <w:iCs/>
          <w:sz w:val="26"/>
          <w:szCs w:val="26"/>
        </w:rPr>
        <w:t xml:space="preserve"> discuss further cost reduction efforts.</w:t>
      </w:r>
    </w:p>
    <w:p w14:paraId="626FDE0D" w14:textId="157F5B5E" w:rsidR="00A22AA9" w:rsidRPr="006A631A" w:rsidRDefault="00A22AA9" w:rsidP="00F510B9">
      <w:pPr>
        <w:widowControl/>
        <w:spacing w:line="360" w:lineRule="auto"/>
        <w:ind w:left="1440" w:right="1440"/>
        <w:rPr>
          <w:iCs/>
          <w:sz w:val="26"/>
          <w:szCs w:val="26"/>
        </w:rPr>
      </w:pPr>
    </w:p>
    <w:p w14:paraId="51E0CF68" w14:textId="4A49394B" w:rsidR="00A22AA9" w:rsidRPr="006A631A" w:rsidRDefault="00D8301C" w:rsidP="00F510B9">
      <w:pPr>
        <w:widowControl/>
        <w:spacing w:line="360" w:lineRule="auto"/>
        <w:ind w:right="1440"/>
        <w:rPr>
          <w:iCs/>
          <w:sz w:val="26"/>
          <w:szCs w:val="26"/>
        </w:rPr>
      </w:pPr>
      <w:r w:rsidRPr="006A631A">
        <w:rPr>
          <w:iCs/>
          <w:sz w:val="26"/>
          <w:szCs w:val="26"/>
        </w:rPr>
        <w:t>Joint Petition at 6-18</w:t>
      </w:r>
      <w:r w:rsidR="00352F9E" w:rsidRPr="006A631A">
        <w:rPr>
          <w:iCs/>
          <w:sz w:val="26"/>
          <w:szCs w:val="26"/>
        </w:rPr>
        <w:t>.</w:t>
      </w:r>
    </w:p>
    <w:p w14:paraId="62D7E1F2" w14:textId="77777777" w:rsidR="00A22AA9" w:rsidRPr="006A631A" w:rsidRDefault="00A22AA9" w:rsidP="00F510B9">
      <w:pPr>
        <w:widowControl/>
        <w:spacing w:line="360" w:lineRule="auto"/>
        <w:ind w:left="1440" w:right="1440"/>
        <w:rPr>
          <w:iCs/>
          <w:sz w:val="26"/>
          <w:szCs w:val="26"/>
        </w:rPr>
      </w:pPr>
    </w:p>
    <w:p w14:paraId="177F0C99" w14:textId="03AEE990" w:rsidR="0098221B" w:rsidRPr="006A631A" w:rsidRDefault="0098221B" w:rsidP="00F510B9">
      <w:pPr>
        <w:widowControl/>
        <w:spacing w:line="360" w:lineRule="auto"/>
        <w:ind w:firstLine="1440"/>
        <w:contextualSpacing/>
        <w:rPr>
          <w:sz w:val="26"/>
          <w:szCs w:val="26"/>
        </w:rPr>
      </w:pPr>
      <w:r w:rsidRPr="006A631A">
        <w:rPr>
          <w:sz w:val="26"/>
          <w:szCs w:val="26"/>
        </w:rPr>
        <w:t xml:space="preserve">The Partial Settlement is conditioned upon the Commission’s approval of the terms and conditions contained therein without modification.  The Joint Petitioners agreed that if the Commission disapproves the Partial Settlement or modifies any terms and conditions therein, then any Joint Petitioner may elect to withdraw from the Joint Petition and may proceed with litigation and, in such event, the Partial Settlement shall be void and of no force and effect.  The Joint Petitioners acknowledged and agreed that the </w:t>
      </w:r>
      <w:r w:rsidRPr="006A631A">
        <w:rPr>
          <w:sz w:val="26"/>
          <w:szCs w:val="26"/>
        </w:rPr>
        <w:lastRenderedPageBreak/>
        <w:t>Partial Settlement is presented without prejudice to any position which any of the Joint Petitioners may have advanced and without prejudice to the position any of the Joint Petitioners may advance in the future on the merits of the issues in future proceedings.  Joint Petition at 19.</w:t>
      </w:r>
    </w:p>
    <w:p w14:paraId="5901220E" w14:textId="1B845073" w:rsidR="0098221B" w:rsidRPr="006A631A" w:rsidRDefault="0098221B" w:rsidP="00F510B9">
      <w:pPr>
        <w:widowControl/>
        <w:spacing w:line="360" w:lineRule="auto"/>
        <w:ind w:firstLine="1440"/>
        <w:contextualSpacing/>
        <w:rPr>
          <w:sz w:val="26"/>
          <w:szCs w:val="26"/>
        </w:rPr>
      </w:pPr>
    </w:p>
    <w:p w14:paraId="1033F6E2" w14:textId="31515A65" w:rsidR="000A4448" w:rsidRDefault="000A4448" w:rsidP="00F510B9">
      <w:pPr>
        <w:widowControl/>
        <w:spacing w:line="360" w:lineRule="auto"/>
        <w:ind w:firstLine="1440"/>
        <w:contextualSpacing/>
        <w:rPr>
          <w:i/>
          <w:iCs/>
          <w:sz w:val="26"/>
          <w:szCs w:val="26"/>
        </w:rPr>
      </w:pPr>
      <w:r w:rsidRPr="006A631A">
        <w:rPr>
          <w:sz w:val="26"/>
          <w:szCs w:val="26"/>
        </w:rPr>
        <w:t xml:space="preserve">The Joint Petitioners acknowledged that the Partial Settlement reflects a compromise of competing positions and does not necessarily reflect any Joint Petitioner’s position with respect to any issues raised in this proceeding.  </w:t>
      </w:r>
      <w:r w:rsidRPr="006A631A">
        <w:rPr>
          <w:i/>
          <w:iCs/>
          <w:sz w:val="26"/>
          <w:szCs w:val="26"/>
        </w:rPr>
        <w:t>Id.</w:t>
      </w:r>
      <w:r w:rsidRPr="006A631A">
        <w:rPr>
          <w:sz w:val="26"/>
          <w:szCs w:val="26"/>
        </w:rPr>
        <w:t xml:space="preserve"> at 19.  They acknowledged and agree</w:t>
      </w:r>
      <w:r w:rsidR="00A644F1" w:rsidRPr="006A631A">
        <w:rPr>
          <w:sz w:val="26"/>
          <w:szCs w:val="26"/>
        </w:rPr>
        <w:t>d</w:t>
      </w:r>
      <w:r w:rsidRPr="006A631A">
        <w:rPr>
          <w:sz w:val="26"/>
          <w:szCs w:val="26"/>
        </w:rPr>
        <w:t xml:space="preserve"> that this Partial Settlement, if approved, shall have the same force and effect as if the Joint Petitioners had fully litigated these proceedings.  Finally, they agreed that</w:t>
      </w:r>
      <w:r w:rsidR="009B6CDF" w:rsidRPr="006A631A">
        <w:rPr>
          <w:sz w:val="26"/>
          <w:szCs w:val="26"/>
        </w:rPr>
        <w:t>,</w:t>
      </w:r>
      <w:r w:rsidRPr="006A631A">
        <w:rPr>
          <w:sz w:val="26"/>
          <w:szCs w:val="26"/>
        </w:rPr>
        <w:t xml:space="preserve"> if the ALJs recommend that the Commission adopt the Partial Settlement without modification, the Joint Petitioners waive their right to file Exceptions with respect to any issues addressed by the Partial Settlement.  </w:t>
      </w:r>
      <w:r w:rsidRPr="006A631A">
        <w:rPr>
          <w:i/>
          <w:sz w:val="26"/>
          <w:szCs w:val="26"/>
        </w:rPr>
        <w:t>Id</w:t>
      </w:r>
      <w:r w:rsidRPr="006A631A">
        <w:rPr>
          <w:sz w:val="26"/>
          <w:szCs w:val="26"/>
        </w:rPr>
        <w:t>. at 20.</w:t>
      </w:r>
      <w:r w:rsidR="006F6D14" w:rsidRPr="006A631A">
        <w:rPr>
          <w:sz w:val="26"/>
          <w:szCs w:val="26"/>
        </w:rPr>
        <w:t xml:space="preserve">  However, the Joint Petitioners indicated that they do not waive their rights to file Exceptions with respect to: (a) the Litigated Issues; (b) any modifications to the terms and conditions of this Settlement; or (c) any additional matters proposed by the ALJs in their Recommended Decision.  The Joint Petitioners also reserve</w:t>
      </w:r>
      <w:r w:rsidR="009B6CDF" w:rsidRPr="006A631A">
        <w:rPr>
          <w:sz w:val="26"/>
          <w:szCs w:val="26"/>
        </w:rPr>
        <w:t>d</w:t>
      </w:r>
      <w:r w:rsidR="006F6D14" w:rsidRPr="006A631A">
        <w:rPr>
          <w:sz w:val="26"/>
          <w:szCs w:val="26"/>
        </w:rPr>
        <w:t xml:space="preserve"> the right to file Replies to any Exceptions that may be filed.  The Joint Petitioners further reserve</w:t>
      </w:r>
      <w:r w:rsidR="009B6CDF" w:rsidRPr="006A631A">
        <w:rPr>
          <w:sz w:val="26"/>
          <w:szCs w:val="26"/>
        </w:rPr>
        <w:t>d</w:t>
      </w:r>
      <w:r w:rsidR="006F6D14" w:rsidRPr="006A631A">
        <w:rPr>
          <w:sz w:val="26"/>
          <w:szCs w:val="26"/>
        </w:rPr>
        <w:t xml:space="preserve"> the right to file Exceptions to the compliance filing in the event that any of the exhibits therein are inconsistent with the </w:t>
      </w:r>
      <w:r w:rsidR="00A644F1" w:rsidRPr="006A631A">
        <w:rPr>
          <w:sz w:val="26"/>
          <w:szCs w:val="26"/>
        </w:rPr>
        <w:t xml:space="preserve">Partial </w:t>
      </w:r>
      <w:r w:rsidR="006F6D14" w:rsidRPr="006A631A">
        <w:rPr>
          <w:sz w:val="26"/>
          <w:szCs w:val="26"/>
        </w:rPr>
        <w:t xml:space="preserve">Settlement and the exhibits attached thereto, the Commission’s Final Order, or pertain to issues upon which there was no settlement.  </w:t>
      </w:r>
      <w:r w:rsidR="006F6D14" w:rsidRPr="006A631A">
        <w:rPr>
          <w:i/>
          <w:iCs/>
          <w:sz w:val="26"/>
          <w:szCs w:val="26"/>
        </w:rPr>
        <w:t>Id.</w:t>
      </w:r>
    </w:p>
    <w:p w14:paraId="1905AB76" w14:textId="77777777" w:rsidR="00C123DB" w:rsidRPr="00C123DB" w:rsidRDefault="00C123DB" w:rsidP="00F510B9">
      <w:pPr>
        <w:widowControl/>
        <w:spacing w:line="360" w:lineRule="auto"/>
        <w:ind w:firstLine="1440"/>
        <w:contextualSpacing/>
        <w:rPr>
          <w:sz w:val="26"/>
          <w:szCs w:val="26"/>
        </w:rPr>
      </w:pPr>
    </w:p>
    <w:p w14:paraId="08E9563E" w14:textId="274F1804" w:rsidR="001A2E48" w:rsidRPr="006A631A" w:rsidRDefault="002F4F9D" w:rsidP="00C123DB">
      <w:pPr>
        <w:pStyle w:val="Heading3"/>
        <w:ind w:left="1440" w:hanging="720"/>
      </w:pPr>
      <w:bookmarkStart w:id="34" w:name="_Toc55888188"/>
      <w:bookmarkStart w:id="35" w:name="_Hlk54685622"/>
      <w:r w:rsidRPr="006A631A">
        <w:t>Statements in Support of the Partial Settlement</w:t>
      </w:r>
      <w:bookmarkEnd w:id="34"/>
    </w:p>
    <w:bookmarkEnd w:id="35"/>
    <w:p w14:paraId="4872BE29" w14:textId="77777777" w:rsidR="005B21A2" w:rsidRPr="006A631A" w:rsidRDefault="005B21A2" w:rsidP="00C123DB">
      <w:pPr>
        <w:widowControl/>
        <w:spacing w:line="360" w:lineRule="auto"/>
        <w:rPr>
          <w:sz w:val="26"/>
          <w:szCs w:val="26"/>
        </w:rPr>
      </w:pPr>
    </w:p>
    <w:p w14:paraId="09E9E965" w14:textId="77777777" w:rsidR="00A644F1" w:rsidRPr="006A631A" w:rsidRDefault="00045576" w:rsidP="00C123DB">
      <w:pPr>
        <w:widowControl/>
        <w:spacing w:line="360" w:lineRule="auto"/>
        <w:ind w:firstLine="1440"/>
        <w:rPr>
          <w:sz w:val="26"/>
          <w:szCs w:val="26"/>
        </w:rPr>
      </w:pPr>
      <w:r w:rsidRPr="006A631A">
        <w:rPr>
          <w:sz w:val="26"/>
          <w:szCs w:val="26"/>
        </w:rPr>
        <w:t xml:space="preserve">As previously mentioned, each of the five Joint Petitioners filed individual Statements in Support of the Partial Settlement.  </w:t>
      </w:r>
      <w:r w:rsidR="00805E49" w:rsidRPr="006A631A">
        <w:rPr>
          <w:sz w:val="26"/>
          <w:szCs w:val="26"/>
        </w:rPr>
        <w:t>T</w:t>
      </w:r>
      <w:r w:rsidRPr="006A631A">
        <w:rPr>
          <w:sz w:val="26"/>
          <w:szCs w:val="26"/>
        </w:rPr>
        <w:t>he Joint Petitioners submitted that the Partial Settlement is in the best interest of the Company and its customers, that the Partial Settlement is in the public interest</w:t>
      </w:r>
      <w:r w:rsidR="00805E49" w:rsidRPr="006A631A">
        <w:rPr>
          <w:sz w:val="26"/>
          <w:szCs w:val="26"/>
        </w:rPr>
        <w:t>,</w:t>
      </w:r>
      <w:r w:rsidRPr="006A631A">
        <w:rPr>
          <w:sz w:val="26"/>
          <w:szCs w:val="26"/>
        </w:rPr>
        <w:t xml:space="preserve"> and that the Partial Settlement should be approved without modification.  </w:t>
      </w:r>
    </w:p>
    <w:p w14:paraId="5F240D60" w14:textId="77777777" w:rsidR="00273BCE" w:rsidRPr="006A631A" w:rsidRDefault="00045576" w:rsidP="00C123DB">
      <w:pPr>
        <w:widowControl/>
        <w:spacing w:line="360" w:lineRule="auto"/>
        <w:ind w:firstLine="1440"/>
        <w:rPr>
          <w:sz w:val="26"/>
          <w:szCs w:val="26"/>
        </w:rPr>
      </w:pPr>
      <w:r w:rsidRPr="006A631A">
        <w:rPr>
          <w:sz w:val="26"/>
          <w:szCs w:val="26"/>
        </w:rPr>
        <w:lastRenderedPageBreak/>
        <w:t xml:space="preserve">In its Statement in Support, </w:t>
      </w:r>
      <w:r w:rsidR="00E301C0" w:rsidRPr="006A631A">
        <w:rPr>
          <w:sz w:val="26"/>
          <w:szCs w:val="26"/>
        </w:rPr>
        <w:t>I&amp;E</w:t>
      </w:r>
      <w:r w:rsidRPr="006A631A">
        <w:rPr>
          <w:sz w:val="26"/>
          <w:szCs w:val="26"/>
        </w:rPr>
        <w:t xml:space="preserve"> stated that th</w:t>
      </w:r>
      <w:r w:rsidR="00E301C0" w:rsidRPr="006A631A">
        <w:rPr>
          <w:sz w:val="26"/>
          <w:szCs w:val="26"/>
        </w:rPr>
        <w:t>e Partial Settlement was reached after an extensive investigation of PGW’s filing and related information obtained through the discovery process</w:t>
      </w:r>
      <w:r w:rsidR="00ED2623" w:rsidRPr="006A631A">
        <w:rPr>
          <w:sz w:val="26"/>
          <w:szCs w:val="26"/>
        </w:rPr>
        <w:t>, including public input hearings,</w:t>
      </w:r>
      <w:r w:rsidR="00E301C0" w:rsidRPr="006A631A">
        <w:rPr>
          <w:sz w:val="26"/>
          <w:szCs w:val="26"/>
        </w:rPr>
        <w:t xml:space="preserve"> to determine the amount of revenue PGW needs to provide safe, effective, and reliable service to its customers.  I&amp;E Statement in Support at</w:t>
      </w:r>
      <w:r w:rsidR="00ED2623" w:rsidRPr="006A631A">
        <w:rPr>
          <w:sz w:val="26"/>
          <w:szCs w:val="26"/>
        </w:rPr>
        <w:t xml:space="preserve"> 5 and </w:t>
      </w:r>
      <w:r w:rsidR="00E301C0" w:rsidRPr="006A631A">
        <w:rPr>
          <w:sz w:val="26"/>
          <w:szCs w:val="26"/>
        </w:rPr>
        <w:t xml:space="preserve">7.  </w:t>
      </w:r>
    </w:p>
    <w:p w14:paraId="06997417" w14:textId="77777777" w:rsidR="00273BCE" w:rsidRPr="006A631A" w:rsidRDefault="00273BCE" w:rsidP="00F510B9">
      <w:pPr>
        <w:widowControl/>
        <w:spacing w:line="360" w:lineRule="auto"/>
        <w:ind w:firstLine="1440"/>
        <w:rPr>
          <w:sz w:val="26"/>
          <w:szCs w:val="26"/>
        </w:rPr>
      </w:pPr>
    </w:p>
    <w:p w14:paraId="2CC0DE7F" w14:textId="05220EAB" w:rsidR="002E1563" w:rsidRPr="006A631A" w:rsidRDefault="00E301C0" w:rsidP="00F510B9">
      <w:pPr>
        <w:widowControl/>
        <w:spacing w:line="360" w:lineRule="auto"/>
        <w:ind w:firstLine="1440"/>
        <w:rPr>
          <w:sz w:val="26"/>
          <w:szCs w:val="26"/>
        </w:rPr>
      </w:pPr>
      <w:r w:rsidRPr="006A631A">
        <w:rPr>
          <w:sz w:val="26"/>
          <w:szCs w:val="26"/>
        </w:rPr>
        <w:t xml:space="preserve">PGW added </w:t>
      </w:r>
      <w:r w:rsidR="00A644F1" w:rsidRPr="006A631A">
        <w:rPr>
          <w:sz w:val="26"/>
          <w:szCs w:val="26"/>
        </w:rPr>
        <w:t xml:space="preserve">in its Statement </w:t>
      </w:r>
      <w:r w:rsidRPr="006A631A">
        <w:rPr>
          <w:sz w:val="26"/>
          <w:szCs w:val="26"/>
        </w:rPr>
        <w:t>that such extensive investigation</w:t>
      </w:r>
      <w:r w:rsidR="00ED2623" w:rsidRPr="006A631A">
        <w:rPr>
          <w:sz w:val="26"/>
          <w:szCs w:val="26"/>
        </w:rPr>
        <w:t xml:space="preserve"> included, in addition to </w:t>
      </w:r>
      <w:r w:rsidR="00A644F1" w:rsidRPr="006A631A">
        <w:rPr>
          <w:sz w:val="26"/>
          <w:szCs w:val="26"/>
        </w:rPr>
        <w:t>voluminous</w:t>
      </w:r>
      <w:r w:rsidR="00ED2623" w:rsidRPr="006A631A">
        <w:rPr>
          <w:sz w:val="26"/>
          <w:szCs w:val="26"/>
        </w:rPr>
        <w:t xml:space="preserve"> discovery, submission of multiple rounds of testimony by the Parties and extensive negotiations among the Joint Petitioners.  PGW Statement in Support at 3.  PGW claimed that because the Partial Settlement was achieved among parties </w:t>
      </w:r>
      <w:r w:rsidR="00C95DE3" w:rsidRPr="006A631A">
        <w:rPr>
          <w:sz w:val="26"/>
          <w:szCs w:val="26"/>
        </w:rPr>
        <w:t xml:space="preserve">representing a wide array of stakeholder interests, including low-income and residential customers by including customer service enhancements during the virtually unprecedented circumstances created by the COVID-19 pandemic and the accompanying economic consequences, the Partial Settlement represents a reasonable resolution and is in the public interest.  PGW Statement in Support at 2.  </w:t>
      </w:r>
    </w:p>
    <w:p w14:paraId="5905E490" w14:textId="77777777" w:rsidR="002E1563" w:rsidRPr="006A631A" w:rsidRDefault="002E1563" w:rsidP="00F510B9">
      <w:pPr>
        <w:widowControl/>
        <w:spacing w:line="360" w:lineRule="auto"/>
        <w:ind w:firstLine="1440"/>
        <w:rPr>
          <w:sz w:val="26"/>
          <w:szCs w:val="26"/>
        </w:rPr>
      </w:pPr>
    </w:p>
    <w:p w14:paraId="53AC2CF3" w14:textId="118A8CF0" w:rsidR="001A2E48" w:rsidRPr="006A631A" w:rsidRDefault="00805E49" w:rsidP="00F510B9">
      <w:pPr>
        <w:widowControl/>
        <w:spacing w:line="360" w:lineRule="auto"/>
        <w:ind w:firstLine="1440"/>
        <w:rPr>
          <w:sz w:val="26"/>
          <w:szCs w:val="26"/>
        </w:rPr>
      </w:pPr>
      <w:r w:rsidRPr="006A631A">
        <w:rPr>
          <w:sz w:val="26"/>
          <w:szCs w:val="26"/>
        </w:rPr>
        <w:t>In its Statement in Support, t</w:t>
      </w:r>
      <w:r w:rsidR="00352F9E" w:rsidRPr="006A631A">
        <w:rPr>
          <w:sz w:val="26"/>
          <w:szCs w:val="26"/>
        </w:rPr>
        <w:t xml:space="preserve">he OCA stressed the careful balance of the compromise reached, which took into consideration the current COVID-19 circumstances faced by customers and the Commonwealth.  </w:t>
      </w:r>
      <w:r w:rsidR="002E1563" w:rsidRPr="006A631A">
        <w:rPr>
          <w:sz w:val="26"/>
          <w:szCs w:val="26"/>
        </w:rPr>
        <w:t>OCA Statement in Support at 9-10.  Specifically</w:t>
      </w:r>
      <w:r w:rsidR="009974D3" w:rsidRPr="006A631A">
        <w:rPr>
          <w:sz w:val="26"/>
          <w:szCs w:val="26"/>
        </w:rPr>
        <w:t>,</w:t>
      </w:r>
      <w:r w:rsidR="002E1563" w:rsidRPr="006A631A">
        <w:rPr>
          <w:sz w:val="26"/>
          <w:szCs w:val="26"/>
        </w:rPr>
        <w:t xml:space="preserve"> with regard to the Revenue Requirement, the OCA emphasized that </w:t>
      </w:r>
      <w:r w:rsidR="002E1563" w:rsidRPr="006A631A">
        <w:rPr>
          <w:color w:val="000000"/>
          <w:sz w:val="26"/>
          <w:szCs w:val="26"/>
        </w:rPr>
        <w:t>the Joint Petitioners’ agreement to defer the beginning of the agreed</w:t>
      </w:r>
      <w:r w:rsidR="00A644F1" w:rsidRPr="006A631A">
        <w:rPr>
          <w:color w:val="000000"/>
          <w:sz w:val="26"/>
          <w:szCs w:val="26"/>
        </w:rPr>
        <w:t>-</w:t>
      </w:r>
      <w:r w:rsidR="002E1563" w:rsidRPr="006A631A">
        <w:rPr>
          <w:color w:val="000000"/>
          <w:sz w:val="26"/>
          <w:szCs w:val="26"/>
        </w:rPr>
        <w:t>upon increase until January</w:t>
      </w:r>
      <w:r w:rsidR="00C123DB">
        <w:rPr>
          <w:color w:val="000000"/>
          <w:sz w:val="26"/>
          <w:szCs w:val="26"/>
        </w:rPr>
        <w:t> </w:t>
      </w:r>
      <w:r w:rsidR="002E1563" w:rsidRPr="006A631A">
        <w:rPr>
          <w:color w:val="000000"/>
          <w:sz w:val="26"/>
          <w:szCs w:val="26"/>
        </w:rPr>
        <w:t>1,</w:t>
      </w:r>
      <w:r w:rsidR="00C123DB">
        <w:rPr>
          <w:color w:val="000000"/>
          <w:sz w:val="26"/>
          <w:szCs w:val="26"/>
        </w:rPr>
        <w:t> </w:t>
      </w:r>
      <w:r w:rsidR="002E1563" w:rsidRPr="006A631A">
        <w:rPr>
          <w:color w:val="000000"/>
          <w:sz w:val="26"/>
          <w:szCs w:val="26"/>
        </w:rPr>
        <w:t xml:space="preserve">2021, and the remainder being phased-in through January 1, 2022, results in a fair compromise in light of the other provisions and protections provided to customers by this Settlement.  </w:t>
      </w:r>
      <w:r w:rsidR="002E1563" w:rsidRPr="006A631A">
        <w:rPr>
          <w:i/>
          <w:iCs/>
          <w:color w:val="000000"/>
          <w:sz w:val="26"/>
          <w:szCs w:val="26"/>
        </w:rPr>
        <w:t xml:space="preserve">Id.  </w:t>
      </w:r>
      <w:r w:rsidR="002E1563" w:rsidRPr="006A631A">
        <w:rPr>
          <w:color w:val="000000"/>
          <w:sz w:val="26"/>
          <w:szCs w:val="26"/>
        </w:rPr>
        <w:t xml:space="preserve">Additionally, based on the OCA’s analysis of the Company’s filing, the proposed revenue increase under the Settlement represents an amount which, in the OCA’s view, would be within the range of likely outcomes in the event of full litigation of the case. </w:t>
      </w:r>
      <w:r w:rsidR="00C63645" w:rsidRPr="006A631A">
        <w:rPr>
          <w:color w:val="000000"/>
          <w:sz w:val="26"/>
          <w:szCs w:val="26"/>
        </w:rPr>
        <w:t xml:space="preserve"> </w:t>
      </w:r>
      <w:r w:rsidR="002E1563" w:rsidRPr="006A631A">
        <w:rPr>
          <w:color w:val="000000"/>
          <w:sz w:val="26"/>
          <w:szCs w:val="26"/>
        </w:rPr>
        <w:t>The OCA also noted the COVID</w:t>
      </w:r>
      <w:r w:rsidR="00A644F1" w:rsidRPr="006A631A">
        <w:rPr>
          <w:color w:val="000000"/>
          <w:sz w:val="26"/>
          <w:szCs w:val="26"/>
        </w:rPr>
        <w:t>-19</w:t>
      </w:r>
      <w:r w:rsidR="002E1563" w:rsidRPr="006A631A">
        <w:rPr>
          <w:color w:val="000000"/>
          <w:sz w:val="26"/>
          <w:szCs w:val="26"/>
        </w:rPr>
        <w:t xml:space="preserve"> </w:t>
      </w:r>
      <w:r w:rsidR="00A644F1" w:rsidRPr="006A631A">
        <w:rPr>
          <w:color w:val="000000"/>
          <w:sz w:val="26"/>
          <w:szCs w:val="26"/>
        </w:rPr>
        <w:t>R</w:t>
      </w:r>
      <w:r w:rsidR="002E1563" w:rsidRPr="006A631A">
        <w:rPr>
          <w:color w:val="000000"/>
          <w:sz w:val="26"/>
          <w:szCs w:val="26"/>
        </w:rPr>
        <w:t xml:space="preserve">elief </w:t>
      </w:r>
      <w:r w:rsidR="00A644F1" w:rsidRPr="006A631A">
        <w:rPr>
          <w:color w:val="000000"/>
          <w:sz w:val="26"/>
          <w:szCs w:val="26"/>
        </w:rPr>
        <w:t>Plan</w:t>
      </w:r>
      <w:r w:rsidR="002E1563" w:rsidRPr="006A631A">
        <w:rPr>
          <w:color w:val="000000"/>
          <w:sz w:val="26"/>
          <w:szCs w:val="26"/>
        </w:rPr>
        <w:t xml:space="preserve"> as a beneficial aspect of customer payment assistance and the reduced increases to the fixed customer charges for </w:t>
      </w:r>
      <w:r w:rsidR="002E1563" w:rsidRPr="006A631A">
        <w:rPr>
          <w:color w:val="000000"/>
          <w:sz w:val="26"/>
          <w:szCs w:val="26"/>
        </w:rPr>
        <w:lastRenderedPageBreak/>
        <w:t>the residential class, as worthy aspects of the negotiated compromise, fully supported by substantial evidence of record.  OCA Statement in Support at 10-16.</w:t>
      </w:r>
    </w:p>
    <w:p w14:paraId="4530E99E" w14:textId="0E164ED7" w:rsidR="008A14F2" w:rsidRPr="006A631A" w:rsidRDefault="008A14F2" w:rsidP="00F510B9">
      <w:pPr>
        <w:widowControl/>
        <w:spacing w:line="360" w:lineRule="auto"/>
        <w:rPr>
          <w:sz w:val="26"/>
          <w:szCs w:val="26"/>
        </w:rPr>
      </w:pPr>
    </w:p>
    <w:p w14:paraId="72603AB0" w14:textId="74BABD9E" w:rsidR="000F1B88" w:rsidRPr="006A631A" w:rsidRDefault="00CA35B4" w:rsidP="00F510B9">
      <w:pPr>
        <w:widowControl/>
        <w:tabs>
          <w:tab w:val="left" w:pos="-720"/>
        </w:tabs>
        <w:suppressAutoHyphens/>
        <w:spacing w:line="360" w:lineRule="auto"/>
        <w:ind w:firstLine="1440"/>
        <w:rPr>
          <w:sz w:val="26"/>
          <w:szCs w:val="26"/>
        </w:rPr>
      </w:pPr>
      <w:r w:rsidRPr="006A631A">
        <w:rPr>
          <w:sz w:val="26"/>
          <w:szCs w:val="26"/>
        </w:rPr>
        <w:t>In their Recommended Decision, the ALJs provided an extensive s</w:t>
      </w:r>
      <w:r w:rsidR="005354B3" w:rsidRPr="006A631A">
        <w:rPr>
          <w:sz w:val="26"/>
          <w:szCs w:val="26"/>
        </w:rPr>
        <w:t>ummary of the various</w:t>
      </w:r>
      <w:r w:rsidR="001C1A57" w:rsidRPr="006A631A">
        <w:rPr>
          <w:sz w:val="26"/>
          <w:szCs w:val="26"/>
        </w:rPr>
        <w:t xml:space="preserve"> positions of the Parties outlined in their</w:t>
      </w:r>
      <w:r w:rsidR="005354B3" w:rsidRPr="006A631A">
        <w:rPr>
          <w:sz w:val="26"/>
          <w:szCs w:val="26"/>
        </w:rPr>
        <w:t xml:space="preserve"> Statements in Support and that discussion will not be repeated here.  For a detailed summary of each Party’s position on the settled issues</w:t>
      </w:r>
      <w:r w:rsidR="00A644F1" w:rsidRPr="006A631A">
        <w:rPr>
          <w:sz w:val="26"/>
          <w:szCs w:val="26"/>
        </w:rPr>
        <w:t>,</w:t>
      </w:r>
      <w:r w:rsidR="005354B3" w:rsidRPr="006A631A">
        <w:rPr>
          <w:sz w:val="26"/>
          <w:szCs w:val="26"/>
        </w:rPr>
        <w:t xml:space="preserve"> please refer to the ALJs’ Recommended Decision at pages </w:t>
      </w:r>
      <w:r w:rsidR="00B203B6" w:rsidRPr="006A631A">
        <w:rPr>
          <w:sz w:val="26"/>
          <w:szCs w:val="26"/>
        </w:rPr>
        <w:t xml:space="preserve">50 </w:t>
      </w:r>
      <w:r w:rsidR="005354B3" w:rsidRPr="006A631A">
        <w:rPr>
          <w:sz w:val="26"/>
          <w:szCs w:val="26"/>
        </w:rPr>
        <w:t>through</w:t>
      </w:r>
      <w:r w:rsidR="00126A4C" w:rsidRPr="006A631A">
        <w:rPr>
          <w:sz w:val="26"/>
          <w:szCs w:val="26"/>
        </w:rPr>
        <w:t> </w:t>
      </w:r>
      <w:r w:rsidR="005354B3" w:rsidRPr="006A631A">
        <w:rPr>
          <w:sz w:val="26"/>
          <w:szCs w:val="26"/>
        </w:rPr>
        <w:t>7</w:t>
      </w:r>
      <w:r w:rsidR="00B203B6" w:rsidRPr="006A631A">
        <w:rPr>
          <w:sz w:val="26"/>
          <w:szCs w:val="26"/>
        </w:rPr>
        <w:t>4</w:t>
      </w:r>
      <w:r w:rsidR="005354B3" w:rsidRPr="006A631A">
        <w:rPr>
          <w:sz w:val="26"/>
          <w:szCs w:val="26"/>
        </w:rPr>
        <w:t xml:space="preserve">.  </w:t>
      </w:r>
    </w:p>
    <w:p w14:paraId="09A6C88D" w14:textId="77AD5EEA" w:rsidR="00825FB2" w:rsidRPr="006A631A" w:rsidRDefault="00825FB2" w:rsidP="00F510B9">
      <w:pPr>
        <w:widowControl/>
        <w:spacing w:line="360" w:lineRule="auto"/>
        <w:rPr>
          <w:sz w:val="26"/>
          <w:szCs w:val="26"/>
        </w:rPr>
      </w:pPr>
    </w:p>
    <w:p w14:paraId="3C426882" w14:textId="5473BE55" w:rsidR="00825FB2" w:rsidRPr="006A631A" w:rsidRDefault="000F1B88" w:rsidP="00F510B9">
      <w:pPr>
        <w:pStyle w:val="Heading3"/>
        <w:ind w:left="1440" w:hanging="720"/>
      </w:pPr>
      <w:bookmarkStart w:id="36" w:name="_Toc55888189"/>
      <w:bookmarkStart w:id="37" w:name="_Hlk54685429"/>
      <w:r w:rsidRPr="006A631A">
        <w:t>Recommended Decision on Partial Settlement</w:t>
      </w:r>
      <w:bookmarkEnd w:id="36"/>
    </w:p>
    <w:bookmarkEnd w:id="37"/>
    <w:p w14:paraId="6D50FDB8" w14:textId="5D5061B4" w:rsidR="00AC5F71" w:rsidRPr="006A631A" w:rsidRDefault="00AC5F71" w:rsidP="00F510B9">
      <w:pPr>
        <w:widowControl/>
        <w:spacing w:line="360" w:lineRule="auto"/>
        <w:contextualSpacing/>
        <w:rPr>
          <w:rFonts w:eastAsiaTheme="minorHAnsi"/>
          <w:sz w:val="26"/>
          <w:szCs w:val="26"/>
        </w:rPr>
      </w:pPr>
    </w:p>
    <w:p w14:paraId="16674E52" w14:textId="43A4AC1F" w:rsidR="00FB0B66" w:rsidRPr="006A631A" w:rsidRDefault="009B07DB" w:rsidP="00F510B9">
      <w:pPr>
        <w:widowControl/>
        <w:kinsoku w:val="0"/>
        <w:overflowPunct w:val="0"/>
        <w:spacing w:before="4" w:line="415" w:lineRule="exact"/>
        <w:ind w:firstLine="1440"/>
        <w:textAlignment w:val="baseline"/>
        <w:rPr>
          <w:sz w:val="26"/>
          <w:szCs w:val="26"/>
        </w:rPr>
      </w:pPr>
      <w:r w:rsidRPr="006A631A">
        <w:rPr>
          <w:rFonts w:eastAsiaTheme="minorHAnsi"/>
          <w:sz w:val="26"/>
          <w:szCs w:val="26"/>
        </w:rPr>
        <w:t xml:space="preserve">As noted, </w:t>
      </w:r>
      <w:r w:rsidRPr="006A631A">
        <w:rPr>
          <w:rFonts w:eastAsiaTheme="minorHAnsi"/>
          <w:i/>
          <w:sz w:val="26"/>
          <w:szCs w:val="26"/>
        </w:rPr>
        <w:t>supra</w:t>
      </w:r>
      <w:r w:rsidRPr="00ED3D68">
        <w:rPr>
          <w:rFonts w:eastAsiaTheme="minorHAnsi"/>
          <w:iCs/>
          <w:sz w:val="26"/>
          <w:szCs w:val="26"/>
        </w:rPr>
        <w:t>,</w:t>
      </w:r>
      <w:r w:rsidRPr="006A631A">
        <w:rPr>
          <w:rFonts w:eastAsiaTheme="minorHAnsi"/>
          <w:i/>
          <w:sz w:val="26"/>
          <w:szCs w:val="26"/>
        </w:rPr>
        <w:t xml:space="preserve"> </w:t>
      </w:r>
      <w:r w:rsidRPr="006A631A">
        <w:rPr>
          <w:rFonts w:eastAsiaTheme="minorHAnsi"/>
          <w:sz w:val="26"/>
          <w:szCs w:val="26"/>
        </w:rPr>
        <w:t>in their Recommended Decision, the ALJs provided an extensive discussion of the issues addressed by the terms and conditions of the Partial Settlement, as well as the positions of the Joint Petitioners regarding the Partial Settlement, as set forth in the individual Statements in Support of the Settlement.  R.D.</w:t>
      </w:r>
      <w:r w:rsidR="00C123DB">
        <w:rPr>
          <w:rFonts w:eastAsiaTheme="minorHAnsi"/>
          <w:sz w:val="26"/>
          <w:szCs w:val="26"/>
        </w:rPr>
        <w:t> </w:t>
      </w:r>
      <w:r w:rsidRPr="006A631A">
        <w:rPr>
          <w:rFonts w:eastAsiaTheme="minorHAnsi"/>
          <w:sz w:val="26"/>
          <w:szCs w:val="26"/>
        </w:rPr>
        <w:t>at</w:t>
      </w:r>
      <w:r w:rsidR="00C123DB">
        <w:rPr>
          <w:rFonts w:eastAsiaTheme="minorHAnsi"/>
          <w:sz w:val="26"/>
          <w:szCs w:val="26"/>
        </w:rPr>
        <w:t> </w:t>
      </w:r>
      <w:r w:rsidR="00B203B6" w:rsidRPr="006A631A">
        <w:rPr>
          <w:rFonts w:eastAsiaTheme="minorHAnsi"/>
          <w:sz w:val="26"/>
          <w:szCs w:val="26"/>
        </w:rPr>
        <w:t>50</w:t>
      </w:r>
      <w:r w:rsidRPr="006A631A">
        <w:rPr>
          <w:rFonts w:eastAsiaTheme="minorHAnsi"/>
          <w:sz w:val="26"/>
          <w:szCs w:val="26"/>
        </w:rPr>
        <w:t>-7</w:t>
      </w:r>
      <w:r w:rsidR="00B203B6" w:rsidRPr="006A631A">
        <w:rPr>
          <w:rFonts w:eastAsiaTheme="minorHAnsi"/>
          <w:sz w:val="26"/>
          <w:szCs w:val="26"/>
        </w:rPr>
        <w:t>4</w:t>
      </w:r>
      <w:r w:rsidRPr="006A631A">
        <w:rPr>
          <w:rFonts w:eastAsiaTheme="minorHAnsi"/>
          <w:sz w:val="26"/>
          <w:szCs w:val="26"/>
        </w:rPr>
        <w:t xml:space="preserve">.  </w:t>
      </w:r>
      <w:r w:rsidR="00FB0B66" w:rsidRPr="006A631A">
        <w:rPr>
          <w:rFonts w:eastAsiaTheme="minorHAnsi"/>
          <w:sz w:val="26"/>
          <w:szCs w:val="26"/>
        </w:rPr>
        <w:t xml:space="preserve">The ALJs recommended approval of the Partial Settlement, except for three suggested modifications: (1) that the start of the </w:t>
      </w:r>
      <w:r w:rsidR="00A315AC" w:rsidRPr="006A631A">
        <w:rPr>
          <w:rFonts w:eastAsiaTheme="minorHAnsi"/>
          <w:sz w:val="26"/>
          <w:szCs w:val="26"/>
        </w:rPr>
        <w:t xml:space="preserve">three </w:t>
      </w:r>
      <w:r w:rsidR="00FB0B66" w:rsidRPr="006A631A">
        <w:rPr>
          <w:rFonts w:eastAsiaTheme="minorHAnsi"/>
          <w:sz w:val="26"/>
          <w:szCs w:val="26"/>
        </w:rPr>
        <w:t xml:space="preserve">phased-in </w:t>
      </w:r>
      <w:r w:rsidR="00A315AC" w:rsidRPr="006A631A">
        <w:rPr>
          <w:rFonts w:eastAsiaTheme="minorHAnsi"/>
          <w:sz w:val="26"/>
          <w:szCs w:val="26"/>
        </w:rPr>
        <w:t xml:space="preserve">rate </w:t>
      </w:r>
      <w:r w:rsidR="00FB0B66" w:rsidRPr="006A631A">
        <w:rPr>
          <w:rFonts w:eastAsiaTheme="minorHAnsi"/>
          <w:sz w:val="26"/>
          <w:szCs w:val="26"/>
        </w:rPr>
        <w:t xml:space="preserve">increases agreed to in the Joint </w:t>
      </w:r>
      <w:r w:rsidR="00FB0B66" w:rsidRPr="006A631A">
        <w:rPr>
          <w:sz w:val="26"/>
          <w:szCs w:val="26"/>
        </w:rPr>
        <w:t>Petition be delayed by six months until July of 2021; (2) that PGW should not file a general rate increase pursuant to 66 Pa.</w:t>
      </w:r>
      <w:r w:rsidR="00C63645" w:rsidRPr="006A631A">
        <w:rPr>
          <w:sz w:val="26"/>
          <w:szCs w:val="26"/>
        </w:rPr>
        <w:t xml:space="preserve"> </w:t>
      </w:r>
      <w:r w:rsidR="00FB0B66" w:rsidRPr="006A631A">
        <w:rPr>
          <w:sz w:val="26"/>
          <w:szCs w:val="26"/>
        </w:rPr>
        <w:t>C.S. § 1308(d) any sooner than January 1, 2023, absent emergency relief, tariff changes or as authorized by Commission order or industry-wide changes in regulatory policy which affect PGW’s rates; and (3)</w:t>
      </w:r>
      <w:r w:rsidR="00C123DB">
        <w:rPr>
          <w:sz w:val="26"/>
          <w:szCs w:val="26"/>
        </w:rPr>
        <w:t> </w:t>
      </w:r>
      <w:r w:rsidR="00FB0B66" w:rsidRPr="006A631A">
        <w:rPr>
          <w:sz w:val="26"/>
          <w:szCs w:val="26"/>
        </w:rPr>
        <w:t xml:space="preserve">that no later than 90 days following entry of the Final Order in this matter, and biannually through 2022, PGW must meet with the Commission’s Pipeline Safety Division to review PGW’s increasing costs of pipeline replacement and to develop a plan to reduce pipeline replacement costs and leaks.  R.D. at 78-79.  </w:t>
      </w:r>
    </w:p>
    <w:p w14:paraId="57A7D381" w14:textId="36D8811F" w:rsidR="00FB0B66" w:rsidRPr="006A631A" w:rsidRDefault="00FB0B66" w:rsidP="00F510B9">
      <w:pPr>
        <w:widowControl/>
        <w:kinsoku w:val="0"/>
        <w:overflowPunct w:val="0"/>
        <w:spacing w:before="4" w:line="415" w:lineRule="exact"/>
        <w:textAlignment w:val="baseline"/>
        <w:rPr>
          <w:sz w:val="26"/>
          <w:szCs w:val="26"/>
        </w:rPr>
      </w:pPr>
    </w:p>
    <w:p w14:paraId="73E0BE50" w14:textId="569D2100" w:rsidR="00B86AA5" w:rsidRPr="006A631A" w:rsidRDefault="00FB0B66" w:rsidP="00F510B9">
      <w:pPr>
        <w:widowControl/>
        <w:kinsoku w:val="0"/>
        <w:overflowPunct w:val="0"/>
        <w:spacing w:before="4" w:line="415" w:lineRule="exact"/>
        <w:ind w:firstLine="1440"/>
        <w:textAlignment w:val="baseline"/>
        <w:rPr>
          <w:i/>
          <w:iCs/>
          <w:sz w:val="26"/>
          <w:szCs w:val="26"/>
        </w:rPr>
      </w:pPr>
      <w:r w:rsidRPr="006A631A">
        <w:rPr>
          <w:sz w:val="26"/>
          <w:szCs w:val="26"/>
        </w:rPr>
        <w:t>The ALJs reasoned that</w:t>
      </w:r>
      <w:r w:rsidR="00FC59A8" w:rsidRPr="006A631A">
        <w:rPr>
          <w:sz w:val="26"/>
          <w:szCs w:val="26"/>
        </w:rPr>
        <w:t xml:space="preserve"> “the COVID-19 effect in Philadelphia, the Commonwealth, and the country, gives pause to a rate increase at this time.”  R.D. at 74.  Citing the </w:t>
      </w:r>
      <w:r w:rsidR="00E21630" w:rsidRPr="006A631A">
        <w:rPr>
          <w:sz w:val="26"/>
          <w:szCs w:val="26"/>
        </w:rPr>
        <w:t xml:space="preserve">testimony of the </w:t>
      </w:r>
      <w:r w:rsidR="00FC59A8" w:rsidRPr="006A631A">
        <w:rPr>
          <w:sz w:val="26"/>
          <w:szCs w:val="26"/>
        </w:rPr>
        <w:t xml:space="preserve">OCA, CAUSE-PA, </w:t>
      </w:r>
      <w:r w:rsidR="00C63645" w:rsidRPr="006A631A">
        <w:rPr>
          <w:sz w:val="26"/>
          <w:szCs w:val="26"/>
        </w:rPr>
        <w:t xml:space="preserve">the </w:t>
      </w:r>
      <w:r w:rsidR="00FC59A8" w:rsidRPr="006A631A">
        <w:rPr>
          <w:sz w:val="26"/>
          <w:szCs w:val="26"/>
        </w:rPr>
        <w:t xml:space="preserve">Environmental </w:t>
      </w:r>
      <w:r w:rsidR="00E21630" w:rsidRPr="006A631A">
        <w:rPr>
          <w:sz w:val="26"/>
          <w:szCs w:val="26"/>
        </w:rPr>
        <w:t xml:space="preserve">Stakeholders, </w:t>
      </w:r>
      <w:r w:rsidR="00C63645" w:rsidRPr="006A631A">
        <w:rPr>
          <w:sz w:val="26"/>
          <w:szCs w:val="26"/>
        </w:rPr>
        <w:t xml:space="preserve">the </w:t>
      </w:r>
      <w:r w:rsidR="00E21630" w:rsidRPr="006A631A">
        <w:rPr>
          <w:sz w:val="26"/>
          <w:szCs w:val="26"/>
        </w:rPr>
        <w:t xml:space="preserve">OSBA, I&amp;E, and public input and informal public input comments, the ALJs emphasized </w:t>
      </w:r>
      <w:r w:rsidR="00E21630" w:rsidRPr="006A631A">
        <w:rPr>
          <w:sz w:val="26"/>
          <w:szCs w:val="26"/>
        </w:rPr>
        <w:lastRenderedPageBreak/>
        <w:t xml:space="preserve">that unemployment, financial </w:t>
      </w:r>
      <w:proofErr w:type="gramStart"/>
      <w:r w:rsidR="00E21630" w:rsidRPr="006A631A">
        <w:rPr>
          <w:sz w:val="26"/>
          <w:szCs w:val="26"/>
        </w:rPr>
        <w:t>difficulties</w:t>
      </w:r>
      <w:proofErr w:type="gramEnd"/>
      <w:r w:rsidR="00E21630" w:rsidRPr="006A631A">
        <w:rPr>
          <w:sz w:val="26"/>
          <w:szCs w:val="26"/>
        </w:rPr>
        <w:t xml:space="preserve"> and uncertainty abound in Philadelphia.  R.D.</w:t>
      </w:r>
      <w:r w:rsidR="00C123DB">
        <w:rPr>
          <w:sz w:val="26"/>
          <w:szCs w:val="26"/>
        </w:rPr>
        <w:t> </w:t>
      </w:r>
      <w:r w:rsidR="00E21630" w:rsidRPr="006A631A">
        <w:rPr>
          <w:sz w:val="26"/>
          <w:szCs w:val="26"/>
        </w:rPr>
        <w:t>at</w:t>
      </w:r>
      <w:r w:rsidR="00C123DB">
        <w:rPr>
          <w:sz w:val="26"/>
          <w:szCs w:val="26"/>
        </w:rPr>
        <w:t> </w:t>
      </w:r>
      <w:r w:rsidR="00E21630" w:rsidRPr="006A631A">
        <w:rPr>
          <w:sz w:val="26"/>
          <w:szCs w:val="26"/>
        </w:rPr>
        <w:t>74-75.</w:t>
      </w:r>
      <w:r w:rsidR="00805E49" w:rsidRPr="006A631A">
        <w:rPr>
          <w:sz w:val="26"/>
          <w:szCs w:val="26"/>
        </w:rPr>
        <w:t xml:space="preserve">  Relying heavily on the OSBA litigation position that there is not an immediate need for a large rate increase and the OCA’s litigation position that PGW’s investment grade rating will not be markedly adversely affected nor would PGW be in dire </w:t>
      </w:r>
      <w:r w:rsidR="0045014B" w:rsidRPr="006A631A">
        <w:rPr>
          <w:sz w:val="26"/>
          <w:szCs w:val="26"/>
        </w:rPr>
        <w:t>straits</w:t>
      </w:r>
      <w:r w:rsidR="00805E49" w:rsidRPr="006A631A">
        <w:rPr>
          <w:sz w:val="26"/>
          <w:szCs w:val="26"/>
        </w:rPr>
        <w:t xml:space="preserve"> with respect to cash flow or debt coverage, the ALJs discounted the need for a near-term rate increase.  R.D. at 75-76.  And while acknowledging the COVID-19 </w:t>
      </w:r>
      <w:r w:rsidR="00A315AC" w:rsidRPr="006A631A">
        <w:rPr>
          <w:sz w:val="26"/>
          <w:szCs w:val="26"/>
        </w:rPr>
        <w:t>R</w:t>
      </w:r>
      <w:r w:rsidR="00805E49" w:rsidRPr="006A631A">
        <w:rPr>
          <w:sz w:val="26"/>
          <w:szCs w:val="26"/>
        </w:rPr>
        <w:t xml:space="preserve">elief </w:t>
      </w:r>
      <w:r w:rsidR="00A315AC" w:rsidRPr="006A631A">
        <w:rPr>
          <w:sz w:val="26"/>
          <w:szCs w:val="26"/>
        </w:rPr>
        <w:t>P</w:t>
      </w:r>
      <w:r w:rsidR="00805E49" w:rsidRPr="006A631A">
        <w:rPr>
          <w:sz w:val="26"/>
          <w:szCs w:val="26"/>
        </w:rPr>
        <w:t>lan as based in good intentions, the ALJs found it to be limited in terms of the direct financial relief it could provide to up to 6,600 customers for a short period of time.  R.D.</w:t>
      </w:r>
      <w:r w:rsidR="00C123DB">
        <w:rPr>
          <w:sz w:val="26"/>
          <w:szCs w:val="26"/>
        </w:rPr>
        <w:t> </w:t>
      </w:r>
      <w:r w:rsidR="00805E49" w:rsidRPr="006A631A">
        <w:rPr>
          <w:sz w:val="26"/>
          <w:szCs w:val="26"/>
        </w:rPr>
        <w:t xml:space="preserve">at 76.  The ALJs </w:t>
      </w:r>
      <w:r w:rsidR="00901D4C" w:rsidRPr="006A631A">
        <w:rPr>
          <w:sz w:val="26"/>
          <w:szCs w:val="26"/>
        </w:rPr>
        <w:t xml:space="preserve">initially </w:t>
      </w:r>
      <w:r w:rsidR="00805E49" w:rsidRPr="006A631A">
        <w:rPr>
          <w:sz w:val="26"/>
          <w:szCs w:val="26"/>
        </w:rPr>
        <w:t xml:space="preserve">stated that the Partial Settlement provides limited relief on a long-term increase and, as written, will benefit only a segment of customers.  </w:t>
      </w:r>
      <w:r w:rsidR="00901D4C" w:rsidRPr="006A631A">
        <w:rPr>
          <w:i/>
          <w:iCs/>
          <w:sz w:val="26"/>
          <w:szCs w:val="26"/>
        </w:rPr>
        <w:t>Id.</w:t>
      </w:r>
      <w:r w:rsidR="000B2E9A" w:rsidRPr="006A631A">
        <w:rPr>
          <w:i/>
          <w:iCs/>
          <w:sz w:val="26"/>
          <w:szCs w:val="26"/>
        </w:rPr>
        <w:t xml:space="preserve">  </w:t>
      </w:r>
      <w:r w:rsidR="00B86AA5" w:rsidRPr="006A631A">
        <w:rPr>
          <w:sz w:val="26"/>
          <w:szCs w:val="26"/>
        </w:rPr>
        <w:t>The ALJs also cited their concern that</w:t>
      </w:r>
      <w:r w:rsidR="000B2E9A" w:rsidRPr="006A631A">
        <w:rPr>
          <w:sz w:val="26"/>
          <w:szCs w:val="26"/>
        </w:rPr>
        <w:t>, if an immediate increase is permitted,</w:t>
      </w:r>
      <w:r w:rsidR="00B86AA5" w:rsidRPr="006A631A">
        <w:rPr>
          <w:sz w:val="26"/>
          <w:szCs w:val="26"/>
        </w:rPr>
        <w:t xml:space="preserve"> PGW customers would be seeing </w:t>
      </w:r>
      <w:r w:rsidR="000B2E9A" w:rsidRPr="006A631A">
        <w:rPr>
          <w:sz w:val="26"/>
          <w:szCs w:val="26"/>
        </w:rPr>
        <w:t xml:space="preserve">a base rate increase, as well as </w:t>
      </w:r>
      <w:r w:rsidR="00B86AA5" w:rsidRPr="006A631A">
        <w:rPr>
          <w:sz w:val="26"/>
          <w:szCs w:val="26"/>
        </w:rPr>
        <w:t>increases in PGW’s Distribution System Infrastructure Charge (DSIC) as well as its Universal Service Charge (USC), which is projected to increase when the pilot program for enhanced universal service support for C</w:t>
      </w:r>
      <w:r w:rsidR="00DA651F" w:rsidRPr="006A631A">
        <w:rPr>
          <w:sz w:val="26"/>
          <w:szCs w:val="26"/>
        </w:rPr>
        <w:t xml:space="preserve">ustomer </w:t>
      </w:r>
      <w:r w:rsidR="00B86AA5" w:rsidRPr="006A631A">
        <w:rPr>
          <w:sz w:val="26"/>
          <w:szCs w:val="26"/>
        </w:rPr>
        <w:t>A</w:t>
      </w:r>
      <w:r w:rsidR="00DA651F" w:rsidRPr="006A631A">
        <w:rPr>
          <w:sz w:val="26"/>
          <w:szCs w:val="26"/>
        </w:rPr>
        <w:t xml:space="preserve">ssistance </w:t>
      </w:r>
      <w:r w:rsidR="00B86AA5" w:rsidRPr="006A631A">
        <w:rPr>
          <w:sz w:val="26"/>
          <w:szCs w:val="26"/>
        </w:rPr>
        <w:t>P</w:t>
      </w:r>
      <w:r w:rsidR="00DA651F" w:rsidRPr="006A631A">
        <w:rPr>
          <w:sz w:val="26"/>
          <w:szCs w:val="26"/>
        </w:rPr>
        <w:t>rogram (</w:t>
      </w:r>
      <w:r w:rsidR="00B86AA5" w:rsidRPr="006A631A">
        <w:rPr>
          <w:sz w:val="26"/>
          <w:szCs w:val="26"/>
        </w:rPr>
        <w:t>CAP</w:t>
      </w:r>
      <w:r w:rsidR="00DA651F" w:rsidRPr="006A631A">
        <w:rPr>
          <w:sz w:val="26"/>
          <w:szCs w:val="26"/>
        </w:rPr>
        <w:t>)</w:t>
      </w:r>
      <w:r w:rsidR="00B86AA5" w:rsidRPr="006A631A">
        <w:rPr>
          <w:sz w:val="26"/>
          <w:szCs w:val="26"/>
        </w:rPr>
        <w:t xml:space="preserve"> customers recently ordered by the PUC, is implemented.  </w:t>
      </w:r>
      <w:r w:rsidR="000B2E9A" w:rsidRPr="006A631A">
        <w:rPr>
          <w:i/>
          <w:iCs/>
          <w:sz w:val="26"/>
          <w:szCs w:val="26"/>
        </w:rPr>
        <w:t>Id.</w:t>
      </w:r>
    </w:p>
    <w:p w14:paraId="5CCB5472" w14:textId="77777777" w:rsidR="000B2E9A" w:rsidRPr="006A631A" w:rsidRDefault="000B2E9A" w:rsidP="00F510B9">
      <w:pPr>
        <w:widowControl/>
        <w:kinsoku w:val="0"/>
        <w:overflowPunct w:val="0"/>
        <w:spacing w:before="4" w:line="415" w:lineRule="exact"/>
        <w:ind w:firstLine="1440"/>
        <w:textAlignment w:val="baseline"/>
        <w:rPr>
          <w:sz w:val="26"/>
          <w:szCs w:val="26"/>
        </w:rPr>
      </w:pPr>
    </w:p>
    <w:p w14:paraId="0D20FA74" w14:textId="2588827A" w:rsidR="00464930" w:rsidRPr="006A631A" w:rsidRDefault="00901D4C" w:rsidP="00F510B9">
      <w:pPr>
        <w:widowControl/>
        <w:kinsoku w:val="0"/>
        <w:overflowPunct w:val="0"/>
        <w:spacing w:before="4" w:line="415" w:lineRule="exact"/>
        <w:ind w:firstLine="1440"/>
        <w:textAlignment w:val="baseline"/>
        <w:rPr>
          <w:sz w:val="26"/>
          <w:szCs w:val="26"/>
        </w:rPr>
      </w:pPr>
      <w:r w:rsidRPr="006A631A">
        <w:rPr>
          <w:sz w:val="26"/>
          <w:szCs w:val="26"/>
        </w:rPr>
        <w:t>Continuing their evaluation of the Partial Settlement, the ALJs detailed countervailing considerations, including the benefits of the Partial Settlement</w:t>
      </w:r>
      <w:r w:rsidR="00A315AC" w:rsidRPr="006A631A">
        <w:rPr>
          <w:sz w:val="26"/>
          <w:szCs w:val="26"/>
        </w:rPr>
        <w:t>.  These benefits</w:t>
      </w:r>
      <w:r w:rsidRPr="006A631A">
        <w:rPr>
          <w:sz w:val="26"/>
          <w:szCs w:val="26"/>
        </w:rPr>
        <w:t xml:space="preserve"> includ</w:t>
      </w:r>
      <w:r w:rsidR="00A315AC" w:rsidRPr="006A631A">
        <w:rPr>
          <w:sz w:val="26"/>
          <w:szCs w:val="26"/>
        </w:rPr>
        <w:t>e, according to the ALJs,</w:t>
      </w:r>
      <w:r w:rsidRPr="006A631A">
        <w:rPr>
          <w:sz w:val="26"/>
          <w:szCs w:val="26"/>
        </w:rPr>
        <w:t xml:space="preserve"> the delayed implementation of the agreed-upon rate increases, the rate case stay-out provision, and the mitigation of pipe replacement safety concerns emphasized by I&amp;E in supporting the Partial Settlement.  R.D. at 76-78.  Furthermore, the ALJs acknowledged the evidence of record supporting a determination that PGW’s cash and debt management will be affected if there is not a rate increase in the next few years.  </w:t>
      </w:r>
      <w:r w:rsidR="00C63645" w:rsidRPr="006A631A">
        <w:rPr>
          <w:i/>
          <w:iCs/>
          <w:sz w:val="26"/>
          <w:szCs w:val="26"/>
        </w:rPr>
        <w:t>Id</w:t>
      </w:r>
      <w:r w:rsidRPr="006A631A">
        <w:rPr>
          <w:sz w:val="26"/>
          <w:szCs w:val="26"/>
        </w:rPr>
        <w:t xml:space="preserve">. at 77.  </w:t>
      </w:r>
      <w:r w:rsidR="00464930" w:rsidRPr="006A631A">
        <w:rPr>
          <w:sz w:val="26"/>
          <w:szCs w:val="26"/>
        </w:rPr>
        <w:t xml:space="preserve">The ALJs cited </w:t>
      </w:r>
      <w:r w:rsidRPr="006A631A">
        <w:rPr>
          <w:sz w:val="26"/>
          <w:szCs w:val="26"/>
        </w:rPr>
        <w:t>I&amp;E’s litigation position had been that PGW should be permitted a rate increase of approximately $47 million so that PGW can meet i</w:t>
      </w:r>
      <w:r w:rsidR="00464930" w:rsidRPr="006A631A">
        <w:rPr>
          <w:sz w:val="26"/>
          <w:szCs w:val="26"/>
        </w:rPr>
        <w:t>t</w:t>
      </w:r>
      <w:r w:rsidRPr="006A631A">
        <w:rPr>
          <w:sz w:val="26"/>
          <w:szCs w:val="26"/>
        </w:rPr>
        <w:t xml:space="preserve">s obligations, maintain sufficient cash on hand and have adequate operating and maintenance </w:t>
      </w:r>
      <w:r w:rsidR="00464930" w:rsidRPr="006A631A">
        <w:rPr>
          <w:sz w:val="26"/>
          <w:szCs w:val="26"/>
        </w:rPr>
        <w:t xml:space="preserve">expenses, and that an influx of cash would allow PGW to begin to implement I&amp;E’s suggestion that PGW remove risky cast iron mains at the most </w:t>
      </w:r>
      <w:r w:rsidR="00464930" w:rsidRPr="006A631A">
        <w:rPr>
          <w:sz w:val="26"/>
          <w:szCs w:val="26"/>
        </w:rPr>
        <w:lastRenderedPageBreak/>
        <w:t>aggressive rate possible.</w:t>
      </w:r>
      <w:r w:rsidR="00A315AC" w:rsidRPr="006A631A">
        <w:rPr>
          <w:rStyle w:val="FootnoteReference"/>
          <w:sz w:val="26"/>
          <w:szCs w:val="26"/>
        </w:rPr>
        <w:footnoteReference w:id="17"/>
      </w:r>
      <w:r w:rsidR="00464930" w:rsidRPr="006A631A">
        <w:rPr>
          <w:sz w:val="26"/>
          <w:szCs w:val="26"/>
        </w:rPr>
        <w:t xml:space="preserve">  The ALJs conclude</w:t>
      </w:r>
      <w:r w:rsidR="00A315AC" w:rsidRPr="006A631A">
        <w:rPr>
          <w:sz w:val="26"/>
          <w:szCs w:val="26"/>
        </w:rPr>
        <w:t>d their analysis</w:t>
      </w:r>
      <w:r w:rsidR="00464930" w:rsidRPr="006A631A">
        <w:rPr>
          <w:sz w:val="26"/>
          <w:szCs w:val="26"/>
        </w:rPr>
        <w:t xml:space="preserve"> with </w:t>
      </w:r>
      <w:r w:rsidR="00A315AC" w:rsidRPr="006A631A">
        <w:rPr>
          <w:sz w:val="26"/>
          <w:szCs w:val="26"/>
        </w:rPr>
        <w:t xml:space="preserve">a </w:t>
      </w:r>
      <w:r w:rsidR="00464930" w:rsidRPr="006A631A">
        <w:rPr>
          <w:sz w:val="26"/>
          <w:szCs w:val="26"/>
        </w:rPr>
        <w:t xml:space="preserve">statement that the COVID-19 Relief Plan is a worthy effort to benefit PGW’s most vulnerable customers.  </w:t>
      </w:r>
      <w:r w:rsidR="00464930" w:rsidRPr="006A631A">
        <w:rPr>
          <w:i/>
          <w:iCs/>
          <w:sz w:val="26"/>
          <w:szCs w:val="26"/>
        </w:rPr>
        <w:t xml:space="preserve">Id.  </w:t>
      </w:r>
    </w:p>
    <w:p w14:paraId="1A500271" w14:textId="77777777" w:rsidR="00464930" w:rsidRPr="006A631A" w:rsidRDefault="00464930" w:rsidP="00F510B9">
      <w:pPr>
        <w:widowControl/>
        <w:kinsoku w:val="0"/>
        <w:overflowPunct w:val="0"/>
        <w:spacing w:before="4" w:line="415" w:lineRule="exact"/>
        <w:ind w:firstLine="1440"/>
        <w:textAlignment w:val="baseline"/>
        <w:rPr>
          <w:sz w:val="26"/>
          <w:szCs w:val="26"/>
        </w:rPr>
      </w:pPr>
    </w:p>
    <w:p w14:paraId="1F2477BE" w14:textId="7939E2BB" w:rsidR="00A315AC" w:rsidRPr="006A631A" w:rsidRDefault="00464930" w:rsidP="00F510B9">
      <w:pPr>
        <w:widowControl/>
        <w:kinsoku w:val="0"/>
        <w:overflowPunct w:val="0"/>
        <w:spacing w:before="4" w:line="415" w:lineRule="exact"/>
        <w:ind w:firstLine="1440"/>
        <w:textAlignment w:val="baseline"/>
        <w:rPr>
          <w:sz w:val="26"/>
          <w:szCs w:val="26"/>
        </w:rPr>
      </w:pPr>
      <w:r w:rsidRPr="006A631A">
        <w:rPr>
          <w:sz w:val="26"/>
          <w:szCs w:val="26"/>
        </w:rPr>
        <w:t>Based on these competing considerations, the ALJs recommended that the Partial Settlement be modified as described above, to defer the phased rate increases</w:t>
      </w:r>
      <w:r w:rsidR="002E65AC" w:rsidRPr="006A631A">
        <w:rPr>
          <w:sz w:val="26"/>
          <w:szCs w:val="26"/>
        </w:rPr>
        <w:t xml:space="preserve"> by six months</w:t>
      </w:r>
      <w:r w:rsidRPr="006A631A">
        <w:rPr>
          <w:sz w:val="26"/>
          <w:szCs w:val="26"/>
        </w:rPr>
        <w:t xml:space="preserve"> </w:t>
      </w:r>
      <w:r w:rsidR="002E65AC" w:rsidRPr="006A631A">
        <w:rPr>
          <w:sz w:val="26"/>
          <w:szCs w:val="26"/>
        </w:rPr>
        <w:t xml:space="preserve">until </w:t>
      </w:r>
      <w:r w:rsidR="0060711C" w:rsidRPr="006A631A">
        <w:rPr>
          <w:sz w:val="26"/>
          <w:szCs w:val="26"/>
        </w:rPr>
        <w:t>July</w:t>
      </w:r>
      <w:r w:rsidR="00454655" w:rsidRPr="006A631A">
        <w:rPr>
          <w:sz w:val="26"/>
          <w:szCs w:val="26"/>
        </w:rPr>
        <w:t xml:space="preserve"> 1, </w:t>
      </w:r>
      <w:r w:rsidR="0060711C" w:rsidRPr="006A631A">
        <w:rPr>
          <w:sz w:val="26"/>
          <w:szCs w:val="26"/>
        </w:rPr>
        <w:t xml:space="preserve">2021 </w:t>
      </w:r>
      <w:r w:rsidRPr="006A631A">
        <w:rPr>
          <w:sz w:val="26"/>
          <w:szCs w:val="26"/>
        </w:rPr>
        <w:t>and extend the stay</w:t>
      </w:r>
      <w:r w:rsidR="00A539D8" w:rsidRPr="006A631A">
        <w:rPr>
          <w:sz w:val="26"/>
          <w:szCs w:val="26"/>
        </w:rPr>
        <w:t>-</w:t>
      </w:r>
      <w:r w:rsidRPr="006A631A">
        <w:rPr>
          <w:sz w:val="26"/>
          <w:szCs w:val="26"/>
        </w:rPr>
        <w:t>out provision to January 1, 2023.  R.D.</w:t>
      </w:r>
      <w:r w:rsidR="004722D2">
        <w:rPr>
          <w:sz w:val="26"/>
          <w:szCs w:val="26"/>
        </w:rPr>
        <w:t> </w:t>
      </w:r>
      <w:r w:rsidRPr="006A631A">
        <w:rPr>
          <w:sz w:val="26"/>
          <w:szCs w:val="26"/>
        </w:rPr>
        <w:t xml:space="preserve">at 77-78.  </w:t>
      </w:r>
    </w:p>
    <w:p w14:paraId="41CB20A0" w14:textId="77777777" w:rsidR="00A315AC" w:rsidRPr="006A631A" w:rsidRDefault="00A315AC" w:rsidP="00F510B9">
      <w:pPr>
        <w:widowControl/>
        <w:kinsoku w:val="0"/>
        <w:overflowPunct w:val="0"/>
        <w:spacing w:before="4" w:line="415" w:lineRule="exact"/>
        <w:ind w:firstLine="1440"/>
        <w:textAlignment w:val="baseline"/>
        <w:rPr>
          <w:sz w:val="26"/>
          <w:szCs w:val="26"/>
        </w:rPr>
      </w:pPr>
    </w:p>
    <w:p w14:paraId="5182AA3C" w14:textId="6BF853CF" w:rsidR="00FE36E7" w:rsidRPr="006A631A" w:rsidRDefault="00464930" w:rsidP="00F510B9">
      <w:pPr>
        <w:widowControl/>
        <w:kinsoku w:val="0"/>
        <w:overflowPunct w:val="0"/>
        <w:spacing w:before="4" w:line="415" w:lineRule="exact"/>
        <w:ind w:firstLine="1440"/>
        <w:textAlignment w:val="baseline"/>
        <w:rPr>
          <w:sz w:val="26"/>
          <w:szCs w:val="26"/>
        </w:rPr>
      </w:pPr>
      <w:r w:rsidRPr="006A631A">
        <w:rPr>
          <w:sz w:val="26"/>
          <w:szCs w:val="26"/>
        </w:rPr>
        <w:t xml:space="preserve">In addition, </w:t>
      </w:r>
      <w:proofErr w:type="gramStart"/>
      <w:r w:rsidR="00A315AC" w:rsidRPr="006A631A">
        <w:rPr>
          <w:sz w:val="26"/>
          <w:szCs w:val="26"/>
        </w:rPr>
        <w:t>with regard to</w:t>
      </w:r>
      <w:proofErr w:type="gramEnd"/>
      <w:r w:rsidR="00A315AC" w:rsidRPr="006A631A">
        <w:rPr>
          <w:sz w:val="26"/>
          <w:szCs w:val="26"/>
        </w:rPr>
        <w:t xml:space="preserve"> the cast iron main replacement pace and costs, </w:t>
      </w:r>
      <w:r w:rsidRPr="006A631A">
        <w:rPr>
          <w:sz w:val="26"/>
          <w:szCs w:val="26"/>
        </w:rPr>
        <w:t>the ALJs found PGW’s agreement to review</w:t>
      </w:r>
      <w:r w:rsidR="00A315AC" w:rsidRPr="006A631A">
        <w:rPr>
          <w:sz w:val="26"/>
          <w:szCs w:val="26"/>
        </w:rPr>
        <w:t xml:space="preserve"> </w:t>
      </w:r>
      <w:r w:rsidRPr="006A631A">
        <w:rPr>
          <w:sz w:val="26"/>
          <w:szCs w:val="26"/>
        </w:rPr>
        <w:t xml:space="preserve">its Annual Asset Optimization Plan with Commission staff to be lacking.  Drawing from the litigation position of I&amp;E, the ALJs concluded that, given the question regarding whether PGW replaces its riskiest pipes first and </w:t>
      </w:r>
      <w:r w:rsidR="00FE36E7" w:rsidRPr="006A631A">
        <w:rPr>
          <w:sz w:val="26"/>
          <w:szCs w:val="26"/>
        </w:rPr>
        <w:t>the notable increase in costs of pipe replacement, a more firm commitment by PGW for review of its plans by Commission staff is warranted.  R.D. at 78.  Drawing from I&amp;E’s litigation stance, the ALJs recommended that the Partial Settlement be modified to provide that:</w:t>
      </w:r>
    </w:p>
    <w:p w14:paraId="3E2EFEE2" w14:textId="77777777" w:rsidR="00FE36E7" w:rsidRPr="006A631A" w:rsidRDefault="00FE36E7" w:rsidP="004722D2">
      <w:pPr>
        <w:widowControl/>
        <w:kinsoku w:val="0"/>
        <w:overflowPunct w:val="0"/>
        <w:spacing w:before="4"/>
        <w:ind w:firstLine="1440"/>
        <w:textAlignment w:val="baseline"/>
        <w:rPr>
          <w:sz w:val="26"/>
          <w:szCs w:val="26"/>
        </w:rPr>
      </w:pPr>
    </w:p>
    <w:p w14:paraId="4C19EF66" w14:textId="77777777" w:rsidR="004722D2" w:rsidRDefault="00FE36E7" w:rsidP="00F510B9">
      <w:pPr>
        <w:widowControl/>
        <w:kinsoku w:val="0"/>
        <w:overflowPunct w:val="0"/>
        <w:spacing w:before="4"/>
        <w:ind w:left="1440" w:right="1440"/>
        <w:textAlignment w:val="baseline"/>
        <w:rPr>
          <w:sz w:val="26"/>
          <w:szCs w:val="26"/>
        </w:rPr>
      </w:pPr>
      <w:r w:rsidRPr="006A631A">
        <w:rPr>
          <w:sz w:val="26"/>
          <w:szCs w:val="26"/>
        </w:rPr>
        <w:t xml:space="preserve"> within 90 days of the final order, PGW will submit to the Commission Pipeline Safety Division a plan for addressing its riskiest pipes first and to reduce costs for pipeline replacement and that PGW meet with the Commission’s Pipeline Safety Division biannually through 2022 to review these issues.</w:t>
      </w:r>
    </w:p>
    <w:p w14:paraId="2ADE482C" w14:textId="340C049E" w:rsidR="00FB0B66" w:rsidRPr="006A631A" w:rsidRDefault="00FE36E7" w:rsidP="004722D2">
      <w:pPr>
        <w:widowControl/>
        <w:kinsoku w:val="0"/>
        <w:overflowPunct w:val="0"/>
        <w:spacing w:before="4" w:line="360" w:lineRule="auto"/>
        <w:ind w:left="1440" w:right="1440"/>
        <w:textAlignment w:val="baseline"/>
        <w:rPr>
          <w:sz w:val="26"/>
          <w:szCs w:val="26"/>
        </w:rPr>
      </w:pPr>
      <w:r w:rsidRPr="006A631A">
        <w:rPr>
          <w:sz w:val="26"/>
          <w:szCs w:val="26"/>
        </w:rPr>
        <w:t xml:space="preserve">  </w:t>
      </w:r>
    </w:p>
    <w:p w14:paraId="4F7AF1F3" w14:textId="15CBD62B" w:rsidR="00FE36E7" w:rsidRPr="006A631A" w:rsidRDefault="00FE36E7" w:rsidP="00F510B9">
      <w:pPr>
        <w:widowControl/>
        <w:kinsoku w:val="0"/>
        <w:overflowPunct w:val="0"/>
        <w:spacing w:before="4"/>
        <w:ind w:right="1440"/>
        <w:textAlignment w:val="baseline"/>
        <w:rPr>
          <w:i/>
          <w:iCs/>
          <w:sz w:val="26"/>
          <w:szCs w:val="26"/>
        </w:rPr>
      </w:pPr>
      <w:r w:rsidRPr="006A631A">
        <w:rPr>
          <w:i/>
          <w:iCs/>
          <w:sz w:val="26"/>
          <w:szCs w:val="26"/>
        </w:rPr>
        <w:t>Id.</w:t>
      </w:r>
    </w:p>
    <w:p w14:paraId="47E3EF16" w14:textId="0E57F311" w:rsidR="00FE36E7" w:rsidRPr="006A631A" w:rsidRDefault="00FE36E7" w:rsidP="00F510B9">
      <w:pPr>
        <w:widowControl/>
        <w:kinsoku w:val="0"/>
        <w:overflowPunct w:val="0"/>
        <w:spacing w:before="4"/>
        <w:ind w:right="1440"/>
        <w:textAlignment w:val="baseline"/>
        <w:rPr>
          <w:i/>
          <w:iCs/>
          <w:sz w:val="26"/>
          <w:szCs w:val="26"/>
        </w:rPr>
      </w:pPr>
    </w:p>
    <w:p w14:paraId="71465FEE" w14:textId="2318B13E" w:rsidR="00FE36E7" w:rsidRPr="006A631A" w:rsidRDefault="00FE36E7" w:rsidP="00F510B9">
      <w:pPr>
        <w:widowControl/>
        <w:spacing w:line="360" w:lineRule="auto"/>
        <w:ind w:firstLine="1440"/>
        <w:contextualSpacing/>
        <w:rPr>
          <w:rFonts w:eastAsiaTheme="minorHAnsi"/>
          <w:sz w:val="26"/>
          <w:szCs w:val="26"/>
        </w:rPr>
      </w:pPr>
      <w:r w:rsidRPr="006A631A">
        <w:rPr>
          <w:rFonts w:eastAsiaTheme="minorHAnsi"/>
          <w:sz w:val="26"/>
          <w:szCs w:val="26"/>
        </w:rPr>
        <w:t>Based on the foregoing analysis, the ALJs found that, with the suggested modifications, the terms embodied in the Partial Settlement are both just and reasonable and its approval is in the public interest.  R.D. at 78-79.</w:t>
      </w:r>
    </w:p>
    <w:p w14:paraId="6DAACF1E" w14:textId="77777777" w:rsidR="00FE36E7" w:rsidRPr="006A631A" w:rsidRDefault="00FE36E7" w:rsidP="00F510B9">
      <w:pPr>
        <w:widowControl/>
        <w:spacing w:line="360" w:lineRule="auto"/>
        <w:ind w:firstLine="1440"/>
        <w:contextualSpacing/>
        <w:rPr>
          <w:rFonts w:eastAsiaTheme="minorHAnsi"/>
          <w:sz w:val="26"/>
          <w:szCs w:val="26"/>
        </w:rPr>
      </w:pPr>
    </w:p>
    <w:p w14:paraId="023CC874" w14:textId="3FF04A4B" w:rsidR="009B07DB" w:rsidRPr="006A631A" w:rsidRDefault="009B07DB" w:rsidP="00F510B9">
      <w:pPr>
        <w:pStyle w:val="Heading3"/>
        <w:ind w:left="1440" w:hanging="720"/>
      </w:pPr>
      <w:bookmarkStart w:id="38" w:name="_Toc55888190"/>
      <w:bookmarkStart w:id="39" w:name="_Hlk54685717"/>
      <w:r w:rsidRPr="006A631A">
        <w:lastRenderedPageBreak/>
        <w:t>Exceptions and Replies</w:t>
      </w:r>
      <w:bookmarkEnd w:id="38"/>
    </w:p>
    <w:bookmarkEnd w:id="39"/>
    <w:p w14:paraId="08CF294E" w14:textId="024E838B" w:rsidR="008F2E0E" w:rsidRPr="006A631A" w:rsidRDefault="008F2E0E" w:rsidP="00F510B9">
      <w:pPr>
        <w:widowControl/>
        <w:spacing w:line="360" w:lineRule="auto"/>
        <w:contextualSpacing/>
        <w:rPr>
          <w:rFonts w:eastAsiaTheme="minorHAnsi"/>
          <w:sz w:val="26"/>
          <w:szCs w:val="26"/>
        </w:rPr>
      </w:pPr>
    </w:p>
    <w:p w14:paraId="19190CFE" w14:textId="39856782" w:rsidR="002F4CF1" w:rsidRPr="006A631A" w:rsidRDefault="00FE36E7" w:rsidP="00F510B9">
      <w:pPr>
        <w:widowControl/>
        <w:spacing w:line="360" w:lineRule="auto"/>
        <w:ind w:firstLine="1440"/>
        <w:contextualSpacing/>
        <w:rPr>
          <w:rFonts w:eastAsiaTheme="minorHAnsi"/>
          <w:sz w:val="26"/>
          <w:szCs w:val="26"/>
        </w:rPr>
      </w:pPr>
      <w:r w:rsidRPr="006A631A">
        <w:rPr>
          <w:rFonts w:eastAsiaTheme="minorHAnsi"/>
          <w:sz w:val="26"/>
          <w:szCs w:val="26"/>
        </w:rPr>
        <w:t xml:space="preserve">PGW, I&amp;E, the OCA, and PICGUG all filed Exceptions taking issue with each of the </w:t>
      </w:r>
      <w:r w:rsidR="008C35C8" w:rsidRPr="006A631A">
        <w:rPr>
          <w:rFonts w:eastAsiaTheme="minorHAnsi"/>
          <w:sz w:val="26"/>
          <w:szCs w:val="26"/>
        </w:rPr>
        <w:t xml:space="preserve">ALJs’ </w:t>
      </w:r>
      <w:r w:rsidRPr="006A631A">
        <w:rPr>
          <w:rFonts w:eastAsiaTheme="minorHAnsi"/>
          <w:sz w:val="26"/>
          <w:szCs w:val="26"/>
        </w:rPr>
        <w:t xml:space="preserve">recommended modifications to the Partial Settlement.  </w:t>
      </w:r>
    </w:p>
    <w:p w14:paraId="3C5948DB" w14:textId="621C7FF9" w:rsidR="00173C23" w:rsidRPr="006A631A" w:rsidRDefault="00173C23" w:rsidP="00F510B9">
      <w:pPr>
        <w:widowControl/>
        <w:spacing w:line="360" w:lineRule="auto"/>
        <w:ind w:firstLine="1440"/>
        <w:contextualSpacing/>
        <w:rPr>
          <w:rFonts w:eastAsiaTheme="minorHAnsi"/>
          <w:sz w:val="26"/>
          <w:szCs w:val="26"/>
        </w:rPr>
      </w:pPr>
    </w:p>
    <w:p w14:paraId="7A666079" w14:textId="21437E12" w:rsidR="00727A20" w:rsidRPr="006A631A" w:rsidRDefault="00727A20" w:rsidP="00FD57EE">
      <w:pPr>
        <w:pStyle w:val="Heading4"/>
        <w:rPr>
          <w:rFonts w:eastAsiaTheme="minorHAnsi"/>
        </w:rPr>
      </w:pPr>
      <w:bookmarkStart w:id="40" w:name="_Toc55888191"/>
      <w:r w:rsidRPr="006A631A">
        <w:rPr>
          <w:rFonts w:eastAsiaTheme="minorHAnsi"/>
        </w:rPr>
        <w:t>OCA Exceptions</w:t>
      </w:r>
      <w:bookmarkEnd w:id="40"/>
    </w:p>
    <w:p w14:paraId="354836A8" w14:textId="77777777" w:rsidR="00727A20" w:rsidRPr="006A631A" w:rsidRDefault="00727A20" w:rsidP="00F510B9">
      <w:pPr>
        <w:keepNext/>
        <w:keepLines/>
        <w:widowControl/>
        <w:spacing w:line="360" w:lineRule="auto"/>
        <w:ind w:firstLine="1440"/>
        <w:contextualSpacing/>
        <w:rPr>
          <w:rFonts w:eastAsiaTheme="minorHAnsi"/>
          <w:b/>
          <w:bCs/>
          <w:sz w:val="26"/>
          <w:szCs w:val="26"/>
        </w:rPr>
      </w:pPr>
    </w:p>
    <w:p w14:paraId="36434E49" w14:textId="443802B4" w:rsidR="005F586C" w:rsidRPr="006A631A" w:rsidRDefault="00173C23" w:rsidP="00F510B9">
      <w:pPr>
        <w:keepNext/>
        <w:keepLines/>
        <w:widowControl/>
        <w:spacing w:line="360" w:lineRule="auto"/>
        <w:ind w:firstLine="1440"/>
        <w:contextualSpacing/>
        <w:rPr>
          <w:rFonts w:eastAsiaTheme="minorHAnsi"/>
          <w:sz w:val="26"/>
          <w:szCs w:val="26"/>
        </w:rPr>
      </w:pPr>
      <w:r w:rsidRPr="006A631A">
        <w:rPr>
          <w:rFonts w:eastAsiaTheme="minorHAnsi"/>
          <w:sz w:val="26"/>
          <w:szCs w:val="26"/>
        </w:rPr>
        <w:t>The OCA raises a single</w:t>
      </w:r>
      <w:r w:rsidR="008C35C8" w:rsidRPr="006A631A">
        <w:rPr>
          <w:rFonts w:eastAsiaTheme="minorHAnsi"/>
          <w:sz w:val="26"/>
          <w:szCs w:val="26"/>
        </w:rPr>
        <w:t>,</w:t>
      </w:r>
      <w:r w:rsidRPr="006A631A">
        <w:rPr>
          <w:rFonts w:eastAsiaTheme="minorHAnsi"/>
          <w:sz w:val="26"/>
          <w:szCs w:val="26"/>
        </w:rPr>
        <w:t xml:space="preserve"> but </w:t>
      </w:r>
      <w:r w:rsidR="008C35C8" w:rsidRPr="006A631A">
        <w:rPr>
          <w:rFonts w:eastAsiaTheme="minorHAnsi"/>
          <w:sz w:val="26"/>
          <w:szCs w:val="26"/>
        </w:rPr>
        <w:t>broad</w:t>
      </w:r>
      <w:r w:rsidRPr="006A631A">
        <w:rPr>
          <w:rFonts w:eastAsiaTheme="minorHAnsi"/>
          <w:sz w:val="26"/>
          <w:szCs w:val="26"/>
        </w:rPr>
        <w:t xml:space="preserve"> exception to the material modifications of the Partial Settlement and urges the Commission to approve the Partial Settlement in its entirety </w:t>
      </w:r>
      <w:r w:rsidR="008C35C8" w:rsidRPr="006A631A">
        <w:rPr>
          <w:rFonts w:eastAsiaTheme="minorHAnsi"/>
          <w:sz w:val="26"/>
          <w:szCs w:val="26"/>
        </w:rPr>
        <w:t xml:space="preserve">without modification, </w:t>
      </w:r>
      <w:r w:rsidRPr="006A631A">
        <w:rPr>
          <w:rFonts w:eastAsiaTheme="minorHAnsi"/>
          <w:sz w:val="26"/>
          <w:szCs w:val="26"/>
        </w:rPr>
        <w:t>as a reasonable and acceptable result that is in the public interest.</w:t>
      </w:r>
      <w:r w:rsidR="002E5537" w:rsidRPr="006A631A">
        <w:rPr>
          <w:rFonts w:eastAsiaTheme="minorHAnsi"/>
          <w:sz w:val="26"/>
          <w:szCs w:val="26"/>
        </w:rPr>
        <w:t xml:space="preserve">  OCA Exc. at 4.  Expressing appreciation for the efforts of the ALJs to recognize the uncommon and unfortunate circumstances of the COVID-19 pandemic, the OCA submits that these issues were at the forefront of consideration during settlement negotiations.  According to </w:t>
      </w:r>
      <w:r w:rsidR="001A5916" w:rsidRPr="006A631A">
        <w:rPr>
          <w:rFonts w:eastAsiaTheme="minorHAnsi"/>
          <w:sz w:val="26"/>
          <w:szCs w:val="26"/>
        </w:rPr>
        <w:t xml:space="preserve">the </w:t>
      </w:r>
      <w:r w:rsidR="002E5537" w:rsidRPr="006A631A">
        <w:rPr>
          <w:rFonts w:eastAsiaTheme="minorHAnsi"/>
          <w:sz w:val="26"/>
          <w:szCs w:val="26"/>
        </w:rPr>
        <w:t xml:space="preserve">OCA, the Settlement provisions address the current circumstances by limiting and phasing the rate increase, maintaining the customer charge level, developing a COVID Relief plan, and improving the delivery of service to low income customers.  </w:t>
      </w:r>
      <w:r w:rsidR="002E5537" w:rsidRPr="006A631A">
        <w:rPr>
          <w:rFonts w:eastAsiaTheme="minorHAnsi"/>
          <w:i/>
          <w:iCs/>
          <w:sz w:val="26"/>
          <w:szCs w:val="26"/>
        </w:rPr>
        <w:t>Id.</w:t>
      </w:r>
    </w:p>
    <w:p w14:paraId="452268B6" w14:textId="5417E628" w:rsidR="002E5537" w:rsidRPr="006A631A" w:rsidRDefault="002E5537" w:rsidP="00F510B9">
      <w:pPr>
        <w:widowControl/>
        <w:spacing w:line="360" w:lineRule="auto"/>
        <w:ind w:firstLine="1440"/>
        <w:contextualSpacing/>
        <w:rPr>
          <w:rFonts w:eastAsiaTheme="minorHAnsi"/>
          <w:sz w:val="26"/>
          <w:szCs w:val="26"/>
        </w:rPr>
      </w:pPr>
    </w:p>
    <w:p w14:paraId="33E576C8" w14:textId="08F1D72F" w:rsidR="002E5537" w:rsidRPr="006A631A" w:rsidRDefault="002E5537" w:rsidP="00F510B9">
      <w:pPr>
        <w:widowControl/>
        <w:spacing w:line="360" w:lineRule="auto"/>
        <w:ind w:firstLine="1440"/>
        <w:contextualSpacing/>
        <w:rPr>
          <w:rFonts w:eastAsiaTheme="minorHAnsi"/>
          <w:sz w:val="26"/>
          <w:szCs w:val="26"/>
        </w:rPr>
      </w:pPr>
      <w:r w:rsidRPr="006A631A">
        <w:rPr>
          <w:rFonts w:eastAsiaTheme="minorHAnsi"/>
          <w:sz w:val="26"/>
          <w:szCs w:val="26"/>
        </w:rPr>
        <w:t xml:space="preserve">The OCA </w:t>
      </w:r>
      <w:r w:rsidR="008C35C8" w:rsidRPr="006A631A">
        <w:rPr>
          <w:rFonts w:eastAsiaTheme="minorHAnsi"/>
          <w:sz w:val="26"/>
          <w:szCs w:val="26"/>
        </w:rPr>
        <w:t>specifically</w:t>
      </w:r>
      <w:r w:rsidRPr="006A631A">
        <w:rPr>
          <w:rFonts w:eastAsiaTheme="minorHAnsi"/>
          <w:sz w:val="26"/>
          <w:szCs w:val="26"/>
        </w:rPr>
        <w:t xml:space="preserve"> notes the ALJs’ acknowledgement that there is evidence that PGW will require a rate increase to operate, maintain, and improve its infrastructure.  The OCA </w:t>
      </w:r>
      <w:r w:rsidR="008C35C8" w:rsidRPr="006A631A">
        <w:rPr>
          <w:rFonts w:eastAsiaTheme="minorHAnsi"/>
          <w:sz w:val="26"/>
          <w:szCs w:val="26"/>
        </w:rPr>
        <w:t xml:space="preserve">next </w:t>
      </w:r>
      <w:r w:rsidRPr="006A631A">
        <w:rPr>
          <w:rFonts w:eastAsiaTheme="minorHAnsi"/>
          <w:sz w:val="26"/>
          <w:szCs w:val="26"/>
        </w:rPr>
        <w:t xml:space="preserve">points out that it approached the case with the </w:t>
      </w:r>
      <w:r w:rsidR="00D27078" w:rsidRPr="006A631A">
        <w:rPr>
          <w:rFonts w:eastAsiaTheme="minorHAnsi"/>
          <w:sz w:val="26"/>
          <w:szCs w:val="26"/>
        </w:rPr>
        <w:t>impact of this unusual health crisis in mind and, thus, negotiated for the delayed and phased-in rate increase schedule</w:t>
      </w:r>
      <w:r w:rsidR="008C35C8" w:rsidRPr="006A631A">
        <w:rPr>
          <w:rFonts w:eastAsiaTheme="minorHAnsi"/>
          <w:sz w:val="26"/>
          <w:szCs w:val="26"/>
        </w:rPr>
        <w:t xml:space="preserve"> embodied in the Partial Settlement</w:t>
      </w:r>
      <w:r w:rsidR="00D27078" w:rsidRPr="006A631A">
        <w:rPr>
          <w:rFonts w:eastAsiaTheme="minorHAnsi"/>
          <w:sz w:val="26"/>
          <w:szCs w:val="26"/>
        </w:rPr>
        <w:t>.  OCA Exc. at 4-5.</w:t>
      </w:r>
    </w:p>
    <w:p w14:paraId="40D8D7C1" w14:textId="77777777" w:rsidR="0034663D" w:rsidRPr="006A631A" w:rsidRDefault="0034663D" w:rsidP="00F510B9">
      <w:pPr>
        <w:widowControl/>
        <w:spacing w:line="360" w:lineRule="auto"/>
        <w:ind w:firstLine="1440"/>
        <w:contextualSpacing/>
        <w:rPr>
          <w:rFonts w:eastAsiaTheme="minorHAnsi"/>
          <w:sz w:val="26"/>
          <w:szCs w:val="26"/>
        </w:rPr>
      </w:pPr>
    </w:p>
    <w:p w14:paraId="68051A4C" w14:textId="436F2616" w:rsidR="00D27078" w:rsidRPr="006A631A" w:rsidRDefault="00D27078" w:rsidP="00F510B9">
      <w:pPr>
        <w:widowControl/>
        <w:spacing w:line="360" w:lineRule="auto"/>
        <w:ind w:firstLine="1440"/>
        <w:contextualSpacing/>
        <w:rPr>
          <w:rFonts w:eastAsiaTheme="minorHAnsi"/>
          <w:sz w:val="26"/>
          <w:szCs w:val="26"/>
        </w:rPr>
      </w:pPr>
      <w:r w:rsidRPr="006A631A">
        <w:rPr>
          <w:rFonts w:eastAsiaTheme="minorHAnsi"/>
          <w:sz w:val="26"/>
          <w:szCs w:val="26"/>
        </w:rPr>
        <w:t xml:space="preserve">The OCA </w:t>
      </w:r>
      <w:r w:rsidR="0026499B" w:rsidRPr="006A631A">
        <w:rPr>
          <w:rFonts w:eastAsiaTheme="minorHAnsi"/>
          <w:sz w:val="26"/>
          <w:szCs w:val="26"/>
        </w:rPr>
        <w:t xml:space="preserve">next </w:t>
      </w:r>
      <w:r w:rsidRPr="006A631A">
        <w:rPr>
          <w:rFonts w:eastAsiaTheme="minorHAnsi"/>
          <w:sz w:val="26"/>
          <w:szCs w:val="26"/>
        </w:rPr>
        <w:t xml:space="preserve">emphasizes two important facts that the ALJs may not have thoroughly considered in making their recommendations.  First, PGW is a municipal entity operating on a cash-flow basis, without the backstop of shareholders to support or buttress revenues should its financial situation become more challenging in the coming </w:t>
      </w:r>
      <w:r w:rsidRPr="006A631A">
        <w:rPr>
          <w:rFonts w:eastAsiaTheme="minorHAnsi"/>
          <w:sz w:val="26"/>
          <w:szCs w:val="26"/>
        </w:rPr>
        <w:lastRenderedPageBreak/>
        <w:t xml:space="preserve">months.  </w:t>
      </w:r>
      <w:r w:rsidR="000C4D35" w:rsidRPr="006A631A">
        <w:rPr>
          <w:rFonts w:eastAsiaTheme="minorHAnsi"/>
          <w:sz w:val="26"/>
          <w:szCs w:val="26"/>
        </w:rPr>
        <w:t>According to the OCA, t</w:t>
      </w:r>
      <w:r w:rsidRPr="006A631A">
        <w:rPr>
          <w:rFonts w:eastAsiaTheme="minorHAnsi"/>
          <w:sz w:val="26"/>
          <w:szCs w:val="26"/>
        </w:rPr>
        <w:t xml:space="preserve">he Joint Petitioners recognized this fact in agreeing that a $10 million rate increase could go into effect </w:t>
      </w:r>
      <w:r w:rsidR="00290771" w:rsidRPr="006A631A">
        <w:rPr>
          <w:rFonts w:eastAsiaTheme="minorHAnsi"/>
          <w:sz w:val="26"/>
          <w:szCs w:val="26"/>
        </w:rPr>
        <w:t>i</w:t>
      </w:r>
      <w:r w:rsidRPr="006A631A">
        <w:rPr>
          <w:rFonts w:eastAsiaTheme="minorHAnsi"/>
          <w:sz w:val="26"/>
          <w:szCs w:val="26"/>
        </w:rPr>
        <w:t xml:space="preserve">n January 2021.  OCA Exc. at 5.  </w:t>
      </w:r>
    </w:p>
    <w:p w14:paraId="44A41805" w14:textId="77777777" w:rsidR="008C35C8" w:rsidRPr="006A631A" w:rsidRDefault="008C35C8" w:rsidP="00F510B9">
      <w:pPr>
        <w:widowControl/>
        <w:spacing w:line="360" w:lineRule="auto"/>
        <w:ind w:firstLine="1440"/>
        <w:contextualSpacing/>
        <w:rPr>
          <w:rFonts w:eastAsiaTheme="minorHAnsi"/>
          <w:sz w:val="26"/>
          <w:szCs w:val="26"/>
        </w:rPr>
      </w:pPr>
    </w:p>
    <w:p w14:paraId="177A9406" w14:textId="61589A9D" w:rsidR="002C06BE" w:rsidRPr="006A631A" w:rsidRDefault="00D27078" w:rsidP="00F510B9">
      <w:pPr>
        <w:widowControl/>
        <w:spacing w:line="360" w:lineRule="auto"/>
        <w:ind w:firstLine="1440"/>
        <w:contextualSpacing/>
        <w:rPr>
          <w:rFonts w:eastAsiaTheme="minorHAnsi"/>
          <w:sz w:val="26"/>
          <w:szCs w:val="26"/>
        </w:rPr>
      </w:pPr>
      <w:r w:rsidRPr="006A631A">
        <w:rPr>
          <w:rFonts w:eastAsiaTheme="minorHAnsi"/>
          <w:sz w:val="26"/>
          <w:szCs w:val="26"/>
        </w:rPr>
        <w:t xml:space="preserve">Second, PGW is a natural gas utility with the bulk of its revenues produced during the winter heating season.  PGW’s as-filed rate case would have had new rates go into effect on December 4, 2020.  The balance achieved in the Partial Settlement </w:t>
      </w:r>
      <w:r w:rsidR="002C06BE" w:rsidRPr="006A631A">
        <w:rPr>
          <w:rFonts w:eastAsiaTheme="minorHAnsi"/>
          <w:sz w:val="26"/>
          <w:szCs w:val="26"/>
        </w:rPr>
        <w:t xml:space="preserve">calls for only a slight increase to rates commencing </w:t>
      </w:r>
      <w:r w:rsidR="008C35C8" w:rsidRPr="006A631A">
        <w:rPr>
          <w:rFonts w:eastAsiaTheme="minorHAnsi"/>
          <w:sz w:val="26"/>
          <w:szCs w:val="26"/>
        </w:rPr>
        <w:t>beyond the end of the statutory suspension period to</w:t>
      </w:r>
      <w:r w:rsidR="002C06BE" w:rsidRPr="006A631A">
        <w:rPr>
          <w:rFonts w:eastAsiaTheme="minorHAnsi"/>
          <w:sz w:val="26"/>
          <w:szCs w:val="26"/>
        </w:rPr>
        <w:t xml:space="preserve"> January 2021, but does not delay rate relief beyond the winter heating season – </w:t>
      </w:r>
      <w:r w:rsidR="008C35C8" w:rsidRPr="006A631A">
        <w:rPr>
          <w:rFonts w:eastAsiaTheme="minorHAnsi"/>
          <w:sz w:val="26"/>
          <w:szCs w:val="26"/>
        </w:rPr>
        <w:t xml:space="preserve">to </w:t>
      </w:r>
      <w:r w:rsidR="002C06BE" w:rsidRPr="006A631A">
        <w:rPr>
          <w:rFonts w:eastAsiaTheme="minorHAnsi"/>
          <w:sz w:val="26"/>
          <w:szCs w:val="26"/>
        </w:rPr>
        <w:t>a</w:t>
      </w:r>
      <w:r w:rsidR="008C35C8" w:rsidRPr="006A631A">
        <w:rPr>
          <w:rFonts w:eastAsiaTheme="minorHAnsi"/>
          <w:sz w:val="26"/>
          <w:szCs w:val="26"/>
        </w:rPr>
        <w:t>void a</w:t>
      </w:r>
      <w:r w:rsidR="002C06BE" w:rsidRPr="006A631A">
        <w:rPr>
          <w:rFonts w:eastAsiaTheme="minorHAnsi"/>
          <w:sz w:val="26"/>
          <w:szCs w:val="26"/>
        </w:rPr>
        <w:t xml:space="preserve"> potentially precarious financial scenario for PGW.  The </w:t>
      </w:r>
      <w:r w:rsidR="008C35C8" w:rsidRPr="006A631A">
        <w:rPr>
          <w:rFonts w:eastAsiaTheme="minorHAnsi"/>
          <w:sz w:val="26"/>
          <w:szCs w:val="26"/>
        </w:rPr>
        <w:t xml:space="preserve">rate increase </w:t>
      </w:r>
      <w:r w:rsidR="002C06BE" w:rsidRPr="006A631A">
        <w:rPr>
          <w:rFonts w:eastAsiaTheme="minorHAnsi"/>
          <w:sz w:val="26"/>
          <w:szCs w:val="26"/>
        </w:rPr>
        <w:t>phasing delays recommended by the ALJs, would do otherwise.  In the OCA’s view, it is not in any stakeholder</w:t>
      </w:r>
      <w:r w:rsidR="008A1114" w:rsidRPr="006A631A">
        <w:rPr>
          <w:rFonts w:eastAsiaTheme="minorHAnsi"/>
          <w:sz w:val="26"/>
          <w:szCs w:val="26"/>
        </w:rPr>
        <w:t>’</w:t>
      </w:r>
      <w:r w:rsidR="002C06BE" w:rsidRPr="006A631A">
        <w:rPr>
          <w:rFonts w:eastAsiaTheme="minorHAnsi"/>
          <w:sz w:val="26"/>
          <w:szCs w:val="26"/>
        </w:rPr>
        <w:t xml:space="preserve">s interests to place PGW in a situation where it could potentially need to seek emergency rate relief on the heels of a base rate case based on the uncertainty created by the COVID-19 pandemic.  OCA Exc. at 5-6.  </w:t>
      </w:r>
    </w:p>
    <w:p w14:paraId="52C9B41A" w14:textId="77777777" w:rsidR="002C06BE" w:rsidRPr="006A631A" w:rsidRDefault="002C06BE" w:rsidP="00F510B9">
      <w:pPr>
        <w:widowControl/>
        <w:spacing w:line="360" w:lineRule="auto"/>
        <w:ind w:firstLine="1440"/>
        <w:contextualSpacing/>
        <w:rPr>
          <w:rFonts w:eastAsiaTheme="minorHAnsi"/>
          <w:sz w:val="26"/>
          <w:szCs w:val="26"/>
        </w:rPr>
      </w:pPr>
    </w:p>
    <w:p w14:paraId="791EAE47" w14:textId="56E4A35B" w:rsidR="00D27078" w:rsidRPr="006A631A" w:rsidRDefault="002C06BE" w:rsidP="00F510B9">
      <w:pPr>
        <w:widowControl/>
        <w:spacing w:line="360" w:lineRule="auto"/>
        <w:ind w:firstLine="1440"/>
        <w:contextualSpacing/>
        <w:rPr>
          <w:rFonts w:eastAsiaTheme="minorHAnsi"/>
          <w:sz w:val="26"/>
          <w:szCs w:val="26"/>
        </w:rPr>
      </w:pPr>
      <w:r w:rsidRPr="006A631A">
        <w:rPr>
          <w:rFonts w:eastAsiaTheme="minorHAnsi"/>
          <w:sz w:val="26"/>
          <w:szCs w:val="26"/>
        </w:rPr>
        <w:t xml:space="preserve">The OCA </w:t>
      </w:r>
      <w:r w:rsidR="008C35C8" w:rsidRPr="006A631A">
        <w:rPr>
          <w:rFonts w:eastAsiaTheme="minorHAnsi"/>
          <w:sz w:val="26"/>
          <w:szCs w:val="26"/>
        </w:rPr>
        <w:t xml:space="preserve">next explains </w:t>
      </w:r>
      <w:r w:rsidRPr="006A631A">
        <w:rPr>
          <w:rFonts w:eastAsiaTheme="minorHAnsi"/>
          <w:sz w:val="26"/>
          <w:szCs w:val="26"/>
        </w:rPr>
        <w:t xml:space="preserve">the </w:t>
      </w:r>
      <w:r w:rsidR="008C35C8" w:rsidRPr="006A631A">
        <w:rPr>
          <w:rFonts w:eastAsiaTheme="minorHAnsi"/>
          <w:sz w:val="26"/>
          <w:szCs w:val="26"/>
        </w:rPr>
        <w:t xml:space="preserve">significant </w:t>
      </w:r>
      <w:r w:rsidRPr="006A631A">
        <w:rPr>
          <w:rFonts w:eastAsiaTheme="minorHAnsi"/>
          <w:sz w:val="26"/>
          <w:szCs w:val="26"/>
        </w:rPr>
        <w:t xml:space="preserve">benefits of the COVID-19 Relief Plan, acknowledging that it was developed to help many struggling customers.  It provides that PGW will apply GCR Pipeline Refunds towards a one-time $300 per eligible customer credit </w:t>
      </w:r>
      <w:r w:rsidR="00904FE6" w:rsidRPr="006A631A">
        <w:rPr>
          <w:rFonts w:eastAsiaTheme="minorHAnsi"/>
          <w:sz w:val="26"/>
          <w:szCs w:val="26"/>
        </w:rPr>
        <w:t>on the PGW gas bill (C19RP credit).</w:t>
      </w:r>
      <w:r w:rsidR="00904FE6" w:rsidRPr="006A631A">
        <w:rPr>
          <w:rStyle w:val="FootnoteReference"/>
          <w:rFonts w:eastAsiaTheme="minorHAnsi"/>
          <w:sz w:val="26"/>
          <w:szCs w:val="26"/>
        </w:rPr>
        <w:footnoteReference w:id="18"/>
      </w:r>
      <w:r w:rsidR="00904FE6" w:rsidRPr="006A631A">
        <w:rPr>
          <w:rFonts w:eastAsiaTheme="minorHAnsi"/>
          <w:sz w:val="26"/>
          <w:szCs w:val="26"/>
        </w:rPr>
        <w:t xml:space="preserve">  The $300 C19RP credit will be distributed up to a total of $2 million, or to 6,600 customers, on a “first-come-first-serve” basis to eligible customers, as that term is defined in the Settlement.  The C19RP credit will roll over to the eligible customer’s subsequent PGW gas bill until exhausted.</w:t>
      </w:r>
      <w:r w:rsidR="00904FE6" w:rsidRPr="006A631A">
        <w:rPr>
          <w:rStyle w:val="FootnoteReference"/>
          <w:rFonts w:eastAsiaTheme="minorHAnsi"/>
          <w:sz w:val="26"/>
          <w:szCs w:val="26"/>
        </w:rPr>
        <w:footnoteReference w:id="19"/>
      </w:r>
      <w:r w:rsidR="00904FE6" w:rsidRPr="006A631A">
        <w:rPr>
          <w:rFonts w:eastAsiaTheme="minorHAnsi"/>
          <w:sz w:val="26"/>
          <w:szCs w:val="26"/>
        </w:rPr>
        <w:t xml:space="preserve">  Furthermore, in addition to the C19RP credit, the Partial Settlement also includes beneficial provisions for the suspension of PUC-related collection efforts and waivers of late and reconnection fees to eligible customers.</w:t>
      </w:r>
      <w:r w:rsidR="00904FE6" w:rsidRPr="006A631A">
        <w:rPr>
          <w:rStyle w:val="FootnoteReference"/>
          <w:rFonts w:eastAsiaTheme="minorHAnsi"/>
          <w:sz w:val="26"/>
          <w:szCs w:val="26"/>
        </w:rPr>
        <w:footnoteReference w:id="20"/>
      </w:r>
      <w:r w:rsidR="00904FE6" w:rsidRPr="006A631A">
        <w:rPr>
          <w:rFonts w:eastAsiaTheme="minorHAnsi"/>
          <w:sz w:val="26"/>
          <w:szCs w:val="26"/>
        </w:rPr>
        <w:t xml:space="preserve">  OCA Exc. at 6.</w:t>
      </w:r>
    </w:p>
    <w:p w14:paraId="2A4E6B03" w14:textId="22EFF08D" w:rsidR="00904FE6" w:rsidRPr="006A631A" w:rsidRDefault="00904FE6" w:rsidP="00F510B9">
      <w:pPr>
        <w:widowControl/>
        <w:spacing w:line="360" w:lineRule="auto"/>
        <w:ind w:firstLine="1440"/>
        <w:contextualSpacing/>
        <w:rPr>
          <w:rFonts w:eastAsiaTheme="minorHAnsi"/>
          <w:sz w:val="26"/>
          <w:szCs w:val="26"/>
        </w:rPr>
      </w:pPr>
    </w:p>
    <w:p w14:paraId="6105B563" w14:textId="65272CDC" w:rsidR="00C451C0" w:rsidRPr="006A631A" w:rsidRDefault="008C35C8" w:rsidP="00F510B9">
      <w:pPr>
        <w:widowControl/>
        <w:kinsoku w:val="0"/>
        <w:overflowPunct w:val="0"/>
        <w:spacing w:line="360" w:lineRule="auto"/>
        <w:ind w:firstLine="1440"/>
        <w:textAlignment w:val="baseline"/>
        <w:rPr>
          <w:i/>
          <w:iCs/>
          <w:sz w:val="26"/>
          <w:szCs w:val="26"/>
        </w:rPr>
      </w:pPr>
      <w:r w:rsidRPr="006A631A">
        <w:rPr>
          <w:rFonts w:eastAsiaTheme="minorHAnsi"/>
          <w:sz w:val="26"/>
          <w:szCs w:val="26"/>
        </w:rPr>
        <w:lastRenderedPageBreak/>
        <w:t>The OCA points to the further protections for low-income customers agreed to in the Partial Settlement, including the fact that customers who may be otherwise eligible for PGW’s Customer Responsibility Program (CRP) will be encouraged to apply for CRP.</w:t>
      </w:r>
      <w:r w:rsidRPr="006A631A">
        <w:rPr>
          <w:rStyle w:val="FootnoteReference"/>
          <w:rFonts w:eastAsiaTheme="minorHAnsi"/>
          <w:sz w:val="26"/>
          <w:szCs w:val="26"/>
        </w:rPr>
        <w:footnoteReference w:id="21"/>
      </w:r>
      <w:r w:rsidR="005638E1" w:rsidRPr="006A631A">
        <w:rPr>
          <w:rFonts w:eastAsiaTheme="minorHAnsi"/>
          <w:sz w:val="26"/>
          <w:szCs w:val="26"/>
        </w:rPr>
        <w:t xml:space="preserve">  Another benefit negotiated in the Partial Settlement is that, </w:t>
      </w:r>
      <w:r w:rsidR="005638E1" w:rsidRPr="006A631A">
        <w:rPr>
          <w:sz w:val="26"/>
          <w:szCs w:val="26"/>
        </w:rPr>
        <w:t xml:space="preserve">if a C19RP-eligible customer is not eligible for CRP, any remaining current applicable balance that customer may have will be eligible for a long-term deferred payment arrangement (including the suspended amount) of no less than </w:t>
      </w:r>
      <w:r w:rsidR="001A5916" w:rsidRPr="006A631A">
        <w:rPr>
          <w:sz w:val="26"/>
          <w:szCs w:val="26"/>
        </w:rPr>
        <w:t>twelve</w:t>
      </w:r>
      <w:r w:rsidR="005638E1" w:rsidRPr="006A631A">
        <w:rPr>
          <w:sz w:val="26"/>
          <w:szCs w:val="26"/>
        </w:rPr>
        <w:t xml:space="preserve"> months, even if the customer has a prior PGW payment arrangement and/or Commission-authorized payment arrangement.</w:t>
      </w:r>
      <w:r w:rsidR="005638E1" w:rsidRPr="006A631A">
        <w:rPr>
          <w:rStyle w:val="FootnoteReference"/>
          <w:sz w:val="26"/>
          <w:szCs w:val="26"/>
        </w:rPr>
        <w:footnoteReference w:id="22"/>
      </w:r>
      <w:r w:rsidR="005638E1" w:rsidRPr="006A631A">
        <w:rPr>
          <w:sz w:val="26"/>
          <w:szCs w:val="26"/>
        </w:rPr>
        <w:t xml:space="preserve">  Moreover, the C19RP payment arrangement will not be considered regarding future payment arrangement eligibility and the Partial Settlement specifically provides that customers who receive C19RP payment agreements do not waive their right to also obtain a Commission-authorized payment agreement under Section 1405 of the Code.</w:t>
      </w:r>
      <w:r w:rsidR="005638E1" w:rsidRPr="006A631A">
        <w:rPr>
          <w:rStyle w:val="FootnoteReference"/>
          <w:sz w:val="26"/>
          <w:szCs w:val="26"/>
        </w:rPr>
        <w:footnoteReference w:id="23"/>
      </w:r>
      <w:r w:rsidR="00C451C0" w:rsidRPr="006A631A">
        <w:rPr>
          <w:sz w:val="26"/>
          <w:szCs w:val="26"/>
        </w:rPr>
        <w:t xml:space="preserve">  Lastly, the OCA points out that, under C19RP, if by March 1, 2021, the PUC’s Emergency Order has not ended, PGW agrees to meet with the </w:t>
      </w:r>
      <w:r w:rsidR="00C76330" w:rsidRPr="006A631A">
        <w:rPr>
          <w:sz w:val="26"/>
          <w:szCs w:val="26"/>
        </w:rPr>
        <w:t>P</w:t>
      </w:r>
      <w:r w:rsidR="00C451C0" w:rsidRPr="006A631A">
        <w:rPr>
          <w:sz w:val="26"/>
          <w:szCs w:val="26"/>
        </w:rPr>
        <w:t>arties by no later than March 5, 2021, to discuss a possible extension of the customer benefits contained in the C19RP.</w:t>
      </w:r>
      <w:r w:rsidR="00C451C0" w:rsidRPr="006A631A">
        <w:rPr>
          <w:rStyle w:val="FootnoteReference"/>
          <w:sz w:val="26"/>
          <w:szCs w:val="26"/>
        </w:rPr>
        <w:footnoteReference w:id="24"/>
      </w:r>
      <w:r w:rsidR="00C451C0" w:rsidRPr="006A631A">
        <w:rPr>
          <w:sz w:val="26"/>
          <w:szCs w:val="26"/>
        </w:rPr>
        <w:t xml:space="preserve">  OCA Exc. at 7.  The OCA submits that these settlement terms are in the public interest because they ensure that eligible customers are informed of the CRP program and encouraged to apply, the CRP and C19RP programs do not conflict and PGW is prepared to work with customers in order to better suit the customers’ needs.  </w:t>
      </w:r>
      <w:r w:rsidR="00C451C0" w:rsidRPr="006A631A">
        <w:rPr>
          <w:i/>
          <w:iCs/>
          <w:sz w:val="26"/>
          <w:szCs w:val="26"/>
        </w:rPr>
        <w:t>Id.</w:t>
      </w:r>
    </w:p>
    <w:p w14:paraId="2AF0F061" w14:textId="77777777" w:rsidR="001C1AC3" w:rsidRPr="006A631A" w:rsidRDefault="001C1AC3" w:rsidP="00F510B9">
      <w:pPr>
        <w:widowControl/>
        <w:kinsoku w:val="0"/>
        <w:overflowPunct w:val="0"/>
        <w:spacing w:line="360" w:lineRule="auto"/>
        <w:ind w:firstLine="1440"/>
        <w:textAlignment w:val="baseline"/>
        <w:rPr>
          <w:i/>
          <w:iCs/>
          <w:sz w:val="26"/>
          <w:szCs w:val="26"/>
        </w:rPr>
      </w:pPr>
    </w:p>
    <w:p w14:paraId="40F08B22" w14:textId="2B09FD2C" w:rsidR="00C451C0" w:rsidRPr="006A631A" w:rsidRDefault="00C451C0" w:rsidP="00F510B9">
      <w:pPr>
        <w:widowControl/>
        <w:kinsoku w:val="0"/>
        <w:overflowPunct w:val="0"/>
        <w:spacing w:line="360" w:lineRule="auto"/>
        <w:ind w:firstLine="1440"/>
        <w:textAlignment w:val="baseline"/>
        <w:rPr>
          <w:sz w:val="26"/>
          <w:szCs w:val="26"/>
        </w:rPr>
      </w:pPr>
      <w:r w:rsidRPr="006A631A">
        <w:rPr>
          <w:sz w:val="26"/>
          <w:szCs w:val="26"/>
        </w:rPr>
        <w:t xml:space="preserve">The OCA concludes by noting that the various provisions of the </w:t>
      </w:r>
      <w:r w:rsidR="00E6349A" w:rsidRPr="006A631A">
        <w:rPr>
          <w:sz w:val="26"/>
          <w:szCs w:val="26"/>
        </w:rPr>
        <w:t>S</w:t>
      </w:r>
      <w:r w:rsidRPr="006A631A">
        <w:rPr>
          <w:sz w:val="26"/>
          <w:szCs w:val="26"/>
        </w:rPr>
        <w:t xml:space="preserve">ettlement are interrelated and designed to address the unique circumstances of PGW as a municipal entity regulated on a cash flow basis and the realities of the COVID-19 pandemic.  OCA Exc. at 7.  The OCA submits that the Partial Settlement achieves the appropriate balance </w:t>
      </w:r>
      <w:r w:rsidRPr="006A631A">
        <w:rPr>
          <w:sz w:val="26"/>
          <w:szCs w:val="26"/>
        </w:rPr>
        <w:lastRenderedPageBreak/>
        <w:t>and is in the public interest and requests that the Commission approve it as such. OCA Exc. at 4, 7-8.</w:t>
      </w:r>
    </w:p>
    <w:p w14:paraId="69EC1781" w14:textId="2E6594C3" w:rsidR="00904FE6" w:rsidRPr="006A631A" w:rsidRDefault="00904FE6" w:rsidP="00F510B9">
      <w:pPr>
        <w:widowControl/>
        <w:spacing w:line="360" w:lineRule="auto"/>
        <w:ind w:firstLine="1440"/>
        <w:contextualSpacing/>
        <w:rPr>
          <w:rFonts w:eastAsiaTheme="minorHAnsi"/>
          <w:sz w:val="26"/>
          <w:szCs w:val="26"/>
        </w:rPr>
      </w:pPr>
    </w:p>
    <w:p w14:paraId="0A08CC7E" w14:textId="36005DFF" w:rsidR="00727A20" w:rsidRPr="006A631A" w:rsidRDefault="00727A20" w:rsidP="00FD57EE">
      <w:pPr>
        <w:pStyle w:val="Heading4"/>
        <w:rPr>
          <w:rFonts w:eastAsiaTheme="minorHAnsi"/>
        </w:rPr>
      </w:pPr>
      <w:bookmarkStart w:id="41" w:name="_Toc55888192"/>
      <w:r w:rsidRPr="006A631A">
        <w:rPr>
          <w:rFonts w:eastAsiaTheme="minorHAnsi"/>
        </w:rPr>
        <w:t>I&amp;E Exceptions</w:t>
      </w:r>
      <w:bookmarkEnd w:id="41"/>
    </w:p>
    <w:p w14:paraId="4722D1D5" w14:textId="77777777" w:rsidR="00727A20" w:rsidRPr="006A631A" w:rsidRDefault="00727A20" w:rsidP="00F510B9">
      <w:pPr>
        <w:keepNext/>
        <w:keepLines/>
        <w:widowControl/>
        <w:spacing w:line="360" w:lineRule="auto"/>
        <w:ind w:firstLine="1440"/>
        <w:contextualSpacing/>
        <w:rPr>
          <w:rFonts w:eastAsiaTheme="minorHAnsi"/>
          <w:b/>
          <w:bCs/>
          <w:sz w:val="26"/>
          <w:szCs w:val="26"/>
        </w:rPr>
      </w:pPr>
    </w:p>
    <w:p w14:paraId="49AAAE7E" w14:textId="7F10BA5D" w:rsidR="002E5537" w:rsidRPr="006A631A" w:rsidRDefault="00325F1B" w:rsidP="00F510B9">
      <w:pPr>
        <w:keepNext/>
        <w:keepLines/>
        <w:widowControl/>
        <w:spacing w:line="360" w:lineRule="auto"/>
        <w:ind w:firstLine="1440"/>
        <w:contextualSpacing/>
        <w:rPr>
          <w:rFonts w:eastAsiaTheme="minorHAnsi"/>
          <w:sz w:val="26"/>
          <w:szCs w:val="26"/>
        </w:rPr>
      </w:pPr>
      <w:r w:rsidRPr="006A631A">
        <w:rPr>
          <w:rFonts w:eastAsiaTheme="minorHAnsi"/>
          <w:sz w:val="26"/>
          <w:szCs w:val="26"/>
        </w:rPr>
        <w:t>I&amp;E excepts to the Recommended Decision on the basis that the ALJs erred by materially altering the Partial Settlement, such that it no longer reflects the compromises reached by the Joint Petitioners, violates the Code</w:t>
      </w:r>
      <w:r w:rsidR="00290771" w:rsidRPr="006A631A">
        <w:rPr>
          <w:rFonts w:eastAsiaTheme="minorHAnsi"/>
          <w:sz w:val="26"/>
          <w:szCs w:val="26"/>
        </w:rPr>
        <w:t>,</w:t>
      </w:r>
      <w:r w:rsidRPr="006A631A">
        <w:rPr>
          <w:rFonts w:eastAsiaTheme="minorHAnsi"/>
          <w:sz w:val="26"/>
          <w:szCs w:val="26"/>
        </w:rPr>
        <w:t xml:space="preserve"> and is inconsistent with Commission precedent.  I&amp;E Exc. at 3-4.  I&amp;E maintains that the Partial Settlement represents a fair, just and reasonable resolution of the proceeding, and as a Joint Petitioner, it fully supports the Partial Settlement as being in the public interest.  I&amp;E Exc. at 3.  </w:t>
      </w:r>
    </w:p>
    <w:p w14:paraId="744137DE" w14:textId="05092CAC" w:rsidR="00325F1B" w:rsidRPr="006A631A" w:rsidRDefault="00325F1B" w:rsidP="00F510B9">
      <w:pPr>
        <w:widowControl/>
        <w:spacing w:line="360" w:lineRule="auto"/>
        <w:ind w:firstLine="1440"/>
        <w:contextualSpacing/>
        <w:rPr>
          <w:rFonts w:eastAsiaTheme="minorHAnsi"/>
          <w:sz w:val="26"/>
          <w:szCs w:val="26"/>
        </w:rPr>
      </w:pPr>
    </w:p>
    <w:p w14:paraId="4C03810D" w14:textId="5D00E058" w:rsidR="00325F1B" w:rsidRPr="006A631A" w:rsidRDefault="00182A90" w:rsidP="00F510B9">
      <w:pPr>
        <w:widowControl/>
        <w:spacing w:line="360" w:lineRule="auto"/>
        <w:ind w:firstLine="1440"/>
        <w:contextualSpacing/>
        <w:rPr>
          <w:sz w:val="26"/>
          <w:szCs w:val="26"/>
        </w:rPr>
      </w:pPr>
      <w:r w:rsidRPr="006A631A">
        <w:rPr>
          <w:rFonts w:eastAsiaTheme="minorHAnsi"/>
          <w:sz w:val="26"/>
          <w:szCs w:val="26"/>
        </w:rPr>
        <w:t xml:space="preserve">I&amp;E argues that the Recommended Decision </w:t>
      </w:r>
      <w:r w:rsidRPr="006A631A">
        <w:rPr>
          <w:sz w:val="26"/>
          <w:szCs w:val="26"/>
        </w:rPr>
        <w:t xml:space="preserve">substantially alters the revenue requirement contained in the Settlement, because it pushes the three rate </w:t>
      </w:r>
      <w:r w:rsidR="00B22D69" w:rsidRPr="006A631A">
        <w:rPr>
          <w:sz w:val="26"/>
          <w:szCs w:val="26"/>
        </w:rPr>
        <w:t>increase steps</w:t>
      </w:r>
      <w:r w:rsidRPr="006A631A">
        <w:rPr>
          <w:sz w:val="26"/>
          <w:szCs w:val="26"/>
        </w:rPr>
        <w:t xml:space="preserve"> contained in the Partial Settlement out an additional six months.  I&amp;E Exc. at 4.  I&amp;E argues first that, if the recommendation is accepted, it will have a chilling effect on settlements, because the compromise framed in the Partial Settlement would not be honored.  </w:t>
      </w:r>
      <w:r w:rsidR="00F84A3C" w:rsidRPr="006A631A">
        <w:rPr>
          <w:sz w:val="26"/>
          <w:szCs w:val="26"/>
        </w:rPr>
        <w:t xml:space="preserve">I&amp;E Exc. at 4, 7-9.  </w:t>
      </w:r>
      <w:r w:rsidRPr="006A631A">
        <w:rPr>
          <w:sz w:val="26"/>
          <w:szCs w:val="26"/>
        </w:rPr>
        <w:t xml:space="preserve">I&amp;E explains that this Commission has recognized that a settlement reflects a compromise of the positions held by the </w:t>
      </w:r>
      <w:r w:rsidR="00C6497E" w:rsidRPr="006A631A">
        <w:rPr>
          <w:sz w:val="26"/>
          <w:szCs w:val="26"/>
        </w:rPr>
        <w:t>P</w:t>
      </w:r>
      <w:r w:rsidRPr="006A631A">
        <w:rPr>
          <w:sz w:val="26"/>
          <w:szCs w:val="26"/>
        </w:rPr>
        <w:t>arties and, as a result, settlements arguably promote the public interest.</w:t>
      </w:r>
      <w:r w:rsidRPr="006A631A">
        <w:rPr>
          <w:rStyle w:val="FootnoteReference"/>
          <w:sz w:val="26"/>
          <w:szCs w:val="26"/>
        </w:rPr>
        <w:footnoteReference w:id="25"/>
      </w:r>
      <w:r w:rsidR="00CA50D8" w:rsidRPr="006A631A">
        <w:rPr>
          <w:sz w:val="26"/>
          <w:szCs w:val="26"/>
        </w:rPr>
        <w:t xml:space="preserve">  I&amp;E notes that if </w:t>
      </w:r>
      <w:r w:rsidR="00C6497E" w:rsidRPr="006A631A">
        <w:rPr>
          <w:sz w:val="26"/>
          <w:szCs w:val="26"/>
        </w:rPr>
        <w:t>P</w:t>
      </w:r>
      <w:r w:rsidR="00CA50D8" w:rsidRPr="006A631A">
        <w:rPr>
          <w:sz w:val="26"/>
          <w:szCs w:val="26"/>
        </w:rPr>
        <w:t>arties cannot trust that a settlement will not be materially altered, it may make little sense to enter into a settlement agreement.  This is especially the case when most settlements contain a provision allowing a party to withdraw from the settlement in the event of</w:t>
      </w:r>
      <w:r w:rsidR="001A5916" w:rsidRPr="006A631A">
        <w:rPr>
          <w:sz w:val="26"/>
          <w:szCs w:val="26"/>
        </w:rPr>
        <w:t xml:space="preserve"> a</w:t>
      </w:r>
      <w:r w:rsidR="00CA50D8" w:rsidRPr="006A631A">
        <w:rPr>
          <w:sz w:val="26"/>
          <w:szCs w:val="26"/>
        </w:rPr>
        <w:t xml:space="preserve"> material modification.  I&amp;E Exc. at 3, 5.  </w:t>
      </w:r>
      <w:r w:rsidR="00F84A3C" w:rsidRPr="006A631A">
        <w:rPr>
          <w:sz w:val="26"/>
          <w:szCs w:val="26"/>
        </w:rPr>
        <w:t xml:space="preserve">The benefits of reduced litigation costs and resource commitment would be lost in the event parties withdraw from the settlement and proceed to full litigation.  I&amp;E Exc. at 8-9.  </w:t>
      </w:r>
    </w:p>
    <w:p w14:paraId="2B6B764E" w14:textId="1C7FD123" w:rsidR="00DC2B4F" w:rsidRPr="006A631A" w:rsidRDefault="00CA50D8" w:rsidP="00F510B9">
      <w:pPr>
        <w:widowControl/>
        <w:spacing w:line="360" w:lineRule="auto"/>
        <w:ind w:firstLine="1440"/>
        <w:contextualSpacing/>
        <w:rPr>
          <w:sz w:val="26"/>
          <w:szCs w:val="26"/>
        </w:rPr>
      </w:pPr>
      <w:r w:rsidRPr="006A631A">
        <w:rPr>
          <w:sz w:val="26"/>
          <w:szCs w:val="26"/>
        </w:rPr>
        <w:lastRenderedPageBreak/>
        <w:t xml:space="preserve">More importantly, I&amp;E states its concern that the suggested modifications to the Partial Settlement violate </w:t>
      </w:r>
      <w:r w:rsidR="00290771" w:rsidRPr="006A631A">
        <w:rPr>
          <w:sz w:val="26"/>
          <w:szCs w:val="26"/>
        </w:rPr>
        <w:t xml:space="preserve">Section 1308(d) of </w:t>
      </w:r>
      <w:r w:rsidRPr="006A631A">
        <w:rPr>
          <w:sz w:val="26"/>
          <w:szCs w:val="26"/>
        </w:rPr>
        <w:t xml:space="preserve">the Code and are inconsistent with Commission precedent.  I&amp;E Exc. at 5-6.  I&amp;E contends that the ALJs’ recommended deferral of the </w:t>
      </w:r>
      <w:proofErr w:type="gramStart"/>
      <w:r w:rsidRPr="006A631A">
        <w:rPr>
          <w:sz w:val="26"/>
          <w:szCs w:val="26"/>
        </w:rPr>
        <w:t>first rate</w:t>
      </w:r>
      <w:proofErr w:type="gramEnd"/>
      <w:r w:rsidRPr="006A631A">
        <w:rPr>
          <w:sz w:val="26"/>
          <w:szCs w:val="26"/>
        </w:rPr>
        <w:t xml:space="preserve"> increase phase to July 1, 2021 would be especially harmful to PGW because its rates are determined</w:t>
      </w:r>
      <w:r w:rsidR="00DC2B4F" w:rsidRPr="006A631A">
        <w:rPr>
          <w:sz w:val="26"/>
          <w:szCs w:val="26"/>
        </w:rPr>
        <w:t xml:space="preserve"> on a cash-flow basis and PGW does not have shareholders.  I&amp;E quotes the Commission’s Policy Statement</w:t>
      </w:r>
      <w:r w:rsidR="00DC2B4F" w:rsidRPr="006A631A">
        <w:rPr>
          <w:rStyle w:val="FootnoteReference"/>
          <w:sz w:val="26"/>
          <w:szCs w:val="26"/>
        </w:rPr>
        <w:footnoteReference w:id="26"/>
      </w:r>
      <w:r w:rsidR="00DC2B4F" w:rsidRPr="006A631A">
        <w:rPr>
          <w:sz w:val="26"/>
          <w:szCs w:val="26"/>
        </w:rPr>
        <w:t xml:space="preserve"> regarding setting PGW’s rates, as follows: </w:t>
      </w:r>
    </w:p>
    <w:p w14:paraId="0E92BC8D" w14:textId="77777777" w:rsidR="00DC2B4F" w:rsidRPr="006A631A" w:rsidRDefault="00DC2B4F" w:rsidP="00553B09">
      <w:pPr>
        <w:widowControl/>
        <w:ind w:firstLine="1440"/>
        <w:contextualSpacing/>
        <w:rPr>
          <w:sz w:val="26"/>
          <w:szCs w:val="26"/>
        </w:rPr>
      </w:pPr>
    </w:p>
    <w:p w14:paraId="717CCF3A" w14:textId="59D9CAFF" w:rsidR="00CA50D8" w:rsidRPr="006A631A" w:rsidRDefault="00DC2B4F" w:rsidP="00F510B9">
      <w:pPr>
        <w:widowControl/>
        <w:ind w:left="1440" w:right="1440"/>
        <w:contextualSpacing/>
        <w:rPr>
          <w:sz w:val="26"/>
          <w:szCs w:val="26"/>
        </w:rPr>
      </w:pPr>
      <w:r w:rsidRPr="006A631A">
        <w:rPr>
          <w:sz w:val="26"/>
          <w:szCs w:val="26"/>
        </w:rPr>
        <w:t xml:space="preserve">(b) </w:t>
      </w:r>
      <w:r w:rsidR="0034663D" w:rsidRPr="006A631A">
        <w:rPr>
          <w:sz w:val="26"/>
          <w:szCs w:val="26"/>
        </w:rPr>
        <w:tab/>
      </w:r>
      <w:r w:rsidRPr="006A631A">
        <w:rPr>
          <w:sz w:val="26"/>
          <w:szCs w:val="26"/>
        </w:rPr>
        <w:t>The Commission is obligated under law to use the cash flow methodology to determine PGW’s just and reasonable rates. Included in that requirement is the subsidiary obligation to provide revenue allowances from rates adequate to cover its reasonable and prudent operating expenses, depreciation allowances and debt service, as well as sufficient margins to meet bond coverage requirements and other internally generated funds over and above its bond coverage requirements, as the Commission deems appropriate and in the public interest for purposes such as capital improvements, retirement of debt and working capital.</w:t>
      </w:r>
    </w:p>
    <w:p w14:paraId="4467BAB5" w14:textId="5A729841" w:rsidR="00DC2B4F" w:rsidRPr="006A631A" w:rsidRDefault="00DC2B4F" w:rsidP="00553B09">
      <w:pPr>
        <w:widowControl/>
        <w:spacing w:line="360" w:lineRule="auto"/>
        <w:ind w:right="1440"/>
        <w:contextualSpacing/>
        <w:rPr>
          <w:sz w:val="26"/>
          <w:szCs w:val="26"/>
        </w:rPr>
      </w:pPr>
    </w:p>
    <w:p w14:paraId="282B7E95" w14:textId="666EB349" w:rsidR="00DC2B4F" w:rsidRPr="006A631A" w:rsidRDefault="00DC2B4F" w:rsidP="00F510B9">
      <w:pPr>
        <w:widowControl/>
        <w:spacing w:line="360" w:lineRule="auto"/>
        <w:contextualSpacing/>
        <w:rPr>
          <w:sz w:val="26"/>
          <w:szCs w:val="26"/>
        </w:rPr>
      </w:pPr>
      <w:r w:rsidRPr="006A631A">
        <w:rPr>
          <w:sz w:val="26"/>
          <w:szCs w:val="26"/>
        </w:rPr>
        <w:t xml:space="preserve">I&amp;E Exc. at 6.  </w:t>
      </w:r>
      <w:r w:rsidR="00F84A3C" w:rsidRPr="006A631A">
        <w:rPr>
          <w:sz w:val="26"/>
          <w:szCs w:val="26"/>
        </w:rPr>
        <w:t xml:space="preserve">I&amp;E </w:t>
      </w:r>
      <w:r w:rsidRPr="006A631A">
        <w:rPr>
          <w:sz w:val="26"/>
          <w:szCs w:val="26"/>
        </w:rPr>
        <w:t xml:space="preserve">asserts that the </w:t>
      </w:r>
      <w:r w:rsidR="00F84A3C" w:rsidRPr="006A631A">
        <w:rPr>
          <w:sz w:val="26"/>
          <w:szCs w:val="26"/>
        </w:rPr>
        <w:t xml:space="preserve">deferred rate increase </w:t>
      </w:r>
      <w:r w:rsidRPr="006A631A">
        <w:rPr>
          <w:sz w:val="26"/>
          <w:szCs w:val="26"/>
        </w:rPr>
        <w:t>phase-in contemplated by the Recommended Decision does not satisfy the</w:t>
      </w:r>
      <w:r w:rsidR="00F84A3C" w:rsidRPr="006A631A">
        <w:rPr>
          <w:sz w:val="26"/>
          <w:szCs w:val="26"/>
        </w:rPr>
        <w:t>se</w:t>
      </w:r>
      <w:r w:rsidRPr="006A631A">
        <w:rPr>
          <w:sz w:val="26"/>
          <w:szCs w:val="26"/>
        </w:rPr>
        <w:t xml:space="preserve"> important requirements</w:t>
      </w:r>
      <w:r w:rsidR="00F84A3C" w:rsidRPr="006A631A">
        <w:rPr>
          <w:sz w:val="26"/>
          <w:szCs w:val="26"/>
        </w:rPr>
        <w:t xml:space="preserve">.  I&amp;E observes that the Recommended Decision is internally inconsistent in that the ALJs seem to acknowledge that PGW is in need of rate relief for various reasons, but then </w:t>
      </w:r>
      <w:r w:rsidR="00290771" w:rsidRPr="006A631A">
        <w:rPr>
          <w:sz w:val="26"/>
          <w:szCs w:val="26"/>
        </w:rPr>
        <w:t xml:space="preserve">decide </w:t>
      </w:r>
      <w:r w:rsidR="00F84A3C" w:rsidRPr="006A631A">
        <w:rPr>
          <w:sz w:val="26"/>
          <w:szCs w:val="26"/>
        </w:rPr>
        <w:t xml:space="preserve">that the increase </w:t>
      </w:r>
      <w:r w:rsidR="00290771" w:rsidRPr="006A631A">
        <w:rPr>
          <w:sz w:val="26"/>
          <w:szCs w:val="26"/>
        </w:rPr>
        <w:t xml:space="preserve">contemplated </w:t>
      </w:r>
      <w:r w:rsidR="00F84A3C" w:rsidRPr="006A631A">
        <w:rPr>
          <w:sz w:val="26"/>
          <w:szCs w:val="26"/>
        </w:rPr>
        <w:t xml:space="preserve">in the </w:t>
      </w:r>
      <w:r w:rsidR="00290771" w:rsidRPr="006A631A">
        <w:rPr>
          <w:sz w:val="26"/>
          <w:szCs w:val="26"/>
        </w:rPr>
        <w:t>Partial S</w:t>
      </w:r>
      <w:r w:rsidR="00F84A3C" w:rsidRPr="006A631A">
        <w:rPr>
          <w:sz w:val="26"/>
          <w:szCs w:val="26"/>
        </w:rPr>
        <w:t xml:space="preserve">ettlement is not in the public interest and further recommend the </w:t>
      </w:r>
      <w:r w:rsidR="00290771" w:rsidRPr="006A631A">
        <w:rPr>
          <w:sz w:val="26"/>
          <w:szCs w:val="26"/>
        </w:rPr>
        <w:t>Partial S</w:t>
      </w:r>
      <w:r w:rsidR="00F84A3C" w:rsidRPr="006A631A">
        <w:rPr>
          <w:sz w:val="26"/>
          <w:szCs w:val="26"/>
        </w:rPr>
        <w:t>ettlement be approved</w:t>
      </w:r>
      <w:r w:rsidR="00290771" w:rsidRPr="006A631A">
        <w:rPr>
          <w:sz w:val="26"/>
          <w:szCs w:val="26"/>
        </w:rPr>
        <w:t>,</w:t>
      </w:r>
      <w:r w:rsidR="00F84A3C" w:rsidRPr="006A631A">
        <w:rPr>
          <w:sz w:val="26"/>
          <w:szCs w:val="26"/>
        </w:rPr>
        <w:t xml:space="preserve"> but only with </w:t>
      </w:r>
      <w:r w:rsidR="00290771" w:rsidRPr="006A631A">
        <w:rPr>
          <w:sz w:val="26"/>
          <w:szCs w:val="26"/>
        </w:rPr>
        <w:t xml:space="preserve">material </w:t>
      </w:r>
      <w:r w:rsidR="00F84A3C" w:rsidRPr="006A631A">
        <w:rPr>
          <w:sz w:val="26"/>
          <w:szCs w:val="26"/>
        </w:rPr>
        <w:t xml:space="preserve">modification. </w:t>
      </w:r>
      <w:r w:rsidR="00290771" w:rsidRPr="006A631A">
        <w:rPr>
          <w:sz w:val="26"/>
          <w:szCs w:val="26"/>
        </w:rPr>
        <w:t xml:space="preserve"> </w:t>
      </w:r>
      <w:r w:rsidR="00F84A3C" w:rsidRPr="006A631A">
        <w:rPr>
          <w:sz w:val="26"/>
          <w:szCs w:val="26"/>
        </w:rPr>
        <w:t xml:space="preserve">I&amp;E Exc. at 7.  I&amp;E contends that this internal inconsistency regarding whether a rate increase is in the public interest is, perhaps, what led to a recommendation that is, in I&amp;E’s view, neither consistent with the Code and Commission precedent, nor with sound ratemaking principles.  </w:t>
      </w:r>
      <w:r w:rsidR="00F84A3C" w:rsidRPr="006A631A">
        <w:rPr>
          <w:i/>
          <w:iCs/>
          <w:sz w:val="26"/>
          <w:szCs w:val="26"/>
        </w:rPr>
        <w:t>Id.</w:t>
      </w:r>
    </w:p>
    <w:p w14:paraId="0880343F" w14:textId="39611567" w:rsidR="00F84A3C" w:rsidRPr="006A631A" w:rsidRDefault="00F84A3C" w:rsidP="00F510B9">
      <w:pPr>
        <w:widowControl/>
        <w:spacing w:line="360" w:lineRule="auto"/>
        <w:contextualSpacing/>
        <w:rPr>
          <w:sz w:val="26"/>
          <w:szCs w:val="26"/>
        </w:rPr>
      </w:pPr>
    </w:p>
    <w:p w14:paraId="5FF79EB9" w14:textId="394C9B17" w:rsidR="00902C07" w:rsidRPr="006A631A" w:rsidRDefault="00902C07" w:rsidP="00F510B9">
      <w:pPr>
        <w:widowControl/>
        <w:spacing w:line="360" w:lineRule="auto"/>
        <w:ind w:firstLine="1440"/>
        <w:contextualSpacing/>
        <w:rPr>
          <w:sz w:val="26"/>
          <w:szCs w:val="26"/>
        </w:rPr>
      </w:pPr>
      <w:r w:rsidRPr="006A631A">
        <w:rPr>
          <w:sz w:val="26"/>
          <w:szCs w:val="26"/>
        </w:rPr>
        <w:lastRenderedPageBreak/>
        <w:t>I&amp;E next argues that the ALJs’ recommendation is inconsistent with the Code, as well as past and recent Commission precedent.  Specifically, Section 1308(d) of the Code states that by operation of law, if the Commission has not entered an Order by the end of the suspension period of a base rate case, the proposed rates will go into effect at the end of the suspension period, subject to potential refund.</w:t>
      </w:r>
      <w:r w:rsidRPr="006A631A">
        <w:rPr>
          <w:rStyle w:val="FootnoteReference"/>
          <w:sz w:val="26"/>
          <w:szCs w:val="26"/>
        </w:rPr>
        <w:footnoteReference w:id="27"/>
      </w:r>
      <w:r w:rsidRPr="006A631A">
        <w:rPr>
          <w:sz w:val="26"/>
          <w:szCs w:val="26"/>
        </w:rPr>
        <w:t xml:space="preserve">  I&amp;E cites </w:t>
      </w:r>
      <w:r w:rsidRPr="006A631A">
        <w:rPr>
          <w:i/>
          <w:iCs/>
          <w:sz w:val="26"/>
          <w:szCs w:val="26"/>
        </w:rPr>
        <w:t>Bell Telephone</w:t>
      </w:r>
      <w:r w:rsidR="008F79C2" w:rsidRPr="006A631A">
        <w:rPr>
          <w:sz w:val="26"/>
          <w:szCs w:val="26"/>
        </w:rPr>
        <w:t>,</w:t>
      </w:r>
      <w:r w:rsidRPr="006A631A">
        <w:rPr>
          <w:i/>
          <w:iCs/>
          <w:sz w:val="26"/>
          <w:szCs w:val="26"/>
        </w:rPr>
        <w:t xml:space="preserve"> </w:t>
      </w:r>
      <w:r w:rsidRPr="006A631A">
        <w:rPr>
          <w:sz w:val="26"/>
          <w:szCs w:val="26"/>
        </w:rPr>
        <w:t>wherein the Commonwealth Court held that the appropriate time for rates to go into effect was at the end of the statutorily</w:t>
      </w:r>
      <w:r w:rsidR="00CC6397" w:rsidRPr="006A631A">
        <w:rPr>
          <w:sz w:val="26"/>
          <w:szCs w:val="26"/>
        </w:rPr>
        <w:t>-</w:t>
      </w:r>
      <w:r w:rsidRPr="006A631A">
        <w:rPr>
          <w:sz w:val="26"/>
          <w:szCs w:val="26"/>
        </w:rPr>
        <w:t xml:space="preserve">proscribed suspension period and not the date of a compliance filing, and </w:t>
      </w:r>
      <w:r w:rsidR="00CC6397" w:rsidRPr="006A631A">
        <w:rPr>
          <w:sz w:val="26"/>
          <w:szCs w:val="26"/>
        </w:rPr>
        <w:t xml:space="preserve">that </w:t>
      </w:r>
      <w:r w:rsidRPr="006A631A">
        <w:rPr>
          <w:sz w:val="26"/>
          <w:szCs w:val="26"/>
        </w:rPr>
        <w:t xml:space="preserve">going beyond the statutory seven-month deadline violated Section 1308(d) of the Code.  I&amp;E also cites </w:t>
      </w:r>
      <w:r w:rsidRPr="006A631A">
        <w:rPr>
          <w:i/>
          <w:iCs/>
          <w:sz w:val="26"/>
          <w:szCs w:val="26"/>
        </w:rPr>
        <w:t>Joseph Horne</w:t>
      </w:r>
      <w:r w:rsidRPr="006A631A">
        <w:rPr>
          <w:sz w:val="26"/>
          <w:szCs w:val="26"/>
        </w:rPr>
        <w:t xml:space="preserve">, where the Pennsylvania Supreme Court affirmed </w:t>
      </w:r>
      <w:r w:rsidRPr="006A631A">
        <w:rPr>
          <w:i/>
          <w:iCs/>
          <w:sz w:val="26"/>
          <w:szCs w:val="26"/>
        </w:rPr>
        <w:t>Bell Telephone</w:t>
      </w:r>
      <w:r w:rsidRPr="006A631A">
        <w:rPr>
          <w:sz w:val="26"/>
          <w:szCs w:val="26"/>
        </w:rPr>
        <w:t>, stating that:</w:t>
      </w:r>
    </w:p>
    <w:p w14:paraId="7CA9E11D" w14:textId="77777777" w:rsidR="00586760" w:rsidRPr="006A631A" w:rsidRDefault="00586760" w:rsidP="00553B09">
      <w:pPr>
        <w:widowControl/>
        <w:ind w:firstLine="1440"/>
        <w:contextualSpacing/>
        <w:rPr>
          <w:sz w:val="26"/>
          <w:szCs w:val="26"/>
        </w:rPr>
      </w:pPr>
    </w:p>
    <w:p w14:paraId="51BBECD3" w14:textId="0F078A4E" w:rsidR="00F84A3C" w:rsidRPr="006A631A" w:rsidRDefault="00902C07" w:rsidP="00F510B9">
      <w:pPr>
        <w:widowControl/>
        <w:ind w:left="1440" w:right="1440"/>
        <w:contextualSpacing/>
        <w:rPr>
          <w:sz w:val="26"/>
          <w:szCs w:val="26"/>
        </w:rPr>
      </w:pPr>
      <w:r w:rsidRPr="006A631A">
        <w:rPr>
          <w:sz w:val="26"/>
          <w:szCs w:val="26"/>
        </w:rPr>
        <w:t>[w]e affirmed the Commonwealth Court’s holding that under Section 1308(d) the PUC may not suspend the effective date of filing of the revised tariffs when the effective date would thereby be more than nine months after the initial general rate increase filing.</w:t>
      </w:r>
      <w:r w:rsidRPr="006A631A">
        <w:rPr>
          <w:rStyle w:val="FootnoteReference"/>
          <w:sz w:val="26"/>
          <w:szCs w:val="26"/>
        </w:rPr>
        <w:footnoteReference w:id="28"/>
      </w:r>
    </w:p>
    <w:p w14:paraId="159C95D9" w14:textId="546A428C" w:rsidR="00902C07" w:rsidRPr="006A631A" w:rsidRDefault="00902C07" w:rsidP="00F510B9">
      <w:pPr>
        <w:widowControl/>
        <w:spacing w:line="360" w:lineRule="auto"/>
        <w:ind w:left="1440" w:right="1440"/>
        <w:contextualSpacing/>
        <w:rPr>
          <w:sz w:val="26"/>
          <w:szCs w:val="26"/>
        </w:rPr>
      </w:pPr>
    </w:p>
    <w:p w14:paraId="29ED1358" w14:textId="06181313" w:rsidR="00FF492E" w:rsidRPr="006A631A" w:rsidRDefault="00FF492E" w:rsidP="00F510B9">
      <w:pPr>
        <w:widowControl/>
        <w:spacing w:line="360" w:lineRule="auto"/>
        <w:ind w:firstLine="1440"/>
        <w:contextualSpacing/>
        <w:rPr>
          <w:sz w:val="26"/>
          <w:szCs w:val="26"/>
        </w:rPr>
      </w:pPr>
      <w:r w:rsidRPr="006A631A">
        <w:rPr>
          <w:sz w:val="26"/>
          <w:szCs w:val="26"/>
        </w:rPr>
        <w:t xml:space="preserve">I&amp;E explains that these cases demonstrate that the Commission does not unilaterally possess the ability to direct that a rate increase may only be implemented later than the </w:t>
      </w:r>
      <w:proofErr w:type="gramStart"/>
      <w:r w:rsidRPr="006A631A">
        <w:rPr>
          <w:sz w:val="26"/>
          <w:szCs w:val="26"/>
        </w:rPr>
        <w:t>statutorily-proscribed</w:t>
      </w:r>
      <w:proofErr w:type="gramEnd"/>
      <w:r w:rsidRPr="006A631A">
        <w:rPr>
          <w:sz w:val="26"/>
          <w:szCs w:val="26"/>
        </w:rPr>
        <w:t xml:space="preserve"> seven-month period.  Such a delay of rate effectiveness may only be effectuated upon agreement of the parties.</w:t>
      </w:r>
      <w:r w:rsidR="00640A06" w:rsidRPr="006A631A">
        <w:rPr>
          <w:sz w:val="26"/>
          <w:szCs w:val="26"/>
        </w:rPr>
        <w:t xml:space="preserve">  </w:t>
      </w:r>
      <w:r w:rsidRPr="006A631A">
        <w:rPr>
          <w:sz w:val="26"/>
          <w:szCs w:val="26"/>
        </w:rPr>
        <w:t>I&amp;E Exc. at 9.  In this instance, the Joint Petitioners have agreed that the first date upon which the first phase of new rates will become effective is January 1, 2021, a date beyond the December</w:t>
      </w:r>
      <w:r w:rsidR="00553B09">
        <w:rPr>
          <w:sz w:val="26"/>
          <w:szCs w:val="26"/>
        </w:rPr>
        <w:t> </w:t>
      </w:r>
      <w:r w:rsidRPr="006A631A">
        <w:rPr>
          <w:sz w:val="26"/>
          <w:szCs w:val="26"/>
        </w:rPr>
        <w:t xml:space="preserve">4, 2020 end of </w:t>
      </w:r>
      <w:r w:rsidR="008F79C2" w:rsidRPr="006A631A">
        <w:rPr>
          <w:sz w:val="26"/>
          <w:szCs w:val="26"/>
        </w:rPr>
        <w:t xml:space="preserve">the </w:t>
      </w:r>
      <w:r w:rsidRPr="006A631A">
        <w:rPr>
          <w:sz w:val="26"/>
          <w:szCs w:val="26"/>
        </w:rPr>
        <w:t>suspension period.  I&amp;E noted that the referenced cases stand for the proposition that the Commission is not permitted under the law to unilaterally change this date to something later than that which was agreed upon.  I&amp;E</w:t>
      </w:r>
      <w:r w:rsidR="00F77296">
        <w:rPr>
          <w:sz w:val="26"/>
          <w:szCs w:val="26"/>
        </w:rPr>
        <w:t> </w:t>
      </w:r>
      <w:r w:rsidRPr="006A631A">
        <w:rPr>
          <w:sz w:val="26"/>
          <w:szCs w:val="26"/>
        </w:rPr>
        <w:t>Exc. at 9-10.</w:t>
      </w:r>
    </w:p>
    <w:p w14:paraId="3D5A58B2" w14:textId="77777777" w:rsidR="00FF492E" w:rsidRPr="006A631A" w:rsidRDefault="00FF492E" w:rsidP="00F510B9">
      <w:pPr>
        <w:widowControl/>
        <w:spacing w:line="360" w:lineRule="auto"/>
        <w:ind w:firstLine="1440"/>
        <w:contextualSpacing/>
        <w:rPr>
          <w:sz w:val="26"/>
          <w:szCs w:val="26"/>
        </w:rPr>
      </w:pPr>
    </w:p>
    <w:p w14:paraId="7F6FCBA1" w14:textId="276DF588" w:rsidR="009E491C" w:rsidRPr="006A631A" w:rsidRDefault="00FF492E" w:rsidP="0034663D">
      <w:pPr>
        <w:widowControl/>
        <w:kinsoku w:val="0"/>
        <w:overflowPunct w:val="0"/>
        <w:spacing w:line="360" w:lineRule="auto"/>
        <w:ind w:right="72" w:firstLine="1440"/>
        <w:textAlignment w:val="baseline"/>
        <w:rPr>
          <w:sz w:val="26"/>
          <w:szCs w:val="26"/>
        </w:rPr>
      </w:pPr>
      <w:r w:rsidRPr="006A631A">
        <w:rPr>
          <w:sz w:val="26"/>
          <w:szCs w:val="26"/>
        </w:rPr>
        <w:lastRenderedPageBreak/>
        <w:t xml:space="preserve">I&amp;E continues by noting that the Commission recently recognized that it does not have this power. </w:t>
      </w:r>
      <w:r w:rsidR="009E491C" w:rsidRPr="006A631A">
        <w:rPr>
          <w:sz w:val="26"/>
          <w:szCs w:val="26"/>
        </w:rPr>
        <w:t xml:space="preserve"> In a recent base rate case</w:t>
      </w:r>
      <w:r w:rsidR="009D0EDE" w:rsidRPr="006A631A">
        <w:rPr>
          <w:sz w:val="26"/>
          <w:szCs w:val="26"/>
        </w:rPr>
        <w:t xml:space="preserve"> by Columbia Gas of Pennsylvania, Inc.</w:t>
      </w:r>
      <w:r w:rsidR="009E491C" w:rsidRPr="006A631A">
        <w:rPr>
          <w:sz w:val="26"/>
          <w:szCs w:val="26"/>
        </w:rPr>
        <w:t>, the Commission was faced with the question of whether the Governor’s Proclamation of Disaster Emergency related to COVID-19 and the Commission’s Emergency Order, permitted the Commission to alter a utility’s substantive right of a rate increase going into effect at the end of the seven-month suspension period set forth in Section 1308(d).</w:t>
      </w:r>
    </w:p>
    <w:p w14:paraId="2FDBC199" w14:textId="77777777" w:rsidR="00BE30E8" w:rsidRPr="006A631A" w:rsidRDefault="00BE30E8" w:rsidP="0034663D">
      <w:pPr>
        <w:widowControl/>
        <w:kinsoku w:val="0"/>
        <w:overflowPunct w:val="0"/>
        <w:spacing w:line="360" w:lineRule="auto"/>
        <w:ind w:right="72" w:firstLine="1440"/>
        <w:textAlignment w:val="baseline"/>
        <w:rPr>
          <w:sz w:val="26"/>
          <w:szCs w:val="26"/>
        </w:rPr>
      </w:pPr>
    </w:p>
    <w:p w14:paraId="2FBB1D5C" w14:textId="2407117E" w:rsidR="00290771" w:rsidRDefault="009E491C" w:rsidP="00F77296">
      <w:pPr>
        <w:widowControl/>
        <w:kinsoku w:val="0"/>
        <w:overflowPunct w:val="0"/>
        <w:ind w:left="720" w:firstLine="720"/>
        <w:textAlignment w:val="baseline"/>
        <w:rPr>
          <w:sz w:val="26"/>
          <w:szCs w:val="26"/>
        </w:rPr>
      </w:pPr>
      <w:r w:rsidRPr="006A631A">
        <w:rPr>
          <w:sz w:val="26"/>
          <w:szCs w:val="26"/>
        </w:rPr>
        <w:t>T</w:t>
      </w:r>
      <w:r w:rsidR="00FF492E" w:rsidRPr="006A631A">
        <w:rPr>
          <w:sz w:val="26"/>
          <w:szCs w:val="26"/>
        </w:rPr>
        <w:t>he Commission noted:</w:t>
      </w:r>
    </w:p>
    <w:p w14:paraId="3E36D5A8" w14:textId="77777777" w:rsidR="00F77296" w:rsidRPr="006A631A" w:rsidRDefault="00F77296" w:rsidP="00F77296">
      <w:pPr>
        <w:widowControl/>
        <w:kinsoku w:val="0"/>
        <w:overflowPunct w:val="0"/>
        <w:ind w:left="720" w:firstLine="720"/>
        <w:textAlignment w:val="baseline"/>
        <w:rPr>
          <w:sz w:val="26"/>
          <w:szCs w:val="26"/>
        </w:rPr>
      </w:pPr>
    </w:p>
    <w:p w14:paraId="6FB83A44" w14:textId="38622F09" w:rsidR="00FF492E" w:rsidRPr="006A631A" w:rsidRDefault="00FF492E" w:rsidP="00F510B9">
      <w:pPr>
        <w:widowControl/>
        <w:ind w:left="1440" w:right="1440"/>
        <w:contextualSpacing/>
        <w:rPr>
          <w:sz w:val="26"/>
          <w:szCs w:val="26"/>
        </w:rPr>
      </w:pPr>
      <w:r w:rsidRPr="006A631A">
        <w:rPr>
          <w:sz w:val="26"/>
          <w:szCs w:val="26"/>
        </w:rPr>
        <w:t xml:space="preserve">Because we are only authorizing the extension or suspension of </w:t>
      </w:r>
      <w:r w:rsidRPr="006A631A">
        <w:rPr>
          <w:i/>
          <w:iCs/>
          <w:sz w:val="26"/>
          <w:szCs w:val="26"/>
        </w:rPr>
        <w:t xml:space="preserve">deadlines </w:t>
      </w:r>
      <w:r w:rsidRPr="006A631A">
        <w:rPr>
          <w:sz w:val="26"/>
          <w:szCs w:val="26"/>
        </w:rPr>
        <w:t>and not of substantive rights, failure to meet the seven-month deadline would result in the proposed rates going into effect by operation of law. Therefore, we find that Columbia is entitled to the appropriate rate relief in accordance with Section 1308(d) of the Code immediately following the end of the original statutory rate suspension period, which, in this case, is January 23, 2021.</w:t>
      </w:r>
      <w:r w:rsidR="009E491C" w:rsidRPr="006A631A">
        <w:rPr>
          <w:rStyle w:val="FootnoteReference"/>
          <w:sz w:val="26"/>
          <w:szCs w:val="26"/>
        </w:rPr>
        <w:footnoteReference w:id="29"/>
      </w:r>
    </w:p>
    <w:p w14:paraId="121914DD" w14:textId="77777777" w:rsidR="00F84A3C" w:rsidRPr="006A631A" w:rsidRDefault="00F84A3C" w:rsidP="00F77296">
      <w:pPr>
        <w:widowControl/>
        <w:spacing w:line="360" w:lineRule="auto"/>
        <w:ind w:firstLine="1440"/>
        <w:contextualSpacing/>
        <w:rPr>
          <w:sz w:val="26"/>
          <w:szCs w:val="26"/>
        </w:rPr>
      </w:pPr>
    </w:p>
    <w:p w14:paraId="7947E208" w14:textId="5193C02B" w:rsidR="00DC2B4F" w:rsidRPr="006A631A" w:rsidRDefault="00A31DDF" w:rsidP="00F510B9">
      <w:pPr>
        <w:widowControl/>
        <w:spacing w:line="360" w:lineRule="auto"/>
        <w:ind w:firstLine="1440"/>
        <w:contextualSpacing/>
        <w:rPr>
          <w:sz w:val="26"/>
          <w:szCs w:val="26"/>
        </w:rPr>
      </w:pPr>
      <w:r w:rsidRPr="006A631A">
        <w:rPr>
          <w:sz w:val="26"/>
          <w:szCs w:val="26"/>
        </w:rPr>
        <w:t>I&amp;E’s position is that PGW can agree to defer by agreement the dates upon which its rates will go into effect, but the Commission has no legal authority to alter PGW’s substantive right to have the rates go into effect on those agreed-upon dates.  I&amp;E Exc. at 10-11.  Finally, I&amp;E cites to the recent UGI</w:t>
      </w:r>
      <w:r w:rsidR="000A1C3D" w:rsidRPr="006A631A">
        <w:rPr>
          <w:sz w:val="26"/>
          <w:szCs w:val="26"/>
        </w:rPr>
        <w:t xml:space="preserve"> Utilities, Inc.</w:t>
      </w:r>
      <w:r w:rsidR="00982C6E" w:rsidRPr="006A631A">
        <w:rPr>
          <w:sz w:val="26"/>
          <w:szCs w:val="26"/>
        </w:rPr>
        <w:t xml:space="preserve"> – Gas Division</w:t>
      </w:r>
      <w:r w:rsidRPr="006A631A">
        <w:rPr>
          <w:sz w:val="26"/>
          <w:szCs w:val="26"/>
        </w:rPr>
        <w:t xml:space="preserve"> base rate case settlement</w:t>
      </w:r>
      <w:r w:rsidRPr="006A631A">
        <w:rPr>
          <w:rStyle w:val="FootnoteReference"/>
          <w:sz w:val="26"/>
          <w:szCs w:val="26"/>
        </w:rPr>
        <w:footnoteReference w:id="30"/>
      </w:r>
      <w:r w:rsidRPr="006A631A">
        <w:rPr>
          <w:sz w:val="26"/>
          <w:szCs w:val="26"/>
        </w:rPr>
        <w:t xml:space="preserve"> where the Commission approved a stepped rate increase </w:t>
      </w:r>
      <w:proofErr w:type="gramStart"/>
      <w:r w:rsidRPr="006A631A">
        <w:rPr>
          <w:sz w:val="26"/>
          <w:szCs w:val="26"/>
        </w:rPr>
        <w:t>similar to</w:t>
      </w:r>
      <w:proofErr w:type="gramEnd"/>
      <w:r w:rsidRPr="006A631A">
        <w:rPr>
          <w:sz w:val="26"/>
          <w:szCs w:val="26"/>
        </w:rPr>
        <w:t xml:space="preserve"> the one proposed here.  I&amp;E observes that the Partial Settlement here is </w:t>
      </w:r>
      <w:proofErr w:type="gramStart"/>
      <w:r w:rsidRPr="006A631A">
        <w:rPr>
          <w:sz w:val="26"/>
          <w:szCs w:val="26"/>
        </w:rPr>
        <w:t>actually more</w:t>
      </w:r>
      <w:proofErr w:type="gramEnd"/>
      <w:r w:rsidRPr="006A631A">
        <w:rPr>
          <w:sz w:val="26"/>
          <w:szCs w:val="26"/>
        </w:rPr>
        <w:t xml:space="preserve"> beneficial to ratepayers in that PGW has agreed to no right to recoupment of revenues that otherwise would have been collected if the rate increase were not phased.  I&amp;E Exc. at 11.  </w:t>
      </w:r>
      <w:r w:rsidR="00CD2FA9" w:rsidRPr="006A631A">
        <w:rPr>
          <w:sz w:val="26"/>
          <w:szCs w:val="26"/>
        </w:rPr>
        <w:t>I&amp;E asserts that PGW has established that rate relief is necessary</w:t>
      </w:r>
      <w:r w:rsidR="00F77296">
        <w:rPr>
          <w:sz w:val="26"/>
          <w:szCs w:val="26"/>
        </w:rPr>
        <w:t>,</w:t>
      </w:r>
      <w:r w:rsidR="00CD2FA9" w:rsidRPr="006A631A">
        <w:rPr>
          <w:sz w:val="26"/>
          <w:szCs w:val="26"/>
        </w:rPr>
        <w:t xml:space="preserve"> and the Partial Settlement should be approved without modification.  I&amp;E Exc.at 12. </w:t>
      </w:r>
    </w:p>
    <w:p w14:paraId="474AB5B3" w14:textId="606F4293" w:rsidR="00CD2FA9" w:rsidRPr="006A631A" w:rsidRDefault="00CD2FA9" w:rsidP="00F510B9">
      <w:pPr>
        <w:widowControl/>
        <w:spacing w:line="360" w:lineRule="auto"/>
        <w:ind w:firstLine="1440"/>
        <w:contextualSpacing/>
        <w:rPr>
          <w:sz w:val="26"/>
          <w:szCs w:val="26"/>
        </w:rPr>
      </w:pPr>
      <w:r w:rsidRPr="006A631A">
        <w:rPr>
          <w:sz w:val="26"/>
          <w:szCs w:val="26"/>
        </w:rPr>
        <w:lastRenderedPageBreak/>
        <w:t xml:space="preserve">I&amp;E also excepts to the ALJs’ recommendation that PGW be ordered to meet with the Commission’s Pipeline Safety Division no later than </w:t>
      </w:r>
      <w:r w:rsidR="00AC460F" w:rsidRPr="006A631A">
        <w:rPr>
          <w:sz w:val="26"/>
          <w:szCs w:val="26"/>
        </w:rPr>
        <w:t>ninety</w:t>
      </w:r>
      <w:r w:rsidRPr="006A631A">
        <w:rPr>
          <w:sz w:val="26"/>
          <w:szCs w:val="26"/>
        </w:rPr>
        <w:t xml:space="preserve"> days after the entry of a final order and biannually through 2022 to review PGW’s increasing costs of pipeline replacement and to develop a plan to reduce pipeline replacement costs and leaks</w:t>
      </w:r>
      <w:r w:rsidR="00290771" w:rsidRPr="006A631A">
        <w:rPr>
          <w:sz w:val="26"/>
          <w:szCs w:val="26"/>
        </w:rPr>
        <w:t xml:space="preserve">.  </w:t>
      </w:r>
      <w:r w:rsidRPr="006A631A">
        <w:rPr>
          <w:sz w:val="26"/>
          <w:szCs w:val="26"/>
        </w:rPr>
        <w:t>I&amp;E argues that the Commission should uphold the compromise reached in the Partial Settlement and reject the ALJs’ suggested modification.  I&amp;E Exc. at 12-13.  I&amp;E explain</w:t>
      </w:r>
      <w:r w:rsidR="00290771" w:rsidRPr="006A631A">
        <w:rPr>
          <w:sz w:val="26"/>
          <w:szCs w:val="26"/>
        </w:rPr>
        <w:t>s</w:t>
      </w:r>
      <w:r w:rsidRPr="006A631A">
        <w:rPr>
          <w:sz w:val="26"/>
          <w:szCs w:val="26"/>
        </w:rPr>
        <w:t xml:space="preserve"> that it had taken th</w:t>
      </w:r>
      <w:r w:rsidR="00290771" w:rsidRPr="006A631A">
        <w:rPr>
          <w:sz w:val="26"/>
          <w:szCs w:val="26"/>
        </w:rPr>
        <w:t xml:space="preserve">e </w:t>
      </w:r>
      <w:r w:rsidRPr="006A631A">
        <w:rPr>
          <w:sz w:val="26"/>
          <w:szCs w:val="26"/>
        </w:rPr>
        <w:t xml:space="preserve">position </w:t>
      </w:r>
      <w:r w:rsidR="00290771" w:rsidRPr="006A631A">
        <w:rPr>
          <w:sz w:val="26"/>
          <w:szCs w:val="26"/>
        </w:rPr>
        <w:t xml:space="preserve">adopted by the ALJs </w:t>
      </w:r>
      <w:r w:rsidRPr="006A631A">
        <w:rPr>
          <w:sz w:val="26"/>
          <w:szCs w:val="26"/>
        </w:rPr>
        <w:t>in litigation</w:t>
      </w:r>
      <w:r w:rsidR="00586760" w:rsidRPr="006A631A">
        <w:rPr>
          <w:sz w:val="26"/>
          <w:szCs w:val="26"/>
        </w:rPr>
        <w:t>,</w:t>
      </w:r>
      <w:r w:rsidRPr="006A631A">
        <w:rPr>
          <w:sz w:val="26"/>
          <w:szCs w:val="26"/>
        </w:rPr>
        <w:t xml:space="preserve"> but</w:t>
      </w:r>
      <w:r w:rsidR="00586760" w:rsidRPr="006A631A">
        <w:rPr>
          <w:sz w:val="26"/>
          <w:szCs w:val="26"/>
        </w:rPr>
        <w:t xml:space="preserve"> that the give and take process of a comprehensive settlement result</w:t>
      </w:r>
      <w:r w:rsidR="00290771" w:rsidRPr="006A631A">
        <w:rPr>
          <w:sz w:val="26"/>
          <w:szCs w:val="26"/>
        </w:rPr>
        <w:t>ed</w:t>
      </w:r>
      <w:r w:rsidR="00586760" w:rsidRPr="006A631A">
        <w:rPr>
          <w:sz w:val="26"/>
          <w:szCs w:val="26"/>
        </w:rPr>
        <w:t xml:space="preserve"> in </w:t>
      </w:r>
      <w:r w:rsidR="00290771" w:rsidRPr="006A631A">
        <w:rPr>
          <w:sz w:val="26"/>
          <w:szCs w:val="26"/>
        </w:rPr>
        <w:t xml:space="preserve">a </w:t>
      </w:r>
      <w:r w:rsidR="00586760" w:rsidRPr="006A631A">
        <w:rPr>
          <w:sz w:val="26"/>
          <w:szCs w:val="26"/>
        </w:rPr>
        <w:t xml:space="preserve">compromise by the </w:t>
      </w:r>
      <w:r w:rsidR="00AA76BB" w:rsidRPr="006A631A">
        <w:rPr>
          <w:sz w:val="26"/>
          <w:szCs w:val="26"/>
        </w:rPr>
        <w:t>P</w:t>
      </w:r>
      <w:r w:rsidR="00586760" w:rsidRPr="006A631A">
        <w:rPr>
          <w:sz w:val="26"/>
          <w:szCs w:val="26"/>
        </w:rPr>
        <w:t xml:space="preserve">arties to essentially meet in the middle.  I&amp;E Exc. at 12-13.  On this basis, I&amp;E urges the Commission to leave intact the delicate balance reached in the Partial Settlement and approve it without modification.  </w:t>
      </w:r>
      <w:r w:rsidR="00586760" w:rsidRPr="006A631A">
        <w:rPr>
          <w:i/>
          <w:iCs/>
          <w:sz w:val="26"/>
          <w:szCs w:val="26"/>
        </w:rPr>
        <w:t>Id.</w:t>
      </w:r>
    </w:p>
    <w:p w14:paraId="57334F3B" w14:textId="1DD8BC30" w:rsidR="00586760" w:rsidRPr="006A631A" w:rsidRDefault="00586760" w:rsidP="00F510B9">
      <w:pPr>
        <w:widowControl/>
        <w:spacing w:line="360" w:lineRule="auto"/>
        <w:ind w:firstLine="1440"/>
        <w:contextualSpacing/>
        <w:rPr>
          <w:sz w:val="26"/>
          <w:szCs w:val="26"/>
        </w:rPr>
      </w:pPr>
    </w:p>
    <w:p w14:paraId="1EB82ED1" w14:textId="5E93F108" w:rsidR="00727A20" w:rsidRPr="006A631A" w:rsidRDefault="00727A20" w:rsidP="00FD57EE">
      <w:pPr>
        <w:pStyle w:val="Heading4"/>
      </w:pPr>
      <w:bookmarkStart w:id="42" w:name="_Toc55888193"/>
      <w:r w:rsidRPr="006A631A">
        <w:t>PICGUG Exceptions</w:t>
      </w:r>
      <w:bookmarkEnd w:id="42"/>
    </w:p>
    <w:p w14:paraId="5CFF9158" w14:textId="77777777" w:rsidR="00727A20" w:rsidRPr="006A631A" w:rsidRDefault="00727A20" w:rsidP="00F510B9">
      <w:pPr>
        <w:widowControl/>
        <w:spacing w:line="360" w:lineRule="auto"/>
        <w:ind w:firstLine="1440"/>
        <w:contextualSpacing/>
        <w:rPr>
          <w:b/>
          <w:bCs/>
          <w:sz w:val="26"/>
          <w:szCs w:val="26"/>
        </w:rPr>
      </w:pPr>
    </w:p>
    <w:p w14:paraId="744C6794" w14:textId="69B3974D" w:rsidR="005F586C" w:rsidRPr="006A631A" w:rsidRDefault="005F586C" w:rsidP="00F510B9">
      <w:pPr>
        <w:widowControl/>
        <w:spacing w:line="360" w:lineRule="auto"/>
        <w:ind w:firstLine="1440"/>
        <w:contextualSpacing/>
        <w:rPr>
          <w:rFonts w:eastAsiaTheme="minorHAnsi"/>
          <w:i/>
          <w:iCs/>
          <w:sz w:val="26"/>
          <w:szCs w:val="26"/>
        </w:rPr>
      </w:pPr>
      <w:r w:rsidRPr="006A631A">
        <w:rPr>
          <w:rFonts w:eastAsiaTheme="minorHAnsi"/>
          <w:sz w:val="26"/>
          <w:szCs w:val="26"/>
        </w:rPr>
        <w:t xml:space="preserve">PICGUG argues that the </w:t>
      </w:r>
      <w:r w:rsidR="00173C23" w:rsidRPr="006A631A">
        <w:rPr>
          <w:rFonts w:eastAsiaTheme="minorHAnsi"/>
          <w:sz w:val="26"/>
          <w:szCs w:val="26"/>
        </w:rPr>
        <w:t>Recommended Decision</w:t>
      </w:r>
      <w:r w:rsidRPr="006A631A">
        <w:rPr>
          <w:rFonts w:eastAsiaTheme="minorHAnsi"/>
          <w:sz w:val="26"/>
          <w:szCs w:val="26"/>
        </w:rPr>
        <w:t xml:space="preserve"> erred in recommending modifications to the Partial Settlement.  PICGUG asserts that by failing to recognize that the Partial Settlement is a product of compromise, there is a risk that one or more Joint Petitioners will withdraw from the </w:t>
      </w:r>
      <w:r w:rsidR="0077725B" w:rsidRPr="006A631A">
        <w:rPr>
          <w:rFonts w:eastAsiaTheme="minorHAnsi"/>
          <w:sz w:val="26"/>
          <w:szCs w:val="26"/>
        </w:rPr>
        <w:t>S</w:t>
      </w:r>
      <w:r w:rsidRPr="006A631A">
        <w:rPr>
          <w:rFonts w:eastAsiaTheme="minorHAnsi"/>
          <w:sz w:val="26"/>
          <w:szCs w:val="26"/>
        </w:rPr>
        <w:t>ettlement</w:t>
      </w:r>
      <w:r w:rsidR="00173C23" w:rsidRPr="006A631A">
        <w:rPr>
          <w:rFonts w:eastAsiaTheme="minorHAnsi"/>
          <w:sz w:val="26"/>
          <w:szCs w:val="26"/>
        </w:rPr>
        <w:t>, thereby requiring full litigation of the issues raised in the proceeding</w:t>
      </w:r>
      <w:r w:rsidRPr="006A631A">
        <w:rPr>
          <w:rFonts w:eastAsiaTheme="minorHAnsi"/>
          <w:sz w:val="26"/>
          <w:szCs w:val="26"/>
        </w:rPr>
        <w:t xml:space="preserve">.  Emphasizing that considerable time and resources have been expended to negotiate the terms of settlement, PICGUG notes that the </w:t>
      </w:r>
      <w:r w:rsidR="00AA76BB" w:rsidRPr="006A631A">
        <w:rPr>
          <w:rFonts w:eastAsiaTheme="minorHAnsi"/>
          <w:sz w:val="26"/>
          <w:szCs w:val="26"/>
        </w:rPr>
        <w:t>P</w:t>
      </w:r>
      <w:r w:rsidRPr="006A631A">
        <w:rPr>
          <w:rFonts w:eastAsiaTheme="minorHAnsi"/>
          <w:sz w:val="26"/>
          <w:szCs w:val="26"/>
        </w:rPr>
        <w:t>arties were able to resolve most of the issues in the case</w:t>
      </w:r>
      <w:r w:rsidR="00173C23" w:rsidRPr="006A631A">
        <w:rPr>
          <w:rFonts w:eastAsiaTheme="minorHAnsi"/>
          <w:sz w:val="26"/>
          <w:szCs w:val="26"/>
        </w:rPr>
        <w:t xml:space="preserve"> and </w:t>
      </w:r>
      <w:r w:rsidRPr="006A631A">
        <w:rPr>
          <w:rFonts w:eastAsiaTheme="minorHAnsi"/>
          <w:sz w:val="26"/>
          <w:szCs w:val="26"/>
        </w:rPr>
        <w:t>PICGUG supports the Partial Settlement as a reasonable resolution</w:t>
      </w:r>
      <w:r w:rsidR="00173C23" w:rsidRPr="006A631A">
        <w:rPr>
          <w:rFonts w:eastAsiaTheme="minorHAnsi"/>
          <w:sz w:val="26"/>
          <w:szCs w:val="26"/>
        </w:rPr>
        <w:t xml:space="preserve"> of those</w:t>
      </w:r>
      <w:r w:rsidRPr="006A631A">
        <w:rPr>
          <w:rFonts w:eastAsiaTheme="minorHAnsi"/>
          <w:sz w:val="26"/>
          <w:szCs w:val="26"/>
        </w:rPr>
        <w:t xml:space="preserve"> issues.  PICGUG Exc. at 1-3.  PICGUG contends that the Partial Settlement balances the interests of ratepayers and the public, all the while providing a reasonable resolution of PGW’s claims for increased rates. </w:t>
      </w:r>
      <w:r w:rsidR="00173C23" w:rsidRPr="006A631A">
        <w:rPr>
          <w:rFonts w:eastAsiaTheme="minorHAnsi"/>
          <w:sz w:val="26"/>
          <w:szCs w:val="26"/>
        </w:rPr>
        <w:t xml:space="preserve"> According to PICGUG, the Partial Settlement avoids substantial litigation costs and is consistent with the Commission’s policy promoting negotiated settlements.  For these reasons, PICGUG urges the Commission to reject the recommended six-month delay to the phased rate increases and extension of the mutually agreed upon stay-out.  </w:t>
      </w:r>
      <w:r w:rsidR="00173C23" w:rsidRPr="006A631A">
        <w:rPr>
          <w:rFonts w:eastAsiaTheme="minorHAnsi"/>
          <w:i/>
          <w:iCs/>
          <w:sz w:val="26"/>
          <w:szCs w:val="26"/>
        </w:rPr>
        <w:t>Id.</w:t>
      </w:r>
    </w:p>
    <w:p w14:paraId="2212889C" w14:textId="2DE12C3C" w:rsidR="00FE36E7" w:rsidRPr="006A631A" w:rsidRDefault="00FE36E7" w:rsidP="00F510B9">
      <w:pPr>
        <w:widowControl/>
        <w:spacing w:line="360" w:lineRule="auto"/>
        <w:contextualSpacing/>
        <w:rPr>
          <w:rFonts w:eastAsiaTheme="minorHAnsi"/>
          <w:sz w:val="26"/>
          <w:szCs w:val="26"/>
        </w:rPr>
      </w:pPr>
    </w:p>
    <w:p w14:paraId="326ACCE5" w14:textId="7B861A7E" w:rsidR="00727A20" w:rsidRPr="006A631A" w:rsidRDefault="00727A20" w:rsidP="00FD57EE">
      <w:pPr>
        <w:pStyle w:val="Heading4"/>
        <w:rPr>
          <w:rFonts w:eastAsiaTheme="minorHAnsi"/>
        </w:rPr>
      </w:pPr>
      <w:bookmarkStart w:id="43" w:name="_Toc55888194"/>
      <w:r w:rsidRPr="006A631A">
        <w:rPr>
          <w:rFonts w:eastAsiaTheme="minorHAnsi"/>
        </w:rPr>
        <w:lastRenderedPageBreak/>
        <w:t>PGW Exceptions</w:t>
      </w:r>
      <w:bookmarkEnd w:id="43"/>
    </w:p>
    <w:p w14:paraId="05E7780C" w14:textId="77777777" w:rsidR="00727A20" w:rsidRPr="006A631A" w:rsidRDefault="00727A20" w:rsidP="00F510B9">
      <w:pPr>
        <w:keepNext/>
        <w:keepLines/>
        <w:widowControl/>
        <w:spacing w:line="360" w:lineRule="auto"/>
        <w:ind w:firstLine="1440"/>
        <w:contextualSpacing/>
        <w:rPr>
          <w:rFonts w:eastAsiaTheme="minorHAnsi"/>
          <w:b/>
          <w:bCs/>
          <w:sz w:val="26"/>
          <w:szCs w:val="26"/>
        </w:rPr>
      </w:pPr>
    </w:p>
    <w:p w14:paraId="39B930E4" w14:textId="176F437B" w:rsidR="00C602A7" w:rsidRPr="006A631A" w:rsidRDefault="0026499B" w:rsidP="00F510B9">
      <w:pPr>
        <w:keepNext/>
        <w:keepLines/>
        <w:widowControl/>
        <w:spacing w:line="360" w:lineRule="auto"/>
        <w:ind w:firstLine="1440"/>
        <w:contextualSpacing/>
        <w:rPr>
          <w:rFonts w:eastAsiaTheme="minorHAnsi"/>
          <w:sz w:val="26"/>
          <w:szCs w:val="26"/>
        </w:rPr>
      </w:pPr>
      <w:r w:rsidRPr="006A631A">
        <w:rPr>
          <w:rFonts w:eastAsiaTheme="minorHAnsi"/>
          <w:sz w:val="26"/>
          <w:szCs w:val="26"/>
        </w:rPr>
        <w:t xml:space="preserve">PGW </w:t>
      </w:r>
      <w:r w:rsidR="00A315AC" w:rsidRPr="006A631A">
        <w:rPr>
          <w:rFonts w:eastAsiaTheme="minorHAnsi"/>
          <w:sz w:val="26"/>
          <w:szCs w:val="26"/>
        </w:rPr>
        <w:t>argues that the Recommended Decision err</w:t>
      </w:r>
      <w:r w:rsidR="00C602A7" w:rsidRPr="006A631A">
        <w:rPr>
          <w:rFonts w:eastAsiaTheme="minorHAnsi"/>
          <w:sz w:val="26"/>
          <w:szCs w:val="26"/>
        </w:rPr>
        <w:t>ed</w:t>
      </w:r>
      <w:r w:rsidR="00A315AC" w:rsidRPr="006A631A">
        <w:rPr>
          <w:rFonts w:eastAsiaTheme="minorHAnsi"/>
          <w:sz w:val="26"/>
          <w:szCs w:val="26"/>
        </w:rPr>
        <w:t xml:space="preserve"> by</w:t>
      </w:r>
      <w:r w:rsidR="00C602A7" w:rsidRPr="006A631A">
        <w:rPr>
          <w:rFonts w:eastAsiaTheme="minorHAnsi"/>
          <w:sz w:val="26"/>
          <w:szCs w:val="26"/>
        </w:rPr>
        <w:t xml:space="preserve">: (1) </w:t>
      </w:r>
      <w:r w:rsidR="00A315AC" w:rsidRPr="006A631A">
        <w:rPr>
          <w:rFonts w:eastAsiaTheme="minorHAnsi"/>
          <w:sz w:val="26"/>
          <w:szCs w:val="26"/>
        </w:rPr>
        <w:t>failing to recognize that, by the terms of the Partial Settlement, material modifications of the terms were not permissible</w:t>
      </w:r>
      <w:r w:rsidR="00C602A7" w:rsidRPr="006A631A">
        <w:rPr>
          <w:rFonts w:eastAsiaTheme="minorHAnsi"/>
          <w:sz w:val="26"/>
          <w:szCs w:val="26"/>
        </w:rPr>
        <w:t xml:space="preserve">; (2) not concluding that the Partial Settlement is in the public interest and should be approved without modification; (3) delaying the agreed-upon rate increases for an additional six months without </w:t>
      </w:r>
      <w:r w:rsidR="00290771" w:rsidRPr="006A631A">
        <w:rPr>
          <w:rFonts w:eastAsiaTheme="minorHAnsi"/>
          <w:sz w:val="26"/>
          <w:szCs w:val="26"/>
        </w:rPr>
        <w:t xml:space="preserve">legal </w:t>
      </w:r>
      <w:r w:rsidR="00C602A7" w:rsidRPr="006A631A">
        <w:rPr>
          <w:rFonts w:eastAsiaTheme="minorHAnsi"/>
          <w:sz w:val="26"/>
          <w:szCs w:val="26"/>
        </w:rPr>
        <w:t>support, and unreasonably; (4)</w:t>
      </w:r>
      <w:r w:rsidR="008E636B">
        <w:rPr>
          <w:rFonts w:eastAsiaTheme="minorHAnsi"/>
          <w:sz w:val="26"/>
          <w:szCs w:val="26"/>
        </w:rPr>
        <w:t> </w:t>
      </w:r>
      <w:r w:rsidR="00C602A7" w:rsidRPr="006A631A">
        <w:rPr>
          <w:rFonts w:eastAsiaTheme="minorHAnsi"/>
          <w:sz w:val="26"/>
          <w:szCs w:val="26"/>
        </w:rPr>
        <w:t>extending the stay</w:t>
      </w:r>
      <w:r w:rsidR="00A539D8" w:rsidRPr="006A631A">
        <w:rPr>
          <w:rFonts w:eastAsiaTheme="minorHAnsi"/>
          <w:sz w:val="26"/>
          <w:szCs w:val="26"/>
        </w:rPr>
        <w:t>-</w:t>
      </w:r>
      <w:r w:rsidR="00C602A7" w:rsidRPr="006A631A">
        <w:rPr>
          <w:rFonts w:eastAsiaTheme="minorHAnsi"/>
          <w:sz w:val="26"/>
          <w:szCs w:val="26"/>
        </w:rPr>
        <w:t xml:space="preserve">out provision for an additional year; and (5) requiring PGW to meet with the Commission’s Pipeline Safety Division within </w:t>
      </w:r>
      <w:r w:rsidR="00B43F65" w:rsidRPr="006A631A">
        <w:rPr>
          <w:rFonts w:eastAsiaTheme="minorHAnsi"/>
          <w:sz w:val="26"/>
          <w:szCs w:val="26"/>
        </w:rPr>
        <w:t>ninety</w:t>
      </w:r>
      <w:r w:rsidR="00C602A7" w:rsidRPr="006A631A">
        <w:rPr>
          <w:rFonts w:eastAsiaTheme="minorHAnsi"/>
          <w:sz w:val="26"/>
          <w:szCs w:val="26"/>
        </w:rPr>
        <w:t xml:space="preserve"> days of the Commission’s Order and biannually thereafter through 2022 to review increasing pipeline replacement costs and to develop a plan to reduce pipeline replacement costs and leaks.  PGW </w:t>
      </w:r>
      <w:r w:rsidR="005C551F" w:rsidRPr="006A631A">
        <w:rPr>
          <w:rFonts w:eastAsiaTheme="minorHAnsi"/>
          <w:sz w:val="26"/>
          <w:szCs w:val="26"/>
        </w:rPr>
        <w:t xml:space="preserve">Settlement </w:t>
      </w:r>
      <w:r w:rsidR="00C602A7" w:rsidRPr="006A631A">
        <w:rPr>
          <w:rFonts w:eastAsiaTheme="minorHAnsi"/>
          <w:sz w:val="26"/>
          <w:szCs w:val="26"/>
        </w:rPr>
        <w:t>Excs. 1-5 at 1-28.</w:t>
      </w:r>
    </w:p>
    <w:p w14:paraId="5241C36E" w14:textId="28F2B5EE" w:rsidR="00C602A7" w:rsidRPr="006A631A" w:rsidRDefault="00C602A7" w:rsidP="00F510B9">
      <w:pPr>
        <w:widowControl/>
        <w:spacing w:line="360" w:lineRule="auto"/>
        <w:ind w:firstLine="1440"/>
        <w:contextualSpacing/>
        <w:rPr>
          <w:rFonts w:eastAsiaTheme="minorHAnsi"/>
          <w:sz w:val="26"/>
          <w:szCs w:val="26"/>
        </w:rPr>
      </w:pPr>
    </w:p>
    <w:p w14:paraId="3EA42EA7" w14:textId="07F35D51" w:rsidR="0039411C" w:rsidRPr="00B2702C" w:rsidRDefault="00870D25" w:rsidP="00BE0708">
      <w:pPr>
        <w:pStyle w:val="Heading5"/>
        <w:ind w:left="2880" w:hanging="720"/>
      </w:pPr>
      <w:proofErr w:type="spellStart"/>
      <w:r>
        <w:t>i</w:t>
      </w:r>
      <w:proofErr w:type="spellEnd"/>
      <w:r>
        <w:t>.</w:t>
      </w:r>
      <w:r>
        <w:tab/>
      </w:r>
      <w:r w:rsidR="0039411C" w:rsidRPr="00B2702C">
        <w:t xml:space="preserve">PGW Settlement Exception 1 </w:t>
      </w:r>
    </w:p>
    <w:p w14:paraId="7A411A5E" w14:textId="77777777" w:rsidR="0039411C" w:rsidRPr="006A631A" w:rsidRDefault="0039411C" w:rsidP="00F510B9">
      <w:pPr>
        <w:widowControl/>
        <w:kinsoku w:val="0"/>
        <w:overflowPunct w:val="0"/>
        <w:spacing w:line="489" w:lineRule="exact"/>
        <w:ind w:right="144" w:firstLine="1440"/>
        <w:textAlignment w:val="baseline"/>
        <w:rPr>
          <w:b/>
          <w:bCs/>
          <w:sz w:val="26"/>
          <w:szCs w:val="26"/>
        </w:rPr>
      </w:pPr>
    </w:p>
    <w:p w14:paraId="296AAFEF" w14:textId="369F4493" w:rsidR="00DB51F3" w:rsidRPr="006A631A" w:rsidRDefault="00DB51F3" w:rsidP="00F510B9">
      <w:pPr>
        <w:widowControl/>
        <w:kinsoku w:val="0"/>
        <w:overflowPunct w:val="0"/>
        <w:spacing w:line="489" w:lineRule="exact"/>
        <w:ind w:right="144" w:firstLine="1440"/>
        <w:textAlignment w:val="baseline"/>
        <w:rPr>
          <w:sz w:val="26"/>
          <w:szCs w:val="26"/>
        </w:rPr>
      </w:pPr>
      <w:r w:rsidRPr="006A631A">
        <w:rPr>
          <w:sz w:val="26"/>
          <w:szCs w:val="26"/>
        </w:rPr>
        <w:t>PGW requests that the Commission reject the Recommended Decision’s material modifications to the Settlement and approve the Settlement as in the public interest.  By the terms of the Settlement, the Commission may not make material modifications to the terms of the agreement.  If it does so, any party has the right to withdraw and proceed to litigation, a right that PGW will need to exercise in the event the modifications are approved.  PGW</w:t>
      </w:r>
      <w:r w:rsidR="005C551F" w:rsidRPr="006A631A">
        <w:rPr>
          <w:sz w:val="26"/>
          <w:szCs w:val="26"/>
        </w:rPr>
        <w:t xml:space="preserve"> </w:t>
      </w:r>
      <w:r w:rsidRPr="006A631A">
        <w:rPr>
          <w:sz w:val="26"/>
          <w:szCs w:val="26"/>
        </w:rPr>
        <w:t xml:space="preserve">Exc. at 2-3, 6-9.  PGW claims that the Commission does </w:t>
      </w:r>
      <w:r w:rsidRPr="006A631A">
        <w:rPr>
          <w:sz w:val="26"/>
          <w:szCs w:val="26"/>
          <w:u w:val="single"/>
        </w:rPr>
        <w:t>not</w:t>
      </w:r>
      <w:r w:rsidRPr="006A631A">
        <w:rPr>
          <w:sz w:val="26"/>
          <w:szCs w:val="26"/>
        </w:rPr>
        <w:t xml:space="preserve"> have authority to modify the Settlement’s material terms as recommended by the ALJs.</w:t>
      </w:r>
      <w:r w:rsidR="00E669F7" w:rsidRPr="006A631A">
        <w:rPr>
          <w:sz w:val="26"/>
          <w:szCs w:val="26"/>
        </w:rPr>
        <w:t xml:space="preserve"> </w:t>
      </w:r>
      <w:r w:rsidRPr="006A631A">
        <w:rPr>
          <w:sz w:val="26"/>
          <w:szCs w:val="26"/>
        </w:rPr>
        <w:t xml:space="preserve"> According to PGW, the Commission must either accept or reject the Settlement package submitted by the </w:t>
      </w:r>
      <w:r w:rsidR="00ED6354" w:rsidRPr="006A631A">
        <w:rPr>
          <w:sz w:val="26"/>
          <w:szCs w:val="26"/>
        </w:rPr>
        <w:t>P</w:t>
      </w:r>
      <w:r w:rsidRPr="006A631A">
        <w:rPr>
          <w:sz w:val="26"/>
          <w:szCs w:val="26"/>
        </w:rPr>
        <w:t xml:space="preserve">arties, and the Recommended Decision’s “cherry picking” of which provisions to approve was error. </w:t>
      </w:r>
      <w:r w:rsidR="00E669F7" w:rsidRPr="006A631A">
        <w:rPr>
          <w:sz w:val="26"/>
          <w:szCs w:val="26"/>
        </w:rPr>
        <w:t xml:space="preserve"> </w:t>
      </w:r>
      <w:r w:rsidRPr="006A631A">
        <w:rPr>
          <w:sz w:val="26"/>
          <w:szCs w:val="26"/>
        </w:rPr>
        <w:t xml:space="preserve">PGW Exc. at 7.  PGW asserts that the Recommended Decision’s modifications to the Settlement are significant and would deprive PGW of funds that are necessary for the Company to </w:t>
      </w:r>
      <w:r w:rsidRPr="006A631A">
        <w:rPr>
          <w:sz w:val="26"/>
          <w:szCs w:val="26"/>
        </w:rPr>
        <w:lastRenderedPageBreak/>
        <w:t xml:space="preserve">continue to provide adequate, efficient, </w:t>
      </w:r>
      <w:proofErr w:type="gramStart"/>
      <w:r w:rsidRPr="006A631A">
        <w:rPr>
          <w:sz w:val="26"/>
          <w:szCs w:val="26"/>
        </w:rPr>
        <w:t>safe</w:t>
      </w:r>
      <w:proofErr w:type="gramEnd"/>
      <w:r w:rsidRPr="006A631A">
        <w:rPr>
          <w:sz w:val="26"/>
          <w:szCs w:val="26"/>
        </w:rPr>
        <w:t xml:space="preserve"> and reasonable service and facilities. </w:t>
      </w:r>
      <w:r w:rsidR="00DA5846" w:rsidRPr="006A631A">
        <w:rPr>
          <w:sz w:val="26"/>
          <w:szCs w:val="26"/>
        </w:rPr>
        <w:t xml:space="preserve"> </w:t>
      </w:r>
      <w:r w:rsidRPr="006A631A">
        <w:rPr>
          <w:sz w:val="26"/>
          <w:szCs w:val="26"/>
        </w:rPr>
        <w:t xml:space="preserve">This would threaten critical infrastructure projects as well as PGW’s financial health. </w:t>
      </w:r>
      <w:r w:rsidR="00DA5846" w:rsidRPr="006A631A">
        <w:rPr>
          <w:sz w:val="26"/>
          <w:szCs w:val="26"/>
        </w:rPr>
        <w:t xml:space="preserve"> </w:t>
      </w:r>
      <w:r w:rsidRPr="006A631A">
        <w:rPr>
          <w:sz w:val="26"/>
          <w:szCs w:val="26"/>
        </w:rPr>
        <w:t xml:space="preserve">PGW claims that the additional delay in rate relief and the prohibition against filing any new base rate case until after January 1, 2023 that the Recommended Decision would impose would create an untenable situation for PGW.  As such, PGW would be forced to withdraw from the Partial Settlement and proceed to full litigation.  </w:t>
      </w:r>
      <w:r w:rsidRPr="006A631A">
        <w:rPr>
          <w:i/>
          <w:iCs/>
          <w:sz w:val="26"/>
          <w:szCs w:val="26"/>
        </w:rPr>
        <w:t>Id.</w:t>
      </w:r>
    </w:p>
    <w:p w14:paraId="6DDAE8B0" w14:textId="021D9988" w:rsidR="00DB51F3" w:rsidRPr="006A631A" w:rsidRDefault="00DB51F3" w:rsidP="00F510B9">
      <w:pPr>
        <w:widowControl/>
        <w:kinsoku w:val="0"/>
        <w:overflowPunct w:val="0"/>
        <w:spacing w:line="489" w:lineRule="exact"/>
        <w:ind w:right="144" w:firstLine="720"/>
        <w:textAlignment w:val="baseline"/>
        <w:rPr>
          <w:sz w:val="26"/>
          <w:szCs w:val="26"/>
        </w:rPr>
      </w:pPr>
    </w:p>
    <w:p w14:paraId="3ED7AA6C" w14:textId="6AAEEC51" w:rsidR="00595687" w:rsidRPr="006A631A" w:rsidRDefault="00DB51F3" w:rsidP="00F510B9">
      <w:pPr>
        <w:widowControl/>
        <w:kinsoku w:val="0"/>
        <w:overflowPunct w:val="0"/>
        <w:spacing w:line="489" w:lineRule="exact"/>
        <w:ind w:right="144" w:firstLine="1440"/>
        <w:textAlignment w:val="baseline"/>
        <w:rPr>
          <w:sz w:val="26"/>
          <w:szCs w:val="26"/>
        </w:rPr>
      </w:pPr>
      <w:r w:rsidRPr="006A631A">
        <w:rPr>
          <w:sz w:val="26"/>
          <w:szCs w:val="26"/>
        </w:rPr>
        <w:t>PGW point</w:t>
      </w:r>
      <w:r w:rsidR="005C551F" w:rsidRPr="006A631A">
        <w:rPr>
          <w:sz w:val="26"/>
          <w:szCs w:val="26"/>
        </w:rPr>
        <w:t>s</w:t>
      </w:r>
      <w:r w:rsidRPr="006A631A">
        <w:rPr>
          <w:sz w:val="26"/>
          <w:szCs w:val="26"/>
        </w:rPr>
        <w:t xml:space="preserve"> out that its right to withdraw from the Settlement and proceed to litigation is crystal clear. </w:t>
      </w:r>
      <w:r w:rsidR="00E669F7" w:rsidRPr="006A631A">
        <w:rPr>
          <w:sz w:val="26"/>
          <w:szCs w:val="26"/>
        </w:rPr>
        <w:t xml:space="preserve"> </w:t>
      </w:r>
      <w:r w:rsidR="005C551F" w:rsidRPr="006A631A">
        <w:rPr>
          <w:sz w:val="26"/>
          <w:szCs w:val="26"/>
        </w:rPr>
        <w:t xml:space="preserve">That right </w:t>
      </w:r>
      <w:r w:rsidRPr="006A631A">
        <w:rPr>
          <w:sz w:val="26"/>
          <w:szCs w:val="26"/>
        </w:rPr>
        <w:t xml:space="preserve">is explicitly set forth in the Joint Petition and is a standard provision in virtually every settlement. </w:t>
      </w:r>
      <w:r w:rsidR="005C551F" w:rsidRPr="006A631A">
        <w:rPr>
          <w:sz w:val="26"/>
          <w:szCs w:val="26"/>
        </w:rPr>
        <w:t xml:space="preserve"> </w:t>
      </w:r>
      <w:r w:rsidRPr="006A631A">
        <w:rPr>
          <w:sz w:val="26"/>
          <w:szCs w:val="26"/>
        </w:rPr>
        <w:t xml:space="preserve">It also </w:t>
      </w:r>
      <w:r w:rsidR="005C551F" w:rsidRPr="006A631A">
        <w:rPr>
          <w:sz w:val="26"/>
          <w:szCs w:val="26"/>
        </w:rPr>
        <w:t xml:space="preserve">is </w:t>
      </w:r>
      <w:r w:rsidRPr="006A631A">
        <w:rPr>
          <w:sz w:val="26"/>
          <w:szCs w:val="26"/>
        </w:rPr>
        <w:t>one that the Commission has recognized as valid and enforceable.</w:t>
      </w:r>
      <w:r w:rsidR="005C551F" w:rsidRPr="006A631A">
        <w:rPr>
          <w:rStyle w:val="FootnoteReference"/>
          <w:sz w:val="26"/>
          <w:szCs w:val="26"/>
        </w:rPr>
        <w:footnoteReference w:id="31"/>
      </w:r>
      <w:r w:rsidR="005C551F" w:rsidRPr="006A631A">
        <w:rPr>
          <w:sz w:val="26"/>
          <w:szCs w:val="26"/>
        </w:rPr>
        <w:t xml:space="preserve">  PGW Exc. at 8.  The right to withdraw is grounded in the parties’ legal and constitutional rights and PGW, like every party to the Partial Settlement, has a right to fully litigate its claims in the event that the compromise framed by the Joint Petitioners is materially altered.  </w:t>
      </w:r>
      <w:r w:rsidR="005C551F" w:rsidRPr="006A631A">
        <w:rPr>
          <w:i/>
          <w:iCs/>
          <w:sz w:val="26"/>
          <w:szCs w:val="26"/>
        </w:rPr>
        <w:t xml:space="preserve">Id.  </w:t>
      </w:r>
      <w:r w:rsidR="005C551F" w:rsidRPr="006A631A">
        <w:rPr>
          <w:sz w:val="26"/>
          <w:szCs w:val="26"/>
        </w:rPr>
        <w:t>Not only would full litigation be time consuming and costly, it also would eliminate a host of beneficial settlement provisions that PGW voluntarily agreed to, but which cannot be imposed absent such agreement</w:t>
      </w:r>
      <w:r w:rsidR="00727A20" w:rsidRPr="006A631A">
        <w:rPr>
          <w:sz w:val="26"/>
          <w:szCs w:val="26"/>
        </w:rPr>
        <w:t>. PGW Exc.at 8-9.  Additionally, PGW explains that under such withdrawal circumstances and pursuant to Section 1308(d)</w:t>
      </w:r>
      <w:r w:rsidR="00595687" w:rsidRPr="006A631A">
        <w:rPr>
          <w:sz w:val="26"/>
          <w:szCs w:val="26"/>
        </w:rPr>
        <w:t xml:space="preserve"> of the Code</w:t>
      </w:r>
      <w:r w:rsidR="00727A20" w:rsidRPr="006A631A">
        <w:rPr>
          <w:sz w:val="26"/>
          <w:szCs w:val="26"/>
        </w:rPr>
        <w:t>, if there has been no final Commission order by the end of the suspension period, then PGW’s originally proposed rates will go into effect subject to refund until the litigation is completed and the Commission is able to render a final decision.</w:t>
      </w:r>
      <w:r w:rsidR="00595687" w:rsidRPr="006A631A">
        <w:rPr>
          <w:sz w:val="26"/>
          <w:szCs w:val="26"/>
        </w:rPr>
        <w:t xml:space="preserve">  PGW notes that this would impose much higher charges on ratepayers in the short term (subject to refund) without the significant additional benefits provided by the Settlement, an outcome that is not in the public interest and should be avoided.  PGW Exc. at 9.</w:t>
      </w:r>
    </w:p>
    <w:p w14:paraId="5E101BF2" w14:textId="6C425785" w:rsidR="0039411C" w:rsidRPr="00FD5F6C" w:rsidRDefault="00870D25" w:rsidP="00BE0708">
      <w:pPr>
        <w:pStyle w:val="Heading5"/>
        <w:ind w:left="2880" w:hanging="720"/>
      </w:pPr>
      <w:r>
        <w:lastRenderedPageBreak/>
        <w:t>ii.</w:t>
      </w:r>
      <w:r>
        <w:tab/>
      </w:r>
      <w:r w:rsidR="0039411C" w:rsidRPr="006A631A">
        <w:t>PGW Settlement Exception 2</w:t>
      </w:r>
    </w:p>
    <w:p w14:paraId="15682462" w14:textId="77777777" w:rsidR="00FD5F6C" w:rsidRDefault="00FD5F6C" w:rsidP="00F510B9">
      <w:pPr>
        <w:widowControl/>
        <w:kinsoku w:val="0"/>
        <w:overflowPunct w:val="0"/>
        <w:spacing w:line="489" w:lineRule="exact"/>
        <w:ind w:right="144" w:firstLine="1440"/>
        <w:textAlignment w:val="baseline"/>
        <w:rPr>
          <w:sz w:val="26"/>
          <w:szCs w:val="26"/>
        </w:rPr>
      </w:pPr>
    </w:p>
    <w:p w14:paraId="4497B7F8" w14:textId="61F52A64" w:rsidR="00DB51F3" w:rsidRPr="006A631A" w:rsidRDefault="00595687" w:rsidP="00F510B9">
      <w:pPr>
        <w:widowControl/>
        <w:kinsoku w:val="0"/>
        <w:overflowPunct w:val="0"/>
        <w:spacing w:line="489" w:lineRule="exact"/>
        <w:ind w:right="144" w:firstLine="1440"/>
        <w:textAlignment w:val="baseline"/>
        <w:rPr>
          <w:sz w:val="26"/>
          <w:szCs w:val="26"/>
        </w:rPr>
      </w:pPr>
      <w:r w:rsidRPr="006A631A">
        <w:rPr>
          <w:sz w:val="26"/>
          <w:szCs w:val="26"/>
        </w:rPr>
        <w:t xml:space="preserve">PGW argues strenuously that the Partial Settlement is in the public interest and the Recommended Decision erred by suggesting modifications that ignore the careful balance of ratepayer, public, and utility interests that must be weighed in considering the settlement as a whole.  PGW Exc. at 9-14.  Importantly, PGW stresses that the Partial Settlement includes substantial ratepayer benefits that would not be possible if the case </w:t>
      </w:r>
      <w:proofErr w:type="gramStart"/>
      <w:r w:rsidRPr="006A631A">
        <w:rPr>
          <w:sz w:val="26"/>
          <w:szCs w:val="26"/>
        </w:rPr>
        <w:t>was</w:t>
      </w:r>
      <w:proofErr w:type="gramEnd"/>
      <w:r w:rsidRPr="006A631A">
        <w:rPr>
          <w:sz w:val="26"/>
          <w:szCs w:val="26"/>
        </w:rPr>
        <w:t xml:space="preserve"> litigated.  </w:t>
      </w:r>
      <w:r w:rsidR="0043417C" w:rsidRPr="006A631A">
        <w:rPr>
          <w:sz w:val="26"/>
          <w:szCs w:val="26"/>
        </w:rPr>
        <w:t>Citing the Commission’s policy statement at 52 Pa. Code § 69.401 and a recent rate case proceeding, PGW s</w:t>
      </w:r>
      <w:r w:rsidRPr="006A631A">
        <w:rPr>
          <w:sz w:val="26"/>
          <w:szCs w:val="26"/>
        </w:rPr>
        <w:t>tress</w:t>
      </w:r>
      <w:r w:rsidR="0043417C" w:rsidRPr="006A631A">
        <w:rPr>
          <w:sz w:val="26"/>
          <w:szCs w:val="26"/>
        </w:rPr>
        <w:t>es</w:t>
      </w:r>
      <w:r w:rsidRPr="006A631A">
        <w:rPr>
          <w:sz w:val="26"/>
          <w:szCs w:val="26"/>
        </w:rPr>
        <w:t xml:space="preserve"> that the Commission’s policy is to encourage settlements, even during this COVID-19 pandemic.</w:t>
      </w:r>
      <w:r w:rsidRPr="006A631A">
        <w:rPr>
          <w:rStyle w:val="FootnoteReference"/>
          <w:sz w:val="26"/>
          <w:szCs w:val="26"/>
        </w:rPr>
        <w:footnoteReference w:id="32"/>
      </w:r>
      <w:r w:rsidR="0043417C" w:rsidRPr="006A631A">
        <w:rPr>
          <w:sz w:val="26"/>
          <w:szCs w:val="26"/>
        </w:rPr>
        <w:t xml:space="preserve">  PGW Exc. at 10.  In this case, as in </w:t>
      </w:r>
      <w:r w:rsidR="0043417C" w:rsidRPr="006A631A">
        <w:rPr>
          <w:i/>
          <w:iCs/>
          <w:sz w:val="26"/>
          <w:szCs w:val="26"/>
        </w:rPr>
        <w:t>UGI</w:t>
      </w:r>
      <w:r w:rsidR="0043417C" w:rsidRPr="006A631A">
        <w:rPr>
          <w:sz w:val="26"/>
          <w:szCs w:val="26"/>
        </w:rPr>
        <w:t xml:space="preserve">, </w:t>
      </w:r>
      <w:r w:rsidR="009C5FB3" w:rsidRPr="006A631A">
        <w:rPr>
          <w:sz w:val="26"/>
          <w:szCs w:val="26"/>
        </w:rPr>
        <w:t xml:space="preserve">the Joint Petitioners diligently worked to craft a settlement that achieved the proper balance of conflicting interests and arrived at a final compromise that is clearly preferable to any result that may come from litigation.  PGW Exc. at 11. </w:t>
      </w:r>
    </w:p>
    <w:p w14:paraId="02EA2117" w14:textId="6B042D2B" w:rsidR="009C5FB3" w:rsidRPr="006A631A" w:rsidRDefault="009C5FB3" w:rsidP="00F510B9">
      <w:pPr>
        <w:widowControl/>
        <w:kinsoku w:val="0"/>
        <w:overflowPunct w:val="0"/>
        <w:spacing w:line="489" w:lineRule="exact"/>
        <w:ind w:right="144" w:firstLine="1440"/>
        <w:textAlignment w:val="baseline"/>
        <w:rPr>
          <w:sz w:val="26"/>
          <w:szCs w:val="26"/>
        </w:rPr>
      </w:pPr>
    </w:p>
    <w:p w14:paraId="1A45C535" w14:textId="078C793C" w:rsidR="009C5FB3" w:rsidRPr="006A631A" w:rsidRDefault="009C5FB3" w:rsidP="00F510B9">
      <w:pPr>
        <w:widowControl/>
        <w:kinsoku w:val="0"/>
        <w:overflowPunct w:val="0"/>
        <w:spacing w:line="489" w:lineRule="exact"/>
        <w:ind w:right="144" w:firstLine="1440"/>
        <w:textAlignment w:val="baseline"/>
        <w:rPr>
          <w:sz w:val="26"/>
          <w:szCs w:val="26"/>
        </w:rPr>
      </w:pPr>
      <w:r w:rsidRPr="006A631A">
        <w:rPr>
          <w:sz w:val="26"/>
          <w:szCs w:val="26"/>
        </w:rPr>
        <w:t>PGW details at length the concessions it agreed to and those of the other Joint Petitioners and the significant benefits that the Partial Settlement delivers.  For example, PGW points out that, while the Settlement provides for a total increase of $35 million, the agreed-to phase-in – without any right to recoupment for the deferrals – means that PGW in the FPFTY (i.e., FY 2021) will actually bill only 12.7%</w:t>
      </w:r>
      <w:r w:rsidRPr="006A631A">
        <w:rPr>
          <w:b/>
          <w:bCs/>
          <w:sz w:val="26"/>
          <w:szCs w:val="26"/>
        </w:rPr>
        <w:t xml:space="preserve"> </w:t>
      </w:r>
      <w:r w:rsidRPr="006A631A">
        <w:rPr>
          <w:sz w:val="26"/>
          <w:szCs w:val="26"/>
        </w:rPr>
        <w:t xml:space="preserve">of the revenues it would have been able to bill if its full, $70 million rate increase were approved and only 29% compared to the $70 million in FY 2021 and FY 2022.  PGW </w:t>
      </w:r>
      <w:r w:rsidRPr="006A631A">
        <w:rPr>
          <w:sz w:val="26"/>
          <w:szCs w:val="26"/>
        </w:rPr>
        <w:lastRenderedPageBreak/>
        <w:t>Exc. at 11 and Attachment A to PGW Exc.  PGW emphasizes that this is far lower than the results in PGW’s previous settlements and PGW agreed to this reduced increase and delayed rate increase phase-in to recognize the unprecedented conditions caused by the COVID-19 pandemic.  PGW Exc. at 11-12.</w:t>
      </w:r>
    </w:p>
    <w:p w14:paraId="35F20E4A" w14:textId="221B0B38" w:rsidR="009C5FB3" w:rsidRPr="006A631A" w:rsidRDefault="009C5FB3" w:rsidP="00F510B9">
      <w:pPr>
        <w:widowControl/>
        <w:kinsoku w:val="0"/>
        <w:overflowPunct w:val="0"/>
        <w:spacing w:line="489" w:lineRule="exact"/>
        <w:ind w:right="144" w:firstLine="1440"/>
        <w:textAlignment w:val="baseline"/>
        <w:rPr>
          <w:sz w:val="26"/>
          <w:szCs w:val="26"/>
        </w:rPr>
      </w:pPr>
    </w:p>
    <w:p w14:paraId="1A5DE0C0" w14:textId="71E00855" w:rsidR="000B2E9A" w:rsidRPr="006A631A" w:rsidRDefault="000B2E9A" w:rsidP="00F510B9">
      <w:pPr>
        <w:widowControl/>
        <w:kinsoku w:val="0"/>
        <w:overflowPunct w:val="0"/>
        <w:spacing w:line="489" w:lineRule="exact"/>
        <w:ind w:right="144" w:firstLine="1440"/>
        <w:textAlignment w:val="baseline"/>
        <w:rPr>
          <w:sz w:val="26"/>
          <w:szCs w:val="26"/>
        </w:rPr>
      </w:pPr>
      <w:r w:rsidRPr="006A631A">
        <w:rPr>
          <w:sz w:val="26"/>
          <w:szCs w:val="26"/>
        </w:rPr>
        <w:t xml:space="preserve">PGW points out, in concert with the Exceptions of I&amp;E, that the </w:t>
      </w:r>
      <w:r w:rsidR="00082DE6" w:rsidRPr="006A631A">
        <w:rPr>
          <w:sz w:val="26"/>
          <w:szCs w:val="26"/>
        </w:rPr>
        <w:t xml:space="preserve">Partial Settlement’s </w:t>
      </w:r>
      <w:r w:rsidRPr="006A631A">
        <w:rPr>
          <w:sz w:val="26"/>
          <w:szCs w:val="26"/>
        </w:rPr>
        <w:t xml:space="preserve">phasing of the reduced rate increases and </w:t>
      </w:r>
      <w:r w:rsidR="00082DE6" w:rsidRPr="006A631A">
        <w:rPr>
          <w:sz w:val="26"/>
          <w:szCs w:val="26"/>
        </w:rPr>
        <w:t xml:space="preserve">the </w:t>
      </w:r>
      <w:r w:rsidRPr="006A631A">
        <w:rPr>
          <w:sz w:val="26"/>
          <w:szCs w:val="26"/>
        </w:rPr>
        <w:t xml:space="preserve">stay-out provision could not legally be imposed </w:t>
      </w:r>
      <w:r w:rsidR="00082DE6" w:rsidRPr="006A631A">
        <w:rPr>
          <w:sz w:val="26"/>
          <w:szCs w:val="26"/>
        </w:rPr>
        <w:t xml:space="preserve">by the Commission, </w:t>
      </w:r>
      <w:r w:rsidRPr="006A631A">
        <w:rPr>
          <w:sz w:val="26"/>
          <w:szCs w:val="26"/>
        </w:rPr>
        <w:t>absent PGW’s voluntary agreement to do so.  PGW Exc. at 12.  In addition, PGW points out that</w:t>
      </w:r>
      <w:r w:rsidR="00082DE6" w:rsidRPr="006A631A">
        <w:rPr>
          <w:sz w:val="26"/>
          <w:szCs w:val="26"/>
        </w:rPr>
        <w:t>,</w:t>
      </w:r>
      <w:r w:rsidRPr="006A631A">
        <w:rPr>
          <w:sz w:val="26"/>
          <w:szCs w:val="26"/>
        </w:rPr>
        <w:t xml:space="preserve"> should PGW withdraw from the Partial Settlement and litigate its rate increase request, it could file another rate case in January 2021.  PGW Exc. at 13.</w:t>
      </w:r>
    </w:p>
    <w:p w14:paraId="42BE5CEA" w14:textId="77777777" w:rsidR="000B2E9A" w:rsidRPr="006A631A" w:rsidRDefault="000B2E9A" w:rsidP="00F510B9">
      <w:pPr>
        <w:widowControl/>
        <w:kinsoku w:val="0"/>
        <w:overflowPunct w:val="0"/>
        <w:spacing w:line="489" w:lineRule="exact"/>
        <w:ind w:right="144" w:firstLine="1440"/>
        <w:textAlignment w:val="baseline"/>
        <w:rPr>
          <w:sz w:val="26"/>
          <w:szCs w:val="26"/>
        </w:rPr>
      </w:pPr>
    </w:p>
    <w:p w14:paraId="028A3120" w14:textId="24025981" w:rsidR="009C5FB3" w:rsidRPr="006A631A" w:rsidRDefault="000B2E9A" w:rsidP="00F510B9">
      <w:pPr>
        <w:widowControl/>
        <w:kinsoku w:val="0"/>
        <w:overflowPunct w:val="0"/>
        <w:spacing w:line="489" w:lineRule="exact"/>
        <w:ind w:right="144" w:firstLine="1440"/>
        <w:textAlignment w:val="baseline"/>
        <w:rPr>
          <w:sz w:val="26"/>
          <w:szCs w:val="26"/>
        </w:rPr>
      </w:pPr>
      <w:r w:rsidRPr="006A631A">
        <w:rPr>
          <w:sz w:val="26"/>
          <w:szCs w:val="26"/>
        </w:rPr>
        <w:t xml:space="preserve">Beyond the clear financial benefits of the Partial Settlement, PGW echoes </w:t>
      </w:r>
      <w:r w:rsidR="003461B2" w:rsidRPr="006A631A">
        <w:rPr>
          <w:sz w:val="26"/>
          <w:szCs w:val="26"/>
        </w:rPr>
        <w:t xml:space="preserve">the </w:t>
      </w:r>
      <w:r w:rsidRPr="006A631A">
        <w:rPr>
          <w:sz w:val="26"/>
          <w:szCs w:val="26"/>
        </w:rPr>
        <w:t xml:space="preserve">OCA’s </w:t>
      </w:r>
      <w:r w:rsidR="005B0807" w:rsidRPr="006A631A">
        <w:rPr>
          <w:sz w:val="26"/>
          <w:szCs w:val="26"/>
        </w:rPr>
        <w:t xml:space="preserve">Exceptions by delineating </w:t>
      </w:r>
      <w:r w:rsidR="00082DE6" w:rsidRPr="006A631A">
        <w:rPr>
          <w:sz w:val="26"/>
          <w:szCs w:val="26"/>
        </w:rPr>
        <w:t>o</w:t>
      </w:r>
      <w:r w:rsidRPr="006A631A">
        <w:rPr>
          <w:sz w:val="26"/>
          <w:szCs w:val="26"/>
        </w:rPr>
        <w:t>the</w:t>
      </w:r>
      <w:r w:rsidR="00082DE6" w:rsidRPr="006A631A">
        <w:rPr>
          <w:sz w:val="26"/>
          <w:szCs w:val="26"/>
        </w:rPr>
        <w:t>r</w:t>
      </w:r>
      <w:r w:rsidRPr="006A631A">
        <w:rPr>
          <w:sz w:val="26"/>
          <w:szCs w:val="26"/>
        </w:rPr>
        <w:t xml:space="preserve"> important consumer benefits afforded its ratepayers under the comprehensive settlement package, including the COVID-19 Relief Plan,</w:t>
      </w:r>
      <w:r w:rsidR="005B0807" w:rsidRPr="006A631A">
        <w:rPr>
          <w:rStyle w:val="FootnoteReference"/>
          <w:sz w:val="26"/>
          <w:szCs w:val="26"/>
        </w:rPr>
        <w:footnoteReference w:id="33"/>
      </w:r>
      <w:r w:rsidRPr="006A631A">
        <w:rPr>
          <w:sz w:val="26"/>
          <w:szCs w:val="26"/>
        </w:rPr>
        <w:t xml:space="preserve"> modifications to PGW’s Universal Service and Energy Conservation Plan and accommodations for customers with Limited English Proficien</w:t>
      </w:r>
      <w:r w:rsidR="005B0807" w:rsidRPr="006A631A">
        <w:rPr>
          <w:sz w:val="26"/>
          <w:szCs w:val="26"/>
        </w:rPr>
        <w:t>c</w:t>
      </w:r>
      <w:r w:rsidRPr="006A631A">
        <w:rPr>
          <w:sz w:val="26"/>
          <w:szCs w:val="26"/>
        </w:rPr>
        <w:t>y.  PGW Exc. at</w:t>
      </w:r>
      <w:r w:rsidR="00AD103B" w:rsidRPr="006A631A">
        <w:rPr>
          <w:sz w:val="26"/>
          <w:szCs w:val="26"/>
        </w:rPr>
        <w:t> </w:t>
      </w:r>
      <w:r w:rsidRPr="006A631A">
        <w:rPr>
          <w:sz w:val="26"/>
          <w:szCs w:val="26"/>
        </w:rPr>
        <w:t>13</w:t>
      </w:r>
      <w:r w:rsidR="00AD103B" w:rsidRPr="006A631A">
        <w:rPr>
          <w:sz w:val="26"/>
          <w:szCs w:val="26"/>
        </w:rPr>
        <w:noBreakHyphen/>
      </w:r>
      <w:r w:rsidRPr="006A631A">
        <w:rPr>
          <w:sz w:val="26"/>
          <w:szCs w:val="26"/>
        </w:rPr>
        <w:t xml:space="preserve">14.   </w:t>
      </w:r>
    </w:p>
    <w:p w14:paraId="29EB08DD" w14:textId="77777777" w:rsidR="00DA5846" w:rsidRPr="006A631A" w:rsidRDefault="00DA5846" w:rsidP="00F510B9">
      <w:pPr>
        <w:widowControl/>
        <w:kinsoku w:val="0"/>
        <w:overflowPunct w:val="0"/>
        <w:spacing w:line="489" w:lineRule="exact"/>
        <w:ind w:right="144" w:firstLine="1440"/>
        <w:textAlignment w:val="baseline"/>
        <w:rPr>
          <w:sz w:val="26"/>
          <w:szCs w:val="26"/>
        </w:rPr>
      </w:pPr>
    </w:p>
    <w:p w14:paraId="58447ED2" w14:textId="21E84863" w:rsidR="005B0807" w:rsidRPr="006A631A" w:rsidRDefault="005B0807" w:rsidP="00F510B9">
      <w:pPr>
        <w:widowControl/>
        <w:kinsoku w:val="0"/>
        <w:overflowPunct w:val="0"/>
        <w:spacing w:line="489" w:lineRule="exact"/>
        <w:ind w:right="144" w:firstLine="1440"/>
        <w:textAlignment w:val="baseline"/>
        <w:rPr>
          <w:i/>
          <w:iCs/>
          <w:sz w:val="26"/>
          <w:szCs w:val="26"/>
        </w:rPr>
      </w:pPr>
      <w:r w:rsidRPr="006A631A">
        <w:rPr>
          <w:sz w:val="26"/>
          <w:szCs w:val="26"/>
        </w:rPr>
        <w:t>PGW also mirrors I&amp;E’s concern that material modification of the Partial Settlement would have a chilling effect on future settlement agreements.  PGW Exc. at</w:t>
      </w:r>
      <w:r w:rsidR="008D4CFE">
        <w:rPr>
          <w:sz w:val="26"/>
          <w:szCs w:val="26"/>
        </w:rPr>
        <w:t> </w:t>
      </w:r>
      <w:r w:rsidRPr="006A631A">
        <w:rPr>
          <w:sz w:val="26"/>
          <w:szCs w:val="26"/>
        </w:rPr>
        <w:t xml:space="preserve">14.  PGW asserts that comprehensive settlements take significant time and resources to develop and are carefully crafted to balance the competing interests of the stakeholders.  PGW urges the Commission to recognize the Partial Settlement as in the </w:t>
      </w:r>
      <w:r w:rsidRPr="006A631A">
        <w:rPr>
          <w:sz w:val="26"/>
          <w:szCs w:val="26"/>
        </w:rPr>
        <w:lastRenderedPageBreak/>
        <w:t xml:space="preserve">public interest and approve it as consistent with the Commission’s policy encouraging settlements.  </w:t>
      </w:r>
      <w:r w:rsidRPr="006A631A">
        <w:rPr>
          <w:i/>
          <w:iCs/>
          <w:sz w:val="26"/>
          <w:szCs w:val="26"/>
        </w:rPr>
        <w:t>Id.</w:t>
      </w:r>
    </w:p>
    <w:p w14:paraId="70B6E98D" w14:textId="713741A8" w:rsidR="005B0807" w:rsidRPr="006A631A" w:rsidRDefault="005B0807" w:rsidP="00F510B9">
      <w:pPr>
        <w:widowControl/>
        <w:kinsoku w:val="0"/>
        <w:overflowPunct w:val="0"/>
        <w:spacing w:line="360" w:lineRule="auto"/>
        <w:ind w:right="144" w:firstLine="1440"/>
        <w:textAlignment w:val="baseline"/>
        <w:rPr>
          <w:i/>
          <w:iCs/>
          <w:sz w:val="26"/>
          <w:szCs w:val="26"/>
        </w:rPr>
      </w:pPr>
    </w:p>
    <w:p w14:paraId="6FDECD4E" w14:textId="2096F94E" w:rsidR="0039411C" w:rsidRPr="00FD5F6C" w:rsidRDefault="0039411C" w:rsidP="00BE0708">
      <w:pPr>
        <w:pStyle w:val="ListParagraph"/>
        <w:widowControl/>
        <w:numPr>
          <w:ilvl w:val="0"/>
          <w:numId w:val="14"/>
        </w:numPr>
        <w:kinsoku w:val="0"/>
        <w:overflowPunct w:val="0"/>
        <w:spacing w:line="489" w:lineRule="exact"/>
        <w:ind w:left="2880" w:right="144"/>
        <w:textAlignment w:val="baseline"/>
        <w:rPr>
          <w:b/>
          <w:bCs/>
          <w:sz w:val="26"/>
          <w:szCs w:val="26"/>
        </w:rPr>
      </w:pPr>
      <w:r w:rsidRPr="00FD5F6C">
        <w:rPr>
          <w:b/>
          <w:bCs/>
          <w:sz w:val="26"/>
          <w:szCs w:val="26"/>
        </w:rPr>
        <w:t>PGW Settlement Exception 3</w:t>
      </w:r>
    </w:p>
    <w:p w14:paraId="19951273" w14:textId="77777777" w:rsidR="0039411C" w:rsidRPr="006A631A" w:rsidRDefault="0039411C" w:rsidP="00F510B9">
      <w:pPr>
        <w:widowControl/>
        <w:kinsoku w:val="0"/>
        <w:overflowPunct w:val="0"/>
        <w:spacing w:line="360" w:lineRule="auto"/>
        <w:ind w:right="144" w:firstLine="1440"/>
        <w:textAlignment w:val="baseline"/>
        <w:rPr>
          <w:b/>
          <w:bCs/>
          <w:sz w:val="26"/>
          <w:szCs w:val="26"/>
        </w:rPr>
      </w:pPr>
    </w:p>
    <w:p w14:paraId="1CE42691" w14:textId="5CB7AD55" w:rsidR="00B54155" w:rsidRPr="006A631A" w:rsidRDefault="005B0807" w:rsidP="00F510B9">
      <w:pPr>
        <w:widowControl/>
        <w:kinsoku w:val="0"/>
        <w:overflowPunct w:val="0"/>
        <w:spacing w:line="360" w:lineRule="auto"/>
        <w:ind w:right="216" w:firstLine="1440"/>
        <w:textAlignment w:val="baseline"/>
        <w:rPr>
          <w:i/>
          <w:iCs/>
          <w:sz w:val="26"/>
          <w:szCs w:val="26"/>
        </w:rPr>
      </w:pPr>
      <w:r w:rsidRPr="006A631A">
        <w:rPr>
          <w:sz w:val="26"/>
          <w:szCs w:val="26"/>
        </w:rPr>
        <w:t>PGW details the importance of providing rate relief to it on the agreed-upon phased</w:t>
      </w:r>
      <w:r w:rsidR="00A0643F" w:rsidRPr="006A631A">
        <w:rPr>
          <w:sz w:val="26"/>
          <w:szCs w:val="26"/>
        </w:rPr>
        <w:t>-in</w:t>
      </w:r>
      <w:r w:rsidRPr="006A631A">
        <w:rPr>
          <w:sz w:val="26"/>
          <w:szCs w:val="26"/>
        </w:rPr>
        <w:t xml:space="preserve"> schedule and significant financial detriment that would be visited upon PGW in the event rate relief were pushed out six months.  PGW Exc. at </w:t>
      </w:r>
      <w:r w:rsidR="00CE1F35" w:rsidRPr="006A631A">
        <w:rPr>
          <w:sz w:val="26"/>
          <w:szCs w:val="26"/>
        </w:rPr>
        <w:t xml:space="preserve">15-22.  </w:t>
      </w:r>
      <w:r w:rsidR="00B54155" w:rsidRPr="006A631A">
        <w:rPr>
          <w:sz w:val="26"/>
          <w:szCs w:val="26"/>
        </w:rPr>
        <w:t xml:space="preserve">PGW </w:t>
      </w:r>
      <w:r w:rsidR="00CE1F35" w:rsidRPr="006A631A">
        <w:rPr>
          <w:sz w:val="26"/>
          <w:szCs w:val="26"/>
        </w:rPr>
        <w:t>not</w:t>
      </w:r>
      <w:r w:rsidR="00B54155" w:rsidRPr="006A631A">
        <w:rPr>
          <w:sz w:val="26"/>
          <w:szCs w:val="26"/>
        </w:rPr>
        <w:t>es</w:t>
      </w:r>
      <w:r w:rsidR="00CE1F35" w:rsidRPr="006A631A">
        <w:rPr>
          <w:sz w:val="26"/>
          <w:szCs w:val="26"/>
        </w:rPr>
        <w:t xml:space="preserve"> that the Recommended Decision properly recognizes that PGW needs rate relief, finding that continuing at its current level of rates is insufficient to produce crucially necessary cash working capital and liquidity.  </w:t>
      </w:r>
      <w:r w:rsidR="00B54155" w:rsidRPr="006A631A">
        <w:rPr>
          <w:sz w:val="26"/>
          <w:szCs w:val="26"/>
        </w:rPr>
        <w:t xml:space="preserve">PGW Exc. at 15.  PGW explained in its Brief and Statement in Support that without sufficient rate relief in the FPFTY, PGW will be on the edge of not being able to meet its bond covenants in the FPFTY and will violate its debt service coverage requirements in FY 2022. </w:t>
      </w:r>
      <w:r w:rsidR="00A0643F" w:rsidRPr="006A631A">
        <w:rPr>
          <w:sz w:val="26"/>
          <w:szCs w:val="26"/>
        </w:rPr>
        <w:t xml:space="preserve"> </w:t>
      </w:r>
      <w:r w:rsidR="00B54155" w:rsidRPr="006A631A">
        <w:rPr>
          <w:sz w:val="26"/>
          <w:szCs w:val="26"/>
        </w:rPr>
        <w:t>Specifically, without rate relief, PGW’s cash balances are projected to plunge and be negative in FY 2022.</w:t>
      </w:r>
      <w:r w:rsidR="00D17724" w:rsidRPr="006A631A">
        <w:rPr>
          <w:sz w:val="26"/>
          <w:szCs w:val="26"/>
          <w:vertAlign w:val="superscript"/>
        </w:rPr>
        <w:t xml:space="preserve">  </w:t>
      </w:r>
      <w:r w:rsidR="00B54155" w:rsidRPr="006A631A">
        <w:rPr>
          <w:sz w:val="26"/>
          <w:szCs w:val="26"/>
        </w:rPr>
        <w:t>Importantly, these financial projections do not include</w:t>
      </w:r>
      <w:r w:rsidR="00B54155" w:rsidRPr="006A631A">
        <w:rPr>
          <w:b/>
          <w:bCs/>
          <w:sz w:val="26"/>
          <w:szCs w:val="26"/>
        </w:rPr>
        <w:t xml:space="preserve"> </w:t>
      </w:r>
      <w:r w:rsidR="00B54155" w:rsidRPr="006A631A">
        <w:rPr>
          <w:sz w:val="26"/>
          <w:szCs w:val="26"/>
        </w:rPr>
        <w:t xml:space="preserve">projected additional expenses and reduced revenue in the FPFTY (FY 2021) of some $33-35 million resulting from the economic effects of the pandemic. </w:t>
      </w:r>
      <w:r w:rsidR="00CE23FF" w:rsidRPr="006A631A">
        <w:rPr>
          <w:sz w:val="26"/>
          <w:szCs w:val="26"/>
        </w:rPr>
        <w:t xml:space="preserve"> </w:t>
      </w:r>
      <w:r w:rsidR="00B54155" w:rsidRPr="006A631A">
        <w:rPr>
          <w:sz w:val="26"/>
          <w:szCs w:val="26"/>
        </w:rPr>
        <w:t>Accordingly, PGW argues that the record shows that completely rejecting any rate increases would be inconsistent with Commission’s cash flow ratemaking standards</w:t>
      </w:r>
      <w:r w:rsidR="00B54155" w:rsidRPr="006A631A">
        <w:rPr>
          <w:sz w:val="26"/>
          <w:szCs w:val="26"/>
          <w:vertAlign w:val="superscript"/>
        </w:rPr>
        <w:t xml:space="preserve"> </w:t>
      </w:r>
      <w:r w:rsidR="00B54155" w:rsidRPr="006A631A">
        <w:rPr>
          <w:sz w:val="26"/>
          <w:szCs w:val="26"/>
        </w:rPr>
        <w:t xml:space="preserve">and the Code and would be illegally confiscatory.  </w:t>
      </w:r>
      <w:r w:rsidR="00B54155" w:rsidRPr="006A631A">
        <w:rPr>
          <w:i/>
          <w:iCs/>
          <w:sz w:val="26"/>
          <w:szCs w:val="26"/>
        </w:rPr>
        <w:t>Id.</w:t>
      </w:r>
    </w:p>
    <w:p w14:paraId="452478AE" w14:textId="77777777" w:rsidR="006F6D98" w:rsidRPr="006A631A" w:rsidRDefault="006F6D98" w:rsidP="00F510B9">
      <w:pPr>
        <w:widowControl/>
        <w:kinsoku w:val="0"/>
        <w:overflowPunct w:val="0"/>
        <w:spacing w:line="360" w:lineRule="auto"/>
        <w:ind w:right="216" w:firstLine="1526"/>
        <w:textAlignment w:val="baseline"/>
        <w:rPr>
          <w:sz w:val="26"/>
          <w:szCs w:val="26"/>
        </w:rPr>
      </w:pPr>
    </w:p>
    <w:p w14:paraId="04E432BB" w14:textId="5EF3AC43" w:rsidR="00B54155" w:rsidRPr="006A631A" w:rsidRDefault="00B54155" w:rsidP="00F510B9">
      <w:pPr>
        <w:widowControl/>
        <w:kinsoku w:val="0"/>
        <w:overflowPunct w:val="0"/>
        <w:spacing w:line="360" w:lineRule="auto"/>
        <w:ind w:right="216" w:firstLine="1526"/>
        <w:textAlignment w:val="baseline"/>
        <w:rPr>
          <w:sz w:val="26"/>
          <w:szCs w:val="26"/>
        </w:rPr>
      </w:pPr>
      <w:r w:rsidRPr="006A631A">
        <w:rPr>
          <w:sz w:val="26"/>
          <w:szCs w:val="26"/>
        </w:rPr>
        <w:t xml:space="preserve">The Partial Settlement recognizes PGW’s need for rate relief to avoid these severely negative financial consequences and permits the Company to raise rates ultimately by $35 million.  But importantly, the Partial Settlement attempts to mitigate the effect on customers by phasing in the rate increase with a small ($10 million) increase in January 2021, a second $10 million increase in July 2021 and then a final increase in January 2022.  PGW Exc. at 15-16.  PGW explains that the first of those increases would occur during the heating season (October through March), when PGW </w:t>
      </w:r>
      <w:r w:rsidRPr="006A631A">
        <w:rPr>
          <w:sz w:val="26"/>
          <w:szCs w:val="26"/>
        </w:rPr>
        <w:lastRenderedPageBreak/>
        <w:t>has the greatest amount of demand, but also the greatest amount of cash obligations.</w:t>
      </w:r>
      <w:r w:rsidR="006F6D98" w:rsidRPr="006A631A">
        <w:rPr>
          <w:rStyle w:val="FootnoteReference"/>
          <w:sz w:val="26"/>
          <w:szCs w:val="26"/>
        </w:rPr>
        <w:footnoteReference w:id="34"/>
      </w:r>
      <w:r w:rsidRPr="006A631A">
        <w:rPr>
          <w:sz w:val="26"/>
          <w:szCs w:val="26"/>
        </w:rPr>
        <w:t xml:space="preserve">  </w:t>
      </w:r>
      <w:r w:rsidR="00943149" w:rsidRPr="006A631A">
        <w:rPr>
          <w:sz w:val="26"/>
          <w:szCs w:val="26"/>
        </w:rPr>
        <w:t>PGW asserts that it</w:t>
      </w:r>
      <w:r w:rsidRPr="006A631A">
        <w:rPr>
          <w:sz w:val="26"/>
          <w:szCs w:val="26"/>
        </w:rPr>
        <w:t xml:space="preserve"> agreed to these phased-in rate increases without requiring recoupment of the amounts that were not billed starting in January 2021. </w:t>
      </w:r>
      <w:r w:rsidR="00CE23FF" w:rsidRPr="006A631A">
        <w:rPr>
          <w:sz w:val="26"/>
          <w:szCs w:val="26"/>
        </w:rPr>
        <w:t xml:space="preserve"> </w:t>
      </w:r>
      <w:r w:rsidRPr="006A631A">
        <w:rPr>
          <w:sz w:val="26"/>
          <w:szCs w:val="26"/>
        </w:rPr>
        <w:t>This concession alone reduced the effect of the Settlement rate increase on ratepayers by approximately $19 million.</w:t>
      </w:r>
      <w:r w:rsidR="00943149" w:rsidRPr="006A631A">
        <w:rPr>
          <w:sz w:val="26"/>
          <w:szCs w:val="26"/>
        </w:rPr>
        <w:t xml:space="preserve">  PGW Exc. at 16.</w:t>
      </w:r>
    </w:p>
    <w:p w14:paraId="081A32B0" w14:textId="5F4E6357" w:rsidR="00943149" w:rsidRPr="006A631A" w:rsidRDefault="00943149" w:rsidP="00F510B9">
      <w:pPr>
        <w:widowControl/>
        <w:kinsoku w:val="0"/>
        <w:overflowPunct w:val="0"/>
        <w:spacing w:line="360" w:lineRule="auto"/>
        <w:ind w:right="216" w:firstLine="1526"/>
        <w:textAlignment w:val="baseline"/>
        <w:rPr>
          <w:sz w:val="26"/>
          <w:szCs w:val="26"/>
        </w:rPr>
      </w:pPr>
    </w:p>
    <w:p w14:paraId="5D45E888" w14:textId="6C0A91F3" w:rsidR="00943149" w:rsidRPr="006A631A" w:rsidRDefault="00943149" w:rsidP="00F510B9">
      <w:pPr>
        <w:widowControl/>
        <w:kinsoku w:val="0"/>
        <w:overflowPunct w:val="0"/>
        <w:spacing w:line="360" w:lineRule="auto"/>
        <w:ind w:right="216" w:firstLine="1526"/>
        <w:textAlignment w:val="baseline"/>
        <w:rPr>
          <w:i/>
          <w:iCs/>
          <w:sz w:val="26"/>
          <w:szCs w:val="26"/>
        </w:rPr>
      </w:pPr>
      <w:r w:rsidRPr="006A631A">
        <w:rPr>
          <w:sz w:val="26"/>
          <w:szCs w:val="26"/>
        </w:rPr>
        <w:t xml:space="preserve">PGW argues that the Recommended Decision’s suggested modifications delaying the rate increase schedule would significantly reduce the additional revenue permitted under the Partial Settlement and would have severe negative impacts on the Company’s financial metric and its levels of cash available to pay its bills. Accordingly, these proposed delays are neither reasonable nor in the public interest and should be rejected.  </w:t>
      </w:r>
      <w:r w:rsidRPr="006A631A">
        <w:rPr>
          <w:i/>
          <w:iCs/>
          <w:sz w:val="26"/>
          <w:szCs w:val="26"/>
        </w:rPr>
        <w:t xml:space="preserve">Id.  </w:t>
      </w:r>
    </w:p>
    <w:p w14:paraId="035F45F2" w14:textId="77777777" w:rsidR="006F6D98" w:rsidRPr="006A631A" w:rsidRDefault="006F6D98" w:rsidP="00F510B9">
      <w:pPr>
        <w:widowControl/>
        <w:kinsoku w:val="0"/>
        <w:overflowPunct w:val="0"/>
        <w:spacing w:line="360" w:lineRule="auto"/>
        <w:ind w:right="216" w:firstLine="1526"/>
        <w:textAlignment w:val="baseline"/>
        <w:rPr>
          <w:sz w:val="26"/>
          <w:szCs w:val="26"/>
        </w:rPr>
      </w:pPr>
    </w:p>
    <w:p w14:paraId="1C1BEBDC" w14:textId="65691F63" w:rsidR="00937618" w:rsidRPr="006A631A" w:rsidRDefault="00937618" w:rsidP="00F510B9">
      <w:pPr>
        <w:widowControl/>
        <w:kinsoku w:val="0"/>
        <w:overflowPunct w:val="0"/>
        <w:spacing w:line="360" w:lineRule="auto"/>
        <w:ind w:right="216" w:firstLine="1526"/>
        <w:textAlignment w:val="baseline"/>
        <w:rPr>
          <w:sz w:val="26"/>
          <w:szCs w:val="26"/>
        </w:rPr>
      </w:pPr>
      <w:r w:rsidRPr="006A631A">
        <w:rPr>
          <w:sz w:val="26"/>
          <w:szCs w:val="26"/>
        </w:rPr>
        <w:t xml:space="preserve">PGW asks that the Commission recognize that the Partial Settlement’s phased-in rate increase was already a substantial concession in comparison to PGW’s original rate proposal.  PGW calculated its financial metrics on a pro forma basis in the FPFTY resulting from the Settlement </w:t>
      </w:r>
      <w:proofErr w:type="gramStart"/>
      <w:r w:rsidRPr="006A631A">
        <w:rPr>
          <w:sz w:val="26"/>
          <w:szCs w:val="26"/>
        </w:rPr>
        <w:t>assuming that</w:t>
      </w:r>
      <w:proofErr w:type="gramEnd"/>
      <w:r w:rsidRPr="006A631A">
        <w:rPr>
          <w:sz w:val="26"/>
          <w:szCs w:val="26"/>
        </w:rPr>
        <w:t xml:space="preserve"> PGW would bill the full $35 million in FY 2021, as follows:</w:t>
      </w:r>
    </w:p>
    <w:p w14:paraId="1607F42E" w14:textId="59495197" w:rsidR="006F6D98" w:rsidRPr="006A631A" w:rsidRDefault="006F6D98" w:rsidP="00AD103B">
      <w:pPr>
        <w:keepNext/>
        <w:widowControl/>
        <w:kinsoku w:val="0"/>
        <w:overflowPunct w:val="0"/>
        <w:spacing w:before="80" w:after="215" w:line="317" w:lineRule="exact"/>
        <w:jc w:val="center"/>
        <w:textAlignment w:val="baseline"/>
        <w:rPr>
          <w:sz w:val="26"/>
          <w:szCs w:val="26"/>
          <w:u w:val="single"/>
        </w:rPr>
      </w:pPr>
      <w:r w:rsidRPr="006A631A">
        <w:rPr>
          <w:sz w:val="26"/>
          <w:szCs w:val="26"/>
          <w:u w:val="single"/>
        </w:rPr>
        <w:t>PGW Settlement Rates Comparison (@ $35.0 Million)</w:t>
      </w:r>
    </w:p>
    <w:tbl>
      <w:tblPr>
        <w:tblW w:w="0" w:type="auto"/>
        <w:tblInd w:w="25" w:type="dxa"/>
        <w:tblLayout w:type="fixed"/>
        <w:tblCellMar>
          <w:left w:w="0" w:type="dxa"/>
          <w:right w:w="0" w:type="dxa"/>
        </w:tblCellMar>
        <w:tblLook w:val="0000" w:firstRow="0" w:lastRow="0" w:firstColumn="0" w:lastColumn="0" w:noHBand="0" w:noVBand="0"/>
      </w:tblPr>
      <w:tblGrid>
        <w:gridCol w:w="2477"/>
        <w:gridCol w:w="2141"/>
        <w:gridCol w:w="1411"/>
        <w:gridCol w:w="1622"/>
        <w:gridCol w:w="1709"/>
      </w:tblGrid>
      <w:tr w:rsidR="006F6D98" w:rsidRPr="006A631A" w14:paraId="034EFB23" w14:textId="77777777" w:rsidTr="00A14152">
        <w:trPr>
          <w:trHeight w:hRule="exact" w:val="446"/>
        </w:trPr>
        <w:tc>
          <w:tcPr>
            <w:tcW w:w="2477" w:type="dxa"/>
            <w:tcBorders>
              <w:top w:val="single" w:sz="5" w:space="0" w:color="auto"/>
              <w:left w:val="single" w:sz="5" w:space="0" w:color="auto"/>
              <w:bottom w:val="single" w:sz="5" w:space="0" w:color="auto"/>
              <w:right w:val="single" w:sz="5" w:space="0" w:color="auto"/>
            </w:tcBorders>
          </w:tcPr>
          <w:p w14:paraId="4A2F5896" w14:textId="77777777" w:rsidR="006F6D98" w:rsidRPr="006A631A" w:rsidRDefault="006F6D98" w:rsidP="00AD103B">
            <w:pPr>
              <w:keepNext/>
              <w:widowControl/>
              <w:kinsoku w:val="0"/>
              <w:overflowPunct w:val="0"/>
              <w:textAlignment w:val="baseline"/>
              <w:rPr>
                <w:sz w:val="26"/>
                <w:szCs w:val="26"/>
              </w:rPr>
            </w:pPr>
          </w:p>
        </w:tc>
        <w:tc>
          <w:tcPr>
            <w:tcW w:w="2141" w:type="dxa"/>
            <w:tcBorders>
              <w:top w:val="single" w:sz="5" w:space="0" w:color="auto"/>
              <w:left w:val="single" w:sz="5" w:space="0" w:color="auto"/>
              <w:bottom w:val="single" w:sz="5" w:space="0" w:color="auto"/>
              <w:right w:val="single" w:sz="5" w:space="0" w:color="auto"/>
            </w:tcBorders>
          </w:tcPr>
          <w:p w14:paraId="15663E19" w14:textId="77777777" w:rsidR="006F6D98" w:rsidRPr="006A631A" w:rsidRDefault="006F6D98" w:rsidP="00AD103B">
            <w:pPr>
              <w:keepNext/>
              <w:widowControl/>
              <w:kinsoku w:val="0"/>
              <w:overflowPunct w:val="0"/>
              <w:spacing w:after="143" w:line="274" w:lineRule="exact"/>
              <w:ind w:right="311"/>
              <w:jc w:val="right"/>
              <w:textAlignment w:val="baseline"/>
              <w:rPr>
                <w:b/>
                <w:bCs/>
                <w:sz w:val="26"/>
                <w:szCs w:val="26"/>
              </w:rPr>
            </w:pPr>
            <w:r w:rsidRPr="006A631A">
              <w:rPr>
                <w:b/>
                <w:bCs/>
                <w:sz w:val="26"/>
                <w:szCs w:val="26"/>
              </w:rPr>
              <w:t>PGW @ $70M</w:t>
            </w:r>
          </w:p>
        </w:tc>
        <w:tc>
          <w:tcPr>
            <w:tcW w:w="1411" w:type="dxa"/>
            <w:tcBorders>
              <w:top w:val="single" w:sz="5" w:space="0" w:color="auto"/>
              <w:left w:val="single" w:sz="5" w:space="0" w:color="auto"/>
              <w:bottom w:val="single" w:sz="5" w:space="0" w:color="auto"/>
              <w:right w:val="single" w:sz="5" w:space="0" w:color="auto"/>
            </w:tcBorders>
          </w:tcPr>
          <w:p w14:paraId="0E690320" w14:textId="77777777" w:rsidR="006F6D98" w:rsidRPr="006A631A" w:rsidRDefault="006F6D98" w:rsidP="00AD103B">
            <w:pPr>
              <w:keepNext/>
              <w:widowControl/>
              <w:kinsoku w:val="0"/>
              <w:overflowPunct w:val="0"/>
              <w:spacing w:after="143" w:line="274" w:lineRule="exact"/>
              <w:ind w:left="441"/>
              <w:textAlignment w:val="baseline"/>
              <w:rPr>
                <w:b/>
                <w:bCs/>
                <w:sz w:val="26"/>
                <w:szCs w:val="26"/>
              </w:rPr>
            </w:pPr>
            <w:r w:rsidRPr="006A631A">
              <w:rPr>
                <w:b/>
                <w:bCs/>
                <w:sz w:val="26"/>
                <w:szCs w:val="26"/>
              </w:rPr>
              <w:t>OCA</w:t>
            </w:r>
          </w:p>
        </w:tc>
        <w:tc>
          <w:tcPr>
            <w:tcW w:w="1622" w:type="dxa"/>
            <w:tcBorders>
              <w:top w:val="single" w:sz="5" w:space="0" w:color="auto"/>
              <w:left w:val="single" w:sz="5" w:space="0" w:color="auto"/>
              <w:bottom w:val="single" w:sz="5" w:space="0" w:color="auto"/>
              <w:right w:val="single" w:sz="5" w:space="0" w:color="auto"/>
            </w:tcBorders>
          </w:tcPr>
          <w:p w14:paraId="6DA9A562" w14:textId="77777777" w:rsidR="006F6D98" w:rsidRPr="006A631A" w:rsidRDefault="006F6D98" w:rsidP="00AD103B">
            <w:pPr>
              <w:keepNext/>
              <w:widowControl/>
              <w:kinsoku w:val="0"/>
              <w:overflowPunct w:val="0"/>
              <w:spacing w:after="143" w:line="274" w:lineRule="exact"/>
              <w:ind w:right="561"/>
              <w:jc w:val="right"/>
              <w:textAlignment w:val="baseline"/>
              <w:rPr>
                <w:b/>
                <w:bCs/>
                <w:sz w:val="26"/>
                <w:szCs w:val="26"/>
              </w:rPr>
            </w:pPr>
            <w:r w:rsidRPr="006A631A">
              <w:rPr>
                <w:b/>
                <w:bCs/>
                <w:sz w:val="26"/>
                <w:szCs w:val="26"/>
              </w:rPr>
              <w:t>BIE</w:t>
            </w:r>
          </w:p>
        </w:tc>
        <w:tc>
          <w:tcPr>
            <w:tcW w:w="1709" w:type="dxa"/>
            <w:tcBorders>
              <w:top w:val="single" w:sz="5" w:space="0" w:color="auto"/>
              <w:left w:val="single" w:sz="5" w:space="0" w:color="auto"/>
              <w:bottom w:val="single" w:sz="5" w:space="0" w:color="auto"/>
              <w:right w:val="single" w:sz="5" w:space="0" w:color="auto"/>
            </w:tcBorders>
          </w:tcPr>
          <w:p w14:paraId="203A9ABD" w14:textId="77777777" w:rsidR="006F6D98" w:rsidRPr="006A631A" w:rsidRDefault="006F6D98" w:rsidP="00AD103B">
            <w:pPr>
              <w:keepNext/>
              <w:widowControl/>
              <w:kinsoku w:val="0"/>
              <w:overflowPunct w:val="0"/>
              <w:spacing w:after="143" w:line="274" w:lineRule="exact"/>
              <w:ind w:left="312"/>
              <w:textAlignment w:val="baseline"/>
              <w:rPr>
                <w:b/>
                <w:bCs/>
                <w:sz w:val="26"/>
                <w:szCs w:val="26"/>
              </w:rPr>
            </w:pPr>
            <w:r w:rsidRPr="006A631A">
              <w:rPr>
                <w:b/>
                <w:bCs/>
                <w:sz w:val="26"/>
                <w:szCs w:val="26"/>
              </w:rPr>
              <w:t>Settlement</w:t>
            </w:r>
          </w:p>
        </w:tc>
      </w:tr>
      <w:tr w:rsidR="006F6D98" w:rsidRPr="006A631A" w14:paraId="05C1E77D" w14:textId="77777777" w:rsidTr="00A14152">
        <w:trPr>
          <w:trHeight w:hRule="exact" w:val="562"/>
        </w:trPr>
        <w:tc>
          <w:tcPr>
            <w:tcW w:w="2477" w:type="dxa"/>
            <w:tcBorders>
              <w:top w:val="single" w:sz="5" w:space="0" w:color="auto"/>
              <w:left w:val="single" w:sz="5" w:space="0" w:color="auto"/>
              <w:bottom w:val="single" w:sz="5" w:space="0" w:color="auto"/>
              <w:right w:val="single" w:sz="5" w:space="0" w:color="auto"/>
            </w:tcBorders>
          </w:tcPr>
          <w:p w14:paraId="08052338" w14:textId="77777777" w:rsidR="006F6D98" w:rsidRPr="006A631A" w:rsidRDefault="006F6D98" w:rsidP="00AD103B">
            <w:pPr>
              <w:keepNext/>
              <w:widowControl/>
              <w:kinsoku w:val="0"/>
              <w:overflowPunct w:val="0"/>
              <w:spacing w:line="276" w:lineRule="exact"/>
              <w:ind w:left="108"/>
              <w:textAlignment w:val="baseline"/>
              <w:rPr>
                <w:sz w:val="26"/>
                <w:szCs w:val="26"/>
              </w:rPr>
            </w:pPr>
            <w:r w:rsidRPr="006A631A">
              <w:rPr>
                <w:sz w:val="26"/>
                <w:szCs w:val="26"/>
              </w:rPr>
              <w:t>Debt Service Coverage (1998 Bonds)</w:t>
            </w:r>
          </w:p>
        </w:tc>
        <w:tc>
          <w:tcPr>
            <w:tcW w:w="2141" w:type="dxa"/>
            <w:tcBorders>
              <w:top w:val="single" w:sz="5" w:space="0" w:color="auto"/>
              <w:left w:val="single" w:sz="5" w:space="0" w:color="auto"/>
              <w:bottom w:val="single" w:sz="5" w:space="0" w:color="auto"/>
              <w:right w:val="single" w:sz="5" w:space="0" w:color="auto"/>
            </w:tcBorders>
          </w:tcPr>
          <w:p w14:paraId="4824C2FC" w14:textId="6247CDB5" w:rsidR="006F6D98" w:rsidRPr="006A631A" w:rsidRDefault="006F6D98" w:rsidP="00AD103B">
            <w:pPr>
              <w:keepNext/>
              <w:widowControl/>
              <w:kinsoku w:val="0"/>
              <w:overflowPunct w:val="0"/>
              <w:spacing w:line="258" w:lineRule="exact"/>
              <w:ind w:left="432"/>
              <w:textAlignment w:val="baseline"/>
              <w:rPr>
                <w:sz w:val="26"/>
                <w:szCs w:val="26"/>
              </w:rPr>
            </w:pPr>
            <w:r w:rsidRPr="006A631A">
              <w:rPr>
                <w:sz w:val="26"/>
                <w:szCs w:val="26"/>
              </w:rPr>
              <w:t>2.35x</w:t>
            </w:r>
          </w:p>
          <w:p w14:paraId="45590B63" w14:textId="77777777" w:rsidR="006F6D98" w:rsidRPr="006A631A" w:rsidRDefault="006F6D98" w:rsidP="00AD103B">
            <w:pPr>
              <w:keepNext/>
              <w:widowControl/>
              <w:kinsoku w:val="0"/>
              <w:overflowPunct w:val="0"/>
              <w:spacing w:before="31" w:line="268" w:lineRule="exact"/>
              <w:ind w:left="432"/>
              <w:textAlignment w:val="baseline"/>
              <w:rPr>
                <w:sz w:val="26"/>
                <w:szCs w:val="26"/>
              </w:rPr>
            </w:pPr>
            <w:r w:rsidRPr="006A631A">
              <w:rPr>
                <w:sz w:val="26"/>
                <w:szCs w:val="26"/>
              </w:rPr>
              <w:t>(2.18x w/o CF)</w:t>
            </w:r>
          </w:p>
        </w:tc>
        <w:tc>
          <w:tcPr>
            <w:tcW w:w="1411" w:type="dxa"/>
            <w:tcBorders>
              <w:top w:val="single" w:sz="5" w:space="0" w:color="auto"/>
              <w:left w:val="single" w:sz="5" w:space="0" w:color="auto"/>
              <w:bottom w:val="single" w:sz="5" w:space="0" w:color="auto"/>
              <w:right w:val="single" w:sz="5" w:space="0" w:color="auto"/>
            </w:tcBorders>
          </w:tcPr>
          <w:p w14:paraId="0416BB52" w14:textId="6F349A74" w:rsidR="006F6D98" w:rsidRPr="006A631A" w:rsidRDefault="006F6D98" w:rsidP="00AD103B">
            <w:pPr>
              <w:keepNext/>
              <w:widowControl/>
              <w:kinsoku w:val="0"/>
              <w:overflowPunct w:val="0"/>
              <w:spacing w:after="299" w:line="258" w:lineRule="exact"/>
              <w:ind w:left="441"/>
              <w:textAlignment w:val="baseline"/>
              <w:rPr>
                <w:sz w:val="26"/>
                <w:szCs w:val="26"/>
              </w:rPr>
            </w:pPr>
            <w:r w:rsidRPr="006A631A">
              <w:rPr>
                <w:sz w:val="26"/>
                <w:szCs w:val="26"/>
              </w:rPr>
              <w:t>1.88x</w:t>
            </w:r>
          </w:p>
        </w:tc>
        <w:tc>
          <w:tcPr>
            <w:tcW w:w="1622" w:type="dxa"/>
            <w:tcBorders>
              <w:top w:val="single" w:sz="5" w:space="0" w:color="auto"/>
              <w:left w:val="single" w:sz="5" w:space="0" w:color="auto"/>
              <w:bottom w:val="single" w:sz="5" w:space="0" w:color="auto"/>
              <w:right w:val="single" w:sz="5" w:space="0" w:color="auto"/>
            </w:tcBorders>
          </w:tcPr>
          <w:p w14:paraId="771CF0E8" w14:textId="016CBFCA" w:rsidR="006F6D98" w:rsidRPr="006A631A" w:rsidRDefault="006F6D98" w:rsidP="00AD103B">
            <w:pPr>
              <w:keepNext/>
              <w:widowControl/>
              <w:kinsoku w:val="0"/>
              <w:overflowPunct w:val="0"/>
              <w:spacing w:after="299" w:line="258" w:lineRule="exact"/>
              <w:ind w:left="365"/>
              <w:textAlignment w:val="baseline"/>
              <w:rPr>
                <w:sz w:val="26"/>
                <w:szCs w:val="26"/>
              </w:rPr>
            </w:pPr>
            <w:r w:rsidRPr="006A631A">
              <w:rPr>
                <w:sz w:val="26"/>
                <w:szCs w:val="26"/>
              </w:rPr>
              <w:t>1.87x</w:t>
            </w:r>
          </w:p>
        </w:tc>
        <w:tc>
          <w:tcPr>
            <w:tcW w:w="1709" w:type="dxa"/>
            <w:tcBorders>
              <w:top w:val="single" w:sz="5" w:space="0" w:color="auto"/>
              <w:left w:val="single" w:sz="5" w:space="0" w:color="auto"/>
              <w:bottom w:val="single" w:sz="5" w:space="0" w:color="auto"/>
              <w:right w:val="single" w:sz="5" w:space="0" w:color="auto"/>
            </w:tcBorders>
            <w:shd w:val="solid" w:color="BEBEBE" w:fill="auto"/>
          </w:tcPr>
          <w:p w14:paraId="2C52F65C" w14:textId="77777777" w:rsidR="006F6D98" w:rsidRPr="006A631A" w:rsidRDefault="006F6D98" w:rsidP="00AD103B">
            <w:pPr>
              <w:keepNext/>
              <w:widowControl/>
              <w:kinsoku w:val="0"/>
              <w:overflowPunct w:val="0"/>
              <w:spacing w:after="274" w:line="273" w:lineRule="exact"/>
              <w:ind w:left="312"/>
              <w:textAlignment w:val="baseline"/>
              <w:rPr>
                <w:color w:val="000000"/>
                <w:sz w:val="26"/>
                <w:szCs w:val="26"/>
              </w:rPr>
            </w:pPr>
            <w:r w:rsidRPr="006A631A">
              <w:rPr>
                <w:color w:val="000000"/>
                <w:sz w:val="26"/>
                <w:szCs w:val="26"/>
              </w:rPr>
              <w:t>2.03X</w:t>
            </w:r>
          </w:p>
        </w:tc>
      </w:tr>
      <w:tr w:rsidR="006F6D98" w:rsidRPr="006A631A" w14:paraId="0804B2DD" w14:textId="77777777" w:rsidTr="00A14152">
        <w:trPr>
          <w:trHeight w:hRule="exact" w:val="283"/>
        </w:trPr>
        <w:tc>
          <w:tcPr>
            <w:tcW w:w="2477" w:type="dxa"/>
            <w:tcBorders>
              <w:top w:val="single" w:sz="5" w:space="0" w:color="auto"/>
              <w:left w:val="single" w:sz="5" w:space="0" w:color="auto"/>
              <w:bottom w:val="single" w:sz="5" w:space="0" w:color="auto"/>
              <w:right w:val="single" w:sz="5" w:space="0" w:color="auto"/>
            </w:tcBorders>
            <w:vAlign w:val="center"/>
          </w:tcPr>
          <w:p w14:paraId="7ADA657F" w14:textId="77777777" w:rsidR="006F6D98" w:rsidRPr="006A631A" w:rsidRDefault="006F6D98" w:rsidP="00AD103B">
            <w:pPr>
              <w:keepNext/>
              <w:widowControl/>
              <w:kinsoku w:val="0"/>
              <w:overflowPunct w:val="0"/>
              <w:spacing w:line="258" w:lineRule="exact"/>
              <w:ind w:left="110"/>
              <w:textAlignment w:val="baseline"/>
              <w:rPr>
                <w:sz w:val="26"/>
                <w:szCs w:val="26"/>
              </w:rPr>
            </w:pPr>
            <w:r w:rsidRPr="006A631A">
              <w:rPr>
                <w:sz w:val="26"/>
                <w:szCs w:val="26"/>
              </w:rPr>
              <w:t>Year-End Days Cash</w:t>
            </w:r>
          </w:p>
        </w:tc>
        <w:tc>
          <w:tcPr>
            <w:tcW w:w="2141" w:type="dxa"/>
            <w:tcBorders>
              <w:top w:val="single" w:sz="5" w:space="0" w:color="auto"/>
              <w:left w:val="single" w:sz="5" w:space="0" w:color="auto"/>
              <w:bottom w:val="single" w:sz="5" w:space="0" w:color="auto"/>
              <w:right w:val="single" w:sz="5" w:space="0" w:color="auto"/>
            </w:tcBorders>
            <w:vAlign w:val="center"/>
          </w:tcPr>
          <w:p w14:paraId="2774B718" w14:textId="42AB7C58" w:rsidR="006F6D98" w:rsidRPr="006A631A" w:rsidRDefault="006F6D98" w:rsidP="00AD103B">
            <w:pPr>
              <w:keepNext/>
              <w:widowControl/>
              <w:kinsoku w:val="0"/>
              <w:overflowPunct w:val="0"/>
              <w:spacing w:after="29" w:line="239" w:lineRule="exact"/>
              <w:ind w:left="416"/>
              <w:textAlignment w:val="baseline"/>
              <w:rPr>
                <w:sz w:val="26"/>
                <w:szCs w:val="26"/>
              </w:rPr>
            </w:pPr>
            <w:r w:rsidRPr="006A631A">
              <w:rPr>
                <w:sz w:val="26"/>
                <w:szCs w:val="26"/>
              </w:rPr>
              <w:t>87</w:t>
            </w:r>
          </w:p>
        </w:tc>
        <w:tc>
          <w:tcPr>
            <w:tcW w:w="1411" w:type="dxa"/>
            <w:tcBorders>
              <w:top w:val="single" w:sz="5" w:space="0" w:color="auto"/>
              <w:left w:val="single" w:sz="5" w:space="0" w:color="auto"/>
              <w:bottom w:val="single" w:sz="5" w:space="0" w:color="auto"/>
              <w:right w:val="single" w:sz="5" w:space="0" w:color="auto"/>
            </w:tcBorders>
            <w:vAlign w:val="center"/>
          </w:tcPr>
          <w:p w14:paraId="43A0D43B" w14:textId="4A779D3B" w:rsidR="006F6D98" w:rsidRPr="006A631A" w:rsidRDefault="006F6D98" w:rsidP="00AD103B">
            <w:pPr>
              <w:keepNext/>
              <w:widowControl/>
              <w:kinsoku w:val="0"/>
              <w:overflowPunct w:val="0"/>
              <w:spacing w:after="29" w:line="239" w:lineRule="exact"/>
              <w:ind w:left="441"/>
              <w:textAlignment w:val="baseline"/>
              <w:rPr>
                <w:sz w:val="26"/>
                <w:szCs w:val="26"/>
              </w:rPr>
            </w:pPr>
            <w:r w:rsidRPr="006A631A">
              <w:rPr>
                <w:sz w:val="26"/>
                <w:szCs w:val="26"/>
              </w:rPr>
              <w:t>73</w:t>
            </w:r>
          </w:p>
        </w:tc>
        <w:tc>
          <w:tcPr>
            <w:tcW w:w="1622" w:type="dxa"/>
            <w:tcBorders>
              <w:top w:val="single" w:sz="5" w:space="0" w:color="auto"/>
              <w:left w:val="single" w:sz="5" w:space="0" w:color="auto"/>
              <w:bottom w:val="single" w:sz="5" w:space="0" w:color="auto"/>
              <w:right w:val="single" w:sz="5" w:space="0" w:color="auto"/>
            </w:tcBorders>
            <w:vAlign w:val="center"/>
          </w:tcPr>
          <w:p w14:paraId="0BFAC456" w14:textId="1342EA6B" w:rsidR="006F6D98" w:rsidRPr="006A631A" w:rsidRDefault="006F6D98" w:rsidP="00AD103B">
            <w:pPr>
              <w:keepNext/>
              <w:widowControl/>
              <w:kinsoku w:val="0"/>
              <w:overflowPunct w:val="0"/>
              <w:spacing w:after="29" w:line="239" w:lineRule="exact"/>
              <w:ind w:left="365"/>
              <w:textAlignment w:val="baseline"/>
              <w:rPr>
                <w:sz w:val="26"/>
                <w:szCs w:val="26"/>
              </w:rPr>
            </w:pPr>
            <w:r w:rsidRPr="006A631A">
              <w:rPr>
                <w:sz w:val="26"/>
                <w:szCs w:val="26"/>
              </w:rPr>
              <w:t>68</w:t>
            </w:r>
          </w:p>
        </w:tc>
        <w:tc>
          <w:tcPr>
            <w:tcW w:w="1709" w:type="dxa"/>
            <w:tcBorders>
              <w:top w:val="single" w:sz="5" w:space="0" w:color="auto"/>
              <w:left w:val="single" w:sz="5" w:space="0" w:color="auto"/>
              <w:bottom w:val="single" w:sz="5" w:space="0" w:color="auto"/>
              <w:right w:val="single" w:sz="5" w:space="0" w:color="auto"/>
            </w:tcBorders>
            <w:shd w:val="solid" w:color="BEBEBE" w:fill="auto"/>
            <w:vAlign w:val="center"/>
          </w:tcPr>
          <w:p w14:paraId="2E4AD61C" w14:textId="77777777" w:rsidR="006F6D98" w:rsidRPr="006A631A" w:rsidRDefault="006F6D98" w:rsidP="00AD103B">
            <w:pPr>
              <w:keepNext/>
              <w:widowControl/>
              <w:kinsoku w:val="0"/>
              <w:overflowPunct w:val="0"/>
              <w:spacing w:line="258" w:lineRule="exact"/>
              <w:ind w:left="312"/>
              <w:textAlignment w:val="baseline"/>
              <w:rPr>
                <w:color w:val="000000"/>
                <w:sz w:val="26"/>
                <w:szCs w:val="26"/>
              </w:rPr>
            </w:pPr>
            <w:r w:rsidRPr="006A631A">
              <w:rPr>
                <w:color w:val="000000"/>
                <w:sz w:val="26"/>
                <w:szCs w:val="26"/>
              </w:rPr>
              <w:t>65 Days</w:t>
            </w:r>
          </w:p>
        </w:tc>
      </w:tr>
      <w:tr w:rsidR="006F6D98" w:rsidRPr="006A631A" w14:paraId="1FF042D0" w14:textId="77777777" w:rsidTr="00A14152">
        <w:trPr>
          <w:trHeight w:hRule="exact" w:val="293"/>
        </w:trPr>
        <w:tc>
          <w:tcPr>
            <w:tcW w:w="2477" w:type="dxa"/>
            <w:tcBorders>
              <w:top w:val="single" w:sz="5" w:space="0" w:color="auto"/>
              <w:left w:val="single" w:sz="5" w:space="0" w:color="auto"/>
              <w:bottom w:val="single" w:sz="5" w:space="0" w:color="auto"/>
              <w:right w:val="single" w:sz="5" w:space="0" w:color="auto"/>
            </w:tcBorders>
            <w:vAlign w:val="center"/>
          </w:tcPr>
          <w:p w14:paraId="374E6EB9" w14:textId="77777777" w:rsidR="006F6D98" w:rsidRPr="006A631A" w:rsidRDefault="006F6D98" w:rsidP="00AD103B">
            <w:pPr>
              <w:keepNext/>
              <w:widowControl/>
              <w:kinsoku w:val="0"/>
              <w:overflowPunct w:val="0"/>
              <w:spacing w:line="273" w:lineRule="exact"/>
              <w:ind w:left="110"/>
              <w:textAlignment w:val="baseline"/>
              <w:rPr>
                <w:sz w:val="26"/>
                <w:szCs w:val="26"/>
              </w:rPr>
            </w:pPr>
            <w:r w:rsidRPr="006A631A">
              <w:rPr>
                <w:sz w:val="26"/>
                <w:szCs w:val="26"/>
              </w:rPr>
              <w:t>Debt to Equity</w:t>
            </w:r>
          </w:p>
        </w:tc>
        <w:tc>
          <w:tcPr>
            <w:tcW w:w="2141" w:type="dxa"/>
            <w:tcBorders>
              <w:top w:val="single" w:sz="5" w:space="0" w:color="auto"/>
              <w:left w:val="single" w:sz="5" w:space="0" w:color="auto"/>
              <w:bottom w:val="single" w:sz="5" w:space="0" w:color="auto"/>
              <w:right w:val="single" w:sz="5" w:space="0" w:color="auto"/>
            </w:tcBorders>
            <w:vAlign w:val="center"/>
          </w:tcPr>
          <w:p w14:paraId="56FA9003" w14:textId="5326005E" w:rsidR="006F6D98" w:rsidRPr="006A631A" w:rsidRDefault="006F6D98" w:rsidP="00AD103B">
            <w:pPr>
              <w:keepNext/>
              <w:widowControl/>
              <w:kinsoku w:val="0"/>
              <w:overflowPunct w:val="0"/>
              <w:spacing w:after="23" w:line="265" w:lineRule="exact"/>
              <w:ind w:left="416"/>
              <w:textAlignment w:val="baseline"/>
              <w:rPr>
                <w:sz w:val="26"/>
                <w:szCs w:val="26"/>
              </w:rPr>
            </w:pPr>
            <w:r w:rsidRPr="006A631A">
              <w:rPr>
                <w:sz w:val="26"/>
                <w:szCs w:val="26"/>
              </w:rPr>
              <w:t>75.86%</w:t>
            </w:r>
          </w:p>
        </w:tc>
        <w:tc>
          <w:tcPr>
            <w:tcW w:w="1411" w:type="dxa"/>
            <w:tcBorders>
              <w:top w:val="single" w:sz="5" w:space="0" w:color="auto"/>
              <w:left w:val="single" w:sz="5" w:space="0" w:color="auto"/>
              <w:bottom w:val="single" w:sz="5" w:space="0" w:color="auto"/>
              <w:right w:val="single" w:sz="5" w:space="0" w:color="auto"/>
            </w:tcBorders>
            <w:vAlign w:val="center"/>
          </w:tcPr>
          <w:p w14:paraId="6573B700" w14:textId="77777777" w:rsidR="006F6D98" w:rsidRPr="006A631A" w:rsidRDefault="006F6D98" w:rsidP="00AD103B">
            <w:pPr>
              <w:keepNext/>
              <w:widowControl/>
              <w:kinsoku w:val="0"/>
              <w:overflowPunct w:val="0"/>
              <w:spacing w:line="273" w:lineRule="exact"/>
              <w:ind w:left="441"/>
              <w:textAlignment w:val="baseline"/>
              <w:rPr>
                <w:sz w:val="26"/>
                <w:szCs w:val="26"/>
              </w:rPr>
            </w:pPr>
            <w:r w:rsidRPr="006A631A">
              <w:rPr>
                <w:sz w:val="26"/>
                <w:szCs w:val="26"/>
              </w:rPr>
              <w:t>75-80%</w:t>
            </w:r>
          </w:p>
        </w:tc>
        <w:tc>
          <w:tcPr>
            <w:tcW w:w="1622" w:type="dxa"/>
            <w:tcBorders>
              <w:top w:val="single" w:sz="5" w:space="0" w:color="auto"/>
              <w:left w:val="single" w:sz="5" w:space="0" w:color="auto"/>
              <w:bottom w:val="single" w:sz="5" w:space="0" w:color="auto"/>
              <w:right w:val="single" w:sz="5" w:space="0" w:color="auto"/>
            </w:tcBorders>
            <w:vAlign w:val="center"/>
          </w:tcPr>
          <w:p w14:paraId="23407B21" w14:textId="4BAFFE8C" w:rsidR="006F6D98" w:rsidRPr="006A631A" w:rsidRDefault="006F6D98" w:rsidP="00AD103B">
            <w:pPr>
              <w:keepNext/>
              <w:widowControl/>
              <w:kinsoku w:val="0"/>
              <w:overflowPunct w:val="0"/>
              <w:spacing w:after="37" w:line="251" w:lineRule="exact"/>
              <w:ind w:left="365"/>
              <w:textAlignment w:val="baseline"/>
              <w:rPr>
                <w:sz w:val="26"/>
                <w:szCs w:val="26"/>
              </w:rPr>
            </w:pPr>
            <w:r w:rsidRPr="006A631A">
              <w:rPr>
                <w:sz w:val="26"/>
                <w:szCs w:val="26"/>
              </w:rPr>
              <w:t>77%</w:t>
            </w:r>
          </w:p>
        </w:tc>
        <w:tc>
          <w:tcPr>
            <w:tcW w:w="1709" w:type="dxa"/>
            <w:tcBorders>
              <w:top w:val="single" w:sz="5" w:space="0" w:color="auto"/>
              <w:left w:val="single" w:sz="5" w:space="0" w:color="auto"/>
              <w:bottom w:val="single" w:sz="5" w:space="0" w:color="auto"/>
              <w:right w:val="single" w:sz="5" w:space="0" w:color="auto"/>
            </w:tcBorders>
            <w:shd w:val="solid" w:color="BEBEBE" w:fill="auto"/>
            <w:vAlign w:val="center"/>
          </w:tcPr>
          <w:p w14:paraId="7BC06BB0" w14:textId="77777777" w:rsidR="006F6D98" w:rsidRPr="006A631A" w:rsidRDefault="006F6D98" w:rsidP="00AD103B">
            <w:pPr>
              <w:keepNext/>
              <w:widowControl/>
              <w:kinsoku w:val="0"/>
              <w:overflowPunct w:val="0"/>
              <w:spacing w:line="273" w:lineRule="exact"/>
              <w:ind w:left="312"/>
              <w:textAlignment w:val="baseline"/>
              <w:rPr>
                <w:color w:val="000000"/>
                <w:sz w:val="26"/>
                <w:szCs w:val="26"/>
              </w:rPr>
            </w:pPr>
            <w:r w:rsidRPr="006A631A">
              <w:rPr>
                <w:color w:val="000000"/>
                <w:sz w:val="26"/>
                <w:szCs w:val="26"/>
              </w:rPr>
              <w:t>77.53%</w:t>
            </w:r>
          </w:p>
        </w:tc>
      </w:tr>
    </w:tbl>
    <w:p w14:paraId="5F3FF369" w14:textId="77777777" w:rsidR="006F6D98" w:rsidRPr="006A631A" w:rsidRDefault="006F6D98" w:rsidP="00F510B9">
      <w:pPr>
        <w:widowControl/>
        <w:kinsoku w:val="0"/>
        <w:overflowPunct w:val="0"/>
        <w:spacing w:after="260" w:line="20" w:lineRule="exact"/>
        <w:ind w:left="19" w:right="19"/>
        <w:textAlignment w:val="baseline"/>
        <w:rPr>
          <w:sz w:val="26"/>
          <w:szCs w:val="26"/>
        </w:rPr>
      </w:pPr>
    </w:p>
    <w:p w14:paraId="3369F8C8" w14:textId="63F0FFD4" w:rsidR="006F6D98" w:rsidRPr="006A631A" w:rsidRDefault="006F6D98" w:rsidP="00F510B9">
      <w:pPr>
        <w:widowControl/>
        <w:kinsoku w:val="0"/>
        <w:overflowPunct w:val="0"/>
        <w:spacing w:line="481" w:lineRule="exact"/>
        <w:ind w:right="216" w:firstLine="1440"/>
        <w:textAlignment w:val="baseline"/>
        <w:rPr>
          <w:sz w:val="26"/>
          <w:szCs w:val="26"/>
        </w:rPr>
      </w:pPr>
      <w:r w:rsidRPr="006A631A">
        <w:rPr>
          <w:sz w:val="26"/>
          <w:szCs w:val="26"/>
        </w:rPr>
        <w:t xml:space="preserve">PGW notes that the calculated financial results on a </w:t>
      </w:r>
      <w:r w:rsidRPr="006A631A">
        <w:rPr>
          <w:i/>
          <w:iCs/>
          <w:sz w:val="26"/>
          <w:szCs w:val="26"/>
        </w:rPr>
        <w:t xml:space="preserve">pro forma </w:t>
      </w:r>
      <w:r w:rsidRPr="006A631A">
        <w:rPr>
          <w:sz w:val="26"/>
          <w:szCs w:val="26"/>
        </w:rPr>
        <w:t xml:space="preserve">basis are in the range of recommendations made in the proceeding. </w:t>
      </w:r>
      <w:r w:rsidR="00E669F7" w:rsidRPr="006A631A">
        <w:rPr>
          <w:sz w:val="26"/>
          <w:szCs w:val="26"/>
        </w:rPr>
        <w:t xml:space="preserve"> </w:t>
      </w:r>
      <w:r w:rsidRPr="006A631A">
        <w:rPr>
          <w:sz w:val="26"/>
          <w:szCs w:val="26"/>
        </w:rPr>
        <w:t xml:space="preserve">The Settlement rate increase </w:t>
      </w:r>
      <w:r w:rsidRPr="006A631A">
        <w:rPr>
          <w:sz w:val="26"/>
          <w:szCs w:val="26"/>
        </w:rPr>
        <w:lastRenderedPageBreak/>
        <w:t xml:space="preserve">is also well below I&amp;E’s litigation position that would have permitted PGW a $47 million rate increase starting on December 4, 2020. </w:t>
      </w:r>
      <w:r w:rsidR="00E669F7" w:rsidRPr="006A631A">
        <w:rPr>
          <w:sz w:val="26"/>
          <w:szCs w:val="26"/>
        </w:rPr>
        <w:t xml:space="preserve"> </w:t>
      </w:r>
      <w:r w:rsidRPr="006A631A">
        <w:rPr>
          <w:sz w:val="26"/>
          <w:szCs w:val="26"/>
        </w:rPr>
        <w:t>PGW Exc.at 17.</w:t>
      </w:r>
    </w:p>
    <w:p w14:paraId="611C37E9" w14:textId="77777777" w:rsidR="006F6D98" w:rsidRPr="006A631A" w:rsidRDefault="006F6D98" w:rsidP="00F510B9">
      <w:pPr>
        <w:widowControl/>
        <w:kinsoku w:val="0"/>
        <w:overflowPunct w:val="0"/>
        <w:spacing w:after="120" w:line="360" w:lineRule="auto"/>
        <w:ind w:right="216" w:firstLine="1526"/>
        <w:textAlignment w:val="baseline"/>
        <w:rPr>
          <w:sz w:val="26"/>
          <w:szCs w:val="26"/>
        </w:rPr>
      </w:pPr>
    </w:p>
    <w:p w14:paraId="6C8DF828" w14:textId="5C908583" w:rsidR="00937618" w:rsidRPr="006A631A" w:rsidRDefault="006F6D98" w:rsidP="00F510B9">
      <w:pPr>
        <w:widowControl/>
        <w:kinsoku w:val="0"/>
        <w:overflowPunct w:val="0"/>
        <w:spacing w:after="120" w:line="360" w:lineRule="auto"/>
        <w:ind w:right="216" w:firstLine="1526"/>
        <w:textAlignment w:val="baseline"/>
        <w:rPr>
          <w:sz w:val="26"/>
          <w:szCs w:val="26"/>
        </w:rPr>
      </w:pPr>
      <w:r w:rsidRPr="006A631A">
        <w:rPr>
          <w:sz w:val="26"/>
          <w:szCs w:val="26"/>
        </w:rPr>
        <w:t xml:space="preserve">PGW continues that the metrics above assume that the full $35 million rate increase would go into effect on September 1, 2020 (the beginning of the FPFTY) and for </w:t>
      </w:r>
      <w:r w:rsidR="005A6E28" w:rsidRPr="006A631A">
        <w:rPr>
          <w:sz w:val="26"/>
          <w:szCs w:val="26"/>
        </w:rPr>
        <w:t>tw</w:t>
      </w:r>
      <w:r w:rsidR="00DC0908" w:rsidRPr="006A631A">
        <w:rPr>
          <w:sz w:val="26"/>
          <w:szCs w:val="26"/>
        </w:rPr>
        <w:t>e</w:t>
      </w:r>
      <w:r w:rsidR="005A6E28" w:rsidRPr="006A631A">
        <w:rPr>
          <w:sz w:val="26"/>
          <w:szCs w:val="26"/>
        </w:rPr>
        <w:t>lve</w:t>
      </w:r>
      <w:r w:rsidRPr="006A631A">
        <w:rPr>
          <w:sz w:val="26"/>
          <w:szCs w:val="26"/>
        </w:rPr>
        <w:t xml:space="preserve"> months, but PGW has agreed under the Partial Settlement to defer billing the full increase until January 1, 2022. </w:t>
      </w:r>
      <w:r w:rsidR="009B5230" w:rsidRPr="006A631A">
        <w:rPr>
          <w:sz w:val="26"/>
          <w:szCs w:val="26"/>
        </w:rPr>
        <w:t xml:space="preserve"> </w:t>
      </w:r>
      <w:r w:rsidRPr="006A631A">
        <w:rPr>
          <w:sz w:val="26"/>
          <w:szCs w:val="26"/>
        </w:rPr>
        <w:t xml:space="preserve">PGW submits that the effect of these deferrals is striking. </w:t>
      </w:r>
      <w:r w:rsidR="005A6E28" w:rsidRPr="006A631A">
        <w:rPr>
          <w:sz w:val="26"/>
          <w:szCs w:val="26"/>
        </w:rPr>
        <w:t xml:space="preserve"> </w:t>
      </w:r>
      <w:r w:rsidRPr="006A631A">
        <w:rPr>
          <w:sz w:val="26"/>
          <w:szCs w:val="26"/>
        </w:rPr>
        <w:t xml:space="preserve">As shown on Attachment A hereto, PGW’s original $70 million rate increase request would have permitted PGW to bill an additional $125 million </w:t>
      </w:r>
      <w:r w:rsidR="00DC302A" w:rsidRPr="006A631A">
        <w:rPr>
          <w:sz w:val="26"/>
          <w:szCs w:val="26"/>
        </w:rPr>
        <w:t>over FY 2021 and FY 2022.  Under the Partial Settlement, the phased-in rate increase would result in additional billing of just $36.7 million over that same time, or 29.4% of PGW’s original rate request over those two fiscal years.</w:t>
      </w:r>
      <w:r w:rsidR="00937618" w:rsidRPr="006A631A">
        <w:rPr>
          <w:i/>
          <w:iCs/>
          <w:sz w:val="26"/>
          <w:szCs w:val="26"/>
        </w:rPr>
        <w:t xml:space="preserve"> </w:t>
      </w:r>
      <w:r w:rsidR="00DC302A" w:rsidRPr="006A631A">
        <w:rPr>
          <w:sz w:val="26"/>
          <w:szCs w:val="26"/>
        </w:rPr>
        <w:t xml:space="preserve"> PGW Exc. at 17-18.  </w:t>
      </w:r>
    </w:p>
    <w:p w14:paraId="130A46A9" w14:textId="0C457672" w:rsidR="00DC302A" w:rsidRPr="006A631A" w:rsidRDefault="00DC302A" w:rsidP="00F510B9">
      <w:pPr>
        <w:widowControl/>
        <w:kinsoku w:val="0"/>
        <w:overflowPunct w:val="0"/>
        <w:spacing w:line="360" w:lineRule="auto"/>
        <w:ind w:right="216" w:firstLine="1530"/>
        <w:textAlignment w:val="baseline"/>
        <w:rPr>
          <w:sz w:val="26"/>
          <w:szCs w:val="26"/>
        </w:rPr>
      </w:pPr>
    </w:p>
    <w:p w14:paraId="521F6544" w14:textId="3EFC17D1" w:rsidR="00DC302A" w:rsidRPr="006A631A" w:rsidRDefault="00DC302A" w:rsidP="00F510B9">
      <w:pPr>
        <w:widowControl/>
        <w:kinsoku w:val="0"/>
        <w:overflowPunct w:val="0"/>
        <w:spacing w:before="3" w:line="360" w:lineRule="auto"/>
        <w:ind w:right="72" w:firstLine="1440"/>
        <w:textAlignment w:val="baseline"/>
        <w:rPr>
          <w:sz w:val="26"/>
          <w:szCs w:val="26"/>
        </w:rPr>
      </w:pPr>
      <w:r w:rsidRPr="006A631A">
        <w:rPr>
          <w:sz w:val="26"/>
          <w:szCs w:val="26"/>
        </w:rPr>
        <w:t>PGW emphasizes that the Recommended Decision’s suggested delays to the phased-in rate increases would only permit PGW to bill $17.9 million over FY 2021 and FY 2022.  PGW finds most concerning, that the delay of the initial phase of the increase from January 2021 until July 2021 would result in additional billing of just $600,000 in FY 2021</w:t>
      </w:r>
      <w:r w:rsidRPr="006A631A">
        <w:rPr>
          <w:sz w:val="26"/>
          <w:szCs w:val="26"/>
          <w:u w:val="single"/>
        </w:rPr>
        <w:t>,</w:t>
      </w:r>
      <w:r w:rsidRPr="006A631A">
        <w:rPr>
          <w:sz w:val="26"/>
          <w:szCs w:val="26"/>
        </w:rPr>
        <w:t xml:space="preserve"> because those months are outside the winter heating season.  </w:t>
      </w:r>
      <w:r w:rsidR="009B5230" w:rsidRPr="006A631A">
        <w:rPr>
          <w:sz w:val="26"/>
          <w:szCs w:val="26"/>
        </w:rPr>
        <w:t>In other words,</w:t>
      </w:r>
      <w:r w:rsidRPr="006A631A">
        <w:rPr>
          <w:sz w:val="26"/>
          <w:szCs w:val="26"/>
        </w:rPr>
        <w:t xml:space="preserve"> PGW notes that this is equivalent of PGW receiving no rate increase in the FPFTY.  PGW Exc. at 18.</w:t>
      </w:r>
    </w:p>
    <w:p w14:paraId="4352F52D" w14:textId="70C226B2" w:rsidR="00DC302A" w:rsidRPr="006A631A" w:rsidRDefault="00DC302A" w:rsidP="00F510B9">
      <w:pPr>
        <w:widowControl/>
        <w:kinsoku w:val="0"/>
        <w:overflowPunct w:val="0"/>
        <w:spacing w:before="3" w:line="360" w:lineRule="auto"/>
        <w:ind w:right="72" w:firstLine="720"/>
        <w:textAlignment w:val="baseline"/>
        <w:rPr>
          <w:sz w:val="26"/>
          <w:szCs w:val="26"/>
        </w:rPr>
      </w:pPr>
    </w:p>
    <w:p w14:paraId="197CC416" w14:textId="5DA7ECDE" w:rsidR="00DC302A" w:rsidRPr="006A631A" w:rsidRDefault="00DC302A" w:rsidP="00F510B9">
      <w:pPr>
        <w:widowControl/>
        <w:kinsoku w:val="0"/>
        <w:overflowPunct w:val="0"/>
        <w:spacing w:line="360" w:lineRule="auto"/>
        <w:ind w:right="72" w:firstLine="1440"/>
        <w:textAlignment w:val="baseline"/>
        <w:rPr>
          <w:sz w:val="26"/>
          <w:szCs w:val="26"/>
        </w:rPr>
      </w:pPr>
      <w:r w:rsidRPr="006A631A">
        <w:rPr>
          <w:sz w:val="26"/>
          <w:szCs w:val="26"/>
        </w:rPr>
        <w:t xml:space="preserve">Through its testimony, PGW showed the effects on its financials of failing to receive a rate increase in FY 2021 and it claims that the slight ($600,000) rate increase in FY 2021 permitted by the modifications to the Partial Settlement would not materially change these results. </w:t>
      </w:r>
      <w:r w:rsidR="005A6E28" w:rsidRPr="006A631A">
        <w:rPr>
          <w:sz w:val="26"/>
          <w:szCs w:val="26"/>
        </w:rPr>
        <w:t xml:space="preserve"> </w:t>
      </w:r>
      <w:r w:rsidRPr="006A631A">
        <w:rPr>
          <w:sz w:val="26"/>
          <w:szCs w:val="26"/>
        </w:rPr>
        <w:t xml:space="preserve">The Company’s cash would continue to plunge by the end of the FPFTY to less than half of the amount needed to maintain its bond ratings and PGW’s debt service coverage would fall to about 1.72x by the end of the FPFTY.  </w:t>
      </w:r>
      <w:r w:rsidRPr="006A631A">
        <w:rPr>
          <w:i/>
          <w:iCs/>
          <w:sz w:val="26"/>
          <w:szCs w:val="26"/>
        </w:rPr>
        <w:t>Id.</w:t>
      </w:r>
    </w:p>
    <w:p w14:paraId="1806F5F4" w14:textId="77777777" w:rsidR="00DC302A" w:rsidRPr="006A631A" w:rsidRDefault="00DC302A" w:rsidP="00F510B9">
      <w:pPr>
        <w:widowControl/>
        <w:kinsoku w:val="0"/>
        <w:overflowPunct w:val="0"/>
        <w:spacing w:line="360" w:lineRule="auto"/>
        <w:ind w:right="72" w:firstLine="720"/>
        <w:textAlignment w:val="baseline"/>
        <w:rPr>
          <w:sz w:val="26"/>
          <w:szCs w:val="26"/>
        </w:rPr>
      </w:pPr>
    </w:p>
    <w:p w14:paraId="0A152908" w14:textId="0E36EF8C" w:rsidR="00D431ED" w:rsidRPr="006A631A" w:rsidRDefault="00DC302A" w:rsidP="00F510B9">
      <w:pPr>
        <w:widowControl/>
        <w:kinsoku w:val="0"/>
        <w:overflowPunct w:val="0"/>
        <w:spacing w:before="44" w:line="360" w:lineRule="auto"/>
        <w:ind w:right="144" w:firstLine="1440"/>
        <w:textAlignment w:val="baseline"/>
        <w:rPr>
          <w:sz w:val="26"/>
          <w:szCs w:val="26"/>
        </w:rPr>
      </w:pPr>
      <w:r w:rsidRPr="006A631A">
        <w:rPr>
          <w:sz w:val="26"/>
          <w:szCs w:val="26"/>
        </w:rPr>
        <w:lastRenderedPageBreak/>
        <w:t xml:space="preserve">PGW asserts that even more concerning, with (virtually) no increase in FY 2021, PGW’s FY 2022 </w:t>
      </w:r>
      <w:r w:rsidRPr="006A631A">
        <w:rPr>
          <w:i/>
          <w:iCs/>
          <w:sz w:val="26"/>
          <w:szCs w:val="26"/>
        </w:rPr>
        <w:t xml:space="preserve">pro forma </w:t>
      </w:r>
      <w:r w:rsidRPr="006A631A">
        <w:rPr>
          <w:sz w:val="26"/>
          <w:szCs w:val="26"/>
        </w:rPr>
        <w:t xml:space="preserve">metrics would also be negative. </w:t>
      </w:r>
      <w:r w:rsidR="005A6E28" w:rsidRPr="006A631A">
        <w:rPr>
          <w:sz w:val="26"/>
          <w:szCs w:val="26"/>
        </w:rPr>
        <w:t xml:space="preserve"> </w:t>
      </w:r>
      <w:r w:rsidRPr="006A631A">
        <w:rPr>
          <w:sz w:val="26"/>
          <w:szCs w:val="26"/>
        </w:rPr>
        <w:t>Without any rate relief, PGW’s cash balances are projected to plunge to negative $27.5 million in FY 2022 on a pro forma basis.  The ALJs’ modified rate</w:t>
      </w:r>
      <w:r w:rsidR="00D431ED" w:rsidRPr="006A631A">
        <w:rPr>
          <w:sz w:val="26"/>
          <w:szCs w:val="26"/>
        </w:rPr>
        <w:t xml:space="preserve"> increases simply would not cover the projected cash deficit and leave PGW with year-end cash of negative $10.1 million for FY 2022 and debt service coverage at 1.75x</w:t>
      </w:r>
      <w:r w:rsidR="00D431ED" w:rsidRPr="006A631A">
        <w:rPr>
          <w:sz w:val="26"/>
          <w:szCs w:val="26"/>
          <w:vertAlign w:val="superscript"/>
        </w:rPr>
        <w:t xml:space="preserve"> </w:t>
      </w:r>
      <w:r w:rsidR="00D431ED" w:rsidRPr="006A631A">
        <w:rPr>
          <w:sz w:val="26"/>
          <w:szCs w:val="26"/>
        </w:rPr>
        <w:t>for FY 2022.  PGW Exc. at 18-19.</w:t>
      </w:r>
    </w:p>
    <w:p w14:paraId="28926B91" w14:textId="2F520A5C" w:rsidR="00515FB3" w:rsidRPr="006A631A" w:rsidRDefault="00515FB3" w:rsidP="00F510B9">
      <w:pPr>
        <w:widowControl/>
        <w:kinsoku w:val="0"/>
        <w:overflowPunct w:val="0"/>
        <w:spacing w:before="44" w:line="360" w:lineRule="auto"/>
        <w:ind w:right="144" w:firstLine="1440"/>
        <w:textAlignment w:val="baseline"/>
        <w:rPr>
          <w:sz w:val="26"/>
          <w:szCs w:val="26"/>
        </w:rPr>
      </w:pPr>
    </w:p>
    <w:p w14:paraId="3BFDD130" w14:textId="756ACB9A" w:rsidR="00515FB3" w:rsidRPr="006A631A" w:rsidRDefault="00F5247D" w:rsidP="00F510B9">
      <w:pPr>
        <w:widowControl/>
        <w:kinsoku w:val="0"/>
        <w:overflowPunct w:val="0"/>
        <w:spacing w:line="360" w:lineRule="auto"/>
        <w:ind w:right="144" w:firstLine="1440"/>
        <w:textAlignment w:val="baseline"/>
        <w:rPr>
          <w:sz w:val="26"/>
          <w:szCs w:val="26"/>
        </w:rPr>
      </w:pPr>
      <w:r w:rsidRPr="006A631A">
        <w:rPr>
          <w:sz w:val="26"/>
          <w:szCs w:val="26"/>
        </w:rPr>
        <w:t>PGW summarizes by stating that, s</w:t>
      </w:r>
      <w:r w:rsidR="00515FB3" w:rsidRPr="006A631A">
        <w:rPr>
          <w:sz w:val="26"/>
          <w:szCs w:val="26"/>
        </w:rPr>
        <w:t>imply put, the R</w:t>
      </w:r>
      <w:r w:rsidRPr="006A631A">
        <w:rPr>
          <w:sz w:val="26"/>
          <w:szCs w:val="26"/>
        </w:rPr>
        <w:t xml:space="preserve">ecommended </w:t>
      </w:r>
      <w:r w:rsidR="00515FB3" w:rsidRPr="006A631A">
        <w:rPr>
          <w:sz w:val="26"/>
          <w:szCs w:val="26"/>
        </w:rPr>
        <w:t>D</w:t>
      </w:r>
      <w:r w:rsidRPr="006A631A">
        <w:rPr>
          <w:sz w:val="26"/>
          <w:szCs w:val="26"/>
        </w:rPr>
        <w:t>ecision</w:t>
      </w:r>
      <w:r w:rsidR="00515FB3" w:rsidRPr="006A631A">
        <w:rPr>
          <w:sz w:val="26"/>
          <w:szCs w:val="26"/>
        </w:rPr>
        <w:t xml:space="preserve"> would leave PGW with debt service coverages close to minimum levels and without sufficient cash to pay for a variety of cash items that are not contained in its debt service coverage calculation.  </w:t>
      </w:r>
      <w:r w:rsidRPr="006A631A">
        <w:rPr>
          <w:sz w:val="26"/>
          <w:szCs w:val="26"/>
        </w:rPr>
        <w:t>I</w:t>
      </w:r>
      <w:r w:rsidR="0039411C" w:rsidRPr="006A631A">
        <w:rPr>
          <w:sz w:val="26"/>
          <w:szCs w:val="26"/>
        </w:rPr>
        <w:t>n</w:t>
      </w:r>
      <w:r w:rsidRPr="006A631A">
        <w:rPr>
          <w:sz w:val="26"/>
          <w:szCs w:val="26"/>
        </w:rPr>
        <w:t xml:space="preserve"> the face of </w:t>
      </w:r>
      <w:r w:rsidR="00515FB3" w:rsidRPr="006A631A">
        <w:rPr>
          <w:sz w:val="26"/>
          <w:szCs w:val="26"/>
        </w:rPr>
        <w:t xml:space="preserve">these prospects, PGW would </w:t>
      </w:r>
      <w:r w:rsidRPr="006A631A">
        <w:rPr>
          <w:sz w:val="26"/>
          <w:szCs w:val="26"/>
        </w:rPr>
        <w:t>have no choice but to</w:t>
      </w:r>
      <w:r w:rsidR="00515FB3" w:rsidRPr="006A631A">
        <w:rPr>
          <w:sz w:val="26"/>
          <w:szCs w:val="26"/>
        </w:rPr>
        <w:t xml:space="preserve"> either suspend or limit its construction program (including its base rate funded at-risk main replacement program) to husband cash or cut back on other programs. </w:t>
      </w:r>
      <w:r w:rsidRPr="006A631A">
        <w:rPr>
          <w:sz w:val="26"/>
          <w:szCs w:val="26"/>
        </w:rPr>
        <w:t xml:space="preserve"> </w:t>
      </w:r>
      <w:r w:rsidR="00515FB3" w:rsidRPr="006A631A">
        <w:rPr>
          <w:sz w:val="26"/>
          <w:szCs w:val="26"/>
        </w:rPr>
        <w:t xml:space="preserve">In addition, PGW </w:t>
      </w:r>
      <w:r w:rsidR="00D7665C" w:rsidRPr="006A631A">
        <w:rPr>
          <w:sz w:val="26"/>
          <w:szCs w:val="26"/>
        </w:rPr>
        <w:t xml:space="preserve">asserts that it </w:t>
      </w:r>
      <w:r w:rsidR="00515FB3" w:rsidRPr="006A631A">
        <w:rPr>
          <w:sz w:val="26"/>
          <w:szCs w:val="26"/>
        </w:rPr>
        <w:t>would face the prospect of a bond rating downgrade which would increase long term borrowing costs and make access to credit markets more difficult.</w:t>
      </w:r>
      <w:r w:rsidR="00845391" w:rsidRPr="006A631A">
        <w:rPr>
          <w:sz w:val="26"/>
          <w:szCs w:val="26"/>
        </w:rPr>
        <w:t xml:space="preserve">  PGW Exc. at 19.</w:t>
      </w:r>
    </w:p>
    <w:p w14:paraId="3F9C4998" w14:textId="77777777" w:rsidR="0039411C" w:rsidRPr="006A631A" w:rsidRDefault="0039411C" w:rsidP="00F510B9">
      <w:pPr>
        <w:widowControl/>
        <w:kinsoku w:val="0"/>
        <w:overflowPunct w:val="0"/>
        <w:spacing w:before="44" w:line="360" w:lineRule="auto"/>
        <w:ind w:right="144" w:firstLine="1440"/>
        <w:textAlignment w:val="baseline"/>
        <w:rPr>
          <w:sz w:val="26"/>
          <w:szCs w:val="26"/>
        </w:rPr>
      </w:pPr>
    </w:p>
    <w:p w14:paraId="796444A9" w14:textId="6C907ABD" w:rsidR="00515FB3" w:rsidRPr="006A631A" w:rsidRDefault="00D7665C" w:rsidP="00F510B9">
      <w:pPr>
        <w:widowControl/>
        <w:kinsoku w:val="0"/>
        <w:overflowPunct w:val="0"/>
        <w:spacing w:before="44" w:line="360" w:lineRule="auto"/>
        <w:ind w:right="144" w:firstLine="1440"/>
        <w:textAlignment w:val="baseline"/>
        <w:rPr>
          <w:sz w:val="26"/>
          <w:szCs w:val="26"/>
        </w:rPr>
      </w:pPr>
      <w:r w:rsidRPr="006A631A">
        <w:rPr>
          <w:sz w:val="26"/>
          <w:szCs w:val="26"/>
        </w:rPr>
        <w:t>PGW notes that, i</w:t>
      </w:r>
      <w:r w:rsidR="00515FB3" w:rsidRPr="006A631A">
        <w:rPr>
          <w:sz w:val="26"/>
          <w:szCs w:val="26"/>
        </w:rPr>
        <w:t xml:space="preserve">n making </w:t>
      </w:r>
      <w:r w:rsidRPr="006A631A">
        <w:rPr>
          <w:sz w:val="26"/>
          <w:szCs w:val="26"/>
        </w:rPr>
        <w:t xml:space="preserve">the suggested modifications to the Partial Settlement, </w:t>
      </w:r>
      <w:r w:rsidR="00515FB3" w:rsidRPr="006A631A">
        <w:rPr>
          <w:sz w:val="26"/>
          <w:szCs w:val="26"/>
        </w:rPr>
        <w:t xml:space="preserve">the </w:t>
      </w:r>
      <w:r w:rsidRPr="006A631A">
        <w:rPr>
          <w:sz w:val="26"/>
          <w:szCs w:val="26"/>
        </w:rPr>
        <w:t xml:space="preserve">Recommended </w:t>
      </w:r>
      <w:r w:rsidR="00515FB3" w:rsidRPr="006A631A">
        <w:rPr>
          <w:sz w:val="26"/>
          <w:szCs w:val="26"/>
        </w:rPr>
        <w:t>D</w:t>
      </w:r>
      <w:r w:rsidRPr="006A631A">
        <w:rPr>
          <w:sz w:val="26"/>
          <w:szCs w:val="26"/>
        </w:rPr>
        <w:t>ecision</w:t>
      </w:r>
      <w:r w:rsidR="00515FB3" w:rsidRPr="006A631A">
        <w:rPr>
          <w:sz w:val="26"/>
          <w:szCs w:val="26"/>
        </w:rPr>
        <w:t xml:space="preserve"> appears to focus predominantly on the perceived fear that economic conditions caused by the current pandemic will make it difficult for an increased number of customers to pay their utility bills, without regard to the interests of PGW to continue to be financially viable.  PGW submits that </w:t>
      </w:r>
      <w:r w:rsidR="00F5247D" w:rsidRPr="006A631A">
        <w:rPr>
          <w:sz w:val="26"/>
          <w:szCs w:val="26"/>
        </w:rPr>
        <w:t xml:space="preserve">a balancing of the ratepayer and utility interests is required and that </w:t>
      </w:r>
      <w:r w:rsidR="00515FB3" w:rsidRPr="006A631A">
        <w:rPr>
          <w:sz w:val="26"/>
          <w:szCs w:val="26"/>
        </w:rPr>
        <w:t xml:space="preserve">the </w:t>
      </w:r>
      <w:r w:rsidR="00F5247D" w:rsidRPr="006A631A">
        <w:rPr>
          <w:sz w:val="26"/>
          <w:szCs w:val="26"/>
        </w:rPr>
        <w:t xml:space="preserve">ALJs’ </w:t>
      </w:r>
      <w:r w:rsidR="00515FB3" w:rsidRPr="006A631A">
        <w:rPr>
          <w:sz w:val="26"/>
          <w:szCs w:val="26"/>
        </w:rPr>
        <w:t xml:space="preserve">recommendations </w:t>
      </w:r>
      <w:r w:rsidR="00F5247D" w:rsidRPr="006A631A">
        <w:rPr>
          <w:sz w:val="26"/>
          <w:szCs w:val="26"/>
        </w:rPr>
        <w:t>that focus primarily, if not solely</w:t>
      </w:r>
      <w:r w:rsidR="005A6E28" w:rsidRPr="006A631A">
        <w:rPr>
          <w:sz w:val="26"/>
          <w:szCs w:val="26"/>
        </w:rPr>
        <w:t>,</w:t>
      </w:r>
      <w:r w:rsidR="00F5247D" w:rsidRPr="006A631A">
        <w:rPr>
          <w:sz w:val="26"/>
          <w:szCs w:val="26"/>
        </w:rPr>
        <w:t xml:space="preserve"> on the potential ratepayer hardships are</w:t>
      </w:r>
      <w:r w:rsidR="00515FB3" w:rsidRPr="006A631A">
        <w:rPr>
          <w:sz w:val="26"/>
          <w:szCs w:val="26"/>
        </w:rPr>
        <w:t xml:space="preserve"> therefore erroneous.  PGW Exc</w:t>
      </w:r>
      <w:r w:rsidRPr="006A631A">
        <w:rPr>
          <w:sz w:val="26"/>
          <w:szCs w:val="26"/>
        </w:rPr>
        <w:t>.</w:t>
      </w:r>
      <w:r w:rsidR="00515FB3" w:rsidRPr="006A631A">
        <w:rPr>
          <w:sz w:val="26"/>
          <w:szCs w:val="26"/>
        </w:rPr>
        <w:t xml:space="preserve"> at </w:t>
      </w:r>
      <w:r w:rsidR="00F5247D" w:rsidRPr="006A631A">
        <w:rPr>
          <w:sz w:val="26"/>
          <w:szCs w:val="26"/>
        </w:rPr>
        <w:t>19-22.</w:t>
      </w:r>
    </w:p>
    <w:p w14:paraId="5BCF81A3" w14:textId="42AD318B" w:rsidR="00D7665C" w:rsidRPr="006A631A" w:rsidRDefault="00D7665C" w:rsidP="00F510B9">
      <w:pPr>
        <w:widowControl/>
        <w:kinsoku w:val="0"/>
        <w:overflowPunct w:val="0"/>
        <w:spacing w:before="44" w:line="360" w:lineRule="auto"/>
        <w:ind w:right="144" w:firstLine="1440"/>
        <w:textAlignment w:val="baseline"/>
        <w:rPr>
          <w:sz w:val="26"/>
          <w:szCs w:val="26"/>
        </w:rPr>
      </w:pPr>
    </w:p>
    <w:p w14:paraId="3958A630" w14:textId="62404A49" w:rsidR="00D7665C" w:rsidRPr="006A631A" w:rsidRDefault="00D7665C" w:rsidP="00F510B9">
      <w:pPr>
        <w:widowControl/>
        <w:kinsoku w:val="0"/>
        <w:overflowPunct w:val="0"/>
        <w:spacing w:before="3" w:line="360" w:lineRule="auto"/>
        <w:ind w:firstLine="1440"/>
        <w:textAlignment w:val="baseline"/>
        <w:rPr>
          <w:sz w:val="26"/>
          <w:szCs w:val="26"/>
        </w:rPr>
      </w:pPr>
      <w:r w:rsidRPr="006A631A">
        <w:rPr>
          <w:sz w:val="26"/>
          <w:szCs w:val="26"/>
        </w:rPr>
        <w:t xml:space="preserve">PGW states that the ALJs also appeared to be troubled by the fact that PGW customers would be seeing increases in PGW’s DSIC as well as its USC, which is </w:t>
      </w:r>
      <w:r w:rsidRPr="006A631A">
        <w:rPr>
          <w:sz w:val="26"/>
          <w:szCs w:val="26"/>
        </w:rPr>
        <w:lastRenderedPageBreak/>
        <w:t xml:space="preserve">projected to increase when the pilot program for enhanced universal service support for CAP customers recently ordered by the PUC, is implemented.  PGW retorts that the purported increase in the DSIC is </w:t>
      </w:r>
      <w:proofErr w:type="gramStart"/>
      <w:r w:rsidRPr="006A631A">
        <w:rPr>
          <w:sz w:val="26"/>
          <w:szCs w:val="26"/>
        </w:rPr>
        <w:t>actually an</w:t>
      </w:r>
      <w:proofErr w:type="gramEnd"/>
      <w:r w:rsidRPr="006A631A">
        <w:rPr>
          <w:sz w:val="26"/>
          <w:szCs w:val="26"/>
        </w:rPr>
        <w:t xml:space="preserve"> increase in the DSIC cap – not rates – due to PGW having slightly higher distribution revenues. </w:t>
      </w:r>
      <w:r w:rsidR="000C3BAD" w:rsidRPr="006A631A">
        <w:rPr>
          <w:sz w:val="26"/>
          <w:szCs w:val="26"/>
        </w:rPr>
        <w:t xml:space="preserve"> </w:t>
      </w:r>
      <w:r w:rsidRPr="006A631A">
        <w:rPr>
          <w:sz w:val="26"/>
          <w:szCs w:val="26"/>
        </w:rPr>
        <w:t>Further, any actual increase in the DSIC (which would be fairly small according to PGW– $2.6 million once the full $35 million is in place) would have to first be approved by the PUC in PGW’s L</w:t>
      </w:r>
      <w:r w:rsidR="002120C9" w:rsidRPr="006A631A">
        <w:rPr>
          <w:sz w:val="26"/>
          <w:szCs w:val="26"/>
        </w:rPr>
        <w:t xml:space="preserve">ong </w:t>
      </w:r>
      <w:r w:rsidRPr="006A631A">
        <w:rPr>
          <w:sz w:val="26"/>
          <w:szCs w:val="26"/>
        </w:rPr>
        <w:t>T</w:t>
      </w:r>
      <w:r w:rsidR="002120C9" w:rsidRPr="006A631A">
        <w:rPr>
          <w:sz w:val="26"/>
          <w:szCs w:val="26"/>
        </w:rPr>
        <w:t xml:space="preserve">erm </w:t>
      </w:r>
      <w:r w:rsidRPr="006A631A">
        <w:rPr>
          <w:sz w:val="26"/>
          <w:szCs w:val="26"/>
        </w:rPr>
        <w:t>I</w:t>
      </w:r>
      <w:r w:rsidR="002120C9" w:rsidRPr="006A631A">
        <w:rPr>
          <w:sz w:val="26"/>
          <w:szCs w:val="26"/>
        </w:rPr>
        <w:t xml:space="preserve">nvestment </w:t>
      </w:r>
      <w:r w:rsidRPr="006A631A">
        <w:rPr>
          <w:sz w:val="26"/>
          <w:szCs w:val="26"/>
        </w:rPr>
        <w:t>I</w:t>
      </w:r>
      <w:r w:rsidR="002120C9" w:rsidRPr="006A631A">
        <w:rPr>
          <w:sz w:val="26"/>
          <w:szCs w:val="26"/>
        </w:rPr>
        <w:t xml:space="preserve">nfrastructure </w:t>
      </w:r>
      <w:r w:rsidRPr="006A631A">
        <w:rPr>
          <w:sz w:val="26"/>
          <w:szCs w:val="26"/>
        </w:rPr>
        <w:t>P</w:t>
      </w:r>
      <w:r w:rsidR="002120C9" w:rsidRPr="006A631A">
        <w:rPr>
          <w:sz w:val="26"/>
          <w:szCs w:val="26"/>
        </w:rPr>
        <w:t>rogram (</w:t>
      </w:r>
      <w:r w:rsidRPr="006A631A">
        <w:rPr>
          <w:sz w:val="26"/>
          <w:szCs w:val="26"/>
        </w:rPr>
        <w:t>LTIIP</w:t>
      </w:r>
      <w:r w:rsidR="002120C9" w:rsidRPr="006A631A">
        <w:rPr>
          <w:sz w:val="26"/>
          <w:szCs w:val="26"/>
        </w:rPr>
        <w:t>)</w:t>
      </w:r>
      <w:r w:rsidRPr="006A631A">
        <w:rPr>
          <w:sz w:val="26"/>
          <w:szCs w:val="26"/>
        </w:rPr>
        <w:t>.  And, as for the increase in PGW’s USC to recover increased costs due to the PUC-mandated pilot program, PGW submits that it would be grossly unfair to deny or reduce PGW’s settled rate increase because PGW was required to increase its USC to respond to a PUC-mandated program.  PGW Exc. at 21.</w:t>
      </w:r>
    </w:p>
    <w:p w14:paraId="0A54FFBA" w14:textId="541FF8DA" w:rsidR="00D7665C" w:rsidRPr="006A631A" w:rsidRDefault="00D7665C" w:rsidP="00F510B9">
      <w:pPr>
        <w:widowControl/>
        <w:kinsoku w:val="0"/>
        <w:overflowPunct w:val="0"/>
        <w:spacing w:before="44" w:line="360" w:lineRule="auto"/>
        <w:ind w:right="144" w:firstLine="1440"/>
        <w:textAlignment w:val="baseline"/>
        <w:rPr>
          <w:sz w:val="26"/>
          <w:szCs w:val="26"/>
        </w:rPr>
      </w:pPr>
    </w:p>
    <w:p w14:paraId="699AAC05" w14:textId="39247C6B" w:rsidR="0039411C" w:rsidRPr="00FD5F6C" w:rsidRDefault="0039411C" w:rsidP="00BE0708">
      <w:pPr>
        <w:pStyle w:val="ListParagraph"/>
        <w:widowControl/>
        <w:numPr>
          <w:ilvl w:val="0"/>
          <w:numId w:val="14"/>
        </w:numPr>
        <w:kinsoku w:val="0"/>
        <w:overflowPunct w:val="0"/>
        <w:spacing w:before="44" w:line="360" w:lineRule="auto"/>
        <w:ind w:left="2880" w:right="144"/>
        <w:textAlignment w:val="baseline"/>
        <w:rPr>
          <w:b/>
          <w:bCs/>
          <w:sz w:val="26"/>
          <w:szCs w:val="26"/>
        </w:rPr>
      </w:pPr>
      <w:r w:rsidRPr="00FD5F6C">
        <w:rPr>
          <w:b/>
          <w:bCs/>
          <w:sz w:val="26"/>
          <w:szCs w:val="26"/>
        </w:rPr>
        <w:t>PGW Settlement Exception 4</w:t>
      </w:r>
    </w:p>
    <w:p w14:paraId="353BD79E" w14:textId="77777777" w:rsidR="0039411C" w:rsidRPr="006A631A" w:rsidRDefault="0039411C" w:rsidP="00F510B9">
      <w:pPr>
        <w:widowControl/>
        <w:kinsoku w:val="0"/>
        <w:overflowPunct w:val="0"/>
        <w:spacing w:before="44" w:line="360" w:lineRule="auto"/>
        <w:ind w:right="144" w:firstLine="1440"/>
        <w:textAlignment w:val="baseline"/>
        <w:rPr>
          <w:b/>
          <w:bCs/>
          <w:sz w:val="26"/>
          <w:szCs w:val="26"/>
        </w:rPr>
      </w:pPr>
    </w:p>
    <w:p w14:paraId="38B58769" w14:textId="692ADDC3" w:rsidR="00D7665C" w:rsidRPr="006A631A" w:rsidRDefault="00D7665C" w:rsidP="00F510B9">
      <w:pPr>
        <w:widowControl/>
        <w:kinsoku w:val="0"/>
        <w:overflowPunct w:val="0"/>
        <w:spacing w:line="360" w:lineRule="auto"/>
        <w:ind w:right="72" w:firstLine="1440"/>
        <w:textAlignment w:val="baseline"/>
        <w:rPr>
          <w:sz w:val="26"/>
          <w:szCs w:val="26"/>
        </w:rPr>
      </w:pPr>
      <w:r w:rsidRPr="006A631A">
        <w:rPr>
          <w:sz w:val="26"/>
          <w:szCs w:val="26"/>
        </w:rPr>
        <w:t xml:space="preserve">PGW </w:t>
      </w:r>
      <w:r w:rsidR="0039411C" w:rsidRPr="006A631A">
        <w:rPr>
          <w:sz w:val="26"/>
          <w:szCs w:val="26"/>
        </w:rPr>
        <w:t xml:space="preserve">also </w:t>
      </w:r>
      <w:r w:rsidRPr="006A631A">
        <w:rPr>
          <w:sz w:val="26"/>
          <w:szCs w:val="26"/>
        </w:rPr>
        <w:t xml:space="preserve">excepts </w:t>
      </w:r>
      <w:r w:rsidR="000C3BAD" w:rsidRPr="006A631A">
        <w:rPr>
          <w:sz w:val="26"/>
          <w:szCs w:val="26"/>
        </w:rPr>
        <w:t xml:space="preserve">to </w:t>
      </w:r>
      <w:r w:rsidRPr="006A631A">
        <w:rPr>
          <w:sz w:val="26"/>
          <w:szCs w:val="26"/>
        </w:rPr>
        <w:t xml:space="preserve">the </w:t>
      </w:r>
      <w:r w:rsidR="0081458A" w:rsidRPr="006A631A">
        <w:rPr>
          <w:sz w:val="26"/>
          <w:szCs w:val="26"/>
        </w:rPr>
        <w:t xml:space="preserve">Recommended Decision’s extension of the rate case stay-out.  PGW points out that it </w:t>
      </w:r>
      <w:r w:rsidRPr="006A631A">
        <w:rPr>
          <w:sz w:val="26"/>
          <w:szCs w:val="26"/>
        </w:rPr>
        <w:t>voluntarily</w:t>
      </w:r>
      <w:r w:rsidRPr="006A631A">
        <w:rPr>
          <w:b/>
          <w:bCs/>
          <w:sz w:val="26"/>
          <w:szCs w:val="26"/>
        </w:rPr>
        <w:t xml:space="preserve"> </w:t>
      </w:r>
      <w:r w:rsidRPr="006A631A">
        <w:rPr>
          <w:sz w:val="26"/>
          <w:szCs w:val="26"/>
        </w:rPr>
        <w:t xml:space="preserve">agreed to </w:t>
      </w:r>
      <w:r w:rsidR="0081458A" w:rsidRPr="006A631A">
        <w:rPr>
          <w:sz w:val="26"/>
          <w:szCs w:val="26"/>
        </w:rPr>
        <w:t xml:space="preserve">not </w:t>
      </w:r>
      <w:r w:rsidRPr="006A631A">
        <w:rPr>
          <w:sz w:val="26"/>
          <w:szCs w:val="26"/>
        </w:rPr>
        <w:t>file a general rate increase before January 1, 2022.</w:t>
      </w:r>
      <w:r w:rsidR="0081458A" w:rsidRPr="006A631A">
        <w:rPr>
          <w:sz w:val="26"/>
          <w:szCs w:val="26"/>
          <w:vertAlign w:val="superscript"/>
        </w:rPr>
        <w:t xml:space="preserve"> </w:t>
      </w:r>
      <w:r w:rsidRPr="006A631A">
        <w:rPr>
          <w:sz w:val="26"/>
          <w:szCs w:val="26"/>
        </w:rPr>
        <w:t xml:space="preserve"> </w:t>
      </w:r>
      <w:r w:rsidR="0081458A" w:rsidRPr="006A631A">
        <w:rPr>
          <w:sz w:val="26"/>
          <w:szCs w:val="26"/>
        </w:rPr>
        <w:t>A</w:t>
      </w:r>
      <w:r w:rsidRPr="006A631A">
        <w:rPr>
          <w:sz w:val="26"/>
          <w:szCs w:val="26"/>
        </w:rPr>
        <w:t xml:space="preserve">s written, the </w:t>
      </w:r>
      <w:r w:rsidR="0081458A" w:rsidRPr="006A631A">
        <w:rPr>
          <w:sz w:val="26"/>
          <w:szCs w:val="26"/>
        </w:rPr>
        <w:t xml:space="preserve">Recommended </w:t>
      </w:r>
      <w:r w:rsidRPr="006A631A">
        <w:rPr>
          <w:sz w:val="26"/>
          <w:szCs w:val="26"/>
        </w:rPr>
        <w:t>D</w:t>
      </w:r>
      <w:r w:rsidR="0081458A" w:rsidRPr="006A631A">
        <w:rPr>
          <w:sz w:val="26"/>
          <w:szCs w:val="26"/>
        </w:rPr>
        <w:t>ecision</w:t>
      </w:r>
      <w:r w:rsidRPr="006A631A">
        <w:rPr>
          <w:sz w:val="26"/>
          <w:szCs w:val="26"/>
        </w:rPr>
        <w:t xml:space="preserve"> would permit PGW to file a general rate case no sooner than January 1, 2023 with new rates likely in effect no sooner than late 2023. </w:t>
      </w:r>
      <w:r w:rsidR="0081458A" w:rsidRPr="006A631A">
        <w:rPr>
          <w:sz w:val="26"/>
          <w:szCs w:val="26"/>
        </w:rPr>
        <w:t xml:space="preserve"> PGW suggests that </w:t>
      </w:r>
      <w:r w:rsidRPr="006A631A">
        <w:rPr>
          <w:sz w:val="26"/>
          <w:szCs w:val="26"/>
        </w:rPr>
        <w:t>this recommendation was made by the ALJs without any examination of the Commission’s legal authority to mandate a stay</w:t>
      </w:r>
      <w:r w:rsidR="00A539D8" w:rsidRPr="006A631A">
        <w:rPr>
          <w:sz w:val="26"/>
          <w:szCs w:val="26"/>
        </w:rPr>
        <w:t>-</w:t>
      </w:r>
      <w:r w:rsidRPr="006A631A">
        <w:rPr>
          <w:sz w:val="26"/>
          <w:szCs w:val="26"/>
        </w:rPr>
        <w:t>out or the impact of the longer stay</w:t>
      </w:r>
      <w:r w:rsidR="00A539D8" w:rsidRPr="006A631A">
        <w:rPr>
          <w:sz w:val="26"/>
          <w:szCs w:val="26"/>
        </w:rPr>
        <w:t>-</w:t>
      </w:r>
      <w:r w:rsidRPr="006A631A">
        <w:rPr>
          <w:sz w:val="26"/>
          <w:szCs w:val="26"/>
        </w:rPr>
        <w:t>out on PGW’s financial health.</w:t>
      </w:r>
      <w:r w:rsidR="0081458A" w:rsidRPr="006A631A">
        <w:rPr>
          <w:sz w:val="26"/>
          <w:szCs w:val="26"/>
        </w:rPr>
        <w:t xml:space="preserve">  PGW Exc. at</w:t>
      </w:r>
      <w:r w:rsidR="007E1E93" w:rsidRPr="006A631A">
        <w:rPr>
          <w:sz w:val="26"/>
          <w:szCs w:val="26"/>
        </w:rPr>
        <w:t> </w:t>
      </w:r>
      <w:r w:rsidR="0081458A" w:rsidRPr="006A631A">
        <w:rPr>
          <w:sz w:val="26"/>
          <w:szCs w:val="26"/>
        </w:rPr>
        <w:t>22.</w:t>
      </w:r>
    </w:p>
    <w:p w14:paraId="6D2C0D82" w14:textId="77777777" w:rsidR="0081458A" w:rsidRPr="006A631A" w:rsidRDefault="0081458A" w:rsidP="00F510B9">
      <w:pPr>
        <w:widowControl/>
        <w:kinsoku w:val="0"/>
        <w:overflowPunct w:val="0"/>
        <w:spacing w:line="360" w:lineRule="auto"/>
        <w:ind w:right="72" w:firstLine="720"/>
        <w:textAlignment w:val="baseline"/>
        <w:rPr>
          <w:sz w:val="26"/>
          <w:szCs w:val="26"/>
        </w:rPr>
      </w:pPr>
    </w:p>
    <w:p w14:paraId="1A39AFB0" w14:textId="14AB8F6A" w:rsidR="0081458A" w:rsidRPr="006A631A" w:rsidRDefault="0081458A" w:rsidP="00F510B9">
      <w:pPr>
        <w:widowControl/>
        <w:kinsoku w:val="0"/>
        <w:overflowPunct w:val="0"/>
        <w:spacing w:line="360" w:lineRule="auto"/>
        <w:ind w:firstLine="1440"/>
        <w:textAlignment w:val="baseline"/>
        <w:rPr>
          <w:sz w:val="26"/>
          <w:szCs w:val="26"/>
        </w:rPr>
      </w:pPr>
      <w:r w:rsidRPr="006A631A">
        <w:rPr>
          <w:sz w:val="26"/>
          <w:szCs w:val="26"/>
        </w:rPr>
        <w:t>PGW contends that the</w:t>
      </w:r>
      <w:r w:rsidR="00D7665C" w:rsidRPr="006A631A">
        <w:rPr>
          <w:sz w:val="26"/>
          <w:szCs w:val="26"/>
        </w:rPr>
        <w:t xml:space="preserve"> recommended extension of the stay</w:t>
      </w:r>
      <w:r w:rsidR="00A539D8" w:rsidRPr="006A631A">
        <w:rPr>
          <w:sz w:val="26"/>
          <w:szCs w:val="26"/>
        </w:rPr>
        <w:t>-</w:t>
      </w:r>
      <w:r w:rsidR="00D7665C" w:rsidRPr="006A631A">
        <w:rPr>
          <w:sz w:val="26"/>
          <w:szCs w:val="26"/>
        </w:rPr>
        <w:t xml:space="preserve">out precludes the possibility of a non-emergency rate increase </w:t>
      </w:r>
      <w:r w:rsidRPr="006A631A">
        <w:rPr>
          <w:sz w:val="26"/>
          <w:szCs w:val="26"/>
        </w:rPr>
        <w:t xml:space="preserve">by PGW </w:t>
      </w:r>
      <w:r w:rsidR="00D7665C" w:rsidRPr="006A631A">
        <w:rPr>
          <w:sz w:val="26"/>
          <w:szCs w:val="26"/>
        </w:rPr>
        <w:t>until October 2023, which is in FY 2024.</w:t>
      </w:r>
      <w:r w:rsidR="002E1255" w:rsidRPr="006A631A">
        <w:rPr>
          <w:sz w:val="26"/>
          <w:szCs w:val="26"/>
        </w:rPr>
        <w:t xml:space="preserve">  </w:t>
      </w:r>
      <w:r w:rsidR="00D7665C" w:rsidRPr="006A631A">
        <w:rPr>
          <w:sz w:val="26"/>
          <w:szCs w:val="26"/>
        </w:rPr>
        <w:t>That will be more than 34 months</w:t>
      </w:r>
      <w:r w:rsidR="00D7665C" w:rsidRPr="006A631A">
        <w:rPr>
          <w:b/>
          <w:bCs/>
          <w:sz w:val="26"/>
          <w:szCs w:val="26"/>
        </w:rPr>
        <w:t xml:space="preserve"> </w:t>
      </w:r>
      <w:r w:rsidR="00D7665C" w:rsidRPr="006A631A">
        <w:rPr>
          <w:sz w:val="26"/>
          <w:szCs w:val="26"/>
        </w:rPr>
        <w:t>from the end of the suspension period in this proceeding.</w:t>
      </w:r>
      <w:r w:rsidR="00EA1455" w:rsidRPr="006A631A">
        <w:rPr>
          <w:sz w:val="26"/>
          <w:szCs w:val="26"/>
        </w:rPr>
        <w:t xml:space="preserve">  </w:t>
      </w:r>
      <w:r w:rsidR="00D7665C" w:rsidRPr="006A631A">
        <w:rPr>
          <w:sz w:val="26"/>
          <w:szCs w:val="26"/>
        </w:rPr>
        <w:t>The R</w:t>
      </w:r>
      <w:r w:rsidR="00B157A3" w:rsidRPr="006A631A">
        <w:rPr>
          <w:sz w:val="26"/>
          <w:szCs w:val="26"/>
        </w:rPr>
        <w:t xml:space="preserve">ecommended </w:t>
      </w:r>
      <w:r w:rsidR="00D7665C" w:rsidRPr="006A631A">
        <w:rPr>
          <w:sz w:val="26"/>
          <w:szCs w:val="26"/>
        </w:rPr>
        <w:t>D</w:t>
      </w:r>
      <w:r w:rsidR="00B157A3" w:rsidRPr="006A631A">
        <w:rPr>
          <w:sz w:val="26"/>
          <w:szCs w:val="26"/>
        </w:rPr>
        <w:t>ecision</w:t>
      </w:r>
      <w:r w:rsidR="00D7665C" w:rsidRPr="006A631A">
        <w:rPr>
          <w:sz w:val="26"/>
          <w:szCs w:val="26"/>
        </w:rPr>
        <w:t xml:space="preserve"> does not set forth the financial impact of extending the stay</w:t>
      </w:r>
      <w:r w:rsidR="00A539D8" w:rsidRPr="006A631A">
        <w:rPr>
          <w:sz w:val="26"/>
          <w:szCs w:val="26"/>
        </w:rPr>
        <w:t>-</w:t>
      </w:r>
      <w:r w:rsidR="00D7665C" w:rsidRPr="006A631A">
        <w:rPr>
          <w:sz w:val="26"/>
          <w:szCs w:val="26"/>
        </w:rPr>
        <w:t>out.</w:t>
      </w:r>
      <w:r w:rsidR="002162D9" w:rsidRPr="006A631A">
        <w:rPr>
          <w:sz w:val="26"/>
          <w:szCs w:val="26"/>
        </w:rPr>
        <w:t xml:space="preserve">  </w:t>
      </w:r>
      <w:r w:rsidR="00D7665C" w:rsidRPr="006A631A">
        <w:rPr>
          <w:sz w:val="26"/>
          <w:szCs w:val="26"/>
        </w:rPr>
        <w:t>Nothing in the record or the R</w:t>
      </w:r>
      <w:r w:rsidR="00B157A3" w:rsidRPr="006A631A">
        <w:rPr>
          <w:sz w:val="26"/>
          <w:szCs w:val="26"/>
        </w:rPr>
        <w:t xml:space="preserve">ecommended </w:t>
      </w:r>
      <w:r w:rsidR="00D7665C" w:rsidRPr="006A631A">
        <w:rPr>
          <w:sz w:val="26"/>
          <w:szCs w:val="26"/>
        </w:rPr>
        <w:t>D</w:t>
      </w:r>
      <w:r w:rsidR="00B157A3" w:rsidRPr="006A631A">
        <w:rPr>
          <w:sz w:val="26"/>
          <w:szCs w:val="26"/>
        </w:rPr>
        <w:t>ecision</w:t>
      </w:r>
      <w:r w:rsidR="00D7665C" w:rsidRPr="006A631A">
        <w:rPr>
          <w:sz w:val="26"/>
          <w:szCs w:val="26"/>
        </w:rPr>
        <w:t xml:space="preserve"> examines whether the</w:t>
      </w:r>
      <w:r w:rsidRPr="006A631A">
        <w:rPr>
          <w:sz w:val="26"/>
          <w:szCs w:val="26"/>
        </w:rPr>
        <w:t xml:space="preserve"> rates, as modified and extended by the Recommended Decision, will be </w:t>
      </w:r>
      <w:r w:rsidRPr="006A631A">
        <w:rPr>
          <w:sz w:val="26"/>
          <w:szCs w:val="26"/>
        </w:rPr>
        <w:lastRenderedPageBreak/>
        <w:t>sufficient until the end of the stay</w:t>
      </w:r>
      <w:r w:rsidR="00A539D8" w:rsidRPr="006A631A">
        <w:rPr>
          <w:sz w:val="26"/>
          <w:szCs w:val="26"/>
        </w:rPr>
        <w:t>-</w:t>
      </w:r>
      <w:r w:rsidRPr="006A631A">
        <w:rPr>
          <w:sz w:val="26"/>
          <w:szCs w:val="26"/>
        </w:rPr>
        <w:t xml:space="preserve">out, because this proceeding is focused on the FPFTY (FY 2021).  PGW Exc. at 22-23. </w:t>
      </w:r>
      <w:r w:rsidR="00B157A3" w:rsidRPr="006A631A">
        <w:rPr>
          <w:sz w:val="26"/>
          <w:szCs w:val="26"/>
        </w:rPr>
        <w:t xml:space="preserve"> </w:t>
      </w:r>
      <w:r w:rsidRPr="006A631A">
        <w:rPr>
          <w:sz w:val="26"/>
          <w:szCs w:val="26"/>
        </w:rPr>
        <w:t>PGW reiterates that, delaying the allowed rate increase for an additional six months would have a severely negative impact on PGW’s financial metrics and ordering that PGW could not file for additional non-emergency rate relief until 2023 would simply exacerbate the negative financial effects of the Recommended Decision’s modifications.</w:t>
      </w:r>
    </w:p>
    <w:p w14:paraId="39C84357" w14:textId="77777777" w:rsidR="0081458A" w:rsidRPr="006A631A" w:rsidRDefault="0081458A" w:rsidP="00F510B9">
      <w:pPr>
        <w:widowControl/>
        <w:kinsoku w:val="0"/>
        <w:overflowPunct w:val="0"/>
        <w:spacing w:line="360" w:lineRule="auto"/>
        <w:textAlignment w:val="baseline"/>
        <w:rPr>
          <w:sz w:val="26"/>
          <w:szCs w:val="26"/>
        </w:rPr>
      </w:pPr>
    </w:p>
    <w:p w14:paraId="3215B241" w14:textId="04EE42C5" w:rsidR="0081458A" w:rsidRPr="006A631A" w:rsidRDefault="0081458A" w:rsidP="00F510B9">
      <w:pPr>
        <w:widowControl/>
        <w:kinsoku w:val="0"/>
        <w:overflowPunct w:val="0"/>
        <w:spacing w:line="360" w:lineRule="auto"/>
        <w:ind w:right="72" w:firstLine="1440"/>
        <w:textAlignment w:val="baseline"/>
        <w:rPr>
          <w:sz w:val="26"/>
          <w:szCs w:val="26"/>
        </w:rPr>
      </w:pPr>
      <w:r w:rsidRPr="006A631A">
        <w:rPr>
          <w:sz w:val="26"/>
          <w:szCs w:val="26"/>
        </w:rPr>
        <w:t>PGW also argues, that more on point, and as explained above, the Commission does not have the legal authority to order PGW to stay</w:t>
      </w:r>
      <w:r w:rsidR="00A539D8" w:rsidRPr="006A631A">
        <w:rPr>
          <w:sz w:val="26"/>
          <w:szCs w:val="26"/>
        </w:rPr>
        <w:t>-</w:t>
      </w:r>
      <w:r w:rsidRPr="006A631A">
        <w:rPr>
          <w:sz w:val="26"/>
          <w:szCs w:val="26"/>
        </w:rPr>
        <w:t>out until 2023, as any such order would be in derogation of PGW’s rights under 66 Pa.</w:t>
      </w:r>
      <w:r w:rsidR="00B157A3" w:rsidRPr="006A631A">
        <w:rPr>
          <w:sz w:val="26"/>
          <w:szCs w:val="26"/>
        </w:rPr>
        <w:t xml:space="preserve"> </w:t>
      </w:r>
      <w:r w:rsidRPr="006A631A">
        <w:rPr>
          <w:sz w:val="26"/>
          <w:szCs w:val="26"/>
        </w:rPr>
        <w:t xml:space="preserve">C.S. § 1308(d) of the Code and the Constitutions of the United States and the Commonwealth. </w:t>
      </w:r>
      <w:r w:rsidR="009B5230" w:rsidRPr="006A631A">
        <w:rPr>
          <w:sz w:val="26"/>
          <w:szCs w:val="26"/>
        </w:rPr>
        <w:t xml:space="preserve"> </w:t>
      </w:r>
      <w:r w:rsidRPr="006A631A">
        <w:rPr>
          <w:sz w:val="26"/>
          <w:szCs w:val="26"/>
        </w:rPr>
        <w:t>PGW asserts that it has the statutory and constitutional right to seek and obtain “just and reasonable” rates.  PGW Exc. at 22-23.</w:t>
      </w:r>
    </w:p>
    <w:p w14:paraId="10EA360D" w14:textId="17B01601" w:rsidR="0081458A" w:rsidRPr="006A631A" w:rsidRDefault="0081458A" w:rsidP="00F510B9">
      <w:pPr>
        <w:widowControl/>
        <w:kinsoku w:val="0"/>
        <w:overflowPunct w:val="0"/>
        <w:spacing w:line="360" w:lineRule="auto"/>
        <w:ind w:right="72" w:firstLine="720"/>
        <w:textAlignment w:val="baseline"/>
        <w:rPr>
          <w:sz w:val="26"/>
          <w:szCs w:val="26"/>
        </w:rPr>
      </w:pPr>
    </w:p>
    <w:p w14:paraId="5948EF4A" w14:textId="48D34020" w:rsidR="0039411C" w:rsidRPr="00FD5F6C" w:rsidRDefault="0039411C" w:rsidP="00BE0708">
      <w:pPr>
        <w:pStyle w:val="ListParagraph"/>
        <w:widowControl/>
        <w:numPr>
          <w:ilvl w:val="0"/>
          <w:numId w:val="14"/>
        </w:numPr>
        <w:kinsoku w:val="0"/>
        <w:overflowPunct w:val="0"/>
        <w:spacing w:line="360" w:lineRule="auto"/>
        <w:ind w:left="2880" w:right="72"/>
        <w:textAlignment w:val="baseline"/>
        <w:rPr>
          <w:b/>
          <w:bCs/>
          <w:sz w:val="26"/>
          <w:szCs w:val="26"/>
        </w:rPr>
      </w:pPr>
      <w:r w:rsidRPr="00FD5F6C">
        <w:rPr>
          <w:b/>
          <w:bCs/>
          <w:sz w:val="26"/>
          <w:szCs w:val="26"/>
        </w:rPr>
        <w:t>PGW Settlement Exception 5</w:t>
      </w:r>
    </w:p>
    <w:p w14:paraId="171D8115" w14:textId="6803C856" w:rsidR="0039411C" w:rsidRPr="006A631A" w:rsidRDefault="0039411C" w:rsidP="00F510B9">
      <w:pPr>
        <w:widowControl/>
        <w:kinsoku w:val="0"/>
        <w:overflowPunct w:val="0"/>
        <w:spacing w:line="360" w:lineRule="auto"/>
        <w:ind w:right="72" w:firstLine="1440"/>
        <w:textAlignment w:val="baseline"/>
        <w:rPr>
          <w:sz w:val="26"/>
          <w:szCs w:val="26"/>
        </w:rPr>
      </w:pPr>
    </w:p>
    <w:p w14:paraId="74297111" w14:textId="56D73909" w:rsidR="0039411C" w:rsidRPr="006A631A" w:rsidRDefault="0039411C" w:rsidP="00F510B9">
      <w:pPr>
        <w:widowControl/>
        <w:kinsoku w:val="0"/>
        <w:overflowPunct w:val="0"/>
        <w:spacing w:line="360" w:lineRule="auto"/>
        <w:ind w:right="72" w:firstLine="1440"/>
        <w:textAlignment w:val="baseline"/>
        <w:rPr>
          <w:sz w:val="26"/>
          <w:szCs w:val="26"/>
        </w:rPr>
      </w:pPr>
      <w:r w:rsidRPr="006A631A">
        <w:rPr>
          <w:sz w:val="26"/>
          <w:szCs w:val="26"/>
        </w:rPr>
        <w:t xml:space="preserve">PGW alleges that the ALJs erred in recommending that the Partial Settlement should be modified to require PGW to meet with the </w:t>
      </w:r>
      <w:r w:rsidR="00C50F00" w:rsidRPr="006A631A">
        <w:rPr>
          <w:sz w:val="26"/>
          <w:szCs w:val="26"/>
        </w:rPr>
        <w:t xml:space="preserve">Commission’s Gas Safety Division within </w:t>
      </w:r>
      <w:r w:rsidR="00B157A3" w:rsidRPr="006A631A">
        <w:rPr>
          <w:sz w:val="26"/>
          <w:szCs w:val="26"/>
        </w:rPr>
        <w:t>ninety</w:t>
      </w:r>
      <w:r w:rsidR="00C50F00" w:rsidRPr="006A631A">
        <w:rPr>
          <w:sz w:val="26"/>
          <w:szCs w:val="26"/>
        </w:rPr>
        <w:t xml:space="preserve"> days of the Commission’s Order in this matter and biannually thereafter through 2022 to review increasing pipeline replacement costs and to develop a plan to reduce pipeline replacement costs and leaks.  PGW Exc. at 23.  </w:t>
      </w:r>
    </w:p>
    <w:p w14:paraId="66D5314A" w14:textId="1BD0CFB5" w:rsidR="00C50F00" w:rsidRPr="006A631A" w:rsidRDefault="00C50F00" w:rsidP="00F510B9">
      <w:pPr>
        <w:widowControl/>
        <w:kinsoku w:val="0"/>
        <w:overflowPunct w:val="0"/>
        <w:spacing w:line="360" w:lineRule="auto"/>
        <w:ind w:right="72" w:firstLine="1440"/>
        <w:textAlignment w:val="baseline"/>
        <w:rPr>
          <w:sz w:val="26"/>
          <w:szCs w:val="26"/>
        </w:rPr>
      </w:pPr>
    </w:p>
    <w:p w14:paraId="4F10B092" w14:textId="53C048ED" w:rsidR="00C50F00" w:rsidRPr="006A631A" w:rsidRDefault="00C50F00" w:rsidP="00F510B9">
      <w:pPr>
        <w:widowControl/>
        <w:kinsoku w:val="0"/>
        <w:overflowPunct w:val="0"/>
        <w:spacing w:line="360" w:lineRule="auto"/>
        <w:ind w:right="144" w:firstLine="1440"/>
        <w:textAlignment w:val="baseline"/>
        <w:rPr>
          <w:sz w:val="26"/>
          <w:szCs w:val="26"/>
        </w:rPr>
      </w:pPr>
      <w:r w:rsidRPr="006A631A">
        <w:rPr>
          <w:sz w:val="26"/>
          <w:szCs w:val="26"/>
        </w:rPr>
        <w:t>PGW points out that, in the Partial Settlement, PGW agreed to review its most recent Annual Asset Optimization Plan (“AAOP”) with the Commission’s Pipeline Safety Division to discuss efforts to reduce main replacement costs.  PGW emphasizes that it also agreed in the Partial Settlement to refine the way it prioritizes replacement of its cast iron assets in its Distribution Integrity Management Plan (“DIMP”).</w:t>
      </w:r>
      <w:r w:rsidR="007E0191" w:rsidRPr="006A631A">
        <w:rPr>
          <w:sz w:val="26"/>
          <w:szCs w:val="26"/>
        </w:rPr>
        <w:t xml:space="preserve">  PGW Exc. at 23.</w:t>
      </w:r>
    </w:p>
    <w:p w14:paraId="58DF11AB" w14:textId="77777777" w:rsidR="00C50F00" w:rsidRPr="006A631A" w:rsidRDefault="00C50F00" w:rsidP="00F510B9">
      <w:pPr>
        <w:widowControl/>
        <w:kinsoku w:val="0"/>
        <w:overflowPunct w:val="0"/>
        <w:spacing w:line="360" w:lineRule="auto"/>
        <w:ind w:right="144" w:firstLine="1440"/>
        <w:textAlignment w:val="baseline"/>
        <w:rPr>
          <w:sz w:val="26"/>
          <w:szCs w:val="26"/>
        </w:rPr>
      </w:pPr>
    </w:p>
    <w:p w14:paraId="4E52B3F2" w14:textId="65B4FF76" w:rsidR="00C50F00" w:rsidRPr="006A631A" w:rsidRDefault="00186A49" w:rsidP="00F510B9">
      <w:pPr>
        <w:widowControl/>
        <w:kinsoku w:val="0"/>
        <w:overflowPunct w:val="0"/>
        <w:spacing w:line="360" w:lineRule="auto"/>
        <w:ind w:right="144" w:firstLine="1440"/>
        <w:textAlignment w:val="baseline"/>
        <w:rPr>
          <w:sz w:val="26"/>
          <w:szCs w:val="26"/>
        </w:rPr>
      </w:pPr>
      <w:r w:rsidRPr="006A631A">
        <w:rPr>
          <w:sz w:val="26"/>
          <w:szCs w:val="26"/>
        </w:rPr>
        <w:lastRenderedPageBreak/>
        <w:t>PGW asserts, that d</w:t>
      </w:r>
      <w:r w:rsidR="00A14152" w:rsidRPr="006A631A">
        <w:rPr>
          <w:sz w:val="26"/>
          <w:szCs w:val="26"/>
        </w:rPr>
        <w:t>espite these agreements, t</w:t>
      </w:r>
      <w:r w:rsidR="00C50F00" w:rsidRPr="006A631A">
        <w:rPr>
          <w:sz w:val="26"/>
          <w:szCs w:val="26"/>
        </w:rPr>
        <w:t xml:space="preserve">he </w:t>
      </w:r>
      <w:r w:rsidR="00A14152" w:rsidRPr="006A631A">
        <w:rPr>
          <w:sz w:val="26"/>
          <w:szCs w:val="26"/>
        </w:rPr>
        <w:t xml:space="preserve">Recommended </w:t>
      </w:r>
      <w:r w:rsidR="00C50F00" w:rsidRPr="006A631A">
        <w:rPr>
          <w:sz w:val="26"/>
          <w:szCs w:val="26"/>
        </w:rPr>
        <w:t>D</w:t>
      </w:r>
      <w:r w:rsidR="00A14152" w:rsidRPr="006A631A">
        <w:rPr>
          <w:sz w:val="26"/>
          <w:szCs w:val="26"/>
        </w:rPr>
        <w:t>ecision</w:t>
      </w:r>
      <w:r w:rsidR="00C50F00" w:rsidRPr="006A631A">
        <w:rPr>
          <w:sz w:val="26"/>
          <w:szCs w:val="26"/>
        </w:rPr>
        <w:t xml:space="preserve"> determined that “a </w:t>
      </w:r>
      <w:proofErr w:type="gramStart"/>
      <w:r w:rsidR="00C50F00" w:rsidRPr="006A631A">
        <w:rPr>
          <w:sz w:val="26"/>
          <w:szCs w:val="26"/>
        </w:rPr>
        <w:t>more firm</w:t>
      </w:r>
      <w:proofErr w:type="gramEnd"/>
      <w:r w:rsidR="00C50F00" w:rsidRPr="006A631A">
        <w:rPr>
          <w:sz w:val="26"/>
          <w:szCs w:val="26"/>
        </w:rPr>
        <w:t xml:space="preserve"> commitment by PGW for review of its plans by Commission staff is required.”</w:t>
      </w:r>
      <w:r w:rsidR="00A14152" w:rsidRPr="006A631A">
        <w:rPr>
          <w:sz w:val="26"/>
          <w:szCs w:val="26"/>
          <w:vertAlign w:val="superscript"/>
        </w:rPr>
        <w:t xml:space="preserve"> </w:t>
      </w:r>
      <w:r w:rsidR="00A14152" w:rsidRPr="006A631A">
        <w:rPr>
          <w:sz w:val="26"/>
          <w:szCs w:val="26"/>
        </w:rPr>
        <w:t xml:space="preserve">In other words, </w:t>
      </w:r>
      <w:r w:rsidRPr="006A631A">
        <w:rPr>
          <w:sz w:val="26"/>
          <w:szCs w:val="26"/>
        </w:rPr>
        <w:t>r</w:t>
      </w:r>
      <w:r w:rsidR="00C50F00" w:rsidRPr="006A631A">
        <w:rPr>
          <w:sz w:val="26"/>
          <w:szCs w:val="26"/>
        </w:rPr>
        <w:t xml:space="preserve">ather than rejecting the terms of the </w:t>
      </w:r>
      <w:r w:rsidRPr="006A631A">
        <w:rPr>
          <w:sz w:val="26"/>
          <w:szCs w:val="26"/>
        </w:rPr>
        <w:t xml:space="preserve">Partial </w:t>
      </w:r>
      <w:r w:rsidR="00C50F00" w:rsidRPr="006A631A">
        <w:rPr>
          <w:sz w:val="26"/>
          <w:szCs w:val="26"/>
        </w:rPr>
        <w:t xml:space="preserve">Settlement, the ALJs recommended that the </w:t>
      </w:r>
      <w:r w:rsidRPr="006A631A">
        <w:rPr>
          <w:sz w:val="26"/>
          <w:szCs w:val="26"/>
        </w:rPr>
        <w:t xml:space="preserve">Partial </w:t>
      </w:r>
      <w:r w:rsidR="00C50F00" w:rsidRPr="006A631A">
        <w:rPr>
          <w:sz w:val="26"/>
          <w:szCs w:val="26"/>
        </w:rPr>
        <w:t xml:space="preserve">Settlement be modified </w:t>
      </w:r>
      <w:r w:rsidRPr="006A631A">
        <w:rPr>
          <w:sz w:val="26"/>
          <w:szCs w:val="26"/>
        </w:rPr>
        <w:t>in a way not advocated by I&amp;E or supported by the record.  PGW argues that t</w:t>
      </w:r>
      <w:r w:rsidR="00C50F00" w:rsidRPr="006A631A">
        <w:rPr>
          <w:sz w:val="26"/>
          <w:szCs w:val="26"/>
        </w:rPr>
        <w:t xml:space="preserve">he terms of the </w:t>
      </w:r>
      <w:r w:rsidRPr="006A631A">
        <w:rPr>
          <w:sz w:val="26"/>
          <w:szCs w:val="26"/>
        </w:rPr>
        <w:t xml:space="preserve">Partial </w:t>
      </w:r>
      <w:r w:rsidR="00C50F00" w:rsidRPr="006A631A">
        <w:rPr>
          <w:sz w:val="26"/>
          <w:szCs w:val="26"/>
        </w:rPr>
        <w:t>Settlement were acceptable to I</w:t>
      </w:r>
      <w:r w:rsidRPr="006A631A">
        <w:rPr>
          <w:sz w:val="26"/>
          <w:szCs w:val="26"/>
        </w:rPr>
        <w:t>&amp;</w:t>
      </w:r>
      <w:r w:rsidR="00C50F00" w:rsidRPr="006A631A">
        <w:rPr>
          <w:sz w:val="26"/>
          <w:szCs w:val="26"/>
        </w:rPr>
        <w:t xml:space="preserve">E – the Party that raised them in the first place. </w:t>
      </w:r>
      <w:r w:rsidRPr="006A631A">
        <w:rPr>
          <w:sz w:val="26"/>
          <w:szCs w:val="26"/>
        </w:rPr>
        <w:t xml:space="preserve"> </w:t>
      </w:r>
      <w:r w:rsidR="00C50F00" w:rsidRPr="006A631A">
        <w:rPr>
          <w:sz w:val="26"/>
          <w:szCs w:val="26"/>
        </w:rPr>
        <w:t xml:space="preserve">Moreover, </w:t>
      </w:r>
      <w:r w:rsidRPr="006A631A">
        <w:rPr>
          <w:sz w:val="26"/>
          <w:szCs w:val="26"/>
        </w:rPr>
        <w:t xml:space="preserve">PGW claims that </w:t>
      </w:r>
      <w:r w:rsidR="00C50F00" w:rsidRPr="006A631A">
        <w:rPr>
          <w:sz w:val="26"/>
          <w:szCs w:val="26"/>
        </w:rPr>
        <w:t xml:space="preserve">the record shows that PGW has already taken steps to prioritize for replacement the </w:t>
      </w:r>
      <w:proofErr w:type="gramStart"/>
      <w:r w:rsidR="00C50F00" w:rsidRPr="006A631A">
        <w:rPr>
          <w:sz w:val="26"/>
          <w:szCs w:val="26"/>
        </w:rPr>
        <w:t>most risky</w:t>
      </w:r>
      <w:proofErr w:type="gramEnd"/>
      <w:r w:rsidR="00C50F00" w:rsidRPr="006A631A">
        <w:rPr>
          <w:sz w:val="26"/>
          <w:szCs w:val="26"/>
        </w:rPr>
        <w:t xml:space="preserve"> pipe and to reduce pipeline replacement costs as much as possible. </w:t>
      </w:r>
      <w:r w:rsidR="00B157A3" w:rsidRPr="006A631A">
        <w:rPr>
          <w:sz w:val="26"/>
          <w:szCs w:val="26"/>
        </w:rPr>
        <w:t xml:space="preserve"> </w:t>
      </w:r>
      <w:r w:rsidR="00C50F00" w:rsidRPr="006A631A">
        <w:rPr>
          <w:sz w:val="26"/>
          <w:szCs w:val="26"/>
        </w:rPr>
        <w:t xml:space="preserve">The </w:t>
      </w:r>
      <w:r w:rsidRPr="006A631A">
        <w:rPr>
          <w:sz w:val="26"/>
          <w:szCs w:val="26"/>
        </w:rPr>
        <w:t xml:space="preserve">Recommended </w:t>
      </w:r>
      <w:r w:rsidR="00C50F00" w:rsidRPr="006A631A">
        <w:rPr>
          <w:sz w:val="26"/>
          <w:szCs w:val="26"/>
        </w:rPr>
        <w:t>D</w:t>
      </w:r>
      <w:r w:rsidRPr="006A631A">
        <w:rPr>
          <w:sz w:val="26"/>
          <w:szCs w:val="26"/>
        </w:rPr>
        <w:t>ecision</w:t>
      </w:r>
      <w:r w:rsidR="00C50F00" w:rsidRPr="006A631A">
        <w:rPr>
          <w:sz w:val="26"/>
          <w:szCs w:val="26"/>
        </w:rPr>
        <w:t xml:space="preserve">’s additional meetings and requirements are </w:t>
      </w:r>
      <w:r w:rsidRPr="006A631A">
        <w:rPr>
          <w:sz w:val="26"/>
          <w:szCs w:val="26"/>
        </w:rPr>
        <w:t xml:space="preserve">therefore </w:t>
      </w:r>
      <w:r w:rsidR="00C50F00" w:rsidRPr="006A631A">
        <w:rPr>
          <w:sz w:val="26"/>
          <w:szCs w:val="26"/>
        </w:rPr>
        <w:t>unnecessary</w:t>
      </w:r>
      <w:r w:rsidRPr="006A631A">
        <w:rPr>
          <w:sz w:val="26"/>
          <w:szCs w:val="26"/>
        </w:rPr>
        <w:t xml:space="preserve"> and should be rejected</w:t>
      </w:r>
      <w:r w:rsidR="00C50F00" w:rsidRPr="006A631A">
        <w:rPr>
          <w:sz w:val="26"/>
          <w:szCs w:val="26"/>
        </w:rPr>
        <w:t>.</w:t>
      </w:r>
      <w:r w:rsidRPr="006A631A">
        <w:rPr>
          <w:sz w:val="26"/>
          <w:szCs w:val="26"/>
        </w:rPr>
        <w:t xml:space="preserve">  PGW Exc. at 23-24.</w:t>
      </w:r>
    </w:p>
    <w:p w14:paraId="34BD14D7" w14:textId="55CE1BC3" w:rsidR="00C50F00" w:rsidRPr="006A631A" w:rsidRDefault="00C50F00" w:rsidP="00F510B9">
      <w:pPr>
        <w:widowControl/>
        <w:kinsoku w:val="0"/>
        <w:overflowPunct w:val="0"/>
        <w:spacing w:line="360" w:lineRule="auto"/>
        <w:ind w:right="72" w:firstLine="1440"/>
        <w:textAlignment w:val="baseline"/>
        <w:rPr>
          <w:sz w:val="26"/>
          <w:szCs w:val="26"/>
        </w:rPr>
      </w:pPr>
    </w:p>
    <w:p w14:paraId="5F0DD00A" w14:textId="4D347219" w:rsidR="00186A49" w:rsidRPr="006A631A" w:rsidRDefault="00D47EC4" w:rsidP="00F510B9">
      <w:pPr>
        <w:widowControl/>
        <w:kinsoku w:val="0"/>
        <w:overflowPunct w:val="0"/>
        <w:spacing w:line="360" w:lineRule="auto"/>
        <w:ind w:right="144" w:firstLine="1440"/>
        <w:textAlignment w:val="baseline"/>
        <w:rPr>
          <w:sz w:val="26"/>
          <w:szCs w:val="26"/>
        </w:rPr>
      </w:pPr>
      <w:r w:rsidRPr="006A631A">
        <w:rPr>
          <w:sz w:val="26"/>
          <w:szCs w:val="26"/>
        </w:rPr>
        <w:t>According to PGW, t</w:t>
      </w:r>
      <w:r w:rsidR="00186A49" w:rsidRPr="006A631A">
        <w:rPr>
          <w:sz w:val="26"/>
          <w:szCs w:val="26"/>
        </w:rPr>
        <w:t>his Partial Settlement contains an acceptable resolution of the issues regarding pipeline replacement</w:t>
      </w:r>
      <w:r w:rsidRPr="006A631A">
        <w:rPr>
          <w:sz w:val="26"/>
          <w:szCs w:val="26"/>
        </w:rPr>
        <w:t>,</w:t>
      </w:r>
      <w:r w:rsidR="00186A49" w:rsidRPr="006A631A">
        <w:rPr>
          <w:sz w:val="26"/>
          <w:szCs w:val="26"/>
        </w:rPr>
        <w:t xml:space="preserve"> importantly, terms acceptable to I&amp;E and its Pipeline Safety Division.  PGW points out that I&amp;E was the only party to raise pipeline replacement costs and prioritization of cast iron main replacements in its testimony and the concerns I&amp;E raised were fully resolved by the record and the Settlement. </w:t>
      </w:r>
      <w:r w:rsidRPr="006A631A">
        <w:rPr>
          <w:sz w:val="26"/>
          <w:szCs w:val="26"/>
        </w:rPr>
        <w:t xml:space="preserve"> I&amp;E’s Exceptions confirm that it is on board with the terms of the Partial Settlement, including those related to this issue.</w:t>
      </w:r>
      <w:r w:rsidR="001E6A35" w:rsidRPr="006A631A">
        <w:rPr>
          <w:sz w:val="26"/>
          <w:szCs w:val="26"/>
        </w:rPr>
        <w:t xml:space="preserve">  PGW Exc. at 25.</w:t>
      </w:r>
    </w:p>
    <w:p w14:paraId="0C0B72D4" w14:textId="77777777" w:rsidR="00186A49" w:rsidRPr="006A631A" w:rsidRDefault="00186A49" w:rsidP="00F510B9">
      <w:pPr>
        <w:widowControl/>
        <w:kinsoku w:val="0"/>
        <w:overflowPunct w:val="0"/>
        <w:spacing w:line="360" w:lineRule="auto"/>
        <w:ind w:right="144" w:firstLine="1440"/>
        <w:textAlignment w:val="baseline"/>
        <w:rPr>
          <w:sz w:val="26"/>
          <w:szCs w:val="26"/>
        </w:rPr>
      </w:pPr>
    </w:p>
    <w:p w14:paraId="66EF78DB" w14:textId="3DFABE29" w:rsidR="00D47EC4" w:rsidRPr="006A631A" w:rsidRDefault="00186A49" w:rsidP="00F510B9">
      <w:pPr>
        <w:widowControl/>
        <w:kinsoku w:val="0"/>
        <w:overflowPunct w:val="0"/>
        <w:spacing w:line="360" w:lineRule="auto"/>
        <w:ind w:right="72" w:firstLine="1440"/>
        <w:textAlignment w:val="baseline"/>
        <w:rPr>
          <w:sz w:val="26"/>
          <w:szCs w:val="26"/>
        </w:rPr>
      </w:pPr>
      <w:r w:rsidRPr="006A631A">
        <w:rPr>
          <w:sz w:val="26"/>
          <w:szCs w:val="26"/>
        </w:rPr>
        <w:t>PGW suggests that the Recommended Decision offers little support for the modification, vaguely referencing “questions raised in litigation regarding whether PGW replaces riskiest pipes first and the notable increasing costs of pipe replacement.”</w:t>
      </w:r>
      <w:r w:rsidR="00D17724" w:rsidRPr="006A631A">
        <w:rPr>
          <w:sz w:val="26"/>
          <w:szCs w:val="26"/>
          <w:vertAlign w:val="superscript"/>
        </w:rPr>
        <w:t xml:space="preserve">  </w:t>
      </w:r>
      <w:r w:rsidRPr="006A631A">
        <w:rPr>
          <w:sz w:val="26"/>
          <w:szCs w:val="26"/>
        </w:rPr>
        <w:t>PGW emphasizes that those questions were fully resolved on the record, which reflects that PGW currently utilizes a risk analysis to identify pipe replacement prioritization.</w:t>
      </w:r>
      <w:r w:rsidR="00D17724" w:rsidRPr="006A631A">
        <w:rPr>
          <w:sz w:val="26"/>
          <w:szCs w:val="26"/>
          <w:vertAlign w:val="superscript"/>
        </w:rPr>
        <w:t xml:space="preserve">  </w:t>
      </w:r>
      <w:r w:rsidRPr="006A631A">
        <w:rPr>
          <w:sz w:val="26"/>
          <w:szCs w:val="26"/>
        </w:rPr>
        <w:t>In addition, PGW and I&amp;E have agreed that in its DIMP, PGW will further categorize pipe segments based on risk analysis.</w:t>
      </w:r>
      <w:r w:rsidR="00D17724" w:rsidRPr="006A631A">
        <w:rPr>
          <w:sz w:val="26"/>
          <w:szCs w:val="26"/>
          <w:vertAlign w:val="superscript"/>
        </w:rPr>
        <w:t xml:space="preserve">  </w:t>
      </w:r>
      <w:r w:rsidRPr="006A631A">
        <w:rPr>
          <w:sz w:val="26"/>
          <w:szCs w:val="26"/>
        </w:rPr>
        <w:t xml:space="preserve">That commitment was memorialized in the Partial Settlement.  Furthermore, the Partial Settlement provides that PGW must focus the cast iron main replacements based on risk and categorize risky assets, </w:t>
      </w:r>
      <w:r w:rsidR="00D47EC4" w:rsidRPr="006A631A">
        <w:rPr>
          <w:sz w:val="26"/>
          <w:szCs w:val="26"/>
        </w:rPr>
        <w:t xml:space="preserve">particularly cast iron assets, in its DIMP, where it will break down cast iron assets into smaller asset group </w:t>
      </w:r>
      <w:r w:rsidR="00D47EC4" w:rsidRPr="006A631A">
        <w:rPr>
          <w:sz w:val="26"/>
          <w:szCs w:val="26"/>
        </w:rPr>
        <w:lastRenderedPageBreak/>
        <w:t>categories that allows PGW to measure the effectiveness of the replacement plan.</w:t>
      </w:r>
      <w:r w:rsidR="00391D84" w:rsidRPr="006A631A">
        <w:rPr>
          <w:sz w:val="26"/>
          <w:szCs w:val="26"/>
        </w:rPr>
        <w:t xml:space="preserve">  PGW Exc. at 25-26.</w:t>
      </w:r>
    </w:p>
    <w:p w14:paraId="4FD5438E" w14:textId="7FAE90A1" w:rsidR="00D47EC4" w:rsidRPr="006A631A" w:rsidRDefault="00D47EC4" w:rsidP="00F510B9">
      <w:pPr>
        <w:widowControl/>
        <w:kinsoku w:val="0"/>
        <w:overflowPunct w:val="0"/>
        <w:spacing w:line="360" w:lineRule="auto"/>
        <w:ind w:right="72" w:firstLine="1440"/>
        <w:textAlignment w:val="baseline"/>
        <w:rPr>
          <w:sz w:val="26"/>
          <w:szCs w:val="26"/>
        </w:rPr>
      </w:pPr>
      <w:r w:rsidRPr="006A631A">
        <w:rPr>
          <w:sz w:val="26"/>
          <w:szCs w:val="26"/>
        </w:rPr>
        <w:t xml:space="preserve"> </w:t>
      </w:r>
    </w:p>
    <w:p w14:paraId="5BFFF3BA" w14:textId="64E0671C" w:rsidR="00765354" w:rsidRPr="006A631A" w:rsidRDefault="00D47EC4" w:rsidP="00F510B9">
      <w:pPr>
        <w:widowControl/>
        <w:kinsoku w:val="0"/>
        <w:overflowPunct w:val="0"/>
        <w:spacing w:line="360" w:lineRule="auto"/>
        <w:ind w:right="72" w:firstLine="1440"/>
        <w:textAlignment w:val="baseline"/>
        <w:rPr>
          <w:sz w:val="26"/>
          <w:szCs w:val="26"/>
        </w:rPr>
      </w:pPr>
      <w:r w:rsidRPr="006A631A">
        <w:rPr>
          <w:sz w:val="26"/>
          <w:szCs w:val="26"/>
        </w:rPr>
        <w:t>Therefore, PGW submits that it has shown that it has procedures in place or has agreed to measures that will ensure that it is replacing the riskiest main first – and I&amp;E agreed.  Moreover, both I</w:t>
      </w:r>
      <w:r w:rsidR="00B157A3" w:rsidRPr="006A631A">
        <w:rPr>
          <w:sz w:val="26"/>
          <w:szCs w:val="26"/>
        </w:rPr>
        <w:t>&amp;</w:t>
      </w:r>
      <w:r w:rsidRPr="006A631A">
        <w:rPr>
          <w:sz w:val="26"/>
          <w:szCs w:val="26"/>
        </w:rPr>
        <w:t xml:space="preserve">E and PGW agreed that replacing the riskiest main at an increased rate will reduce the leaks on PGW’s distribution system. </w:t>
      </w:r>
      <w:r w:rsidR="000602B1" w:rsidRPr="006A631A">
        <w:rPr>
          <w:sz w:val="26"/>
          <w:szCs w:val="26"/>
        </w:rPr>
        <w:t xml:space="preserve"> </w:t>
      </w:r>
      <w:r w:rsidRPr="006A631A">
        <w:rPr>
          <w:sz w:val="26"/>
          <w:szCs w:val="26"/>
        </w:rPr>
        <w:t xml:space="preserve">Therefore, the Settlement fully addresses </w:t>
      </w:r>
      <w:proofErr w:type="gramStart"/>
      <w:r w:rsidRPr="006A631A">
        <w:rPr>
          <w:sz w:val="26"/>
          <w:szCs w:val="26"/>
        </w:rPr>
        <w:t>all of</w:t>
      </w:r>
      <w:proofErr w:type="gramEnd"/>
      <w:r w:rsidRPr="006A631A">
        <w:rPr>
          <w:sz w:val="26"/>
          <w:szCs w:val="26"/>
        </w:rPr>
        <w:t xml:space="preserve"> the concerns raised by I&amp;E (and resurrected by the ALJs) regarding PGW’s prioritization of pipe replacements and there was no need to modify the Settlement. </w:t>
      </w:r>
      <w:r w:rsidR="00E669F7" w:rsidRPr="006A631A">
        <w:rPr>
          <w:sz w:val="26"/>
          <w:szCs w:val="26"/>
        </w:rPr>
        <w:t xml:space="preserve"> </w:t>
      </w:r>
      <w:r w:rsidRPr="006A631A">
        <w:rPr>
          <w:sz w:val="26"/>
          <w:szCs w:val="26"/>
        </w:rPr>
        <w:t>The RD does not identify why the ALJs viewed the resolution as insufficient.</w:t>
      </w:r>
      <w:r w:rsidR="00765354" w:rsidRPr="006A631A">
        <w:rPr>
          <w:sz w:val="26"/>
          <w:szCs w:val="26"/>
        </w:rPr>
        <w:t xml:space="preserve">  PGW Exc. at 26.</w:t>
      </w:r>
    </w:p>
    <w:p w14:paraId="23E4AFB2" w14:textId="77777777" w:rsidR="00D47EC4" w:rsidRPr="006A631A" w:rsidRDefault="00D47EC4" w:rsidP="00F510B9">
      <w:pPr>
        <w:widowControl/>
        <w:kinsoku w:val="0"/>
        <w:overflowPunct w:val="0"/>
        <w:spacing w:line="360" w:lineRule="auto"/>
        <w:ind w:right="72" w:firstLine="1440"/>
        <w:textAlignment w:val="baseline"/>
        <w:rPr>
          <w:sz w:val="26"/>
          <w:szCs w:val="26"/>
        </w:rPr>
      </w:pPr>
    </w:p>
    <w:p w14:paraId="6D06272C" w14:textId="2C8A8232" w:rsidR="00082DE6" w:rsidRPr="006A631A" w:rsidRDefault="00D47EC4" w:rsidP="00F510B9">
      <w:pPr>
        <w:widowControl/>
        <w:kinsoku w:val="0"/>
        <w:overflowPunct w:val="0"/>
        <w:spacing w:line="360" w:lineRule="auto"/>
        <w:ind w:firstLine="1440"/>
        <w:textAlignment w:val="baseline"/>
        <w:rPr>
          <w:sz w:val="26"/>
          <w:szCs w:val="26"/>
        </w:rPr>
      </w:pPr>
      <w:r w:rsidRPr="006A631A">
        <w:rPr>
          <w:sz w:val="26"/>
          <w:szCs w:val="26"/>
        </w:rPr>
        <w:t xml:space="preserve">With respect to the costs of pipeline replacement, PGW notes that the ALJs referred to the direct testimony of I&amp;E witness Scott Orr to support their assertion that a “more firm commitment” on reducing pipeline replacement costs is required. </w:t>
      </w:r>
      <w:r w:rsidRPr="006A631A">
        <w:rPr>
          <w:sz w:val="26"/>
          <w:szCs w:val="26"/>
          <w:vertAlign w:val="superscript"/>
        </w:rPr>
        <w:t xml:space="preserve"> </w:t>
      </w:r>
      <w:r w:rsidRPr="006A631A">
        <w:rPr>
          <w:sz w:val="26"/>
          <w:szCs w:val="26"/>
        </w:rPr>
        <w:t xml:space="preserve">PGW argues that the ALJs then essentially expanded I&amp;E’s litigation position and recommended that PGW submit a plan to reduce pipeline replacement costs and to meet with staff of the Pipeline Safety Division </w:t>
      </w:r>
      <w:r w:rsidRPr="006A631A">
        <w:rPr>
          <w:sz w:val="26"/>
          <w:szCs w:val="26"/>
          <w:u w:val="single"/>
        </w:rPr>
        <w:t>biannually</w:t>
      </w:r>
      <w:r w:rsidRPr="006A631A">
        <w:rPr>
          <w:sz w:val="26"/>
          <w:szCs w:val="26"/>
        </w:rPr>
        <w:t xml:space="preserve"> through 2022 to review those issues.  </w:t>
      </w:r>
      <w:r w:rsidR="00507EE5" w:rsidRPr="006A631A">
        <w:rPr>
          <w:sz w:val="26"/>
          <w:szCs w:val="26"/>
        </w:rPr>
        <w:t>PGW Exc. at 26.</w:t>
      </w:r>
    </w:p>
    <w:p w14:paraId="58B17168" w14:textId="77777777" w:rsidR="007E1E93" w:rsidRPr="006A631A" w:rsidRDefault="007E1E93" w:rsidP="00F510B9">
      <w:pPr>
        <w:widowControl/>
        <w:kinsoku w:val="0"/>
        <w:overflowPunct w:val="0"/>
        <w:spacing w:line="360" w:lineRule="auto"/>
        <w:ind w:firstLine="1440"/>
        <w:textAlignment w:val="baseline"/>
        <w:rPr>
          <w:sz w:val="26"/>
          <w:szCs w:val="26"/>
        </w:rPr>
      </w:pPr>
    </w:p>
    <w:p w14:paraId="2D6FF307" w14:textId="34A97894" w:rsidR="00082DE6" w:rsidRPr="006A631A" w:rsidRDefault="00D47EC4" w:rsidP="00F510B9">
      <w:pPr>
        <w:widowControl/>
        <w:kinsoku w:val="0"/>
        <w:overflowPunct w:val="0"/>
        <w:spacing w:line="360" w:lineRule="auto"/>
        <w:ind w:firstLine="1440"/>
        <w:textAlignment w:val="baseline"/>
        <w:rPr>
          <w:sz w:val="26"/>
          <w:szCs w:val="26"/>
        </w:rPr>
      </w:pPr>
      <w:r w:rsidRPr="006A631A">
        <w:rPr>
          <w:sz w:val="26"/>
          <w:szCs w:val="26"/>
        </w:rPr>
        <w:t>PGW argues that the ALJs’ recommended modification to the Partial Settlement is not supported by the record and PGW urges the Commission to reject their modification</w:t>
      </w:r>
      <w:r w:rsidR="00B157A3" w:rsidRPr="006A631A">
        <w:rPr>
          <w:sz w:val="26"/>
          <w:szCs w:val="26"/>
        </w:rPr>
        <w:t xml:space="preserve"> as unne</w:t>
      </w:r>
      <w:r w:rsidR="00E02F95" w:rsidRPr="006A631A">
        <w:rPr>
          <w:sz w:val="26"/>
          <w:szCs w:val="26"/>
        </w:rPr>
        <w:t>ce</w:t>
      </w:r>
      <w:r w:rsidR="00B157A3" w:rsidRPr="006A631A">
        <w:rPr>
          <w:sz w:val="26"/>
          <w:szCs w:val="26"/>
        </w:rPr>
        <w:t>ssary</w:t>
      </w:r>
      <w:r w:rsidRPr="006A631A">
        <w:rPr>
          <w:sz w:val="26"/>
          <w:szCs w:val="26"/>
        </w:rPr>
        <w:t>.</w:t>
      </w:r>
      <w:r w:rsidR="00701BA5" w:rsidRPr="006A631A">
        <w:rPr>
          <w:sz w:val="26"/>
          <w:szCs w:val="26"/>
        </w:rPr>
        <w:t xml:space="preserve">  </w:t>
      </w:r>
      <w:r w:rsidR="00082DE6" w:rsidRPr="006A631A">
        <w:rPr>
          <w:sz w:val="26"/>
          <w:szCs w:val="26"/>
        </w:rPr>
        <w:t xml:space="preserve">PGW showed on the record that I&amp;E’s suggestion that PGW needed to develop a plan to reduce pipeline replacement costs and review those plans with the Commission was not necessary.  PGW argues that the record </w:t>
      </w:r>
      <w:r w:rsidR="00701BA5" w:rsidRPr="006A631A">
        <w:rPr>
          <w:sz w:val="26"/>
          <w:szCs w:val="26"/>
        </w:rPr>
        <w:t xml:space="preserve">reflects that: </w:t>
      </w:r>
      <w:r w:rsidR="00EC2CE5" w:rsidRPr="006A631A">
        <w:rPr>
          <w:sz w:val="26"/>
          <w:szCs w:val="26"/>
        </w:rPr>
        <w:t>(</w:t>
      </w:r>
      <w:r w:rsidR="00701BA5" w:rsidRPr="006A631A">
        <w:rPr>
          <w:sz w:val="26"/>
          <w:szCs w:val="26"/>
        </w:rPr>
        <w:t>1) PGW continuously works to reduce costs associated with pipeline replacements;</w:t>
      </w:r>
      <w:r w:rsidR="00082DE6" w:rsidRPr="006A631A">
        <w:rPr>
          <w:sz w:val="26"/>
          <w:szCs w:val="26"/>
        </w:rPr>
        <w:t xml:space="preserve"> </w:t>
      </w:r>
      <w:r w:rsidR="00EC2CE5" w:rsidRPr="006A631A">
        <w:rPr>
          <w:sz w:val="26"/>
          <w:szCs w:val="26"/>
        </w:rPr>
        <w:t>(</w:t>
      </w:r>
      <w:r w:rsidR="00082DE6" w:rsidRPr="006A631A">
        <w:rPr>
          <w:sz w:val="26"/>
          <w:szCs w:val="26"/>
        </w:rPr>
        <w:t>2)</w:t>
      </w:r>
      <w:r w:rsidR="000D0F32">
        <w:rPr>
          <w:sz w:val="26"/>
          <w:szCs w:val="26"/>
        </w:rPr>
        <w:t> </w:t>
      </w:r>
      <w:r w:rsidR="00082DE6" w:rsidRPr="006A631A">
        <w:rPr>
          <w:sz w:val="26"/>
          <w:szCs w:val="26"/>
        </w:rPr>
        <w:t xml:space="preserve">PGW completed the first LTIIP under budget and exceeded its cast iron main removal mileage targets by 9%; </w:t>
      </w:r>
      <w:r w:rsidR="000C27D5" w:rsidRPr="006A631A">
        <w:rPr>
          <w:sz w:val="26"/>
          <w:szCs w:val="26"/>
        </w:rPr>
        <w:t>(</w:t>
      </w:r>
      <w:r w:rsidR="00082DE6" w:rsidRPr="006A631A">
        <w:rPr>
          <w:sz w:val="26"/>
          <w:szCs w:val="26"/>
        </w:rPr>
        <w:t>3) PGW’s second LTIIP is on budget and 15% ahead in mileage removed;</w:t>
      </w:r>
      <w:r w:rsidR="000C27D5" w:rsidRPr="006A631A">
        <w:rPr>
          <w:sz w:val="26"/>
          <w:szCs w:val="26"/>
        </w:rPr>
        <w:t xml:space="preserve"> </w:t>
      </w:r>
      <w:r w:rsidR="000C27D5" w:rsidRPr="006A631A">
        <w:rPr>
          <w:sz w:val="26"/>
          <w:szCs w:val="26"/>
          <w:vertAlign w:val="superscript"/>
        </w:rPr>
        <w:t>(</w:t>
      </w:r>
      <w:r w:rsidR="00082DE6" w:rsidRPr="006A631A">
        <w:rPr>
          <w:sz w:val="26"/>
          <w:szCs w:val="26"/>
        </w:rPr>
        <w:t xml:space="preserve">4) PGW’s main replacement costs are in-line with its Pennsylvania peer gas </w:t>
      </w:r>
      <w:r w:rsidR="00082DE6" w:rsidRPr="006A631A">
        <w:rPr>
          <w:sz w:val="26"/>
          <w:szCs w:val="26"/>
        </w:rPr>
        <w:lastRenderedPageBreak/>
        <w:t>utilities in cost per mile for main replacement work;</w:t>
      </w:r>
      <w:r w:rsidR="00701BA5" w:rsidRPr="006A631A">
        <w:rPr>
          <w:sz w:val="26"/>
          <w:szCs w:val="26"/>
          <w:vertAlign w:val="superscript"/>
        </w:rPr>
        <w:t xml:space="preserve"> </w:t>
      </w:r>
      <w:r w:rsidR="00082DE6" w:rsidRPr="006A631A">
        <w:rPr>
          <w:sz w:val="26"/>
          <w:szCs w:val="26"/>
        </w:rPr>
        <w:t xml:space="preserve">and </w:t>
      </w:r>
      <w:r w:rsidR="00BC596C" w:rsidRPr="006A631A">
        <w:rPr>
          <w:sz w:val="26"/>
          <w:szCs w:val="26"/>
        </w:rPr>
        <w:t>(</w:t>
      </w:r>
      <w:r w:rsidR="00082DE6" w:rsidRPr="006A631A">
        <w:rPr>
          <w:sz w:val="26"/>
          <w:szCs w:val="26"/>
        </w:rPr>
        <w:t>5) PGW conducts all replacement work pursuant to bid and therefore is doing what can be done to obtain the lowest responsible bid price.</w:t>
      </w:r>
      <w:r w:rsidR="00E669F7" w:rsidRPr="006A631A">
        <w:rPr>
          <w:sz w:val="26"/>
          <w:szCs w:val="26"/>
          <w:vertAlign w:val="superscript"/>
        </w:rPr>
        <w:t xml:space="preserve"> </w:t>
      </w:r>
      <w:r w:rsidR="00E60A13" w:rsidRPr="006A631A">
        <w:rPr>
          <w:sz w:val="26"/>
          <w:szCs w:val="26"/>
          <w:vertAlign w:val="superscript"/>
        </w:rPr>
        <w:t xml:space="preserve"> </w:t>
      </w:r>
      <w:r w:rsidR="00701BA5" w:rsidRPr="006A631A">
        <w:rPr>
          <w:sz w:val="26"/>
          <w:szCs w:val="26"/>
        </w:rPr>
        <w:t>PGW Exc. at 26-27.  P</w:t>
      </w:r>
      <w:r w:rsidR="00082DE6" w:rsidRPr="006A631A">
        <w:rPr>
          <w:sz w:val="26"/>
          <w:szCs w:val="26"/>
        </w:rPr>
        <w:t>GW</w:t>
      </w:r>
      <w:r w:rsidR="00701BA5" w:rsidRPr="006A631A">
        <w:rPr>
          <w:sz w:val="26"/>
          <w:szCs w:val="26"/>
        </w:rPr>
        <w:t xml:space="preserve"> submits that its</w:t>
      </w:r>
      <w:r w:rsidR="00082DE6" w:rsidRPr="006A631A">
        <w:rPr>
          <w:sz w:val="26"/>
          <w:szCs w:val="26"/>
        </w:rPr>
        <w:t xml:space="preserve"> cost reduction efforts are apparent. </w:t>
      </w:r>
      <w:r w:rsidR="0079699A" w:rsidRPr="006A631A">
        <w:rPr>
          <w:sz w:val="26"/>
          <w:szCs w:val="26"/>
        </w:rPr>
        <w:t xml:space="preserve"> </w:t>
      </w:r>
      <w:r w:rsidR="00082DE6" w:rsidRPr="006A631A">
        <w:rPr>
          <w:sz w:val="26"/>
          <w:szCs w:val="26"/>
        </w:rPr>
        <w:t>To address any remaining concerns of I</w:t>
      </w:r>
      <w:r w:rsidR="00701BA5" w:rsidRPr="006A631A">
        <w:rPr>
          <w:sz w:val="26"/>
          <w:szCs w:val="26"/>
        </w:rPr>
        <w:t>&amp;</w:t>
      </w:r>
      <w:r w:rsidR="00082DE6" w:rsidRPr="006A631A">
        <w:rPr>
          <w:sz w:val="26"/>
          <w:szCs w:val="26"/>
        </w:rPr>
        <w:t xml:space="preserve">E, PGW agreed in the Settlement to review its most recent AAOP with the Commission’s Pipeline Safety Division </w:t>
      </w:r>
      <w:proofErr w:type="gramStart"/>
      <w:r w:rsidR="00082DE6" w:rsidRPr="006A631A">
        <w:rPr>
          <w:sz w:val="26"/>
          <w:szCs w:val="26"/>
        </w:rPr>
        <w:t>in order to</w:t>
      </w:r>
      <w:proofErr w:type="gramEnd"/>
      <w:r w:rsidR="00082DE6" w:rsidRPr="006A631A">
        <w:rPr>
          <w:sz w:val="26"/>
          <w:szCs w:val="26"/>
        </w:rPr>
        <w:t xml:space="preserve"> discuss further cost reduction efforts.</w:t>
      </w:r>
      <w:r w:rsidR="00701BA5" w:rsidRPr="006A631A">
        <w:rPr>
          <w:sz w:val="26"/>
          <w:szCs w:val="26"/>
        </w:rPr>
        <w:t xml:space="preserve">  PGW submits that I&amp;E’s joinder in the Partial Settlement and support of the related terms and conditions on this issue essentially speak for themselves.</w:t>
      </w:r>
      <w:r w:rsidR="00431D25" w:rsidRPr="006A631A">
        <w:rPr>
          <w:sz w:val="26"/>
          <w:szCs w:val="26"/>
        </w:rPr>
        <w:t xml:space="preserve">  PGW Exc. at 27-28.  </w:t>
      </w:r>
    </w:p>
    <w:p w14:paraId="1C4D3EE9" w14:textId="3ACB1B40" w:rsidR="0039411C" w:rsidRPr="006A631A" w:rsidRDefault="0039411C" w:rsidP="00F510B9">
      <w:pPr>
        <w:widowControl/>
        <w:kinsoku w:val="0"/>
        <w:overflowPunct w:val="0"/>
        <w:spacing w:line="360" w:lineRule="auto"/>
        <w:ind w:firstLine="1440"/>
        <w:textAlignment w:val="baseline"/>
        <w:rPr>
          <w:b/>
          <w:bCs/>
          <w:sz w:val="26"/>
          <w:szCs w:val="26"/>
        </w:rPr>
      </w:pPr>
    </w:p>
    <w:p w14:paraId="0D5C1F23" w14:textId="2CD64FE7" w:rsidR="0039411C" w:rsidRPr="006A631A" w:rsidRDefault="00482CB2" w:rsidP="00F510B9">
      <w:pPr>
        <w:widowControl/>
        <w:kinsoku w:val="0"/>
        <w:overflowPunct w:val="0"/>
        <w:spacing w:line="360" w:lineRule="auto"/>
        <w:ind w:right="144" w:firstLine="1440"/>
        <w:textAlignment w:val="baseline"/>
        <w:rPr>
          <w:sz w:val="26"/>
          <w:szCs w:val="26"/>
        </w:rPr>
      </w:pPr>
      <w:r w:rsidRPr="006A631A">
        <w:rPr>
          <w:sz w:val="26"/>
          <w:szCs w:val="26"/>
        </w:rPr>
        <w:t xml:space="preserve">Concluding its Settlement Exceptions, </w:t>
      </w:r>
      <w:r w:rsidR="0039411C" w:rsidRPr="006A631A">
        <w:rPr>
          <w:sz w:val="26"/>
          <w:szCs w:val="26"/>
        </w:rPr>
        <w:t xml:space="preserve">PGW submits that, for </w:t>
      </w:r>
      <w:proofErr w:type="gramStart"/>
      <w:r w:rsidR="0039411C" w:rsidRPr="006A631A">
        <w:rPr>
          <w:sz w:val="26"/>
          <w:szCs w:val="26"/>
        </w:rPr>
        <w:t>all of</w:t>
      </w:r>
      <w:proofErr w:type="gramEnd"/>
      <w:r w:rsidR="0039411C" w:rsidRPr="006A631A">
        <w:rPr>
          <w:sz w:val="26"/>
          <w:szCs w:val="26"/>
        </w:rPr>
        <w:t xml:space="preserve"> these reasons, the Partial Settlement should be approved without modification and if it is not, </w:t>
      </w:r>
      <w:r w:rsidRPr="006A631A">
        <w:rPr>
          <w:sz w:val="26"/>
          <w:szCs w:val="26"/>
        </w:rPr>
        <w:t xml:space="preserve">PGW </w:t>
      </w:r>
      <w:r w:rsidR="0039411C" w:rsidRPr="006A631A">
        <w:rPr>
          <w:sz w:val="26"/>
          <w:szCs w:val="26"/>
        </w:rPr>
        <w:t xml:space="preserve">advises that </w:t>
      </w:r>
      <w:r w:rsidRPr="006A631A">
        <w:rPr>
          <w:sz w:val="26"/>
          <w:szCs w:val="26"/>
        </w:rPr>
        <w:t xml:space="preserve">it </w:t>
      </w:r>
      <w:r w:rsidR="0039411C" w:rsidRPr="006A631A">
        <w:rPr>
          <w:sz w:val="26"/>
          <w:szCs w:val="26"/>
        </w:rPr>
        <w:t>will be forced to withdraw therefrom.</w:t>
      </w:r>
      <w:r w:rsidR="00DC0941" w:rsidRPr="006A631A">
        <w:rPr>
          <w:sz w:val="26"/>
          <w:szCs w:val="26"/>
        </w:rPr>
        <w:t xml:space="preserve">  PGW Exc. at 28.  </w:t>
      </w:r>
    </w:p>
    <w:p w14:paraId="2D2F849F" w14:textId="77777777" w:rsidR="002F4CF1" w:rsidRPr="006A631A" w:rsidRDefault="002F4CF1" w:rsidP="00F510B9">
      <w:pPr>
        <w:widowControl/>
        <w:kinsoku w:val="0"/>
        <w:overflowPunct w:val="0"/>
        <w:spacing w:line="360" w:lineRule="auto"/>
        <w:ind w:right="216" w:firstLine="720"/>
        <w:textAlignment w:val="baseline"/>
        <w:rPr>
          <w:rFonts w:eastAsiaTheme="minorHAnsi"/>
          <w:sz w:val="26"/>
          <w:szCs w:val="26"/>
        </w:rPr>
      </w:pPr>
    </w:p>
    <w:p w14:paraId="69D36614" w14:textId="6BDFC326" w:rsidR="002F4CF1" w:rsidRPr="006A631A" w:rsidRDefault="002F4CF1" w:rsidP="00F510B9">
      <w:pPr>
        <w:pStyle w:val="Heading3"/>
        <w:ind w:left="1440" w:hanging="720"/>
      </w:pPr>
      <w:bookmarkStart w:id="44" w:name="_Toc55888195"/>
      <w:r w:rsidRPr="006A631A">
        <w:t>Disposition</w:t>
      </w:r>
      <w:bookmarkEnd w:id="44"/>
    </w:p>
    <w:p w14:paraId="4C0003EA" w14:textId="37A2FF26" w:rsidR="003228A1" w:rsidRPr="006A631A" w:rsidRDefault="003228A1" w:rsidP="00F510B9">
      <w:pPr>
        <w:widowControl/>
        <w:spacing w:line="360" w:lineRule="auto"/>
        <w:contextualSpacing/>
        <w:rPr>
          <w:rFonts w:eastAsiaTheme="minorHAnsi"/>
          <w:sz w:val="26"/>
          <w:szCs w:val="26"/>
        </w:rPr>
      </w:pPr>
    </w:p>
    <w:p w14:paraId="545EB688" w14:textId="1850BC81" w:rsidR="00392985" w:rsidRPr="006A631A" w:rsidRDefault="00392985" w:rsidP="00F510B9">
      <w:pPr>
        <w:widowControl/>
        <w:spacing w:line="360" w:lineRule="auto"/>
        <w:ind w:firstLine="1440"/>
        <w:rPr>
          <w:sz w:val="26"/>
          <w:szCs w:val="26"/>
        </w:rPr>
      </w:pPr>
      <w:r w:rsidRPr="006A631A">
        <w:rPr>
          <w:sz w:val="26"/>
          <w:szCs w:val="26"/>
        </w:rPr>
        <w:t xml:space="preserve">The Partial Settlement in this matter resolves nearly </w:t>
      </w:r>
      <w:proofErr w:type="gramStart"/>
      <w:r w:rsidRPr="006A631A">
        <w:rPr>
          <w:sz w:val="26"/>
          <w:szCs w:val="26"/>
        </w:rPr>
        <w:t>all of</w:t>
      </w:r>
      <w:proofErr w:type="gramEnd"/>
      <w:r w:rsidRPr="006A631A">
        <w:rPr>
          <w:sz w:val="26"/>
          <w:szCs w:val="26"/>
        </w:rPr>
        <w:t xml:space="preserve"> the issues raised in this proceeding and, except for the few issues reserved for litigation, thereby negated the need for the scheduled evidentiary hearings on the settled issues.  Although the Parties </w:t>
      </w:r>
      <w:r w:rsidR="00FE4ACE" w:rsidRPr="006A631A">
        <w:rPr>
          <w:sz w:val="26"/>
          <w:szCs w:val="26"/>
        </w:rPr>
        <w:t>did</w:t>
      </w:r>
      <w:r w:rsidRPr="006A631A">
        <w:rPr>
          <w:sz w:val="26"/>
          <w:szCs w:val="26"/>
        </w:rPr>
        <w:t xml:space="preserve"> not achieve an agreement on all the issues raised in this proceeding,</w:t>
      </w:r>
      <w:r w:rsidR="00FE4ACE" w:rsidRPr="006A631A">
        <w:rPr>
          <w:sz w:val="26"/>
          <w:szCs w:val="26"/>
        </w:rPr>
        <w:t xml:space="preserve"> the attendant settlement benefits of reduced litigation time and devotion of resources should not be discounted. </w:t>
      </w:r>
      <w:r w:rsidR="00BC2EB9" w:rsidRPr="006A631A">
        <w:rPr>
          <w:sz w:val="26"/>
          <w:szCs w:val="26"/>
        </w:rPr>
        <w:t xml:space="preserve"> </w:t>
      </w:r>
      <w:r w:rsidR="00FE4ACE" w:rsidRPr="006A631A">
        <w:rPr>
          <w:sz w:val="26"/>
          <w:szCs w:val="26"/>
        </w:rPr>
        <w:t xml:space="preserve">Significantly, </w:t>
      </w:r>
      <w:r w:rsidRPr="006A631A">
        <w:rPr>
          <w:sz w:val="26"/>
          <w:szCs w:val="26"/>
        </w:rPr>
        <w:t xml:space="preserve">the Partial Settlement was opposed by only the Environmental Stakeholders. </w:t>
      </w:r>
    </w:p>
    <w:p w14:paraId="508D5559" w14:textId="77777777" w:rsidR="00392985" w:rsidRPr="006A631A" w:rsidRDefault="00392985" w:rsidP="00F510B9">
      <w:pPr>
        <w:widowControl/>
        <w:spacing w:line="360" w:lineRule="auto"/>
        <w:ind w:firstLine="1440"/>
        <w:rPr>
          <w:sz w:val="26"/>
          <w:szCs w:val="26"/>
        </w:rPr>
      </w:pPr>
    </w:p>
    <w:p w14:paraId="59101E48" w14:textId="209A3911" w:rsidR="00392985" w:rsidRPr="006A631A" w:rsidRDefault="00392985" w:rsidP="00F510B9">
      <w:pPr>
        <w:widowControl/>
        <w:spacing w:line="360" w:lineRule="auto"/>
        <w:ind w:firstLine="1440"/>
        <w:rPr>
          <w:b/>
          <w:bCs/>
          <w:sz w:val="26"/>
          <w:szCs w:val="26"/>
        </w:rPr>
      </w:pPr>
      <w:r w:rsidRPr="006A631A">
        <w:rPr>
          <w:sz w:val="26"/>
          <w:szCs w:val="26"/>
        </w:rPr>
        <w:t xml:space="preserve">As noted previously, it is in the public interest to provide a public utility with the financial ability to proffer safe, efficient, and adequate service to its customers.  In terms of revenue requirement, as originally filed, PGW’s Supplement No. 128 sought an increase in revenues of $70 million per year, or an approximate 10.5 percent increase over its present rates.  Under the terms of the Partial Settlement, the amount of the increase has been reduced to $35 million per year, </w:t>
      </w:r>
      <w:r w:rsidR="00981163" w:rsidRPr="006A631A">
        <w:rPr>
          <w:sz w:val="26"/>
          <w:szCs w:val="26"/>
        </w:rPr>
        <w:t xml:space="preserve">to be implemented in three rate </w:t>
      </w:r>
      <w:r w:rsidR="00981163" w:rsidRPr="006A631A">
        <w:rPr>
          <w:sz w:val="26"/>
          <w:szCs w:val="26"/>
        </w:rPr>
        <w:lastRenderedPageBreak/>
        <w:t>increase steps, the first commencing on January 1, 2021 and following in six-month increments thereafter.</w:t>
      </w:r>
      <w:r w:rsidRPr="006A631A">
        <w:rPr>
          <w:sz w:val="26"/>
          <w:szCs w:val="26"/>
        </w:rPr>
        <w:t xml:space="preserve"> </w:t>
      </w:r>
      <w:r w:rsidR="00981163" w:rsidRPr="006A631A">
        <w:rPr>
          <w:sz w:val="26"/>
          <w:szCs w:val="26"/>
        </w:rPr>
        <w:t xml:space="preserve"> PGW also has agreed to a voluntary rate case s</w:t>
      </w:r>
      <w:r w:rsidR="00ED3868" w:rsidRPr="006A631A">
        <w:rPr>
          <w:sz w:val="26"/>
          <w:szCs w:val="26"/>
        </w:rPr>
        <w:t>t</w:t>
      </w:r>
      <w:r w:rsidR="00981163" w:rsidRPr="006A631A">
        <w:rPr>
          <w:sz w:val="26"/>
          <w:szCs w:val="26"/>
        </w:rPr>
        <w:t xml:space="preserve">ay out until January 1, 2022.  </w:t>
      </w:r>
      <w:r w:rsidRPr="006A631A">
        <w:rPr>
          <w:sz w:val="26"/>
          <w:szCs w:val="26"/>
        </w:rPr>
        <w:t xml:space="preserve">This negotiated increase in revenues represents </w:t>
      </w:r>
      <w:r w:rsidR="00981163" w:rsidRPr="006A631A">
        <w:rPr>
          <w:sz w:val="26"/>
          <w:szCs w:val="26"/>
        </w:rPr>
        <w:t xml:space="preserve">a substantial reduction to </w:t>
      </w:r>
      <w:r w:rsidRPr="006A631A">
        <w:rPr>
          <w:sz w:val="26"/>
          <w:szCs w:val="26"/>
        </w:rPr>
        <w:t>the Company’s initially requested rate increase.</w:t>
      </w:r>
      <w:r w:rsidR="00CA4754" w:rsidRPr="006A631A">
        <w:rPr>
          <w:sz w:val="26"/>
          <w:szCs w:val="26"/>
        </w:rPr>
        <w:t xml:space="preserve">  </w:t>
      </w:r>
    </w:p>
    <w:p w14:paraId="5A66A006" w14:textId="77777777" w:rsidR="00392985" w:rsidRPr="006A631A" w:rsidRDefault="00392985" w:rsidP="00F510B9">
      <w:pPr>
        <w:widowControl/>
        <w:spacing w:line="360" w:lineRule="auto"/>
        <w:ind w:firstLine="1440"/>
        <w:rPr>
          <w:sz w:val="26"/>
          <w:szCs w:val="26"/>
        </w:rPr>
      </w:pPr>
    </w:p>
    <w:p w14:paraId="1F574D76" w14:textId="51DF1D0B" w:rsidR="00BC0B29" w:rsidRPr="006A631A" w:rsidRDefault="00392985" w:rsidP="00F510B9">
      <w:pPr>
        <w:widowControl/>
        <w:spacing w:line="360" w:lineRule="auto"/>
        <w:ind w:firstLine="1440"/>
        <w:rPr>
          <w:sz w:val="26"/>
          <w:szCs w:val="26"/>
        </w:rPr>
      </w:pPr>
      <w:r w:rsidRPr="006A631A">
        <w:rPr>
          <w:sz w:val="26"/>
          <w:szCs w:val="26"/>
        </w:rPr>
        <w:t xml:space="preserve">Based on our review of the Partial Settlement, we find that there are </w:t>
      </w:r>
      <w:r w:rsidR="00D52048" w:rsidRPr="006A631A">
        <w:rPr>
          <w:sz w:val="26"/>
          <w:szCs w:val="26"/>
        </w:rPr>
        <w:t xml:space="preserve">numerous </w:t>
      </w:r>
      <w:r w:rsidRPr="006A631A">
        <w:rPr>
          <w:sz w:val="26"/>
          <w:szCs w:val="26"/>
        </w:rPr>
        <w:t xml:space="preserve">settled issues that are beneficial to customers.  Among these provisions are:  (1) the reduced rate increase </w:t>
      </w:r>
      <w:r w:rsidR="000C3616" w:rsidRPr="006A631A">
        <w:rPr>
          <w:sz w:val="26"/>
          <w:szCs w:val="26"/>
        </w:rPr>
        <w:t xml:space="preserve">of $35 million implemented in three stages, </w:t>
      </w:r>
      <w:r w:rsidRPr="006A631A">
        <w:rPr>
          <w:sz w:val="26"/>
          <w:szCs w:val="26"/>
        </w:rPr>
        <w:t xml:space="preserve">as compared to </w:t>
      </w:r>
      <w:r w:rsidR="00D52048" w:rsidRPr="006A631A">
        <w:rPr>
          <w:sz w:val="26"/>
          <w:szCs w:val="26"/>
        </w:rPr>
        <w:t xml:space="preserve">PGW’s </w:t>
      </w:r>
      <w:r w:rsidRPr="006A631A">
        <w:rPr>
          <w:sz w:val="26"/>
          <w:szCs w:val="26"/>
        </w:rPr>
        <w:t xml:space="preserve">originally proposed </w:t>
      </w:r>
      <w:r w:rsidR="000C3616" w:rsidRPr="006A631A">
        <w:rPr>
          <w:sz w:val="26"/>
          <w:szCs w:val="26"/>
        </w:rPr>
        <w:t xml:space="preserve">$70 million </w:t>
      </w:r>
      <w:r w:rsidRPr="006A631A">
        <w:rPr>
          <w:sz w:val="26"/>
          <w:szCs w:val="26"/>
        </w:rPr>
        <w:t>rate</w:t>
      </w:r>
      <w:r w:rsidR="000C3616" w:rsidRPr="006A631A">
        <w:rPr>
          <w:sz w:val="26"/>
          <w:szCs w:val="26"/>
        </w:rPr>
        <w:t xml:space="preserve"> increase request</w:t>
      </w:r>
      <w:r w:rsidRPr="006A631A">
        <w:rPr>
          <w:sz w:val="26"/>
          <w:szCs w:val="26"/>
        </w:rPr>
        <w:t>; (2) the compromise on the revenue allocations to the various rate classes; (3) the reduc</w:t>
      </w:r>
      <w:r w:rsidR="00981163" w:rsidRPr="006A631A">
        <w:rPr>
          <w:sz w:val="26"/>
          <w:szCs w:val="26"/>
        </w:rPr>
        <w:t>ed step increases i</w:t>
      </w:r>
      <w:r w:rsidRPr="006A631A">
        <w:rPr>
          <w:sz w:val="26"/>
          <w:szCs w:val="26"/>
        </w:rPr>
        <w:t xml:space="preserve">n the residential customer charges </w:t>
      </w:r>
      <w:r w:rsidR="00981163" w:rsidRPr="006A631A">
        <w:rPr>
          <w:sz w:val="26"/>
          <w:szCs w:val="26"/>
        </w:rPr>
        <w:t xml:space="preserve">by </w:t>
      </w:r>
      <w:r w:rsidRPr="006A631A">
        <w:rPr>
          <w:sz w:val="26"/>
          <w:szCs w:val="26"/>
        </w:rPr>
        <w:t>$</w:t>
      </w:r>
      <w:r w:rsidR="00981163" w:rsidRPr="006A631A">
        <w:rPr>
          <w:sz w:val="26"/>
          <w:szCs w:val="26"/>
        </w:rPr>
        <w:t>0.</w:t>
      </w:r>
      <w:r w:rsidR="00701BA5" w:rsidRPr="006A631A">
        <w:rPr>
          <w:sz w:val="26"/>
          <w:szCs w:val="26"/>
        </w:rPr>
        <w:t>35</w:t>
      </w:r>
      <w:r w:rsidR="00981163" w:rsidRPr="006A631A">
        <w:rPr>
          <w:sz w:val="26"/>
          <w:szCs w:val="26"/>
        </w:rPr>
        <w:t>, $0.</w:t>
      </w:r>
      <w:r w:rsidR="00701BA5" w:rsidRPr="006A631A">
        <w:rPr>
          <w:sz w:val="26"/>
          <w:szCs w:val="26"/>
        </w:rPr>
        <w:t>35</w:t>
      </w:r>
      <w:r w:rsidR="00981163" w:rsidRPr="006A631A">
        <w:rPr>
          <w:sz w:val="26"/>
          <w:szCs w:val="26"/>
        </w:rPr>
        <w:t>, and $0.</w:t>
      </w:r>
      <w:r w:rsidR="00701BA5" w:rsidRPr="006A631A">
        <w:rPr>
          <w:sz w:val="26"/>
          <w:szCs w:val="26"/>
        </w:rPr>
        <w:t>45</w:t>
      </w:r>
      <w:r w:rsidR="000C3616" w:rsidRPr="006A631A">
        <w:rPr>
          <w:sz w:val="26"/>
          <w:szCs w:val="26"/>
        </w:rPr>
        <w:t>, respectively,</w:t>
      </w:r>
      <w:r w:rsidRPr="006A631A">
        <w:rPr>
          <w:sz w:val="26"/>
          <w:szCs w:val="26"/>
        </w:rPr>
        <w:t xml:space="preserve"> </w:t>
      </w:r>
      <w:r w:rsidR="00701BA5" w:rsidRPr="006A631A">
        <w:rPr>
          <w:sz w:val="26"/>
          <w:szCs w:val="26"/>
        </w:rPr>
        <w:t xml:space="preserve">for a total cumulative increase of $1.15 </w:t>
      </w:r>
      <w:r w:rsidRPr="006A631A">
        <w:rPr>
          <w:sz w:val="26"/>
          <w:szCs w:val="26"/>
        </w:rPr>
        <w:t>per month</w:t>
      </w:r>
      <w:r w:rsidR="00981163" w:rsidRPr="006A631A">
        <w:rPr>
          <w:sz w:val="26"/>
          <w:szCs w:val="26"/>
        </w:rPr>
        <w:t xml:space="preserve"> </w:t>
      </w:r>
      <w:r w:rsidR="00701BA5" w:rsidRPr="006A631A">
        <w:rPr>
          <w:sz w:val="26"/>
          <w:szCs w:val="26"/>
        </w:rPr>
        <w:t>by January 2022</w:t>
      </w:r>
      <w:r w:rsidRPr="006A631A">
        <w:rPr>
          <w:sz w:val="26"/>
          <w:szCs w:val="26"/>
        </w:rPr>
        <w:t xml:space="preserve">; (4) the </w:t>
      </w:r>
      <w:r w:rsidR="00D52048" w:rsidRPr="006A631A">
        <w:rPr>
          <w:sz w:val="26"/>
          <w:szCs w:val="26"/>
        </w:rPr>
        <w:t xml:space="preserve">rate case </w:t>
      </w:r>
      <w:r w:rsidRPr="006A631A">
        <w:rPr>
          <w:sz w:val="26"/>
          <w:szCs w:val="26"/>
        </w:rPr>
        <w:t xml:space="preserve">stay-out until </w:t>
      </w:r>
      <w:r w:rsidR="00981163" w:rsidRPr="006A631A">
        <w:rPr>
          <w:sz w:val="26"/>
          <w:szCs w:val="26"/>
        </w:rPr>
        <w:t>January</w:t>
      </w:r>
      <w:r w:rsidRPr="006A631A">
        <w:rPr>
          <w:sz w:val="26"/>
          <w:szCs w:val="26"/>
        </w:rPr>
        <w:t xml:space="preserve"> 1, 20</w:t>
      </w:r>
      <w:r w:rsidR="00981163" w:rsidRPr="006A631A">
        <w:rPr>
          <w:sz w:val="26"/>
          <w:szCs w:val="26"/>
        </w:rPr>
        <w:t>22</w:t>
      </w:r>
      <w:r w:rsidRPr="006A631A">
        <w:rPr>
          <w:sz w:val="26"/>
          <w:szCs w:val="26"/>
        </w:rPr>
        <w:t>; (5)</w:t>
      </w:r>
      <w:r w:rsidR="000C3616" w:rsidRPr="006A631A">
        <w:rPr>
          <w:sz w:val="26"/>
          <w:szCs w:val="26"/>
        </w:rPr>
        <w:t xml:space="preserve"> the COVID-19 Relief Plan providing assistance to many eligible customers</w:t>
      </w:r>
      <w:r w:rsidR="00981163" w:rsidRPr="006A631A">
        <w:rPr>
          <w:sz w:val="26"/>
          <w:szCs w:val="26"/>
        </w:rPr>
        <w:t>;</w:t>
      </w:r>
      <w:r w:rsidRPr="006A631A">
        <w:rPr>
          <w:sz w:val="26"/>
          <w:szCs w:val="26"/>
        </w:rPr>
        <w:t xml:space="preserve"> (6) the </w:t>
      </w:r>
      <w:r w:rsidR="000C3616" w:rsidRPr="006A631A">
        <w:rPr>
          <w:sz w:val="26"/>
          <w:szCs w:val="26"/>
        </w:rPr>
        <w:t xml:space="preserve">continuation of </w:t>
      </w:r>
      <w:r w:rsidRPr="006A631A">
        <w:rPr>
          <w:sz w:val="26"/>
          <w:szCs w:val="26"/>
        </w:rPr>
        <w:t>the Technology and Economic Development Rider</w:t>
      </w:r>
      <w:r w:rsidR="000C3616" w:rsidRPr="006A631A">
        <w:rPr>
          <w:sz w:val="26"/>
          <w:szCs w:val="26"/>
        </w:rPr>
        <w:t xml:space="preserve"> and data submission regarding same in PGW’s March 21, 2021 GCR filing</w:t>
      </w:r>
      <w:r w:rsidRPr="006A631A">
        <w:rPr>
          <w:sz w:val="26"/>
          <w:szCs w:val="26"/>
        </w:rPr>
        <w:t>;</w:t>
      </w:r>
      <w:r w:rsidRPr="006A631A">
        <w:rPr>
          <w:b/>
          <w:bCs/>
          <w:sz w:val="26"/>
          <w:szCs w:val="26"/>
        </w:rPr>
        <w:t xml:space="preserve"> </w:t>
      </w:r>
      <w:r w:rsidRPr="006A631A">
        <w:rPr>
          <w:sz w:val="26"/>
          <w:szCs w:val="26"/>
        </w:rPr>
        <w:t xml:space="preserve">(7) the </w:t>
      </w:r>
      <w:r w:rsidR="00BC0B29" w:rsidRPr="006A631A">
        <w:rPr>
          <w:sz w:val="26"/>
          <w:szCs w:val="26"/>
        </w:rPr>
        <w:t>continuation and modification of the Back-up Service under Rate BUS, with data submission in PGW’s GCR case</w:t>
      </w:r>
      <w:r w:rsidRPr="006A631A">
        <w:rPr>
          <w:sz w:val="26"/>
          <w:szCs w:val="26"/>
        </w:rPr>
        <w:t xml:space="preserve">; (8) </w:t>
      </w:r>
      <w:r w:rsidR="00BC0B29" w:rsidRPr="006A631A">
        <w:rPr>
          <w:sz w:val="26"/>
          <w:szCs w:val="26"/>
        </w:rPr>
        <w:t xml:space="preserve">extensive enhancements to PGW’s Universal Service Programs; and, (9) PGW’s continued focus on cast iron main replacement priorities, including meeting with the Commission’s Pipeline Safety Division to review PGW’s Annual Asset Optimization Plan.  </w:t>
      </w:r>
    </w:p>
    <w:p w14:paraId="7BC05D5E" w14:textId="77777777" w:rsidR="00BC0B29" w:rsidRPr="006A631A" w:rsidRDefault="00BC0B29" w:rsidP="00F510B9">
      <w:pPr>
        <w:widowControl/>
        <w:spacing w:line="360" w:lineRule="auto"/>
        <w:ind w:firstLine="1440"/>
        <w:rPr>
          <w:sz w:val="26"/>
          <w:szCs w:val="26"/>
        </w:rPr>
      </w:pPr>
    </w:p>
    <w:p w14:paraId="01CB7F86" w14:textId="51E1EC50" w:rsidR="00981163" w:rsidRPr="006A631A" w:rsidRDefault="00BC0B29" w:rsidP="00F510B9">
      <w:pPr>
        <w:widowControl/>
        <w:spacing w:line="360" w:lineRule="auto"/>
        <w:ind w:firstLine="1440"/>
        <w:rPr>
          <w:sz w:val="26"/>
          <w:szCs w:val="26"/>
        </w:rPr>
      </w:pPr>
      <w:r w:rsidRPr="006A631A">
        <w:rPr>
          <w:sz w:val="26"/>
          <w:szCs w:val="26"/>
        </w:rPr>
        <w:t>These extensive provisions reflect benefits that extend across all customer classes and serve the public interest.</w:t>
      </w:r>
      <w:r w:rsidR="00392985" w:rsidRPr="006A631A">
        <w:rPr>
          <w:sz w:val="26"/>
          <w:szCs w:val="26"/>
        </w:rPr>
        <w:t xml:space="preserve">  The Partial Settlement resolves </w:t>
      </w:r>
      <w:proofErr w:type="gramStart"/>
      <w:r w:rsidR="00392985" w:rsidRPr="006A631A">
        <w:rPr>
          <w:sz w:val="26"/>
          <w:szCs w:val="26"/>
        </w:rPr>
        <w:t>the majority of</w:t>
      </w:r>
      <w:proofErr w:type="gramEnd"/>
      <w:r w:rsidR="00392985" w:rsidRPr="006A631A">
        <w:rPr>
          <w:sz w:val="26"/>
          <w:szCs w:val="26"/>
        </w:rPr>
        <w:t xml:space="preserve"> the issues impacting residential consumers, small business, large business customers and the public interest at large.  The benefits of the Partial Settlement are numerous and will result in significant savings of time and expenses for all Parties involved by avoiding the necessity of further administrative proceedings, as well as possible appellate court proceedings.</w:t>
      </w:r>
    </w:p>
    <w:p w14:paraId="3ADEC793" w14:textId="77777777" w:rsidR="00981163" w:rsidRPr="006A631A" w:rsidRDefault="00981163" w:rsidP="00F510B9">
      <w:pPr>
        <w:widowControl/>
        <w:spacing w:line="360" w:lineRule="auto"/>
        <w:ind w:firstLine="1440"/>
        <w:rPr>
          <w:sz w:val="26"/>
          <w:szCs w:val="26"/>
        </w:rPr>
      </w:pPr>
    </w:p>
    <w:p w14:paraId="74AA9C1A" w14:textId="28E3EB8B" w:rsidR="00CA4754" w:rsidRPr="006A631A" w:rsidRDefault="00743483" w:rsidP="00F510B9">
      <w:pPr>
        <w:widowControl/>
        <w:spacing w:line="360" w:lineRule="auto"/>
        <w:ind w:firstLine="1440"/>
        <w:rPr>
          <w:sz w:val="26"/>
          <w:szCs w:val="26"/>
        </w:rPr>
      </w:pPr>
      <w:r w:rsidRPr="006A631A">
        <w:rPr>
          <w:sz w:val="26"/>
          <w:szCs w:val="26"/>
        </w:rPr>
        <w:lastRenderedPageBreak/>
        <w:t xml:space="preserve">The Commission’s charge is to evaluate the Partial Settlement through the lens of a public interest review.  </w:t>
      </w:r>
      <w:r w:rsidR="00BC0B29" w:rsidRPr="006A631A">
        <w:rPr>
          <w:sz w:val="26"/>
          <w:szCs w:val="26"/>
        </w:rPr>
        <w:t xml:space="preserve">We must </w:t>
      </w:r>
      <w:r w:rsidRPr="006A631A">
        <w:rPr>
          <w:sz w:val="26"/>
          <w:szCs w:val="26"/>
        </w:rPr>
        <w:t xml:space="preserve">consider the interests of ratepayers, but also the financial health of the utility and the </w:t>
      </w:r>
      <w:r w:rsidR="00CA4754" w:rsidRPr="006A631A">
        <w:rPr>
          <w:sz w:val="26"/>
          <w:szCs w:val="26"/>
        </w:rPr>
        <w:t xml:space="preserve">stakeholders charged with guarding the public interest.  </w:t>
      </w:r>
      <w:r w:rsidR="00D52048" w:rsidRPr="006A631A">
        <w:rPr>
          <w:sz w:val="26"/>
          <w:szCs w:val="26"/>
        </w:rPr>
        <w:t xml:space="preserve">In this case, </w:t>
      </w:r>
      <w:r w:rsidRPr="006A631A">
        <w:rPr>
          <w:sz w:val="26"/>
          <w:szCs w:val="26"/>
        </w:rPr>
        <w:t xml:space="preserve">we must determine if the </w:t>
      </w:r>
      <w:r w:rsidR="00CA4754" w:rsidRPr="006A631A">
        <w:rPr>
          <w:sz w:val="26"/>
          <w:szCs w:val="26"/>
        </w:rPr>
        <w:t xml:space="preserve">ALJs’ </w:t>
      </w:r>
      <w:r w:rsidRPr="006A631A">
        <w:rPr>
          <w:sz w:val="26"/>
          <w:szCs w:val="26"/>
        </w:rPr>
        <w:t>suggested modifications to the Partial Settlement serve the public interest</w:t>
      </w:r>
      <w:r w:rsidR="00D52048" w:rsidRPr="006A631A">
        <w:rPr>
          <w:sz w:val="26"/>
          <w:szCs w:val="26"/>
        </w:rPr>
        <w:t>,</w:t>
      </w:r>
      <w:r w:rsidR="00CA4754" w:rsidRPr="006A631A">
        <w:rPr>
          <w:sz w:val="26"/>
          <w:szCs w:val="26"/>
        </w:rPr>
        <w:t xml:space="preserve"> where no party</w:t>
      </w:r>
      <w:r w:rsidR="00CB766B" w:rsidRPr="006A631A">
        <w:rPr>
          <w:sz w:val="26"/>
          <w:szCs w:val="26"/>
        </w:rPr>
        <w:t xml:space="preserve"> </w:t>
      </w:r>
      <w:r w:rsidR="00CA4754" w:rsidRPr="006A631A">
        <w:rPr>
          <w:sz w:val="26"/>
          <w:szCs w:val="26"/>
        </w:rPr>
        <w:t xml:space="preserve">has advocated </w:t>
      </w:r>
      <w:r w:rsidR="00D52048" w:rsidRPr="006A631A">
        <w:rPr>
          <w:sz w:val="26"/>
          <w:szCs w:val="26"/>
        </w:rPr>
        <w:t xml:space="preserve">that </w:t>
      </w:r>
      <w:r w:rsidR="00CA4754" w:rsidRPr="006A631A">
        <w:rPr>
          <w:sz w:val="26"/>
          <w:szCs w:val="26"/>
        </w:rPr>
        <w:t xml:space="preserve">any change </w:t>
      </w:r>
      <w:r w:rsidR="00D52048" w:rsidRPr="006A631A">
        <w:rPr>
          <w:sz w:val="26"/>
          <w:szCs w:val="26"/>
        </w:rPr>
        <w:t xml:space="preserve">be made </w:t>
      </w:r>
      <w:r w:rsidR="00CA4754" w:rsidRPr="006A631A">
        <w:rPr>
          <w:sz w:val="26"/>
          <w:szCs w:val="26"/>
        </w:rPr>
        <w:t>to the Partial Settlement</w:t>
      </w:r>
      <w:r w:rsidRPr="006A631A">
        <w:rPr>
          <w:sz w:val="26"/>
          <w:szCs w:val="26"/>
        </w:rPr>
        <w:t>.</w:t>
      </w:r>
      <w:r w:rsidR="00CB766B" w:rsidRPr="006A631A">
        <w:rPr>
          <w:rStyle w:val="FootnoteReference"/>
          <w:sz w:val="26"/>
          <w:szCs w:val="26"/>
        </w:rPr>
        <w:footnoteReference w:id="35"/>
      </w:r>
      <w:r w:rsidRPr="006A631A">
        <w:rPr>
          <w:sz w:val="26"/>
          <w:szCs w:val="26"/>
        </w:rPr>
        <w:t xml:space="preserve"> </w:t>
      </w:r>
    </w:p>
    <w:p w14:paraId="19806327" w14:textId="77777777" w:rsidR="00CA4754" w:rsidRPr="006A631A" w:rsidRDefault="00CA4754" w:rsidP="00F510B9">
      <w:pPr>
        <w:widowControl/>
        <w:spacing w:line="360" w:lineRule="auto"/>
        <w:ind w:firstLine="1440"/>
        <w:rPr>
          <w:sz w:val="26"/>
          <w:szCs w:val="26"/>
        </w:rPr>
      </w:pPr>
    </w:p>
    <w:p w14:paraId="17472162" w14:textId="5D22F1A6" w:rsidR="00CA4754" w:rsidRPr="006A631A" w:rsidRDefault="00CA4754" w:rsidP="00F510B9">
      <w:pPr>
        <w:widowControl/>
        <w:spacing w:line="360" w:lineRule="auto"/>
        <w:ind w:firstLine="1440"/>
        <w:rPr>
          <w:sz w:val="26"/>
          <w:szCs w:val="26"/>
        </w:rPr>
      </w:pPr>
      <w:r w:rsidRPr="006A631A">
        <w:rPr>
          <w:sz w:val="26"/>
          <w:szCs w:val="26"/>
        </w:rPr>
        <w:t xml:space="preserve">I&amp;E, the OCA, PICGUG and PGW all speak with one voice in urging the Commission to preserve the Partial Settlement and reject the ALJs’ recommended modifications.  </w:t>
      </w:r>
      <w:r w:rsidR="00981163" w:rsidRPr="006A631A">
        <w:rPr>
          <w:sz w:val="26"/>
          <w:szCs w:val="26"/>
        </w:rPr>
        <w:t xml:space="preserve">We find </w:t>
      </w:r>
      <w:r w:rsidRPr="006A631A">
        <w:rPr>
          <w:sz w:val="26"/>
          <w:szCs w:val="26"/>
        </w:rPr>
        <w:t xml:space="preserve">their </w:t>
      </w:r>
      <w:r w:rsidR="00981163" w:rsidRPr="006A631A">
        <w:rPr>
          <w:sz w:val="26"/>
          <w:szCs w:val="26"/>
        </w:rPr>
        <w:t xml:space="preserve">arguments </w:t>
      </w:r>
      <w:r w:rsidRPr="006A631A">
        <w:rPr>
          <w:sz w:val="26"/>
          <w:szCs w:val="26"/>
        </w:rPr>
        <w:t xml:space="preserve">persuasive </w:t>
      </w:r>
      <w:r w:rsidR="00981163" w:rsidRPr="006A631A">
        <w:rPr>
          <w:sz w:val="26"/>
          <w:szCs w:val="26"/>
        </w:rPr>
        <w:t>that the many benefits of the Partial Settlement represent a fair compromise of the Parties’ respective positions</w:t>
      </w:r>
      <w:r w:rsidR="00743483" w:rsidRPr="006A631A">
        <w:rPr>
          <w:sz w:val="26"/>
          <w:szCs w:val="26"/>
        </w:rPr>
        <w:t xml:space="preserve"> and an accord that is consistent with the public interest.  </w:t>
      </w:r>
      <w:r w:rsidR="00D52048" w:rsidRPr="006A631A">
        <w:rPr>
          <w:sz w:val="26"/>
          <w:szCs w:val="26"/>
        </w:rPr>
        <w:t>Moreover</w:t>
      </w:r>
      <w:r w:rsidR="00BC0B29" w:rsidRPr="006A631A">
        <w:rPr>
          <w:sz w:val="26"/>
          <w:szCs w:val="26"/>
        </w:rPr>
        <w:t>,</w:t>
      </w:r>
      <w:r w:rsidR="00D52048" w:rsidRPr="006A631A">
        <w:rPr>
          <w:sz w:val="26"/>
          <w:szCs w:val="26"/>
        </w:rPr>
        <w:t xml:space="preserve"> we determine</w:t>
      </w:r>
      <w:r w:rsidR="00A3775F" w:rsidRPr="006A631A">
        <w:rPr>
          <w:sz w:val="26"/>
          <w:szCs w:val="26"/>
        </w:rPr>
        <w:t xml:space="preserve"> the ALJs’ material </w:t>
      </w:r>
      <w:r w:rsidR="00D52048" w:rsidRPr="006A631A">
        <w:rPr>
          <w:sz w:val="26"/>
          <w:szCs w:val="26"/>
        </w:rPr>
        <w:t>modification</w:t>
      </w:r>
      <w:r w:rsidR="00A3775F" w:rsidRPr="006A631A">
        <w:rPr>
          <w:sz w:val="26"/>
          <w:szCs w:val="26"/>
        </w:rPr>
        <w:t>s</w:t>
      </w:r>
      <w:r w:rsidR="00D52048" w:rsidRPr="006A631A">
        <w:rPr>
          <w:sz w:val="26"/>
          <w:szCs w:val="26"/>
        </w:rPr>
        <w:t xml:space="preserve"> </w:t>
      </w:r>
      <w:r w:rsidR="00A3775F" w:rsidRPr="006A631A">
        <w:rPr>
          <w:sz w:val="26"/>
          <w:szCs w:val="26"/>
        </w:rPr>
        <w:t>t</w:t>
      </w:r>
      <w:r w:rsidR="00D52048" w:rsidRPr="006A631A">
        <w:rPr>
          <w:sz w:val="26"/>
          <w:szCs w:val="26"/>
        </w:rPr>
        <w:t xml:space="preserve">o the Partial Settlement </w:t>
      </w:r>
      <w:r w:rsidR="00A3775F" w:rsidRPr="006A631A">
        <w:rPr>
          <w:sz w:val="26"/>
          <w:szCs w:val="26"/>
        </w:rPr>
        <w:t xml:space="preserve">are not warranted or advisable.  </w:t>
      </w:r>
    </w:p>
    <w:p w14:paraId="704655C7" w14:textId="44A9B28A" w:rsidR="00CA4754" w:rsidRPr="006A631A" w:rsidRDefault="00CA4754" w:rsidP="00F510B9">
      <w:pPr>
        <w:widowControl/>
        <w:spacing w:line="360" w:lineRule="auto"/>
        <w:ind w:firstLine="1440"/>
        <w:rPr>
          <w:sz w:val="26"/>
          <w:szCs w:val="26"/>
        </w:rPr>
      </w:pPr>
    </w:p>
    <w:p w14:paraId="5F8CD942" w14:textId="77777777" w:rsidR="00244E78" w:rsidRPr="006A631A" w:rsidRDefault="00244E78" w:rsidP="00F510B9">
      <w:pPr>
        <w:widowControl/>
        <w:spacing w:line="360" w:lineRule="auto"/>
        <w:ind w:firstLine="1440"/>
        <w:rPr>
          <w:sz w:val="26"/>
          <w:szCs w:val="26"/>
        </w:rPr>
      </w:pPr>
      <w:r w:rsidRPr="006A631A">
        <w:rPr>
          <w:sz w:val="26"/>
          <w:szCs w:val="26"/>
        </w:rPr>
        <w:t xml:space="preserve">A meaningful examination of the impact of the ALJs’ suggested modifications to the phased rate implementation schedule and related stay-out provision, reveals that the modifications to the Partial Settlement would not be in the public interest.  </w:t>
      </w:r>
    </w:p>
    <w:p w14:paraId="40362BD4" w14:textId="77777777" w:rsidR="00244E78" w:rsidRPr="006A631A" w:rsidRDefault="00244E78" w:rsidP="00F510B9">
      <w:pPr>
        <w:widowControl/>
        <w:spacing w:line="360" w:lineRule="auto"/>
        <w:ind w:firstLine="1440"/>
        <w:rPr>
          <w:sz w:val="26"/>
          <w:szCs w:val="26"/>
        </w:rPr>
      </w:pPr>
    </w:p>
    <w:p w14:paraId="12F1C1A2" w14:textId="579D333A" w:rsidR="00D52048" w:rsidRPr="006A631A" w:rsidRDefault="00244E78" w:rsidP="00F510B9">
      <w:pPr>
        <w:widowControl/>
        <w:spacing w:line="360" w:lineRule="auto"/>
        <w:ind w:firstLine="1440"/>
        <w:rPr>
          <w:sz w:val="26"/>
          <w:szCs w:val="26"/>
        </w:rPr>
      </w:pPr>
      <w:r w:rsidRPr="006A631A">
        <w:rPr>
          <w:sz w:val="26"/>
          <w:szCs w:val="26"/>
        </w:rPr>
        <w:t>First, i</w:t>
      </w:r>
      <w:r w:rsidR="00D52048" w:rsidRPr="006A631A">
        <w:rPr>
          <w:sz w:val="26"/>
          <w:szCs w:val="26"/>
        </w:rPr>
        <w:t xml:space="preserve">t must be recognized that PGW is a cash flow utility.  As such, PGW must have adequate debt service coverage, sufficient days of cash on hand, and enough </w:t>
      </w:r>
      <w:proofErr w:type="gramStart"/>
      <w:r w:rsidR="00D52048" w:rsidRPr="006A631A">
        <w:rPr>
          <w:sz w:val="26"/>
          <w:szCs w:val="26"/>
        </w:rPr>
        <w:t>days</w:t>
      </w:r>
      <w:proofErr w:type="gramEnd"/>
      <w:r w:rsidR="00D52048" w:rsidRPr="006A631A">
        <w:rPr>
          <w:sz w:val="26"/>
          <w:szCs w:val="26"/>
        </w:rPr>
        <w:t xml:space="preserve"> cash on hand to be able to cover day-to-day operations.  PGW asserted that its debt service coverage levels are crucial because if the Company falls below the 1.5x minimum requirement in its bond covenants, reflected in the City of Philadelphia Ordinance that </w:t>
      </w:r>
      <w:r w:rsidR="00D52048" w:rsidRPr="006A631A">
        <w:rPr>
          <w:sz w:val="26"/>
          <w:szCs w:val="26"/>
        </w:rPr>
        <w:lastRenderedPageBreak/>
        <w:t>establishes the requirements for PGW’s bonds, it will be in a technical default and its access to capital markets will be severely harmed.</w:t>
      </w:r>
      <w:r w:rsidR="00D52048" w:rsidRPr="006A631A">
        <w:rPr>
          <w:rStyle w:val="FootnoteReference"/>
          <w:sz w:val="26"/>
          <w:szCs w:val="26"/>
        </w:rPr>
        <w:footnoteReference w:id="36"/>
      </w:r>
      <w:r w:rsidR="00D52048" w:rsidRPr="006A631A">
        <w:rPr>
          <w:sz w:val="26"/>
          <w:szCs w:val="26"/>
        </w:rPr>
        <w:t xml:space="preserve">  PGW St. No. 2 at 13.  </w:t>
      </w:r>
    </w:p>
    <w:p w14:paraId="5F9E2078" w14:textId="77777777" w:rsidR="00D52048" w:rsidRPr="006A631A" w:rsidRDefault="00D52048" w:rsidP="00F510B9">
      <w:pPr>
        <w:widowControl/>
        <w:spacing w:line="360" w:lineRule="auto"/>
        <w:ind w:firstLine="1440"/>
        <w:rPr>
          <w:sz w:val="26"/>
          <w:szCs w:val="26"/>
        </w:rPr>
      </w:pPr>
    </w:p>
    <w:p w14:paraId="50507369" w14:textId="5AE2FB62" w:rsidR="00D52048" w:rsidRPr="006A631A" w:rsidRDefault="00D52048" w:rsidP="00F510B9">
      <w:pPr>
        <w:widowControl/>
        <w:spacing w:line="360" w:lineRule="auto"/>
        <w:ind w:firstLine="1440"/>
        <w:rPr>
          <w:sz w:val="26"/>
          <w:szCs w:val="26"/>
        </w:rPr>
      </w:pPr>
      <w:r w:rsidRPr="006A631A">
        <w:rPr>
          <w:sz w:val="26"/>
          <w:szCs w:val="26"/>
        </w:rPr>
        <w:t>As indicated in the Recommended Decision, PGW based its rate increase on claims of unavoidable increases in operating costs and the financial metrics it must achieve in order to maintain its favorable bond rating and continue its infrastructure improvements.  R.D. at 55.  PGW contended that without a rate increase PGW will not be able to meet its debt service coverage requirements in the FPFTY, will violate debt service coverage in FY 2022, have just $45.4 million of year-end available liquidity or about 33.9 days of expenses.  PGW Exh. JFG-1A; PGW St. No. 2 at 14-15, PGW St. No.</w:t>
      </w:r>
      <w:r w:rsidR="0031621E">
        <w:rPr>
          <w:sz w:val="26"/>
          <w:szCs w:val="26"/>
        </w:rPr>
        <w:t> </w:t>
      </w:r>
      <w:r w:rsidRPr="006A631A">
        <w:rPr>
          <w:sz w:val="26"/>
          <w:szCs w:val="26"/>
        </w:rPr>
        <w:t xml:space="preserve">2-R at 15.  The ALJs agreed with PGW on this matter by incorporating these statements into their Findings of Fact.  R.D. at 17 (FOF No. 32).  </w:t>
      </w:r>
    </w:p>
    <w:p w14:paraId="33E02DCA" w14:textId="77777777" w:rsidR="009C06B7" w:rsidRPr="006A631A" w:rsidRDefault="009C06B7" w:rsidP="00F510B9">
      <w:pPr>
        <w:widowControl/>
        <w:spacing w:line="360" w:lineRule="auto"/>
        <w:ind w:firstLine="1440"/>
        <w:rPr>
          <w:sz w:val="26"/>
          <w:szCs w:val="26"/>
        </w:rPr>
      </w:pPr>
    </w:p>
    <w:p w14:paraId="2BAD206F" w14:textId="72D0FFD3" w:rsidR="00D52048" w:rsidRPr="006A631A" w:rsidRDefault="00D52048" w:rsidP="00F510B9">
      <w:pPr>
        <w:widowControl/>
        <w:spacing w:line="360" w:lineRule="auto"/>
        <w:ind w:firstLine="1440"/>
        <w:rPr>
          <w:sz w:val="26"/>
          <w:szCs w:val="26"/>
        </w:rPr>
      </w:pPr>
      <w:r w:rsidRPr="006A631A">
        <w:rPr>
          <w:sz w:val="26"/>
          <w:szCs w:val="26"/>
        </w:rPr>
        <w:t xml:space="preserve">However, in this proceeding the Parties agreed that PGW would, in lieu of its requested $70 million base rate increase, be permitted to increase rates by $35 million in a three phase process: a $10 million increase implemented on January 1, 2021, another $10 million increase on July 1, 2021, and the final $15 million increase implemented on January 1, 2022.  Partial Settlement at ¶ 15.  By agreeing to this process, PGW has foregone the increments between these stepped-in </w:t>
      </w:r>
      <w:r w:rsidR="00CE261C" w:rsidRPr="006A631A">
        <w:rPr>
          <w:sz w:val="26"/>
          <w:szCs w:val="26"/>
        </w:rPr>
        <w:t>phased-in</w:t>
      </w:r>
      <w:r w:rsidRPr="006A631A">
        <w:rPr>
          <w:sz w:val="26"/>
          <w:szCs w:val="26"/>
        </w:rPr>
        <w:t xml:space="preserve"> increases, thus foregoing a certain amount of revenue through this settlement process that it would be otherwise entitled to had the $35 million increase been implemented in one step.  The ALJs recommend that this phased-in increase be pushed out an additional six months, to begin July 1, 2021.  R.D. at 2.  The impact </w:t>
      </w:r>
      <w:r w:rsidR="00BA3220" w:rsidRPr="006A631A">
        <w:rPr>
          <w:sz w:val="26"/>
          <w:szCs w:val="26"/>
        </w:rPr>
        <w:t xml:space="preserve">on PGW </w:t>
      </w:r>
      <w:r w:rsidRPr="006A631A">
        <w:rPr>
          <w:sz w:val="26"/>
          <w:szCs w:val="26"/>
        </w:rPr>
        <w:t xml:space="preserve">of such a modification cannot be ignored.  </w:t>
      </w:r>
      <w:bookmarkStart w:id="45" w:name="_Hlk55320363"/>
    </w:p>
    <w:bookmarkEnd w:id="45"/>
    <w:p w14:paraId="2BC2022A" w14:textId="77777777" w:rsidR="00D52048" w:rsidRPr="006A631A" w:rsidRDefault="00D52048" w:rsidP="00F510B9">
      <w:pPr>
        <w:widowControl/>
        <w:spacing w:line="360" w:lineRule="auto"/>
        <w:ind w:firstLine="1440"/>
        <w:rPr>
          <w:sz w:val="26"/>
          <w:szCs w:val="26"/>
        </w:rPr>
      </w:pPr>
    </w:p>
    <w:p w14:paraId="4CD9D5CE" w14:textId="35B5AA7E" w:rsidR="00D52048" w:rsidRPr="006A631A" w:rsidRDefault="00D52048" w:rsidP="00F510B9">
      <w:pPr>
        <w:widowControl/>
        <w:spacing w:line="360" w:lineRule="auto"/>
        <w:ind w:firstLine="1440"/>
        <w:rPr>
          <w:sz w:val="26"/>
          <w:szCs w:val="26"/>
        </w:rPr>
      </w:pPr>
      <w:r w:rsidRPr="006A631A">
        <w:rPr>
          <w:sz w:val="26"/>
          <w:szCs w:val="26"/>
        </w:rPr>
        <w:lastRenderedPageBreak/>
        <w:t>Although, as stated previously, this is a “black box” settlement wherein the individual components of the revenue have not been agreed upon by the Parties, PGW’s calculated impact of such a deferral as recommended by the ALJs is compelling.</w:t>
      </w:r>
      <w:r w:rsidR="00E02F95" w:rsidRPr="006A631A">
        <w:rPr>
          <w:rStyle w:val="FootnoteReference"/>
          <w:sz w:val="26"/>
          <w:szCs w:val="26"/>
        </w:rPr>
        <w:footnoteReference w:id="37"/>
      </w:r>
      <w:r w:rsidRPr="006A631A">
        <w:rPr>
          <w:sz w:val="26"/>
          <w:szCs w:val="26"/>
        </w:rPr>
        <w:t xml:space="preserve">  Specifically, the phased-in settlement increase is calculated by PGW to result in additional billing of $36.7 million over FY 2021 and FY 2022, or 29% of its original request over those two fiscal years.  PGW Exceptions, Attachment A.  PGW’s calculations show that the ALJs’ recommendation would only permit the Company to bill $17.9 million over FY 2021 and FY 2022, and result in additional billing of just $600,000 in FY 2021.  </w:t>
      </w:r>
      <w:r w:rsidRPr="006A631A">
        <w:rPr>
          <w:i/>
          <w:iCs/>
          <w:sz w:val="26"/>
          <w:szCs w:val="26"/>
        </w:rPr>
        <w:t>Id.</w:t>
      </w:r>
      <w:r w:rsidRPr="006A631A">
        <w:rPr>
          <w:sz w:val="26"/>
          <w:szCs w:val="26"/>
        </w:rPr>
        <w:t xml:space="preserve">  As PGW’s requested base rate revenue increase is based on the FPFTY ending August 31, 2021, just two months after the first phase of the rate increase is implemented, as recommended by the ALJs, the slight $600,000 rate increase in FY 2021 recommended by the ALJs would not materially change the detrimental effects on PGW’s financials of failing to receive any rate increase in FY 2021.  </w:t>
      </w:r>
      <w:r w:rsidRPr="006A631A">
        <w:rPr>
          <w:i/>
          <w:sz w:val="26"/>
          <w:szCs w:val="26"/>
        </w:rPr>
        <w:t>See</w:t>
      </w:r>
      <w:r w:rsidRPr="006A631A">
        <w:rPr>
          <w:sz w:val="26"/>
          <w:szCs w:val="26"/>
        </w:rPr>
        <w:t xml:space="preserve"> PGW Exh. JFG</w:t>
      </w:r>
      <w:r w:rsidR="00D9096A" w:rsidRPr="006A631A">
        <w:rPr>
          <w:sz w:val="26"/>
          <w:szCs w:val="26"/>
        </w:rPr>
        <w:noBreakHyphen/>
      </w:r>
      <w:r w:rsidRPr="006A631A">
        <w:rPr>
          <w:sz w:val="26"/>
          <w:szCs w:val="26"/>
        </w:rPr>
        <w:t xml:space="preserve">1A.  </w:t>
      </w:r>
    </w:p>
    <w:p w14:paraId="5BEC23CA" w14:textId="77777777" w:rsidR="00D52048" w:rsidRPr="006A631A" w:rsidRDefault="00D52048" w:rsidP="00F510B9">
      <w:pPr>
        <w:widowControl/>
        <w:spacing w:line="360" w:lineRule="auto"/>
        <w:ind w:firstLine="1440"/>
        <w:rPr>
          <w:sz w:val="26"/>
          <w:szCs w:val="26"/>
        </w:rPr>
      </w:pPr>
    </w:p>
    <w:p w14:paraId="3AD249A7" w14:textId="36FEBDCE" w:rsidR="0029478F" w:rsidRPr="006A631A" w:rsidRDefault="00D52048" w:rsidP="00F510B9">
      <w:pPr>
        <w:widowControl/>
        <w:spacing w:line="360" w:lineRule="auto"/>
        <w:ind w:firstLine="1440"/>
        <w:rPr>
          <w:sz w:val="26"/>
          <w:szCs w:val="26"/>
        </w:rPr>
      </w:pPr>
      <w:r w:rsidRPr="006A631A">
        <w:rPr>
          <w:sz w:val="26"/>
          <w:szCs w:val="26"/>
        </w:rPr>
        <w:t>We find PGW’s arguments convincing that any delay in the base rate increase phase-in, as outlined in the Partial Settlement, especially for an additional six months</w:t>
      </w:r>
      <w:r w:rsidR="00BA3220" w:rsidRPr="006A631A">
        <w:rPr>
          <w:sz w:val="26"/>
          <w:szCs w:val="26"/>
        </w:rPr>
        <w:t>,</w:t>
      </w:r>
      <w:r w:rsidRPr="006A631A">
        <w:rPr>
          <w:sz w:val="26"/>
          <w:szCs w:val="26"/>
        </w:rPr>
        <w:t xml:space="preserve"> </w:t>
      </w:r>
      <w:r w:rsidR="00BA3220" w:rsidRPr="006A631A">
        <w:rPr>
          <w:sz w:val="26"/>
          <w:szCs w:val="26"/>
        </w:rPr>
        <w:t>would significantly reduce the additional revenue permitted under the Partial Settlement and would have severe negative impacts on the Company’s financial metrics and its levels of cash available to pay its bills.</w:t>
      </w:r>
      <w:r w:rsidRPr="006A631A">
        <w:rPr>
          <w:sz w:val="26"/>
          <w:szCs w:val="26"/>
        </w:rPr>
        <w:t xml:space="preserve">  In addition, extending the stay-out provision and thereby not permitting PGW to file for additional non-emergency rate relief </w:t>
      </w:r>
      <w:r w:rsidRPr="006A631A">
        <w:rPr>
          <w:sz w:val="26"/>
          <w:szCs w:val="26"/>
        </w:rPr>
        <w:lastRenderedPageBreak/>
        <w:t xml:space="preserve">until 2023 would simply exacerbate the negative financial effects of the ALJs’ recommended modifications.  </w:t>
      </w:r>
    </w:p>
    <w:p w14:paraId="7D50FBD3" w14:textId="77777777" w:rsidR="0029478F" w:rsidRPr="006A631A" w:rsidRDefault="0029478F" w:rsidP="00F510B9">
      <w:pPr>
        <w:widowControl/>
        <w:spacing w:line="360" w:lineRule="auto"/>
        <w:ind w:firstLine="1440"/>
        <w:rPr>
          <w:sz w:val="26"/>
          <w:szCs w:val="26"/>
        </w:rPr>
      </w:pPr>
    </w:p>
    <w:p w14:paraId="2D9A42EC" w14:textId="39C73CD0" w:rsidR="0029478F" w:rsidRPr="006A631A" w:rsidRDefault="00CA4754" w:rsidP="00F510B9">
      <w:pPr>
        <w:widowControl/>
        <w:spacing w:line="360" w:lineRule="auto"/>
        <w:ind w:firstLine="1440"/>
        <w:rPr>
          <w:sz w:val="26"/>
          <w:szCs w:val="26"/>
        </w:rPr>
      </w:pPr>
      <w:r w:rsidRPr="006A631A">
        <w:rPr>
          <w:sz w:val="26"/>
          <w:szCs w:val="26"/>
        </w:rPr>
        <w:t xml:space="preserve">As noted by all </w:t>
      </w:r>
      <w:r w:rsidR="00152E5C" w:rsidRPr="006A631A">
        <w:rPr>
          <w:sz w:val="26"/>
          <w:szCs w:val="26"/>
        </w:rPr>
        <w:t>t</w:t>
      </w:r>
      <w:r w:rsidRPr="006A631A">
        <w:rPr>
          <w:sz w:val="26"/>
          <w:szCs w:val="26"/>
        </w:rPr>
        <w:t>he</w:t>
      </w:r>
      <w:r w:rsidR="00152E5C" w:rsidRPr="006A631A">
        <w:rPr>
          <w:sz w:val="26"/>
          <w:szCs w:val="26"/>
        </w:rPr>
        <w:t xml:space="preserve"> Parties filing </w:t>
      </w:r>
      <w:r w:rsidRPr="006A631A">
        <w:rPr>
          <w:sz w:val="26"/>
          <w:szCs w:val="26"/>
        </w:rPr>
        <w:t>Exceptions, m</w:t>
      </w:r>
      <w:r w:rsidR="00743483" w:rsidRPr="006A631A">
        <w:rPr>
          <w:sz w:val="26"/>
          <w:szCs w:val="26"/>
        </w:rPr>
        <w:t xml:space="preserve">aterial modification of a well-crafted and well-supported settlement carries the weighty risk of parties withdrawing from the settlement pursuant to its </w:t>
      </w:r>
      <w:r w:rsidRPr="006A631A">
        <w:rPr>
          <w:sz w:val="26"/>
          <w:szCs w:val="26"/>
        </w:rPr>
        <w:t xml:space="preserve">explicit </w:t>
      </w:r>
      <w:r w:rsidR="00743483" w:rsidRPr="006A631A">
        <w:rPr>
          <w:sz w:val="26"/>
          <w:szCs w:val="26"/>
        </w:rPr>
        <w:t xml:space="preserve">terms.  </w:t>
      </w:r>
      <w:r w:rsidR="0029478F" w:rsidRPr="006A631A">
        <w:rPr>
          <w:sz w:val="26"/>
          <w:szCs w:val="26"/>
        </w:rPr>
        <w:t xml:space="preserve">Under the scenario where PGW withdraws from the Partial Settlement, PGW also would be free to file another base rate proceeding on or after January 1, 2021.  When viewed in this context, the public interest in the Parties’ compromise becomes supremely evident.  The benefits include, but are not limited to, a significantly reduced rate increase, collected over an extended schedule, with a stay-out provision, significantly limited fixed customer charge increases, and no right of recoupment by PGW.  Coupled with these direct rate benefits are the COVID-19 Relief Plan, low income program enhancements and data reporting, accommodations for customers with Limited English Proficiency, and PGW’s willingness to work with the Commission’s Gas Safety Division to assess cast iron replacement pace and cost containment.  </w:t>
      </w:r>
      <w:proofErr w:type="gramStart"/>
      <w:r w:rsidR="0029478F" w:rsidRPr="006A631A">
        <w:rPr>
          <w:sz w:val="26"/>
          <w:szCs w:val="26"/>
        </w:rPr>
        <w:t>All of</w:t>
      </w:r>
      <w:proofErr w:type="gramEnd"/>
      <w:r w:rsidR="0029478F" w:rsidRPr="006A631A">
        <w:rPr>
          <w:sz w:val="26"/>
          <w:szCs w:val="26"/>
        </w:rPr>
        <w:t xml:space="preserve"> these benefits carefully balance the stakeholder interests and create a compromise of the type encouraged by our policy statement.    </w:t>
      </w:r>
    </w:p>
    <w:p w14:paraId="74FD54BE" w14:textId="77777777" w:rsidR="0029478F" w:rsidRPr="006A631A" w:rsidRDefault="0029478F" w:rsidP="00F510B9">
      <w:pPr>
        <w:widowControl/>
        <w:spacing w:line="360" w:lineRule="auto"/>
        <w:ind w:firstLine="1440"/>
        <w:rPr>
          <w:sz w:val="26"/>
          <w:szCs w:val="26"/>
        </w:rPr>
      </w:pPr>
    </w:p>
    <w:p w14:paraId="7E280269" w14:textId="1E54F492" w:rsidR="00E02F95" w:rsidRPr="006A631A" w:rsidRDefault="0029478F" w:rsidP="00F510B9">
      <w:pPr>
        <w:widowControl/>
        <w:spacing w:line="360" w:lineRule="auto"/>
        <w:ind w:firstLine="1440"/>
        <w:rPr>
          <w:sz w:val="26"/>
          <w:szCs w:val="26"/>
        </w:rPr>
      </w:pPr>
      <w:r w:rsidRPr="006A631A">
        <w:rPr>
          <w:sz w:val="26"/>
          <w:szCs w:val="26"/>
        </w:rPr>
        <w:t xml:space="preserve">We note with favor the </w:t>
      </w:r>
      <w:r w:rsidR="00E62777" w:rsidRPr="006A631A">
        <w:rPr>
          <w:sz w:val="26"/>
          <w:szCs w:val="26"/>
        </w:rPr>
        <w:t xml:space="preserve">OCA’s Exceptions </w:t>
      </w:r>
      <w:r w:rsidRPr="006A631A">
        <w:rPr>
          <w:sz w:val="26"/>
          <w:szCs w:val="26"/>
        </w:rPr>
        <w:t xml:space="preserve">which </w:t>
      </w:r>
      <w:r w:rsidR="00E62777" w:rsidRPr="006A631A">
        <w:rPr>
          <w:sz w:val="26"/>
          <w:szCs w:val="26"/>
        </w:rPr>
        <w:t xml:space="preserve">detail the considerations weighed by the </w:t>
      </w:r>
      <w:r w:rsidR="002833EE" w:rsidRPr="006A631A">
        <w:rPr>
          <w:sz w:val="26"/>
          <w:szCs w:val="26"/>
        </w:rPr>
        <w:t>P</w:t>
      </w:r>
      <w:r w:rsidR="00E62777" w:rsidRPr="006A631A">
        <w:rPr>
          <w:sz w:val="26"/>
          <w:szCs w:val="26"/>
        </w:rPr>
        <w:t xml:space="preserve">arties in crafting a settlement </w:t>
      </w:r>
      <w:proofErr w:type="gramStart"/>
      <w:r w:rsidR="00E62777" w:rsidRPr="006A631A">
        <w:rPr>
          <w:sz w:val="26"/>
          <w:szCs w:val="26"/>
        </w:rPr>
        <w:t>in the midst of</w:t>
      </w:r>
      <w:proofErr w:type="gramEnd"/>
      <w:r w:rsidR="00E62777" w:rsidRPr="006A631A">
        <w:rPr>
          <w:sz w:val="26"/>
          <w:szCs w:val="26"/>
        </w:rPr>
        <w:t xml:space="preserve"> the COVID-19 pandemic, where both ratepayer and utility interests had to be uniquely guarded.  </w:t>
      </w:r>
      <w:r w:rsidR="00743483" w:rsidRPr="006A631A">
        <w:rPr>
          <w:sz w:val="26"/>
          <w:szCs w:val="26"/>
        </w:rPr>
        <w:t xml:space="preserve">We must be cognizant of the settlement benefits </w:t>
      </w:r>
      <w:r w:rsidR="00152E5C" w:rsidRPr="006A631A">
        <w:rPr>
          <w:sz w:val="26"/>
          <w:szCs w:val="26"/>
        </w:rPr>
        <w:t xml:space="preserve">that only may be gained through agreement of the </w:t>
      </w:r>
      <w:r w:rsidR="00FC41B2" w:rsidRPr="006A631A">
        <w:rPr>
          <w:sz w:val="26"/>
          <w:szCs w:val="26"/>
        </w:rPr>
        <w:t>P</w:t>
      </w:r>
      <w:r w:rsidR="00152E5C" w:rsidRPr="006A631A">
        <w:rPr>
          <w:sz w:val="26"/>
          <w:szCs w:val="26"/>
        </w:rPr>
        <w:t xml:space="preserve">arties and, thus, will be </w:t>
      </w:r>
      <w:r w:rsidR="00743483" w:rsidRPr="006A631A">
        <w:rPr>
          <w:sz w:val="26"/>
          <w:szCs w:val="26"/>
        </w:rPr>
        <w:t xml:space="preserve">lost </w:t>
      </w:r>
      <w:r w:rsidR="00E62777" w:rsidRPr="006A631A">
        <w:rPr>
          <w:sz w:val="26"/>
          <w:szCs w:val="26"/>
        </w:rPr>
        <w:t>if</w:t>
      </w:r>
      <w:r w:rsidR="00743483" w:rsidRPr="006A631A">
        <w:rPr>
          <w:sz w:val="26"/>
          <w:szCs w:val="26"/>
        </w:rPr>
        <w:t xml:space="preserve"> the careful balance of the Parties</w:t>
      </w:r>
      <w:r w:rsidR="0004526A" w:rsidRPr="006A631A">
        <w:rPr>
          <w:sz w:val="26"/>
          <w:szCs w:val="26"/>
        </w:rPr>
        <w:t>’</w:t>
      </w:r>
      <w:r w:rsidR="00743483" w:rsidRPr="006A631A">
        <w:rPr>
          <w:sz w:val="26"/>
          <w:szCs w:val="26"/>
        </w:rPr>
        <w:t xml:space="preserve"> </w:t>
      </w:r>
      <w:r w:rsidR="00E62777" w:rsidRPr="006A631A">
        <w:rPr>
          <w:sz w:val="26"/>
          <w:szCs w:val="26"/>
        </w:rPr>
        <w:t xml:space="preserve">agreement </w:t>
      </w:r>
      <w:r w:rsidR="00743483" w:rsidRPr="006A631A">
        <w:rPr>
          <w:sz w:val="26"/>
          <w:szCs w:val="26"/>
        </w:rPr>
        <w:t>is upset by our decision.</w:t>
      </w:r>
      <w:r w:rsidR="00152E5C" w:rsidRPr="006A631A">
        <w:rPr>
          <w:sz w:val="26"/>
          <w:szCs w:val="26"/>
        </w:rPr>
        <w:t xml:space="preserve">  In this case, these </w:t>
      </w:r>
      <w:r w:rsidR="00E62777" w:rsidRPr="006A631A">
        <w:rPr>
          <w:sz w:val="26"/>
          <w:szCs w:val="26"/>
        </w:rPr>
        <w:t xml:space="preserve">benefits </w:t>
      </w:r>
      <w:r w:rsidR="00152E5C" w:rsidRPr="006A631A">
        <w:rPr>
          <w:sz w:val="26"/>
          <w:szCs w:val="26"/>
        </w:rPr>
        <w:t xml:space="preserve">include </w:t>
      </w:r>
      <w:r w:rsidR="00E62777" w:rsidRPr="006A631A">
        <w:rPr>
          <w:sz w:val="26"/>
          <w:szCs w:val="26"/>
        </w:rPr>
        <w:t>PGW’s</w:t>
      </w:r>
      <w:r w:rsidR="00152E5C" w:rsidRPr="006A631A">
        <w:rPr>
          <w:sz w:val="26"/>
          <w:szCs w:val="26"/>
        </w:rPr>
        <w:t xml:space="preserve"> </w:t>
      </w:r>
      <w:r w:rsidR="00244E78" w:rsidRPr="006A631A">
        <w:rPr>
          <w:sz w:val="26"/>
          <w:szCs w:val="26"/>
        </w:rPr>
        <w:t xml:space="preserve">agreed-upon </w:t>
      </w:r>
      <w:r w:rsidR="00E62777" w:rsidRPr="006A631A">
        <w:rPr>
          <w:sz w:val="26"/>
          <w:szCs w:val="26"/>
        </w:rPr>
        <w:t xml:space="preserve">delays in </w:t>
      </w:r>
      <w:r w:rsidR="00152E5C" w:rsidRPr="006A631A">
        <w:rPr>
          <w:sz w:val="26"/>
          <w:szCs w:val="26"/>
        </w:rPr>
        <w:t>phased</w:t>
      </w:r>
      <w:r w:rsidR="00CE261C" w:rsidRPr="006A631A">
        <w:rPr>
          <w:sz w:val="26"/>
          <w:szCs w:val="26"/>
        </w:rPr>
        <w:t>-in</w:t>
      </w:r>
      <w:r w:rsidR="00152E5C" w:rsidRPr="006A631A">
        <w:rPr>
          <w:sz w:val="26"/>
          <w:szCs w:val="26"/>
        </w:rPr>
        <w:t xml:space="preserve"> rate increases beyond the statutory suspension date and the stay</w:t>
      </w:r>
      <w:r w:rsidR="00244E78" w:rsidRPr="006A631A">
        <w:rPr>
          <w:sz w:val="26"/>
          <w:szCs w:val="26"/>
        </w:rPr>
        <w:t>-</w:t>
      </w:r>
      <w:r w:rsidR="00152E5C" w:rsidRPr="006A631A">
        <w:rPr>
          <w:sz w:val="26"/>
          <w:szCs w:val="26"/>
        </w:rPr>
        <w:t>out provision.</w:t>
      </w:r>
      <w:r w:rsidR="00743483" w:rsidRPr="006A631A">
        <w:rPr>
          <w:sz w:val="26"/>
          <w:szCs w:val="26"/>
        </w:rPr>
        <w:t xml:space="preserve">  </w:t>
      </w:r>
      <w:r w:rsidR="00152E5C" w:rsidRPr="006A631A">
        <w:rPr>
          <w:sz w:val="26"/>
          <w:szCs w:val="26"/>
        </w:rPr>
        <w:t>As strongly advocated by I&amp;E and PGW, t</w:t>
      </w:r>
      <w:r w:rsidR="00743483" w:rsidRPr="006A631A">
        <w:rPr>
          <w:sz w:val="26"/>
          <w:szCs w:val="26"/>
        </w:rPr>
        <w:t>he</w:t>
      </w:r>
      <w:r w:rsidR="00152E5C" w:rsidRPr="006A631A">
        <w:rPr>
          <w:sz w:val="26"/>
          <w:szCs w:val="26"/>
        </w:rPr>
        <w:t>se</w:t>
      </w:r>
      <w:r w:rsidR="00743483" w:rsidRPr="006A631A">
        <w:rPr>
          <w:sz w:val="26"/>
          <w:szCs w:val="26"/>
        </w:rPr>
        <w:t xml:space="preserve"> </w:t>
      </w:r>
      <w:r w:rsidR="00152E5C" w:rsidRPr="006A631A">
        <w:rPr>
          <w:sz w:val="26"/>
          <w:szCs w:val="26"/>
        </w:rPr>
        <w:t xml:space="preserve">beneficial </w:t>
      </w:r>
      <w:r w:rsidR="00743483" w:rsidRPr="006A631A">
        <w:rPr>
          <w:sz w:val="26"/>
          <w:szCs w:val="26"/>
        </w:rPr>
        <w:t xml:space="preserve">terms and conditions of the Partial Settlement could not be mandated by the Commission </w:t>
      </w:r>
      <w:r w:rsidR="00CA4754" w:rsidRPr="006A631A">
        <w:rPr>
          <w:sz w:val="26"/>
          <w:szCs w:val="26"/>
        </w:rPr>
        <w:t xml:space="preserve">absent </w:t>
      </w:r>
      <w:r w:rsidR="00743483" w:rsidRPr="006A631A">
        <w:rPr>
          <w:sz w:val="26"/>
          <w:szCs w:val="26"/>
        </w:rPr>
        <w:t xml:space="preserve">the agreement of PGW.  </w:t>
      </w:r>
      <w:r w:rsidR="0004526A" w:rsidRPr="006A631A">
        <w:rPr>
          <w:sz w:val="26"/>
          <w:szCs w:val="26"/>
        </w:rPr>
        <w:t xml:space="preserve">Section 1308(d) and the related caselaw cited by I&amp;E and PGW clearly establishes that it </w:t>
      </w:r>
      <w:r w:rsidR="0004526A" w:rsidRPr="006A631A">
        <w:rPr>
          <w:sz w:val="26"/>
          <w:szCs w:val="26"/>
        </w:rPr>
        <w:lastRenderedPageBreak/>
        <w:t>is not within the Commission’s 1308(d) powers to mandate effective dates of rates beyond the end-of-suspension period.  In addition, the rate stay-out provision of the Partial Settlement likewise is not mandated by the Code and may be implemented only with PGW’s agreement.</w:t>
      </w:r>
    </w:p>
    <w:p w14:paraId="53B6C61A" w14:textId="77777777" w:rsidR="0079699A" w:rsidRPr="006A631A" w:rsidRDefault="0079699A" w:rsidP="00F510B9">
      <w:pPr>
        <w:widowControl/>
        <w:spacing w:line="360" w:lineRule="auto"/>
        <w:ind w:firstLine="1440"/>
        <w:rPr>
          <w:sz w:val="26"/>
          <w:szCs w:val="26"/>
        </w:rPr>
      </w:pPr>
    </w:p>
    <w:p w14:paraId="1216B1F3" w14:textId="3ACC3E3F" w:rsidR="00E62777" w:rsidRPr="006A631A" w:rsidRDefault="00E62777" w:rsidP="00F510B9">
      <w:pPr>
        <w:widowControl/>
        <w:spacing w:line="360" w:lineRule="auto"/>
        <w:ind w:firstLine="1440"/>
        <w:rPr>
          <w:sz w:val="26"/>
          <w:szCs w:val="26"/>
        </w:rPr>
      </w:pPr>
      <w:r w:rsidRPr="006A631A">
        <w:rPr>
          <w:sz w:val="26"/>
          <w:szCs w:val="26"/>
        </w:rPr>
        <w:t>Foregoing the many benefits of the Partial Settlement and causing PGW to withdraw from the Partial Settlement and place its $70 million rate increase into effect subject to refund clearly would not serve the public interest, especially during this COVID-19 pa</w:t>
      </w:r>
      <w:r w:rsidR="0004526A" w:rsidRPr="006A631A">
        <w:rPr>
          <w:sz w:val="26"/>
          <w:szCs w:val="26"/>
        </w:rPr>
        <w:t>n</w:t>
      </w:r>
      <w:r w:rsidRPr="006A631A">
        <w:rPr>
          <w:sz w:val="26"/>
          <w:szCs w:val="26"/>
        </w:rPr>
        <w:t>demic.</w:t>
      </w:r>
      <w:r w:rsidRPr="006A631A">
        <w:rPr>
          <w:rStyle w:val="FootnoteReference"/>
          <w:sz w:val="26"/>
          <w:szCs w:val="26"/>
        </w:rPr>
        <w:footnoteReference w:id="38"/>
      </w:r>
      <w:r w:rsidRPr="006A631A">
        <w:rPr>
          <w:sz w:val="26"/>
          <w:szCs w:val="26"/>
        </w:rPr>
        <w:t xml:space="preserve">  Our ruling today avoids this result. </w:t>
      </w:r>
    </w:p>
    <w:p w14:paraId="7811E9F8" w14:textId="6249D36A" w:rsidR="00D736CE" w:rsidRPr="006A631A" w:rsidRDefault="00D736CE" w:rsidP="00F510B9">
      <w:pPr>
        <w:widowControl/>
        <w:spacing w:line="360" w:lineRule="auto"/>
        <w:ind w:firstLine="1440"/>
        <w:rPr>
          <w:sz w:val="26"/>
          <w:szCs w:val="26"/>
        </w:rPr>
      </w:pPr>
    </w:p>
    <w:p w14:paraId="45408151" w14:textId="48581D95" w:rsidR="00D736CE" w:rsidRPr="006A631A" w:rsidRDefault="00D736CE" w:rsidP="00F510B9">
      <w:pPr>
        <w:widowControl/>
        <w:spacing w:line="360" w:lineRule="auto"/>
        <w:ind w:firstLine="1440"/>
        <w:rPr>
          <w:sz w:val="26"/>
          <w:szCs w:val="26"/>
        </w:rPr>
      </w:pPr>
      <w:r w:rsidRPr="006A631A">
        <w:rPr>
          <w:sz w:val="26"/>
          <w:szCs w:val="26"/>
        </w:rPr>
        <w:t xml:space="preserve">With regard to the ALJs’ recommendation that PGW be required to meet more often with the Commission’s Gas Safety Division </w:t>
      </w:r>
      <w:r w:rsidR="007B5CD8" w:rsidRPr="006A631A">
        <w:rPr>
          <w:sz w:val="26"/>
          <w:szCs w:val="26"/>
        </w:rPr>
        <w:t xml:space="preserve">about </w:t>
      </w:r>
      <w:r w:rsidRPr="006A631A">
        <w:rPr>
          <w:sz w:val="26"/>
          <w:szCs w:val="26"/>
        </w:rPr>
        <w:t xml:space="preserve">its cast iron replacement program and the related costs, we agree with I&amp;E and PGW that there is no sound basis to adjust the reasonable compromise reached by the </w:t>
      </w:r>
      <w:r w:rsidR="00DA41B5" w:rsidRPr="006A631A">
        <w:rPr>
          <w:sz w:val="26"/>
          <w:szCs w:val="26"/>
        </w:rPr>
        <w:t>P</w:t>
      </w:r>
      <w:r w:rsidRPr="006A631A">
        <w:rPr>
          <w:sz w:val="26"/>
          <w:szCs w:val="26"/>
        </w:rPr>
        <w:t>arties in the Partial Settlement.  Litigation positions notwithstanding, I&amp;E has made clear in its Exceptions that the several provisions in the Partial Settlement detailing PGW’s expected obligations are an important part of the settlement compromise and serve the public interest.  We therefore reject the ALJs’ recommended modification of the Partial Settlement on these pipeline replacement issues.</w:t>
      </w:r>
    </w:p>
    <w:p w14:paraId="6E811759" w14:textId="77777777" w:rsidR="00D736CE" w:rsidRPr="006A631A" w:rsidRDefault="00D736CE" w:rsidP="00F510B9">
      <w:pPr>
        <w:widowControl/>
        <w:spacing w:line="360" w:lineRule="auto"/>
        <w:ind w:firstLine="1440"/>
        <w:rPr>
          <w:sz w:val="26"/>
          <w:szCs w:val="26"/>
        </w:rPr>
      </w:pPr>
    </w:p>
    <w:p w14:paraId="5E04AC0B" w14:textId="535B0501" w:rsidR="00743483" w:rsidRPr="006A631A" w:rsidRDefault="006B1B4C" w:rsidP="00F510B9">
      <w:pPr>
        <w:widowControl/>
        <w:spacing w:line="360" w:lineRule="auto"/>
        <w:ind w:firstLine="1440"/>
        <w:rPr>
          <w:sz w:val="26"/>
          <w:szCs w:val="26"/>
        </w:rPr>
      </w:pPr>
      <w:r w:rsidRPr="006A631A">
        <w:rPr>
          <w:sz w:val="26"/>
          <w:szCs w:val="26"/>
        </w:rPr>
        <w:t xml:space="preserve">While well-meaning, the negative effects of the </w:t>
      </w:r>
      <w:r w:rsidR="00EA6B51" w:rsidRPr="006A631A">
        <w:rPr>
          <w:sz w:val="26"/>
          <w:szCs w:val="26"/>
        </w:rPr>
        <w:t xml:space="preserve">suggested </w:t>
      </w:r>
      <w:r w:rsidRPr="006A631A">
        <w:rPr>
          <w:sz w:val="26"/>
          <w:szCs w:val="26"/>
        </w:rPr>
        <w:t xml:space="preserve">modifications have been soundly demonstrated </w:t>
      </w:r>
      <w:r w:rsidR="0029478F" w:rsidRPr="006A631A">
        <w:rPr>
          <w:sz w:val="26"/>
          <w:szCs w:val="26"/>
        </w:rPr>
        <w:t>in the Exceptions of</w:t>
      </w:r>
      <w:r w:rsidRPr="006A631A">
        <w:rPr>
          <w:sz w:val="26"/>
          <w:szCs w:val="26"/>
        </w:rPr>
        <w:t xml:space="preserve"> PGW, I&amp;E, the OCA and PICGUG.  </w:t>
      </w:r>
      <w:r w:rsidR="00EA6B51" w:rsidRPr="006A631A">
        <w:rPr>
          <w:sz w:val="26"/>
          <w:szCs w:val="26"/>
        </w:rPr>
        <w:t>The scale of settlement was well-balanced and is supported by substantial evidence of record.</w:t>
      </w:r>
      <w:r w:rsidR="0079699A" w:rsidRPr="006A631A">
        <w:rPr>
          <w:sz w:val="26"/>
          <w:szCs w:val="26"/>
        </w:rPr>
        <w:t xml:space="preserve"> </w:t>
      </w:r>
      <w:r w:rsidR="00EA6B51" w:rsidRPr="006A631A">
        <w:rPr>
          <w:sz w:val="26"/>
          <w:szCs w:val="26"/>
        </w:rPr>
        <w:t xml:space="preserve"> </w:t>
      </w:r>
      <w:r w:rsidR="007B5CD8" w:rsidRPr="006A631A">
        <w:rPr>
          <w:sz w:val="26"/>
          <w:szCs w:val="26"/>
        </w:rPr>
        <w:t xml:space="preserve">We decline to upset that careful balance reached by stakeholders representing </w:t>
      </w:r>
      <w:proofErr w:type="gramStart"/>
      <w:r w:rsidR="007B5CD8" w:rsidRPr="006A631A">
        <w:rPr>
          <w:sz w:val="26"/>
          <w:szCs w:val="26"/>
        </w:rPr>
        <w:t>all of</w:t>
      </w:r>
      <w:proofErr w:type="gramEnd"/>
      <w:r w:rsidR="007B5CD8" w:rsidRPr="006A631A">
        <w:rPr>
          <w:sz w:val="26"/>
          <w:szCs w:val="26"/>
        </w:rPr>
        <w:t xml:space="preserve"> the varied interests. </w:t>
      </w:r>
      <w:r w:rsidR="0029478F" w:rsidRPr="006A631A">
        <w:rPr>
          <w:sz w:val="26"/>
          <w:szCs w:val="26"/>
        </w:rPr>
        <w:t xml:space="preserve"> </w:t>
      </w:r>
      <w:r w:rsidR="00981163" w:rsidRPr="006A631A">
        <w:rPr>
          <w:sz w:val="26"/>
          <w:szCs w:val="26"/>
        </w:rPr>
        <w:t xml:space="preserve">The Joint Petitioners have provided ample record support for the terms and conditions contained in the Partial Settlement and no </w:t>
      </w:r>
      <w:r w:rsidR="00701BA5" w:rsidRPr="006A631A">
        <w:rPr>
          <w:sz w:val="26"/>
          <w:szCs w:val="26"/>
        </w:rPr>
        <w:t xml:space="preserve">Joint Petitioner </w:t>
      </w:r>
      <w:r w:rsidR="00981163" w:rsidRPr="006A631A">
        <w:rPr>
          <w:sz w:val="26"/>
          <w:szCs w:val="26"/>
        </w:rPr>
        <w:t xml:space="preserve">has filed Replies to Exceptions </w:t>
      </w:r>
      <w:r w:rsidR="00701BA5" w:rsidRPr="006A631A">
        <w:rPr>
          <w:sz w:val="26"/>
          <w:szCs w:val="26"/>
        </w:rPr>
        <w:t>on the Settlement Issues.</w:t>
      </w:r>
      <w:r w:rsidR="00743483" w:rsidRPr="006A631A">
        <w:rPr>
          <w:sz w:val="26"/>
          <w:szCs w:val="26"/>
        </w:rPr>
        <w:t xml:space="preserve">  We note that the </w:t>
      </w:r>
      <w:r w:rsidR="00743483" w:rsidRPr="006A631A">
        <w:rPr>
          <w:sz w:val="26"/>
          <w:szCs w:val="26"/>
        </w:rPr>
        <w:lastRenderedPageBreak/>
        <w:t xml:space="preserve">Environmental Stakeholders opposed the </w:t>
      </w:r>
      <w:r w:rsidR="007B5CD8" w:rsidRPr="006A631A">
        <w:rPr>
          <w:sz w:val="26"/>
          <w:szCs w:val="26"/>
        </w:rPr>
        <w:t>Partial Settlement</w:t>
      </w:r>
      <w:r w:rsidR="00221604" w:rsidRPr="006A631A">
        <w:rPr>
          <w:sz w:val="26"/>
          <w:szCs w:val="26"/>
        </w:rPr>
        <w:t xml:space="preserve"> and chose to litigate its position that no rate increase </w:t>
      </w:r>
      <w:r w:rsidR="007B5CD8" w:rsidRPr="006A631A">
        <w:rPr>
          <w:sz w:val="26"/>
          <w:szCs w:val="26"/>
        </w:rPr>
        <w:t xml:space="preserve">at all </w:t>
      </w:r>
      <w:r w:rsidR="00221604" w:rsidRPr="006A631A">
        <w:rPr>
          <w:sz w:val="26"/>
          <w:szCs w:val="26"/>
        </w:rPr>
        <w:t>should be permitted</w:t>
      </w:r>
      <w:r w:rsidR="007B5CD8" w:rsidRPr="006A631A">
        <w:rPr>
          <w:sz w:val="26"/>
          <w:szCs w:val="26"/>
        </w:rPr>
        <w:t>.  As discussed below, the ALJs denied the Environmental Stakeholders’ “no rate increase” position and no</w:t>
      </w:r>
      <w:r w:rsidR="00743483" w:rsidRPr="006A631A">
        <w:rPr>
          <w:sz w:val="26"/>
          <w:szCs w:val="26"/>
        </w:rPr>
        <w:t xml:space="preserve"> Exceptions </w:t>
      </w:r>
      <w:r w:rsidR="007B5CD8" w:rsidRPr="006A631A">
        <w:rPr>
          <w:sz w:val="26"/>
          <w:szCs w:val="26"/>
        </w:rPr>
        <w:t>were filed by Environmental Stakeholders challenging that determination.</w:t>
      </w:r>
      <w:r w:rsidR="00743483" w:rsidRPr="006A631A">
        <w:rPr>
          <w:sz w:val="26"/>
          <w:szCs w:val="26"/>
        </w:rPr>
        <w:t xml:space="preserve">  </w:t>
      </w:r>
    </w:p>
    <w:p w14:paraId="33925D22" w14:textId="77777777" w:rsidR="00743483" w:rsidRPr="006A631A" w:rsidRDefault="00743483" w:rsidP="00F510B9">
      <w:pPr>
        <w:widowControl/>
        <w:spacing w:line="360" w:lineRule="auto"/>
        <w:ind w:firstLine="1440"/>
        <w:rPr>
          <w:sz w:val="26"/>
          <w:szCs w:val="26"/>
        </w:rPr>
      </w:pPr>
    </w:p>
    <w:p w14:paraId="30CE4132" w14:textId="1AA7F471" w:rsidR="00392985" w:rsidRPr="006A631A" w:rsidRDefault="00392985" w:rsidP="00F510B9">
      <w:pPr>
        <w:widowControl/>
        <w:spacing w:line="360" w:lineRule="auto"/>
        <w:ind w:firstLine="1440"/>
        <w:rPr>
          <w:sz w:val="26"/>
          <w:szCs w:val="26"/>
        </w:rPr>
      </w:pPr>
      <w:r w:rsidRPr="006A631A">
        <w:rPr>
          <w:sz w:val="26"/>
          <w:szCs w:val="26"/>
        </w:rPr>
        <w:t xml:space="preserve">For the reasons stated herein and in the Joint Petitioners’ Statements in Support, we </w:t>
      </w:r>
      <w:r w:rsidR="00EA6B51" w:rsidRPr="006A631A">
        <w:rPr>
          <w:sz w:val="26"/>
          <w:szCs w:val="26"/>
        </w:rPr>
        <w:t>modify the Recommended Decision and conclude that</w:t>
      </w:r>
      <w:r w:rsidR="00033E67" w:rsidRPr="006A631A">
        <w:rPr>
          <w:sz w:val="26"/>
          <w:szCs w:val="26"/>
        </w:rPr>
        <w:t xml:space="preserve"> approval of</w:t>
      </w:r>
      <w:r w:rsidR="00EA6B51" w:rsidRPr="006A631A">
        <w:rPr>
          <w:sz w:val="26"/>
          <w:szCs w:val="26"/>
        </w:rPr>
        <w:t xml:space="preserve"> the </w:t>
      </w:r>
      <w:r w:rsidRPr="006A631A">
        <w:rPr>
          <w:sz w:val="26"/>
          <w:szCs w:val="26"/>
        </w:rPr>
        <w:t>Joint Petition for Partial Settlement</w:t>
      </w:r>
      <w:r w:rsidR="00EA6B51" w:rsidRPr="006A631A">
        <w:rPr>
          <w:sz w:val="26"/>
          <w:szCs w:val="26"/>
        </w:rPr>
        <w:t>, without modification,</w:t>
      </w:r>
      <w:r w:rsidRPr="006A631A">
        <w:rPr>
          <w:sz w:val="26"/>
          <w:szCs w:val="26"/>
        </w:rPr>
        <w:t xml:space="preserve"> is in the public interest.  Accordingly, we shall adopt the ALJs</w:t>
      </w:r>
      <w:r w:rsidR="00EA6B51" w:rsidRPr="006A631A">
        <w:rPr>
          <w:sz w:val="26"/>
          <w:szCs w:val="26"/>
        </w:rPr>
        <w:t>’</w:t>
      </w:r>
      <w:r w:rsidRPr="006A631A">
        <w:rPr>
          <w:sz w:val="26"/>
          <w:szCs w:val="26"/>
        </w:rPr>
        <w:t xml:space="preserve"> </w:t>
      </w:r>
      <w:r w:rsidR="00EA6B51" w:rsidRPr="006A631A">
        <w:rPr>
          <w:sz w:val="26"/>
          <w:szCs w:val="26"/>
        </w:rPr>
        <w:t>R</w:t>
      </w:r>
      <w:r w:rsidRPr="006A631A">
        <w:rPr>
          <w:sz w:val="26"/>
          <w:szCs w:val="26"/>
        </w:rPr>
        <w:t>ecommend</w:t>
      </w:r>
      <w:r w:rsidR="00EA6B51" w:rsidRPr="006A631A">
        <w:rPr>
          <w:sz w:val="26"/>
          <w:szCs w:val="26"/>
        </w:rPr>
        <w:t xml:space="preserve">ed Decision, as modified consistent with this Opinion and Order </w:t>
      </w:r>
      <w:r w:rsidRPr="006A631A">
        <w:rPr>
          <w:sz w:val="26"/>
          <w:szCs w:val="26"/>
        </w:rPr>
        <w:t>and approve the Partial Settlement without modification.</w:t>
      </w:r>
    </w:p>
    <w:p w14:paraId="00ED858C" w14:textId="170E4140" w:rsidR="003228A1" w:rsidRPr="006A631A" w:rsidRDefault="003228A1" w:rsidP="00F510B9">
      <w:pPr>
        <w:widowControl/>
        <w:spacing w:line="360" w:lineRule="auto"/>
        <w:contextualSpacing/>
        <w:rPr>
          <w:rFonts w:eastAsiaTheme="minorHAnsi"/>
          <w:sz w:val="26"/>
          <w:szCs w:val="26"/>
        </w:rPr>
      </w:pPr>
    </w:p>
    <w:p w14:paraId="4F301FB1" w14:textId="327FB27A" w:rsidR="0079699A" w:rsidRPr="006A631A" w:rsidRDefault="00053AE7" w:rsidP="00C53B78">
      <w:pPr>
        <w:pStyle w:val="Heading2"/>
        <w:widowControl/>
        <w:numPr>
          <w:ilvl w:val="0"/>
          <w:numId w:val="0"/>
        </w:numPr>
      </w:pPr>
      <w:bookmarkStart w:id="46" w:name="_Toc55888196"/>
      <w:r w:rsidRPr="006A631A">
        <w:t>E.</w:t>
      </w:r>
      <w:r w:rsidR="00CE261C" w:rsidRPr="006A631A">
        <w:tab/>
      </w:r>
      <w:r w:rsidR="0079699A" w:rsidRPr="006A631A">
        <w:t>Litigated Issues</w:t>
      </w:r>
      <w:bookmarkEnd w:id="46"/>
    </w:p>
    <w:p w14:paraId="043CB93F" w14:textId="77777777" w:rsidR="0079699A" w:rsidRPr="006A631A" w:rsidRDefault="0079699A" w:rsidP="00F510B9">
      <w:pPr>
        <w:pStyle w:val="Heading1"/>
        <w:numPr>
          <w:ilvl w:val="0"/>
          <w:numId w:val="0"/>
        </w:numPr>
        <w:ind w:left="720"/>
        <w:contextualSpacing/>
        <w:jc w:val="left"/>
        <w:rPr>
          <w:szCs w:val="26"/>
        </w:rPr>
      </w:pPr>
    </w:p>
    <w:p w14:paraId="289B679A" w14:textId="623D5F16" w:rsidR="0079699A" w:rsidRPr="006A631A" w:rsidRDefault="0079699A" w:rsidP="00F510B9">
      <w:pPr>
        <w:widowControl/>
        <w:spacing w:line="360" w:lineRule="auto"/>
        <w:ind w:firstLine="1440"/>
        <w:rPr>
          <w:sz w:val="26"/>
          <w:szCs w:val="26"/>
        </w:rPr>
      </w:pPr>
      <w:r w:rsidRPr="006A631A">
        <w:rPr>
          <w:sz w:val="26"/>
          <w:szCs w:val="26"/>
        </w:rPr>
        <w:t>The following three issues were specifically reserved for litigation: (1)</w:t>
      </w:r>
      <w:r w:rsidR="00947B82">
        <w:rPr>
          <w:sz w:val="26"/>
          <w:szCs w:val="26"/>
        </w:rPr>
        <w:t> </w:t>
      </w:r>
      <w:r w:rsidRPr="006A631A">
        <w:rPr>
          <w:sz w:val="26"/>
          <w:szCs w:val="26"/>
        </w:rPr>
        <w:t xml:space="preserve">whether PGW’s rate increase should be denied because its infrastructure modernization program inadequately accounts for potential future mandates related to climate change; (2) whether PGW should prepare and submit to the Commission a Climate Business Plan to significantly reduce or eliminate greenhouse gas emissions prior to being granted a rate increase; and (3) whether any increase in the customer charges should be granted.  Joint Petition at ¶ 46.  </w:t>
      </w:r>
    </w:p>
    <w:p w14:paraId="6CE23DE2" w14:textId="77777777" w:rsidR="0079699A" w:rsidRPr="006A631A" w:rsidRDefault="0079699A" w:rsidP="00F510B9">
      <w:pPr>
        <w:widowControl/>
        <w:spacing w:line="360" w:lineRule="auto"/>
        <w:ind w:firstLine="1440"/>
        <w:rPr>
          <w:sz w:val="26"/>
          <w:szCs w:val="26"/>
        </w:rPr>
      </w:pPr>
    </w:p>
    <w:p w14:paraId="3E6CF71F" w14:textId="77777777" w:rsidR="0079699A" w:rsidRPr="006A631A" w:rsidRDefault="0079699A" w:rsidP="00F510B9">
      <w:pPr>
        <w:widowControl/>
        <w:spacing w:line="360" w:lineRule="auto"/>
        <w:ind w:firstLine="1440"/>
        <w:rPr>
          <w:sz w:val="26"/>
          <w:szCs w:val="26"/>
        </w:rPr>
      </w:pPr>
      <w:r w:rsidRPr="006A631A">
        <w:rPr>
          <w:sz w:val="26"/>
          <w:szCs w:val="26"/>
        </w:rPr>
        <w:t xml:space="preserve">While the discussion in the Recommended Decision does not follow these issues in that </w:t>
      </w:r>
      <w:proofErr w:type="gramStart"/>
      <w:r w:rsidRPr="006A631A">
        <w:rPr>
          <w:sz w:val="26"/>
          <w:szCs w:val="26"/>
        </w:rPr>
        <w:t>particular order</w:t>
      </w:r>
      <w:proofErr w:type="gramEnd"/>
      <w:r w:rsidRPr="006A631A">
        <w:rPr>
          <w:sz w:val="26"/>
          <w:szCs w:val="26"/>
        </w:rPr>
        <w:t xml:space="preserve">, the ALJs ultimately through their analysis and consideration of the interrelated subjects, made recommendations on each of these issues.  As an outgrowth of the Climate Business Plan issue, the ALJs also made a recommendation that PGW be directed to file certain information on its “planning for warming weather trends on usage assessments as well as infrastructure replacement plans in its next base rate filing.” R.D. at 96-97.  Each of these issues is discussed, below.  </w:t>
      </w:r>
    </w:p>
    <w:p w14:paraId="75512904" w14:textId="77777777" w:rsidR="0079699A" w:rsidRPr="006A631A" w:rsidRDefault="0079699A" w:rsidP="00F510B9">
      <w:pPr>
        <w:widowControl/>
        <w:spacing w:line="360" w:lineRule="auto"/>
        <w:ind w:firstLine="1440"/>
        <w:rPr>
          <w:sz w:val="26"/>
          <w:szCs w:val="26"/>
        </w:rPr>
      </w:pPr>
    </w:p>
    <w:p w14:paraId="459F669A" w14:textId="676EE262" w:rsidR="0079699A" w:rsidRDefault="0079699A" w:rsidP="00947B82">
      <w:pPr>
        <w:widowControl/>
        <w:kinsoku w:val="0"/>
        <w:overflowPunct w:val="0"/>
        <w:spacing w:line="360" w:lineRule="auto"/>
        <w:ind w:left="72" w:right="504" w:firstLine="1440"/>
        <w:textAlignment w:val="baseline"/>
        <w:rPr>
          <w:sz w:val="26"/>
          <w:szCs w:val="26"/>
        </w:rPr>
      </w:pPr>
      <w:r w:rsidRPr="006A631A">
        <w:rPr>
          <w:sz w:val="26"/>
          <w:szCs w:val="26"/>
        </w:rPr>
        <w:lastRenderedPageBreak/>
        <w:t>The ALJs commenced the discussion of the litigated issues by addressing PGW’s contention that the Commission lacks jurisdiction over the environmental policy recommendations of the Environmental Stakeholders.</w:t>
      </w:r>
      <w:r w:rsidR="00E47E42" w:rsidRPr="006A631A">
        <w:rPr>
          <w:sz w:val="26"/>
          <w:szCs w:val="26"/>
        </w:rPr>
        <w:t xml:space="preserve">  </w:t>
      </w:r>
      <w:r w:rsidRPr="006A631A">
        <w:rPr>
          <w:sz w:val="26"/>
          <w:szCs w:val="26"/>
        </w:rPr>
        <w:t>The ALJs explained PGW’s position that the Environmental Stakeholders are asking the Commission to make an affirmative ruling related to the effect of PGW’s operations on the environment and to direct PGW to implement “</w:t>
      </w:r>
      <w:r w:rsidRPr="006A631A">
        <w:rPr>
          <w:i/>
          <w:iCs/>
          <w:sz w:val="26"/>
          <w:szCs w:val="26"/>
        </w:rPr>
        <w:t xml:space="preserve">potentially </w:t>
      </w:r>
      <w:r w:rsidRPr="006A631A">
        <w:rPr>
          <w:sz w:val="26"/>
          <w:szCs w:val="26"/>
        </w:rPr>
        <w:t>cost-effective alternatives,” (</w:t>
      </w:r>
      <w:r w:rsidRPr="006A631A">
        <w:rPr>
          <w:i/>
          <w:iCs/>
          <w:sz w:val="26"/>
          <w:szCs w:val="26"/>
        </w:rPr>
        <w:t xml:space="preserve">i.e. </w:t>
      </w:r>
      <w:r w:rsidRPr="006A631A">
        <w:rPr>
          <w:sz w:val="26"/>
          <w:szCs w:val="26"/>
        </w:rPr>
        <w:t>convert PGW’s customers to other energy sources as well as direct PGW to produce a Climate Business Plan “with the stated goal of aggressively reducing and ultimately eliminating greenhouse gas emissions in the Commonwealth of Pennsylvania and the City of Philadelphia.”).  The ALJs noted the Environmental Stakeholders’ assertion that the Commission has jurisdiction to consider whether environmental factors render utility expenses unreasonable and imprudent, though it does not administer environmental statutes.  The Environmental Stakeholders contended:</w:t>
      </w:r>
    </w:p>
    <w:p w14:paraId="23EFAE3B" w14:textId="77777777" w:rsidR="00947B82" w:rsidRPr="006A631A" w:rsidRDefault="00947B82" w:rsidP="00947B82">
      <w:pPr>
        <w:widowControl/>
        <w:kinsoku w:val="0"/>
        <w:overflowPunct w:val="0"/>
        <w:ind w:left="72" w:right="504" w:firstLine="1440"/>
        <w:textAlignment w:val="baseline"/>
        <w:rPr>
          <w:sz w:val="26"/>
          <w:szCs w:val="26"/>
        </w:rPr>
      </w:pPr>
    </w:p>
    <w:p w14:paraId="41A3FF9E" w14:textId="56180B5C" w:rsidR="0079699A" w:rsidRPr="006A631A" w:rsidRDefault="0079699A" w:rsidP="00947B82">
      <w:pPr>
        <w:widowControl/>
        <w:kinsoku w:val="0"/>
        <w:overflowPunct w:val="0"/>
        <w:spacing w:line="276" w:lineRule="exact"/>
        <w:ind w:left="1512" w:right="1512"/>
        <w:textAlignment w:val="baseline"/>
        <w:rPr>
          <w:sz w:val="26"/>
          <w:szCs w:val="26"/>
        </w:rPr>
      </w:pPr>
      <w:r w:rsidRPr="006A631A">
        <w:rPr>
          <w:sz w:val="26"/>
          <w:szCs w:val="26"/>
        </w:rPr>
        <w:t>[T]he Commission hears evidence on the reasonableness of PGW’s salaries and bonuses, benefits, and municipal bond markets despite the fact that the Commission has no jurisdiction to regulate labor markets, health insurance,</w:t>
      </w:r>
      <w:r w:rsidRPr="006A631A">
        <w:rPr>
          <w:sz w:val="26"/>
          <w:szCs w:val="26"/>
          <w:vertAlign w:val="superscript"/>
        </w:rPr>
        <w:t xml:space="preserve"> </w:t>
      </w:r>
      <w:r w:rsidRPr="006A631A">
        <w:rPr>
          <w:sz w:val="26"/>
          <w:szCs w:val="26"/>
        </w:rPr>
        <w:t>pension plans, or bond markets. Further, just as the Commission has jurisdiction to conclude that negotiable instruments do not constitute reasonable payment under the Public Utility Code though it does not administer the Uniform Commercial Code,</w:t>
      </w:r>
      <w:r w:rsidRPr="006A631A">
        <w:rPr>
          <w:sz w:val="26"/>
          <w:szCs w:val="26"/>
          <w:vertAlign w:val="superscript"/>
        </w:rPr>
        <w:t xml:space="preserve"> </w:t>
      </w:r>
      <w:r w:rsidRPr="006A631A">
        <w:rPr>
          <w:sz w:val="26"/>
          <w:szCs w:val="26"/>
        </w:rPr>
        <w:t>the Commission has jurisdiction to consider whether environmental factors render utility expenses</w:t>
      </w:r>
      <w:r w:rsidR="00947B82">
        <w:rPr>
          <w:sz w:val="26"/>
          <w:szCs w:val="26"/>
        </w:rPr>
        <w:t xml:space="preserve"> </w:t>
      </w:r>
      <w:r w:rsidRPr="006A631A">
        <w:rPr>
          <w:sz w:val="26"/>
          <w:szCs w:val="26"/>
        </w:rPr>
        <w:t>unreasonable and imprudent, though it does not administer environmental statutes.</w:t>
      </w:r>
      <w:r w:rsidRPr="006A631A">
        <w:rPr>
          <w:rStyle w:val="FootnoteReference"/>
          <w:sz w:val="26"/>
          <w:szCs w:val="26"/>
        </w:rPr>
        <w:footnoteReference w:id="39"/>
      </w:r>
    </w:p>
    <w:p w14:paraId="436AE0D0" w14:textId="77777777" w:rsidR="0079699A" w:rsidRPr="006A631A" w:rsidRDefault="0079699A" w:rsidP="002C52A4">
      <w:pPr>
        <w:widowControl/>
        <w:kinsoku w:val="0"/>
        <w:overflowPunct w:val="0"/>
        <w:spacing w:line="480" w:lineRule="auto"/>
        <w:ind w:left="1512" w:right="2304"/>
        <w:textAlignment w:val="baseline"/>
        <w:rPr>
          <w:sz w:val="26"/>
          <w:szCs w:val="26"/>
        </w:rPr>
      </w:pPr>
    </w:p>
    <w:p w14:paraId="763F604E" w14:textId="2C6ED755" w:rsidR="0079699A" w:rsidRPr="006A631A" w:rsidRDefault="0079699A" w:rsidP="009046CF">
      <w:pPr>
        <w:widowControl/>
        <w:spacing w:line="360" w:lineRule="auto"/>
        <w:ind w:firstLine="1440"/>
        <w:rPr>
          <w:sz w:val="26"/>
          <w:szCs w:val="26"/>
        </w:rPr>
      </w:pPr>
      <w:r w:rsidRPr="006A631A">
        <w:rPr>
          <w:sz w:val="26"/>
          <w:szCs w:val="26"/>
        </w:rPr>
        <w:t xml:space="preserve">As for </w:t>
      </w:r>
      <w:r w:rsidR="000B4477" w:rsidRPr="006A631A">
        <w:rPr>
          <w:sz w:val="26"/>
          <w:szCs w:val="26"/>
        </w:rPr>
        <w:t xml:space="preserve">whether a </w:t>
      </w:r>
      <w:r w:rsidRPr="006A631A">
        <w:rPr>
          <w:sz w:val="26"/>
          <w:szCs w:val="26"/>
        </w:rPr>
        <w:t xml:space="preserve">Climate Business Plan </w:t>
      </w:r>
      <w:r w:rsidR="000B4477" w:rsidRPr="006A631A">
        <w:rPr>
          <w:sz w:val="26"/>
          <w:szCs w:val="26"/>
        </w:rPr>
        <w:t xml:space="preserve">should be </w:t>
      </w:r>
      <w:r w:rsidRPr="006A631A">
        <w:rPr>
          <w:sz w:val="26"/>
          <w:szCs w:val="26"/>
        </w:rPr>
        <w:t xml:space="preserve">presented, the Environmental Stakeholders contended that it would address the most efficient and cost-effective use of ratepayer dollars, potentially cost-effective alternatives and possible stranded asset risks posed by climate change and future climate change regulations. </w:t>
      </w:r>
      <w:r w:rsidR="0031054C" w:rsidRPr="006A631A">
        <w:rPr>
          <w:sz w:val="26"/>
          <w:szCs w:val="26"/>
        </w:rPr>
        <w:t xml:space="preserve"> </w:t>
      </w:r>
      <w:r w:rsidRPr="006A631A">
        <w:rPr>
          <w:sz w:val="26"/>
          <w:szCs w:val="26"/>
        </w:rPr>
        <w:t xml:space="preserve">They </w:t>
      </w:r>
      <w:r w:rsidRPr="006A631A">
        <w:rPr>
          <w:sz w:val="26"/>
          <w:szCs w:val="26"/>
        </w:rPr>
        <w:lastRenderedPageBreak/>
        <w:t xml:space="preserve">argued that this is essential given the Commonwealth of Pennsylvania, Governor Wolf in Executive Order 2019-01, and City of Philadelphia commitment to reducing greenhouse gas emissions </w:t>
      </w:r>
      <w:proofErr w:type="gramStart"/>
      <w:r w:rsidRPr="006A631A">
        <w:rPr>
          <w:sz w:val="26"/>
          <w:szCs w:val="26"/>
        </w:rPr>
        <w:t>in the near future</w:t>
      </w:r>
      <w:proofErr w:type="gramEnd"/>
      <w:r w:rsidRPr="006A631A">
        <w:rPr>
          <w:sz w:val="26"/>
          <w:szCs w:val="26"/>
        </w:rPr>
        <w:t>.  Further, Environmental Stakeholders asserted that PGW is working with the City of Philadelphia to develop a plan that addresses future environmental and economic sustainability for PGW.  R.D. at 80-81.</w:t>
      </w:r>
    </w:p>
    <w:p w14:paraId="785E7AE2" w14:textId="77777777" w:rsidR="0079699A" w:rsidRPr="006A631A" w:rsidRDefault="0079699A" w:rsidP="00F510B9">
      <w:pPr>
        <w:widowControl/>
        <w:spacing w:line="360" w:lineRule="auto"/>
        <w:ind w:firstLine="1440"/>
        <w:rPr>
          <w:sz w:val="26"/>
          <w:szCs w:val="26"/>
        </w:rPr>
      </w:pPr>
    </w:p>
    <w:p w14:paraId="5B9D1554" w14:textId="0881D1A3" w:rsidR="0079699A" w:rsidRPr="006A631A" w:rsidRDefault="0079699A" w:rsidP="00F510B9">
      <w:pPr>
        <w:widowControl/>
        <w:spacing w:line="360" w:lineRule="auto"/>
        <w:ind w:firstLine="1440"/>
        <w:rPr>
          <w:sz w:val="26"/>
          <w:szCs w:val="26"/>
        </w:rPr>
      </w:pPr>
      <w:r w:rsidRPr="006A631A">
        <w:rPr>
          <w:sz w:val="26"/>
          <w:szCs w:val="26"/>
        </w:rPr>
        <w:t xml:space="preserve">The ALJs concluded that it is undisputed that the Commission does not have jurisdiction to </w:t>
      </w:r>
      <w:r w:rsidRPr="006A631A">
        <w:rPr>
          <w:i/>
          <w:iCs/>
          <w:sz w:val="26"/>
          <w:szCs w:val="26"/>
        </w:rPr>
        <w:t xml:space="preserve">enforce </w:t>
      </w:r>
      <w:r w:rsidRPr="006A631A">
        <w:rPr>
          <w:sz w:val="26"/>
          <w:szCs w:val="26"/>
        </w:rPr>
        <w:t xml:space="preserve">environmental laws and regulations.  The cases referenced by PGW, </w:t>
      </w:r>
      <w:r w:rsidRPr="006A631A">
        <w:rPr>
          <w:i/>
          <w:iCs/>
          <w:sz w:val="26"/>
          <w:szCs w:val="26"/>
        </w:rPr>
        <w:t>Funk v. Wolf</w:t>
      </w:r>
      <w:r w:rsidRPr="006A631A">
        <w:rPr>
          <w:sz w:val="26"/>
          <w:szCs w:val="26"/>
        </w:rPr>
        <w:t xml:space="preserve">, 144 A.3d 228 (Pa. Cmwlth. 2016) and </w:t>
      </w:r>
      <w:r w:rsidRPr="006A631A">
        <w:rPr>
          <w:i/>
          <w:iCs/>
          <w:sz w:val="26"/>
          <w:szCs w:val="26"/>
        </w:rPr>
        <w:t xml:space="preserve">Country Place Waste Treatment Co. v. Pa. </w:t>
      </w:r>
      <w:r w:rsidR="00947B82">
        <w:rPr>
          <w:i/>
          <w:iCs/>
          <w:sz w:val="26"/>
          <w:szCs w:val="26"/>
        </w:rPr>
        <w:t>PUC</w:t>
      </w:r>
      <w:r w:rsidRPr="006A631A">
        <w:rPr>
          <w:sz w:val="26"/>
          <w:szCs w:val="26"/>
        </w:rPr>
        <w:t xml:space="preserve">, 654 A.2d 72, 76 (Pa. Cmwlth. 1995), serve to establish that the Commission has no authority to regulate environmental issues, create environmental regulations or mandate strictly environmental action.  The ALJs acknowledged that there is nothing in the Code, the Commission’s </w:t>
      </w:r>
      <w:r w:rsidR="00BA6F03" w:rsidRPr="006A631A">
        <w:rPr>
          <w:sz w:val="26"/>
          <w:szCs w:val="26"/>
        </w:rPr>
        <w:t>R</w:t>
      </w:r>
      <w:r w:rsidRPr="006A631A">
        <w:rPr>
          <w:sz w:val="26"/>
          <w:szCs w:val="26"/>
        </w:rPr>
        <w:t xml:space="preserve">egulations or Commission </w:t>
      </w:r>
      <w:r w:rsidR="00FB4CB9" w:rsidRPr="006A631A">
        <w:rPr>
          <w:sz w:val="26"/>
          <w:szCs w:val="26"/>
        </w:rPr>
        <w:t>O</w:t>
      </w:r>
      <w:r w:rsidRPr="006A631A">
        <w:rPr>
          <w:sz w:val="26"/>
          <w:szCs w:val="26"/>
        </w:rPr>
        <w:t xml:space="preserve">rder that requires anything resembling a Climate Business Plan.  In addition, the ALJs noted that the Environmental Stakeholders’ proposal that the Commission hold a separate proceeding to allow for comment on the Climate Business Plan before PGW be allowed to increase its rates has no basis in the Code or the Commission’s current </w:t>
      </w:r>
      <w:r w:rsidR="00FB4CB9" w:rsidRPr="006A631A">
        <w:rPr>
          <w:sz w:val="26"/>
          <w:szCs w:val="26"/>
        </w:rPr>
        <w:t>R</w:t>
      </w:r>
      <w:r w:rsidRPr="006A631A">
        <w:rPr>
          <w:sz w:val="26"/>
          <w:szCs w:val="26"/>
        </w:rPr>
        <w:t xml:space="preserve">egulations.  Therefore, the ALJs found that there is no precedent in the Commission for a Climate Business Plan and the Environmental Stakeholders’ request that the Commission order PGW to prepare a Climate Business Plan is in effect environmental regulation and enforcement and beyond the jurisdiction of the Commission.  R.D. at 81.  The ALJs therefore recommended denial of the Environmental Stakeholders’ request that PGW be ordered to submit a Climate Business Plan as unsupported by any statutory, </w:t>
      </w:r>
      <w:proofErr w:type="gramStart"/>
      <w:r w:rsidRPr="006A631A">
        <w:rPr>
          <w:sz w:val="26"/>
          <w:szCs w:val="26"/>
        </w:rPr>
        <w:t>regulatory</w:t>
      </w:r>
      <w:proofErr w:type="gramEnd"/>
      <w:r w:rsidRPr="006A631A">
        <w:rPr>
          <w:sz w:val="26"/>
          <w:szCs w:val="26"/>
        </w:rPr>
        <w:t xml:space="preserve"> or other legal basis.  R.D.</w:t>
      </w:r>
      <w:r w:rsidR="00947B82">
        <w:rPr>
          <w:sz w:val="26"/>
          <w:szCs w:val="26"/>
        </w:rPr>
        <w:t> </w:t>
      </w:r>
      <w:r w:rsidRPr="006A631A">
        <w:rPr>
          <w:sz w:val="26"/>
          <w:szCs w:val="26"/>
        </w:rPr>
        <w:t>at</w:t>
      </w:r>
      <w:r w:rsidR="00947B82">
        <w:rPr>
          <w:sz w:val="26"/>
          <w:szCs w:val="26"/>
        </w:rPr>
        <w:t> </w:t>
      </w:r>
      <w:r w:rsidRPr="006A631A">
        <w:rPr>
          <w:sz w:val="26"/>
          <w:szCs w:val="26"/>
        </w:rPr>
        <w:t>81, 95 and 97.</w:t>
      </w:r>
    </w:p>
    <w:p w14:paraId="344820A4" w14:textId="77777777" w:rsidR="0079699A" w:rsidRPr="006A631A" w:rsidRDefault="0079699A" w:rsidP="00F510B9">
      <w:pPr>
        <w:widowControl/>
        <w:kinsoku w:val="0"/>
        <w:overflowPunct w:val="0"/>
        <w:spacing w:before="62" w:line="400" w:lineRule="exact"/>
        <w:ind w:right="360" w:firstLine="1440"/>
        <w:textAlignment w:val="baseline"/>
        <w:rPr>
          <w:sz w:val="26"/>
          <w:szCs w:val="26"/>
        </w:rPr>
      </w:pPr>
    </w:p>
    <w:p w14:paraId="4E190759" w14:textId="4C1F3B05" w:rsidR="0079699A" w:rsidRPr="006A631A" w:rsidRDefault="0079699A" w:rsidP="00F510B9">
      <w:pPr>
        <w:widowControl/>
        <w:kinsoku w:val="0"/>
        <w:overflowPunct w:val="0"/>
        <w:spacing w:line="360" w:lineRule="auto"/>
        <w:ind w:firstLine="1440"/>
        <w:textAlignment w:val="baseline"/>
        <w:rPr>
          <w:sz w:val="26"/>
          <w:szCs w:val="26"/>
        </w:rPr>
      </w:pPr>
      <w:r w:rsidRPr="006A631A">
        <w:rPr>
          <w:sz w:val="26"/>
          <w:szCs w:val="26"/>
        </w:rPr>
        <w:t xml:space="preserve">The ALJs continued, stating that the Commission, however, is not prohibited from considering environmental issues as it carries out its authority to regulate public utilities such as PGW.  The ALJs noted that there are environmental related issues before the Commission in this proceeding.  As an example, PGW considers “warming </w:t>
      </w:r>
      <w:r w:rsidRPr="006A631A">
        <w:rPr>
          <w:sz w:val="26"/>
          <w:szCs w:val="26"/>
        </w:rPr>
        <w:lastRenderedPageBreak/>
        <w:t>trends” in projecting its revenue and acknowledges that the Commission has jurisdiction to consider such trends.</w:t>
      </w:r>
      <w:r w:rsidR="00D17724" w:rsidRPr="006A631A">
        <w:rPr>
          <w:sz w:val="26"/>
          <w:szCs w:val="26"/>
          <w:vertAlign w:val="superscript"/>
        </w:rPr>
        <w:t xml:space="preserve">  </w:t>
      </w:r>
      <w:r w:rsidRPr="006A631A">
        <w:rPr>
          <w:sz w:val="26"/>
          <w:szCs w:val="26"/>
        </w:rPr>
        <w:t>The ALJs stated that the “Environmental Stakeholders is (sic) not in this proceeding asking PGW to reduce or eliminate greenhouse gas emissions prior to being granted a rate increase, but to consider environmental matters and its effects on the needs and planning of the Company before asking the Commission to impose higher rates on the people of Philadelphia, especially now.”  R.D. at 81-82.</w:t>
      </w:r>
    </w:p>
    <w:p w14:paraId="313BBE05" w14:textId="77777777" w:rsidR="0079699A" w:rsidRPr="006A631A" w:rsidRDefault="0079699A" w:rsidP="00F510B9">
      <w:pPr>
        <w:widowControl/>
        <w:kinsoku w:val="0"/>
        <w:overflowPunct w:val="0"/>
        <w:spacing w:line="360" w:lineRule="auto"/>
        <w:ind w:firstLine="1440"/>
        <w:textAlignment w:val="baseline"/>
        <w:rPr>
          <w:sz w:val="26"/>
          <w:szCs w:val="26"/>
        </w:rPr>
      </w:pPr>
    </w:p>
    <w:p w14:paraId="5BF593BE" w14:textId="77777777" w:rsidR="0079699A" w:rsidRPr="006A631A" w:rsidRDefault="0079699A" w:rsidP="00F510B9">
      <w:pPr>
        <w:widowControl/>
        <w:kinsoku w:val="0"/>
        <w:overflowPunct w:val="0"/>
        <w:spacing w:line="360" w:lineRule="auto"/>
        <w:ind w:right="288" w:firstLine="1440"/>
        <w:textAlignment w:val="baseline"/>
        <w:rPr>
          <w:sz w:val="26"/>
          <w:szCs w:val="26"/>
        </w:rPr>
      </w:pPr>
      <w:r w:rsidRPr="006A631A">
        <w:rPr>
          <w:sz w:val="26"/>
          <w:szCs w:val="26"/>
        </w:rPr>
        <w:t xml:space="preserve">The ALJs noted that, by Order dated July 7, 2020, they determined that environmental considerations, including methane and other leaks that may exist in the PGW infrastructure, are relevant to determining whether the rates increase sought by PGW for infrastructure work is just and reasonable.  In addition, the ALJs explained that they found relevant to the issues of the reasonableness of rates, </w:t>
      </w:r>
      <w:proofErr w:type="gramStart"/>
      <w:r w:rsidRPr="006A631A">
        <w:rPr>
          <w:sz w:val="26"/>
          <w:szCs w:val="26"/>
        </w:rPr>
        <w:t>rules</w:t>
      </w:r>
      <w:proofErr w:type="gramEnd"/>
      <w:r w:rsidRPr="006A631A">
        <w:rPr>
          <w:sz w:val="26"/>
          <w:szCs w:val="26"/>
        </w:rPr>
        <w:t xml:space="preserve"> and regulations, whether the proposed rate increase and associated infrastructure work present a risk of stranded assets.  The ALJs stated that they would review the contested issues in accordance with that determination.  R.D. at 82.</w:t>
      </w:r>
    </w:p>
    <w:p w14:paraId="7731B643" w14:textId="77777777" w:rsidR="0079699A" w:rsidRPr="006A631A" w:rsidRDefault="0079699A" w:rsidP="00F510B9">
      <w:pPr>
        <w:widowControl/>
        <w:spacing w:line="360" w:lineRule="auto"/>
        <w:ind w:firstLine="1440"/>
        <w:rPr>
          <w:sz w:val="26"/>
          <w:szCs w:val="26"/>
        </w:rPr>
      </w:pPr>
    </w:p>
    <w:p w14:paraId="71C6C9CA" w14:textId="70F3F612" w:rsidR="0079699A" w:rsidRPr="006A631A" w:rsidRDefault="0079699A" w:rsidP="00947B82">
      <w:pPr>
        <w:widowControl/>
        <w:spacing w:line="360" w:lineRule="auto"/>
        <w:ind w:firstLine="1440"/>
        <w:rPr>
          <w:sz w:val="26"/>
          <w:szCs w:val="26"/>
        </w:rPr>
      </w:pPr>
      <w:r w:rsidRPr="006A631A">
        <w:rPr>
          <w:sz w:val="26"/>
          <w:szCs w:val="26"/>
        </w:rPr>
        <w:t>PGW filed Exceptions to the ALJs’ recommendation that it be required to file certain information on its “planning for warming weather trends on usage assessments as well as infrastructure replacement plans in its next ba</w:t>
      </w:r>
      <w:r w:rsidR="0031054C" w:rsidRPr="006A631A">
        <w:rPr>
          <w:sz w:val="26"/>
          <w:szCs w:val="26"/>
        </w:rPr>
        <w:t>se rate filing.”  R.D.</w:t>
      </w:r>
      <w:r w:rsidR="00947B82">
        <w:rPr>
          <w:sz w:val="26"/>
          <w:szCs w:val="26"/>
        </w:rPr>
        <w:t> </w:t>
      </w:r>
      <w:r w:rsidR="0031054C" w:rsidRPr="006A631A">
        <w:rPr>
          <w:sz w:val="26"/>
          <w:szCs w:val="26"/>
        </w:rPr>
        <w:t>at 96-97.</w:t>
      </w:r>
      <w:r w:rsidRPr="006A631A">
        <w:rPr>
          <w:sz w:val="26"/>
          <w:szCs w:val="26"/>
        </w:rPr>
        <w:t xml:space="preserve">  The Exceptions and the Environmental Stakeholders’ Replies are discussed below.</w:t>
      </w:r>
    </w:p>
    <w:p w14:paraId="72383AEC" w14:textId="77777777" w:rsidR="0079699A" w:rsidRPr="006A631A" w:rsidRDefault="0079699A" w:rsidP="00947B82">
      <w:pPr>
        <w:widowControl/>
        <w:spacing w:line="360" w:lineRule="auto"/>
        <w:rPr>
          <w:sz w:val="26"/>
          <w:szCs w:val="26"/>
        </w:rPr>
      </w:pPr>
    </w:p>
    <w:p w14:paraId="72396957" w14:textId="77777777" w:rsidR="0079699A" w:rsidRPr="006A631A" w:rsidRDefault="0079699A" w:rsidP="00947B82">
      <w:pPr>
        <w:pStyle w:val="Heading3"/>
        <w:numPr>
          <w:ilvl w:val="0"/>
          <w:numId w:val="16"/>
        </w:numPr>
        <w:ind w:left="1440" w:hanging="720"/>
      </w:pPr>
      <w:bookmarkStart w:id="47" w:name="_Toc55888197"/>
      <w:r w:rsidRPr="006A631A">
        <w:t>Overall Rate Increase</w:t>
      </w:r>
      <w:bookmarkEnd w:id="47"/>
    </w:p>
    <w:p w14:paraId="1F8B2751" w14:textId="77777777" w:rsidR="0079699A" w:rsidRPr="006A631A" w:rsidRDefault="0079699A" w:rsidP="00947B82">
      <w:pPr>
        <w:widowControl/>
        <w:spacing w:line="360" w:lineRule="auto"/>
        <w:rPr>
          <w:sz w:val="26"/>
          <w:szCs w:val="26"/>
        </w:rPr>
      </w:pPr>
    </w:p>
    <w:p w14:paraId="387019E1" w14:textId="09E935CD" w:rsidR="0079699A" w:rsidRPr="006A631A" w:rsidRDefault="0079699A" w:rsidP="00947B82">
      <w:pPr>
        <w:widowControl/>
        <w:spacing w:line="360" w:lineRule="auto"/>
        <w:ind w:firstLine="1440"/>
        <w:rPr>
          <w:bCs/>
          <w:sz w:val="26"/>
          <w:szCs w:val="26"/>
        </w:rPr>
      </w:pPr>
      <w:r w:rsidRPr="006A631A">
        <w:rPr>
          <w:sz w:val="26"/>
          <w:szCs w:val="26"/>
        </w:rPr>
        <w:t xml:space="preserve">After considering the </w:t>
      </w:r>
      <w:r w:rsidR="0031054C" w:rsidRPr="006A631A">
        <w:rPr>
          <w:sz w:val="26"/>
          <w:szCs w:val="26"/>
        </w:rPr>
        <w:t>P</w:t>
      </w:r>
      <w:r w:rsidRPr="006A631A">
        <w:rPr>
          <w:sz w:val="26"/>
          <w:szCs w:val="26"/>
        </w:rPr>
        <w:t xml:space="preserve">arties’ Briefs and the </w:t>
      </w:r>
      <w:proofErr w:type="gramStart"/>
      <w:r w:rsidRPr="006A631A">
        <w:rPr>
          <w:sz w:val="26"/>
          <w:szCs w:val="26"/>
        </w:rPr>
        <w:t>record as a whole, the</w:t>
      </w:r>
      <w:proofErr w:type="gramEnd"/>
      <w:r w:rsidRPr="006A631A">
        <w:rPr>
          <w:sz w:val="26"/>
          <w:szCs w:val="26"/>
        </w:rPr>
        <w:t xml:space="preserve"> ALJs recommended denial of the Environmental Stakeholders’ request that PGW’s rate increase be denied in its entirety.  R.D. at 97.  No </w:t>
      </w:r>
      <w:r w:rsidR="008A0503" w:rsidRPr="006A631A">
        <w:rPr>
          <w:sz w:val="26"/>
          <w:szCs w:val="26"/>
        </w:rPr>
        <w:t>P</w:t>
      </w:r>
      <w:r w:rsidRPr="006A631A">
        <w:rPr>
          <w:sz w:val="26"/>
          <w:szCs w:val="26"/>
        </w:rPr>
        <w:t xml:space="preserve">arty, including the Environmental Stakeholders, filed Exceptions to the Recommended Decision challenging this recommendation.  Based upon the record before us and the ALJs’ careful consideration of </w:t>
      </w:r>
      <w:r w:rsidRPr="006A631A">
        <w:rPr>
          <w:sz w:val="26"/>
          <w:szCs w:val="26"/>
        </w:rPr>
        <w:lastRenderedPageBreak/>
        <w:t xml:space="preserve">the respective positions taken by the Parties, we adopt the ALJs’ reasoning and approve the recommendation as supported by substantial evidence of record and in the public interest.  </w:t>
      </w:r>
    </w:p>
    <w:p w14:paraId="3F9DA335" w14:textId="77777777" w:rsidR="0079699A" w:rsidRPr="006A631A" w:rsidRDefault="0079699A" w:rsidP="00FD57EE">
      <w:pPr>
        <w:pStyle w:val="Heading4"/>
        <w:numPr>
          <w:ilvl w:val="0"/>
          <w:numId w:val="0"/>
        </w:numPr>
      </w:pPr>
    </w:p>
    <w:p w14:paraId="1D8AF342" w14:textId="77777777" w:rsidR="0079699A" w:rsidRPr="006A631A" w:rsidRDefault="0079699A" w:rsidP="00F510B9">
      <w:pPr>
        <w:pStyle w:val="Heading3"/>
        <w:ind w:left="1440" w:hanging="720"/>
      </w:pPr>
      <w:bookmarkStart w:id="48" w:name="_Toc55888198"/>
      <w:r w:rsidRPr="006A631A">
        <w:t>Fixed Customer Charges</w:t>
      </w:r>
      <w:bookmarkEnd w:id="48"/>
    </w:p>
    <w:p w14:paraId="76A2FDFE" w14:textId="77777777" w:rsidR="0079699A" w:rsidRPr="006A631A" w:rsidRDefault="0079699A" w:rsidP="00FD57EE">
      <w:pPr>
        <w:pStyle w:val="Heading4"/>
        <w:numPr>
          <w:ilvl w:val="0"/>
          <w:numId w:val="0"/>
        </w:numPr>
        <w:ind w:left="1440"/>
      </w:pPr>
    </w:p>
    <w:p w14:paraId="65F7035D" w14:textId="52C1B2B8" w:rsidR="0079699A" w:rsidRPr="006A631A" w:rsidRDefault="0079699A" w:rsidP="00F510B9">
      <w:pPr>
        <w:keepNext/>
        <w:keepLines/>
        <w:widowControl/>
        <w:spacing w:line="360" w:lineRule="auto"/>
        <w:ind w:firstLine="1440"/>
        <w:rPr>
          <w:b/>
          <w:bCs/>
          <w:sz w:val="26"/>
          <w:szCs w:val="26"/>
        </w:rPr>
      </w:pPr>
      <w:r w:rsidRPr="006A631A">
        <w:rPr>
          <w:sz w:val="26"/>
          <w:szCs w:val="26"/>
        </w:rPr>
        <w:t xml:space="preserve">After considering the Parties’ </w:t>
      </w:r>
      <w:r w:rsidR="008A27B4" w:rsidRPr="006A631A">
        <w:rPr>
          <w:sz w:val="26"/>
          <w:szCs w:val="26"/>
        </w:rPr>
        <w:t>B</w:t>
      </w:r>
      <w:r w:rsidRPr="006A631A">
        <w:rPr>
          <w:sz w:val="26"/>
          <w:szCs w:val="26"/>
        </w:rPr>
        <w:t xml:space="preserve">riefs and the </w:t>
      </w:r>
      <w:proofErr w:type="gramStart"/>
      <w:r w:rsidRPr="006A631A">
        <w:rPr>
          <w:sz w:val="26"/>
          <w:szCs w:val="26"/>
        </w:rPr>
        <w:t>record as a whole, including</w:t>
      </w:r>
      <w:proofErr w:type="gramEnd"/>
      <w:r w:rsidRPr="006A631A">
        <w:rPr>
          <w:sz w:val="26"/>
          <w:szCs w:val="26"/>
        </w:rPr>
        <w:t xml:space="preserve"> the Partial Settlement compromises on this issue, the ALJs recommended approval of the slight increase to the customer charges set forth in the Partial Settlement as reasonable.  R.D. at 77-78 and 96.  No </w:t>
      </w:r>
      <w:r w:rsidR="00707A27" w:rsidRPr="006A631A">
        <w:rPr>
          <w:sz w:val="26"/>
          <w:szCs w:val="26"/>
        </w:rPr>
        <w:t>P</w:t>
      </w:r>
      <w:r w:rsidRPr="006A631A">
        <w:rPr>
          <w:sz w:val="26"/>
          <w:szCs w:val="26"/>
        </w:rPr>
        <w:t xml:space="preserve">arty, including the Environmental Stakeholders, filed Exceptions to the Recommended Decision challenging this recommendation.  Based upon the ALJs’ careful consideration of the respective positions taken by the Parties and the ample record evidence, we adopt the ALJs’ reasoning and approve the recommendation as supported by substantial evidence of record and in the public interest.  </w:t>
      </w:r>
    </w:p>
    <w:p w14:paraId="5048FDFF" w14:textId="77777777" w:rsidR="0079699A" w:rsidRPr="006A631A" w:rsidRDefault="0079699A" w:rsidP="00F510B9">
      <w:pPr>
        <w:widowControl/>
        <w:spacing w:line="360" w:lineRule="auto"/>
        <w:rPr>
          <w:sz w:val="26"/>
          <w:szCs w:val="26"/>
        </w:rPr>
      </w:pPr>
    </w:p>
    <w:p w14:paraId="1B44F91B" w14:textId="77777777" w:rsidR="0079699A" w:rsidRPr="006A631A" w:rsidRDefault="0079699A" w:rsidP="00813F84">
      <w:pPr>
        <w:pStyle w:val="Heading3"/>
        <w:keepNext/>
        <w:ind w:left="1440" w:hanging="720"/>
      </w:pPr>
      <w:bookmarkStart w:id="49" w:name="_Toc55888199"/>
      <w:r w:rsidRPr="006A631A">
        <w:t>Infrastructure Improvements and Pipeline Safety Issues</w:t>
      </w:r>
      <w:bookmarkEnd w:id="49"/>
    </w:p>
    <w:p w14:paraId="40152FA4" w14:textId="77777777" w:rsidR="0079699A" w:rsidRPr="006A631A" w:rsidRDefault="0079699A" w:rsidP="00813F84">
      <w:pPr>
        <w:keepNext/>
        <w:widowControl/>
        <w:spacing w:line="360" w:lineRule="auto"/>
        <w:rPr>
          <w:sz w:val="26"/>
          <w:szCs w:val="26"/>
        </w:rPr>
      </w:pPr>
    </w:p>
    <w:p w14:paraId="07D16E37" w14:textId="2757C85A" w:rsidR="0079699A" w:rsidRPr="006A631A" w:rsidRDefault="0079699A" w:rsidP="0063743D">
      <w:pPr>
        <w:keepNext/>
        <w:widowControl/>
        <w:spacing w:line="360" w:lineRule="auto"/>
        <w:ind w:firstLine="1440"/>
        <w:rPr>
          <w:sz w:val="26"/>
          <w:szCs w:val="26"/>
        </w:rPr>
      </w:pPr>
      <w:r w:rsidRPr="006A631A">
        <w:rPr>
          <w:sz w:val="26"/>
          <w:szCs w:val="26"/>
        </w:rPr>
        <w:t>The ALJs included in this section of the Recommended Decision</w:t>
      </w:r>
      <w:r w:rsidR="00BE276B" w:rsidRPr="006A631A">
        <w:rPr>
          <w:sz w:val="26"/>
          <w:szCs w:val="26"/>
        </w:rPr>
        <w:t>,</w:t>
      </w:r>
      <w:r w:rsidRPr="006A631A">
        <w:rPr>
          <w:sz w:val="26"/>
          <w:szCs w:val="26"/>
        </w:rPr>
        <w:t xml:space="preserve"> the Environmental Stakeholders’ basic argument that PGW should not be granted additional revenue until PGW has considered the full risks and potential losses that may be in store for customers if it continues business as usual. </w:t>
      </w:r>
      <w:r w:rsidR="0031054C" w:rsidRPr="006A631A">
        <w:rPr>
          <w:sz w:val="26"/>
          <w:szCs w:val="26"/>
        </w:rPr>
        <w:t xml:space="preserve"> </w:t>
      </w:r>
      <w:r w:rsidRPr="006A631A">
        <w:rPr>
          <w:sz w:val="26"/>
          <w:szCs w:val="26"/>
        </w:rPr>
        <w:t>The ALJs d</w:t>
      </w:r>
      <w:r w:rsidR="004403C3" w:rsidRPr="006A631A">
        <w:rPr>
          <w:sz w:val="26"/>
          <w:szCs w:val="26"/>
        </w:rPr>
        <w:t>id</w:t>
      </w:r>
      <w:r w:rsidRPr="006A631A">
        <w:rPr>
          <w:sz w:val="26"/>
          <w:szCs w:val="26"/>
        </w:rPr>
        <w:t xml:space="preserve"> not state a recommended resolution of the </w:t>
      </w:r>
      <w:r w:rsidR="00D93E77" w:rsidRPr="006A631A">
        <w:rPr>
          <w:sz w:val="26"/>
          <w:szCs w:val="26"/>
        </w:rPr>
        <w:t>P</w:t>
      </w:r>
      <w:r w:rsidRPr="006A631A">
        <w:rPr>
          <w:sz w:val="26"/>
          <w:szCs w:val="26"/>
        </w:rPr>
        <w:t>arties</w:t>
      </w:r>
      <w:r w:rsidR="003C3571" w:rsidRPr="006A631A">
        <w:rPr>
          <w:sz w:val="26"/>
          <w:szCs w:val="26"/>
        </w:rPr>
        <w:t>’</w:t>
      </w:r>
      <w:r w:rsidRPr="006A631A">
        <w:rPr>
          <w:sz w:val="26"/>
          <w:szCs w:val="26"/>
        </w:rPr>
        <w:t xml:space="preserve"> positions</w:t>
      </w:r>
      <w:r w:rsidR="004D0B12" w:rsidRPr="006A631A">
        <w:rPr>
          <w:sz w:val="26"/>
          <w:szCs w:val="26"/>
        </w:rPr>
        <w:t xml:space="preserve"> regarding this matter</w:t>
      </w:r>
      <w:r w:rsidRPr="006A631A">
        <w:rPr>
          <w:sz w:val="26"/>
          <w:szCs w:val="26"/>
        </w:rPr>
        <w:t>, but immediately following this section, include</w:t>
      </w:r>
      <w:r w:rsidR="004403C3" w:rsidRPr="006A631A">
        <w:rPr>
          <w:sz w:val="26"/>
          <w:szCs w:val="26"/>
        </w:rPr>
        <w:t>d</w:t>
      </w:r>
      <w:r w:rsidRPr="006A631A">
        <w:rPr>
          <w:sz w:val="26"/>
          <w:szCs w:val="26"/>
        </w:rPr>
        <w:t xml:space="preserve"> a recommendation requiring PGW to include planning information on “warming weather trends on system needs and usage assessments, as well as infrastructure replacement plans” in its next rate case.  For this reason, we have included </w:t>
      </w:r>
      <w:r w:rsidRPr="006A631A">
        <w:rPr>
          <w:sz w:val="26"/>
          <w:szCs w:val="26"/>
        </w:rPr>
        <w:lastRenderedPageBreak/>
        <w:t xml:space="preserve">the discussion to elucidate the Parties’ positions on obligations </w:t>
      </w:r>
      <w:proofErr w:type="gramStart"/>
      <w:r w:rsidRPr="006A631A">
        <w:rPr>
          <w:sz w:val="26"/>
          <w:szCs w:val="26"/>
        </w:rPr>
        <w:t>with regard to</w:t>
      </w:r>
      <w:proofErr w:type="gramEnd"/>
      <w:r w:rsidRPr="006A631A">
        <w:rPr>
          <w:sz w:val="26"/>
          <w:szCs w:val="26"/>
        </w:rPr>
        <w:t xml:space="preserve"> pipeline infrastructure replacement and planning as it may relate to ratemaking considerations.</w:t>
      </w:r>
    </w:p>
    <w:p w14:paraId="087DD9F9" w14:textId="6DADEC06" w:rsidR="0079699A" w:rsidRPr="006A631A" w:rsidRDefault="0079699A" w:rsidP="0063743D">
      <w:pPr>
        <w:keepNext/>
        <w:keepLines/>
        <w:widowControl/>
        <w:spacing w:line="360" w:lineRule="auto"/>
        <w:ind w:firstLine="1440"/>
        <w:rPr>
          <w:sz w:val="26"/>
          <w:szCs w:val="26"/>
        </w:rPr>
      </w:pPr>
    </w:p>
    <w:p w14:paraId="5F1FDC74" w14:textId="46CEC5EC" w:rsidR="0079699A" w:rsidRPr="006A631A" w:rsidRDefault="00B04F64" w:rsidP="00FD57EE">
      <w:pPr>
        <w:pStyle w:val="Heading4"/>
        <w:numPr>
          <w:ilvl w:val="0"/>
          <w:numId w:val="0"/>
        </w:numPr>
        <w:ind w:left="1530"/>
      </w:pPr>
      <w:bookmarkStart w:id="50" w:name="_Toc55888200"/>
      <w:r>
        <w:t>a.</w:t>
      </w:r>
      <w:r>
        <w:tab/>
      </w:r>
      <w:r w:rsidR="0079699A" w:rsidRPr="006A631A">
        <w:t>Parties’ Positions</w:t>
      </w:r>
      <w:bookmarkEnd w:id="50"/>
    </w:p>
    <w:p w14:paraId="6459346A" w14:textId="77777777" w:rsidR="0079699A" w:rsidRPr="006A631A" w:rsidRDefault="0079699A" w:rsidP="0063743D">
      <w:pPr>
        <w:keepNext/>
        <w:keepLines/>
        <w:widowControl/>
        <w:spacing w:line="360" w:lineRule="auto"/>
        <w:ind w:firstLine="1440"/>
        <w:rPr>
          <w:sz w:val="26"/>
          <w:szCs w:val="26"/>
        </w:rPr>
      </w:pPr>
    </w:p>
    <w:p w14:paraId="4D3CC463" w14:textId="77777777" w:rsidR="0079699A" w:rsidRPr="006A631A" w:rsidRDefault="0079699A" w:rsidP="0063743D">
      <w:pPr>
        <w:keepNext/>
        <w:keepLines/>
        <w:widowControl/>
        <w:spacing w:line="360" w:lineRule="auto"/>
        <w:ind w:firstLine="1440"/>
        <w:rPr>
          <w:sz w:val="26"/>
          <w:szCs w:val="26"/>
        </w:rPr>
      </w:pPr>
      <w:r w:rsidRPr="006A631A">
        <w:rPr>
          <w:sz w:val="26"/>
          <w:szCs w:val="26"/>
        </w:rPr>
        <w:t>The Environmental Stakeholders averred that regulated utilities are required to cost-effectively manage operations and are prohibited from imprudent spending of customer dollars.  Without robust long</w:t>
      </w:r>
      <w:r w:rsidRPr="006A631A">
        <w:rPr>
          <w:sz w:val="26"/>
          <w:szCs w:val="26"/>
        </w:rPr>
        <w:softHyphen/>
        <w:t xml:space="preserve">-term planning and evaluation of alternatives, the Environmental Stakeholders asserted that it is impossible to judge whether spending is prudent.  They contended that the Commission should deny increased revenue intended to further accelerate infrastructure investments unless and until PGW can show by substantial evidence that, after consideration of alternatives, its proposed investments reflect the lowest-cost and lowest-risk solution for customers.  R.D. at 92. </w:t>
      </w:r>
    </w:p>
    <w:p w14:paraId="2F46E9CD" w14:textId="77777777" w:rsidR="0079699A" w:rsidRPr="006A631A" w:rsidRDefault="0079699A" w:rsidP="00F510B9">
      <w:pPr>
        <w:keepNext/>
        <w:keepLines/>
        <w:widowControl/>
        <w:spacing w:line="360" w:lineRule="auto"/>
        <w:ind w:firstLine="1440"/>
        <w:rPr>
          <w:sz w:val="26"/>
          <w:szCs w:val="26"/>
        </w:rPr>
      </w:pPr>
    </w:p>
    <w:p w14:paraId="4E841D29" w14:textId="06E0C6AB" w:rsidR="0079699A" w:rsidRPr="006A631A" w:rsidRDefault="0079699A" w:rsidP="00F510B9">
      <w:pPr>
        <w:widowControl/>
        <w:kinsoku w:val="0"/>
        <w:overflowPunct w:val="0"/>
        <w:spacing w:line="360" w:lineRule="auto"/>
        <w:ind w:left="72" w:right="144" w:firstLine="1368"/>
        <w:textAlignment w:val="baseline"/>
        <w:rPr>
          <w:sz w:val="26"/>
          <w:szCs w:val="26"/>
        </w:rPr>
      </w:pPr>
      <w:r w:rsidRPr="006A631A">
        <w:rPr>
          <w:sz w:val="26"/>
          <w:szCs w:val="26"/>
        </w:rPr>
        <w:t>The ALJs note</w:t>
      </w:r>
      <w:r w:rsidR="005724DC" w:rsidRPr="006A631A">
        <w:rPr>
          <w:sz w:val="26"/>
          <w:szCs w:val="26"/>
        </w:rPr>
        <w:t>d</w:t>
      </w:r>
      <w:r w:rsidRPr="006A631A">
        <w:rPr>
          <w:sz w:val="26"/>
          <w:szCs w:val="26"/>
        </w:rPr>
        <w:t xml:space="preserve"> that the Environmental Stakeholders maintain that PGW does not consider future customer needs when it decides how to replace at-risk infrastructure.  Claiming that PGW does not integrate energy efficiency into its infrastructure planni</w:t>
      </w:r>
      <w:r w:rsidR="0031054C" w:rsidRPr="006A631A">
        <w:rPr>
          <w:sz w:val="26"/>
          <w:szCs w:val="26"/>
        </w:rPr>
        <w:t xml:space="preserve">ng process, the Environmental </w:t>
      </w:r>
      <w:r w:rsidRPr="006A631A">
        <w:rPr>
          <w:sz w:val="26"/>
          <w:szCs w:val="26"/>
        </w:rPr>
        <w:t xml:space="preserve">Stakeholders also asserted that PGW does not consider potentially cost-effective alternatives to in-kind replacement.  The ALJs cast as important, the Environmental Stakeholders’ argument that PGW does not consider the potential stranded asset risk exposure it continues to saddle customers with by replacing pipeline that may become obsolete.  The ALJs note the Environmental Stakeholders’ averment that PGW has not provided substantial evidence showing it would put increased revenue to prudent and necessary uses. </w:t>
      </w:r>
      <w:r w:rsidR="0031054C" w:rsidRPr="006A631A">
        <w:rPr>
          <w:sz w:val="26"/>
          <w:szCs w:val="26"/>
        </w:rPr>
        <w:t xml:space="preserve"> </w:t>
      </w:r>
      <w:r w:rsidRPr="006A631A">
        <w:rPr>
          <w:sz w:val="26"/>
          <w:szCs w:val="26"/>
        </w:rPr>
        <w:t xml:space="preserve">The Environmental Stakeholders maintained that PGW’s failure to conduct any real planning to address immediate- and long-term risks should be unacceptable to this Commission. </w:t>
      </w:r>
      <w:r w:rsidR="0031054C" w:rsidRPr="006A631A">
        <w:rPr>
          <w:sz w:val="26"/>
          <w:szCs w:val="26"/>
        </w:rPr>
        <w:t xml:space="preserve"> </w:t>
      </w:r>
      <w:r w:rsidRPr="006A631A">
        <w:rPr>
          <w:sz w:val="26"/>
          <w:szCs w:val="26"/>
        </w:rPr>
        <w:t xml:space="preserve">They also argued that robust planning is needed to mitigate risk and reduce costs in the near- and long-term. </w:t>
      </w:r>
      <w:r w:rsidR="0031054C" w:rsidRPr="006A631A">
        <w:rPr>
          <w:sz w:val="26"/>
          <w:szCs w:val="26"/>
        </w:rPr>
        <w:t xml:space="preserve"> </w:t>
      </w:r>
      <w:r w:rsidRPr="006A631A">
        <w:rPr>
          <w:sz w:val="26"/>
          <w:szCs w:val="26"/>
        </w:rPr>
        <w:t xml:space="preserve">The Environmental Stakeholders argued that increased revenue is not needed to fulfill PGW’s existing infrastructure plan, and </w:t>
      </w:r>
      <w:r w:rsidRPr="006A631A">
        <w:rPr>
          <w:sz w:val="26"/>
          <w:szCs w:val="26"/>
        </w:rPr>
        <w:lastRenderedPageBreak/>
        <w:t>customers should not be required to send more dollars to PGW unless and until PGW can show it is responsibly planning for the future.  R.D. at 93.</w:t>
      </w:r>
    </w:p>
    <w:p w14:paraId="78324531" w14:textId="77777777" w:rsidR="0082446F" w:rsidRPr="006A631A" w:rsidRDefault="0082446F" w:rsidP="00F510B9">
      <w:pPr>
        <w:widowControl/>
        <w:kinsoku w:val="0"/>
        <w:overflowPunct w:val="0"/>
        <w:spacing w:line="360" w:lineRule="auto"/>
        <w:ind w:left="72" w:right="144" w:firstLine="1368"/>
        <w:textAlignment w:val="baseline"/>
        <w:rPr>
          <w:sz w:val="26"/>
          <w:szCs w:val="26"/>
        </w:rPr>
      </w:pPr>
    </w:p>
    <w:p w14:paraId="172BAED9" w14:textId="17A36086" w:rsidR="0079699A" w:rsidRPr="006A631A" w:rsidRDefault="0079699A" w:rsidP="00F510B9">
      <w:pPr>
        <w:widowControl/>
        <w:kinsoku w:val="0"/>
        <w:overflowPunct w:val="0"/>
        <w:spacing w:line="360" w:lineRule="auto"/>
        <w:ind w:left="72" w:right="144" w:firstLine="1368"/>
        <w:textAlignment w:val="baseline"/>
        <w:rPr>
          <w:i/>
          <w:iCs/>
          <w:sz w:val="26"/>
          <w:szCs w:val="26"/>
        </w:rPr>
      </w:pPr>
      <w:r w:rsidRPr="006A631A">
        <w:rPr>
          <w:sz w:val="26"/>
          <w:szCs w:val="26"/>
        </w:rPr>
        <w:t>In response, PGW argued that it has demonstrated that its main replacement program costs are reasonable.</w:t>
      </w:r>
      <w:r w:rsidR="00267B2B" w:rsidRPr="006A631A">
        <w:rPr>
          <w:sz w:val="26"/>
          <w:szCs w:val="26"/>
        </w:rPr>
        <w:t xml:space="preserve">  </w:t>
      </w:r>
      <w:r w:rsidRPr="006A631A">
        <w:rPr>
          <w:sz w:val="26"/>
          <w:szCs w:val="26"/>
        </w:rPr>
        <w:t xml:space="preserve">The Company also noted that it has undertaken several cost-reduction measures, all replacement work is awarded pursuant to Requests for Proposals awarded to the lowest responsible bidder, and its replacement costs per mile are within the range of other Pennsylvania natural gas distribution companies.  Moreover, PGW argued that this issue, which was raised by I&amp;E in its testimony, was resolved in the Partial Settlement.  </w:t>
      </w:r>
      <w:r w:rsidR="00854FD0" w:rsidRPr="006A631A">
        <w:rPr>
          <w:i/>
          <w:sz w:val="26"/>
          <w:szCs w:val="26"/>
        </w:rPr>
        <w:t>Id.</w:t>
      </w:r>
    </w:p>
    <w:p w14:paraId="01DF7967" w14:textId="77777777" w:rsidR="0079699A" w:rsidRPr="006A631A" w:rsidRDefault="0079699A" w:rsidP="00F510B9">
      <w:pPr>
        <w:widowControl/>
        <w:kinsoku w:val="0"/>
        <w:overflowPunct w:val="0"/>
        <w:spacing w:line="360" w:lineRule="auto"/>
        <w:ind w:left="72" w:right="144" w:firstLine="1368"/>
        <w:textAlignment w:val="baseline"/>
        <w:rPr>
          <w:sz w:val="26"/>
          <w:szCs w:val="26"/>
        </w:rPr>
      </w:pPr>
      <w:r w:rsidRPr="006A631A">
        <w:rPr>
          <w:sz w:val="26"/>
          <w:szCs w:val="26"/>
        </w:rPr>
        <w:t xml:space="preserve"> </w:t>
      </w:r>
    </w:p>
    <w:p w14:paraId="75410B3A" w14:textId="1AA59576" w:rsidR="0079699A" w:rsidRPr="006A631A" w:rsidRDefault="0079699A" w:rsidP="00F510B9">
      <w:pPr>
        <w:widowControl/>
        <w:kinsoku w:val="0"/>
        <w:overflowPunct w:val="0"/>
        <w:spacing w:line="360" w:lineRule="auto"/>
        <w:ind w:right="72" w:firstLine="1440"/>
        <w:textAlignment w:val="baseline"/>
        <w:rPr>
          <w:sz w:val="26"/>
          <w:szCs w:val="26"/>
        </w:rPr>
      </w:pPr>
      <w:r w:rsidRPr="006A631A">
        <w:rPr>
          <w:sz w:val="26"/>
          <w:szCs w:val="26"/>
        </w:rPr>
        <w:t xml:space="preserve">PGW also argued that the Environmental Stakeholders’ assertion that PGW does not need a rate increase here because the main replacement set forth in PGW’s LTIIP allegedly can be accomplished without the requested rate increase is contradicted by the record in this proceeding and ignores the fact that PGW needs to cover all of its expenses and maintain cash for operations.  PGW offered that, </w:t>
      </w:r>
      <w:proofErr w:type="gramStart"/>
      <w:r w:rsidRPr="006A631A">
        <w:rPr>
          <w:sz w:val="26"/>
          <w:szCs w:val="26"/>
        </w:rPr>
        <w:t>in order to</w:t>
      </w:r>
      <w:proofErr w:type="gramEnd"/>
      <w:r w:rsidRPr="006A631A">
        <w:rPr>
          <w:sz w:val="26"/>
          <w:szCs w:val="26"/>
        </w:rPr>
        <w:t xml:space="preserve"> sustain the pace of construction, it is important to maintain the Company’s cash flow and financial metrics and not allow them to atrophy under the weight of other expense increases. </w:t>
      </w:r>
      <w:r w:rsidR="0031054C" w:rsidRPr="006A631A">
        <w:rPr>
          <w:sz w:val="26"/>
          <w:szCs w:val="26"/>
        </w:rPr>
        <w:t xml:space="preserve"> </w:t>
      </w:r>
      <w:r w:rsidRPr="006A631A">
        <w:rPr>
          <w:sz w:val="26"/>
          <w:szCs w:val="26"/>
        </w:rPr>
        <w:t xml:space="preserve">PGW contended that the </w:t>
      </w:r>
      <w:r w:rsidR="005A2496" w:rsidRPr="006A631A">
        <w:rPr>
          <w:sz w:val="26"/>
          <w:szCs w:val="26"/>
        </w:rPr>
        <w:t xml:space="preserve">Environmental </w:t>
      </w:r>
      <w:r w:rsidRPr="006A631A">
        <w:rPr>
          <w:sz w:val="26"/>
          <w:szCs w:val="26"/>
        </w:rPr>
        <w:t xml:space="preserve">Stakeholders ignore the financial needs of the Company, needs that have been recognized by the other </w:t>
      </w:r>
      <w:r w:rsidR="00CC5408" w:rsidRPr="006A631A">
        <w:rPr>
          <w:sz w:val="26"/>
          <w:szCs w:val="26"/>
        </w:rPr>
        <w:t>P</w:t>
      </w:r>
      <w:r w:rsidRPr="006A631A">
        <w:rPr>
          <w:sz w:val="26"/>
          <w:szCs w:val="26"/>
        </w:rPr>
        <w:t>arties in the Partial Settlement’s recommendation that PGW be permitted to receive one-half of its original request, phased in by January 2022.  R.D. at 93-94.</w:t>
      </w:r>
    </w:p>
    <w:p w14:paraId="5B58B3B8" w14:textId="77777777" w:rsidR="0079699A" w:rsidRPr="006A631A" w:rsidRDefault="0079699A" w:rsidP="00F510B9">
      <w:pPr>
        <w:widowControl/>
        <w:kinsoku w:val="0"/>
        <w:overflowPunct w:val="0"/>
        <w:spacing w:line="360" w:lineRule="auto"/>
        <w:ind w:right="72"/>
        <w:textAlignment w:val="baseline"/>
        <w:rPr>
          <w:sz w:val="26"/>
          <w:szCs w:val="26"/>
        </w:rPr>
      </w:pPr>
    </w:p>
    <w:p w14:paraId="74F39027" w14:textId="77777777" w:rsidR="0079699A" w:rsidRPr="006A631A" w:rsidRDefault="0079699A" w:rsidP="00DB0ADB">
      <w:pPr>
        <w:widowControl/>
        <w:spacing w:line="360" w:lineRule="auto"/>
        <w:ind w:firstLine="1440"/>
        <w:rPr>
          <w:sz w:val="26"/>
          <w:szCs w:val="26"/>
        </w:rPr>
      </w:pPr>
      <w:r w:rsidRPr="006A631A">
        <w:rPr>
          <w:sz w:val="26"/>
          <w:szCs w:val="26"/>
        </w:rPr>
        <w:t>PGW asserted that the evidence demonstrates that the Environmental Stakeholders’ recommendation to address pipeline safety by engaging in safety-related distribution system maintenance is a dangerous strategy and not appropriate for a company with such a high percentage of cast iron main, a safety concern previously recognized by Commission staff.  R.D. at 94.</w:t>
      </w:r>
    </w:p>
    <w:p w14:paraId="3EEE211A" w14:textId="77777777" w:rsidR="0079699A" w:rsidRPr="006A631A" w:rsidRDefault="0079699A" w:rsidP="00DB0ADB">
      <w:pPr>
        <w:widowControl/>
        <w:spacing w:line="360" w:lineRule="auto"/>
        <w:ind w:firstLine="1440"/>
        <w:rPr>
          <w:sz w:val="26"/>
          <w:szCs w:val="26"/>
        </w:rPr>
      </w:pPr>
    </w:p>
    <w:p w14:paraId="5078C2E1" w14:textId="7246BB09" w:rsidR="0079699A" w:rsidRPr="006A631A" w:rsidRDefault="0079699A" w:rsidP="00DB0ADB">
      <w:pPr>
        <w:widowControl/>
        <w:kinsoku w:val="0"/>
        <w:overflowPunct w:val="0"/>
        <w:spacing w:line="360" w:lineRule="auto"/>
        <w:ind w:right="72" w:firstLine="1440"/>
        <w:textAlignment w:val="baseline"/>
        <w:rPr>
          <w:sz w:val="26"/>
          <w:szCs w:val="26"/>
          <w:vertAlign w:val="superscript"/>
        </w:rPr>
      </w:pPr>
      <w:r w:rsidRPr="006A631A">
        <w:rPr>
          <w:sz w:val="26"/>
          <w:szCs w:val="26"/>
        </w:rPr>
        <w:lastRenderedPageBreak/>
        <w:t xml:space="preserve">I&amp;E maintained that all regulated utilities in the Commonwealth must provide safe and reliable service.  </w:t>
      </w:r>
      <w:proofErr w:type="gramStart"/>
      <w:r w:rsidRPr="006A631A">
        <w:rPr>
          <w:sz w:val="26"/>
          <w:szCs w:val="26"/>
        </w:rPr>
        <w:t>In an effort to</w:t>
      </w:r>
      <w:proofErr w:type="gramEnd"/>
      <w:r w:rsidRPr="006A631A">
        <w:rPr>
          <w:sz w:val="26"/>
          <w:szCs w:val="26"/>
        </w:rPr>
        <w:t xml:space="preserve"> ensure that PGW is meeting its safety obligations, the Pipeline Safety Division of I&amp;E reviewed PGW’s filing and safety commitments.  I&amp;E noted that PGW’s Gas Safety practices have been reviewed and compromises have been reached in several areas to ensure that PGW practices are in conformity with its obligation to provide safe and reliable service.</w:t>
      </w:r>
      <w:r w:rsidR="006301B7" w:rsidRPr="006A631A">
        <w:rPr>
          <w:sz w:val="26"/>
          <w:szCs w:val="26"/>
        </w:rPr>
        <w:t xml:space="preserve">  R.D. at 94.  </w:t>
      </w:r>
    </w:p>
    <w:p w14:paraId="43D902D0" w14:textId="77777777" w:rsidR="0079699A" w:rsidRPr="006A631A" w:rsidRDefault="0079699A" w:rsidP="00F510B9">
      <w:pPr>
        <w:widowControl/>
        <w:kinsoku w:val="0"/>
        <w:overflowPunct w:val="0"/>
        <w:spacing w:line="360" w:lineRule="auto"/>
        <w:ind w:right="72"/>
        <w:textAlignment w:val="baseline"/>
        <w:rPr>
          <w:sz w:val="26"/>
          <w:szCs w:val="26"/>
        </w:rPr>
      </w:pPr>
    </w:p>
    <w:p w14:paraId="774DAD91" w14:textId="77777777" w:rsidR="0079699A" w:rsidRPr="006A631A" w:rsidRDefault="0079699A" w:rsidP="00F510B9">
      <w:pPr>
        <w:keepNext/>
        <w:keepLines/>
        <w:widowControl/>
        <w:spacing w:line="360" w:lineRule="auto"/>
        <w:ind w:firstLine="1440"/>
        <w:rPr>
          <w:sz w:val="26"/>
          <w:szCs w:val="26"/>
        </w:rPr>
      </w:pPr>
      <w:r w:rsidRPr="006A631A">
        <w:rPr>
          <w:sz w:val="26"/>
          <w:szCs w:val="26"/>
        </w:rPr>
        <w:t xml:space="preserve">I&amp;E argued that the Environmental Stakeholders have skewed I&amp;E witness Orr’s recommendation regarding cast iron main replacement costs.  I&amp;E asserted that the entire premise of I&amp;E Witness Orr’s testimony was the need to further accelerate cast iron pipe replacement.  R.D. at 94.  </w:t>
      </w:r>
    </w:p>
    <w:p w14:paraId="7A0882DE" w14:textId="77777777" w:rsidR="0079699A" w:rsidRPr="006A631A" w:rsidRDefault="0079699A" w:rsidP="00F510B9">
      <w:pPr>
        <w:pStyle w:val="Heading3"/>
        <w:numPr>
          <w:ilvl w:val="0"/>
          <w:numId w:val="0"/>
        </w:numPr>
        <w:ind w:left="720" w:hanging="360"/>
      </w:pPr>
    </w:p>
    <w:p w14:paraId="33916DC5" w14:textId="62908392" w:rsidR="0079699A" w:rsidRPr="006A631A" w:rsidRDefault="0079699A" w:rsidP="00F510B9">
      <w:pPr>
        <w:widowControl/>
        <w:kinsoku w:val="0"/>
        <w:overflowPunct w:val="0"/>
        <w:spacing w:line="360" w:lineRule="auto"/>
        <w:ind w:right="72" w:firstLine="1440"/>
        <w:textAlignment w:val="baseline"/>
        <w:rPr>
          <w:sz w:val="26"/>
          <w:szCs w:val="26"/>
        </w:rPr>
      </w:pPr>
      <w:r w:rsidRPr="006A631A">
        <w:rPr>
          <w:sz w:val="26"/>
          <w:szCs w:val="26"/>
        </w:rPr>
        <w:t xml:space="preserve">I&amp;E noted that increasing pipeline replacement costs per mile are concerning from a gas safety perspective because as PGW pays more per mile to replace its risky pipe, less money is available to replace more pipe. </w:t>
      </w:r>
      <w:r w:rsidR="0031054C" w:rsidRPr="006A631A">
        <w:rPr>
          <w:sz w:val="26"/>
          <w:szCs w:val="26"/>
        </w:rPr>
        <w:t xml:space="preserve"> </w:t>
      </w:r>
      <w:r w:rsidRPr="006A631A">
        <w:rPr>
          <w:sz w:val="26"/>
          <w:szCs w:val="26"/>
        </w:rPr>
        <w:t>Due to the risk associated with cast iron mains and the need to replace them as quickly as possible, I&amp;E witness Orr recommended that PGW develop a plan that reduces pipeline replacement costs and invest the savings therefrom into additional cast iron main replacement.</w:t>
      </w:r>
      <w:r w:rsidR="006D7B2D" w:rsidRPr="006A631A">
        <w:rPr>
          <w:sz w:val="26"/>
          <w:szCs w:val="26"/>
        </w:rPr>
        <w:t xml:space="preserve">  R.D. at 95.  </w:t>
      </w:r>
    </w:p>
    <w:p w14:paraId="6D2CE06D" w14:textId="77777777" w:rsidR="0079699A" w:rsidRPr="006A631A" w:rsidRDefault="0079699A" w:rsidP="00F510B9">
      <w:pPr>
        <w:widowControl/>
        <w:kinsoku w:val="0"/>
        <w:overflowPunct w:val="0"/>
        <w:spacing w:line="360" w:lineRule="auto"/>
        <w:ind w:right="72" w:firstLine="1440"/>
        <w:textAlignment w:val="baseline"/>
        <w:rPr>
          <w:sz w:val="26"/>
          <w:szCs w:val="26"/>
        </w:rPr>
      </w:pPr>
    </w:p>
    <w:p w14:paraId="6DAAA8D6" w14:textId="75059DCD" w:rsidR="0079699A" w:rsidRPr="006A631A" w:rsidRDefault="0079699A" w:rsidP="00F510B9">
      <w:pPr>
        <w:widowControl/>
        <w:kinsoku w:val="0"/>
        <w:overflowPunct w:val="0"/>
        <w:spacing w:line="360" w:lineRule="auto"/>
        <w:ind w:right="216" w:firstLine="1440"/>
        <w:textAlignment w:val="baseline"/>
        <w:rPr>
          <w:sz w:val="26"/>
          <w:szCs w:val="26"/>
          <w:vertAlign w:val="superscript"/>
        </w:rPr>
      </w:pPr>
      <w:r w:rsidRPr="006A631A">
        <w:rPr>
          <w:sz w:val="26"/>
          <w:szCs w:val="26"/>
        </w:rPr>
        <w:t xml:space="preserve">I&amp;E explained that it remains concerned about the rising costs of pipeline replacement, but it notes that this issue was addressed as part of the Partial Settlement in this proceeding.  Therefore, while recognizing both the risk of cast iron pipe as well as the fact that creating a plan to reduce pipeline replacement costs would not be without cost to PGW and ultimately its ratepayers, I&amp;E and PGW agreed that the I&amp;E Pipeline Safety Division would be allowed to review PGW’s AAOP.  I&amp;E averred that this </w:t>
      </w:r>
      <w:r w:rsidR="00875BFF" w:rsidRPr="006A631A">
        <w:rPr>
          <w:sz w:val="26"/>
          <w:szCs w:val="26"/>
        </w:rPr>
        <w:t>would</w:t>
      </w:r>
      <w:r w:rsidRPr="006A631A">
        <w:rPr>
          <w:sz w:val="26"/>
          <w:szCs w:val="26"/>
        </w:rPr>
        <w:t xml:space="preserve"> give it an opportunity to collaborate with PGW on areas where pipeline replacement costs seem to be rising and give PGW the opportunity to proactively react to rising costs.  R.D. at 95.  </w:t>
      </w:r>
    </w:p>
    <w:p w14:paraId="471C01AB" w14:textId="77777777" w:rsidR="0079699A" w:rsidRPr="006A631A" w:rsidRDefault="0079699A" w:rsidP="00F510B9">
      <w:pPr>
        <w:widowControl/>
        <w:kinsoku w:val="0"/>
        <w:overflowPunct w:val="0"/>
        <w:spacing w:line="360" w:lineRule="auto"/>
        <w:ind w:right="216" w:firstLine="1440"/>
        <w:textAlignment w:val="baseline"/>
        <w:rPr>
          <w:sz w:val="26"/>
          <w:szCs w:val="26"/>
        </w:rPr>
      </w:pPr>
    </w:p>
    <w:p w14:paraId="1878D491" w14:textId="38F66832" w:rsidR="0079699A" w:rsidRPr="006A631A" w:rsidRDefault="0079699A" w:rsidP="00F510B9">
      <w:pPr>
        <w:keepNext/>
        <w:keepLines/>
        <w:widowControl/>
        <w:spacing w:line="360" w:lineRule="auto"/>
        <w:ind w:firstLine="1440"/>
        <w:rPr>
          <w:i/>
          <w:iCs/>
          <w:sz w:val="26"/>
          <w:szCs w:val="26"/>
        </w:rPr>
      </w:pPr>
      <w:r w:rsidRPr="006A631A">
        <w:rPr>
          <w:sz w:val="26"/>
          <w:szCs w:val="26"/>
        </w:rPr>
        <w:lastRenderedPageBreak/>
        <w:t>I&amp;E concluded by reiterating that PGW has an obligation to provide safe and reliable service to all customers.</w:t>
      </w:r>
      <w:r w:rsidR="0031054C" w:rsidRPr="006A631A">
        <w:rPr>
          <w:sz w:val="26"/>
          <w:szCs w:val="26"/>
        </w:rPr>
        <w:t xml:space="preserve"> </w:t>
      </w:r>
      <w:r w:rsidRPr="006A631A">
        <w:rPr>
          <w:sz w:val="26"/>
          <w:szCs w:val="26"/>
        </w:rPr>
        <w:t xml:space="preserve"> I&amp;E asserted that the recommendations of the Environmental Stakeholders fail to take this into account and, if adopted, their proposals would serve to stymie PGW’s pipeline replacement program to the detriment of the PGW ratepayers.  </w:t>
      </w:r>
      <w:r w:rsidRPr="006A631A">
        <w:rPr>
          <w:i/>
          <w:iCs/>
          <w:sz w:val="26"/>
          <w:szCs w:val="26"/>
        </w:rPr>
        <w:t>Id.</w:t>
      </w:r>
    </w:p>
    <w:p w14:paraId="6E7F712D" w14:textId="77777777" w:rsidR="0079699A" w:rsidRPr="006A631A" w:rsidRDefault="0079699A" w:rsidP="00F510B9">
      <w:pPr>
        <w:keepNext/>
        <w:keepLines/>
        <w:widowControl/>
        <w:spacing w:line="360" w:lineRule="auto"/>
        <w:rPr>
          <w:sz w:val="26"/>
          <w:szCs w:val="26"/>
        </w:rPr>
      </w:pPr>
    </w:p>
    <w:p w14:paraId="2A25B586" w14:textId="58775931" w:rsidR="0079699A" w:rsidRPr="00FD57EE" w:rsidRDefault="0079699A" w:rsidP="00FD57EE">
      <w:pPr>
        <w:pStyle w:val="Heading4"/>
        <w:numPr>
          <w:ilvl w:val="1"/>
          <w:numId w:val="22"/>
        </w:numPr>
        <w:ind w:left="2160" w:hanging="720"/>
      </w:pPr>
      <w:bookmarkStart w:id="51" w:name="_Toc55888201"/>
      <w:r w:rsidRPr="00FD57EE">
        <w:t>ALJs’ Recommendation</w:t>
      </w:r>
      <w:bookmarkEnd w:id="51"/>
    </w:p>
    <w:p w14:paraId="03B197FF" w14:textId="77777777" w:rsidR="0079699A" w:rsidRPr="006A631A" w:rsidRDefault="0079699A" w:rsidP="00F510B9">
      <w:pPr>
        <w:keepNext/>
        <w:keepLines/>
        <w:widowControl/>
        <w:spacing w:line="360" w:lineRule="auto"/>
        <w:rPr>
          <w:b/>
          <w:bCs/>
          <w:sz w:val="26"/>
          <w:szCs w:val="26"/>
        </w:rPr>
      </w:pPr>
    </w:p>
    <w:p w14:paraId="4F20BB99" w14:textId="10EBBF56" w:rsidR="0079699A" w:rsidRPr="006A631A" w:rsidRDefault="0079699A" w:rsidP="00F510B9">
      <w:pPr>
        <w:widowControl/>
        <w:kinsoku w:val="0"/>
        <w:overflowPunct w:val="0"/>
        <w:spacing w:line="360" w:lineRule="auto"/>
        <w:ind w:right="72" w:firstLine="1440"/>
        <w:textAlignment w:val="baseline"/>
        <w:rPr>
          <w:sz w:val="26"/>
          <w:szCs w:val="26"/>
        </w:rPr>
      </w:pPr>
      <w:r w:rsidRPr="006A631A">
        <w:rPr>
          <w:sz w:val="26"/>
          <w:szCs w:val="26"/>
        </w:rPr>
        <w:t>As noted above, the ALJs concluded that the Commission does not have authority in environmental regulation and enforcement.  R.D. at 95.  In addition, the Commission has no authority to order a public utility to produce a Climate Business Plan.  The ALJs continued by noting that the Commission may consider environmental factors in its overall determination whether the rate increase proposed is just and reasonable.  Ack</w:t>
      </w:r>
      <w:r w:rsidR="001F1EF4" w:rsidRPr="006A631A">
        <w:rPr>
          <w:sz w:val="26"/>
          <w:szCs w:val="26"/>
        </w:rPr>
        <w:t>n</w:t>
      </w:r>
      <w:r w:rsidRPr="006A631A">
        <w:rPr>
          <w:sz w:val="26"/>
          <w:szCs w:val="26"/>
        </w:rPr>
        <w:t xml:space="preserve">owledging that, in this matter, they are constrained by the Commission’s prior precedent related to PGW, the ALJs noted that the Commission has repeatedly stressed its concern that PGW accelerate its replacement of cast iron and unprotected steel mains and lines.  The Company has experienced two fatal gas explosions in the last ten years.  The ALJs thus agreed with I&amp;E that public safety is the utmost concern and that some level of rate increase is required for PGW to continue its replacement of the aging and dangerous infrastructure. </w:t>
      </w:r>
      <w:r w:rsidR="0031054C" w:rsidRPr="006A631A">
        <w:rPr>
          <w:sz w:val="26"/>
          <w:szCs w:val="26"/>
        </w:rPr>
        <w:t xml:space="preserve"> </w:t>
      </w:r>
      <w:r w:rsidRPr="006A631A">
        <w:rPr>
          <w:sz w:val="26"/>
          <w:szCs w:val="26"/>
        </w:rPr>
        <w:t>As such, and as noted above, the ALJs recommended that the Commission deny the Environmental Stakeholders’ request that the rate increase be denied completely in this matter.  R.D. at 96.</w:t>
      </w:r>
    </w:p>
    <w:p w14:paraId="35C9ABA2" w14:textId="77777777" w:rsidR="0079699A" w:rsidRPr="006A631A" w:rsidRDefault="0079699A" w:rsidP="00F510B9">
      <w:pPr>
        <w:widowControl/>
        <w:kinsoku w:val="0"/>
        <w:overflowPunct w:val="0"/>
        <w:spacing w:line="360" w:lineRule="auto"/>
        <w:ind w:right="72" w:firstLine="1440"/>
        <w:textAlignment w:val="baseline"/>
        <w:rPr>
          <w:sz w:val="26"/>
          <w:szCs w:val="26"/>
        </w:rPr>
      </w:pPr>
    </w:p>
    <w:p w14:paraId="14CA3188" w14:textId="0E736E1C" w:rsidR="0079699A" w:rsidRPr="006A631A" w:rsidRDefault="0079699A" w:rsidP="00F510B9">
      <w:pPr>
        <w:widowControl/>
        <w:kinsoku w:val="0"/>
        <w:overflowPunct w:val="0"/>
        <w:spacing w:line="360" w:lineRule="auto"/>
        <w:ind w:right="72" w:firstLine="1440"/>
        <w:textAlignment w:val="baseline"/>
        <w:rPr>
          <w:sz w:val="26"/>
          <w:szCs w:val="26"/>
        </w:rPr>
      </w:pPr>
      <w:r w:rsidRPr="006A631A">
        <w:rPr>
          <w:sz w:val="26"/>
          <w:szCs w:val="26"/>
        </w:rPr>
        <w:t xml:space="preserve">The ALJs then conclude, however, that in this instance “it is also important that PGW take into account environmental concerns, specifically related to climate change.”  </w:t>
      </w:r>
      <w:r w:rsidRPr="006A631A">
        <w:rPr>
          <w:i/>
          <w:iCs/>
          <w:sz w:val="26"/>
          <w:szCs w:val="26"/>
        </w:rPr>
        <w:t>Id.</w:t>
      </w:r>
      <w:r w:rsidRPr="006A631A">
        <w:rPr>
          <w:sz w:val="26"/>
          <w:szCs w:val="26"/>
        </w:rPr>
        <w:t xml:space="preserve">  The ALJs observed that many of the customers and representatives that presented testimony at the </w:t>
      </w:r>
      <w:r w:rsidR="00277A77" w:rsidRPr="006A631A">
        <w:rPr>
          <w:sz w:val="26"/>
          <w:szCs w:val="26"/>
        </w:rPr>
        <w:t>p</w:t>
      </w:r>
      <w:r w:rsidRPr="006A631A">
        <w:rPr>
          <w:sz w:val="26"/>
          <w:szCs w:val="26"/>
        </w:rPr>
        <w:t xml:space="preserve">ublic </w:t>
      </w:r>
      <w:r w:rsidR="00277A77" w:rsidRPr="006A631A">
        <w:rPr>
          <w:sz w:val="26"/>
          <w:szCs w:val="26"/>
        </w:rPr>
        <w:t>i</w:t>
      </w:r>
      <w:r w:rsidRPr="006A631A">
        <w:rPr>
          <w:sz w:val="26"/>
          <w:szCs w:val="26"/>
        </w:rPr>
        <w:t xml:space="preserve">nput </w:t>
      </w:r>
      <w:r w:rsidR="00277A77" w:rsidRPr="006A631A">
        <w:rPr>
          <w:sz w:val="26"/>
          <w:szCs w:val="26"/>
        </w:rPr>
        <w:t>h</w:t>
      </w:r>
      <w:r w:rsidRPr="006A631A">
        <w:rPr>
          <w:sz w:val="26"/>
          <w:szCs w:val="26"/>
        </w:rPr>
        <w:t xml:space="preserve">earings in this matter indicated that they had significant concerns regarding climate change and the effect that fossil fuels have on the environment and that PGW also does not dispute that climate change is a concern.  The </w:t>
      </w:r>
      <w:r w:rsidRPr="006A631A">
        <w:rPr>
          <w:sz w:val="26"/>
          <w:szCs w:val="26"/>
        </w:rPr>
        <w:lastRenderedPageBreak/>
        <w:t xml:space="preserve">ALJs thus agreed that these are factors that should be considered in a rate increase and that the Commission should look at these issues now before it reaches a point when PGW’s business model becomes increasingly expensive and burdensome to the ratepayers.  Therefore, the ALJs recommended that PGW include in its next rate increase request some consideration of the effect of PGW acknowledged warming trends on needs and usage assessments and its impact upon the pipe replacement plans and infrastructure costs, and ultimately upon any rate increase requested.  </w:t>
      </w:r>
      <w:r w:rsidRPr="006A631A">
        <w:rPr>
          <w:i/>
          <w:iCs/>
          <w:sz w:val="26"/>
          <w:szCs w:val="26"/>
        </w:rPr>
        <w:t>Id.</w:t>
      </w:r>
      <w:r w:rsidRPr="006A631A">
        <w:rPr>
          <w:rStyle w:val="FootnoteReference"/>
          <w:sz w:val="26"/>
          <w:szCs w:val="26"/>
        </w:rPr>
        <w:footnoteReference w:id="40"/>
      </w:r>
      <w:r w:rsidRPr="006A631A">
        <w:rPr>
          <w:i/>
          <w:iCs/>
          <w:sz w:val="26"/>
          <w:szCs w:val="26"/>
        </w:rPr>
        <w:t xml:space="preserve">  </w:t>
      </w:r>
    </w:p>
    <w:p w14:paraId="2BDAF36B" w14:textId="77777777" w:rsidR="0079699A" w:rsidRPr="006A631A" w:rsidRDefault="0079699A" w:rsidP="00F510B9">
      <w:pPr>
        <w:keepNext/>
        <w:keepLines/>
        <w:widowControl/>
        <w:spacing w:line="360" w:lineRule="auto"/>
        <w:ind w:firstLine="1440"/>
        <w:rPr>
          <w:sz w:val="26"/>
          <w:szCs w:val="26"/>
        </w:rPr>
      </w:pPr>
    </w:p>
    <w:p w14:paraId="09B90E84" w14:textId="77777777" w:rsidR="0079699A" w:rsidRPr="006A631A" w:rsidRDefault="0079699A" w:rsidP="00FD57EE">
      <w:pPr>
        <w:pStyle w:val="Heading4"/>
      </w:pPr>
      <w:bookmarkStart w:id="52" w:name="_Toc55888202"/>
      <w:r w:rsidRPr="006A631A">
        <w:t>Exceptions and Replies to Exceptions</w:t>
      </w:r>
      <w:bookmarkEnd w:id="52"/>
    </w:p>
    <w:p w14:paraId="1B6E8BBD" w14:textId="77777777" w:rsidR="0079699A" w:rsidRPr="006A631A" w:rsidRDefault="0079699A" w:rsidP="00F510B9">
      <w:pPr>
        <w:keepNext/>
        <w:keepLines/>
        <w:widowControl/>
        <w:spacing w:line="360" w:lineRule="auto"/>
        <w:rPr>
          <w:sz w:val="26"/>
          <w:szCs w:val="26"/>
        </w:rPr>
      </w:pPr>
    </w:p>
    <w:p w14:paraId="7AF38475" w14:textId="09B5D905" w:rsidR="0079699A" w:rsidRPr="006A631A" w:rsidRDefault="0079699A" w:rsidP="00F510B9">
      <w:pPr>
        <w:widowControl/>
        <w:kinsoku w:val="0"/>
        <w:overflowPunct w:val="0"/>
        <w:spacing w:line="360" w:lineRule="auto"/>
        <w:ind w:firstLine="1440"/>
        <w:textAlignment w:val="baseline"/>
        <w:rPr>
          <w:sz w:val="26"/>
          <w:szCs w:val="26"/>
        </w:rPr>
      </w:pPr>
      <w:r w:rsidRPr="006A631A">
        <w:rPr>
          <w:sz w:val="26"/>
          <w:szCs w:val="26"/>
        </w:rPr>
        <w:t>PGW filed Exceptions to the ALJs’ recommendation that it include in its next rate increase request</w:t>
      </w:r>
      <w:r w:rsidR="000D7284" w:rsidRPr="006A631A">
        <w:rPr>
          <w:sz w:val="26"/>
          <w:szCs w:val="26"/>
        </w:rPr>
        <w:t>,</w:t>
      </w:r>
      <w:r w:rsidRPr="006A631A">
        <w:rPr>
          <w:sz w:val="26"/>
          <w:szCs w:val="26"/>
        </w:rPr>
        <w:t xml:space="preserve"> information regarding its planning related to warming climate trends.  PGW Exc. at 28-37.  PGW argues that the ALJs erred, because: </w:t>
      </w:r>
      <w:r w:rsidR="0031054C" w:rsidRPr="006A631A">
        <w:rPr>
          <w:sz w:val="26"/>
          <w:szCs w:val="26"/>
        </w:rPr>
        <w:t>(</w:t>
      </w:r>
      <w:r w:rsidRPr="006A631A">
        <w:rPr>
          <w:sz w:val="26"/>
          <w:szCs w:val="26"/>
        </w:rPr>
        <w:t xml:space="preserve">1) their recommendation for the Commission to require PGW to produce its plan pertaining to warming climate trends is entirely inconsistent with their legal conclusions that the Commission lacks jurisdiction over environmental issues and does not have the authority to order PGW to produce a Climate Business Plan or anything resembling same; </w:t>
      </w:r>
      <w:r w:rsidR="0031054C" w:rsidRPr="006A631A">
        <w:rPr>
          <w:sz w:val="26"/>
          <w:szCs w:val="26"/>
        </w:rPr>
        <w:t>(</w:t>
      </w:r>
      <w:r w:rsidRPr="006A631A">
        <w:rPr>
          <w:sz w:val="26"/>
          <w:szCs w:val="26"/>
        </w:rPr>
        <w:t xml:space="preserve">2) their conclusion that the Commission may consider environmental factors in its overall determination of whether a rate increase is just and reasonable is overly broad and, as applied, is inconsistent with the numerous Commonwealth Court orders that have held that the Commission does not have jurisdiction over environmental issues; and </w:t>
      </w:r>
      <w:r w:rsidR="0031054C" w:rsidRPr="006A631A">
        <w:rPr>
          <w:sz w:val="26"/>
          <w:szCs w:val="26"/>
        </w:rPr>
        <w:t>(</w:t>
      </w:r>
      <w:r w:rsidRPr="006A631A">
        <w:rPr>
          <w:sz w:val="26"/>
          <w:szCs w:val="26"/>
        </w:rPr>
        <w:t xml:space="preserve">3) their recommendation that PGW must, as part of its next rate case, affirmatively show how it </w:t>
      </w:r>
      <w:r w:rsidRPr="006A631A">
        <w:rPr>
          <w:sz w:val="26"/>
          <w:szCs w:val="26"/>
        </w:rPr>
        <w:lastRenderedPageBreak/>
        <w:t xml:space="preserve">is planning for climate change inappropriately and unfairly imposes a new filing requirement only on PGW.  PGW Exc. at 28-29. </w:t>
      </w:r>
    </w:p>
    <w:p w14:paraId="6B2D828C" w14:textId="77777777" w:rsidR="0079699A" w:rsidRPr="006A631A" w:rsidRDefault="0079699A" w:rsidP="00F510B9">
      <w:pPr>
        <w:widowControl/>
        <w:kinsoku w:val="0"/>
        <w:overflowPunct w:val="0"/>
        <w:spacing w:line="360" w:lineRule="auto"/>
        <w:ind w:right="144"/>
        <w:textAlignment w:val="baseline"/>
        <w:rPr>
          <w:sz w:val="26"/>
          <w:szCs w:val="26"/>
        </w:rPr>
      </w:pPr>
    </w:p>
    <w:p w14:paraId="4BF6336A" w14:textId="4ECC4514" w:rsidR="0079699A" w:rsidRPr="006A631A" w:rsidRDefault="0079699A" w:rsidP="00F510B9">
      <w:pPr>
        <w:widowControl/>
        <w:kinsoku w:val="0"/>
        <w:overflowPunct w:val="0"/>
        <w:spacing w:line="360" w:lineRule="auto"/>
        <w:ind w:firstLine="1440"/>
        <w:textAlignment w:val="baseline"/>
        <w:rPr>
          <w:i/>
          <w:iCs/>
          <w:sz w:val="26"/>
          <w:szCs w:val="26"/>
          <w:vertAlign w:val="superscript"/>
        </w:rPr>
      </w:pPr>
      <w:r w:rsidRPr="006A631A">
        <w:rPr>
          <w:sz w:val="26"/>
          <w:szCs w:val="26"/>
        </w:rPr>
        <w:t xml:space="preserve">PGW argues at length that the ALJs, appropriately, held that it is “undisputed” that the Commission does </w:t>
      </w:r>
      <w:r w:rsidRPr="006A631A">
        <w:rPr>
          <w:sz w:val="26"/>
          <w:szCs w:val="26"/>
          <w:u w:val="single"/>
        </w:rPr>
        <w:t>not</w:t>
      </w:r>
      <w:r w:rsidRPr="006A631A">
        <w:rPr>
          <w:sz w:val="26"/>
          <w:szCs w:val="26"/>
        </w:rPr>
        <w:t xml:space="preserve"> have jurisdiction to enforce environmental laws or regulations, nor does it have jurisdiction to order PGW to prepare a Climate Business Plan. </w:t>
      </w:r>
      <w:r w:rsidR="0031054C" w:rsidRPr="006A631A">
        <w:rPr>
          <w:sz w:val="26"/>
          <w:szCs w:val="26"/>
        </w:rPr>
        <w:t xml:space="preserve"> </w:t>
      </w:r>
      <w:r w:rsidRPr="006A631A">
        <w:rPr>
          <w:sz w:val="26"/>
          <w:szCs w:val="26"/>
        </w:rPr>
        <w:t>Noting the importance of the ALJs’ holding that the Commission has no authority to regulate environmental issues, create environmental regulations or mandate strictly environmental action, PGW emphasized that the ALJs further determined that “[t]here is nothing in the Public Utility Code, the Commission’s regulations or Commission order that requires anything resembling a Climate Business Plan.”</w:t>
      </w:r>
      <w:r w:rsidR="00D17724" w:rsidRPr="006A631A">
        <w:rPr>
          <w:sz w:val="26"/>
          <w:szCs w:val="26"/>
          <w:vertAlign w:val="superscript"/>
        </w:rPr>
        <w:t xml:space="preserve">  </w:t>
      </w:r>
      <w:r w:rsidRPr="006A631A">
        <w:rPr>
          <w:sz w:val="26"/>
          <w:szCs w:val="26"/>
        </w:rPr>
        <w:t xml:space="preserve">PGW continues by stating that the ALJs further explained that the Environmental Stakeholders’ proposal to allow for comment on the Climate Business Plan before PGW is granted a rate increase “has no basis in the Code or the Commission’s current regulations.” Accordingly, the ALJs concluded that there is no Commission precedent for a Climate Business Plan and the request of the Environmental Stakeholders for PGW to prepare one “is in effect environmental regulation and enforcement and beyond the jurisdiction of the Commission.”  </w:t>
      </w:r>
      <w:r w:rsidRPr="006A631A">
        <w:rPr>
          <w:i/>
          <w:iCs/>
          <w:sz w:val="26"/>
          <w:szCs w:val="26"/>
        </w:rPr>
        <w:t>Id.</w:t>
      </w:r>
    </w:p>
    <w:p w14:paraId="3F1F3B68" w14:textId="77777777" w:rsidR="0079699A" w:rsidRPr="006A631A" w:rsidRDefault="0079699A" w:rsidP="00F510B9">
      <w:pPr>
        <w:widowControl/>
        <w:kinsoku w:val="0"/>
        <w:overflowPunct w:val="0"/>
        <w:spacing w:line="360" w:lineRule="auto"/>
        <w:ind w:right="288"/>
        <w:textAlignment w:val="baseline"/>
        <w:rPr>
          <w:sz w:val="26"/>
          <w:szCs w:val="26"/>
        </w:rPr>
      </w:pPr>
    </w:p>
    <w:p w14:paraId="2C36CCB7" w14:textId="77777777" w:rsidR="0079699A" w:rsidRPr="006A631A" w:rsidRDefault="0079699A" w:rsidP="00F510B9">
      <w:pPr>
        <w:widowControl/>
        <w:kinsoku w:val="0"/>
        <w:overflowPunct w:val="0"/>
        <w:spacing w:line="360" w:lineRule="auto"/>
        <w:ind w:right="72" w:firstLine="1440"/>
        <w:textAlignment w:val="baseline"/>
        <w:rPr>
          <w:sz w:val="26"/>
          <w:szCs w:val="26"/>
        </w:rPr>
      </w:pPr>
      <w:r w:rsidRPr="006A631A">
        <w:rPr>
          <w:sz w:val="26"/>
          <w:szCs w:val="26"/>
        </w:rPr>
        <w:t xml:space="preserve">PGW complains that, despite these well-founded conclusions, the ALJs went on to recommend the opposite, that is, for the Commission to require PGW in its next rate increase request filing to “include information regarding its planning related to climate change issues.”  PGW observes that the Recommended Decision contains no explanation of how this recommended planning related to climate change is distinct from a Climate Business Plan, or even from a plan “resembling a Climate Business Plan,” both of which the ALJs held are clearly outside of the Commission’s jurisdiction. </w:t>
      </w:r>
      <w:r w:rsidR="00350B11" w:rsidRPr="006A631A">
        <w:rPr>
          <w:sz w:val="26"/>
          <w:szCs w:val="26"/>
        </w:rPr>
        <w:t xml:space="preserve"> </w:t>
      </w:r>
      <w:r w:rsidRPr="006A631A">
        <w:rPr>
          <w:sz w:val="26"/>
          <w:szCs w:val="26"/>
        </w:rPr>
        <w:t xml:space="preserve">In fact, PGW argues that the Recommended Decision demonstrates that these two plans are effectively the same. </w:t>
      </w:r>
    </w:p>
    <w:p w14:paraId="4D584A58" w14:textId="77777777" w:rsidR="0079699A" w:rsidRPr="006A631A" w:rsidRDefault="0079699A" w:rsidP="00F510B9">
      <w:pPr>
        <w:widowControl/>
        <w:kinsoku w:val="0"/>
        <w:overflowPunct w:val="0"/>
        <w:spacing w:line="360" w:lineRule="auto"/>
        <w:ind w:right="72" w:firstLine="1440"/>
        <w:textAlignment w:val="baseline"/>
        <w:rPr>
          <w:sz w:val="26"/>
          <w:szCs w:val="26"/>
        </w:rPr>
      </w:pPr>
    </w:p>
    <w:p w14:paraId="4F28DED8" w14:textId="77777777" w:rsidR="0079699A" w:rsidRPr="006A631A" w:rsidRDefault="0079699A" w:rsidP="00F510B9">
      <w:pPr>
        <w:widowControl/>
        <w:kinsoku w:val="0"/>
        <w:overflowPunct w:val="0"/>
        <w:spacing w:line="360" w:lineRule="auto"/>
        <w:ind w:right="72" w:firstLine="1440"/>
        <w:textAlignment w:val="baseline"/>
        <w:rPr>
          <w:sz w:val="26"/>
          <w:szCs w:val="26"/>
          <w:u w:val="single"/>
        </w:rPr>
      </w:pPr>
      <w:r w:rsidRPr="006A631A">
        <w:rPr>
          <w:sz w:val="26"/>
          <w:szCs w:val="26"/>
        </w:rPr>
        <w:lastRenderedPageBreak/>
        <w:t xml:space="preserve">By way of illustration, PGW lists the following characteristics of the “Climate Business Plan,” which the Recommended Decision concluded the Commission could </w:t>
      </w:r>
      <w:r w:rsidRPr="006A631A">
        <w:rPr>
          <w:sz w:val="26"/>
          <w:szCs w:val="26"/>
          <w:u w:val="single"/>
        </w:rPr>
        <w:t>not order:</w:t>
      </w:r>
    </w:p>
    <w:p w14:paraId="6DF9EC3E" w14:textId="77777777" w:rsidR="0079699A" w:rsidRPr="006A631A" w:rsidRDefault="0079699A" w:rsidP="002C52A4">
      <w:pPr>
        <w:widowControl/>
        <w:kinsoku w:val="0"/>
        <w:overflowPunct w:val="0"/>
        <w:ind w:right="1440" w:firstLine="1440"/>
        <w:textAlignment w:val="baseline"/>
        <w:rPr>
          <w:sz w:val="26"/>
          <w:szCs w:val="26"/>
        </w:rPr>
      </w:pPr>
    </w:p>
    <w:p w14:paraId="27E8F651" w14:textId="77777777" w:rsidR="0079699A" w:rsidRPr="006A631A" w:rsidRDefault="0079699A" w:rsidP="002C52A4">
      <w:pPr>
        <w:widowControl/>
        <w:kinsoku w:val="0"/>
        <w:overflowPunct w:val="0"/>
        <w:ind w:left="1440" w:right="1440"/>
        <w:textAlignment w:val="baseline"/>
        <w:rPr>
          <w:sz w:val="26"/>
          <w:szCs w:val="26"/>
        </w:rPr>
      </w:pPr>
      <w:r w:rsidRPr="006A631A">
        <w:rPr>
          <w:sz w:val="26"/>
          <w:szCs w:val="26"/>
        </w:rPr>
        <w:t>According to the Environmental Stakeholders, a Climate Business Plan would address:</w:t>
      </w:r>
    </w:p>
    <w:p w14:paraId="2F3E5B91" w14:textId="7D53DF9E" w:rsidR="0079699A" w:rsidRPr="006A631A" w:rsidRDefault="0079699A" w:rsidP="00F510B9">
      <w:pPr>
        <w:widowControl/>
        <w:numPr>
          <w:ilvl w:val="0"/>
          <w:numId w:val="20"/>
        </w:numPr>
        <w:tabs>
          <w:tab w:val="clear" w:pos="1440"/>
          <w:tab w:val="num" w:pos="1530"/>
        </w:tabs>
        <w:kinsoku w:val="0"/>
        <w:overflowPunct w:val="0"/>
        <w:spacing w:before="279" w:line="273" w:lineRule="exact"/>
        <w:ind w:right="576" w:firstLine="720"/>
        <w:textAlignment w:val="baseline"/>
        <w:rPr>
          <w:sz w:val="26"/>
          <w:szCs w:val="26"/>
        </w:rPr>
      </w:pPr>
      <w:r w:rsidRPr="006A631A">
        <w:rPr>
          <w:b/>
          <w:bCs/>
          <w:sz w:val="26"/>
          <w:szCs w:val="26"/>
        </w:rPr>
        <w:t xml:space="preserve">Needs &amp; Efficiency </w:t>
      </w:r>
      <w:r w:rsidRPr="006A631A">
        <w:rPr>
          <w:sz w:val="26"/>
          <w:szCs w:val="26"/>
        </w:rPr>
        <w:t>(“the most efficient and cost-effective use of ratepayer dollars”)</w:t>
      </w:r>
    </w:p>
    <w:p w14:paraId="064B90DD" w14:textId="77777777" w:rsidR="0079699A" w:rsidRPr="006A631A" w:rsidRDefault="0079699A" w:rsidP="00F510B9">
      <w:pPr>
        <w:widowControl/>
        <w:numPr>
          <w:ilvl w:val="0"/>
          <w:numId w:val="20"/>
        </w:numPr>
        <w:kinsoku w:val="0"/>
        <w:overflowPunct w:val="0"/>
        <w:spacing w:before="126" w:line="273" w:lineRule="exact"/>
        <w:ind w:right="216" w:firstLine="720"/>
        <w:jc w:val="both"/>
        <w:textAlignment w:val="baseline"/>
        <w:rPr>
          <w:sz w:val="26"/>
          <w:szCs w:val="26"/>
        </w:rPr>
      </w:pPr>
      <w:r w:rsidRPr="006A631A">
        <w:rPr>
          <w:b/>
          <w:bCs/>
          <w:sz w:val="26"/>
          <w:szCs w:val="26"/>
        </w:rPr>
        <w:t xml:space="preserve">Pipeline Replacement Plans </w:t>
      </w:r>
      <w:r w:rsidRPr="006A631A">
        <w:rPr>
          <w:sz w:val="26"/>
          <w:szCs w:val="26"/>
        </w:rPr>
        <w:t>(“potentially cost-effective alternatives” to PGW’s pipeline replacement plans</w:t>
      </w:r>
      <w:proofErr w:type="gramStart"/>
      <w:r w:rsidRPr="006A631A">
        <w:rPr>
          <w:sz w:val="26"/>
          <w:szCs w:val="26"/>
        </w:rPr>
        <w:t>);</w:t>
      </w:r>
      <w:proofErr w:type="gramEnd"/>
    </w:p>
    <w:p w14:paraId="1C0110D4" w14:textId="77777777" w:rsidR="0079699A" w:rsidRPr="006A631A" w:rsidRDefault="0079699A" w:rsidP="00F510B9">
      <w:pPr>
        <w:widowControl/>
        <w:numPr>
          <w:ilvl w:val="0"/>
          <w:numId w:val="20"/>
        </w:numPr>
        <w:kinsoku w:val="0"/>
        <w:overflowPunct w:val="0"/>
        <w:spacing w:before="126" w:line="273" w:lineRule="exact"/>
        <w:ind w:right="288" w:firstLine="720"/>
        <w:textAlignment w:val="baseline"/>
        <w:rPr>
          <w:sz w:val="26"/>
          <w:szCs w:val="26"/>
        </w:rPr>
      </w:pPr>
      <w:r w:rsidRPr="006A631A">
        <w:rPr>
          <w:b/>
          <w:bCs/>
          <w:sz w:val="26"/>
          <w:szCs w:val="26"/>
        </w:rPr>
        <w:t xml:space="preserve">Infrastructure Costs/Stranded Assets </w:t>
      </w:r>
      <w:r w:rsidRPr="006A631A">
        <w:rPr>
          <w:sz w:val="26"/>
          <w:szCs w:val="26"/>
        </w:rPr>
        <w:t>(“possible stranded asset risks posed by climate change and future climate change regulations”).</w:t>
      </w:r>
    </w:p>
    <w:p w14:paraId="1470C629" w14:textId="77777777" w:rsidR="00350B11" w:rsidRPr="006A631A" w:rsidRDefault="00350B11" w:rsidP="00DB0ADB">
      <w:pPr>
        <w:widowControl/>
        <w:kinsoku w:val="0"/>
        <w:overflowPunct w:val="0"/>
        <w:spacing w:line="360" w:lineRule="auto"/>
        <w:textAlignment w:val="baseline"/>
        <w:rPr>
          <w:sz w:val="26"/>
          <w:szCs w:val="26"/>
        </w:rPr>
      </w:pPr>
    </w:p>
    <w:p w14:paraId="6FEF64BD" w14:textId="77777777" w:rsidR="0079699A" w:rsidRPr="006A631A" w:rsidRDefault="0079699A" w:rsidP="00DA00CF">
      <w:pPr>
        <w:widowControl/>
        <w:kinsoku w:val="0"/>
        <w:overflowPunct w:val="0"/>
        <w:spacing w:line="360" w:lineRule="auto"/>
        <w:textAlignment w:val="baseline"/>
        <w:rPr>
          <w:sz w:val="26"/>
          <w:szCs w:val="26"/>
        </w:rPr>
      </w:pPr>
      <w:r w:rsidRPr="006A631A">
        <w:rPr>
          <w:sz w:val="26"/>
          <w:szCs w:val="26"/>
        </w:rPr>
        <w:t>RD at 80, PGW Exc. at 29-30.</w:t>
      </w:r>
    </w:p>
    <w:p w14:paraId="0FEC1049" w14:textId="77777777" w:rsidR="00E33EB1" w:rsidRPr="006A631A" w:rsidRDefault="00E33EB1" w:rsidP="00DA00CF">
      <w:pPr>
        <w:widowControl/>
        <w:spacing w:line="360" w:lineRule="auto"/>
        <w:ind w:firstLine="1440"/>
        <w:rPr>
          <w:sz w:val="26"/>
          <w:szCs w:val="26"/>
        </w:rPr>
      </w:pPr>
    </w:p>
    <w:p w14:paraId="52ED6EA8" w14:textId="72826866" w:rsidR="0079699A" w:rsidRPr="006A631A" w:rsidRDefault="0079699A" w:rsidP="00DA00CF">
      <w:pPr>
        <w:widowControl/>
        <w:spacing w:line="360" w:lineRule="auto"/>
        <w:ind w:firstLine="1440"/>
        <w:rPr>
          <w:i/>
          <w:iCs/>
          <w:sz w:val="26"/>
          <w:szCs w:val="26"/>
        </w:rPr>
      </w:pPr>
      <w:r w:rsidRPr="006A631A">
        <w:rPr>
          <w:sz w:val="26"/>
          <w:szCs w:val="26"/>
        </w:rPr>
        <w:t xml:space="preserve">PGW asserts that later in the Recommended Decision, the ALJs recommended that PGW be ordered in its next rate case to set forth its “plan related to climate change issues,” ostensibly determining the Commission did have jurisdiction to order such a plan.  PGW Exc. at 30.  PGW asserts that the Climate Business Plan and the plan related to climate change issues is one and the same and both are outside the Commission’s jurisdiction to order.  </w:t>
      </w:r>
      <w:r w:rsidRPr="006A631A">
        <w:rPr>
          <w:i/>
          <w:iCs/>
          <w:sz w:val="26"/>
          <w:szCs w:val="26"/>
        </w:rPr>
        <w:t>Id.</w:t>
      </w:r>
    </w:p>
    <w:p w14:paraId="79BB125F" w14:textId="77777777" w:rsidR="0079699A" w:rsidRPr="006A631A" w:rsidRDefault="0079699A" w:rsidP="00DB0ADB">
      <w:pPr>
        <w:widowControl/>
        <w:spacing w:line="360" w:lineRule="auto"/>
        <w:ind w:firstLine="1440"/>
        <w:rPr>
          <w:i/>
          <w:iCs/>
          <w:sz w:val="26"/>
          <w:szCs w:val="26"/>
        </w:rPr>
      </w:pPr>
    </w:p>
    <w:p w14:paraId="18BCC392" w14:textId="21373E1E" w:rsidR="0079699A" w:rsidRPr="006A631A" w:rsidRDefault="0079699A" w:rsidP="00DB0ADB">
      <w:pPr>
        <w:widowControl/>
        <w:spacing w:line="360" w:lineRule="auto"/>
        <w:ind w:firstLine="1440"/>
        <w:rPr>
          <w:sz w:val="26"/>
          <w:szCs w:val="26"/>
        </w:rPr>
      </w:pPr>
      <w:r w:rsidRPr="006A631A">
        <w:rPr>
          <w:sz w:val="26"/>
          <w:szCs w:val="26"/>
        </w:rPr>
        <w:t xml:space="preserve">PGW emphasizes that is not arguing that, in a rate case, the Commission does not have jurisdiction to address </w:t>
      </w:r>
      <w:r w:rsidRPr="006A631A">
        <w:rPr>
          <w:sz w:val="26"/>
          <w:szCs w:val="26"/>
          <w:u w:val="single"/>
        </w:rPr>
        <w:t>the effects</w:t>
      </w:r>
      <w:r w:rsidRPr="006A631A">
        <w:rPr>
          <w:sz w:val="26"/>
          <w:szCs w:val="26"/>
        </w:rPr>
        <w:t xml:space="preserve"> of climate change on its revenue requirement.</w:t>
      </w:r>
      <w:r w:rsidR="00E33EB1" w:rsidRPr="006A631A">
        <w:rPr>
          <w:sz w:val="26"/>
          <w:szCs w:val="26"/>
        </w:rPr>
        <w:t xml:space="preserve"> </w:t>
      </w:r>
      <w:r w:rsidRPr="006A631A">
        <w:rPr>
          <w:sz w:val="26"/>
          <w:szCs w:val="26"/>
        </w:rPr>
        <w:t xml:space="preserve"> For example, in PGW’s last base rate proceeding</w:t>
      </w:r>
      <w:r w:rsidR="0022084E" w:rsidRPr="006A631A">
        <w:rPr>
          <w:sz w:val="26"/>
          <w:szCs w:val="26"/>
        </w:rPr>
        <w:t>,</w:t>
      </w:r>
      <w:r w:rsidRPr="006A631A">
        <w:rPr>
          <w:sz w:val="26"/>
          <w:szCs w:val="26"/>
        </w:rPr>
        <w:t xml:space="preserve"> it proposed that the number of degree days used to determine </w:t>
      </w:r>
      <w:r w:rsidRPr="006A631A">
        <w:rPr>
          <w:i/>
          <w:iCs/>
          <w:sz w:val="26"/>
          <w:szCs w:val="26"/>
        </w:rPr>
        <w:t xml:space="preserve">pro forma </w:t>
      </w:r>
      <w:r w:rsidRPr="006A631A">
        <w:rPr>
          <w:sz w:val="26"/>
          <w:szCs w:val="26"/>
        </w:rPr>
        <w:t>heating-related sales should be reduced in part to recognize the warming trends experienced in the Philadelphia ar</w:t>
      </w:r>
      <w:r w:rsidR="00E33EB1" w:rsidRPr="006A631A">
        <w:rPr>
          <w:sz w:val="26"/>
          <w:szCs w:val="26"/>
        </w:rPr>
        <w:t>ea.  But that, according to PGW</w:t>
      </w:r>
      <w:r w:rsidRPr="006A631A">
        <w:rPr>
          <w:sz w:val="26"/>
          <w:szCs w:val="26"/>
        </w:rPr>
        <w:t xml:space="preserve"> is distinctly different than requiring PGW to report on planning for climate change divorced from any specific effect on PGW’s revenues or expenses.  PGW states its concern that requiring it to provide its plans pertaining to </w:t>
      </w:r>
      <w:r w:rsidRPr="006A631A">
        <w:rPr>
          <w:sz w:val="26"/>
          <w:szCs w:val="26"/>
        </w:rPr>
        <w:lastRenderedPageBreak/>
        <w:t>warming climate trends opens the door for the Commission and/or the Environmental Stakeholders (or any other interested parties) to challenge the information that is provided and to assert that other information should be provided and/or considered by PGW, or to request that the Commission order PGW to take action to reduce greenhouse gas emissions.</w:t>
      </w:r>
      <w:r w:rsidR="008A19FB" w:rsidRPr="006A631A">
        <w:rPr>
          <w:sz w:val="26"/>
          <w:szCs w:val="26"/>
        </w:rPr>
        <w:t xml:space="preserve">  PGW Exc. at 31.</w:t>
      </w:r>
    </w:p>
    <w:p w14:paraId="1CA771A9" w14:textId="77777777" w:rsidR="0079699A" w:rsidRPr="006A631A" w:rsidRDefault="0079699A" w:rsidP="00F510B9">
      <w:pPr>
        <w:keepNext/>
        <w:keepLines/>
        <w:widowControl/>
        <w:spacing w:line="360" w:lineRule="auto"/>
        <w:ind w:firstLine="1440"/>
        <w:rPr>
          <w:sz w:val="26"/>
          <w:szCs w:val="26"/>
        </w:rPr>
      </w:pPr>
    </w:p>
    <w:p w14:paraId="5EC02E05" w14:textId="19437C7E" w:rsidR="0079699A" w:rsidRPr="006A631A" w:rsidRDefault="0079699A" w:rsidP="00F510B9">
      <w:pPr>
        <w:widowControl/>
        <w:kinsoku w:val="0"/>
        <w:overflowPunct w:val="0"/>
        <w:spacing w:line="360" w:lineRule="auto"/>
        <w:ind w:firstLine="1440"/>
        <w:textAlignment w:val="baseline"/>
        <w:rPr>
          <w:sz w:val="26"/>
          <w:szCs w:val="26"/>
        </w:rPr>
      </w:pPr>
      <w:r w:rsidRPr="006A631A">
        <w:rPr>
          <w:sz w:val="26"/>
          <w:szCs w:val="26"/>
        </w:rPr>
        <w:t xml:space="preserve">PGW next makes the point that the Commission has the authority to consider numerous factors to the extent that they </w:t>
      </w:r>
      <w:r w:rsidR="00B9424A" w:rsidRPr="006A631A">
        <w:rPr>
          <w:sz w:val="26"/>
          <w:szCs w:val="26"/>
        </w:rPr>
        <w:t>a</w:t>
      </w:r>
      <w:r w:rsidRPr="006A631A">
        <w:rPr>
          <w:sz w:val="26"/>
          <w:szCs w:val="26"/>
        </w:rPr>
        <w:t xml:space="preserve">ffect the utility’s revenue requirement.  If environmental information does not serve to support a specific adjustment or proposal in a rate case, however, the information is not relevant to the rate case, and the Commission does not have jurisdiction to consider it.  PGW Exc. at 34-35.  These are precisely the circumstances in this case.  Here, unlike the examples, the Environmental Stakeholders failed to provide </w:t>
      </w:r>
      <w:r w:rsidRPr="006A631A">
        <w:rPr>
          <w:sz w:val="26"/>
          <w:szCs w:val="26"/>
          <w:u w:val="single"/>
        </w:rPr>
        <w:t>any</w:t>
      </w:r>
      <w:r w:rsidRPr="006A631A">
        <w:rPr>
          <w:sz w:val="26"/>
          <w:szCs w:val="26"/>
        </w:rPr>
        <w:t xml:space="preserve"> evidence which would support an affirmative position in this rate case, such as a proposed adjustment to a specific expense or an adjustment to revenue projections.  In fact, the Environmental Stakeholders did not propose any specific adjustments in this case.  Rather, the Environmental Stakeholders made the general assertion that PGW should be required to study </w:t>
      </w:r>
      <w:r w:rsidRPr="006A631A">
        <w:rPr>
          <w:sz w:val="26"/>
          <w:szCs w:val="26"/>
          <w:u w:val="single"/>
        </w:rPr>
        <w:t>(and plan for)</w:t>
      </w:r>
      <w:r w:rsidRPr="006A631A">
        <w:rPr>
          <w:sz w:val="26"/>
          <w:szCs w:val="26"/>
        </w:rPr>
        <w:t xml:space="preserve"> climate change and climate regulation.</w:t>
      </w:r>
      <w:r w:rsidR="004D1DF2" w:rsidRPr="006A631A">
        <w:rPr>
          <w:sz w:val="26"/>
          <w:szCs w:val="26"/>
        </w:rPr>
        <w:t xml:space="preserve"> PGW Exc. at 35.</w:t>
      </w:r>
    </w:p>
    <w:p w14:paraId="0DB2568D" w14:textId="77777777" w:rsidR="0079699A" w:rsidRPr="006A631A" w:rsidRDefault="0079699A" w:rsidP="00F510B9">
      <w:pPr>
        <w:widowControl/>
        <w:kinsoku w:val="0"/>
        <w:overflowPunct w:val="0"/>
        <w:spacing w:line="360" w:lineRule="auto"/>
        <w:ind w:left="72" w:right="72"/>
        <w:textAlignment w:val="baseline"/>
        <w:rPr>
          <w:sz w:val="26"/>
          <w:szCs w:val="26"/>
        </w:rPr>
      </w:pPr>
    </w:p>
    <w:p w14:paraId="0DAF25CF" w14:textId="7383B9CE" w:rsidR="0079699A" w:rsidRPr="006A631A" w:rsidRDefault="000F64B5" w:rsidP="00F510B9">
      <w:pPr>
        <w:widowControl/>
        <w:kinsoku w:val="0"/>
        <w:overflowPunct w:val="0"/>
        <w:spacing w:line="360" w:lineRule="auto"/>
        <w:ind w:right="72" w:firstLine="1440"/>
        <w:textAlignment w:val="baseline"/>
        <w:rPr>
          <w:sz w:val="26"/>
          <w:szCs w:val="26"/>
        </w:rPr>
      </w:pPr>
      <w:r w:rsidRPr="006A631A">
        <w:rPr>
          <w:sz w:val="26"/>
          <w:szCs w:val="26"/>
        </w:rPr>
        <w:t>According to PGW, t</w:t>
      </w:r>
      <w:r w:rsidR="0079699A" w:rsidRPr="006A631A">
        <w:rPr>
          <w:sz w:val="26"/>
          <w:szCs w:val="26"/>
        </w:rPr>
        <w:t xml:space="preserve">o even, </w:t>
      </w:r>
      <w:r w:rsidR="0079699A" w:rsidRPr="006A631A">
        <w:rPr>
          <w:i/>
          <w:iCs/>
          <w:sz w:val="26"/>
          <w:szCs w:val="26"/>
        </w:rPr>
        <w:t>arguably</w:t>
      </w:r>
      <w:r w:rsidR="0079699A" w:rsidRPr="006A631A">
        <w:rPr>
          <w:sz w:val="26"/>
          <w:szCs w:val="26"/>
        </w:rPr>
        <w:t xml:space="preserve">, link these strictly environmental issues to matters within the Commission’s jurisdiction, the Environmental Stakeholders relied on the unsupported and highly speculative assumption that natural gas utilities will be required to cease operations in the future in order to combat warming climate trends.  </w:t>
      </w:r>
      <w:r w:rsidR="005865DA" w:rsidRPr="006A631A">
        <w:rPr>
          <w:sz w:val="26"/>
          <w:szCs w:val="26"/>
        </w:rPr>
        <w:t xml:space="preserve">PGW avers </w:t>
      </w:r>
      <w:proofErr w:type="gramStart"/>
      <w:r w:rsidR="005865DA" w:rsidRPr="006A631A">
        <w:rPr>
          <w:sz w:val="26"/>
          <w:szCs w:val="26"/>
        </w:rPr>
        <w:t>that i</w:t>
      </w:r>
      <w:r w:rsidR="0079699A" w:rsidRPr="006A631A">
        <w:rPr>
          <w:sz w:val="26"/>
          <w:szCs w:val="26"/>
        </w:rPr>
        <w:t>n reality, however</w:t>
      </w:r>
      <w:proofErr w:type="gramEnd"/>
      <w:r w:rsidR="0079699A" w:rsidRPr="006A631A">
        <w:rPr>
          <w:sz w:val="26"/>
          <w:szCs w:val="26"/>
        </w:rPr>
        <w:t xml:space="preserve">, there is no consensus about the role that natural gas will play thirty, forty, or fifty years from now.  </w:t>
      </w:r>
      <w:r w:rsidR="00251D4A" w:rsidRPr="006A631A">
        <w:rPr>
          <w:sz w:val="26"/>
          <w:szCs w:val="26"/>
        </w:rPr>
        <w:t>PGW further asserts that t</w:t>
      </w:r>
      <w:r w:rsidR="0079699A" w:rsidRPr="006A631A">
        <w:rPr>
          <w:sz w:val="26"/>
          <w:szCs w:val="26"/>
        </w:rPr>
        <w:t>he ALJs do not make any such conclusive finding, nor would the evidence support such a finding, as the Environmental Stakeholders have not pointed to any rule or regulation that provides that PGW or other gas companies will be forced to cease operation in the future.  As former Commissioner Cawley testified, “</w:t>
      </w:r>
      <w:r w:rsidR="00A15CCB" w:rsidRPr="006A631A">
        <w:rPr>
          <w:sz w:val="26"/>
          <w:szCs w:val="26"/>
        </w:rPr>
        <w:t>[i]</w:t>
      </w:r>
      <w:r w:rsidR="0079699A" w:rsidRPr="006A631A">
        <w:rPr>
          <w:sz w:val="26"/>
          <w:szCs w:val="26"/>
        </w:rPr>
        <w:t xml:space="preserve">n my experience, the Pennsylvania Public Utility </w:t>
      </w:r>
      <w:r w:rsidR="0079699A" w:rsidRPr="006A631A">
        <w:rPr>
          <w:sz w:val="26"/>
          <w:szCs w:val="26"/>
        </w:rPr>
        <w:lastRenderedPageBreak/>
        <w:t>Commission does not engage in such speculation in establishing regulatory policy for the companies it regulates, especially when it would require conclusions (or guesses) about what environmental requirements will be in thirty years.</w:t>
      </w:r>
      <w:r w:rsidR="00FA55BD" w:rsidRPr="006A631A">
        <w:rPr>
          <w:sz w:val="26"/>
          <w:szCs w:val="26"/>
        </w:rPr>
        <w:t>”</w:t>
      </w:r>
      <w:r w:rsidR="0079699A" w:rsidRPr="006A631A">
        <w:rPr>
          <w:sz w:val="26"/>
          <w:szCs w:val="26"/>
        </w:rPr>
        <w:t xml:space="preserve">  </w:t>
      </w:r>
      <w:r w:rsidR="00350B11" w:rsidRPr="006A631A">
        <w:rPr>
          <w:sz w:val="26"/>
          <w:szCs w:val="26"/>
        </w:rPr>
        <w:t>PGW Exh. 12RJ at 2.</w:t>
      </w:r>
      <w:r w:rsidR="0079699A" w:rsidRPr="006A631A">
        <w:rPr>
          <w:sz w:val="26"/>
          <w:szCs w:val="26"/>
        </w:rPr>
        <w:t xml:space="preserve">  Commissioner Cawley further explained that the Commission would “act </w:t>
      </w:r>
      <w:r w:rsidR="0079699A" w:rsidRPr="006A631A">
        <w:rPr>
          <w:i/>
          <w:iCs/>
          <w:sz w:val="26"/>
          <w:szCs w:val="26"/>
        </w:rPr>
        <w:t>ultra vires</w:t>
      </w:r>
      <w:r w:rsidR="0079699A" w:rsidRPr="006A631A">
        <w:rPr>
          <w:sz w:val="26"/>
          <w:szCs w:val="26"/>
        </w:rPr>
        <w:t xml:space="preserve">” if it made rate case determinations based on the perceived effects of greenhouse gases or global warming and would “usurp the authority” of </w:t>
      </w:r>
      <w:r w:rsidR="0099032D" w:rsidRPr="006A631A">
        <w:rPr>
          <w:sz w:val="26"/>
          <w:szCs w:val="26"/>
        </w:rPr>
        <w:t>the Pennsylvania Department of Environmental Protection (</w:t>
      </w:r>
      <w:r w:rsidR="0079699A" w:rsidRPr="006A631A">
        <w:rPr>
          <w:sz w:val="26"/>
          <w:szCs w:val="26"/>
        </w:rPr>
        <w:t xml:space="preserve">DEP.  </w:t>
      </w:r>
      <w:r w:rsidR="00350B11" w:rsidRPr="006A631A">
        <w:rPr>
          <w:i/>
          <w:sz w:val="26"/>
          <w:szCs w:val="26"/>
        </w:rPr>
        <w:t>Id</w:t>
      </w:r>
      <w:r w:rsidR="00350B11" w:rsidRPr="006A631A">
        <w:rPr>
          <w:sz w:val="26"/>
          <w:szCs w:val="26"/>
        </w:rPr>
        <w:t>.</w:t>
      </w:r>
      <w:r w:rsidR="0099032D" w:rsidRPr="006A631A">
        <w:rPr>
          <w:sz w:val="26"/>
          <w:szCs w:val="26"/>
        </w:rPr>
        <w:t>)</w:t>
      </w:r>
      <w:r w:rsidR="0079699A" w:rsidRPr="006A631A">
        <w:rPr>
          <w:sz w:val="26"/>
          <w:szCs w:val="26"/>
        </w:rPr>
        <w:t>.  Commissioner Cawley testified: “At the least, requiring the Commission to make ratemaking (or other) determinations in response to climate change would create the real possibility of disparate and potentially inconsistent regulation.”</w:t>
      </w:r>
      <w:r w:rsidR="00B17AB0" w:rsidRPr="006A631A">
        <w:rPr>
          <w:sz w:val="26"/>
          <w:szCs w:val="26"/>
        </w:rPr>
        <w:t xml:space="preserve"> </w:t>
      </w:r>
      <w:r w:rsidR="00350B11" w:rsidRPr="006A631A">
        <w:rPr>
          <w:i/>
          <w:sz w:val="26"/>
          <w:szCs w:val="26"/>
        </w:rPr>
        <w:t>Id</w:t>
      </w:r>
      <w:r w:rsidR="00B17AB0" w:rsidRPr="006A631A">
        <w:rPr>
          <w:sz w:val="26"/>
          <w:szCs w:val="26"/>
        </w:rPr>
        <w:t xml:space="preserve"> PGW Exc. at 35-36.</w:t>
      </w:r>
    </w:p>
    <w:p w14:paraId="134A2DB9" w14:textId="77777777" w:rsidR="0079699A" w:rsidRPr="006A631A" w:rsidRDefault="0079699A" w:rsidP="00F510B9">
      <w:pPr>
        <w:widowControl/>
        <w:kinsoku w:val="0"/>
        <w:overflowPunct w:val="0"/>
        <w:spacing w:line="360" w:lineRule="auto"/>
        <w:ind w:right="72" w:firstLine="1440"/>
        <w:textAlignment w:val="baseline"/>
        <w:rPr>
          <w:sz w:val="26"/>
          <w:szCs w:val="26"/>
        </w:rPr>
      </w:pPr>
    </w:p>
    <w:p w14:paraId="1FC8DC8A" w14:textId="2006FE2D" w:rsidR="0079699A" w:rsidRPr="006A631A" w:rsidRDefault="00160B0C" w:rsidP="00F510B9">
      <w:pPr>
        <w:widowControl/>
        <w:kinsoku w:val="0"/>
        <w:overflowPunct w:val="0"/>
        <w:spacing w:line="360" w:lineRule="auto"/>
        <w:ind w:left="72" w:right="144" w:firstLine="1368"/>
        <w:textAlignment w:val="baseline"/>
        <w:rPr>
          <w:sz w:val="26"/>
          <w:szCs w:val="26"/>
        </w:rPr>
      </w:pPr>
      <w:r w:rsidRPr="006A631A">
        <w:rPr>
          <w:sz w:val="26"/>
          <w:szCs w:val="26"/>
        </w:rPr>
        <w:t>PGW notes that s</w:t>
      </w:r>
      <w:r w:rsidR="0079699A" w:rsidRPr="006A631A">
        <w:rPr>
          <w:sz w:val="26"/>
          <w:szCs w:val="26"/>
        </w:rPr>
        <w:t>ince the testimony of the Environmental Stakeholders did not tie its adjustment to any specific cost being charged to ratepayers in the test year, and only made hypothetical and speculative assertions, the Commission did not have jurisdiction to consider the Environmental Stakeholders’ testimony in this case or to consider PGW’s climate change plan in its next case, and the Recommended Decision so found.</w:t>
      </w:r>
      <w:r w:rsidR="001E5295" w:rsidRPr="006A631A">
        <w:rPr>
          <w:sz w:val="26"/>
          <w:szCs w:val="26"/>
        </w:rPr>
        <w:t xml:space="preserve">  According to PGW,</w:t>
      </w:r>
      <w:r w:rsidR="00C978E0" w:rsidRPr="006A631A">
        <w:rPr>
          <w:sz w:val="26"/>
          <w:szCs w:val="26"/>
        </w:rPr>
        <w:t xml:space="preserve"> </w:t>
      </w:r>
      <w:r w:rsidR="001E5295" w:rsidRPr="006A631A">
        <w:rPr>
          <w:sz w:val="26"/>
          <w:szCs w:val="26"/>
        </w:rPr>
        <w:t>b</w:t>
      </w:r>
      <w:r w:rsidR="0079699A" w:rsidRPr="006A631A">
        <w:rPr>
          <w:sz w:val="26"/>
          <w:szCs w:val="26"/>
        </w:rPr>
        <w:t>ut to nonetheless declare that the Commission generally has jurisdiction to hear about “environmental matters” in a rate case – not tied to a specific rate case claim or cost – extends the Commission’s jurisdiction beyond the power the legislature granted to the Commission to establish just and reasonable rates and reasonable and adequate service.</w:t>
      </w:r>
      <w:r w:rsidR="008B4746" w:rsidRPr="006A631A">
        <w:rPr>
          <w:sz w:val="26"/>
          <w:szCs w:val="26"/>
        </w:rPr>
        <w:t xml:space="preserve">  </w:t>
      </w:r>
      <w:r w:rsidR="008B4746" w:rsidRPr="006A631A">
        <w:rPr>
          <w:i/>
          <w:iCs/>
          <w:sz w:val="26"/>
          <w:szCs w:val="26"/>
        </w:rPr>
        <w:t>Id.</w:t>
      </w:r>
      <w:r w:rsidR="008B4746" w:rsidRPr="006A631A">
        <w:rPr>
          <w:sz w:val="26"/>
          <w:szCs w:val="26"/>
        </w:rPr>
        <w:t xml:space="preserve"> at 36</w:t>
      </w:r>
    </w:p>
    <w:p w14:paraId="4751C948" w14:textId="77777777" w:rsidR="00DA00CF" w:rsidRPr="006A631A" w:rsidRDefault="00DA00CF" w:rsidP="00F510B9">
      <w:pPr>
        <w:widowControl/>
        <w:kinsoku w:val="0"/>
        <w:overflowPunct w:val="0"/>
        <w:spacing w:line="360" w:lineRule="auto"/>
        <w:ind w:left="72" w:right="144" w:firstLine="1368"/>
        <w:textAlignment w:val="baseline"/>
        <w:rPr>
          <w:sz w:val="26"/>
          <w:szCs w:val="26"/>
        </w:rPr>
      </w:pPr>
    </w:p>
    <w:p w14:paraId="4EDF1EEE" w14:textId="5BB5730A" w:rsidR="0079699A" w:rsidRPr="006A631A" w:rsidRDefault="00BD5BBD" w:rsidP="00F510B9">
      <w:pPr>
        <w:widowControl/>
        <w:kinsoku w:val="0"/>
        <w:overflowPunct w:val="0"/>
        <w:spacing w:line="360" w:lineRule="auto"/>
        <w:ind w:right="144" w:firstLine="1440"/>
        <w:textAlignment w:val="baseline"/>
        <w:rPr>
          <w:sz w:val="26"/>
          <w:szCs w:val="26"/>
        </w:rPr>
      </w:pPr>
      <w:r w:rsidRPr="006A631A">
        <w:rPr>
          <w:sz w:val="26"/>
          <w:szCs w:val="26"/>
        </w:rPr>
        <w:t>PGW avers i</w:t>
      </w:r>
      <w:r w:rsidR="0079699A" w:rsidRPr="006A631A">
        <w:rPr>
          <w:sz w:val="26"/>
          <w:szCs w:val="26"/>
        </w:rPr>
        <w:t xml:space="preserve">t should also be noted that the ALJs’ reliance on the testimony of the customers at the public input hearings related to climate change and the effect that fossil fuels have on the environment also cannot serve as a basis to expand Commission jurisdiction when it is not conferred by the Legislature.  </w:t>
      </w:r>
      <w:r w:rsidR="00711085" w:rsidRPr="006A631A">
        <w:rPr>
          <w:sz w:val="26"/>
          <w:szCs w:val="26"/>
        </w:rPr>
        <w:t>According to PGW, a</w:t>
      </w:r>
      <w:r w:rsidR="0079699A" w:rsidRPr="006A631A">
        <w:rPr>
          <w:sz w:val="26"/>
          <w:szCs w:val="26"/>
        </w:rPr>
        <w:t xml:space="preserve">s discussed, </w:t>
      </w:r>
      <w:proofErr w:type="gramStart"/>
      <w:r w:rsidR="0079699A" w:rsidRPr="006A631A">
        <w:rPr>
          <w:sz w:val="26"/>
          <w:szCs w:val="26"/>
        </w:rPr>
        <w:t>it is clear that the</w:t>
      </w:r>
      <w:proofErr w:type="gramEnd"/>
      <w:r w:rsidR="0079699A" w:rsidRPr="006A631A">
        <w:rPr>
          <w:sz w:val="26"/>
          <w:szCs w:val="26"/>
        </w:rPr>
        <w:t xml:space="preserve"> Commission does not have the jurisdiction to order PGW to produce a Climate Business Plan (or any similar plan pertaining to warming climate trends) – period.  </w:t>
      </w:r>
      <w:r w:rsidR="00111F27" w:rsidRPr="006A631A">
        <w:rPr>
          <w:sz w:val="26"/>
          <w:szCs w:val="26"/>
        </w:rPr>
        <w:t>PGW argues t</w:t>
      </w:r>
      <w:r w:rsidR="0079699A" w:rsidRPr="006A631A">
        <w:rPr>
          <w:sz w:val="26"/>
          <w:szCs w:val="26"/>
        </w:rPr>
        <w:t xml:space="preserve">his jurisdictional limitation does not </w:t>
      </w:r>
      <w:r w:rsidR="0079699A" w:rsidRPr="006A631A">
        <w:rPr>
          <w:sz w:val="26"/>
          <w:szCs w:val="26"/>
        </w:rPr>
        <w:lastRenderedPageBreak/>
        <w:t xml:space="preserve">change simply because the directive is to report on climate change response in the context of a base rate </w:t>
      </w:r>
      <w:proofErr w:type="gramStart"/>
      <w:r w:rsidR="0079699A" w:rsidRPr="006A631A">
        <w:rPr>
          <w:sz w:val="26"/>
          <w:szCs w:val="26"/>
        </w:rPr>
        <w:t>case, or</w:t>
      </w:r>
      <w:proofErr w:type="gramEnd"/>
      <w:r w:rsidR="0079699A" w:rsidRPr="006A631A">
        <w:rPr>
          <w:sz w:val="26"/>
          <w:szCs w:val="26"/>
        </w:rPr>
        <w:t xml:space="preserve"> based upon opinions expressed by consumers at the public input hearing.  PGW Exc. at 36.</w:t>
      </w:r>
    </w:p>
    <w:p w14:paraId="60B25E03" w14:textId="77777777" w:rsidR="0079699A" w:rsidRPr="006A631A" w:rsidRDefault="0079699A" w:rsidP="00F510B9">
      <w:pPr>
        <w:widowControl/>
        <w:kinsoku w:val="0"/>
        <w:overflowPunct w:val="0"/>
        <w:spacing w:line="360" w:lineRule="auto"/>
        <w:ind w:right="144" w:firstLine="1440"/>
        <w:textAlignment w:val="baseline"/>
        <w:rPr>
          <w:sz w:val="26"/>
          <w:szCs w:val="26"/>
        </w:rPr>
      </w:pPr>
    </w:p>
    <w:p w14:paraId="35CD72DB" w14:textId="77777777" w:rsidR="0079699A" w:rsidRPr="006A631A" w:rsidRDefault="0079699A" w:rsidP="00F510B9">
      <w:pPr>
        <w:widowControl/>
        <w:kinsoku w:val="0"/>
        <w:overflowPunct w:val="0"/>
        <w:spacing w:line="360" w:lineRule="auto"/>
        <w:ind w:right="72" w:firstLine="1440"/>
        <w:textAlignment w:val="baseline"/>
        <w:rPr>
          <w:sz w:val="26"/>
          <w:szCs w:val="26"/>
        </w:rPr>
      </w:pPr>
      <w:r w:rsidRPr="006A631A">
        <w:rPr>
          <w:sz w:val="26"/>
          <w:szCs w:val="26"/>
        </w:rPr>
        <w:t>PGW requests that the Commission thus reject the recommendation, dismiss the proposals of the Environmental Stakeholders, and grant PGW’s Exceptions.  PGW claims that, if the Commission adopts the ALJs’ recommendation, however, and requires PGW to produce in its next rate case information regarding its planning related to climate change issues, the Commission should make it clear that it will consider this information only to the extent that it has a direct impact on rates or proposals in that case.  PGW Exc. at 37.</w:t>
      </w:r>
    </w:p>
    <w:p w14:paraId="25BC0644" w14:textId="77777777" w:rsidR="0079699A" w:rsidRPr="006A631A" w:rsidRDefault="0079699A" w:rsidP="00F510B9">
      <w:pPr>
        <w:widowControl/>
        <w:kinsoku w:val="0"/>
        <w:overflowPunct w:val="0"/>
        <w:spacing w:line="360" w:lineRule="auto"/>
        <w:ind w:right="72" w:firstLine="1440"/>
        <w:textAlignment w:val="baseline"/>
        <w:rPr>
          <w:sz w:val="26"/>
          <w:szCs w:val="26"/>
        </w:rPr>
      </w:pPr>
    </w:p>
    <w:p w14:paraId="394915DA" w14:textId="22C1ACC8" w:rsidR="0079699A" w:rsidRPr="006A631A" w:rsidRDefault="0079699A" w:rsidP="00F510B9">
      <w:pPr>
        <w:widowControl/>
        <w:kinsoku w:val="0"/>
        <w:overflowPunct w:val="0"/>
        <w:spacing w:line="360" w:lineRule="auto"/>
        <w:ind w:firstLine="1440"/>
        <w:textAlignment w:val="baseline"/>
        <w:rPr>
          <w:sz w:val="26"/>
          <w:szCs w:val="26"/>
        </w:rPr>
      </w:pPr>
      <w:r w:rsidRPr="006A631A">
        <w:rPr>
          <w:sz w:val="26"/>
          <w:szCs w:val="26"/>
        </w:rPr>
        <w:t xml:space="preserve">Finally, PGW contends that the ALJs’ recommendation unfairly imposes a new filing requirement only on PGW.  PGW states that, if the Commission believes that it has the jurisdiction to order utilities to produce information pertaining to climate change as part of their rate case filings, the Commission should impose this requirement in a universal manner through a rulemaking.  PGW asserts that without a universal rulemaking, the Commission is opening the door for the Environmental Stakeholders to continue adjudicating this issue, on a case-by-case </w:t>
      </w:r>
      <w:proofErr w:type="gramStart"/>
      <w:r w:rsidRPr="006A631A">
        <w:rPr>
          <w:sz w:val="26"/>
          <w:szCs w:val="26"/>
        </w:rPr>
        <w:t>basis, before</w:t>
      </w:r>
      <w:proofErr w:type="gramEnd"/>
      <w:r w:rsidRPr="006A631A">
        <w:rPr>
          <w:sz w:val="26"/>
          <w:szCs w:val="26"/>
        </w:rPr>
        <w:t xml:space="preserve"> the Commission. This not only would be a waste of Commission resources, but it would likely result in unfair and inconsistent filing requirements amon</w:t>
      </w:r>
      <w:r w:rsidR="007C6A6B" w:rsidRPr="006A631A">
        <w:rPr>
          <w:sz w:val="26"/>
          <w:szCs w:val="26"/>
        </w:rPr>
        <w:t>gst utilities.  PGW Exc. at 37.</w:t>
      </w:r>
      <w:r w:rsidRPr="006A631A">
        <w:rPr>
          <w:sz w:val="26"/>
          <w:szCs w:val="26"/>
        </w:rPr>
        <w:t xml:space="preserve">  For these additional reasons, PGW requests that the Commission reject the recommendation, dismiss the proposals of the Environmental Stakeholders, and grant PGW’s Exceptions.</w:t>
      </w:r>
    </w:p>
    <w:p w14:paraId="43D81A0C" w14:textId="77777777" w:rsidR="0079699A" w:rsidRPr="006A631A" w:rsidRDefault="0079699A" w:rsidP="00F510B9">
      <w:pPr>
        <w:widowControl/>
        <w:kinsoku w:val="0"/>
        <w:overflowPunct w:val="0"/>
        <w:spacing w:line="360" w:lineRule="auto"/>
        <w:ind w:firstLine="720"/>
        <w:textAlignment w:val="baseline"/>
        <w:rPr>
          <w:sz w:val="26"/>
          <w:szCs w:val="26"/>
        </w:rPr>
      </w:pPr>
    </w:p>
    <w:p w14:paraId="546C0DA2" w14:textId="1F34C228" w:rsidR="0079699A" w:rsidRPr="006A631A" w:rsidRDefault="0079699A" w:rsidP="00F510B9">
      <w:pPr>
        <w:widowControl/>
        <w:kinsoku w:val="0"/>
        <w:overflowPunct w:val="0"/>
        <w:spacing w:line="360" w:lineRule="auto"/>
        <w:ind w:firstLine="1440"/>
        <w:textAlignment w:val="baseline"/>
        <w:rPr>
          <w:sz w:val="26"/>
          <w:szCs w:val="26"/>
        </w:rPr>
      </w:pPr>
      <w:r w:rsidRPr="006A631A">
        <w:rPr>
          <w:sz w:val="26"/>
          <w:szCs w:val="26"/>
        </w:rPr>
        <w:t xml:space="preserve">The Environmental Stakeholders filed Replies to Exceptions, therein asserting that the ALJs’ recommendation is sound and should be upheld.  The Environmental Stakeholders’ basic argument is that the Commission can consider climate issues in the context of a rate proceeding.  They state that PGW’s claims essentially mean that the Commission can approve increases to its revenue requirement based on warming </w:t>
      </w:r>
      <w:r w:rsidRPr="006A631A">
        <w:rPr>
          <w:sz w:val="26"/>
          <w:szCs w:val="26"/>
        </w:rPr>
        <w:lastRenderedPageBreak/>
        <w:t xml:space="preserve">winters and decreased demand, but the Commission is barred from examining the implications of declining demand on the expected value of PGW’s infrastructure investments or stranded asset risks affecting those investments.  The Environmental Stakeholders’ claim that this amounts to a “heads PGW wins/tails the public loses” theory of ratemaking jurisdiction, in which the Commission can always approve rate increases based on climate change, but is jurisdictionally disempowered from investigating the prudency of PGW’s proposed investments in light of climate-related trends or from requiring planning to minimize rate increases.  </w:t>
      </w:r>
      <w:bookmarkStart w:id="53" w:name="_Hlk55304369"/>
      <w:r w:rsidRPr="006A631A">
        <w:rPr>
          <w:sz w:val="26"/>
          <w:szCs w:val="26"/>
        </w:rPr>
        <w:t xml:space="preserve">Environmental Stakeholders </w:t>
      </w:r>
      <w:bookmarkEnd w:id="53"/>
      <w:r w:rsidRPr="006A631A">
        <w:rPr>
          <w:sz w:val="26"/>
          <w:szCs w:val="26"/>
        </w:rPr>
        <w:t>R.</w:t>
      </w:r>
      <w:r w:rsidR="00CB6CF4" w:rsidRPr="006A631A">
        <w:rPr>
          <w:sz w:val="26"/>
          <w:szCs w:val="26"/>
        </w:rPr>
        <w:t xml:space="preserve"> </w:t>
      </w:r>
      <w:r w:rsidRPr="006A631A">
        <w:rPr>
          <w:sz w:val="26"/>
          <w:szCs w:val="26"/>
        </w:rPr>
        <w:t>Exc. at 2.</w:t>
      </w:r>
    </w:p>
    <w:p w14:paraId="5053E06F" w14:textId="77777777" w:rsidR="0079699A" w:rsidRPr="006A631A" w:rsidRDefault="0079699A" w:rsidP="00F510B9">
      <w:pPr>
        <w:widowControl/>
        <w:kinsoku w:val="0"/>
        <w:overflowPunct w:val="0"/>
        <w:spacing w:line="360" w:lineRule="auto"/>
        <w:ind w:firstLine="720"/>
        <w:textAlignment w:val="baseline"/>
        <w:rPr>
          <w:sz w:val="26"/>
          <w:szCs w:val="26"/>
        </w:rPr>
      </w:pPr>
    </w:p>
    <w:p w14:paraId="3CD5E155" w14:textId="5B0B2797" w:rsidR="0079699A" w:rsidRPr="006A631A" w:rsidRDefault="0079699A" w:rsidP="00F510B9">
      <w:pPr>
        <w:widowControl/>
        <w:kinsoku w:val="0"/>
        <w:overflowPunct w:val="0"/>
        <w:spacing w:line="360" w:lineRule="auto"/>
        <w:ind w:right="216" w:firstLine="1440"/>
        <w:textAlignment w:val="baseline"/>
        <w:rPr>
          <w:sz w:val="26"/>
          <w:szCs w:val="26"/>
        </w:rPr>
      </w:pPr>
      <w:r w:rsidRPr="006A631A">
        <w:rPr>
          <w:sz w:val="26"/>
          <w:szCs w:val="26"/>
        </w:rPr>
        <w:t xml:space="preserve">The Environmental Stakeholders claim that PGW simply objects to being asked to provide the Commission information that the Commission needs </w:t>
      </w:r>
      <w:proofErr w:type="gramStart"/>
      <w:r w:rsidRPr="006A631A">
        <w:rPr>
          <w:sz w:val="26"/>
          <w:szCs w:val="26"/>
        </w:rPr>
        <w:t>in order to</w:t>
      </w:r>
      <w:proofErr w:type="gramEnd"/>
      <w:r w:rsidRPr="006A631A">
        <w:rPr>
          <w:sz w:val="26"/>
          <w:szCs w:val="26"/>
        </w:rPr>
        <w:t xml:space="preserve"> evaluate whether PGW is prudently managing the risks climate change poses to its business.  The Environmental Stakeholders claim that it is illogical for PGW to, on the one hand, concede that the Commission can consider an issue, and then, on the other hand, object to providing the Commission information it needs to consider that issue.  The Environmental Stakeholders next claims that PGW accepts that the Commission has jurisdiction to consider the effects of climate change on its operations, and relies on that jurisdiction in order to obtain rate increases based on evidence of warming winter climate trends, but PGW then turns around and tries to claim that it cannot be asked to perform “any responsible, forward-looking planning to minimize the costs of climate change on ratepayers.”  Environmental Stakeholders’ R.</w:t>
      </w:r>
      <w:r w:rsidR="001C4D7F" w:rsidRPr="006A631A">
        <w:rPr>
          <w:sz w:val="26"/>
          <w:szCs w:val="26"/>
        </w:rPr>
        <w:t xml:space="preserve"> </w:t>
      </w:r>
      <w:r w:rsidRPr="006A631A">
        <w:rPr>
          <w:sz w:val="26"/>
          <w:szCs w:val="26"/>
        </w:rPr>
        <w:t xml:space="preserve">Exc. </w:t>
      </w:r>
      <w:r w:rsidR="001C4D7F" w:rsidRPr="006A631A">
        <w:rPr>
          <w:sz w:val="26"/>
          <w:szCs w:val="26"/>
        </w:rPr>
        <w:t>at 8</w:t>
      </w:r>
      <w:r w:rsidRPr="006A631A">
        <w:rPr>
          <w:sz w:val="26"/>
          <w:szCs w:val="26"/>
        </w:rPr>
        <w:t xml:space="preserve">-9.  The Environmental Stakeholders cast this as self-serving behavior representing the “perils of a monopoly business model: PGW, unless ordered by the Commission, will simply continue to raise rates on its captive ratepayers indefinitely, and will not take any action to minimize the need for rate increases unless required to do so.”  </w:t>
      </w:r>
      <w:bookmarkStart w:id="54" w:name="_Hlk55305149"/>
      <w:r w:rsidRPr="006A631A">
        <w:rPr>
          <w:sz w:val="26"/>
          <w:szCs w:val="26"/>
        </w:rPr>
        <w:t>Environmental Stakeholders’ R.</w:t>
      </w:r>
      <w:r w:rsidR="00EC7B0B" w:rsidRPr="006A631A">
        <w:rPr>
          <w:sz w:val="26"/>
          <w:szCs w:val="26"/>
        </w:rPr>
        <w:t xml:space="preserve"> </w:t>
      </w:r>
      <w:r w:rsidRPr="006A631A">
        <w:rPr>
          <w:sz w:val="26"/>
          <w:szCs w:val="26"/>
        </w:rPr>
        <w:t xml:space="preserve">Exc. at 9. </w:t>
      </w:r>
      <w:bookmarkEnd w:id="54"/>
    </w:p>
    <w:p w14:paraId="74326001" w14:textId="77777777" w:rsidR="0079699A" w:rsidRPr="006A631A" w:rsidRDefault="0079699A" w:rsidP="00F510B9">
      <w:pPr>
        <w:widowControl/>
        <w:kinsoku w:val="0"/>
        <w:overflowPunct w:val="0"/>
        <w:spacing w:line="360" w:lineRule="auto"/>
        <w:ind w:right="216"/>
        <w:textAlignment w:val="baseline"/>
        <w:rPr>
          <w:sz w:val="26"/>
          <w:szCs w:val="26"/>
        </w:rPr>
      </w:pPr>
    </w:p>
    <w:p w14:paraId="4B99F64E" w14:textId="252854AB" w:rsidR="0079699A" w:rsidRPr="006A631A" w:rsidRDefault="0079699A" w:rsidP="00F510B9">
      <w:pPr>
        <w:widowControl/>
        <w:kinsoku w:val="0"/>
        <w:overflowPunct w:val="0"/>
        <w:spacing w:line="360" w:lineRule="auto"/>
        <w:ind w:right="216" w:firstLine="1440"/>
        <w:textAlignment w:val="baseline"/>
        <w:rPr>
          <w:sz w:val="26"/>
          <w:szCs w:val="26"/>
        </w:rPr>
      </w:pPr>
      <w:r w:rsidRPr="006A631A">
        <w:rPr>
          <w:sz w:val="26"/>
          <w:szCs w:val="26"/>
        </w:rPr>
        <w:lastRenderedPageBreak/>
        <w:t xml:space="preserve">The Environmental Stakeholders next state that the ALJs found that the Commission does have jurisdiction to consider environmental issues that affect the justness and reasonableness of PGW’s proposed rates, including the prudence and expected value of PGW’s proposed infrastructure investments. </w:t>
      </w:r>
      <w:r w:rsidR="00350B11" w:rsidRPr="006A631A">
        <w:rPr>
          <w:sz w:val="26"/>
          <w:szCs w:val="26"/>
        </w:rPr>
        <w:t xml:space="preserve"> </w:t>
      </w:r>
      <w:r w:rsidRPr="006A631A">
        <w:rPr>
          <w:sz w:val="26"/>
          <w:szCs w:val="26"/>
        </w:rPr>
        <w:t xml:space="preserve">Noting the ALJs’ finding that PGW itself has acknowledged the jurisdiction of the Commission to consider warming climate trends in determining whether a rate increase proposed by PGW is reasonable, the Environmental Stakeholders find the ALJs’ recommendation sound.  </w:t>
      </w:r>
      <w:bookmarkStart w:id="55" w:name="_Hlk55306208"/>
      <w:r w:rsidRPr="006A631A">
        <w:rPr>
          <w:sz w:val="26"/>
          <w:szCs w:val="26"/>
        </w:rPr>
        <w:t>Environmental Stakeholders’ R.</w:t>
      </w:r>
      <w:r w:rsidR="0068715A" w:rsidRPr="006A631A">
        <w:rPr>
          <w:sz w:val="26"/>
          <w:szCs w:val="26"/>
        </w:rPr>
        <w:t xml:space="preserve"> </w:t>
      </w:r>
      <w:r w:rsidRPr="006A631A">
        <w:rPr>
          <w:sz w:val="26"/>
          <w:szCs w:val="26"/>
        </w:rPr>
        <w:t>Exc. at 10.</w:t>
      </w:r>
    </w:p>
    <w:bookmarkEnd w:id="55"/>
    <w:p w14:paraId="6C8AF68F" w14:textId="77777777" w:rsidR="0079699A" w:rsidRPr="006A631A" w:rsidRDefault="0079699A" w:rsidP="00F510B9">
      <w:pPr>
        <w:widowControl/>
        <w:kinsoku w:val="0"/>
        <w:overflowPunct w:val="0"/>
        <w:spacing w:line="360" w:lineRule="auto"/>
        <w:ind w:right="72" w:firstLine="1440"/>
        <w:textAlignment w:val="baseline"/>
        <w:rPr>
          <w:sz w:val="26"/>
          <w:szCs w:val="26"/>
        </w:rPr>
      </w:pPr>
    </w:p>
    <w:p w14:paraId="2A21BF31" w14:textId="69A95A1A" w:rsidR="0079699A" w:rsidRPr="006A631A" w:rsidRDefault="00AC6BDC" w:rsidP="00F510B9">
      <w:pPr>
        <w:widowControl/>
        <w:kinsoku w:val="0"/>
        <w:overflowPunct w:val="0"/>
        <w:spacing w:line="360" w:lineRule="auto"/>
        <w:ind w:right="72" w:firstLine="1440"/>
        <w:textAlignment w:val="baseline"/>
        <w:rPr>
          <w:sz w:val="26"/>
          <w:szCs w:val="26"/>
        </w:rPr>
      </w:pPr>
      <w:r w:rsidRPr="006A631A">
        <w:rPr>
          <w:sz w:val="26"/>
          <w:szCs w:val="26"/>
        </w:rPr>
        <w:t xml:space="preserve">According to the </w:t>
      </w:r>
      <w:r w:rsidR="00116D4B" w:rsidRPr="006A631A">
        <w:rPr>
          <w:sz w:val="26"/>
          <w:szCs w:val="26"/>
        </w:rPr>
        <w:t xml:space="preserve">Environmental </w:t>
      </w:r>
      <w:r w:rsidR="007A258E" w:rsidRPr="006A631A">
        <w:rPr>
          <w:sz w:val="26"/>
          <w:szCs w:val="26"/>
        </w:rPr>
        <w:t>Stakeholders, e</w:t>
      </w:r>
      <w:r w:rsidR="0079699A" w:rsidRPr="006A631A">
        <w:rPr>
          <w:sz w:val="26"/>
          <w:szCs w:val="26"/>
        </w:rPr>
        <w:t xml:space="preserve">xamination of the relevant statutory provisions makes clear that the Commission has authority to consider matters affecting the justness and reasonableness of proposed rates, including the quality and efficiency of a utility’s management practices and the prudence of its investments.  Significantly, none of the above-discussed statutory provisions contain any carve-outs or exceptions for environmental matters or any other issue area. </w:t>
      </w:r>
    </w:p>
    <w:p w14:paraId="6BB07C5C" w14:textId="77777777" w:rsidR="0079699A" w:rsidRPr="006A631A" w:rsidRDefault="0079699A" w:rsidP="00F510B9">
      <w:pPr>
        <w:widowControl/>
        <w:kinsoku w:val="0"/>
        <w:overflowPunct w:val="0"/>
        <w:spacing w:line="360" w:lineRule="auto"/>
        <w:ind w:right="72"/>
        <w:textAlignment w:val="baseline"/>
        <w:rPr>
          <w:sz w:val="26"/>
          <w:szCs w:val="26"/>
        </w:rPr>
      </w:pPr>
    </w:p>
    <w:p w14:paraId="6C9FD326" w14:textId="1F7C0940" w:rsidR="0079699A" w:rsidRPr="006A631A" w:rsidRDefault="007A258E" w:rsidP="00F510B9">
      <w:pPr>
        <w:widowControl/>
        <w:kinsoku w:val="0"/>
        <w:overflowPunct w:val="0"/>
        <w:spacing w:line="360" w:lineRule="auto"/>
        <w:ind w:right="72" w:firstLine="1440"/>
        <w:textAlignment w:val="baseline"/>
        <w:rPr>
          <w:sz w:val="26"/>
          <w:szCs w:val="26"/>
          <w:vertAlign w:val="superscript"/>
        </w:rPr>
      </w:pPr>
      <w:r w:rsidRPr="006A631A">
        <w:rPr>
          <w:sz w:val="26"/>
          <w:szCs w:val="26"/>
        </w:rPr>
        <w:t>The Environmental Stakeholders further note that t</w:t>
      </w:r>
      <w:r w:rsidR="0079699A" w:rsidRPr="006A631A">
        <w:rPr>
          <w:sz w:val="26"/>
          <w:szCs w:val="26"/>
        </w:rPr>
        <w:t>he statutory framework is clear— the Commission has jurisdiction to consider evidence on matters that affect the justness and reasonableness of rates, regardless of the issue area those matters arise in.  As a starting point, Section 1301 of the Code provides the Commission with the authority to investigate all general rate increase filings to ensure that “[e]very rate made, demanded, or received by any public utility . . . shall be just and reasonable, and in conformity with [the] regulations or orders of the commission.”</w:t>
      </w:r>
      <w:r w:rsidR="009A0B39" w:rsidRPr="006A631A">
        <w:rPr>
          <w:sz w:val="26"/>
          <w:szCs w:val="26"/>
        </w:rPr>
        <w:t xml:space="preserve"> </w:t>
      </w:r>
    </w:p>
    <w:p w14:paraId="4A745137" w14:textId="77777777" w:rsidR="0079699A" w:rsidRPr="006A631A" w:rsidRDefault="0079699A" w:rsidP="00F510B9">
      <w:pPr>
        <w:widowControl/>
        <w:kinsoku w:val="0"/>
        <w:overflowPunct w:val="0"/>
        <w:spacing w:line="360" w:lineRule="auto"/>
        <w:ind w:right="72" w:firstLine="1440"/>
        <w:textAlignment w:val="baseline"/>
        <w:rPr>
          <w:sz w:val="26"/>
          <w:szCs w:val="26"/>
        </w:rPr>
      </w:pPr>
    </w:p>
    <w:p w14:paraId="6B5C80EC" w14:textId="46E8FA57" w:rsidR="0079699A" w:rsidRPr="006A631A" w:rsidRDefault="009A0B39" w:rsidP="00F510B9">
      <w:pPr>
        <w:widowControl/>
        <w:kinsoku w:val="0"/>
        <w:overflowPunct w:val="0"/>
        <w:spacing w:line="360" w:lineRule="auto"/>
        <w:ind w:right="72" w:firstLine="1440"/>
        <w:textAlignment w:val="baseline"/>
        <w:rPr>
          <w:sz w:val="26"/>
          <w:szCs w:val="26"/>
          <w:vertAlign w:val="superscript"/>
        </w:rPr>
      </w:pPr>
      <w:r w:rsidRPr="006A631A">
        <w:rPr>
          <w:sz w:val="26"/>
          <w:szCs w:val="26"/>
        </w:rPr>
        <w:t xml:space="preserve">The </w:t>
      </w:r>
      <w:r w:rsidR="00116D4B" w:rsidRPr="006A631A">
        <w:rPr>
          <w:sz w:val="26"/>
          <w:szCs w:val="26"/>
        </w:rPr>
        <w:t xml:space="preserve">Environmental </w:t>
      </w:r>
      <w:r w:rsidRPr="006A631A">
        <w:rPr>
          <w:sz w:val="26"/>
          <w:szCs w:val="26"/>
        </w:rPr>
        <w:t>Stakeholders argue</w:t>
      </w:r>
      <w:r w:rsidR="00116D4B" w:rsidRPr="006A631A">
        <w:rPr>
          <w:sz w:val="26"/>
          <w:szCs w:val="26"/>
        </w:rPr>
        <w:t xml:space="preserve"> that </w:t>
      </w:r>
      <w:r w:rsidR="0079699A" w:rsidRPr="006A631A">
        <w:rPr>
          <w:sz w:val="26"/>
          <w:szCs w:val="26"/>
        </w:rPr>
        <w:t xml:space="preserve">Section 523 of the Code provides guidance on factors the Commission needs to consider in determining whether proposed rates are just and reasonable under Section 1301, including a utility’s “efficiency, effectiveness and adequacy of service” and an electric or gas utility’s </w:t>
      </w:r>
      <w:r w:rsidR="0079699A" w:rsidRPr="006A631A">
        <w:rPr>
          <w:sz w:val="26"/>
          <w:szCs w:val="26"/>
        </w:rPr>
        <w:lastRenderedPageBreak/>
        <w:t>“[a]ction or failure to act to encourage development of cost-effective energy supply alternatives such as conservation or load management[.]”</w:t>
      </w:r>
      <w:r w:rsidR="00B4430D" w:rsidRPr="006A631A">
        <w:rPr>
          <w:sz w:val="26"/>
          <w:szCs w:val="26"/>
        </w:rPr>
        <w:t xml:space="preserve"> </w:t>
      </w:r>
    </w:p>
    <w:p w14:paraId="56CAC4AF" w14:textId="77777777" w:rsidR="0079699A" w:rsidRPr="006A631A" w:rsidRDefault="0079699A" w:rsidP="00F510B9">
      <w:pPr>
        <w:widowControl/>
        <w:kinsoku w:val="0"/>
        <w:overflowPunct w:val="0"/>
        <w:spacing w:line="360" w:lineRule="auto"/>
        <w:ind w:right="72" w:firstLine="1440"/>
        <w:textAlignment w:val="baseline"/>
        <w:rPr>
          <w:sz w:val="26"/>
          <w:szCs w:val="26"/>
        </w:rPr>
      </w:pPr>
    </w:p>
    <w:p w14:paraId="3BE85D98" w14:textId="5C61DAB9" w:rsidR="0079699A" w:rsidRPr="006A631A" w:rsidRDefault="00B4430D" w:rsidP="00F510B9">
      <w:pPr>
        <w:widowControl/>
        <w:kinsoku w:val="0"/>
        <w:overflowPunct w:val="0"/>
        <w:spacing w:line="360" w:lineRule="auto"/>
        <w:ind w:firstLine="1440"/>
        <w:textAlignment w:val="baseline"/>
        <w:rPr>
          <w:sz w:val="26"/>
          <w:szCs w:val="26"/>
          <w:vertAlign w:val="superscript"/>
        </w:rPr>
      </w:pPr>
      <w:r w:rsidRPr="006A631A">
        <w:rPr>
          <w:sz w:val="26"/>
          <w:szCs w:val="26"/>
        </w:rPr>
        <w:t xml:space="preserve">The </w:t>
      </w:r>
      <w:r w:rsidR="00116D4B" w:rsidRPr="006A631A">
        <w:rPr>
          <w:sz w:val="26"/>
          <w:szCs w:val="26"/>
        </w:rPr>
        <w:t xml:space="preserve">Environmental </w:t>
      </w:r>
      <w:r w:rsidRPr="006A631A">
        <w:rPr>
          <w:sz w:val="26"/>
          <w:szCs w:val="26"/>
        </w:rPr>
        <w:t>Stakeholders assert that t</w:t>
      </w:r>
      <w:r w:rsidR="0079699A" w:rsidRPr="006A631A">
        <w:rPr>
          <w:sz w:val="26"/>
          <w:szCs w:val="26"/>
        </w:rPr>
        <w:t xml:space="preserve">he Commission’s </w:t>
      </w:r>
      <w:r w:rsidRPr="006A631A">
        <w:rPr>
          <w:sz w:val="26"/>
          <w:szCs w:val="26"/>
        </w:rPr>
        <w:t>R</w:t>
      </w:r>
      <w:r w:rsidR="0079699A" w:rsidRPr="006A631A">
        <w:rPr>
          <w:sz w:val="26"/>
          <w:szCs w:val="26"/>
        </w:rPr>
        <w:t xml:space="preserve">egulations provide further detail on how Section 1301’s requirement of just and reasonable rates is to be assessed for PGW specifically. </w:t>
      </w:r>
      <w:r w:rsidR="00824F40" w:rsidRPr="006A631A">
        <w:rPr>
          <w:sz w:val="26"/>
          <w:szCs w:val="26"/>
        </w:rPr>
        <w:t xml:space="preserve"> </w:t>
      </w:r>
      <w:r w:rsidR="0079699A" w:rsidRPr="006A631A">
        <w:rPr>
          <w:sz w:val="26"/>
          <w:szCs w:val="26"/>
        </w:rPr>
        <w:t>Notably, the quality of PGW’s management is a central criterion.  As the relevant regulation provides, “[i]n determining just and reasonable rate levels for PGW, the Commission will consider, among other relevant factors...PGW’s management quality, efficiency and effectiveness.”</w:t>
      </w:r>
      <w:r w:rsidR="00403D22" w:rsidRPr="006A631A">
        <w:rPr>
          <w:sz w:val="26"/>
          <w:szCs w:val="26"/>
        </w:rPr>
        <w:t xml:space="preserve">  Environmental Stakeholders’ R. Exc. at 11, FN 40 citing 52 Pa. Code § 69.2703(a)(6). </w:t>
      </w:r>
      <w:r w:rsidR="00824F40" w:rsidRPr="006A631A">
        <w:rPr>
          <w:sz w:val="26"/>
          <w:szCs w:val="26"/>
        </w:rPr>
        <w:t xml:space="preserve"> </w:t>
      </w:r>
    </w:p>
    <w:p w14:paraId="5C5B58E6" w14:textId="77777777" w:rsidR="0079699A" w:rsidRPr="006A631A" w:rsidRDefault="0079699A" w:rsidP="00F510B9">
      <w:pPr>
        <w:widowControl/>
        <w:kinsoku w:val="0"/>
        <w:overflowPunct w:val="0"/>
        <w:spacing w:line="360" w:lineRule="auto"/>
        <w:ind w:firstLine="720"/>
        <w:textAlignment w:val="baseline"/>
        <w:rPr>
          <w:sz w:val="26"/>
          <w:szCs w:val="26"/>
        </w:rPr>
      </w:pPr>
    </w:p>
    <w:p w14:paraId="376E50BD" w14:textId="398F3D9E" w:rsidR="0079699A" w:rsidRPr="006A631A" w:rsidRDefault="0079699A" w:rsidP="00F510B9">
      <w:pPr>
        <w:widowControl/>
        <w:kinsoku w:val="0"/>
        <w:overflowPunct w:val="0"/>
        <w:spacing w:line="360" w:lineRule="auto"/>
        <w:ind w:right="216" w:firstLine="1440"/>
        <w:textAlignment w:val="baseline"/>
        <w:rPr>
          <w:sz w:val="26"/>
          <w:szCs w:val="26"/>
        </w:rPr>
      </w:pPr>
      <w:r w:rsidRPr="006A631A">
        <w:rPr>
          <w:sz w:val="26"/>
          <w:szCs w:val="26"/>
        </w:rPr>
        <w:t>Finally, Section 1501 of the Public Utility Code provides the Commission with the authority to ensure that public utilities “furnish and maintain adequate, efficient, safe, and reasonable service and facilities, and shall make all such repairs, changes, alterations, substitutions, extensions, and improvements in or to such service and facilities as shall be necessary or proper.  Environmental Stakeholders’ R.</w:t>
      </w:r>
      <w:r w:rsidR="004C6029" w:rsidRPr="006A631A">
        <w:rPr>
          <w:sz w:val="26"/>
          <w:szCs w:val="26"/>
        </w:rPr>
        <w:t> </w:t>
      </w:r>
      <w:r w:rsidRPr="006A631A">
        <w:rPr>
          <w:sz w:val="26"/>
          <w:szCs w:val="26"/>
        </w:rPr>
        <w:t>Exc. at 10-11.</w:t>
      </w:r>
    </w:p>
    <w:p w14:paraId="1E1C2CB1" w14:textId="77777777" w:rsidR="0079699A" w:rsidRPr="006A631A" w:rsidRDefault="0079699A" w:rsidP="00F510B9">
      <w:pPr>
        <w:widowControl/>
        <w:kinsoku w:val="0"/>
        <w:overflowPunct w:val="0"/>
        <w:spacing w:line="360" w:lineRule="auto"/>
        <w:ind w:right="216" w:firstLine="1440"/>
        <w:textAlignment w:val="baseline"/>
        <w:rPr>
          <w:sz w:val="26"/>
          <w:szCs w:val="26"/>
        </w:rPr>
      </w:pPr>
    </w:p>
    <w:p w14:paraId="39EB4776" w14:textId="72B21B99" w:rsidR="0079699A" w:rsidRPr="006A631A" w:rsidRDefault="0079699A" w:rsidP="00F510B9">
      <w:pPr>
        <w:widowControl/>
        <w:kinsoku w:val="0"/>
        <w:overflowPunct w:val="0"/>
        <w:spacing w:line="360" w:lineRule="auto"/>
        <w:ind w:right="144" w:firstLine="1440"/>
        <w:textAlignment w:val="baseline"/>
        <w:rPr>
          <w:sz w:val="26"/>
          <w:szCs w:val="26"/>
        </w:rPr>
      </w:pPr>
      <w:r w:rsidRPr="006A631A">
        <w:rPr>
          <w:sz w:val="26"/>
          <w:szCs w:val="26"/>
        </w:rPr>
        <w:t>In addition to citing the enabling statute and regulations, the Environmental Stakeholders assert that case law precedent is clear that the Commission can consider evidence relevant to rate matters even if that evidence relates to a domain that the Commi</w:t>
      </w:r>
      <w:r w:rsidR="007C6A6B" w:rsidRPr="006A631A">
        <w:rPr>
          <w:sz w:val="26"/>
          <w:szCs w:val="26"/>
        </w:rPr>
        <w:t>ssion does not itself regulate.</w:t>
      </w:r>
      <w:r w:rsidRPr="006A631A">
        <w:rPr>
          <w:sz w:val="26"/>
          <w:szCs w:val="26"/>
        </w:rPr>
        <w:t xml:space="preserve">  They claim that it has been well-settled for decades that the Commission has jurisdiction to consider environmental matters that are relevant to evaluating a utility’s proposed rates, even though the Commission does not itself issue or enforce environmental regulations.  They assert that, in the context of natural gas utilities, the Commission has frequently considered matters relating to environmental remediation plans and expenditures </w:t>
      </w:r>
      <w:proofErr w:type="gramStart"/>
      <w:r w:rsidRPr="006A631A">
        <w:rPr>
          <w:sz w:val="26"/>
          <w:szCs w:val="26"/>
        </w:rPr>
        <w:t>in order to</w:t>
      </w:r>
      <w:proofErr w:type="gramEnd"/>
      <w:r w:rsidRPr="006A631A">
        <w:rPr>
          <w:sz w:val="26"/>
          <w:szCs w:val="26"/>
        </w:rPr>
        <w:t xml:space="preserve"> determine if a utility’s proposed rates are just and reasonable.</w:t>
      </w:r>
      <w:r w:rsidR="00D17724" w:rsidRPr="006A631A">
        <w:rPr>
          <w:sz w:val="26"/>
          <w:szCs w:val="26"/>
          <w:vertAlign w:val="superscript"/>
        </w:rPr>
        <w:t xml:space="preserve">  </w:t>
      </w:r>
      <w:r w:rsidRPr="006A631A">
        <w:rPr>
          <w:sz w:val="26"/>
          <w:szCs w:val="26"/>
        </w:rPr>
        <w:t xml:space="preserve">In other contexts, the Commission has </w:t>
      </w:r>
      <w:r w:rsidRPr="006A631A">
        <w:rPr>
          <w:sz w:val="26"/>
          <w:szCs w:val="26"/>
        </w:rPr>
        <w:lastRenderedPageBreak/>
        <w:t>considered matters relating to the prudence and recoverability of pollution control expenditures.</w:t>
      </w:r>
      <w:r w:rsidR="0009583C" w:rsidRPr="006A631A">
        <w:rPr>
          <w:sz w:val="26"/>
          <w:szCs w:val="26"/>
        </w:rPr>
        <w:t xml:space="preserve">  Environmental Stakeholders</w:t>
      </w:r>
      <w:r w:rsidR="00EF497D" w:rsidRPr="006A631A">
        <w:rPr>
          <w:sz w:val="26"/>
          <w:szCs w:val="26"/>
        </w:rPr>
        <w:t>’</w:t>
      </w:r>
      <w:r w:rsidR="0009583C" w:rsidRPr="006A631A">
        <w:rPr>
          <w:sz w:val="26"/>
          <w:szCs w:val="26"/>
        </w:rPr>
        <w:t xml:space="preserve"> R. Exc. at 12.</w:t>
      </w:r>
    </w:p>
    <w:p w14:paraId="12214672" w14:textId="77777777" w:rsidR="0079699A" w:rsidRPr="006A631A" w:rsidRDefault="0079699A" w:rsidP="00F510B9">
      <w:pPr>
        <w:widowControl/>
        <w:kinsoku w:val="0"/>
        <w:overflowPunct w:val="0"/>
        <w:spacing w:line="360" w:lineRule="auto"/>
        <w:ind w:right="72" w:firstLine="1440"/>
        <w:textAlignment w:val="baseline"/>
        <w:rPr>
          <w:sz w:val="26"/>
          <w:szCs w:val="26"/>
        </w:rPr>
      </w:pPr>
    </w:p>
    <w:p w14:paraId="21984F52" w14:textId="414266E5" w:rsidR="0079699A" w:rsidRPr="006A631A" w:rsidRDefault="0079699A" w:rsidP="00F510B9">
      <w:pPr>
        <w:widowControl/>
        <w:kinsoku w:val="0"/>
        <w:overflowPunct w:val="0"/>
        <w:spacing w:line="360" w:lineRule="auto"/>
        <w:ind w:firstLine="1440"/>
        <w:textAlignment w:val="baseline"/>
        <w:rPr>
          <w:sz w:val="26"/>
          <w:szCs w:val="26"/>
        </w:rPr>
      </w:pPr>
      <w:r w:rsidRPr="006A631A">
        <w:rPr>
          <w:sz w:val="26"/>
          <w:szCs w:val="26"/>
        </w:rPr>
        <w:t>According to the Environmental Stakeholders, the ALJs’ conclusion about appropriate consideration of climate factors in determining whether a rate increase is just and reasonable does not represent a new development, but rather confirmation of a decades-long chain of precedent.</w:t>
      </w:r>
      <w:r w:rsidR="006F2616" w:rsidRPr="006A631A">
        <w:rPr>
          <w:sz w:val="26"/>
          <w:szCs w:val="26"/>
        </w:rPr>
        <w:t xml:space="preserve">  </w:t>
      </w:r>
      <w:r w:rsidR="006F2616" w:rsidRPr="006A631A">
        <w:rPr>
          <w:i/>
          <w:iCs/>
          <w:sz w:val="26"/>
          <w:szCs w:val="26"/>
        </w:rPr>
        <w:t>Id.</w:t>
      </w:r>
      <w:r w:rsidR="006F2616" w:rsidRPr="006A631A">
        <w:rPr>
          <w:sz w:val="26"/>
          <w:szCs w:val="26"/>
        </w:rPr>
        <w:t xml:space="preserve"> at 12-13.</w:t>
      </w:r>
    </w:p>
    <w:p w14:paraId="6B27B056" w14:textId="77777777" w:rsidR="0079699A" w:rsidRPr="006A631A" w:rsidRDefault="0079699A" w:rsidP="00F510B9">
      <w:pPr>
        <w:widowControl/>
        <w:kinsoku w:val="0"/>
        <w:overflowPunct w:val="0"/>
        <w:spacing w:line="360" w:lineRule="auto"/>
        <w:ind w:firstLine="1440"/>
        <w:textAlignment w:val="baseline"/>
        <w:rPr>
          <w:sz w:val="26"/>
          <w:szCs w:val="26"/>
        </w:rPr>
      </w:pPr>
    </w:p>
    <w:p w14:paraId="6CA4D23E" w14:textId="68EBE01B" w:rsidR="0079699A" w:rsidRPr="006A631A" w:rsidRDefault="0079699A" w:rsidP="00F510B9">
      <w:pPr>
        <w:widowControl/>
        <w:kinsoku w:val="0"/>
        <w:overflowPunct w:val="0"/>
        <w:spacing w:line="360" w:lineRule="auto"/>
        <w:ind w:right="72" w:firstLine="1440"/>
        <w:textAlignment w:val="baseline"/>
        <w:rPr>
          <w:sz w:val="26"/>
          <w:szCs w:val="26"/>
        </w:rPr>
      </w:pPr>
      <w:r w:rsidRPr="006A631A">
        <w:rPr>
          <w:sz w:val="26"/>
          <w:szCs w:val="26"/>
        </w:rPr>
        <w:t xml:space="preserve">More broadly, it is also well-settled that the Commission can consider evidence relating to the justness and reasonableness of a utility’s rates from other contexts that the Commission does not itself regulate.  As such, the Commission hears and considers evidence on the reasonableness of PGW’s salaries, bonuses, and health insurance, </w:t>
      </w:r>
      <w:proofErr w:type="gramStart"/>
      <w:r w:rsidRPr="006A631A">
        <w:rPr>
          <w:sz w:val="26"/>
          <w:szCs w:val="26"/>
        </w:rPr>
        <w:t>despite the fact that</w:t>
      </w:r>
      <w:proofErr w:type="gramEnd"/>
      <w:r w:rsidRPr="006A631A">
        <w:rPr>
          <w:sz w:val="26"/>
          <w:szCs w:val="26"/>
        </w:rPr>
        <w:t xml:space="preserve"> the Commission has no jurisdiction to regulate labor markets, bonus plans, or health insurance.  As an additional example, the Commission has jurisdiction to conclude that negotiable instruments do not constitute reasonable payment under the Public Utility Code even though it does not administer the Uniform Commercial Code.  Environmental Stakeholders’ R.</w:t>
      </w:r>
      <w:r w:rsidR="00DA6B3D" w:rsidRPr="006A631A">
        <w:rPr>
          <w:sz w:val="26"/>
          <w:szCs w:val="26"/>
        </w:rPr>
        <w:t xml:space="preserve"> </w:t>
      </w:r>
      <w:r w:rsidRPr="006A631A">
        <w:rPr>
          <w:sz w:val="26"/>
          <w:szCs w:val="26"/>
        </w:rPr>
        <w:t>Exc. at 13.</w:t>
      </w:r>
    </w:p>
    <w:p w14:paraId="0A22903C" w14:textId="77777777" w:rsidR="0079699A" w:rsidRPr="006A631A" w:rsidRDefault="0079699A" w:rsidP="00F510B9">
      <w:pPr>
        <w:widowControl/>
        <w:kinsoku w:val="0"/>
        <w:overflowPunct w:val="0"/>
        <w:spacing w:line="360" w:lineRule="auto"/>
        <w:ind w:right="216" w:firstLine="1440"/>
        <w:textAlignment w:val="baseline"/>
        <w:rPr>
          <w:sz w:val="26"/>
          <w:szCs w:val="26"/>
        </w:rPr>
      </w:pPr>
    </w:p>
    <w:p w14:paraId="6B03FD13" w14:textId="06626E75" w:rsidR="0079699A" w:rsidRPr="006A631A" w:rsidRDefault="0079699A" w:rsidP="00F510B9">
      <w:pPr>
        <w:widowControl/>
        <w:kinsoku w:val="0"/>
        <w:overflowPunct w:val="0"/>
        <w:spacing w:line="360" w:lineRule="auto"/>
        <w:ind w:right="144" w:firstLine="1440"/>
        <w:textAlignment w:val="baseline"/>
        <w:rPr>
          <w:sz w:val="26"/>
          <w:szCs w:val="26"/>
        </w:rPr>
      </w:pPr>
      <w:r w:rsidRPr="006A631A">
        <w:rPr>
          <w:sz w:val="26"/>
          <w:szCs w:val="26"/>
        </w:rPr>
        <w:t>The Environmental Stakeholders assert that the ALJs have not recommended that PGW submit a report on climate change that is untethered to a rate case claim or issue.  Instead, the ALJs explicitly stated that PGW should include “in its next rate increase request” information on how climate change may affect the prudence of the expenditures described therein.  Environmental Stakeholders’ R.</w:t>
      </w:r>
      <w:r w:rsidR="00EF497D" w:rsidRPr="006A631A">
        <w:rPr>
          <w:sz w:val="26"/>
          <w:szCs w:val="26"/>
        </w:rPr>
        <w:t xml:space="preserve"> </w:t>
      </w:r>
      <w:r w:rsidRPr="006A631A">
        <w:rPr>
          <w:sz w:val="26"/>
          <w:szCs w:val="26"/>
        </w:rPr>
        <w:t>Exc. at 19.</w:t>
      </w:r>
    </w:p>
    <w:p w14:paraId="1921C862" w14:textId="77777777" w:rsidR="0018520B" w:rsidRPr="006A631A" w:rsidRDefault="0018520B" w:rsidP="00F510B9">
      <w:pPr>
        <w:widowControl/>
        <w:kinsoku w:val="0"/>
        <w:overflowPunct w:val="0"/>
        <w:spacing w:line="360" w:lineRule="auto"/>
        <w:ind w:right="144" w:firstLine="1440"/>
        <w:textAlignment w:val="baseline"/>
        <w:rPr>
          <w:sz w:val="26"/>
          <w:szCs w:val="26"/>
        </w:rPr>
      </w:pPr>
    </w:p>
    <w:p w14:paraId="1310B359" w14:textId="2367FB77" w:rsidR="0079699A" w:rsidRPr="006A631A" w:rsidRDefault="0079699A" w:rsidP="00F510B9">
      <w:pPr>
        <w:widowControl/>
        <w:spacing w:line="360" w:lineRule="auto"/>
        <w:ind w:firstLine="1440"/>
        <w:rPr>
          <w:sz w:val="26"/>
          <w:szCs w:val="26"/>
        </w:rPr>
      </w:pPr>
      <w:bookmarkStart w:id="56" w:name="_Hlk55307385"/>
      <w:r w:rsidRPr="006A631A">
        <w:rPr>
          <w:sz w:val="26"/>
          <w:szCs w:val="26"/>
        </w:rPr>
        <w:t xml:space="preserve">The Environmental Stakeholders </w:t>
      </w:r>
      <w:bookmarkEnd w:id="56"/>
      <w:r w:rsidRPr="006A631A">
        <w:rPr>
          <w:sz w:val="26"/>
          <w:szCs w:val="26"/>
        </w:rPr>
        <w:t xml:space="preserve">respond to PGW’s assertion that a rulemaking proceeding is the appropriate forum to consider whether to establish climate change plan filing requirements in rate cases, by claiming that the ALJs were simply identifying and filling a “gap in the record” of this rate case proceeding.  According to the Environmental Stakeholders, the ALJs reasonably found that, based on the record, </w:t>
      </w:r>
      <w:r w:rsidRPr="006A631A">
        <w:rPr>
          <w:sz w:val="26"/>
          <w:szCs w:val="26"/>
        </w:rPr>
        <w:lastRenderedPageBreak/>
        <w:t>PGW had failed to evaluate the impacts of climate change on its business operations, particularly the impacts of declining winter demand on its infrastructure needs and the stranded asset risks posed to infrastructure investments with payback periods extending past 2050.</w:t>
      </w:r>
      <w:r w:rsidR="007C6A6B" w:rsidRPr="006A631A">
        <w:rPr>
          <w:sz w:val="26"/>
          <w:szCs w:val="26"/>
        </w:rPr>
        <w:t xml:space="preserve"> </w:t>
      </w:r>
      <w:r w:rsidRPr="006A631A">
        <w:rPr>
          <w:sz w:val="26"/>
          <w:szCs w:val="26"/>
        </w:rPr>
        <w:t xml:space="preserve"> The Environmental Stakeholders assert that the natural and appropriate remedy is to order PGW to fill this gap, to provide the Commission with the information necessary evaluate PGW’s proposed investments and there is nothing unfair about requiring it.  </w:t>
      </w:r>
      <w:bookmarkStart w:id="57" w:name="_Hlk55307657"/>
      <w:r w:rsidRPr="006A631A">
        <w:rPr>
          <w:sz w:val="26"/>
          <w:szCs w:val="26"/>
        </w:rPr>
        <w:t>Environmental Stakeholders’ R.</w:t>
      </w:r>
      <w:r w:rsidR="004D215D" w:rsidRPr="006A631A">
        <w:rPr>
          <w:sz w:val="26"/>
          <w:szCs w:val="26"/>
        </w:rPr>
        <w:t xml:space="preserve"> </w:t>
      </w:r>
      <w:r w:rsidRPr="006A631A">
        <w:rPr>
          <w:sz w:val="26"/>
          <w:szCs w:val="26"/>
        </w:rPr>
        <w:t>Exc. at 23.</w:t>
      </w:r>
      <w:bookmarkEnd w:id="57"/>
    </w:p>
    <w:p w14:paraId="02BD111D" w14:textId="77777777" w:rsidR="0079699A" w:rsidRPr="006A631A" w:rsidRDefault="0079699A" w:rsidP="00F510B9">
      <w:pPr>
        <w:keepNext/>
        <w:keepLines/>
        <w:widowControl/>
        <w:spacing w:line="360" w:lineRule="auto"/>
        <w:ind w:firstLine="1440"/>
        <w:rPr>
          <w:sz w:val="26"/>
          <w:szCs w:val="26"/>
        </w:rPr>
      </w:pPr>
    </w:p>
    <w:p w14:paraId="2A46265B" w14:textId="04A95821" w:rsidR="0079699A" w:rsidRPr="006A631A" w:rsidRDefault="0079699A" w:rsidP="00602DFB">
      <w:pPr>
        <w:keepLines/>
        <w:widowControl/>
        <w:spacing w:line="360" w:lineRule="auto"/>
        <w:ind w:firstLine="1440"/>
        <w:rPr>
          <w:sz w:val="26"/>
          <w:szCs w:val="26"/>
        </w:rPr>
      </w:pPr>
      <w:r w:rsidRPr="006A631A">
        <w:rPr>
          <w:sz w:val="26"/>
          <w:szCs w:val="26"/>
        </w:rPr>
        <w:t>Finally, the Environmental Stakeholders claim that the ALJs’ recommendation provides PGW with ample notice of the necessity to compile and submit the required information, is not wasteful of resources and would not result in inconsistent decision-making because the nature of the additional climate analysis needed for each utility will necessarily depend on the record of what each utility is already doing.  Environmental Stakeholders’ R.</w:t>
      </w:r>
      <w:r w:rsidR="000F5224" w:rsidRPr="006A631A">
        <w:rPr>
          <w:sz w:val="26"/>
          <w:szCs w:val="26"/>
        </w:rPr>
        <w:t xml:space="preserve"> </w:t>
      </w:r>
      <w:r w:rsidRPr="006A631A">
        <w:rPr>
          <w:sz w:val="26"/>
          <w:szCs w:val="26"/>
        </w:rPr>
        <w:t>Exc. at 23-25.</w:t>
      </w:r>
    </w:p>
    <w:p w14:paraId="603A39F7" w14:textId="77777777" w:rsidR="0079699A" w:rsidRPr="006A631A" w:rsidRDefault="0079699A" w:rsidP="00602DFB">
      <w:pPr>
        <w:keepLines/>
        <w:widowControl/>
        <w:spacing w:line="360" w:lineRule="auto"/>
        <w:ind w:firstLine="1440"/>
        <w:rPr>
          <w:sz w:val="26"/>
          <w:szCs w:val="26"/>
        </w:rPr>
      </w:pPr>
    </w:p>
    <w:p w14:paraId="34CE9F75" w14:textId="77777777" w:rsidR="0079699A" w:rsidRPr="006A631A" w:rsidRDefault="0079699A" w:rsidP="00602DFB">
      <w:pPr>
        <w:keepLines/>
        <w:widowControl/>
        <w:spacing w:line="360" w:lineRule="auto"/>
        <w:ind w:firstLine="1440"/>
        <w:rPr>
          <w:sz w:val="26"/>
          <w:szCs w:val="26"/>
        </w:rPr>
      </w:pPr>
      <w:r w:rsidRPr="006A631A">
        <w:rPr>
          <w:sz w:val="26"/>
          <w:szCs w:val="26"/>
        </w:rPr>
        <w:t xml:space="preserve">For each of these reasons, the Environmental Stakeholders request that PGW’s Exceptions on this issue be denied and the ALJs’ recommendation be upheld.  </w:t>
      </w:r>
    </w:p>
    <w:p w14:paraId="75C82677" w14:textId="77777777" w:rsidR="0079699A" w:rsidRPr="006A631A" w:rsidRDefault="0079699A" w:rsidP="00F510B9">
      <w:pPr>
        <w:keepNext/>
        <w:keepLines/>
        <w:widowControl/>
        <w:spacing w:line="360" w:lineRule="auto"/>
        <w:ind w:firstLine="1440"/>
        <w:rPr>
          <w:sz w:val="26"/>
          <w:szCs w:val="26"/>
        </w:rPr>
      </w:pPr>
    </w:p>
    <w:p w14:paraId="1A7890B4" w14:textId="6EECA498" w:rsidR="0079699A" w:rsidRPr="006A631A" w:rsidRDefault="0079699A" w:rsidP="000616F6">
      <w:pPr>
        <w:pStyle w:val="Heading4"/>
      </w:pPr>
      <w:bookmarkStart w:id="58" w:name="_Toc55888203"/>
      <w:r w:rsidRPr="006A631A">
        <w:t>Disposition</w:t>
      </w:r>
      <w:bookmarkEnd w:id="58"/>
    </w:p>
    <w:p w14:paraId="07733BCE" w14:textId="77777777" w:rsidR="00665634" w:rsidRPr="006A631A" w:rsidRDefault="00665634" w:rsidP="00F510B9">
      <w:pPr>
        <w:keepNext/>
        <w:keepLines/>
        <w:widowControl/>
        <w:spacing w:line="360" w:lineRule="auto"/>
        <w:ind w:firstLine="1440"/>
        <w:rPr>
          <w:b/>
          <w:bCs/>
          <w:sz w:val="26"/>
          <w:szCs w:val="26"/>
        </w:rPr>
      </w:pPr>
    </w:p>
    <w:p w14:paraId="1E540B68" w14:textId="77777777" w:rsidR="0079699A" w:rsidRPr="006A631A" w:rsidRDefault="0079699A" w:rsidP="00F510B9">
      <w:pPr>
        <w:widowControl/>
        <w:spacing w:line="360" w:lineRule="auto"/>
        <w:ind w:firstLine="1440"/>
        <w:rPr>
          <w:sz w:val="26"/>
          <w:szCs w:val="26"/>
        </w:rPr>
      </w:pPr>
      <w:r w:rsidRPr="006A631A">
        <w:rPr>
          <w:sz w:val="26"/>
          <w:szCs w:val="26"/>
        </w:rPr>
        <w:t xml:space="preserve">The arguments of PGW and the Environmental Stakeholders are well-developed and present new issues that require careful evaluation.  This Commission is a creature of statute and has only the powers conferred upon it by its enabling legislation.  </w:t>
      </w:r>
      <w:proofErr w:type="gramStart"/>
      <w:r w:rsidRPr="006A631A">
        <w:rPr>
          <w:sz w:val="26"/>
          <w:szCs w:val="26"/>
        </w:rPr>
        <w:t>With that being said, in</w:t>
      </w:r>
      <w:proofErr w:type="gramEnd"/>
      <w:r w:rsidRPr="006A631A">
        <w:rPr>
          <w:sz w:val="26"/>
          <w:szCs w:val="26"/>
        </w:rPr>
        <w:t xml:space="preserve"> matters involving rates, the Commission’s jurisdiction is very broad and is exercised liberally in the interest of full and fair review of the rate proposals and adjustments offered by the various stakeholders.  However, we must be careful to establish clear filing requirements that apply to </w:t>
      </w:r>
      <w:proofErr w:type="gramStart"/>
      <w:r w:rsidRPr="006A631A">
        <w:rPr>
          <w:sz w:val="26"/>
          <w:szCs w:val="26"/>
        </w:rPr>
        <w:t>similarly-situated</w:t>
      </w:r>
      <w:proofErr w:type="gramEnd"/>
      <w:r w:rsidRPr="006A631A">
        <w:rPr>
          <w:sz w:val="26"/>
          <w:szCs w:val="26"/>
        </w:rPr>
        <w:t xml:space="preserve"> utilities, such that no single utility is solely burdened with additional requirements prerequisite to rate approval.  It is with these tenets in mind that we dispose of the Exceptions on this issue.</w:t>
      </w:r>
    </w:p>
    <w:p w14:paraId="38743BF8" w14:textId="0DEF035A" w:rsidR="0079699A" w:rsidRPr="006A631A" w:rsidRDefault="0079699A" w:rsidP="00F510B9">
      <w:pPr>
        <w:widowControl/>
        <w:spacing w:line="360" w:lineRule="auto"/>
        <w:ind w:firstLine="1440"/>
        <w:rPr>
          <w:sz w:val="26"/>
          <w:szCs w:val="26"/>
        </w:rPr>
      </w:pPr>
      <w:r w:rsidRPr="006A631A">
        <w:rPr>
          <w:sz w:val="26"/>
          <w:szCs w:val="26"/>
        </w:rPr>
        <w:lastRenderedPageBreak/>
        <w:t xml:space="preserve">Under Section 1308(d), a utility seeking an increase in base rates carries the heavy burden to prove they are just and reasonable.  When compiling information in support of a rate filing, the utility must provide evidence sufficient to support its claims.  If parties disagree with the proposed rates, they </w:t>
      </w:r>
      <w:proofErr w:type="gramStart"/>
      <w:r w:rsidRPr="006A631A">
        <w:rPr>
          <w:sz w:val="26"/>
          <w:szCs w:val="26"/>
        </w:rPr>
        <w:t>have the ability to</w:t>
      </w:r>
      <w:proofErr w:type="gramEnd"/>
      <w:r w:rsidRPr="006A631A">
        <w:rPr>
          <w:sz w:val="26"/>
          <w:szCs w:val="26"/>
        </w:rPr>
        <w:t xml:space="preserve"> submit countervailing evidence with suggested adjustments to the proposed rates.  This process is detailed in the statutory and regulatory structure of the Code and the Commission’s bountiful </w:t>
      </w:r>
      <w:r w:rsidR="00BA2D17" w:rsidRPr="006A631A">
        <w:rPr>
          <w:sz w:val="26"/>
          <w:szCs w:val="26"/>
        </w:rPr>
        <w:t>R</w:t>
      </w:r>
      <w:r w:rsidRPr="006A631A">
        <w:rPr>
          <w:sz w:val="26"/>
          <w:szCs w:val="26"/>
        </w:rPr>
        <w:t xml:space="preserve">egulations.  Each of the cases cited by the Environmental Stakeholders involves the resolution of expense adjustments raised by parties in the context of rate proceedings. </w:t>
      </w:r>
      <w:r w:rsidR="007C6A6B" w:rsidRPr="006A631A">
        <w:rPr>
          <w:sz w:val="26"/>
          <w:szCs w:val="26"/>
        </w:rPr>
        <w:t xml:space="preserve"> </w:t>
      </w:r>
      <w:r w:rsidRPr="006A631A">
        <w:rPr>
          <w:sz w:val="26"/>
          <w:szCs w:val="26"/>
        </w:rPr>
        <w:t>No such expense or revenue adjustments were advocated by Environmental Stakeholders in this case.</w:t>
      </w:r>
    </w:p>
    <w:p w14:paraId="5E2D6345" w14:textId="77777777" w:rsidR="0079699A" w:rsidRPr="006A631A" w:rsidRDefault="0079699A" w:rsidP="00F510B9">
      <w:pPr>
        <w:widowControl/>
        <w:spacing w:line="360" w:lineRule="auto"/>
        <w:ind w:firstLine="1440"/>
        <w:rPr>
          <w:sz w:val="26"/>
          <w:szCs w:val="26"/>
        </w:rPr>
      </w:pPr>
    </w:p>
    <w:p w14:paraId="0E464787" w14:textId="00E03FCF" w:rsidR="0079699A" w:rsidRPr="006A631A" w:rsidRDefault="0079699A" w:rsidP="00F510B9">
      <w:pPr>
        <w:widowControl/>
        <w:spacing w:line="360" w:lineRule="auto"/>
        <w:ind w:firstLine="1440"/>
        <w:rPr>
          <w:sz w:val="26"/>
          <w:szCs w:val="26"/>
        </w:rPr>
      </w:pPr>
      <w:r w:rsidRPr="006A631A">
        <w:rPr>
          <w:sz w:val="26"/>
          <w:szCs w:val="26"/>
        </w:rPr>
        <w:t xml:space="preserve">We are reticent to issue a directive to PGW that it must compile and submit information in its next base rate proceeding about warming trends and climate change impacts on its rates because it creates a new, but undefined bar of proof for PGW.  It begs the question what amount of information would be sufficient to fulfill the Commission’s informational filing mandate – that is, what quantum of PGW action and evidence would have PGW </w:t>
      </w:r>
      <w:r w:rsidR="00FA55BD" w:rsidRPr="006A631A">
        <w:rPr>
          <w:sz w:val="26"/>
          <w:szCs w:val="26"/>
        </w:rPr>
        <w:t>satisfy that mandate</w:t>
      </w:r>
      <w:r w:rsidRPr="006A631A">
        <w:rPr>
          <w:sz w:val="26"/>
          <w:szCs w:val="26"/>
        </w:rPr>
        <w:t xml:space="preserve">?  Further, given the uncertain status of the climate change debate in our Commonwealth and across the globe, without clear policy direction from the General Assembly and the Commission, </w:t>
      </w:r>
      <w:r w:rsidR="00081ABD" w:rsidRPr="006A631A">
        <w:rPr>
          <w:sz w:val="26"/>
          <w:szCs w:val="26"/>
        </w:rPr>
        <w:t>we do not believe it is</w:t>
      </w:r>
      <w:r w:rsidRPr="006A631A">
        <w:rPr>
          <w:sz w:val="26"/>
          <w:szCs w:val="26"/>
        </w:rPr>
        <w:t xml:space="preserve"> fair to make PGW speculat</w:t>
      </w:r>
      <w:r w:rsidR="00081ABD" w:rsidRPr="006A631A">
        <w:rPr>
          <w:sz w:val="26"/>
          <w:szCs w:val="26"/>
        </w:rPr>
        <w:t>e.</w:t>
      </w:r>
    </w:p>
    <w:p w14:paraId="3E9A7AD3" w14:textId="77777777" w:rsidR="00133D87" w:rsidRPr="006A631A" w:rsidRDefault="00133D87" w:rsidP="00F510B9">
      <w:pPr>
        <w:widowControl/>
        <w:spacing w:line="360" w:lineRule="auto"/>
        <w:ind w:firstLine="1440"/>
        <w:rPr>
          <w:sz w:val="26"/>
          <w:szCs w:val="26"/>
        </w:rPr>
      </w:pPr>
    </w:p>
    <w:p w14:paraId="6C8AB7E3" w14:textId="54CD20A4" w:rsidR="0079699A" w:rsidRPr="006A631A" w:rsidRDefault="0079699A" w:rsidP="00602DFB">
      <w:pPr>
        <w:widowControl/>
        <w:kinsoku w:val="0"/>
        <w:overflowPunct w:val="0"/>
        <w:spacing w:line="360" w:lineRule="auto"/>
        <w:ind w:firstLine="1440"/>
        <w:textAlignment w:val="baseline"/>
        <w:rPr>
          <w:rFonts w:eastAsiaTheme="minorEastAsia"/>
          <w:sz w:val="26"/>
          <w:szCs w:val="26"/>
        </w:rPr>
      </w:pPr>
      <w:r w:rsidRPr="006A631A">
        <w:rPr>
          <w:rFonts w:eastAsiaTheme="minorEastAsia"/>
          <w:sz w:val="26"/>
          <w:szCs w:val="26"/>
        </w:rPr>
        <w:t xml:space="preserve">We find instructive on these questions the arguments PGW made in its Main Brief.  PGW argued that the Environmental Stakeholders sought to commandeer this rate proceeding to promote their agenda to end natural gas usage in Philadelphia.  </w:t>
      </w:r>
      <w:r w:rsidR="00D5286B" w:rsidRPr="006A631A">
        <w:rPr>
          <w:rFonts w:eastAsiaTheme="minorEastAsia"/>
          <w:sz w:val="26"/>
          <w:szCs w:val="26"/>
        </w:rPr>
        <w:t>A</w:t>
      </w:r>
      <w:r w:rsidR="007C6A6B" w:rsidRPr="006A631A">
        <w:rPr>
          <w:rFonts w:eastAsiaTheme="minorEastAsia"/>
          <w:sz w:val="26"/>
          <w:szCs w:val="26"/>
        </w:rPr>
        <w:t>ccording to PGW</w:t>
      </w:r>
      <w:r w:rsidR="00FA55BD" w:rsidRPr="006A631A">
        <w:rPr>
          <w:rFonts w:eastAsiaTheme="minorEastAsia"/>
          <w:sz w:val="26"/>
          <w:szCs w:val="26"/>
        </w:rPr>
        <w:t>,</w:t>
      </w:r>
      <w:r w:rsidRPr="006A631A">
        <w:rPr>
          <w:rFonts w:eastAsiaTheme="minorEastAsia"/>
          <w:sz w:val="26"/>
          <w:szCs w:val="26"/>
        </w:rPr>
        <w:t xml:space="preserve"> </w:t>
      </w:r>
      <w:r w:rsidR="00D5286B" w:rsidRPr="006A631A">
        <w:rPr>
          <w:rFonts w:eastAsiaTheme="minorEastAsia"/>
          <w:sz w:val="26"/>
          <w:szCs w:val="26"/>
        </w:rPr>
        <w:t xml:space="preserve">the </w:t>
      </w:r>
      <w:r w:rsidR="00116D4B" w:rsidRPr="006A631A">
        <w:rPr>
          <w:rFonts w:eastAsiaTheme="minorEastAsia"/>
          <w:sz w:val="26"/>
          <w:szCs w:val="26"/>
        </w:rPr>
        <w:t xml:space="preserve">Environmental Stakeholders’ </w:t>
      </w:r>
      <w:r w:rsidR="00D5286B" w:rsidRPr="006A631A">
        <w:rPr>
          <w:rFonts w:eastAsiaTheme="minorEastAsia"/>
          <w:sz w:val="26"/>
          <w:szCs w:val="26"/>
        </w:rPr>
        <w:t xml:space="preserve">objective </w:t>
      </w:r>
      <w:r w:rsidRPr="006A631A">
        <w:rPr>
          <w:rFonts w:eastAsiaTheme="minorEastAsia"/>
          <w:sz w:val="26"/>
          <w:szCs w:val="26"/>
        </w:rPr>
        <w:t>is to force a ban on natural gas consumption in Philadelphia, thrusting all customers onto total electric service.</w:t>
      </w:r>
      <w:r w:rsidR="00D17724" w:rsidRPr="006A631A">
        <w:rPr>
          <w:rFonts w:eastAsiaTheme="minorEastAsia"/>
          <w:sz w:val="26"/>
          <w:szCs w:val="26"/>
          <w:vertAlign w:val="superscript"/>
        </w:rPr>
        <w:t xml:space="preserve">  </w:t>
      </w:r>
      <w:r w:rsidR="00D5286B" w:rsidRPr="006A631A">
        <w:rPr>
          <w:rFonts w:eastAsiaTheme="minorEastAsia"/>
          <w:sz w:val="26"/>
          <w:szCs w:val="26"/>
        </w:rPr>
        <w:t>This position is supported by</w:t>
      </w:r>
      <w:r w:rsidRPr="006A631A">
        <w:rPr>
          <w:rFonts w:eastAsiaTheme="minorEastAsia"/>
          <w:sz w:val="26"/>
          <w:szCs w:val="26"/>
        </w:rPr>
        <w:t xml:space="preserve"> Environmental Stakeholders’ witness, Dr. </w:t>
      </w:r>
      <w:r w:rsidR="00860A81" w:rsidRPr="006A631A">
        <w:rPr>
          <w:rFonts w:eastAsiaTheme="minorEastAsia"/>
          <w:sz w:val="26"/>
          <w:szCs w:val="26"/>
        </w:rPr>
        <w:t xml:space="preserve">Ezra D. </w:t>
      </w:r>
      <w:r w:rsidRPr="006A631A">
        <w:rPr>
          <w:rFonts w:eastAsiaTheme="minorEastAsia"/>
          <w:sz w:val="26"/>
          <w:szCs w:val="26"/>
        </w:rPr>
        <w:t xml:space="preserve">Hausman, </w:t>
      </w:r>
      <w:r w:rsidR="00D5286B" w:rsidRPr="006A631A">
        <w:rPr>
          <w:rFonts w:eastAsiaTheme="minorEastAsia"/>
          <w:sz w:val="26"/>
          <w:szCs w:val="26"/>
        </w:rPr>
        <w:t xml:space="preserve">whose testimony included </w:t>
      </w:r>
      <w:r w:rsidR="002B4CD3" w:rsidRPr="006A631A">
        <w:rPr>
          <w:rFonts w:eastAsiaTheme="minorEastAsia"/>
          <w:sz w:val="26"/>
          <w:szCs w:val="26"/>
        </w:rPr>
        <w:t xml:space="preserve">the </w:t>
      </w:r>
      <w:r w:rsidRPr="006A631A">
        <w:rPr>
          <w:rFonts w:eastAsiaTheme="minorEastAsia"/>
          <w:sz w:val="26"/>
          <w:szCs w:val="26"/>
        </w:rPr>
        <w:t xml:space="preserve">objective </w:t>
      </w:r>
      <w:r w:rsidR="00D5286B" w:rsidRPr="006A631A">
        <w:rPr>
          <w:rFonts w:eastAsiaTheme="minorEastAsia"/>
          <w:sz w:val="26"/>
          <w:szCs w:val="26"/>
        </w:rPr>
        <w:t>of the elimination of</w:t>
      </w:r>
      <w:r w:rsidRPr="006A631A">
        <w:rPr>
          <w:rFonts w:eastAsiaTheme="minorEastAsia"/>
          <w:sz w:val="26"/>
          <w:szCs w:val="26"/>
        </w:rPr>
        <w:t xml:space="preserve"> fossil fuels.</w:t>
      </w:r>
      <w:r w:rsidR="00665634" w:rsidRPr="006A631A">
        <w:rPr>
          <w:rFonts w:eastAsiaTheme="minorEastAsia"/>
          <w:sz w:val="26"/>
          <w:szCs w:val="26"/>
        </w:rPr>
        <w:t xml:space="preserve"> </w:t>
      </w:r>
      <w:r w:rsidRPr="006A631A">
        <w:rPr>
          <w:rFonts w:eastAsiaTheme="minorEastAsia"/>
          <w:sz w:val="26"/>
          <w:szCs w:val="26"/>
        </w:rPr>
        <w:t xml:space="preserve"> </w:t>
      </w:r>
      <w:r w:rsidRPr="006A631A">
        <w:rPr>
          <w:rFonts w:eastAsiaTheme="minorEastAsia"/>
          <w:i/>
          <w:iCs/>
          <w:sz w:val="26"/>
          <w:szCs w:val="26"/>
        </w:rPr>
        <w:t>See</w:t>
      </w:r>
      <w:r w:rsidRPr="006A631A">
        <w:rPr>
          <w:rFonts w:eastAsiaTheme="minorEastAsia"/>
          <w:sz w:val="26"/>
          <w:szCs w:val="26"/>
        </w:rPr>
        <w:t xml:space="preserve"> SC St. No. 1 at 10. </w:t>
      </w:r>
      <w:r w:rsidR="00665634" w:rsidRPr="006A631A">
        <w:rPr>
          <w:rFonts w:eastAsiaTheme="minorEastAsia"/>
          <w:sz w:val="26"/>
          <w:szCs w:val="26"/>
        </w:rPr>
        <w:t xml:space="preserve"> </w:t>
      </w:r>
      <w:r w:rsidRPr="006A631A">
        <w:rPr>
          <w:rFonts w:eastAsiaTheme="minorEastAsia"/>
          <w:i/>
          <w:iCs/>
          <w:sz w:val="26"/>
          <w:szCs w:val="26"/>
        </w:rPr>
        <w:t>See also</w:t>
      </w:r>
      <w:r w:rsidR="002D7079">
        <w:rPr>
          <w:rFonts w:eastAsiaTheme="minorEastAsia"/>
          <w:sz w:val="26"/>
          <w:szCs w:val="26"/>
        </w:rPr>
        <w:t xml:space="preserve">, </w:t>
      </w:r>
      <w:r w:rsidRPr="006A631A">
        <w:rPr>
          <w:rFonts w:eastAsiaTheme="minorEastAsia"/>
          <w:sz w:val="26"/>
          <w:szCs w:val="26"/>
        </w:rPr>
        <w:t xml:space="preserve">SC St. No. 1-SR at 8 (advocating the need “to eliminate the </w:t>
      </w:r>
      <w:r w:rsidRPr="006A631A">
        <w:rPr>
          <w:rFonts w:eastAsiaTheme="minorEastAsia"/>
          <w:sz w:val="26"/>
          <w:szCs w:val="26"/>
        </w:rPr>
        <w:lastRenderedPageBreak/>
        <w:t xml:space="preserve">use of fossil fuels as thoroughly and as quickly as possible from our energy supply....”).  PGW </w:t>
      </w:r>
      <w:r w:rsidR="00D5286B" w:rsidRPr="006A631A">
        <w:rPr>
          <w:rFonts w:eastAsiaTheme="minorEastAsia"/>
          <w:sz w:val="26"/>
          <w:szCs w:val="26"/>
        </w:rPr>
        <w:t>argued</w:t>
      </w:r>
      <w:r w:rsidRPr="006A631A">
        <w:rPr>
          <w:rFonts w:eastAsiaTheme="minorEastAsia"/>
          <w:sz w:val="26"/>
          <w:szCs w:val="26"/>
        </w:rPr>
        <w:t xml:space="preserve"> that the </w:t>
      </w:r>
      <w:r w:rsidR="002B444F" w:rsidRPr="006A631A">
        <w:rPr>
          <w:rFonts w:eastAsiaTheme="minorEastAsia"/>
          <w:sz w:val="26"/>
          <w:szCs w:val="26"/>
        </w:rPr>
        <w:t>e</w:t>
      </w:r>
      <w:r w:rsidRPr="006A631A">
        <w:rPr>
          <w:rFonts w:eastAsiaTheme="minorEastAsia"/>
          <w:sz w:val="26"/>
          <w:szCs w:val="26"/>
        </w:rPr>
        <w:t xml:space="preserve">lements of the “Climate Business Plan” (“CBP”) that the Environmental Stakeholders sought to require of PGW would lead to planning for a moratorium on new gas hook ups and </w:t>
      </w:r>
      <w:r w:rsidR="00D5286B" w:rsidRPr="006A631A">
        <w:rPr>
          <w:rFonts w:eastAsiaTheme="minorEastAsia"/>
          <w:sz w:val="26"/>
          <w:szCs w:val="26"/>
        </w:rPr>
        <w:t xml:space="preserve">to </w:t>
      </w:r>
      <w:r w:rsidRPr="006A631A">
        <w:rPr>
          <w:rFonts w:eastAsiaTheme="minorEastAsia"/>
          <w:sz w:val="26"/>
          <w:szCs w:val="26"/>
        </w:rPr>
        <w:t>the pursuit of the complete electrification o</w:t>
      </w:r>
      <w:r w:rsidR="007C6A6B" w:rsidRPr="006A631A">
        <w:rPr>
          <w:rFonts w:eastAsiaTheme="minorEastAsia"/>
          <w:sz w:val="26"/>
          <w:szCs w:val="26"/>
        </w:rPr>
        <w:t>f</w:t>
      </w:r>
      <w:r w:rsidRPr="006A631A">
        <w:rPr>
          <w:rFonts w:eastAsiaTheme="minorEastAsia"/>
          <w:sz w:val="26"/>
          <w:szCs w:val="26"/>
        </w:rPr>
        <w:t xml:space="preserve"> Philadelphia (through incentives and mandate).  PGW M.B. at 7-8.  </w:t>
      </w:r>
    </w:p>
    <w:p w14:paraId="54A87BE3" w14:textId="77777777" w:rsidR="0079699A" w:rsidRPr="006A631A" w:rsidRDefault="0079699A" w:rsidP="00602DFB">
      <w:pPr>
        <w:widowControl/>
        <w:spacing w:line="360" w:lineRule="auto"/>
        <w:rPr>
          <w:sz w:val="26"/>
          <w:szCs w:val="26"/>
        </w:rPr>
      </w:pPr>
    </w:p>
    <w:p w14:paraId="5EA5928C" w14:textId="3A062219" w:rsidR="0079699A" w:rsidRPr="006A631A" w:rsidRDefault="00F71D3C" w:rsidP="00602DFB">
      <w:pPr>
        <w:widowControl/>
        <w:kinsoku w:val="0"/>
        <w:overflowPunct w:val="0"/>
        <w:spacing w:line="360" w:lineRule="auto"/>
        <w:ind w:left="72" w:right="144" w:firstLine="1368"/>
        <w:textAlignment w:val="baseline"/>
        <w:rPr>
          <w:rFonts w:eastAsiaTheme="minorEastAsia"/>
          <w:sz w:val="26"/>
          <w:szCs w:val="26"/>
        </w:rPr>
      </w:pPr>
      <w:r w:rsidRPr="006A631A">
        <w:rPr>
          <w:rFonts w:eastAsiaTheme="minorEastAsia"/>
          <w:sz w:val="26"/>
          <w:szCs w:val="26"/>
        </w:rPr>
        <w:t>The</w:t>
      </w:r>
      <w:r w:rsidR="0079699A" w:rsidRPr="006A631A">
        <w:rPr>
          <w:rFonts w:eastAsiaTheme="minorEastAsia"/>
          <w:sz w:val="26"/>
          <w:szCs w:val="26"/>
        </w:rPr>
        <w:t xml:space="preserve"> basic nature of a base rate proceeding is to develop rates based on the test-period concept.  The Environmental Stakeholders’ argument that PGW should be undertaking planning and ostensibly be incurring costs to address potential global warming in years hence is not in conformance with the curre</w:t>
      </w:r>
      <w:r w:rsidR="007C6A6B" w:rsidRPr="006A631A">
        <w:rPr>
          <w:rFonts w:eastAsiaTheme="minorEastAsia"/>
          <w:sz w:val="26"/>
          <w:szCs w:val="26"/>
        </w:rPr>
        <w:t>nt statutory ratemaking scheme.</w:t>
      </w:r>
      <w:r w:rsidR="0079699A" w:rsidRPr="006A631A">
        <w:rPr>
          <w:rFonts w:eastAsiaTheme="minorEastAsia"/>
          <w:sz w:val="26"/>
          <w:szCs w:val="26"/>
        </w:rPr>
        <w:t xml:space="preserve">  Moreover, the suggestion that PGW should be considering pipe abandonment in lieu of replacement is arguably inconsistent with the mandate to provide safe, </w:t>
      </w:r>
      <w:proofErr w:type="gramStart"/>
      <w:r w:rsidR="0079699A" w:rsidRPr="006A631A">
        <w:rPr>
          <w:rFonts w:eastAsiaTheme="minorEastAsia"/>
          <w:sz w:val="26"/>
          <w:szCs w:val="26"/>
        </w:rPr>
        <w:t>adequate</w:t>
      </w:r>
      <w:proofErr w:type="gramEnd"/>
      <w:r w:rsidR="0079699A" w:rsidRPr="006A631A">
        <w:rPr>
          <w:rFonts w:eastAsiaTheme="minorEastAsia"/>
          <w:sz w:val="26"/>
          <w:szCs w:val="26"/>
        </w:rPr>
        <w:t xml:space="preserve"> and reasonably continuous service under Section 1501 of the Code and the Commission’s DSIC and LTIIP programs.  I&amp;E’s concerns in that regard, stated consistently throughout the course of this proceeding, are well-founded.</w:t>
      </w:r>
    </w:p>
    <w:p w14:paraId="10F3F1F5" w14:textId="1F7B6F8E" w:rsidR="0079699A" w:rsidRPr="006A631A" w:rsidRDefault="0079699A" w:rsidP="00F510B9">
      <w:pPr>
        <w:widowControl/>
        <w:kinsoku w:val="0"/>
        <w:overflowPunct w:val="0"/>
        <w:spacing w:before="3" w:line="552" w:lineRule="exact"/>
        <w:ind w:left="72" w:right="144" w:firstLine="1368"/>
        <w:textAlignment w:val="baseline"/>
        <w:rPr>
          <w:rFonts w:eastAsiaTheme="minorEastAsia"/>
          <w:sz w:val="26"/>
          <w:szCs w:val="26"/>
        </w:rPr>
      </w:pPr>
    </w:p>
    <w:p w14:paraId="79960976" w14:textId="581177AB" w:rsidR="0079699A" w:rsidRPr="006A631A" w:rsidRDefault="0079699A" w:rsidP="00F510B9">
      <w:pPr>
        <w:widowControl/>
        <w:spacing w:line="360" w:lineRule="auto"/>
        <w:ind w:firstLine="1440"/>
        <w:rPr>
          <w:sz w:val="26"/>
          <w:szCs w:val="26"/>
        </w:rPr>
      </w:pPr>
      <w:r w:rsidRPr="006A631A">
        <w:rPr>
          <w:sz w:val="26"/>
          <w:szCs w:val="26"/>
        </w:rPr>
        <w:t xml:space="preserve">PGW has also pointed out that its rate case evidence on temperatures and degree day projections are a backward-looking calculation made on the basis of historic trends that are then projected a year or two forward into the test year calculations. </w:t>
      </w:r>
      <w:r w:rsidR="007C6A6B" w:rsidRPr="006A631A">
        <w:rPr>
          <w:sz w:val="26"/>
          <w:szCs w:val="26"/>
        </w:rPr>
        <w:t xml:space="preserve"> </w:t>
      </w:r>
      <w:r w:rsidRPr="006A631A">
        <w:rPr>
          <w:sz w:val="26"/>
          <w:szCs w:val="26"/>
        </w:rPr>
        <w:t>The Commission in considering what is a “normal” level of degree days in the test year is not establishing climate goals, but simply reacting to the experienced effects of warming weather; no different than when it considers expenses due to a flood or a hurricane.</w:t>
      </w:r>
      <w:r w:rsidR="007C6A6B" w:rsidRPr="006A631A">
        <w:rPr>
          <w:sz w:val="26"/>
          <w:szCs w:val="26"/>
        </w:rPr>
        <w:t xml:space="preserve"> </w:t>
      </w:r>
      <w:r w:rsidRPr="006A631A">
        <w:rPr>
          <w:sz w:val="26"/>
          <w:szCs w:val="26"/>
        </w:rPr>
        <w:t xml:space="preserve"> PGW Reply Brief at 46-47</w:t>
      </w:r>
      <w:r w:rsidR="005E72B0" w:rsidRPr="006A631A">
        <w:rPr>
          <w:sz w:val="26"/>
          <w:szCs w:val="26"/>
        </w:rPr>
        <w:t>;</w:t>
      </w:r>
      <w:r w:rsidRPr="006A631A">
        <w:rPr>
          <w:sz w:val="26"/>
          <w:szCs w:val="26"/>
        </w:rPr>
        <w:t xml:space="preserve">  PGW Exc. at 31, n. 117.  </w:t>
      </w:r>
    </w:p>
    <w:p w14:paraId="0BF5DC52" w14:textId="77777777" w:rsidR="0079699A" w:rsidRPr="006A631A" w:rsidRDefault="0079699A" w:rsidP="00F519CB">
      <w:pPr>
        <w:widowControl/>
        <w:spacing w:line="360" w:lineRule="auto"/>
        <w:rPr>
          <w:sz w:val="26"/>
          <w:szCs w:val="26"/>
        </w:rPr>
      </w:pPr>
    </w:p>
    <w:p w14:paraId="66077F91" w14:textId="70D2768D" w:rsidR="0079699A" w:rsidRPr="006A631A" w:rsidRDefault="0079699A" w:rsidP="00F510B9">
      <w:pPr>
        <w:widowControl/>
        <w:kinsoku w:val="0"/>
        <w:overflowPunct w:val="0"/>
        <w:spacing w:line="360" w:lineRule="auto"/>
        <w:ind w:right="72" w:firstLine="1526"/>
        <w:textAlignment w:val="baseline"/>
        <w:rPr>
          <w:rFonts w:eastAsiaTheme="minorEastAsia"/>
          <w:sz w:val="26"/>
          <w:szCs w:val="26"/>
        </w:rPr>
      </w:pPr>
      <w:r w:rsidRPr="006A631A">
        <w:rPr>
          <w:rFonts w:eastAsiaTheme="minorEastAsia"/>
          <w:sz w:val="26"/>
          <w:szCs w:val="26"/>
        </w:rPr>
        <w:t>If environmental information does not serve to support a specific adjustment or proposal in a rate case, however,</w:t>
      </w:r>
      <w:r w:rsidR="007C6A6B" w:rsidRPr="006A631A">
        <w:rPr>
          <w:rFonts w:eastAsiaTheme="minorEastAsia"/>
          <w:sz w:val="26"/>
          <w:szCs w:val="26"/>
        </w:rPr>
        <w:t xml:space="preserve"> </w:t>
      </w:r>
      <w:r w:rsidRPr="006A631A">
        <w:rPr>
          <w:rFonts w:eastAsiaTheme="minorEastAsia"/>
          <w:sz w:val="26"/>
          <w:szCs w:val="26"/>
        </w:rPr>
        <w:t>the information is not relevant to the rate case, and the Commission should not consider it in rendering a rate decision.</w:t>
      </w:r>
    </w:p>
    <w:p w14:paraId="48B5CAD9" w14:textId="77777777" w:rsidR="0079699A" w:rsidRPr="006A631A" w:rsidRDefault="0079699A" w:rsidP="00F510B9">
      <w:pPr>
        <w:widowControl/>
        <w:rPr>
          <w:sz w:val="26"/>
          <w:szCs w:val="26"/>
        </w:rPr>
      </w:pPr>
    </w:p>
    <w:p w14:paraId="0133CA44" w14:textId="77777777" w:rsidR="0079699A" w:rsidRPr="006A631A" w:rsidRDefault="0079699A" w:rsidP="00F510B9">
      <w:pPr>
        <w:widowControl/>
        <w:kinsoku w:val="0"/>
        <w:overflowPunct w:val="0"/>
        <w:spacing w:line="360" w:lineRule="auto"/>
        <w:ind w:firstLine="1440"/>
        <w:textAlignment w:val="baseline"/>
        <w:rPr>
          <w:rFonts w:eastAsiaTheme="minorEastAsia"/>
          <w:sz w:val="26"/>
          <w:szCs w:val="26"/>
          <w:vertAlign w:val="superscript"/>
        </w:rPr>
      </w:pPr>
      <w:r w:rsidRPr="006A631A">
        <w:rPr>
          <w:rFonts w:eastAsiaTheme="minorEastAsia"/>
          <w:sz w:val="26"/>
          <w:szCs w:val="26"/>
        </w:rPr>
        <w:lastRenderedPageBreak/>
        <w:t xml:space="preserve">Unlike the circumstances presented in the cases cited by the Environmental Stakeholders, expense adjustments were not presented by the Environmental Stakeholders here.  In fact, they failed to provide any evidence which would support an affirmative position in this rate case, such as a proposed adjustment to a specific expense or an adjustment to revenue projections.  Rather than propose any specific adjustments in this case, the Environmental Stakeholders made the general assertion that PGW should be required to study </w:t>
      </w:r>
      <w:r w:rsidRPr="006A631A">
        <w:rPr>
          <w:rFonts w:eastAsiaTheme="minorEastAsia"/>
          <w:sz w:val="26"/>
          <w:szCs w:val="26"/>
          <w:u w:val="single"/>
        </w:rPr>
        <w:t>(and plan for)</w:t>
      </w:r>
      <w:r w:rsidRPr="006A631A">
        <w:rPr>
          <w:rFonts w:eastAsiaTheme="minorEastAsia"/>
          <w:sz w:val="26"/>
          <w:szCs w:val="26"/>
        </w:rPr>
        <w:t xml:space="preserve"> climate change and climate regulation.</w:t>
      </w:r>
    </w:p>
    <w:p w14:paraId="3AE3479A" w14:textId="77777777" w:rsidR="0079699A" w:rsidRPr="006A631A" w:rsidRDefault="0079699A" w:rsidP="00F510B9">
      <w:pPr>
        <w:widowControl/>
        <w:kinsoku w:val="0"/>
        <w:overflowPunct w:val="0"/>
        <w:spacing w:line="551" w:lineRule="exact"/>
        <w:ind w:firstLine="720"/>
        <w:textAlignment w:val="baseline"/>
        <w:rPr>
          <w:rFonts w:eastAsiaTheme="minorEastAsia"/>
          <w:sz w:val="26"/>
          <w:szCs w:val="26"/>
        </w:rPr>
      </w:pPr>
    </w:p>
    <w:p w14:paraId="3C3EC1ED" w14:textId="3128B9C2" w:rsidR="0079699A" w:rsidRPr="006A631A" w:rsidRDefault="0079699A" w:rsidP="00F510B9">
      <w:pPr>
        <w:widowControl/>
        <w:spacing w:line="360" w:lineRule="auto"/>
        <w:ind w:firstLine="1440"/>
        <w:rPr>
          <w:sz w:val="26"/>
          <w:szCs w:val="26"/>
        </w:rPr>
      </w:pPr>
      <w:r w:rsidRPr="006A631A">
        <w:rPr>
          <w:rFonts w:eastAsiaTheme="minorEastAsia"/>
          <w:sz w:val="26"/>
          <w:szCs w:val="26"/>
        </w:rPr>
        <w:t xml:space="preserve">There is no </w:t>
      </w:r>
      <w:r w:rsidR="00F71D3C" w:rsidRPr="006A631A">
        <w:rPr>
          <w:rFonts w:eastAsiaTheme="minorEastAsia"/>
          <w:sz w:val="26"/>
          <w:szCs w:val="26"/>
        </w:rPr>
        <w:t>determination</w:t>
      </w:r>
      <w:r w:rsidRPr="006A631A">
        <w:rPr>
          <w:rFonts w:eastAsiaTheme="minorEastAsia"/>
          <w:sz w:val="26"/>
          <w:szCs w:val="26"/>
        </w:rPr>
        <w:t xml:space="preserve"> about the function of natural gas utilities thirty, forty, or fifty years from now.  The ALJs do not make any such conclusive finding, nor would the evidence support such a finding, because the Environmental Stakeholders have not pointed to any rule or regulation that provides that PGW or any other natural gas company will be forced to cease operations in the future. </w:t>
      </w:r>
      <w:r w:rsidR="00A8419B" w:rsidRPr="006A631A">
        <w:rPr>
          <w:rFonts w:eastAsiaTheme="minorEastAsia"/>
          <w:sz w:val="26"/>
          <w:szCs w:val="26"/>
        </w:rPr>
        <w:t xml:space="preserve"> </w:t>
      </w:r>
      <w:r w:rsidRPr="006A631A">
        <w:rPr>
          <w:rFonts w:eastAsiaTheme="minorEastAsia"/>
          <w:sz w:val="26"/>
          <w:szCs w:val="26"/>
        </w:rPr>
        <w:t xml:space="preserve">As </w:t>
      </w:r>
      <w:r w:rsidR="00FA55BD" w:rsidRPr="006A631A">
        <w:rPr>
          <w:rFonts w:eastAsiaTheme="minorEastAsia"/>
          <w:sz w:val="26"/>
          <w:szCs w:val="26"/>
        </w:rPr>
        <w:t>noted earlier,</w:t>
      </w:r>
      <w:r w:rsidRPr="006A631A">
        <w:rPr>
          <w:rFonts w:eastAsiaTheme="minorEastAsia"/>
          <w:sz w:val="26"/>
          <w:szCs w:val="26"/>
        </w:rPr>
        <w:t xml:space="preserve"> former Commissioner Cawley testified on behalf of PGW: “[i]n my experience, the Pennsylvania Public Utility Commission does not engage in such speculation in establishing regulatory policy for the companies it regulates, especially when it would require conclusions (or guesses) about what environmental requirements </w:t>
      </w:r>
      <w:r w:rsidR="00BE1068" w:rsidRPr="006A631A">
        <w:rPr>
          <w:rFonts w:eastAsiaTheme="minorEastAsia"/>
          <w:sz w:val="26"/>
          <w:szCs w:val="26"/>
        </w:rPr>
        <w:t>will be in thirty years.”</w:t>
      </w:r>
      <w:r w:rsidR="00074D7A" w:rsidRPr="006A631A">
        <w:rPr>
          <w:rFonts w:eastAsiaTheme="minorEastAsia"/>
          <w:sz w:val="26"/>
          <w:szCs w:val="26"/>
        </w:rPr>
        <w:t xml:space="preserve">  PGW Exh. 12RJ at 2.</w:t>
      </w:r>
    </w:p>
    <w:p w14:paraId="4EA28461" w14:textId="77777777" w:rsidR="0079699A" w:rsidRPr="006A631A" w:rsidRDefault="0079699A" w:rsidP="00F510B9">
      <w:pPr>
        <w:widowControl/>
        <w:spacing w:line="360" w:lineRule="auto"/>
        <w:ind w:firstLine="1440"/>
        <w:rPr>
          <w:sz w:val="26"/>
          <w:szCs w:val="26"/>
        </w:rPr>
      </w:pPr>
    </w:p>
    <w:p w14:paraId="02C49BD7" w14:textId="7AEB9A8C" w:rsidR="0079699A" w:rsidRPr="006A631A" w:rsidRDefault="0079699A" w:rsidP="00F510B9">
      <w:pPr>
        <w:widowControl/>
        <w:kinsoku w:val="0"/>
        <w:overflowPunct w:val="0"/>
        <w:spacing w:line="360" w:lineRule="auto"/>
        <w:ind w:firstLine="1440"/>
        <w:textAlignment w:val="baseline"/>
        <w:rPr>
          <w:rFonts w:eastAsiaTheme="minorEastAsia"/>
          <w:sz w:val="26"/>
          <w:szCs w:val="26"/>
        </w:rPr>
      </w:pPr>
      <w:r w:rsidRPr="006A631A">
        <w:rPr>
          <w:rFonts w:eastAsiaTheme="minorEastAsia"/>
          <w:sz w:val="26"/>
          <w:szCs w:val="26"/>
        </w:rPr>
        <w:t>Commissioner Cawley further explained that the</w:t>
      </w:r>
      <w:r w:rsidR="00A8419B" w:rsidRPr="006A631A">
        <w:rPr>
          <w:rFonts w:eastAsiaTheme="minorEastAsia"/>
          <w:sz w:val="26"/>
          <w:szCs w:val="26"/>
        </w:rPr>
        <w:t xml:space="preserve"> </w:t>
      </w:r>
      <w:r w:rsidRPr="006A631A">
        <w:rPr>
          <w:rFonts w:eastAsiaTheme="minorEastAsia"/>
          <w:sz w:val="26"/>
          <w:szCs w:val="26"/>
        </w:rPr>
        <w:t xml:space="preserve">Commission would “act </w:t>
      </w:r>
      <w:r w:rsidRPr="006A631A">
        <w:rPr>
          <w:rFonts w:eastAsiaTheme="minorEastAsia"/>
          <w:i/>
          <w:iCs/>
          <w:sz w:val="26"/>
          <w:szCs w:val="26"/>
        </w:rPr>
        <w:t>ultra vires</w:t>
      </w:r>
      <w:r w:rsidRPr="006A631A">
        <w:rPr>
          <w:rFonts w:eastAsiaTheme="minorEastAsia"/>
          <w:sz w:val="26"/>
          <w:szCs w:val="26"/>
        </w:rPr>
        <w:t xml:space="preserve">” if it made rate case determinations based on the perceived effects of greenhouse gases or global warming and would “usurp the authority” of DEP. </w:t>
      </w:r>
      <w:r w:rsidR="00A8419B" w:rsidRPr="006A631A">
        <w:rPr>
          <w:rFonts w:eastAsiaTheme="minorEastAsia"/>
          <w:sz w:val="26"/>
          <w:szCs w:val="26"/>
        </w:rPr>
        <w:t xml:space="preserve"> </w:t>
      </w:r>
      <w:r w:rsidR="00FA55BD" w:rsidRPr="006A631A">
        <w:rPr>
          <w:rFonts w:eastAsiaTheme="minorEastAsia"/>
          <w:i/>
          <w:sz w:val="26"/>
          <w:szCs w:val="26"/>
        </w:rPr>
        <w:t>Id.</w:t>
      </w:r>
      <w:r w:rsidR="00FA55BD" w:rsidRPr="006A631A">
        <w:rPr>
          <w:rFonts w:eastAsiaTheme="minorEastAsia"/>
          <w:sz w:val="26"/>
          <w:szCs w:val="26"/>
        </w:rPr>
        <w:t xml:space="preserve"> </w:t>
      </w:r>
      <w:r w:rsidRPr="006A631A">
        <w:rPr>
          <w:rFonts w:eastAsiaTheme="minorEastAsia"/>
          <w:sz w:val="26"/>
          <w:szCs w:val="26"/>
        </w:rPr>
        <w:t>Commission Cawley testified: “At the least, requiring the Commission to make ratemaking (or other) determinations in response to climate change would create the real possibility of disparate and potentially inconsistent regulation.”</w:t>
      </w:r>
      <w:r w:rsidR="00FB7FCD" w:rsidRPr="006A631A">
        <w:rPr>
          <w:rFonts w:eastAsiaTheme="minorEastAsia"/>
          <w:sz w:val="26"/>
          <w:szCs w:val="26"/>
        </w:rPr>
        <w:t xml:space="preserve">  </w:t>
      </w:r>
      <w:r w:rsidR="00FA55BD" w:rsidRPr="006A631A">
        <w:rPr>
          <w:rFonts w:eastAsiaTheme="minorEastAsia"/>
          <w:i/>
          <w:sz w:val="26"/>
          <w:szCs w:val="26"/>
        </w:rPr>
        <w:t>Id</w:t>
      </w:r>
      <w:r w:rsidR="00FB7FCD" w:rsidRPr="006A631A">
        <w:rPr>
          <w:rFonts w:eastAsiaTheme="minorEastAsia"/>
          <w:i/>
          <w:sz w:val="26"/>
          <w:szCs w:val="26"/>
        </w:rPr>
        <w:t>.</w:t>
      </w:r>
    </w:p>
    <w:p w14:paraId="4B9B3D21" w14:textId="30F45049" w:rsidR="0079699A" w:rsidRPr="006A631A" w:rsidRDefault="0079699A" w:rsidP="00F510B9">
      <w:pPr>
        <w:widowControl/>
        <w:kinsoku w:val="0"/>
        <w:overflowPunct w:val="0"/>
        <w:spacing w:line="360" w:lineRule="auto"/>
        <w:ind w:left="72" w:right="72"/>
        <w:textAlignment w:val="baseline"/>
        <w:rPr>
          <w:rFonts w:eastAsiaTheme="minorEastAsia"/>
          <w:sz w:val="26"/>
          <w:szCs w:val="26"/>
        </w:rPr>
      </w:pPr>
    </w:p>
    <w:p w14:paraId="1D84F369" w14:textId="351DDA94" w:rsidR="0079699A" w:rsidRPr="006A631A" w:rsidRDefault="0079699A" w:rsidP="00F510B9">
      <w:pPr>
        <w:widowControl/>
        <w:kinsoku w:val="0"/>
        <w:overflowPunct w:val="0"/>
        <w:spacing w:before="3" w:line="360" w:lineRule="auto"/>
        <w:ind w:left="72" w:right="144" w:firstLine="1368"/>
        <w:textAlignment w:val="baseline"/>
        <w:rPr>
          <w:rFonts w:eastAsiaTheme="minorEastAsia"/>
          <w:sz w:val="26"/>
          <w:szCs w:val="26"/>
        </w:rPr>
      </w:pPr>
      <w:r w:rsidRPr="006A631A">
        <w:rPr>
          <w:rFonts w:eastAsiaTheme="minorEastAsia"/>
          <w:sz w:val="26"/>
          <w:szCs w:val="26"/>
        </w:rPr>
        <w:t xml:space="preserve">PGW notes that, because the testimony of the Environmental Stakeholders did not tie its claims to any specific cost being charged to ratepayers in the test year, </w:t>
      </w:r>
      <w:r w:rsidRPr="006A631A">
        <w:rPr>
          <w:rFonts w:eastAsiaTheme="minorEastAsia"/>
          <w:sz w:val="26"/>
          <w:szCs w:val="26"/>
        </w:rPr>
        <w:lastRenderedPageBreak/>
        <w:t>and only made hypothetical and speculative assertions, the ALJs found that the Commission did not have jurisdiction to consider the Environmental Stakeholders’ testimony in this case or to consider PGW’s climate change plan in its next case.  But to nonetheless declare that the Commission generally has jurisdiction to hear about “environmental matters” in a rate case – not tied to a specific rate case claim or cost – extends the Commission’s jurisdiction beyond the power the legislature granted to the Commission to establish just and reasonable rates and reasonable and adequate service.</w:t>
      </w:r>
    </w:p>
    <w:p w14:paraId="4E5DE7B3" w14:textId="77777777" w:rsidR="0079699A" w:rsidRPr="006A631A" w:rsidRDefault="0079699A" w:rsidP="00F510B9">
      <w:pPr>
        <w:widowControl/>
        <w:spacing w:line="360" w:lineRule="auto"/>
        <w:ind w:firstLine="1440"/>
        <w:rPr>
          <w:sz w:val="26"/>
          <w:szCs w:val="26"/>
        </w:rPr>
      </w:pPr>
    </w:p>
    <w:p w14:paraId="038EAC53" w14:textId="1E1CA903" w:rsidR="0079699A" w:rsidRDefault="0079699A" w:rsidP="00F510B9">
      <w:pPr>
        <w:widowControl/>
        <w:spacing w:line="360" w:lineRule="auto"/>
        <w:ind w:firstLine="1440"/>
        <w:rPr>
          <w:sz w:val="26"/>
          <w:szCs w:val="26"/>
        </w:rPr>
      </w:pPr>
      <w:r w:rsidRPr="006A631A">
        <w:rPr>
          <w:sz w:val="26"/>
          <w:szCs w:val="26"/>
        </w:rPr>
        <w:t xml:space="preserve">We accept PGW’s argument that it is unadvisable for the Commission to make new policy or establish new filing requirements via individual rate cases.  We agree with PGW that it would be unfair to impose an undefined filing requirement upon it of the kind recommended by the ALJs in the absence of statutory, regulatory or other legal order or requirement that directs the creation and submission of information that is essentially a climate change plan.  </w:t>
      </w:r>
    </w:p>
    <w:p w14:paraId="4C8C9C33" w14:textId="77777777" w:rsidR="00BA2D55" w:rsidRPr="006A631A" w:rsidRDefault="00BA2D55" w:rsidP="00F510B9">
      <w:pPr>
        <w:widowControl/>
        <w:spacing w:line="360" w:lineRule="auto"/>
        <w:ind w:firstLine="1440"/>
        <w:rPr>
          <w:sz w:val="26"/>
          <w:szCs w:val="26"/>
        </w:rPr>
      </w:pPr>
    </w:p>
    <w:p w14:paraId="24A19C55" w14:textId="77777777" w:rsidR="0079699A" w:rsidRPr="006A631A" w:rsidRDefault="0079699A" w:rsidP="00BA2D55">
      <w:pPr>
        <w:widowControl/>
        <w:spacing w:line="360" w:lineRule="auto"/>
        <w:ind w:firstLine="1440"/>
        <w:rPr>
          <w:sz w:val="26"/>
          <w:szCs w:val="26"/>
        </w:rPr>
      </w:pPr>
      <w:r w:rsidRPr="006A631A">
        <w:rPr>
          <w:sz w:val="26"/>
          <w:szCs w:val="26"/>
        </w:rPr>
        <w:t xml:space="preserve">All stakeholders deserve notice and opportunity to be heard on policy issues like climate change.  This input would drive detailed and carefully constructed regulations or a policy statement governing the type, amount and breadth of information required to be submitted to the Commission. </w:t>
      </w:r>
    </w:p>
    <w:p w14:paraId="66F72A4A" w14:textId="77777777" w:rsidR="0079699A" w:rsidRPr="006A631A" w:rsidRDefault="0079699A" w:rsidP="00BA2D55">
      <w:pPr>
        <w:widowControl/>
        <w:spacing w:line="360" w:lineRule="auto"/>
        <w:ind w:firstLine="1440"/>
        <w:rPr>
          <w:sz w:val="26"/>
          <w:szCs w:val="26"/>
        </w:rPr>
      </w:pPr>
    </w:p>
    <w:p w14:paraId="331E48AD" w14:textId="7465E308" w:rsidR="0079699A" w:rsidRPr="006A631A" w:rsidRDefault="0079699A" w:rsidP="00BA2D55">
      <w:pPr>
        <w:widowControl/>
        <w:spacing w:line="360" w:lineRule="auto"/>
        <w:ind w:firstLine="1440"/>
        <w:rPr>
          <w:sz w:val="26"/>
          <w:szCs w:val="26"/>
        </w:rPr>
      </w:pPr>
      <w:r w:rsidRPr="006A631A">
        <w:rPr>
          <w:sz w:val="26"/>
          <w:szCs w:val="26"/>
        </w:rPr>
        <w:t xml:space="preserve">We want to be clear in stating </w:t>
      </w:r>
      <w:r w:rsidR="00DB3B37" w:rsidRPr="006A631A">
        <w:rPr>
          <w:sz w:val="26"/>
          <w:szCs w:val="26"/>
        </w:rPr>
        <w:t xml:space="preserve">here </w:t>
      </w:r>
      <w:r w:rsidRPr="006A631A">
        <w:rPr>
          <w:sz w:val="26"/>
          <w:szCs w:val="26"/>
        </w:rPr>
        <w:t>that we are not departing from our broad jurisdiction to regulate rates and determine the justness and reasonableness of same, including expense and revenue claims driven by weather patterns and customer usage.  In fact, we encourage all parties in rate case</w:t>
      </w:r>
      <w:r w:rsidR="00EA4125" w:rsidRPr="006A631A">
        <w:rPr>
          <w:sz w:val="26"/>
          <w:szCs w:val="26"/>
        </w:rPr>
        <w:t xml:space="preserve"> proceedings</w:t>
      </w:r>
      <w:r w:rsidRPr="006A631A">
        <w:rPr>
          <w:sz w:val="26"/>
          <w:szCs w:val="26"/>
        </w:rPr>
        <w:t xml:space="preserve"> to file appropriate information and supporting documentation for the establishment of rates and appropriate adjustments thereto.  We simply find that, </w:t>
      </w:r>
      <w:proofErr w:type="gramStart"/>
      <w:r w:rsidR="00F71D3C" w:rsidRPr="006A631A">
        <w:rPr>
          <w:sz w:val="26"/>
          <w:szCs w:val="26"/>
        </w:rPr>
        <w:t>at this time</w:t>
      </w:r>
      <w:proofErr w:type="gramEnd"/>
      <w:r w:rsidR="00F71D3C" w:rsidRPr="006A631A">
        <w:rPr>
          <w:sz w:val="26"/>
          <w:szCs w:val="26"/>
        </w:rPr>
        <w:t xml:space="preserve">, </w:t>
      </w:r>
      <w:r w:rsidR="002041A8" w:rsidRPr="006A631A">
        <w:rPr>
          <w:sz w:val="26"/>
          <w:szCs w:val="26"/>
        </w:rPr>
        <w:t>mandating</w:t>
      </w:r>
      <w:r w:rsidRPr="006A631A">
        <w:rPr>
          <w:sz w:val="26"/>
          <w:szCs w:val="26"/>
        </w:rPr>
        <w:t xml:space="preserve"> </w:t>
      </w:r>
      <w:r w:rsidR="002041A8" w:rsidRPr="006A631A">
        <w:rPr>
          <w:sz w:val="26"/>
          <w:szCs w:val="26"/>
        </w:rPr>
        <w:t>a</w:t>
      </w:r>
      <w:r w:rsidRPr="006A631A">
        <w:rPr>
          <w:sz w:val="26"/>
          <w:szCs w:val="26"/>
        </w:rPr>
        <w:t xml:space="preserve"> Climate Business Plan is beyond our </w:t>
      </w:r>
      <w:r w:rsidR="002041A8" w:rsidRPr="006A631A">
        <w:rPr>
          <w:sz w:val="26"/>
          <w:szCs w:val="26"/>
        </w:rPr>
        <w:t xml:space="preserve">primary </w:t>
      </w:r>
      <w:r w:rsidRPr="006A631A">
        <w:rPr>
          <w:sz w:val="26"/>
          <w:szCs w:val="26"/>
        </w:rPr>
        <w:t>jurisdiction</w:t>
      </w:r>
      <w:r w:rsidR="002041A8" w:rsidRPr="006A631A">
        <w:rPr>
          <w:sz w:val="26"/>
          <w:szCs w:val="26"/>
        </w:rPr>
        <w:t xml:space="preserve">.  </w:t>
      </w:r>
      <w:r w:rsidRPr="006A631A">
        <w:rPr>
          <w:sz w:val="26"/>
          <w:szCs w:val="26"/>
        </w:rPr>
        <w:t xml:space="preserve"> </w:t>
      </w:r>
    </w:p>
    <w:p w14:paraId="2BD6EEFD" w14:textId="77777777" w:rsidR="0079699A" w:rsidRPr="006A631A" w:rsidRDefault="0079699A" w:rsidP="00BA2D55">
      <w:pPr>
        <w:widowControl/>
        <w:spacing w:line="360" w:lineRule="auto"/>
        <w:ind w:firstLine="1440"/>
        <w:rPr>
          <w:sz w:val="26"/>
          <w:szCs w:val="26"/>
        </w:rPr>
      </w:pPr>
    </w:p>
    <w:p w14:paraId="6F9B2717" w14:textId="5D2929BB" w:rsidR="0079699A" w:rsidRPr="006A631A" w:rsidRDefault="0079699A" w:rsidP="00BA2D55">
      <w:pPr>
        <w:widowControl/>
        <w:spacing w:line="360" w:lineRule="auto"/>
        <w:ind w:firstLine="1440"/>
        <w:rPr>
          <w:sz w:val="26"/>
          <w:szCs w:val="26"/>
        </w:rPr>
      </w:pPr>
      <w:r w:rsidRPr="006A631A">
        <w:rPr>
          <w:sz w:val="26"/>
          <w:szCs w:val="26"/>
        </w:rPr>
        <w:lastRenderedPageBreak/>
        <w:t xml:space="preserve">We observe that the ALJs denied </w:t>
      </w:r>
      <w:r w:rsidR="00DD7B55" w:rsidRPr="006A631A">
        <w:rPr>
          <w:sz w:val="26"/>
          <w:szCs w:val="26"/>
        </w:rPr>
        <w:t xml:space="preserve">the </w:t>
      </w:r>
      <w:r w:rsidRPr="006A631A">
        <w:rPr>
          <w:sz w:val="26"/>
          <w:szCs w:val="26"/>
        </w:rPr>
        <w:t>Environmental Stakeholders’ broad request to deny the rate increase in its entirety and recommended the approval of the Partial Settlement with modifications.  No alleged “gap in the record” regarding climate information was so great that the ALJs were convinced that the proposed settlement rates should be rejected, or even tha</w:t>
      </w:r>
      <w:r w:rsidR="00A8419B" w:rsidRPr="006A631A">
        <w:rPr>
          <w:sz w:val="26"/>
          <w:szCs w:val="26"/>
        </w:rPr>
        <w:t>t an adjustment should be made.</w:t>
      </w:r>
      <w:r w:rsidRPr="006A631A">
        <w:rPr>
          <w:sz w:val="26"/>
          <w:szCs w:val="26"/>
        </w:rPr>
        <w:t xml:space="preserve">  Instead, the approach taken was to paint broad policy strokes advocating a regulatory scheme quite different than the existing landscape.</w:t>
      </w:r>
    </w:p>
    <w:p w14:paraId="2E378CA0" w14:textId="77777777" w:rsidR="0079699A" w:rsidRPr="006A631A" w:rsidRDefault="0079699A" w:rsidP="00F510B9">
      <w:pPr>
        <w:keepNext/>
        <w:keepLines/>
        <w:widowControl/>
        <w:spacing w:line="360" w:lineRule="auto"/>
        <w:ind w:firstLine="1440"/>
        <w:rPr>
          <w:sz w:val="26"/>
          <w:szCs w:val="26"/>
        </w:rPr>
      </w:pPr>
    </w:p>
    <w:p w14:paraId="241AA5ED" w14:textId="77777777" w:rsidR="0079699A" w:rsidRPr="006A631A" w:rsidRDefault="0079699A" w:rsidP="00F510B9">
      <w:pPr>
        <w:keepNext/>
        <w:keepLines/>
        <w:widowControl/>
        <w:spacing w:line="360" w:lineRule="auto"/>
        <w:ind w:firstLine="1440"/>
        <w:rPr>
          <w:sz w:val="26"/>
          <w:szCs w:val="26"/>
        </w:rPr>
      </w:pPr>
      <w:r w:rsidRPr="006A631A">
        <w:rPr>
          <w:sz w:val="26"/>
          <w:szCs w:val="26"/>
        </w:rPr>
        <w:t xml:space="preserve">Accordingly, the ALJs’ recommendation on this issue is rejected and PGW’s Exceptions are granted. </w:t>
      </w:r>
    </w:p>
    <w:p w14:paraId="46CEA841" w14:textId="77777777" w:rsidR="0079699A" w:rsidRPr="006A631A" w:rsidRDefault="0079699A" w:rsidP="00F510B9">
      <w:pPr>
        <w:keepNext/>
        <w:keepLines/>
        <w:widowControl/>
        <w:spacing w:line="360" w:lineRule="auto"/>
        <w:rPr>
          <w:sz w:val="26"/>
          <w:szCs w:val="26"/>
        </w:rPr>
      </w:pPr>
    </w:p>
    <w:p w14:paraId="01199CE9" w14:textId="3AF4BAF3" w:rsidR="0079699A" w:rsidRPr="006A631A" w:rsidRDefault="00602DFB" w:rsidP="00602DFB">
      <w:pPr>
        <w:pStyle w:val="Heading1"/>
        <w:numPr>
          <w:ilvl w:val="0"/>
          <w:numId w:val="0"/>
        </w:numPr>
        <w:rPr>
          <w:szCs w:val="26"/>
        </w:rPr>
      </w:pPr>
      <w:bookmarkStart w:id="59" w:name="_Toc55888204"/>
      <w:r w:rsidRPr="006A631A">
        <w:rPr>
          <w:szCs w:val="26"/>
        </w:rPr>
        <w:t>IV.</w:t>
      </w:r>
      <w:r w:rsidRPr="006A631A">
        <w:rPr>
          <w:szCs w:val="26"/>
        </w:rPr>
        <w:tab/>
      </w:r>
      <w:r w:rsidR="0079699A" w:rsidRPr="006A631A">
        <w:rPr>
          <w:szCs w:val="26"/>
        </w:rPr>
        <w:t>Conclusion</w:t>
      </w:r>
      <w:bookmarkEnd w:id="59"/>
    </w:p>
    <w:p w14:paraId="4EA53B35" w14:textId="77777777" w:rsidR="0079699A" w:rsidRPr="006A631A" w:rsidRDefault="0079699A" w:rsidP="00F510B9">
      <w:pPr>
        <w:widowControl/>
        <w:spacing w:line="360" w:lineRule="auto"/>
        <w:rPr>
          <w:sz w:val="26"/>
          <w:szCs w:val="26"/>
        </w:rPr>
      </w:pPr>
    </w:p>
    <w:p w14:paraId="33DD52AC" w14:textId="77777777" w:rsidR="0079699A" w:rsidRPr="006A631A" w:rsidRDefault="0079699A" w:rsidP="00F510B9">
      <w:pPr>
        <w:widowControl/>
        <w:spacing w:line="360" w:lineRule="auto"/>
        <w:ind w:firstLine="1440"/>
        <w:rPr>
          <w:sz w:val="26"/>
          <w:szCs w:val="26"/>
        </w:rPr>
      </w:pPr>
      <w:r w:rsidRPr="006A631A">
        <w:rPr>
          <w:color w:val="000000"/>
          <w:sz w:val="26"/>
          <w:szCs w:val="26"/>
        </w:rPr>
        <w:t>We have reviewed the record as developed in this proceeding, including the ALJs’ Recommended Decision and the Exceptions and Replies filed thereto.  Based upon our review, evaluation and analysis of the record evidence, we shall grant</w:t>
      </w:r>
      <w:r w:rsidRPr="006A631A">
        <w:rPr>
          <w:sz w:val="26"/>
          <w:szCs w:val="26"/>
        </w:rPr>
        <w:t xml:space="preserve"> the Exceptions filed by PGW, I&amp;E, the OCA, and PICGUG, approve the Partial Settlement in its entirety, and adopt the ALJs’ Recommended Decision, as modified, consistent with this Opinion and Order; </w:t>
      </w:r>
      <w:r w:rsidRPr="006A631A">
        <w:rPr>
          <w:b/>
          <w:sz w:val="26"/>
          <w:szCs w:val="26"/>
        </w:rPr>
        <w:t>THEREFORE,</w:t>
      </w:r>
    </w:p>
    <w:p w14:paraId="4CB95D6F" w14:textId="77777777" w:rsidR="0079699A" w:rsidRPr="006A631A" w:rsidRDefault="0079699A" w:rsidP="00F510B9">
      <w:pPr>
        <w:widowControl/>
        <w:spacing w:line="360" w:lineRule="auto"/>
        <w:rPr>
          <w:sz w:val="26"/>
          <w:szCs w:val="26"/>
        </w:rPr>
      </w:pPr>
    </w:p>
    <w:p w14:paraId="7E425A11" w14:textId="77777777" w:rsidR="0079699A" w:rsidRPr="006A631A" w:rsidRDefault="0079699A" w:rsidP="00F510B9">
      <w:pPr>
        <w:widowControl/>
        <w:spacing w:after="200" w:line="360" w:lineRule="auto"/>
        <w:ind w:firstLine="1440"/>
        <w:contextualSpacing/>
        <w:rPr>
          <w:rFonts w:eastAsiaTheme="minorHAnsi"/>
          <w:b/>
          <w:sz w:val="26"/>
          <w:szCs w:val="26"/>
        </w:rPr>
      </w:pPr>
      <w:r w:rsidRPr="006A631A">
        <w:rPr>
          <w:rFonts w:eastAsiaTheme="minorHAnsi"/>
          <w:b/>
          <w:sz w:val="26"/>
          <w:szCs w:val="26"/>
        </w:rPr>
        <w:t>IT IS ORDERED:</w:t>
      </w:r>
    </w:p>
    <w:p w14:paraId="528629D9" w14:textId="77777777" w:rsidR="0079699A" w:rsidRPr="006A631A" w:rsidRDefault="0079699A" w:rsidP="00F510B9">
      <w:pPr>
        <w:widowControl/>
        <w:spacing w:after="200" w:line="360" w:lineRule="auto"/>
        <w:ind w:firstLine="1440"/>
        <w:contextualSpacing/>
        <w:rPr>
          <w:rFonts w:eastAsiaTheme="minorHAnsi"/>
          <w:sz w:val="26"/>
          <w:szCs w:val="26"/>
        </w:rPr>
      </w:pPr>
    </w:p>
    <w:p w14:paraId="0000446D" w14:textId="77777777" w:rsidR="0079699A" w:rsidRPr="006A631A" w:rsidRDefault="0079699A" w:rsidP="00217EEC">
      <w:pPr>
        <w:widowControl/>
        <w:spacing w:after="200" w:line="360" w:lineRule="auto"/>
        <w:ind w:firstLine="1440"/>
        <w:contextualSpacing/>
        <w:rPr>
          <w:rFonts w:eastAsiaTheme="minorHAnsi"/>
          <w:sz w:val="26"/>
          <w:szCs w:val="26"/>
        </w:rPr>
      </w:pPr>
      <w:r w:rsidRPr="006A631A">
        <w:rPr>
          <w:rFonts w:eastAsiaTheme="minorHAnsi"/>
          <w:sz w:val="26"/>
          <w:szCs w:val="26"/>
        </w:rPr>
        <w:t>1.</w:t>
      </w:r>
      <w:r w:rsidRPr="006A631A">
        <w:rPr>
          <w:rFonts w:eastAsiaTheme="minorHAnsi"/>
          <w:sz w:val="26"/>
          <w:szCs w:val="26"/>
        </w:rPr>
        <w:tab/>
        <w:t>That the Exceptions of the Bureau of Investigation and Enforcement, filed on October 15, 2020, are granted, consistent with this Opinion and Order.</w:t>
      </w:r>
    </w:p>
    <w:p w14:paraId="254DADDD" w14:textId="77777777" w:rsidR="0079699A" w:rsidRPr="006A631A" w:rsidRDefault="0079699A" w:rsidP="00217EEC">
      <w:pPr>
        <w:widowControl/>
        <w:spacing w:after="200" w:line="360" w:lineRule="auto"/>
        <w:ind w:firstLine="1440"/>
        <w:contextualSpacing/>
        <w:rPr>
          <w:rFonts w:eastAsiaTheme="minorHAnsi"/>
          <w:sz w:val="26"/>
          <w:szCs w:val="26"/>
        </w:rPr>
      </w:pPr>
    </w:p>
    <w:p w14:paraId="3013CDD4" w14:textId="22666806" w:rsidR="0079699A" w:rsidRPr="006A631A" w:rsidRDefault="0079699A" w:rsidP="00217EEC">
      <w:pPr>
        <w:widowControl/>
        <w:spacing w:after="200" w:line="360" w:lineRule="auto"/>
        <w:ind w:firstLine="1440"/>
        <w:contextualSpacing/>
        <w:rPr>
          <w:rFonts w:eastAsiaTheme="minorHAnsi"/>
          <w:sz w:val="26"/>
          <w:szCs w:val="26"/>
        </w:rPr>
      </w:pPr>
      <w:r w:rsidRPr="006A631A">
        <w:rPr>
          <w:rFonts w:eastAsiaTheme="minorHAnsi"/>
          <w:sz w:val="26"/>
          <w:szCs w:val="26"/>
        </w:rPr>
        <w:t>2.</w:t>
      </w:r>
      <w:r w:rsidRPr="006A631A">
        <w:rPr>
          <w:rFonts w:eastAsiaTheme="minorHAnsi"/>
          <w:sz w:val="26"/>
          <w:szCs w:val="26"/>
        </w:rPr>
        <w:tab/>
        <w:t>That the Exceptions of Philadelphia Gas Works, filed on October</w:t>
      </w:r>
      <w:r w:rsidR="00BA2D55">
        <w:rPr>
          <w:rFonts w:eastAsiaTheme="minorHAnsi"/>
          <w:sz w:val="26"/>
          <w:szCs w:val="26"/>
        </w:rPr>
        <w:t> </w:t>
      </w:r>
      <w:r w:rsidRPr="006A631A">
        <w:rPr>
          <w:rFonts w:eastAsiaTheme="minorHAnsi"/>
          <w:sz w:val="26"/>
          <w:szCs w:val="26"/>
        </w:rPr>
        <w:t>15,</w:t>
      </w:r>
      <w:r w:rsidR="00BA2D55">
        <w:rPr>
          <w:rFonts w:eastAsiaTheme="minorHAnsi"/>
          <w:sz w:val="26"/>
          <w:szCs w:val="26"/>
        </w:rPr>
        <w:t> </w:t>
      </w:r>
      <w:r w:rsidRPr="006A631A">
        <w:rPr>
          <w:rFonts w:eastAsiaTheme="minorHAnsi"/>
          <w:sz w:val="26"/>
          <w:szCs w:val="26"/>
        </w:rPr>
        <w:t>2020, are granted, consistent with this Opinion and Order.</w:t>
      </w:r>
    </w:p>
    <w:p w14:paraId="02CC1DC7" w14:textId="77777777" w:rsidR="0079699A" w:rsidRPr="006A631A" w:rsidRDefault="0079699A" w:rsidP="00217EEC">
      <w:pPr>
        <w:widowControl/>
        <w:spacing w:after="200" w:line="360" w:lineRule="auto"/>
        <w:ind w:firstLine="1440"/>
        <w:contextualSpacing/>
        <w:rPr>
          <w:rFonts w:eastAsiaTheme="minorHAnsi"/>
          <w:sz w:val="26"/>
          <w:szCs w:val="26"/>
        </w:rPr>
      </w:pPr>
    </w:p>
    <w:p w14:paraId="6B9F1403" w14:textId="77777777" w:rsidR="0079699A" w:rsidRPr="006A631A" w:rsidRDefault="0079699A" w:rsidP="00217EEC">
      <w:pPr>
        <w:widowControl/>
        <w:spacing w:line="360" w:lineRule="auto"/>
        <w:ind w:firstLine="1440"/>
        <w:contextualSpacing/>
        <w:rPr>
          <w:rFonts w:eastAsiaTheme="minorHAnsi"/>
          <w:sz w:val="26"/>
          <w:szCs w:val="26"/>
        </w:rPr>
      </w:pPr>
      <w:r w:rsidRPr="006A631A">
        <w:rPr>
          <w:rFonts w:eastAsiaTheme="minorHAnsi"/>
          <w:sz w:val="26"/>
          <w:szCs w:val="26"/>
        </w:rPr>
        <w:lastRenderedPageBreak/>
        <w:t>3.</w:t>
      </w:r>
      <w:r w:rsidRPr="006A631A">
        <w:rPr>
          <w:rFonts w:eastAsiaTheme="minorHAnsi"/>
          <w:sz w:val="26"/>
          <w:szCs w:val="26"/>
        </w:rPr>
        <w:tab/>
        <w:t>That the Exceptions of the Office of Consumer Advocate, filed on October 15, 2020, are granted, consistent with this Opinion and Order.</w:t>
      </w:r>
    </w:p>
    <w:p w14:paraId="50CFA430" w14:textId="77777777" w:rsidR="0079699A" w:rsidRPr="006A631A" w:rsidRDefault="0079699A" w:rsidP="00217EEC">
      <w:pPr>
        <w:widowControl/>
        <w:spacing w:line="360" w:lineRule="auto"/>
        <w:ind w:firstLine="1440"/>
        <w:contextualSpacing/>
        <w:rPr>
          <w:rFonts w:eastAsiaTheme="minorHAnsi"/>
          <w:sz w:val="26"/>
          <w:szCs w:val="26"/>
        </w:rPr>
      </w:pPr>
    </w:p>
    <w:p w14:paraId="48DAA1F9" w14:textId="77777777" w:rsidR="0079699A" w:rsidRPr="006A631A" w:rsidRDefault="0079699A" w:rsidP="00217EEC">
      <w:pPr>
        <w:pStyle w:val="ListParagraph"/>
        <w:widowControl/>
        <w:spacing w:line="360" w:lineRule="auto"/>
        <w:ind w:left="0" w:firstLine="1440"/>
        <w:rPr>
          <w:rFonts w:eastAsiaTheme="minorHAnsi"/>
          <w:sz w:val="26"/>
          <w:szCs w:val="26"/>
        </w:rPr>
      </w:pPr>
      <w:r w:rsidRPr="006A631A">
        <w:rPr>
          <w:rFonts w:eastAsiaTheme="minorHAnsi"/>
          <w:sz w:val="26"/>
          <w:szCs w:val="26"/>
        </w:rPr>
        <w:t>4.</w:t>
      </w:r>
      <w:r w:rsidRPr="006A631A">
        <w:rPr>
          <w:rFonts w:eastAsiaTheme="minorHAnsi"/>
          <w:sz w:val="26"/>
          <w:szCs w:val="26"/>
        </w:rPr>
        <w:tab/>
        <w:t>That the Exceptions of the Philadelphia Industrial and Commercial Gas Users Group, filed on October 15, 2020, are granted, consistent with this Opinion and Order.</w:t>
      </w:r>
    </w:p>
    <w:p w14:paraId="0684B3D0" w14:textId="77777777" w:rsidR="0079699A" w:rsidRPr="006A631A" w:rsidRDefault="0079699A" w:rsidP="00217EEC">
      <w:pPr>
        <w:widowControl/>
        <w:spacing w:line="360" w:lineRule="auto"/>
        <w:contextualSpacing/>
        <w:rPr>
          <w:rFonts w:eastAsiaTheme="minorHAnsi"/>
          <w:sz w:val="26"/>
          <w:szCs w:val="26"/>
        </w:rPr>
      </w:pPr>
    </w:p>
    <w:p w14:paraId="2BF2EAAF" w14:textId="77777777" w:rsidR="0079699A" w:rsidRPr="006A631A" w:rsidRDefault="0079699A" w:rsidP="00217EEC">
      <w:pPr>
        <w:widowControl/>
        <w:spacing w:line="360" w:lineRule="auto"/>
        <w:ind w:firstLine="1440"/>
        <w:contextualSpacing/>
        <w:rPr>
          <w:rFonts w:eastAsiaTheme="minorHAnsi"/>
          <w:sz w:val="26"/>
          <w:szCs w:val="26"/>
        </w:rPr>
      </w:pPr>
      <w:r w:rsidRPr="006A631A">
        <w:rPr>
          <w:rFonts w:eastAsiaTheme="minorHAnsi"/>
          <w:sz w:val="26"/>
          <w:szCs w:val="26"/>
        </w:rPr>
        <w:t>5.</w:t>
      </w:r>
      <w:r w:rsidRPr="006A631A">
        <w:rPr>
          <w:rFonts w:eastAsiaTheme="minorHAnsi"/>
          <w:sz w:val="26"/>
          <w:szCs w:val="26"/>
        </w:rPr>
        <w:tab/>
        <w:t>That the Recommended Decision of Administrative Law Judges, Darlene Davis Heep and Marta Guhl, issued on October 5, 2020, is adopted as modified by and consistent with this Opinion and Order.</w:t>
      </w:r>
    </w:p>
    <w:p w14:paraId="2122174A" w14:textId="77777777" w:rsidR="0079699A" w:rsidRPr="006A631A" w:rsidRDefault="0079699A" w:rsidP="00217EEC">
      <w:pPr>
        <w:widowControl/>
        <w:spacing w:line="360" w:lineRule="auto"/>
        <w:ind w:firstLine="1440"/>
        <w:contextualSpacing/>
        <w:rPr>
          <w:rFonts w:eastAsiaTheme="minorHAnsi"/>
          <w:sz w:val="26"/>
          <w:szCs w:val="26"/>
        </w:rPr>
      </w:pPr>
    </w:p>
    <w:p w14:paraId="33E431F3" w14:textId="215C1896" w:rsidR="0079699A" w:rsidRPr="006A631A" w:rsidRDefault="0079699A" w:rsidP="00217EEC">
      <w:pPr>
        <w:widowControl/>
        <w:spacing w:line="360" w:lineRule="auto"/>
        <w:ind w:firstLine="1440"/>
        <w:contextualSpacing/>
        <w:rPr>
          <w:rFonts w:eastAsiaTheme="minorHAnsi"/>
          <w:sz w:val="26"/>
          <w:szCs w:val="26"/>
        </w:rPr>
      </w:pPr>
      <w:r w:rsidRPr="006A631A">
        <w:rPr>
          <w:rFonts w:eastAsiaTheme="minorHAnsi"/>
          <w:sz w:val="26"/>
          <w:szCs w:val="26"/>
        </w:rPr>
        <w:t>6.</w:t>
      </w:r>
      <w:r w:rsidRPr="006A631A">
        <w:rPr>
          <w:rFonts w:eastAsiaTheme="minorHAnsi"/>
          <w:sz w:val="26"/>
          <w:szCs w:val="26"/>
        </w:rPr>
        <w:tab/>
        <w:t>That the Joint Petition for Partial Settlement filed on August</w:t>
      </w:r>
      <w:r w:rsidR="00BA2D55">
        <w:rPr>
          <w:rFonts w:eastAsiaTheme="minorHAnsi"/>
          <w:sz w:val="26"/>
          <w:szCs w:val="26"/>
        </w:rPr>
        <w:t> </w:t>
      </w:r>
      <w:r w:rsidRPr="006A631A">
        <w:rPr>
          <w:rFonts w:eastAsiaTheme="minorHAnsi"/>
          <w:sz w:val="26"/>
          <w:szCs w:val="26"/>
        </w:rPr>
        <w:t>26,</w:t>
      </w:r>
      <w:r w:rsidR="00BA2D55">
        <w:rPr>
          <w:rFonts w:eastAsiaTheme="minorHAnsi"/>
          <w:sz w:val="26"/>
          <w:szCs w:val="26"/>
        </w:rPr>
        <w:t> </w:t>
      </w:r>
      <w:r w:rsidRPr="006A631A">
        <w:rPr>
          <w:rFonts w:eastAsiaTheme="minorHAnsi"/>
          <w:sz w:val="26"/>
          <w:szCs w:val="26"/>
        </w:rPr>
        <w:t xml:space="preserve">2020, </w:t>
      </w:r>
      <w:r w:rsidRPr="006A631A">
        <w:rPr>
          <w:sz w:val="26"/>
          <w:szCs w:val="26"/>
        </w:rPr>
        <w:t>by the Commission’s Bureau of Investigation and Enforcement, the Office of Consumer Advocate, the Office of Small Business Advocate, the Philadelphia Industrial and Commercial Gas Users Group, and Philadelphia Gas Works, is approved in its entirety, without modification.</w:t>
      </w:r>
    </w:p>
    <w:p w14:paraId="545CF65E" w14:textId="77777777" w:rsidR="0079699A" w:rsidRPr="006A631A" w:rsidRDefault="0079699A" w:rsidP="00217EEC">
      <w:pPr>
        <w:widowControl/>
        <w:spacing w:after="200" w:line="360" w:lineRule="auto"/>
        <w:contextualSpacing/>
        <w:rPr>
          <w:rFonts w:eastAsiaTheme="minorHAnsi"/>
          <w:sz w:val="26"/>
          <w:szCs w:val="26"/>
        </w:rPr>
      </w:pPr>
    </w:p>
    <w:p w14:paraId="18840512" w14:textId="46C80B9A" w:rsidR="003B02E7" w:rsidRPr="006A631A" w:rsidRDefault="003B02E7" w:rsidP="00217EEC">
      <w:pPr>
        <w:spacing w:after="200" w:line="360" w:lineRule="auto"/>
        <w:ind w:firstLine="1440"/>
        <w:contextualSpacing/>
        <w:rPr>
          <w:rFonts w:eastAsia="Calibri"/>
          <w:color w:val="000000" w:themeColor="text1"/>
          <w:sz w:val="26"/>
          <w:szCs w:val="26"/>
        </w:rPr>
      </w:pPr>
      <w:r w:rsidRPr="006A631A">
        <w:rPr>
          <w:rFonts w:eastAsia="Calibri"/>
          <w:color w:val="000000" w:themeColor="text1"/>
          <w:sz w:val="26"/>
          <w:szCs w:val="26"/>
        </w:rPr>
        <w:t>7.</w:t>
      </w:r>
      <w:r w:rsidRPr="006A631A">
        <w:rPr>
          <w:rFonts w:eastAsia="Calibri"/>
          <w:color w:val="000000" w:themeColor="text1"/>
          <w:sz w:val="26"/>
          <w:szCs w:val="26"/>
        </w:rPr>
        <w:tab/>
        <w:t>That Philadelphia Gas Works shall not place into effect the rates, rules, and regulations contained in Supplement No. 128 to Gas Service Tariff – Pa.</w:t>
      </w:r>
      <w:r w:rsidR="00BA2D55">
        <w:rPr>
          <w:rFonts w:eastAsia="Calibri"/>
          <w:color w:val="000000" w:themeColor="text1"/>
          <w:sz w:val="26"/>
          <w:szCs w:val="26"/>
        </w:rPr>
        <w:t> </w:t>
      </w:r>
      <w:r w:rsidRPr="006A631A">
        <w:rPr>
          <w:rFonts w:eastAsia="Calibri"/>
          <w:color w:val="000000" w:themeColor="text1"/>
          <w:sz w:val="26"/>
          <w:szCs w:val="26"/>
        </w:rPr>
        <w:t>P.U.C. No. 2, as filed.</w:t>
      </w:r>
    </w:p>
    <w:p w14:paraId="1BC34AA6" w14:textId="77777777" w:rsidR="003B02E7" w:rsidRPr="006A631A" w:rsidRDefault="003B02E7" w:rsidP="00217EEC">
      <w:pPr>
        <w:spacing w:after="200" w:line="360" w:lineRule="auto"/>
        <w:ind w:firstLine="1440"/>
        <w:contextualSpacing/>
        <w:rPr>
          <w:rFonts w:eastAsia="Calibri"/>
          <w:color w:val="000000" w:themeColor="text1"/>
          <w:sz w:val="26"/>
          <w:szCs w:val="26"/>
        </w:rPr>
      </w:pPr>
    </w:p>
    <w:p w14:paraId="2E13843E" w14:textId="0371ED9D" w:rsidR="003B02E7" w:rsidRPr="006A631A" w:rsidRDefault="003B02E7" w:rsidP="00217EEC">
      <w:pPr>
        <w:spacing w:after="200" w:line="360" w:lineRule="auto"/>
        <w:ind w:firstLine="1440"/>
        <w:contextualSpacing/>
        <w:rPr>
          <w:rFonts w:eastAsia="Calibri"/>
          <w:color w:val="000000" w:themeColor="text1"/>
          <w:sz w:val="26"/>
          <w:szCs w:val="26"/>
        </w:rPr>
      </w:pPr>
      <w:r w:rsidRPr="006A631A">
        <w:rPr>
          <w:rFonts w:eastAsia="Calibri"/>
          <w:color w:val="000000" w:themeColor="text1"/>
          <w:sz w:val="26"/>
          <w:szCs w:val="26"/>
        </w:rPr>
        <w:t>8.</w:t>
      </w:r>
      <w:r w:rsidRPr="006A631A">
        <w:rPr>
          <w:rFonts w:eastAsia="Calibri"/>
          <w:color w:val="000000" w:themeColor="text1"/>
          <w:sz w:val="26"/>
          <w:szCs w:val="26"/>
        </w:rPr>
        <w:tab/>
        <w:t>That Philadelphia Gas Works shall not place into effect the rates, rules, and regulations contained in Supplement No. 85 to Gas Service Tariff – Pa. P.U.C. No.</w:t>
      </w:r>
      <w:r w:rsidR="00BA2D55">
        <w:rPr>
          <w:rFonts w:eastAsia="Calibri"/>
          <w:color w:val="000000" w:themeColor="text1"/>
          <w:sz w:val="26"/>
          <w:szCs w:val="26"/>
        </w:rPr>
        <w:t> </w:t>
      </w:r>
      <w:r w:rsidRPr="006A631A">
        <w:rPr>
          <w:rFonts w:eastAsia="Calibri"/>
          <w:color w:val="000000" w:themeColor="text1"/>
          <w:sz w:val="26"/>
          <w:szCs w:val="26"/>
        </w:rPr>
        <w:t>1, as filed.</w:t>
      </w:r>
    </w:p>
    <w:p w14:paraId="3DC5125E" w14:textId="77777777" w:rsidR="003B02E7" w:rsidRPr="006A631A" w:rsidRDefault="003B02E7" w:rsidP="00217EEC">
      <w:pPr>
        <w:spacing w:after="200" w:line="360" w:lineRule="auto"/>
        <w:ind w:firstLine="1440"/>
        <w:contextualSpacing/>
        <w:rPr>
          <w:rFonts w:eastAsia="Calibri"/>
          <w:color w:val="000000" w:themeColor="text1"/>
          <w:sz w:val="26"/>
          <w:szCs w:val="26"/>
        </w:rPr>
      </w:pPr>
    </w:p>
    <w:p w14:paraId="4C5E83CD" w14:textId="77777777" w:rsidR="003B02E7" w:rsidRPr="006A631A" w:rsidRDefault="003B02E7" w:rsidP="00217EEC">
      <w:pPr>
        <w:widowControl/>
        <w:spacing w:line="360" w:lineRule="auto"/>
        <w:ind w:firstLine="1440"/>
        <w:contextualSpacing/>
        <w:rPr>
          <w:rFonts w:eastAsia="Calibri"/>
          <w:color w:val="000000" w:themeColor="text1"/>
          <w:sz w:val="26"/>
          <w:szCs w:val="26"/>
        </w:rPr>
      </w:pPr>
      <w:r w:rsidRPr="006A631A">
        <w:rPr>
          <w:rFonts w:eastAsia="Calibri"/>
          <w:color w:val="000000" w:themeColor="text1"/>
          <w:sz w:val="26"/>
          <w:szCs w:val="26"/>
        </w:rPr>
        <w:t>9.</w:t>
      </w:r>
      <w:r w:rsidRPr="006A631A">
        <w:rPr>
          <w:rFonts w:eastAsia="Calibri"/>
          <w:color w:val="000000" w:themeColor="text1"/>
          <w:sz w:val="26"/>
          <w:szCs w:val="26"/>
        </w:rPr>
        <w:tab/>
        <w:t xml:space="preserve">That Philadelphia Gas Works is authorized to file tariffs, tariff supplements and/or tariff revisions, designed to produce a total annual distribution rate revenue increase of approximately $35 million, consistent with the manner described and </w:t>
      </w:r>
      <w:r w:rsidRPr="006A631A">
        <w:rPr>
          <w:rFonts w:eastAsia="Calibri"/>
          <w:color w:val="000000" w:themeColor="text1"/>
          <w:sz w:val="26"/>
          <w:szCs w:val="26"/>
        </w:rPr>
        <w:lastRenderedPageBreak/>
        <w:t>the rates, rules and regulations set forth in Exhibit 1 (proof of revenue)</w:t>
      </w:r>
      <w:r w:rsidRPr="006A631A">
        <w:rPr>
          <w:color w:val="000000" w:themeColor="text1"/>
          <w:sz w:val="26"/>
          <w:szCs w:val="26"/>
        </w:rPr>
        <w:t xml:space="preserve"> </w:t>
      </w:r>
      <w:r w:rsidRPr="006A631A">
        <w:rPr>
          <w:rFonts w:eastAsia="Calibri"/>
          <w:color w:val="000000" w:themeColor="text1"/>
          <w:sz w:val="26"/>
          <w:szCs w:val="26"/>
        </w:rPr>
        <w:t>in the Joint Petition for Partial Settlement.</w:t>
      </w:r>
    </w:p>
    <w:p w14:paraId="60F33FA3" w14:textId="77777777" w:rsidR="003B02E7" w:rsidRPr="006A631A" w:rsidRDefault="003B02E7" w:rsidP="003B02E7">
      <w:pPr>
        <w:spacing w:line="360" w:lineRule="auto"/>
        <w:ind w:firstLine="1440"/>
        <w:contextualSpacing/>
        <w:rPr>
          <w:rFonts w:eastAsia="Calibri"/>
          <w:color w:val="000000" w:themeColor="text1"/>
          <w:sz w:val="26"/>
          <w:szCs w:val="26"/>
        </w:rPr>
      </w:pPr>
    </w:p>
    <w:p w14:paraId="6EDD4D31" w14:textId="77777777" w:rsidR="003B02E7" w:rsidRPr="006A631A" w:rsidRDefault="003B02E7" w:rsidP="003B02E7">
      <w:pPr>
        <w:spacing w:line="360" w:lineRule="auto"/>
        <w:ind w:firstLine="1440"/>
        <w:contextualSpacing/>
        <w:rPr>
          <w:rFonts w:eastAsia="Calibri"/>
          <w:color w:val="000000" w:themeColor="text1"/>
          <w:sz w:val="26"/>
          <w:szCs w:val="26"/>
        </w:rPr>
      </w:pPr>
      <w:r w:rsidRPr="006A631A">
        <w:rPr>
          <w:rFonts w:eastAsia="Calibri"/>
          <w:color w:val="000000" w:themeColor="text1"/>
          <w:sz w:val="26"/>
          <w:szCs w:val="26"/>
        </w:rPr>
        <w:t>10.</w:t>
      </w:r>
      <w:r w:rsidRPr="006A631A">
        <w:rPr>
          <w:rFonts w:eastAsia="Calibri"/>
          <w:color w:val="000000" w:themeColor="text1"/>
          <w:sz w:val="26"/>
          <w:szCs w:val="26"/>
        </w:rPr>
        <w:tab/>
        <w:t xml:space="preserve">That Philadelphia Gas Works is authorized to file tariffs, tariff supplements and/or tariff revisions, on at least one day’s notice, and pursuant to the provisions of 52 Pa. Code §§ 53.1, </w:t>
      </w:r>
      <w:r w:rsidRPr="006A631A">
        <w:rPr>
          <w:rFonts w:eastAsia="Calibri"/>
          <w:i/>
          <w:color w:val="000000" w:themeColor="text1"/>
          <w:sz w:val="26"/>
          <w:szCs w:val="26"/>
        </w:rPr>
        <w:t>et seq.</w:t>
      </w:r>
      <w:r w:rsidRPr="00BA2D55">
        <w:rPr>
          <w:rFonts w:eastAsia="Calibri"/>
          <w:iCs/>
          <w:color w:val="000000" w:themeColor="text1"/>
          <w:sz w:val="26"/>
          <w:szCs w:val="26"/>
        </w:rPr>
        <w:t>,</w:t>
      </w:r>
      <w:r w:rsidRPr="006A631A">
        <w:rPr>
          <w:rFonts w:eastAsia="Calibri"/>
          <w:color w:val="000000" w:themeColor="text1"/>
          <w:sz w:val="26"/>
          <w:szCs w:val="26"/>
        </w:rPr>
        <w:t xml:space="preserve"> and 53.101, designed to increase annual distribution rate revenue as follows: (1) $10 million for service rendered on or after January 1, 2021; (2) additional $10 million for service rendered on or after July 1, 2021; and (3) $15 million for service rendered on or after January 1, 2022.</w:t>
      </w:r>
    </w:p>
    <w:p w14:paraId="3AE7501B" w14:textId="77777777" w:rsidR="003B02E7" w:rsidRPr="006A631A" w:rsidRDefault="003B02E7" w:rsidP="003B02E7">
      <w:pPr>
        <w:spacing w:line="360" w:lineRule="auto"/>
        <w:contextualSpacing/>
        <w:rPr>
          <w:rFonts w:eastAsia="Calibri"/>
          <w:color w:val="000000" w:themeColor="text1"/>
          <w:sz w:val="26"/>
          <w:szCs w:val="26"/>
        </w:rPr>
      </w:pPr>
    </w:p>
    <w:p w14:paraId="56F8E6A9" w14:textId="4DBD86ED" w:rsidR="003B02E7" w:rsidRPr="006A631A" w:rsidRDefault="003B02E7" w:rsidP="003B02E7">
      <w:pPr>
        <w:spacing w:line="360" w:lineRule="auto"/>
        <w:ind w:firstLine="1440"/>
        <w:contextualSpacing/>
        <w:rPr>
          <w:rFonts w:eastAsia="Calibri"/>
          <w:color w:val="000000" w:themeColor="text1"/>
          <w:sz w:val="26"/>
          <w:szCs w:val="26"/>
        </w:rPr>
      </w:pPr>
      <w:r w:rsidRPr="006A631A">
        <w:rPr>
          <w:rFonts w:eastAsia="Calibri"/>
          <w:color w:val="000000" w:themeColor="text1"/>
          <w:sz w:val="26"/>
          <w:szCs w:val="26"/>
        </w:rPr>
        <w:t>11.</w:t>
      </w:r>
      <w:r w:rsidRPr="006A631A">
        <w:rPr>
          <w:rFonts w:eastAsia="Calibri"/>
          <w:color w:val="000000" w:themeColor="text1"/>
          <w:sz w:val="26"/>
          <w:szCs w:val="26"/>
        </w:rPr>
        <w:tab/>
        <w:t>That Philadelphia Gas Works shall file detailed calculations with its tariff filings, which shall demonstrate to the Commission’s satisfaction that the filed tariff adjustments comply with the provisions in Exhibit 1 (proof of revenue).</w:t>
      </w:r>
    </w:p>
    <w:p w14:paraId="25B5CCD8" w14:textId="77777777" w:rsidR="003B02E7" w:rsidRPr="006A631A" w:rsidRDefault="003B02E7" w:rsidP="003B02E7">
      <w:pPr>
        <w:spacing w:after="200" w:line="360" w:lineRule="auto"/>
        <w:ind w:firstLine="1440"/>
        <w:contextualSpacing/>
        <w:rPr>
          <w:rFonts w:eastAsia="Calibri"/>
          <w:color w:val="000000" w:themeColor="text1"/>
          <w:sz w:val="26"/>
          <w:szCs w:val="26"/>
        </w:rPr>
      </w:pPr>
    </w:p>
    <w:p w14:paraId="4A804014" w14:textId="1CD35F41" w:rsidR="003B02E7" w:rsidRPr="006A631A" w:rsidRDefault="003B02E7" w:rsidP="003B02E7">
      <w:pPr>
        <w:spacing w:line="360" w:lineRule="auto"/>
        <w:ind w:firstLine="1440"/>
        <w:contextualSpacing/>
        <w:rPr>
          <w:rFonts w:eastAsia="Calibri"/>
          <w:color w:val="000000" w:themeColor="text1"/>
          <w:sz w:val="26"/>
          <w:szCs w:val="26"/>
        </w:rPr>
      </w:pPr>
      <w:r w:rsidRPr="006A631A">
        <w:rPr>
          <w:rFonts w:eastAsia="Calibri"/>
          <w:color w:val="000000" w:themeColor="text1"/>
          <w:sz w:val="26"/>
          <w:szCs w:val="26"/>
        </w:rPr>
        <w:t>12.</w:t>
      </w:r>
      <w:r w:rsidRPr="006A631A">
        <w:rPr>
          <w:rFonts w:eastAsia="Calibri"/>
          <w:color w:val="000000" w:themeColor="text1"/>
          <w:sz w:val="26"/>
          <w:szCs w:val="26"/>
        </w:rPr>
        <w:tab/>
        <w:t>That Philadelphia Gas Works shall allocate the authorized increase in operating distribution revenue to each customer class, and rate schedule within each customer class, in the manner prescribed in in Exhibit 1 (proof of revenue).</w:t>
      </w:r>
    </w:p>
    <w:p w14:paraId="35270F4A" w14:textId="77777777" w:rsidR="003B02E7" w:rsidRPr="006A631A" w:rsidRDefault="003B02E7" w:rsidP="003B02E7">
      <w:pPr>
        <w:spacing w:line="360" w:lineRule="auto"/>
        <w:rPr>
          <w:color w:val="000000" w:themeColor="text1"/>
          <w:sz w:val="26"/>
          <w:szCs w:val="26"/>
        </w:rPr>
      </w:pPr>
    </w:p>
    <w:p w14:paraId="3682636C" w14:textId="77777777" w:rsidR="003B02E7" w:rsidRPr="006A631A" w:rsidRDefault="003B02E7" w:rsidP="003B02E7">
      <w:pPr>
        <w:spacing w:after="200" w:line="360" w:lineRule="auto"/>
        <w:ind w:firstLine="1440"/>
        <w:contextualSpacing/>
        <w:rPr>
          <w:rFonts w:eastAsia="Calibri"/>
          <w:color w:val="000000" w:themeColor="text1"/>
          <w:sz w:val="26"/>
          <w:szCs w:val="26"/>
        </w:rPr>
      </w:pPr>
      <w:r w:rsidRPr="006A631A">
        <w:rPr>
          <w:rFonts w:eastAsia="Calibri"/>
          <w:color w:val="000000" w:themeColor="text1"/>
          <w:sz w:val="26"/>
          <w:szCs w:val="26"/>
        </w:rPr>
        <w:t>13.</w:t>
      </w:r>
      <w:r w:rsidRPr="006A631A">
        <w:rPr>
          <w:rFonts w:eastAsia="Calibri"/>
          <w:color w:val="000000" w:themeColor="text1"/>
          <w:sz w:val="26"/>
          <w:szCs w:val="26"/>
        </w:rPr>
        <w:tab/>
        <w:t>That, upon acceptance and approval by the Commission of the tariff supplements filed by Philadelphia Gas Works, consistent with this Opinion and Order, the investigation at Docket R-2020-3017206 be marked closed.</w:t>
      </w:r>
    </w:p>
    <w:p w14:paraId="432D0265" w14:textId="77777777" w:rsidR="003B02E7" w:rsidRPr="006A631A" w:rsidRDefault="003B02E7" w:rsidP="003B02E7">
      <w:pPr>
        <w:spacing w:after="200" w:line="360" w:lineRule="auto"/>
        <w:ind w:firstLine="1440"/>
        <w:contextualSpacing/>
        <w:rPr>
          <w:rFonts w:eastAsia="Calibri"/>
          <w:color w:val="000000" w:themeColor="text1"/>
          <w:sz w:val="26"/>
          <w:szCs w:val="26"/>
        </w:rPr>
      </w:pPr>
    </w:p>
    <w:p w14:paraId="30C1C691" w14:textId="77777777" w:rsidR="003B02E7" w:rsidRPr="006A631A" w:rsidRDefault="003B02E7" w:rsidP="003B02E7">
      <w:pPr>
        <w:spacing w:line="360" w:lineRule="auto"/>
        <w:ind w:firstLine="1440"/>
        <w:contextualSpacing/>
        <w:rPr>
          <w:rFonts w:eastAsia="Calibri"/>
          <w:color w:val="000000" w:themeColor="text1"/>
          <w:sz w:val="26"/>
          <w:szCs w:val="26"/>
        </w:rPr>
      </w:pPr>
      <w:r w:rsidRPr="006A631A">
        <w:rPr>
          <w:rFonts w:eastAsia="Calibri"/>
          <w:color w:val="000000" w:themeColor="text1"/>
          <w:sz w:val="26"/>
          <w:szCs w:val="26"/>
        </w:rPr>
        <w:t>14.</w:t>
      </w:r>
      <w:r w:rsidRPr="006A631A">
        <w:rPr>
          <w:rFonts w:eastAsia="Calibri"/>
          <w:color w:val="000000" w:themeColor="text1"/>
          <w:sz w:val="26"/>
          <w:szCs w:val="26"/>
        </w:rPr>
        <w:tab/>
        <w:t>That the Formal Complaint filed by the Office of Consumer Advocate in this proceeding at Docket Number C-2020-3019161 be dismissed and marked closed.</w:t>
      </w:r>
    </w:p>
    <w:p w14:paraId="14EB7568" w14:textId="77777777" w:rsidR="003B02E7" w:rsidRPr="006A631A" w:rsidRDefault="003B02E7" w:rsidP="003B02E7">
      <w:pPr>
        <w:spacing w:line="360" w:lineRule="auto"/>
        <w:ind w:firstLine="1440"/>
        <w:contextualSpacing/>
        <w:rPr>
          <w:rFonts w:eastAsia="Calibri"/>
          <w:color w:val="000000" w:themeColor="text1"/>
          <w:sz w:val="26"/>
          <w:szCs w:val="26"/>
        </w:rPr>
      </w:pPr>
    </w:p>
    <w:p w14:paraId="2803CA42" w14:textId="77777777" w:rsidR="003B02E7" w:rsidRPr="006A631A" w:rsidRDefault="003B02E7" w:rsidP="003B02E7">
      <w:pPr>
        <w:spacing w:line="360" w:lineRule="auto"/>
        <w:ind w:firstLine="1440"/>
        <w:contextualSpacing/>
        <w:rPr>
          <w:rFonts w:eastAsia="Calibri"/>
          <w:color w:val="000000" w:themeColor="text1"/>
          <w:sz w:val="26"/>
          <w:szCs w:val="26"/>
        </w:rPr>
      </w:pPr>
      <w:r w:rsidRPr="006A631A">
        <w:rPr>
          <w:rFonts w:eastAsia="Calibri"/>
          <w:color w:val="000000" w:themeColor="text1"/>
          <w:sz w:val="26"/>
          <w:szCs w:val="26"/>
        </w:rPr>
        <w:t>15.</w:t>
      </w:r>
      <w:r w:rsidRPr="006A631A">
        <w:rPr>
          <w:rFonts w:eastAsia="Calibri"/>
          <w:color w:val="000000" w:themeColor="text1"/>
          <w:sz w:val="26"/>
          <w:szCs w:val="26"/>
        </w:rPr>
        <w:tab/>
        <w:t>That the Formal Complaint filed by the Office of Small Business Advocate in this proceeding at Docket Number C-2020-3019100 be dismissed and marked closed.</w:t>
      </w:r>
    </w:p>
    <w:p w14:paraId="0D53B4A9" w14:textId="31D6B19C" w:rsidR="0079699A" w:rsidRPr="006A631A" w:rsidRDefault="003B02E7" w:rsidP="003B02E7">
      <w:pPr>
        <w:keepNext/>
        <w:keepLines/>
        <w:widowControl/>
        <w:spacing w:line="360" w:lineRule="auto"/>
        <w:ind w:firstLine="1440"/>
        <w:rPr>
          <w:sz w:val="26"/>
          <w:szCs w:val="26"/>
        </w:rPr>
      </w:pPr>
      <w:r w:rsidRPr="006A631A">
        <w:rPr>
          <w:rFonts w:eastAsia="Calibri"/>
          <w:color w:val="000000" w:themeColor="text1"/>
          <w:sz w:val="26"/>
          <w:szCs w:val="26"/>
        </w:rPr>
        <w:lastRenderedPageBreak/>
        <w:t>16.</w:t>
      </w:r>
      <w:r w:rsidRPr="006A631A">
        <w:rPr>
          <w:rFonts w:eastAsia="Calibri"/>
          <w:color w:val="000000" w:themeColor="text1"/>
          <w:sz w:val="26"/>
          <w:szCs w:val="26"/>
        </w:rPr>
        <w:tab/>
        <w:t>That the Formal Complaint filed by the Philadelphia Industrial and Commercial Users Group in this proceeding at Docket Number C-2020-3019430 be dismissed and marked closed.</w:t>
      </w:r>
      <w:r w:rsidR="00A4543D" w:rsidRPr="00A4543D">
        <w:rPr>
          <w:noProof/>
        </w:rPr>
        <w:t xml:space="preserve"> </w:t>
      </w:r>
    </w:p>
    <w:p w14:paraId="5F466D31" w14:textId="403851B9" w:rsidR="0079699A" w:rsidRPr="006A631A" w:rsidRDefault="0079699A" w:rsidP="00F510B9">
      <w:pPr>
        <w:keepNext/>
        <w:keepLines/>
        <w:widowControl/>
        <w:rPr>
          <w:sz w:val="26"/>
          <w:szCs w:val="26"/>
        </w:rPr>
      </w:pPr>
    </w:p>
    <w:p w14:paraId="2BD7DAAD" w14:textId="1468712F" w:rsidR="0079699A" w:rsidRPr="006A631A" w:rsidRDefault="00A4543D" w:rsidP="004C3056">
      <w:pPr>
        <w:keepNext/>
        <w:keepLines/>
        <w:widowControl/>
        <w:spacing w:line="360" w:lineRule="auto"/>
        <w:ind w:firstLine="5040"/>
        <w:rPr>
          <w:sz w:val="26"/>
          <w:szCs w:val="26"/>
        </w:rPr>
      </w:pPr>
      <w:r>
        <w:rPr>
          <w:noProof/>
        </w:rPr>
        <w:drawing>
          <wp:anchor distT="0" distB="0" distL="114300" distR="114300" simplePos="0" relativeHeight="251659264" behindDoc="1" locked="0" layoutInCell="1" allowOverlap="1" wp14:anchorId="3554453F" wp14:editId="23B5EF1C">
            <wp:simplePos x="0" y="0"/>
            <wp:positionH relativeFrom="column">
              <wp:posOffset>3267075</wp:posOffset>
            </wp:positionH>
            <wp:positionV relativeFrom="paragraph">
              <wp:posOffset>67945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99A" w:rsidRPr="006A631A">
        <w:rPr>
          <w:b/>
          <w:sz w:val="26"/>
          <w:szCs w:val="26"/>
        </w:rPr>
        <w:t>BY THE COMMISSION,</w:t>
      </w:r>
    </w:p>
    <w:p w14:paraId="12ECEB94" w14:textId="77777777" w:rsidR="0079699A" w:rsidRPr="006A631A" w:rsidRDefault="0079699A" w:rsidP="004C3056">
      <w:pPr>
        <w:keepNext/>
        <w:keepLines/>
        <w:widowControl/>
        <w:ind w:firstLine="5040"/>
        <w:rPr>
          <w:sz w:val="26"/>
          <w:szCs w:val="26"/>
        </w:rPr>
      </w:pPr>
    </w:p>
    <w:p w14:paraId="2616403E" w14:textId="77777777" w:rsidR="0079699A" w:rsidRPr="006A631A" w:rsidRDefault="0079699A" w:rsidP="004C3056">
      <w:pPr>
        <w:keepNext/>
        <w:keepLines/>
        <w:widowControl/>
        <w:ind w:firstLine="5040"/>
        <w:rPr>
          <w:sz w:val="26"/>
          <w:szCs w:val="26"/>
        </w:rPr>
      </w:pPr>
    </w:p>
    <w:p w14:paraId="3EAB5C32" w14:textId="77777777" w:rsidR="0079699A" w:rsidRPr="006A631A" w:rsidRDefault="0079699A" w:rsidP="004C3056">
      <w:pPr>
        <w:keepNext/>
        <w:keepLines/>
        <w:widowControl/>
        <w:ind w:firstLine="5040"/>
        <w:rPr>
          <w:sz w:val="26"/>
          <w:szCs w:val="26"/>
        </w:rPr>
      </w:pPr>
    </w:p>
    <w:p w14:paraId="51E6ECCF" w14:textId="77777777" w:rsidR="0079699A" w:rsidRPr="006A631A" w:rsidRDefault="0079699A" w:rsidP="004C3056">
      <w:pPr>
        <w:widowControl/>
        <w:ind w:firstLine="5040"/>
        <w:rPr>
          <w:sz w:val="26"/>
          <w:szCs w:val="26"/>
        </w:rPr>
      </w:pPr>
      <w:r w:rsidRPr="006A631A">
        <w:rPr>
          <w:sz w:val="26"/>
          <w:szCs w:val="26"/>
        </w:rPr>
        <w:t>Rosemary Chiavetta</w:t>
      </w:r>
    </w:p>
    <w:p w14:paraId="2317B351" w14:textId="77777777" w:rsidR="0079699A" w:rsidRPr="006A631A" w:rsidRDefault="0079699A" w:rsidP="004C3056">
      <w:pPr>
        <w:widowControl/>
        <w:ind w:firstLine="5040"/>
        <w:rPr>
          <w:sz w:val="26"/>
          <w:szCs w:val="26"/>
        </w:rPr>
      </w:pPr>
      <w:r w:rsidRPr="006A631A">
        <w:rPr>
          <w:sz w:val="26"/>
          <w:szCs w:val="26"/>
        </w:rPr>
        <w:t>Secretary</w:t>
      </w:r>
    </w:p>
    <w:p w14:paraId="5F46F667" w14:textId="77777777" w:rsidR="0079699A" w:rsidRPr="006A631A" w:rsidRDefault="0079699A" w:rsidP="00F510B9">
      <w:pPr>
        <w:widowControl/>
        <w:rPr>
          <w:sz w:val="26"/>
          <w:szCs w:val="26"/>
        </w:rPr>
      </w:pPr>
    </w:p>
    <w:p w14:paraId="4067AE4D" w14:textId="77777777" w:rsidR="0079699A" w:rsidRPr="006A631A" w:rsidRDefault="0079699A" w:rsidP="00F510B9">
      <w:pPr>
        <w:widowControl/>
        <w:rPr>
          <w:sz w:val="26"/>
          <w:szCs w:val="26"/>
        </w:rPr>
      </w:pPr>
      <w:r w:rsidRPr="006A631A">
        <w:rPr>
          <w:sz w:val="26"/>
          <w:szCs w:val="26"/>
        </w:rPr>
        <w:t>(SEAL)</w:t>
      </w:r>
    </w:p>
    <w:p w14:paraId="6496947D" w14:textId="77777777" w:rsidR="0079699A" w:rsidRPr="006A631A" w:rsidRDefault="0079699A" w:rsidP="00F510B9">
      <w:pPr>
        <w:widowControl/>
        <w:rPr>
          <w:sz w:val="26"/>
          <w:szCs w:val="26"/>
        </w:rPr>
      </w:pPr>
    </w:p>
    <w:p w14:paraId="7FCB7B6A" w14:textId="77777777" w:rsidR="0079699A" w:rsidRPr="006A631A" w:rsidRDefault="0079699A" w:rsidP="00F510B9">
      <w:pPr>
        <w:widowControl/>
        <w:rPr>
          <w:sz w:val="26"/>
          <w:szCs w:val="26"/>
        </w:rPr>
      </w:pPr>
      <w:r w:rsidRPr="006A631A">
        <w:rPr>
          <w:sz w:val="26"/>
          <w:szCs w:val="26"/>
        </w:rPr>
        <w:t>ORDER ADOPTED:  November 19, 2020</w:t>
      </w:r>
    </w:p>
    <w:p w14:paraId="3C4A82F3" w14:textId="77777777" w:rsidR="0079699A" w:rsidRPr="006A631A" w:rsidRDefault="0079699A" w:rsidP="00F510B9">
      <w:pPr>
        <w:widowControl/>
        <w:rPr>
          <w:sz w:val="26"/>
          <w:szCs w:val="26"/>
        </w:rPr>
      </w:pPr>
    </w:p>
    <w:p w14:paraId="118E7E6B" w14:textId="2B7EC14B" w:rsidR="0079699A" w:rsidRPr="006A631A" w:rsidRDefault="0079699A" w:rsidP="00F510B9">
      <w:pPr>
        <w:widowControl/>
        <w:rPr>
          <w:sz w:val="26"/>
          <w:szCs w:val="26"/>
        </w:rPr>
      </w:pPr>
      <w:r w:rsidRPr="006A631A">
        <w:rPr>
          <w:sz w:val="26"/>
          <w:szCs w:val="26"/>
        </w:rPr>
        <w:t xml:space="preserve">ORDER ENTERED:  </w:t>
      </w:r>
      <w:r w:rsidR="00A4543D">
        <w:rPr>
          <w:sz w:val="26"/>
          <w:szCs w:val="26"/>
        </w:rPr>
        <w:t>November 19, 2020</w:t>
      </w:r>
    </w:p>
    <w:p w14:paraId="6CE0E38C" w14:textId="77777777" w:rsidR="00CA035B" w:rsidRDefault="00CA035B" w:rsidP="00F510B9">
      <w:pPr>
        <w:widowControl/>
        <w:spacing w:line="360" w:lineRule="auto"/>
        <w:contextualSpacing/>
        <w:rPr>
          <w:rFonts w:eastAsiaTheme="minorHAnsi"/>
          <w:sz w:val="26"/>
          <w:szCs w:val="26"/>
        </w:rPr>
      </w:pPr>
    </w:p>
    <w:sectPr w:rsidR="00CA035B" w:rsidSect="00694B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4AB80" w14:textId="77777777" w:rsidR="00A51D09" w:rsidRDefault="00A51D09">
      <w:r>
        <w:separator/>
      </w:r>
    </w:p>
    <w:p w14:paraId="79742157" w14:textId="77777777" w:rsidR="00A51D09" w:rsidRDefault="00A51D09"/>
    <w:p w14:paraId="7730109F" w14:textId="77777777" w:rsidR="00A51D09" w:rsidRDefault="00A51D09" w:rsidP="002826C5"/>
  </w:endnote>
  <w:endnote w:type="continuationSeparator" w:id="0">
    <w:p w14:paraId="6D0FA7E4" w14:textId="77777777" w:rsidR="00A51D09" w:rsidRDefault="00A51D09">
      <w:r>
        <w:continuationSeparator/>
      </w:r>
    </w:p>
    <w:p w14:paraId="0CA8D3DC" w14:textId="77777777" w:rsidR="00A51D09" w:rsidRDefault="00A51D09"/>
    <w:p w14:paraId="43D4667A" w14:textId="77777777" w:rsidR="00A51D09" w:rsidRDefault="00A51D09" w:rsidP="002826C5"/>
  </w:endnote>
  <w:endnote w:type="continuationNotice" w:id="1">
    <w:p w14:paraId="422F67A8" w14:textId="77777777" w:rsidR="00A51D09" w:rsidRDefault="00A51D09"/>
    <w:p w14:paraId="2FA87DEF" w14:textId="77777777" w:rsidR="00A51D09" w:rsidRDefault="00A51D09"/>
    <w:p w14:paraId="6DF414DC" w14:textId="77777777" w:rsidR="00A51D09" w:rsidRDefault="00A51D09" w:rsidP="00282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D372A" w14:textId="77777777" w:rsidR="00C359D1" w:rsidRDefault="00C359D1"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2A25DE" w14:textId="77777777" w:rsidR="00C359D1" w:rsidRDefault="00C35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F0F16" w14:textId="4874D0A6" w:rsidR="00C359D1" w:rsidRPr="00C7667D" w:rsidRDefault="00C359D1" w:rsidP="00610A49">
    <w:pPr>
      <w:pStyle w:val="Footer"/>
      <w:framePr w:wrap="around" w:vAnchor="text" w:hAnchor="margin" w:xAlign="center" w:y="1"/>
      <w:rPr>
        <w:rStyle w:val="PageNumber"/>
        <w:sz w:val="26"/>
      </w:rPr>
    </w:pPr>
    <w:r w:rsidRPr="00C7667D">
      <w:rPr>
        <w:rStyle w:val="PageNumber"/>
        <w:sz w:val="26"/>
      </w:rPr>
      <w:fldChar w:fldCharType="begin"/>
    </w:r>
    <w:r w:rsidRPr="00C7667D">
      <w:rPr>
        <w:rStyle w:val="PageNumber"/>
        <w:sz w:val="26"/>
      </w:rPr>
      <w:instrText xml:space="preserve">PAGE  </w:instrText>
    </w:r>
    <w:r w:rsidRPr="00C7667D">
      <w:rPr>
        <w:rStyle w:val="PageNumber"/>
        <w:sz w:val="26"/>
      </w:rPr>
      <w:fldChar w:fldCharType="separate"/>
    </w:r>
    <w:r>
      <w:rPr>
        <w:rStyle w:val="PageNumber"/>
        <w:noProof/>
        <w:sz w:val="26"/>
      </w:rPr>
      <w:t>6</w:t>
    </w:r>
    <w:r w:rsidRPr="00C7667D">
      <w:rPr>
        <w:rStyle w:val="PageNumber"/>
        <w:sz w:val="26"/>
      </w:rPr>
      <w:fldChar w:fldCharType="end"/>
    </w:r>
  </w:p>
  <w:p w14:paraId="74A283B3" w14:textId="77777777" w:rsidR="00C359D1" w:rsidRDefault="00C359D1" w:rsidP="00C76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56D12" w14:textId="77777777" w:rsidR="00A51D09" w:rsidRDefault="00A51D09" w:rsidP="002826C5">
      <w:r>
        <w:separator/>
      </w:r>
    </w:p>
  </w:footnote>
  <w:footnote w:type="continuationSeparator" w:id="0">
    <w:p w14:paraId="17A341F9" w14:textId="77777777" w:rsidR="00A51D09" w:rsidRDefault="00A51D09">
      <w:r>
        <w:continuationSeparator/>
      </w:r>
    </w:p>
    <w:p w14:paraId="6D269CBC" w14:textId="77777777" w:rsidR="00A51D09" w:rsidRDefault="00A51D09"/>
    <w:p w14:paraId="7D57C9BC" w14:textId="77777777" w:rsidR="00A51D09" w:rsidRDefault="00A51D09" w:rsidP="002826C5"/>
  </w:footnote>
  <w:footnote w:type="continuationNotice" w:id="1">
    <w:p w14:paraId="45FA4CBB" w14:textId="77777777" w:rsidR="00A51D09" w:rsidRDefault="00A51D09"/>
    <w:p w14:paraId="2E5E71CF" w14:textId="77777777" w:rsidR="00A51D09" w:rsidRDefault="00A51D09"/>
    <w:p w14:paraId="7840DDCC" w14:textId="77777777" w:rsidR="00A51D09" w:rsidRDefault="00A51D09" w:rsidP="002826C5"/>
  </w:footnote>
  <w:footnote w:id="2">
    <w:p w14:paraId="6D2F75F5" w14:textId="44B743FA" w:rsidR="00C359D1" w:rsidRPr="00A14152" w:rsidRDefault="00C359D1" w:rsidP="00A14152">
      <w:pPr>
        <w:pStyle w:val="FootnoteText"/>
        <w:ind w:firstLine="720"/>
        <w:rPr>
          <w:sz w:val="26"/>
          <w:szCs w:val="26"/>
        </w:rPr>
      </w:pPr>
      <w:r w:rsidRPr="00A14152">
        <w:rPr>
          <w:rStyle w:val="FootnoteReference"/>
          <w:sz w:val="26"/>
          <w:szCs w:val="26"/>
        </w:rPr>
        <w:footnoteRef/>
      </w:r>
      <w:r w:rsidRPr="00A14152">
        <w:rPr>
          <w:sz w:val="26"/>
          <w:szCs w:val="26"/>
        </w:rPr>
        <w:t xml:space="preserve">  </w:t>
      </w:r>
      <w:r w:rsidRPr="00A14152">
        <w:rPr>
          <w:sz w:val="26"/>
          <w:szCs w:val="26"/>
        </w:rPr>
        <w:tab/>
        <w:t xml:space="preserve">All of the Exceptions filed by I&amp;E, the OCA, and PICGUG address the Recommended Decision’s suggested modifications to the Partial Settlement.  PGW’s Exceptions address both the Recommended Decision’s modifications to the Partial Settlement (PGW Settlement Exceptions) and the Recommended Decision’s </w:t>
      </w:r>
      <w:r>
        <w:rPr>
          <w:sz w:val="26"/>
          <w:szCs w:val="26"/>
        </w:rPr>
        <w:t>recommendations</w:t>
      </w:r>
      <w:r w:rsidRPr="00A14152">
        <w:rPr>
          <w:sz w:val="26"/>
          <w:szCs w:val="26"/>
        </w:rPr>
        <w:t xml:space="preserve"> on certain litigated issues (PGW Litigation Exceptions).  No party filed Replies to the Exceptions </w:t>
      </w:r>
      <w:r>
        <w:rPr>
          <w:sz w:val="26"/>
          <w:szCs w:val="26"/>
        </w:rPr>
        <w:t xml:space="preserve">that </w:t>
      </w:r>
      <w:r w:rsidRPr="00A14152">
        <w:rPr>
          <w:sz w:val="26"/>
          <w:szCs w:val="26"/>
        </w:rPr>
        <w:t>address</w:t>
      </w:r>
      <w:r>
        <w:rPr>
          <w:sz w:val="26"/>
          <w:szCs w:val="26"/>
        </w:rPr>
        <w:t xml:space="preserve"> modifications</w:t>
      </w:r>
      <w:r w:rsidRPr="00A14152">
        <w:rPr>
          <w:sz w:val="26"/>
          <w:szCs w:val="26"/>
        </w:rPr>
        <w:t xml:space="preserve"> to the Partial Settlement.  </w:t>
      </w:r>
      <w:r>
        <w:rPr>
          <w:sz w:val="26"/>
          <w:szCs w:val="26"/>
        </w:rPr>
        <w:t xml:space="preserve">The </w:t>
      </w:r>
      <w:r w:rsidRPr="00A14152">
        <w:rPr>
          <w:sz w:val="26"/>
          <w:szCs w:val="26"/>
        </w:rPr>
        <w:t xml:space="preserve">Environmental Stakeholders did not file Exceptions </w:t>
      </w:r>
      <w:r>
        <w:rPr>
          <w:sz w:val="26"/>
          <w:szCs w:val="26"/>
        </w:rPr>
        <w:t xml:space="preserve">to the Recommended Decision </w:t>
      </w:r>
      <w:r w:rsidRPr="00A14152">
        <w:rPr>
          <w:sz w:val="26"/>
          <w:szCs w:val="26"/>
        </w:rPr>
        <w:t>and its Replies address only the PGW Litigation Exceptions.</w:t>
      </w:r>
    </w:p>
  </w:footnote>
  <w:footnote w:id="3">
    <w:p w14:paraId="6A49CACD" w14:textId="20DDA312" w:rsidR="00C359D1" w:rsidRPr="00E968D7" w:rsidRDefault="00C359D1" w:rsidP="00971612">
      <w:pPr>
        <w:pStyle w:val="FootnoteText"/>
        <w:keepNext/>
        <w:keepLines/>
        <w:spacing w:after="120"/>
        <w:ind w:firstLine="720"/>
        <w:rPr>
          <w:sz w:val="26"/>
          <w:szCs w:val="26"/>
        </w:rPr>
      </w:pPr>
      <w:r w:rsidRPr="00E968D7">
        <w:rPr>
          <w:rStyle w:val="FootnoteReference"/>
          <w:sz w:val="26"/>
          <w:szCs w:val="26"/>
        </w:rPr>
        <w:footnoteRef/>
      </w:r>
      <w:r w:rsidRPr="00E968D7">
        <w:rPr>
          <w:sz w:val="26"/>
          <w:szCs w:val="26"/>
        </w:rPr>
        <w:t xml:space="preserve"> </w:t>
      </w:r>
      <w:r w:rsidRPr="00E968D7">
        <w:rPr>
          <w:sz w:val="26"/>
          <w:szCs w:val="26"/>
        </w:rPr>
        <w:tab/>
        <w:t>The future test year (FTY) e</w:t>
      </w:r>
      <w:r>
        <w:rPr>
          <w:sz w:val="26"/>
          <w:szCs w:val="26"/>
        </w:rPr>
        <w:t>nded August</w:t>
      </w:r>
      <w:r w:rsidRPr="00E968D7">
        <w:rPr>
          <w:sz w:val="26"/>
          <w:szCs w:val="26"/>
        </w:rPr>
        <w:t xml:space="preserve"> 31, 20</w:t>
      </w:r>
      <w:r>
        <w:rPr>
          <w:sz w:val="26"/>
          <w:szCs w:val="26"/>
        </w:rPr>
        <w:t>20</w:t>
      </w:r>
      <w:r w:rsidRPr="00E968D7">
        <w:rPr>
          <w:sz w:val="26"/>
          <w:szCs w:val="26"/>
        </w:rPr>
        <w:t xml:space="preserve">, and the historic test year (HTY) ended </w:t>
      </w:r>
      <w:r>
        <w:rPr>
          <w:sz w:val="26"/>
          <w:szCs w:val="26"/>
        </w:rPr>
        <w:t>August</w:t>
      </w:r>
      <w:r w:rsidRPr="00E968D7">
        <w:rPr>
          <w:sz w:val="26"/>
          <w:szCs w:val="26"/>
        </w:rPr>
        <w:t xml:space="preserve"> 31, 201</w:t>
      </w:r>
      <w:r>
        <w:rPr>
          <w:sz w:val="26"/>
          <w:szCs w:val="26"/>
        </w:rPr>
        <w:t>9</w:t>
      </w:r>
      <w:r w:rsidRPr="00E968D7">
        <w:rPr>
          <w:sz w:val="26"/>
          <w:szCs w:val="26"/>
        </w:rPr>
        <w:t>.</w:t>
      </w:r>
    </w:p>
  </w:footnote>
  <w:footnote w:id="4">
    <w:p w14:paraId="0BC6C466" w14:textId="14BF6D00" w:rsidR="00C359D1" w:rsidRPr="00027EE4" w:rsidRDefault="00C359D1" w:rsidP="00971612">
      <w:pPr>
        <w:pStyle w:val="FootnoteText"/>
        <w:keepNext/>
        <w:keepLines/>
        <w:spacing w:after="120"/>
        <w:ind w:firstLine="720"/>
        <w:rPr>
          <w:sz w:val="26"/>
          <w:szCs w:val="26"/>
        </w:rPr>
      </w:pPr>
      <w:r w:rsidRPr="00027EE4">
        <w:rPr>
          <w:rStyle w:val="FootnoteReference"/>
          <w:sz w:val="26"/>
          <w:szCs w:val="26"/>
        </w:rPr>
        <w:footnoteRef/>
      </w:r>
      <w:r w:rsidRPr="00027EE4">
        <w:rPr>
          <w:sz w:val="26"/>
          <w:szCs w:val="26"/>
        </w:rPr>
        <w:t xml:space="preserve"> </w:t>
      </w:r>
      <w:r>
        <w:rPr>
          <w:sz w:val="26"/>
          <w:szCs w:val="26"/>
        </w:rPr>
        <w:tab/>
        <w:t xml:space="preserve">Concurrent with the filing of this general base rate case, PGW filed a petition requesting that the Commission waive the application of the statutory definition of the FPFTY so as to permit PGW to use a FPFTY beginning on September 1, 2020 (its fiscal year) in this proceeding.  </w:t>
      </w:r>
      <w:r w:rsidRPr="008334C3">
        <w:rPr>
          <w:i/>
          <w:iCs/>
          <w:sz w:val="26"/>
          <w:szCs w:val="26"/>
        </w:rPr>
        <w:t>See Petition of Philadelphia Gas Works for Waiver of Statutory Definition of Fully Projected Future Test Year</w:t>
      </w:r>
      <w:r>
        <w:rPr>
          <w:sz w:val="26"/>
          <w:szCs w:val="26"/>
        </w:rPr>
        <w:t xml:space="preserve">, Docket No. P-2020-3018975.  Because the instant base rate increase request was filed on February 28, 2020, the statutory definition of FPFTY, 66 Pa. C.S. § 315(e), would require the FPFTY commence in </w:t>
      </w:r>
      <w:r>
        <w:rPr>
          <w:sz w:val="26"/>
          <w:szCs w:val="26"/>
        </w:rPr>
        <w:t>November, 2020 and continue for twelve months.</w:t>
      </w:r>
    </w:p>
  </w:footnote>
  <w:footnote w:id="5">
    <w:p w14:paraId="5B65E495" w14:textId="0EC54390" w:rsidR="00C359D1" w:rsidRPr="00E94210" w:rsidRDefault="00C359D1" w:rsidP="00E03C9E">
      <w:pPr>
        <w:pStyle w:val="FootnoteText"/>
        <w:keepNext/>
        <w:keepLines/>
        <w:ind w:firstLine="720"/>
        <w:rPr>
          <w:sz w:val="26"/>
          <w:szCs w:val="26"/>
        </w:rPr>
      </w:pPr>
      <w:r w:rsidRPr="00F81E51">
        <w:rPr>
          <w:rStyle w:val="FootnoteReference"/>
          <w:sz w:val="26"/>
          <w:szCs w:val="26"/>
        </w:rPr>
        <w:footnoteRef/>
      </w:r>
      <w:r w:rsidRPr="00F81E51">
        <w:rPr>
          <w:sz w:val="26"/>
          <w:szCs w:val="26"/>
        </w:rPr>
        <w:t xml:space="preserve"> </w:t>
      </w:r>
      <w:r w:rsidRPr="00F81E51">
        <w:rPr>
          <w:sz w:val="26"/>
          <w:szCs w:val="26"/>
        </w:rPr>
        <w:tab/>
        <w:t>The total annual revenue increase</w:t>
      </w:r>
      <w:r>
        <w:rPr>
          <w:sz w:val="26"/>
          <w:szCs w:val="26"/>
        </w:rPr>
        <w:t xml:space="preserve"> contemplated by the Partial Settlement represents an increase of $35 million</w:t>
      </w:r>
      <w:r w:rsidRPr="00F81E51">
        <w:rPr>
          <w:sz w:val="26"/>
          <w:szCs w:val="26"/>
        </w:rPr>
        <w:t xml:space="preserve"> to</w:t>
      </w:r>
      <w:r>
        <w:rPr>
          <w:sz w:val="26"/>
          <w:szCs w:val="26"/>
        </w:rPr>
        <w:t xml:space="preserve"> PGW’s current annual distribution revenue of $660,096,000, or approximately 5.3%.  </w:t>
      </w:r>
      <w:r w:rsidRPr="006E4F26">
        <w:rPr>
          <w:i/>
          <w:sz w:val="26"/>
          <w:szCs w:val="26"/>
        </w:rPr>
        <w:t>See</w:t>
      </w:r>
      <w:r>
        <w:rPr>
          <w:sz w:val="26"/>
          <w:szCs w:val="26"/>
        </w:rPr>
        <w:t xml:space="preserve"> PGW Exh. JFG-1.</w:t>
      </w:r>
    </w:p>
  </w:footnote>
  <w:footnote w:id="6">
    <w:p w14:paraId="36456D6D" w14:textId="4ED8EBE8" w:rsidR="00C359D1" w:rsidRDefault="00C359D1" w:rsidP="00E03C9E">
      <w:pPr>
        <w:pStyle w:val="FootnoteText"/>
        <w:keepNext/>
        <w:keepLines/>
        <w:ind w:firstLine="720"/>
      </w:pPr>
      <w:r w:rsidRPr="00E94210">
        <w:rPr>
          <w:rStyle w:val="FootnoteReference"/>
          <w:sz w:val="26"/>
          <w:szCs w:val="26"/>
        </w:rPr>
        <w:footnoteRef/>
      </w:r>
      <w:r w:rsidRPr="00E94210">
        <w:rPr>
          <w:sz w:val="26"/>
          <w:szCs w:val="26"/>
        </w:rPr>
        <w:t xml:space="preserve"> </w:t>
      </w:r>
      <w:r w:rsidRPr="00E94210">
        <w:rPr>
          <w:sz w:val="26"/>
          <w:szCs w:val="26"/>
        </w:rPr>
        <w:tab/>
        <w:t>Other than PGW and Pittsburgh Water and Sewer Authority (PWSA), utilities under the jurisdiction of the Commission use the rate base/rate of return methodology to set rates.</w:t>
      </w:r>
      <w:r>
        <w:t xml:space="preserve">  </w:t>
      </w:r>
    </w:p>
  </w:footnote>
  <w:footnote w:id="7">
    <w:p w14:paraId="5D7583ED" w14:textId="7C308CF6" w:rsidR="00C359D1" w:rsidRPr="00E03C9E" w:rsidRDefault="00C359D1" w:rsidP="00E03C9E">
      <w:pPr>
        <w:widowControl/>
        <w:autoSpaceDE w:val="0"/>
        <w:autoSpaceDN w:val="0"/>
        <w:adjustRightInd w:val="0"/>
        <w:ind w:firstLine="720"/>
        <w:rPr>
          <w:sz w:val="26"/>
          <w:szCs w:val="26"/>
        </w:rPr>
      </w:pPr>
      <w:r w:rsidRPr="00E70AD2">
        <w:rPr>
          <w:rStyle w:val="FootnoteReference"/>
          <w:sz w:val="26"/>
          <w:szCs w:val="26"/>
        </w:rPr>
        <w:footnoteRef/>
      </w:r>
      <w:r w:rsidRPr="00E70AD2">
        <w:rPr>
          <w:sz w:val="26"/>
          <w:szCs w:val="26"/>
        </w:rPr>
        <w:t xml:space="preserve"> </w:t>
      </w:r>
      <w:r w:rsidRPr="00E70AD2">
        <w:rPr>
          <w:sz w:val="26"/>
          <w:szCs w:val="26"/>
        </w:rPr>
        <w:tab/>
        <w:t>On March 6, 2020, the Governor of the Commonwealth of Pennsylvania, Tom Wolf, issued a Proclamation of Disaster Emergency due to the coronavirus (COVID-19) pandemic.</w:t>
      </w:r>
      <w:r>
        <w:rPr>
          <w:sz w:val="26"/>
          <w:szCs w:val="26"/>
        </w:rPr>
        <w:t xml:space="preserve">  D</w:t>
      </w:r>
      <w:r w:rsidRPr="00E70AD2">
        <w:rPr>
          <w:sz w:val="26"/>
          <w:szCs w:val="26"/>
        </w:rPr>
        <w:t>ue to ongoing</w:t>
      </w:r>
      <w:r>
        <w:rPr>
          <w:sz w:val="26"/>
          <w:szCs w:val="26"/>
        </w:rPr>
        <w:t xml:space="preserve"> concerns surrounding</w:t>
      </w:r>
      <w:r w:rsidRPr="00E70AD2">
        <w:rPr>
          <w:sz w:val="26"/>
          <w:szCs w:val="26"/>
        </w:rPr>
        <w:t xml:space="preserve"> COVID-19, the Commission’s offices were closed on or about March 16, 2020, and the</w:t>
      </w:r>
      <w:r>
        <w:rPr>
          <w:sz w:val="26"/>
          <w:szCs w:val="26"/>
        </w:rPr>
        <w:t xml:space="preserve"> </w:t>
      </w:r>
      <w:r w:rsidRPr="00E70AD2">
        <w:rPr>
          <w:sz w:val="26"/>
          <w:szCs w:val="26"/>
        </w:rPr>
        <w:t xml:space="preserve">Commission’s employees were directed to self-isolate.  However, Commission employees with the ability to work remotely from home were directed to continue operations as possible during the period of self-isolation.  The period of self-isolation continued from March 16, 2020 and is still in effect as of the date of this Opinion and Order. </w:t>
      </w:r>
    </w:p>
  </w:footnote>
  <w:footnote w:id="8">
    <w:p w14:paraId="3EAD91BD" w14:textId="296B9B47" w:rsidR="00C359D1" w:rsidRPr="00E65505" w:rsidRDefault="00C359D1" w:rsidP="000B1E64">
      <w:pPr>
        <w:pStyle w:val="FootnoteText"/>
        <w:ind w:firstLine="720"/>
        <w:rPr>
          <w:sz w:val="26"/>
          <w:szCs w:val="26"/>
        </w:rPr>
      </w:pPr>
      <w:r w:rsidRPr="00E65505">
        <w:rPr>
          <w:rStyle w:val="FootnoteReference"/>
          <w:sz w:val="26"/>
          <w:szCs w:val="26"/>
        </w:rPr>
        <w:footnoteRef/>
      </w:r>
      <w:r w:rsidRPr="00E65505">
        <w:rPr>
          <w:sz w:val="26"/>
          <w:szCs w:val="26"/>
        </w:rPr>
        <w:t xml:space="preserve"> </w:t>
      </w:r>
      <w:r w:rsidRPr="00E65505">
        <w:rPr>
          <w:sz w:val="26"/>
          <w:szCs w:val="26"/>
        </w:rPr>
        <w:tab/>
        <w:t xml:space="preserve">We note that while Recommended Decision states that this petition was filed on May 22, 2020 and uses that date the Commission’s case tracking system indicates that the Commission received it on May 25, 2020.  </w:t>
      </w:r>
    </w:p>
  </w:footnote>
  <w:footnote w:id="9">
    <w:p w14:paraId="4563DFAB" w14:textId="5EDABFC4" w:rsidR="00C359D1" w:rsidRPr="00971612" w:rsidRDefault="00C359D1" w:rsidP="00E03C9E">
      <w:pPr>
        <w:pStyle w:val="FootnoteText"/>
        <w:ind w:firstLine="720"/>
        <w:rPr>
          <w:sz w:val="26"/>
          <w:szCs w:val="26"/>
        </w:rPr>
      </w:pPr>
      <w:r w:rsidRPr="00971612">
        <w:rPr>
          <w:rStyle w:val="FootnoteReference"/>
          <w:sz w:val="26"/>
          <w:szCs w:val="26"/>
        </w:rPr>
        <w:footnoteRef/>
      </w:r>
      <w:r w:rsidRPr="00971612">
        <w:rPr>
          <w:sz w:val="26"/>
          <w:szCs w:val="26"/>
        </w:rPr>
        <w:t xml:space="preserve"> </w:t>
      </w:r>
      <w:r w:rsidRPr="00971612">
        <w:rPr>
          <w:sz w:val="26"/>
          <w:szCs w:val="26"/>
        </w:rPr>
        <w:tab/>
        <w:t xml:space="preserve">Direct Energy takes no position on the Partial Settlement.  The OSBA does not endorse the Revenue Requirement </w:t>
      </w:r>
      <w:r>
        <w:rPr>
          <w:sz w:val="26"/>
          <w:szCs w:val="26"/>
        </w:rPr>
        <w:t xml:space="preserve">provision </w:t>
      </w:r>
      <w:r w:rsidRPr="00971612">
        <w:rPr>
          <w:sz w:val="26"/>
          <w:szCs w:val="26"/>
        </w:rPr>
        <w:t xml:space="preserve">of the Partial </w:t>
      </w:r>
      <w:r w:rsidRPr="00971612">
        <w:rPr>
          <w:sz w:val="26"/>
          <w:szCs w:val="26"/>
        </w:rPr>
        <w:t>Settlement</w:t>
      </w:r>
      <w:r>
        <w:rPr>
          <w:sz w:val="26"/>
          <w:szCs w:val="26"/>
        </w:rPr>
        <w:t>,</w:t>
      </w:r>
      <w:r w:rsidRPr="00971612">
        <w:rPr>
          <w:sz w:val="26"/>
          <w:szCs w:val="26"/>
        </w:rPr>
        <w:t xml:space="preserve"> but does not oppose it.  The Environmental Stakeholders </w:t>
      </w:r>
      <w:r>
        <w:rPr>
          <w:sz w:val="26"/>
          <w:szCs w:val="26"/>
        </w:rPr>
        <w:t xml:space="preserve">are the only party to voice </w:t>
      </w:r>
      <w:r w:rsidRPr="00971612">
        <w:rPr>
          <w:sz w:val="26"/>
          <w:szCs w:val="26"/>
        </w:rPr>
        <w:t>oppos</w:t>
      </w:r>
      <w:r>
        <w:rPr>
          <w:sz w:val="26"/>
          <w:szCs w:val="26"/>
        </w:rPr>
        <w:t>ition to</w:t>
      </w:r>
      <w:r w:rsidRPr="00971612">
        <w:rPr>
          <w:sz w:val="26"/>
          <w:szCs w:val="26"/>
        </w:rPr>
        <w:t xml:space="preserve"> the Partial Settlement.</w:t>
      </w:r>
      <w:r>
        <w:rPr>
          <w:sz w:val="26"/>
          <w:szCs w:val="26"/>
        </w:rPr>
        <w:t xml:space="preserve">  Joint Petition at 1.  </w:t>
      </w:r>
    </w:p>
  </w:footnote>
  <w:footnote w:id="10">
    <w:p w14:paraId="56501CDA" w14:textId="0750594D" w:rsidR="00C359D1" w:rsidRPr="00E03C9E" w:rsidRDefault="00C359D1" w:rsidP="00E03C9E">
      <w:pPr>
        <w:keepLines/>
        <w:tabs>
          <w:tab w:val="left" w:pos="1440"/>
          <w:tab w:val="right" w:pos="9360"/>
        </w:tabs>
        <w:kinsoku w:val="0"/>
        <w:overflowPunct w:val="0"/>
        <w:ind w:firstLine="720"/>
        <w:textAlignment w:val="baseline"/>
        <w:rPr>
          <w:sz w:val="26"/>
        </w:rPr>
      </w:pPr>
      <w:r w:rsidRPr="00F03136">
        <w:rPr>
          <w:rStyle w:val="FootnoteReference"/>
          <w:sz w:val="26"/>
          <w:szCs w:val="26"/>
        </w:rPr>
        <w:footnoteRef/>
      </w:r>
      <w:r w:rsidR="00F65510">
        <w:rPr>
          <w:i/>
          <w:iCs/>
          <w:sz w:val="26"/>
          <w:szCs w:val="21"/>
        </w:rPr>
        <w:t xml:space="preserve"> </w:t>
      </w:r>
      <w:r w:rsidR="00F65510">
        <w:rPr>
          <w:i/>
          <w:iCs/>
          <w:sz w:val="26"/>
          <w:szCs w:val="21"/>
        </w:rPr>
        <w:tab/>
      </w:r>
      <w:r w:rsidRPr="00142A6B">
        <w:rPr>
          <w:i/>
          <w:iCs/>
          <w:sz w:val="26"/>
          <w:szCs w:val="21"/>
        </w:rPr>
        <w:t xml:space="preserve">Pa. </w:t>
      </w:r>
      <w:r w:rsidR="00277CC7">
        <w:rPr>
          <w:i/>
          <w:iCs/>
          <w:sz w:val="26"/>
          <w:szCs w:val="21"/>
        </w:rPr>
        <w:t>PUC</w:t>
      </w:r>
      <w:r w:rsidRPr="00142A6B">
        <w:rPr>
          <w:i/>
          <w:iCs/>
          <w:sz w:val="26"/>
          <w:szCs w:val="21"/>
        </w:rPr>
        <w:t xml:space="preserve"> Columbia Gas of Pa. Inc.</w:t>
      </w:r>
      <w:r w:rsidRPr="00E03C9E">
        <w:rPr>
          <w:sz w:val="26"/>
          <w:szCs w:val="21"/>
        </w:rPr>
        <w:t>,</w:t>
      </w:r>
      <w:r w:rsidRPr="00142A6B">
        <w:rPr>
          <w:i/>
          <w:iCs/>
          <w:sz w:val="26"/>
          <w:szCs w:val="21"/>
        </w:rPr>
        <w:t xml:space="preserve"> </w:t>
      </w:r>
      <w:r w:rsidRPr="00142A6B">
        <w:rPr>
          <w:sz w:val="26"/>
        </w:rPr>
        <w:t xml:space="preserve">Docket No. R-2020-3018835 (Order on Petition for Reconsideration of Staff Action entered August 20, 2020) at 20-21.  </w:t>
      </w:r>
      <w:r w:rsidRPr="00142A6B">
        <w:rPr>
          <w:i/>
          <w:iCs/>
          <w:sz w:val="26"/>
        </w:rPr>
        <w:t>See also</w:t>
      </w:r>
      <w:r w:rsidR="002D7079" w:rsidRPr="002D7079">
        <w:rPr>
          <w:sz w:val="26"/>
        </w:rPr>
        <w:t xml:space="preserve">, </w:t>
      </w:r>
      <w:r w:rsidRPr="00142A6B">
        <w:rPr>
          <w:i/>
          <w:iCs/>
          <w:sz w:val="26"/>
          <w:szCs w:val="21"/>
        </w:rPr>
        <w:t>Pa. P</w:t>
      </w:r>
      <w:r w:rsidR="00E03C9E">
        <w:rPr>
          <w:i/>
          <w:iCs/>
          <w:sz w:val="26"/>
          <w:szCs w:val="21"/>
        </w:rPr>
        <w:t>UC</w:t>
      </w:r>
      <w:r w:rsidRPr="00142A6B">
        <w:rPr>
          <w:i/>
          <w:iCs/>
          <w:sz w:val="26"/>
          <w:szCs w:val="21"/>
        </w:rPr>
        <w:t xml:space="preserve"> v. Pennsylvania American Water Company</w:t>
      </w:r>
      <w:r w:rsidRPr="00E03C9E">
        <w:rPr>
          <w:sz w:val="26"/>
          <w:szCs w:val="21"/>
        </w:rPr>
        <w:t>,</w:t>
      </w:r>
      <w:r w:rsidRPr="00142A6B">
        <w:rPr>
          <w:i/>
          <w:iCs/>
          <w:sz w:val="26"/>
          <w:szCs w:val="21"/>
        </w:rPr>
        <w:t xml:space="preserve"> </w:t>
      </w:r>
      <w:r w:rsidRPr="00142A6B">
        <w:rPr>
          <w:sz w:val="26"/>
        </w:rPr>
        <w:t>Docket Nos. R</w:t>
      </w:r>
      <w:r w:rsidR="00E03C9E">
        <w:rPr>
          <w:sz w:val="26"/>
        </w:rPr>
        <w:noBreakHyphen/>
      </w:r>
      <w:r w:rsidRPr="00142A6B">
        <w:rPr>
          <w:sz w:val="26"/>
        </w:rPr>
        <w:t>2020</w:t>
      </w:r>
      <w:r w:rsidR="00E03C9E">
        <w:rPr>
          <w:sz w:val="26"/>
        </w:rPr>
        <w:noBreakHyphen/>
      </w:r>
      <w:r w:rsidRPr="00142A6B">
        <w:rPr>
          <w:sz w:val="26"/>
        </w:rPr>
        <w:t>3019369 and R-2020-3019371 (Order on Petition for Reconsideration of Staff Action entered August</w:t>
      </w:r>
      <w:r w:rsidR="00277CC7">
        <w:rPr>
          <w:sz w:val="26"/>
        </w:rPr>
        <w:t> </w:t>
      </w:r>
      <w:r w:rsidRPr="00142A6B">
        <w:rPr>
          <w:sz w:val="26"/>
        </w:rPr>
        <w:t>20, 2020).</w:t>
      </w:r>
    </w:p>
  </w:footnote>
  <w:footnote w:id="11">
    <w:p w14:paraId="4619797D" w14:textId="77777777" w:rsidR="00C359D1" w:rsidRDefault="00C359D1" w:rsidP="002D7079">
      <w:pPr>
        <w:pStyle w:val="FootnoteText"/>
        <w:keepNext/>
        <w:keepLines/>
        <w:rPr>
          <w:sz w:val="26"/>
          <w:szCs w:val="26"/>
        </w:rPr>
      </w:pPr>
      <w:r>
        <w:rPr>
          <w:sz w:val="26"/>
          <w:szCs w:val="26"/>
        </w:rPr>
        <w:tab/>
      </w:r>
      <w:r>
        <w:rPr>
          <w:rStyle w:val="FootnoteReference"/>
          <w:sz w:val="26"/>
          <w:szCs w:val="26"/>
        </w:rPr>
        <w:footnoteRef/>
      </w:r>
      <w:r>
        <w:rPr>
          <w:sz w:val="26"/>
          <w:szCs w:val="26"/>
        </w:rPr>
        <w:tab/>
      </w:r>
      <w:bookmarkStart w:id="10" w:name="_Hlk531704770"/>
      <w:r>
        <w:rPr>
          <w:i/>
          <w:sz w:val="26"/>
          <w:szCs w:val="26"/>
        </w:rPr>
        <w:t>Pa.</w:t>
      </w:r>
      <w:r>
        <w:rPr>
          <w:sz w:val="26"/>
          <w:szCs w:val="26"/>
        </w:rPr>
        <w:t xml:space="preserve"> </w:t>
      </w:r>
      <w:r>
        <w:rPr>
          <w:i/>
          <w:sz w:val="26"/>
          <w:szCs w:val="26"/>
        </w:rPr>
        <w:t>PUC v. Peoples TWP LLC</w:t>
      </w:r>
      <w:r>
        <w:rPr>
          <w:sz w:val="26"/>
          <w:szCs w:val="26"/>
        </w:rPr>
        <w:t>, Docket No. R-2013-2355886 (Order entered December 19, 2013), at 28 (citations omitted).</w:t>
      </w:r>
      <w:bookmarkEnd w:id="10"/>
    </w:p>
  </w:footnote>
  <w:footnote w:id="12">
    <w:p w14:paraId="07F33538" w14:textId="037077BA" w:rsidR="00C359D1" w:rsidRPr="004863A3" w:rsidRDefault="00C359D1" w:rsidP="00DF6019">
      <w:pPr>
        <w:keepNext/>
        <w:keepLines/>
        <w:widowControl/>
        <w:ind w:firstLine="720"/>
        <w:rPr>
          <w:sz w:val="26"/>
          <w:szCs w:val="26"/>
        </w:rPr>
      </w:pPr>
      <w:r w:rsidRPr="00B70F54">
        <w:rPr>
          <w:rStyle w:val="FootnoteReference"/>
          <w:rFonts w:eastAsiaTheme="majorEastAsia"/>
          <w:sz w:val="26"/>
          <w:szCs w:val="26"/>
        </w:rPr>
        <w:footnoteRef/>
      </w:r>
      <w:r w:rsidRPr="00B70F54">
        <w:rPr>
          <w:sz w:val="26"/>
          <w:szCs w:val="26"/>
        </w:rPr>
        <w:t xml:space="preserve"> </w:t>
      </w:r>
      <w:r w:rsidRPr="00B70F54">
        <w:rPr>
          <w:sz w:val="26"/>
          <w:szCs w:val="26"/>
        </w:rPr>
        <w:tab/>
      </w:r>
      <w:r w:rsidRPr="00CF45C3">
        <w:rPr>
          <w:sz w:val="26"/>
          <w:szCs w:val="26"/>
        </w:rPr>
        <w:t xml:space="preserve">Among other things, Section 1308(d) of the Code requires the Commission to render a final decision granting or denying, in whole or in part, the general rate increase requested by a public utility, within a general time frame not to exceed seven months from the proposed effective date of the utility’s proposed tariff supplement.  </w:t>
      </w:r>
      <w:r w:rsidRPr="00CF45C3">
        <w:rPr>
          <w:i/>
          <w:sz w:val="26"/>
          <w:szCs w:val="26"/>
        </w:rPr>
        <w:t xml:space="preserve">See </w:t>
      </w:r>
      <w:r w:rsidRPr="00CF45C3">
        <w:rPr>
          <w:sz w:val="26"/>
          <w:szCs w:val="26"/>
        </w:rPr>
        <w:t xml:space="preserve">66 Pa. C.S. § 1308(d); </w:t>
      </w:r>
      <w:r w:rsidRPr="00CF45C3">
        <w:rPr>
          <w:i/>
          <w:sz w:val="26"/>
          <w:szCs w:val="26"/>
        </w:rPr>
        <w:t>see also</w:t>
      </w:r>
      <w:r w:rsidRPr="002D7079">
        <w:rPr>
          <w:iCs/>
          <w:sz w:val="26"/>
          <w:szCs w:val="26"/>
        </w:rPr>
        <w:t>,</w:t>
      </w:r>
      <w:r w:rsidRPr="00CF45C3">
        <w:rPr>
          <w:sz w:val="26"/>
          <w:szCs w:val="26"/>
        </w:rPr>
        <w:t xml:space="preserve"> 52 Pa. Code § 53.31 (requiring a tariff proposing rate increase to be effective upon sixty days’ advance notice).  Unless the utility voluntarily extends the suspension period, the Commission’s non-action within this timeframe means, by operation of law, the utility’s proposed general rate increase will go into effect, as proposed, at the end of such period.  </w:t>
      </w:r>
      <w:r w:rsidRPr="00CF45C3">
        <w:rPr>
          <w:i/>
          <w:sz w:val="26"/>
          <w:szCs w:val="26"/>
        </w:rPr>
        <w:t>See</w:t>
      </w:r>
      <w:r w:rsidRPr="00CF45C3">
        <w:rPr>
          <w:sz w:val="26"/>
          <w:szCs w:val="26"/>
        </w:rPr>
        <w:t xml:space="preserve"> 66 Pa.</w:t>
      </w:r>
      <w:r>
        <w:rPr>
          <w:sz w:val="26"/>
          <w:szCs w:val="26"/>
        </w:rPr>
        <w:t xml:space="preserve"> </w:t>
      </w:r>
      <w:r w:rsidRPr="00CF45C3">
        <w:rPr>
          <w:sz w:val="26"/>
          <w:szCs w:val="26"/>
        </w:rPr>
        <w:t>C.S. § 1308(d).</w:t>
      </w:r>
    </w:p>
  </w:footnote>
  <w:footnote w:id="13">
    <w:p w14:paraId="2D73F100" w14:textId="276D3CC3" w:rsidR="00C359D1" w:rsidRPr="00CB55D9" w:rsidRDefault="00C359D1" w:rsidP="00B81CE1">
      <w:pPr>
        <w:pStyle w:val="FootnoteText"/>
        <w:keepNext/>
        <w:keepLines/>
        <w:rPr>
          <w:sz w:val="26"/>
          <w:szCs w:val="26"/>
        </w:rPr>
      </w:pPr>
      <w:r w:rsidRPr="00CB55D9">
        <w:rPr>
          <w:sz w:val="26"/>
          <w:szCs w:val="26"/>
        </w:rPr>
        <w:tab/>
      </w:r>
      <w:r w:rsidRPr="00CB55D9">
        <w:rPr>
          <w:rStyle w:val="FootnoteReference"/>
          <w:sz w:val="26"/>
          <w:szCs w:val="26"/>
        </w:rPr>
        <w:footnoteRef/>
      </w:r>
      <w:r w:rsidRPr="00CB55D9">
        <w:rPr>
          <w:sz w:val="26"/>
          <w:szCs w:val="26"/>
        </w:rPr>
        <w:tab/>
        <w:t xml:space="preserve">1 Pa. C.S. § 1922(1), </w:t>
      </w:r>
      <w:r w:rsidRPr="00CB55D9">
        <w:rPr>
          <w:i/>
          <w:sz w:val="26"/>
          <w:szCs w:val="26"/>
        </w:rPr>
        <w:t>PA Financial Responsibility Assigned Claims Plan v. English</w:t>
      </w:r>
      <w:r w:rsidRPr="00CB55D9">
        <w:rPr>
          <w:sz w:val="26"/>
          <w:szCs w:val="26"/>
        </w:rPr>
        <w:t>, 64 A.2d 84 (</w:t>
      </w:r>
      <w:r>
        <w:rPr>
          <w:sz w:val="26"/>
          <w:szCs w:val="26"/>
        </w:rPr>
        <w:t xml:space="preserve">Pa. </w:t>
      </w:r>
      <w:r w:rsidRPr="00CB55D9">
        <w:rPr>
          <w:sz w:val="26"/>
          <w:szCs w:val="26"/>
        </w:rPr>
        <w:t>1995).</w:t>
      </w:r>
    </w:p>
  </w:footnote>
  <w:footnote w:id="14">
    <w:p w14:paraId="6252EAE0" w14:textId="27A3F1E9" w:rsidR="00C359D1" w:rsidRPr="00D72361" w:rsidRDefault="00C359D1" w:rsidP="00B81CE1">
      <w:pPr>
        <w:widowControl/>
        <w:autoSpaceDE w:val="0"/>
        <w:autoSpaceDN w:val="0"/>
        <w:adjustRightInd w:val="0"/>
        <w:ind w:firstLine="720"/>
        <w:rPr>
          <w:sz w:val="26"/>
          <w:szCs w:val="26"/>
        </w:rPr>
      </w:pPr>
      <w:r w:rsidRPr="00D72361">
        <w:rPr>
          <w:rStyle w:val="FootnoteReference"/>
          <w:sz w:val="26"/>
          <w:szCs w:val="26"/>
        </w:rPr>
        <w:footnoteRef/>
      </w:r>
      <w:r w:rsidRPr="00D72361">
        <w:rPr>
          <w:sz w:val="26"/>
          <w:szCs w:val="26"/>
        </w:rPr>
        <w:t xml:space="preserve"> </w:t>
      </w:r>
      <w:r w:rsidRPr="00D72361">
        <w:rPr>
          <w:sz w:val="26"/>
          <w:szCs w:val="26"/>
        </w:rPr>
        <w:tab/>
        <w:t xml:space="preserve">The </w:t>
      </w:r>
      <w:r w:rsidRPr="00D72361">
        <w:rPr>
          <w:sz w:val="26"/>
          <w:szCs w:val="26"/>
        </w:rPr>
        <w:t>first rate increase will take effect on January 1, 2021, and is designed to produce additional annual revenue of $10 million.</w:t>
      </w:r>
      <w:r>
        <w:rPr>
          <w:sz w:val="26"/>
          <w:szCs w:val="26"/>
        </w:rPr>
        <w:t xml:space="preserve">  </w:t>
      </w:r>
      <w:r w:rsidRPr="00D72361">
        <w:rPr>
          <w:sz w:val="26"/>
          <w:szCs w:val="26"/>
        </w:rPr>
        <w:t>The second increase will take effect on July 1, 2021, six months later, and is designed to produce additional revenues of $10</w:t>
      </w:r>
      <w:r w:rsidR="00B81CE1">
        <w:rPr>
          <w:sz w:val="26"/>
          <w:szCs w:val="26"/>
        </w:rPr>
        <w:t> </w:t>
      </w:r>
      <w:r w:rsidRPr="00D72361">
        <w:rPr>
          <w:sz w:val="26"/>
          <w:szCs w:val="26"/>
        </w:rPr>
        <w:t>million.</w:t>
      </w:r>
      <w:r>
        <w:rPr>
          <w:sz w:val="26"/>
          <w:szCs w:val="26"/>
        </w:rPr>
        <w:t xml:space="preserve">  </w:t>
      </w:r>
      <w:r w:rsidRPr="00D72361">
        <w:rPr>
          <w:sz w:val="26"/>
          <w:szCs w:val="26"/>
        </w:rPr>
        <w:t xml:space="preserve">Lastly, a third increase of $15 million occurs on or after January </w:t>
      </w:r>
      <w:r>
        <w:rPr>
          <w:sz w:val="26"/>
          <w:szCs w:val="26"/>
        </w:rPr>
        <w:t>1</w:t>
      </w:r>
      <w:r w:rsidRPr="00D72361">
        <w:rPr>
          <w:sz w:val="26"/>
          <w:szCs w:val="26"/>
        </w:rPr>
        <w:t>, 2022.</w:t>
      </w:r>
      <w:r>
        <w:rPr>
          <w:sz w:val="26"/>
          <w:szCs w:val="26"/>
        </w:rPr>
        <w:t xml:space="preserve">  Partial Settlement at ¶ 16.  </w:t>
      </w:r>
    </w:p>
  </w:footnote>
  <w:footnote w:id="15">
    <w:p w14:paraId="3F009C7E" w14:textId="43943FB6" w:rsidR="00C359D1" w:rsidRPr="00A644F1" w:rsidRDefault="00C359D1" w:rsidP="001C1AC3">
      <w:pPr>
        <w:kinsoku w:val="0"/>
        <w:overflowPunct w:val="0"/>
        <w:spacing w:after="120"/>
        <w:ind w:firstLine="720"/>
        <w:textAlignment w:val="baseline"/>
        <w:rPr>
          <w:sz w:val="26"/>
          <w:szCs w:val="26"/>
        </w:rPr>
      </w:pPr>
      <w:r w:rsidRPr="00A644F1">
        <w:rPr>
          <w:rStyle w:val="FootnoteReference"/>
          <w:sz w:val="26"/>
          <w:szCs w:val="26"/>
        </w:rPr>
        <w:footnoteRef/>
      </w:r>
      <w:r w:rsidRPr="00A644F1">
        <w:rPr>
          <w:spacing w:val="-1"/>
          <w:sz w:val="26"/>
          <w:szCs w:val="26"/>
        </w:rPr>
        <w:t xml:space="preserve">  </w:t>
      </w:r>
      <w:r w:rsidRPr="00A644F1">
        <w:rPr>
          <w:spacing w:val="-1"/>
          <w:sz w:val="26"/>
          <w:szCs w:val="26"/>
        </w:rPr>
        <w:tab/>
        <w:t xml:space="preserve">Under the Partial Settlement, a residential sales customer using 75 thousand cubic feet (Mcf) per year will see increases in their monthly bills as follows: (1) an increase from $99.52 to $101.02 or by 1.5% on January 1, 2021; (2) an increase from $101.02 to $102.53 or by 1.5% on July 1, 2021; and (3) an increase from $102.53 to $104.78 or by 2.2% on January 1, 2022, or a total increase of 5.2%. </w:t>
      </w:r>
      <w:r>
        <w:rPr>
          <w:spacing w:val="-1"/>
          <w:sz w:val="26"/>
          <w:szCs w:val="26"/>
        </w:rPr>
        <w:t xml:space="preserve"> </w:t>
      </w:r>
      <w:r w:rsidRPr="00A644F1">
        <w:rPr>
          <w:spacing w:val="-1"/>
          <w:sz w:val="26"/>
          <w:szCs w:val="26"/>
        </w:rPr>
        <w:t xml:space="preserve">If the Company’s entire request had been approved, the total bill for a residential customer using 75 Mcf per year would increase from $99.52 to $110.68 per month, or by 11.2%. </w:t>
      </w:r>
      <w:r>
        <w:rPr>
          <w:spacing w:val="-1"/>
          <w:sz w:val="26"/>
          <w:szCs w:val="26"/>
        </w:rPr>
        <w:t xml:space="preserve"> </w:t>
      </w:r>
      <w:r w:rsidRPr="00A644F1">
        <w:rPr>
          <w:spacing w:val="-1"/>
          <w:sz w:val="26"/>
          <w:szCs w:val="26"/>
        </w:rPr>
        <w:t>The total bill for a commercial customer using 342 Mcf of gas purchased from PGW per year will see increases in their monthly bills as follows: (1) an increase from $351.92 to $355.38 or by 1.0% on January 1, 2021; (2) an increase from $355.38 to $358.84 or by 1.0% on July</w:t>
      </w:r>
      <w:r w:rsidR="00B81CE1">
        <w:rPr>
          <w:spacing w:val="-1"/>
          <w:sz w:val="26"/>
          <w:szCs w:val="26"/>
        </w:rPr>
        <w:t> </w:t>
      </w:r>
      <w:r w:rsidRPr="00A644F1">
        <w:rPr>
          <w:spacing w:val="-1"/>
          <w:sz w:val="26"/>
          <w:szCs w:val="26"/>
        </w:rPr>
        <w:t>1,</w:t>
      </w:r>
      <w:r w:rsidR="00B81CE1">
        <w:rPr>
          <w:spacing w:val="-1"/>
          <w:sz w:val="26"/>
          <w:szCs w:val="26"/>
        </w:rPr>
        <w:t> </w:t>
      </w:r>
      <w:r w:rsidRPr="00A644F1">
        <w:rPr>
          <w:spacing w:val="-1"/>
          <w:sz w:val="26"/>
          <w:szCs w:val="26"/>
        </w:rPr>
        <w:t xml:space="preserve">2021; and (3) an increase from $358.84 to $363.99 or by 1.4% on January 1, 2022. </w:t>
      </w:r>
      <w:r>
        <w:rPr>
          <w:spacing w:val="-1"/>
          <w:sz w:val="26"/>
          <w:szCs w:val="26"/>
        </w:rPr>
        <w:t xml:space="preserve"> </w:t>
      </w:r>
      <w:r w:rsidRPr="00A644F1">
        <w:rPr>
          <w:spacing w:val="-1"/>
          <w:sz w:val="26"/>
          <w:szCs w:val="26"/>
        </w:rPr>
        <w:t xml:space="preserve">If the </w:t>
      </w:r>
      <w:r w:rsidRPr="00A644F1">
        <w:rPr>
          <w:sz w:val="26"/>
          <w:szCs w:val="26"/>
        </w:rPr>
        <w:t>Company’s request had been approved as proposed, the total bill for a commercial customer using 342 Mcf of gas per year would have increased by 3.3%.  R.D. at 59.</w:t>
      </w:r>
    </w:p>
  </w:footnote>
  <w:footnote w:id="16">
    <w:p w14:paraId="5E77D707" w14:textId="0112A635" w:rsidR="00C359D1" w:rsidRPr="00DD0F41" w:rsidRDefault="00C359D1" w:rsidP="00DD0F41">
      <w:pPr>
        <w:pStyle w:val="FootnoteText"/>
        <w:ind w:firstLine="720"/>
        <w:rPr>
          <w:sz w:val="26"/>
          <w:szCs w:val="26"/>
        </w:rPr>
      </w:pPr>
      <w:r w:rsidRPr="00142A6B">
        <w:rPr>
          <w:rStyle w:val="FootnoteReference"/>
          <w:sz w:val="26"/>
          <w:szCs w:val="26"/>
        </w:rPr>
        <w:footnoteRef/>
      </w:r>
      <w:r w:rsidRPr="00142A6B">
        <w:rPr>
          <w:sz w:val="26"/>
          <w:szCs w:val="26"/>
        </w:rPr>
        <w:t xml:space="preserve">  </w:t>
      </w:r>
      <w:r w:rsidRPr="00142A6B">
        <w:rPr>
          <w:sz w:val="26"/>
          <w:szCs w:val="26"/>
        </w:rPr>
        <w:tab/>
      </w:r>
      <w:r w:rsidRPr="00DD0F41">
        <w:rPr>
          <w:sz w:val="26"/>
          <w:szCs w:val="26"/>
        </w:rPr>
        <w:t>The stay-out provision does not include requests for emergency or extraordinary rate relief that may be made pursuant to</w:t>
      </w:r>
      <w:r w:rsidRPr="008F79C2">
        <w:rPr>
          <w:sz w:val="26"/>
          <w:szCs w:val="26"/>
        </w:rPr>
        <w:t xml:space="preserve"> Section 1308(</w:t>
      </w:r>
      <w:r w:rsidRPr="000C3BAD">
        <w:rPr>
          <w:sz w:val="26"/>
          <w:szCs w:val="26"/>
        </w:rPr>
        <w:t>e) of the Code,</w:t>
      </w:r>
      <w:r w:rsidRPr="00DD0F41">
        <w:rPr>
          <w:sz w:val="26"/>
          <w:szCs w:val="26"/>
        </w:rPr>
        <w:t xml:space="preserve"> 66</w:t>
      </w:r>
      <w:r w:rsidR="00B81CE1">
        <w:rPr>
          <w:sz w:val="26"/>
          <w:szCs w:val="26"/>
        </w:rPr>
        <w:t> </w:t>
      </w:r>
      <w:r w:rsidRPr="00DD0F41">
        <w:rPr>
          <w:sz w:val="26"/>
          <w:szCs w:val="26"/>
        </w:rPr>
        <w:t xml:space="preserve">Pa. C.S. § 1308(e), </w:t>
      </w:r>
      <w:r w:rsidRPr="00DD0F41">
        <w:rPr>
          <w:color w:val="000000"/>
          <w:sz w:val="26"/>
          <w:szCs w:val="26"/>
        </w:rPr>
        <w:t>tariff changes required or authorized by PUC order or industry-wide changes in regulatory policy which affect PGW’s rates.</w:t>
      </w:r>
    </w:p>
  </w:footnote>
  <w:footnote w:id="17">
    <w:p w14:paraId="148CEDD9" w14:textId="77777777" w:rsidR="00C359D1" w:rsidRPr="00464930" w:rsidRDefault="00C359D1" w:rsidP="00A315AC">
      <w:pPr>
        <w:pStyle w:val="FootnoteText"/>
        <w:ind w:firstLine="720"/>
        <w:rPr>
          <w:sz w:val="26"/>
          <w:szCs w:val="26"/>
        </w:rPr>
      </w:pPr>
      <w:r w:rsidRPr="00464930">
        <w:rPr>
          <w:rStyle w:val="FootnoteReference"/>
          <w:sz w:val="26"/>
          <w:szCs w:val="26"/>
        </w:rPr>
        <w:footnoteRef/>
      </w:r>
      <w:r w:rsidRPr="00464930">
        <w:rPr>
          <w:sz w:val="26"/>
          <w:szCs w:val="26"/>
        </w:rPr>
        <w:t xml:space="preserve">  </w:t>
      </w:r>
      <w:r w:rsidRPr="00464930">
        <w:rPr>
          <w:sz w:val="26"/>
          <w:szCs w:val="26"/>
        </w:rPr>
        <w:tab/>
        <w:t>Joint Petition ¶ 45.</w:t>
      </w:r>
    </w:p>
  </w:footnote>
  <w:footnote w:id="18">
    <w:p w14:paraId="638EEA86" w14:textId="40AD4121" w:rsidR="00C359D1" w:rsidRPr="00904FE6" w:rsidRDefault="00C359D1" w:rsidP="009974D3">
      <w:pPr>
        <w:pStyle w:val="FootnoteText"/>
        <w:spacing w:after="120"/>
        <w:ind w:firstLine="720"/>
        <w:rPr>
          <w:sz w:val="26"/>
          <w:szCs w:val="26"/>
        </w:rPr>
      </w:pPr>
      <w:r w:rsidRPr="00904FE6">
        <w:rPr>
          <w:rStyle w:val="FootnoteReference"/>
          <w:sz w:val="26"/>
          <w:szCs w:val="26"/>
        </w:rPr>
        <w:footnoteRef/>
      </w:r>
      <w:r w:rsidRPr="00904FE6">
        <w:rPr>
          <w:sz w:val="26"/>
          <w:szCs w:val="26"/>
        </w:rPr>
        <w:t xml:space="preserve">  </w:t>
      </w:r>
      <w:r w:rsidRPr="00904FE6">
        <w:rPr>
          <w:sz w:val="26"/>
          <w:szCs w:val="26"/>
        </w:rPr>
        <w:tab/>
        <w:t>Joint Petition at ¶ 18.</w:t>
      </w:r>
    </w:p>
  </w:footnote>
  <w:footnote w:id="19">
    <w:p w14:paraId="398B5705" w14:textId="7F7C0EC3" w:rsidR="00C359D1" w:rsidRPr="00904FE6" w:rsidRDefault="00C359D1" w:rsidP="009974D3">
      <w:pPr>
        <w:pStyle w:val="FootnoteText"/>
        <w:spacing w:after="120"/>
        <w:ind w:firstLine="720"/>
        <w:rPr>
          <w:sz w:val="26"/>
          <w:szCs w:val="26"/>
        </w:rPr>
      </w:pPr>
      <w:r w:rsidRPr="00904FE6">
        <w:rPr>
          <w:rStyle w:val="FootnoteReference"/>
          <w:sz w:val="26"/>
          <w:szCs w:val="26"/>
        </w:rPr>
        <w:footnoteRef/>
      </w:r>
      <w:r w:rsidRPr="00904FE6">
        <w:rPr>
          <w:sz w:val="26"/>
          <w:szCs w:val="26"/>
        </w:rPr>
        <w:t xml:space="preserve">  </w:t>
      </w:r>
      <w:r w:rsidRPr="00904FE6">
        <w:rPr>
          <w:sz w:val="26"/>
          <w:szCs w:val="26"/>
        </w:rPr>
        <w:tab/>
        <w:t>Joint Petition at ¶ 19.</w:t>
      </w:r>
    </w:p>
  </w:footnote>
  <w:footnote w:id="20">
    <w:p w14:paraId="2A9032CB" w14:textId="1CF05DEB" w:rsidR="00C359D1" w:rsidRPr="00904FE6" w:rsidRDefault="00C359D1" w:rsidP="00817848">
      <w:pPr>
        <w:pStyle w:val="FootnoteText"/>
        <w:ind w:firstLine="720"/>
        <w:rPr>
          <w:sz w:val="26"/>
          <w:szCs w:val="26"/>
        </w:rPr>
      </w:pPr>
      <w:r w:rsidRPr="00904FE6">
        <w:rPr>
          <w:rStyle w:val="FootnoteReference"/>
          <w:sz w:val="26"/>
          <w:szCs w:val="26"/>
        </w:rPr>
        <w:footnoteRef/>
      </w:r>
      <w:r w:rsidRPr="00904FE6">
        <w:rPr>
          <w:sz w:val="26"/>
          <w:szCs w:val="26"/>
        </w:rPr>
        <w:t xml:space="preserve">  </w:t>
      </w:r>
      <w:r w:rsidRPr="00904FE6">
        <w:rPr>
          <w:sz w:val="26"/>
          <w:szCs w:val="26"/>
        </w:rPr>
        <w:tab/>
        <w:t>Joint Petition at ¶¶ 12 and 22 (c)-(d).</w:t>
      </w:r>
    </w:p>
  </w:footnote>
  <w:footnote w:id="21">
    <w:p w14:paraId="5472495C" w14:textId="34E6ABFD" w:rsidR="00C359D1" w:rsidRPr="005638E1" w:rsidRDefault="00C359D1" w:rsidP="00817848">
      <w:pPr>
        <w:pStyle w:val="FootnoteText"/>
        <w:spacing w:after="120"/>
        <w:ind w:firstLine="720"/>
        <w:rPr>
          <w:sz w:val="26"/>
          <w:szCs w:val="26"/>
        </w:rPr>
      </w:pPr>
      <w:r w:rsidRPr="005638E1">
        <w:rPr>
          <w:rStyle w:val="FootnoteReference"/>
          <w:sz w:val="26"/>
          <w:szCs w:val="26"/>
        </w:rPr>
        <w:footnoteRef/>
      </w:r>
      <w:r w:rsidRPr="005638E1">
        <w:rPr>
          <w:sz w:val="26"/>
          <w:szCs w:val="26"/>
        </w:rPr>
        <w:t xml:space="preserve">  </w:t>
      </w:r>
      <w:r w:rsidRPr="005638E1">
        <w:rPr>
          <w:sz w:val="26"/>
          <w:szCs w:val="26"/>
        </w:rPr>
        <w:tab/>
        <w:t>Joint Petition at ¶ 22(b).</w:t>
      </w:r>
    </w:p>
  </w:footnote>
  <w:footnote w:id="22">
    <w:p w14:paraId="6945F049" w14:textId="58D2FE26" w:rsidR="00C359D1" w:rsidRPr="005638E1" w:rsidRDefault="00C359D1" w:rsidP="00817848">
      <w:pPr>
        <w:pStyle w:val="FootnoteText"/>
        <w:spacing w:after="120"/>
        <w:ind w:firstLine="720"/>
        <w:rPr>
          <w:i/>
          <w:iCs/>
          <w:sz w:val="26"/>
          <w:szCs w:val="26"/>
        </w:rPr>
      </w:pPr>
      <w:r w:rsidRPr="005638E1">
        <w:rPr>
          <w:rStyle w:val="FootnoteReference"/>
          <w:sz w:val="26"/>
          <w:szCs w:val="26"/>
        </w:rPr>
        <w:footnoteRef/>
      </w:r>
      <w:r w:rsidRPr="005638E1">
        <w:rPr>
          <w:sz w:val="26"/>
          <w:szCs w:val="26"/>
        </w:rPr>
        <w:t xml:space="preserve">  </w:t>
      </w:r>
      <w:r w:rsidRPr="005638E1">
        <w:rPr>
          <w:sz w:val="26"/>
          <w:szCs w:val="26"/>
        </w:rPr>
        <w:tab/>
      </w:r>
      <w:r w:rsidRPr="005638E1">
        <w:rPr>
          <w:i/>
          <w:iCs/>
          <w:sz w:val="26"/>
          <w:szCs w:val="26"/>
        </w:rPr>
        <w:t>Id.</w:t>
      </w:r>
    </w:p>
  </w:footnote>
  <w:footnote w:id="23">
    <w:p w14:paraId="0ACD2049" w14:textId="22A796D9" w:rsidR="00C359D1" w:rsidRPr="005638E1" w:rsidRDefault="00C359D1" w:rsidP="00817848">
      <w:pPr>
        <w:pStyle w:val="FootnoteText"/>
        <w:spacing w:after="120"/>
        <w:ind w:firstLine="720"/>
        <w:rPr>
          <w:i/>
          <w:iCs/>
          <w:sz w:val="26"/>
          <w:szCs w:val="26"/>
        </w:rPr>
      </w:pPr>
      <w:r w:rsidRPr="005638E1">
        <w:rPr>
          <w:rStyle w:val="FootnoteReference"/>
          <w:sz w:val="26"/>
          <w:szCs w:val="26"/>
        </w:rPr>
        <w:footnoteRef/>
      </w:r>
      <w:r w:rsidRPr="005638E1">
        <w:rPr>
          <w:sz w:val="26"/>
          <w:szCs w:val="26"/>
        </w:rPr>
        <w:t xml:space="preserve">  </w:t>
      </w:r>
      <w:r w:rsidRPr="005638E1">
        <w:rPr>
          <w:sz w:val="26"/>
          <w:szCs w:val="26"/>
        </w:rPr>
        <w:tab/>
      </w:r>
      <w:r w:rsidRPr="005638E1">
        <w:rPr>
          <w:i/>
          <w:iCs/>
          <w:sz w:val="26"/>
          <w:szCs w:val="26"/>
        </w:rPr>
        <w:t xml:space="preserve">Id., </w:t>
      </w:r>
      <w:r w:rsidRPr="005638E1">
        <w:rPr>
          <w:sz w:val="26"/>
          <w:szCs w:val="26"/>
        </w:rPr>
        <w:t>66 Pa. C.S. § 1405.</w:t>
      </w:r>
    </w:p>
  </w:footnote>
  <w:footnote w:id="24">
    <w:p w14:paraId="29C305C7" w14:textId="7E9B30B0" w:rsidR="00C359D1" w:rsidRPr="00C451C0" w:rsidRDefault="00C359D1" w:rsidP="00817848">
      <w:pPr>
        <w:pStyle w:val="FootnoteText"/>
        <w:ind w:firstLine="720"/>
        <w:rPr>
          <w:sz w:val="26"/>
          <w:szCs w:val="26"/>
        </w:rPr>
      </w:pPr>
      <w:r w:rsidRPr="00C451C0">
        <w:rPr>
          <w:rStyle w:val="FootnoteReference"/>
          <w:sz w:val="26"/>
          <w:szCs w:val="26"/>
        </w:rPr>
        <w:footnoteRef/>
      </w:r>
      <w:r w:rsidRPr="00C451C0">
        <w:rPr>
          <w:sz w:val="26"/>
          <w:szCs w:val="26"/>
        </w:rPr>
        <w:t xml:space="preserve">  </w:t>
      </w:r>
      <w:r w:rsidRPr="00C451C0">
        <w:rPr>
          <w:sz w:val="26"/>
          <w:szCs w:val="26"/>
        </w:rPr>
        <w:tab/>
        <w:t>Joint Petition at ¶ 22(g).</w:t>
      </w:r>
    </w:p>
  </w:footnote>
  <w:footnote w:id="25">
    <w:p w14:paraId="128D1EB1" w14:textId="29F02069" w:rsidR="00C359D1" w:rsidRPr="00142A6B" w:rsidRDefault="00C359D1" w:rsidP="001C1AC3">
      <w:pPr>
        <w:pStyle w:val="FootnoteText"/>
        <w:spacing w:after="120"/>
        <w:ind w:firstLine="720"/>
        <w:rPr>
          <w:sz w:val="26"/>
        </w:rPr>
      </w:pPr>
      <w:r w:rsidRPr="00142A6B">
        <w:rPr>
          <w:rStyle w:val="FootnoteReference"/>
          <w:sz w:val="26"/>
        </w:rPr>
        <w:footnoteRef/>
      </w:r>
      <w:r w:rsidRPr="00142A6B">
        <w:rPr>
          <w:sz w:val="26"/>
        </w:rPr>
        <w:t xml:space="preserve">  </w:t>
      </w:r>
      <w:r w:rsidRPr="00142A6B">
        <w:rPr>
          <w:sz w:val="26"/>
        </w:rPr>
        <w:tab/>
      </w:r>
      <w:r w:rsidRPr="00142A6B">
        <w:rPr>
          <w:i/>
          <w:iCs/>
          <w:sz w:val="26"/>
        </w:rPr>
        <w:t xml:space="preserve">CS Water and Sewer </w:t>
      </w:r>
      <w:r>
        <w:rPr>
          <w:sz w:val="26"/>
        </w:rPr>
        <w:t>at 771.</w:t>
      </w:r>
    </w:p>
  </w:footnote>
  <w:footnote w:id="26">
    <w:p w14:paraId="6CF7C5FA" w14:textId="3568C903" w:rsidR="00C359D1" w:rsidRPr="00142A6B" w:rsidRDefault="00C359D1" w:rsidP="00DC2B4F">
      <w:pPr>
        <w:pStyle w:val="FootnoteText"/>
        <w:ind w:firstLine="720"/>
        <w:rPr>
          <w:sz w:val="26"/>
        </w:rPr>
      </w:pPr>
      <w:r w:rsidRPr="00142A6B">
        <w:rPr>
          <w:rStyle w:val="FootnoteReference"/>
          <w:sz w:val="26"/>
        </w:rPr>
        <w:footnoteRef/>
      </w:r>
      <w:r w:rsidRPr="00142A6B">
        <w:rPr>
          <w:sz w:val="26"/>
        </w:rPr>
        <w:t xml:space="preserve"> </w:t>
      </w:r>
      <w:r w:rsidRPr="00142A6B">
        <w:rPr>
          <w:sz w:val="26"/>
        </w:rPr>
        <w:tab/>
        <w:t>52 Pa. Code §</w:t>
      </w:r>
      <w:r>
        <w:rPr>
          <w:sz w:val="26"/>
        </w:rPr>
        <w:t xml:space="preserve"> </w:t>
      </w:r>
      <w:r w:rsidRPr="00142A6B">
        <w:rPr>
          <w:sz w:val="26"/>
        </w:rPr>
        <w:t>69.2702(b).</w:t>
      </w:r>
    </w:p>
  </w:footnote>
  <w:footnote w:id="27">
    <w:p w14:paraId="4BF21BB0" w14:textId="02686239" w:rsidR="00C359D1" w:rsidRPr="00902C07" w:rsidRDefault="00C359D1" w:rsidP="009974D3">
      <w:pPr>
        <w:pStyle w:val="FootnoteText"/>
        <w:spacing w:after="120"/>
        <w:ind w:firstLine="720"/>
        <w:rPr>
          <w:sz w:val="26"/>
          <w:szCs w:val="26"/>
        </w:rPr>
      </w:pPr>
      <w:r w:rsidRPr="00902C07">
        <w:rPr>
          <w:rStyle w:val="FootnoteReference"/>
          <w:sz w:val="26"/>
          <w:szCs w:val="26"/>
        </w:rPr>
        <w:footnoteRef/>
      </w:r>
      <w:r w:rsidRPr="00902C07">
        <w:rPr>
          <w:sz w:val="26"/>
          <w:szCs w:val="26"/>
        </w:rPr>
        <w:t xml:space="preserve">  </w:t>
      </w:r>
      <w:r w:rsidRPr="00902C07">
        <w:rPr>
          <w:sz w:val="26"/>
          <w:szCs w:val="26"/>
        </w:rPr>
        <w:tab/>
        <w:t>66 Pa. C.S. § 1308(d).</w:t>
      </w:r>
    </w:p>
  </w:footnote>
  <w:footnote w:id="28">
    <w:p w14:paraId="49FD78F7" w14:textId="7C668C42" w:rsidR="00C359D1" w:rsidRPr="00902C07" w:rsidRDefault="00C359D1" w:rsidP="00902C07">
      <w:pPr>
        <w:pStyle w:val="FootnoteText"/>
        <w:ind w:firstLine="720"/>
      </w:pPr>
      <w:r>
        <w:rPr>
          <w:rStyle w:val="FootnoteReference"/>
        </w:rPr>
        <w:footnoteRef/>
      </w:r>
      <w:r>
        <w:t xml:space="preserve">  </w:t>
      </w:r>
      <w:r>
        <w:tab/>
      </w:r>
      <w:r w:rsidRPr="00CC6397">
        <w:rPr>
          <w:i/>
          <w:iCs/>
          <w:sz w:val="26"/>
          <w:szCs w:val="26"/>
        </w:rPr>
        <w:t xml:space="preserve">Joseph Horne </w:t>
      </w:r>
      <w:r>
        <w:rPr>
          <w:sz w:val="26"/>
          <w:szCs w:val="26"/>
        </w:rPr>
        <w:t>at</w:t>
      </w:r>
      <w:r w:rsidRPr="00CC6397">
        <w:rPr>
          <w:sz w:val="26"/>
          <w:szCs w:val="26"/>
        </w:rPr>
        <w:t xml:space="preserve"> 1111.</w:t>
      </w:r>
    </w:p>
  </w:footnote>
  <w:footnote w:id="29">
    <w:p w14:paraId="1E50D792" w14:textId="307E815E" w:rsidR="00C359D1" w:rsidRPr="00A31DDF" w:rsidRDefault="00C359D1" w:rsidP="009974D3">
      <w:pPr>
        <w:pStyle w:val="FootnoteText"/>
        <w:spacing w:after="120"/>
        <w:ind w:firstLine="720"/>
        <w:rPr>
          <w:i/>
          <w:iCs/>
          <w:sz w:val="26"/>
          <w:szCs w:val="26"/>
        </w:rPr>
      </w:pPr>
      <w:r w:rsidRPr="009E491C">
        <w:rPr>
          <w:rStyle w:val="FootnoteReference"/>
          <w:sz w:val="26"/>
          <w:szCs w:val="26"/>
        </w:rPr>
        <w:footnoteRef/>
      </w:r>
      <w:r w:rsidRPr="009E491C">
        <w:rPr>
          <w:sz w:val="26"/>
          <w:szCs w:val="26"/>
        </w:rPr>
        <w:t xml:space="preserve">  </w:t>
      </w:r>
      <w:r w:rsidRPr="009E491C">
        <w:rPr>
          <w:sz w:val="26"/>
          <w:szCs w:val="26"/>
        </w:rPr>
        <w:tab/>
      </w:r>
      <w:r w:rsidRPr="009E491C">
        <w:rPr>
          <w:i/>
          <w:iCs/>
          <w:sz w:val="26"/>
          <w:szCs w:val="26"/>
        </w:rPr>
        <w:t>Columbia Gas of Pa., infra.</w:t>
      </w:r>
      <w:r>
        <w:rPr>
          <w:sz w:val="26"/>
          <w:szCs w:val="26"/>
        </w:rPr>
        <w:t xml:space="preserve">, </w:t>
      </w:r>
      <w:r>
        <w:rPr>
          <w:i/>
          <w:iCs/>
          <w:sz w:val="26"/>
          <w:szCs w:val="26"/>
        </w:rPr>
        <w:t>see also</w:t>
      </w:r>
      <w:r w:rsidR="002D7079">
        <w:rPr>
          <w:i/>
          <w:iCs/>
          <w:sz w:val="26"/>
          <w:szCs w:val="26"/>
        </w:rPr>
        <w:t>,</w:t>
      </w:r>
      <w:r>
        <w:rPr>
          <w:i/>
          <w:iCs/>
          <w:sz w:val="26"/>
          <w:szCs w:val="26"/>
        </w:rPr>
        <w:t xml:space="preserve"> Pennsylvania American cited infra.</w:t>
      </w:r>
    </w:p>
  </w:footnote>
  <w:footnote w:id="30">
    <w:p w14:paraId="62585ED4" w14:textId="0DB0C575" w:rsidR="00C359D1" w:rsidRPr="00290771" w:rsidRDefault="00C359D1" w:rsidP="00A31DDF">
      <w:pPr>
        <w:pStyle w:val="FootnoteText"/>
        <w:ind w:firstLine="720"/>
        <w:rPr>
          <w:sz w:val="26"/>
          <w:szCs w:val="26"/>
        </w:rPr>
      </w:pPr>
      <w:r w:rsidRPr="00290771">
        <w:rPr>
          <w:rStyle w:val="FootnoteReference"/>
          <w:sz w:val="26"/>
          <w:szCs w:val="26"/>
        </w:rPr>
        <w:footnoteRef/>
      </w:r>
      <w:r w:rsidRPr="00290771">
        <w:rPr>
          <w:sz w:val="26"/>
          <w:szCs w:val="26"/>
        </w:rPr>
        <w:t xml:space="preserve">  </w:t>
      </w:r>
      <w:r w:rsidRPr="00290771">
        <w:rPr>
          <w:sz w:val="26"/>
          <w:szCs w:val="26"/>
        </w:rPr>
        <w:tab/>
      </w:r>
      <w:r w:rsidRPr="00290771">
        <w:rPr>
          <w:i/>
          <w:iCs/>
          <w:sz w:val="26"/>
          <w:szCs w:val="26"/>
        </w:rPr>
        <w:t>Pa. PUC v. UGI</w:t>
      </w:r>
      <w:r w:rsidRPr="00F77296">
        <w:rPr>
          <w:sz w:val="26"/>
          <w:szCs w:val="26"/>
        </w:rPr>
        <w:t>,</w:t>
      </w:r>
      <w:r w:rsidRPr="00290771">
        <w:rPr>
          <w:sz w:val="26"/>
          <w:szCs w:val="26"/>
        </w:rPr>
        <w:t xml:space="preserve"> Docket No. R-2019-3015162 (Order entered October</w:t>
      </w:r>
      <w:r w:rsidR="00F77296">
        <w:rPr>
          <w:sz w:val="26"/>
          <w:szCs w:val="26"/>
        </w:rPr>
        <w:t> </w:t>
      </w:r>
      <w:r w:rsidRPr="00290771">
        <w:rPr>
          <w:sz w:val="26"/>
          <w:szCs w:val="26"/>
        </w:rPr>
        <w:t>8,</w:t>
      </w:r>
      <w:r w:rsidR="00F77296">
        <w:rPr>
          <w:sz w:val="26"/>
          <w:szCs w:val="26"/>
        </w:rPr>
        <w:t> </w:t>
      </w:r>
      <w:r w:rsidRPr="00290771">
        <w:rPr>
          <w:sz w:val="26"/>
          <w:szCs w:val="26"/>
        </w:rPr>
        <w:t>2020).</w:t>
      </w:r>
    </w:p>
  </w:footnote>
  <w:footnote w:id="31">
    <w:p w14:paraId="1ADF3943" w14:textId="7CBB084A" w:rsidR="00C359D1" w:rsidRPr="005C551F" w:rsidRDefault="00C359D1" w:rsidP="005C551F">
      <w:pPr>
        <w:pStyle w:val="FootnoteText"/>
        <w:ind w:firstLine="720"/>
        <w:rPr>
          <w:sz w:val="26"/>
          <w:szCs w:val="26"/>
        </w:rPr>
      </w:pPr>
      <w:r w:rsidRPr="005C551F">
        <w:rPr>
          <w:rStyle w:val="FootnoteReference"/>
          <w:sz w:val="26"/>
          <w:szCs w:val="26"/>
        </w:rPr>
        <w:footnoteRef/>
      </w:r>
      <w:r w:rsidRPr="005C551F">
        <w:rPr>
          <w:sz w:val="26"/>
          <w:szCs w:val="26"/>
        </w:rPr>
        <w:t xml:space="preserve"> </w:t>
      </w:r>
      <w:r w:rsidRPr="005C551F">
        <w:rPr>
          <w:sz w:val="26"/>
          <w:szCs w:val="26"/>
        </w:rPr>
        <w:tab/>
      </w:r>
      <w:r w:rsidRPr="005C551F">
        <w:rPr>
          <w:i/>
          <w:iCs/>
          <w:sz w:val="26"/>
          <w:szCs w:val="26"/>
        </w:rPr>
        <w:t>See, e.g</w:t>
      </w:r>
      <w:r w:rsidRPr="005C551F">
        <w:rPr>
          <w:sz w:val="26"/>
          <w:szCs w:val="26"/>
        </w:rPr>
        <w:t xml:space="preserve">., </w:t>
      </w:r>
      <w:r w:rsidRPr="005C551F">
        <w:rPr>
          <w:i/>
          <w:iCs/>
          <w:sz w:val="26"/>
          <w:szCs w:val="26"/>
        </w:rPr>
        <w:t>Pa. PUC v. UGI Utilities, Inc. Gas Div</w:t>
      </w:r>
      <w:r w:rsidRPr="005C551F">
        <w:rPr>
          <w:sz w:val="26"/>
          <w:szCs w:val="26"/>
        </w:rPr>
        <w:t>., Docket No. R</w:t>
      </w:r>
      <w:r w:rsidR="00A30D76">
        <w:rPr>
          <w:sz w:val="26"/>
          <w:szCs w:val="26"/>
        </w:rPr>
        <w:noBreakHyphen/>
      </w:r>
      <w:r w:rsidRPr="005C551F">
        <w:rPr>
          <w:sz w:val="26"/>
          <w:szCs w:val="26"/>
        </w:rPr>
        <w:t>2018</w:t>
      </w:r>
      <w:r w:rsidR="00A30D76">
        <w:rPr>
          <w:sz w:val="26"/>
          <w:szCs w:val="26"/>
        </w:rPr>
        <w:noBreakHyphen/>
      </w:r>
      <w:r w:rsidRPr="005C551F">
        <w:rPr>
          <w:sz w:val="26"/>
          <w:szCs w:val="26"/>
        </w:rPr>
        <w:t xml:space="preserve">3006814 </w:t>
      </w:r>
      <w:r>
        <w:rPr>
          <w:sz w:val="26"/>
          <w:szCs w:val="26"/>
        </w:rPr>
        <w:t>(</w:t>
      </w:r>
      <w:r w:rsidRPr="005C551F">
        <w:rPr>
          <w:sz w:val="26"/>
          <w:szCs w:val="26"/>
        </w:rPr>
        <w:t>Opinion and Order entered Oct. 4, 2019</w:t>
      </w:r>
      <w:r>
        <w:rPr>
          <w:sz w:val="26"/>
          <w:szCs w:val="26"/>
        </w:rPr>
        <w:t>)</w:t>
      </w:r>
      <w:r w:rsidRPr="005C551F">
        <w:rPr>
          <w:sz w:val="26"/>
          <w:szCs w:val="26"/>
        </w:rPr>
        <w:t>, at Ordering ¶ 3.</w:t>
      </w:r>
    </w:p>
  </w:footnote>
  <w:footnote w:id="32">
    <w:p w14:paraId="69B31A3D" w14:textId="0E0F841B" w:rsidR="00C359D1" w:rsidRPr="00142A6B" w:rsidRDefault="00C359D1" w:rsidP="00595687">
      <w:pPr>
        <w:pStyle w:val="FootnoteText"/>
        <w:ind w:firstLine="720"/>
        <w:rPr>
          <w:sz w:val="26"/>
        </w:rPr>
      </w:pPr>
      <w:r w:rsidRPr="00142A6B">
        <w:rPr>
          <w:rStyle w:val="FootnoteReference"/>
          <w:sz w:val="26"/>
        </w:rPr>
        <w:footnoteRef/>
      </w:r>
      <w:r w:rsidRPr="00142A6B">
        <w:rPr>
          <w:sz w:val="26"/>
        </w:rPr>
        <w:t xml:space="preserve">  </w:t>
      </w:r>
      <w:r w:rsidRPr="00142A6B">
        <w:rPr>
          <w:sz w:val="26"/>
        </w:rPr>
        <w:tab/>
        <w:t xml:space="preserve">PGW cites to Chairman Gladys Brown Dutrieuille’s commendation of the parties’ use of a rate case settlement in which a rate increase was afforded to UGI, but relief also afforded to customers experiencing hardship due to COVID-19.  </w:t>
      </w:r>
      <w:r w:rsidRPr="00142A6B">
        <w:rPr>
          <w:i/>
          <w:iCs/>
          <w:sz w:val="26"/>
        </w:rPr>
        <w:t>See Pa. PUC v. UGI Utilities, Inc.- Gas Division</w:t>
      </w:r>
      <w:r w:rsidRPr="00A30D76">
        <w:rPr>
          <w:sz w:val="26"/>
        </w:rPr>
        <w:t>,</w:t>
      </w:r>
      <w:r w:rsidRPr="00142A6B">
        <w:rPr>
          <w:sz w:val="26"/>
        </w:rPr>
        <w:t xml:space="preserve"> Docket No. R-2019-3015162,</w:t>
      </w:r>
      <w:r>
        <w:rPr>
          <w:sz w:val="26"/>
        </w:rPr>
        <w:t xml:space="preserve"> </w:t>
      </w:r>
      <w:r w:rsidRPr="001C1AC3">
        <w:rPr>
          <w:i/>
          <w:iCs/>
          <w:sz w:val="26"/>
        </w:rPr>
        <w:t>(UGI),</w:t>
      </w:r>
      <w:r w:rsidRPr="00142A6B">
        <w:rPr>
          <w:sz w:val="26"/>
        </w:rPr>
        <w:t xml:space="preserve"> Statement of Chairman Dutrieuille.</w:t>
      </w:r>
    </w:p>
  </w:footnote>
  <w:footnote w:id="33">
    <w:p w14:paraId="5E8ECA8D" w14:textId="282626AE" w:rsidR="00C359D1" w:rsidRPr="00142A6B" w:rsidRDefault="00C359D1" w:rsidP="005B0807">
      <w:pPr>
        <w:pStyle w:val="FootnoteText"/>
        <w:ind w:firstLine="720"/>
        <w:rPr>
          <w:sz w:val="26"/>
        </w:rPr>
      </w:pPr>
      <w:r w:rsidRPr="00142A6B">
        <w:rPr>
          <w:rStyle w:val="FootnoteReference"/>
          <w:sz w:val="26"/>
        </w:rPr>
        <w:footnoteRef/>
      </w:r>
      <w:r w:rsidRPr="00142A6B">
        <w:rPr>
          <w:sz w:val="26"/>
        </w:rPr>
        <w:t xml:space="preserve">  </w:t>
      </w:r>
      <w:r w:rsidRPr="00142A6B">
        <w:rPr>
          <w:sz w:val="26"/>
        </w:rPr>
        <w:tab/>
        <w:t xml:space="preserve">As noted by </w:t>
      </w:r>
      <w:r>
        <w:rPr>
          <w:sz w:val="26"/>
        </w:rPr>
        <w:t xml:space="preserve">the </w:t>
      </w:r>
      <w:r w:rsidRPr="00142A6B">
        <w:rPr>
          <w:sz w:val="26"/>
        </w:rPr>
        <w:t xml:space="preserve">OCA, the COVID-19 Relief Plan was negotiated as a part of the settlement compromise and not an initial proposal in PGW’s initial rate filing.  OCA Exc. at 10, n. 10.  </w:t>
      </w:r>
    </w:p>
  </w:footnote>
  <w:footnote w:id="34">
    <w:p w14:paraId="17045840" w14:textId="17E8F45F" w:rsidR="00C359D1" w:rsidRPr="00142A6B" w:rsidRDefault="00C359D1" w:rsidP="006F6D98">
      <w:pPr>
        <w:pStyle w:val="FootnoteText"/>
        <w:ind w:firstLine="720"/>
        <w:rPr>
          <w:sz w:val="26"/>
        </w:rPr>
      </w:pPr>
      <w:r w:rsidRPr="00142A6B">
        <w:rPr>
          <w:rStyle w:val="FootnoteReference"/>
          <w:sz w:val="26"/>
        </w:rPr>
        <w:footnoteRef/>
      </w:r>
      <w:r w:rsidRPr="00142A6B">
        <w:rPr>
          <w:sz w:val="26"/>
        </w:rPr>
        <w:t xml:space="preserve">  </w:t>
      </w:r>
      <w:r w:rsidRPr="00142A6B">
        <w:rPr>
          <w:sz w:val="26"/>
        </w:rPr>
        <w:tab/>
      </w:r>
      <w:r w:rsidRPr="00142A6B">
        <w:rPr>
          <w:i/>
          <w:iCs/>
          <w:sz w:val="26"/>
        </w:rPr>
        <w:t>See also</w:t>
      </w:r>
      <w:r w:rsidRPr="008D4CFE">
        <w:rPr>
          <w:sz w:val="26"/>
        </w:rPr>
        <w:t>,</w:t>
      </w:r>
      <w:r w:rsidRPr="00142A6B">
        <w:rPr>
          <w:i/>
          <w:iCs/>
          <w:sz w:val="26"/>
        </w:rPr>
        <w:t xml:space="preserve"> </w:t>
      </w:r>
      <w:r w:rsidRPr="00142A6B">
        <w:rPr>
          <w:sz w:val="26"/>
        </w:rPr>
        <w:t>OCA Exc. at 5.</w:t>
      </w:r>
    </w:p>
  </w:footnote>
  <w:footnote w:id="35">
    <w:p w14:paraId="142F7021" w14:textId="25A4501A" w:rsidR="00C359D1" w:rsidRPr="00142A6B" w:rsidRDefault="00C359D1" w:rsidP="00CB766B">
      <w:pPr>
        <w:pStyle w:val="FootnoteText"/>
        <w:ind w:firstLine="720"/>
        <w:rPr>
          <w:sz w:val="26"/>
        </w:rPr>
      </w:pPr>
      <w:r w:rsidRPr="00142A6B">
        <w:rPr>
          <w:rStyle w:val="FootnoteReference"/>
          <w:sz w:val="26"/>
        </w:rPr>
        <w:footnoteRef/>
      </w:r>
      <w:r w:rsidRPr="00142A6B">
        <w:rPr>
          <w:sz w:val="26"/>
        </w:rPr>
        <w:t xml:space="preserve"> </w:t>
      </w:r>
      <w:r w:rsidRPr="00142A6B">
        <w:rPr>
          <w:sz w:val="26"/>
        </w:rPr>
        <w:tab/>
        <w:t xml:space="preserve">The Recommended Decision denied the Environmental Stakeholders’ position that PGW’s rate increase should be denied in its entirety and the Environmental Stakeholders did not file Exceptions challenging this recommendation.  Furthermore, the Environmental Stakeholders did not take a position on whether the Partial Settlement should be approved or rejected in its Replies to Exceptions.  </w:t>
      </w:r>
    </w:p>
  </w:footnote>
  <w:footnote w:id="36">
    <w:p w14:paraId="015E45F3" w14:textId="2FFDD624" w:rsidR="00C359D1" w:rsidRPr="00810E33" w:rsidRDefault="00C359D1" w:rsidP="00D52048">
      <w:pPr>
        <w:pStyle w:val="FootnoteText"/>
        <w:ind w:firstLine="720"/>
        <w:rPr>
          <w:sz w:val="26"/>
          <w:szCs w:val="26"/>
        </w:rPr>
      </w:pPr>
      <w:r w:rsidRPr="00810E33">
        <w:rPr>
          <w:rStyle w:val="FootnoteReference"/>
          <w:sz w:val="26"/>
          <w:szCs w:val="26"/>
        </w:rPr>
        <w:footnoteRef/>
      </w:r>
      <w:r w:rsidRPr="00810E33">
        <w:rPr>
          <w:sz w:val="26"/>
          <w:szCs w:val="26"/>
        </w:rPr>
        <w:t xml:space="preserve"> </w:t>
      </w:r>
      <w:r>
        <w:rPr>
          <w:sz w:val="26"/>
          <w:szCs w:val="26"/>
        </w:rPr>
        <w:tab/>
      </w:r>
      <w:r w:rsidRPr="00810E33">
        <w:rPr>
          <w:sz w:val="26"/>
          <w:szCs w:val="26"/>
        </w:rPr>
        <w:t>The General Gas Works Revenue Bond Ordinance of 1998, approved on May 30, 1998, Bill No. 980232,</w:t>
      </w:r>
      <w:r>
        <w:rPr>
          <w:sz w:val="26"/>
          <w:szCs w:val="26"/>
        </w:rPr>
        <w:t xml:space="preserve"> </w:t>
      </w:r>
      <w:r w:rsidRPr="00810E33">
        <w:rPr>
          <w:sz w:val="26"/>
          <w:szCs w:val="26"/>
        </w:rPr>
        <w:t xml:space="preserve">as amended and supplemented from time to time (the </w:t>
      </w:r>
      <w:r>
        <w:rPr>
          <w:sz w:val="26"/>
          <w:szCs w:val="26"/>
        </w:rPr>
        <w:t>“</w:t>
      </w:r>
      <w:r w:rsidRPr="00810E33">
        <w:rPr>
          <w:sz w:val="26"/>
          <w:szCs w:val="26"/>
        </w:rPr>
        <w:t>1998 General Ordinance</w:t>
      </w:r>
      <w:r>
        <w:rPr>
          <w:sz w:val="26"/>
          <w:szCs w:val="26"/>
        </w:rPr>
        <w:t>”</w:t>
      </w:r>
      <w:r w:rsidRPr="00810E33">
        <w:rPr>
          <w:sz w:val="26"/>
          <w:szCs w:val="26"/>
        </w:rPr>
        <w:t>) and the General Gas</w:t>
      </w:r>
      <w:r>
        <w:rPr>
          <w:sz w:val="26"/>
          <w:szCs w:val="26"/>
        </w:rPr>
        <w:t xml:space="preserve"> </w:t>
      </w:r>
      <w:r w:rsidRPr="00810E33">
        <w:rPr>
          <w:sz w:val="26"/>
          <w:szCs w:val="26"/>
        </w:rPr>
        <w:t>Works Revenue Bond Ordinance of 1975, approved on May 30,1975, Bill No. 1871, as amended and</w:t>
      </w:r>
      <w:r>
        <w:rPr>
          <w:sz w:val="26"/>
          <w:szCs w:val="26"/>
        </w:rPr>
        <w:t xml:space="preserve"> </w:t>
      </w:r>
      <w:r w:rsidRPr="00810E33">
        <w:rPr>
          <w:sz w:val="26"/>
          <w:szCs w:val="26"/>
        </w:rPr>
        <w:t xml:space="preserve">supplemented from time to time (the </w:t>
      </w:r>
      <w:r>
        <w:rPr>
          <w:sz w:val="26"/>
          <w:szCs w:val="26"/>
        </w:rPr>
        <w:t>“</w:t>
      </w:r>
      <w:r w:rsidRPr="00810E33">
        <w:rPr>
          <w:sz w:val="26"/>
          <w:szCs w:val="26"/>
        </w:rPr>
        <w:t>1975 General Ordinance</w:t>
      </w:r>
      <w:r>
        <w:rPr>
          <w:sz w:val="26"/>
          <w:szCs w:val="26"/>
        </w:rPr>
        <w:t>”</w:t>
      </w:r>
      <w:r w:rsidRPr="00810E33">
        <w:rPr>
          <w:sz w:val="26"/>
          <w:szCs w:val="26"/>
        </w:rPr>
        <w:t xml:space="preserve">) (collectively referred to as the </w:t>
      </w:r>
      <w:r>
        <w:rPr>
          <w:sz w:val="26"/>
          <w:szCs w:val="26"/>
        </w:rPr>
        <w:t>“</w:t>
      </w:r>
      <w:r w:rsidRPr="00810E33">
        <w:rPr>
          <w:sz w:val="26"/>
          <w:szCs w:val="26"/>
        </w:rPr>
        <w:t>Bond</w:t>
      </w:r>
      <w:r>
        <w:rPr>
          <w:sz w:val="26"/>
          <w:szCs w:val="26"/>
        </w:rPr>
        <w:t xml:space="preserve"> </w:t>
      </w:r>
      <w:r w:rsidRPr="00810E33">
        <w:rPr>
          <w:sz w:val="26"/>
          <w:szCs w:val="26"/>
        </w:rPr>
        <w:t>Ordinance</w:t>
      </w:r>
      <w:r>
        <w:rPr>
          <w:sz w:val="26"/>
          <w:szCs w:val="26"/>
        </w:rPr>
        <w:t>”</w:t>
      </w:r>
      <w:r w:rsidRPr="00810E33">
        <w:rPr>
          <w:sz w:val="26"/>
          <w:szCs w:val="26"/>
        </w:rPr>
        <w:t>).</w:t>
      </w:r>
    </w:p>
  </w:footnote>
  <w:footnote w:id="37">
    <w:p w14:paraId="4EF3D32C" w14:textId="209D53E2" w:rsidR="00C359D1" w:rsidRPr="002C52A4" w:rsidRDefault="00C359D1" w:rsidP="002C52A4">
      <w:pPr>
        <w:ind w:firstLine="720"/>
        <w:rPr>
          <w:sz w:val="26"/>
          <w:szCs w:val="26"/>
        </w:rPr>
      </w:pPr>
      <w:r>
        <w:rPr>
          <w:rStyle w:val="FootnoteReference"/>
        </w:rPr>
        <w:footnoteRef/>
      </w:r>
      <w:r>
        <w:t xml:space="preserve"> </w:t>
      </w:r>
      <w:r>
        <w:tab/>
        <w:t xml:space="preserve"> </w:t>
      </w:r>
      <w:r w:rsidRPr="00954ED9">
        <w:rPr>
          <w:sz w:val="26"/>
          <w:szCs w:val="26"/>
        </w:rPr>
        <w:t>The Partial Settlement is a “black box” settlement, in which the Parties have not specifically reached an agreement on each of the disputed accounting and ratemaking issues raised in this matter, including cost of capital issues.  Therefore, because of the disagreements over various components of the Company’s revenue requirement calculation, it is not possible to precisely determine the extent of the accuracy to which Attachments A and B of PGW</w:t>
      </w:r>
      <w:r>
        <w:rPr>
          <w:sz w:val="26"/>
          <w:szCs w:val="26"/>
        </w:rPr>
        <w:t>’s</w:t>
      </w:r>
      <w:r w:rsidRPr="00954ED9">
        <w:rPr>
          <w:sz w:val="26"/>
          <w:szCs w:val="26"/>
        </w:rPr>
        <w:t xml:space="preserve"> Exceptions</w:t>
      </w:r>
      <w:r>
        <w:rPr>
          <w:sz w:val="26"/>
          <w:szCs w:val="26"/>
        </w:rPr>
        <w:t xml:space="preserve"> calculate levels of cash, debt service coverage and other financial metrics necessary to enable PGW to pay its bills and maintain access to the capital markets at reasonable rates.  No party has filed Replies to Exceptions challenging PGW’s Exhibit A calculations showing the anticipated negative financial impact, which is based in PGW’s record evidence.  </w:t>
      </w:r>
    </w:p>
  </w:footnote>
  <w:footnote w:id="38">
    <w:p w14:paraId="4FE04CAD" w14:textId="506C3236" w:rsidR="00C359D1" w:rsidRPr="00142A6B" w:rsidRDefault="00C359D1" w:rsidP="00E62777">
      <w:pPr>
        <w:pStyle w:val="FootnoteText"/>
        <w:ind w:firstLine="720"/>
        <w:rPr>
          <w:sz w:val="26"/>
          <w:szCs w:val="26"/>
        </w:rPr>
      </w:pPr>
      <w:r w:rsidRPr="00244E78">
        <w:rPr>
          <w:rStyle w:val="FootnoteReference"/>
          <w:sz w:val="26"/>
          <w:szCs w:val="26"/>
        </w:rPr>
        <w:footnoteRef/>
      </w:r>
      <w:r>
        <w:rPr>
          <w:sz w:val="26"/>
          <w:szCs w:val="26"/>
        </w:rPr>
        <w:t xml:space="preserve"> </w:t>
      </w:r>
      <w:r>
        <w:rPr>
          <w:sz w:val="26"/>
          <w:szCs w:val="26"/>
        </w:rPr>
        <w:tab/>
      </w:r>
      <w:r w:rsidRPr="00244E78">
        <w:rPr>
          <w:i/>
          <w:iCs/>
          <w:sz w:val="26"/>
          <w:szCs w:val="26"/>
        </w:rPr>
        <w:t xml:space="preserve">See Columbia Gas, Pennsylvania American Water, supra, </w:t>
      </w:r>
      <w:r w:rsidRPr="00142A6B">
        <w:rPr>
          <w:sz w:val="26"/>
          <w:szCs w:val="26"/>
        </w:rPr>
        <w:t>and 66</w:t>
      </w:r>
      <w:r w:rsidR="00947B82">
        <w:rPr>
          <w:sz w:val="26"/>
          <w:szCs w:val="26"/>
        </w:rPr>
        <w:t> </w:t>
      </w:r>
      <w:r w:rsidRPr="00142A6B">
        <w:rPr>
          <w:sz w:val="26"/>
          <w:szCs w:val="26"/>
        </w:rPr>
        <w:t>Pa.</w:t>
      </w:r>
      <w:r w:rsidR="00947B82">
        <w:rPr>
          <w:sz w:val="26"/>
          <w:szCs w:val="26"/>
        </w:rPr>
        <w:t> </w:t>
      </w:r>
      <w:r w:rsidRPr="00142A6B">
        <w:rPr>
          <w:sz w:val="26"/>
          <w:szCs w:val="26"/>
        </w:rPr>
        <w:t>C.S.</w:t>
      </w:r>
      <w:r w:rsidR="00947B82">
        <w:rPr>
          <w:sz w:val="26"/>
          <w:szCs w:val="26"/>
        </w:rPr>
        <w:t> </w:t>
      </w:r>
      <w:r w:rsidRPr="00142A6B">
        <w:rPr>
          <w:sz w:val="26"/>
          <w:szCs w:val="26"/>
        </w:rPr>
        <w:t>§</w:t>
      </w:r>
      <w:r>
        <w:rPr>
          <w:sz w:val="26"/>
          <w:szCs w:val="26"/>
        </w:rPr>
        <w:t> </w:t>
      </w:r>
      <w:r w:rsidRPr="00142A6B">
        <w:rPr>
          <w:sz w:val="26"/>
          <w:szCs w:val="26"/>
        </w:rPr>
        <w:t>1308(d).</w:t>
      </w:r>
    </w:p>
  </w:footnote>
  <w:footnote w:id="39">
    <w:p w14:paraId="0B50A965" w14:textId="77777777" w:rsidR="00C359D1" w:rsidRPr="004C71C9" w:rsidRDefault="00C359D1" w:rsidP="0079699A">
      <w:pPr>
        <w:pStyle w:val="FootnoteText"/>
        <w:ind w:firstLine="720"/>
        <w:rPr>
          <w:sz w:val="26"/>
          <w:szCs w:val="26"/>
        </w:rPr>
      </w:pPr>
      <w:r w:rsidRPr="004C71C9">
        <w:rPr>
          <w:rStyle w:val="FootnoteReference"/>
          <w:sz w:val="26"/>
          <w:szCs w:val="26"/>
        </w:rPr>
        <w:footnoteRef/>
      </w:r>
      <w:r w:rsidRPr="004C71C9">
        <w:rPr>
          <w:sz w:val="26"/>
          <w:szCs w:val="26"/>
        </w:rPr>
        <w:t xml:space="preserve"> </w:t>
      </w:r>
      <w:r w:rsidRPr="004C71C9">
        <w:rPr>
          <w:sz w:val="26"/>
          <w:szCs w:val="26"/>
        </w:rPr>
        <w:tab/>
        <w:t>Environmental Stakeholders M</w:t>
      </w:r>
      <w:r>
        <w:rPr>
          <w:sz w:val="26"/>
          <w:szCs w:val="26"/>
        </w:rPr>
        <w:t>.</w:t>
      </w:r>
      <w:r w:rsidRPr="004C71C9">
        <w:rPr>
          <w:sz w:val="26"/>
          <w:szCs w:val="26"/>
        </w:rPr>
        <w:t>B</w:t>
      </w:r>
      <w:r>
        <w:rPr>
          <w:sz w:val="26"/>
          <w:szCs w:val="26"/>
        </w:rPr>
        <w:t>.</w:t>
      </w:r>
      <w:r w:rsidRPr="004C71C9">
        <w:rPr>
          <w:sz w:val="26"/>
          <w:szCs w:val="26"/>
        </w:rPr>
        <w:t xml:space="preserve"> at 15, R.D. at 80.</w:t>
      </w:r>
    </w:p>
  </w:footnote>
  <w:footnote w:id="40">
    <w:p w14:paraId="1A10E930" w14:textId="5B3A64C4" w:rsidR="00C359D1" w:rsidRPr="00DB0ADB" w:rsidRDefault="00C359D1" w:rsidP="00DB0ADB">
      <w:pPr>
        <w:kinsoku w:val="0"/>
        <w:overflowPunct w:val="0"/>
        <w:ind w:right="72" w:firstLine="720"/>
        <w:textAlignment w:val="baseline"/>
        <w:rPr>
          <w:spacing w:val="-1"/>
          <w:sz w:val="26"/>
          <w:szCs w:val="24"/>
        </w:rPr>
      </w:pPr>
      <w:r w:rsidRPr="008E6427">
        <w:rPr>
          <w:rStyle w:val="FootnoteReference"/>
          <w:sz w:val="26"/>
        </w:rPr>
        <w:footnoteRef/>
      </w:r>
      <w:r w:rsidRPr="008E6427">
        <w:rPr>
          <w:sz w:val="26"/>
        </w:rPr>
        <w:t xml:space="preserve"> </w:t>
      </w:r>
      <w:r w:rsidRPr="008E6427">
        <w:rPr>
          <w:sz w:val="26"/>
        </w:rPr>
        <w:tab/>
      </w:r>
      <w:r w:rsidRPr="008E6427">
        <w:rPr>
          <w:spacing w:val="-1"/>
          <w:sz w:val="26"/>
          <w:szCs w:val="24"/>
        </w:rPr>
        <w:t xml:space="preserve"> </w:t>
      </w:r>
      <w:r>
        <w:rPr>
          <w:spacing w:val="-1"/>
          <w:sz w:val="26"/>
          <w:szCs w:val="24"/>
        </w:rPr>
        <w:t>T</w:t>
      </w:r>
      <w:r w:rsidRPr="008E6427">
        <w:rPr>
          <w:spacing w:val="-1"/>
          <w:sz w:val="26"/>
          <w:szCs w:val="24"/>
        </w:rPr>
        <w:t xml:space="preserve">he ALJs </w:t>
      </w:r>
      <w:r>
        <w:rPr>
          <w:spacing w:val="-1"/>
          <w:sz w:val="26"/>
          <w:szCs w:val="24"/>
        </w:rPr>
        <w:t xml:space="preserve">also </w:t>
      </w:r>
      <w:r w:rsidRPr="008E6427">
        <w:rPr>
          <w:spacing w:val="-1"/>
          <w:sz w:val="26"/>
          <w:szCs w:val="24"/>
        </w:rPr>
        <w:t xml:space="preserve">recommended that the Commission should reject the Environmental Stakeholders’ challenge to prepaid gas contracts for being an issue that is outside the scope of this base rate case. </w:t>
      </w:r>
      <w:r>
        <w:rPr>
          <w:spacing w:val="-1"/>
          <w:sz w:val="26"/>
          <w:szCs w:val="24"/>
        </w:rPr>
        <w:t xml:space="preserve"> </w:t>
      </w:r>
      <w:r w:rsidRPr="008E6427">
        <w:rPr>
          <w:spacing w:val="-1"/>
          <w:sz w:val="26"/>
          <w:szCs w:val="24"/>
        </w:rPr>
        <w:t>The ALJs note</w:t>
      </w:r>
      <w:r>
        <w:rPr>
          <w:spacing w:val="-1"/>
          <w:sz w:val="26"/>
          <w:szCs w:val="24"/>
        </w:rPr>
        <w:t>d</w:t>
      </w:r>
      <w:r w:rsidRPr="008E6427">
        <w:rPr>
          <w:spacing w:val="-1"/>
          <w:sz w:val="26"/>
          <w:szCs w:val="24"/>
        </w:rPr>
        <w:t xml:space="preserve"> that, if the Environmental Stakeholders wish to challenge PGW’s prepaid gas contracts, PGW’s Section 1307(f) Gas Cost Rate proceeding, and not a base rate case, is the appropriate forum to raise such issues.  This issue was not stated as a reserved issue</w:t>
      </w:r>
      <w:r>
        <w:rPr>
          <w:spacing w:val="-1"/>
          <w:sz w:val="26"/>
          <w:szCs w:val="24"/>
        </w:rPr>
        <w:t xml:space="preserve"> for litigation</w:t>
      </w:r>
      <w:r w:rsidRPr="008E6427">
        <w:rPr>
          <w:spacing w:val="-1"/>
          <w:sz w:val="26"/>
          <w:szCs w:val="24"/>
        </w:rPr>
        <w:t xml:space="preserve"> and we decline to address it here, as it clearly is not relevant to this base rate proceeding.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04078" w14:textId="77777777" w:rsidR="00C359D1" w:rsidRDefault="00C359D1" w:rsidP="006E4F26">
    <w:pPr>
      <w:pStyle w:val="Header"/>
      <w:tabs>
        <w:tab w:val="left" w:pos="9270"/>
      </w:tabs>
      <w:ind w:righ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5BC"/>
    <w:multiLevelType w:val="hybridMultilevel"/>
    <w:tmpl w:val="1688CD50"/>
    <w:lvl w:ilvl="0" w:tplc="EDEADAC8">
      <w:start w:val="1"/>
      <w:numFmt w:val="lowerLetter"/>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F87B1"/>
    <w:multiLevelType w:val="singleLevel"/>
    <w:tmpl w:val="5D730637"/>
    <w:lvl w:ilvl="0">
      <w:start w:val="1"/>
      <w:numFmt w:val="decimal"/>
      <w:lvlText w:val="%1."/>
      <w:lvlJc w:val="left"/>
      <w:pPr>
        <w:tabs>
          <w:tab w:val="num" w:pos="1440"/>
        </w:tabs>
        <w:ind w:left="1440" w:hanging="288"/>
      </w:pPr>
      <w:rPr>
        <w:b/>
        <w:bCs/>
        <w:snapToGrid/>
        <w:sz w:val="24"/>
        <w:szCs w:val="24"/>
      </w:rPr>
    </w:lvl>
  </w:abstractNum>
  <w:abstractNum w:abstractNumId="2" w15:restartNumberingAfterBreak="0">
    <w:nsid w:val="013E6157"/>
    <w:multiLevelType w:val="hybridMultilevel"/>
    <w:tmpl w:val="770EDC3E"/>
    <w:lvl w:ilvl="0" w:tplc="D76CD9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84515B"/>
    <w:multiLevelType w:val="hybridMultilevel"/>
    <w:tmpl w:val="8850F3B8"/>
    <w:lvl w:ilvl="0" w:tplc="D76CD9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5C6972"/>
    <w:multiLevelType w:val="hybridMultilevel"/>
    <w:tmpl w:val="0366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04359"/>
    <w:multiLevelType w:val="hybridMultilevel"/>
    <w:tmpl w:val="D402DE8A"/>
    <w:lvl w:ilvl="0" w:tplc="0248043C">
      <w:start w:val="1"/>
      <w:numFmt w:val="lowerRoman"/>
      <w:lvlText w:val="%1."/>
      <w:lvlJc w:val="left"/>
      <w:pPr>
        <w:ind w:left="48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004D5"/>
    <w:multiLevelType w:val="hybridMultilevel"/>
    <w:tmpl w:val="09E4CA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43924"/>
    <w:multiLevelType w:val="hybridMultilevel"/>
    <w:tmpl w:val="F9F86166"/>
    <w:lvl w:ilvl="0" w:tplc="4886AB0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6AA34ED"/>
    <w:multiLevelType w:val="hybridMultilevel"/>
    <w:tmpl w:val="A6164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E75CF4"/>
    <w:multiLevelType w:val="hybridMultilevel"/>
    <w:tmpl w:val="9EB639A8"/>
    <w:lvl w:ilvl="0" w:tplc="A7F85EAE">
      <w:start w:val="2"/>
      <w:numFmt w:val="lowerRoman"/>
      <w:lvlText w:val="%1."/>
      <w:lvlJc w:val="left"/>
      <w:pPr>
        <w:ind w:left="4860" w:hanging="720"/>
      </w:pPr>
      <w:rPr>
        <w:rFonts w:hint="default"/>
      </w:rPr>
    </w:lvl>
    <w:lvl w:ilvl="1" w:tplc="51CA0D06">
      <w:start w:val="1"/>
      <w:numFmt w:val="lowerLetter"/>
      <w:pStyle w:val="Heading4"/>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0" w15:restartNumberingAfterBreak="0">
    <w:nsid w:val="4CF33D50"/>
    <w:multiLevelType w:val="hybridMultilevel"/>
    <w:tmpl w:val="B82E3BC4"/>
    <w:lvl w:ilvl="0" w:tplc="CFF688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D30759D"/>
    <w:multiLevelType w:val="hybridMultilevel"/>
    <w:tmpl w:val="770EDC3E"/>
    <w:lvl w:ilvl="0" w:tplc="D76CD9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4B649A2"/>
    <w:multiLevelType w:val="hybridMultilevel"/>
    <w:tmpl w:val="14D6B1D4"/>
    <w:lvl w:ilvl="0" w:tplc="72A80852">
      <w:start w:val="1"/>
      <w:numFmt w:val="upperRoman"/>
      <w:pStyle w:val="Heading1"/>
      <w:lvlText w:val="%1."/>
      <w:lvlJc w:val="left"/>
      <w:pPr>
        <w:ind w:left="5850" w:hanging="720"/>
      </w:pPr>
      <w:rPr>
        <w:rFonts w:hint="default"/>
      </w:rPr>
    </w:lvl>
    <w:lvl w:ilvl="1" w:tplc="04090019">
      <w:start w:val="1"/>
      <w:numFmt w:val="lowerLetter"/>
      <w:lvlText w:val="%2."/>
      <w:lvlJc w:val="left"/>
      <w:pPr>
        <w:ind w:left="1440" w:hanging="360"/>
      </w:pPr>
    </w:lvl>
    <w:lvl w:ilvl="2" w:tplc="6204AD50">
      <w:start w:val="1"/>
      <w:numFmt w:val="upperLetter"/>
      <w:lvlText w:val="%3."/>
      <w:lvlJc w:val="left"/>
      <w:pPr>
        <w:ind w:left="2250" w:hanging="720"/>
      </w:pPr>
      <w:rPr>
        <w:rFonts w:hint="default"/>
      </w:rPr>
    </w:lvl>
    <w:lvl w:ilvl="3" w:tplc="D638DEA0">
      <w:start w:val="1"/>
      <w:numFmt w:val="decimal"/>
      <w:lvlText w:val="%4."/>
      <w:lvlJc w:val="left"/>
      <w:pPr>
        <w:ind w:left="2880" w:hanging="360"/>
      </w:pPr>
      <w:rPr>
        <w:rFonts w:hint="default"/>
      </w:rPr>
    </w:lvl>
    <w:lvl w:ilvl="4" w:tplc="2C369A42">
      <w:start w:val="1"/>
      <w:numFmt w:val="decimal"/>
      <w:lvlText w:val="(%5)"/>
      <w:lvlJc w:val="left"/>
      <w:pPr>
        <w:ind w:left="3600" w:hanging="360"/>
      </w:pPr>
      <w:rPr>
        <w:rFonts w:hint="default"/>
      </w:rPr>
    </w:lvl>
    <w:lvl w:ilvl="5" w:tplc="0248043C">
      <w:start w:val="1"/>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150AF"/>
    <w:multiLevelType w:val="hybridMultilevel"/>
    <w:tmpl w:val="648A6644"/>
    <w:lvl w:ilvl="0" w:tplc="CFF688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AC108B2"/>
    <w:multiLevelType w:val="hybridMultilevel"/>
    <w:tmpl w:val="785E4332"/>
    <w:lvl w:ilvl="0" w:tplc="5C4C53E0">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9B3919"/>
    <w:multiLevelType w:val="hybridMultilevel"/>
    <w:tmpl w:val="2FC024CE"/>
    <w:lvl w:ilvl="0" w:tplc="62524CB2">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15"/>
  </w:num>
  <w:num w:numId="5">
    <w:abstractNumId w:val="6"/>
  </w:num>
  <w:num w:numId="6">
    <w:abstractNumId w:val="4"/>
  </w:num>
  <w:num w:numId="7">
    <w:abstractNumId w:val="7"/>
  </w:num>
  <w:num w:numId="8">
    <w:abstractNumId w:val="8"/>
  </w:num>
  <w:num w:numId="9">
    <w:abstractNumId w:val="10"/>
  </w:num>
  <w:num w:numId="10">
    <w:abstractNumId w:val="13"/>
  </w:num>
  <w:num w:numId="11">
    <w:abstractNumId w:val="11"/>
  </w:num>
  <w:num w:numId="12">
    <w:abstractNumId w:val="2"/>
  </w:num>
  <w:num w:numId="13">
    <w:abstractNumId w:val="3"/>
  </w:num>
  <w:num w:numId="14">
    <w:abstractNumId w:val="5"/>
  </w:num>
  <w:num w:numId="15">
    <w:abstractNumId w:val="14"/>
    <w:lvlOverride w:ilvl="0">
      <w:startOverride w:val="1"/>
    </w:lvlOverride>
  </w:num>
  <w:num w:numId="16">
    <w:abstractNumId w:val="15"/>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1"/>
  </w:num>
  <w:num w:numId="21">
    <w:abstractNumId w:val="9"/>
  </w:num>
  <w:num w:numId="22">
    <w:abstractNumId w:val="9"/>
    <w:lvlOverride w:ilvl="0">
      <w:startOverride w:val="2"/>
    </w:lvlOverride>
    <w:lvlOverride w:ilvl="1">
      <w:startOverride w:val="2"/>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90"/>
    <w:rsid w:val="00000173"/>
    <w:rsid w:val="0000029F"/>
    <w:rsid w:val="00000A0E"/>
    <w:rsid w:val="00000D65"/>
    <w:rsid w:val="00000DED"/>
    <w:rsid w:val="00001381"/>
    <w:rsid w:val="000013FD"/>
    <w:rsid w:val="00002348"/>
    <w:rsid w:val="00002CE4"/>
    <w:rsid w:val="00002F2A"/>
    <w:rsid w:val="00002F49"/>
    <w:rsid w:val="000038D3"/>
    <w:rsid w:val="00003F5B"/>
    <w:rsid w:val="0000415E"/>
    <w:rsid w:val="0000477B"/>
    <w:rsid w:val="00004BC1"/>
    <w:rsid w:val="00005114"/>
    <w:rsid w:val="00005B5F"/>
    <w:rsid w:val="00005EE1"/>
    <w:rsid w:val="00005F78"/>
    <w:rsid w:val="000065F7"/>
    <w:rsid w:val="00006A72"/>
    <w:rsid w:val="00007209"/>
    <w:rsid w:val="00007440"/>
    <w:rsid w:val="000074DC"/>
    <w:rsid w:val="00007597"/>
    <w:rsid w:val="00007888"/>
    <w:rsid w:val="0001099D"/>
    <w:rsid w:val="00011506"/>
    <w:rsid w:val="000116F1"/>
    <w:rsid w:val="00011AB7"/>
    <w:rsid w:val="000123F2"/>
    <w:rsid w:val="00012A0E"/>
    <w:rsid w:val="00012D0C"/>
    <w:rsid w:val="00013432"/>
    <w:rsid w:val="000138C9"/>
    <w:rsid w:val="00013978"/>
    <w:rsid w:val="00013FDE"/>
    <w:rsid w:val="000158F2"/>
    <w:rsid w:val="00015A01"/>
    <w:rsid w:val="000166C6"/>
    <w:rsid w:val="00016C3F"/>
    <w:rsid w:val="0001721D"/>
    <w:rsid w:val="00017911"/>
    <w:rsid w:val="00017E03"/>
    <w:rsid w:val="000200CE"/>
    <w:rsid w:val="0002018C"/>
    <w:rsid w:val="000201C0"/>
    <w:rsid w:val="00020552"/>
    <w:rsid w:val="000207D4"/>
    <w:rsid w:val="00020C3A"/>
    <w:rsid w:val="00020E43"/>
    <w:rsid w:val="00022848"/>
    <w:rsid w:val="00022D45"/>
    <w:rsid w:val="00023536"/>
    <w:rsid w:val="0002355F"/>
    <w:rsid w:val="000249A1"/>
    <w:rsid w:val="0002554A"/>
    <w:rsid w:val="00025A99"/>
    <w:rsid w:val="00026BA0"/>
    <w:rsid w:val="00026F9D"/>
    <w:rsid w:val="00027EE4"/>
    <w:rsid w:val="000302BD"/>
    <w:rsid w:val="00030CE7"/>
    <w:rsid w:val="000310BE"/>
    <w:rsid w:val="00031D94"/>
    <w:rsid w:val="00031DDC"/>
    <w:rsid w:val="000323A8"/>
    <w:rsid w:val="00033C9A"/>
    <w:rsid w:val="00033D4C"/>
    <w:rsid w:val="00033E12"/>
    <w:rsid w:val="00033E67"/>
    <w:rsid w:val="000341DE"/>
    <w:rsid w:val="00034CD7"/>
    <w:rsid w:val="000366D7"/>
    <w:rsid w:val="00036927"/>
    <w:rsid w:val="000369A9"/>
    <w:rsid w:val="00040396"/>
    <w:rsid w:val="00040D36"/>
    <w:rsid w:val="00040EB1"/>
    <w:rsid w:val="00040FFD"/>
    <w:rsid w:val="0004176B"/>
    <w:rsid w:val="00041ED1"/>
    <w:rsid w:val="00042338"/>
    <w:rsid w:val="00043182"/>
    <w:rsid w:val="000431F6"/>
    <w:rsid w:val="000438A2"/>
    <w:rsid w:val="0004526A"/>
    <w:rsid w:val="00045576"/>
    <w:rsid w:val="0004587B"/>
    <w:rsid w:val="00045A7A"/>
    <w:rsid w:val="0004698C"/>
    <w:rsid w:val="00046D51"/>
    <w:rsid w:val="000477B8"/>
    <w:rsid w:val="000500B7"/>
    <w:rsid w:val="00050115"/>
    <w:rsid w:val="00050154"/>
    <w:rsid w:val="000503FD"/>
    <w:rsid w:val="000505E5"/>
    <w:rsid w:val="00051647"/>
    <w:rsid w:val="0005164D"/>
    <w:rsid w:val="0005247F"/>
    <w:rsid w:val="0005317E"/>
    <w:rsid w:val="00053709"/>
    <w:rsid w:val="00053855"/>
    <w:rsid w:val="00053AE7"/>
    <w:rsid w:val="00053CED"/>
    <w:rsid w:val="00053E7E"/>
    <w:rsid w:val="000549A7"/>
    <w:rsid w:val="000555EA"/>
    <w:rsid w:val="00055E52"/>
    <w:rsid w:val="0005602A"/>
    <w:rsid w:val="00056968"/>
    <w:rsid w:val="00056FFB"/>
    <w:rsid w:val="00057057"/>
    <w:rsid w:val="0005711A"/>
    <w:rsid w:val="00057409"/>
    <w:rsid w:val="00057859"/>
    <w:rsid w:val="0006001A"/>
    <w:rsid w:val="000602B1"/>
    <w:rsid w:val="000606AA"/>
    <w:rsid w:val="000610F9"/>
    <w:rsid w:val="000616F6"/>
    <w:rsid w:val="00061850"/>
    <w:rsid w:val="00061E8B"/>
    <w:rsid w:val="00062518"/>
    <w:rsid w:val="0006288C"/>
    <w:rsid w:val="000629CD"/>
    <w:rsid w:val="00063028"/>
    <w:rsid w:val="000634A8"/>
    <w:rsid w:val="00064658"/>
    <w:rsid w:val="00064808"/>
    <w:rsid w:val="00065516"/>
    <w:rsid w:val="00065DB6"/>
    <w:rsid w:val="00066689"/>
    <w:rsid w:val="00066C2C"/>
    <w:rsid w:val="00067196"/>
    <w:rsid w:val="0006732F"/>
    <w:rsid w:val="000673D1"/>
    <w:rsid w:val="00067A0D"/>
    <w:rsid w:val="00067BBC"/>
    <w:rsid w:val="00070BE3"/>
    <w:rsid w:val="00071064"/>
    <w:rsid w:val="00071143"/>
    <w:rsid w:val="000715D2"/>
    <w:rsid w:val="00071A8A"/>
    <w:rsid w:val="00072BBE"/>
    <w:rsid w:val="00073000"/>
    <w:rsid w:val="00073352"/>
    <w:rsid w:val="00073870"/>
    <w:rsid w:val="00073A73"/>
    <w:rsid w:val="00074D7A"/>
    <w:rsid w:val="00075210"/>
    <w:rsid w:val="00075F0C"/>
    <w:rsid w:val="0007712F"/>
    <w:rsid w:val="00077F46"/>
    <w:rsid w:val="00077F69"/>
    <w:rsid w:val="00080CCC"/>
    <w:rsid w:val="00081696"/>
    <w:rsid w:val="00081ABD"/>
    <w:rsid w:val="0008233B"/>
    <w:rsid w:val="00082DE6"/>
    <w:rsid w:val="0008328F"/>
    <w:rsid w:val="00084DB9"/>
    <w:rsid w:val="00085610"/>
    <w:rsid w:val="00085E45"/>
    <w:rsid w:val="0008626D"/>
    <w:rsid w:val="00086D0B"/>
    <w:rsid w:val="00087D18"/>
    <w:rsid w:val="0009007E"/>
    <w:rsid w:val="0009067C"/>
    <w:rsid w:val="00090AF0"/>
    <w:rsid w:val="00090F53"/>
    <w:rsid w:val="00091989"/>
    <w:rsid w:val="00091A11"/>
    <w:rsid w:val="0009269E"/>
    <w:rsid w:val="00092994"/>
    <w:rsid w:val="00092ABD"/>
    <w:rsid w:val="000930AC"/>
    <w:rsid w:val="000931E5"/>
    <w:rsid w:val="000940CD"/>
    <w:rsid w:val="00094240"/>
    <w:rsid w:val="0009466E"/>
    <w:rsid w:val="0009476C"/>
    <w:rsid w:val="000949EC"/>
    <w:rsid w:val="00094F3D"/>
    <w:rsid w:val="0009583C"/>
    <w:rsid w:val="00095A5D"/>
    <w:rsid w:val="000960C3"/>
    <w:rsid w:val="00096386"/>
    <w:rsid w:val="00096F18"/>
    <w:rsid w:val="00097534"/>
    <w:rsid w:val="0009763D"/>
    <w:rsid w:val="0009781B"/>
    <w:rsid w:val="000A038A"/>
    <w:rsid w:val="000A095B"/>
    <w:rsid w:val="000A0D32"/>
    <w:rsid w:val="000A135D"/>
    <w:rsid w:val="000A1761"/>
    <w:rsid w:val="000A1B73"/>
    <w:rsid w:val="000A1C3D"/>
    <w:rsid w:val="000A1EF2"/>
    <w:rsid w:val="000A2217"/>
    <w:rsid w:val="000A339A"/>
    <w:rsid w:val="000A35F4"/>
    <w:rsid w:val="000A38F7"/>
    <w:rsid w:val="000A41B3"/>
    <w:rsid w:val="000A4448"/>
    <w:rsid w:val="000A4770"/>
    <w:rsid w:val="000A48EB"/>
    <w:rsid w:val="000A4DD0"/>
    <w:rsid w:val="000A562E"/>
    <w:rsid w:val="000A57E4"/>
    <w:rsid w:val="000A61BA"/>
    <w:rsid w:val="000A62E4"/>
    <w:rsid w:val="000A62FE"/>
    <w:rsid w:val="000A748C"/>
    <w:rsid w:val="000A7A40"/>
    <w:rsid w:val="000A7CB6"/>
    <w:rsid w:val="000A7DDC"/>
    <w:rsid w:val="000A7F96"/>
    <w:rsid w:val="000B1E64"/>
    <w:rsid w:val="000B268C"/>
    <w:rsid w:val="000B2B80"/>
    <w:rsid w:val="000B2E9A"/>
    <w:rsid w:val="000B2EE9"/>
    <w:rsid w:val="000B2F37"/>
    <w:rsid w:val="000B3290"/>
    <w:rsid w:val="000B34E3"/>
    <w:rsid w:val="000B4477"/>
    <w:rsid w:val="000B465F"/>
    <w:rsid w:val="000B4724"/>
    <w:rsid w:val="000B4B90"/>
    <w:rsid w:val="000B4ED5"/>
    <w:rsid w:val="000B5941"/>
    <w:rsid w:val="000B729D"/>
    <w:rsid w:val="000B751C"/>
    <w:rsid w:val="000B79BE"/>
    <w:rsid w:val="000B7EB4"/>
    <w:rsid w:val="000C016D"/>
    <w:rsid w:val="000C0702"/>
    <w:rsid w:val="000C08D1"/>
    <w:rsid w:val="000C27D5"/>
    <w:rsid w:val="000C2E03"/>
    <w:rsid w:val="000C3616"/>
    <w:rsid w:val="000C3BAD"/>
    <w:rsid w:val="000C4D35"/>
    <w:rsid w:val="000C5A41"/>
    <w:rsid w:val="000C5A9A"/>
    <w:rsid w:val="000C6768"/>
    <w:rsid w:val="000C742F"/>
    <w:rsid w:val="000C74E2"/>
    <w:rsid w:val="000D03DD"/>
    <w:rsid w:val="000D055A"/>
    <w:rsid w:val="000D0A11"/>
    <w:rsid w:val="000D0F32"/>
    <w:rsid w:val="000D14E8"/>
    <w:rsid w:val="000D1FDF"/>
    <w:rsid w:val="000D22BB"/>
    <w:rsid w:val="000D2456"/>
    <w:rsid w:val="000D28A9"/>
    <w:rsid w:val="000D2E3A"/>
    <w:rsid w:val="000D2EFC"/>
    <w:rsid w:val="000D2F71"/>
    <w:rsid w:val="000D3627"/>
    <w:rsid w:val="000D5BFE"/>
    <w:rsid w:val="000D6C1B"/>
    <w:rsid w:val="000D7284"/>
    <w:rsid w:val="000D7389"/>
    <w:rsid w:val="000D7483"/>
    <w:rsid w:val="000D7B91"/>
    <w:rsid w:val="000E01B9"/>
    <w:rsid w:val="000E0327"/>
    <w:rsid w:val="000E05F3"/>
    <w:rsid w:val="000E25A1"/>
    <w:rsid w:val="000E2D88"/>
    <w:rsid w:val="000E3D4C"/>
    <w:rsid w:val="000E45FB"/>
    <w:rsid w:val="000E4BED"/>
    <w:rsid w:val="000E4FBB"/>
    <w:rsid w:val="000E515B"/>
    <w:rsid w:val="000E570C"/>
    <w:rsid w:val="000E5BCD"/>
    <w:rsid w:val="000E6608"/>
    <w:rsid w:val="000F082E"/>
    <w:rsid w:val="000F0B9E"/>
    <w:rsid w:val="000F0D1C"/>
    <w:rsid w:val="000F0D6C"/>
    <w:rsid w:val="000F111D"/>
    <w:rsid w:val="000F1318"/>
    <w:rsid w:val="000F1730"/>
    <w:rsid w:val="000F1B88"/>
    <w:rsid w:val="000F22DA"/>
    <w:rsid w:val="000F2540"/>
    <w:rsid w:val="000F35E6"/>
    <w:rsid w:val="000F3795"/>
    <w:rsid w:val="000F384A"/>
    <w:rsid w:val="000F3896"/>
    <w:rsid w:val="000F4467"/>
    <w:rsid w:val="000F4F95"/>
    <w:rsid w:val="000F5224"/>
    <w:rsid w:val="000F64B5"/>
    <w:rsid w:val="000F6864"/>
    <w:rsid w:val="000F6D5A"/>
    <w:rsid w:val="000F6FEE"/>
    <w:rsid w:val="000F71AA"/>
    <w:rsid w:val="000F71CC"/>
    <w:rsid w:val="000F7C29"/>
    <w:rsid w:val="000F7D0E"/>
    <w:rsid w:val="0010013C"/>
    <w:rsid w:val="00100492"/>
    <w:rsid w:val="001005FB"/>
    <w:rsid w:val="001006F0"/>
    <w:rsid w:val="00100BA6"/>
    <w:rsid w:val="00100C1D"/>
    <w:rsid w:val="0010101D"/>
    <w:rsid w:val="001014FF"/>
    <w:rsid w:val="00101613"/>
    <w:rsid w:val="00101745"/>
    <w:rsid w:val="0010234C"/>
    <w:rsid w:val="00102D03"/>
    <w:rsid w:val="0010371B"/>
    <w:rsid w:val="00103AF8"/>
    <w:rsid w:val="00104948"/>
    <w:rsid w:val="00104ACA"/>
    <w:rsid w:val="00104CD1"/>
    <w:rsid w:val="00104D1A"/>
    <w:rsid w:val="00105084"/>
    <w:rsid w:val="00105193"/>
    <w:rsid w:val="00105544"/>
    <w:rsid w:val="00105B00"/>
    <w:rsid w:val="0010613D"/>
    <w:rsid w:val="00106537"/>
    <w:rsid w:val="0010693B"/>
    <w:rsid w:val="00106BE0"/>
    <w:rsid w:val="0010777F"/>
    <w:rsid w:val="0011101F"/>
    <w:rsid w:val="001111C2"/>
    <w:rsid w:val="001114DE"/>
    <w:rsid w:val="00111869"/>
    <w:rsid w:val="00111A44"/>
    <w:rsid w:val="00111F0F"/>
    <w:rsid w:val="00111F27"/>
    <w:rsid w:val="0011295F"/>
    <w:rsid w:val="00112DE2"/>
    <w:rsid w:val="0011356D"/>
    <w:rsid w:val="00113B14"/>
    <w:rsid w:val="00114014"/>
    <w:rsid w:val="0011423D"/>
    <w:rsid w:val="00114D80"/>
    <w:rsid w:val="001165F9"/>
    <w:rsid w:val="00116BF5"/>
    <w:rsid w:val="00116D4B"/>
    <w:rsid w:val="00116E37"/>
    <w:rsid w:val="001170DB"/>
    <w:rsid w:val="001176C3"/>
    <w:rsid w:val="00120A48"/>
    <w:rsid w:val="00120C5B"/>
    <w:rsid w:val="00120FCD"/>
    <w:rsid w:val="00121111"/>
    <w:rsid w:val="00121203"/>
    <w:rsid w:val="001212E4"/>
    <w:rsid w:val="001220CA"/>
    <w:rsid w:val="00122941"/>
    <w:rsid w:val="00123375"/>
    <w:rsid w:val="00123802"/>
    <w:rsid w:val="00123D21"/>
    <w:rsid w:val="00123DC6"/>
    <w:rsid w:val="00123F81"/>
    <w:rsid w:val="0012456C"/>
    <w:rsid w:val="00125627"/>
    <w:rsid w:val="00125C5F"/>
    <w:rsid w:val="00125E1D"/>
    <w:rsid w:val="001260A0"/>
    <w:rsid w:val="0012697D"/>
    <w:rsid w:val="00126A4C"/>
    <w:rsid w:val="00126FAA"/>
    <w:rsid w:val="00127E5E"/>
    <w:rsid w:val="0013015E"/>
    <w:rsid w:val="00130A7A"/>
    <w:rsid w:val="001313C3"/>
    <w:rsid w:val="00131517"/>
    <w:rsid w:val="00131A77"/>
    <w:rsid w:val="00131B43"/>
    <w:rsid w:val="00132C3A"/>
    <w:rsid w:val="00133684"/>
    <w:rsid w:val="001337E4"/>
    <w:rsid w:val="00133BA6"/>
    <w:rsid w:val="00133D87"/>
    <w:rsid w:val="00134C35"/>
    <w:rsid w:val="00134D3A"/>
    <w:rsid w:val="00135557"/>
    <w:rsid w:val="001378A9"/>
    <w:rsid w:val="00141760"/>
    <w:rsid w:val="00141C26"/>
    <w:rsid w:val="00141D98"/>
    <w:rsid w:val="00141E57"/>
    <w:rsid w:val="00142A6B"/>
    <w:rsid w:val="001430ED"/>
    <w:rsid w:val="001437B9"/>
    <w:rsid w:val="00145928"/>
    <w:rsid w:val="00146FD7"/>
    <w:rsid w:val="00147086"/>
    <w:rsid w:val="001501A4"/>
    <w:rsid w:val="00150989"/>
    <w:rsid w:val="00150C65"/>
    <w:rsid w:val="00151166"/>
    <w:rsid w:val="00151D9A"/>
    <w:rsid w:val="00152E5C"/>
    <w:rsid w:val="00153031"/>
    <w:rsid w:val="00153234"/>
    <w:rsid w:val="00153B73"/>
    <w:rsid w:val="00153DAD"/>
    <w:rsid w:val="00154C4F"/>
    <w:rsid w:val="0015662E"/>
    <w:rsid w:val="0015669F"/>
    <w:rsid w:val="00156BE1"/>
    <w:rsid w:val="00156EC3"/>
    <w:rsid w:val="00157319"/>
    <w:rsid w:val="0015798E"/>
    <w:rsid w:val="00157A84"/>
    <w:rsid w:val="0016005F"/>
    <w:rsid w:val="00160565"/>
    <w:rsid w:val="00160622"/>
    <w:rsid w:val="001606BC"/>
    <w:rsid w:val="00160AA5"/>
    <w:rsid w:val="00160B0C"/>
    <w:rsid w:val="00160B7C"/>
    <w:rsid w:val="001612D4"/>
    <w:rsid w:val="001620E4"/>
    <w:rsid w:val="00162420"/>
    <w:rsid w:val="00163AA3"/>
    <w:rsid w:val="00164401"/>
    <w:rsid w:val="0016452F"/>
    <w:rsid w:val="00164E4C"/>
    <w:rsid w:val="00165945"/>
    <w:rsid w:val="00166620"/>
    <w:rsid w:val="00167068"/>
    <w:rsid w:val="001673DD"/>
    <w:rsid w:val="00167F11"/>
    <w:rsid w:val="001702C1"/>
    <w:rsid w:val="001705A4"/>
    <w:rsid w:val="00171270"/>
    <w:rsid w:val="001721EF"/>
    <w:rsid w:val="00172C4A"/>
    <w:rsid w:val="001730AD"/>
    <w:rsid w:val="001738D5"/>
    <w:rsid w:val="00173C23"/>
    <w:rsid w:val="00173C65"/>
    <w:rsid w:val="00174147"/>
    <w:rsid w:val="00174BC7"/>
    <w:rsid w:val="0017570D"/>
    <w:rsid w:val="00175B2F"/>
    <w:rsid w:val="00175C84"/>
    <w:rsid w:val="00176413"/>
    <w:rsid w:val="0017677A"/>
    <w:rsid w:val="001778EE"/>
    <w:rsid w:val="00177A43"/>
    <w:rsid w:val="00181534"/>
    <w:rsid w:val="00181B65"/>
    <w:rsid w:val="001825E3"/>
    <w:rsid w:val="001827DB"/>
    <w:rsid w:val="00182A90"/>
    <w:rsid w:val="00183872"/>
    <w:rsid w:val="00183C3D"/>
    <w:rsid w:val="00183C59"/>
    <w:rsid w:val="00183C90"/>
    <w:rsid w:val="001841F8"/>
    <w:rsid w:val="00184699"/>
    <w:rsid w:val="001847EC"/>
    <w:rsid w:val="0018520B"/>
    <w:rsid w:val="00185B5E"/>
    <w:rsid w:val="00186183"/>
    <w:rsid w:val="00186887"/>
    <w:rsid w:val="00186A49"/>
    <w:rsid w:val="00190CD2"/>
    <w:rsid w:val="0019174A"/>
    <w:rsid w:val="00191B1A"/>
    <w:rsid w:val="00192271"/>
    <w:rsid w:val="00192EB0"/>
    <w:rsid w:val="00192EBC"/>
    <w:rsid w:val="00193D5D"/>
    <w:rsid w:val="00193D64"/>
    <w:rsid w:val="0019479B"/>
    <w:rsid w:val="001954C8"/>
    <w:rsid w:val="00196484"/>
    <w:rsid w:val="001967BB"/>
    <w:rsid w:val="0019697F"/>
    <w:rsid w:val="00196BDC"/>
    <w:rsid w:val="00197F3D"/>
    <w:rsid w:val="00197FBC"/>
    <w:rsid w:val="001A024E"/>
    <w:rsid w:val="001A29C7"/>
    <w:rsid w:val="001A2E48"/>
    <w:rsid w:val="001A3239"/>
    <w:rsid w:val="001A4119"/>
    <w:rsid w:val="001A4A0C"/>
    <w:rsid w:val="001A4BEB"/>
    <w:rsid w:val="001A4C45"/>
    <w:rsid w:val="001A516A"/>
    <w:rsid w:val="001A53C8"/>
    <w:rsid w:val="001A53F8"/>
    <w:rsid w:val="001A5916"/>
    <w:rsid w:val="001A5F4A"/>
    <w:rsid w:val="001A6370"/>
    <w:rsid w:val="001A67DF"/>
    <w:rsid w:val="001A763D"/>
    <w:rsid w:val="001B0107"/>
    <w:rsid w:val="001B1A49"/>
    <w:rsid w:val="001B1D8A"/>
    <w:rsid w:val="001B2094"/>
    <w:rsid w:val="001B25E6"/>
    <w:rsid w:val="001B3549"/>
    <w:rsid w:val="001B3F8D"/>
    <w:rsid w:val="001B4783"/>
    <w:rsid w:val="001B48DC"/>
    <w:rsid w:val="001B54B3"/>
    <w:rsid w:val="001B571A"/>
    <w:rsid w:val="001B6B53"/>
    <w:rsid w:val="001B71E4"/>
    <w:rsid w:val="001B7E44"/>
    <w:rsid w:val="001C0238"/>
    <w:rsid w:val="001C167C"/>
    <w:rsid w:val="001C1729"/>
    <w:rsid w:val="001C1A4D"/>
    <w:rsid w:val="001C1A57"/>
    <w:rsid w:val="001C1AC3"/>
    <w:rsid w:val="001C1EE4"/>
    <w:rsid w:val="001C2BE6"/>
    <w:rsid w:val="001C3135"/>
    <w:rsid w:val="001C318A"/>
    <w:rsid w:val="001C39ED"/>
    <w:rsid w:val="001C3F3A"/>
    <w:rsid w:val="001C4215"/>
    <w:rsid w:val="001C48FF"/>
    <w:rsid w:val="001C4D7F"/>
    <w:rsid w:val="001C53A5"/>
    <w:rsid w:val="001C53B1"/>
    <w:rsid w:val="001C5AAD"/>
    <w:rsid w:val="001C6345"/>
    <w:rsid w:val="001C696C"/>
    <w:rsid w:val="001C6AC7"/>
    <w:rsid w:val="001C730F"/>
    <w:rsid w:val="001C732B"/>
    <w:rsid w:val="001C7C12"/>
    <w:rsid w:val="001D02A4"/>
    <w:rsid w:val="001D045A"/>
    <w:rsid w:val="001D07C1"/>
    <w:rsid w:val="001D11B8"/>
    <w:rsid w:val="001D266F"/>
    <w:rsid w:val="001D27AE"/>
    <w:rsid w:val="001D2BAD"/>
    <w:rsid w:val="001D351C"/>
    <w:rsid w:val="001D35E2"/>
    <w:rsid w:val="001D38BD"/>
    <w:rsid w:val="001D4A1D"/>
    <w:rsid w:val="001D4D50"/>
    <w:rsid w:val="001D7058"/>
    <w:rsid w:val="001D78B7"/>
    <w:rsid w:val="001D7C66"/>
    <w:rsid w:val="001D7EBD"/>
    <w:rsid w:val="001D7F35"/>
    <w:rsid w:val="001E05C6"/>
    <w:rsid w:val="001E08F0"/>
    <w:rsid w:val="001E213B"/>
    <w:rsid w:val="001E2658"/>
    <w:rsid w:val="001E2CFB"/>
    <w:rsid w:val="001E3408"/>
    <w:rsid w:val="001E342B"/>
    <w:rsid w:val="001E3E55"/>
    <w:rsid w:val="001E3EC4"/>
    <w:rsid w:val="001E48A6"/>
    <w:rsid w:val="001E4C1C"/>
    <w:rsid w:val="001E51E9"/>
    <w:rsid w:val="001E5295"/>
    <w:rsid w:val="001E5417"/>
    <w:rsid w:val="001E5445"/>
    <w:rsid w:val="001E5511"/>
    <w:rsid w:val="001E5B48"/>
    <w:rsid w:val="001E5DBF"/>
    <w:rsid w:val="001E6066"/>
    <w:rsid w:val="001E6A35"/>
    <w:rsid w:val="001E6CA0"/>
    <w:rsid w:val="001E73AB"/>
    <w:rsid w:val="001F0488"/>
    <w:rsid w:val="001F068F"/>
    <w:rsid w:val="001F1EF4"/>
    <w:rsid w:val="001F2321"/>
    <w:rsid w:val="001F23DB"/>
    <w:rsid w:val="001F2A13"/>
    <w:rsid w:val="001F2BD2"/>
    <w:rsid w:val="001F2D5E"/>
    <w:rsid w:val="001F3EFC"/>
    <w:rsid w:val="001F4060"/>
    <w:rsid w:val="001F433A"/>
    <w:rsid w:val="001F4656"/>
    <w:rsid w:val="001F55D5"/>
    <w:rsid w:val="001F5E0B"/>
    <w:rsid w:val="001F6138"/>
    <w:rsid w:val="001F6B1A"/>
    <w:rsid w:val="001F7640"/>
    <w:rsid w:val="001F794B"/>
    <w:rsid w:val="001F7B55"/>
    <w:rsid w:val="002013B2"/>
    <w:rsid w:val="00201CF3"/>
    <w:rsid w:val="00201E09"/>
    <w:rsid w:val="00201F63"/>
    <w:rsid w:val="002038EF"/>
    <w:rsid w:val="002041A8"/>
    <w:rsid w:val="0020440E"/>
    <w:rsid w:val="00204F07"/>
    <w:rsid w:val="002054CA"/>
    <w:rsid w:val="00205839"/>
    <w:rsid w:val="00206720"/>
    <w:rsid w:val="0020694F"/>
    <w:rsid w:val="00206C74"/>
    <w:rsid w:val="00206D32"/>
    <w:rsid w:val="0020771F"/>
    <w:rsid w:val="00207F42"/>
    <w:rsid w:val="0021076F"/>
    <w:rsid w:val="00210953"/>
    <w:rsid w:val="00210B26"/>
    <w:rsid w:val="00210EBA"/>
    <w:rsid w:val="00211405"/>
    <w:rsid w:val="00211442"/>
    <w:rsid w:val="00211588"/>
    <w:rsid w:val="00211B98"/>
    <w:rsid w:val="00211BE8"/>
    <w:rsid w:val="002120C9"/>
    <w:rsid w:val="00212C19"/>
    <w:rsid w:val="00213024"/>
    <w:rsid w:val="00213B95"/>
    <w:rsid w:val="00213D45"/>
    <w:rsid w:val="0021436A"/>
    <w:rsid w:val="00214830"/>
    <w:rsid w:val="002158D0"/>
    <w:rsid w:val="00215F5E"/>
    <w:rsid w:val="002161E3"/>
    <w:rsid w:val="002162D9"/>
    <w:rsid w:val="0021645F"/>
    <w:rsid w:val="002165C9"/>
    <w:rsid w:val="00217A24"/>
    <w:rsid w:val="00217C4E"/>
    <w:rsid w:val="00217D46"/>
    <w:rsid w:val="00217E3D"/>
    <w:rsid w:val="00217EEC"/>
    <w:rsid w:val="0022084E"/>
    <w:rsid w:val="00220CE0"/>
    <w:rsid w:val="00220F33"/>
    <w:rsid w:val="00221475"/>
    <w:rsid w:val="00221604"/>
    <w:rsid w:val="00221C10"/>
    <w:rsid w:val="0022223E"/>
    <w:rsid w:val="00222BBB"/>
    <w:rsid w:val="0022301F"/>
    <w:rsid w:val="002234B5"/>
    <w:rsid w:val="002235CE"/>
    <w:rsid w:val="002238B5"/>
    <w:rsid w:val="002242F7"/>
    <w:rsid w:val="00224565"/>
    <w:rsid w:val="00224B35"/>
    <w:rsid w:val="00225BD2"/>
    <w:rsid w:val="00225C83"/>
    <w:rsid w:val="00227329"/>
    <w:rsid w:val="0022734C"/>
    <w:rsid w:val="00230396"/>
    <w:rsid w:val="00230BAB"/>
    <w:rsid w:val="002312FC"/>
    <w:rsid w:val="00231BED"/>
    <w:rsid w:val="00232671"/>
    <w:rsid w:val="002330BF"/>
    <w:rsid w:val="0023396C"/>
    <w:rsid w:val="00233E2F"/>
    <w:rsid w:val="0023535F"/>
    <w:rsid w:val="002368F3"/>
    <w:rsid w:val="002377E9"/>
    <w:rsid w:val="00237CB3"/>
    <w:rsid w:val="00237E9A"/>
    <w:rsid w:val="00240A1E"/>
    <w:rsid w:val="00240BBC"/>
    <w:rsid w:val="00241B87"/>
    <w:rsid w:val="002423C7"/>
    <w:rsid w:val="002430F3"/>
    <w:rsid w:val="002449A0"/>
    <w:rsid w:val="00244E78"/>
    <w:rsid w:val="0024557D"/>
    <w:rsid w:val="00245A68"/>
    <w:rsid w:val="00247606"/>
    <w:rsid w:val="00247BB1"/>
    <w:rsid w:val="00251198"/>
    <w:rsid w:val="0025173B"/>
    <w:rsid w:val="00251D4A"/>
    <w:rsid w:val="00251F9B"/>
    <w:rsid w:val="002520C7"/>
    <w:rsid w:val="00252D9D"/>
    <w:rsid w:val="00252E14"/>
    <w:rsid w:val="002533FB"/>
    <w:rsid w:val="00253F2A"/>
    <w:rsid w:val="00253F56"/>
    <w:rsid w:val="00253FD2"/>
    <w:rsid w:val="002541BF"/>
    <w:rsid w:val="00254759"/>
    <w:rsid w:val="00255A6D"/>
    <w:rsid w:val="00256382"/>
    <w:rsid w:val="0025659B"/>
    <w:rsid w:val="0025691E"/>
    <w:rsid w:val="00256A4C"/>
    <w:rsid w:val="00256A84"/>
    <w:rsid w:val="00256C1B"/>
    <w:rsid w:val="00256EDC"/>
    <w:rsid w:val="002579E8"/>
    <w:rsid w:val="00260041"/>
    <w:rsid w:val="002603D9"/>
    <w:rsid w:val="00260547"/>
    <w:rsid w:val="00260582"/>
    <w:rsid w:val="002605CA"/>
    <w:rsid w:val="0026067F"/>
    <w:rsid w:val="0026080C"/>
    <w:rsid w:val="00260A97"/>
    <w:rsid w:val="00260CDE"/>
    <w:rsid w:val="0026134F"/>
    <w:rsid w:val="0026191C"/>
    <w:rsid w:val="00263EDB"/>
    <w:rsid w:val="00264151"/>
    <w:rsid w:val="00264618"/>
    <w:rsid w:val="0026499B"/>
    <w:rsid w:val="00264A20"/>
    <w:rsid w:val="00264ABB"/>
    <w:rsid w:val="00264FEB"/>
    <w:rsid w:val="00265501"/>
    <w:rsid w:val="00265536"/>
    <w:rsid w:val="0026662B"/>
    <w:rsid w:val="00266827"/>
    <w:rsid w:val="00266E89"/>
    <w:rsid w:val="00267B2B"/>
    <w:rsid w:val="00267CA4"/>
    <w:rsid w:val="00267DE6"/>
    <w:rsid w:val="00270D33"/>
    <w:rsid w:val="00272387"/>
    <w:rsid w:val="00272A33"/>
    <w:rsid w:val="00272A77"/>
    <w:rsid w:val="00272D83"/>
    <w:rsid w:val="00272DE6"/>
    <w:rsid w:val="0027313B"/>
    <w:rsid w:val="002731BE"/>
    <w:rsid w:val="002731E4"/>
    <w:rsid w:val="00273B62"/>
    <w:rsid w:val="00273BCE"/>
    <w:rsid w:val="00274284"/>
    <w:rsid w:val="00274861"/>
    <w:rsid w:val="00274964"/>
    <w:rsid w:val="00275124"/>
    <w:rsid w:val="002751AE"/>
    <w:rsid w:val="002753CE"/>
    <w:rsid w:val="00275807"/>
    <w:rsid w:val="00277004"/>
    <w:rsid w:val="002770B4"/>
    <w:rsid w:val="00277A77"/>
    <w:rsid w:val="00277CC7"/>
    <w:rsid w:val="00277DDE"/>
    <w:rsid w:val="0028097F"/>
    <w:rsid w:val="00281D3B"/>
    <w:rsid w:val="002826C5"/>
    <w:rsid w:val="00282B41"/>
    <w:rsid w:val="00282D52"/>
    <w:rsid w:val="0028339F"/>
    <w:rsid w:val="002833EE"/>
    <w:rsid w:val="002834FD"/>
    <w:rsid w:val="002836FA"/>
    <w:rsid w:val="002838E3"/>
    <w:rsid w:val="002843E3"/>
    <w:rsid w:val="00285550"/>
    <w:rsid w:val="00285919"/>
    <w:rsid w:val="00285EB8"/>
    <w:rsid w:val="0028615A"/>
    <w:rsid w:val="002863A0"/>
    <w:rsid w:val="00286887"/>
    <w:rsid w:val="00286989"/>
    <w:rsid w:val="00286D69"/>
    <w:rsid w:val="00286F7C"/>
    <w:rsid w:val="00287BE6"/>
    <w:rsid w:val="00287C6C"/>
    <w:rsid w:val="00287DDC"/>
    <w:rsid w:val="002900DF"/>
    <w:rsid w:val="00290771"/>
    <w:rsid w:val="0029085A"/>
    <w:rsid w:val="002909AF"/>
    <w:rsid w:val="00290FBE"/>
    <w:rsid w:val="0029156C"/>
    <w:rsid w:val="00291ADD"/>
    <w:rsid w:val="002928CD"/>
    <w:rsid w:val="002931D9"/>
    <w:rsid w:val="00293920"/>
    <w:rsid w:val="002942DA"/>
    <w:rsid w:val="002945CA"/>
    <w:rsid w:val="0029478F"/>
    <w:rsid w:val="002948E1"/>
    <w:rsid w:val="002958B5"/>
    <w:rsid w:val="00295962"/>
    <w:rsid w:val="00296612"/>
    <w:rsid w:val="00296D02"/>
    <w:rsid w:val="00296EA7"/>
    <w:rsid w:val="00297030"/>
    <w:rsid w:val="002975F2"/>
    <w:rsid w:val="0029779D"/>
    <w:rsid w:val="00297C2E"/>
    <w:rsid w:val="002A07B1"/>
    <w:rsid w:val="002A1B5F"/>
    <w:rsid w:val="002A1C25"/>
    <w:rsid w:val="002A1E1B"/>
    <w:rsid w:val="002A248C"/>
    <w:rsid w:val="002A25E8"/>
    <w:rsid w:val="002A2A68"/>
    <w:rsid w:val="002A2A70"/>
    <w:rsid w:val="002A2DF0"/>
    <w:rsid w:val="002A31D7"/>
    <w:rsid w:val="002A3647"/>
    <w:rsid w:val="002A3A6E"/>
    <w:rsid w:val="002A3AC8"/>
    <w:rsid w:val="002A41BE"/>
    <w:rsid w:val="002A4A46"/>
    <w:rsid w:val="002A4B76"/>
    <w:rsid w:val="002A533A"/>
    <w:rsid w:val="002A53EA"/>
    <w:rsid w:val="002A55E1"/>
    <w:rsid w:val="002A5B9B"/>
    <w:rsid w:val="002A63DE"/>
    <w:rsid w:val="002A66C8"/>
    <w:rsid w:val="002A6C18"/>
    <w:rsid w:val="002A6C1F"/>
    <w:rsid w:val="002A6F9C"/>
    <w:rsid w:val="002A71F9"/>
    <w:rsid w:val="002A740E"/>
    <w:rsid w:val="002B0C7E"/>
    <w:rsid w:val="002B2A68"/>
    <w:rsid w:val="002B3767"/>
    <w:rsid w:val="002B3808"/>
    <w:rsid w:val="002B3979"/>
    <w:rsid w:val="002B4210"/>
    <w:rsid w:val="002B444F"/>
    <w:rsid w:val="002B4B0D"/>
    <w:rsid w:val="002B4B12"/>
    <w:rsid w:val="002B4CD3"/>
    <w:rsid w:val="002B4DED"/>
    <w:rsid w:val="002B553D"/>
    <w:rsid w:val="002B574E"/>
    <w:rsid w:val="002B66D1"/>
    <w:rsid w:val="002B75C7"/>
    <w:rsid w:val="002C0012"/>
    <w:rsid w:val="002C011D"/>
    <w:rsid w:val="002C06BE"/>
    <w:rsid w:val="002C0C85"/>
    <w:rsid w:val="002C1218"/>
    <w:rsid w:val="002C1305"/>
    <w:rsid w:val="002C19D9"/>
    <w:rsid w:val="002C32B2"/>
    <w:rsid w:val="002C40F1"/>
    <w:rsid w:val="002C4BF6"/>
    <w:rsid w:val="002C4F46"/>
    <w:rsid w:val="002C52A4"/>
    <w:rsid w:val="002C540A"/>
    <w:rsid w:val="002C5653"/>
    <w:rsid w:val="002C5DAD"/>
    <w:rsid w:val="002C5EE0"/>
    <w:rsid w:val="002C5FFD"/>
    <w:rsid w:val="002C6BD7"/>
    <w:rsid w:val="002C6E17"/>
    <w:rsid w:val="002C6EE4"/>
    <w:rsid w:val="002C7DF3"/>
    <w:rsid w:val="002D01F7"/>
    <w:rsid w:val="002D0548"/>
    <w:rsid w:val="002D088D"/>
    <w:rsid w:val="002D0B6B"/>
    <w:rsid w:val="002D1465"/>
    <w:rsid w:val="002D1892"/>
    <w:rsid w:val="002D2D30"/>
    <w:rsid w:val="002D2E32"/>
    <w:rsid w:val="002D34A4"/>
    <w:rsid w:val="002D364A"/>
    <w:rsid w:val="002D43F8"/>
    <w:rsid w:val="002D4639"/>
    <w:rsid w:val="002D4804"/>
    <w:rsid w:val="002D5A50"/>
    <w:rsid w:val="002D5C5B"/>
    <w:rsid w:val="002D6210"/>
    <w:rsid w:val="002D650D"/>
    <w:rsid w:val="002D7079"/>
    <w:rsid w:val="002D70CE"/>
    <w:rsid w:val="002D76BD"/>
    <w:rsid w:val="002D7778"/>
    <w:rsid w:val="002D78D7"/>
    <w:rsid w:val="002E00E4"/>
    <w:rsid w:val="002E035D"/>
    <w:rsid w:val="002E0503"/>
    <w:rsid w:val="002E0A09"/>
    <w:rsid w:val="002E1177"/>
    <w:rsid w:val="002E1255"/>
    <w:rsid w:val="002E1563"/>
    <w:rsid w:val="002E16FC"/>
    <w:rsid w:val="002E1FA0"/>
    <w:rsid w:val="002E21DB"/>
    <w:rsid w:val="002E2586"/>
    <w:rsid w:val="002E3045"/>
    <w:rsid w:val="002E3D36"/>
    <w:rsid w:val="002E4FE9"/>
    <w:rsid w:val="002E54FC"/>
    <w:rsid w:val="002E5537"/>
    <w:rsid w:val="002E5790"/>
    <w:rsid w:val="002E65AC"/>
    <w:rsid w:val="002E6E40"/>
    <w:rsid w:val="002E6EE9"/>
    <w:rsid w:val="002E6FD6"/>
    <w:rsid w:val="002E71C7"/>
    <w:rsid w:val="002F00D4"/>
    <w:rsid w:val="002F04AB"/>
    <w:rsid w:val="002F0636"/>
    <w:rsid w:val="002F0A6D"/>
    <w:rsid w:val="002F0ADE"/>
    <w:rsid w:val="002F0CED"/>
    <w:rsid w:val="002F0D44"/>
    <w:rsid w:val="002F1820"/>
    <w:rsid w:val="002F1870"/>
    <w:rsid w:val="002F1A7D"/>
    <w:rsid w:val="002F1C1D"/>
    <w:rsid w:val="002F2CEF"/>
    <w:rsid w:val="002F31B9"/>
    <w:rsid w:val="002F3F80"/>
    <w:rsid w:val="002F4CF1"/>
    <w:rsid w:val="002F4DCE"/>
    <w:rsid w:val="002F4F9D"/>
    <w:rsid w:val="002F5424"/>
    <w:rsid w:val="002F5D1D"/>
    <w:rsid w:val="002F6817"/>
    <w:rsid w:val="002F6E7D"/>
    <w:rsid w:val="002F714D"/>
    <w:rsid w:val="002F7759"/>
    <w:rsid w:val="002F7D61"/>
    <w:rsid w:val="00300ABE"/>
    <w:rsid w:val="00301039"/>
    <w:rsid w:val="00301667"/>
    <w:rsid w:val="0030177D"/>
    <w:rsid w:val="00301857"/>
    <w:rsid w:val="00302000"/>
    <w:rsid w:val="00303C86"/>
    <w:rsid w:val="00303C9B"/>
    <w:rsid w:val="00304ABF"/>
    <w:rsid w:val="00304E14"/>
    <w:rsid w:val="0030541E"/>
    <w:rsid w:val="00305849"/>
    <w:rsid w:val="003061BC"/>
    <w:rsid w:val="0030673A"/>
    <w:rsid w:val="0030758B"/>
    <w:rsid w:val="00307655"/>
    <w:rsid w:val="00310004"/>
    <w:rsid w:val="0031054C"/>
    <w:rsid w:val="00310652"/>
    <w:rsid w:val="00310985"/>
    <w:rsid w:val="0031153E"/>
    <w:rsid w:val="00311E19"/>
    <w:rsid w:val="003120AA"/>
    <w:rsid w:val="003122FE"/>
    <w:rsid w:val="00312BAD"/>
    <w:rsid w:val="00312E08"/>
    <w:rsid w:val="00313907"/>
    <w:rsid w:val="003139BA"/>
    <w:rsid w:val="00313F93"/>
    <w:rsid w:val="003143DF"/>
    <w:rsid w:val="003154F1"/>
    <w:rsid w:val="00315530"/>
    <w:rsid w:val="003158CE"/>
    <w:rsid w:val="00315E9B"/>
    <w:rsid w:val="00315EE2"/>
    <w:rsid w:val="0031621E"/>
    <w:rsid w:val="00316BFA"/>
    <w:rsid w:val="003170BF"/>
    <w:rsid w:val="00317685"/>
    <w:rsid w:val="003177A0"/>
    <w:rsid w:val="00317D30"/>
    <w:rsid w:val="00320123"/>
    <w:rsid w:val="003211A5"/>
    <w:rsid w:val="003218DD"/>
    <w:rsid w:val="003222CA"/>
    <w:rsid w:val="003228A1"/>
    <w:rsid w:val="00322A65"/>
    <w:rsid w:val="00322CF3"/>
    <w:rsid w:val="00322E2B"/>
    <w:rsid w:val="00322E9E"/>
    <w:rsid w:val="00323D07"/>
    <w:rsid w:val="00323FC4"/>
    <w:rsid w:val="00324F0A"/>
    <w:rsid w:val="00324FDF"/>
    <w:rsid w:val="00324FFA"/>
    <w:rsid w:val="003255BF"/>
    <w:rsid w:val="00325F1B"/>
    <w:rsid w:val="00326360"/>
    <w:rsid w:val="00326449"/>
    <w:rsid w:val="00326A17"/>
    <w:rsid w:val="00326EBF"/>
    <w:rsid w:val="00326F68"/>
    <w:rsid w:val="00327830"/>
    <w:rsid w:val="00327A6E"/>
    <w:rsid w:val="00327F7F"/>
    <w:rsid w:val="003301EB"/>
    <w:rsid w:val="00330BE2"/>
    <w:rsid w:val="00332117"/>
    <w:rsid w:val="00332826"/>
    <w:rsid w:val="0033282C"/>
    <w:rsid w:val="003336F9"/>
    <w:rsid w:val="00334051"/>
    <w:rsid w:val="0033431D"/>
    <w:rsid w:val="00335370"/>
    <w:rsid w:val="0033546C"/>
    <w:rsid w:val="00336E97"/>
    <w:rsid w:val="00337567"/>
    <w:rsid w:val="003378C8"/>
    <w:rsid w:val="00337CD8"/>
    <w:rsid w:val="00337DFD"/>
    <w:rsid w:val="00340C45"/>
    <w:rsid w:val="003411AE"/>
    <w:rsid w:val="0034172A"/>
    <w:rsid w:val="003418BF"/>
    <w:rsid w:val="003422C6"/>
    <w:rsid w:val="0034248C"/>
    <w:rsid w:val="003432EC"/>
    <w:rsid w:val="0034365C"/>
    <w:rsid w:val="00343BD1"/>
    <w:rsid w:val="00344C68"/>
    <w:rsid w:val="00344C92"/>
    <w:rsid w:val="00345135"/>
    <w:rsid w:val="003461B2"/>
    <w:rsid w:val="00346260"/>
    <w:rsid w:val="0034663D"/>
    <w:rsid w:val="0034798F"/>
    <w:rsid w:val="00347FB4"/>
    <w:rsid w:val="00350145"/>
    <w:rsid w:val="00350B11"/>
    <w:rsid w:val="00350FFA"/>
    <w:rsid w:val="003513D9"/>
    <w:rsid w:val="00351B41"/>
    <w:rsid w:val="00351F15"/>
    <w:rsid w:val="00352AFA"/>
    <w:rsid w:val="00352B24"/>
    <w:rsid w:val="00352F9E"/>
    <w:rsid w:val="00353BD2"/>
    <w:rsid w:val="00353E07"/>
    <w:rsid w:val="00353E24"/>
    <w:rsid w:val="003540E2"/>
    <w:rsid w:val="00354127"/>
    <w:rsid w:val="00354341"/>
    <w:rsid w:val="003550FF"/>
    <w:rsid w:val="003551C4"/>
    <w:rsid w:val="00355699"/>
    <w:rsid w:val="0035675D"/>
    <w:rsid w:val="0035771A"/>
    <w:rsid w:val="00357DCA"/>
    <w:rsid w:val="0036013A"/>
    <w:rsid w:val="00360D84"/>
    <w:rsid w:val="0036249D"/>
    <w:rsid w:val="0036428E"/>
    <w:rsid w:val="003643A3"/>
    <w:rsid w:val="00364C2A"/>
    <w:rsid w:val="00365293"/>
    <w:rsid w:val="0036564B"/>
    <w:rsid w:val="00365AAC"/>
    <w:rsid w:val="00365D78"/>
    <w:rsid w:val="00366111"/>
    <w:rsid w:val="00366601"/>
    <w:rsid w:val="00366733"/>
    <w:rsid w:val="003669C8"/>
    <w:rsid w:val="00366C7B"/>
    <w:rsid w:val="003678DF"/>
    <w:rsid w:val="00367C68"/>
    <w:rsid w:val="00367F15"/>
    <w:rsid w:val="003704B1"/>
    <w:rsid w:val="003708CD"/>
    <w:rsid w:val="00370F2A"/>
    <w:rsid w:val="00371AB2"/>
    <w:rsid w:val="00372B03"/>
    <w:rsid w:val="00372BBC"/>
    <w:rsid w:val="00373E01"/>
    <w:rsid w:val="00373F74"/>
    <w:rsid w:val="003742CF"/>
    <w:rsid w:val="00374344"/>
    <w:rsid w:val="00374407"/>
    <w:rsid w:val="00375080"/>
    <w:rsid w:val="003751E6"/>
    <w:rsid w:val="003752E0"/>
    <w:rsid w:val="003756EE"/>
    <w:rsid w:val="00376845"/>
    <w:rsid w:val="0037692B"/>
    <w:rsid w:val="0038003E"/>
    <w:rsid w:val="003806A7"/>
    <w:rsid w:val="00380889"/>
    <w:rsid w:val="003808DA"/>
    <w:rsid w:val="0038121C"/>
    <w:rsid w:val="00381260"/>
    <w:rsid w:val="003813B6"/>
    <w:rsid w:val="003815FD"/>
    <w:rsid w:val="00381608"/>
    <w:rsid w:val="00381666"/>
    <w:rsid w:val="00381C7A"/>
    <w:rsid w:val="00381EE0"/>
    <w:rsid w:val="00382A4B"/>
    <w:rsid w:val="00382B0D"/>
    <w:rsid w:val="0038314E"/>
    <w:rsid w:val="00383539"/>
    <w:rsid w:val="0038495C"/>
    <w:rsid w:val="00384D26"/>
    <w:rsid w:val="00385190"/>
    <w:rsid w:val="00385595"/>
    <w:rsid w:val="00385E73"/>
    <w:rsid w:val="00386609"/>
    <w:rsid w:val="0038698E"/>
    <w:rsid w:val="00387154"/>
    <w:rsid w:val="0039070D"/>
    <w:rsid w:val="00390771"/>
    <w:rsid w:val="00390901"/>
    <w:rsid w:val="00390BCB"/>
    <w:rsid w:val="00390F83"/>
    <w:rsid w:val="00390FB3"/>
    <w:rsid w:val="00391D84"/>
    <w:rsid w:val="003928DC"/>
    <w:rsid w:val="00392985"/>
    <w:rsid w:val="00392C45"/>
    <w:rsid w:val="003938A0"/>
    <w:rsid w:val="0039411C"/>
    <w:rsid w:val="00394901"/>
    <w:rsid w:val="00394B8E"/>
    <w:rsid w:val="003952E7"/>
    <w:rsid w:val="003958B9"/>
    <w:rsid w:val="00396E0C"/>
    <w:rsid w:val="003970FE"/>
    <w:rsid w:val="003974E3"/>
    <w:rsid w:val="003977DD"/>
    <w:rsid w:val="00397A8B"/>
    <w:rsid w:val="00397DE1"/>
    <w:rsid w:val="003A0289"/>
    <w:rsid w:val="003A05A4"/>
    <w:rsid w:val="003A1A53"/>
    <w:rsid w:val="003A1BF7"/>
    <w:rsid w:val="003A2A03"/>
    <w:rsid w:val="003A34C8"/>
    <w:rsid w:val="003A383D"/>
    <w:rsid w:val="003A3888"/>
    <w:rsid w:val="003A4DDC"/>
    <w:rsid w:val="003A4F76"/>
    <w:rsid w:val="003A5056"/>
    <w:rsid w:val="003A50AE"/>
    <w:rsid w:val="003A5385"/>
    <w:rsid w:val="003A6BB1"/>
    <w:rsid w:val="003A7519"/>
    <w:rsid w:val="003A79A7"/>
    <w:rsid w:val="003B02E7"/>
    <w:rsid w:val="003B0F4C"/>
    <w:rsid w:val="003B123E"/>
    <w:rsid w:val="003B1282"/>
    <w:rsid w:val="003B1329"/>
    <w:rsid w:val="003B1460"/>
    <w:rsid w:val="003B2536"/>
    <w:rsid w:val="003B25FB"/>
    <w:rsid w:val="003B2E37"/>
    <w:rsid w:val="003B3721"/>
    <w:rsid w:val="003B3893"/>
    <w:rsid w:val="003B3C45"/>
    <w:rsid w:val="003B3CEA"/>
    <w:rsid w:val="003B4F5A"/>
    <w:rsid w:val="003B50A0"/>
    <w:rsid w:val="003B55BA"/>
    <w:rsid w:val="003B561F"/>
    <w:rsid w:val="003B57B9"/>
    <w:rsid w:val="003B6168"/>
    <w:rsid w:val="003B6A0D"/>
    <w:rsid w:val="003B6AF5"/>
    <w:rsid w:val="003B6DF8"/>
    <w:rsid w:val="003B6F63"/>
    <w:rsid w:val="003B700E"/>
    <w:rsid w:val="003B72ED"/>
    <w:rsid w:val="003B7389"/>
    <w:rsid w:val="003C042A"/>
    <w:rsid w:val="003C0C8C"/>
    <w:rsid w:val="003C0DCF"/>
    <w:rsid w:val="003C0F72"/>
    <w:rsid w:val="003C135E"/>
    <w:rsid w:val="003C15E3"/>
    <w:rsid w:val="003C1EEB"/>
    <w:rsid w:val="003C2D98"/>
    <w:rsid w:val="003C3571"/>
    <w:rsid w:val="003C361A"/>
    <w:rsid w:val="003C3EB7"/>
    <w:rsid w:val="003C4355"/>
    <w:rsid w:val="003C5CBD"/>
    <w:rsid w:val="003C6085"/>
    <w:rsid w:val="003C61AD"/>
    <w:rsid w:val="003C627D"/>
    <w:rsid w:val="003C6981"/>
    <w:rsid w:val="003C7124"/>
    <w:rsid w:val="003C757B"/>
    <w:rsid w:val="003D0186"/>
    <w:rsid w:val="003D0193"/>
    <w:rsid w:val="003D05E0"/>
    <w:rsid w:val="003D1299"/>
    <w:rsid w:val="003D1A9A"/>
    <w:rsid w:val="003D234C"/>
    <w:rsid w:val="003D2BF3"/>
    <w:rsid w:val="003D3A3D"/>
    <w:rsid w:val="003D3AAC"/>
    <w:rsid w:val="003D3B4D"/>
    <w:rsid w:val="003D4087"/>
    <w:rsid w:val="003D4436"/>
    <w:rsid w:val="003D4638"/>
    <w:rsid w:val="003D4A2A"/>
    <w:rsid w:val="003D4DCA"/>
    <w:rsid w:val="003D509A"/>
    <w:rsid w:val="003D58BA"/>
    <w:rsid w:val="003D6098"/>
    <w:rsid w:val="003D69B9"/>
    <w:rsid w:val="003D6EC0"/>
    <w:rsid w:val="003D7A8D"/>
    <w:rsid w:val="003E04B7"/>
    <w:rsid w:val="003E18C8"/>
    <w:rsid w:val="003E1FC3"/>
    <w:rsid w:val="003E201D"/>
    <w:rsid w:val="003E22CB"/>
    <w:rsid w:val="003E266B"/>
    <w:rsid w:val="003E295F"/>
    <w:rsid w:val="003E2EAB"/>
    <w:rsid w:val="003E3836"/>
    <w:rsid w:val="003E3BE6"/>
    <w:rsid w:val="003E405A"/>
    <w:rsid w:val="003E519B"/>
    <w:rsid w:val="003E64F3"/>
    <w:rsid w:val="003E6544"/>
    <w:rsid w:val="003E72B4"/>
    <w:rsid w:val="003E771C"/>
    <w:rsid w:val="003E784C"/>
    <w:rsid w:val="003F04B8"/>
    <w:rsid w:val="003F07AF"/>
    <w:rsid w:val="003F08B3"/>
    <w:rsid w:val="003F19BF"/>
    <w:rsid w:val="003F1EC6"/>
    <w:rsid w:val="003F27D1"/>
    <w:rsid w:val="003F287E"/>
    <w:rsid w:val="003F4B66"/>
    <w:rsid w:val="003F7000"/>
    <w:rsid w:val="003F77B4"/>
    <w:rsid w:val="00400A85"/>
    <w:rsid w:val="00401247"/>
    <w:rsid w:val="0040153E"/>
    <w:rsid w:val="004015D1"/>
    <w:rsid w:val="004018E0"/>
    <w:rsid w:val="004019EB"/>
    <w:rsid w:val="00401D44"/>
    <w:rsid w:val="004023F4"/>
    <w:rsid w:val="00402479"/>
    <w:rsid w:val="00402E10"/>
    <w:rsid w:val="00403D22"/>
    <w:rsid w:val="0040413B"/>
    <w:rsid w:val="00404D47"/>
    <w:rsid w:val="004057BD"/>
    <w:rsid w:val="00405DA5"/>
    <w:rsid w:val="00406562"/>
    <w:rsid w:val="0040659A"/>
    <w:rsid w:val="0040785C"/>
    <w:rsid w:val="0041052A"/>
    <w:rsid w:val="00410A41"/>
    <w:rsid w:val="004113DE"/>
    <w:rsid w:val="00411CC6"/>
    <w:rsid w:val="00412DCF"/>
    <w:rsid w:val="0041411E"/>
    <w:rsid w:val="004144EE"/>
    <w:rsid w:val="004146BE"/>
    <w:rsid w:val="00414855"/>
    <w:rsid w:val="004150B6"/>
    <w:rsid w:val="00415460"/>
    <w:rsid w:val="00415483"/>
    <w:rsid w:val="00416468"/>
    <w:rsid w:val="00416BB2"/>
    <w:rsid w:val="004170E4"/>
    <w:rsid w:val="00417166"/>
    <w:rsid w:val="00420952"/>
    <w:rsid w:val="00420B2F"/>
    <w:rsid w:val="00420BC4"/>
    <w:rsid w:val="004214D7"/>
    <w:rsid w:val="004217F6"/>
    <w:rsid w:val="00421CC3"/>
    <w:rsid w:val="0042222D"/>
    <w:rsid w:val="00422E80"/>
    <w:rsid w:val="0042446A"/>
    <w:rsid w:val="00424C96"/>
    <w:rsid w:val="0042518E"/>
    <w:rsid w:val="00425226"/>
    <w:rsid w:val="004252C2"/>
    <w:rsid w:val="00426B65"/>
    <w:rsid w:val="0042785B"/>
    <w:rsid w:val="004308C9"/>
    <w:rsid w:val="00430E70"/>
    <w:rsid w:val="00431599"/>
    <w:rsid w:val="0043195B"/>
    <w:rsid w:val="00431D25"/>
    <w:rsid w:val="00432248"/>
    <w:rsid w:val="004326A8"/>
    <w:rsid w:val="00433069"/>
    <w:rsid w:val="00433507"/>
    <w:rsid w:val="004335AF"/>
    <w:rsid w:val="004337A1"/>
    <w:rsid w:val="00433A19"/>
    <w:rsid w:val="00434073"/>
    <w:rsid w:val="0043417C"/>
    <w:rsid w:val="00434F8C"/>
    <w:rsid w:val="00435134"/>
    <w:rsid w:val="00435847"/>
    <w:rsid w:val="00435BA7"/>
    <w:rsid w:val="00435CF2"/>
    <w:rsid w:val="00436C73"/>
    <w:rsid w:val="00436DAF"/>
    <w:rsid w:val="0043716F"/>
    <w:rsid w:val="004378CE"/>
    <w:rsid w:val="00437F57"/>
    <w:rsid w:val="004403C3"/>
    <w:rsid w:val="004405B3"/>
    <w:rsid w:val="00441C68"/>
    <w:rsid w:val="00442A6D"/>
    <w:rsid w:val="00442CCD"/>
    <w:rsid w:val="004439C6"/>
    <w:rsid w:val="00444034"/>
    <w:rsid w:val="00445089"/>
    <w:rsid w:val="00445A6F"/>
    <w:rsid w:val="00445FAC"/>
    <w:rsid w:val="0044617E"/>
    <w:rsid w:val="00446242"/>
    <w:rsid w:val="00446A67"/>
    <w:rsid w:val="00446BF2"/>
    <w:rsid w:val="00446EA6"/>
    <w:rsid w:val="004470E5"/>
    <w:rsid w:val="0044738E"/>
    <w:rsid w:val="0044740F"/>
    <w:rsid w:val="0045010B"/>
    <w:rsid w:val="0045014B"/>
    <w:rsid w:val="004507A9"/>
    <w:rsid w:val="00450B3B"/>
    <w:rsid w:val="00451022"/>
    <w:rsid w:val="00451ABA"/>
    <w:rsid w:val="00451EFC"/>
    <w:rsid w:val="00451F3E"/>
    <w:rsid w:val="004522C1"/>
    <w:rsid w:val="0045256A"/>
    <w:rsid w:val="0045283E"/>
    <w:rsid w:val="004529D8"/>
    <w:rsid w:val="00452ED9"/>
    <w:rsid w:val="0045338E"/>
    <w:rsid w:val="00453600"/>
    <w:rsid w:val="0045374A"/>
    <w:rsid w:val="00454655"/>
    <w:rsid w:val="0045468F"/>
    <w:rsid w:val="00454874"/>
    <w:rsid w:val="00454C5C"/>
    <w:rsid w:val="00454EB9"/>
    <w:rsid w:val="00455734"/>
    <w:rsid w:val="00455D0D"/>
    <w:rsid w:val="00455DFC"/>
    <w:rsid w:val="00456DED"/>
    <w:rsid w:val="00457051"/>
    <w:rsid w:val="0045711B"/>
    <w:rsid w:val="0045730E"/>
    <w:rsid w:val="00457581"/>
    <w:rsid w:val="00457774"/>
    <w:rsid w:val="004600FF"/>
    <w:rsid w:val="004618E7"/>
    <w:rsid w:val="00462520"/>
    <w:rsid w:val="00462C35"/>
    <w:rsid w:val="00462CFC"/>
    <w:rsid w:val="004634EE"/>
    <w:rsid w:val="004635D2"/>
    <w:rsid w:val="004636A4"/>
    <w:rsid w:val="00464291"/>
    <w:rsid w:val="00464917"/>
    <w:rsid w:val="00464930"/>
    <w:rsid w:val="00464C0F"/>
    <w:rsid w:val="00465BFC"/>
    <w:rsid w:val="004661E0"/>
    <w:rsid w:val="004663C1"/>
    <w:rsid w:val="0046778D"/>
    <w:rsid w:val="00467C2D"/>
    <w:rsid w:val="004709AC"/>
    <w:rsid w:val="00470B07"/>
    <w:rsid w:val="00471A32"/>
    <w:rsid w:val="00471AC2"/>
    <w:rsid w:val="00471CE8"/>
    <w:rsid w:val="00471F17"/>
    <w:rsid w:val="00472283"/>
    <w:rsid w:val="004722D2"/>
    <w:rsid w:val="00472342"/>
    <w:rsid w:val="004724DE"/>
    <w:rsid w:val="004729C5"/>
    <w:rsid w:val="00473182"/>
    <w:rsid w:val="0047373F"/>
    <w:rsid w:val="00473CA5"/>
    <w:rsid w:val="00474376"/>
    <w:rsid w:val="00475D26"/>
    <w:rsid w:val="00475F3C"/>
    <w:rsid w:val="00476668"/>
    <w:rsid w:val="004768C4"/>
    <w:rsid w:val="0047771E"/>
    <w:rsid w:val="00477723"/>
    <w:rsid w:val="00477A9D"/>
    <w:rsid w:val="00477D56"/>
    <w:rsid w:val="00477D9A"/>
    <w:rsid w:val="00477EE5"/>
    <w:rsid w:val="00480277"/>
    <w:rsid w:val="0048042C"/>
    <w:rsid w:val="00481CE5"/>
    <w:rsid w:val="004826FD"/>
    <w:rsid w:val="00482813"/>
    <w:rsid w:val="00482CB2"/>
    <w:rsid w:val="00482FDC"/>
    <w:rsid w:val="00483795"/>
    <w:rsid w:val="00483C56"/>
    <w:rsid w:val="004840C2"/>
    <w:rsid w:val="0048468A"/>
    <w:rsid w:val="00484B5D"/>
    <w:rsid w:val="00484CD7"/>
    <w:rsid w:val="00486243"/>
    <w:rsid w:val="004863A3"/>
    <w:rsid w:val="00486D4E"/>
    <w:rsid w:val="004870D9"/>
    <w:rsid w:val="0048715F"/>
    <w:rsid w:val="00487174"/>
    <w:rsid w:val="004873F9"/>
    <w:rsid w:val="0048747D"/>
    <w:rsid w:val="0048758D"/>
    <w:rsid w:val="00490C85"/>
    <w:rsid w:val="004920D8"/>
    <w:rsid w:val="00492C8E"/>
    <w:rsid w:val="004938FA"/>
    <w:rsid w:val="00493914"/>
    <w:rsid w:val="00493B40"/>
    <w:rsid w:val="00493BDB"/>
    <w:rsid w:val="00493C79"/>
    <w:rsid w:val="00493EA2"/>
    <w:rsid w:val="00493F24"/>
    <w:rsid w:val="004949D0"/>
    <w:rsid w:val="004955CD"/>
    <w:rsid w:val="00496DAA"/>
    <w:rsid w:val="0049745E"/>
    <w:rsid w:val="00497677"/>
    <w:rsid w:val="0049771B"/>
    <w:rsid w:val="004A05C0"/>
    <w:rsid w:val="004A06A7"/>
    <w:rsid w:val="004A0B94"/>
    <w:rsid w:val="004A1DBD"/>
    <w:rsid w:val="004A2663"/>
    <w:rsid w:val="004A34D5"/>
    <w:rsid w:val="004A3780"/>
    <w:rsid w:val="004A43F1"/>
    <w:rsid w:val="004A45DC"/>
    <w:rsid w:val="004A4D14"/>
    <w:rsid w:val="004A4E22"/>
    <w:rsid w:val="004A5492"/>
    <w:rsid w:val="004A6496"/>
    <w:rsid w:val="004A6520"/>
    <w:rsid w:val="004A708D"/>
    <w:rsid w:val="004A7831"/>
    <w:rsid w:val="004A786F"/>
    <w:rsid w:val="004A7E33"/>
    <w:rsid w:val="004B0066"/>
    <w:rsid w:val="004B048A"/>
    <w:rsid w:val="004B2DAF"/>
    <w:rsid w:val="004B2FCC"/>
    <w:rsid w:val="004B312E"/>
    <w:rsid w:val="004B32DF"/>
    <w:rsid w:val="004B3A7B"/>
    <w:rsid w:val="004B3BCD"/>
    <w:rsid w:val="004B3FB9"/>
    <w:rsid w:val="004B430B"/>
    <w:rsid w:val="004B4844"/>
    <w:rsid w:val="004B4CDA"/>
    <w:rsid w:val="004B577B"/>
    <w:rsid w:val="004B59D9"/>
    <w:rsid w:val="004B5F0B"/>
    <w:rsid w:val="004B6516"/>
    <w:rsid w:val="004B7766"/>
    <w:rsid w:val="004C141A"/>
    <w:rsid w:val="004C167C"/>
    <w:rsid w:val="004C1A97"/>
    <w:rsid w:val="004C1F16"/>
    <w:rsid w:val="004C1F63"/>
    <w:rsid w:val="004C26CB"/>
    <w:rsid w:val="004C2E92"/>
    <w:rsid w:val="004C3056"/>
    <w:rsid w:val="004C39DE"/>
    <w:rsid w:val="004C3D02"/>
    <w:rsid w:val="004C40E8"/>
    <w:rsid w:val="004C41B2"/>
    <w:rsid w:val="004C4277"/>
    <w:rsid w:val="004C4F45"/>
    <w:rsid w:val="004C538A"/>
    <w:rsid w:val="004C56AF"/>
    <w:rsid w:val="004C5ADF"/>
    <w:rsid w:val="004C5C52"/>
    <w:rsid w:val="004C5D71"/>
    <w:rsid w:val="004C6029"/>
    <w:rsid w:val="004C6617"/>
    <w:rsid w:val="004C6AD8"/>
    <w:rsid w:val="004C71C9"/>
    <w:rsid w:val="004C729E"/>
    <w:rsid w:val="004C7401"/>
    <w:rsid w:val="004C749A"/>
    <w:rsid w:val="004D03FC"/>
    <w:rsid w:val="004D082C"/>
    <w:rsid w:val="004D08F5"/>
    <w:rsid w:val="004D0B12"/>
    <w:rsid w:val="004D145A"/>
    <w:rsid w:val="004D1DF2"/>
    <w:rsid w:val="004D215D"/>
    <w:rsid w:val="004D2A67"/>
    <w:rsid w:val="004D31A8"/>
    <w:rsid w:val="004D3596"/>
    <w:rsid w:val="004D35E2"/>
    <w:rsid w:val="004D438D"/>
    <w:rsid w:val="004D589A"/>
    <w:rsid w:val="004D5A16"/>
    <w:rsid w:val="004D5DBC"/>
    <w:rsid w:val="004D5E02"/>
    <w:rsid w:val="004D5EB9"/>
    <w:rsid w:val="004D652F"/>
    <w:rsid w:val="004D667C"/>
    <w:rsid w:val="004D75A9"/>
    <w:rsid w:val="004D78EC"/>
    <w:rsid w:val="004E0A5B"/>
    <w:rsid w:val="004E0BE8"/>
    <w:rsid w:val="004E0DBF"/>
    <w:rsid w:val="004E1C65"/>
    <w:rsid w:val="004E32D3"/>
    <w:rsid w:val="004E4C69"/>
    <w:rsid w:val="004E5323"/>
    <w:rsid w:val="004E5567"/>
    <w:rsid w:val="004E58C3"/>
    <w:rsid w:val="004E7373"/>
    <w:rsid w:val="004E7CA3"/>
    <w:rsid w:val="004E7ED3"/>
    <w:rsid w:val="004F001A"/>
    <w:rsid w:val="004F150B"/>
    <w:rsid w:val="004F1E65"/>
    <w:rsid w:val="004F2383"/>
    <w:rsid w:val="004F2DA7"/>
    <w:rsid w:val="004F47A7"/>
    <w:rsid w:val="004F5854"/>
    <w:rsid w:val="004F59CD"/>
    <w:rsid w:val="004F620B"/>
    <w:rsid w:val="004F7872"/>
    <w:rsid w:val="004F7A65"/>
    <w:rsid w:val="004F7BF7"/>
    <w:rsid w:val="00500529"/>
    <w:rsid w:val="005006ED"/>
    <w:rsid w:val="00500B53"/>
    <w:rsid w:val="00500BF2"/>
    <w:rsid w:val="00500C40"/>
    <w:rsid w:val="00501313"/>
    <w:rsid w:val="0050156C"/>
    <w:rsid w:val="0050244F"/>
    <w:rsid w:val="005031A4"/>
    <w:rsid w:val="00503A6A"/>
    <w:rsid w:val="005053D6"/>
    <w:rsid w:val="00505654"/>
    <w:rsid w:val="00505AD3"/>
    <w:rsid w:val="00505BA0"/>
    <w:rsid w:val="00505E50"/>
    <w:rsid w:val="00507EE5"/>
    <w:rsid w:val="005105B3"/>
    <w:rsid w:val="005114E8"/>
    <w:rsid w:val="005121BB"/>
    <w:rsid w:val="005121D5"/>
    <w:rsid w:val="00512215"/>
    <w:rsid w:val="005125C4"/>
    <w:rsid w:val="005127F1"/>
    <w:rsid w:val="005129AA"/>
    <w:rsid w:val="00512C54"/>
    <w:rsid w:val="00512C5C"/>
    <w:rsid w:val="00513AC5"/>
    <w:rsid w:val="005143F4"/>
    <w:rsid w:val="00515A35"/>
    <w:rsid w:val="00515F69"/>
    <w:rsid w:val="00515FB3"/>
    <w:rsid w:val="00516093"/>
    <w:rsid w:val="005161D2"/>
    <w:rsid w:val="005175D0"/>
    <w:rsid w:val="00517991"/>
    <w:rsid w:val="00517C18"/>
    <w:rsid w:val="00517E17"/>
    <w:rsid w:val="00517FEB"/>
    <w:rsid w:val="005201D8"/>
    <w:rsid w:val="0052066F"/>
    <w:rsid w:val="00520786"/>
    <w:rsid w:val="00520879"/>
    <w:rsid w:val="00520BBC"/>
    <w:rsid w:val="0052172B"/>
    <w:rsid w:val="005229E8"/>
    <w:rsid w:val="00523347"/>
    <w:rsid w:val="005233D3"/>
    <w:rsid w:val="00524EF6"/>
    <w:rsid w:val="00524F16"/>
    <w:rsid w:val="00525123"/>
    <w:rsid w:val="0052512B"/>
    <w:rsid w:val="00525A48"/>
    <w:rsid w:val="005265A2"/>
    <w:rsid w:val="00526F51"/>
    <w:rsid w:val="00527416"/>
    <w:rsid w:val="00530F5B"/>
    <w:rsid w:val="00531A94"/>
    <w:rsid w:val="005321F4"/>
    <w:rsid w:val="00532286"/>
    <w:rsid w:val="0053278F"/>
    <w:rsid w:val="0053279A"/>
    <w:rsid w:val="0053283F"/>
    <w:rsid w:val="005330F1"/>
    <w:rsid w:val="005332F5"/>
    <w:rsid w:val="00533B4F"/>
    <w:rsid w:val="005340CC"/>
    <w:rsid w:val="00534A1D"/>
    <w:rsid w:val="00534B3C"/>
    <w:rsid w:val="005354B3"/>
    <w:rsid w:val="00535A98"/>
    <w:rsid w:val="00535FB8"/>
    <w:rsid w:val="00535FC1"/>
    <w:rsid w:val="00536217"/>
    <w:rsid w:val="00536270"/>
    <w:rsid w:val="00536591"/>
    <w:rsid w:val="00536E74"/>
    <w:rsid w:val="00537FE1"/>
    <w:rsid w:val="00540231"/>
    <w:rsid w:val="0054061D"/>
    <w:rsid w:val="005406D3"/>
    <w:rsid w:val="00540BEE"/>
    <w:rsid w:val="00540DB1"/>
    <w:rsid w:val="00541305"/>
    <w:rsid w:val="005417B5"/>
    <w:rsid w:val="005429B4"/>
    <w:rsid w:val="00542BE8"/>
    <w:rsid w:val="0054320C"/>
    <w:rsid w:val="00543790"/>
    <w:rsid w:val="00543840"/>
    <w:rsid w:val="00543CBE"/>
    <w:rsid w:val="00543E4D"/>
    <w:rsid w:val="0054447E"/>
    <w:rsid w:val="005448CA"/>
    <w:rsid w:val="00544F99"/>
    <w:rsid w:val="005455AB"/>
    <w:rsid w:val="00545FB5"/>
    <w:rsid w:val="00547BA5"/>
    <w:rsid w:val="00550538"/>
    <w:rsid w:val="005509CD"/>
    <w:rsid w:val="00550CA4"/>
    <w:rsid w:val="00551958"/>
    <w:rsid w:val="005528C9"/>
    <w:rsid w:val="00552997"/>
    <w:rsid w:val="00552B80"/>
    <w:rsid w:val="00552FBD"/>
    <w:rsid w:val="00553196"/>
    <w:rsid w:val="005538F4"/>
    <w:rsid w:val="00553B09"/>
    <w:rsid w:val="0055414F"/>
    <w:rsid w:val="00554581"/>
    <w:rsid w:val="00554BF4"/>
    <w:rsid w:val="00554D15"/>
    <w:rsid w:val="00555069"/>
    <w:rsid w:val="00555E58"/>
    <w:rsid w:val="00557675"/>
    <w:rsid w:val="005577EA"/>
    <w:rsid w:val="005579ED"/>
    <w:rsid w:val="005579F7"/>
    <w:rsid w:val="00557DCF"/>
    <w:rsid w:val="005605A1"/>
    <w:rsid w:val="00560E96"/>
    <w:rsid w:val="00561146"/>
    <w:rsid w:val="0056119D"/>
    <w:rsid w:val="00561AFF"/>
    <w:rsid w:val="005621B2"/>
    <w:rsid w:val="005625AC"/>
    <w:rsid w:val="005626BA"/>
    <w:rsid w:val="00562757"/>
    <w:rsid w:val="00562DC0"/>
    <w:rsid w:val="00562E63"/>
    <w:rsid w:val="00563242"/>
    <w:rsid w:val="0056347B"/>
    <w:rsid w:val="005638E1"/>
    <w:rsid w:val="00563920"/>
    <w:rsid w:val="005639A7"/>
    <w:rsid w:val="00563ADB"/>
    <w:rsid w:val="00563FE9"/>
    <w:rsid w:val="0056418E"/>
    <w:rsid w:val="00564E19"/>
    <w:rsid w:val="00565071"/>
    <w:rsid w:val="00565AA7"/>
    <w:rsid w:val="00567737"/>
    <w:rsid w:val="00567D40"/>
    <w:rsid w:val="005703A8"/>
    <w:rsid w:val="00570E0C"/>
    <w:rsid w:val="005724DC"/>
    <w:rsid w:val="0057330A"/>
    <w:rsid w:val="00573D27"/>
    <w:rsid w:val="00574ED6"/>
    <w:rsid w:val="00575107"/>
    <w:rsid w:val="0057514C"/>
    <w:rsid w:val="00575601"/>
    <w:rsid w:val="005758C1"/>
    <w:rsid w:val="00576517"/>
    <w:rsid w:val="00576B7E"/>
    <w:rsid w:val="0057765A"/>
    <w:rsid w:val="0057789B"/>
    <w:rsid w:val="00577B05"/>
    <w:rsid w:val="00580B9F"/>
    <w:rsid w:val="00580E63"/>
    <w:rsid w:val="0058123E"/>
    <w:rsid w:val="00581B18"/>
    <w:rsid w:val="005823D7"/>
    <w:rsid w:val="0058331B"/>
    <w:rsid w:val="00583807"/>
    <w:rsid w:val="00584909"/>
    <w:rsid w:val="00584BB2"/>
    <w:rsid w:val="00584E79"/>
    <w:rsid w:val="00584E8A"/>
    <w:rsid w:val="0058529B"/>
    <w:rsid w:val="005852FF"/>
    <w:rsid w:val="00585BCF"/>
    <w:rsid w:val="005862CC"/>
    <w:rsid w:val="005865DA"/>
    <w:rsid w:val="00586760"/>
    <w:rsid w:val="0058710F"/>
    <w:rsid w:val="00587596"/>
    <w:rsid w:val="00587717"/>
    <w:rsid w:val="00587729"/>
    <w:rsid w:val="00587A99"/>
    <w:rsid w:val="005907F9"/>
    <w:rsid w:val="005911AA"/>
    <w:rsid w:val="00592108"/>
    <w:rsid w:val="00592CAB"/>
    <w:rsid w:val="00593228"/>
    <w:rsid w:val="00593F67"/>
    <w:rsid w:val="0059443F"/>
    <w:rsid w:val="00594589"/>
    <w:rsid w:val="00595687"/>
    <w:rsid w:val="005961AE"/>
    <w:rsid w:val="0059626E"/>
    <w:rsid w:val="0059655A"/>
    <w:rsid w:val="00596732"/>
    <w:rsid w:val="00597E3D"/>
    <w:rsid w:val="005A08BE"/>
    <w:rsid w:val="005A0926"/>
    <w:rsid w:val="005A0CF6"/>
    <w:rsid w:val="005A0E88"/>
    <w:rsid w:val="005A13D1"/>
    <w:rsid w:val="005A2496"/>
    <w:rsid w:val="005A2D70"/>
    <w:rsid w:val="005A30B3"/>
    <w:rsid w:val="005A4358"/>
    <w:rsid w:val="005A4418"/>
    <w:rsid w:val="005A47B5"/>
    <w:rsid w:val="005A491E"/>
    <w:rsid w:val="005A4D2D"/>
    <w:rsid w:val="005A5067"/>
    <w:rsid w:val="005A57B5"/>
    <w:rsid w:val="005A5B0C"/>
    <w:rsid w:val="005A605B"/>
    <w:rsid w:val="005A6378"/>
    <w:rsid w:val="005A6C4D"/>
    <w:rsid w:val="005A6DEC"/>
    <w:rsid w:val="005A6E28"/>
    <w:rsid w:val="005A7001"/>
    <w:rsid w:val="005A74D5"/>
    <w:rsid w:val="005A78F5"/>
    <w:rsid w:val="005B01F2"/>
    <w:rsid w:val="005B0202"/>
    <w:rsid w:val="005B0807"/>
    <w:rsid w:val="005B0CEC"/>
    <w:rsid w:val="005B1323"/>
    <w:rsid w:val="005B1396"/>
    <w:rsid w:val="005B1F31"/>
    <w:rsid w:val="005B21A2"/>
    <w:rsid w:val="005B2516"/>
    <w:rsid w:val="005B2A6C"/>
    <w:rsid w:val="005B2DE8"/>
    <w:rsid w:val="005B4281"/>
    <w:rsid w:val="005B48C4"/>
    <w:rsid w:val="005B4AF9"/>
    <w:rsid w:val="005B4DDD"/>
    <w:rsid w:val="005B5216"/>
    <w:rsid w:val="005B5CF9"/>
    <w:rsid w:val="005B5F54"/>
    <w:rsid w:val="005B6A99"/>
    <w:rsid w:val="005B7603"/>
    <w:rsid w:val="005B7942"/>
    <w:rsid w:val="005C1CA1"/>
    <w:rsid w:val="005C1FAF"/>
    <w:rsid w:val="005C27AF"/>
    <w:rsid w:val="005C2CF3"/>
    <w:rsid w:val="005C34A6"/>
    <w:rsid w:val="005C370D"/>
    <w:rsid w:val="005C40D7"/>
    <w:rsid w:val="005C4A52"/>
    <w:rsid w:val="005C4A85"/>
    <w:rsid w:val="005C4CAE"/>
    <w:rsid w:val="005C551F"/>
    <w:rsid w:val="005C5DB7"/>
    <w:rsid w:val="005C6554"/>
    <w:rsid w:val="005C69A8"/>
    <w:rsid w:val="005C6C0A"/>
    <w:rsid w:val="005C6EB8"/>
    <w:rsid w:val="005C71AE"/>
    <w:rsid w:val="005C78FA"/>
    <w:rsid w:val="005C7913"/>
    <w:rsid w:val="005C7928"/>
    <w:rsid w:val="005C7D85"/>
    <w:rsid w:val="005D0401"/>
    <w:rsid w:val="005D0CC5"/>
    <w:rsid w:val="005D14A8"/>
    <w:rsid w:val="005D14FC"/>
    <w:rsid w:val="005D15E7"/>
    <w:rsid w:val="005D18D2"/>
    <w:rsid w:val="005D1DFE"/>
    <w:rsid w:val="005D2D5F"/>
    <w:rsid w:val="005D30EC"/>
    <w:rsid w:val="005D353A"/>
    <w:rsid w:val="005D3582"/>
    <w:rsid w:val="005D3D4A"/>
    <w:rsid w:val="005D47EF"/>
    <w:rsid w:val="005D482A"/>
    <w:rsid w:val="005D5374"/>
    <w:rsid w:val="005D596B"/>
    <w:rsid w:val="005D60FF"/>
    <w:rsid w:val="005D6A3D"/>
    <w:rsid w:val="005D73C6"/>
    <w:rsid w:val="005D7A07"/>
    <w:rsid w:val="005E0114"/>
    <w:rsid w:val="005E0401"/>
    <w:rsid w:val="005E0DB4"/>
    <w:rsid w:val="005E2082"/>
    <w:rsid w:val="005E25B7"/>
    <w:rsid w:val="005E2D84"/>
    <w:rsid w:val="005E3141"/>
    <w:rsid w:val="005E367C"/>
    <w:rsid w:val="005E4135"/>
    <w:rsid w:val="005E4787"/>
    <w:rsid w:val="005E50C3"/>
    <w:rsid w:val="005E6C76"/>
    <w:rsid w:val="005E6F70"/>
    <w:rsid w:val="005E72B0"/>
    <w:rsid w:val="005E7EF0"/>
    <w:rsid w:val="005F1051"/>
    <w:rsid w:val="005F11AD"/>
    <w:rsid w:val="005F1ABF"/>
    <w:rsid w:val="005F1C65"/>
    <w:rsid w:val="005F1F82"/>
    <w:rsid w:val="005F28A1"/>
    <w:rsid w:val="005F2CA1"/>
    <w:rsid w:val="005F37D2"/>
    <w:rsid w:val="005F3C08"/>
    <w:rsid w:val="005F3F9B"/>
    <w:rsid w:val="005F4E1B"/>
    <w:rsid w:val="005F5031"/>
    <w:rsid w:val="005F5398"/>
    <w:rsid w:val="005F586C"/>
    <w:rsid w:val="005F6FFE"/>
    <w:rsid w:val="005F7114"/>
    <w:rsid w:val="005F777A"/>
    <w:rsid w:val="005F7A1F"/>
    <w:rsid w:val="00600E98"/>
    <w:rsid w:val="00600EC7"/>
    <w:rsid w:val="00600F6F"/>
    <w:rsid w:val="0060108D"/>
    <w:rsid w:val="00601D83"/>
    <w:rsid w:val="0060272D"/>
    <w:rsid w:val="00602DFB"/>
    <w:rsid w:val="0060382E"/>
    <w:rsid w:val="00604966"/>
    <w:rsid w:val="006049C5"/>
    <w:rsid w:val="00604AE9"/>
    <w:rsid w:val="006054D5"/>
    <w:rsid w:val="00605A07"/>
    <w:rsid w:val="00605D8F"/>
    <w:rsid w:val="00605DED"/>
    <w:rsid w:val="006067A0"/>
    <w:rsid w:val="00606CAC"/>
    <w:rsid w:val="0060711C"/>
    <w:rsid w:val="00607554"/>
    <w:rsid w:val="00607C36"/>
    <w:rsid w:val="00607DB3"/>
    <w:rsid w:val="00610A49"/>
    <w:rsid w:val="006112BA"/>
    <w:rsid w:val="006114D8"/>
    <w:rsid w:val="00611FB4"/>
    <w:rsid w:val="006123EE"/>
    <w:rsid w:val="0061398D"/>
    <w:rsid w:val="00613C23"/>
    <w:rsid w:val="0061418D"/>
    <w:rsid w:val="006143BF"/>
    <w:rsid w:val="0061535E"/>
    <w:rsid w:val="00615423"/>
    <w:rsid w:val="006158BA"/>
    <w:rsid w:val="00616063"/>
    <w:rsid w:val="006161D8"/>
    <w:rsid w:val="00616EA7"/>
    <w:rsid w:val="00617175"/>
    <w:rsid w:val="0061739E"/>
    <w:rsid w:val="006173CF"/>
    <w:rsid w:val="0061783C"/>
    <w:rsid w:val="0061798F"/>
    <w:rsid w:val="006209DD"/>
    <w:rsid w:val="0062143F"/>
    <w:rsid w:val="00622DAE"/>
    <w:rsid w:val="0062393C"/>
    <w:rsid w:val="00624B88"/>
    <w:rsid w:val="00625036"/>
    <w:rsid w:val="00625C7F"/>
    <w:rsid w:val="00626D66"/>
    <w:rsid w:val="006274BB"/>
    <w:rsid w:val="00627835"/>
    <w:rsid w:val="006301B7"/>
    <w:rsid w:val="006301EB"/>
    <w:rsid w:val="00630226"/>
    <w:rsid w:val="00630891"/>
    <w:rsid w:val="00630D10"/>
    <w:rsid w:val="006313C5"/>
    <w:rsid w:val="00631CA4"/>
    <w:rsid w:val="006327AC"/>
    <w:rsid w:val="0063290C"/>
    <w:rsid w:val="00632C7F"/>
    <w:rsid w:val="006332AB"/>
    <w:rsid w:val="00633F53"/>
    <w:rsid w:val="00633FC9"/>
    <w:rsid w:val="00634133"/>
    <w:rsid w:val="006341F3"/>
    <w:rsid w:val="0063425C"/>
    <w:rsid w:val="00634CD6"/>
    <w:rsid w:val="00634F16"/>
    <w:rsid w:val="006350FB"/>
    <w:rsid w:val="00635D6D"/>
    <w:rsid w:val="00636142"/>
    <w:rsid w:val="0063696C"/>
    <w:rsid w:val="00636AAC"/>
    <w:rsid w:val="0063743D"/>
    <w:rsid w:val="00637B98"/>
    <w:rsid w:val="00637EB7"/>
    <w:rsid w:val="006403CA"/>
    <w:rsid w:val="00640A06"/>
    <w:rsid w:val="00640D08"/>
    <w:rsid w:val="00641F38"/>
    <w:rsid w:val="00642313"/>
    <w:rsid w:val="00642A8F"/>
    <w:rsid w:val="00643BA9"/>
    <w:rsid w:val="0064437E"/>
    <w:rsid w:val="006446EB"/>
    <w:rsid w:val="00645006"/>
    <w:rsid w:val="006458F4"/>
    <w:rsid w:val="00645CBB"/>
    <w:rsid w:val="006464FE"/>
    <w:rsid w:val="006467E9"/>
    <w:rsid w:val="00646EA4"/>
    <w:rsid w:val="00647033"/>
    <w:rsid w:val="0064745B"/>
    <w:rsid w:val="006474A4"/>
    <w:rsid w:val="00650604"/>
    <w:rsid w:val="006506B7"/>
    <w:rsid w:val="006508F3"/>
    <w:rsid w:val="00651A90"/>
    <w:rsid w:val="0065242B"/>
    <w:rsid w:val="00652638"/>
    <w:rsid w:val="006526C1"/>
    <w:rsid w:val="00652911"/>
    <w:rsid w:val="00653347"/>
    <w:rsid w:val="00653671"/>
    <w:rsid w:val="00653C02"/>
    <w:rsid w:val="0065400D"/>
    <w:rsid w:val="0065448E"/>
    <w:rsid w:val="00654D96"/>
    <w:rsid w:val="00655954"/>
    <w:rsid w:val="00655D64"/>
    <w:rsid w:val="0065707C"/>
    <w:rsid w:val="00657623"/>
    <w:rsid w:val="00657E57"/>
    <w:rsid w:val="006600EA"/>
    <w:rsid w:val="006609DF"/>
    <w:rsid w:val="00660C81"/>
    <w:rsid w:val="00660EDC"/>
    <w:rsid w:val="006617A4"/>
    <w:rsid w:val="0066274A"/>
    <w:rsid w:val="00662CD2"/>
    <w:rsid w:val="0066382F"/>
    <w:rsid w:val="006643E9"/>
    <w:rsid w:val="00664E39"/>
    <w:rsid w:val="00664FE3"/>
    <w:rsid w:val="0066549D"/>
    <w:rsid w:val="00665634"/>
    <w:rsid w:val="00665BAB"/>
    <w:rsid w:val="00666459"/>
    <w:rsid w:val="0066658F"/>
    <w:rsid w:val="00666BD2"/>
    <w:rsid w:val="00667DA0"/>
    <w:rsid w:val="00667FE8"/>
    <w:rsid w:val="006707DD"/>
    <w:rsid w:val="0067116A"/>
    <w:rsid w:val="00671AC0"/>
    <w:rsid w:val="00671B2F"/>
    <w:rsid w:val="00672345"/>
    <w:rsid w:val="00672680"/>
    <w:rsid w:val="00672A3B"/>
    <w:rsid w:val="00672D20"/>
    <w:rsid w:val="00673B25"/>
    <w:rsid w:val="00673B88"/>
    <w:rsid w:val="006744A2"/>
    <w:rsid w:val="00674E4E"/>
    <w:rsid w:val="00675032"/>
    <w:rsid w:val="006750DA"/>
    <w:rsid w:val="0067579A"/>
    <w:rsid w:val="006757DB"/>
    <w:rsid w:val="0067596D"/>
    <w:rsid w:val="00676B83"/>
    <w:rsid w:val="00677531"/>
    <w:rsid w:val="00677736"/>
    <w:rsid w:val="00677F26"/>
    <w:rsid w:val="0068069C"/>
    <w:rsid w:val="006811E0"/>
    <w:rsid w:val="006812F2"/>
    <w:rsid w:val="00681428"/>
    <w:rsid w:val="006815AB"/>
    <w:rsid w:val="00681CE7"/>
    <w:rsid w:val="00681E15"/>
    <w:rsid w:val="00681F8C"/>
    <w:rsid w:val="00682A7E"/>
    <w:rsid w:val="00682EFB"/>
    <w:rsid w:val="0068308D"/>
    <w:rsid w:val="0068309C"/>
    <w:rsid w:val="0068393B"/>
    <w:rsid w:val="006839B8"/>
    <w:rsid w:val="00683A2F"/>
    <w:rsid w:val="00684442"/>
    <w:rsid w:val="0068566A"/>
    <w:rsid w:val="00685BC7"/>
    <w:rsid w:val="00685C47"/>
    <w:rsid w:val="0068690C"/>
    <w:rsid w:val="0068693A"/>
    <w:rsid w:val="00686B1E"/>
    <w:rsid w:val="00686D73"/>
    <w:rsid w:val="00686F6C"/>
    <w:rsid w:val="0068715A"/>
    <w:rsid w:val="006873CB"/>
    <w:rsid w:val="006878D9"/>
    <w:rsid w:val="00687CB6"/>
    <w:rsid w:val="00687E94"/>
    <w:rsid w:val="006905D7"/>
    <w:rsid w:val="0069080A"/>
    <w:rsid w:val="00691219"/>
    <w:rsid w:val="0069121A"/>
    <w:rsid w:val="006921E6"/>
    <w:rsid w:val="00692EBE"/>
    <w:rsid w:val="00693727"/>
    <w:rsid w:val="00693AF4"/>
    <w:rsid w:val="00693B4A"/>
    <w:rsid w:val="00694612"/>
    <w:rsid w:val="00694B21"/>
    <w:rsid w:val="00694CEB"/>
    <w:rsid w:val="006955E9"/>
    <w:rsid w:val="00695C09"/>
    <w:rsid w:val="006A0106"/>
    <w:rsid w:val="006A0550"/>
    <w:rsid w:val="006A058C"/>
    <w:rsid w:val="006A0974"/>
    <w:rsid w:val="006A0B82"/>
    <w:rsid w:val="006A0D7D"/>
    <w:rsid w:val="006A15A1"/>
    <w:rsid w:val="006A20DF"/>
    <w:rsid w:val="006A29BE"/>
    <w:rsid w:val="006A2BCD"/>
    <w:rsid w:val="006A2E80"/>
    <w:rsid w:val="006A4102"/>
    <w:rsid w:val="006A41E2"/>
    <w:rsid w:val="006A464C"/>
    <w:rsid w:val="006A4700"/>
    <w:rsid w:val="006A5D48"/>
    <w:rsid w:val="006A623A"/>
    <w:rsid w:val="006A631A"/>
    <w:rsid w:val="006A73CD"/>
    <w:rsid w:val="006A780B"/>
    <w:rsid w:val="006A78FD"/>
    <w:rsid w:val="006A7DEE"/>
    <w:rsid w:val="006B0151"/>
    <w:rsid w:val="006B1632"/>
    <w:rsid w:val="006B1B4C"/>
    <w:rsid w:val="006B24B3"/>
    <w:rsid w:val="006B2529"/>
    <w:rsid w:val="006B2CA4"/>
    <w:rsid w:val="006B2D7F"/>
    <w:rsid w:val="006B323E"/>
    <w:rsid w:val="006B373B"/>
    <w:rsid w:val="006B3B41"/>
    <w:rsid w:val="006B3B7E"/>
    <w:rsid w:val="006B54BB"/>
    <w:rsid w:val="006B61AC"/>
    <w:rsid w:val="006B6994"/>
    <w:rsid w:val="006B6CE8"/>
    <w:rsid w:val="006B6F21"/>
    <w:rsid w:val="006B7130"/>
    <w:rsid w:val="006B7D38"/>
    <w:rsid w:val="006C04D1"/>
    <w:rsid w:val="006C0895"/>
    <w:rsid w:val="006C1DFE"/>
    <w:rsid w:val="006C21CB"/>
    <w:rsid w:val="006C2296"/>
    <w:rsid w:val="006C2A53"/>
    <w:rsid w:val="006C2E9B"/>
    <w:rsid w:val="006C3018"/>
    <w:rsid w:val="006C31C4"/>
    <w:rsid w:val="006C340E"/>
    <w:rsid w:val="006C3A4D"/>
    <w:rsid w:val="006C3E1B"/>
    <w:rsid w:val="006C4258"/>
    <w:rsid w:val="006C48BC"/>
    <w:rsid w:val="006C4B3A"/>
    <w:rsid w:val="006C53A3"/>
    <w:rsid w:val="006C576D"/>
    <w:rsid w:val="006C5BFF"/>
    <w:rsid w:val="006C5DAF"/>
    <w:rsid w:val="006C7AD5"/>
    <w:rsid w:val="006C7F58"/>
    <w:rsid w:val="006D16EE"/>
    <w:rsid w:val="006D17E7"/>
    <w:rsid w:val="006D1AFD"/>
    <w:rsid w:val="006D1B9E"/>
    <w:rsid w:val="006D1F59"/>
    <w:rsid w:val="006D20E9"/>
    <w:rsid w:val="006D3169"/>
    <w:rsid w:val="006D38EE"/>
    <w:rsid w:val="006D3F69"/>
    <w:rsid w:val="006D44CC"/>
    <w:rsid w:val="006D4707"/>
    <w:rsid w:val="006D68FB"/>
    <w:rsid w:val="006D7B2D"/>
    <w:rsid w:val="006E01C4"/>
    <w:rsid w:val="006E05E8"/>
    <w:rsid w:val="006E0748"/>
    <w:rsid w:val="006E0927"/>
    <w:rsid w:val="006E1DF1"/>
    <w:rsid w:val="006E1E81"/>
    <w:rsid w:val="006E1F69"/>
    <w:rsid w:val="006E23A4"/>
    <w:rsid w:val="006E2680"/>
    <w:rsid w:val="006E26F2"/>
    <w:rsid w:val="006E2732"/>
    <w:rsid w:val="006E2CA8"/>
    <w:rsid w:val="006E333C"/>
    <w:rsid w:val="006E37C1"/>
    <w:rsid w:val="006E40D4"/>
    <w:rsid w:val="006E4730"/>
    <w:rsid w:val="006E4F26"/>
    <w:rsid w:val="006E62A6"/>
    <w:rsid w:val="006E6862"/>
    <w:rsid w:val="006E7EAD"/>
    <w:rsid w:val="006F0316"/>
    <w:rsid w:val="006F0E57"/>
    <w:rsid w:val="006F0F2E"/>
    <w:rsid w:val="006F1A24"/>
    <w:rsid w:val="006F1A42"/>
    <w:rsid w:val="006F1FC8"/>
    <w:rsid w:val="006F2616"/>
    <w:rsid w:val="006F269C"/>
    <w:rsid w:val="006F2C9C"/>
    <w:rsid w:val="006F2CF5"/>
    <w:rsid w:val="006F35C0"/>
    <w:rsid w:val="006F381F"/>
    <w:rsid w:val="006F3A31"/>
    <w:rsid w:val="006F3BD9"/>
    <w:rsid w:val="006F3BFD"/>
    <w:rsid w:val="006F4482"/>
    <w:rsid w:val="006F57F7"/>
    <w:rsid w:val="006F611E"/>
    <w:rsid w:val="006F6D14"/>
    <w:rsid w:val="006F6D98"/>
    <w:rsid w:val="006F77CD"/>
    <w:rsid w:val="006F7821"/>
    <w:rsid w:val="006F7C87"/>
    <w:rsid w:val="0070000C"/>
    <w:rsid w:val="00700B11"/>
    <w:rsid w:val="00701854"/>
    <w:rsid w:val="00701BA5"/>
    <w:rsid w:val="00702633"/>
    <w:rsid w:val="0070279D"/>
    <w:rsid w:val="00702EF7"/>
    <w:rsid w:val="00703C65"/>
    <w:rsid w:val="00704793"/>
    <w:rsid w:val="007048B8"/>
    <w:rsid w:val="007054A7"/>
    <w:rsid w:val="0070610F"/>
    <w:rsid w:val="00706D3A"/>
    <w:rsid w:val="00707072"/>
    <w:rsid w:val="00707A27"/>
    <w:rsid w:val="00707B58"/>
    <w:rsid w:val="00707BC4"/>
    <w:rsid w:val="007104BC"/>
    <w:rsid w:val="00711085"/>
    <w:rsid w:val="00711101"/>
    <w:rsid w:val="00711AB1"/>
    <w:rsid w:val="00712620"/>
    <w:rsid w:val="00712B24"/>
    <w:rsid w:val="007131B6"/>
    <w:rsid w:val="00713260"/>
    <w:rsid w:val="00714060"/>
    <w:rsid w:val="007143E1"/>
    <w:rsid w:val="00714B3B"/>
    <w:rsid w:val="00714CF1"/>
    <w:rsid w:val="00715100"/>
    <w:rsid w:val="007157CB"/>
    <w:rsid w:val="00715EC5"/>
    <w:rsid w:val="007161EE"/>
    <w:rsid w:val="00716708"/>
    <w:rsid w:val="00716D0B"/>
    <w:rsid w:val="00717721"/>
    <w:rsid w:val="00717887"/>
    <w:rsid w:val="00717AA6"/>
    <w:rsid w:val="007202D3"/>
    <w:rsid w:val="00720698"/>
    <w:rsid w:val="0072098C"/>
    <w:rsid w:val="007222B0"/>
    <w:rsid w:val="00722821"/>
    <w:rsid w:val="007228F5"/>
    <w:rsid w:val="00723073"/>
    <w:rsid w:val="00723C0D"/>
    <w:rsid w:val="0072414D"/>
    <w:rsid w:val="00724427"/>
    <w:rsid w:val="00724D6A"/>
    <w:rsid w:val="00725DC7"/>
    <w:rsid w:val="00726A89"/>
    <w:rsid w:val="00727214"/>
    <w:rsid w:val="007272EB"/>
    <w:rsid w:val="00727A20"/>
    <w:rsid w:val="0073214E"/>
    <w:rsid w:val="00732C42"/>
    <w:rsid w:val="00733B06"/>
    <w:rsid w:val="00734401"/>
    <w:rsid w:val="00734D57"/>
    <w:rsid w:val="0073522D"/>
    <w:rsid w:val="007356CE"/>
    <w:rsid w:val="007357EB"/>
    <w:rsid w:val="00736196"/>
    <w:rsid w:val="007368F5"/>
    <w:rsid w:val="00737012"/>
    <w:rsid w:val="00737C39"/>
    <w:rsid w:val="00737F05"/>
    <w:rsid w:val="00740971"/>
    <w:rsid w:val="007417DE"/>
    <w:rsid w:val="0074182D"/>
    <w:rsid w:val="007427F2"/>
    <w:rsid w:val="00743483"/>
    <w:rsid w:val="00743EBD"/>
    <w:rsid w:val="0074430E"/>
    <w:rsid w:val="007446FC"/>
    <w:rsid w:val="00745184"/>
    <w:rsid w:val="007456B1"/>
    <w:rsid w:val="00745908"/>
    <w:rsid w:val="00745A74"/>
    <w:rsid w:val="00746E90"/>
    <w:rsid w:val="00746F2F"/>
    <w:rsid w:val="007472C5"/>
    <w:rsid w:val="007477F4"/>
    <w:rsid w:val="00750623"/>
    <w:rsid w:val="00750FA4"/>
    <w:rsid w:val="00751120"/>
    <w:rsid w:val="00752F02"/>
    <w:rsid w:val="007533FB"/>
    <w:rsid w:val="007538C7"/>
    <w:rsid w:val="0075445A"/>
    <w:rsid w:val="00755218"/>
    <w:rsid w:val="0075784D"/>
    <w:rsid w:val="007579BE"/>
    <w:rsid w:val="00757B89"/>
    <w:rsid w:val="00757C4B"/>
    <w:rsid w:val="007607D5"/>
    <w:rsid w:val="00760C5E"/>
    <w:rsid w:val="00760C68"/>
    <w:rsid w:val="0076131D"/>
    <w:rsid w:val="007624C7"/>
    <w:rsid w:val="00762EB8"/>
    <w:rsid w:val="007631E0"/>
    <w:rsid w:val="00763893"/>
    <w:rsid w:val="00764016"/>
    <w:rsid w:val="00764018"/>
    <w:rsid w:val="00764FCC"/>
    <w:rsid w:val="00765354"/>
    <w:rsid w:val="007655F8"/>
    <w:rsid w:val="00765FB5"/>
    <w:rsid w:val="0076670A"/>
    <w:rsid w:val="0076674A"/>
    <w:rsid w:val="00766820"/>
    <w:rsid w:val="00766E5E"/>
    <w:rsid w:val="00767745"/>
    <w:rsid w:val="007702BE"/>
    <w:rsid w:val="00770752"/>
    <w:rsid w:val="00772987"/>
    <w:rsid w:val="00772F48"/>
    <w:rsid w:val="007736BA"/>
    <w:rsid w:val="00773C83"/>
    <w:rsid w:val="0077418C"/>
    <w:rsid w:val="00774297"/>
    <w:rsid w:val="00774394"/>
    <w:rsid w:val="00774737"/>
    <w:rsid w:val="0077505E"/>
    <w:rsid w:val="0077533D"/>
    <w:rsid w:val="00775719"/>
    <w:rsid w:val="00775CF0"/>
    <w:rsid w:val="00775F8A"/>
    <w:rsid w:val="007762D6"/>
    <w:rsid w:val="00776AD2"/>
    <w:rsid w:val="00776DEC"/>
    <w:rsid w:val="0077725B"/>
    <w:rsid w:val="00777377"/>
    <w:rsid w:val="007776C8"/>
    <w:rsid w:val="0077777F"/>
    <w:rsid w:val="007800E4"/>
    <w:rsid w:val="00780179"/>
    <w:rsid w:val="007801FE"/>
    <w:rsid w:val="007802C8"/>
    <w:rsid w:val="00780972"/>
    <w:rsid w:val="00780A9E"/>
    <w:rsid w:val="00780AA2"/>
    <w:rsid w:val="0078170E"/>
    <w:rsid w:val="00781966"/>
    <w:rsid w:val="00781A9D"/>
    <w:rsid w:val="00781E30"/>
    <w:rsid w:val="00781FA6"/>
    <w:rsid w:val="007829E0"/>
    <w:rsid w:val="00783778"/>
    <w:rsid w:val="007840BB"/>
    <w:rsid w:val="00784525"/>
    <w:rsid w:val="00785E2E"/>
    <w:rsid w:val="00785FA3"/>
    <w:rsid w:val="0078686B"/>
    <w:rsid w:val="007873E2"/>
    <w:rsid w:val="00787B4A"/>
    <w:rsid w:val="00787D0E"/>
    <w:rsid w:val="00790164"/>
    <w:rsid w:val="007908C5"/>
    <w:rsid w:val="00790E1F"/>
    <w:rsid w:val="00791210"/>
    <w:rsid w:val="00791772"/>
    <w:rsid w:val="007929B2"/>
    <w:rsid w:val="007933AB"/>
    <w:rsid w:val="00794A1F"/>
    <w:rsid w:val="00795432"/>
    <w:rsid w:val="007958DF"/>
    <w:rsid w:val="00795F22"/>
    <w:rsid w:val="0079699A"/>
    <w:rsid w:val="00796C59"/>
    <w:rsid w:val="00797C89"/>
    <w:rsid w:val="007A0923"/>
    <w:rsid w:val="007A1051"/>
    <w:rsid w:val="007A20AD"/>
    <w:rsid w:val="007A258E"/>
    <w:rsid w:val="007A310B"/>
    <w:rsid w:val="007A323F"/>
    <w:rsid w:val="007A3402"/>
    <w:rsid w:val="007A4343"/>
    <w:rsid w:val="007A4410"/>
    <w:rsid w:val="007A452B"/>
    <w:rsid w:val="007A4707"/>
    <w:rsid w:val="007A4881"/>
    <w:rsid w:val="007A5539"/>
    <w:rsid w:val="007A5B90"/>
    <w:rsid w:val="007A601C"/>
    <w:rsid w:val="007A61EC"/>
    <w:rsid w:val="007A6548"/>
    <w:rsid w:val="007A6E11"/>
    <w:rsid w:val="007A6E7E"/>
    <w:rsid w:val="007A7415"/>
    <w:rsid w:val="007A7CE5"/>
    <w:rsid w:val="007B00E1"/>
    <w:rsid w:val="007B1211"/>
    <w:rsid w:val="007B187C"/>
    <w:rsid w:val="007B1ECA"/>
    <w:rsid w:val="007B220F"/>
    <w:rsid w:val="007B2BAC"/>
    <w:rsid w:val="007B3B0E"/>
    <w:rsid w:val="007B3DF4"/>
    <w:rsid w:val="007B44E1"/>
    <w:rsid w:val="007B55C6"/>
    <w:rsid w:val="007B5629"/>
    <w:rsid w:val="007B5CD8"/>
    <w:rsid w:val="007B5EDE"/>
    <w:rsid w:val="007B65D1"/>
    <w:rsid w:val="007B6ACE"/>
    <w:rsid w:val="007B6B1E"/>
    <w:rsid w:val="007B72FC"/>
    <w:rsid w:val="007B739C"/>
    <w:rsid w:val="007B74D3"/>
    <w:rsid w:val="007B7C09"/>
    <w:rsid w:val="007B7CC9"/>
    <w:rsid w:val="007C028E"/>
    <w:rsid w:val="007C06DB"/>
    <w:rsid w:val="007C1501"/>
    <w:rsid w:val="007C18F8"/>
    <w:rsid w:val="007C2AD4"/>
    <w:rsid w:val="007C2DD4"/>
    <w:rsid w:val="007C3005"/>
    <w:rsid w:val="007C384F"/>
    <w:rsid w:val="007C3B06"/>
    <w:rsid w:val="007C3E46"/>
    <w:rsid w:val="007C4914"/>
    <w:rsid w:val="007C4F78"/>
    <w:rsid w:val="007C5024"/>
    <w:rsid w:val="007C558D"/>
    <w:rsid w:val="007C55D4"/>
    <w:rsid w:val="007C5CBD"/>
    <w:rsid w:val="007C6A6B"/>
    <w:rsid w:val="007C6BD5"/>
    <w:rsid w:val="007C73B8"/>
    <w:rsid w:val="007C787C"/>
    <w:rsid w:val="007C7C9F"/>
    <w:rsid w:val="007D1545"/>
    <w:rsid w:val="007D185D"/>
    <w:rsid w:val="007D256B"/>
    <w:rsid w:val="007D26A3"/>
    <w:rsid w:val="007D291D"/>
    <w:rsid w:val="007D2B60"/>
    <w:rsid w:val="007D3420"/>
    <w:rsid w:val="007D3687"/>
    <w:rsid w:val="007D3E78"/>
    <w:rsid w:val="007D4134"/>
    <w:rsid w:val="007D4719"/>
    <w:rsid w:val="007D482A"/>
    <w:rsid w:val="007D4EA3"/>
    <w:rsid w:val="007D523C"/>
    <w:rsid w:val="007D5362"/>
    <w:rsid w:val="007D5C1F"/>
    <w:rsid w:val="007D5FAA"/>
    <w:rsid w:val="007D6502"/>
    <w:rsid w:val="007D6706"/>
    <w:rsid w:val="007D6A2D"/>
    <w:rsid w:val="007D701A"/>
    <w:rsid w:val="007D7044"/>
    <w:rsid w:val="007E000F"/>
    <w:rsid w:val="007E0191"/>
    <w:rsid w:val="007E1135"/>
    <w:rsid w:val="007E19A6"/>
    <w:rsid w:val="007E1C2E"/>
    <w:rsid w:val="007E1D38"/>
    <w:rsid w:val="007E1E93"/>
    <w:rsid w:val="007E27E0"/>
    <w:rsid w:val="007E29CF"/>
    <w:rsid w:val="007E35D8"/>
    <w:rsid w:val="007E3764"/>
    <w:rsid w:val="007E496A"/>
    <w:rsid w:val="007E4A1F"/>
    <w:rsid w:val="007E51B6"/>
    <w:rsid w:val="007E52CB"/>
    <w:rsid w:val="007E6661"/>
    <w:rsid w:val="007E6721"/>
    <w:rsid w:val="007E6D16"/>
    <w:rsid w:val="007E6F07"/>
    <w:rsid w:val="007F0FDA"/>
    <w:rsid w:val="007F1449"/>
    <w:rsid w:val="007F2338"/>
    <w:rsid w:val="007F2BA4"/>
    <w:rsid w:val="007F2E32"/>
    <w:rsid w:val="007F2E48"/>
    <w:rsid w:val="007F2F97"/>
    <w:rsid w:val="007F3003"/>
    <w:rsid w:val="007F3880"/>
    <w:rsid w:val="007F3B8C"/>
    <w:rsid w:val="007F421B"/>
    <w:rsid w:val="007F4710"/>
    <w:rsid w:val="007F4D34"/>
    <w:rsid w:val="007F52CA"/>
    <w:rsid w:val="007F7293"/>
    <w:rsid w:val="007F7C6E"/>
    <w:rsid w:val="007F7D09"/>
    <w:rsid w:val="007F7F98"/>
    <w:rsid w:val="00800777"/>
    <w:rsid w:val="0080122B"/>
    <w:rsid w:val="0080354C"/>
    <w:rsid w:val="008037F7"/>
    <w:rsid w:val="00804473"/>
    <w:rsid w:val="008046FF"/>
    <w:rsid w:val="008049EA"/>
    <w:rsid w:val="00804D26"/>
    <w:rsid w:val="00804E97"/>
    <w:rsid w:val="00804FE1"/>
    <w:rsid w:val="008053E6"/>
    <w:rsid w:val="008059A8"/>
    <w:rsid w:val="00805E49"/>
    <w:rsid w:val="00807623"/>
    <w:rsid w:val="008079D8"/>
    <w:rsid w:val="00807B53"/>
    <w:rsid w:val="008101AF"/>
    <w:rsid w:val="00810CD7"/>
    <w:rsid w:val="00810D34"/>
    <w:rsid w:val="00811503"/>
    <w:rsid w:val="00812A68"/>
    <w:rsid w:val="00812EEE"/>
    <w:rsid w:val="00812F41"/>
    <w:rsid w:val="00813F84"/>
    <w:rsid w:val="0081458A"/>
    <w:rsid w:val="008148F1"/>
    <w:rsid w:val="00814E45"/>
    <w:rsid w:val="0081540C"/>
    <w:rsid w:val="008158CC"/>
    <w:rsid w:val="0081620E"/>
    <w:rsid w:val="0081658F"/>
    <w:rsid w:val="0081739B"/>
    <w:rsid w:val="00817848"/>
    <w:rsid w:val="008179CF"/>
    <w:rsid w:val="00817D71"/>
    <w:rsid w:val="00817ECC"/>
    <w:rsid w:val="00817F37"/>
    <w:rsid w:val="0082035C"/>
    <w:rsid w:val="008203B5"/>
    <w:rsid w:val="0082049A"/>
    <w:rsid w:val="00820CE5"/>
    <w:rsid w:val="00820E00"/>
    <w:rsid w:val="008213F1"/>
    <w:rsid w:val="0082155F"/>
    <w:rsid w:val="0082189E"/>
    <w:rsid w:val="00822151"/>
    <w:rsid w:val="0082279D"/>
    <w:rsid w:val="0082369D"/>
    <w:rsid w:val="00824316"/>
    <w:rsid w:val="0082446F"/>
    <w:rsid w:val="00824651"/>
    <w:rsid w:val="00824F40"/>
    <w:rsid w:val="00825851"/>
    <w:rsid w:val="00825D43"/>
    <w:rsid w:val="00825FB2"/>
    <w:rsid w:val="00826094"/>
    <w:rsid w:val="00826295"/>
    <w:rsid w:val="00826B85"/>
    <w:rsid w:val="00826BE9"/>
    <w:rsid w:val="00826D95"/>
    <w:rsid w:val="00826E5B"/>
    <w:rsid w:val="00826FF0"/>
    <w:rsid w:val="00827AF0"/>
    <w:rsid w:val="00830148"/>
    <w:rsid w:val="0083049B"/>
    <w:rsid w:val="0083095E"/>
    <w:rsid w:val="008316AD"/>
    <w:rsid w:val="00831981"/>
    <w:rsid w:val="008320AD"/>
    <w:rsid w:val="008323AD"/>
    <w:rsid w:val="00832538"/>
    <w:rsid w:val="00832765"/>
    <w:rsid w:val="008327E8"/>
    <w:rsid w:val="00832EA3"/>
    <w:rsid w:val="00833286"/>
    <w:rsid w:val="008334C3"/>
    <w:rsid w:val="0083378E"/>
    <w:rsid w:val="00833C32"/>
    <w:rsid w:val="00833C7E"/>
    <w:rsid w:val="00833D56"/>
    <w:rsid w:val="00834B01"/>
    <w:rsid w:val="00834FD5"/>
    <w:rsid w:val="00835771"/>
    <w:rsid w:val="008360ED"/>
    <w:rsid w:val="008361E6"/>
    <w:rsid w:val="008363A2"/>
    <w:rsid w:val="008365C2"/>
    <w:rsid w:val="00836D57"/>
    <w:rsid w:val="00836E79"/>
    <w:rsid w:val="00837125"/>
    <w:rsid w:val="008407BC"/>
    <w:rsid w:val="0084188B"/>
    <w:rsid w:val="00841DAA"/>
    <w:rsid w:val="00842144"/>
    <w:rsid w:val="0084272D"/>
    <w:rsid w:val="00842834"/>
    <w:rsid w:val="00843744"/>
    <w:rsid w:val="00843C7B"/>
    <w:rsid w:val="00844088"/>
    <w:rsid w:val="00844111"/>
    <w:rsid w:val="0084459E"/>
    <w:rsid w:val="008445D4"/>
    <w:rsid w:val="008446F1"/>
    <w:rsid w:val="00844AB1"/>
    <w:rsid w:val="00845391"/>
    <w:rsid w:val="00845FD2"/>
    <w:rsid w:val="00846A12"/>
    <w:rsid w:val="00846A3E"/>
    <w:rsid w:val="00846FF0"/>
    <w:rsid w:val="00847435"/>
    <w:rsid w:val="00847C67"/>
    <w:rsid w:val="00847F78"/>
    <w:rsid w:val="0085002F"/>
    <w:rsid w:val="00850214"/>
    <w:rsid w:val="00851541"/>
    <w:rsid w:val="00851E33"/>
    <w:rsid w:val="0085298A"/>
    <w:rsid w:val="00852ADA"/>
    <w:rsid w:val="0085353C"/>
    <w:rsid w:val="00853732"/>
    <w:rsid w:val="008549D1"/>
    <w:rsid w:val="00854FD0"/>
    <w:rsid w:val="008551D4"/>
    <w:rsid w:val="00855458"/>
    <w:rsid w:val="00855A26"/>
    <w:rsid w:val="008564FE"/>
    <w:rsid w:val="00856CE5"/>
    <w:rsid w:val="0085728C"/>
    <w:rsid w:val="0085729F"/>
    <w:rsid w:val="00857F5F"/>
    <w:rsid w:val="008607E0"/>
    <w:rsid w:val="00860A81"/>
    <w:rsid w:val="0086134D"/>
    <w:rsid w:val="008614BB"/>
    <w:rsid w:val="00861825"/>
    <w:rsid w:val="00861FD7"/>
    <w:rsid w:val="00862DB9"/>
    <w:rsid w:val="008642EC"/>
    <w:rsid w:val="0086463D"/>
    <w:rsid w:val="00865057"/>
    <w:rsid w:val="00865472"/>
    <w:rsid w:val="00865783"/>
    <w:rsid w:val="00865F05"/>
    <w:rsid w:val="00865FDF"/>
    <w:rsid w:val="008676F0"/>
    <w:rsid w:val="00870429"/>
    <w:rsid w:val="0087080C"/>
    <w:rsid w:val="00870888"/>
    <w:rsid w:val="008709ED"/>
    <w:rsid w:val="00870D25"/>
    <w:rsid w:val="00870E37"/>
    <w:rsid w:val="008715CA"/>
    <w:rsid w:val="00871DD8"/>
    <w:rsid w:val="00872406"/>
    <w:rsid w:val="00873444"/>
    <w:rsid w:val="0087387B"/>
    <w:rsid w:val="00873B4C"/>
    <w:rsid w:val="00874671"/>
    <w:rsid w:val="00874AB6"/>
    <w:rsid w:val="00875232"/>
    <w:rsid w:val="00875BFF"/>
    <w:rsid w:val="008762C5"/>
    <w:rsid w:val="0087635E"/>
    <w:rsid w:val="008768B2"/>
    <w:rsid w:val="00876921"/>
    <w:rsid w:val="00876B68"/>
    <w:rsid w:val="00876C97"/>
    <w:rsid w:val="00876F76"/>
    <w:rsid w:val="0087756A"/>
    <w:rsid w:val="0088012F"/>
    <w:rsid w:val="0088013C"/>
    <w:rsid w:val="008806E8"/>
    <w:rsid w:val="00880902"/>
    <w:rsid w:val="008821C7"/>
    <w:rsid w:val="0088237B"/>
    <w:rsid w:val="0088286F"/>
    <w:rsid w:val="00883EAF"/>
    <w:rsid w:val="00884238"/>
    <w:rsid w:val="00884452"/>
    <w:rsid w:val="00885FA7"/>
    <w:rsid w:val="00886F71"/>
    <w:rsid w:val="008905D7"/>
    <w:rsid w:val="00890679"/>
    <w:rsid w:val="008906B5"/>
    <w:rsid w:val="00890BF4"/>
    <w:rsid w:val="00891B2D"/>
    <w:rsid w:val="008926C3"/>
    <w:rsid w:val="00893875"/>
    <w:rsid w:val="00893951"/>
    <w:rsid w:val="00893FC1"/>
    <w:rsid w:val="00894622"/>
    <w:rsid w:val="0089551D"/>
    <w:rsid w:val="008955C5"/>
    <w:rsid w:val="00895840"/>
    <w:rsid w:val="008958FE"/>
    <w:rsid w:val="0089598C"/>
    <w:rsid w:val="00895B1D"/>
    <w:rsid w:val="00895B87"/>
    <w:rsid w:val="008963D4"/>
    <w:rsid w:val="00896511"/>
    <w:rsid w:val="008965F8"/>
    <w:rsid w:val="00897667"/>
    <w:rsid w:val="00897763"/>
    <w:rsid w:val="00897A5A"/>
    <w:rsid w:val="00897AB8"/>
    <w:rsid w:val="00897F59"/>
    <w:rsid w:val="008A0503"/>
    <w:rsid w:val="008A08D2"/>
    <w:rsid w:val="008A1114"/>
    <w:rsid w:val="008A14F2"/>
    <w:rsid w:val="008A1837"/>
    <w:rsid w:val="008A18F3"/>
    <w:rsid w:val="008A19FB"/>
    <w:rsid w:val="008A1C85"/>
    <w:rsid w:val="008A1D76"/>
    <w:rsid w:val="008A2255"/>
    <w:rsid w:val="008A26A7"/>
    <w:rsid w:val="008A27B4"/>
    <w:rsid w:val="008A2E7B"/>
    <w:rsid w:val="008A35E6"/>
    <w:rsid w:val="008A38B6"/>
    <w:rsid w:val="008A3A4A"/>
    <w:rsid w:val="008A4508"/>
    <w:rsid w:val="008A4B8E"/>
    <w:rsid w:val="008A568A"/>
    <w:rsid w:val="008A56DD"/>
    <w:rsid w:val="008A5C8E"/>
    <w:rsid w:val="008A6B3F"/>
    <w:rsid w:val="008A6E39"/>
    <w:rsid w:val="008A73C7"/>
    <w:rsid w:val="008A7A00"/>
    <w:rsid w:val="008B1C95"/>
    <w:rsid w:val="008B251B"/>
    <w:rsid w:val="008B289F"/>
    <w:rsid w:val="008B2C72"/>
    <w:rsid w:val="008B3082"/>
    <w:rsid w:val="008B30B7"/>
    <w:rsid w:val="008B4746"/>
    <w:rsid w:val="008B5533"/>
    <w:rsid w:val="008B562E"/>
    <w:rsid w:val="008B5748"/>
    <w:rsid w:val="008B5B9D"/>
    <w:rsid w:val="008B5F21"/>
    <w:rsid w:val="008B6355"/>
    <w:rsid w:val="008B6A22"/>
    <w:rsid w:val="008B6B0E"/>
    <w:rsid w:val="008B6E1A"/>
    <w:rsid w:val="008B75E1"/>
    <w:rsid w:val="008B7CE5"/>
    <w:rsid w:val="008C0001"/>
    <w:rsid w:val="008C030D"/>
    <w:rsid w:val="008C0879"/>
    <w:rsid w:val="008C0C4D"/>
    <w:rsid w:val="008C1167"/>
    <w:rsid w:val="008C1B0A"/>
    <w:rsid w:val="008C2078"/>
    <w:rsid w:val="008C23B0"/>
    <w:rsid w:val="008C2B2A"/>
    <w:rsid w:val="008C2F0D"/>
    <w:rsid w:val="008C2FAA"/>
    <w:rsid w:val="008C33C3"/>
    <w:rsid w:val="008C35C8"/>
    <w:rsid w:val="008C3B37"/>
    <w:rsid w:val="008C4D02"/>
    <w:rsid w:val="008C520E"/>
    <w:rsid w:val="008C5CA5"/>
    <w:rsid w:val="008C6F9B"/>
    <w:rsid w:val="008C6FE4"/>
    <w:rsid w:val="008C70FF"/>
    <w:rsid w:val="008C7368"/>
    <w:rsid w:val="008C73D6"/>
    <w:rsid w:val="008C7B15"/>
    <w:rsid w:val="008D0C62"/>
    <w:rsid w:val="008D1DA7"/>
    <w:rsid w:val="008D2528"/>
    <w:rsid w:val="008D2777"/>
    <w:rsid w:val="008D2CD6"/>
    <w:rsid w:val="008D2DDA"/>
    <w:rsid w:val="008D3287"/>
    <w:rsid w:val="008D37BC"/>
    <w:rsid w:val="008D39B0"/>
    <w:rsid w:val="008D3E76"/>
    <w:rsid w:val="008D462B"/>
    <w:rsid w:val="008D4645"/>
    <w:rsid w:val="008D4939"/>
    <w:rsid w:val="008D4CFE"/>
    <w:rsid w:val="008D4F0B"/>
    <w:rsid w:val="008D7C3E"/>
    <w:rsid w:val="008E0465"/>
    <w:rsid w:val="008E0702"/>
    <w:rsid w:val="008E0A9F"/>
    <w:rsid w:val="008E1195"/>
    <w:rsid w:val="008E130A"/>
    <w:rsid w:val="008E159E"/>
    <w:rsid w:val="008E26CE"/>
    <w:rsid w:val="008E2DD0"/>
    <w:rsid w:val="008E2F88"/>
    <w:rsid w:val="008E3427"/>
    <w:rsid w:val="008E3A46"/>
    <w:rsid w:val="008E3AEA"/>
    <w:rsid w:val="008E3D60"/>
    <w:rsid w:val="008E5977"/>
    <w:rsid w:val="008E601B"/>
    <w:rsid w:val="008E6128"/>
    <w:rsid w:val="008E636B"/>
    <w:rsid w:val="008E6A15"/>
    <w:rsid w:val="008E6ACA"/>
    <w:rsid w:val="008E6B68"/>
    <w:rsid w:val="008E6D4E"/>
    <w:rsid w:val="008E7390"/>
    <w:rsid w:val="008E762D"/>
    <w:rsid w:val="008E7C14"/>
    <w:rsid w:val="008F000D"/>
    <w:rsid w:val="008F0630"/>
    <w:rsid w:val="008F0854"/>
    <w:rsid w:val="008F0DAD"/>
    <w:rsid w:val="008F1F00"/>
    <w:rsid w:val="008F2E0E"/>
    <w:rsid w:val="008F32A1"/>
    <w:rsid w:val="008F41F5"/>
    <w:rsid w:val="008F4996"/>
    <w:rsid w:val="008F5F77"/>
    <w:rsid w:val="008F686A"/>
    <w:rsid w:val="008F6D94"/>
    <w:rsid w:val="008F6E84"/>
    <w:rsid w:val="008F7416"/>
    <w:rsid w:val="008F7689"/>
    <w:rsid w:val="008F79C2"/>
    <w:rsid w:val="008F7EB9"/>
    <w:rsid w:val="008F7EBB"/>
    <w:rsid w:val="00900127"/>
    <w:rsid w:val="00900486"/>
    <w:rsid w:val="0090056C"/>
    <w:rsid w:val="0090091B"/>
    <w:rsid w:val="00900939"/>
    <w:rsid w:val="00900DF0"/>
    <w:rsid w:val="0090104D"/>
    <w:rsid w:val="00901D4C"/>
    <w:rsid w:val="00902C07"/>
    <w:rsid w:val="00903120"/>
    <w:rsid w:val="009035AD"/>
    <w:rsid w:val="00903621"/>
    <w:rsid w:val="009046CF"/>
    <w:rsid w:val="00904FE6"/>
    <w:rsid w:val="00905898"/>
    <w:rsid w:val="0090605A"/>
    <w:rsid w:val="00906138"/>
    <w:rsid w:val="00907EE2"/>
    <w:rsid w:val="00910513"/>
    <w:rsid w:val="0091074A"/>
    <w:rsid w:val="009110EB"/>
    <w:rsid w:val="009113AE"/>
    <w:rsid w:val="00911F60"/>
    <w:rsid w:val="00913A4D"/>
    <w:rsid w:val="00913CAA"/>
    <w:rsid w:val="00914284"/>
    <w:rsid w:val="00914550"/>
    <w:rsid w:val="00914E36"/>
    <w:rsid w:val="00914EE3"/>
    <w:rsid w:val="00915300"/>
    <w:rsid w:val="00915BD2"/>
    <w:rsid w:val="00916B79"/>
    <w:rsid w:val="009173B9"/>
    <w:rsid w:val="00917AE1"/>
    <w:rsid w:val="009202B1"/>
    <w:rsid w:val="0092042A"/>
    <w:rsid w:val="009216CA"/>
    <w:rsid w:val="00921EAE"/>
    <w:rsid w:val="00922808"/>
    <w:rsid w:val="00922934"/>
    <w:rsid w:val="00923CCF"/>
    <w:rsid w:val="00923EDF"/>
    <w:rsid w:val="009245CB"/>
    <w:rsid w:val="00924AF5"/>
    <w:rsid w:val="009259EF"/>
    <w:rsid w:val="00925D0C"/>
    <w:rsid w:val="00925D9F"/>
    <w:rsid w:val="00926414"/>
    <w:rsid w:val="0092657D"/>
    <w:rsid w:val="0092749B"/>
    <w:rsid w:val="00927725"/>
    <w:rsid w:val="009301FC"/>
    <w:rsid w:val="00930782"/>
    <w:rsid w:val="00930A6C"/>
    <w:rsid w:val="00931390"/>
    <w:rsid w:val="00931452"/>
    <w:rsid w:val="00932F55"/>
    <w:rsid w:val="009332EE"/>
    <w:rsid w:val="0093355A"/>
    <w:rsid w:val="009335BA"/>
    <w:rsid w:val="00934660"/>
    <w:rsid w:val="00934E21"/>
    <w:rsid w:val="009352B3"/>
    <w:rsid w:val="00935A09"/>
    <w:rsid w:val="00935D33"/>
    <w:rsid w:val="00935ECF"/>
    <w:rsid w:val="00936244"/>
    <w:rsid w:val="00936445"/>
    <w:rsid w:val="00936653"/>
    <w:rsid w:val="00936B44"/>
    <w:rsid w:val="00936E5A"/>
    <w:rsid w:val="00936EC8"/>
    <w:rsid w:val="00937618"/>
    <w:rsid w:val="00940F5B"/>
    <w:rsid w:val="009416FE"/>
    <w:rsid w:val="009417E1"/>
    <w:rsid w:val="00941BF3"/>
    <w:rsid w:val="0094286F"/>
    <w:rsid w:val="00942AE0"/>
    <w:rsid w:val="00943149"/>
    <w:rsid w:val="0094336F"/>
    <w:rsid w:val="00944829"/>
    <w:rsid w:val="009459DA"/>
    <w:rsid w:val="00945D12"/>
    <w:rsid w:val="00945DBF"/>
    <w:rsid w:val="00946795"/>
    <w:rsid w:val="0094695E"/>
    <w:rsid w:val="00946FC1"/>
    <w:rsid w:val="0094706C"/>
    <w:rsid w:val="00947B82"/>
    <w:rsid w:val="00947DA7"/>
    <w:rsid w:val="00947F9D"/>
    <w:rsid w:val="009501A6"/>
    <w:rsid w:val="00950381"/>
    <w:rsid w:val="00951B95"/>
    <w:rsid w:val="00953C4E"/>
    <w:rsid w:val="0095501C"/>
    <w:rsid w:val="00955BCF"/>
    <w:rsid w:val="00955EAF"/>
    <w:rsid w:val="00956571"/>
    <w:rsid w:val="00956FE4"/>
    <w:rsid w:val="00957976"/>
    <w:rsid w:val="00960465"/>
    <w:rsid w:val="00960B18"/>
    <w:rsid w:val="00960BF1"/>
    <w:rsid w:val="00961175"/>
    <w:rsid w:val="00961227"/>
    <w:rsid w:val="00961EC4"/>
    <w:rsid w:val="00962287"/>
    <w:rsid w:val="00962690"/>
    <w:rsid w:val="00963596"/>
    <w:rsid w:val="00963CBF"/>
    <w:rsid w:val="00964FB5"/>
    <w:rsid w:val="00965381"/>
    <w:rsid w:val="00965BAE"/>
    <w:rsid w:val="00965F20"/>
    <w:rsid w:val="009660FA"/>
    <w:rsid w:val="009669CC"/>
    <w:rsid w:val="00966DF1"/>
    <w:rsid w:val="00970FEE"/>
    <w:rsid w:val="00971077"/>
    <w:rsid w:val="00971612"/>
    <w:rsid w:val="00971B25"/>
    <w:rsid w:val="0097281D"/>
    <w:rsid w:val="00972AFD"/>
    <w:rsid w:val="00972B10"/>
    <w:rsid w:val="00972B68"/>
    <w:rsid w:val="00973175"/>
    <w:rsid w:val="00973FD3"/>
    <w:rsid w:val="00973FE6"/>
    <w:rsid w:val="009740C4"/>
    <w:rsid w:val="0097517A"/>
    <w:rsid w:val="00975FF0"/>
    <w:rsid w:val="009763BC"/>
    <w:rsid w:val="00976F69"/>
    <w:rsid w:val="00977B3F"/>
    <w:rsid w:val="009808EA"/>
    <w:rsid w:val="00981163"/>
    <w:rsid w:val="00981B96"/>
    <w:rsid w:val="00981E78"/>
    <w:rsid w:val="00981F79"/>
    <w:rsid w:val="0098221B"/>
    <w:rsid w:val="009825C9"/>
    <w:rsid w:val="00982C4A"/>
    <w:rsid w:val="00982C6E"/>
    <w:rsid w:val="00982EA3"/>
    <w:rsid w:val="0098307C"/>
    <w:rsid w:val="00983116"/>
    <w:rsid w:val="0098318A"/>
    <w:rsid w:val="0098344B"/>
    <w:rsid w:val="00983973"/>
    <w:rsid w:val="00984527"/>
    <w:rsid w:val="00984A91"/>
    <w:rsid w:val="00984D0D"/>
    <w:rsid w:val="009850EF"/>
    <w:rsid w:val="00985278"/>
    <w:rsid w:val="00985DA0"/>
    <w:rsid w:val="00986318"/>
    <w:rsid w:val="00986879"/>
    <w:rsid w:val="009868FC"/>
    <w:rsid w:val="00986CF6"/>
    <w:rsid w:val="009872CB"/>
    <w:rsid w:val="00987D41"/>
    <w:rsid w:val="0099032D"/>
    <w:rsid w:val="00990A70"/>
    <w:rsid w:val="00990B30"/>
    <w:rsid w:val="00991426"/>
    <w:rsid w:val="00991558"/>
    <w:rsid w:val="00991893"/>
    <w:rsid w:val="00991A16"/>
    <w:rsid w:val="00991FAC"/>
    <w:rsid w:val="0099221B"/>
    <w:rsid w:val="00992433"/>
    <w:rsid w:val="0099250A"/>
    <w:rsid w:val="00992BE2"/>
    <w:rsid w:val="00993626"/>
    <w:rsid w:val="00993F31"/>
    <w:rsid w:val="009941C2"/>
    <w:rsid w:val="00994C42"/>
    <w:rsid w:val="00994D48"/>
    <w:rsid w:val="0099555A"/>
    <w:rsid w:val="0099562E"/>
    <w:rsid w:val="00996DDC"/>
    <w:rsid w:val="009974D3"/>
    <w:rsid w:val="00997C13"/>
    <w:rsid w:val="00997FD2"/>
    <w:rsid w:val="009A0956"/>
    <w:rsid w:val="009A0A34"/>
    <w:rsid w:val="009A0B39"/>
    <w:rsid w:val="009A13B8"/>
    <w:rsid w:val="009A28A1"/>
    <w:rsid w:val="009A2A89"/>
    <w:rsid w:val="009A2D5F"/>
    <w:rsid w:val="009A2E41"/>
    <w:rsid w:val="009A52C1"/>
    <w:rsid w:val="009A5E93"/>
    <w:rsid w:val="009A5EA7"/>
    <w:rsid w:val="009A6174"/>
    <w:rsid w:val="009A64E8"/>
    <w:rsid w:val="009A7B9B"/>
    <w:rsid w:val="009B0652"/>
    <w:rsid w:val="009B07DB"/>
    <w:rsid w:val="009B0E6D"/>
    <w:rsid w:val="009B179A"/>
    <w:rsid w:val="009B17C7"/>
    <w:rsid w:val="009B1BF5"/>
    <w:rsid w:val="009B1E61"/>
    <w:rsid w:val="009B276A"/>
    <w:rsid w:val="009B3739"/>
    <w:rsid w:val="009B3AA5"/>
    <w:rsid w:val="009B455D"/>
    <w:rsid w:val="009B4776"/>
    <w:rsid w:val="009B4D35"/>
    <w:rsid w:val="009B4E8F"/>
    <w:rsid w:val="009B5230"/>
    <w:rsid w:val="009B66ED"/>
    <w:rsid w:val="009B6CDF"/>
    <w:rsid w:val="009B6EF1"/>
    <w:rsid w:val="009B761F"/>
    <w:rsid w:val="009B7769"/>
    <w:rsid w:val="009B7E93"/>
    <w:rsid w:val="009B7F6D"/>
    <w:rsid w:val="009C06B7"/>
    <w:rsid w:val="009C0EDB"/>
    <w:rsid w:val="009C0F94"/>
    <w:rsid w:val="009C0FFD"/>
    <w:rsid w:val="009C1419"/>
    <w:rsid w:val="009C1C18"/>
    <w:rsid w:val="009C1EC0"/>
    <w:rsid w:val="009C2436"/>
    <w:rsid w:val="009C441C"/>
    <w:rsid w:val="009C5C9F"/>
    <w:rsid w:val="009C5FB3"/>
    <w:rsid w:val="009C6DE1"/>
    <w:rsid w:val="009C7FEE"/>
    <w:rsid w:val="009D0203"/>
    <w:rsid w:val="009D0462"/>
    <w:rsid w:val="009D083D"/>
    <w:rsid w:val="009D0EDE"/>
    <w:rsid w:val="009D0FE7"/>
    <w:rsid w:val="009D1216"/>
    <w:rsid w:val="009D12AD"/>
    <w:rsid w:val="009D242A"/>
    <w:rsid w:val="009D27AF"/>
    <w:rsid w:val="009D2975"/>
    <w:rsid w:val="009D2D8D"/>
    <w:rsid w:val="009D2FBA"/>
    <w:rsid w:val="009D351E"/>
    <w:rsid w:val="009D3629"/>
    <w:rsid w:val="009D397C"/>
    <w:rsid w:val="009D3B9B"/>
    <w:rsid w:val="009D3D9D"/>
    <w:rsid w:val="009D4172"/>
    <w:rsid w:val="009D42C8"/>
    <w:rsid w:val="009D4C27"/>
    <w:rsid w:val="009D53A0"/>
    <w:rsid w:val="009D58D1"/>
    <w:rsid w:val="009D5B15"/>
    <w:rsid w:val="009D5FDC"/>
    <w:rsid w:val="009D6082"/>
    <w:rsid w:val="009D63A5"/>
    <w:rsid w:val="009D66ED"/>
    <w:rsid w:val="009D6E7E"/>
    <w:rsid w:val="009D7299"/>
    <w:rsid w:val="009D7340"/>
    <w:rsid w:val="009D7565"/>
    <w:rsid w:val="009D7787"/>
    <w:rsid w:val="009D7D9C"/>
    <w:rsid w:val="009D7DC7"/>
    <w:rsid w:val="009E02C9"/>
    <w:rsid w:val="009E0E01"/>
    <w:rsid w:val="009E121C"/>
    <w:rsid w:val="009E1247"/>
    <w:rsid w:val="009E1B98"/>
    <w:rsid w:val="009E2084"/>
    <w:rsid w:val="009E23B7"/>
    <w:rsid w:val="009E23CD"/>
    <w:rsid w:val="009E292F"/>
    <w:rsid w:val="009E39DC"/>
    <w:rsid w:val="009E3E1F"/>
    <w:rsid w:val="009E3E51"/>
    <w:rsid w:val="009E3FAC"/>
    <w:rsid w:val="009E43D0"/>
    <w:rsid w:val="009E450F"/>
    <w:rsid w:val="009E4691"/>
    <w:rsid w:val="009E47DC"/>
    <w:rsid w:val="009E491C"/>
    <w:rsid w:val="009E4BB4"/>
    <w:rsid w:val="009E5378"/>
    <w:rsid w:val="009E56B4"/>
    <w:rsid w:val="009E5B64"/>
    <w:rsid w:val="009E6D68"/>
    <w:rsid w:val="009E774D"/>
    <w:rsid w:val="009F029A"/>
    <w:rsid w:val="009F0DA4"/>
    <w:rsid w:val="009F0EBA"/>
    <w:rsid w:val="009F1472"/>
    <w:rsid w:val="009F19EF"/>
    <w:rsid w:val="009F20FA"/>
    <w:rsid w:val="009F28C9"/>
    <w:rsid w:val="009F43C3"/>
    <w:rsid w:val="009F4C48"/>
    <w:rsid w:val="009F4D28"/>
    <w:rsid w:val="009F542C"/>
    <w:rsid w:val="009F6110"/>
    <w:rsid w:val="009F615E"/>
    <w:rsid w:val="009F625E"/>
    <w:rsid w:val="009F65C7"/>
    <w:rsid w:val="009F6933"/>
    <w:rsid w:val="009F69BA"/>
    <w:rsid w:val="009F7197"/>
    <w:rsid w:val="009F7947"/>
    <w:rsid w:val="009F7D43"/>
    <w:rsid w:val="00A0076A"/>
    <w:rsid w:val="00A00C8B"/>
    <w:rsid w:val="00A012D0"/>
    <w:rsid w:val="00A0148D"/>
    <w:rsid w:val="00A0171D"/>
    <w:rsid w:val="00A01866"/>
    <w:rsid w:val="00A01D7B"/>
    <w:rsid w:val="00A043FE"/>
    <w:rsid w:val="00A04630"/>
    <w:rsid w:val="00A04DAF"/>
    <w:rsid w:val="00A05098"/>
    <w:rsid w:val="00A05803"/>
    <w:rsid w:val="00A0584F"/>
    <w:rsid w:val="00A05916"/>
    <w:rsid w:val="00A05D2B"/>
    <w:rsid w:val="00A0643F"/>
    <w:rsid w:val="00A06E1B"/>
    <w:rsid w:val="00A07064"/>
    <w:rsid w:val="00A0706F"/>
    <w:rsid w:val="00A073FF"/>
    <w:rsid w:val="00A0794D"/>
    <w:rsid w:val="00A10B50"/>
    <w:rsid w:val="00A11182"/>
    <w:rsid w:val="00A11F2D"/>
    <w:rsid w:val="00A1266A"/>
    <w:rsid w:val="00A14152"/>
    <w:rsid w:val="00A14F65"/>
    <w:rsid w:val="00A1571D"/>
    <w:rsid w:val="00A15B09"/>
    <w:rsid w:val="00A15CCB"/>
    <w:rsid w:val="00A16741"/>
    <w:rsid w:val="00A17453"/>
    <w:rsid w:val="00A20817"/>
    <w:rsid w:val="00A2114F"/>
    <w:rsid w:val="00A218A7"/>
    <w:rsid w:val="00A2216E"/>
    <w:rsid w:val="00A22650"/>
    <w:rsid w:val="00A22A96"/>
    <w:rsid w:val="00A22AA9"/>
    <w:rsid w:val="00A22BB3"/>
    <w:rsid w:val="00A231C7"/>
    <w:rsid w:val="00A2370B"/>
    <w:rsid w:val="00A23E9D"/>
    <w:rsid w:val="00A24782"/>
    <w:rsid w:val="00A24FAA"/>
    <w:rsid w:val="00A25885"/>
    <w:rsid w:val="00A25AC0"/>
    <w:rsid w:val="00A265F3"/>
    <w:rsid w:val="00A26637"/>
    <w:rsid w:val="00A26CAA"/>
    <w:rsid w:val="00A26CCB"/>
    <w:rsid w:val="00A27769"/>
    <w:rsid w:val="00A27836"/>
    <w:rsid w:val="00A2799A"/>
    <w:rsid w:val="00A27AFB"/>
    <w:rsid w:val="00A3015F"/>
    <w:rsid w:val="00A30806"/>
    <w:rsid w:val="00A30D76"/>
    <w:rsid w:val="00A3105A"/>
    <w:rsid w:val="00A31536"/>
    <w:rsid w:val="00A315AC"/>
    <w:rsid w:val="00A315FF"/>
    <w:rsid w:val="00A31956"/>
    <w:rsid w:val="00A31DDF"/>
    <w:rsid w:val="00A31E07"/>
    <w:rsid w:val="00A32A88"/>
    <w:rsid w:val="00A3334D"/>
    <w:rsid w:val="00A33B52"/>
    <w:rsid w:val="00A33C0B"/>
    <w:rsid w:val="00A33DC9"/>
    <w:rsid w:val="00A33F77"/>
    <w:rsid w:val="00A34A14"/>
    <w:rsid w:val="00A35174"/>
    <w:rsid w:val="00A3528D"/>
    <w:rsid w:val="00A35552"/>
    <w:rsid w:val="00A35831"/>
    <w:rsid w:val="00A35E7C"/>
    <w:rsid w:val="00A367AD"/>
    <w:rsid w:val="00A36E14"/>
    <w:rsid w:val="00A3743F"/>
    <w:rsid w:val="00A3775F"/>
    <w:rsid w:val="00A377F3"/>
    <w:rsid w:val="00A412EF"/>
    <w:rsid w:val="00A415D2"/>
    <w:rsid w:val="00A4253F"/>
    <w:rsid w:val="00A42D15"/>
    <w:rsid w:val="00A42EF2"/>
    <w:rsid w:val="00A4400D"/>
    <w:rsid w:val="00A442FF"/>
    <w:rsid w:val="00A44D84"/>
    <w:rsid w:val="00A4543D"/>
    <w:rsid w:val="00A455C4"/>
    <w:rsid w:val="00A45A85"/>
    <w:rsid w:val="00A45BD2"/>
    <w:rsid w:val="00A46F60"/>
    <w:rsid w:val="00A47112"/>
    <w:rsid w:val="00A4713F"/>
    <w:rsid w:val="00A4716C"/>
    <w:rsid w:val="00A479EA"/>
    <w:rsid w:val="00A50436"/>
    <w:rsid w:val="00A50595"/>
    <w:rsid w:val="00A51D09"/>
    <w:rsid w:val="00A51DA8"/>
    <w:rsid w:val="00A51FB7"/>
    <w:rsid w:val="00A5275D"/>
    <w:rsid w:val="00A52A12"/>
    <w:rsid w:val="00A52ED5"/>
    <w:rsid w:val="00A5372E"/>
    <w:rsid w:val="00A539D8"/>
    <w:rsid w:val="00A54194"/>
    <w:rsid w:val="00A54E6E"/>
    <w:rsid w:val="00A5515B"/>
    <w:rsid w:val="00A5581F"/>
    <w:rsid w:val="00A558D3"/>
    <w:rsid w:val="00A55DF6"/>
    <w:rsid w:val="00A57075"/>
    <w:rsid w:val="00A578D4"/>
    <w:rsid w:val="00A61015"/>
    <w:rsid w:val="00A6142D"/>
    <w:rsid w:val="00A61750"/>
    <w:rsid w:val="00A61C66"/>
    <w:rsid w:val="00A61D22"/>
    <w:rsid w:val="00A61D6F"/>
    <w:rsid w:val="00A61D7A"/>
    <w:rsid w:val="00A620F3"/>
    <w:rsid w:val="00A62AC5"/>
    <w:rsid w:val="00A62D7D"/>
    <w:rsid w:val="00A63702"/>
    <w:rsid w:val="00A63B03"/>
    <w:rsid w:val="00A644F1"/>
    <w:rsid w:val="00A64735"/>
    <w:rsid w:val="00A64A5F"/>
    <w:rsid w:val="00A653BF"/>
    <w:rsid w:val="00A654E5"/>
    <w:rsid w:val="00A659E2"/>
    <w:rsid w:val="00A65B62"/>
    <w:rsid w:val="00A673B4"/>
    <w:rsid w:val="00A674A4"/>
    <w:rsid w:val="00A67727"/>
    <w:rsid w:val="00A701A6"/>
    <w:rsid w:val="00A7060C"/>
    <w:rsid w:val="00A7091A"/>
    <w:rsid w:val="00A71882"/>
    <w:rsid w:val="00A729CE"/>
    <w:rsid w:val="00A72F5E"/>
    <w:rsid w:val="00A7322E"/>
    <w:rsid w:val="00A73D7F"/>
    <w:rsid w:val="00A73E1D"/>
    <w:rsid w:val="00A73EEA"/>
    <w:rsid w:val="00A73FFB"/>
    <w:rsid w:val="00A74E0A"/>
    <w:rsid w:val="00A75060"/>
    <w:rsid w:val="00A7595E"/>
    <w:rsid w:val="00A7634C"/>
    <w:rsid w:val="00A766F9"/>
    <w:rsid w:val="00A76FD8"/>
    <w:rsid w:val="00A8070E"/>
    <w:rsid w:val="00A81E2E"/>
    <w:rsid w:val="00A82406"/>
    <w:rsid w:val="00A82644"/>
    <w:rsid w:val="00A8265A"/>
    <w:rsid w:val="00A829CB"/>
    <w:rsid w:val="00A82AA8"/>
    <w:rsid w:val="00A83F16"/>
    <w:rsid w:val="00A8419B"/>
    <w:rsid w:val="00A84303"/>
    <w:rsid w:val="00A84480"/>
    <w:rsid w:val="00A84618"/>
    <w:rsid w:val="00A84D22"/>
    <w:rsid w:val="00A8510A"/>
    <w:rsid w:val="00A85999"/>
    <w:rsid w:val="00A85B76"/>
    <w:rsid w:val="00A860D4"/>
    <w:rsid w:val="00A8648B"/>
    <w:rsid w:val="00A8651D"/>
    <w:rsid w:val="00A866B3"/>
    <w:rsid w:val="00A86836"/>
    <w:rsid w:val="00A8760C"/>
    <w:rsid w:val="00A87AFB"/>
    <w:rsid w:val="00A9080F"/>
    <w:rsid w:val="00A917C3"/>
    <w:rsid w:val="00A91BFE"/>
    <w:rsid w:val="00A92240"/>
    <w:rsid w:val="00A931DE"/>
    <w:rsid w:val="00A934C0"/>
    <w:rsid w:val="00A93D89"/>
    <w:rsid w:val="00A94D1D"/>
    <w:rsid w:val="00A95A99"/>
    <w:rsid w:val="00A95EB3"/>
    <w:rsid w:val="00A964C1"/>
    <w:rsid w:val="00A97013"/>
    <w:rsid w:val="00A9709B"/>
    <w:rsid w:val="00A97180"/>
    <w:rsid w:val="00AA1034"/>
    <w:rsid w:val="00AA24F1"/>
    <w:rsid w:val="00AA2C15"/>
    <w:rsid w:val="00AA3782"/>
    <w:rsid w:val="00AA47F0"/>
    <w:rsid w:val="00AA489C"/>
    <w:rsid w:val="00AA4A4A"/>
    <w:rsid w:val="00AA548E"/>
    <w:rsid w:val="00AA566E"/>
    <w:rsid w:val="00AA5C5A"/>
    <w:rsid w:val="00AA5D22"/>
    <w:rsid w:val="00AA5FD8"/>
    <w:rsid w:val="00AA6178"/>
    <w:rsid w:val="00AA674D"/>
    <w:rsid w:val="00AA7172"/>
    <w:rsid w:val="00AA76BB"/>
    <w:rsid w:val="00AA77F4"/>
    <w:rsid w:val="00AB16D6"/>
    <w:rsid w:val="00AB1925"/>
    <w:rsid w:val="00AB1A60"/>
    <w:rsid w:val="00AB2251"/>
    <w:rsid w:val="00AB236F"/>
    <w:rsid w:val="00AB28F2"/>
    <w:rsid w:val="00AB2C4F"/>
    <w:rsid w:val="00AB308B"/>
    <w:rsid w:val="00AB3ED9"/>
    <w:rsid w:val="00AB4192"/>
    <w:rsid w:val="00AB4E45"/>
    <w:rsid w:val="00AB5272"/>
    <w:rsid w:val="00AB5C6C"/>
    <w:rsid w:val="00AB5F73"/>
    <w:rsid w:val="00AB67EF"/>
    <w:rsid w:val="00AB689D"/>
    <w:rsid w:val="00AB6968"/>
    <w:rsid w:val="00AC014D"/>
    <w:rsid w:val="00AC0AF2"/>
    <w:rsid w:val="00AC10E1"/>
    <w:rsid w:val="00AC256D"/>
    <w:rsid w:val="00AC26EB"/>
    <w:rsid w:val="00AC368A"/>
    <w:rsid w:val="00AC3874"/>
    <w:rsid w:val="00AC409E"/>
    <w:rsid w:val="00AC415E"/>
    <w:rsid w:val="00AC43E5"/>
    <w:rsid w:val="00AC44D3"/>
    <w:rsid w:val="00AC460F"/>
    <w:rsid w:val="00AC4886"/>
    <w:rsid w:val="00AC48DF"/>
    <w:rsid w:val="00AC4CF4"/>
    <w:rsid w:val="00AC4FFA"/>
    <w:rsid w:val="00AC5F71"/>
    <w:rsid w:val="00AC6BDC"/>
    <w:rsid w:val="00AC7204"/>
    <w:rsid w:val="00AC7EA1"/>
    <w:rsid w:val="00AD044B"/>
    <w:rsid w:val="00AD07F3"/>
    <w:rsid w:val="00AD0B76"/>
    <w:rsid w:val="00AD103B"/>
    <w:rsid w:val="00AD12A0"/>
    <w:rsid w:val="00AD13C5"/>
    <w:rsid w:val="00AD1543"/>
    <w:rsid w:val="00AD1F22"/>
    <w:rsid w:val="00AD2E5B"/>
    <w:rsid w:val="00AD35A0"/>
    <w:rsid w:val="00AD392C"/>
    <w:rsid w:val="00AD3C01"/>
    <w:rsid w:val="00AD445A"/>
    <w:rsid w:val="00AD48FA"/>
    <w:rsid w:val="00AD514A"/>
    <w:rsid w:val="00AD5E93"/>
    <w:rsid w:val="00AD672D"/>
    <w:rsid w:val="00AD6ADC"/>
    <w:rsid w:val="00AD6DA9"/>
    <w:rsid w:val="00AD749D"/>
    <w:rsid w:val="00AD7807"/>
    <w:rsid w:val="00AD7BDA"/>
    <w:rsid w:val="00AD7D0B"/>
    <w:rsid w:val="00AD7FA9"/>
    <w:rsid w:val="00AE0208"/>
    <w:rsid w:val="00AE0570"/>
    <w:rsid w:val="00AE05A4"/>
    <w:rsid w:val="00AE06C5"/>
    <w:rsid w:val="00AE0772"/>
    <w:rsid w:val="00AE1258"/>
    <w:rsid w:val="00AE1556"/>
    <w:rsid w:val="00AE20FA"/>
    <w:rsid w:val="00AE22A4"/>
    <w:rsid w:val="00AE23CA"/>
    <w:rsid w:val="00AE3106"/>
    <w:rsid w:val="00AE32D0"/>
    <w:rsid w:val="00AE43F0"/>
    <w:rsid w:val="00AE4AE8"/>
    <w:rsid w:val="00AE4B05"/>
    <w:rsid w:val="00AE4CFB"/>
    <w:rsid w:val="00AE4E8E"/>
    <w:rsid w:val="00AE5246"/>
    <w:rsid w:val="00AE583F"/>
    <w:rsid w:val="00AE5BCC"/>
    <w:rsid w:val="00AE5EBD"/>
    <w:rsid w:val="00AE665F"/>
    <w:rsid w:val="00AE67D7"/>
    <w:rsid w:val="00AE7537"/>
    <w:rsid w:val="00AF03C9"/>
    <w:rsid w:val="00AF0428"/>
    <w:rsid w:val="00AF0D6F"/>
    <w:rsid w:val="00AF2109"/>
    <w:rsid w:val="00AF33AD"/>
    <w:rsid w:val="00AF33E5"/>
    <w:rsid w:val="00AF3BFA"/>
    <w:rsid w:val="00AF3C97"/>
    <w:rsid w:val="00AF3E3E"/>
    <w:rsid w:val="00AF45A9"/>
    <w:rsid w:val="00AF490E"/>
    <w:rsid w:val="00AF5107"/>
    <w:rsid w:val="00AF57F6"/>
    <w:rsid w:val="00AF5A90"/>
    <w:rsid w:val="00AF5BD8"/>
    <w:rsid w:val="00AF629B"/>
    <w:rsid w:val="00AF6CCC"/>
    <w:rsid w:val="00AF7497"/>
    <w:rsid w:val="00B001D5"/>
    <w:rsid w:val="00B00BC3"/>
    <w:rsid w:val="00B00C0C"/>
    <w:rsid w:val="00B01567"/>
    <w:rsid w:val="00B01CA0"/>
    <w:rsid w:val="00B01DB9"/>
    <w:rsid w:val="00B01F10"/>
    <w:rsid w:val="00B025AD"/>
    <w:rsid w:val="00B04377"/>
    <w:rsid w:val="00B046E8"/>
    <w:rsid w:val="00B04796"/>
    <w:rsid w:val="00B04D8B"/>
    <w:rsid w:val="00B04EAE"/>
    <w:rsid w:val="00B04F64"/>
    <w:rsid w:val="00B068F4"/>
    <w:rsid w:val="00B0705E"/>
    <w:rsid w:val="00B075DE"/>
    <w:rsid w:val="00B07E37"/>
    <w:rsid w:val="00B104A2"/>
    <w:rsid w:val="00B10577"/>
    <w:rsid w:val="00B10905"/>
    <w:rsid w:val="00B11459"/>
    <w:rsid w:val="00B11D1A"/>
    <w:rsid w:val="00B11E5B"/>
    <w:rsid w:val="00B11FBE"/>
    <w:rsid w:val="00B12E10"/>
    <w:rsid w:val="00B13C6F"/>
    <w:rsid w:val="00B142D8"/>
    <w:rsid w:val="00B146AF"/>
    <w:rsid w:val="00B157A3"/>
    <w:rsid w:val="00B16556"/>
    <w:rsid w:val="00B1691C"/>
    <w:rsid w:val="00B16AEC"/>
    <w:rsid w:val="00B16EE3"/>
    <w:rsid w:val="00B17041"/>
    <w:rsid w:val="00B17AB0"/>
    <w:rsid w:val="00B203B6"/>
    <w:rsid w:val="00B20456"/>
    <w:rsid w:val="00B210A2"/>
    <w:rsid w:val="00B216E3"/>
    <w:rsid w:val="00B217E8"/>
    <w:rsid w:val="00B2212A"/>
    <w:rsid w:val="00B22AE9"/>
    <w:rsid w:val="00B22D69"/>
    <w:rsid w:val="00B22E2B"/>
    <w:rsid w:val="00B23540"/>
    <w:rsid w:val="00B23886"/>
    <w:rsid w:val="00B24379"/>
    <w:rsid w:val="00B244EF"/>
    <w:rsid w:val="00B24B12"/>
    <w:rsid w:val="00B25583"/>
    <w:rsid w:val="00B258B2"/>
    <w:rsid w:val="00B258FE"/>
    <w:rsid w:val="00B26177"/>
    <w:rsid w:val="00B268F5"/>
    <w:rsid w:val="00B26BB7"/>
    <w:rsid w:val="00B26BB9"/>
    <w:rsid w:val="00B2702C"/>
    <w:rsid w:val="00B272D6"/>
    <w:rsid w:val="00B27508"/>
    <w:rsid w:val="00B27CB0"/>
    <w:rsid w:val="00B27F4C"/>
    <w:rsid w:val="00B300CB"/>
    <w:rsid w:val="00B30888"/>
    <w:rsid w:val="00B3107C"/>
    <w:rsid w:val="00B31DC9"/>
    <w:rsid w:val="00B32953"/>
    <w:rsid w:val="00B32D74"/>
    <w:rsid w:val="00B33CAF"/>
    <w:rsid w:val="00B3442A"/>
    <w:rsid w:val="00B35B70"/>
    <w:rsid w:val="00B35E0E"/>
    <w:rsid w:val="00B3643A"/>
    <w:rsid w:val="00B365C8"/>
    <w:rsid w:val="00B36C27"/>
    <w:rsid w:val="00B37732"/>
    <w:rsid w:val="00B37F11"/>
    <w:rsid w:val="00B40231"/>
    <w:rsid w:val="00B40C99"/>
    <w:rsid w:val="00B41911"/>
    <w:rsid w:val="00B42596"/>
    <w:rsid w:val="00B43AC4"/>
    <w:rsid w:val="00B43C69"/>
    <w:rsid w:val="00B43D7F"/>
    <w:rsid w:val="00B43DA9"/>
    <w:rsid w:val="00B43F65"/>
    <w:rsid w:val="00B4430D"/>
    <w:rsid w:val="00B45857"/>
    <w:rsid w:val="00B46787"/>
    <w:rsid w:val="00B4777B"/>
    <w:rsid w:val="00B501B5"/>
    <w:rsid w:val="00B5066D"/>
    <w:rsid w:val="00B50753"/>
    <w:rsid w:val="00B508E9"/>
    <w:rsid w:val="00B50A32"/>
    <w:rsid w:val="00B50B22"/>
    <w:rsid w:val="00B51417"/>
    <w:rsid w:val="00B516C0"/>
    <w:rsid w:val="00B52783"/>
    <w:rsid w:val="00B52900"/>
    <w:rsid w:val="00B52B1B"/>
    <w:rsid w:val="00B52E2A"/>
    <w:rsid w:val="00B531F1"/>
    <w:rsid w:val="00B53CD2"/>
    <w:rsid w:val="00B54027"/>
    <w:rsid w:val="00B54155"/>
    <w:rsid w:val="00B557BF"/>
    <w:rsid w:val="00B55F29"/>
    <w:rsid w:val="00B562F0"/>
    <w:rsid w:val="00B563E8"/>
    <w:rsid w:val="00B5685A"/>
    <w:rsid w:val="00B5691A"/>
    <w:rsid w:val="00B569EA"/>
    <w:rsid w:val="00B56E5D"/>
    <w:rsid w:val="00B57864"/>
    <w:rsid w:val="00B6065E"/>
    <w:rsid w:val="00B60F8C"/>
    <w:rsid w:val="00B6107E"/>
    <w:rsid w:val="00B6365C"/>
    <w:rsid w:val="00B6421D"/>
    <w:rsid w:val="00B64A07"/>
    <w:rsid w:val="00B64FB5"/>
    <w:rsid w:val="00B65659"/>
    <w:rsid w:val="00B660E4"/>
    <w:rsid w:val="00B665F9"/>
    <w:rsid w:val="00B66A5C"/>
    <w:rsid w:val="00B67C76"/>
    <w:rsid w:val="00B701BA"/>
    <w:rsid w:val="00B70517"/>
    <w:rsid w:val="00B70F54"/>
    <w:rsid w:val="00B715C6"/>
    <w:rsid w:val="00B71E5B"/>
    <w:rsid w:val="00B721A7"/>
    <w:rsid w:val="00B7470D"/>
    <w:rsid w:val="00B75272"/>
    <w:rsid w:val="00B75BB3"/>
    <w:rsid w:val="00B76878"/>
    <w:rsid w:val="00B76BFB"/>
    <w:rsid w:val="00B773AA"/>
    <w:rsid w:val="00B773D3"/>
    <w:rsid w:val="00B777CF"/>
    <w:rsid w:val="00B77CAA"/>
    <w:rsid w:val="00B77CC0"/>
    <w:rsid w:val="00B802C9"/>
    <w:rsid w:val="00B8045B"/>
    <w:rsid w:val="00B81CE1"/>
    <w:rsid w:val="00B81F2C"/>
    <w:rsid w:val="00B8210E"/>
    <w:rsid w:val="00B831D5"/>
    <w:rsid w:val="00B8325D"/>
    <w:rsid w:val="00B84B13"/>
    <w:rsid w:val="00B851D6"/>
    <w:rsid w:val="00B8546D"/>
    <w:rsid w:val="00B85B46"/>
    <w:rsid w:val="00B85B7B"/>
    <w:rsid w:val="00B85E95"/>
    <w:rsid w:val="00B85EED"/>
    <w:rsid w:val="00B86AA5"/>
    <w:rsid w:val="00B875C0"/>
    <w:rsid w:val="00B910B2"/>
    <w:rsid w:val="00B9185F"/>
    <w:rsid w:val="00B91880"/>
    <w:rsid w:val="00B91FA2"/>
    <w:rsid w:val="00B922CA"/>
    <w:rsid w:val="00B925D0"/>
    <w:rsid w:val="00B9280A"/>
    <w:rsid w:val="00B932FF"/>
    <w:rsid w:val="00B937B8"/>
    <w:rsid w:val="00B9424A"/>
    <w:rsid w:val="00B94382"/>
    <w:rsid w:val="00B94B34"/>
    <w:rsid w:val="00B950E0"/>
    <w:rsid w:val="00B95871"/>
    <w:rsid w:val="00B958C0"/>
    <w:rsid w:val="00B95925"/>
    <w:rsid w:val="00B95EBF"/>
    <w:rsid w:val="00B96020"/>
    <w:rsid w:val="00B96A3D"/>
    <w:rsid w:val="00B96FC5"/>
    <w:rsid w:val="00B977B0"/>
    <w:rsid w:val="00BA0F05"/>
    <w:rsid w:val="00BA1111"/>
    <w:rsid w:val="00BA2053"/>
    <w:rsid w:val="00BA225F"/>
    <w:rsid w:val="00BA24D2"/>
    <w:rsid w:val="00BA293F"/>
    <w:rsid w:val="00BA29F9"/>
    <w:rsid w:val="00BA2AE9"/>
    <w:rsid w:val="00BA2D17"/>
    <w:rsid w:val="00BA2D55"/>
    <w:rsid w:val="00BA3102"/>
    <w:rsid w:val="00BA3167"/>
    <w:rsid w:val="00BA3220"/>
    <w:rsid w:val="00BA3B2B"/>
    <w:rsid w:val="00BA4149"/>
    <w:rsid w:val="00BA4398"/>
    <w:rsid w:val="00BA4EA6"/>
    <w:rsid w:val="00BA581B"/>
    <w:rsid w:val="00BA657A"/>
    <w:rsid w:val="00BA698B"/>
    <w:rsid w:val="00BA6A42"/>
    <w:rsid w:val="00BA6F03"/>
    <w:rsid w:val="00BB0534"/>
    <w:rsid w:val="00BB0CF2"/>
    <w:rsid w:val="00BB0DB8"/>
    <w:rsid w:val="00BB0F8F"/>
    <w:rsid w:val="00BB13D7"/>
    <w:rsid w:val="00BB1979"/>
    <w:rsid w:val="00BB1A39"/>
    <w:rsid w:val="00BB1F73"/>
    <w:rsid w:val="00BB28EE"/>
    <w:rsid w:val="00BB2C8C"/>
    <w:rsid w:val="00BB348E"/>
    <w:rsid w:val="00BB354F"/>
    <w:rsid w:val="00BB36A8"/>
    <w:rsid w:val="00BB3955"/>
    <w:rsid w:val="00BB4777"/>
    <w:rsid w:val="00BB4EEB"/>
    <w:rsid w:val="00BB5518"/>
    <w:rsid w:val="00BB5B0A"/>
    <w:rsid w:val="00BC06C3"/>
    <w:rsid w:val="00BC0B29"/>
    <w:rsid w:val="00BC1684"/>
    <w:rsid w:val="00BC23C7"/>
    <w:rsid w:val="00BC2EB9"/>
    <w:rsid w:val="00BC38BA"/>
    <w:rsid w:val="00BC4B1E"/>
    <w:rsid w:val="00BC55DE"/>
    <w:rsid w:val="00BC5795"/>
    <w:rsid w:val="00BC596C"/>
    <w:rsid w:val="00BC5C7E"/>
    <w:rsid w:val="00BC64EB"/>
    <w:rsid w:val="00BC66AE"/>
    <w:rsid w:val="00BC72C6"/>
    <w:rsid w:val="00BD0BDE"/>
    <w:rsid w:val="00BD1988"/>
    <w:rsid w:val="00BD3DC7"/>
    <w:rsid w:val="00BD4596"/>
    <w:rsid w:val="00BD4AA6"/>
    <w:rsid w:val="00BD4FD8"/>
    <w:rsid w:val="00BD5BBD"/>
    <w:rsid w:val="00BD5D1F"/>
    <w:rsid w:val="00BD6365"/>
    <w:rsid w:val="00BD673C"/>
    <w:rsid w:val="00BE0708"/>
    <w:rsid w:val="00BE0F67"/>
    <w:rsid w:val="00BE1068"/>
    <w:rsid w:val="00BE117F"/>
    <w:rsid w:val="00BE17D6"/>
    <w:rsid w:val="00BE1981"/>
    <w:rsid w:val="00BE224A"/>
    <w:rsid w:val="00BE25C9"/>
    <w:rsid w:val="00BE276B"/>
    <w:rsid w:val="00BE2783"/>
    <w:rsid w:val="00BE30E8"/>
    <w:rsid w:val="00BE37E1"/>
    <w:rsid w:val="00BE5142"/>
    <w:rsid w:val="00BE5E89"/>
    <w:rsid w:val="00BE67B5"/>
    <w:rsid w:val="00BE6BBF"/>
    <w:rsid w:val="00BE78A4"/>
    <w:rsid w:val="00BF015C"/>
    <w:rsid w:val="00BF05B1"/>
    <w:rsid w:val="00BF0643"/>
    <w:rsid w:val="00BF0C45"/>
    <w:rsid w:val="00BF0E4E"/>
    <w:rsid w:val="00BF1182"/>
    <w:rsid w:val="00BF1720"/>
    <w:rsid w:val="00BF2383"/>
    <w:rsid w:val="00BF38A9"/>
    <w:rsid w:val="00BF4C43"/>
    <w:rsid w:val="00BF4E75"/>
    <w:rsid w:val="00BF5113"/>
    <w:rsid w:val="00BF5624"/>
    <w:rsid w:val="00BF58BA"/>
    <w:rsid w:val="00BF7406"/>
    <w:rsid w:val="00BF778F"/>
    <w:rsid w:val="00BF7D4A"/>
    <w:rsid w:val="00C00A61"/>
    <w:rsid w:val="00C017BF"/>
    <w:rsid w:val="00C01F64"/>
    <w:rsid w:val="00C020D4"/>
    <w:rsid w:val="00C024E3"/>
    <w:rsid w:val="00C027EA"/>
    <w:rsid w:val="00C02983"/>
    <w:rsid w:val="00C03981"/>
    <w:rsid w:val="00C039C7"/>
    <w:rsid w:val="00C03B54"/>
    <w:rsid w:val="00C03CF9"/>
    <w:rsid w:val="00C03E9D"/>
    <w:rsid w:val="00C04218"/>
    <w:rsid w:val="00C055F3"/>
    <w:rsid w:val="00C057EB"/>
    <w:rsid w:val="00C059E8"/>
    <w:rsid w:val="00C0680D"/>
    <w:rsid w:val="00C07042"/>
    <w:rsid w:val="00C0704F"/>
    <w:rsid w:val="00C07844"/>
    <w:rsid w:val="00C104D7"/>
    <w:rsid w:val="00C108DA"/>
    <w:rsid w:val="00C10C95"/>
    <w:rsid w:val="00C11117"/>
    <w:rsid w:val="00C11B45"/>
    <w:rsid w:val="00C11E3E"/>
    <w:rsid w:val="00C123DB"/>
    <w:rsid w:val="00C12948"/>
    <w:rsid w:val="00C13193"/>
    <w:rsid w:val="00C136E9"/>
    <w:rsid w:val="00C1391F"/>
    <w:rsid w:val="00C14348"/>
    <w:rsid w:val="00C147E6"/>
    <w:rsid w:val="00C14AB0"/>
    <w:rsid w:val="00C15225"/>
    <w:rsid w:val="00C15CEE"/>
    <w:rsid w:val="00C15E9D"/>
    <w:rsid w:val="00C167D1"/>
    <w:rsid w:val="00C169D0"/>
    <w:rsid w:val="00C1715A"/>
    <w:rsid w:val="00C17832"/>
    <w:rsid w:val="00C17D14"/>
    <w:rsid w:val="00C17D3D"/>
    <w:rsid w:val="00C17E88"/>
    <w:rsid w:val="00C20182"/>
    <w:rsid w:val="00C202DD"/>
    <w:rsid w:val="00C212AB"/>
    <w:rsid w:val="00C214F0"/>
    <w:rsid w:val="00C21C3F"/>
    <w:rsid w:val="00C220CA"/>
    <w:rsid w:val="00C23CDB"/>
    <w:rsid w:val="00C240E8"/>
    <w:rsid w:val="00C246E7"/>
    <w:rsid w:val="00C248FA"/>
    <w:rsid w:val="00C25BD1"/>
    <w:rsid w:val="00C26422"/>
    <w:rsid w:val="00C26C7C"/>
    <w:rsid w:val="00C26CC7"/>
    <w:rsid w:val="00C26E03"/>
    <w:rsid w:val="00C27D5F"/>
    <w:rsid w:val="00C31604"/>
    <w:rsid w:val="00C32329"/>
    <w:rsid w:val="00C3269F"/>
    <w:rsid w:val="00C3288D"/>
    <w:rsid w:val="00C32E74"/>
    <w:rsid w:val="00C33CEB"/>
    <w:rsid w:val="00C342DB"/>
    <w:rsid w:val="00C34DE5"/>
    <w:rsid w:val="00C359D1"/>
    <w:rsid w:val="00C35D7A"/>
    <w:rsid w:val="00C36ADD"/>
    <w:rsid w:val="00C3796D"/>
    <w:rsid w:val="00C40EF8"/>
    <w:rsid w:val="00C41A46"/>
    <w:rsid w:val="00C42785"/>
    <w:rsid w:val="00C45177"/>
    <w:rsid w:val="00C451C0"/>
    <w:rsid w:val="00C45243"/>
    <w:rsid w:val="00C45553"/>
    <w:rsid w:val="00C467B1"/>
    <w:rsid w:val="00C4681F"/>
    <w:rsid w:val="00C46920"/>
    <w:rsid w:val="00C47E6F"/>
    <w:rsid w:val="00C50F00"/>
    <w:rsid w:val="00C50F92"/>
    <w:rsid w:val="00C51200"/>
    <w:rsid w:val="00C514F0"/>
    <w:rsid w:val="00C51D6F"/>
    <w:rsid w:val="00C51F61"/>
    <w:rsid w:val="00C52184"/>
    <w:rsid w:val="00C52470"/>
    <w:rsid w:val="00C524CB"/>
    <w:rsid w:val="00C5255F"/>
    <w:rsid w:val="00C53042"/>
    <w:rsid w:val="00C53234"/>
    <w:rsid w:val="00C5373F"/>
    <w:rsid w:val="00C53989"/>
    <w:rsid w:val="00C53B78"/>
    <w:rsid w:val="00C53E83"/>
    <w:rsid w:val="00C53FE9"/>
    <w:rsid w:val="00C54F52"/>
    <w:rsid w:val="00C553B7"/>
    <w:rsid w:val="00C5583B"/>
    <w:rsid w:val="00C56464"/>
    <w:rsid w:val="00C5798E"/>
    <w:rsid w:val="00C57D4A"/>
    <w:rsid w:val="00C57D9E"/>
    <w:rsid w:val="00C602A7"/>
    <w:rsid w:val="00C60A09"/>
    <w:rsid w:val="00C60BD4"/>
    <w:rsid w:val="00C60D78"/>
    <w:rsid w:val="00C6118C"/>
    <w:rsid w:val="00C61808"/>
    <w:rsid w:val="00C6198E"/>
    <w:rsid w:val="00C621DC"/>
    <w:rsid w:val="00C63645"/>
    <w:rsid w:val="00C6364C"/>
    <w:rsid w:val="00C6497E"/>
    <w:rsid w:val="00C65356"/>
    <w:rsid w:val="00C65465"/>
    <w:rsid w:val="00C65A41"/>
    <w:rsid w:val="00C65C48"/>
    <w:rsid w:val="00C65E1D"/>
    <w:rsid w:val="00C66238"/>
    <w:rsid w:val="00C6682C"/>
    <w:rsid w:val="00C66E06"/>
    <w:rsid w:val="00C67C95"/>
    <w:rsid w:val="00C67EE6"/>
    <w:rsid w:val="00C70497"/>
    <w:rsid w:val="00C70654"/>
    <w:rsid w:val="00C70C76"/>
    <w:rsid w:val="00C70D5A"/>
    <w:rsid w:val="00C71284"/>
    <w:rsid w:val="00C7181C"/>
    <w:rsid w:val="00C718FD"/>
    <w:rsid w:val="00C72121"/>
    <w:rsid w:val="00C72325"/>
    <w:rsid w:val="00C72DC6"/>
    <w:rsid w:val="00C7307F"/>
    <w:rsid w:val="00C73092"/>
    <w:rsid w:val="00C734CD"/>
    <w:rsid w:val="00C7375E"/>
    <w:rsid w:val="00C738D8"/>
    <w:rsid w:val="00C7439F"/>
    <w:rsid w:val="00C7463A"/>
    <w:rsid w:val="00C74970"/>
    <w:rsid w:val="00C74CA2"/>
    <w:rsid w:val="00C754BE"/>
    <w:rsid w:val="00C756E0"/>
    <w:rsid w:val="00C75804"/>
    <w:rsid w:val="00C75D5C"/>
    <w:rsid w:val="00C76330"/>
    <w:rsid w:val="00C7667D"/>
    <w:rsid w:val="00C76A6F"/>
    <w:rsid w:val="00C77CE6"/>
    <w:rsid w:val="00C77E8A"/>
    <w:rsid w:val="00C8064E"/>
    <w:rsid w:val="00C80D4C"/>
    <w:rsid w:val="00C80EE7"/>
    <w:rsid w:val="00C8135C"/>
    <w:rsid w:val="00C818DA"/>
    <w:rsid w:val="00C81A9A"/>
    <w:rsid w:val="00C81DC5"/>
    <w:rsid w:val="00C81F24"/>
    <w:rsid w:val="00C82816"/>
    <w:rsid w:val="00C8362B"/>
    <w:rsid w:val="00C836AC"/>
    <w:rsid w:val="00C84317"/>
    <w:rsid w:val="00C869F3"/>
    <w:rsid w:val="00C87B7D"/>
    <w:rsid w:val="00C87FE6"/>
    <w:rsid w:val="00C90F7B"/>
    <w:rsid w:val="00C91031"/>
    <w:rsid w:val="00C91119"/>
    <w:rsid w:val="00C91249"/>
    <w:rsid w:val="00C912BF"/>
    <w:rsid w:val="00C92D22"/>
    <w:rsid w:val="00C93135"/>
    <w:rsid w:val="00C932C8"/>
    <w:rsid w:val="00C93B18"/>
    <w:rsid w:val="00C942E5"/>
    <w:rsid w:val="00C9495E"/>
    <w:rsid w:val="00C94E7E"/>
    <w:rsid w:val="00C95DE3"/>
    <w:rsid w:val="00C97694"/>
    <w:rsid w:val="00C978E0"/>
    <w:rsid w:val="00C97C9B"/>
    <w:rsid w:val="00CA0008"/>
    <w:rsid w:val="00CA035B"/>
    <w:rsid w:val="00CA08AE"/>
    <w:rsid w:val="00CA0E3A"/>
    <w:rsid w:val="00CA12F4"/>
    <w:rsid w:val="00CA1C47"/>
    <w:rsid w:val="00CA213B"/>
    <w:rsid w:val="00CA240E"/>
    <w:rsid w:val="00CA3301"/>
    <w:rsid w:val="00CA3333"/>
    <w:rsid w:val="00CA35B4"/>
    <w:rsid w:val="00CA3D6A"/>
    <w:rsid w:val="00CA4754"/>
    <w:rsid w:val="00CA4F12"/>
    <w:rsid w:val="00CA50D8"/>
    <w:rsid w:val="00CA5138"/>
    <w:rsid w:val="00CA5269"/>
    <w:rsid w:val="00CA6A22"/>
    <w:rsid w:val="00CA6E12"/>
    <w:rsid w:val="00CA6EFE"/>
    <w:rsid w:val="00CA732F"/>
    <w:rsid w:val="00CA758C"/>
    <w:rsid w:val="00CA76A8"/>
    <w:rsid w:val="00CA7A2C"/>
    <w:rsid w:val="00CA7EAC"/>
    <w:rsid w:val="00CB004D"/>
    <w:rsid w:val="00CB041D"/>
    <w:rsid w:val="00CB08D8"/>
    <w:rsid w:val="00CB0B3E"/>
    <w:rsid w:val="00CB0B66"/>
    <w:rsid w:val="00CB1109"/>
    <w:rsid w:val="00CB146B"/>
    <w:rsid w:val="00CB2009"/>
    <w:rsid w:val="00CB253A"/>
    <w:rsid w:val="00CB33EE"/>
    <w:rsid w:val="00CB34CC"/>
    <w:rsid w:val="00CB3BA5"/>
    <w:rsid w:val="00CB4045"/>
    <w:rsid w:val="00CB42F2"/>
    <w:rsid w:val="00CB4618"/>
    <w:rsid w:val="00CB4766"/>
    <w:rsid w:val="00CB48A9"/>
    <w:rsid w:val="00CB4E97"/>
    <w:rsid w:val="00CB545A"/>
    <w:rsid w:val="00CB58FB"/>
    <w:rsid w:val="00CB59BA"/>
    <w:rsid w:val="00CB68D3"/>
    <w:rsid w:val="00CB6CF4"/>
    <w:rsid w:val="00CB766B"/>
    <w:rsid w:val="00CB7E78"/>
    <w:rsid w:val="00CC04CB"/>
    <w:rsid w:val="00CC14C4"/>
    <w:rsid w:val="00CC1901"/>
    <w:rsid w:val="00CC26ED"/>
    <w:rsid w:val="00CC2E23"/>
    <w:rsid w:val="00CC3165"/>
    <w:rsid w:val="00CC38AC"/>
    <w:rsid w:val="00CC4A1A"/>
    <w:rsid w:val="00CC4EAB"/>
    <w:rsid w:val="00CC52C5"/>
    <w:rsid w:val="00CC5408"/>
    <w:rsid w:val="00CC5527"/>
    <w:rsid w:val="00CC5C2E"/>
    <w:rsid w:val="00CC5C96"/>
    <w:rsid w:val="00CC60B5"/>
    <w:rsid w:val="00CC62B4"/>
    <w:rsid w:val="00CC6397"/>
    <w:rsid w:val="00CC768F"/>
    <w:rsid w:val="00CC77A3"/>
    <w:rsid w:val="00CC7C70"/>
    <w:rsid w:val="00CD0FD3"/>
    <w:rsid w:val="00CD13DB"/>
    <w:rsid w:val="00CD1C68"/>
    <w:rsid w:val="00CD2663"/>
    <w:rsid w:val="00CD2E6C"/>
    <w:rsid w:val="00CD2FA9"/>
    <w:rsid w:val="00CD32A8"/>
    <w:rsid w:val="00CD4146"/>
    <w:rsid w:val="00CD5356"/>
    <w:rsid w:val="00CD5B78"/>
    <w:rsid w:val="00CD610A"/>
    <w:rsid w:val="00CD6191"/>
    <w:rsid w:val="00CD6696"/>
    <w:rsid w:val="00CD682B"/>
    <w:rsid w:val="00CD71ED"/>
    <w:rsid w:val="00CD7494"/>
    <w:rsid w:val="00CD754D"/>
    <w:rsid w:val="00CD7F80"/>
    <w:rsid w:val="00CE01AD"/>
    <w:rsid w:val="00CE02AD"/>
    <w:rsid w:val="00CE053C"/>
    <w:rsid w:val="00CE080E"/>
    <w:rsid w:val="00CE09E5"/>
    <w:rsid w:val="00CE0F26"/>
    <w:rsid w:val="00CE0FFA"/>
    <w:rsid w:val="00CE10E3"/>
    <w:rsid w:val="00CE186F"/>
    <w:rsid w:val="00CE18F1"/>
    <w:rsid w:val="00CE1AFC"/>
    <w:rsid w:val="00CE1D00"/>
    <w:rsid w:val="00CE1F35"/>
    <w:rsid w:val="00CE21D3"/>
    <w:rsid w:val="00CE23AA"/>
    <w:rsid w:val="00CE23FF"/>
    <w:rsid w:val="00CE261C"/>
    <w:rsid w:val="00CE295E"/>
    <w:rsid w:val="00CE2A7A"/>
    <w:rsid w:val="00CE2B42"/>
    <w:rsid w:val="00CE319B"/>
    <w:rsid w:val="00CE40E3"/>
    <w:rsid w:val="00CE4A86"/>
    <w:rsid w:val="00CE4C73"/>
    <w:rsid w:val="00CE4CAE"/>
    <w:rsid w:val="00CE55DA"/>
    <w:rsid w:val="00CE58D6"/>
    <w:rsid w:val="00CE58EE"/>
    <w:rsid w:val="00CE59C4"/>
    <w:rsid w:val="00CE69C0"/>
    <w:rsid w:val="00CE6ECC"/>
    <w:rsid w:val="00CE70EF"/>
    <w:rsid w:val="00CE7D0F"/>
    <w:rsid w:val="00CF02F2"/>
    <w:rsid w:val="00CF0C7E"/>
    <w:rsid w:val="00CF0E65"/>
    <w:rsid w:val="00CF1695"/>
    <w:rsid w:val="00CF38F4"/>
    <w:rsid w:val="00CF44B5"/>
    <w:rsid w:val="00CF4A87"/>
    <w:rsid w:val="00CF4AD3"/>
    <w:rsid w:val="00CF5879"/>
    <w:rsid w:val="00CF6011"/>
    <w:rsid w:val="00CF6517"/>
    <w:rsid w:val="00CF6CBB"/>
    <w:rsid w:val="00CF7AC7"/>
    <w:rsid w:val="00D00375"/>
    <w:rsid w:val="00D00F94"/>
    <w:rsid w:val="00D018F9"/>
    <w:rsid w:val="00D01E0F"/>
    <w:rsid w:val="00D022DC"/>
    <w:rsid w:val="00D0253C"/>
    <w:rsid w:val="00D02A89"/>
    <w:rsid w:val="00D03832"/>
    <w:rsid w:val="00D03852"/>
    <w:rsid w:val="00D03D39"/>
    <w:rsid w:val="00D03D7B"/>
    <w:rsid w:val="00D046C9"/>
    <w:rsid w:val="00D04E78"/>
    <w:rsid w:val="00D05183"/>
    <w:rsid w:val="00D05704"/>
    <w:rsid w:val="00D059E2"/>
    <w:rsid w:val="00D06392"/>
    <w:rsid w:val="00D06847"/>
    <w:rsid w:val="00D06BC9"/>
    <w:rsid w:val="00D06DB9"/>
    <w:rsid w:val="00D07BDF"/>
    <w:rsid w:val="00D100CF"/>
    <w:rsid w:val="00D10142"/>
    <w:rsid w:val="00D112A1"/>
    <w:rsid w:val="00D11933"/>
    <w:rsid w:val="00D11F99"/>
    <w:rsid w:val="00D12493"/>
    <w:rsid w:val="00D12660"/>
    <w:rsid w:val="00D12C7A"/>
    <w:rsid w:val="00D139CA"/>
    <w:rsid w:val="00D149B2"/>
    <w:rsid w:val="00D14A4E"/>
    <w:rsid w:val="00D14C72"/>
    <w:rsid w:val="00D14EF9"/>
    <w:rsid w:val="00D15362"/>
    <w:rsid w:val="00D15416"/>
    <w:rsid w:val="00D15A58"/>
    <w:rsid w:val="00D16903"/>
    <w:rsid w:val="00D17724"/>
    <w:rsid w:val="00D2066E"/>
    <w:rsid w:val="00D20E5A"/>
    <w:rsid w:val="00D20F4F"/>
    <w:rsid w:val="00D214F7"/>
    <w:rsid w:val="00D21736"/>
    <w:rsid w:val="00D22018"/>
    <w:rsid w:val="00D2285A"/>
    <w:rsid w:val="00D22C5B"/>
    <w:rsid w:val="00D23966"/>
    <w:rsid w:val="00D23D51"/>
    <w:rsid w:val="00D23EE9"/>
    <w:rsid w:val="00D250CE"/>
    <w:rsid w:val="00D2517C"/>
    <w:rsid w:val="00D26754"/>
    <w:rsid w:val="00D26F00"/>
    <w:rsid w:val="00D27078"/>
    <w:rsid w:val="00D272E8"/>
    <w:rsid w:val="00D276A4"/>
    <w:rsid w:val="00D27A01"/>
    <w:rsid w:val="00D300CF"/>
    <w:rsid w:val="00D30181"/>
    <w:rsid w:val="00D30B29"/>
    <w:rsid w:val="00D3174F"/>
    <w:rsid w:val="00D3192D"/>
    <w:rsid w:val="00D323D0"/>
    <w:rsid w:val="00D33130"/>
    <w:rsid w:val="00D33216"/>
    <w:rsid w:val="00D338D1"/>
    <w:rsid w:val="00D340F2"/>
    <w:rsid w:val="00D3451F"/>
    <w:rsid w:val="00D3464C"/>
    <w:rsid w:val="00D34D98"/>
    <w:rsid w:val="00D34E3D"/>
    <w:rsid w:val="00D3501F"/>
    <w:rsid w:val="00D36068"/>
    <w:rsid w:val="00D36224"/>
    <w:rsid w:val="00D3657A"/>
    <w:rsid w:val="00D40746"/>
    <w:rsid w:val="00D41625"/>
    <w:rsid w:val="00D416AA"/>
    <w:rsid w:val="00D416F5"/>
    <w:rsid w:val="00D423CB"/>
    <w:rsid w:val="00D427DC"/>
    <w:rsid w:val="00D431ED"/>
    <w:rsid w:val="00D436A0"/>
    <w:rsid w:val="00D43AAE"/>
    <w:rsid w:val="00D44111"/>
    <w:rsid w:val="00D444A1"/>
    <w:rsid w:val="00D44D6E"/>
    <w:rsid w:val="00D4515C"/>
    <w:rsid w:val="00D4655A"/>
    <w:rsid w:val="00D4692D"/>
    <w:rsid w:val="00D4695C"/>
    <w:rsid w:val="00D46A93"/>
    <w:rsid w:val="00D47584"/>
    <w:rsid w:val="00D47961"/>
    <w:rsid w:val="00D47EC4"/>
    <w:rsid w:val="00D50EE4"/>
    <w:rsid w:val="00D512C0"/>
    <w:rsid w:val="00D51945"/>
    <w:rsid w:val="00D52048"/>
    <w:rsid w:val="00D522BB"/>
    <w:rsid w:val="00D5286B"/>
    <w:rsid w:val="00D52B62"/>
    <w:rsid w:val="00D53045"/>
    <w:rsid w:val="00D532A4"/>
    <w:rsid w:val="00D53963"/>
    <w:rsid w:val="00D53C1D"/>
    <w:rsid w:val="00D5474F"/>
    <w:rsid w:val="00D548EC"/>
    <w:rsid w:val="00D55056"/>
    <w:rsid w:val="00D55C15"/>
    <w:rsid w:val="00D56AA2"/>
    <w:rsid w:val="00D56AF9"/>
    <w:rsid w:val="00D56B30"/>
    <w:rsid w:val="00D5724D"/>
    <w:rsid w:val="00D576A7"/>
    <w:rsid w:val="00D57CE5"/>
    <w:rsid w:val="00D57FD1"/>
    <w:rsid w:val="00D60592"/>
    <w:rsid w:val="00D6062D"/>
    <w:rsid w:val="00D60CED"/>
    <w:rsid w:val="00D61309"/>
    <w:rsid w:val="00D61635"/>
    <w:rsid w:val="00D626A9"/>
    <w:rsid w:val="00D626C6"/>
    <w:rsid w:val="00D6273D"/>
    <w:rsid w:val="00D628C5"/>
    <w:rsid w:val="00D63DB5"/>
    <w:rsid w:val="00D63E81"/>
    <w:rsid w:val="00D63EA8"/>
    <w:rsid w:val="00D643CE"/>
    <w:rsid w:val="00D6471A"/>
    <w:rsid w:val="00D64F9E"/>
    <w:rsid w:val="00D65080"/>
    <w:rsid w:val="00D652FD"/>
    <w:rsid w:val="00D65A27"/>
    <w:rsid w:val="00D6766C"/>
    <w:rsid w:val="00D7066E"/>
    <w:rsid w:val="00D7078F"/>
    <w:rsid w:val="00D70AAD"/>
    <w:rsid w:val="00D72361"/>
    <w:rsid w:val="00D72BC6"/>
    <w:rsid w:val="00D72F8B"/>
    <w:rsid w:val="00D735BC"/>
    <w:rsid w:val="00D736CE"/>
    <w:rsid w:val="00D74447"/>
    <w:rsid w:val="00D755B0"/>
    <w:rsid w:val="00D759C2"/>
    <w:rsid w:val="00D75DD0"/>
    <w:rsid w:val="00D7665C"/>
    <w:rsid w:val="00D767F3"/>
    <w:rsid w:val="00D76EF3"/>
    <w:rsid w:val="00D77C64"/>
    <w:rsid w:val="00D77FB0"/>
    <w:rsid w:val="00D77FB8"/>
    <w:rsid w:val="00D80C5C"/>
    <w:rsid w:val="00D80DD7"/>
    <w:rsid w:val="00D81670"/>
    <w:rsid w:val="00D82050"/>
    <w:rsid w:val="00D821C6"/>
    <w:rsid w:val="00D8301C"/>
    <w:rsid w:val="00D835AD"/>
    <w:rsid w:val="00D838FD"/>
    <w:rsid w:val="00D83927"/>
    <w:rsid w:val="00D83EFF"/>
    <w:rsid w:val="00D84559"/>
    <w:rsid w:val="00D84A12"/>
    <w:rsid w:val="00D84D1F"/>
    <w:rsid w:val="00D84E23"/>
    <w:rsid w:val="00D8588C"/>
    <w:rsid w:val="00D85F51"/>
    <w:rsid w:val="00D85F55"/>
    <w:rsid w:val="00D86245"/>
    <w:rsid w:val="00D86A9B"/>
    <w:rsid w:val="00D87119"/>
    <w:rsid w:val="00D87378"/>
    <w:rsid w:val="00D873E1"/>
    <w:rsid w:val="00D873E2"/>
    <w:rsid w:val="00D87BDA"/>
    <w:rsid w:val="00D87CCB"/>
    <w:rsid w:val="00D9043F"/>
    <w:rsid w:val="00D9096A"/>
    <w:rsid w:val="00D90B8E"/>
    <w:rsid w:val="00D91604"/>
    <w:rsid w:val="00D91C87"/>
    <w:rsid w:val="00D92E74"/>
    <w:rsid w:val="00D93245"/>
    <w:rsid w:val="00D93E77"/>
    <w:rsid w:val="00D946D1"/>
    <w:rsid w:val="00D94A94"/>
    <w:rsid w:val="00D94CBE"/>
    <w:rsid w:val="00D95444"/>
    <w:rsid w:val="00D9594F"/>
    <w:rsid w:val="00D95B06"/>
    <w:rsid w:val="00D9640A"/>
    <w:rsid w:val="00D965E6"/>
    <w:rsid w:val="00D96898"/>
    <w:rsid w:val="00D96A14"/>
    <w:rsid w:val="00D97055"/>
    <w:rsid w:val="00D97AB4"/>
    <w:rsid w:val="00D97E07"/>
    <w:rsid w:val="00DA0043"/>
    <w:rsid w:val="00DA00CF"/>
    <w:rsid w:val="00DA051E"/>
    <w:rsid w:val="00DA2034"/>
    <w:rsid w:val="00DA2B75"/>
    <w:rsid w:val="00DA347E"/>
    <w:rsid w:val="00DA3AEE"/>
    <w:rsid w:val="00DA3E5A"/>
    <w:rsid w:val="00DA3FEA"/>
    <w:rsid w:val="00DA41B5"/>
    <w:rsid w:val="00DA5846"/>
    <w:rsid w:val="00DA5978"/>
    <w:rsid w:val="00DA5B39"/>
    <w:rsid w:val="00DA651F"/>
    <w:rsid w:val="00DA685C"/>
    <w:rsid w:val="00DA6B3D"/>
    <w:rsid w:val="00DA7199"/>
    <w:rsid w:val="00DA794D"/>
    <w:rsid w:val="00DB07BF"/>
    <w:rsid w:val="00DB0ADB"/>
    <w:rsid w:val="00DB17F1"/>
    <w:rsid w:val="00DB18F9"/>
    <w:rsid w:val="00DB1EE8"/>
    <w:rsid w:val="00DB1FCD"/>
    <w:rsid w:val="00DB201B"/>
    <w:rsid w:val="00DB26BF"/>
    <w:rsid w:val="00DB2915"/>
    <w:rsid w:val="00DB2EF5"/>
    <w:rsid w:val="00DB3B37"/>
    <w:rsid w:val="00DB51F3"/>
    <w:rsid w:val="00DB6169"/>
    <w:rsid w:val="00DB62B7"/>
    <w:rsid w:val="00DB64D0"/>
    <w:rsid w:val="00DB6C7E"/>
    <w:rsid w:val="00DB7E18"/>
    <w:rsid w:val="00DC0453"/>
    <w:rsid w:val="00DC07B0"/>
    <w:rsid w:val="00DC0908"/>
    <w:rsid w:val="00DC0941"/>
    <w:rsid w:val="00DC0B04"/>
    <w:rsid w:val="00DC1005"/>
    <w:rsid w:val="00DC1F39"/>
    <w:rsid w:val="00DC262C"/>
    <w:rsid w:val="00DC2B4F"/>
    <w:rsid w:val="00DC2DC4"/>
    <w:rsid w:val="00DC302A"/>
    <w:rsid w:val="00DC3C4E"/>
    <w:rsid w:val="00DC3D25"/>
    <w:rsid w:val="00DC4B4D"/>
    <w:rsid w:val="00DC4FD4"/>
    <w:rsid w:val="00DC5D7A"/>
    <w:rsid w:val="00DC5F21"/>
    <w:rsid w:val="00DC6174"/>
    <w:rsid w:val="00DC6954"/>
    <w:rsid w:val="00DC6BBF"/>
    <w:rsid w:val="00DC6E87"/>
    <w:rsid w:val="00DC72ED"/>
    <w:rsid w:val="00DC7506"/>
    <w:rsid w:val="00DC78FE"/>
    <w:rsid w:val="00DC7B98"/>
    <w:rsid w:val="00DD035E"/>
    <w:rsid w:val="00DD0F41"/>
    <w:rsid w:val="00DD1C3B"/>
    <w:rsid w:val="00DD1C92"/>
    <w:rsid w:val="00DD2299"/>
    <w:rsid w:val="00DD2879"/>
    <w:rsid w:val="00DD461A"/>
    <w:rsid w:val="00DD4D1F"/>
    <w:rsid w:val="00DD50D7"/>
    <w:rsid w:val="00DD5409"/>
    <w:rsid w:val="00DD5541"/>
    <w:rsid w:val="00DD5802"/>
    <w:rsid w:val="00DD58FD"/>
    <w:rsid w:val="00DD6067"/>
    <w:rsid w:val="00DD6224"/>
    <w:rsid w:val="00DD6697"/>
    <w:rsid w:val="00DD6A61"/>
    <w:rsid w:val="00DD75E5"/>
    <w:rsid w:val="00DD7777"/>
    <w:rsid w:val="00DD7963"/>
    <w:rsid w:val="00DD7B55"/>
    <w:rsid w:val="00DE04DD"/>
    <w:rsid w:val="00DE0737"/>
    <w:rsid w:val="00DE1D03"/>
    <w:rsid w:val="00DE1E03"/>
    <w:rsid w:val="00DE252A"/>
    <w:rsid w:val="00DE2B31"/>
    <w:rsid w:val="00DE2E32"/>
    <w:rsid w:val="00DE3BD7"/>
    <w:rsid w:val="00DE46D6"/>
    <w:rsid w:val="00DE471A"/>
    <w:rsid w:val="00DE49C0"/>
    <w:rsid w:val="00DE5402"/>
    <w:rsid w:val="00DE6008"/>
    <w:rsid w:val="00DE7564"/>
    <w:rsid w:val="00DE7AB3"/>
    <w:rsid w:val="00DE7C76"/>
    <w:rsid w:val="00DE7F24"/>
    <w:rsid w:val="00DF0036"/>
    <w:rsid w:val="00DF0092"/>
    <w:rsid w:val="00DF013F"/>
    <w:rsid w:val="00DF0724"/>
    <w:rsid w:val="00DF0A5C"/>
    <w:rsid w:val="00DF1C9D"/>
    <w:rsid w:val="00DF27B8"/>
    <w:rsid w:val="00DF3367"/>
    <w:rsid w:val="00DF37DB"/>
    <w:rsid w:val="00DF4709"/>
    <w:rsid w:val="00DF496D"/>
    <w:rsid w:val="00DF5A7D"/>
    <w:rsid w:val="00DF5DEB"/>
    <w:rsid w:val="00DF6019"/>
    <w:rsid w:val="00DF629C"/>
    <w:rsid w:val="00DF6954"/>
    <w:rsid w:val="00DF7501"/>
    <w:rsid w:val="00DF788A"/>
    <w:rsid w:val="00DF7F9E"/>
    <w:rsid w:val="00E007D4"/>
    <w:rsid w:val="00E0081B"/>
    <w:rsid w:val="00E009FB"/>
    <w:rsid w:val="00E00C62"/>
    <w:rsid w:val="00E00EAD"/>
    <w:rsid w:val="00E019EE"/>
    <w:rsid w:val="00E01BE5"/>
    <w:rsid w:val="00E01FDB"/>
    <w:rsid w:val="00E021DF"/>
    <w:rsid w:val="00E0271D"/>
    <w:rsid w:val="00E02F95"/>
    <w:rsid w:val="00E03334"/>
    <w:rsid w:val="00E03674"/>
    <w:rsid w:val="00E03987"/>
    <w:rsid w:val="00E03C9E"/>
    <w:rsid w:val="00E04231"/>
    <w:rsid w:val="00E0486D"/>
    <w:rsid w:val="00E04B15"/>
    <w:rsid w:val="00E04E89"/>
    <w:rsid w:val="00E05419"/>
    <w:rsid w:val="00E05C7D"/>
    <w:rsid w:val="00E05EB1"/>
    <w:rsid w:val="00E064FC"/>
    <w:rsid w:val="00E06554"/>
    <w:rsid w:val="00E10031"/>
    <w:rsid w:val="00E10CDB"/>
    <w:rsid w:val="00E10E20"/>
    <w:rsid w:val="00E11794"/>
    <w:rsid w:val="00E12301"/>
    <w:rsid w:val="00E12B86"/>
    <w:rsid w:val="00E139A6"/>
    <w:rsid w:val="00E13CEA"/>
    <w:rsid w:val="00E141DC"/>
    <w:rsid w:val="00E14272"/>
    <w:rsid w:val="00E145D0"/>
    <w:rsid w:val="00E156D4"/>
    <w:rsid w:val="00E167C4"/>
    <w:rsid w:val="00E16CC8"/>
    <w:rsid w:val="00E16FE8"/>
    <w:rsid w:val="00E17243"/>
    <w:rsid w:val="00E20E9B"/>
    <w:rsid w:val="00E21630"/>
    <w:rsid w:val="00E2176B"/>
    <w:rsid w:val="00E21838"/>
    <w:rsid w:val="00E21C8C"/>
    <w:rsid w:val="00E22033"/>
    <w:rsid w:val="00E22360"/>
    <w:rsid w:val="00E22707"/>
    <w:rsid w:val="00E22FF7"/>
    <w:rsid w:val="00E234AB"/>
    <w:rsid w:val="00E23BB7"/>
    <w:rsid w:val="00E25274"/>
    <w:rsid w:val="00E2573D"/>
    <w:rsid w:val="00E2585D"/>
    <w:rsid w:val="00E260DF"/>
    <w:rsid w:val="00E266C1"/>
    <w:rsid w:val="00E26C8C"/>
    <w:rsid w:val="00E26E0C"/>
    <w:rsid w:val="00E279B8"/>
    <w:rsid w:val="00E27BCA"/>
    <w:rsid w:val="00E301C0"/>
    <w:rsid w:val="00E3023A"/>
    <w:rsid w:val="00E302B8"/>
    <w:rsid w:val="00E30C9F"/>
    <w:rsid w:val="00E317B9"/>
    <w:rsid w:val="00E31AD5"/>
    <w:rsid w:val="00E32C01"/>
    <w:rsid w:val="00E338C6"/>
    <w:rsid w:val="00E33EB1"/>
    <w:rsid w:val="00E33FA7"/>
    <w:rsid w:val="00E34E03"/>
    <w:rsid w:val="00E35DD5"/>
    <w:rsid w:val="00E36AE9"/>
    <w:rsid w:val="00E375EE"/>
    <w:rsid w:val="00E40018"/>
    <w:rsid w:val="00E40854"/>
    <w:rsid w:val="00E40F9B"/>
    <w:rsid w:val="00E412C8"/>
    <w:rsid w:val="00E41345"/>
    <w:rsid w:val="00E415C5"/>
    <w:rsid w:val="00E41DAE"/>
    <w:rsid w:val="00E41F14"/>
    <w:rsid w:val="00E422CA"/>
    <w:rsid w:val="00E42464"/>
    <w:rsid w:val="00E42CB1"/>
    <w:rsid w:val="00E4335C"/>
    <w:rsid w:val="00E4378A"/>
    <w:rsid w:val="00E4428D"/>
    <w:rsid w:val="00E45397"/>
    <w:rsid w:val="00E458D8"/>
    <w:rsid w:val="00E4597E"/>
    <w:rsid w:val="00E45B2E"/>
    <w:rsid w:val="00E4619E"/>
    <w:rsid w:val="00E4659A"/>
    <w:rsid w:val="00E46A40"/>
    <w:rsid w:val="00E46C3A"/>
    <w:rsid w:val="00E473BE"/>
    <w:rsid w:val="00E4786F"/>
    <w:rsid w:val="00E47ACF"/>
    <w:rsid w:val="00E47E42"/>
    <w:rsid w:val="00E47FDD"/>
    <w:rsid w:val="00E50DCA"/>
    <w:rsid w:val="00E5134F"/>
    <w:rsid w:val="00E522D2"/>
    <w:rsid w:val="00E52F35"/>
    <w:rsid w:val="00E538F0"/>
    <w:rsid w:val="00E53905"/>
    <w:rsid w:val="00E53E02"/>
    <w:rsid w:val="00E5492C"/>
    <w:rsid w:val="00E549E2"/>
    <w:rsid w:val="00E54B68"/>
    <w:rsid w:val="00E54E9F"/>
    <w:rsid w:val="00E55021"/>
    <w:rsid w:val="00E5535D"/>
    <w:rsid w:val="00E55595"/>
    <w:rsid w:val="00E560BB"/>
    <w:rsid w:val="00E56D96"/>
    <w:rsid w:val="00E57269"/>
    <w:rsid w:val="00E5737B"/>
    <w:rsid w:val="00E57895"/>
    <w:rsid w:val="00E57D4C"/>
    <w:rsid w:val="00E57E8B"/>
    <w:rsid w:val="00E57F13"/>
    <w:rsid w:val="00E60082"/>
    <w:rsid w:val="00E6065B"/>
    <w:rsid w:val="00E606C0"/>
    <w:rsid w:val="00E60A13"/>
    <w:rsid w:val="00E615EB"/>
    <w:rsid w:val="00E62599"/>
    <w:rsid w:val="00E626BD"/>
    <w:rsid w:val="00E62777"/>
    <w:rsid w:val="00E627A0"/>
    <w:rsid w:val="00E62C4D"/>
    <w:rsid w:val="00E62E3C"/>
    <w:rsid w:val="00E63494"/>
    <w:rsid w:val="00E6349A"/>
    <w:rsid w:val="00E63CAE"/>
    <w:rsid w:val="00E642C4"/>
    <w:rsid w:val="00E64B69"/>
    <w:rsid w:val="00E64CDF"/>
    <w:rsid w:val="00E64D77"/>
    <w:rsid w:val="00E65092"/>
    <w:rsid w:val="00E65505"/>
    <w:rsid w:val="00E669F7"/>
    <w:rsid w:val="00E66A5E"/>
    <w:rsid w:val="00E67A81"/>
    <w:rsid w:val="00E702B9"/>
    <w:rsid w:val="00E7048B"/>
    <w:rsid w:val="00E70AD2"/>
    <w:rsid w:val="00E72880"/>
    <w:rsid w:val="00E743CA"/>
    <w:rsid w:val="00E7534B"/>
    <w:rsid w:val="00E7587D"/>
    <w:rsid w:val="00E75984"/>
    <w:rsid w:val="00E766EF"/>
    <w:rsid w:val="00E7696D"/>
    <w:rsid w:val="00E77401"/>
    <w:rsid w:val="00E77449"/>
    <w:rsid w:val="00E8023B"/>
    <w:rsid w:val="00E804EF"/>
    <w:rsid w:val="00E8072C"/>
    <w:rsid w:val="00E80FAC"/>
    <w:rsid w:val="00E8115E"/>
    <w:rsid w:val="00E822BA"/>
    <w:rsid w:val="00E82E05"/>
    <w:rsid w:val="00E830F9"/>
    <w:rsid w:val="00E83822"/>
    <w:rsid w:val="00E8400B"/>
    <w:rsid w:val="00E84422"/>
    <w:rsid w:val="00E8461C"/>
    <w:rsid w:val="00E84665"/>
    <w:rsid w:val="00E84BD1"/>
    <w:rsid w:val="00E84C47"/>
    <w:rsid w:val="00E84CC7"/>
    <w:rsid w:val="00E8515A"/>
    <w:rsid w:val="00E8564D"/>
    <w:rsid w:val="00E85DC4"/>
    <w:rsid w:val="00E86265"/>
    <w:rsid w:val="00E86E77"/>
    <w:rsid w:val="00E877F6"/>
    <w:rsid w:val="00E87AD5"/>
    <w:rsid w:val="00E87B08"/>
    <w:rsid w:val="00E87DA7"/>
    <w:rsid w:val="00E87F02"/>
    <w:rsid w:val="00E907C3"/>
    <w:rsid w:val="00E91F70"/>
    <w:rsid w:val="00E9272A"/>
    <w:rsid w:val="00E92A88"/>
    <w:rsid w:val="00E92DF2"/>
    <w:rsid w:val="00E940E1"/>
    <w:rsid w:val="00E94210"/>
    <w:rsid w:val="00E946F9"/>
    <w:rsid w:val="00E94FED"/>
    <w:rsid w:val="00E9524B"/>
    <w:rsid w:val="00E952A1"/>
    <w:rsid w:val="00E95940"/>
    <w:rsid w:val="00E95F0D"/>
    <w:rsid w:val="00E963B3"/>
    <w:rsid w:val="00E966E3"/>
    <w:rsid w:val="00E967EF"/>
    <w:rsid w:val="00E968B2"/>
    <w:rsid w:val="00E968D7"/>
    <w:rsid w:val="00E96FC9"/>
    <w:rsid w:val="00E96FCC"/>
    <w:rsid w:val="00E97D15"/>
    <w:rsid w:val="00EA0062"/>
    <w:rsid w:val="00EA1084"/>
    <w:rsid w:val="00EA10B5"/>
    <w:rsid w:val="00EA12AE"/>
    <w:rsid w:val="00EA1455"/>
    <w:rsid w:val="00EA18CF"/>
    <w:rsid w:val="00EA1B47"/>
    <w:rsid w:val="00EA1C91"/>
    <w:rsid w:val="00EA2836"/>
    <w:rsid w:val="00EA3580"/>
    <w:rsid w:val="00EA35BB"/>
    <w:rsid w:val="00EA3F1E"/>
    <w:rsid w:val="00EA4125"/>
    <w:rsid w:val="00EA48C0"/>
    <w:rsid w:val="00EA4B71"/>
    <w:rsid w:val="00EA4EBA"/>
    <w:rsid w:val="00EA5118"/>
    <w:rsid w:val="00EA6567"/>
    <w:rsid w:val="00EA6688"/>
    <w:rsid w:val="00EA6B51"/>
    <w:rsid w:val="00EA6FA7"/>
    <w:rsid w:val="00EA7548"/>
    <w:rsid w:val="00EA79E3"/>
    <w:rsid w:val="00EB1469"/>
    <w:rsid w:val="00EB24BD"/>
    <w:rsid w:val="00EB25CC"/>
    <w:rsid w:val="00EB26B8"/>
    <w:rsid w:val="00EB26B9"/>
    <w:rsid w:val="00EB2DD7"/>
    <w:rsid w:val="00EB3BF0"/>
    <w:rsid w:val="00EB40AE"/>
    <w:rsid w:val="00EB4722"/>
    <w:rsid w:val="00EB4745"/>
    <w:rsid w:val="00EB51CF"/>
    <w:rsid w:val="00EB5D51"/>
    <w:rsid w:val="00EB640B"/>
    <w:rsid w:val="00EB69E0"/>
    <w:rsid w:val="00EB6A34"/>
    <w:rsid w:val="00EB6AA7"/>
    <w:rsid w:val="00EB6AA8"/>
    <w:rsid w:val="00EB7280"/>
    <w:rsid w:val="00EC0156"/>
    <w:rsid w:val="00EC062A"/>
    <w:rsid w:val="00EC0C56"/>
    <w:rsid w:val="00EC0F06"/>
    <w:rsid w:val="00EC1729"/>
    <w:rsid w:val="00EC18D0"/>
    <w:rsid w:val="00EC2129"/>
    <w:rsid w:val="00EC2359"/>
    <w:rsid w:val="00EC29B2"/>
    <w:rsid w:val="00EC2CE5"/>
    <w:rsid w:val="00EC41C4"/>
    <w:rsid w:val="00EC4367"/>
    <w:rsid w:val="00EC4AB0"/>
    <w:rsid w:val="00EC5465"/>
    <w:rsid w:val="00EC56D6"/>
    <w:rsid w:val="00EC5EF0"/>
    <w:rsid w:val="00EC61B4"/>
    <w:rsid w:val="00EC7841"/>
    <w:rsid w:val="00EC7B0B"/>
    <w:rsid w:val="00ED0142"/>
    <w:rsid w:val="00ED06F8"/>
    <w:rsid w:val="00ED1ED0"/>
    <w:rsid w:val="00ED2419"/>
    <w:rsid w:val="00ED250C"/>
    <w:rsid w:val="00ED2623"/>
    <w:rsid w:val="00ED3868"/>
    <w:rsid w:val="00ED3C7F"/>
    <w:rsid w:val="00ED3D68"/>
    <w:rsid w:val="00ED46F3"/>
    <w:rsid w:val="00ED4BC5"/>
    <w:rsid w:val="00ED55B9"/>
    <w:rsid w:val="00ED5CE9"/>
    <w:rsid w:val="00ED6354"/>
    <w:rsid w:val="00ED6549"/>
    <w:rsid w:val="00ED6683"/>
    <w:rsid w:val="00ED76C6"/>
    <w:rsid w:val="00ED785A"/>
    <w:rsid w:val="00ED7D8E"/>
    <w:rsid w:val="00ED7F27"/>
    <w:rsid w:val="00EE01DE"/>
    <w:rsid w:val="00EE0BA4"/>
    <w:rsid w:val="00EE1811"/>
    <w:rsid w:val="00EE1B5D"/>
    <w:rsid w:val="00EE1F45"/>
    <w:rsid w:val="00EE27B2"/>
    <w:rsid w:val="00EE2B9D"/>
    <w:rsid w:val="00EE30BA"/>
    <w:rsid w:val="00EE5576"/>
    <w:rsid w:val="00EE6893"/>
    <w:rsid w:val="00EE6F11"/>
    <w:rsid w:val="00EE7916"/>
    <w:rsid w:val="00EE7A1F"/>
    <w:rsid w:val="00EE7A26"/>
    <w:rsid w:val="00EE7F74"/>
    <w:rsid w:val="00EF1579"/>
    <w:rsid w:val="00EF1B25"/>
    <w:rsid w:val="00EF25C0"/>
    <w:rsid w:val="00EF311A"/>
    <w:rsid w:val="00EF41B6"/>
    <w:rsid w:val="00EF4804"/>
    <w:rsid w:val="00EF497D"/>
    <w:rsid w:val="00EF4FD2"/>
    <w:rsid w:val="00EF56AC"/>
    <w:rsid w:val="00EF5EF6"/>
    <w:rsid w:val="00EF654F"/>
    <w:rsid w:val="00EF67D7"/>
    <w:rsid w:val="00EF70EB"/>
    <w:rsid w:val="00EF77F3"/>
    <w:rsid w:val="00F0024E"/>
    <w:rsid w:val="00F010DC"/>
    <w:rsid w:val="00F014A8"/>
    <w:rsid w:val="00F014D9"/>
    <w:rsid w:val="00F0229C"/>
    <w:rsid w:val="00F022CF"/>
    <w:rsid w:val="00F02B83"/>
    <w:rsid w:val="00F02BCC"/>
    <w:rsid w:val="00F03136"/>
    <w:rsid w:val="00F036EF"/>
    <w:rsid w:val="00F04192"/>
    <w:rsid w:val="00F0419F"/>
    <w:rsid w:val="00F041B3"/>
    <w:rsid w:val="00F0425C"/>
    <w:rsid w:val="00F04BBF"/>
    <w:rsid w:val="00F05A99"/>
    <w:rsid w:val="00F05B65"/>
    <w:rsid w:val="00F060D8"/>
    <w:rsid w:val="00F062CB"/>
    <w:rsid w:val="00F066DA"/>
    <w:rsid w:val="00F06E61"/>
    <w:rsid w:val="00F07004"/>
    <w:rsid w:val="00F07413"/>
    <w:rsid w:val="00F07424"/>
    <w:rsid w:val="00F079B7"/>
    <w:rsid w:val="00F1007B"/>
    <w:rsid w:val="00F10C02"/>
    <w:rsid w:val="00F10EEE"/>
    <w:rsid w:val="00F11061"/>
    <w:rsid w:val="00F12774"/>
    <w:rsid w:val="00F12A1E"/>
    <w:rsid w:val="00F12BCD"/>
    <w:rsid w:val="00F12BDF"/>
    <w:rsid w:val="00F12F51"/>
    <w:rsid w:val="00F12F85"/>
    <w:rsid w:val="00F131F4"/>
    <w:rsid w:val="00F1390B"/>
    <w:rsid w:val="00F142D8"/>
    <w:rsid w:val="00F147F9"/>
    <w:rsid w:val="00F148E4"/>
    <w:rsid w:val="00F15286"/>
    <w:rsid w:val="00F15547"/>
    <w:rsid w:val="00F15724"/>
    <w:rsid w:val="00F15736"/>
    <w:rsid w:val="00F15A5B"/>
    <w:rsid w:val="00F161A7"/>
    <w:rsid w:val="00F161B4"/>
    <w:rsid w:val="00F167D4"/>
    <w:rsid w:val="00F167EB"/>
    <w:rsid w:val="00F16A42"/>
    <w:rsid w:val="00F16CE9"/>
    <w:rsid w:val="00F16E62"/>
    <w:rsid w:val="00F175F4"/>
    <w:rsid w:val="00F177E3"/>
    <w:rsid w:val="00F202E5"/>
    <w:rsid w:val="00F20328"/>
    <w:rsid w:val="00F209C4"/>
    <w:rsid w:val="00F20C2B"/>
    <w:rsid w:val="00F20CC9"/>
    <w:rsid w:val="00F21E7E"/>
    <w:rsid w:val="00F21EA1"/>
    <w:rsid w:val="00F222D0"/>
    <w:rsid w:val="00F2234E"/>
    <w:rsid w:val="00F225E3"/>
    <w:rsid w:val="00F22901"/>
    <w:rsid w:val="00F23034"/>
    <w:rsid w:val="00F24356"/>
    <w:rsid w:val="00F248A4"/>
    <w:rsid w:val="00F24C8A"/>
    <w:rsid w:val="00F25509"/>
    <w:rsid w:val="00F25E7F"/>
    <w:rsid w:val="00F25EDD"/>
    <w:rsid w:val="00F26218"/>
    <w:rsid w:val="00F2675C"/>
    <w:rsid w:val="00F2680A"/>
    <w:rsid w:val="00F26C86"/>
    <w:rsid w:val="00F2713E"/>
    <w:rsid w:val="00F272E7"/>
    <w:rsid w:val="00F27BAE"/>
    <w:rsid w:val="00F27FEA"/>
    <w:rsid w:val="00F306F5"/>
    <w:rsid w:val="00F30CD6"/>
    <w:rsid w:val="00F30D81"/>
    <w:rsid w:val="00F312BE"/>
    <w:rsid w:val="00F313CD"/>
    <w:rsid w:val="00F32049"/>
    <w:rsid w:val="00F3241F"/>
    <w:rsid w:val="00F32598"/>
    <w:rsid w:val="00F32B4B"/>
    <w:rsid w:val="00F332CF"/>
    <w:rsid w:val="00F34AF1"/>
    <w:rsid w:val="00F36606"/>
    <w:rsid w:val="00F3666C"/>
    <w:rsid w:val="00F3684A"/>
    <w:rsid w:val="00F36ED1"/>
    <w:rsid w:val="00F37525"/>
    <w:rsid w:val="00F377D2"/>
    <w:rsid w:val="00F378C1"/>
    <w:rsid w:val="00F4066C"/>
    <w:rsid w:val="00F408A7"/>
    <w:rsid w:val="00F409F0"/>
    <w:rsid w:val="00F41BBE"/>
    <w:rsid w:val="00F41D92"/>
    <w:rsid w:val="00F41F29"/>
    <w:rsid w:val="00F43367"/>
    <w:rsid w:val="00F43459"/>
    <w:rsid w:val="00F43B25"/>
    <w:rsid w:val="00F43DB2"/>
    <w:rsid w:val="00F43E08"/>
    <w:rsid w:val="00F4477B"/>
    <w:rsid w:val="00F44796"/>
    <w:rsid w:val="00F4523D"/>
    <w:rsid w:val="00F4643E"/>
    <w:rsid w:val="00F46723"/>
    <w:rsid w:val="00F50C10"/>
    <w:rsid w:val="00F50E85"/>
    <w:rsid w:val="00F510B9"/>
    <w:rsid w:val="00F511F0"/>
    <w:rsid w:val="00F51280"/>
    <w:rsid w:val="00F519CB"/>
    <w:rsid w:val="00F5247D"/>
    <w:rsid w:val="00F52540"/>
    <w:rsid w:val="00F52A43"/>
    <w:rsid w:val="00F52C7E"/>
    <w:rsid w:val="00F53844"/>
    <w:rsid w:val="00F5474C"/>
    <w:rsid w:val="00F550BF"/>
    <w:rsid w:val="00F5537D"/>
    <w:rsid w:val="00F55602"/>
    <w:rsid w:val="00F55841"/>
    <w:rsid w:val="00F55C05"/>
    <w:rsid w:val="00F55CA9"/>
    <w:rsid w:val="00F56B87"/>
    <w:rsid w:val="00F5729E"/>
    <w:rsid w:val="00F60BB6"/>
    <w:rsid w:val="00F620B2"/>
    <w:rsid w:val="00F622E2"/>
    <w:rsid w:val="00F6232C"/>
    <w:rsid w:val="00F623DF"/>
    <w:rsid w:val="00F62D19"/>
    <w:rsid w:val="00F6311D"/>
    <w:rsid w:val="00F63B9D"/>
    <w:rsid w:val="00F640B0"/>
    <w:rsid w:val="00F64418"/>
    <w:rsid w:val="00F64FAE"/>
    <w:rsid w:val="00F65510"/>
    <w:rsid w:val="00F65630"/>
    <w:rsid w:val="00F65F60"/>
    <w:rsid w:val="00F66585"/>
    <w:rsid w:val="00F67201"/>
    <w:rsid w:val="00F67F35"/>
    <w:rsid w:val="00F7068C"/>
    <w:rsid w:val="00F7077A"/>
    <w:rsid w:val="00F71D3C"/>
    <w:rsid w:val="00F72200"/>
    <w:rsid w:val="00F726F8"/>
    <w:rsid w:val="00F73313"/>
    <w:rsid w:val="00F737BF"/>
    <w:rsid w:val="00F73E55"/>
    <w:rsid w:val="00F74FFB"/>
    <w:rsid w:val="00F755DA"/>
    <w:rsid w:val="00F75651"/>
    <w:rsid w:val="00F7601A"/>
    <w:rsid w:val="00F7694D"/>
    <w:rsid w:val="00F76C31"/>
    <w:rsid w:val="00F77296"/>
    <w:rsid w:val="00F80010"/>
    <w:rsid w:val="00F805B1"/>
    <w:rsid w:val="00F805EB"/>
    <w:rsid w:val="00F80706"/>
    <w:rsid w:val="00F80A25"/>
    <w:rsid w:val="00F814EE"/>
    <w:rsid w:val="00F8156C"/>
    <w:rsid w:val="00F81E51"/>
    <w:rsid w:val="00F82A9C"/>
    <w:rsid w:val="00F82C2E"/>
    <w:rsid w:val="00F82F95"/>
    <w:rsid w:val="00F834F2"/>
    <w:rsid w:val="00F8459D"/>
    <w:rsid w:val="00F8487F"/>
    <w:rsid w:val="00F84A3C"/>
    <w:rsid w:val="00F84B60"/>
    <w:rsid w:val="00F850B2"/>
    <w:rsid w:val="00F8647D"/>
    <w:rsid w:val="00F866B0"/>
    <w:rsid w:val="00F86AFF"/>
    <w:rsid w:val="00F9096D"/>
    <w:rsid w:val="00F9099C"/>
    <w:rsid w:val="00F91647"/>
    <w:rsid w:val="00F917C5"/>
    <w:rsid w:val="00F919B8"/>
    <w:rsid w:val="00F91C7B"/>
    <w:rsid w:val="00F9223A"/>
    <w:rsid w:val="00F92D4F"/>
    <w:rsid w:val="00F93027"/>
    <w:rsid w:val="00F930B0"/>
    <w:rsid w:val="00F94294"/>
    <w:rsid w:val="00F9451F"/>
    <w:rsid w:val="00F94761"/>
    <w:rsid w:val="00F95722"/>
    <w:rsid w:val="00F95A92"/>
    <w:rsid w:val="00F96208"/>
    <w:rsid w:val="00F9654A"/>
    <w:rsid w:val="00F97813"/>
    <w:rsid w:val="00F979DB"/>
    <w:rsid w:val="00F979F9"/>
    <w:rsid w:val="00FA0BD6"/>
    <w:rsid w:val="00FA1E4A"/>
    <w:rsid w:val="00FA2193"/>
    <w:rsid w:val="00FA24F7"/>
    <w:rsid w:val="00FA26DE"/>
    <w:rsid w:val="00FA2770"/>
    <w:rsid w:val="00FA2993"/>
    <w:rsid w:val="00FA310C"/>
    <w:rsid w:val="00FA3DA8"/>
    <w:rsid w:val="00FA4180"/>
    <w:rsid w:val="00FA4CE4"/>
    <w:rsid w:val="00FA4F12"/>
    <w:rsid w:val="00FA52FC"/>
    <w:rsid w:val="00FA55BD"/>
    <w:rsid w:val="00FA5D6D"/>
    <w:rsid w:val="00FA644F"/>
    <w:rsid w:val="00FA6C37"/>
    <w:rsid w:val="00FA73BC"/>
    <w:rsid w:val="00FA76A9"/>
    <w:rsid w:val="00FA7718"/>
    <w:rsid w:val="00FA7A9E"/>
    <w:rsid w:val="00FA7E28"/>
    <w:rsid w:val="00FB0722"/>
    <w:rsid w:val="00FB07FA"/>
    <w:rsid w:val="00FB0849"/>
    <w:rsid w:val="00FB0B66"/>
    <w:rsid w:val="00FB15E4"/>
    <w:rsid w:val="00FB34D3"/>
    <w:rsid w:val="00FB3857"/>
    <w:rsid w:val="00FB4102"/>
    <w:rsid w:val="00FB434F"/>
    <w:rsid w:val="00FB4C38"/>
    <w:rsid w:val="00FB4CB9"/>
    <w:rsid w:val="00FB5A2F"/>
    <w:rsid w:val="00FB5BAE"/>
    <w:rsid w:val="00FB5F96"/>
    <w:rsid w:val="00FB5FAB"/>
    <w:rsid w:val="00FB65AC"/>
    <w:rsid w:val="00FB6D6F"/>
    <w:rsid w:val="00FB7AD3"/>
    <w:rsid w:val="00FB7B78"/>
    <w:rsid w:val="00FB7FCD"/>
    <w:rsid w:val="00FC0025"/>
    <w:rsid w:val="00FC04DD"/>
    <w:rsid w:val="00FC0F44"/>
    <w:rsid w:val="00FC1306"/>
    <w:rsid w:val="00FC14C8"/>
    <w:rsid w:val="00FC196D"/>
    <w:rsid w:val="00FC3D20"/>
    <w:rsid w:val="00FC3DEB"/>
    <w:rsid w:val="00FC41B2"/>
    <w:rsid w:val="00FC45C9"/>
    <w:rsid w:val="00FC4BD9"/>
    <w:rsid w:val="00FC4D9A"/>
    <w:rsid w:val="00FC50D2"/>
    <w:rsid w:val="00FC51E6"/>
    <w:rsid w:val="00FC5243"/>
    <w:rsid w:val="00FC58E9"/>
    <w:rsid w:val="00FC59A8"/>
    <w:rsid w:val="00FC620D"/>
    <w:rsid w:val="00FC695B"/>
    <w:rsid w:val="00FC71E8"/>
    <w:rsid w:val="00FC7785"/>
    <w:rsid w:val="00FC7A0F"/>
    <w:rsid w:val="00FC7C68"/>
    <w:rsid w:val="00FD0540"/>
    <w:rsid w:val="00FD0AE0"/>
    <w:rsid w:val="00FD1A0E"/>
    <w:rsid w:val="00FD1C3A"/>
    <w:rsid w:val="00FD2521"/>
    <w:rsid w:val="00FD2638"/>
    <w:rsid w:val="00FD2A9D"/>
    <w:rsid w:val="00FD2B91"/>
    <w:rsid w:val="00FD2ECE"/>
    <w:rsid w:val="00FD31EC"/>
    <w:rsid w:val="00FD3884"/>
    <w:rsid w:val="00FD4641"/>
    <w:rsid w:val="00FD4FB3"/>
    <w:rsid w:val="00FD5776"/>
    <w:rsid w:val="00FD57EE"/>
    <w:rsid w:val="00FD5BAE"/>
    <w:rsid w:val="00FD5BB3"/>
    <w:rsid w:val="00FD5F6C"/>
    <w:rsid w:val="00FD62B1"/>
    <w:rsid w:val="00FD78FA"/>
    <w:rsid w:val="00FD799E"/>
    <w:rsid w:val="00FE0554"/>
    <w:rsid w:val="00FE088A"/>
    <w:rsid w:val="00FE0C89"/>
    <w:rsid w:val="00FE0CD8"/>
    <w:rsid w:val="00FE2807"/>
    <w:rsid w:val="00FE299E"/>
    <w:rsid w:val="00FE300E"/>
    <w:rsid w:val="00FE3446"/>
    <w:rsid w:val="00FE361E"/>
    <w:rsid w:val="00FE36E7"/>
    <w:rsid w:val="00FE3795"/>
    <w:rsid w:val="00FE4072"/>
    <w:rsid w:val="00FE4ACE"/>
    <w:rsid w:val="00FE4AD9"/>
    <w:rsid w:val="00FE4DEE"/>
    <w:rsid w:val="00FE6196"/>
    <w:rsid w:val="00FE7413"/>
    <w:rsid w:val="00FF04CF"/>
    <w:rsid w:val="00FF0555"/>
    <w:rsid w:val="00FF0EB4"/>
    <w:rsid w:val="00FF1289"/>
    <w:rsid w:val="00FF15CA"/>
    <w:rsid w:val="00FF1EFE"/>
    <w:rsid w:val="00FF25BB"/>
    <w:rsid w:val="00FF2F80"/>
    <w:rsid w:val="00FF3422"/>
    <w:rsid w:val="00FF3E78"/>
    <w:rsid w:val="00FF492E"/>
    <w:rsid w:val="00FF4CF7"/>
    <w:rsid w:val="00FF4F7F"/>
    <w:rsid w:val="00FF5136"/>
    <w:rsid w:val="00FF5387"/>
    <w:rsid w:val="00FF5785"/>
    <w:rsid w:val="00FF66C1"/>
    <w:rsid w:val="00FF6750"/>
    <w:rsid w:val="00FF69FA"/>
    <w:rsid w:val="00FF6B2C"/>
    <w:rsid w:val="00FF6B76"/>
    <w:rsid w:val="00FF6BDA"/>
    <w:rsid w:val="00FF6F40"/>
    <w:rsid w:val="00FF7674"/>
    <w:rsid w:val="00FF78EF"/>
    <w:rsid w:val="00FF7C36"/>
    <w:rsid w:val="00F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13970"/>
  <w15:docId w15:val="{5EC23938-937C-4696-B7C4-115644BA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3D3"/>
    <w:pPr>
      <w:widowControl w:val="0"/>
    </w:pPr>
  </w:style>
  <w:style w:type="paragraph" w:styleId="Heading1">
    <w:name w:val="heading 1"/>
    <w:basedOn w:val="Normal"/>
    <w:next w:val="Normal"/>
    <w:link w:val="Heading1Char"/>
    <w:qFormat/>
    <w:rsid w:val="0066549D"/>
    <w:pPr>
      <w:widowControl/>
      <w:numPr>
        <w:numId w:val="1"/>
      </w:numPr>
      <w:spacing w:line="360" w:lineRule="auto"/>
      <w:ind w:left="720"/>
      <w:jc w:val="center"/>
      <w:outlineLvl w:val="0"/>
    </w:pPr>
    <w:rPr>
      <w:b/>
      <w:sz w:val="26"/>
    </w:rPr>
  </w:style>
  <w:style w:type="paragraph" w:styleId="Heading2">
    <w:name w:val="heading 2"/>
    <w:basedOn w:val="Normal"/>
    <w:next w:val="Normal"/>
    <w:link w:val="Heading2Char"/>
    <w:unhideWhenUsed/>
    <w:qFormat/>
    <w:rsid w:val="00D323D0"/>
    <w:pPr>
      <w:keepNext/>
      <w:keepLines/>
      <w:numPr>
        <w:numId w:val="3"/>
      </w:numPr>
      <w:spacing w:line="360" w:lineRule="auto"/>
      <w:ind w:hanging="720"/>
      <w:outlineLvl w:val="1"/>
    </w:pPr>
    <w:rPr>
      <w:rFonts w:eastAsiaTheme="majorEastAsia"/>
      <w:b/>
      <w:bCs/>
      <w:sz w:val="26"/>
      <w:szCs w:val="26"/>
    </w:rPr>
  </w:style>
  <w:style w:type="paragraph" w:styleId="Heading3">
    <w:name w:val="heading 3"/>
    <w:basedOn w:val="ListParagraph"/>
    <w:next w:val="Normal"/>
    <w:link w:val="Heading3Char"/>
    <w:unhideWhenUsed/>
    <w:qFormat/>
    <w:rsid w:val="00387154"/>
    <w:pPr>
      <w:widowControl/>
      <w:numPr>
        <w:numId w:val="4"/>
      </w:numPr>
      <w:spacing w:line="360" w:lineRule="auto"/>
      <w:outlineLvl w:val="2"/>
    </w:pPr>
    <w:rPr>
      <w:b/>
      <w:bCs/>
      <w:sz w:val="26"/>
      <w:szCs w:val="26"/>
    </w:rPr>
  </w:style>
  <w:style w:type="paragraph" w:styleId="Heading4">
    <w:name w:val="heading 4"/>
    <w:basedOn w:val="ListParagraph"/>
    <w:next w:val="Normal"/>
    <w:link w:val="Heading4Char"/>
    <w:unhideWhenUsed/>
    <w:qFormat/>
    <w:rsid w:val="00FD57EE"/>
    <w:pPr>
      <w:keepNext/>
      <w:keepLines/>
      <w:widowControl/>
      <w:numPr>
        <w:ilvl w:val="1"/>
        <w:numId w:val="21"/>
      </w:numPr>
      <w:spacing w:line="360" w:lineRule="auto"/>
      <w:ind w:left="2160" w:hanging="720"/>
      <w:outlineLvl w:val="3"/>
    </w:pPr>
    <w:rPr>
      <w:b/>
      <w:bCs/>
      <w:sz w:val="26"/>
      <w:szCs w:val="26"/>
    </w:rPr>
  </w:style>
  <w:style w:type="paragraph" w:styleId="Heading5">
    <w:name w:val="heading 5"/>
    <w:basedOn w:val="Normal"/>
    <w:next w:val="Normal"/>
    <w:rsid w:val="00FD5F6C"/>
    <w:pPr>
      <w:widowControl/>
      <w:kinsoku w:val="0"/>
      <w:overflowPunct w:val="0"/>
      <w:spacing w:line="489" w:lineRule="exact"/>
      <w:ind w:left="2160" w:right="144" w:firstLine="720"/>
      <w:textAlignment w:val="baseline"/>
      <w:outlineLvl w:val="4"/>
    </w:pPr>
    <w:rPr>
      <w:b/>
      <w:bCs/>
      <w:sz w:val="26"/>
      <w:szCs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link w:val="FooterChar"/>
    <w:uiPriority w:val="99"/>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aliases w:val="Footnote Text Char2,Footnote Text Char Char,Footnote Text Char1 Char Char,Footnote Text Char Char Char Char,Footnote Text Char1 Char1,Footnote Text Char Char1 Char,Car,fn,ALTS FOOTNOTE,Footnote Text 2,Footnote text,FOOTNOTE,fn Char Char"/>
    <w:basedOn w:val="Normal"/>
    <w:link w:val="FootnoteTextChar"/>
    <w:uiPriority w:val="99"/>
    <w:qFormat/>
    <w:rsid w:val="00022D45"/>
    <w:pPr>
      <w:widowControl/>
    </w:pPr>
  </w:style>
  <w:style w:type="character" w:styleId="FootnoteReference">
    <w:name w:val="footnote reference"/>
    <w:aliases w:val="o,fr,Style 42,(NECG) Footnote Reference,Footnote Reference (EIS),Styl,Style 11,Style 13,Style 15,Style 17,Style 18,Style 19,Style 20,Style 21,Style 24,Style 28,Style 4,Style 5,Style 7,Style 8,fr1,fr2,fr3,o1,o2,o3,footnote text"/>
    <w:uiPriority w:val="99"/>
    <w:qFormat/>
    <w:rsid w:val="00022D45"/>
    <w:rPr>
      <w:vertAlign w:val="superscript"/>
    </w:rPr>
  </w:style>
  <w:style w:type="character" w:styleId="Hyperlink">
    <w:name w:val="Hyperlink"/>
    <w:uiPriority w:val="99"/>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customStyle="1" w:styleId="Heading1Char">
    <w:name w:val="Heading 1 Char"/>
    <w:basedOn w:val="DefaultParagraphFont"/>
    <w:link w:val="Heading1"/>
    <w:rsid w:val="0066549D"/>
    <w:rPr>
      <w:b/>
      <w:sz w:val="26"/>
    </w:rPr>
  </w:style>
  <w:style w:type="character" w:customStyle="1" w:styleId="Heading2Char">
    <w:name w:val="Heading 2 Char"/>
    <w:basedOn w:val="DefaultParagraphFont"/>
    <w:link w:val="Heading2"/>
    <w:rsid w:val="00D323D0"/>
    <w:rPr>
      <w:rFonts w:eastAsiaTheme="majorEastAsia"/>
      <w:b/>
      <w:bCs/>
      <w:sz w:val="26"/>
      <w:szCs w:val="26"/>
    </w:rPr>
  </w:style>
  <w:style w:type="paragraph" w:styleId="BlockText">
    <w:name w:val="Block Text"/>
    <w:basedOn w:val="Normal"/>
    <w:rsid w:val="008360ED"/>
    <w:pPr>
      <w:tabs>
        <w:tab w:val="left" w:pos="-720"/>
      </w:tabs>
      <w:spacing w:line="360" w:lineRule="auto"/>
      <w:ind w:left="1440" w:right="2160"/>
    </w:pPr>
    <w:rPr>
      <w:sz w:val="26"/>
    </w:rPr>
  </w:style>
  <w:style w:type="paragraph" w:styleId="ListParagraph">
    <w:name w:val="List Paragraph"/>
    <w:basedOn w:val="Normal"/>
    <w:uiPriority w:val="34"/>
    <w:qFormat/>
    <w:rsid w:val="00130A7A"/>
    <w:pPr>
      <w:ind w:left="720"/>
      <w:contextualSpacing/>
    </w:pPr>
  </w:style>
  <w:style w:type="character" w:customStyle="1" w:styleId="Heading3Char">
    <w:name w:val="Heading 3 Char"/>
    <w:basedOn w:val="DefaultParagraphFont"/>
    <w:link w:val="Heading3"/>
    <w:rsid w:val="00387154"/>
    <w:rPr>
      <w:b/>
      <w:bCs/>
      <w:sz w:val="26"/>
      <w:szCs w:val="26"/>
    </w:rPr>
  </w:style>
  <w:style w:type="character" w:customStyle="1" w:styleId="Heading4Char">
    <w:name w:val="Heading 4 Char"/>
    <w:basedOn w:val="DefaultParagraphFont"/>
    <w:link w:val="Heading4"/>
    <w:rsid w:val="00FD57EE"/>
    <w:rPr>
      <w:b/>
      <w:bCs/>
      <w:sz w:val="26"/>
      <w:szCs w:val="26"/>
    </w:rPr>
  </w:style>
  <w:style w:type="character" w:customStyle="1" w:styleId="FootnoteTextChar">
    <w:name w:val="Footnote Text Char"/>
    <w:aliases w:val="Footnote Text Char2 Char,Footnote Text Char Char Char,Footnote Text Char1 Char Char Char,Footnote Text Char Char Char Char Char,Footnote Text Char1 Char1 Char,Footnote Text Char Char1 Char Char,Car Char,fn Char,ALTS FOOTNOTE Char"/>
    <w:basedOn w:val="DefaultParagraphFont"/>
    <w:link w:val="FootnoteText"/>
    <w:uiPriority w:val="99"/>
    <w:rsid w:val="0004698C"/>
  </w:style>
  <w:style w:type="paragraph" w:styleId="TOC1">
    <w:name w:val="toc 1"/>
    <w:basedOn w:val="Normal"/>
    <w:next w:val="Normal"/>
    <w:autoRedefine/>
    <w:uiPriority w:val="39"/>
    <w:unhideWhenUsed/>
    <w:rsid w:val="00F510B9"/>
    <w:pPr>
      <w:tabs>
        <w:tab w:val="left" w:pos="720"/>
        <w:tab w:val="right" w:leader="dot" w:pos="9350"/>
      </w:tabs>
      <w:spacing w:after="100"/>
    </w:pPr>
    <w:rPr>
      <w:sz w:val="26"/>
    </w:rPr>
  </w:style>
  <w:style w:type="paragraph" w:styleId="TOC2">
    <w:name w:val="toc 2"/>
    <w:basedOn w:val="Normal"/>
    <w:next w:val="Normal"/>
    <w:autoRedefine/>
    <w:uiPriority w:val="39"/>
    <w:unhideWhenUsed/>
    <w:rsid w:val="00D17724"/>
    <w:pPr>
      <w:tabs>
        <w:tab w:val="left" w:pos="1440"/>
        <w:tab w:val="right" w:leader="dot" w:pos="9350"/>
      </w:tabs>
      <w:spacing w:after="100"/>
      <w:ind w:left="1440" w:hanging="720"/>
    </w:pPr>
    <w:rPr>
      <w:sz w:val="26"/>
    </w:rPr>
  </w:style>
  <w:style w:type="paragraph" w:styleId="TOC3">
    <w:name w:val="toc 3"/>
    <w:basedOn w:val="Normal"/>
    <w:next w:val="Normal"/>
    <w:autoRedefine/>
    <w:uiPriority w:val="39"/>
    <w:unhideWhenUsed/>
    <w:rsid w:val="00F510B9"/>
    <w:pPr>
      <w:tabs>
        <w:tab w:val="left" w:pos="2160"/>
        <w:tab w:val="right" w:leader="dot" w:pos="9350"/>
      </w:tabs>
      <w:spacing w:after="100"/>
      <w:ind w:left="1440"/>
    </w:pPr>
    <w:rPr>
      <w:sz w:val="26"/>
    </w:rPr>
  </w:style>
  <w:style w:type="paragraph" w:styleId="TOC4">
    <w:name w:val="toc 4"/>
    <w:basedOn w:val="Normal"/>
    <w:next w:val="Normal"/>
    <w:autoRedefine/>
    <w:uiPriority w:val="39"/>
    <w:unhideWhenUsed/>
    <w:rsid w:val="00F510B9"/>
    <w:pPr>
      <w:tabs>
        <w:tab w:val="left" w:pos="2880"/>
        <w:tab w:val="right" w:leader="dot" w:pos="9350"/>
      </w:tabs>
      <w:spacing w:after="100"/>
      <w:ind w:left="2160"/>
    </w:pPr>
    <w:rPr>
      <w:sz w:val="24"/>
    </w:rPr>
  </w:style>
  <w:style w:type="character" w:styleId="CommentReference">
    <w:name w:val="annotation reference"/>
    <w:basedOn w:val="DefaultParagraphFont"/>
    <w:semiHidden/>
    <w:unhideWhenUsed/>
    <w:rsid w:val="00313907"/>
    <w:rPr>
      <w:sz w:val="16"/>
      <w:szCs w:val="16"/>
    </w:rPr>
  </w:style>
  <w:style w:type="paragraph" w:styleId="CommentText">
    <w:name w:val="annotation text"/>
    <w:basedOn w:val="Normal"/>
    <w:link w:val="CommentTextChar"/>
    <w:unhideWhenUsed/>
    <w:rsid w:val="00313907"/>
  </w:style>
  <w:style w:type="character" w:customStyle="1" w:styleId="CommentTextChar">
    <w:name w:val="Comment Text Char"/>
    <w:basedOn w:val="DefaultParagraphFont"/>
    <w:link w:val="CommentText"/>
    <w:rsid w:val="00313907"/>
  </w:style>
  <w:style w:type="paragraph" w:styleId="CommentSubject">
    <w:name w:val="annotation subject"/>
    <w:basedOn w:val="CommentText"/>
    <w:next w:val="CommentText"/>
    <w:link w:val="CommentSubjectChar"/>
    <w:semiHidden/>
    <w:unhideWhenUsed/>
    <w:rsid w:val="00313907"/>
    <w:rPr>
      <w:b/>
      <w:bCs/>
    </w:rPr>
  </w:style>
  <w:style w:type="character" w:customStyle="1" w:styleId="CommentSubjectChar">
    <w:name w:val="Comment Subject Char"/>
    <w:basedOn w:val="CommentTextChar"/>
    <w:link w:val="CommentSubject"/>
    <w:semiHidden/>
    <w:rsid w:val="00313907"/>
    <w:rPr>
      <w:b/>
      <w:bCs/>
    </w:rPr>
  </w:style>
  <w:style w:type="character" w:customStyle="1" w:styleId="UnresolvedMention1">
    <w:name w:val="Unresolved Mention1"/>
    <w:basedOn w:val="DefaultParagraphFont"/>
    <w:uiPriority w:val="99"/>
    <w:semiHidden/>
    <w:unhideWhenUsed/>
    <w:rsid w:val="00446EA6"/>
    <w:rPr>
      <w:color w:val="605E5C"/>
      <w:shd w:val="clear" w:color="auto" w:fill="E1DFDD"/>
    </w:rPr>
  </w:style>
  <w:style w:type="table" w:customStyle="1" w:styleId="TableGrid1">
    <w:name w:val="Table Grid1"/>
    <w:basedOn w:val="TableNormal"/>
    <w:next w:val="TableGrid"/>
    <w:rsid w:val="000E4F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24C96"/>
    <w:rPr>
      <w:color w:val="605E5C"/>
      <w:shd w:val="clear" w:color="auto" w:fill="E1DFDD"/>
    </w:rPr>
  </w:style>
  <w:style w:type="character" w:customStyle="1" w:styleId="FooterChar">
    <w:name w:val="Footer Char"/>
    <w:basedOn w:val="DefaultParagraphFont"/>
    <w:link w:val="Footer"/>
    <w:uiPriority w:val="99"/>
    <w:rsid w:val="00424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53566">
      <w:bodyDiv w:val="1"/>
      <w:marLeft w:val="0"/>
      <w:marRight w:val="0"/>
      <w:marTop w:val="0"/>
      <w:marBottom w:val="0"/>
      <w:divBdr>
        <w:top w:val="none" w:sz="0" w:space="0" w:color="auto"/>
        <w:left w:val="none" w:sz="0" w:space="0" w:color="auto"/>
        <w:bottom w:val="none" w:sz="0" w:space="0" w:color="auto"/>
        <w:right w:val="none" w:sz="0" w:space="0" w:color="auto"/>
      </w:divBdr>
    </w:div>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1035547825">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19811">
      <w:bodyDiv w:val="1"/>
      <w:marLeft w:val="0"/>
      <w:marRight w:val="0"/>
      <w:marTop w:val="0"/>
      <w:marBottom w:val="0"/>
      <w:divBdr>
        <w:top w:val="none" w:sz="0" w:space="0" w:color="auto"/>
        <w:left w:val="none" w:sz="0" w:space="0" w:color="auto"/>
        <w:bottom w:val="none" w:sz="0" w:space="0" w:color="auto"/>
        <w:right w:val="none" w:sz="0" w:space="0" w:color="auto"/>
      </w:divBdr>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556752">
      <w:bodyDiv w:val="1"/>
      <w:marLeft w:val="0"/>
      <w:marRight w:val="0"/>
      <w:marTop w:val="0"/>
      <w:marBottom w:val="0"/>
      <w:divBdr>
        <w:top w:val="none" w:sz="0" w:space="0" w:color="auto"/>
        <w:left w:val="none" w:sz="0" w:space="0" w:color="auto"/>
        <w:bottom w:val="none" w:sz="0" w:space="0" w:color="auto"/>
        <w:right w:val="none" w:sz="0" w:space="0" w:color="auto"/>
      </w:divBdr>
    </w:div>
    <w:div w:id="2076707567">
      <w:bodyDiv w:val="1"/>
      <w:marLeft w:val="0"/>
      <w:marRight w:val="0"/>
      <w:marTop w:val="0"/>
      <w:marBottom w:val="0"/>
      <w:divBdr>
        <w:top w:val="none" w:sz="0" w:space="0" w:color="auto"/>
        <w:left w:val="none" w:sz="0" w:space="0" w:color="auto"/>
        <w:bottom w:val="none" w:sz="0" w:space="0" w:color="auto"/>
        <w:right w:val="none" w:sz="0" w:space="0" w:color="auto"/>
      </w:divBdr>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4E1B1-8228-47F9-A027-7FDE4C28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26147</Words>
  <Characters>149042</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174840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Wagner, Nathan R</cp:lastModifiedBy>
  <cp:revision>2</cp:revision>
  <cp:lastPrinted>2019-12-11T13:52:00Z</cp:lastPrinted>
  <dcterms:created xsi:type="dcterms:W3CDTF">2020-11-19T16:10:00Z</dcterms:created>
  <dcterms:modified xsi:type="dcterms:W3CDTF">2020-11-19T16:10:00Z</dcterms:modified>
</cp:coreProperties>
</file>