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B992" w14:textId="77777777" w:rsidR="00432C71" w:rsidRPr="00E37897" w:rsidRDefault="00432C71" w:rsidP="005F3BE2">
      <w:pPr>
        <w:pStyle w:val="NoSpacing"/>
        <w:contextualSpacing/>
        <w:jc w:val="center"/>
        <w:rPr>
          <w:b/>
          <w:sz w:val="26"/>
          <w:szCs w:val="26"/>
        </w:rPr>
      </w:pPr>
      <w:r w:rsidRPr="00E37897">
        <w:rPr>
          <w:b/>
          <w:sz w:val="26"/>
          <w:szCs w:val="26"/>
        </w:rPr>
        <w:t xml:space="preserve">PENNSYLVANIA </w:t>
      </w:r>
    </w:p>
    <w:p w14:paraId="1C0EF86C" w14:textId="77777777" w:rsidR="00432C71" w:rsidRPr="00E37897" w:rsidRDefault="00432C71" w:rsidP="005F3BE2">
      <w:pPr>
        <w:pStyle w:val="NoSpacing"/>
        <w:contextualSpacing/>
        <w:jc w:val="center"/>
        <w:rPr>
          <w:b/>
          <w:sz w:val="26"/>
          <w:szCs w:val="26"/>
        </w:rPr>
      </w:pPr>
      <w:r w:rsidRPr="00E37897">
        <w:rPr>
          <w:b/>
          <w:sz w:val="26"/>
          <w:szCs w:val="26"/>
        </w:rPr>
        <w:t>PUBLIC UT</w:t>
      </w:r>
      <w:r w:rsidR="00DF5285" w:rsidRPr="00E37897">
        <w:rPr>
          <w:b/>
          <w:sz w:val="26"/>
          <w:szCs w:val="26"/>
        </w:rPr>
        <w:t>I</w:t>
      </w:r>
      <w:r w:rsidRPr="00E37897">
        <w:rPr>
          <w:b/>
          <w:sz w:val="26"/>
          <w:szCs w:val="26"/>
        </w:rPr>
        <w:t>LITY COMMISSION</w:t>
      </w:r>
    </w:p>
    <w:p w14:paraId="055D0DAC" w14:textId="20F6735E" w:rsidR="00432C71" w:rsidRPr="00E37897" w:rsidRDefault="00432C71" w:rsidP="005F3BE2">
      <w:pPr>
        <w:pStyle w:val="NoSpacing"/>
        <w:contextualSpacing/>
        <w:jc w:val="center"/>
        <w:rPr>
          <w:b/>
          <w:sz w:val="26"/>
          <w:szCs w:val="26"/>
        </w:rPr>
      </w:pPr>
      <w:r w:rsidRPr="00E37897">
        <w:rPr>
          <w:b/>
          <w:sz w:val="26"/>
          <w:szCs w:val="26"/>
        </w:rPr>
        <w:t>Harrisburg, PA 171</w:t>
      </w:r>
      <w:r w:rsidR="00A33E80" w:rsidRPr="00E37897">
        <w:rPr>
          <w:b/>
          <w:sz w:val="26"/>
          <w:szCs w:val="26"/>
        </w:rPr>
        <w:t>20</w:t>
      </w:r>
    </w:p>
    <w:p w14:paraId="5DE22911" w14:textId="36528E35" w:rsidR="00BF7AE3" w:rsidRDefault="00BF7AE3" w:rsidP="005F3BE2">
      <w:pPr>
        <w:pStyle w:val="NoSpacing"/>
        <w:contextualSpacing/>
        <w:jc w:val="center"/>
        <w:rPr>
          <w:b/>
          <w:sz w:val="26"/>
          <w:szCs w:val="26"/>
        </w:rPr>
      </w:pPr>
    </w:p>
    <w:p w14:paraId="1826642B" w14:textId="77777777" w:rsidR="001953F3" w:rsidRPr="00E37897" w:rsidRDefault="001953F3" w:rsidP="005F3BE2">
      <w:pPr>
        <w:pStyle w:val="NoSpacing"/>
        <w:contextualSpacing/>
        <w:jc w:val="center"/>
        <w:rPr>
          <w:b/>
          <w:sz w:val="26"/>
          <w:szCs w:val="26"/>
        </w:rPr>
      </w:pPr>
    </w:p>
    <w:p w14:paraId="4751D6D4" w14:textId="3EAB0E8A" w:rsidR="00BF7AE3" w:rsidRPr="00E37897" w:rsidRDefault="00A33E80" w:rsidP="005F3BE2">
      <w:pPr>
        <w:pStyle w:val="NoSpacing"/>
        <w:contextualSpacing/>
        <w:jc w:val="right"/>
        <w:rPr>
          <w:sz w:val="26"/>
          <w:szCs w:val="26"/>
        </w:rPr>
      </w:pPr>
      <w:r w:rsidRPr="00E37897">
        <w:rPr>
          <w:sz w:val="26"/>
          <w:szCs w:val="26"/>
        </w:rPr>
        <w:t xml:space="preserve"> </w:t>
      </w:r>
      <w:r w:rsidR="00BF7AE3" w:rsidRPr="00E37897">
        <w:rPr>
          <w:sz w:val="26"/>
          <w:szCs w:val="26"/>
        </w:rPr>
        <w:t xml:space="preserve">Public Meeting held December </w:t>
      </w:r>
      <w:r w:rsidRPr="00E37897">
        <w:rPr>
          <w:sz w:val="26"/>
          <w:szCs w:val="26"/>
        </w:rPr>
        <w:t>3</w:t>
      </w:r>
      <w:r w:rsidR="00BF7AE3" w:rsidRPr="00E37897">
        <w:rPr>
          <w:sz w:val="26"/>
          <w:szCs w:val="26"/>
        </w:rPr>
        <w:t>, 20</w:t>
      </w:r>
      <w:r w:rsidRPr="00E37897">
        <w:rPr>
          <w:sz w:val="26"/>
          <w:szCs w:val="26"/>
        </w:rPr>
        <w:t>20</w:t>
      </w:r>
    </w:p>
    <w:p w14:paraId="29AB621A" w14:textId="77777777" w:rsidR="00BF7AE3" w:rsidRPr="00E37897" w:rsidRDefault="00BF7AE3" w:rsidP="005F3BE2">
      <w:pPr>
        <w:pStyle w:val="NoSpacing"/>
        <w:contextualSpacing/>
        <w:jc w:val="right"/>
        <w:rPr>
          <w:sz w:val="26"/>
          <w:szCs w:val="26"/>
        </w:rPr>
      </w:pPr>
    </w:p>
    <w:p w14:paraId="2EDF462E" w14:textId="77777777" w:rsidR="006F7D6F" w:rsidRPr="00E37897" w:rsidRDefault="006F7D6F" w:rsidP="005F3BE2">
      <w:pPr>
        <w:pStyle w:val="NoSpacing"/>
        <w:contextualSpacing/>
        <w:jc w:val="right"/>
        <w:rPr>
          <w:sz w:val="26"/>
          <w:szCs w:val="26"/>
        </w:rPr>
      </w:pPr>
    </w:p>
    <w:p w14:paraId="78721E51" w14:textId="77777777" w:rsidR="00BF7AE3" w:rsidRPr="00E37897" w:rsidRDefault="00BF7AE3" w:rsidP="005F3BE2">
      <w:pPr>
        <w:widowControl/>
        <w:contextualSpacing/>
        <w:rPr>
          <w:sz w:val="26"/>
          <w:szCs w:val="26"/>
        </w:rPr>
      </w:pPr>
      <w:r w:rsidRPr="00E37897">
        <w:rPr>
          <w:sz w:val="26"/>
          <w:szCs w:val="26"/>
        </w:rPr>
        <w:t>Commissioners Present:</w:t>
      </w:r>
    </w:p>
    <w:p w14:paraId="4D020B33" w14:textId="77777777" w:rsidR="00BF7AE3" w:rsidRPr="00E37897" w:rsidRDefault="00BF7AE3" w:rsidP="005F3BE2">
      <w:pPr>
        <w:widowControl/>
        <w:contextualSpacing/>
        <w:rPr>
          <w:sz w:val="26"/>
          <w:szCs w:val="26"/>
        </w:rPr>
      </w:pPr>
    </w:p>
    <w:p w14:paraId="0DDFB5DF" w14:textId="4E8F0FB9" w:rsidR="006F7D6F" w:rsidRPr="00E37897" w:rsidRDefault="006F7D6F" w:rsidP="005F3BE2">
      <w:pPr>
        <w:widowControl/>
        <w:contextualSpacing/>
        <w:rPr>
          <w:sz w:val="26"/>
          <w:szCs w:val="26"/>
        </w:rPr>
      </w:pPr>
    </w:p>
    <w:p w14:paraId="73CCFA9E" w14:textId="64A2D957" w:rsidR="003531C8" w:rsidRPr="00E37897" w:rsidRDefault="003531C8" w:rsidP="005F3BE2">
      <w:pPr>
        <w:widowControl/>
        <w:tabs>
          <w:tab w:val="left" w:pos="705"/>
        </w:tabs>
        <w:ind w:left="720" w:right="-555"/>
        <w:contextualSpacing/>
        <w:rPr>
          <w:sz w:val="26"/>
          <w:szCs w:val="26"/>
        </w:rPr>
      </w:pPr>
      <w:r w:rsidRPr="00E37897">
        <w:rPr>
          <w:sz w:val="26"/>
          <w:szCs w:val="26"/>
        </w:rPr>
        <w:t xml:space="preserve">Gladys Brown </w:t>
      </w:r>
      <w:proofErr w:type="spellStart"/>
      <w:r w:rsidRPr="00E37897">
        <w:rPr>
          <w:sz w:val="26"/>
          <w:szCs w:val="26"/>
        </w:rPr>
        <w:t>Dutr</w:t>
      </w:r>
      <w:r w:rsidR="00AC3C62">
        <w:rPr>
          <w:sz w:val="26"/>
          <w:szCs w:val="26"/>
        </w:rPr>
        <w:t>ie</w:t>
      </w:r>
      <w:r w:rsidRPr="00E37897">
        <w:rPr>
          <w:sz w:val="26"/>
          <w:szCs w:val="26"/>
        </w:rPr>
        <w:t>uille</w:t>
      </w:r>
      <w:proofErr w:type="spellEnd"/>
      <w:r w:rsidRPr="00E37897">
        <w:rPr>
          <w:sz w:val="26"/>
          <w:szCs w:val="26"/>
        </w:rPr>
        <w:t>, Chairman</w:t>
      </w:r>
      <w:r w:rsidR="007426B8">
        <w:rPr>
          <w:sz w:val="26"/>
          <w:szCs w:val="26"/>
        </w:rPr>
        <w:t>, Statement</w:t>
      </w:r>
    </w:p>
    <w:p w14:paraId="19B77BEF" w14:textId="77777777" w:rsidR="003531C8" w:rsidRPr="00E37897" w:rsidRDefault="003531C8" w:rsidP="005F3BE2">
      <w:pPr>
        <w:widowControl/>
        <w:tabs>
          <w:tab w:val="left" w:pos="705"/>
        </w:tabs>
        <w:ind w:left="720"/>
        <w:contextualSpacing/>
        <w:rPr>
          <w:sz w:val="26"/>
          <w:szCs w:val="26"/>
        </w:rPr>
      </w:pPr>
      <w:r w:rsidRPr="00E37897">
        <w:rPr>
          <w:sz w:val="26"/>
          <w:szCs w:val="26"/>
        </w:rPr>
        <w:t>David W. Sweet, Vice Chairman</w:t>
      </w:r>
    </w:p>
    <w:p w14:paraId="2F1A2F1B" w14:textId="77777777" w:rsidR="003531C8" w:rsidRPr="00E37897" w:rsidRDefault="003531C8" w:rsidP="005F3BE2">
      <w:pPr>
        <w:widowControl/>
        <w:tabs>
          <w:tab w:val="left" w:pos="705"/>
        </w:tabs>
        <w:ind w:left="720"/>
        <w:contextualSpacing/>
        <w:rPr>
          <w:sz w:val="26"/>
          <w:szCs w:val="26"/>
        </w:rPr>
      </w:pPr>
      <w:r w:rsidRPr="00E37897">
        <w:rPr>
          <w:sz w:val="26"/>
          <w:szCs w:val="26"/>
        </w:rPr>
        <w:t>John F. Coleman, Jr.</w:t>
      </w:r>
    </w:p>
    <w:p w14:paraId="1A8DE9E4" w14:textId="77777777" w:rsidR="003531C8" w:rsidRPr="00E37897" w:rsidRDefault="003531C8" w:rsidP="005F3BE2">
      <w:pPr>
        <w:widowControl/>
        <w:tabs>
          <w:tab w:val="left" w:pos="705"/>
        </w:tabs>
        <w:ind w:left="720"/>
        <w:contextualSpacing/>
        <w:rPr>
          <w:sz w:val="26"/>
          <w:szCs w:val="26"/>
        </w:rPr>
      </w:pPr>
      <w:r w:rsidRPr="00E37897">
        <w:rPr>
          <w:sz w:val="26"/>
          <w:szCs w:val="26"/>
        </w:rPr>
        <w:t>Ralph V. Yanora</w:t>
      </w:r>
    </w:p>
    <w:p w14:paraId="615AFD34" w14:textId="77777777" w:rsidR="00A33E80" w:rsidRPr="00E37897" w:rsidRDefault="00A33E80" w:rsidP="005F3BE2">
      <w:pPr>
        <w:widowControl/>
        <w:contextualSpacing/>
        <w:rPr>
          <w:sz w:val="26"/>
          <w:szCs w:val="26"/>
        </w:rPr>
      </w:pPr>
    </w:p>
    <w:p w14:paraId="5A50EE52" w14:textId="77777777" w:rsidR="006F7D6F" w:rsidRPr="00E37897" w:rsidRDefault="006F7D6F" w:rsidP="005F3BE2">
      <w:pPr>
        <w:widowControl/>
        <w:contextualSpacing/>
        <w:rPr>
          <w:sz w:val="26"/>
          <w:szCs w:val="26"/>
        </w:rPr>
      </w:pPr>
    </w:p>
    <w:p w14:paraId="6DD3B679" w14:textId="77777777" w:rsidR="00BF7AE3" w:rsidRPr="00E37897" w:rsidRDefault="00BF7AE3" w:rsidP="005F3BE2">
      <w:pPr>
        <w:widowControl/>
        <w:contextualSpacing/>
        <w:rPr>
          <w:sz w:val="26"/>
          <w:szCs w:val="26"/>
        </w:rPr>
      </w:pPr>
    </w:p>
    <w:p w14:paraId="6E0C355E" w14:textId="2BD86987" w:rsidR="00BF7AE3" w:rsidRPr="00E37897" w:rsidRDefault="00BF7AE3" w:rsidP="005F3BE2">
      <w:pPr>
        <w:widowControl/>
        <w:contextualSpacing/>
        <w:rPr>
          <w:sz w:val="26"/>
          <w:szCs w:val="26"/>
        </w:rPr>
      </w:pPr>
      <w:r w:rsidRPr="00E37897">
        <w:rPr>
          <w:sz w:val="26"/>
          <w:szCs w:val="26"/>
        </w:rPr>
        <w:t xml:space="preserve">Petition of PECO Energy Company for </w:t>
      </w:r>
      <w:r w:rsidRPr="00E37897">
        <w:rPr>
          <w:sz w:val="26"/>
          <w:szCs w:val="26"/>
        </w:rPr>
        <w:tab/>
      </w:r>
      <w:r w:rsidRPr="00E37897">
        <w:rPr>
          <w:sz w:val="26"/>
          <w:szCs w:val="26"/>
        </w:rPr>
        <w:tab/>
      </w:r>
      <w:r w:rsidRPr="00E37897">
        <w:rPr>
          <w:sz w:val="26"/>
          <w:szCs w:val="26"/>
        </w:rPr>
        <w:tab/>
      </w:r>
      <w:r w:rsidRPr="00E37897">
        <w:rPr>
          <w:sz w:val="26"/>
          <w:szCs w:val="26"/>
        </w:rPr>
        <w:tab/>
      </w:r>
      <w:r w:rsidRPr="00E37897">
        <w:rPr>
          <w:sz w:val="26"/>
          <w:szCs w:val="26"/>
        </w:rPr>
        <w:tab/>
        <w:t xml:space="preserve">      P-20</w:t>
      </w:r>
      <w:r w:rsidR="00621405" w:rsidRPr="00E37897">
        <w:rPr>
          <w:sz w:val="26"/>
          <w:szCs w:val="26"/>
        </w:rPr>
        <w:t>20</w:t>
      </w:r>
      <w:r w:rsidRPr="00E37897">
        <w:rPr>
          <w:sz w:val="26"/>
          <w:szCs w:val="26"/>
        </w:rPr>
        <w:t>-</w:t>
      </w:r>
      <w:r w:rsidR="009241F0" w:rsidRPr="00E37897">
        <w:rPr>
          <w:sz w:val="26"/>
          <w:szCs w:val="26"/>
        </w:rPr>
        <w:t>3019290</w:t>
      </w:r>
    </w:p>
    <w:p w14:paraId="65684943" w14:textId="77777777" w:rsidR="008077D8" w:rsidRPr="00E37897" w:rsidRDefault="00BF7AE3" w:rsidP="005F3BE2">
      <w:pPr>
        <w:widowControl/>
        <w:contextualSpacing/>
        <w:rPr>
          <w:sz w:val="26"/>
          <w:szCs w:val="26"/>
        </w:rPr>
      </w:pPr>
      <w:r w:rsidRPr="00E37897">
        <w:rPr>
          <w:sz w:val="26"/>
          <w:szCs w:val="26"/>
        </w:rPr>
        <w:t>Approval of its Default Service Program</w:t>
      </w:r>
    </w:p>
    <w:p w14:paraId="6CCF81C1" w14:textId="7BB9F69A" w:rsidR="008077D8" w:rsidRPr="00E37897" w:rsidRDefault="00BF7AE3" w:rsidP="005F3BE2">
      <w:pPr>
        <w:widowControl/>
        <w:contextualSpacing/>
        <w:rPr>
          <w:sz w:val="26"/>
          <w:szCs w:val="26"/>
        </w:rPr>
      </w:pPr>
      <w:r w:rsidRPr="00E37897">
        <w:rPr>
          <w:sz w:val="26"/>
          <w:szCs w:val="26"/>
        </w:rPr>
        <w:t>for the</w:t>
      </w:r>
      <w:r w:rsidR="008077D8" w:rsidRPr="00E37897">
        <w:rPr>
          <w:sz w:val="26"/>
          <w:szCs w:val="26"/>
        </w:rPr>
        <w:t xml:space="preserve"> </w:t>
      </w:r>
      <w:r w:rsidRPr="00E37897">
        <w:rPr>
          <w:sz w:val="26"/>
          <w:szCs w:val="26"/>
        </w:rPr>
        <w:t>Period from June 1, 20</w:t>
      </w:r>
      <w:r w:rsidR="00621405" w:rsidRPr="00E37897">
        <w:rPr>
          <w:sz w:val="26"/>
          <w:szCs w:val="26"/>
        </w:rPr>
        <w:t>21</w:t>
      </w:r>
      <w:r w:rsidRPr="00E37897">
        <w:rPr>
          <w:sz w:val="26"/>
          <w:szCs w:val="26"/>
        </w:rPr>
        <w:t xml:space="preserve"> through </w:t>
      </w:r>
    </w:p>
    <w:p w14:paraId="6FB1B0F6" w14:textId="4AF1371F" w:rsidR="00BF7AE3" w:rsidRPr="00E37897" w:rsidRDefault="00BF7AE3" w:rsidP="005F3BE2">
      <w:pPr>
        <w:widowControl/>
        <w:contextualSpacing/>
        <w:rPr>
          <w:sz w:val="26"/>
          <w:szCs w:val="26"/>
        </w:rPr>
      </w:pPr>
      <w:r w:rsidRPr="00E37897">
        <w:rPr>
          <w:sz w:val="26"/>
          <w:szCs w:val="26"/>
        </w:rPr>
        <w:t>May 31, 202</w:t>
      </w:r>
      <w:r w:rsidR="00621405" w:rsidRPr="00E37897">
        <w:rPr>
          <w:sz w:val="26"/>
          <w:szCs w:val="26"/>
        </w:rPr>
        <w:t>5</w:t>
      </w:r>
    </w:p>
    <w:p w14:paraId="0EDEC448" w14:textId="77777777" w:rsidR="00BF7AE3" w:rsidRPr="00E37897" w:rsidRDefault="00BF7AE3" w:rsidP="005F3BE2">
      <w:pPr>
        <w:pStyle w:val="ListParagraph"/>
        <w:ind w:left="0"/>
        <w:contextualSpacing/>
        <w:rPr>
          <w:b/>
          <w:sz w:val="26"/>
          <w:szCs w:val="26"/>
        </w:rPr>
      </w:pPr>
    </w:p>
    <w:p w14:paraId="131CBBD3" w14:textId="77777777" w:rsidR="00BF7AE3" w:rsidRPr="00E37897" w:rsidRDefault="00BF7AE3" w:rsidP="005F3BE2">
      <w:pPr>
        <w:pStyle w:val="ListParagraph"/>
        <w:ind w:left="0"/>
        <w:contextualSpacing/>
        <w:rPr>
          <w:b/>
          <w:sz w:val="26"/>
          <w:szCs w:val="26"/>
        </w:rPr>
      </w:pPr>
    </w:p>
    <w:p w14:paraId="505E53EF" w14:textId="77777777" w:rsidR="006F7D6F" w:rsidRPr="00E37897" w:rsidRDefault="006F7D6F" w:rsidP="005F3BE2">
      <w:pPr>
        <w:pStyle w:val="ListParagraph"/>
        <w:ind w:left="0"/>
        <w:contextualSpacing/>
        <w:rPr>
          <w:b/>
          <w:sz w:val="26"/>
          <w:szCs w:val="26"/>
        </w:rPr>
      </w:pPr>
    </w:p>
    <w:p w14:paraId="4DC6E033" w14:textId="77777777" w:rsidR="006F7D6F" w:rsidRPr="00E37897" w:rsidRDefault="006F7D6F" w:rsidP="005F3BE2">
      <w:pPr>
        <w:pStyle w:val="ListParagraph"/>
        <w:ind w:left="0"/>
        <w:contextualSpacing/>
        <w:rPr>
          <w:b/>
          <w:sz w:val="26"/>
          <w:szCs w:val="26"/>
        </w:rPr>
      </w:pPr>
    </w:p>
    <w:p w14:paraId="6193DF57" w14:textId="77777777" w:rsidR="006F7D6F" w:rsidRPr="00E37897" w:rsidRDefault="006F7D6F" w:rsidP="005F3BE2">
      <w:pPr>
        <w:pStyle w:val="ListParagraph"/>
        <w:ind w:left="0"/>
        <w:contextualSpacing/>
        <w:rPr>
          <w:b/>
          <w:sz w:val="26"/>
          <w:szCs w:val="26"/>
        </w:rPr>
      </w:pPr>
    </w:p>
    <w:p w14:paraId="00EBEC25" w14:textId="77777777" w:rsidR="006F7D6F" w:rsidRPr="00E37897" w:rsidRDefault="006F7D6F" w:rsidP="005F3BE2">
      <w:pPr>
        <w:pStyle w:val="ListParagraph"/>
        <w:ind w:left="0"/>
        <w:contextualSpacing/>
        <w:rPr>
          <w:b/>
          <w:sz w:val="26"/>
          <w:szCs w:val="26"/>
        </w:rPr>
      </w:pPr>
    </w:p>
    <w:p w14:paraId="4B75FE7C" w14:textId="77777777" w:rsidR="00432C71" w:rsidRPr="00E37897" w:rsidRDefault="00432C71" w:rsidP="005F3BE2">
      <w:pPr>
        <w:pStyle w:val="ListParagraph"/>
        <w:ind w:left="0"/>
        <w:contextualSpacing/>
        <w:jc w:val="center"/>
        <w:rPr>
          <w:b/>
          <w:sz w:val="26"/>
          <w:szCs w:val="26"/>
        </w:rPr>
      </w:pPr>
      <w:r w:rsidRPr="00E37897">
        <w:rPr>
          <w:b/>
          <w:sz w:val="26"/>
          <w:szCs w:val="26"/>
        </w:rPr>
        <w:t>OPINION AND ORDER</w:t>
      </w:r>
    </w:p>
    <w:p w14:paraId="08B0C4A0" w14:textId="77777777" w:rsidR="00432C71" w:rsidRPr="00E37897" w:rsidRDefault="00432C71" w:rsidP="005F3BE2">
      <w:pPr>
        <w:pStyle w:val="ListParagraph"/>
        <w:ind w:left="0"/>
        <w:contextualSpacing/>
        <w:jc w:val="center"/>
        <w:rPr>
          <w:sz w:val="26"/>
          <w:szCs w:val="26"/>
        </w:rPr>
      </w:pPr>
    </w:p>
    <w:p w14:paraId="0073DEFC" w14:textId="77777777" w:rsidR="00BF7AE3" w:rsidRPr="00E37897" w:rsidRDefault="00BF7AE3" w:rsidP="005F3BE2">
      <w:pPr>
        <w:pStyle w:val="ListParagraph"/>
        <w:ind w:left="0"/>
        <w:contextualSpacing/>
        <w:jc w:val="center"/>
        <w:rPr>
          <w:sz w:val="26"/>
          <w:szCs w:val="26"/>
        </w:rPr>
      </w:pPr>
    </w:p>
    <w:p w14:paraId="783E0724" w14:textId="77777777" w:rsidR="006F7D6F" w:rsidRPr="00E37897" w:rsidRDefault="006F7D6F" w:rsidP="005F3BE2">
      <w:pPr>
        <w:pStyle w:val="ListParagraph"/>
        <w:ind w:left="0"/>
        <w:contextualSpacing/>
        <w:rPr>
          <w:b/>
          <w:sz w:val="26"/>
          <w:szCs w:val="26"/>
        </w:rPr>
        <w:sectPr w:rsidR="006F7D6F" w:rsidRPr="00E37897" w:rsidSect="002179E4">
          <w:footerReference w:type="default" r:id="rId8"/>
          <w:pgSz w:w="12240" w:h="15840"/>
          <w:pgMar w:top="1440" w:right="1440" w:bottom="1440" w:left="1440" w:header="720" w:footer="720" w:gutter="0"/>
          <w:cols w:space="720"/>
          <w:titlePg/>
          <w:docGrid w:linePitch="360"/>
        </w:sectPr>
      </w:pPr>
    </w:p>
    <w:sdt>
      <w:sdtPr>
        <w:rPr>
          <w:rFonts w:ascii="Times New Roman" w:eastAsia="Times New Roman" w:hAnsi="Times New Roman" w:cs="Times New Roman"/>
          <w:color w:val="auto"/>
          <w:sz w:val="26"/>
          <w:szCs w:val="26"/>
        </w:rPr>
        <w:id w:val="-834609900"/>
        <w:docPartObj>
          <w:docPartGallery w:val="Table of Contents"/>
          <w:docPartUnique/>
        </w:docPartObj>
      </w:sdtPr>
      <w:sdtEndPr>
        <w:rPr>
          <w:b/>
          <w:bCs/>
          <w:noProof/>
          <w:sz w:val="20"/>
          <w:szCs w:val="20"/>
        </w:rPr>
      </w:sdtEndPr>
      <w:sdtContent>
        <w:p w14:paraId="31730935" w14:textId="73FA9904" w:rsidR="007D4428" w:rsidRPr="007D4428" w:rsidRDefault="007D4428" w:rsidP="007D4428">
          <w:pPr>
            <w:pStyle w:val="TOCHeading"/>
            <w:jc w:val="center"/>
            <w:rPr>
              <w:rFonts w:ascii="Times New Roman" w:hAnsi="Times New Roman" w:cs="Times New Roman"/>
              <w:b/>
              <w:bCs/>
              <w:color w:val="auto"/>
              <w:sz w:val="26"/>
              <w:szCs w:val="26"/>
            </w:rPr>
          </w:pPr>
          <w:r w:rsidRPr="007D4428">
            <w:rPr>
              <w:rFonts w:ascii="Times New Roman" w:hAnsi="Times New Roman" w:cs="Times New Roman"/>
              <w:b/>
              <w:bCs/>
              <w:color w:val="auto"/>
              <w:sz w:val="26"/>
              <w:szCs w:val="26"/>
            </w:rPr>
            <w:t>Table of Contents</w:t>
          </w:r>
        </w:p>
        <w:p w14:paraId="52612023" w14:textId="35E6A9ED" w:rsidR="007D4428" w:rsidRDefault="007D4428" w:rsidP="007D4428">
          <w:pPr>
            <w:rPr>
              <w:sz w:val="26"/>
              <w:szCs w:val="26"/>
            </w:rPr>
          </w:pPr>
        </w:p>
        <w:p w14:paraId="6D11BFB6" w14:textId="77777777" w:rsidR="00307A4F" w:rsidRPr="007D4428" w:rsidRDefault="00307A4F" w:rsidP="007D4428">
          <w:pPr>
            <w:rPr>
              <w:sz w:val="26"/>
              <w:szCs w:val="26"/>
            </w:rPr>
          </w:pPr>
        </w:p>
        <w:p w14:paraId="647D1D49" w14:textId="2A31E108" w:rsidR="007D4428" w:rsidRPr="007D4428" w:rsidRDefault="007D4428" w:rsidP="001953F3">
          <w:pPr>
            <w:pStyle w:val="TOC1"/>
            <w:rPr>
              <w:rFonts w:asciiTheme="minorHAnsi" w:eastAsiaTheme="minorEastAsia" w:hAnsiTheme="minorHAnsi" w:cstheme="minorBidi"/>
              <w:noProof/>
            </w:rPr>
          </w:pPr>
          <w:r w:rsidRPr="007D4428">
            <w:fldChar w:fldCharType="begin"/>
          </w:r>
          <w:r w:rsidRPr="007D4428">
            <w:instrText xml:space="preserve"> TOC \o "1-3" \h \z \u </w:instrText>
          </w:r>
          <w:r w:rsidRPr="007D4428">
            <w:fldChar w:fldCharType="separate"/>
          </w:r>
          <w:hyperlink w:anchor="_Toc56512749" w:history="1">
            <w:r w:rsidRPr="007D4428">
              <w:rPr>
                <w:rStyle w:val="Hyperlink"/>
                <w:noProof/>
                <w:sz w:val="26"/>
                <w:szCs w:val="26"/>
              </w:rPr>
              <w:t>I.</w:t>
            </w:r>
            <w:r w:rsidRPr="007D4428">
              <w:rPr>
                <w:rFonts w:asciiTheme="minorHAnsi" w:eastAsiaTheme="minorEastAsia" w:hAnsiTheme="minorHAnsi" w:cstheme="minorBidi"/>
                <w:noProof/>
              </w:rPr>
              <w:tab/>
            </w:r>
            <w:r w:rsidRPr="007D4428">
              <w:rPr>
                <w:rStyle w:val="Hyperlink"/>
                <w:noProof/>
                <w:sz w:val="26"/>
                <w:szCs w:val="26"/>
              </w:rPr>
              <w:t>Background</w:t>
            </w:r>
            <w:r w:rsidRPr="007D4428">
              <w:rPr>
                <w:noProof/>
                <w:webHidden/>
              </w:rPr>
              <w:tab/>
            </w:r>
            <w:r w:rsidRPr="007D4428">
              <w:rPr>
                <w:noProof/>
                <w:webHidden/>
              </w:rPr>
              <w:fldChar w:fldCharType="begin"/>
            </w:r>
            <w:r w:rsidRPr="007D4428">
              <w:rPr>
                <w:noProof/>
                <w:webHidden/>
              </w:rPr>
              <w:instrText xml:space="preserve"> PAGEREF _Toc56512749 \h </w:instrText>
            </w:r>
            <w:r w:rsidRPr="007D4428">
              <w:rPr>
                <w:noProof/>
                <w:webHidden/>
              </w:rPr>
            </w:r>
            <w:r w:rsidRPr="007D4428">
              <w:rPr>
                <w:noProof/>
                <w:webHidden/>
              </w:rPr>
              <w:fldChar w:fldCharType="separate"/>
            </w:r>
            <w:r w:rsidR="00271881">
              <w:rPr>
                <w:noProof/>
                <w:webHidden/>
              </w:rPr>
              <w:t>1</w:t>
            </w:r>
            <w:r w:rsidRPr="007D4428">
              <w:rPr>
                <w:noProof/>
                <w:webHidden/>
              </w:rPr>
              <w:fldChar w:fldCharType="end"/>
            </w:r>
          </w:hyperlink>
        </w:p>
        <w:p w14:paraId="2ED95A8E" w14:textId="7D2E7375" w:rsidR="007D4428" w:rsidRPr="007D4428" w:rsidRDefault="00C75D8C" w:rsidP="001953F3">
          <w:pPr>
            <w:pStyle w:val="TOC1"/>
            <w:rPr>
              <w:rFonts w:asciiTheme="minorHAnsi" w:eastAsiaTheme="minorEastAsia" w:hAnsiTheme="minorHAnsi" w:cstheme="minorBidi"/>
              <w:noProof/>
            </w:rPr>
          </w:pPr>
          <w:hyperlink w:anchor="_Toc56512750" w:history="1">
            <w:r w:rsidR="007D4428" w:rsidRPr="007D4428">
              <w:rPr>
                <w:rStyle w:val="Hyperlink"/>
                <w:noProof/>
                <w:sz w:val="26"/>
                <w:szCs w:val="26"/>
              </w:rPr>
              <w:t>II.</w:t>
            </w:r>
            <w:r w:rsidR="007D4428" w:rsidRPr="007D4428">
              <w:rPr>
                <w:rFonts w:asciiTheme="minorHAnsi" w:eastAsiaTheme="minorEastAsia" w:hAnsiTheme="minorHAnsi" w:cstheme="minorBidi"/>
                <w:noProof/>
              </w:rPr>
              <w:tab/>
            </w:r>
            <w:r w:rsidR="007D4428" w:rsidRPr="007D4428">
              <w:rPr>
                <w:rStyle w:val="Hyperlink"/>
                <w:noProof/>
                <w:sz w:val="26"/>
                <w:szCs w:val="26"/>
              </w:rPr>
              <w:t>History of the Proceeding</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_Toc56512750 \h </w:instrText>
            </w:r>
            <w:r w:rsidR="007D4428" w:rsidRPr="007D4428">
              <w:rPr>
                <w:noProof/>
                <w:webHidden/>
              </w:rPr>
            </w:r>
            <w:r w:rsidR="007D4428" w:rsidRPr="007D4428">
              <w:rPr>
                <w:noProof/>
                <w:webHidden/>
              </w:rPr>
              <w:fldChar w:fldCharType="separate"/>
            </w:r>
            <w:r w:rsidR="00271881">
              <w:rPr>
                <w:noProof/>
                <w:webHidden/>
              </w:rPr>
              <w:t>2</w:t>
            </w:r>
            <w:r w:rsidR="007D4428" w:rsidRPr="007D4428">
              <w:rPr>
                <w:noProof/>
                <w:webHidden/>
              </w:rPr>
              <w:fldChar w:fldCharType="end"/>
            </w:r>
          </w:hyperlink>
        </w:p>
        <w:p w14:paraId="6373B5AD" w14:textId="7D4ADD17" w:rsidR="007D4428" w:rsidRPr="007D4428" w:rsidRDefault="00C75D8C" w:rsidP="001953F3">
          <w:pPr>
            <w:pStyle w:val="TOC1"/>
            <w:rPr>
              <w:rFonts w:asciiTheme="minorHAnsi" w:eastAsiaTheme="minorEastAsia" w:hAnsiTheme="minorHAnsi" w:cstheme="minorBidi"/>
              <w:noProof/>
            </w:rPr>
          </w:pPr>
          <w:hyperlink w:anchor="_Toc56512751" w:history="1">
            <w:r w:rsidR="007D4428" w:rsidRPr="007D4428">
              <w:rPr>
                <w:rStyle w:val="Hyperlink"/>
                <w:noProof/>
                <w:sz w:val="26"/>
                <w:szCs w:val="26"/>
              </w:rPr>
              <w:t>III.</w:t>
            </w:r>
            <w:r w:rsidR="007D4428" w:rsidRPr="007D4428">
              <w:rPr>
                <w:rFonts w:asciiTheme="minorHAnsi" w:eastAsiaTheme="minorEastAsia" w:hAnsiTheme="minorHAnsi" w:cstheme="minorBidi"/>
                <w:noProof/>
              </w:rPr>
              <w:tab/>
            </w:r>
            <w:r w:rsidR="007D4428" w:rsidRPr="007D4428">
              <w:rPr>
                <w:rStyle w:val="Hyperlink"/>
                <w:noProof/>
                <w:sz w:val="26"/>
                <w:szCs w:val="26"/>
              </w:rPr>
              <w:t>Legal Standards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_Toc56512751 \h </w:instrText>
            </w:r>
            <w:r w:rsidR="007D4428" w:rsidRPr="007D4428">
              <w:rPr>
                <w:noProof/>
                <w:webHidden/>
              </w:rPr>
            </w:r>
            <w:r w:rsidR="007D4428" w:rsidRPr="007D4428">
              <w:rPr>
                <w:noProof/>
                <w:webHidden/>
              </w:rPr>
              <w:fldChar w:fldCharType="separate"/>
            </w:r>
            <w:r w:rsidR="00271881">
              <w:rPr>
                <w:noProof/>
                <w:webHidden/>
              </w:rPr>
              <w:t>6</w:t>
            </w:r>
            <w:r w:rsidR="007D4428" w:rsidRPr="007D4428">
              <w:rPr>
                <w:noProof/>
                <w:webHidden/>
              </w:rPr>
              <w:fldChar w:fldCharType="end"/>
            </w:r>
          </w:hyperlink>
        </w:p>
        <w:p w14:paraId="690DA19C" w14:textId="78E558B8" w:rsidR="007D4428" w:rsidRPr="007D4428" w:rsidRDefault="00C75D8C" w:rsidP="001953F3">
          <w:pPr>
            <w:pStyle w:val="TOC2"/>
            <w:rPr>
              <w:rFonts w:asciiTheme="minorHAnsi" w:eastAsiaTheme="minorEastAsia" w:hAnsiTheme="minorHAnsi" w:cstheme="minorBidi"/>
              <w:noProof/>
            </w:rPr>
          </w:pPr>
          <w:hyperlink w:anchor="_Toc56512752" w:history="1">
            <w:r w:rsidR="007D4428" w:rsidRPr="007D4428">
              <w:rPr>
                <w:rStyle w:val="Hyperlink"/>
                <w:noProof/>
                <w:sz w:val="26"/>
                <w:szCs w:val="26"/>
              </w:rPr>
              <w:t>A.</w:t>
            </w:r>
            <w:r w:rsidR="007D4428" w:rsidRPr="007D4428">
              <w:rPr>
                <w:rFonts w:asciiTheme="minorHAnsi" w:eastAsiaTheme="minorEastAsia" w:hAnsiTheme="minorHAnsi" w:cstheme="minorBidi"/>
                <w:noProof/>
              </w:rPr>
              <w:tab/>
            </w:r>
            <w:r w:rsidR="007D4428" w:rsidRPr="007D4428">
              <w:rPr>
                <w:rStyle w:val="Hyperlink"/>
                <w:noProof/>
                <w:sz w:val="26"/>
                <w:szCs w:val="26"/>
              </w:rPr>
              <w:t>Burden of Proof</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_Toc56512752 \h </w:instrText>
            </w:r>
            <w:r w:rsidR="007D4428" w:rsidRPr="007D4428">
              <w:rPr>
                <w:noProof/>
                <w:webHidden/>
              </w:rPr>
            </w:r>
            <w:r w:rsidR="007D4428" w:rsidRPr="007D4428">
              <w:rPr>
                <w:noProof/>
                <w:webHidden/>
              </w:rPr>
              <w:fldChar w:fldCharType="separate"/>
            </w:r>
            <w:r w:rsidR="00271881">
              <w:rPr>
                <w:noProof/>
                <w:webHidden/>
              </w:rPr>
              <w:t>6</w:t>
            </w:r>
            <w:r w:rsidR="007D4428" w:rsidRPr="007D4428">
              <w:rPr>
                <w:noProof/>
                <w:webHidden/>
              </w:rPr>
              <w:fldChar w:fldCharType="end"/>
            </w:r>
          </w:hyperlink>
        </w:p>
        <w:p w14:paraId="4AFDCFDD" w14:textId="6D4AB402" w:rsidR="007D4428" w:rsidRPr="007D4428" w:rsidRDefault="00C75D8C" w:rsidP="001953F3">
          <w:pPr>
            <w:pStyle w:val="TOC2"/>
            <w:rPr>
              <w:rFonts w:asciiTheme="minorHAnsi" w:eastAsiaTheme="minorEastAsia" w:hAnsiTheme="minorHAnsi" w:cstheme="minorBidi"/>
              <w:noProof/>
            </w:rPr>
          </w:pPr>
          <w:hyperlink w:anchor="_Toc56512753" w:history="1">
            <w:r w:rsidR="007D4428" w:rsidRPr="007D4428">
              <w:rPr>
                <w:rStyle w:val="Hyperlink"/>
                <w:noProof/>
                <w:sz w:val="26"/>
                <w:szCs w:val="26"/>
              </w:rPr>
              <w:t>B.</w:t>
            </w:r>
            <w:r w:rsidR="007D4428" w:rsidRPr="007D4428">
              <w:rPr>
                <w:rFonts w:asciiTheme="minorHAnsi" w:eastAsiaTheme="minorEastAsia" w:hAnsiTheme="minorHAnsi" w:cstheme="minorBidi"/>
                <w:noProof/>
              </w:rPr>
              <w:tab/>
            </w:r>
            <w:r w:rsidR="007D4428" w:rsidRPr="007D4428">
              <w:rPr>
                <w:rStyle w:val="Hyperlink"/>
                <w:noProof/>
                <w:sz w:val="26"/>
                <w:szCs w:val="26"/>
              </w:rPr>
              <w:t>Standards Applicable to Default Service</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_Toc56512753 \h </w:instrText>
            </w:r>
            <w:r w:rsidR="007D4428" w:rsidRPr="007D4428">
              <w:rPr>
                <w:noProof/>
                <w:webHidden/>
              </w:rPr>
            </w:r>
            <w:r w:rsidR="007D4428" w:rsidRPr="007D4428">
              <w:rPr>
                <w:noProof/>
                <w:webHidden/>
              </w:rPr>
              <w:fldChar w:fldCharType="separate"/>
            </w:r>
            <w:r w:rsidR="00271881">
              <w:rPr>
                <w:noProof/>
                <w:webHidden/>
              </w:rPr>
              <w:t>8</w:t>
            </w:r>
            <w:r w:rsidR="007D4428" w:rsidRPr="007D4428">
              <w:rPr>
                <w:noProof/>
                <w:webHidden/>
              </w:rPr>
              <w:fldChar w:fldCharType="end"/>
            </w:r>
          </w:hyperlink>
        </w:p>
        <w:p w14:paraId="061C243C" w14:textId="56376AC9" w:rsidR="007D4428" w:rsidRPr="007D4428" w:rsidRDefault="00C75D8C" w:rsidP="001953F3">
          <w:pPr>
            <w:pStyle w:val="TOC2"/>
            <w:rPr>
              <w:rFonts w:asciiTheme="minorHAnsi" w:eastAsiaTheme="minorEastAsia" w:hAnsiTheme="minorHAnsi" w:cstheme="minorBidi"/>
              <w:noProof/>
            </w:rPr>
          </w:pPr>
          <w:hyperlink w:anchor="_Toc56512754" w:history="1">
            <w:r w:rsidR="007D4428" w:rsidRPr="007D4428">
              <w:rPr>
                <w:rStyle w:val="Hyperlink"/>
                <w:noProof/>
                <w:sz w:val="26"/>
                <w:szCs w:val="26"/>
              </w:rPr>
              <w:t>C.</w:t>
            </w:r>
            <w:r w:rsidR="007D4428" w:rsidRPr="007D4428">
              <w:rPr>
                <w:rFonts w:asciiTheme="minorHAnsi" w:eastAsiaTheme="minorEastAsia" w:hAnsiTheme="minorHAnsi" w:cstheme="minorBidi"/>
                <w:noProof/>
              </w:rPr>
              <w:tab/>
            </w:r>
            <w:r w:rsidR="007D4428" w:rsidRPr="007D4428">
              <w:rPr>
                <w:rStyle w:val="Hyperlink"/>
                <w:noProof/>
                <w:sz w:val="26"/>
                <w:szCs w:val="26"/>
              </w:rPr>
              <w:t>Legal Standards Relative to Settlements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_Toc56512754 \h </w:instrText>
            </w:r>
            <w:r w:rsidR="007D4428" w:rsidRPr="007D4428">
              <w:rPr>
                <w:noProof/>
                <w:webHidden/>
              </w:rPr>
            </w:r>
            <w:r w:rsidR="007D4428" w:rsidRPr="007D4428">
              <w:rPr>
                <w:noProof/>
                <w:webHidden/>
              </w:rPr>
              <w:fldChar w:fldCharType="separate"/>
            </w:r>
            <w:r w:rsidR="00271881">
              <w:rPr>
                <w:noProof/>
                <w:webHidden/>
              </w:rPr>
              <w:t>9</w:t>
            </w:r>
            <w:r w:rsidR="007D4428" w:rsidRPr="007D4428">
              <w:rPr>
                <w:noProof/>
                <w:webHidden/>
              </w:rPr>
              <w:fldChar w:fldCharType="end"/>
            </w:r>
          </w:hyperlink>
        </w:p>
        <w:p w14:paraId="00A6C833" w14:textId="264A8486" w:rsidR="007D4428" w:rsidRPr="007D4428" w:rsidRDefault="00C75D8C" w:rsidP="001953F3">
          <w:pPr>
            <w:pStyle w:val="TOC1"/>
            <w:rPr>
              <w:rFonts w:asciiTheme="minorHAnsi" w:eastAsiaTheme="minorEastAsia" w:hAnsiTheme="minorHAnsi" w:cstheme="minorBidi"/>
              <w:noProof/>
            </w:rPr>
          </w:pPr>
          <w:hyperlink w:anchor="_Toc56512755" w:history="1">
            <w:r w:rsidR="007D4428" w:rsidRPr="007D4428">
              <w:rPr>
                <w:rStyle w:val="Hyperlink"/>
                <w:noProof/>
                <w:sz w:val="26"/>
                <w:szCs w:val="26"/>
              </w:rPr>
              <w:t>IV.</w:t>
            </w:r>
            <w:r w:rsidR="007D4428" w:rsidRPr="007D4428">
              <w:rPr>
                <w:rFonts w:asciiTheme="minorHAnsi" w:eastAsiaTheme="minorEastAsia" w:hAnsiTheme="minorHAnsi" w:cstheme="minorBidi"/>
                <w:noProof/>
              </w:rPr>
              <w:tab/>
            </w:r>
            <w:r w:rsidR="007D4428" w:rsidRPr="007D4428">
              <w:rPr>
                <w:rStyle w:val="Hyperlink"/>
                <w:noProof/>
                <w:sz w:val="26"/>
                <w:szCs w:val="26"/>
              </w:rPr>
              <w:t>The Partial Settlement</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_Toc56512755 \h </w:instrText>
            </w:r>
            <w:r w:rsidR="007D4428" w:rsidRPr="007D4428">
              <w:rPr>
                <w:noProof/>
                <w:webHidden/>
              </w:rPr>
            </w:r>
            <w:r w:rsidR="007D4428" w:rsidRPr="007D4428">
              <w:rPr>
                <w:noProof/>
                <w:webHidden/>
              </w:rPr>
              <w:fldChar w:fldCharType="separate"/>
            </w:r>
            <w:r w:rsidR="00271881">
              <w:rPr>
                <w:noProof/>
                <w:webHidden/>
              </w:rPr>
              <w:t>10</w:t>
            </w:r>
            <w:r w:rsidR="007D4428" w:rsidRPr="007D4428">
              <w:rPr>
                <w:noProof/>
                <w:webHidden/>
              </w:rPr>
              <w:fldChar w:fldCharType="end"/>
            </w:r>
          </w:hyperlink>
        </w:p>
        <w:p w14:paraId="195AFB0F" w14:textId="1F1753C5" w:rsidR="007D4428" w:rsidRPr="007D4428" w:rsidRDefault="00C75D8C" w:rsidP="001953F3">
          <w:pPr>
            <w:pStyle w:val="TOC2"/>
            <w:rPr>
              <w:rFonts w:asciiTheme="minorHAnsi" w:eastAsiaTheme="minorEastAsia" w:hAnsiTheme="minorHAnsi" w:cstheme="minorBidi"/>
              <w:noProof/>
            </w:rPr>
          </w:pPr>
          <w:hyperlink w:anchor="_Toc56512756" w:history="1">
            <w:r w:rsidR="007D4428" w:rsidRPr="007D4428">
              <w:rPr>
                <w:rStyle w:val="Hyperlink"/>
                <w:noProof/>
                <w:sz w:val="26"/>
                <w:szCs w:val="26"/>
              </w:rPr>
              <w:t>A.</w:t>
            </w:r>
            <w:r w:rsidR="007D4428" w:rsidRPr="007D4428">
              <w:rPr>
                <w:rFonts w:asciiTheme="minorHAnsi" w:eastAsiaTheme="minorEastAsia" w:hAnsiTheme="minorHAnsi" w:cstheme="minorBidi"/>
                <w:noProof/>
              </w:rPr>
              <w:tab/>
            </w:r>
            <w:r w:rsidR="007D4428" w:rsidRPr="007D4428">
              <w:rPr>
                <w:rStyle w:val="Hyperlink"/>
                <w:noProof/>
                <w:sz w:val="26"/>
                <w:szCs w:val="26"/>
              </w:rPr>
              <w:t>Terms and Conditions of the Partial Settlement</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_Toc56512756 \h </w:instrText>
            </w:r>
            <w:r w:rsidR="007D4428" w:rsidRPr="007D4428">
              <w:rPr>
                <w:noProof/>
                <w:webHidden/>
              </w:rPr>
            </w:r>
            <w:r w:rsidR="007D4428" w:rsidRPr="007D4428">
              <w:rPr>
                <w:noProof/>
                <w:webHidden/>
              </w:rPr>
              <w:fldChar w:fldCharType="separate"/>
            </w:r>
            <w:r w:rsidR="00271881">
              <w:rPr>
                <w:noProof/>
                <w:webHidden/>
              </w:rPr>
              <w:t>10</w:t>
            </w:r>
            <w:r w:rsidR="007D4428" w:rsidRPr="007D4428">
              <w:rPr>
                <w:noProof/>
                <w:webHidden/>
              </w:rPr>
              <w:fldChar w:fldCharType="end"/>
            </w:r>
          </w:hyperlink>
        </w:p>
        <w:p w14:paraId="525E4092" w14:textId="1E9988E3" w:rsidR="007D4428" w:rsidRPr="007D4428" w:rsidRDefault="00C75D8C" w:rsidP="001953F3">
          <w:pPr>
            <w:pStyle w:val="TOC2"/>
            <w:rPr>
              <w:rFonts w:asciiTheme="minorHAnsi" w:eastAsiaTheme="minorEastAsia" w:hAnsiTheme="minorHAnsi" w:cstheme="minorBidi"/>
              <w:noProof/>
            </w:rPr>
          </w:pPr>
          <w:hyperlink w:anchor="_Toc56512757" w:history="1">
            <w:r w:rsidR="007D4428" w:rsidRPr="007D4428">
              <w:rPr>
                <w:rStyle w:val="Hyperlink"/>
                <w:noProof/>
                <w:sz w:val="26"/>
                <w:szCs w:val="26"/>
              </w:rPr>
              <w:t>C.</w:t>
            </w:r>
            <w:r w:rsidR="007D4428" w:rsidRPr="007D4428">
              <w:rPr>
                <w:rFonts w:asciiTheme="minorHAnsi" w:eastAsiaTheme="minorEastAsia" w:hAnsiTheme="minorHAnsi" w:cstheme="minorBidi"/>
                <w:noProof/>
              </w:rPr>
              <w:tab/>
            </w:r>
            <w:r w:rsidR="007D4428" w:rsidRPr="007D4428">
              <w:rPr>
                <w:rStyle w:val="Hyperlink"/>
                <w:noProof/>
                <w:sz w:val="26"/>
                <w:szCs w:val="26"/>
              </w:rPr>
              <w:t>ALJ’s Recommendation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_Toc56512757 \h </w:instrText>
            </w:r>
            <w:r w:rsidR="007D4428" w:rsidRPr="007D4428">
              <w:rPr>
                <w:noProof/>
                <w:webHidden/>
              </w:rPr>
            </w:r>
            <w:r w:rsidR="007D4428" w:rsidRPr="007D4428">
              <w:rPr>
                <w:noProof/>
                <w:webHidden/>
              </w:rPr>
              <w:fldChar w:fldCharType="separate"/>
            </w:r>
            <w:r w:rsidR="00271881">
              <w:rPr>
                <w:noProof/>
                <w:webHidden/>
              </w:rPr>
              <w:t>26</w:t>
            </w:r>
            <w:r w:rsidR="007D4428" w:rsidRPr="007D4428">
              <w:rPr>
                <w:noProof/>
                <w:webHidden/>
              </w:rPr>
              <w:fldChar w:fldCharType="end"/>
            </w:r>
          </w:hyperlink>
        </w:p>
        <w:p w14:paraId="04E00961" w14:textId="618D7EEE" w:rsidR="007D4428" w:rsidRPr="007D4428" w:rsidRDefault="00C75D8C" w:rsidP="001953F3">
          <w:pPr>
            <w:pStyle w:val="TOC2"/>
            <w:rPr>
              <w:rFonts w:asciiTheme="minorHAnsi" w:eastAsiaTheme="minorEastAsia" w:hAnsiTheme="minorHAnsi" w:cstheme="minorBidi"/>
              <w:noProof/>
            </w:rPr>
          </w:pPr>
          <w:hyperlink w:anchor="_Toc56512758" w:history="1">
            <w:r w:rsidR="007D4428" w:rsidRPr="007D4428">
              <w:rPr>
                <w:rStyle w:val="Hyperlink"/>
                <w:noProof/>
                <w:sz w:val="26"/>
                <w:szCs w:val="26"/>
              </w:rPr>
              <w:t>D.</w:t>
            </w:r>
            <w:r w:rsidR="007D4428" w:rsidRPr="007D4428">
              <w:rPr>
                <w:rFonts w:asciiTheme="minorHAnsi" w:eastAsiaTheme="minorEastAsia" w:hAnsiTheme="minorHAnsi" w:cstheme="minorBidi"/>
                <w:noProof/>
              </w:rPr>
              <w:tab/>
            </w:r>
            <w:r w:rsidR="007D4428" w:rsidRPr="007D4428">
              <w:rPr>
                <w:rStyle w:val="Hyperlink"/>
                <w:noProof/>
                <w:sz w:val="26"/>
                <w:szCs w:val="26"/>
              </w:rPr>
              <w:t>Disposition of the Partial Settlement and the TOU Settlement</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_Toc56512758 \h </w:instrText>
            </w:r>
            <w:r w:rsidR="007D4428" w:rsidRPr="007D4428">
              <w:rPr>
                <w:noProof/>
                <w:webHidden/>
              </w:rPr>
            </w:r>
            <w:r w:rsidR="007D4428" w:rsidRPr="007D4428">
              <w:rPr>
                <w:noProof/>
                <w:webHidden/>
              </w:rPr>
              <w:fldChar w:fldCharType="separate"/>
            </w:r>
            <w:r w:rsidR="00271881">
              <w:rPr>
                <w:noProof/>
                <w:webHidden/>
              </w:rPr>
              <w:t>30</w:t>
            </w:r>
            <w:r w:rsidR="007D4428" w:rsidRPr="007D4428">
              <w:rPr>
                <w:noProof/>
                <w:webHidden/>
              </w:rPr>
              <w:fldChar w:fldCharType="end"/>
            </w:r>
          </w:hyperlink>
        </w:p>
        <w:p w14:paraId="21D4926D" w14:textId="162587DE" w:rsidR="007D4428" w:rsidRPr="007D4428" w:rsidRDefault="00C75D8C" w:rsidP="001953F3">
          <w:pPr>
            <w:pStyle w:val="TOC1"/>
            <w:rPr>
              <w:rFonts w:asciiTheme="minorHAnsi" w:eastAsiaTheme="minorEastAsia" w:hAnsiTheme="minorHAnsi" w:cstheme="minorBidi"/>
              <w:noProof/>
            </w:rPr>
          </w:pPr>
          <w:hyperlink w:anchor="_Toc56512759" w:history="1">
            <w:r w:rsidR="007D4428" w:rsidRPr="007D4428">
              <w:rPr>
                <w:rStyle w:val="Hyperlink"/>
                <w:noProof/>
                <w:sz w:val="26"/>
                <w:szCs w:val="26"/>
              </w:rPr>
              <w:t>V.</w:t>
            </w:r>
            <w:r w:rsidR="007D4428" w:rsidRPr="007D4428">
              <w:rPr>
                <w:rFonts w:asciiTheme="minorHAnsi" w:eastAsiaTheme="minorEastAsia" w:hAnsiTheme="minorHAnsi" w:cstheme="minorBidi"/>
                <w:noProof/>
              </w:rPr>
              <w:tab/>
            </w:r>
            <w:r w:rsidR="007D4428" w:rsidRPr="007D4428">
              <w:rPr>
                <w:rStyle w:val="Hyperlink"/>
                <w:noProof/>
                <w:sz w:val="26"/>
                <w:szCs w:val="26"/>
              </w:rPr>
              <w:t>Contested Issue – Allocation of NITS Charges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_Toc56512759 \h </w:instrText>
            </w:r>
            <w:r w:rsidR="007D4428" w:rsidRPr="007D4428">
              <w:rPr>
                <w:noProof/>
                <w:webHidden/>
              </w:rPr>
            </w:r>
            <w:r w:rsidR="007D4428" w:rsidRPr="007D4428">
              <w:rPr>
                <w:noProof/>
                <w:webHidden/>
              </w:rPr>
              <w:fldChar w:fldCharType="separate"/>
            </w:r>
            <w:r w:rsidR="00271881">
              <w:rPr>
                <w:noProof/>
                <w:webHidden/>
              </w:rPr>
              <w:t>32</w:t>
            </w:r>
            <w:r w:rsidR="007D4428" w:rsidRPr="007D4428">
              <w:rPr>
                <w:noProof/>
                <w:webHidden/>
              </w:rPr>
              <w:fldChar w:fldCharType="end"/>
            </w:r>
          </w:hyperlink>
        </w:p>
        <w:p w14:paraId="73021E4F" w14:textId="48BB5D87" w:rsidR="007D4428" w:rsidRPr="007D4428" w:rsidRDefault="00C75D8C" w:rsidP="001953F3">
          <w:pPr>
            <w:pStyle w:val="TOC2"/>
            <w:rPr>
              <w:rFonts w:asciiTheme="minorHAnsi" w:eastAsiaTheme="minorEastAsia" w:hAnsiTheme="minorHAnsi" w:cstheme="minorBidi"/>
              <w:noProof/>
            </w:rPr>
          </w:pPr>
          <w:hyperlink w:anchor="_Toc56512760" w:history="1">
            <w:r w:rsidR="007D4428" w:rsidRPr="007D4428">
              <w:rPr>
                <w:rStyle w:val="Hyperlink"/>
                <w:noProof/>
                <w:sz w:val="26"/>
                <w:szCs w:val="26"/>
              </w:rPr>
              <w:t>A.</w:t>
            </w:r>
            <w:r w:rsidR="007D4428" w:rsidRPr="007D4428">
              <w:rPr>
                <w:rFonts w:asciiTheme="minorHAnsi" w:eastAsiaTheme="minorEastAsia" w:hAnsiTheme="minorHAnsi" w:cstheme="minorBidi"/>
                <w:noProof/>
              </w:rPr>
              <w:tab/>
            </w:r>
            <w:r w:rsidR="007D4428" w:rsidRPr="007D4428">
              <w:rPr>
                <w:rStyle w:val="Hyperlink"/>
                <w:noProof/>
                <w:sz w:val="26"/>
                <w:szCs w:val="26"/>
              </w:rPr>
              <w:t>Background</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_Toc56512760 \h </w:instrText>
            </w:r>
            <w:r w:rsidR="007D4428" w:rsidRPr="007D4428">
              <w:rPr>
                <w:noProof/>
                <w:webHidden/>
              </w:rPr>
            </w:r>
            <w:r w:rsidR="007D4428" w:rsidRPr="007D4428">
              <w:rPr>
                <w:noProof/>
                <w:webHidden/>
              </w:rPr>
              <w:fldChar w:fldCharType="separate"/>
            </w:r>
            <w:r w:rsidR="00271881">
              <w:rPr>
                <w:noProof/>
                <w:webHidden/>
              </w:rPr>
              <w:t>32</w:t>
            </w:r>
            <w:r w:rsidR="007D4428" w:rsidRPr="007D4428">
              <w:rPr>
                <w:noProof/>
                <w:webHidden/>
              </w:rPr>
              <w:fldChar w:fldCharType="end"/>
            </w:r>
          </w:hyperlink>
        </w:p>
        <w:p w14:paraId="3351BE2D" w14:textId="4A13F6ED" w:rsidR="007D4428" w:rsidRPr="007D4428" w:rsidRDefault="00C75D8C" w:rsidP="001953F3">
          <w:pPr>
            <w:pStyle w:val="TOC2"/>
            <w:rPr>
              <w:rFonts w:asciiTheme="minorHAnsi" w:eastAsiaTheme="minorEastAsia" w:hAnsiTheme="minorHAnsi" w:cstheme="minorBidi"/>
              <w:noProof/>
            </w:rPr>
          </w:pPr>
          <w:hyperlink w:anchor="_Toc56512761" w:history="1">
            <w:r w:rsidR="007D4428" w:rsidRPr="007D4428">
              <w:rPr>
                <w:rStyle w:val="Hyperlink"/>
                <w:noProof/>
                <w:sz w:val="26"/>
                <w:szCs w:val="26"/>
              </w:rPr>
              <w:t>B.</w:t>
            </w:r>
            <w:r w:rsidR="007D4428" w:rsidRPr="007D4428">
              <w:rPr>
                <w:rFonts w:asciiTheme="minorHAnsi" w:eastAsiaTheme="minorEastAsia" w:hAnsiTheme="minorHAnsi" w:cstheme="minorBidi"/>
                <w:noProof/>
              </w:rPr>
              <w:tab/>
            </w:r>
            <w:r w:rsidR="007D4428" w:rsidRPr="007D4428">
              <w:rPr>
                <w:rStyle w:val="Hyperlink"/>
                <w:noProof/>
                <w:sz w:val="26"/>
                <w:szCs w:val="26"/>
              </w:rPr>
              <w:t>Positions of the Parties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_Toc56512761 \h </w:instrText>
            </w:r>
            <w:r w:rsidR="007D4428" w:rsidRPr="007D4428">
              <w:rPr>
                <w:noProof/>
                <w:webHidden/>
              </w:rPr>
            </w:r>
            <w:r w:rsidR="007D4428" w:rsidRPr="007D4428">
              <w:rPr>
                <w:noProof/>
                <w:webHidden/>
              </w:rPr>
              <w:fldChar w:fldCharType="separate"/>
            </w:r>
            <w:r w:rsidR="00271881">
              <w:rPr>
                <w:noProof/>
                <w:webHidden/>
              </w:rPr>
              <w:t>33</w:t>
            </w:r>
            <w:r w:rsidR="007D4428" w:rsidRPr="007D4428">
              <w:rPr>
                <w:noProof/>
                <w:webHidden/>
              </w:rPr>
              <w:fldChar w:fldCharType="end"/>
            </w:r>
          </w:hyperlink>
        </w:p>
        <w:p w14:paraId="61F99964" w14:textId="2B9BB778" w:rsidR="007D4428" w:rsidRPr="007D4428" w:rsidRDefault="00C75D8C" w:rsidP="001953F3">
          <w:pPr>
            <w:pStyle w:val="TOC3"/>
            <w:rPr>
              <w:rFonts w:asciiTheme="minorHAnsi" w:eastAsiaTheme="minorEastAsia" w:hAnsiTheme="minorHAnsi" w:cstheme="minorBidi"/>
              <w:noProof/>
            </w:rPr>
          </w:pPr>
          <w:hyperlink w:anchor="_Toc56512762" w:history="1">
            <w:r w:rsidR="007D4428" w:rsidRPr="007D4428">
              <w:rPr>
                <w:rStyle w:val="Hyperlink"/>
                <w:rFonts w:eastAsiaTheme="majorEastAsia"/>
                <w:noProof/>
                <w:sz w:val="26"/>
                <w:szCs w:val="26"/>
              </w:rPr>
              <w:t>1.</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ESC</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_Toc56512762 \h </w:instrText>
            </w:r>
            <w:r w:rsidR="007D4428" w:rsidRPr="007D4428">
              <w:rPr>
                <w:noProof/>
                <w:webHidden/>
              </w:rPr>
            </w:r>
            <w:r w:rsidR="007D4428" w:rsidRPr="007D4428">
              <w:rPr>
                <w:noProof/>
                <w:webHidden/>
              </w:rPr>
              <w:fldChar w:fldCharType="separate"/>
            </w:r>
            <w:r w:rsidR="00271881">
              <w:rPr>
                <w:noProof/>
                <w:webHidden/>
              </w:rPr>
              <w:t>33</w:t>
            </w:r>
            <w:r w:rsidR="007D4428" w:rsidRPr="007D4428">
              <w:rPr>
                <w:noProof/>
                <w:webHidden/>
              </w:rPr>
              <w:fldChar w:fldCharType="end"/>
            </w:r>
          </w:hyperlink>
        </w:p>
        <w:p w14:paraId="3F7E7163" w14:textId="6C5D00A2" w:rsidR="007D4428" w:rsidRPr="007D4428" w:rsidRDefault="00C75D8C" w:rsidP="001953F3">
          <w:pPr>
            <w:pStyle w:val="TOC3"/>
            <w:rPr>
              <w:rFonts w:asciiTheme="minorHAnsi" w:eastAsiaTheme="minorEastAsia" w:hAnsiTheme="minorHAnsi" w:cstheme="minorBidi"/>
              <w:noProof/>
            </w:rPr>
          </w:pPr>
          <w:hyperlink w:anchor="_Toc56512763" w:history="1">
            <w:r w:rsidR="007D4428" w:rsidRPr="007D4428">
              <w:rPr>
                <w:rStyle w:val="Hyperlink"/>
                <w:rFonts w:eastAsiaTheme="majorEastAsia"/>
                <w:noProof/>
                <w:sz w:val="26"/>
                <w:szCs w:val="26"/>
              </w:rPr>
              <w:t>2.</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PECO</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_Toc56512763 \h </w:instrText>
            </w:r>
            <w:r w:rsidR="007D4428" w:rsidRPr="007D4428">
              <w:rPr>
                <w:noProof/>
                <w:webHidden/>
              </w:rPr>
            </w:r>
            <w:r w:rsidR="007D4428" w:rsidRPr="007D4428">
              <w:rPr>
                <w:noProof/>
                <w:webHidden/>
              </w:rPr>
              <w:fldChar w:fldCharType="separate"/>
            </w:r>
            <w:r w:rsidR="00271881">
              <w:rPr>
                <w:noProof/>
                <w:webHidden/>
              </w:rPr>
              <w:t>36</w:t>
            </w:r>
            <w:r w:rsidR="007D4428" w:rsidRPr="007D4428">
              <w:rPr>
                <w:noProof/>
                <w:webHidden/>
              </w:rPr>
              <w:fldChar w:fldCharType="end"/>
            </w:r>
          </w:hyperlink>
        </w:p>
        <w:p w14:paraId="70D0B78E" w14:textId="62D02FB9" w:rsidR="007D4428" w:rsidRPr="007D4428" w:rsidRDefault="00C75D8C" w:rsidP="001953F3">
          <w:pPr>
            <w:pStyle w:val="TOC3"/>
            <w:rPr>
              <w:rFonts w:asciiTheme="minorHAnsi" w:eastAsiaTheme="minorEastAsia" w:hAnsiTheme="minorHAnsi" w:cstheme="minorBidi"/>
              <w:noProof/>
            </w:rPr>
          </w:pPr>
          <w:hyperlink w:anchor="_Toc56512764" w:history="1">
            <w:r w:rsidR="007D4428" w:rsidRPr="007D4428">
              <w:rPr>
                <w:rStyle w:val="Hyperlink"/>
                <w:rFonts w:eastAsiaTheme="majorEastAsia"/>
                <w:noProof/>
                <w:sz w:val="26"/>
                <w:szCs w:val="26"/>
              </w:rPr>
              <w:t>3.</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Calpine</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_Toc56512764 \h </w:instrText>
            </w:r>
            <w:r w:rsidR="007D4428" w:rsidRPr="007D4428">
              <w:rPr>
                <w:noProof/>
                <w:webHidden/>
              </w:rPr>
            </w:r>
            <w:r w:rsidR="007D4428" w:rsidRPr="007D4428">
              <w:rPr>
                <w:noProof/>
                <w:webHidden/>
              </w:rPr>
              <w:fldChar w:fldCharType="separate"/>
            </w:r>
            <w:r w:rsidR="00271881">
              <w:rPr>
                <w:noProof/>
                <w:webHidden/>
              </w:rPr>
              <w:t>38</w:t>
            </w:r>
            <w:r w:rsidR="007D4428" w:rsidRPr="007D4428">
              <w:rPr>
                <w:noProof/>
                <w:webHidden/>
              </w:rPr>
              <w:fldChar w:fldCharType="end"/>
            </w:r>
          </w:hyperlink>
        </w:p>
        <w:p w14:paraId="121EC590" w14:textId="64733A46" w:rsidR="007D4428" w:rsidRPr="007D4428" w:rsidRDefault="00C75D8C" w:rsidP="001953F3">
          <w:pPr>
            <w:pStyle w:val="TOC3"/>
            <w:rPr>
              <w:rFonts w:asciiTheme="minorHAnsi" w:eastAsiaTheme="minorEastAsia" w:hAnsiTheme="minorHAnsi" w:cstheme="minorBidi"/>
              <w:noProof/>
            </w:rPr>
          </w:pPr>
          <w:hyperlink w:anchor="_Toc56512765" w:history="1">
            <w:r w:rsidR="007D4428" w:rsidRPr="007D4428">
              <w:rPr>
                <w:rStyle w:val="Hyperlink"/>
                <w:rFonts w:eastAsiaTheme="majorEastAsia"/>
                <w:noProof/>
                <w:sz w:val="26"/>
                <w:szCs w:val="26"/>
              </w:rPr>
              <w:t>4.</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PAIEUG</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_Toc56512765 \h </w:instrText>
            </w:r>
            <w:r w:rsidR="007D4428" w:rsidRPr="007D4428">
              <w:rPr>
                <w:noProof/>
                <w:webHidden/>
              </w:rPr>
            </w:r>
            <w:r w:rsidR="007D4428" w:rsidRPr="007D4428">
              <w:rPr>
                <w:noProof/>
                <w:webHidden/>
              </w:rPr>
              <w:fldChar w:fldCharType="separate"/>
            </w:r>
            <w:r w:rsidR="00271881">
              <w:rPr>
                <w:noProof/>
                <w:webHidden/>
              </w:rPr>
              <w:t>39</w:t>
            </w:r>
            <w:r w:rsidR="007D4428" w:rsidRPr="007D4428">
              <w:rPr>
                <w:noProof/>
                <w:webHidden/>
              </w:rPr>
              <w:fldChar w:fldCharType="end"/>
            </w:r>
          </w:hyperlink>
        </w:p>
        <w:p w14:paraId="418DEC45" w14:textId="52A7B1D9" w:rsidR="007D4428" w:rsidRPr="007D4428" w:rsidRDefault="00C75D8C" w:rsidP="001953F3">
          <w:pPr>
            <w:pStyle w:val="TOC2"/>
            <w:rPr>
              <w:rFonts w:asciiTheme="minorHAnsi" w:eastAsiaTheme="minorEastAsia" w:hAnsiTheme="minorHAnsi" w:cstheme="minorBidi"/>
              <w:noProof/>
            </w:rPr>
          </w:pPr>
          <w:hyperlink w:anchor="_Toc56512766" w:history="1">
            <w:r w:rsidR="007D4428" w:rsidRPr="007D4428">
              <w:rPr>
                <w:rStyle w:val="Hyperlink"/>
                <w:noProof/>
                <w:sz w:val="26"/>
                <w:szCs w:val="26"/>
              </w:rPr>
              <w:t>C.</w:t>
            </w:r>
            <w:r w:rsidR="007D4428" w:rsidRPr="007D4428">
              <w:rPr>
                <w:rFonts w:asciiTheme="minorHAnsi" w:eastAsiaTheme="minorEastAsia" w:hAnsiTheme="minorHAnsi" w:cstheme="minorBidi"/>
                <w:noProof/>
              </w:rPr>
              <w:tab/>
            </w:r>
            <w:r w:rsidR="007D4428" w:rsidRPr="007D4428">
              <w:rPr>
                <w:rStyle w:val="Hyperlink"/>
                <w:noProof/>
                <w:sz w:val="26"/>
                <w:szCs w:val="26"/>
              </w:rPr>
              <w:t>ALJ’s Recommendation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_Toc56512766 \h </w:instrText>
            </w:r>
            <w:r w:rsidR="007D4428" w:rsidRPr="007D4428">
              <w:rPr>
                <w:noProof/>
                <w:webHidden/>
              </w:rPr>
            </w:r>
            <w:r w:rsidR="007D4428" w:rsidRPr="007D4428">
              <w:rPr>
                <w:noProof/>
                <w:webHidden/>
              </w:rPr>
              <w:fldChar w:fldCharType="separate"/>
            </w:r>
            <w:r w:rsidR="00271881">
              <w:rPr>
                <w:noProof/>
                <w:webHidden/>
              </w:rPr>
              <w:t>42</w:t>
            </w:r>
            <w:r w:rsidR="007D4428" w:rsidRPr="007D4428">
              <w:rPr>
                <w:noProof/>
                <w:webHidden/>
              </w:rPr>
              <w:fldChar w:fldCharType="end"/>
            </w:r>
          </w:hyperlink>
        </w:p>
        <w:p w14:paraId="7CADED6D" w14:textId="18B9F5DB" w:rsidR="007D4428" w:rsidRPr="007D4428" w:rsidRDefault="00C75D8C" w:rsidP="001953F3">
          <w:pPr>
            <w:pStyle w:val="TOC2"/>
            <w:rPr>
              <w:rFonts w:asciiTheme="minorHAnsi" w:eastAsiaTheme="minorEastAsia" w:hAnsiTheme="minorHAnsi" w:cstheme="minorBidi"/>
              <w:noProof/>
            </w:rPr>
          </w:pPr>
          <w:hyperlink w:anchor="_Toc56512767" w:history="1">
            <w:r w:rsidR="007D4428" w:rsidRPr="007D4428">
              <w:rPr>
                <w:rStyle w:val="Hyperlink"/>
                <w:noProof/>
                <w:sz w:val="26"/>
                <w:szCs w:val="26"/>
              </w:rPr>
              <w:t>D.</w:t>
            </w:r>
            <w:r w:rsidR="007D4428" w:rsidRPr="007D4428">
              <w:rPr>
                <w:rFonts w:asciiTheme="minorHAnsi" w:eastAsiaTheme="minorEastAsia" w:hAnsiTheme="minorHAnsi" w:cstheme="minorBidi"/>
                <w:noProof/>
              </w:rPr>
              <w:tab/>
            </w:r>
            <w:r w:rsidR="007D4428" w:rsidRPr="007D4428">
              <w:rPr>
                <w:rStyle w:val="Hyperlink"/>
                <w:noProof/>
                <w:sz w:val="26"/>
                <w:szCs w:val="26"/>
              </w:rPr>
              <w:t>ESC Exception No. 1, Replies, and Disposition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_Toc56512767 \h </w:instrText>
            </w:r>
            <w:r w:rsidR="007D4428" w:rsidRPr="007D4428">
              <w:rPr>
                <w:noProof/>
                <w:webHidden/>
              </w:rPr>
            </w:r>
            <w:r w:rsidR="007D4428" w:rsidRPr="007D4428">
              <w:rPr>
                <w:noProof/>
                <w:webHidden/>
              </w:rPr>
              <w:fldChar w:fldCharType="separate"/>
            </w:r>
            <w:r w:rsidR="00271881">
              <w:rPr>
                <w:noProof/>
                <w:webHidden/>
              </w:rPr>
              <w:t>45</w:t>
            </w:r>
            <w:r w:rsidR="007D4428" w:rsidRPr="007D4428">
              <w:rPr>
                <w:noProof/>
                <w:webHidden/>
              </w:rPr>
              <w:fldChar w:fldCharType="end"/>
            </w:r>
          </w:hyperlink>
        </w:p>
        <w:p w14:paraId="377A710C" w14:textId="4A4F7A7C" w:rsidR="007D4428" w:rsidRPr="007D4428" w:rsidRDefault="00C75D8C" w:rsidP="001953F3">
          <w:pPr>
            <w:pStyle w:val="TOC3"/>
            <w:rPr>
              <w:rFonts w:asciiTheme="minorHAnsi" w:eastAsiaTheme="minorEastAsia" w:hAnsiTheme="minorHAnsi" w:cstheme="minorBidi"/>
              <w:noProof/>
            </w:rPr>
          </w:pPr>
          <w:hyperlink w:anchor="_Toc56512768" w:history="1">
            <w:r w:rsidR="007D4428" w:rsidRPr="007D4428">
              <w:rPr>
                <w:rStyle w:val="Hyperlink"/>
                <w:noProof/>
                <w:sz w:val="26"/>
                <w:szCs w:val="26"/>
              </w:rPr>
              <w:t>1.</w:t>
            </w:r>
            <w:r w:rsidR="007D4428" w:rsidRPr="007D4428">
              <w:rPr>
                <w:rFonts w:asciiTheme="minorHAnsi" w:eastAsiaTheme="minorEastAsia" w:hAnsiTheme="minorHAnsi" w:cstheme="minorBidi"/>
                <w:noProof/>
              </w:rPr>
              <w:tab/>
            </w:r>
            <w:r w:rsidR="007D4428" w:rsidRPr="007D4428">
              <w:rPr>
                <w:rStyle w:val="Hyperlink"/>
                <w:noProof/>
                <w:sz w:val="26"/>
                <w:szCs w:val="26"/>
              </w:rPr>
              <w:t>ESC Exception No. 1</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_Toc56512768 \h </w:instrText>
            </w:r>
            <w:r w:rsidR="007D4428" w:rsidRPr="007D4428">
              <w:rPr>
                <w:noProof/>
                <w:webHidden/>
              </w:rPr>
            </w:r>
            <w:r w:rsidR="007D4428" w:rsidRPr="007D4428">
              <w:rPr>
                <w:noProof/>
                <w:webHidden/>
              </w:rPr>
              <w:fldChar w:fldCharType="separate"/>
            </w:r>
            <w:r w:rsidR="00271881">
              <w:rPr>
                <w:noProof/>
                <w:webHidden/>
              </w:rPr>
              <w:t>45</w:t>
            </w:r>
            <w:r w:rsidR="007D4428" w:rsidRPr="007D4428">
              <w:rPr>
                <w:noProof/>
                <w:webHidden/>
              </w:rPr>
              <w:fldChar w:fldCharType="end"/>
            </w:r>
          </w:hyperlink>
        </w:p>
        <w:p w14:paraId="6F4FBC56" w14:textId="17565AB9" w:rsidR="007D4428" w:rsidRPr="007D4428" w:rsidRDefault="00C75D8C" w:rsidP="001953F3">
          <w:pPr>
            <w:pStyle w:val="TOC3"/>
            <w:rPr>
              <w:rFonts w:asciiTheme="minorHAnsi" w:eastAsiaTheme="minorEastAsia" w:hAnsiTheme="minorHAnsi" w:cstheme="minorBidi"/>
              <w:noProof/>
            </w:rPr>
          </w:pPr>
          <w:hyperlink w:anchor="_Toc56512769" w:history="1">
            <w:r w:rsidR="007D4428" w:rsidRPr="007D4428">
              <w:rPr>
                <w:rStyle w:val="Hyperlink"/>
                <w:rFonts w:eastAsiaTheme="majorEastAsia"/>
                <w:noProof/>
                <w:sz w:val="26"/>
                <w:szCs w:val="26"/>
              </w:rPr>
              <w:t>2.</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Replies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_Toc56512769 \h </w:instrText>
            </w:r>
            <w:r w:rsidR="007D4428" w:rsidRPr="007D4428">
              <w:rPr>
                <w:noProof/>
                <w:webHidden/>
              </w:rPr>
            </w:r>
            <w:r w:rsidR="007D4428" w:rsidRPr="007D4428">
              <w:rPr>
                <w:noProof/>
                <w:webHidden/>
              </w:rPr>
              <w:fldChar w:fldCharType="separate"/>
            </w:r>
            <w:r w:rsidR="00271881">
              <w:rPr>
                <w:noProof/>
                <w:webHidden/>
              </w:rPr>
              <w:t>48</w:t>
            </w:r>
            <w:r w:rsidR="007D4428" w:rsidRPr="007D4428">
              <w:rPr>
                <w:noProof/>
                <w:webHidden/>
              </w:rPr>
              <w:fldChar w:fldCharType="end"/>
            </w:r>
          </w:hyperlink>
        </w:p>
        <w:p w14:paraId="60F92D6B" w14:textId="3E94C948" w:rsidR="007D4428" w:rsidRPr="007D4428" w:rsidRDefault="00C75D8C" w:rsidP="001953F3">
          <w:pPr>
            <w:pStyle w:val="TOC3"/>
            <w:rPr>
              <w:rFonts w:asciiTheme="minorHAnsi" w:eastAsiaTheme="minorEastAsia" w:hAnsiTheme="minorHAnsi" w:cstheme="minorBidi"/>
              <w:noProof/>
            </w:rPr>
          </w:pPr>
          <w:hyperlink w:anchor="_Toc56512770" w:history="1">
            <w:r w:rsidR="007D4428" w:rsidRPr="007D4428">
              <w:rPr>
                <w:rStyle w:val="Hyperlink"/>
                <w:noProof/>
                <w:sz w:val="26"/>
                <w:szCs w:val="26"/>
              </w:rPr>
              <w:t>3.</w:t>
            </w:r>
            <w:r w:rsidR="007D4428" w:rsidRPr="007D4428">
              <w:rPr>
                <w:rFonts w:asciiTheme="minorHAnsi" w:eastAsiaTheme="minorEastAsia" w:hAnsiTheme="minorHAnsi" w:cstheme="minorBidi"/>
                <w:noProof/>
              </w:rPr>
              <w:tab/>
            </w:r>
            <w:r w:rsidR="007D4428" w:rsidRPr="007D4428">
              <w:rPr>
                <w:rStyle w:val="Hyperlink"/>
                <w:noProof/>
                <w:sz w:val="26"/>
                <w:szCs w:val="26"/>
              </w:rPr>
              <w:t>Disposition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_Toc56512770 \h </w:instrText>
            </w:r>
            <w:r w:rsidR="007D4428" w:rsidRPr="007D4428">
              <w:rPr>
                <w:noProof/>
                <w:webHidden/>
              </w:rPr>
            </w:r>
            <w:r w:rsidR="007D4428" w:rsidRPr="007D4428">
              <w:rPr>
                <w:noProof/>
                <w:webHidden/>
              </w:rPr>
              <w:fldChar w:fldCharType="separate"/>
            </w:r>
            <w:r w:rsidR="00271881">
              <w:rPr>
                <w:noProof/>
                <w:webHidden/>
              </w:rPr>
              <w:t>51</w:t>
            </w:r>
            <w:r w:rsidR="007D4428" w:rsidRPr="007D4428">
              <w:rPr>
                <w:noProof/>
                <w:webHidden/>
              </w:rPr>
              <w:fldChar w:fldCharType="end"/>
            </w:r>
          </w:hyperlink>
        </w:p>
        <w:p w14:paraId="52505D94" w14:textId="653B551D" w:rsidR="007D4428" w:rsidRPr="007D4428" w:rsidRDefault="00C75D8C" w:rsidP="001953F3">
          <w:pPr>
            <w:pStyle w:val="TOC2"/>
            <w:rPr>
              <w:rFonts w:asciiTheme="minorHAnsi" w:eastAsiaTheme="minorEastAsia" w:hAnsiTheme="minorHAnsi" w:cstheme="minorBidi"/>
              <w:noProof/>
            </w:rPr>
          </w:pPr>
          <w:hyperlink w:anchor="_Toc56512771" w:history="1">
            <w:r w:rsidR="007D4428" w:rsidRPr="007D4428">
              <w:rPr>
                <w:rStyle w:val="Hyperlink"/>
                <w:noProof/>
                <w:sz w:val="26"/>
                <w:szCs w:val="26"/>
              </w:rPr>
              <w:t>E.</w:t>
            </w:r>
            <w:r w:rsidR="007D4428" w:rsidRPr="007D4428">
              <w:rPr>
                <w:rFonts w:asciiTheme="minorHAnsi" w:eastAsiaTheme="minorEastAsia" w:hAnsiTheme="minorHAnsi" w:cstheme="minorBidi"/>
                <w:noProof/>
              </w:rPr>
              <w:tab/>
            </w:r>
            <w:r w:rsidR="007D4428" w:rsidRPr="007D4428">
              <w:rPr>
                <w:rStyle w:val="Hyperlink"/>
                <w:noProof/>
                <w:sz w:val="26"/>
                <w:szCs w:val="26"/>
              </w:rPr>
              <w:t>ESC Exception No. 2, Replies, and Disposition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_Toc56512771 \h </w:instrText>
            </w:r>
            <w:r w:rsidR="007D4428" w:rsidRPr="007D4428">
              <w:rPr>
                <w:noProof/>
                <w:webHidden/>
              </w:rPr>
            </w:r>
            <w:r w:rsidR="007D4428" w:rsidRPr="007D4428">
              <w:rPr>
                <w:noProof/>
                <w:webHidden/>
              </w:rPr>
              <w:fldChar w:fldCharType="separate"/>
            </w:r>
            <w:r w:rsidR="00271881">
              <w:rPr>
                <w:noProof/>
                <w:webHidden/>
              </w:rPr>
              <w:t>53</w:t>
            </w:r>
            <w:r w:rsidR="007D4428" w:rsidRPr="007D4428">
              <w:rPr>
                <w:noProof/>
                <w:webHidden/>
              </w:rPr>
              <w:fldChar w:fldCharType="end"/>
            </w:r>
          </w:hyperlink>
        </w:p>
        <w:p w14:paraId="7022CC55" w14:textId="525AEECF" w:rsidR="007D4428" w:rsidRPr="007D4428" w:rsidRDefault="00C75D8C" w:rsidP="001953F3">
          <w:pPr>
            <w:pStyle w:val="TOC3"/>
            <w:rPr>
              <w:rFonts w:asciiTheme="minorHAnsi" w:eastAsiaTheme="minorEastAsia" w:hAnsiTheme="minorHAnsi" w:cstheme="minorBidi"/>
              <w:noProof/>
            </w:rPr>
          </w:pPr>
          <w:hyperlink w:anchor="_Toc56512772" w:history="1">
            <w:r w:rsidR="007D4428" w:rsidRPr="007D4428">
              <w:rPr>
                <w:rStyle w:val="Hyperlink"/>
                <w:rFonts w:eastAsiaTheme="majorEastAsia"/>
                <w:noProof/>
                <w:sz w:val="26"/>
                <w:szCs w:val="26"/>
              </w:rPr>
              <w:t>1.</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ESC’s Exception No. 2</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_Toc56512772 \h </w:instrText>
            </w:r>
            <w:r w:rsidR="007D4428" w:rsidRPr="007D4428">
              <w:rPr>
                <w:noProof/>
                <w:webHidden/>
              </w:rPr>
            </w:r>
            <w:r w:rsidR="007D4428" w:rsidRPr="007D4428">
              <w:rPr>
                <w:noProof/>
                <w:webHidden/>
              </w:rPr>
              <w:fldChar w:fldCharType="separate"/>
            </w:r>
            <w:r w:rsidR="00271881">
              <w:rPr>
                <w:noProof/>
                <w:webHidden/>
              </w:rPr>
              <w:t>53</w:t>
            </w:r>
            <w:r w:rsidR="007D4428" w:rsidRPr="007D4428">
              <w:rPr>
                <w:noProof/>
                <w:webHidden/>
              </w:rPr>
              <w:fldChar w:fldCharType="end"/>
            </w:r>
          </w:hyperlink>
        </w:p>
        <w:p w14:paraId="0205C35B" w14:textId="0135B86A" w:rsidR="007D4428" w:rsidRPr="007D4428" w:rsidRDefault="00C75D8C" w:rsidP="001953F3">
          <w:pPr>
            <w:pStyle w:val="TOC3"/>
            <w:rPr>
              <w:rFonts w:asciiTheme="minorHAnsi" w:eastAsiaTheme="minorEastAsia" w:hAnsiTheme="minorHAnsi" w:cstheme="minorBidi"/>
              <w:noProof/>
            </w:rPr>
          </w:pPr>
          <w:hyperlink w:anchor="_Toc56512773" w:history="1">
            <w:r w:rsidR="007D4428" w:rsidRPr="007D4428">
              <w:rPr>
                <w:rStyle w:val="Hyperlink"/>
                <w:rFonts w:eastAsiaTheme="majorEastAsia"/>
                <w:noProof/>
                <w:sz w:val="26"/>
                <w:szCs w:val="26"/>
              </w:rPr>
              <w:t>2.</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Replies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_Toc56512773 \h </w:instrText>
            </w:r>
            <w:r w:rsidR="007D4428" w:rsidRPr="007D4428">
              <w:rPr>
                <w:noProof/>
                <w:webHidden/>
              </w:rPr>
            </w:r>
            <w:r w:rsidR="007D4428" w:rsidRPr="007D4428">
              <w:rPr>
                <w:noProof/>
                <w:webHidden/>
              </w:rPr>
              <w:fldChar w:fldCharType="separate"/>
            </w:r>
            <w:r w:rsidR="00271881">
              <w:rPr>
                <w:noProof/>
                <w:webHidden/>
              </w:rPr>
              <w:t>55</w:t>
            </w:r>
            <w:r w:rsidR="007D4428" w:rsidRPr="007D4428">
              <w:rPr>
                <w:noProof/>
                <w:webHidden/>
              </w:rPr>
              <w:fldChar w:fldCharType="end"/>
            </w:r>
          </w:hyperlink>
        </w:p>
        <w:p w14:paraId="322431E2" w14:textId="237BC19D" w:rsidR="007D4428" w:rsidRPr="007D4428" w:rsidRDefault="00C75D8C" w:rsidP="001953F3">
          <w:pPr>
            <w:pStyle w:val="TOC3"/>
            <w:rPr>
              <w:rFonts w:asciiTheme="minorHAnsi" w:eastAsiaTheme="minorEastAsia" w:hAnsiTheme="minorHAnsi" w:cstheme="minorBidi"/>
              <w:noProof/>
            </w:rPr>
          </w:pPr>
          <w:hyperlink w:anchor="_Toc56512774" w:history="1">
            <w:r w:rsidR="007D4428" w:rsidRPr="007D4428">
              <w:rPr>
                <w:rStyle w:val="Hyperlink"/>
                <w:rFonts w:eastAsiaTheme="majorEastAsia"/>
                <w:noProof/>
                <w:sz w:val="26"/>
                <w:szCs w:val="26"/>
              </w:rPr>
              <w:t>3.</w:t>
            </w:r>
            <w:r w:rsidR="007D4428" w:rsidRPr="007D4428">
              <w:rPr>
                <w:rFonts w:asciiTheme="minorHAnsi" w:eastAsiaTheme="minorEastAsia" w:hAnsiTheme="minorHAnsi" w:cstheme="minorBidi"/>
                <w:noProof/>
              </w:rPr>
              <w:tab/>
            </w:r>
            <w:r w:rsidR="007D4428" w:rsidRPr="007D4428">
              <w:rPr>
                <w:rStyle w:val="Hyperlink"/>
                <w:rFonts w:eastAsiaTheme="majorEastAsia"/>
                <w:noProof/>
                <w:sz w:val="26"/>
                <w:szCs w:val="26"/>
              </w:rPr>
              <w:t>Disposition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_Toc56512774 \h </w:instrText>
            </w:r>
            <w:r w:rsidR="007D4428" w:rsidRPr="007D4428">
              <w:rPr>
                <w:noProof/>
                <w:webHidden/>
              </w:rPr>
            </w:r>
            <w:r w:rsidR="007D4428" w:rsidRPr="007D4428">
              <w:rPr>
                <w:noProof/>
                <w:webHidden/>
              </w:rPr>
              <w:fldChar w:fldCharType="separate"/>
            </w:r>
            <w:r w:rsidR="00271881">
              <w:rPr>
                <w:noProof/>
                <w:webHidden/>
              </w:rPr>
              <w:t>57</w:t>
            </w:r>
            <w:r w:rsidR="007D4428" w:rsidRPr="007D4428">
              <w:rPr>
                <w:noProof/>
                <w:webHidden/>
              </w:rPr>
              <w:fldChar w:fldCharType="end"/>
            </w:r>
          </w:hyperlink>
        </w:p>
        <w:p w14:paraId="319A6AF2" w14:textId="05DCFFDE" w:rsidR="007D4428" w:rsidRPr="007D4428" w:rsidRDefault="00C75D8C" w:rsidP="001953F3">
          <w:pPr>
            <w:pStyle w:val="TOC2"/>
            <w:rPr>
              <w:rFonts w:asciiTheme="minorHAnsi" w:eastAsiaTheme="minorEastAsia" w:hAnsiTheme="minorHAnsi" w:cstheme="minorBidi"/>
              <w:noProof/>
            </w:rPr>
          </w:pPr>
          <w:hyperlink w:anchor="_Toc56512775" w:history="1">
            <w:r w:rsidR="007D4428" w:rsidRPr="007D4428">
              <w:rPr>
                <w:rStyle w:val="Hyperlink"/>
                <w:noProof/>
                <w:sz w:val="26"/>
                <w:szCs w:val="26"/>
              </w:rPr>
              <w:t>F.</w:t>
            </w:r>
            <w:r w:rsidR="007D4428" w:rsidRPr="007D4428">
              <w:rPr>
                <w:rFonts w:asciiTheme="minorHAnsi" w:eastAsiaTheme="minorEastAsia" w:hAnsiTheme="minorHAnsi" w:cstheme="minorBidi"/>
                <w:noProof/>
              </w:rPr>
              <w:tab/>
            </w:r>
            <w:r w:rsidR="007D4428" w:rsidRPr="007D4428">
              <w:rPr>
                <w:rStyle w:val="Hyperlink"/>
                <w:noProof/>
                <w:sz w:val="26"/>
                <w:szCs w:val="26"/>
              </w:rPr>
              <w:t>ESC’s Proposal Regarding a Commission-Ordered Statewide Review Addressing NITS Costs Recovery to Enhance the Retail Electric Market, Responses Thereto, and Disposition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_Toc56512775 \h </w:instrText>
            </w:r>
            <w:r w:rsidR="007D4428" w:rsidRPr="007D4428">
              <w:rPr>
                <w:noProof/>
                <w:webHidden/>
              </w:rPr>
            </w:r>
            <w:r w:rsidR="007D4428" w:rsidRPr="007D4428">
              <w:rPr>
                <w:noProof/>
                <w:webHidden/>
              </w:rPr>
              <w:fldChar w:fldCharType="separate"/>
            </w:r>
            <w:r w:rsidR="00271881">
              <w:rPr>
                <w:noProof/>
                <w:webHidden/>
              </w:rPr>
              <w:t>60</w:t>
            </w:r>
            <w:r w:rsidR="007D4428" w:rsidRPr="007D4428">
              <w:rPr>
                <w:noProof/>
                <w:webHidden/>
              </w:rPr>
              <w:fldChar w:fldCharType="end"/>
            </w:r>
          </w:hyperlink>
        </w:p>
        <w:p w14:paraId="0C05871B" w14:textId="292AE8B8" w:rsidR="007D4428" w:rsidRPr="007D4428" w:rsidRDefault="00C75D8C" w:rsidP="001953F3">
          <w:pPr>
            <w:pStyle w:val="TOC3"/>
            <w:rPr>
              <w:rFonts w:asciiTheme="minorHAnsi" w:eastAsiaTheme="minorEastAsia" w:hAnsiTheme="minorHAnsi" w:cstheme="minorBidi"/>
              <w:noProof/>
            </w:rPr>
          </w:pPr>
          <w:hyperlink w:anchor="_Toc56512776" w:history="1">
            <w:r w:rsidR="007D4428" w:rsidRPr="007D4428">
              <w:rPr>
                <w:rStyle w:val="Hyperlink"/>
                <w:noProof/>
                <w:sz w:val="26"/>
                <w:szCs w:val="26"/>
              </w:rPr>
              <w:t>1.</w:t>
            </w:r>
            <w:r w:rsidR="007D4428" w:rsidRPr="007D4428">
              <w:rPr>
                <w:rFonts w:asciiTheme="minorHAnsi" w:eastAsiaTheme="minorEastAsia" w:hAnsiTheme="minorHAnsi" w:cstheme="minorBidi"/>
                <w:noProof/>
              </w:rPr>
              <w:tab/>
            </w:r>
            <w:r w:rsidR="007D4428" w:rsidRPr="007D4428">
              <w:rPr>
                <w:rStyle w:val="Hyperlink"/>
                <w:noProof/>
                <w:sz w:val="26"/>
                <w:szCs w:val="26"/>
              </w:rPr>
              <w:t>ESC’s Proposal</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_Toc56512776 \h </w:instrText>
            </w:r>
            <w:r w:rsidR="007D4428" w:rsidRPr="007D4428">
              <w:rPr>
                <w:noProof/>
                <w:webHidden/>
              </w:rPr>
            </w:r>
            <w:r w:rsidR="007D4428" w:rsidRPr="007D4428">
              <w:rPr>
                <w:noProof/>
                <w:webHidden/>
              </w:rPr>
              <w:fldChar w:fldCharType="separate"/>
            </w:r>
            <w:r w:rsidR="00271881">
              <w:rPr>
                <w:noProof/>
                <w:webHidden/>
              </w:rPr>
              <w:t>60</w:t>
            </w:r>
            <w:r w:rsidR="007D4428" w:rsidRPr="007D4428">
              <w:rPr>
                <w:noProof/>
                <w:webHidden/>
              </w:rPr>
              <w:fldChar w:fldCharType="end"/>
            </w:r>
          </w:hyperlink>
        </w:p>
        <w:p w14:paraId="4B1CCB55" w14:textId="0E122EE4" w:rsidR="007D4428" w:rsidRPr="007D4428" w:rsidRDefault="00C75D8C" w:rsidP="001953F3">
          <w:pPr>
            <w:pStyle w:val="TOC3"/>
            <w:rPr>
              <w:rFonts w:asciiTheme="minorHAnsi" w:eastAsiaTheme="minorEastAsia" w:hAnsiTheme="minorHAnsi" w:cstheme="minorBidi"/>
              <w:noProof/>
            </w:rPr>
          </w:pPr>
          <w:hyperlink w:anchor="_Toc56512777" w:history="1">
            <w:r w:rsidR="007D4428" w:rsidRPr="007D4428">
              <w:rPr>
                <w:rStyle w:val="Hyperlink"/>
                <w:noProof/>
                <w:sz w:val="26"/>
                <w:szCs w:val="26"/>
              </w:rPr>
              <w:t>2.</w:t>
            </w:r>
            <w:r w:rsidR="007D4428" w:rsidRPr="007D4428">
              <w:rPr>
                <w:rFonts w:asciiTheme="minorHAnsi" w:eastAsiaTheme="minorEastAsia" w:hAnsiTheme="minorHAnsi" w:cstheme="minorBidi"/>
                <w:noProof/>
              </w:rPr>
              <w:tab/>
            </w:r>
            <w:r w:rsidR="007D4428" w:rsidRPr="007D4428">
              <w:rPr>
                <w:rStyle w:val="Hyperlink"/>
                <w:noProof/>
                <w:sz w:val="26"/>
                <w:szCs w:val="26"/>
              </w:rPr>
              <w:t>Responses</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_Toc56512777 \h </w:instrText>
            </w:r>
            <w:r w:rsidR="007D4428" w:rsidRPr="007D4428">
              <w:rPr>
                <w:noProof/>
                <w:webHidden/>
              </w:rPr>
            </w:r>
            <w:r w:rsidR="007D4428" w:rsidRPr="007D4428">
              <w:rPr>
                <w:noProof/>
                <w:webHidden/>
              </w:rPr>
              <w:fldChar w:fldCharType="separate"/>
            </w:r>
            <w:r w:rsidR="00271881">
              <w:rPr>
                <w:noProof/>
                <w:webHidden/>
              </w:rPr>
              <w:t>61</w:t>
            </w:r>
            <w:r w:rsidR="007D4428" w:rsidRPr="007D4428">
              <w:rPr>
                <w:noProof/>
                <w:webHidden/>
              </w:rPr>
              <w:fldChar w:fldCharType="end"/>
            </w:r>
          </w:hyperlink>
        </w:p>
        <w:p w14:paraId="2AB16262" w14:textId="02B51EA1" w:rsidR="007D4428" w:rsidRPr="007D4428" w:rsidRDefault="00C75D8C" w:rsidP="001953F3">
          <w:pPr>
            <w:pStyle w:val="TOC3"/>
            <w:rPr>
              <w:rFonts w:asciiTheme="minorHAnsi" w:eastAsiaTheme="minorEastAsia" w:hAnsiTheme="minorHAnsi" w:cstheme="minorBidi"/>
              <w:noProof/>
            </w:rPr>
          </w:pPr>
          <w:hyperlink w:anchor="_Toc56512778" w:history="1">
            <w:r w:rsidR="007D4428" w:rsidRPr="007D4428">
              <w:rPr>
                <w:rStyle w:val="Hyperlink"/>
                <w:noProof/>
                <w:sz w:val="26"/>
                <w:szCs w:val="26"/>
              </w:rPr>
              <w:t>3.</w:t>
            </w:r>
            <w:r w:rsidR="007D4428" w:rsidRPr="007D4428">
              <w:rPr>
                <w:rFonts w:asciiTheme="minorHAnsi" w:eastAsiaTheme="minorEastAsia" w:hAnsiTheme="minorHAnsi" w:cstheme="minorBidi"/>
                <w:noProof/>
              </w:rPr>
              <w:tab/>
            </w:r>
            <w:r w:rsidR="007D4428" w:rsidRPr="007D4428">
              <w:rPr>
                <w:rStyle w:val="Hyperlink"/>
                <w:noProof/>
                <w:sz w:val="26"/>
                <w:szCs w:val="26"/>
              </w:rPr>
              <w:t>Disposition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_Toc56512778 \h </w:instrText>
            </w:r>
            <w:r w:rsidR="007D4428" w:rsidRPr="007D4428">
              <w:rPr>
                <w:noProof/>
                <w:webHidden/>
              </w:rPr>
            </w:r>
            <w:r w:rsidR="007D4428" w:rsidRPr="007D4428">
              <w:rPr>
                <w:noProof/>
                <w:webHidden/>
              </w:rPr>
              <w:fldChar w:fldCharType="separate"/>
            </w:r>
            <w:r w:rsidR="00271881">
              <w:rPr>
                <w:noProof/>
                <w:webHidden/>
              </w:rPr>
              <w:t>63</w:t>
            </w:r>
            <w:r w:rsidR="007D4428" w:rsidRPr="007D4428">
              <w:rPr>
                <w:noProof/>
                <w:webHidden/>
              </w:rPr>
              <w:fldChar w:fldCharType="end"/>
            </w:r>
          </w:hyperlink>
        </w:p>
        <w:p w14:paraId="72180FA8" w14:textId="30DA296C" w:rsidR="007D4428" w:rsidRPr="007D4428" w:rsidRDefault="00C75D8C" w:rsidP="001953F3">
          <w:pPr>
            <w:pStyle w:val="TOC1"/>
            <w:rPr>
              <w:rFonts w:asciiTheme="minorHAnsi" w:eastAsiaTheme="minorEastAsia" w:hAnsiTheme="minorHAnsi" w:cstheme="minorBidi"/>
              <w:noProof/>
            </w:rPr>
          </w:pPr>
          <w:hyperlink w:anchor="_Toc56512779" w:history="1">
            <w:r w:rsidR="007D4428" w:rsidRPr="007D4428">
              <w:rPr>
                <w:rStyle w:val="Hyperlink"/>
                <w:noProof/>
                <w:sz w:val="26"/>
                <w:szCs w:val="26"/>
              </w:rPr>
              <w:t>VI.</w:t>
            </w:r>
            <w:r w:rsidR="007D4428" w:rsidRPr="007D4428">
              <w:rPr>
                <w:rFonts w:asciiTheme="minorHAnsi" w:eastAsiaTheme="minorEastAsia" w:hAnsiTheme="minorHAnsi" w:cstheme="minorBidi"/>
                <w:noProof/>
              </w:rPr>
              <w:tab/>
            </w:r>
            <w:r w:rsidR="007D4428" w:rsidRPr="007D4428">
              <w:rPr>
                <w:rStyle w:val="Hyperlink"/>
                <w:noProof/>
                <w:sz w:val="26"/>
                <w:szCs w:val="26"/>
              </w:rPr>
              <w:t>Conclusion</w:t>
            </w:r>
            <w:r w:rsidR="007D4428" w:rsidRPr="007D4428">
              <w:rPr>
                <w:noProof/>
                <w:webHidden/>
              </w:rPr>
              <w:tab/>
            </w:r>
            <w:r w:rsidR="007D4428" w:rsidRPr="007D4428">
              <w:rPr>
                <w:noProof/>
                <w:webHidden/>
              </w:rPr>
              <w:fldChar w:fldCharType="begin"/>
            </w:r>
            <w:r w:rsidR="007D4428" w:rsidRPr="007D4428">
              <w:rPr>
                <w:noProof/>
                <w:webHidden/>
              </w:rPr>
              <w:instrText xml:space="preserve"> PAGEREF _Toc56512779 \h </w:instrText>
            </w:r>
            <w:r w:rsidR="007D4428" w:rsidRPr="007D4428">
              <w:rPr>
                <w:noProof/>
                <w:webHidden/>
              </w:rPr>
            </w:r>
            <w:r w:rsidR="007D4428" w:rsidRPr="007D4428">
              <w:rPr>
                <w:noProof/>
                <w:webHidden/>
              </w:rPr>
              <w:fldChar w:fldCharType="separate"/>
            </w:r>
            <w:r w:rsidR="00271881">
              <w:rPr>
                <w:noProof/>
                <w:webHidden/>
              </w:rPr>
              <w:t>64</w:t>
            </w:r>
            <w:r w:rsidR="007D4428" w:rsidRPr="007D4428">
              <w:rPr>
                <w:noProof/>
                <w:webHidden/>
              </w:rPr>
              <w:fldChar w:fldCharType="end"/>
            </w:r>
          </w:hyperlink>
        </w:p>
        <w:p w14:paraId="253500CF" w14:textId="00D4F8E0" w:rsidR="007D4428" w:rsidRDefault="007D4428">
          <w:r w:rsidRPr="007D4428">
            <w:rPr>
              <w:b/>
              <w:bCs/>
              <w:noProof/>
              <w:sz w:val="26"/>
              <w:szCs w:val="26"/>
            </w:rPr>
            <w:fldChar w:fldCharType="end"/>
          </w:r>
        </w:p>
      </w:sdtContent>
    </w:sdt>
    <w:p w14:paraId="28B1ADAC" w14:textId="291878D6" w:rsidR="003C40DF" w:rsidRDefault="003C40DF" w:rsidP="005F3BE2">
      <w:pPr>
        <w:pStyle w:val="ListParagraph"/>
        <w:ind w:left="0"/>
        <w:contextualSpacing/>
        <w:jc w:val="center"/>
        <w:rPr>
          <w:b/>
          <w:sz w:val="26"/>
          <w:szCs w:val="26"/>
          <w:u w:val="single"/>
        </w:rPr>
      </w:pPr>
    </w:p>
    <w:p w14:paraId="2AE07D70" w14:textId="77777777" w:rsidR="007D4428" w:rsidRPr="00E37897" w:rsidRDefault="007D4428" w:rsidP="005F3BE2">
      <w:pPr>
        <w:pStyle w:val="ListParagraph"/>
        <w:ind w:left="0"/>
        <w:contextualSpacing/>
        <w:jc w:val="center"/>
        <w:rPr>
          <w:b/>
          <w:sz w:val="26"/>
          <w:szCs w:val="26"/>
          <w:u w:val="single"/>
        </w:rPr>
      </w:pPr>
    </w:p>
    <w:p w14:paraId="61257386" w14:textId="77777777" w:rsidR="008077D8" w:rsidRPr="00E37897" w:rsidRDefault="008077D8" w:rsidP="005F3BE2">
      <w:pPr>
        <w:pStyle w:val="ListParagraph"/>
        <w:ind w:left="0"/>
        <w:contextualSpacing/>
        <w:jc w:val="center"/>
        <w:rPr>
          <w:b/>
          <w:sz w:val="26"/>
          <w:szCs w:val="26"/>
          <w:u w:val="single"/>
        </w:rPr>
        <w:sectPr w:rsidR="008077D8" w:rsidRPr="00E37897" w:rsidSect="008077D8">
          <w:pgSz w:w="12240" w:h="15840"/>
          <w:pgMar w:top="1440" w:right="1440" w:bottom="1440" w:left="1440" w:header="720" w:footer="720" w:gutter="0"/>
          <w:pgNumType w:fmt="lowerRoman" w:start="1"/>
          <w:cols w:space="720"/>
          <w:docGrid w:linePitch="360"/>
        </w:sectPr>
      </w:pPr>
    </w:p>
    <w:p w14:paraId="74CDB6A4" w14:textId="77777777" w:rsidR="008077D8" w:rsidRPr="00E37897" w:rsidRDefault="008077D8" w:rsidP="005F3BE2">
      <w:pPr>
        <w:pStyle w:val="ListParagraph"/>
        <w:ind w:left="0"/>
        <w:contextualSpacing/>
        <w:rPr>
          <w:b/>
          <w:sz w:val="26"/>
          <w:szCs w:val="26"/>
        </w:rPr>
      </w:pPr>
      <w:r w:rsidRPr="00E37897">
        <w:rPr>
          <w:b/>
          <w:sz w:val="26"/>
          <w:szCs w:val="26"/>
        </w:rPr>
        <w:lastRenderedPageBreak/>
        <w:t>BY THE COMMISSION:</w:t>
      </w:r>
    </w:p>
    <w:p w14:paraId="12E49F0D" w14:textId="26580D71" w:rsidR="008077D8" w:rsidRDefault="008077D8" w:rsidP="005F3BE2">
      <w:pPr>
        <w:pStyle w:val="ListParagraph"/>
        <w:keepNext/>
        <w:spacing w:line="360" w:lineRule="auto"/>
        <w:ind w:left="1080"/>
        <w:contextualSpacing/>
        <w:jc w:val="center"/>
        <w:rPr>
          <w:b/>
          <w:sz w:val="26"/>
          <w:szCs w:val="26"/>
        </w:rPr>
      </w:pPr>
    </w:p>
    <w:p w14:paraId="7D210BB4" w14:textId="7E40C9EB" w:rsidR="00432C71" w:rsidRPr="00E37897" w:rsidRDefault="00432C71">
      <w:pPr>
        <w:pStyle w:val="ListParagraph"/>
        <w:keepNext/>
        <w:spacing w:line="360" w:lineRule="auto"/>
        <w:ind w:left="0"/>
        <w:contextualSpacing/>
        <w:rPr>
          <w:sz w:val="26"/>
          <w:szCs w:val="26"/>
        </w:rPr>
      </w:pPr>
      <w:r w:rsidRPr="00E37897">
        <w:rPr>
          <w:sz w:val="26"/>
          <w:szCs w:val="26"/>
        </w:rPr>
        <w:tab/>
      </w:r>
      <w:r w:rsidRPr="00E37897">
        <w:rPr>
          <w:sz w:val="26"/>
          <w:szCs w:val="26"/>
        </w:rPr>
        <w:tab/>
        <w:t xml:space="preserve">Before the Pennsylvania Public Utility Commission (Commission) for consideration and disposition are the Exceptions of </w:t>
      </w:r>
      <w:r w:rsidR="00491FF8" w:rsidRPr="00E37897">
        <w:rPr>
          <w:sz w:val="26"/>
          <w:szCs w:val="26"/>
        </w:rPr>
        <w:t>NRG Energy, Inc.</w:t>
      </w:r>
      <w:r w:rsidR="005C227E" w:rsidRPr="00E37897">
        <w:rPr>
          <w:sz w:val="26"/>
          <w:szCs w:val="26"/>
        </w:rPr>
        <w:t xml:space="preserve"> (NRG Energy)</w:t>
      </w:r>
      <w:r w:rsidR="008838F1">
        <w:rPr>
          <w:sz w:val="26"/>
          <w:szCs w:val="26"/>
        </w:rPr>
        <w:t xml:space="preserve"> and the following</w:t>
      </w:r>
      <w:r w:rsidR="003054FF">
        <w:rPr>
          <w:sz w:val="26"/>
          <w:szCs w:val="26"/>
        </w:rPr>
        <w:t xml:space="preserve"> Commission-licensed Electric Generation Suppliers (EGSs):</w:t>
      </w:r>
      <w:r w:rsidR="00491FF8" w:rsidRPr="00E37897">
        <w:rPr>
          <w:sz w:val="26"/>
          <w:szCs w:val="26"/>
        </w:rPr>
        <w:t xml:space="preserve"> Direct Energy Services LLC, Interstate Gas Supply, Inc. d/b/a IGS Energy, Vistra Energy Corp., Shipley Choice LLC, ENGIE Resources LLC and WGL Energy Services, Inc. (</w:t>
      </w:r>
      <w:r w:rsidR="003054FF">
        <w:rPr>
          <w:sz w:val="26"/>
          <w:szCs w:val="26"/>
        </w:rPr>
        <w:t xml:space="preserve">collectively, </w:t>
      </w:r>
      <w:r w:rsidR="00491FF8" w:rsidRPr="00E37897">
        <w:rPr>
          <w:sz w:val="26"/>
          <w:szCs w:val="26"/>
        </w:rPr>
        <w:t xml:space="preserve">the Electric Supplier </w:t>
      </w:r>
      <w:r w:rsidR="008613FF" w:rsidRPr="00E37897">
        <w:rPr>
          <w:sz w:val="26"/>
          <w:szCs w:val="26"/>
        </w:rPr>
        <w:t>Coalition</w:t>
      </w:r>
      <w:r w:rsidR="00491FF8" w:rsidRPr="00E37897">
        <w:rPr>
          <w:sz w:val="26"/>
          <w:szCs w:val="26"/>
        </w:rPr>
        <w:t xml:space="preserve"> or ESC)</w:t>
      </w:r>
      <w:r w:rsidR="00FA36FA" w:rsidRPr="00E37897">
        <w:rPr>
          <w:sz w:val="26"/>
          <w:szCs w:val="26"/>
        </w:rPr>
        <w:t>,</w:t>
      </w:r>
      <w:r w:rsidR="00F57B84" w:rsidRPr="00E37897">
        <w:rPr>
          <w:sz w:val="26"/>
          <w:szCs w:val="26"/>
        </w:rPr>
        <w:t xml:space="preserve"> filed on October </w:t>
      </w:r>
      <w:r w:rsidR="00FA36FA" w:rsidRPr="00E37897">
        <w:rPr>
          <w:sz w:val="26"/>
          <w:szCs w:val="26"/>
        </w:rPr>
        <w:t>29</w:t>
      </w:r>
      <w:r w:rsidR="00F57B84" w:rsidRPr="00E37897">
        <w:rPr>
          <w:sz w:val="26"/>
          <w:szCs w:val="26"/>
        </w:rPr>
        <w:t>, 20</w:t>
      </w:r>
      <w:r w:rsidR="00FA36FA" w:rsidRPr="00E37897">
        <w:rPr>
          <w:sz w:val="26"/>
          <w:szCs w:val="26"/>
        </w:rPr>
        <w:t>20</w:t>
      </w:r>
      <w:r w:rsidR="00F57B84" w:rsidRPr="00E37897">
        <w:rPr>
          <w:sz w:val="26"/>
          <w:szCs w:val="26"/>
        </w:rPr>
        <w:t>, to the Recommended Decision (</w:t>
      </w:r>
      <w:r w:rsidR="00F90793">
        <w:rPr>
          <w:sz w:val="26"/>
          <w:szCs w:val="26"/>
        </w:rPr>
        <w:t xml:space="preserve">Recommended Decision or </w:t>
      </w:r>
      <w:r w:rsidR="00F57B84" w:rsidRPr="00E37897">
        <w:rPr>
          <w:sz w:val="26"/>
          <w:szCs w:val="26"/>
        </w:rPr>
        <w:t>R</w:t>
      </w:r>
      <w:r w:rsidRPr="00E37897">
        <w:rPr>
          <w:sz w:val="26"/>
          <w:szCs w:val="26"/>
        </w:rPr>
        <w:t xml:space="preserve">.D.) of Administrative Law Judge (ALJ) </w:t>
      </w:r>
      <w:r w:rsidR="00FA36FA" w:rsidRPr="00E37897">
        <w:rPr>
          <w:sz w:val="26"/>
          <w:szCs w:val="26"/>
        </w:rPr>
        <w:t>Eranda Vero</w:t>
      </w:r>
      <w:r w:rsidR="00F57B84" w:rsidRPr="00E37897">
        <w:rPr>
          <w:sz w:val="26"/>
          <w:szCs w:val="26"/>
        </w:rPr>
        <w:t xml:space="preserve">, </w:t>
      </w:r>
      <w:r w:rsidR="00FA36FA" w:rsidRPr="00E37897">
        <w:rPr>
          <w:sz w:val="26"/>
          <w:szCs w:val="26"/>
        </w:rPr>
        <w:t>served</w:t>
      </w:r>
      <w:r w:rsidR="00F57B84" w:rsidRPr="00E37897">
        <w:rPr>
          <w:sz w:val="26"/>
          <w:szCs w:val="26"/>
        </w:rPr>
        <w:t xml:space="preserve"> on October </w:t>
      </w:r>
      <w:r w:rsidR="00FA36FA" w:rsidRPr="00E37897">
        <w:rPr>
          <w:sz w:val="26"/>
          <w:szCs w:val="26"/>
        </w:rPr>
        <w:t>20</w:t>
      </w:r>
      <w:r w:rsidRPr="00E37897">
        <w:rPr>
          <w:sz w:val="26"/>
          <w:szCs w:val="26"/>
        </w:rPr>
        <w:t>, 20</w:t>
      </w:r>
      <w:r w:rsidR="00FA36FA" w:rsidRPr="00E37897">
        <w:rPr>
          <w:sz w:val="26"/>
          <w:szCs w:val="26"/>
        </w:rPr>
        <w:t>20</w:t>
      </w:r>
      <w:r w:rsidRPr="00E37897">
        <w:rPr>
          <w:sz w:val="26"/>
          <w:szCs w:val="26"/>
        </w:rPr>
        <w:t xml:space="preserve">, in the above-captioned proceeding.  </w:t>
      </w:r>
      <w:r w:rsidR="00C818DC" w:rsidRPr="00E37897">
        <w:rPr>
          <w:sz w:val="26"/>
          <w:szCs w:val="26"/>
        </w:rPr>
        <w:t>PECO Energy Company (PECO</w:t>
      </w:r>
      <w:r w:rsidR="00F4326B" w:rsidRPr="00E37897">
        <w:rPr>
          <w:sz w:val="26"/>
          <w:szCs w:val="26"/>
        </w:rPr>
        <w:t xml:space="preserve"> or the Company</w:t>
      </w:r>
      <w:r w:rsidR="005C7309" w:rsidRPr="00E37897">
        <w:rPr>
          <w:sz w:val="26"/>
          <w:szCs w:val="26"/>
        </w:rPr>
        <w:t>)</w:t>
      </w:r>
      <w:r w:rsidR="00604138" w:rsidRPr="00E37897">
        <w:rPr>
          <w:sz w:val="26"/>
          <w:szCs w:val="26"/>
        </w:rPr>
        <w:t xml:space="preserve"> and</w:t>
      </w:r>
      <w:r w:rsidR="006F25E3" w:rsidRPr="00E37897">
        <w:rPr>
          <w:sz w:val="26"/>
          <w:szCs w:val="26"/>
        </w:rPr>
        <w:t xml:space="preserve"> </w:t>
      </w:r>
      <w:r w:rsidR="00D76307" w:rsidRPr="00E37897">
        <w:rPr>
          <w:sz w:val="26"/>
          <w:szCs w:val="26"/>
        </w:rPr>
        <w:t>t</w:t>
      </w:r>
      <w:r w:rsidR="005C7309" w:rsidRPr="00E37897">
        <w:rPr>
          <w:sz w:val="26"/>
          <w:szCs w:val="26"/>
        </w:rPr>
        <w:t xml:space="preserve">he Philadelphia </w:t>
      </w:r>
      <w:r w:rsidR="00BC054D" w:rsidRPr="00E37897">
        <w:rPr>
          <w:sz w:val="26"/>
          <w:szCs w:val="26"/>
        </w:rPr>
        <w:t>Area Industrial Energy Use</w:t>
      </w:r>
      <w:r w:rsidR="00CB1790" w:rsidRPr="00E37897">
        <w:rPr>
          <w:sz w:val="26"/>
          <w:szCs w:val="26"/>
        </w:rPr>
        <w:t>rs Group (PAIEUG)</w:t>
      </w:r>
      <w:r w:rsidR="00604138" w:rsidRPr="00E37897">
        <w:rPr>
          <w:sz w:val="26"/>
          <w:szCs w:val="26"/>
        </w:rPr>
        <w:t xml:space="preserve"> filed Replies to Exceptions on </w:t>
      </w:r>
      <w:r w:rsidR="00917D57" w:rsidRPr="00E37897">
        <w:rPr>
          <w:sz w:val="26"/>
          <w:szCs w:val="26"/>
        </w:rPr>
        <w:t>November 3, 2020,</w:t>
      </w:r>
      <w:r w:rsidR="00D76307" w:rsidRPr="00E37897">
        <w:rPr>
          <w:sz w:val="26"/>
          <w:szCs w:val="26"/>
        </w:rPr>
        <w:t xml:space="preserve"> and </w:t>
      </w:r>
      <w:r w:rsidR="00A02F87" w:rsidRPr="00E37897">
        <w:rPr>
          <w:sz w:val="26"/>
          <w:szCs w:val="26"/>
        </w:rPr>
        <w:t xml:space="preserve">Calpine Retail Holdings, LLC </w:t>
      </w:r>
      <w:r w:rsidR="006F0E0F" w:rsidRPr="00E37897">
        <w:rPr>
          <w:sz w:val="26"/>
          <w:szCs w:val="26"/>
        </w:rPr>
        <w:t xml:space="preserve">(Calpine) </w:t>
      </w:r>
      <w:r w:rsidR="00917D57" w:rsidRPr="00E37897">
        <w:rPr>
          <w:sz w:val="26"/>
          <w:szCs w:val="26"/>
        </w:rPr>
        <w:t>filed Replies to Exceptions on November</w:t>
      </w:r>
      <w:r w:rsidR="001953F3">
        <w:rPr>
          <w:sz w:val="26"/>
          <w:szCs w:val="26"/>
        </w:rPr>
        <w:t> </w:t>
      </w:r>
      <w:r w:rsidR="00917D57" w:rsidRPr="00E37897">
        <w:rPr>
          <w:sz w:val="26"/>
          <w:szCs w:val="26"/>
        </w:rPr>
        <w:t>4,</w:t>
      </w:r>
      <w:r w:rsidR="00307A4F">
        <w:rPr>
          <w:sz w:val="26"/>
          <w:szCs w:val="26"/>
        </w:rPr>
        <w:t> </w:t>
      </w:r>
      <w:r w:rsidR="00895B31" w:rsidRPr="00E37897">
        <w:rPr>
          <w:sz w:val="26"/>
          <w:szCs w:val="26"/>
        </w:rPr>
        <w:t>2020.</w:t>
      </w:r>
      <w:r w:rsidR="00414E87" w:rsidRPr="00E37897">
        <w:rPr>
          <w:rStyle w:val="FootnoteReference"/>
          <w:sz w:val="26"/>
          <w:szCs w:val="26"/>
        </w:rPr>
        <w:footnoteReference w:id="2"/>
      </w:r>
      <w:r w:rsidR="00895B31" w:rsidRPr="00E37897">
        <w:rPr>
          <w:sz w:val="26"/>
          <w:szCs w:val="26"/>
        </w:rPr>
        <w:t xml:space="preserve">  </w:t>
      </w:r>
    </w:p>
    <w:p w14:paraId="77CAE8EE" w14:textId="77777777" w:rsidR="006F7D6F" w:rsidRPr="00E37897" w:rsidRDefault="006F7D6F">
      <w:pPr>
        <w:widowControl/>
        <w:spacing w:line="360" w:lineRule="auto"/>
        <w:contextualSpacing/>
        <w:rPr>
          <w:sz w:val="26"/>
          <w:szCs w:val="26"/>
        </w:rPr>
      </w:pPr>
    </w:p>
    <w:p w14:paraId="27AB40E3" w14:textId="77777777" w:rsidR="00432C71" w:rsidRPr="00E37897" w:rsidRDefault="00432C71" w:rsidP="001953F3">
      <w:pPr>
        <w:pStyle w:val="Heading1"/>
        <w:numPr>
          <w:ilvl w:val="0"/>
          <w:numId w:val="1"/>
        </w:numPr>
        <w:spacing w:after="0" w:line="360" w:lineRule="auto"/>
        <w:ind w:left="720"/>
        <w:contextualSpacing/>
        <w:jc w:val="center"/>
        <w:rPr>
          <w:caps w:val="0"/>
          <w:sz w:val="26"/>
          <w:szCs w:val="26"/>
          <w:u w:val="none"/>
        </w:rPr>
      </w:pPr>
      <w:bookmarkStart w:id="0" w:name="_Toc56512749"/>
      <w:r w:rsidRPr="00E37897">
        <w:rPr>
          <w:caps w:val="0"/>
          <w:sz w:val="26"/>
          <w:szCs w:val="26"/>
          <w:u w:val="none"/>
        </w:rPr>
        <w:t>Background</w:t>
      </w:r>
      <w:bookmarkEnd w:id="0"/>
    </w:p>
    <w:p w14:paraId="6FE50FD7" w14:textId="77777777" w:rsidR="00340F8C" w:rsidRPr="00E37897" w:rsidRDefault="00340F8C">
      <w:pPr>
        <w:keepNext/>
        <w:widowControl/>
        <w:spacing w:line="360" w:lineRule="auto"/>
        <w:contextualSpacing/>
        <w:rPr>
          <w:b/>
          <w:sz w:val="26"/>
          <w:szCs w:val="26"/>
        </w:rPr>
      </w:pPr>
    </w:p>
    <w:p w14:paraId="419DA0F8" w14:textId="364A90D3" w:rsidR="009D5949" w:rsidRPr="00E37897" w:rsidRDefault="00F4326B">
      <w:pPr>
        <w:widowControl/>
        <w:spacing w:line="360" w:lineRule="auto"/>
        <w:contextualSpacing/>
        <w:rPr>
          <w:b/>
          <w:sz w:val="26"/>
          <w:szCs w:val="26"/>
        </w:rPr>
      </w:pPr>
      <w:r w:rsidRPr="00E37897">
        <w:rPr>
          <w:sz w:val="26"/>
          <w:szCs w:val="26"/>
        </w:rPr>
        <w:tab/>
      </w:r>
      <w:r w:rsidRPr="00E37897">
        <w:rPr>
          <w:sz w:val="26"/>
          <w:szCs w:val="26"/>
        </w:rPr>
        <w:tab/>
        <w:t xml:space="preserve">PECO is a corporation organized and existing under the laws of the Commonwealth of Pennsylvania with its principal office in Philadelphia, Pennsylvania. </w:t>
      </w:r>
      <w:r w:rsidR="00AC3C62">
        <w:rPr>
          <w:sz w:val="26"/>
          <w:szCs w:val="26"/>
        </w:rPr>
        <w:t xml:space="preserve"> </w:t>
      </w:r>
      <w:r w:rsidRPr="00E37897">
        <w:rPr>
          <w:sz w:val="26"/>
          <w:szCs w:val="26"/>
        </w:rPr>
        <w:t xml:space="preserve">PECO provides electric delivery service to approximately 1.6 million customers.  PECO </w:t>
      </w:r>
      <w:r w:rsidR="006A65F0" w:rsidRPr="00E37897">
        <w:rPr>
          <w:sz w:val="26"/>
          <w:szCs w:val="26"/>
        </w:rPr>
        <w:t xml:space="preserve">is a </w:t>
      </w:r>
      <w:r w:rsidR="008D07E0" w:rsidRPr="00E37897">
        <w:rPr>
          <w:sz w:val="26"/>
          <w:szCs w:val="26"/>
        </w:rPr>
        <w:t>p</w:t>
      </w:r>
      <w:r w:rsidR="006A65F0" w:rsidRPr="00E37897">
        <w:rPr>
          <w:sz w:val="26"/>
          <w:szCs w:val="26"/>
        </w:rPr>
        <w:t xml:space="preserve">ublic </w:t>
      </w:r>
      <w:r w:rsidR="008D07E0" w:rsidRPr="00E37897">
        <w:rPr>
          <w:sz w:val="26"/>
          <w:szCs w:val="26"/>
        </w:rPr>
        <w:t>u</w:t>
      </w:r>
      <w:r w:rsidR="006A65F0" w:rsidRPr="00E37897">
        <w:rPr>
          <w:sz w:val="26"/>
          <w:szCs w:val="26"/>
        </w:rPr>
        <w:t>tility as</w:t>
      </w:r>
      <w:r w:rsidR="009D5949" w:rsidRPr="00E37897">
        <w:rPr>
          <w:sz w:val="26"/>
          <w:szCs w:val="26"/>
        </w:rPr>
        <w:t xml:space="preserve"> that term is</w:t>
      </w:r>
      <w:r w:rsidR="006A65F0" w:rsidRPr="00E37897">
        <w:rPr>
          <w:sz w:val="26"/>
          <w:szCs w:val="26"/>
        </w:rPr>
        <w:t xml:space="preserve"> defined in Section 102 of the Public Utility Code (Code)</w:t>
      </w:r>
      <w:r w:rsidR="009D5949" w:rsidRPr="00E37897">
        <w:rPr>
          <w:sz w:val="26"/>
          <w:szCs w:val="26"/>
        </w:rPr>
        <w:t xml:space="preserve">, 66 Pa. C.S. § 102, and serves as an electric </w:t>
      </w:r>
      <w:r w:rsidRPr="00E37897">
        <w:rPr>
          <w:sz w:val="26"/>
          <w:szCs w:val="26"/>
        </w:rPr>
        <w:t>distribution company (EDC) and a default service provider</w:t>
      </w:r>
      <w:r w:rsidR="009D5949" w:rsidRPr="00E37897">
        <w:rPr>
          <w:sz w:val="26"/>
          <w:szCs w:val="26"/>
        </w:rPr>
        <w:t xml:space="preserve"> (DSP) as those terms are defined in Section 2803 of the Code, 66</w:t>
      </w:r>
      <w:r w:rsidR="001953F3">
        <w:rPr>
          <w:sz w:val="26"/>
          <w:szCs w:val="26"/>
        </w:rPr>
        <w:t> </w:t>
      </w:r>
      <w:r w:rsidR="009D5949" w:rsidRPr="00E37897">
        <w:rPr>
          <w:sz w:val="26"/>
          <w:szCs w:val="26"/>
        </w:rPr>
        <w:t>Pa.</w:t>
      </w:r>
      <w:r w:rsidR="001953F3">
        <w:rPr>
          <w:sz w:val="26"/>
          <w:szCs w:val="26"/>
        </w:rPr>
        <w:t> </w:t>
      </w:r>
      <w:r w:rsidR="009D5949" w:rsidRPr="00E37897">
        <w:rPr>
          <w:sz w:val="26"/>
          <w:szCs w:val="26"/>
        </w:rPr>
        <w:t>C.S. § 2803.</w:t>
      </w:r>
    </w:p>
    <w:p w14:paraId="5735194B" w14:textId="77777777" w:rsidR="00D94D5B" w:rsidRPr="00E37897" w:rsidRDefault="00D94D5B" w:rsidP="005F3BE2">
      <w:pPr>
        <w:widowControl/>
        <w:spacing w:after="200" w:line="276" w:lineRule="auto"/>
        <w:contextualSpacing/>
        <w:rPr>
          <w:b/>
          <w:sz w:val="26"/>
          <w:szCs w:val="26"/>
        </w:rPr>
      </w:pPr>
    </w:p>
    <w:p w14:paraId="59577A0D" w14:textId="77777777" w:rsidR="00340F8C" w:rsidRPr="00E37897" w:rsidRDefault="00340F8C" w:rsidP="005F3BE2">
      <w:pPr>
        <w:pStyle w:val="Heading1"/>
        <w:numPr>
          <w:ilvl w:val="0"/>
          <w:numId w:val="1"/>
        </w:numPr>
        <w:spacing w:after="0"/>
        <w:ind w:left="720"/>
        <w:contextualSpacing/>
        <w:jc w:val="center"/>
        <w:rPr>
          <w:caps w:val="0"/>
          <w:sz w:val="26"/>
          <w:szCs w:val="26"/>
          <w:u w:val="none"/>
        </w:rPr>
      </w:pPr>
      <w:bookmarkStart w:id="1" w:name="_Toc56512750"/>
      <w:r w:rsidRPr="00E37897">
        <w:rPr>
          <w:caps w:val="0"/>
          <w:sz w:val="26"/>
          <w:szCs w:val="26"/>
          <w:u w:val="none"/>
        </w:rPr>
        <w:lastRenderedPageBreak/>
        <w:t>History of the Proceeding</w:t>
      </w:r>
      <w:bookmarkEnd w:id="1"/>
    </w:p>
    <w:p w14:paraId="0BF22A7B" w14:textId="77777777" w:rsidR="00340F8C" w:rsidRPr="00E37897" w:rsidRDefault="00340F8C" w:rsidP="005F3BE2">
      <w:pPr>
        <w:keepNext/>
        <w:widowControl/>
        <w:spacing w:line="360" w:lineRule="auto"/>
        <w:contextualSpacing/>
        <w:rPr>
          <w:b/>
          <w:sz w:val="26"/>
          <w:szCs w:val="26"/>
        </w:rPr>
      </w:pPr>
    </w:p>
    <w:p w14:paraId="1F39B40E" w14:textId="19355B78" w:rsidR="005C4A7D" w:rsidRPr="00E37897" w:rsidRDefault="007913A7" w:rsidP="005F3BE2">
      <w:pPr>
        <w:widowControl/>
        <w:spacing w:line="360" w:lineRule="auto"/>
        <w:ind w:firstLine="1440"/>
        <w:contextualSpacing/>
        <w:rPr>
          <w:sz w:val="26"/>
          <w:szCs w:val="26"/>
        </w:rPr>
      </w:pPr>
      <w:r w:rsidRPr="00E37897">
        <w:rPr>
          <w:color w:val="000000"/>
          <w:sz w:val="26"/>
          <w:szCs w:val="26"/>
        </w:rPr>
        <w:t xml:space="preserve">On March 13, 2020, PECO filed </w:t>
      </w:r>
      <w:r w:rsidR="007145A7" w:rsidRPr="00E37897">
        <w:rPr>
          <w:color w:val="000000"/>
          <w:sz w:val="26"/>
          <w:szCs w:val="26"/>
        </w:rPr>
        <w:t xml:space="preserve">the </w:t>
      </w:r>
      <w:r w:rsidRPr="00E37897">
        <w:rPr>
          <w:color w:val="000000"/>
          <w:sz w:val="26"/>
          <w:szCs w:val="26"/>
        </w:rPr>
        <w:t xml:space="preserve">Petition </w:t>
      </w:r>
      <w:r w:rsidR="00DE4A10" w:rsidRPr="00E37897">
        <w:rPr>
          <w:color w:val="000000"/>
          <w:sz w:val="26"/>
          <w:szCs w:val="26"/>
        </w:rPr>
        <w:t xml:space="preserve">of PECO </w:t>
      </w:r>
      <w:r w:rsidR="00B102E0" w:rsidRPr="00E37897">
        <w:rPr>
          <w:color w:val="000000"/>
          <w:sz w:val="26"/>
          <w:szCs w:val="26"/>
        </w:rPr>
        <w:t xml:space="preserve">Energy Company for Approval of its Default Service Program </w:t>
      </w:r>
      <w:r w:rsidR="00AD2EBB" w:rsidRPr="00E37897">
        <w:rPr>
          <w:color w:val="000000"/>
          <w:sz w:val="26"/>
          <w:szCs w:val="26"/>
        </w:rPr>
        <w:t xml:space="preserve">(DSP V) </w:t>
      </w:r>
      <w:r w:rsidR="00B102E0" w:rsidRPr="00E37897">
        <w:rPr>
          <w:color w:val="000000"/>
          <w:sz w:val="26"/>
          <w:szCs w:val="26"/>
        </w:rPr>
        <w:t xml:space="preserve">for the Period </w:t>
      </w:r>
      <w:r w:rsidR="00724CA1" w:rsidRPr="00E37897">
        <w:rPr>
          <w:color w:val="000000"/>
          <w:sz w:val="26"/>
          <w:szCs w:val="26"/>
        </w:rPr>
        <w:t>from June 1, 2021 through May 31, 2025</w:t>
      </w:r>
      <w:r w:rsidR="00AD2EBB" w:rsidRPr="00E37897">
        <w:rPr>
          <w:color w:val="000000"/>
          <w:sz w:val="26"/>
          <w:szCs w:val="26"/>
        </w:rPr>
        <w:t xml:space="preserve"> (Petition)</w:t>
      </w:r>
      <w:r w:rsidR="00442AF1" w:rsidRPr="00E37897">
        <w:rPr>
          <w:color w:val="000000"/>
          <w:sz w:val="26"/>
          <w:szCs w:val="26"/>
        </w:rPr>
        <w:t xml:space="preserve">, </w:t>
      </w:r>
      <w:r w:rsidR="0063185C" w:rsidRPr="00E37897">
        <w:rPr>
          <w:color w:val="000000"/>
          <w:sz w:val="26"/>
          <w:szCs w:val="26"/>
        </w:rPr>
        <w:t>followin</w:t>
      </w:r>
      <w:r w:rsidRPr="00E37897">
        <w:rPr>
          <w:color w:val="000000"/>
          <w:sz w:val="26"/>
          <w:szCs w:val="26"/>
        </w:rPr>
        <w:t>g the expiration of its current default service program (DSP IV)</w:t>
      </w:r>
      <w:r w:rsidR="0063185C" w:rsidRPr="00E37897">
        <w:rPr>
          <w:color w:val="000000"/>
          <w:sz w:val="26"/>
          <w:szCs w:val="26"/>
        </w:rPr>
        <w:t>.</w:t>
      </w:r>
      <w:r w:rsidR="001F3684" w:rsidRPr="00E37897">
        <w:rPr>
          <w:rStyle w:val="FootnoteReference"/>
          <w:color w:val="000000"/>
          <w:sz w:val="26"/>
          <w:szCs w:val="26"/>
        </w:rPr>
        <w:footnoteReference w:id="3"/>
      </w:r>
      <w:r w:rsidR="001F3684" w:rsidRPr="00E37897">
        <w:rPr>
          <w:color w:val="000000"/>
          <w:sz w:val="26"/>
          <w:szCs w:val="26"/>
          <w:vertAlign w:val="superscript"/>
        </w:rPr>
        <w:t xml:space="preserve">  </w:t>
      </w:r>
      <w:r w:rsidR="005C4A7D" w:rsidRPr="00E37897">
        <w:rPr>
          <w:sz w:val="26"/>
          <w:szCs w:val="26"/>
        </w:rPr>
        <w:t xml:space="preserve">The Petition was filed pursuant to 66 Pa. C.S. § 2807, the Commission’s Default Service Regulations at 52 Pa. Code §§ 54.181-190, and the Commission’s Policy Statement on Default Service at 52 Pa. Code §§ 69.1801-1817.  Petition at 1.  The applicable statute requires that the Commission issue its decision on this matter no later than nine months after the filing date of the proposed DSP, or </w:t>
      </w:r>
      <w:r w:rsidR="00663BFF" w:rsidRPr="00E37897">
        <w:rPr>
          <w:sz w:val="26"/>
          <w:szCs w:val="26"/>
        </w:rPr>
        <w:t xml:space="preserve">in this case </w:t>
      </w:r>
      <w:r w:rsidR="005C4A7D" w:rsidRPr="00E37897">
        <w:rPr>
          <w:sz w:val="26"/>
          <w:szCs w:val="26"/>
        </w:rPr>
        <w:t xml:space="preserve">on or before December </w:t>
      </w:r>
      <w:r w:rsidR="006E1311" w:rsidRPr="00E37897">
        <w:rPr>
          <w:sz w:val="26"/>
          <w:szCs w:val="26"/>
        </w:rPr>
        <w:t>17</w:t>
      </w:r>
      <w:r w:rsidR="005C4A7D" w:rsidRPr="00E37897">
        <w:rPr>
          <w:sz w:val="26"/>
          <w:szCs w:val="26"/>
        </w:rPr>
        <w:t>, 20</w:t>
      </w:r>
      <w:r w:rsidR="006E1311" w:rsidRPr="00E37897">
        <w:rPr>
          <w:sz w:val="26"/>
          <w:szCs w:val="26"/>
        </w:rPr>
        <w:t>20</w:t>
      </w:r>
      <w:r w:rsidR="005C4A7D" w:rsidRPr="00E37897">
        <w:rPr>
          <w:sz w:val="26"/>
          <w:szCs w:val="26"/>
        </w:rPr>
        <w:t>.  66 Pa. C.S. § 2807(e)(3.6).</w:t>
      </w:r>
      <w:r w:rsidR="00B44541" w:rsidRPr="00E37897">
        <w:rPr>
          <w:rStyle w:val="FootnoteReference"/>
          <w:sz w:val="26"/>
          <w:szCs w:val="26"/>
        </w:rPr>
        <w:footnoteReference w:id="4"/>
      </w:r>
    </w:p>
    <w:p w14:paraId="03BD37AF" w14:textId="77777777" w:rsidR="005C4A7D" w:rsidRPr="00E37897" w:rsidRDefault="005C4A7D" w:rsidP="005F3BE2">
      <w:pPr>
        <w:widowControl/>
        <w:spacing w:line="360" w:lineRule="auto"/>
        <w:ind w:firstLine="1440"/>
        <w:contextualSpacing/>
        <w:rPr>
          <w:sz w:val="26"/>
          <w:szCs w:val="26"/>
        </w:rPr>
      </w:pPr>
    </w:p>
    <w:p w14:paraId="0D0DE9B4" w14:textId="25B1661D" w:rsidR="005C4A7D" w:rsidRPr="00E37897" w:rsidRDefault="005C4A7D" w:rsidP="005F3BE2">
      <w:pPr>
        <w:widowControl/>
        <w:spacing w:line="360" w:lineRule="auto"/>
        <w:contextualSpacing/>
        <w:rPr>
          <w:sz w:val="26"/>
          <w:szCs w:val="26"/>
        </w:rPr>
      </w:pPr>
      <w:r w:rsidRPr="00E37897">
        <w:rPr>
          <w:sz w:val="26"/>
          <w:szCs w:val="26"/>
        </w:rPr>
        <w:tab/>
      </w:r>
      <w:r w:rsidRPr="00E37897">
        <w:rPr>
          <w:sz w:val="26"/>
          <w:szCs w:val="26"/>
        </w:rPr>
        <w:tab/>
        <w:t xml:space="preserve">In its Petition, PECO requested that the Commission: (1) approve its DSP V, including its procurement plan, implementation plan, contingency plan, and associated procurement documents and agreements for default service supply for all PECO customers who do not take generation service from an alternative EGS or who contract for energy with an EGS that is not delivered; </w:t>
      </w:r>
      <w:r w:rsidR="00B964C7" w:rsidRPr="00E37897">
        <w:rPr>
          <w:sz w:val="26"/>
          <w:szCs w:val="26"/>
        </w:rPr>
        <w:t xml:space="preserve">(2) approve PECO’s </w:t>
      </w:r>
      <w:r w:rsidR="00D42D09" w:rsidRPr="00E37897">
        <w:rPr>
          <w:sz w:val="26"/>
          <w:szCs w:val="26"/>
        </w:rPr>
        <w:t xml:space="preserve">proposal to solicit new ten-year contracts for Solar Alternative Energy Credits (Solar </w:t>
      </w:r>
      <w:r w:rsidR="00F64454" w:rsidRPr="00E37897">
        <w:rPr>
          <w:sz w:val="26"/>
          <w:szCs w:val="26"/>
        </w:rPr>
        <w:t xml:space="preserve">AECs) to satisfy the requirements of Pennsylvania’s Electricity </w:t>
      </w:r>
      <w:r w:rsidR="007552C6" w:rsidRPr="00E37897">
        <w:rPr>
          <w:sz w:val="26"/>
          <w:szCs w:val="26"/>
        </w:rPr>
        <w:t>Generation Customer Choice and Competition Act (Competition Act), as amended by Act 129 of 2008 (Act 129)</w:t>
      </w:r>
      <w:r w:rsidR="006C59DF" w:rsidRPr="00E37897">
        <w:rPr>
          <w:sz w:val="26"/>
          <w:szCs w:val="26"/>
        </w:rPr>
        <w:t>, and the Alternative Energy Portfolio Standards Act, 73 P.C. §</w:t>
      </w:r>
      <w:r w:rsidR="00612BC1" w:rsidRPr="00E37897">
        <w:rPr>
          <w:sz w:val="26"/>
          <w:szCs w:val="26"/>
        </w:rPr>
        <w:t xml:space="preserve"> 1643.1, </w:t>
      </w:r>
      <w:r w:rsidR="00612BC1" w:rsidRPr="00E37897">
        <w:rPr>
          <w:i/>
          <w:iCs/>
          <w:sz w:val="26"/>
          <w:szCs w:val="26"/>
        </w:rPr>
        <w:t>et. seq</w:t>
      </w:r>
      <w:r w:rsidR="00612BC1" w:rsidRPr="00E37897">
        <w:rPr>
          <w:sz w:val="26"/>
          <w:szCs w:val="26"/>
        </w:rPr>
        <w:t>.</w:t>
      </w:r>
      <w:r w:rsidR="001F6A2A" w:rsidRPr="00E37897">
        <w:rPr>
          <w:sz w:val="26"/>
          <w:szCs w:val="26"/>
        </w:rPr>
        <w:t xml:space="preserve"> (AEPS Act);</w:t>
      </w:r>
      <w:r w:rsidR="00D42D09" w:rsidRPr="00E37897">
        <w:rPr>
          <w:sz w:val="26"/>
          <w:szCs w:val="26"/>
        </w:rPr>
        <w:t xml:space="preserve"> </w:t>
      </w:r>
      <w:r w:rsidR="00E36DA6" w:rsidRPr="00E37897">
        <w:rPr>
          <w:sz w:val="26"/>
          <w:szCs w:val="26"/>
        </w:rPr>
        <w:t xml:space="preserve">(3) </w:t>
      </w:r>
      <w:r w:rsidR="00E36DA6" w:rsidRPr="00E37897">
        <w:rPr>
          <w:sz w:val="26"/>
          <w:szCs w:val="26"/>
        </w:rPr>
        <w:lastRenderedPageBreak/>
        <w:t>approve NERA Economic Consulting</w:t>
      </w:r>
      <w:r w:rsidR="001E7D55" w:rsidRPr="00E37897">
        <w:rPr>
          <w:sz w:val="26"/>
          <w:szCs w:val="26"/>
        </w:rPr>
        <w:t xml:space="preserve">, Inc. (NERA) to continue as the independent third-party evaluator for PECO’s default </w:t>
      </w:r>
      <w:r w:rsidR="000240CA" w:rsidRPr="00E37897">
        <w:rPr>
          <w:sz w:val="26"/>
          <w:szCs w:val="26"/>
        </w:rPr>
        <w:t>supply procurements;</w:t>
      </w:r>
      <w:r w:rsidR="00E36DA6" w:rsidRPr="00E37897">
        <w:rPr>
          <w:sz w:val="26"/>
          <w:szCs w:val="26"/>
        </w:rPr>
        <w:t xml:space="preserve"> </w:t>
      </w:r>
      <w:r w:rsidRPr="00E37897">
        <w:rPr>
          <w:sz w:val="26"/>
          <w:szCs w:val="26"/>
        </w:rPr>
        <w:t>(</w:t>
      </w:r>
      <w:r w:rsidR="00A2597D" w:rsidRPr="00E37897">
        <w:rPr>
          <w:sz w:val="26"/>
          <w:szCs w:val="26"/>
        </w:rPr>
        <w:t>4</w:t>
      </w:r>
      <w:r w:rsidRPr="00E37897">
        <w:rPr>
          <w:sz w:val="26"/>
          <w:szCs w:val="26"/>
        </w:rPr>
        <w:t>) approve PECO’s proposed default service rate design and affirm PECO’s right to recover all of its default service costs in accordance with 66 Pa.</w:t>
      </w:r>
      <w:r w:rsidR="000240CA" w:rsidRPr="00E37897">
        <w:rPr>
          <w:sz w:val="26"/>
          <w:szCs w:val="26"/>
        </w:rPr>
        <w:t xml:space="preserve"> </w:t>
      </w:r>
      <w:r w:rsidRPr="00E37897">
        <w:rPr>
          <w:sz w:val="26"/>
          <w:szCs w:val="26"/>
        </w:rPr>
        <w:t>C.S. § 2807(e)(3.9); (</w:t>
      </w:r>
      <w:r w:rsidR="00A2597D" w:rsidRPr="00E37897">
        <w:rPr>
          <w:sz w:val="26"/>
          <w:szCs w:val="26"/>
        </w:rPr>
        <w:t>5</w:t>
      </w:r>
      <w:r w:rsidRPr="00E37897">
        <w:rPr>
          <w:sz w:val="26"/>
          <w:szCs w:val="26"/>
        </w:rPr>
        <w:t>) grant a waiver of the rate design provisions of 52 Pa. Code § 54.187, to the extent necessary; (</w:t>
      </w:r>
      <w:r w:rsidR="00A2597D" w:rsidRPr="00E37897">
        <w:rPr>
          <w:sz w:val="26"/>
          <w:szCs w:val="26"/>
        </w:rPr>
        <w:t>6</w:t>
      </w:r>
      <w:r w:rsidRPr="00E37897">
        <w:rPr>
          <w:sz w:val="26"/>
          <w:szCs w:val="26"/>
        </w:rPr>
        <w:t>) find that the DSP V includes prudent steps necessary to negotiate favorable generation supply contracts; (</w:t>
      </w:r>
      <w:r w:rsidR="00F7156A" w:rsidRPr="00E37897">
        <w:rPr>
          <w:sz w:val="26"/>
          <w:szCs w:val="26"/>
        </w:rPr>
        <w:t>7</w:t>
      </w:r>
      <w:r w:rsidRPr="00E37897">
        <w:rPr>
          <w:sz w:val="26"/>
          <w:szCs w:val="26"/>
        </w:rPr>
        <w:t xml:space="preserve">) find that the DSP V includes prudent steps necessary to </w:t>
      </w:r>
      <w:r w:rsidR="00CF3FD1" w:rsidRPr="00E37897">
        <w:rPr>
          <w:sz w:val="26"/>
          <w:szCs w:val="26"/>
        </w:rPr>
        <w:t>obtain least-cost generation supply on a long-term</w:t>
      </w:r>
      <w:r w:rsidR="00AC10F0" w:rsidRPr="00E37897">
        <w:rPr>
          <w:sz w:val="26"/>
          <w:szCs w:val="26"/>
        </w:rPr>
        <w:t>, short-term, and spot market basis</w:t>
      </w:r>
      <w:r w:rsidRPr="00E37897">
        <w:rPr>
          <w:sz w:val="26"/>
          <w:szCs w:val="26"/>
        </w:rPr>
        <w:t xml:space="preserve">; </w:t>
      </w:r>
      <w:r w:rsidR="00F7156A" w:rsidRPr="00E37897">
        <w:rPr>
          <w:sz w:val="26"/>
          <w:szCs w:val="26"/>
        </w:rPr>
        <w:t>(8)</w:t>
      </w:r>
      <w:r w:rsidRPr="00E37897">
        <w:rPr>
          <w:sz w:val="26"/>
          <w:szCs w:val="26"/>
        </w:rPr>
        <w:t xml:space="preserve"> find that neither PECO nor its affiliates have withheld from the market any generation supply in a manner that violates federal law; (</w:t>
      </w:r>
      <w:r w:rsidR="00185F4F" w:rsidRPr="00E37897">
        <w:rPr>
          <w:sz w:val="26"/>
          <w:szCs w:val="26"/>
        </w:rPr>
        <w:t>9</w:t>
      </w:r>
      <w:r w:rsidRPr="00E37897">
        <w:rPr>
          <w:sz w:val="26"/>
          <w:szCs w:val="26"/>
        </w:rPr>
        <w:t>) approve continuation of PECO’s existing EGS Standard Offer Program, including the associated cost recovery mechanism approved in PECO’s prior default service proceedings; (</w:t>
      </w:r>
      <w:r w:rsidR="007F0533" w:rsidRPr="00E37897">
        <w:rPr>
          <w:sz w:val="26"/>
          <w:szCs w:val="26"/>
        </w:rPr>
        <w:t>10</w:t>
      </w:r>
      <w:r w:rsidRPr="00E37897">
        <w:rPr>
          <w:sz w:val="26"/>
          <w:szCs w:val="26"/>
        </w:rPr>
        <w:t xml:space="preserve">) </w:t>
      </w:r>
      <w:r w:rsidR="007F0533" w:rsidRPr="00E37897">
        <w:rPr>
          <w:sz w:val="26"/>
          <w:szCs w:val="26"/>
        </w:rPr>
        <w:t xml:space="preserve">approve PECO’s </w:t>
      </w:r>
      <w:r w:rsidR="001C0F01" w:rsidRPr="00E37897">
        <w:rPr>
          <w:sz w:val="26"/>
          <w:szCs w:val="26"/>
        </w:rPr>
        <w:t xml:space="preserve">proposed plan to facilitate shopping by low income customers enrolled in </w:t>
      </w:r>
      <w:r w:rsidR="0006520A" w:rsidRPr="00E37897">
        <w:rPr>
          <w:sz w:val="26"/>
          <w:szCs w:val="26"/>
        </w:rPr>
        <w:t>the Company’</w:t>
      </w:r>
      <w:r w:rsidR="00685DD5" w:rsidRPr="00E37897">
        <w:rPr>
          <w:sz w:val="26"/>
          <w:szCs w:val="26"/>
        </w:rPr>
        <w:t>s</w:t>
      </w:r>
      <w:r w:rsidR="0006520A" w:rsidRPr="00E37897">
        <w:rPr>
          <w:sz w:val="26"/>
          <w:szCs w:val="26"/>
        </w:rPr>
        <w:t xml:space="preserve"> Customer Assistance Program (CAP)</w:t>
      </w:r>
      <w:r w:rsidR="00096C16" w:rsidRPr="00E37897">
        <w:rPr>
          <w:sz w:val="26"/>
          <w:szCs w:val="26"/>
        </w:rPr>
        <w:t xml:space="preserve"> (the CAP </w:t>
      </w:r>
      <w:r w:rsidR="00FF7AB9" w:rsidRPr="00E37897">
        <w:rPr>
          <w:sz w:val="26"/>
          <w:szCs w:val="26"/>
        </w:rPr>
        <w:t>Shopping Plan or Plan); and (11)</w:t>
      </w:r>
      <w:r w:rsidR="001C0F01" w:rsidRPr="00E37897">
        <w:rPr>
          <w:sz w:val="26"/>
          <w:szCs w:val="26"/>
        </w:rPr>
        <w:t xml:space="preserve"> </w:t>
      </w:r>
      <w:r w:rsidRPr="00E37897">
        <w:rPr>
          <w:sz w:val="26"/>
          <w:szCs w:val="26"/>
        </w:rPr>
        <w:t xml:space="preserve">approve PECO’s proposed revised uniform Supply Master Agreement </w:t>
      </w:r>
      <w:r w:rsidR="0011582B" w:rsidRPr="00E37897">
        <w:rPr>
          <w:sz w:val="26"/>
          <w:szCs w:val="26"/>
        </w:rPr>
        <w:t xml:space="preserve">(SMA) and both forms of the proposed Solar </w:t>
      </w:r>
      <w:r w:rsidR="001D7352" w:rsidRPr="00E37897">
        <w:rPr>
          <w:sz w:val="26"/>
          <w:szCs w:val="26"/>
        </w:rPr>
        <w:t xml:space="preserve">AEC Purchase and Sale Agreement </w:t>
      </w:r>
      <w:r w:rsidRPr="00E37897">
        <w:rPr>
          <w:sz w:val="26"/>
          <w:szCs w:val="26"/>
        </w:rPr>
        <w:t>as affiliated interest agreement</w:t>
      </w:r>
      <w:r w:rsidR="001D7352" w:rsidRPr="00E37897">
        <w:rPr>
          <w:sz w:val="26"/>
          <w:szCs w:val="26"/>
        </w:rPr>
        <w:t>s</w:t>
      </w:r>
      <w:r w:rsidRPr="00E37897">
        <w:rPr>
          <w:sz w:val="26"/>
          <w:szCs w:val="26"/>
        </w:rPr>
        <w:t xml:space="preserve"> under 66 Pa.</w:t>
      </w:r>
      <w:r w:rsidR="00774B36" w:rsidRPr="00E37897">
        <w:rPr>
          <w:sz w:val="26"/>
          <w:szCs w:val="26"/>
        </w:rPr>
        <w:t xml:space="preserve"> </w:t>
      </w:r>
      <w:r w:rsidRPr="00E37897">
        <w:rPr>
          <w:sz w:val="26"/>
          <w:szCs w:val="26"/>
        </w:rPr>
        <w:t>C.S. § 2102.  Petition at 1-2.</w:t>
      </w:r>
    </w:p>
    <w:p w14:paraId="69CB498C" w14:textId="77777777" w:rsidR="005C4A7D" w:rsidRPr="00E37897" w:rsidRDefault="005C4A7D" w:rsidP="005F3BE2">
      <w:pPr>
        <w:widowControl/>
        <w:spacing w:line="360" w:lineRule="auto"/>
        <w:contextualSpacing/>
        <w:rPr>
          <w:sz w:val="26"/>
          <w:szCs w:val="26"/>
        </w:rPr>
      </w:pPr>
    </w:p>
    <w:p w14:paraId="7C23427B" w14:textId="671F6752" w:rsidR="007913A7" w:rsidRPr="00E37897" w:rsidRDefault="007913A7" w:rsidP="005F3BE2">
      <w:pPr>
        <w:widowControl/>
        <w:spacing w:line="360" w:lineRule="auto"/>
        <w:ind w:firstLine="1440"/>
        <w:contextualSpacing/>
        <w:textAlignment w:val="baseline"/>
        <w:rPr>
          <w:color w:val="000000"/>
          <w:sz w:val="26"/>
          <w:szCs w:val="26"/>
        </w:rPr>
      </w:pPr>
      <w:r w:rsidRPr="00E37897">
        <w:rPr>
          <w:color w:val="000000"/>
          <w:sz w:val="26"/>
          <w:szCs w:val="26"/>
        </w:rPr>
        <w:t xml:space="preserve">The </w:t>
      </w:r>
      <w:r w:rsidR="00887366" w:rsidRPr="00E37897">
        <w:rPr>
          <w:color w:val="000000"/>
          <w:sz w:val="26"/>
          <w:szCs w:val="26"/>
        </w:rPr>
        <w:t>Office of Small Business Advocate (</w:t>
      </w:r>
      <w:r w:rsidRPr="00E37897">
        <w:rPr>
          <w:color w:val="000000"/>
          <w:sz w:val="26"/>
          <w:szCs w:val="26"/>
        </w:rPr>
        <w:t>OSBA</w:t>
      </w:r>
      <w:r w:rsidR="00887366" w:rsidRPr="00E37897">
        <w:rPr>
          <w:color w:val="000000"/>
          <w:sz w:val="26"/>
          <w:szCs w:val="26"/>
        </w:rPr>
        <w:t>)</w:t>
      </w:r>
      <w:r w:rsidRPr="00E37897">
        <w:rPr>
          <w:color w:val="000000"/>
          <w:sz w:val="26"/>
          <w:szCs w:val="26"/>
        </w:rPr>
        <w:t xml:space="preserve"> filed a Notice of Appearance, Notice of Intervention, Public Statement and Answer to PECO’s Petition on April 2, 2020.</w:t>
      </w:r>
    </w:p>
    <w:p w14:paraId="6F9635F5" w14:textId="77777777" w:rsidR="002075C2" w:rsidRPr="00E37897" w:rsidRDefault="002075C2" w:rsidP="005F3BE2">
      <w:pPr>
        <w:widowControl/>
        <w:spacing w:line="360" w:lineRule="auto"/>
        <w:ind w:firstLine="1440"/>
        <w:contextualSpacing/>
        <w:textAlignment w:val="baseline"/>
        <w:rPr>
          <w:color w:val="000000"/>
          <w:sz w:val="26"/>
          <w:szCs w:val="26"/>
        </w:rPr>
      </w:pPr>
    </w:p>
    <w:p w14:paraId="6FBA54CD" w14:textId="48447808" w:rsidR="007913A7" w:rsidRPr="00E37897" w:rsidRDefault="007913A7" w:rsidP="005F3BE2">
      <w:pPr>
        <w:widowControl/>
        <w:spacing w:line="360" w:lineRule="auto"/>
        <w:ind w:firstLine="1440"/>
        <w:contextualSpacing/>
        <w:textAlignment w:val="baseline"/>
        <w:rPr>
          <w:color w:val="000000"/>
          <w:sz w:val="26"/>
          <w:szCs w:val="26"/>
        </w:rPr>
      </w:pPr>
      <w:r w:rsidRPr="00E37897">
        <w:rPr>
          <w:color w:val="000000"/>
          <w:sz w:val="26"/>
          <w:szCs w:val="26"/>
        </w:rPr>
        <w:t xml:space="preserve">The </w:t>
      </w:r>
      <w:r w:rsidR="00887366" w:rsidRPr="00E37897">
        <w:rPr>
          <w:color w:val="000000"/>
          <w:sz w:val="26"/>
          <w:szCs w:val="26"/>
        </w:rPr>
        <w:t>Office of Consumer Advocate (</w:t>
      </w:r>
      <w:r w:rsidRPr="00E37897">
        <w:rPr>
          <w:color w:val="000000"/>
          <w:sz w:val="26"/>
          <w:szCs w:val="26"/>
        </w:rPr>
        <w:t>OCA</w:t>
      </w:r>
      <w:r w:rsidR="00887366" w:rsidRPr="00E37897">
        <w:rPr>
          <w:color w:val="000000"/>
          <w:sz w:val="26"/>
          <w:szCs w:val="26"/>
        </w:rPr>
        <w:t>)</w:t>
      </w:r>
      <w:r w:rsidRPr="00E37897">
        <w:rPr>
          <w:color w:val="000000"/>
          <w:sz w:val="26"/>
          <w:szCs w:val="26"/>
        </w:rPr>
        <w:t xml:space="preserve"> filed a Notice of Intervention, Public Statement, and Answer to PECO’s Petition on April 3, 2020.</w:t>
      </w:r>
    </w:p>
    <w:p w14:paraId="6576B2D2" w14:textId="6BD689FF" w:rsidR="002075C2" w:rsidRPr="00E37897" w:rsidRDefault="002075C2" w:rsidP="005F3BE2">
      <w:pPr>
        <w:widowControl/>
        <w:spacing w:line="360" w:lineRule="auto"/>
        <w:ind w:firstLine="1440"/>
        <w:contextualSpacing/>
        <w:textAlignment w:val="baseline"/>
        <w:rPr>
          <w:color w:val="000000"/>
          <w:sz w:val="26"/>
          <w:szCs w:val="26"/>
        </w:rPr>
      </w:pPr>
    </w:p>
    <w:p w14:paraId="2078F852" w14:textId="76D9E271" w:rsidR="00615438" w:rsidRPr="00E37897" w:rsidRDefault="00615438" w:rsidP="005F3BE2">
      <w:pPr>
        <w:widowControl/>
        <w:spacing w:line="360" w:lineRule="auto"/>
        <w:ind w:firstLine="1440"/>
        <w:contextualSpacing/>
        <w:textAlignment w:val="baseline"/>
        <w:rPr>
          <w:color w:val="000000"/>
          <w:sz w:val="26"/>
          <w:szCs w:val="26"/>
        </w:rPr>
      </w:pPr>
      <w:r w:rsidRPr="00E37897">
        <w:rPr>
          <w:color w:val="000000"/>
          <w:sz w:val="26"/>
          <w:szCs w:val="26"/>
        </w:rPr>
        <w:t xml:space="preserve">The following </w:t>
      </w:r>
      <w:r w:rsidR="009C12E7" w:rsidRPr="00E37897">
        <w:rPr>
          <w:color w:val="000000"/>
          <w:sz w:val="26"/>
          <w:szCs w:val="26"/>
        </w:rPr>
        <w:t>Parties filed Petitions to Intervene</w:t>
      </w:r>
      <w:r w:rsidR="005444BD" w:rsidRPr="00E37897">
        <w:rPr>
          <w:color w:val="000000"/>
          <w:sz w:val="26"/>
          <w:szCs w:val="26"/>
        </w:rPr>
        <w:t xml:space="preserve">:  </w:t>
      </w:r>
      <w:r w:rsidR="003552B1" w:rsidRPr="00E37897">
        <w:rPr>
          <w:color w:val="000000"/>
          <w:sz w:val="26"/>
          <w:szCs w:val="26"/>
        </w:rPr>
        <w:t xml:space="preserve">PAIEUG </w:t>
      </w:r>
      <w:r w:rsidR="00B702C0" w:rsidRPr="00E37897">
        <w:rPr>
          <w:color w:val="000000"/>
          <w:sz w:val="26"/>
          <w:szCs w:val="26"/>
        </w:rPr>
        <w:t xml:space="preserve">on April 1, 2020; </w:t>
      </w:r>
      <w:r w:rsidR="000A4679" w:rsidRPr="00E37897">
        <w:rPr>
          <w:color w:val="000000"/>
          <w:sz w:val="26"/>
          <w:szCs w:val="26"/>
        </w:rPr>
        <w:t xml:space="preserve">The </w:t>
      </w:r>
      <w:r w:rsidR="00B702C0" w:rsidRPr="00E37897">
        <w:rPr>
          <w:color w:val="000000"/>
          <w:sz w:val="26"/>
          <w:szCs w:val="26"/>
        </w:rPr>
        <w:t xml:space="preserve">Coalition for </w:t>
      </w:r>
      <w:r w:rsidR="00C80B78" w:rsidRPr="00E37897">
        <w:rPr>
          <w:color w:val="000000"/>
          <w:sz w:val="26"/>
          <w:szCs w:val="26"/>
        </w:rPr>
        <w:t xml:space="preserve">Affordable Utility Services </w:t>
      </w:r>
      <w:r w:rsidR="00050670" w:rsidRPr="00E37897">
        <w:rPr>
          <w:color w:val="000000"/>
          <w:sz w:val="26"/>
          <w:szCs w:val="26"/>
        </w:rPr>
        <w:t xml:space="preserve">and Energy Efficiency </w:t>
      </w:r>
      <w:r w:rsidR="00CD1132" w:rsidRPr="00E37897">
        <w:rPr>
          <w:color w:val="000000"/>
          <w:sz w:val="26"/>
          <w:szCs w:val="26"/>
        </w:rPr>
        <w:t xml:space="preserve">in Pennsylvania </w:t>
      </w:r>
      <w:r w:rsidR="000B7B26" w:rsidRPr="00E37897">
        <w:rPr>
          <w:color w:val="000000"/>
          <w:sz w:val="26"/>
          <w:szCs w:val="26"/>
        </w:rPr>
        <w:t xml:space="preserve">(CAUSE-PA) </w:t>
      </w:r>
      <w:r w:rsidR="00CD1132" w:rsidRPr="00E37897">
        <w:rPr>
          <w:color w:val="000000"/>
          <w:sz w:val="26"/>
          <w:szCs w:val="26"/>
        </w:rPr>
        <w:t xml:space="preserve">on April </w:t>
      </w:r>
      <w:r w:rsidR="000B7B26" w:rsidRPr="00E37897">
        <w:rPr>
          <w:color w:val="000000"/>
          <w:sz w:val="26"/>
          <w:szCs w:val="26"/>
        </w:rPr>
        <w:t xml:space="preserve">1, 2020; </w:t>
      </w:r>
      <w:r w:rsidR="000A4679" w:rsidRPr="00E37897">
        <w:rPr>
          <w:color w:val="000000"/>
          <w:sz w:val="26"/>
          <w:szCs w:val="26"/>
        </w:rPr>
        <w:t>T</w:t>
      </w:r>
      <w:r w:rsidR="008333AA" w:rsidRPr="00E37897">
        <w:rPr>
          <w:sz w:val="26"/>
          <w:szCs w:val="26"/>
        </w:rPr>
        <w:t>he Tenant Union Representative Network and Action Alliance of Senior Citizens of Greater Philadelphia (TURN</w:t>
      </w:r>
      <w:r w:rsidR="00AD0127" w:rsidRPr="00E37897">
        <w:rPr>
          <w:sz w:val="26"/>
          <w:szCs w:val="26"/>
        </w:rPr>
        <w:t xml:space="preserve"> </w:t>
      </w:r>
      <w:r w:rsidR="00AD0127" w:rsidRPr="00E37897">
        <w:rPr>
          <w:i/>
          <w:iCs/>
          <w:sz w:val="26"/>
          <w:szCs w:val="26"/>
        </w:rPr>
        <w:t>et al</w:t>
      </w:r>
      <w:r w:rsidR="00AD0127" w:rsidRPr="00E37897">
        <w:rPr>
          <w:sz w:val="26"/>
          <w:szCs w:val="26"/>
        </w:rPr>
        <w:t xml:space="preserve">.) on </w:t>
      </w:r>
      <w:r w:rsidR="00AD0127" w:rsidRPr="00E37897">
        <w:rPr>
          <w:sz w:val="26"/>
          <w:szCs w:val="26"/>
        </w:rPr>
        <w:lastRenderedPageBreak/>
        <w:t>April</w:t>
      </w:r>
      <w:r w:rsidR="001953F3">
        <w:rPr>
          <w:sz w:val="26"/>
          <w:szCs w:val="26"/>
        </w:rPr>
        <w:t> </w:t>
      </w:r>
      <w:r w:rsidR="00AD0127" w:rsidRPr="00E37897">
        <w:rPr>
          <w:sz w:val="26"/>
          <w:szCs w:val="26"/>
        </w:rPr>
        <w:t xml:space="preserve">10, 2020; </w:t>
      </w:r>
      <w:r w:rsidR="0035315E" w:rsidRPr="00E37897">
        <w:rPr>
          <w:sz w:val="26"/>
          <w:szCs w:val="26"/>
        </w:rPr>
        <w:t>Calpine on April 14, 2020</w:t>
      </w:r>
      <w:r w:rsidR="00646EDB" w:rsidRPr="00E37897">
        <w:rPr>
          <w:sz w:val="26"/>
          <w:szCs w:val="26"/>
        </w:rPr>
        <w:t xml:space="preserve">; </w:t>
      </w:r>
      <w:r w:rsidR="002E2C3B" w:rsidRPr="00E37897">
        <w:rPr>
          <w:sz w:val="26"/>
          <w:szCs w:val="26"/>
        </w:rPr>
        <w:t xml:space="preserve">StateWise Energy Pennsylvania LLC and SFE Energy Pennsylvania, Inc. </w:t>
      </w:r>
      <w:r w:rsidR="00A71832" w:rsidRPr="00E37897">
        <w:rPr>
          <w:sz w:val="26"/>
          <w:szCs w:val="26"/>
        </w:rPr>
        <w:t>(State</w:t>
      </w:r>
      <w:r w:rsidR="00D40841" w:rsidRPr="00E37897">
        <w:rPr>
          <w:sz w:val="26"/>
          <w:szCs w:val="26"/>
        </w:rPr>
        <w:t xml:space="preserve">Wise) </w:t>
      </w:r>
      <w:r w:rsidR="002E2C3B" w:rsidRPr="00E37897">
        <w:rPr>
          <w:sz w:val="26"/>
          <w:szCs w:val="26"/>
        </w:rPr>
        <w:t xml:space="preserve">on April 30, 2020; </w:t>
      </w:r>
      <w:r w:rsidR="00750542" w:rsidRPr="00E37897">
        <w:rPr>
          <w:sz w:val="26"/>
          <w:szCs w:val="26"/>
        </w:rPr>
        <w:t xml:space="preserve">Clean Air Council, Sierra Club/PA Chapter, and Philadelphia Solar Energy Association </w:t>
      </w:r>
      <w:r w:rsidR="00925D9A" w:rsidRPr="00E37897">
        <w:rPr>
          <w:sz w:val="26"/>
          <w:szCs w:val="26"/>
        </w:rPr>
        <w:t>(the Environmental Stakeholders</w:t>
      </w:r>
      <w:r w:rsidR="00917E5F" w:rsidRPr="00E37897">
        <w:rPr>
          <w:sz w:val="26"/>
          <w:szCs w:val="26"/>
        </w:rPr>
        <w:t xml:space="preserve"> or ES</w:t>
      </w:r>
      <w:r w:rsidR="00925D9A" w:rsidRPr="00E37897">
        <w:rPr>
          <w:sz w:val="26"/>
          <w:szCs w:val="26"/>
        </w:rPr>
        <w:t xml:space="preserve">) </w:t>
      </w:r>
      <w:r w:rsidR="00750542" w:rsidRPr="00E37897">
        <w:rPr>
          <w:sz w:val="26"/>
          <w:szCs w:val="26"/>
        </w:rPr>
        <w:t xml:space="preserve">on May 1, 2020; </w:t>
      </w:r>
      <w:r w:rsidR="00491FF8" w:rsidRPr="00E37897">
        <w:rPr>
          <w:sz w:val="26"/>
          <w:szCs w:val="26"/>
        </w:rPr>
        <w:t xml:space="preserve">and </w:t>
      </w:r>
      <w:r w:rsidR="00C725BC" w:rsidRPr="00E37897">
        <w:rPr>
          <w:sz w:val="26"/>
          <w:szCs w:val="26"/>
        </w:rPr>
        <w:t xml:space="preserve">the Electric Supplier </w:t>
      </w:r>
      <w:r w:rsidR="007E4BAB" w:rsidRPr="00E37897">
        <w:rPr>
          <w:sz w:val="26"/>
          <w:szCs w:val="26"/>
        </w:rPr>
        <w:t>Coalition</w:t>
      </w:r>
      <w:r w:rsidR="00917E5F" w:rsidRPr="00E37897">
        <w:rPr>
          <w:sz w:val="26"/>
          <w:szCs w:val="26"/>
        </w:rPr>
        <w:t xml:space="preserve"> or ESC</w:t>
      </w:r>
      <w:r w:rsidR="00C725BC" w:rsidRPr="00E37897">
        <w:rPr>
          <w:sz w:val="26"/>
          <w:szCs w:val="26"/>
        </w:rPr>
        <w:t xml:space="preserve"> </w:t>
      </w:r>
      <w:r w:rsidR="004A4F15" w:rsidRPr="00E37897">
        <w:rPr>
          <w:sz w:val="26"/>
          <w:szCs w:val="26"/>
        </w:rPr>
        <w:t>on May</w:t>
      </w:r>
      <w:r w:rsidR="001953F3">
        <w:rPr>
          <w:sz w:val="26"/>
          <w:szCs w:val="26"/>
        </w:rPr>
        <w:t> </w:t>
      </w:r>
      <w:r w:rsidR="004A4F15" w:rsidRPr="00E37897">
        <w:rPr>
          <w:sz w:val="26"/>
          <w:szCs w:val="26"/>
        </w:rPr>
        <w:t>1, 2020</w:t>
      </w:r>
      <w:r w:rsidR="00195A9E" w:rsidRPr="00E37897">
        <w:rPr>
          <w:sz w:val="26"/>
          <w:szCs w:val="26"/>
        </w:rPr>
        <w:t>.</w:t>
      </w:r>
      <w:r w:rsidR="004A4F15" w:rsidRPr="00E37897">
        <w:rPr>
          <w:sz w:val="26"/>
          <w:szCs w:val="26"/>
        </w:rPr>
        <w:t xml:space="preserve"> </w:t>
      </w:r>
      <w:r w:rsidR="00195A9E" w:rsidRPr="00E37897">
        <w:rPr>
          <w:sz w:val="26"/>
          <w:szCs w:val="26"/>
        </w:rPr>
        <w:t xml:space="preserve"> </w:t>
      </w:r>
      <w:r w:rsidR="00295D77" w:rsidRPr="00E37897">
        <w:rPr>
          <w:color w:val="000000"/>
          <w:sz w:val="26"/>
          <w:szCs w:val="26"/>
        </w:rPr>
        <w:t xml:space="preserve">These Petitions were </w:t>
      </w:r>
      <w:r w:rsidR="009C12E7" w:rsidRPr="00E37897">
        <w:rPr>
          <w:color w:val="000000"/>
          <w:sz w:val="26"/>
          <w:szCs w:val="26"/>
        </w:rPr>
        <w:t>unopposed</w:t>
      </w:r>
      <w:r w:rsidR="00FF68AB" w:rsidRPr="00E37897">
        <w:rPr>
          <w:color w:val="000000"/>
          <w:sz w:val="26"/>
          <w:szCs w:val="26"/>
        </w:rPr>
        <w:t>,</w:t>
      </w:r>
      <w:r w:rsidR="009C12E7" w:rsidRPr="00E37897">
        <w:rPr>
          <w:color w:val="000000"/>
          <w:sz w:val="26"/>
          <w:szCs w:val="26"/>
        </w:rPr>
        <w:t xml:space="preserve"> </w:t>
      </w:r>
      <w:r w:rsidR="00D40841" w:rsidRPr="00E37897">
        <w:rPr>
          <w:color w:val="000000"/>
          <w:sz w:val="26"/>
          <w:szCs w:val="26"/>
        </w:rPr>
        <w:t xml:space="preserve">and </w:t>
      </w:r>
      <w:r w:rsidR="00FF68AB" w:rsidRPr="00E37897">
        <w:rPr>
          <w:color w:val="000000"/>
          <w:sz w:val="26"/>
          <w:szCs w:val="26"/>
        </w:rPr>
        <w:t>the ALJ</w:t>
      </w:r>
      <w:r w:rsidR="00295D77" w:rsidRPr="00E37897">
        <w:rPr>
          <w:color w:val="000000"/>
          <w:sz w:val="26"/>
          <w:szCs w:val="26"/>
        </w:rPr>
        <w:t xml:space="preserve"> </w:t>
      </w:r>
      <w:r w:rsidR="009C12E7" w:rsidRPr="00E37897">
        <w:rPr>
          <w:color w:val="000000"/>
          <w:sz w:val="26"/>
          <w:szCs w:val="26"/>
        </w:rPr>
        <w:t xml:space="preserve">granted </w:t>
      </w:r>
      <w:r w:rsidR="00FF68AB" w:rsidRPr="00E37897">
        <w:rPr>
          <w:color w:val="000000"/>
          <w:sz w:val="26"/>
          <w:szCs w:val="26"/>
        </w:rPr>
        <w:t xml:space="preserve">the Petitions by Prehearing Order dated May 8, 2020.  </w:t>
      </w:r>
      <w:r w:rsidR="009C12E7" w:rsidRPr="00E37897">
        <w:rPr>
          <w:color w:val="000000"/>
          <w:sz w:val="26"/>
          <w:szCs w:val="26"/>
        </w:rPr>
        <w:t xml:space="preserve"> </w:t>
      </w:r>
    </w:p>
    <w:p w14:paraId="1B89D202" w14:textId="77777777" w:rsidR="00615438" w:rsidRPr="00E37897" w:rsidRDefault="00615438" w:rsidP="005F3BE2">
      <w:pPr>
        <w:widowControl/>
        <w:spacing w:line="360" w:lineRule="auto"/>
        <w:ind w:firstLine="1440"/>
        <w:contextualSpacing/>
        <w:textAlignment w:val="baseline"/>
        <w:rPr>
          <w:color w:val="000000"/>
          <w:sz w:val="26"/>
          <w:szCs w:val="26"/>
        </w:rPr>
      </w:pPr>
    </w:p>
    <w:p w14:paraId="13EAC139" w14:textId="1B3DE7EB" w:rsidR="007913A7" w:rsidRDefault="003F2B64" w:rsidP="005F3BE2">
      <w:pPr>
        <w:widowControl/>
        <w:spacing w:line="360" w:lineRule="auto"/>
        <w:ind w:right="144" w:firstLine="1440"/>
        <w:contextualSpacing/>
        <w:textAlignment w:val="baseline"/>
        <w:rPr>
          <w:color w:val="000000"/>
          <w:sz w:val="26"/>
          <w:szCs w:val="26"/>
        </w:rPr>
      </w:pPr>
      <w:r w:rsidRPr="00E37897">
        <w:rPr>
          <w:color w:val="000000"/>
          <w:sz w:val="26"/>
          <w:szCs w:val="26"/>
        </w:rPr>
        <w:t>A</w:t>
      </w:r>
      <w:r w:rsidR="007913A7" w:rsidRPr="00E37897">
        <w:rPr>
          <w:color w:val="000000"/>
          <w:sz w:val="26"/>
          <w:szCs w:val="26"/>
        </w:rPr>
        <w:t xml:space="preserve"> public input hearing was held </w:t>
      </w:r>
      <w:r w:rsidRPr="00E37897">
        <w:rPr>
          <w:color w:val="000000"/>
          <w:sz w:val="26"/>
          <w:szCs w:val="26"/>
        </w:rPr>
        <w:t>by</w:t>
      </w:r>
      <w:r w:rsidR="007913A7" w:rsidRPr="00E37897">
        <w:rPr>
          <w:color w:val="000000"/>
          <w:sz w:val="26"/>
          <w:szCs w:val="26"/>
        </w:rPr>
        <w:t xml:space="preserve"> videoconference on June 9, 2020. </w:t>
      </w:r>
      <w:r w:rsidRPr="00E37897">
        <w:rPr>
          <w:color w:val="000000"/>
          <w:sz w:val="26"/>
          <w:szCs w:val="26"/>
        </w:rPr>
        <w:t xml:space="preserve"> Thirty-five</w:t>
      </w:r>
      <w:r w:rsidR="007913A7" w:rsidRPr="00E37897">
        <w:rPr>
          <w:color w:val="000000"/>
          <w:sz w:val="26"/>
          <w:szCs w:val="26"/>
        </w:rPr>
        <w:t xml:space="preserve"> individuals appeared and testified. </w:t>
      </w:r>
      <w:r w:rsidR="007E175D" w:rsidRPr="00E37897">
        <w:rPr>
          <w:color w:val="000000"/>
          <w:sz w:val="26"/>
          <w:szCs w:val="26"/>
        </w:rPr>
        <w:t xml:space="preserve"> For a detailed discussion of the public input hearing, s</w:t>
      </w:r>
      <w:r w:rsidR="007913A7" w:rsidRPr="00E37897">
        <w:rPr>
          <w:i/>
          <w:color w:val="000000"/>
          <w:sz w:val="26"/>
          <w:szCs w:val="26"/>
        </w:rPr>
        <w:t xml:space="preserve">ee </w:t>
      </w:r>
      <w:r w:rsidR="007913A7" w:rsidRPr="00E37897">
        <w:rPr>
          <w:color w:val="000000"/>
          <w:sz w:val="26"/>
          <w:szCs w:val="26"/>
        </w:rPr>
        <w:t>Section III</w:t>
      </w:r>
      <w:r w:rsidR="007913A7" w:rsidRPr="00E37897">
        <w:rPr>
          <w:i/>
          <w:color w:val="000000"/>
          <w:sz w:val="26"/>
          <w:szCs w:val="26"/>
        </w:rPr>
        <w:t xml:space="preserve"> </w:t>
      </w:r>
      <w:r w:rsidR="007913A7" w:rsidRPr="00E37897">
        <w:rPr>
          <w:color w:val="000000"/>
          <w:sz w:val="26"/>
          <w:szCs w:val="26"/>
        </w:rPr>
        <w:t>and Attachment 1 to th</w:t>
      </w:r>
      <w:r w:rsidR="00170084" w:rsidRPr="00E37897">
        <w:rPr>
          <w:color w:val="000000"/>
          <w:sz w:val="26"/>
          <w:szCs w:val="26"/>
        </w:rPr>
        <w:t>e</w:t>
      </w:r>
      <w:r w:rsidR="007913A7" w:rsidRPr="00E37897">
        <w:rPr>
          <w:color w:val="000000"/>
          <w:sz w:val="26"/>
          <w:szCs w:val="26"/>
        </w:rPr>
        <w:t xml:space="preserve"> Recommended Decision.</w:t>
      </w:r>
    </w:p>
    <w:p w14:paraId="30F6E56F" w14:textId="77777777" w:rsidR="00EB426A" w:rsidRPr="00E37897" w:rsidRDefault="00EB426A" w:rsidP="005F3BE2">
      <w:pPr>
        <w:widowControl/>
        <w:spacing w:line="360" w:lineRule="auto"/>
        <w:ind w:right="144" w:firstLine="1440"/>
        <w:contextualSpacing/>
        <w:textAlignment w:val="baseline"/>
        <w:rPr>
          <w:color w:val="000000"/>
          <w:sz w:val="26"/>
          <w:szCs w:val="26"/>
        </w:rPr>
      </w:pPr>
    </w:p>
    <w:p w14:paraId="3003514B" w14:textId="7DD0985F" w:rsidR="007913A7" w:rsidRPr="00E37897" w:rsidRDefault="007913A7" w:rsidP="005F3BE2">
      <w:pPr>
        <w:widowControl/>
        <w:spacing w:line="360" w:lineRule="auto"/>
        <w:ind w:right="72" w:firstLine="1440"/>
        <w:contextualSpacing/>
        <w:textAlignment w:val="baseline"/>
        <w:rPr>
          <w:color w:val="000000"/>
          <w:sz w:val="26"/>
          <w:szCs w:val="26"/>
        </w:rPr>
      </w:pPr>
      <w:r w:rsidRPr="00E37897">
        <w:rPr>
          <w:color w:val="000000"/>
          <w:sz w:val="26"/>
          <w:szCs w:val="26"/>
        </w:rPr>
        <w:t xml:space="preserve">On June 16, 2020, the OCA, </w:t>
      </w:r>
      <w:r w:rsidR="00D658C7" w:rsidRPr="00E37897">
        <w:rPr>
          <w:color w:val="000000"/>
          <w:sz w:val="26"/>
          <w:szCs w:val="26"/>
        </w:rPr>
        <w:t xml:space="preserve">the </w:t>
      </w:r>
      <w:r w:rsidRPr="00E37897">
        <w:rPr>
          <w:color w:val="000000"/>
          <w:sz w:val="26"/>
          <w:szCs w:val="26"/>
        </w:rPr>
        <w:t xml:space="preserve">OSBA, CAUSE-PA, the Electric Supplier Coalition, the Environmental Stakeholders, and TURN </w:t>
      </w:r>
      <w:r w:rsidRPr="00E37897">
        <w:rPr>
          <w:i/>
          <w:color w:val="000000"/>
          <w:sz w:val="26"/>
          <w:szCs w:val="26"/>
        </w:rPr>
        <w:t xml:space="preserve">et al. </w:t>
      </w:r>
      <w:r w:rsidRPr="00E37897">
        <w:rPr>
          <w:color w:val="000000"/>
          <w:sz w:val="26"/>
          <w:szCs w:val="26"/>
        </w:rPr>
        <w:t xml:space="preserve">submitted a total of seven written statements and accompanying exhibits. </w:t>
      </w:r>
      <w:r w:rsidR="00D658C7" w:rsidRPr="00E37897">
        <w:rPr>
          <w:color w:val="000000"/>
          <w:sz w:val="26"/>
          <w:szCs w:val="26"/>
        </w:rPr>
        <w:t xml:space="preserve"> </w:t>
      </w:r>
      <w:r w:rsidRPr="00E37897">
        <w:rPr>
          <w:color w:val="000000"/>
          <w:sz w:val="26"/>
          <w:szCs w:val="26"/>
        </w:rPr>
        <w:t xml:space="preserve">On July 9, 2020, PECO, </w:t>
      </w:r>
      <w:r w:rsidR="00D658C7" w:rsidRPr="00E37897">
        <w:rPr>
          <w:color w:val="000000"/>
          <w:sz w:val="26"/>
          <w:szCs w:val="26"/>
        </w:rPr>
        <w:t xml:space="preserve">the </w:t>
      </w:r>
      <w:r w:rsidRPr="00E37897">
        <w:rPr>
          <w:color w:val="000000"/>
          <w:sz w:val="26"/>
          <w:szCs w:val="26"/>
        </w:rPr>
        <w:t xml:space="preserve">OCA, </w:t>
      </w:r>
      <w:r w:rsidR="00D658C7" w:rsidRPr="00E37897">
        <w:rPr>
          <w:color w:val="000000"/>
          <w:sz w:val="26"/>
          <w:szCs w:val="26"/>
        </w:rPr>
        <w:t xml:space="preserve">the </w:t>
      </w:r>
      <w:r w:rsidRPr="00E37897">
        <w:rPr>
          <w:color w:val="000000"/>
          <w:sz w:val="26"/>
          <w:szCs w:val="26"/>
        </w:rPr>
        <w:t xml:space="preserve">OSBA, Calpine, CAUSE-PA, PAIEUG, and TURN </w:t>
      </w:r>
      <w:r w:rsidRPr="00E37897">
        <w:rPr>
          <w:i/>
          <w:color w:val="000000"/>
          <w:sz w:val="26"/>
          <w:szCs w:val="26"/>
        </w:rPr>
        <w:t xml:space="preserve">et al. </w:t>
      </w:r>
      <w:r w:rsidRPr="00E37897">
        <w:rPr>
          <w:color w:val="000000"/>
          <w:sz w:val="26"/>
          <w:szCs w:val="26"/>
        </w:rPr>
        <w:t xml:space="preserve">submitted eleven statements constituting their rebuttal testimony. </w:t>
      </w:r>
      <w:r w:rsidR="00D658C7" w:rsidRPr="00E37897">
        <w:rPr>
          <w:color w:val="000000"/>
          <w:sz w:val="26"/>
          <w:szCs w:val="26"/>
        </w:rPr>
        <w:t xml:space="preserve"> </w:t>
      </w:r>
      <w:r w:rsidRPr="00E37897">
        <w:rPr>
          <w:color w:val="000000"/>
          <w:sz w:val="26"/>
          <w:szCs w:val="26"/>
        </w:rPr>
        <w:t xml:space="preserve">On July 23, 2020, PECO, </w:t>
      </w:r>
      <w:r w:rsidR="000A12B1" w:rsidRPr="00E37897">
        <w:rPr>
          <w:color w:val="000000"/>
          <w:sz w:val="26"/>
          <w:szCs w:val="26"/>
        </w:rPr>
        <w:t xml:space="preserve">the </w:t>
      </w:r>
      <w:r w:rsidRPr="00E37897">
        <w:rPr>
          <w:color w:val="000000"/>
          <w:sz w:val="26"/>
          <w:szCs w:val="26"/>
        </w:rPr>
        <w:t xml:space="preserve">OCA, </w:t>
      </w:r>
      <w:r w:rsidR="000A12B1" w:rsidRPr="00E37897">
        <w:rPr>
          <w:color w:val="000000"/>
          <w:sz w:val="26"/>
          <w:szCs w:val="26"/>
        </w:rPr>
        <w:t xml:space="preserve">the </w:t>
      </w:r>
      <w:r w:rsidRPr="00E37897">
        <w:rPr>
          <w:color w:val="000000"/>
          <w:sz w:val="26"/>
          <w:szCs w:val="26"/>
        </w:rPr>
        <w:t>OSBA, the Electric Supplier Coalition, the Environmental Stakeholders</w:t>
      </w:r>
      <w:r w:rsidR="000A12B1" w:rsidRPr="00E37897">
        <w:rPr>
          <w:color w:val="000000"/>
          <w:sz w:val="26"/>
          <w:szCs w:val="26"/>
        </w:rPr>
        <w:t>,</w:t>
      </w:r>
      <w:r w:rsidRPr="00E37897">
        <w:rPr>
          <w:color w:val="000000"/>
          <w:sz w:val="26"/>
          <w:szCs w:val="26"/>
        </w:rPr>
        <w:t xml:space="preserve"> and TURN </w:t>
      </w:r>
      <w:r w:rsidRPr="00E37897">
        <w:rPr>
          <w:i/>
          <w:color w:val="000000"/>
          <w:sz w:val="26"/>
          <w:szCs w:val="26"/>
        </w:rPr>
        <w:t xml:space="preserve">et al. </w:t>
      </w:r>
      <w:r w:rsidRPr="00E37897">
        <w:rPr>
          <w:color w:val="000000"/>
          <w:sz w:val="26"/>
          <w:szCs w:val="26"/>
        </w:rPr>
        <w:t>submitted seven surrebuttal statements.</w:t>
      </w:r>
    </w:p>
    <w:p w14:paraId="14CE67EA" w14:textId="77777777" w:rsidR="000A12B1" w:rsidRPr="00E37897" w:rsidRDefault="000A12B1" w:rsidP="005F3BE2">
      <w:pPr>
        <w:widowControl/>
        <w:spacing w:line="360" w:lineRule="auto"/>
        <w:ind w:firstLine="1440"/>
        <w:contextualSpacing/>
        <w:textAlignment w:val="baseline"/>
        <w:rPr>
          <w:color w:val="000000"/>
          <w:spacing w:val="-1"/>
          <w:sz w:val="26"/>
          <w:szCs w:val="26"/>
        </w:rPr>
      </w:pPr>
    </w:p>
    <w:p w14:paraId="72F50B72" w14:textId="701DDAD5" w:rsidR="007913A7" w:rsidRPr="00E37897" w:rsidRDefault="007913A7" w:rsidP="005F3BE2">
      <w:pPr>
        <w:widowControl/>
        <w:spacing w:line="360" w:lineRule="auto"/>
        <w:ind w:firstLine="1440"/>
        <w:contextualSpacing/>
        <w:textAlignment w:val="baseline"/>
        <w:rPr>
          <w:color w:val="000000"/>
          <w:sz w:val="26"/>
          <w:szCs w:val="26"/>
        </w:rPr>
      </w:pPr>
      <w:r w:rsidRPr="00E37897">
        <w:rPr>
          <w:color w:val="000000"/>
          <w:spacing w:val="-1"/>
          <w:sz w:val="26"/>
          <w:szCs w:val="26"/>
        </w:rPr>
        <w:t xml:space="preserve">After the submission of written testimony, the </w:t>
      </w:r>
      <w:r w:rsidR="000A12B1" w:rsidRPr="00E37897">
        <w:rPr>
          <w:color w:val="000000"/>
          <w:spacing w:val="-1"/>
          <w:sz w:val="26"/>
          <w:szCs w:val="26"/>
        </w:rPr>
        <w:t>P</w:t>
      </w:r>
      <w:r w:rsidRPr="00E37897">
        <w:rPr>
          <w:color w:val="000000"/>
          <w:spacing w:val="-1"/>
          <w:sz w:val="26"/>
          <w:szCs w:val="26"/>
        </w:rPr>
        <w:t xml:space="preserve">arties engaged in </w:t>
      </w:r>
      <w:r w:rsidR="00A653AD" w:rsidRPr="00E37897">
        <w:rPr>
          <w:color w:val="000000"/>
          <w:spacing w:val="-1"/>
          <w:sz w:val="26"/>
          <w:szCs w:val="26"/>
        </w:rPr>
        <w:t xml:space="preserve">settlement negotiations.  </w:t>
      </w:r>
      <w:r w:rsidRPr="00E37897">
        <w:rPr>
          <w:color w:val="000000"/>
          <w:spacing w:val="-1"/>
          <w:sz w:val="26"/>
          <w:szCs w:val="26"/>
        </w:rPr>
        <w:t xml:space="preserve">As a result of those negotiations, PECO, </w:t>
      </w:r>
      <w:r w:rsidR="00A653AD" w:rsidRPr="00E37897">
        <w:rPr>
          <w:color w:val="000000"/>
          <w:spacing w:val="-1"/>
          <w:sz w:val="26"/>
          <w:szCs w:val="26"/>
        </w:rPr>
        <w:t xml:space="preserve">the </w:t>
      </w:r>
      <w:r w:rsidRPr="00E37897">
        <w:rPr>
          <w:color w:val="000000"/>
          <w:spacing w:val="-1"/>
          <w:sz w:val="26"/>
          <w:szCs w:val="26"/>
        </w:rPr>
        <w:t xml:space="preserve">OCA, </w:t>
      </w:r>
      <w:r w:rsidR="00A653AD" w:rsidRPr="00E37897">
        <w:rPr>
          <w:color w:val="000000"/>
          <w:spacing w:val="-1"/>
          <w:sz w:val="26"/>
          <w:szCs w:val="26"/>
        </w:rPr>
        <w:t xml:space="preserve">the </w:t>
      </w:r>
      <w:r w:rsidRPr="00E37897">
        <w:rPr>
          <w:color w:val="000000"/>
          <w:spacing w:val="-1"/>
          <w:sz w:val="26"/>
          <w:szCs w:val="26"/>
        </w:rPr>
        <w:t xml:space="preserve">OSBA, CAUSE-PA, Calpine, PAIEUG, TURN </w:t>
      </w:r>
      <w:r w:rsidRPr="00E37897">
        <w:rPr>
          <w:i/>
          <w:color w:val="000000"/>
          <w:spacing w:val="-1"/>
          <w:sz w:val="26"/>
          <w:szCs w:val="26"/>
        </w:rPr>
        <w:t>et al</w:t>
      </w:r>
      <w:r w:rsidRPr="00E37897">
        <w:rPr>
          <w:color w:val="000000"/>
          <w:spacing w:val="-1"/>
          <w:sz w:val="26"/>
          <w:szCs w:val="26"/>
        </w:rPr>
        <w:t>.</w:t>
      </w:r>
      <w:r w:rsidR="00B10B92" w:rsidRPr="00E37897">
        <w:rPr>
          <w:color w:val="000000"/>
          <w:spacing w:val="-1"/>
          <w:sz w:val="26"/>
          <w:szCs w:val="26"/>
        </w:rPr>
        <w:t>,</w:t>
      </w:r>
      <w:r w:rsidRPr="00E37897">
        <w:rPr>
          <w:color w:val="000000"/>
          <w:spacing w:val="-1"/>
          <w:sz w:val="26"/>
          <w:szCs w:val="26"/>
        </w:rPr>
        <w:t xml:space="preserve"> and the Electric Supplier Coalition (collectively, the Joint Petitioners</w:t>
      </w:r>
      <w:r w:rsidR="00047A62" w:rsidRPr="00E37897">
        <w:rPr>
          <w:color w:val="000000"/>
          <w:spacing w:val="-1"/>
          <w:sz w:val="26"/>
          <w:szCs w:val="26"/>
        </w:rPr>
        <w:t>)</w:t>
      </w:r>
      <w:r w:rsidRPr="00E37897">
        <w:rPr>
          <w:color w:val="000000"/>
          <w:spacing w:val="-1"/>
          <w:sz w:val="26"/>
          <w:szCs w:val="26"/>
        </w:rPr>
        <w:t xml:space="preserve"> reach</w:t>
      </w:r>
      <w:r w:rsidR="00A77425" w:rsidRPr="00E37897">
        <w:rPr>
          <w:color w:val="000000"/>
          <w:spacing w:val="-1"/>
          <w:sz w:val="26"/>
          <w:szCs w:val="26"/>
        </w:rPr>
        <w:t>ed</w:t>
      </w:r>
      <w:r w:rsidRPr="00E37897">
        <w:rPr>
          <w:color w:val="000000"/>
          <w:spacing w:val="-1"/>
          <w:sz w:val="26"/>
          <w:szCs w:val="26"/>
        </w:rPr>
        <w:t xml:space="preserve"> a</w:t>
      </w:r>
      <w:r w:rsidR="00A77425" w:rsidRPr="00E37897">
        <w:rPr>
          <w:color w:val="000000"/>
          <w:spacing w:val="-1"/>
          <w:sz w:val="26"/>
          <w:szCs w:val="26"/>
        </w:rPr>
        <w:t xml:space="preserve"> </w:t>
      </w:r>
      <w:r w:rsidRPr="00E37897">
        <w:rPr>
          <w:color w:val="000000"/>
          <w:sz w:val="26"/>
          <w:szCs w:val="26"/>
        </w:rPr>
        <w:t>Partial Settlement and agree</w:t>
      </w:r>
      <w:r w:rsidR="00A77425" w:rsidRPr="00E37897">
        <w:rPr>
          <w:color w:val="000000"/>
          <w:sz w:val="26"/>
          <w:szCs w:val="26"/>
        </w:rPr>
        <w:t>d</w:t>
      </w:r>
      <w:r w:rsidRPr="00E37897">
        <w:rPr>
          <w:color w:val="000000"/>
          <w:sz w:val="26"/>
          <w:szCs w:val="26"/>
        </w:rPr>
        <w:t xml:space="preserve"> to a revised default service program consistent with PECO’s DSP V Petition, as modified (Revised DSP V).</w:t>
      </w:r>
    </w:p>
    <w:p w14:paraId="44610A79" w14:textId="77777777" w:rsidR="00A77425" w:rsidRPr="00E37897" w:rsidRDefault="00A77425" w:rsidP="005F3BE2">
      <w:pPr>
        <w:widowControl/>
        <w:spacing w:line="360" w:lineRule="auto"/>
        <w:ind w:firstLine="1440"/>
        <w:contextualSpacing/>
        <w:textAlignment w:val="baseline"/>
        <w:rPr>
          <w:color w:val="000000"/>
          <w:sz w:val="26"/>
          <w:szCs w:val="26"/>
        </w:rPr>
      </w:pPr>
    </w:p>
    <w:p w14:paraId="3DC4FF6A" w14:textId="2681B48D" w:rsidR="007913A7" w:rsidRDefault="00A77425" w:rsidP="005F3BE2">
      <w:pPr>
        <w:widowControl/>
        <w:spacing w:line="360" w:lineRule="auto"/>
        <w:ind w:firstLine="1440"/>
        <w:contextualSpacing/>
        <w:textAlignment w:val="baseline"/>
        <w:rPr>
          <w:color w:val="000000"/>
          <w:sz w:val="26"/>
          <w:szCs w:val="26"/>
        </w:rPr>
      </w:pPr>
      <w:r w:rsidRPr="00E37897">
        <w:rPr>
          <w:color w:val="000000"/>
          <w:sz w:val="26"/>
          <w:szCs w:val="26"/>
        </w:rPr>
        <w:t>An</w:t>
      </w:r>
      <w:r w:rsidR="007913A7" w:rsidRPr="00E37897">
        <w:rPr>
          <w:color w:val="000000"/>
          <w:sz w:val="26"/>
          <w:szCs w:val="26"/>
        </w:rPr>
        <w:t xml:space="preserve"> evidentiary hearing was held telephonically on July 30, 2020.</w:t>
      </w:r>
      <w:r w:rsidR="00845A35" w:rsidRPr="00E37897">
        <w:rPr>
          <w:color w:val="000000"/>
          <w:sz w:val="26"/>
          <w:szCs w:val="26"/>
        </w:rPr>
        <w:t xml:space="preserve"> </w:t>
      </w:r>
      <w:r w:rsidR="007913A7" w:rsidRPr="00E37897">
        <w:rPr>
          <w:color w:val="000000"/>
          <w:sz w:val="26"/>
          <w:szCs w:val="26"/>
        </w:rPr>
        <w:t xml:space="preserve"> During the evidentiary hearing, three witnesses were subject to cross-examination. </w:t>
      </w:r>
      <w:r w:rsidR="000E6418">
        <w:rPr>
          <w:color w:val="000000"/>
          <w:sz w:val="26"/>
          <w:szCs w:val="26"/>
        </w:rPr>
        <w:t xml:space="preserve"> </w:t>
      </w:r>
      <w:r w:rsidR="007913A7" w:rsidRPr="00E37897">
        <w:rPr>
          <w:color w:val="000000"/>
          <w:sz w:val="26"/>
          <w:szCs w:val="26"/>
        </w:rPr>
        <w:t>Cross-examination of all other witnesses was waived</w:t>
      </w:r>
      <w:r w:rsidR="005734EE" w:rsidRPr="00E37897">
        <w:rPr>
          <w:color w:val="000000"/>
          <w:sz w:val="26"/>
          <w:szCs w:val="26"/>
        </w:rPr>
        <w:t xml:space="preserve">.  The </w:t>
      </w:r>
      <w:r w:rsidR="007913A7" w:rsidRPr="00E37897">
        <w:rPr>
          <w:color w:val="000000"/>
          <w:sz w:val="26"/>
          <w:szCs w:val="26"/>
        </w:rPr>
        <w:t xml:space="preserve">pre-served Direct, Rebuttal, and Surrebuttal Testimony of the </w:t>
      </w:r>
      <w:r w:rsidR="0099755C" w:rsidRPr="00E37897">
        <w:rPr>
          <w:color w:val="000000"/>
          <w:sz w:val="26"/>
          <w:szCs w:val="26"/>
        </w:rPr>
        <w:t>P</w:t>
      </w:r>
      <w:r w:rsidR="007913A7" w:rsidRPr="00E37897">
        <w:rPr>
          <w:color w:val="000000"/>
          <w:sz w:val="26"/>
          <w:szCs w:val="26"/>
        </w:rPr>
        <w:t>arties was admitted into the record</w:t>
      </w:r>
      <w:r w:rsidR="0099755C" w:rsidRPr="00E37897">
        <w:rPr>
          <w:color w:val="000000"/>
          <w:sz w:val="26"/>
          <w:szCs w:val="26"/>
        </w:rPr>
        <w:t xml:space="preserve">.  </w:t>
      </w:r>
    </w:p>
    <w:p w14:paraId="40853805" w14:textId="1C487E36" w:rsidR="007913A7" w:rsidRPr="00E37897" w:rsidRDefault="002569D4" w:rsidP="005F3BE2">
      <w:pPr>
        <w:widowControl/>
        <w:spacing w:line="360" w:lineRule="auto"/>
        <w:ind w:firstLine="1440"/>
        <w:contextualSpacing/>
        <w:textAlignment w:val="baseline"/>
        <w:rPr>
          <w:color w:val="000000"/>
          <w:sz w:val="26"/>
          <w:szCs w:val="26"/>
        </w:rPr>
      </w:pPr>
      <w:r w:rsidRPr="00E37897">
        <w:rPr>
          <w:color w:val="000000"/>
          <w:sz w:val="26"/>
          <w:szCs w:val="26"/>
        </w:rPr>
        <w:lastRenderedPageBreak/>
        <w:t>The Joint Petitioners filed t</w:t>
      </w:r>
      <w:r w:rsidR="007913A7" w:rsidRPr="00E37897">
        <w:rPr>
          <w:color w:val="000000"/>
          <w:sz w:val="26"/>
          <w:szCs w:val="26"/>
        </w:rPr>
        <w:t>he Joint Petition for Partial Settlement (Joint Petition</w:t>
      </w:r>
      <w:r w:rsidR="00345FB8" w:rsidRPr="00E37897">
        <w:rPr>
          <w:color w:val="000000"/>
          <w:sz w:val="26"/>
          <w:szCs w:val="26"/>
        </w:rPr>
        <w:t xml:space="preserve"> or Partial Settlement</w:t>
      </w:r>
      <w:r w:rsidR="007913A7" w:rsidRPr="00E37897">
        <w:rPr>
          <w:color w:val="000000"/>
          <w:sz w:val="26"/>
          <w:szCs w:val="26"/>
        </w:rPr>
        <w:t xml:space="preserve">) on August 13, 2020. </w:t>
      </w:r>
      <w:r w:rsidRPr="00E37897">
        <w:rPr>
          <w:color w:val="000000"/>
          <w:sz w:val="26"/>
          <w:szCs w:val="26"/>
        </w:rPr>
        <w:t xml:space="preserve"> The Joint Petition was </w:t>
      </w:r>
      <w:r w:rsidR="007913A7" w:rsidRPr="00E37897">
        <w:rPr>
          <w:color w:val="000000"/>
          <w:sz w:val="26"/>
          <w:szCs w:val="26"/>
        </w:rPr>
        <w:t xml:space="preserve">executed by counsel for PECO, </w:t>
      </w:r>
      <w:r w:rsidR="009E2CBE" w:rsidRPr="00E37897">
        <w:rPr>
          <w:color w:val="000000"/>
          <w:sz w:val="26"/>
          <w:szCs w:val="26"/>
        </w:rPr>
        <w:t xml:space="preserve">the </w:t>
      </w:r>
      <w:r w:rsidR="007913A7" w:rsidRPr="00E37897">
        <w:rPr>
          <w:color w:val="000000"/>
          <w:sz w:val="26"/>
          <w:szCs w:val="26"/>
        </w:rPr>
        <w:t xml:space="preserve">OCA, </w:t>
      </w:r>
      <w:r w:rsidR="009E2CBE" w:rsidRPr="00E37897">
        <w:rPr>
          <w:color w:val="000000"/>
          <w:sz w:val="26"/>
          <w:szCs w:val="26"/>
        </w:rPr>
        <w:t xml:space="preserve">the </w:t>
      </w:r>
      <w:r w:rsidR="007913A7" w:rsidRPr="00E37897">
        <w:rPr>
          <w:color w:val="000000"/>
          <w:sz w:val="26"/>
          <w:szCs w:val="26"/>
        </w:rPr>
        <w:t xml:space="preserve">OSBA, CAUSE-PA, Calpine, PAIEUG, TURN </w:t>
      </w:r>
      <w:r w:rsidR="007913A7" w:rsidRPr="00E37897">
        <w:rPr>
          <w:i/>
          <w:color w:val="000000"/>
          <w:sz w:val="26"/>
          <w:szCs w:val="26"/>
        </w:rPr>
        <w:t>et al.</w:t>
      </w:r>
      <w:r w:rsidR="009E2CBE" w:rsidRPr="00E37897">
        <w:rPr>
          <w:iCs/>
          <w:color w:val="000000"/>
          <w:sz w:val="26"/>
          <w:szCs w:val="26"/>
        </w:rPr>
        <w:t>,</w:t>
      </w:r>
      <w:r w:rsidR="007913A7" w:rsidRPr="00E37897">
        <w:rPr>
          <w:i/>
          <w:color w:val="000000"/>
          <w:sz w:val="26"/>
          <w:szCs w:val="26"/>
        </w:rPr>
        <w:t xml:space="preserve"> </w:t>
      </w:r>
      <w:r w:rsidR="007913A7" w:rsidRPr="00E37897">
        <w:rPr>
          <w:color w:val="000000"/>
          <w:sz w:val="26"/>
          <w:szCs w:val="26"/>
        </w:rPr>
        <w:t>and the Electric Supplier Coalition</w:t>
      </w:r>
      <w:r w:rsidR="009E2CBE" w:rsidRPr="00E37897">
        <w:rPr>
          <w:color w:val="000000"/>
          <w:sz w:val="26"/>
          <w:szCs w:val="26"/>
        </w:rPr>
        <w:t xml:space="preserve">.  The Joint Petitioners </w:t>
      </w:r>
      <w:r w:rsidR="00B5642B" w:rsidRPr="00E37897">
        <w:rPr>
          <w:color w:val="000000"/>
          <w:sz w:val="26"/>
          <w:szCs w:val="26"/>
        </w:rPr>
        <w:t>each</w:t>
      </w:r>
      <w:r w:rsidR="007913A7" w:rsidRPr="00E37897">
        <w:rPr>
          <w:color w:val="000000"/>
          <w:sz w:val="26"/>
          <w:szCs w:val="26"/>
        </w:rPr>
        <w:t xml:space="preserve"> filed Statements in Support of the Joint Petition. The Joint Petitioners explained that they had reserved two issues for briefing, which involve</w:t>
      </w:r>
      <w:r w:rsidR="00681B21" w:rsidRPr="00E37897">
        <w:rPr>
          <w:color w:val="000000"/>
          <w:sz w:val="26"/>
          <w:szCs w:val="26"/>
        </w:rPr>
        <w:t>d the following:</w:t>
      </w:r>
      <w:r w:rsidR="007913A7" w:rsidRPr="00E37897">
        <w:rPr>
          <w:color w:val="000000"/>
          <w:sz w:val="26"/>
          <w:szCs w:val="26"/>
        </w:rPr>
        <w:t xml:space="preserve"> (1) the allocation of the costs PECO incurs to implement new time-of-use (TOU) default service rate options, and (2) changes to the current assignment of responsibility for PJM Interconnection, L.L.C. (PJM) charges for Network Integration Transmission Service (NITS) from all load-serving entities to PECO</w:t>
      </w:r>
      <w:r w:rsidR="00E43148" w:rsidRPr="00E37897">
        <w:rPr>
          <w:color w:val="000000"/>
          <w:sz w:val="26"/>
          <w:szCs w:val="26"/>
        </w:rPr>
        <w:t>,</w:t>
      </w:r>
      <w:r w:rsidR="007913A7" w:rsidRPr="00E37897">
        <w:rPr>
          <w:color w:val="000000"/>
          <w:sz w:val="26"/>
          <w:szCs w:val="26"/>
        </w:rPr>
        <w:t xml:space="preserve"> as </w:t>
      </w:r>
      <w:r w:rsidR="00E43148" w:rsidRPr="00E37897">
        <w:rPr>
          <w:color w:val="000000"/>
          <w:sz w:val="26"/>
          <w:szCs w:val="26"/>
        </w:rPr>
        <w:t xml:space="preserve">the Electric Supplier Coalition </w:t>
      </w:r>
      <w:r w:rsidR="007913A7" w:rsidRPr="00E37897">
        <w:rPr>
          <w:color w:val="000000"/>
          <w:sz w:val="26"/>
          <w:szCs w:val="26"/>
        </w:rPr>
        <w:t>proposed.</w:t>
      </w:r>
      <w:r w:rsidR="00E43148" w:rsidRPr="00E37897">
        <w:rPr>
          <w:color w:val="000000"/>
          <w:sz w:val="26"/>
          <w:szCs w:val="26"/>
        </w:rPr>
        <w:t xml:space="preserve">  </w:t>
      </w:r>
    </w:p>
    <w:p w14:paraId="7D20F5EE" w14:textId="77777777" w:rsidR="00E43148" w:rsidRPr="00E37897" w:rsidRDefault="00E43148" w:rsidP="005F3BE2">
      <w:pPr>
        <w:widowControl/>
        <w:spacing w:line="360" w:lineRule="auto"/>
        <w:ind w:firstLine="1440"/>
        <w:contextualSpacing/>
        <w:textAlignment w:val="baseline"/>
        <w:rPr>
          <w:color w:val="000000"/>
          <w:sz w:val="26"/>
          <w:szCs w:val="26"/>
        </w:rPr>
      </w:pPr>
    </w:p>
    <w:p w14:paraId="51C2E1B2" w14:textId="3076E2A1" w:rsidR="007913A7" w:rsidRPr="00E37897" w:rsidRDefault="007913A7" w:rsidP="005F3BE2">
      <w:pPr>
        <w:widowControl/>
        <w:spacing w:line="360" w:lineRule="auto"/>
        <w:ind w:right="72" w:firstLine="1584"/>
        <w:contextualSpacing/>
        <w:textAlignment w:val="baseline"/>
        <w:rPr>
          <w:color w:val="000000"/>
          <w:sz w:val="26"/>
          <w:szCs w:val="26"/>
        </w:rPr>
      </w:pPr>
      <w:r w:rsidRPr="00E37897">
        <w:rPr>
          <w:color w:val="000000"/>
          <w:sz w:val="26"/>
          <w:szCs w:val="26"/>
        </w:rPr>
        <w:t>On August 14, 2020, StateWise submitted a letter of non-opposition to the Joint Petition.</w:t>
      </w:r>
    </w:p>
    <w:p w14:paraId="6251C928" w14:textId="77777777" w:rsidR="001324E1" w:rsidRPr="00E37897" w:rsidRDefault="001324E1" w:rsidP="005F3BE2">
      <w:pPr>
        <w:widowControl/>
        <w:spacing w:line="360" w:lineRule="auto"/>
        <w:ind w:right="504" w:firstLine="1440"/>
        <w:contextualSpacing/>
        <w:textAlignment w:val="baseline"/>
        <w:rPr>
          <w:color w:val="000000"/>
          <w:spacing w:val="-1"/>
          <w:sz w:val="26"/>
          <w:szCs w:val="26"/>
        </w:rPr>
      </w:pPr>
    </w:p>
    <w:p w14:paraId="63676276" w14:textId="4C956793" w:rsidR="007913A7" w:rsidRPr="00E37897" w:rsidRDefault="007913A7" w:rsidP="005F3BE2">
      <w:pPr>
        <w:widowControl/>
        <w:spacing w:line="360" w:lineRule="auto"/>
        <w:ind w:right="504" w:firstLine="1440"/>
        <w:contextualSpacing/>
        <w:textAlignment w:val="baseline"/>
        <w:rPr>
          <w:color w:val="000000"/>
          <w:sz w:val="26"/>
          <w:szCs w:val="26"/>
        </w:rPr>
      </w:pPr>
      <w:r w:rsidRPr="00E37897">
        <w:rPr>
          <w:color w:val="000000"/>
          <w:spacing w:val="-1"/>
          <w:sz w:val="26"/>
          <w:szCs w:val="26"/>
        </w:rPr>
        <w:t xml:space="preserve">By e-mail dated August 20, 2020, counsel for </w:t>
      </w:r>
      <w:r w:rsidR="001324E1" w:rsidRPr="00E37897">
        <w:rPr>
          <w:color w:val="000000"/>
          <w:spacing w:val="-1"/>
          <w:sz w:val="26"/>
          <w:szCs w:val="26"/>
        </w:rPr>
        <w:t xml:space="preserve">the </w:t>
      </w:r>
      <w:r w:rsidRPr="00E37897">
        <w:rPr>
          <w:color w:val="000000"/>
          <w:spacing w:val="-1"/>
          <w:sz w:val="26"/>
          <w:szCs w:val="26"/>
        </w:rPr>
        <w:t xml:space="preserve">OCA informed </w:t>
      </w:r>
      <w:r w:rsidR="001324E1" w:rsidRPr="00E37897">
        <w:rPr>
          <w:color w:val="000000"/>
          <w:spacing w:val="-1"/>
          <w:sz w:val="26"/>
          <w:szCs w:val="26"/>
        </w:rPr>
        <w:t>the ALJ</w:t>
      </w:r>
      <w:r w:rsidRPr="00E37897">
        <w:rPr>
          <w:color w:val="000000"/>
          <w:spacing w:val="-1"/>
          <w:sz w:val="26"/>
          <w:szCs w:val="26"/>
        </w:rPr>
        <w:t xml:space="preserve"> that PECO, </w:t>
      </w:r>
      <w:r w:rsidR="00DD11AD" w:rsidRPr="00E37897">
        <w:rPr>
          <w:color w:val="000000"/>
          <w:spacing w:val="-1"/>
          <w:sz w:val="26"/>
          <w:szCs w:val="26"/>
        </w:rPr>
        <w:t xml:space="preserve">the </w:t>
      </w:r>
      <w:r w:rsidRPr="00E37897">
        <w:rPr>
          <w:color w:val="000000"/>
          <w:spacing w:val="-1"/>
          <w:sz w:val="26"/>
          <w:szCs w:val="26"/>
        </w:rPr>
        <w:t>OCA</w:t>
      </w:r>
      <w:r w:rsidR="00DD11AD" w:rsidRPr="00E37897">
        <w:rPr>
          <w:color w:val="000000"/>
          <w:spacing w:val="-1"/>
          <w:sz w:val="26"/>
          <w:szCs w:val="26"/>
        </w:rPr>
        <w:t>,</w:t>
      </w:r>
      <w:r w:rsidRPr="00E37897">
        <w:rPr>
          <w:color w:val="000000"/>
          <w:spacing w:val="-1"/>
          <w:sz w:val="26"/>
          <w:szCs w:val="26"/>
        </w:rPr>
        <w:t xml:space="preserve"> and </w:t>
      </w:r>
      <w:r w:rsidR="00DD11AD" w:rsidRPr="00E37897">
        <w:rPr>
          <w:color w:val="000000"/>
          <w:spacing w:val="-1"/>
          <w:sz w:val="26"/>
          <w:szCs w:val="26"/>
        </w:rPr>
        <w:t xml:space="preserve">the </w:t>
      </w:r>
      <w:r w:rsidRPr="00E37897">
        <w:rPr>
          <w:color w:val="000000"/>
          <w:spacing w:val="-1"/>
          <w:sz w:val="26"/>
          <w:szCs w:val="26"/>
        </w:rPr>
        <w:t>OSBA had resolved the issue of how the costs PECO incurs to implement its new TOU rates should be allocated to Residential and Small Commercial procurement classes.</w:t>
      </w:r>
      <w:r w:rsidR="00DD11AD" w:rsidRPr="00E37897">
        <w:rPr>
          <w:color w:val="000000"/>
          <w:spacing w:val="-1"/>
          <w:sz w:val="26"/>
          <w:szCs w:val="26"/>
        </w:rPr>
        <w:t xml:space="preserve">  </w:t>
      </w:r>
      <w:r w:rsidRPr="00E37897">
        <w:rPr>
          <w:color w:val="000000"/>
          <w:sz w:val="26"/>
          <w:szCs w:val="26"/>
        </w:rPr>
        <w:t xml:space="preserve">PECO, </w:t>
      </w:r>
      <w:r w:rsidR="002A2102" w:rsidRPr="00E37897">
        <w:rPr>
          <w:color w:val="000000"/>
          <w:sz w:val="26"/>
          <w:szCs w:val="26"/>
        </w:rPr>
        <w:t xml:space="preserve">the </w:t>
      </w:r>
      <w:r w:rsidRPr="00E37897">
        <w:rPr>
          <w:color w:val="000000"/>
          <w:sz w:val="26"/>
          <w:szCs w:val="26"/>
        </w:rPr>
        <w:t xml:space="preserve">OCA and </w:t>
      </w:r>
      <w:r w:rsidR="002A2102" w:rsidRPr="00E37897">
        <w:rPr>
          <w:color w:val="000000"/>
          <w:sz w:val="26"/>
          <w:szCs w:val="26"/>
        </w:rPr>
        <w:t xml:space="preserve">the </w:t>
      </w:r>
      <w:r w:rsidRPr="00E37897">
        <w:rPr>
          <w:color w:val="000000"/>
          <w:sz w:val="26"/>
          <w:szCs w:val="26"/>
        </w:rPr>
        <w:t>OSBA were the only parties litigating this issue</w:t>
      </w:r>
      <w:r w:rsidR="002A2102" w:rsidRPr="00E37897">
        <w:rPr>
          <w:color w:val="000000"/>
          <w:sz w:val="26"/>
          <w:szCs w:val="26"/>
        </w:rPr>
        <w:t>,</w:t>
      </w:r>
      <w:r w:rsidRPr="00E37897">
        <w:rPr>
          <w:color w:val="000000"/>
          <w:sz w:val="26"/>
          <w:szCs w:val="26"/>
        </w:rPr>
        <w:t xml:space="preserve"> and they expected to file an unopposed settlement of T</w:t>
      </w:r>
      <w:r w:rsidR="00A65786" w:rsidRPr="00E37897">
        <w:rPr>
          <w:color w:val="000000"/>
          <w:sz w:val="26"/>
          <w:szCs w:val="26"/>
        </w:rPr>
        <w:t>O</w:t>
      </w:r>
      <w:r w:rsidRPr="00E37897">
        <w:rPr>
          <w:color w:val="000000"/>
          <w:sz w:val="26"/>
          <w:szCs w:val="26"/>
        </w:rPr>
        <w:t>U cost allocation by September 8, 2020.</w:t>
      </w:r>
      <w:r w:rsidR="002A2102" w:rsidRPr="00E37897">
        <w:rPr>
          <w:color w:val="000000"/>
          <w:sz w:val="26"/>
          <w:szCs w:val="26"/>
        </w:rPr>
        <w:t xml:space="preserve">  R.D. at 7-8.  </w:t>
      </w:r>
    </w:p>
    <w:p w14:paraId="6C1B2C40" w14:textId="77777777" w:rsidR="002A2102" w:rsidRPr="00E37897" w:rsidRDefault="002A2102" w:rsidP="005F3BE2">
      <w:pPr>
        <w:widowControl/>
        <w:spacing w:line="360" w:lineRule="auto"/>
        <w:ind w:right="504" w:firstLine="1584"/>
        <w:contextualSpacing/>
        <w:textAlignment w:val="baseline"/>
        <w:rPr>
          <w:color w:val="000000"/>
          <w:sz w:val="26"/>
          <w:szCs w:val="26"/>
        </w:rPr>
      </w:pPr>
    </w:p>
    <w:p w14:paraId="103940C1" w14:textId="770590A0" w:rsidR="007913A7" w:rsidRPr="00E37897" w:rsidRDefault="002D0018" w:rsidP="005F3BE2">
      <w:pPr>
        <w:widowControl/>
        <w:spacing w:line="360" w:lineRule="auto"/>
        <w:ind w:right="504" w:firstLine="1584"/>
        <w:contextualSpacing/>
        <w:textAlignment w:val="baseline"/>
        <w:rPr>
          <w:color w:val="000000"/>
          <w:sz w:val="26"/>
          <w:szCs w:val="26"/>
        </w:rPr>
      </w:pPr>
      <w:r w:rsidRPr="00E37897">
        <w:rPr>
          <w:color w:val="000000"/>
          <w:sz w:val="26"/>
          <w:szCs w:val="26"/>
        </w:rPr>
        <w:t>Also o</w:t>
      </w:r>
      <w:r w:rsidR="007913A7" w:rsidRPr="00E37897">
        <w:rPr>
          <w:color w:val="000000"/>
          <w:sz w:val="26"/>
          <w:szCs w:val="26"/>
        </w:rPr>
        <w:t xml:space="preserve">n August 20, 2020, PECO, PAIEUG, Calpine, the Electric Supplier Coalition, and the Environmental Stakeholders filed Main Briefs. </w:t>
      </w:r>
      <w:r w:rsidRPr="00E37897">
        <w:rPr>
          <w:color w:val="000000"/>
          <w:sz w:val="26"/>
          <w:szCs w:val="26"/>
        </w:rPr>
        <w:t xml:space="preserve"> </w:t>
      </w:r>
    </w:p>
    <w:p w14:paraId="2B8A514C" w14:textId="77777777" w:rsidR="00A65786" w:rsidRPr="00E37897" w:rsidRDefault="00A65786" w:rsidP="005F3BE2">
      <w:pPr>
        <w:widowControl/>
        <w:spacing w:line="360" w:lineRule="auto"/>
        <w:ind w:right="504" w:firstLine="1584"/>
        <w:contextualSpacing/>
        <w:textAlignment w:val="baseline"/>
        <w:rPr>
          <w:color w:val="000000"/>
          <w:sz w:val="26"/>
          <w:szCs w:val="26"/>
        </w:rPr>
      </w:pPr>
    </w:p>
    <w:p w14:paraId="7F75F790" w14:textId="4A8C242F" w:rsidR="007913A7" w:rsidRDefault="007913A7" w:rsidP="005F3BE2">
      <w:pPr>
        <w:widowControl/>
        <w:spacing w:line="360" w:lineRule="auto"/>
        <w:ind w:right="216" w:firstLine="1440"/>
        <w:contextualSpacing/>
        <w:textAlignment w:val="baseline"/>
        <w:rPr>
          <w:color w:val="000000"/>
          <w:sz w:val="26"/>
          <w:szCs w:val="26"/>
        </w:rPr>
      </w:pPr>
      <w:r w:rsidRPr="00E37897">
        <w:rPr>
          <w:color w:val="000000"/>
          <w:sz w:val="26"/>
          <w:szCs w:val="26"/>
        </w:rPr>
        <w:t xml:space="preserve">On September 8, 2020, </w:t>
      </w:r>
      <w:r w:rsidR="002D0018" w:rsidRPr="00E37897">
        <w:rPr>
          <w:color w:val="000000"/>
          <w:sz w:val="26"/>
          <w:szCs w:val="26"/>
        </w:rPr>
        <w:t xml:space="preserve">the </w:t>
      </w:r>
      <w:r w:rsidRPr="00E37897">
        <w:rPr>
          <w:color w:val="000000"/>
          <w:sz w:val="26"/>
          <w:szCs w:val="26"/>
        </w:rPr>
        <w:t xml:space="preserve">OCA and </w:t>
      </w:r>
      <w:r w:rsidR="002D0018" w:rsidRPr="00E37897">
        <w:rPr>
          <w:color w:val="000000"/>
          <w:sz w:val="26"/>
          <w:szCs w:val="26"/>
        </w:rPr>
        <w:t xml:space="preserve">the </w:t>
      </w:r>
      <w:r w:rsidRPr="00E37897">
        <w:rPr>
          <w:color w:val="000000"/>
          <w:sz w:val="26"/>
          <w:szCs w:val="26"/>
        </w:rPr>
        <w:t>OSBA filed the Partial Settlement of Time of Use Cost Allocation (TOU Settlement)</w:t>
      </w:r>
      <w:r w:rsidR="00A65786" w:rsidRPr="00E37897">
        <w:rPr>
          <w:color w:val="000000"/>
          <w:sz w:val="26"/>
          <w:szCs w:val="26"/>
        </w:rPr>
        <w:t>,</w:t>
      </w:r>
      <w:r w:rsidRPr="00E37897">
        <w:rPr>
          <w:color w:val="000000"/>
          <w:sz w:val="26"/>
          <w:szCs w:val="26"/>
        </w:rPr>
        <w:t xml:space="preserve"> replacing the language </w:t>
      </w:r>
      <w:r w:rsidR="00A65786" w:rsidRPr="00E37897">
        <w:rPr>
          <w:color w:val="000000"/>
          <w:sz w:val="26"/>
          <w:szCs w:val="26"/>
        </w:rPr>
        <w:t>in</w:t>
      </w:r>
      <w:r w:rsidRPr="00E37897">
        <w:rPr>
          <w:color w:val="000000"/>
          <w:sz w:val="26"/>
          <w:szCs w:val="26"/>
        </w:rPr>
        <w:t xml:space="preserve"> Paragraph 60 in the Joint Petition. </w:t>
      </w:r>
      <w:r w:rsidR="00A65786" w:rsidRPr="00E37897">
        <w:rPr>
          <w:color w:val="000000"/>
          <w:sz w:val="26"/>
          <w:szCs w:val="26"/>
        </w:rPr>
        <w:t xml:space="preserve"> </w:t>
      </w:r>
      <w:r w:rsidR="00DE4BB2" w:rsidRPr="00E37897">
        <w:rPr>
          <w:color w:val="000000"/>
          <w:sz w:val="26"/>
          <w:szCs w:val="26"/>
        </w:rPr>
        <w:t xml:space="preserve">The </w:t>
      </w:r>
      <w:r w:rsidRPr="00E37897">
        <w:rPr>
          <w:color w:val="000000"/>
          <w:sz w:val="26"/>
          <w:szCs w:val="26"/>
        </w:rPr>
        <w:t>TOU Settlement indicates that neither PECO nor any other party in the proceeding object</w:t>
      </w:r>
      <w:r w:rsidR="00DE4BB2" w:rsidRPr="00E37897">
        <w:rPr>
          <w:color w:val="000000"/>
          <w:sz w:val="26"/>
          <w:szCs w:val="26"/>
        </w:rPr>
        <w:t>s</w:t>
      </w:r>
      <w:r w:rsidRPr="00E37897">
        <w:rPr>
          <w:color w:val="000000"/>
          <w:sz w:val="26"/>
          <w:szCs w:val="26"/>
        </w:rPr>
        <w:t xml:space="preserve"> to the new language </w:t>
      </w:r>
      <w:r w:rsidR="002C75FD" w:rsidRPr="00E37897">
        <w:rPr>
          <w:color w:val="000000"/>
          <w:sz w:val="26"/>
          <w:szCs w:val="26"/>
        </w:rPr>
        <w:t>in</w:t>
      </w:r>
      <w:r w:rsidRPr="00E37897">
        <w:rPr>
          <w:color w:val="000000"/>
          <w:sz w:val="26"/>
          <w:szCs w:val="26"/>
        </w:rPr>
        <w:t xml:space="preserve"> Paragraph 60 </w:t>
      </w:r>
      <w:r w:rsidR="002C75FD" w:rsidRPr="00E37897">
        <w:rPr>
          <w:color w:val="000000"/>
          <w:sz w:val="26"/>
          <w:szCs w:val="26"/>
        </w:rPr>
        <w:t>of</w:t>
      </w:r>
      <w:r w:rsidRPr="00E37897">
        <w:rPr>
          <w:color w:val="000000"/>
          <w:sz w:val="26"/>
          <w:szCs w:val="26"/>
        </w:rPr>
        <w:t xml:space="preserve"> the Joint </w:t>
      </w:r>
      <w:r w:rsidR="002C75FD" w:rsidRPr="00E37897">
        <w:rPr>
          <w:color w:val="000000"/>
          <w:sz w:val="26"/>
          <w:szCs w:val="26"/>
        </w:rPr>
        <w:t>Petition</w:t>
      </w:r>
      <w:r w:rsidRPr="00E37897">
        <w:rPr>
          <w:color w:val="000000"/>
          <w:sz w:val="26"/>
          <w:szCs w:val="26"/>
        </w:rPr>
        <w:t>.</w:t>
      </w:r>
    </w:p>
    <w:p w14:paraId="6BA74C24" w14:textId="0845378D" w:rsidR="007913A7" w:rsidRPr="00E37897" w:rsidRDefault="00393611" w:rsidP="005F3BE2">
      <w:pPr>
        <w:widowControl/>
        <w:spacing w:line="360" w:lineRule="auto"/>
        <w:ind w:right="72" w:firstLine="1440"/>
        <w:contextualSpacing/>
        <w:textAlignment w:val="baseline"/>
        <w:rPr>
          <w:color w:val="000000"/>
          <w:sz w:val="26"/>
          <w:szCs w:val="26"/>
        </w:rPr>
      </w:pPr>
      <w:proofErr w:type="gramStart"/>
      <w:r w:rsidRPr="00E37897">
        <w:rPr>
          <w:color w:val="000000"/>
          <w:sz w:val="26"/>
          <w:szCs w:val="26"/>
        </w:rPr>
        <w:lastRenderedPageBreak/>
        <w:t>Also</w:t>
      </w:r>
      <w:proofErr w:type="gramEnd"/>
      <w:r w:rsidRPr="00E37897">
        <w:rPr>
          <w:color w:val="000000"/>
          <w:sz w:val="26"/>
          <w:szCs w:val="26"/>
        </w:rPr>
        <w:t xml:space="preserve"> on September 8, 2020, </w:t>
      </w:r>
      <w:r w:rsidR="007913A7" w:rsidRPr="00E37897">
        <w:rPr>
          <w:color w:val="000000"/>
          <w:sz w:val="26"/>
          <w:szCs w:val="26"/>
        </w:rPr>
        <w:t>PECO, PAIEUG, Calpine, the Electric Supplier Coalition, and the Environmental Stakeholders</w:t>
      </w:r>
      <w:r w:rsidRPr="00E37897">
        <w:rPr>
          <w:color w:val="000000"/>
          <w:sz w:val="26"/>
          <w:szCs w:val="26"/>
        </w:rPr>
        <w:t xml:space="preserve"> filed Reply Briefs</w:t>
      </w:r>
      <w:r w:rsidR="007913A7" w:rsidRPr="00E37897">
        <w:rPr>
          <w:color w:val="000000"/>
          <w:sz w:val="26"/>
          <w:szCs w:val="26"/>
        </w:rPr>
        <w:t xml:space="preserve">. </w:t>
      </w:r>
    </w:p>
    <w:p w14:paraId="08509F2B" w14:textId="77777777" w:rsidR="00FC16E9" w:rsidRPr="00E37897" w:rsidRDefault="00FC16E9" w:rsidP="005F3BE2">
      <w:pPr>
        <w:widowControl/>
        <w:spacing w:line="360" w:lineRule="auto"/>
        <w:ind w:right="72" w:firstLine="1440"/>
        <w:contextualSpacing/>
        <w:textAlignment w:val="baseline"/>
        <w:rPr>
          <w:color w:val="000000"/>
          <w:sz w:val="26"/>
          <w:szCs w:val="26"/>
        </w:rPr>
      </w:pPr>
    </w:p>
    <w:p w14:paraId="0C20F299" w14:textId="34D27148" w:rsidR="007913A7" w:rsidRPr="00E37897" w:rsidRDefault="007913A7" w:rsidP="005F3BE2">
      <w:pPr>
        <w:widowControl/>
        <w:spacing w:line="360" w:lineRule="auto"/>
        <w:ind w:right="72" w:firstLine="1440"/>
        <w:contextualSpacing/>
        <w:textAlignment w:val="baseline"/>
        <w:rPr>
          <w:color w:val="000000"/>
          <w:sz w:val="26"/>
          <w:szCs w:val="26"/>
        </w:rPr>
      </w:pPr>
      <w:r w:rsidRPr="00E37897">
        <w:rPr>
          <w:color w:val="000000"/>
          <w:sz w:val="26"/>
          <w:szCs w:val="26"/>
        </w:rPr>
        <w:t xml:space="preserve">The record consists of a 470-page transcript; PECO’s Petition with attachments; the statements and exhibits of the </w:t>
      </w:r>
      <w:r w:rsidR="00393611" w:rsidRPr="00E37897">
        <w:rPr>
          <w:color w:val="000000"/>
          <w:sz w:val="26"/>
          <w:szCs w:val="26"/>
        </w:rPr>
        <w:t>P</w:t>
      </w:r>
      <w:r w:rsidRPr="00E37897">
        <w:rPr>
          <w:color w:val="000000"/>
          <w:sz w:val="26"/>
          <w:szCs w:val="26"/>
        </w:rPr>
        <w:t xml:space="preserve">arties; the Joint Petition </w:t>
      </w:r>
      <w:r w:rsidR="00986EAD" w:rsidRPr="00E37897">
        <w:rPr>
          <w:color w:val="000000"/>
          <w:sz w:val="26"/>
          <w:szCs w:val="26"/>
        </w:rPr>
        <w:t>f</w:t>
      </w:r>
      <w:r w:rsidRPr="00E37897">
        <w:rPr>
          <w:color w:val="000000"/>
          <w:sz w:val="26"/>
          <w:szCs w:val="26"/>
        </w:rPr>
        <w:t xml:space="preserve">or Partial Settlement with attachments; the Partial Settlement of Time of Use Cost Allocation; the Main Briefs </w:t>
      </w:r>
      <w:r w:rsidR="00986EAD" w:rsidRPr="00E37897">
        <w:rPr>
          <w:color w:val="000000"/>
          <w:sz w:val="26"/>
          <w:szCs w:val="26"/>
        </w:rPr>
        <w:t>and Reply Briefs</w:t>
      </w:r>
      <w:r w:rsidRPr="00E37897">
        <w:rPr>
          <w:color w:val="000000"/>
          <w:sz w:val="26"/>
          <w:szCs w:val="26"/>
        </w:rPr>
        <w:t xml:space="preserve">; </w:t>
      </w:r>
      <w:r w:rsidR="006449D6" w:rsidRPr="00E37897">
        <w:rPr>
          <w:color w:val="000000"/>
          <w:sz w:val="26"/>
          <w:szCs w:val="26"/>
        </w:rPr>
        <w:t xml:space="preserve">and </w:t>
      </w:r>
      <w:r w:rsidRPr="00E37897">
        <w:rPr>
          <w:color w:val="000000"/>
          <w:sz w:val="26"/>
          <w:szCs w:val="26"/>
        </w:rPr>
        <w:t xml:space="preserve">the letter from StateWise indicating that it did not oppose the </w:t>
      </w:r>
      <w:r w:rsidR="00301A62" w:rsidRPr="00E37897">
        <w:rPr>
          <w:color w:val="000000"/>
          <w:sz w:val="26"/>
          <w:szCs w:val="26"/>
        </w:rPr>
        <w:t>Joint Petition</w:t>
      </w:r>
      <w:r w:rsidRPr="00E37897">
        <w:rPr>
          <w:color w:val="000000"/>
          <w:sz w:val="26"/>
          <w:szCs w:val="26"/>
        </w:rPr>
        <w:t xml:space="preserve">. </w:t>
      </w:r>
      <w:r w:rsidR="001E2EC1" w:rsidRPr="00E37897">
        <w:rPr>
          <w:color w:val="000000"/>
          <w:sz w:val="26"/>
          <w:szCs w:val="26"/>
        </w:rPr>
        <w:t xml:space="preserve"> </w:t>
      </w:r>
      <w:r w:rsidRPr="00E37897">
        <w:rPr>
          <w:color w:val="000000"/>
          <w:sz w:val="26"/>
          <w:szCs w:val="26"/>
        </w:rPr>
        <w:t>The record closed on September 8, 2020.</w:t>
      </w:r>
    </w:p>
    <w:p w14:paraId="063CFAAF" w14:textId="6C69C2A5" w:rsidR="001E2EC1" w:rsidRPr="00E37897" w:rsidRDefault="001E2EC1" w:rsidP="005F3BE2">
      <w:pPr>
        <w:widowControl/>
        <w:spacing w:line="360" w:lineRule="auto"/>
        <w:ind w:right="72" w:firstLine="1440"/>
        <w:contextualSpacing/>
        <w:textAlignment w:val="baseline"/>
        <w:rPr>
          <w:color w:val="000000"/>
          <w:sz w:val="26"/>
          <w:szCs w:val="26"/>
        </w:rPr>
      </w:pPr>
    </w:p>
    <w:p w14:paraId="305D2130" w14:textId="68B538F1" w:rsidR="001E2EC1" w:rsidRPr="00E37897" w:rsidRDefault="004E7D0D" w:rsidP="005F3BE2">
      <w:pPr>
        <w:widowControl/>
        <w:spacing w:line="360" w:lineRule="auto"/>
        <w:ind w:right="72" w:firstLine="1440"/>
        <w:contextualSpacing/>
        <w:textAlignment w:val="baseline"/>
        <w:rPr>
          <w:color w:val="000000"/>
          <w:sz w:val="26"/>
          <w:szCs w:val="26"/>
        </w:rPr>
      </w:pPr>
      <w:r w:rsidRPr="00E37897">
        <w:rPr>
          <w:color w:val="000000"/>
          <w:sz w:val="26"/>
          <w:szCs w:val="26"/>
        </w:rPr>
        <w:t xml:space="preserve">In the Recommended Decision, served on October 20, 2020, </w:t>
      </w:r>
      <w:r w:rsidR="0067341F" w:rsidRPr="00E37897">
        <w:rPr>
          <w:color w:val="000000"/>
          <w:sz w:val="26"/>
          <w:szCs w:val="26"/>
        </w:rPr>
        <w:t>the ALJ</w:t>
      </w:r>
      <w:r w:rsidR="00F8550B" w:rsidRPr="00E37897">
        <w:rPr>
          <w:color w:val="000000"/>
          <w:sz w:val="26"/>
          <w:szCs w:val="26"/>
        </w:rPr>
        <w:t xml:space="preserve">, </w:t>
      </w:r>
      <w:r w:rsidR="00F8550B" w:rsidRPr="00E37897">
        <w:rPr>
          <w:i/>
          <w:iCs/>
          <w:color w:val="000000"/>
          <w:sz w:val="26"/>
          <w:szCs w:val="26"/>
        </w:rPr>
        <w:t>inter</w:t>
      </w:r>
      <w:r w:rsidR="008A78C3" w:rsidRPr="00E37897">
        <w:rPr>
          <w:color w:val="000000"/>
          <w:sz w:val="26"/>
          <w:szCs w:val="26"/>
        </w:rPr>
        <w:t xml:space="preserve"> </w:t>
      </w:r>
      <w:r w:rsidR="008A78C3" w:rsidRPr="00E37897">
        <w:rPr>
          <w:i/>
          <w:iCs/>
          <w:color w:val="000000"/>
          <w:sz w:val="26"/>
          <w:szCs w:val="26"/>
        </w:rPr>
        <w:t>alia</w:t>
      </w:r>
      <w:r w:rsidR="008A78C3" w:rsidRPr="00E37897">
        <w:rPr>
          <w:color w:val="000000"/>
          <w:sz w:val="26"/>
          <w:szCs w:val="26"/>
        </w:rPr>
        <w:t>,</w:t>
      </w:r>
      <w:r w:rsidR="00F8550B" w:rsidRPr="00E37897">
        <w:rPr>
          <w:color w:val="000000"/>
          <w:sz w:val="26"/>
          <w:szCs w:val="26"/>
        </w:rPr>
        <w:t xml:space="preserve"> </w:t>
      </w:r>
      <w:r w:rsidR="003F0928" w:rsidRPr="00E37897">
        <w:rPr>
          <w:color w:val="000000"/>
          <w:sz w:val="26"/>
          <w:szCs w:val="26"/>
        </w:rPr>
        <w:t xml:space="preserve">approved </w:t>
      </w:r>
      <w:r w:rsidR="003C43EE" w:rsidRPr="00E37897">
        <w:rPr>
          <w:color w:val="000000"/>
          <w:sz w:val="26"/>
          <w:szCs w:val="26"/>
        </w:rPr>
        <w:t>the Joint Petition</w:t>
      </w:r>
      <w:r w:rsidR="00E17849" w:rsidRPr="00E37897">
        <w:rPr>
          <w:color w:val="000000"/>
          <w:sz w:val="26"/>
          <w:szCs w:val="26"/>
        </w:rPr>
        <w:t>, as amended by the TOU Settlement</w:t>
      </w:r>
      <w:r w:rsidR="002F1C7F" w:rsidRPr="00E37897">
        <w:rPr>
          <w:color w:val="000000"/>
          <w:sz w:val="26"/>
          <w:szCs w:val="26"/>
        </w:rPr>
        <w:t>, without modification.</w:t>
      </w:r>
      <w:r w:rsidR="00A42066" w:rsidRPr="00E37897">
        <w:rPr>
          <w:color w:val="000000"/>
          <w:sz w:val="26"/>
          <w:szCs w:val="26"/>
        </w:rPr>
        <w:t xml:space="preserve">  The ALJ </w:t>
      </w:r>
      <w:r w:rsidR="00377652" w:rsidRPr="00E37897">
        <w:rPr>
          <w:color w:val="000000"/>
          <w:sz w:val="26"/>
          <w:szCs w:val="26"/>
        </w:rPr>
        <w:t>also denied the Electric Supplier</w:t>
      </w:r>
      <w:r w:rsidR="00F10A23" w:rsidRPr="00E37897">
        <w:rPr>
          <w:color w:val="000000"/>
          <w:sz w:val="26"/>
          <w:szCs w:val="26"/>
        </w:rPr>
        <w:t xml:space="preserve"> Coalition’s proposal to include PJM charges for </w:t>
      </w:r>
      <w:r w:rsidR="00816437" w:rsidRPr="00E37897">
        <w:rPr>
          <w:color w:val="000000"/>
          <w:sz w:val="26"/>
          <w:szCs w:val="26"/>
        </w:rPr>
        <w:t>NITS in PECO’s Non-Bypassable</w:t>
      </w:r>
      <w:r w:rsidR="00D67632" w:rsidRPr="00E37897">
        <w:rPr>
          <w:color w:val="000000"/>
          <w:sz w:val="26"/>
          <w:szCs w:val="26"/>
        </w:rPr>
        <w:t xml:space="preserve"> Transmission Charge.  </w:t>
      </w:r>
      <w:r w:rsidR="002F1C7F" w:rsidRPr="00E37897">
        <w:rPr>
          <w:color w:val="000000"/>
          <w:sz w:val="26"/>
          <w:szCs w:val="26"/>
        </w:rPr>
        <w:t xml:space="preserve">  </w:t>
      </w:r>
    </w:p>
    <w:p w14:paraId="7DD60BDC" w14:textId="394318D4" w:rsidR="00D94D5B" w:rsidRPr="00E37897" w:rsidRDefault="00D94D5B" w:rsidP="005F3BE2">
      <w:pPr>
        <w:widowControl/>
        <w:spacing w:line="360" w:lineRule="auto"/>
        <w:contextualSpacing/>
        <w:rPr>
          <w:sz w:val="26"/>
          <w:szCs w:val="26"/>
        </w:rPr>
      </w:pPr>
    </w:p>
    <w:p w14:paraId="3FE4C52C" w14:textId="018ABF89" w:rsidR="007D3CA6" w:rsidRPr="00E37897" w:rsidRDefault="00FB5A0E" w:rsidP="005F3BE2">
      <w:pPr>
        <w:widowControl/>
        <w:spacing w:line="360" w:lineRule="auto"/>
        <w:contextualSpacing/>
        <w:rPr>
          <w:sz w:val="26"/>
          <w:szCs w:val="26"/>
        </w:rPr>
      </w:pPr>
      <w:r w:rsidRPr="00E37897">
        <w:rPr>
          <w:sz w:val="26"/>
          <w:szCs w:val="26"/>
        </w:rPr>
        <w:tab/>
      </w:r>
      <w:r w:rsidRPr="00E37897">
        <w:rPr>
          <w:sz w:val="26"/>
          <w:szCs w:val="26"/>
        </w:rPr>
        <w:tab/>
        <w:t>As previou</w:t>
      </w:r>
      <w:r w:rsidR="00C61AD5" w:rsidRPr="00E37897">
        <w:rPr>
          <w:sz w:val="26"/>
          <w:szCs w:val="26"/>
        </w:rPr>
        <w:t>s</w:t>
      </w:r>
      <w:r w:rsidRPr="00E37897">
        <w:rPr>
          <w:sz w:val="26"/>
          <w:szCs w:val="26"/>
        </w:rPr>
        <w:t>ly</w:t>
      </w:r>
      <w:r w:rsidR="00C61AD5" w:rsidRPr="00E37897">
        <w:rPr>
          <w:sz w:val="26"/>
          <w:szCs w:val="26"/>
        </w:rPr>
        <w:t xml:space="preserve"> indicated, </w:t>
      </w:r>
      <w:r w:rsidR="007D3CA6" w:rsidRPr="00E37897">
        <w:rPr>
          <w:sz w:val="26"/>
          <w:szCs w:val="26"/>
        </w:rPr>
        <w:t xml:space="preserve">the Electric Supplier Coalition filed </w:t>
      </w:r>
      <w:r w:rsidR="008C2439" w:rsidRPr="00E37897">
        <w:rPr>
          <w:sz w:val="26"/>
          <w:szCs w:val="26"/>
        </w:rPr>
        <w:t>Exceptions</w:t>
      </w:r>
      <w:r w:rsidR="00135F82" w:rsidRPr="00E37897">
        <w:rPr>
          <w:sz w:val="26"/>
          <w:szCs w:val="26"/>
        </w:rPr>
        <w:t xml:space="preserve"> and</w:t>
      </w:r>
      <w:r w:rsidR="007D3CA6" w:rsidRPr="00E37897">
        <w:rPr>
          <w:sz w:val="26"/>
          <w:szCs w:val="26"/>
        </w:rPr>
        <w:t xml:space="preserve"> PECO</w:t>
      </w:r>
      <w:r w:rsidR="000F6D3B" w:rsidRPr="00E37897">
        <w:rPr>
          <w:sz w:val="26"/>
          <w:szCs w:val="26"/>
        </w:rPr>
        <w:t xml:space="preserve">, </w:t>
      </w:r>
      <w:r w:rsidR="007D3CA6" w:rsidRPr="00E37897">
        <w:rPr>
          <w:sz w:val="26"/>
          <w:szCs w:val="26"/>
        </w:rPr>
        <w:t>PAIEUG</w:t>
      </w:r>
      <w:r w:rsidR="000F6D3B" w:rsidRPr="00E37897">
        <w:rPr>
          <w:sz w:val="26"/>
          <w:szCs w:val="26"/>
        </w:rPr>
        <w:t>,</w:t>
      </w:r>
      <w:r w:rsidR="007D3CA6" w:rsidRPr="00E37897">
        <w:rPr>
          <w:sz w:val="26"/>
          <w:szCs w:val="26"/>
        </w:rPr>
        <w:t xml:space="preserve"> and Calpine filed Replies to Exceptions.    </w:t>
      </w:r>
    </w:p>
    <w:p w14:paraId="466D09A4" w14:textId="77777777" w:rsidR="007D3CA6" w:rsidRPr="00E37897" w:rsidRDefault="007D3CA6" w:rsidP="005F3BE2">
      <w:pPr>
        <w:widowControl/>
        <w:spacing w:line="360" w:lineRule="auto"/>
        <w:contextualSpacing/>
        <w:rPr>
          <w:sz w:val="26"/>
          <w:szCs w:val="26"/>
        </w:rPr>
      </w:pPr>
    </w:p>
    <w:p w14:paraId="1791E37F" w14:textId="089DD4CC" w:rsidR="00315708" w:rsidRPr="00E37897" w:rsidRDefault="006F7D6F" w:rsidP="005F3BE2">
      <w:pPr>
        <w:pStyle w:val="Heading1"/>
        <w:keepNext/>
        <w:spacing w:after="0"/>
        <w:ind w:left="720" w:hanging="720"/>
        <w:contextualSpacing/>
        <w:jc w:val="center"/>
        <w:rPr>
          <w:caps w:val="0"/>
          <w:sz w:val="26"/>
          <w:szCs w:val="26"/>
          <w:u w:val="none"/>
        </w:rPr>
      </w:pPr>
      <w:bookmarkStart w:id="3" w:name="_Toc56512751"/>
      <w:r w:rsidRPr="00E37897">
        <w:rPr>
          <w:caps w:val="0"/>
          <w:sz w:val="26"/>
          <w:szCs w:val="26"/>
          <w:u w:val="none"/>
        </w:rPr>
        <w:t>I</w:t>
      </w:r>
      <w:r w:rsidR="00CB643E">
        <w:rPr>
          <w:caps w:val="0"/>
          <w:sz w:val="26"/>
          <w:szCs w:val="26"/>
          <w:u w:val="none"/>
        </w:rPr>
        <w:t>II</w:t>
      </w:r>
      <w:r w:rsidR="00315708" w:rsidRPr="00E37897">
        <w:rPr>
          <w:caps w:val="0"/>
          <w:sz w:val="26"/>
          <w:szCs w:val="26"/>
          <w:u w:val="none"/>
        </w:rPr>
        <w:t>.</w:t>
      </w:r>
      <w:r w:rsidR="00315708" w:rsidRPr="00E37897">
        <w:rPr>
          <w:caps w:val="0"/>
          <w:sz w:val="26"/>
          <w:szCs w:val="26"/>
          <w:u w:val="none"/>
        </w:rPr>
        <w:tab/>
        <w:t>Legal Standards</w:t>
      </w:r>
      <w:bookmarkEnd w:id="3"/>
    </w:p>
    <w:p w14:paraId="52D13A41" w14:textId="77777777" w:rsidR="00315708" w:rsidRPr="00E37897" w:rsidRDefault="00315708" w:rsidP="005F3BE2">
      <w:pPr>
        <w:keepNext/>
        <w:keepLines/>
        <w:widowControl/>
        <w:spacing w:line="360" w:lineRule="auto"/>
        <w:contextualSpacing/>
        <w:rPr>
          <w:b/>
          <w:color w:val="252525"/>
          <w:sz w:val="26"/>
          <w:szCs w:val="26"/>
        </w:rPr>
      </w:pPr>
    </w:p>
    <w:p w14:paraId="3FB4B584" w14:textId="77777777" w:rsidR="00315708" w:rsidRPr="00E37897" w:rsidRDefault="00315708" w:rsidP="005F3BE2">
      <w:pPr>
        <w:pStyle w:val="Heading2"/>
        <w:keepNext/>
        <w:spacing w:after="0"/>
        <w:ind w:left="720" w:hanging="720"/>
        <w:contextualSpacing/>
        <w:jc w:val="left"/>
        <w:rPr>
          <w:caps w:val="0"/>
          <w:sz w:val="26"/>
          <w:szCs w:val="26"/>
        </w:rPr>
      </w:pPr>
      <w:bookmarkStart w:id="4" w:name="_Toc56512752"/>
      <w:r w:rsidRPr="00E37897">
        <w:rPr>
          <w:caps w:val="0"/>
          <w:sz w:val="26"/>
          <w:szCs w:val="26"/>
        </w:rPr>
        <w:t>A.</w:t>
      </w:r>
      <w:r w:rsidRPr="00E37897">
        <w:rPr>
          <w:caps w:val="0"/>
          <w:sz w:val="26"/>
          <w:szCs w:val="26"/>
        </w:rPr>
        <w:tab/>
        <w:t>Burden of Proof</w:t>
      </w:r>
      <w:bookmarkEnd w:id="4"/>
    </w:p>
    <w:p w14:paraId="12A463FE" w14:textId="77777777" w:rsidR="00315708" w:rsidRPr="00E37897" w:rsidRDefault="00315708" w:rsidP="005F3BE2">
      <w:pPr>
        <w:pStyle w:val="BodyText2"/>
        <w:keepNext/>
        <w:keepLines/>
        <w:widowControl/>
        <w:spacing w:after="0" w:line="360" w:lineRule="auto"/>
        <w:contextualSpacing/>
        <w:rPr>
          <w:b/>
          <w:bCs/>
          <w:sz w:val="26"/>
          <w:szCs w:val="26"/>
        </w:rPr>
      </w:pPr>
    </w:p>
    <w:p w14:paraId="479CD559" w14:textId="487519BF" w:rsidR="00315708" w:rsidRPr="00E37897" w:rsidRDefault="00315708" w:rsidP="005F3BE2">
      <w:pPr>
        <w:widowControl/>
        <w:spacing w:line="360" w:lineRule="auto"/>
        <w:ind w:firstLine="1440"/>
        <w:contextualSpacing/>
        <w:rPr>
          <w:sz w:val="26"/>
          <w:szCs w:val="26"/>
        </w:rPr>
      </w:pPr>
      <w:r w:rsidRPr="00E37897">
        <w:rPr>
          <w:sz w:val="26"/>
          <w:szCs w:val="26"/>
        </w:rPr>
        <w:t>In this proceeding, the Company seeks approval of its plan to procure default service supply and, as such, has the burden of proving that its proposed DSP</w:t>
      </w:r>
      <w:r w:rsidR="00F75BC8" w:rsidRPr="00E37897">
        <w:rPr>
          <w:sz w:val="26"/>
          <w:szCs w:val="26"/>
        </w:rPr>
        <w:t xml:space="preserve"> V</w:t>
      </w:r>
      <w:r w:rsidRPr="00E37897">
        <w:rPr>
          <w:sz w:val="26"/>
          <w:szCs w:val="26"/>
        </w:rPr>
        <w:t xml:space="preserve"> complies with the legal requirements.  The proponent of a rule or order in any Commission proceeding bears the burden of proof, 66 Pa.</w:t>
      </w:r>
      <w:r w:rsidR="00EF08C7" w:rsidRPr="00E37897">
        <w:rPr>
          <w:sz w:val="26"/>
          <w:szCs w:val="26"/>
        </w:rPr>
        <w:t xml:space="preserve"> </w:t>
      </w:r>
      <w:r w:rsidRPr="00E37897">
        <w:rPr>
          <w:sz w:val="26"/>
          <w:szCs w:val="26"/>
        </w:rPr>
        <w:t>C.S. § 332</w:t>
      </w:r>
      <w:r w:rsidR="00EF08C7" w:rsidRPr="00E37897">
        <w:rPr>
          <w:sz w:val="26"/>
          <w:szCs w:val="26"/>
        </w:rPr>
        <w:t>(a)</w:t>
      </w:r>
      <w:r w:rsidRPr="00E37897">
        <w:rPr>
          <w:sz w:val="26"/>
          <w:szCs w:val="26"/>
        </w:rPr>
        <w:t xml:space="preserve">, and therefore, the Company has the burden of proving its case by a preponderance of the evidence.  </w:t>
      </w:r>
      <w:r w:rsidRPr="00E37897">
        <w:rPr>
          <w:i/>
          <w:sz w:val="26"/>
          <w:szCs w:val="26"/>
        </w:rPr>
        <w:t>Samuel J. Lansberry, Inc. v. Pa. PUC</w:t>
      </w:r>
      <w:r w:rsidRPr="00E37897">
        <w:rPr>
          <w:sz w:val="26"/>
          <w:szCs w:val="26"/>
        </w:rPr>
        <w:t xml:space="preserve">, 578 A.2d 600 (Pa. Cmwlth. 1990), </w:t>
      </w:r>
      <w:r w:rsidRPr="00E37897">
        <w:rPr>
          <w:i/>
          <w:sz w:val="26"/>
          <w:szCs w:val="26"/>
        </w:rPr>
        <w:t>alloc. denied</w:t>
      </w:r>
      <w:r w:rsidRPr="00E37897">
        <w:rPr>
          <w:sz w:val="26"/>
          <w:szCs w:val="26"/>
        </w:rPr>
        <w:t>, 529 Pa. 654, 602 A.2d 863 (1992).  That is, the Company</w:t>
      </w:r>
      <w:r w:rsidR="00F776A7" w:rsidRPr="00E37897">
        <w:rPr>
          <w:sz w:val="26"/>
          <w:szCs w:val="26"/>
        </w:rPr>
        <w:t>’</w:t>
      </w:r>
      <w:r w:rsidRPr="00E37897">
        <w:rPr>
          <w:sz w:val="26"/>
          <w:szCs w:val="26"/>
        </w:rPr>
        <w:t xml:space="preserve">s evidence must be more </w:t>
      </w:r>
      <w:r w:rsidRPr="00E37897">
        <w:rPr>
          <w:sz w:val="26"/>
          <w:szCs w:val="26"/>
        </w:rPr>
        <w:lastRenderedPageBreak/>
        <w:t xml:space="preserve">convincing, by even the smallest amount, than the evidence presented by the other parties.  </w:t>
      </w:r>
      <w:r w:rsidRPr="00E37897">
        <w:rPr>
          <w:i/>
          <w:sz w:val="26"/>
          <w:szCs w:val="26"/>
        </w:rPr>
        <w:t>Se-Ling Hosiery, Inc. v. Margulies</w:t>
      </w:r>
      <w:r w:rsidRPr="00E37897">
        <w:rPr>
          <w:sz w:val="26"/>
          <w:szCs w:val="26"/>
        </w:rPr>
        <w:t>, 364 Pa. 45, 70 A.2d 854 (1950).</w:t>
      </w:r>
    </w:p>
    <w:p w14:paraId="66B19B82" w14:textId="77777777" w:rsidR="00640EAC" w:rsidRPr="00E37897" w:rsidRDefault="00640EAC" w:rsidP="005F3BE2">
      <w:pPr>
        <w:widowControl/>
        <w:spacing w:line="360" w:lineRule="auto"/>
        <w:contextualSpacing/>
        <w:rPr>
          <w:sz w:val="26"/>
          <w:szCs w:val="26"/>
        </w:rPr>
      </w:pPr>
    </w:p>
    <w:p w14:paraId="46A7C4CF" w14:textId="3DED1B04" w:rsidR="00315708" w:rsidRDefault="00315708" w:rsidP="005F3BE2">
      <w:pPr>
        <w:widowControl/>
        <w:spacing w:line="360" w:lineRule="auto"/>
        <w:contextualSpacing/>
        <w:rPr>
          <w:sz w:val="26"/>
          <w:szCs w:val="26"/>
        </w:rPr>
      </w:pPr>
      <w:r w:rsidRPr="00E37897">
        <w:rPr>
          <w:sz w:val="26"/>
          <w:szCs w:val="26"/>
        </w:rPr>
        <w:tab/>
      </w:r>
      <w:r w:rsidRPr="00E37897">
        <w:rPr>
          <w:sz w:val="26"/>
          <w:szCs w:val="26"/>
        </w:rPr>
        <w:tab/>
        <w:t>Additionally, this Commission</w:t>
      </w:r>
      <w:r w:rsidR="00F776A7" w:rsidRPr="00E37897">
        <w:rPr>
          <w:sz w:val="26"/>
          <w:szCs w:val="26"/>
        </w:rPr>
        <w:t>’</w:t>
      </w:r>
      <w:r w:rsidRPr="00E37897">
        <w:rPr>
          <w:sz w:val="26"/>
          <w:szCs w:val="26"/>
        </w:rPr>
        <w:t xml:space="preserve">s decision must be supported by substantial evidence in the record.  More is required than a mere trace of evidence or a suspicion of the existence of a fact sought to be established.  </w:t>
      </w:r>
      <w:r w:rsidRPr="00E37897">
        <w:rPr>
          <w:i/>
          <w:sz w:val="26"/>
          <w:szCs w:val="26"/>
        </w:rPr>
        <w:t>Norfolk &amp; Western Ry. Co. v. Pa. PUC,</w:t>
      </w:r>
      <w:r w:rsidRPr="00E37897">
        <w:rPr>
          <w:sz w:val="26"/>
          <w:szCs w:val="26"/>
        </w:rPr>
        <w:t xml:space="preserve"> 49 Pa. 109, 413 A.2d 1037 (1980).</w:t>
      </w:r>
      <w:r w:rsidRPr="00E37897">
        <w:rPr>
          <w:i/>
          <w:sz w:val="26"/>
          <w:szCs w:val="26"/>
        </w:rPr>
        <w:t xml:space="preserve"> </w:t>
      </w:r>
      <w:r w:rsidRPr="00E37897">
        <w:rPr>
          <w:sz w:val="26"/>
          <w:szCs w:val="26"/>
        </w:rPr>
        <w:t xml:space="preserve"> </w:t>
      </w:r>
    </w:p>
    <w:p w14:paraId="4C32309C" w14:textId="77777777" w:rsidR="00EB426A" w:rsidRPr="00E37897" w:rsidRDefault="00EB426A" w:rsidP="005F3BE2">
      <w:pPr>
        <w:widowControl/>
        <w:spacing w:line="360" w:lineRule="auto"/>
        <w:contextualSpacing/>
        <w:rPr>
          <w:sz w:val="26"/>
          <w:szCs w:val="26"/>
        </w:rPr>
      </w:pPr>
    </w:p>
    <w:p w14:paraId="0F76AD72" w14:textId="77777777" w:rsidR="00315708" w:rsidRPr="00E37897" w:rsidRDefault="00315708" w:rsidP="005F3BE2">
      <w:pPr>
        <w:widowControl/>
        <w:spacing w:line="360" w:lineRule="auto"/>
        <w:ind w:firstLine="1440"/>
        <w:contextualSpacing/>
        <w:rPr>
          <w:rStyle w:val="Hyperlink"/>
          <w:iCs/>
          <w:color w:val="auto"/>
          <w:sz w:val="26"/>
          <w:szCs w:val="26"/>
          <w:u w:val="none"/>
        </w:rPr>
      </w:pPr>
      <w:r w:rsidRPr="00E37897">
        <w:rPr>
          <w:sz w:val="26"/>
          <w:szCs w:val="26"/>
        </w:rPr>
        <w:t xml:space="preserve">Upon the presentation by a utility of evidence sufficient to initially satisfy the burden of proof, the burden of going forward with the evidence to rebut the evidence of the utility shifts to the other parties.  If the evidence presented by the other parties is of co-equal value or “weight,” the burden of proof has not been satisfied.  The Company now has to provide some additional evidence to rebut that of the other parties. </w:t>
      </w:r>
      <w:r w:rsidRPr="00E37897">
        <w:rPr>
          <w:iCs/>
          <w:sz w:val="26"/>
          <w:szCs w:val="26"/>
        </w:rPr>
        <w:t xml:space="preserve"> </w:t>
      </w:r>
      <w:hyperlink r:id="rId9" w:history="1">
        <w:r w:rsidRPr="00E37897">
          <w:rPr>
            <w:rStyle w:val="Hyperlink"/>
            <w:i/>
            <w:iCs/>
            <w:color w:val="auto"/>
            <w:sz w:val="26"/>
            <w:szCs w:val="26"/>
            <w:u w:val="none"/>
          </w:rPr>
          <w:t>Burleson v. Pa. PUC,</w:t>
        </w:r>
        <w:r w:rsidRPr="00E37897">
          <w:rPr>
            <w:rStyle w:val="Hyperlink"/>
            <w:iCs/>
            <w:color w:val="auto"/>
            <w:sz w:val="26"/>
            <w:szCs w:val="26"/>
            <w:u w:val="none"/>
          </w:rPr>
          <w:t xml:space="preserve"> 443 A.2d 1373 (Pa. Cmwlth. 1982), </w:t>
        </w:r>
        <w:r w:rsidRPr="00E37897">
          <w:rPr>
            <w:rStyle w:val="Hyperlink"/>
            <w:i/>
            <w:iCs/>
            <w:color w:val="auto"/>
            <w:sz w:val="26"/>
            <w:szCs w:val="26"/>
            <w:u w:val="none"/>
          </w:rPr>
          <w:t>aff</w:t>
        </w:r>
        <w:r w:rsidR="00F776A7" w:rsidRPr="00E37897">
          <w:rPr>
            <w:rStyle w:val="Hyperlink"/>
            <w:i/>
            <w:iCs/>
            <w:color w:val="auto"/>
            <w:sz w:val="26"/>
            <w:szCs w:val="26"/>
            <w:u w:val="none"/>
          </w:rPr>
          <w:t>’</w:t>
        </w:r>
        <w:r w:rsidRPr="00E37897">
          <w:rPr>
            <w:rStyle w:val="Hyperlink"/>
            <w:i/>
            <w:iCs/>
            <w:color w:val="auto"/>
            <w:sz w:val="26"/>
            <w:szCs w:val="26"/>
            <w:u w:val="none"/>
          </w:rPr>
          <w:t>d,</w:t>
        </w:r>
        <w:r w:rsidRPr="00E37897">
          <w:rPr>
            <w:rStyle w:val="Hyperlink"/>
            <w:iCs/>
            <w:color w:val="auto"/>
            <w:sz w:val="26"/>
            <w:szCs w:val="26"/>
            <w:u w:val="none"/>
          </w:rPr>
          <w:t xml:space="preserve"> 501 Pa. 433, 461 A.2d 1234 (1983).</w:t>
        </w:r>
      </w:hyperlink>
    </w:p>
    <w:p w14:paraId="56E8A08A" w14:textId="77777777" w:rsidR="00315708" w:rsidRPr="00E37897" w:rsidRDefault="00315708" w:rsidP="005F3BE2">
      <w:pPr>
        <w:widowControl/>
        <w:spacing w:line="360" w:lineRule="auto"/>
        <w:ind w:firstLine="1440"/>
        <w:contextualSpacing/>
        <w:rPr>
          <w:rStyle w:val="Hyperlink"/>
          <w:i/>
          <w:iCs/>
          <w:color w:val="auto"/>
          <w:sz w:val="26"/>
          <w:szCs w:val="26"/>
          <w:u w:val="none"/>
        </w:rPr>
      </w:pPr>
    </w:p>
    <w:p w14:paraId="3563BBD4" w14:textId="6AF0ACB9" w:rsidR="00315708" w:rsidRPr="00E37897" w:rsidRDefault="00315708" w:rsidP="005F3BE2">
      <w:pPr>
        <w:widowControl/>
        <w:spacing w:line="360" w:lineRule="auto"/>
        <w:ind w:firstLine="1440"/>
        <w:contextualSpacing/>
        <w:rPr>
          <w:sz w:val="26"/>
          <w:szCs w:val="26"/>
        </w:rPr>
      </w:pPr>
      <w:r w:rsidRPr="00E37897">
        <w:rPr>
          <w:sz w:val="26"/>
          <w:szCs w:val="26"/>
        </w:rPr>
        <w:t xml:space="preserve">While the burden of going forward with the evidence may </w:t>
      </w:r>
      <w:r w:rsidRPr="00E37897">
        <w:rPr>
          <w:rStyle w:val="term1"/>
          <w:b w:val="0"/>
          <w:sz w:val="26"/>
          <w:szCs w:val="26"/>
        </w:rPr>
        <w:t>shift</w:t>
      </w:r>
      <w:r w:rsidRPr="00E37897">
        <w:rPr>
          <w:b/>
          <w:sz w:val="26"/>
          <w:szCs w:val="26"/>
        </w:rPr>
        <w:t xml:space="preserve"> </w:t>
      </w:r>
      <w:r w:rsidRPr="00E37897">
        <w:rPr>
          <w:sz w:val="26"/>
          <w:szCs w:val="26"/>
        </w:rPr>
        <w:t xml:space="preserve">back and forth during a proceeding, the </w:t>
      </w:r>
      <w:r w:rsidRPr="00E37897">
        <w:rPr>
          <w:rStyle w:val="term1"/>
          <w:b w:val="0"/>
          <w:sz w:val="26"/>
          <w:szCs w:val="26"/>
        </w:rPr>
        <w:t>burden of proof</w:t>
      </w:r>
      <w:r w:rsidRPr="00E37897">
        <w:rPr>
          <w:sz w:val="26"/>
          <w:szCs w:val="26"/>
        </w:rPr>
        <w:t xml:space="preserve"> never </w:t>
      </w:r>
      <w:r w:rsidRPr="00E37897">
        <w:rPr>
          <w:rStyle w:val="term1"/>
          <w:b w:val="0"/>
          <w:sz w:val="26"/>
          <w:szCs w:val="26"/>
        </w:rPr>
        <w:t>shifts.</w:t>
      </w:r>
      <w:r w:rsidRPr="00E37897">
        <w:rPr>
          <w:rStyle w:val="term1"/>
          <w:sz w:val="26"/>
          <w:szCs w:val="26"/>
        </w:rPr>
        <w:t xml:space="preserve">  </w:t>
      </w:r>
      <w:r w:rsidRPr="00E37897">
        <w:rPr>
          <w:rStyle w:val="term1"/>
          <w:b w:val="0"/>
          <w:sz w:val="26"/>
          <w:szCs w:val="26"/>
        </w:rPr>
        <w:t>The burden of proof</w:t>
      </w:r>
      <w:r w:rsidRPr="00E37897">
        <w:rPr>
          <w:sz w:val="26"/>
          <w:szCs w:val="26"/>
        </w:rPr>
        <w:t xml:space="preserve"> always remains on the party seeking affirmative relief from the Commission.  </w:t>
      </w:r>
      <w:r w:rsidRPr="00E37897">
        <w:rPr>
          <w:i/>
          <w:sz w:val="26"/>
          <w:szCs w:val="26"/>
        </w:rPr>
        <w:t xml:space="preserve">Milkie v. Pa. PUC, </w:t>
      </w:r>
      <w:r w:rsidRPr="00E37897">
        <w:rPr>
          <w:sz w:val="26"/>
          <w:szCs w:val="26"/>
        </w:rPr>
        <w:t xml:space="preserve">768 A.2d 1217 (Pa. Cmwlth. 2001).  However, a party that offers a proposal in addition to what is sought by the original filing bears the burden of proof for such a proposal.  </w:t>
      </w:r>
      <w:r w:rsidRPr="00E37897">
        <w:rPr>
          <w:i/>
          <w:sz w:val="26"/>
          <w:szCs w:val="26"/>
        </w:rPr>
        <w:t xml:space="preserve">Pa. PUC, </w:t>
      </w:r>
      <w:r w:rsidR="00B00319" w:rsidRPr="00E37897">
        <w:rPr>
          <w:i/>
          <w:sz w:val="26"/>
          <w:szCs w:val="26"/>
        </w:rPr>
        <w:t>et al.</w:t>
      </w:r>
      <w:r w:rsidRPr="00E37897">
        <w:rPr>
          <w:i/>
          <w:sz w:val="26"/>
          <w:szCs w:val="26"/>
        </w:rPr>
        <w:t>, v. Metropolitan Edison Co.</w:t>
      </w:r>
      <w:r w:rsidR="00A65B02" w:rsidRPr="00E37897">
        <w:rPr>
          <w:i/>
          <w:sz w:val="26"/>
          <w:szCs w:val="26"/>
        </w:rPr>
        <w:t xml:space="preserve"> (Metropolitan Edison Co.)</w:t>
      </w:r>
      <w:r w:rsidRPr="00E37897">
        <w:rPr>
          <w:i/>
          <w:sz w:val="26"/>
          <w:szCs w:val="26"/>
        </w:rPr>
        <w:t>,</w:t>
      </w:r>
      <w:r w:rsidRPr="00E37897">
        <w:rPr>
          <w:sz w:val="26"/>
          <w:szCs w:val="26"/>
        </w:rPr>
        <w:t xml:space="preserve"> Docket No. R-</w:t>
      </w:r>
      <w:r w:rsidR="004835D2">
        <w:rPr>
          <w:sz w:val="26"/>
          <w:szCs w:val="26"/>
        </w:rPr>
        <w:t> </w:t>
      </w:r>
      <w:r w:rsidRPr="00E37897">
        <w:rPr>
          <w:sz w:val="26"/>
          <w:szCs w:val="26"/>
        </w:rPr>
        <w:t>00061366C0001 (Order entered January 11, 2007</w:t>
      </w:r>
      <w:r w:rsidR="002C63D9" w:rsidRPr="00E37897">
        <w:rPr>
          <w:sz w:val="26"/>
          <w:szCs w:val="26"/>
        </w:rPr>
        <w:t>)</w:t>
      </w:r>
      <w:r w:rsidRPr="00E37897">
        <w:rPr>
          <w:sz w:val="26"/>
          <w:szCs w:val="26"/>
        </w:rPr>
        <w:t xml:space="preserve">; </w:t>
      </w:r>
      <w:r w:rsidRPr="00E37897">
        <w:rPr>
          <w:i/>
          <w:sz w:val="26"/>
          <w:szCs w:val="26"/>
        </w:rPr>
        <w:t>Joint Default Service Plan for Citizens</w:t>
      </w:r>
      <w:r w:rsidR="00F776A7" w:rsidRPr="00E37897">
        <w:rPr>
          <w:i/>
          <w:sz w:val="26"/>
          <w:szCs w:val="26"/>
        </w:rPr>
        <w:t>’</w:t>
      </w:r>
      <w:r w:rsidRPr="00E37897">
        <w:rPr>
          <w:i/>
          <w:sz w:val="26"/>
          <w:szCs w:val="26"/>
        </w:rPr>
        <w:t xml:space="preserve"> Electric Co. of Lewisburg, PA and Wellsboro Electric Company for the Period of June 1, 2010 through May 31, 2013</w:t>
      </w:r>
      <w:r w:rsidR="00A65B02" w:rsidRPr="00E37897">
        <w:rPr>
          <w:i/>
          <w:sz w:val="26"/>
          <w:szCs w:val="26"/>
        </w:rPr>
        <w:t xml:space="preserve"> (Citizens’ Electric Co.)</w:t>
      </w:r>
      <w:r w:rsidRPr="00E37897">
        <w:rPr>
          <w:i/>
          <w:sz w:val="26"/>
          <w:szCs w:val="26"/>
        </w:rPr>
        <w:t>,</w:t>
      </w:r>
      <w:r w:rsidRPr="00E37897">
        <w:rPr>
          <w:sz w:val="26"/>
          <w:szCs w:val="26"/>
        </w:rPr>
        <w:t xml:space="preserve"> Docket Nos. P-2009-2110798 and P-2009-2110780 (Order entered February 26, 2010).  </w:t>
      </w:r>
    </w:p>
    <w:p w14:paraId="2AC0E168" w14:textId="77777777" w:rsidR="00315708" w:rsidRPr="00E37897" w:rsidRDefault="00315708" w:rsidP="001953F3">
      <w:pPr>
        <w:pStyle w:val="Heading2"/>
        <w:keepNext/>
        <w:spacing w:after="0" w:line="360" w:lineRule="auto"/>
        <w:ind w:left="720" w:hanging="720"/>
        <w:contextualSpacing/>
        <w:jc w:val="left"/>
        <w:rPr>
          <w:caps w:val="0"/>
          <w:sz w:val="26"/>
          <w:szCs w:val="26"/>
        </w:rPr>
      </w:pPr>
      <w:bookmarkStart w:id="5" w:name="_Toc56512753"/>
      <w:r w:rsidRPr="00E37897">
        <w:rPr>
          <w:caps w:val="0"/>
          <w:sz w:val="26"/>
          <w:szCs w:val="26"/>
        </w:rPr>
        <w:lastRenderedPageBreak/>
        <w:t>B.</w:t>
      </w:r>
      <w:r w:rsidRPr="00E37897">
        <w:rPr>
          <w:caps w:val="0"/>
          <w:sz w:val="26"/>
          <w:szCs w:val="26"/>
        </w:rPr>
        <w:tab/>
        <w:t>Standards Applicable to Default Service</w:t>
      </w:r>
      <w:bookmarkEnd w:id="5"/>
    </w:p>
    <w:p w14:paraId="44941132" w14:textId="77777777" w:rsidR="00315708" w:rsidRPr="00E37897" w:rsidRDefault="00315708" w:rsidP="001953F3">
      <w:pPr>
        <w:keepNext/>
        <w:keepLines/>
        <w:widowControl/>
        <w:spacing w:line="360" w:lineRule="auto"/>
        <w:contextualSpacing/>
        <w:rPr>
          <w:b/>
          <w:sz w:val="26"/>
          <w:szCs w:val="26"/>
        </w:rPr>
      </w:pPr>
    </w:p>
    <w:p w14:paraId="7F6490C3" w14:textId="6A0F6AD2" w:rsidR="00315708" w:rsidRPr="00E37897" w:rsidRDefault="00315708" w:rsidP="001953F3">
      <w:pPr>
        <w:pStyle w:val="BodyText2"/>
        <w:widowControl/>
        <w:spacing w:after="0" w:line="360" w:lineRule="auto"/>
        <w:ind w:firstLine="1440"/>
        <w:contextualSpacing/>
        <w:rPr>
          <w:sz w:val="26"/>
          <w:szCs w:val="26"/>
        </w:rPr>
      </w:pPr>
      <w:r w:rsidRPr="00E37897">
        <w:rPr>
          <w:sz w:val="26"/>
          <w:szCs w:val="26"/>
        </w:rPr>
        <w:t>The Competition Act requires that default service providers acquire electric energy through a “prudent mix” of resources that are designed: (</w:t>
      </w:r>
      <w:proofErr w:type="spellStart"/>
      <w:r w:rsidRPr="00E37897">
        <w:rPr>
          <w:sz w:val="26"/>
          <w:szCs w:val="26"/>
        </w:rPr>
        <w:t>i</w:t>
      </w:r>
      <w:proofErr w:type="spellEnd"/>
      <w:r w:rsidRPr="00E37897">
        <w:rPr>
          <w:sz w:val="26"/>
          <w:szCs w:val="26"/>
        </w:rPr>
        <w:t>) to provide adequate and reliable service; (ii) to provide the least cost to customers over time; and (iii) to achieve these results through competitive processes that include auctions, requests for proposals and/or bilateral agreements.  66 Pa. C.S. §§ 2807(e)(3.1) and 2807(e)(3.4).</w:t>
      </w:r>
    </w:p>
    <w:p w14:paraId="501294BB" w14:textId="77777777" w:rsidR="00315708" w:rsidRPr="00E37897" w:rsidRDefault="00315708" w:rsidP="005F3BE2">
      <w:pPr>
        <w:pStyle w:val="BodyText2"/>
        <w:widowControl/>
        <w:spacing w:after="0" w:line="360" w:lineRule="auto"/>
        <w:contextualSpacing/>
        <w:rPr>
          <w:sz w:val="26"/>
          <w:szCs w:val="26"/>
        </w:rPr>
      </w:pPr>
    </w:p>
    <w:p w14:paraId="73E0A891" w14:textId="77777777" w:rsidR="00315708" w:rsidRPr="00E37897" w:rsidRDefault="00315708" w:rsidP="005F3BE2">
      <w:pPr>
        <w:pStyle w:val="BodyText2"/>
        <w:widowControl/>
        <w:spacing w:after="0" w:line="360" w:lineRule="auto"/>
        <w:ind w:firstLine="1440"/>
        <w:contextualSpacing/>
        <w:rPr>
          <w:sz w:val="26"/>
          <w:szCs w:val="26"/>
        </w:rPr>
      </w:pPr>
      <w:r w:rsidRPr="00E37897">
        <w:rPr>
          <w:sz w:val="26"/>
          <w:szCs w:val="26"/>
        </w:rPr>
        <w:t>The Competition Act also mandates that customers have direct access to a competitive retail generation market.  66 Pa. C.S. § 2802(3).  This mandate is based on the legislative finding that “</w:t>
      </w:r>
      <w:r w:rsidR="00662CD4" w:rsidRPr="00E37897">
        <w:rPr>
          <w:sz w:val="26"/>
          <w:szCs w:val="26"/>
        </w:rPr>
        <w:t>[</w:t>
      </w:r>
      <w:r w:rsidRPr="00E37897">
        <w:rPr>
          <w:sz w:val="26"/>
          <w:szCs w:val="26"/>
        </w:rPr>
        <w:t>c</w:t>
      </w:r>
      <w:r w:rsidR="00662CD4" w:rsidRPr="00E37897">
        <w:rPr>
          <w:sz w:val="26"/>
          <w:szCs w:val="26"/>
        </w:rPr>
        <w:t>]</w:t>
      </w:r>
      <w:r w:rsidRPr="00E37897">
        <w:rPr>
          <w:sz w:val="26"/>
          <w:szCs w:val="26"/>
        </w:rPr>
        <w:t xml:space="preserve">ompetitive market forces are more effective than economic regulation in controlling the cost of generating electricity.”  66 Pa. C.S. § 2802(5).  </w:t>
      </w:r>
      <w:r w:rsidRPr="00E37897">
        <w:rPr>
          <w:i/>
          <w:sz w:val="26"/>
          <w:szCs w:val="26"/>
        </w:rPr>
        <w:t>See, Green Mountain Energy Company v. Pa. PUC,</w:t>
      </w:r>
      <w:r w:rsidRPr="00E37897">
        <w:rPr>
          <w:sz w:val="26"/>
          <w:szCs w:val="26"/>
        </w:rPr>
        <w:t xml:space="preserve"> 812 A.2d 740, 742 (Pa. Cmwlth. 2002).  Thus, a fundamental policy underlying the Competition Act is that competition is more effective than economic regulation in controlling the costs of generating electricity.  66 Pa. C.S. § 2802(5).</w:t>
      </w:r>
    </w:p>
    <w:p w14:paraId="0CAFAC54" w14:textId="77777777" w:rsidR="00315708" w:rsidRPr="00E37897" w:rsidRDefault="00315708" w:rsidP="005F3BE2">
      <w:pPr>
        <w:pStyle w:val="BodyText2"/>
        <w:widowControl/>
        <w:spacing w:after="0" w:line="360" w:lineRule="auto"/>
        <w:contextualSpacing/>
        <w:rPr>
          <w:sz w:val="26"/>
          <w:szCs w:val="26"/>
        </w:rPr>
      </w:pPr>
    </w:p>
    <w:p w14:paraId="4A72CA7D" w14:textId="563A4F51" w:rsidR="00315708" w:rsidRDefault="00315708" w:rsidP="005F3BE2">
      <w:pPr>
        <w:pStyle w:val="BodyText2"/>
        <w:widowControl/>
        <w:spacing w:after="0" w:line="360" w:lineRule="auto"/>
        <w:ind w:firstLine="1440"/>
        <w:contextualSpacing/>
        <w:rPr>
          <w:sz w:val="26"/>
          <w:szCs w:val="26"/>
        </w:rPr>
      </w:pPr>
      <w:r w:rsidRPr="00E37897">
        <w:rPr>
          <w:sz w:val="26"/>
          <w:szCs w:val="26"/>
        </w:rPr>
        <w:t>In addition to the foregoing statutory guidelines, the Commission has enacted default service Regulations, 52 Pa. Code §§ 54.181 to 54.19</w:t>
      </w:r>
      <w:r w:rsidR="00AF2E1F" w:rsidRPr="00E37897">
        <w:rPr>
          <w:sz w:val="26"/>
          <w:szCs w:val="26"/>
        </w:rPr>
        <w:t>0</w:t>
      </w:r>
      <w:r w:rsidRPr="00E37897">
        <w:rPr>
          <w:sz w:val="26"/>
          <w:szCs w:val="26"/>
        </w:rPr>
        <w:t>, and a policy statement, 52 Pa. Code §§ 69.180</w:t>
      </w:r>
      <w:r w:rsidR="00662CD4" w:rsidRPr="00E37897">
        <w:rPr>
          <w:sz w:val="26"/>
          <w:szCs w:val="26"/>
        </w:rPr>
        <w:t>1</w:t>
      </w:r>
      <w:r w:rsidRPr="00E37897">
        <w:rPr>
          <w:sz w:val="26"/>
          <w:szCs w:val="26"/>
        </w:rPr>
        <w:t xml:space="preserve"> to 69.1817, addressing DSPs.  The Regulations first became effective in 2007, and were amended in 2011 to incorporate the Act 129 amendments to the Competition Act.  </w:t>
      </w:r>
      <w:r w:rsidRPr="00E37897">
        <w:rPr>
          <w:i/>
          <w:sz w:val="26"/>
          <w:szCs w:val="26"/>
        </w:rPr>
        <w:t>Implementation of Act 129 of October 15, 2008; Default Service and Retail Electric Markets</w:t>
      </w:r>
      <w:r w:rsidRPr="00E37897">
        <w:rPr>
          <w:sz w:val="26"/>
          <w:szCs w:val="26"/>
        </w:rPr>
        <w:t>, Docket No. L 2009</w:t>
      </w:r>
      <w:r w:rsidRPr="00E37897">
        <w:rPr>
          <w:sz w:val="26"/>
          <w:szCs w:val="26"/>
        </w:rPr>
        <w:noBreakHyphen/>
        <w:t>2095604 (Final Rulemaking Order entered October 4, 2011) (</w:t>
      </w:r>
      <w:r w:rsidRPr="00E37897">
        <w:rPr>
          <w:i/>
          <w:sz w:val="26"/>
          <w:szCs w:val="26"/>
        </w:rPr>
        <w:t>Act 129 Final Rulemaking Order</w:t>
      </w:r>
      <w:r w:rsidRPr="00E37897">
        <w:rPr>
          <w:sz w:val="26"/>
          <w:szCs w:val="26"/>
        </w:rPr>
        <w:t xml:space="preserve">).  The Commission has directed that EDCs consider the incorporation of certain market enhancement programs into their DSPs in order to foster a more robust retail competitive market.  </w:t>
      </w:r>
      <w:r w:rsidRPr="00E37897">
        <w:rPr>
          <w:i/>
          <w:sz w:val="26"/>
          <w:szCs w:val="26"/>
        </w:rPr>
        <w:t>Investigation of Pennsylvania</w:t>
      </w:r>
      <w:r w:rsidR="00F776A7" w:rsidRPr="00E37897">
        <w:rPr>
          <w:i/>
          <w:sz w:val="26"/>
          <w:szCs w:val="26"/>
        </w:rPr>
        <w:t>’</w:t>
      </w:r>
      <w:r w:rsidRPr="00E37897">
        <w:rPr>
          <w:i/>
          <w:sz w:val="26"/>
          <w:szCs w:val="26"/>
        </w:rPr>
        <w:t>s Retail Electricity Market: Recommendations Regarding Upcoming Default Service Plans,</w:t>
      </w:r>
      <w:r w:rsidRPr="00E37897">
        <w:rPr>
          <w:sz w:val="26"/>
          <w:szCs w:val="26"/>
        </w:rPr>
        <w:t xml:space="preserve"> Docket No. I-2011-2237952 (Order entered </w:t>
      </w:r>
      <w:r w:rsidRPr="00E37897">
        <w:rPr>
          <w:sz w:val="26"/>
          <w:szCs w:val="26"/>
        </w:rPr>
        <w:lastRenderedPageBreak/>
        <w:t xml:space="preserve">December 16, 2011), and </w:t>
      </w:r>
      <w:r w:rsidRPr="00E37897">
        <w:rPr>
          <w:i/>
          <w:sz w:val="26"/>
          <w:szCs w:val="26"/>
        </w:rPr>
        <w:t xml:space="preserve">Intermediate Work Plan </w:t>
      </w:r>
      <w:r w:rsidRPr="00E37897">
        <w:rPr>
          <w:sz w:val="26"/>
          <w:szCs w:val="26"/>
        </w:rPr>
        <w:t>(Final Order entered March 2, 2012) (</w:t>
      </w:r>
      <w:r w:rsidRPr="00E37897">
        <w:rPr>
          <w:i/>
          <w:sz w:val="26"/>
          <w:szCs w:val="26"/>
        </w:rPr>
        <w:t>IWP Order</w:t>
      </w:r>
      <w:r w:rsidRPr="00E37897">
        <w:rPr>
          <w:sz w:val="26"/>
          <w:szCs w:val="26"/>
        </w:rPr>
        <w:t>).</w:t>
      </w:r>
    </w:p>
    <w:p w14:paraId="1601C266" w14:textId="5C8B9314" w:rsidR="00226B80" w:rsidRDefault="00226B80" w:rsidP="005F3BE2">
      <w:pPr>
        <w:pStyle w:val="BodyText2"/>
        <w:widowControl/>
        <w:spacing w:after="0" w:line="360" w:lineRule="auto"/>
        <w:ind w:firstLine="1440"/>
        <w:contextualSpacing/>
        <w:rPr>
          <w:sz w:val="26"/>
          <w:szCs w:val="26"/>
        </w:rPr>
      </w:pPr>
    </w:p>
    <w:p w14:paraId="626D50D4" w14:textId="640AA1C1" w:rsidR="00226B80" w:rsidRPr="00E37897" w:rsidRDefault="00226B80" w:rsidP="00226B80">
      <w:pPr>
        <w:pStyle w:val="Heading2"/>
        <w:spacing w:after="0" w:line="360" w:lineRule="auto"/>
        <w:ind w:left="720" w:hanging="720"/>
        <w:contextualSpacing/>
        <w:jc w:val="left"/>
        <w:rPr>
          <w:caps w:val="0"/>
          <w:sz w:val="26"/>
          <w:szCs w:val="26"/>
        </w:rPr>
      </w:pPr>
      <w:bookmarkStart w:id="6" w:name="_Toc56512754"/>
      <w:r>
        <w:rPr>
          <w:caps w:val="0"/>
          <w:sz w:val="26"/>
          <w:szCs w:val="26"/>
        </w:rPr>
        <w:t>C</w:t>
      </w:r>
      <w:r w:rsidRPr="00E37897">
        <w:rPr>
          <w:caps w:val="0"/>
          <w:sz w:val="26"/>
          <w:szCs w:val="26"/>
        </w:rPr>
        <w:t>.</w:t>
      </w:r>
      <w:r w:rsidRPr="00E37897">
        <w:rPr>
          <w:caps w:val="0"/>
          <w:sz w:val="26"/>
          <w:szCs w:val="26"/>
        </w:rPr>
        <w:tab/>
        <w:t>Legal Standards Relative to Settlements</w:t>
      </w:r>
      <w:bookmarkEnd w:id="6"/>
    </w:p>
    <w:p w14:paraId="16C2B35A" w14:textId="77777777" w:rsidR="00226B80" w:rsidRPr="00E37897" w:rsidRDefault="00226B80" w:rsidP="00226B80">
      <w:pPr>
        <w:keepNext/>
        <w:keepLines/>
        <w:widowControl/>
        <w:spacing w:line="360" w:lineRule="auto"/>
        <w:contextualSpacing/>
        <w:rPr>
          <w:b/>
          <w:sz w:val="26"/>
          <w:szCs w:val="26"/>
        </w:rPr>
      </w:pPr>
    </w:p>
    <w:p w14:paraId="46675179" w14:textId="77777777" w:rsidR="00226B80" w:rsidRPr="00E37897" w:rsidRDefault="00226B80" w:rsidP="00226B80">
      <w:pPr>
        <w:widowControl/>
        <w:autoSpaceDE w:val="0"/>
        <w:autoSpaceDN w:val="0"/>
        <w:adjustRightInd w:val="0"/>
        <w:spacing w:line="360" w:lineRule="auto"/>
        <w:ind w:firstLine="1440"/>
        <w:contextualSpacing/>
        <w:rPr>
          <w:sz w:val="26"/>
          <w:szCs w:val="26"/>
        </w:rPr>
      </w:pPr>
      <w:r w:rsidRPr="00E37897">
        <w:rPr>
          <w:rFonts w:eastAsia="Calibri"/>
          <w:sz w:val="26"/>
          <w:szCs w:val="26"/>
        </w:rPr>
        <w:t xml:space="preserve">This Commission has a policy of encouraging settlements.  </w:t>
      </w:r>
      <w:r w:rsidRPr="00E37897">
        <w:rPr>
          <w:rFonts w:eastAsia="Calibri"/>
          <w:i/>
          <w:sz w:val="26"/>
          <w:szCs w:val="26"/>
        </w:rPr>
        <w:t xml:space="preserve">See </w:t>
      </w:r>
      <w:r w:rsidRPr="00E37897">
        <w:rPr>
          <w:rFonts w:eastAsia="Calibri"/>
          <w:sz w:val="26"/>
          <w:szCs w:val="26"/>
        </w:rPr>
        <w:t>52 Pa. Code § 5.231(a);</w:t>
      </w:r>
      <w:r w:rsidRPr="00E37897">
        <w:rPr>
          <w:rFonts w:eastAsia="Calibri"/>
          <w:i/>
          <w:sz w:val="26"/>
          <w:szCs w:val="26"/>
        </w:rPr>
        <w:t xml:space="preserve"> see also</w:t>
      </w:r>
      <w:r w:rsidRPr="00E37897">
        <w:rPr>
          <w:rFonts w:eastAsia="Calibri"/>
          <w:sz w:val="26"/>
          <w:szCs w:val="26"/>
        </w:rPr>
        <w:t xml:space="preserve"> 52 Pa. Code §§ 69.401, </w:t>
      </w:r>
      <w:r w:rsidRPr="00E37897">
        <w:rPr>
          <w:rFonts w:eastAsia="Calibri"/>
          <w:i/>
          <w:sz w:val="26"/>
          <w:szCs w:val="26"/>
        </w:rPr>
        <w:t>et seq</w:t>
      </w:r>
      <w:r w:rsidRPr="00E37897">
        <w:rPr>
          <w:rFonts w:eastAsia="Calibri"/>
          <w:sz w:val="26"/>
          <w:szCs w:val="26"/>
        </w:rPr>
        <w:t>., relating to settlement guidelines for major rate cases, and our Statement of Policy relating to the Alternative Dispute Resolution Process, 52 Pa. Code § 69.391,</w:t>
      </w:r>
      <w:r w:rsidRPr="00E37897">
        <w:rPr>
          <w:rFonts w:eastAsia="Calibri"/>
          <w:i/>
          <w:sz w:val="26"/>
          <w:szCs w:val="26"/>
        </w:rPr>
        <w:t xml:space="preserve"> et seq.</w:t>
      </w:r>
      <w:r w:rsidRPr="00E37897">
        <w:rPr>
          <w:rFonts w:eastAsia="Calibri"/>
          <w:sz w:val="26"/>
          <w:szCs w:val="26"/>
        </w:rPr>
        <w:t xml:space="preserve">  This Commission has stated that results achieved through settlement are often preferable to those achieved at the conclusion of a fully litigated proceeding.  52 Pa. Code § 69.401.  </w:t>
      </w:r>
      <w:r w:rsidRPr="00E37897">
        <w:rPr>
          <w:sz w:val="26"/>
          <w:szCs w:val="26"/>
        </w:rPr>
        <w:t xml:space="preserve">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14:paraId="04AD5744" w14:textId="77777777" w:rsidR="00226B80" w:rsidRPr="00E37897" w:rsidRDefault="00226B80" w:rsidP="00226B80">
      <w:pPr>
        <w:widowControl/>
        <w:autoSpaceDE w:val="0"/>
        <w:autoSpaceDN w:val="0"/>
        <w:adjustRightInd w:val="0"/>
        <w:spacing w:line="360" w:lineRule="auto"/>
        <w:ind w:firstLine="1440"/>
        <w:contextualSpacing/>
        <w:rPr>
          <w:sz w:val="26"/>
          <w:szCs w:val="26"/>
        </w:rPr>
      </w:pPr>
    </w:p>
    <w:p w14:paraId="53D25823" w14:textId="5BBD73BC" w:rsidR="00226B80" w:rsidRDefault="00226B80" w:rsidP="00226B80">
      <w:pPr>
        <w:widowControl/>
        <w:spacing w:line="360" w:lineRule="auto"/>
        <w:ind w:firstLine="1440"/>
        <w:contextualSpacing/>
        <w:rPr>
          <w:sz w:val="26"/>
          <w:szCs w:val="26"/>
        </w:rPr>
      </w:pPr>
      <w:r w:rsidRPr="00E37897">
        <w:rPr>
          <w:sz w:val="26"/>
          <w:szCs w:val="26"/>
        </w:rPr>
        <w:t xml:space="preserve">Despite the policy favoring settlements, the Commission does not simply rubber stamp settlements without further inquiry.  In order to accept a settlement such as that proposed here, the Commission must determine that the proposed terms and conditions are in the public interest.  </w:t>
      </w:r>
      <w:r w:rsidRPr="00E37897">
        <w:rPr>
          <w:i/>
          <w:sz w:val="26"/>
          <w:szCs w:val="26"/>
        </w:rPr>
        <w:t>Pa. PUC v. York Water Co.</w:t>
      </w:r>
      <w:r w:rsidRPr="00E37897">
        <w:rPr>
          <w:sz w:val="26"/>
          <w:szCs w:val="26"/>
        </w:rPr>
        <w:t>, Docket No. R</w:t>
      </w:r>
      <w:r w:rsidRPr="00E37897">
        <w:rPr>
          <w:sz w:val="26"/>
          <w:szCs w:val="26"/>
        </w:rPr>
        <w:noBreakHyphen/>
        <w:t xml:space="preserve">00049165 (Order entered October 4, 2004); </w:t>
      </w:r>
      <w:r w:rsidRPr="00E37897">
        <w:rPr>
          <w:i/>
          <w:sz w:val="26"/>
          <w:szCs w:val="26"/>
        </w:rPr>
        <w:t>Pa. PUC v. C. S. Water and Sewer Assoc.</w:t>
      </w:r>
      <w:r w:rsidRPr="00E37897">
        <w:rPr>
          <w:sz w:val="26"/>
          <w:szCs w:val="26"/>
        </w:rPr>
        <w:t xml:space="preserve">, 74 Pa. P.U.C. 767 (1991).  The Joint Petitioners have reached an accord on many of the issues and claims that arose in this proceeding and submitted the Partial Settlement.  The Joint Petitioners have the burden to prove that the Partial Settlement is in the public interest. </w:t>
      </w:r>
    </w:p>
    <w:p w14:paraId="30CEEB30" w14:textId="3C7FA770" w:rsidR="00640EAC" w:rsidRDefault="00640EAC" w:rsidP="005F3BE2">
      <w:pPr>
        <w:widowControl/>
        <w:spacing w:after="200" w:line="276" w:lineRule="auto"/>
        <w:contextualSpacing/>
        <w:rPr>
          <w:sz w:val="26"/>
          <w:szCs w:val="26"/>
          <w:highlight w:val="green"/>
        </w:rPr>
      </w:pPr>
    </w:p>
    <w:p w14:paraId="08475A91" w14:textId="2C46BA85" w:rsidR="00EB426A" w:rsidRDefault="00EB426A" w:rsidP="005F3BE2">
      <w:pPr>
        <w:widowControl/>
        <w:spacing w:after="200" w:line="276" w:lineRule="auto"/>
        <w:contextualSpacing/>
        <w:rPr>
          <w:sz w:val="26"/>
          <w:szCs w:val="26"/>
          <w:highlight w:val="green"/>
        </w:rPr>
      </w:pPr>
    </w:p>
    <w:p w14:paraId="306E4D1F" w14:textId="77777777" w:rsidR="00EB426A" w:rsidRPr="00E37897" w:rsidRDefault="00EB426A" w:rsidP="005F3BE2">
      <w:pPr>
        <w:widowControl/>
        <w:spacing w:after="200" w:line="276" w:lineRule="auto"/>
        <w:contextualSpacing/>
        <w:rPr>
          <w:sz w:val="26"/>
          <w:szCs w:val="26"/>
          <w:highlight w:val="green"/>
        </w:rPr>
      </w:pPr>
    </w:p>
    <w:p w14:paraId="535655BA" w14:textId="6777FB2A" w:rsidR="007C71C2" w:rsidRPr="00E37897" w:rsidRDefault="00DF57ED" w:rsidP="005F3BE2">
      <w:pPr>
        <w:pStyle w:val="Heading1"/>
        <w:spacing w:after="0"/>
        <w:contextualSpacing/>
        <w:jc w:val="center"/>
        <w:rPr>
          <w:caps w:val="0"/>
          <w:sz w:val="26"/>
          <w:szCs w:val="26"/>
          <w:u w:val="none"/>
        </w:rPr>
      </w:pPr>
      <w:bookmarkStart w:id="7" w:name="_Toc56512755"/>
      <w:r>
        <w:rPr>
          <w:caps w:val="0"/>
          <w:sz w:val="26"/>
          <w:szCs w:val="26"/>
          <w:u w:val="none"/>
        </w:rPr>
        <w:lastRenderedPageBreak/>
        <w:t>I</w:t>
      </w:r>
      <w:r w:rsidR="007C71C2" w:rsidRPr="00E37897">
        <w:rPr>
          <w:caps w:val="0"/>
          <w:sz w:val="26"/>
          <w:szCs w:val="26"/>
          <w:u w:val="none"/>
        </w:rPr>
        <w:t>V.</w:t>
      </w:r>
      <w:r w:rsidR="007C71C2" w:rsidRPr="00E37897">
        <w:rPr>
          <w:caps w:val="0"/>
          <w:sz w:val="26"/>
          <w:szCs w:val="26"/>
          <w:u w:val="none"/>
        </w:rPr>
        <w:tab/>
        <w:t>The Partial Settlement</w:t>
      </w:r>
      <w:bookmarkEnd w:id="7"/>
    </w:p>
    <w:p w14:paraId="32239F35" w14:textId="77777777" w:rsidR="007C71C2" w:rsidRPr="00E37897" w:rsidRDefault="007C71C2" w:rsidP="005F3BE2">
      <w:pPr>
        <w:keepNext/>
        <w:keepLines/>
        <w:widowControl/>
        <w:spacing w:line="360" w:lineRule="auto"/>
        <w:contextualSpacing/>
        <w:rPr>
          <w:b/>
          <w:sz w:val="26"/>
          <w:szCs w:val="26"/>
        </w:rPr>
      </w:pPr>
    </w:p>
    <w:p w14:paraId="1B9F778B" w14:textId="77777777" w:rsidR="007C71C2" w:rsidRPr="00E37897" w:rsidRDefault="007C71C2" w:rsidP="005F3BE2">
      <w:pPr>
        <w:pStyle w:val="Heading2"/>
        <w:spacing w:after="0" w:line="360" w:lineRule="auto"/>
        <w:ind w:left="720" w:hanging="720"/>
        <w:contextualSpacing/>
        <w:jc w:val="left"/>
        <w:rPr>
          <w:caps w:val="0"/>
          <w:sz w:val="26"/>
          <w:szCs w:val="26"/>
        </w:rPr>
      </w:pPr>
      <w:bookmarkStart w:id="8" w:name="_Toc56512756"/>
      <w:r w:rsidRPr="00E37897">
        <w:rPr>
          <w:caps w:val="0"/>
          <w:sz w:val="26"/>
          <w:szCs w:val="26"/>
        </w:rPr>
        <w:t>A.</w:t>
      </w:r>
      <w:r w:rsidRPr="00E37897">
        <w:rPr>
          <w:caps w:val="0"/>
          <w:sz w:val="26"/>
          <w:szCs w:val="26"/>
        </w:rPr>
        <w:tab/>
        <w:t>Terms and Conditions of the Partial Settlement</w:t>
      </w:r>
      <w:bookmarkEnd w:id="8"/>
    </w:p>
    <w:p w14:paraId="4FB9C751" w14:textId="233FA816" w:rsidR="007C71C2" w:rsidRPr="00E37897" w:rsidRDefault="007C71C2" w:rsidP="005F3BE2">
      <w:pPr>
        <w:keepNext/>
        <w:keepLines/>
        <w:widowControl/>
        <w:spacing w:line="360" w:lineRule="auto"/>
        <w:contextualSpacing/>
        <w:rPr>
          <w:b/>
          <w:sz w:val="26"/>
          <w:szCs w:val="26"/>
        </w:rPr>
      </w:pPr>
    </w:p>
    <w:p w14:paraId="278FD4AE" w14:textId="6C81F04C" w:rsidR="00555E97" w:rsidRPr="00E37897" w:rsidRDefault="00555E97" w:rsidP="005F3BE2">
      <w:pPr>
        <w:widowControl/>
        <w:autoSpaceDE w:val="0"/>
        <w:autoSpaceDN w:val="0"/>
        <w:spacing w:line="360" w:lineRule="auto"/>
        <w:ind w:firstLine="1440"/>
        <w:contextualSpacing/>
        <w:rPr>
          <w:sz w:val="26"/>
          <w:szCs w:val="26"/>
        </w:rPr>
      </w:pPr>
      <w:r w:rsidRPr="00E37897">
        <w:rPr>
          <w:sz w:val="26"/>
          <w:szCs w:val="26"/>
        </w:rPr>
        <w:t>The Joint Petitioners have agreed to the Partial Settlement, which resolves all issues among the settling Parties with the exception of two issues reserved for litigation: (1) the allocation of the costs PECO incurs to implement new time-of-use (TOU) default service rate options; and (2) changes to the current assignment of responsibility for PJM charges for NITS from all load serving entities to PECO.  The OCA and the OSBA filed a Partial Settlement of Time of Use Cost Allocation (TOU Settlement) which replaced the language of Paragraph 60 of the Joint Petition, leaving only one issue for litigation: the assignment of responsibility for PJM charges for NITS.  The TOU Settlement indicated that the proposed changes to Paragraph 60 were unopposed.  R.D. at 7-8.</w:t>
      </w:r>
    </w:p>
    <w:p w14:paraId="53DEEAD4" w14:textId="77777777" w:rsidR="00555E97" w:rsidRPr="00E37897" w:rsidRDefault="00555E97" w:rsidP="005F3BE2">
      <w:pPr>
        <w:widowControl/>
        <w:autoSpaceDE w:val="0"/>
        <w:autoSpaceDN w:val="0"/>
        <w:spacing w:line="360" w:lineRule="auto"/>
        <w:ind w:firstLine="1440"/>
        <w:contextualSpacing/>
        <w:rPr>
          <w:sz w:val="26"/>
          <w:szCs w:val="26"/>
        </w:rPr>
      </w:pPr>
    </w:p>
    <w:p w14:paraId="29E3BC21" w14:textId="77777777" w:rsidR="00555E97" w:rsidRPr="00E37897" w:rsidRDefault="00555E97" w:rsidP="005F3BE2">
      <w:pPr>
        <w:widowControl/>
        <w:autoSpaceDE w:val="0"/>
        <w:autoSpaceDN w:val="0"/>
        <w:spacing w:line="360" w:lineRule="auto"/>
        <w:ind w:firstLine="1440"/>
        <w:contextualSpacing/>
        <w:rPr>
          <w:sz w:val="26"/>
          <w:szCs w:val="26"/>
        </w:rPr>
      </w:pPr>
      <w:r w:rsidRPr="00E37897">
        <w:rPr>
          <w:sz w:val="26"/>
          <w:szCs w:val="26"/>
        </w:rPr>
        <w:t>The Partial Settlement consists of the Joint Petition containing the terms and conditions of the Settlement, Exhibit A, which is the revised Electric Service Tariff, and Exhibit B, which is the revised Electric Service Tariff (redline).  Statements in Support of the Partial Settlement were submitted by the Joint Petitioners and were denoted as follows:</w:t>
      </w:r>
    </w:p>
    <w:p w14:paraId="20B51428" w14:textId="77777777" w:rsidR="00555E97" w:rsidRPr="00E37897" w:rsidRDefault="00555E97" w:rsidP="005F3BE2">
      <w:pPr>
        <w:widowControl/>
        <w:autoSpaceDE w:val="0"/>
        <w:autoSpaceDN w:val="0"/>
        <w:spacing w:line="360" w:lineRule="auto"/>
        <w:ind w:left="1440"/>
        <w:contextualSpacing/>
        <w:rPr>
          <w:sz w:val="26"/>
          <w:szCs w:val="26"/>
        </w:rPr>
      </w:pPr>
    </w:p>
    <w:tbl>
      <w:tblPr>
        <w:tblStyle w:val="PlainTable1"/>
        <w:tblW w:w="0" w:type="auto"/>
        <w:tblLook w:val="04A0" w:firstRow="1" w:lastRow="0" w:firstColumn="1" w:lastColumn="0" w:noHBand="0" w:noVBand="1"/>
      </w:tblPr>
      <w:tblGrid>
        <w:gridCol w:w="4675"/>
        <w:gridCol w:w="4675"/>
      </w:tblGrid>
      <w:tr w:rsidR="00555E97" w:rsidRPr="00E37897" w14:paraId="6674F8CE" w14:textId="77777777" w:rsidTr="00FB10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tcPr>
          <w:p w14:paraId="5DD31806"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lastRenderedPageBreak/>
              <w:t>Statement in Support of Joint Petition for Partial Settlement</w:t>
            </w:r>
          </w:p>
        </w:tc>
        <w:tc>
          <w:tcPr>
            <w:tcW w:w="4675" w:type="dxa"/>
          </w:tcPr>
          <w:p w14:paraId="064D81B0" w14:textId="77777777" w:rsidR="00555E97" w:rsidRPr="00E37897" w:rsidRDefault="00555E97" w:rsidP="005F3BE2">
            <w:pPr>
              <w:keepNext/>
              <w:keepLines/>
              <w:widowControl/>
              <w:autoSpaceDE w:val="0"/>
              <w:autoSpaceDN w:val="0"/>
              <w:spacing w:line="360" w:lineRule="auto"/>
              <w:contextualSpacing/>
              <w:cnfStyle w:val="100000000000" w:firstRow="1" w:lastRow="0" w:firstColumn="0" w:lastColumn="0" w:oddVBand="0" w:evenVBand="0" w:oddHBand="0" w:evenHBand="0" w:firstRowFirstColumn="0" w:firstRowLastColumn="0" w:lastRowFirstColumn="0" w:lastRowLastColumn="0"/>
              <w:rPr>
                <w:sz w:val="26"/>
                <w:szCs w:val="26"/>
              </w:rPr>
            </w:pPr>
            <w:r w:rsidRPr="00E37897">
              <w:rPr>
                <w:sz w:val="26"/>
                <w:szCs w:val="26"/>
              </w:rPr>
              <w:t>Joint Petitioner</w:t>
            </w:r>
          </w:p>
        </w:tc>
      </w:tr>
      <w:tr w:rsidR="00555E97" w:rsidRPr="00E37897" w14:paraId="4309D461" w14:textId="77777777" w:rsidTr="00FB1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79D5B2"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A</w:t>
            </w:r>
          </w:p>
        </w:tc>
        <w:tc>
          <w:tcPr>
            <w:tcW w:w="4675" w:type="dxa"/>
          </w:tcPr>
          <w:p w14:paraId="4D07E5DB" w14:textId="77777777" w:rsidR="00555E97" w:rsidRPr="00E37897" w:rsidRDefault="00555E97" w:rsidP="005F3BE2">
            <w:pPr>
              <w:keepNext/>
              <w:keepLines/>
              <w:widowControl/>
              <w:autoSpaceDE w:val="0"/>
              <w:autoSpaceDN w:val="0"/>
              <w:spacing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sidRPr="00E37897">
              <w:rPr>
                <w:sz w:val="26"/>
                <w:szCs w:val="26"/>
              </w:rPr>
              <w:t>PECO Energy Company</w:t>
            </w:r>
          </w:p>
        </w:tc>
      </w:tr>
      <w:tr w:rsidR="00555E97" w:rsidRPr="00E37897" w14:paraId="68BAB40B" w14:textId="77777777" w:rsidTr="00FB1019">
        <w:tc>
          <w:tcPr>
            <w:cnfStyle w:val="001000000000" w:firstRow="0" w:lastRow="0" w:firstColumn="1" w:lastColumn="0" w:oddVBand="0" w:evenVBand="0" w:oddHBand="0" w:evenHBand="0" w:firstRowFirstColumn="0" w:firstRowLastColumn="0" w:lastRowFirstColumn="0" w:lastRowLastColumn="0"/>
            <w:tcW w:w="4675" w:type="dxa"/>
          </w:tcPr>
          <w:p w14:paraId="6B257490"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B</w:t>
            </w:r>
          </w:p>
        </w:tc>
        <w:tc>
          <w:tcPr>
            <w:tcW w:w="4675" w:type="dxa"/>
          </w:tcPr>
          <w:p w14:paraId="16F5A4A9" w14:textId="77777777" w:rsidR="00555E97" w:rsidRPr="00E37897" w:rsidRDefault="00555E97" w:rsidP="005F3BE2">
            <w:pPr>
              <w:keepNext/>
              <w:keepLines/>
              <w:widowControl/>
              <w:autoSpaceDE w:val="0"/>
              <w:autoSpaceDN w:val="0"/>
              <w:spacing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E37897">
              <w:rPr>
                <w:sz w:val="26"/>
                <w:szCs w:val="26"/>
              </w:rPr>
              <w:t>Office of Consumer Advocate</w:t>
            </w:r>
          </w:p>
        </w:tc>
      </w:tr>
      <w:tr w:rsidR="00555E97" w:rsidRPr="00E37897" w14:paraId="18C6BE16" w14:textId="77777777" w:rsidTr="00FB1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9A033B"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C</w:t>
            </w:r>
          </w:p>
        </w:tc>
        <w:tc>
          <w:tcPr>
            <w:tcW w:w="4675" w:type="dxa"/>
          </w:tcPr>
          <w:p w14:paraId="787AC439" w14:textId="77777777" w:rsidR="00555E97" w:rsidRPr="00E37897" w:rsidRDefault="00555E97" w:rsidP="005F3BE2">
            <w:pPr>
              <w:keepNext/>
              <w:keepLines/>
              <w:widowControl/>
              <w:autoSpaceDE w:val="0"/>
              <w:autoSpaceDN w:val="0"/>
              <w:spacing w:line="360" w:lineRule="auto"/>
              <w:contextualSpacing/>
              <w:cnfStyle w:val="000000100000" w:firstRow="0" w:lastRow="0" w:firstColumn="0" w:lastColumn="0" w:oddVBand="0" w:evenVBand="0" w:oddHBand="1" w:evenHBand="0" w:firstRowFirstColumn="0" w:firstRowLastColumn="0" w:lastRowFirstColumn="0" w:lastRowLastColumn="0"/>
              <w:rPr>
                <w:sz w:val="26"/>
                <w:szCs w:val="26"/>
              </w:rPr>
            </w:pPr>
            <w:r w:rsidRPr="00E37897">
              <w:rPr>
                <w:sz w:val="26"/>
                <w:szCs w:val="26"/>
              </w:rPr>
              <w:t>Office of Small Business Advocate</w:t>
            </w:r>
          </w:p>
        </w:tc>
      </w:tr>
      <w:tr w:rsidR="00555E97" w:rsidRPr="00E37897" w14:paraId="38F88BEC" w14:textId="77777777" w:rsidTr="00FB1019">
        <w:tc>
          <w:tcPr>
            <w:cnfStyle w:val="001000000000" w:firstRow="0" w:lastRow="0" w:firstColumn="1" w:lastColumn="0" w:oddVBand="0" w:evenVBand="0" w:oddHBand="0" w:evenHBand="0" w:firstRowFirstColumn="0" w:firstRowLastColumn="0" w:lastRowFirstColumn="0" w:lastRowLastColumn="0"/>
            <w:tcW w:w="4675" w:type="dxa"/>
          </w:tcPr>
          <w:p w14:paraId="1B7723BE"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D</w:t>
            </w:r>
          </w:p>
        </w:tc>
        <w:tc>
          <w:tcPr>
            <w:tcW w:w="4675" w:type="dxa"/>
          </w:tcPr>
          <w:p w14:paraId="44A2EA05" w14:textId="77777777" w:rsidR="00555E97" w:rsidRPr="00E37897" w:rsidRDefault="00555E97" w:rsidP="005F3BE2">
            <w:pPr>
              <w:keepNext/>
              <w:keepLines/>
              <w:widowControl/>
              <w:autoSpaceDE w:val="0"/>
              <w:autoSpaceDN w:val="0"/>
              <w:spacing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E37897">
              <w:rPr>
                <w:sz w:val="26"/>
                <w:szCs w:val="26"/>
              </w:rPr>
              <w:t>Calpine Retail Holdings, LLC</w:t>
            </w:r>
          </w:p>
        </w:tc>
      </w:tr>
      <w:tr w:rsidR="00555E97" w:rsidRPr="00E37897" w14:paraId="2381BB4D" w14:textId="77777777" w:rsidTr="00FB1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1CA8DD"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E</w:t>
            </w:r>
          </w:p>
        </w:tc>
        <w:tc>
          <w:tcPr>
            <w:tcW w:w="4675" w:type="dxa"/>
          </w:tcPr>
          <w:p w14:paraId="1086EEBE" w14:textId="77777777" w:rsidR="00555E97" w:rsidRPr="00E37897" w:rsidRDefault="00555E97" w:rsidP="00EB426A">
            <w:pPr>
              <w:keepNext/>
              <w:keepLines/>
              <w:widowControl/>
              <w:autoSpaceDE w:val="0"/>
              <w:autoSpaceDN w:val="0"/>
              <w:contextualSpacing/>
              <w:cnfStyle w:val="000000100000" w:firstRow="0" w:lastRow="0" w:firstColumn="0" w:lastColumn="0" w:oddVBand="0" w:evenVBand="0" w:oddHBand="1" w:evenHBand="0" w:firstRowFirstColumn="0" w:firstRowLastColumn="0" w:lastRowFirstColumn="0" w:lastRowLastColumn="0"/>
              <w:rPr>
                <w:sz w:val="26"/>
                <w:szCs w:val="26"/>
              </w:rPr>
            </w:pPr>
            <w:r w:rsidRPr="00E37897">
              <w:rPr>
                <w:sz w:val="26"/>
                <w:szCs w:val="26"/>
              </w:rPr>
              <w:t>Coalition for Affordable Utility Services and Energy Efficiency in Pennsylvania</w:t>
            </w:r>
          </w:p>
        </w:tc>
      </w:tr>
      <w:tr w:rsidR="00555E97" w:rsidRPr="00E37897" w14:paraId="01D51B38" w14:textId="77777777" w:rsidTr="00FB1019">
        <w:tc>
          <w:tcPr>
            <w:cnfStyle w:val="001000000000" w:firstRow="0" w:lastRow="0" w:firstColumn="1" w:lastColumn="0" w:oddVBand="0" w:evenVBand="0" w:oddHBand="0" w:evenHBand="0" w:firstRowFirstColumn="0" w:firstRowLastColumn="0" w:lastRowFirstColumn="0" w:lastRowLastColumn="0"/>
            <w:tcW w:w="4675" w:type="dxa"/>
          </w:tcPr>
          <w:p w14:paraId="42FB4F5D"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F</w:t>
            </w:r>
          </w:p>
        </w:tc>
        <w:tc>
          <w:tcPr>
            <w:tcW w:w="4675" w:type="dxa"/>
          </w:tcPr>
          <w:p w14:paraId="3E208D2F" w14:textId="77777777" w:rsidR="00555E97" w:rsidRPr="00E37897" w:rsidRDefault="00555E97" w:rsidP="005F3BE2">
            <w:pPr>
              <w:keepNext/>
              <w:keepLines/>
              <w:widowControl/>
              <w:autoSpaceDE w:val="0"/>
              <w:autoSpaceDN w:val="0"/>
              <w:spacing w:line="360" w:lineRule="auto"/>
              <w:contextualSpacing/>
              <w:cnfStyle w:val="000000000000" w:firstRow="0" w:lastRow="0" w:firstColumn="0" w:lastColumn="0" w:oddVBand="0" w:evenVBand="0" w:oddHBand="0" w:evenHBand="0" w:firstRowFirstColumn="0" w:firstRowLastColumn="0" w:lastRowFirstColumn="0" w:lastRowLastColumn="0"/>
              <w:rPr>
                <w:sz w:val="26"/>
                <w:szCs w:val="26"/>
              </w:rPr>
            </w:pPr>
            <w:r w:rsidRPr="00E37897">
              <w:rPr>
                <w:sz w:val="26"/>
                <w:szCs w:val="26"/>
              </w:rPr>
              <w:t>Electric Supplier Coalition</w:t>
            </w:r>
          </w:p>
        </w:tc>
      </w:tr>
      <w:tr w:rsidR="00555E97" w:rsidRPr="00E37897" w14:paraId="07D870E1" w14:textId="77777777" w:rsidTr="00FB1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81F055"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Statement G</w:t>
            </w:r>
          </w:p>
        </w:tc>
        <w:tc>
          <w:tcPr>
            <w:tcW w:w="4675" w:type="dxa"/>
          </w:tcPr>
          <w:p w14:paraId="7EEDE789" w14:textId="77777777" w:rsidR="00555E97" w:rsidRPr="00E37897" w:rsidRDefault="00555E97" w:rsidP="00EB426A">
            <w:pPr>
              <w:keepNext/>
              <w:keepLines/>
              <w:widowControl/>
              <w:autoSpaceDE w:val="0"/>
              <w:autoSpaceDN w:val="0"/>
              <w:contextualSpacing/>
              <w:cnfStyle w:val="000000100000" w:firstRow="0" w:lastRow="0" w:firstColumn="0" w:lastColumn="0" w:oddVBand="0" w:evenVBand="0" w:oddHBand="1" w:evenHBand="0" w:firstRowFirstColumn="0" w:firstRowLastColumn="0" w:lastRowFirstColumn="0" w:lastRowLastColumn="0"/>
              <w:rPr>
                <w:sz w:val="26"/>
                <w:szCs w:val="26"/>
              </w:rPr>
            </w:pPr>
            <w:r w:rsidRPr="00E37897">
              <w:rPr>
                <w:sz w:val="26"/>
                <w:szCs w:val="26"/>
              </w:rPr>
              <w:t>Philadelphia Area Industrial Energy Users Group</w:t>
            </w:r>
          </w:p>
        </w:tc>
      </w:tr>
      <w:tr w:rsidR="00555E97" w:rsidRPr="00E37897" w14:paraId="1862A6AE" w14:textId="77777777" w:rsidTr="00FB1019">
        <w:tc>
          <w:tcPr>
            <w:cnfStyle w:val="001000000000" w:firstRow="0" w:lastRow="0" w:firstColumn="1" w:lastColumn="0" w:oddVBand="0" w:evenVBand="0" w:oddHBand="0" w:evenHBand="0" w:firstRowFirstColumn="0" w:firstRowLastColumn="0" w:lastRowFirstColumn="0" w:lastRowLastColumn="0"/>
            <w:tcW w:w="4675" w:type="dxa"/>
          </w:tcPr>
          <w:p w14:paraId="156F0FD4" w14:textId="77777777" w:rsidR="00555E97" w:rsidRPr="00E37897" w:rsidRDefault="00555E97" w:rsidP="005F3BE2">
            <w:pPr>
              <w:keepNext/>
              <w:keepLines/>
              <w:widowControl/>
              <w:autoSpaceDE w:val="0"/>
              <w:autoSpaceDN w:val="0"/>
              <w:spacing w:line="360" w:lineRule="auto"/>
              <w:contextualSpacing/>
              <w:rPr>
                <w:sz w:val="26"/>
                <w:szCs w:val="26"/>
              </w:rPr>
            </w:pPr>
            <w:r w:rsidRPr="00E37897">
              <w:rPr>
                <w:sz w:val="26"/>
                <w:szCs w:val="26"/>
              </w:rPr>
              <w:t xml:space="preserve">Statement H </w:t>
            </w:r>
          </w:p>
        </w:tc>
        <w:tc>
          <w:tcPr>
            <w:tcW w:w="4675" w:type="dxa"/>
          </w:tcPr>
          <w:p w14:paraId="60BEF24F" w14:textId="77777777" w:rsidR="00555E97" w:rsidRPr="00E37897" w:rsidRDefault="00555E97" w:rsidP="00EB426A">
            <w:pPr>
              <w:keepNext/>
              <w:keepLines/>
              <w:widowControl/>
              <w:autoSpaceDE w:val="0"/>
              <w:autoSpaceDN w:val="0"/>
              <w:contextualSpacing/>
              <w:cnfStyle w:val="000000000000" w:firstRow="0" w:lastRow="0" w:firstColumn="0" w:lastColumn="0" w:oddVBand="0" w:evenVBand="0" w:oddHBand="0" w:evenHBand="0" w:firstRowFirstColumn="0" w:firstRowLastColumn="0" w:lastRowFirstColumn="0" w:lastRowLastColumn="0"/>
              <w:rPr>
                <w:sz w:val="26"/>
                <w:szCs w:val="26"/>
              </w:rPr>
            </w:pPr>
            <w:r w:rsidRPr="00E37897">
              <w:rPr>
                <w:sz w:val="26"/>
                <w:szCs w:val="26"/>
              </w:rPr>
              <w:t>Tenant Union Representative Network and Action Alliance of Senior Citizens of Greater Philadelphia</w:t>
            </w:r>
          </w:p>
        </w:tc>
      </w:tr>
    </w:tbl>
    <w:p w14:paraId="1BA11CDB" w14:textId="77777777" w:rsidR="00555E97" w:rsidRPr="00E37897" w:rsidRDefault="00555E97" w:rsidP="001953F3">
      <w:pPr>
        <w:widowControl/>
        <w:autoSpaceDE w:val="0"/>
        <w:autoSpaceDN w:val="0"/>
        <w:spacing w:line="480" w:lineRule="auto"/>
        <w:ind w:left="1440"/>
        <w:contextualSpacing/>
        <w:rPr>
          <w:sz w:val="26"/>
          <w:szCs w:val="26"/>
        </w:rPr>
      </w:pPr>
    </w:p>
    <w:p w14:paraId="0EDCC784" w14:textId="77777777" w:rsidR="00555E97" w:rsidRPr="00E37897" w:rsidRDefault="00555E97" w:rsidP="005F3BE2">
      <w:pPr>
        <w:widowControl/>
        <w:autoSpaceDE w:val="0"/>
        <w:autoSpaceDN w:val="0"/>
        <w:spacing w:line="360" w:lineRule="auto"/>
        <w:ind w:firstLine="1440"/>
        <w:contextualSpacing/>
        <w:rPr>
          <w:sz w:val="26"/>
          <w:szCs w:val="26"/>
        </w:rPr>
      </w:pPr>
      <w:r w:rsidRPr="00E37897">
        <w:rPr>
          <w:sz w:val="26"/>
          <w:szCs w:val="26"/>
        </w:rPr>
        <w:t xml:space="preserve">The essential terms of the Joint Petition for Partial Settlement are set forth in Section II of the Joint Petition, in Paragraphs 13 through 72.  </w:t>
      </w:r>
      <w:r w:rsidRPr="00E37897">
        <w:rPr>
          <w:i/>
          <w:iCs/>
          <w:sz w:val="26"/>
          <w:szCs w:val="26"/>
        </w:rPr>
        <w:t>See</w:t>
      </w:r>
      <w:r w:rsidRPr="00E37897">
        <w:rPr>
          <w:sz w:val="26"/>
          <w:szCs w:val="26"/>
        </w:rPr>
        <w:t xml:space="preserve"> Settlement ¶¶ 13-72, at 5-20.  As explained above, the original Paragraph 60 of the Joint Petition has been replaced with the new language from the TOU Settlement.  The essential terms and conditions of the Joint Petition are set forth below, with the original paragraph numbers maintained, and with the replacement language for Paragraph 60 from the TOU Settlement.  </w:t>
      </w:r>
    </w:p>
    <w:p w14:paraId="46DED125" w14:textId="77777777" w:rsidR="00555E97" w:rsidRPr="00E37897" w:rsidRDefault="00555E97" w:rsidP="005F3BE2">
      <w:pPr>
        <w:widowControl/>
        <w:autoSpaceDE w:val="0"/>
        <w:autoSpaceDN w:val="0"/>
        <w:spacing w:line="360" w:lineRule="auto"/>
        <w:ind w:firstLine="1440"/>
        <w:contextualSpacing/>
        <w:rPr>
          <w:sz w:val="26"/>
          <w:szCs w:val="26"/>
        </w:rPr>
      </w:pPr>
    </w:p>
    <w:p w14:paraId="6D0A4923" w14:textId="77777777" w:rsidR="00555E97" w:rsidRPr="00E37897" w:rsidRDefault="00555E97" w:rsidP="005F3BE2">
      <w:pPr>
        <w:widowControl/>
        <w:autoSpaceDE w:val="0"/>
        <w:autoSpaceDN w:val="0"/>
        <w:spacing w:line="480" w:lineRule="auto"/>
        <w:ind w:left="1440" w:right="1440"/>
        <w:contextualSpacing/>
        <w:rPr>
          <w:sz w:val="26"/>
          <w:szCs w:val="26"/>
          <w:u w:val="single"/>
        </w:rPr>
      </w:pPr>
      <w:r w:rsidRPr="00E37897">
        <w:rPr>
          <w:sz w:val="26"/>
          <w:szCs w:val="26"/>
          <w:u w:val="single"/>
        </w:rPr>
        <w:t>TERMS AND CONDITIONS OF SETTLEMENT</w:t>
      </w:r>
    </w:p>
    <w:p w14:paraId="3EA4B59B" w14:textId="6313017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13.  </w:t>
      </w:r>
      <w:r w:rsidR="00307A4F">
        <w:rPr>
          <w:sz w:val="26"/>
          <w:szCs w:val="26"/>
        </w:rPr>
        <w:tab/>
      </w:r>
      <w:r w:rsidRPr="00E37897">
        <w:rPr>
          <w:sz w:val="26"/>
          <w:szCs w:val="26"/>
        </w:rPr>
        <w:t>The Settlement consists of the following terms and conditions:</w:t>
      </w:r>
    </w:p>
    <w:p w14:paraId="4FD7D8BE" w14:textId="77777777" w:rsidR="00555E97" w:rsidRPr="00E37897" w:rsidRDefault="00555E97" w:rsidP="005F3BE2">
      <w:pPr>
        <w:widowControl/>
        <w:autoSpaceDE w:val="0"/>
        <w:autoSpaceDN w:val="0"/>
        <w:ind w:left="1440" w:right="1440"/>
        <w:contextualSpacing/>
        <w:rPr>
          <w:sz w:val="26"/>
          <w:szCs w:val="26"/>
        </w:rPr>
      </w:pPr>
    </w:p>
    <w:p w14:paraId="26A2DE45" w14:textId="77777777" w:rsidR="00555E97" w:rsidRPr="00E37897" w:rsidRDefault="00555E97" w:rsidP="005F3BE2">
      <w:pPr>
        <w:pStyle w:val="ListParagraph"/>
        <w:keepNext/>
        <w:keepLines/>
        <w:numPr>
          <w:ilvl w:val="0"/>
          <w:numId w:val="30"/>
        </w:numPr>
        <w:autoSpaceDE w:val="0"/>
        <w:autoSpaceDN w:val="0"/>
        <w:ind w:left="1440" w:right="1440" w:firstLine="0"/>
        <w:contextualSpacing/>
        <w:rPr>
          <w:b/>
          <w:bCs/>
          <w:sz w:val="26"/>
          <w:szCs w:val="26"/>
        </w:rPr>
      </w:pPr>
      <w:r w:rsidRPr="00E37897">
        <w:rPr>
          <w:b/>
          <w:bCs/>
          <w:sz w:val="26"/>
          <w:szCs w:val="26"/>
        </w:rPr>
        <w:t>Procurement Plan</w:t>
      </w:r>
    </w:p>
    <w:p w14:paraId="5135D076" w14:textId="77777777" w:rsidR="00555E97" w:rsidRPr="00E37897" w:rsidRDefault="00555E97" w:rsidP="005F3BE2">
      <w:pPr>
        <w:pStyle w:val="ListParagraph"/>
        <w:keepNext/>
        <w:keepLines/>
        <w:autoSpaceDE w:val="0"/>
        <w:autoSpaceDN w:val="0"/>
        <w:ind w:left="1440" w:right="1440"/>
        <w:contextualSpacing/>
        <w:rPr>
          <w:sz w:val="26"/>
          <w:szCs w:val="26"/>
        </w:rPr>
      </w:pPr>
    </w:p>
    <w:p w14:paraId="188B1F14" w14:textId="6B2B01B2"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14.  </w:t>
      </w:r>
      <w:r w:rsidR="00307A4F">
        <w:rPr>
          <w:sz w:val="26"/>
          <w:szCs w:val="26"/>
        </w:rPr>
        <w:tab/>
      </w:r>
      <w:r w:rsidRPr="00E37897">
        <w:rPr>
          <w:sz w:val="26"/>
          <w:szCs w:val="26"/>
        </w:rPr>
        <w:t>The Joint Petitioners agree that the DSP V Program shall be in effect for a period of four years, from June 1, 2021 through May 31, 2025.</w:t>
      </w:r>
    </w:p>
    <w:p w14:paraId="2C33FE6F" w14:textId="77777777" w:rsidR="00555E97" w:rsidRPr="00E37897" w:rsidRDefault="00555E97" w:rsidP="005F3BE2">
      <w:pPr>
        <w:widowControl/>
        <w:autoSpaceDE w:val="0"/>
        <w:autoSpaceDN w:val="0"/>
        <w:ind w:left="1440" w:right="1440"/>
        <w:contextualSpacing/>
        <w:rPr>
          <w:sz w:val="26"/>
          <w:szCs w:val="26"/>
        </w:rPr>
      </w:pPr>
    </w:p>
    <w:p w14:paraId="61B4BCB1" w14:textId="6BED0BF6" w:rsidR="00555E97" w:rsidRPr="00E37897" w:rsidRDefault="00555E97" w:rsidP="005F3BE2">
      <w:pPr>
        <w:widowControl/>
        <w:autoSpaceDE w:val="0"/>
        <w:autoSpaceDN w:val="0"/>
        <w:ind w:left="1440" w:right="1440"/>
        <w:contextualSpacing/>
        <w:rPr>
          <w:sz w:val="26"/>
          <w:szCs w:val="26"/>
        </w:rPr>
      </w:pPr>
      <w:r w:rsidRPr="00E37897">
        <w:rPr>
          <w:sz w:val="26"/>
          <w:szCs w:val="26"/>
        </w:rPr>
        <w:lastRenderedPageBreak/>
        <w:t xml:space="preserve">15.  </w:t>
      </w:r>
      <w:r w:rsidR="00307A4F">
        <w:rPr>
          <w:sz w:val="26"/>
          <w:szCs w:val="26"/>
        </w:rPr>
        <w:tab/>
      </w:r>
      <w:r w:rsidRPr="00E37897">
        <w:rPr>
          <w:sz w:val="26"/>
          <w:szCs w:val="26"/>
        </w:rPr>
        <w:t xml:space="preserve">PECO’s default service customers shall be divided into the same three classes for purposes of default service procurement as those established in DSP IV: </w:t>
      </w:r>
      <w:proofErr w:type="gramStart"/>
      <w:r w:rsidRPr="00E37897">
        <w:rPr>
          <w:sz w:val="26"/>
          <w:szCs w:val="26"/>
        </w:rPr>
        <w:t>the</w:t>
      </w:r>
      <w:proofErr w:type="gramEnd"/>
      <w:r w:rsidRPr="00E37897">
        <w:rPr>
          <w:sz w:val="26"/>
          <w:szCs w:val="26"/>
        </w:rPr>
        <w:t xml:space="preserve"> Residential Class, the Small Commercial Class, and the Consolidated Large Commercial and Industrial Class.</w:t>
      </w:r>
    </w:p>
    <w:p w14:paraId="6DB7C05E" w14:textId="77777777" w:rsidR="00555E97" w:rsidRPr="00E37897" w:rsidRDefault="00555E97" w:rsidP="005F3BE2">
      <w:pPr>
        <w:widowControl/>
        <w:autoSpaceDE w:val="0"/>
        <w:autoSpaceDN w:val="0"/>
        <w:ind w:left="1440" w:right="1440"/>
        <w:contextualSpacing/>
        <w:rPr>
          <w:sz w:val="26"/>
          <w:szCs w:val="26"/>
        </w:rPr>
      </w:pPr>
    </w:p>
    <w:p w14:paraId="3D5BCFD5" w14:textId="7E7C738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16.  </w:t>
      </w:r>
      <w:r w:rsidR="00307A4F">
        <w:rPr>
          <w:sz w:val="26"/>
          <w:szCs w:val="26"/>
        </w:rPr>
        <w:tab/>
      </w:r>
      <w:r w:rsidRPr="00E37897">
        <w:rPr>
          <w:sz w:val="26"/>
          <w:szCs w:val="26"/>
        </w:rPr>
        <w:t>The Residential Class includes all residential customers currently receiving service under PECO rate schedules R and RH.</w:t>
      </w:r>
    </w:p>
    <w:p w14:paraId="0640F79F" w14:textId="77777777" w:rsidR="00555E97" w:rsidRPr="00E37897" w:rsidRDefault="00555E97" w:rsidP="005F3BE2">
      <w:pPr>
        <w:widowControl/>
        <w:autoSpaceDE w:val="0"/>
        <w:autoSpaceDN w:val="0"/>
        <w:ind w:left="1440" w:right="1440"/>
        <w:contextualSpacing/>
        <w:rPr>
          <w:sz w:val="26"/>
          <w:szCs w:val="26"/>
        </w:rPr>
      </w:pPr>
    </w:p>
    <w:p w14:paraId="05684F0E" w14:textId="7FF0D7C5"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17.  </w:t>
      </w:r>
      <w:r w:rsidR="00307A4F">
        <w:rPr>
          <w:sz w:val="26"/>
          <w:szCs w:val="26"/>
        </w:rPr>
        <w:tab/>
      </w:r>
      <w:r w:rsidRPr="00E37897">
        <w:rPr>
          <w:sz w:val="26"/>
          <w:szCs w:val="26"/>
        </w:rPr>
        <w:t>The Small Commercial Class includes customers with annual peak demands of up to and including 100 kW served under rate schedules GS, PD, and HT plus lighting customers on schedules AL, POL, SLE, SLS, SLC, and TLCL.</w:t>
      </w:r>
    </w:p>
    <w:p w14:paraId="0DAD79B8" w14:textId="77777777" w:rsidR="00555E97" w:rsidRPr="00E37897" w:rsidRDefault="00555E97" w:rsidP="005F3BE2">
      <w:pPr>
        <w:widowControl/>
        <w:autoSpaceDE w:val="0"/>
        <w:autoSpaceDN w:val="0"/>
        <w:ind w:left="1440" w:right="1440"/>
        <w:contextualSpacing/>
        <w:rPr>
          <w:sz w:val="26"/>
          <w:szCs w:val="26"/>
        </w:rPr>
      </w:pPr>
    </w:p>
    <w:p w14:paraId="53235312" w14:textId="5592A71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18.  </w:t>
      </w:r>
      <w:r w:rsidR="00307A4F">
        <w:rPr>
          <w:sz w:val="26"/>
          <w:szCs w:val="26"/>
        </w:rPr>
        <w:tab/>
      </w:r>
      <w:r w:rsidRPr="00E37897">
        <w:rPr>
          <w:sz w:val="26"/>
          <w:szCs w:val="26"/>
        </w:rPr>
        <w:t>The Consolidated Large Commercial and Industrial Class includes customers with annual peak demands greater than 100 kW on rate schedules GS, HT, PD, and EP.</w:t>
      </w:r>
    </w:p>
    <w:p w14:paraId="0D36C178" w14:textId="77777777" w:rsidR="00555E97" w:rsidRPr="00E37897" w:rsidRDefault="00555E97" w:rsidP="005F3BE2">
      <w:pPr>
        <w:widowControl/>
        <w:autoSpaceDE w:val="0"/>
        <w:autoSpaceDN w:val="0"/>
        <w:ind w:left="1440" w:right="1440"/>
        <w:contextualSpacing/>
        <w:rPr>
          <w:sz w:val="26"/>
          <w:szCs w:val="26"/>
        </w:rPr>
      </w:pPr>
    </w:p>
    <w:p w14:paraId="08A8C99A" w14:textId="77777777" w:rsidR="00555E97" w:rsidRPr="00E37897" w:rsidRDefault="00555E97" w:rsidP="005F3BE2">
      <w:pPr>
        <w:pStyle w:val="ListParagraph"/>
        <w:numPr>
          <w:ilvl w:val="0"/>
          <w:numId w:val="31"/>
        </w:numPr>
        <w:autoSpaceDE w:val="0"/>
        <w:autoSpaceDN w:val="0"/>
        <w:ind w:right="1440" w:firstLine="0"/>
        <w:contextualSpacing/>
        <w:rPr>
          <w:b/>
          <w:bCs/>
          <w:sz w:val="26"/>
          <w:szCs w:val="26"/>
        </w:rPr>
      </w:pPr>
      <w:r w:rsidRPr="00E37897">
        <w:rPr>
          <w:b/>
          <w:bCs/>
          <w:sz w:val="26"/>
          <w:szCs w:val="26"/>
        </w:rPr>
        <w:t>Residential Class</w:t>
      </w:r>
    </w:p>
    <w:p w14:paraId="4E4AC47A" w14:textId="77777777" w:rsidR="00555E97" w:rsidRPr="00E37897" w:rsidRDefault="00555E97" w:rsidP="005F3BE2">
      <w:pPr>
        <w:widowControl/>
        <w:autoSpaceDE w:val="0"/>
        <w:autoSpaceDN w:val="0"/>
        <w:ind w:left="1440" w:right="1440"/>
        <w:contextualSpacing/>
        <w:rPr>
          <w:b/>
          <w:bCs/>
          <w:sz w:val="26"/>
          <w:szCs w:val="26"/>
        </w:rPr>
      </w:pPr>
    </w:p>
    <w:p w14:paraId="25606A9E" w14:textId="761FEC72"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19. </w:t>
      </w:r>
      <w:r w:rsidR="00307A4F">
        <w:rPr>
          <w:sz w:val="26"/>
          <w:szCs w:val="26"/>
        </w:rPr>
        <w:tab/>
      </w:r>
      <w:r w:rsidRPr="00E37897">
        <w:rPr>
          <w:sz w:val="26"/>
          <w:szCs w:val="26"/>
        </w:rPr>
        <w:t xml:space="preserve"> For the Residential Class, PECO will continue to procure a mix of one-year (approximately 38%) and two-year (approximately 61%) fixed-price full requirements (“FPFR”) contracts, with six months spacing between the commencement of contract delivery periods.  During the Revised DSP V period, the remaining approximately 1% of Residential Class load will be supplied directly by PJM’s spot energy, capacity and ancillary services markets.</w:t>
      </w:r>
    </w:p>
    <w:p w14:paraId="7EE6F142" w14:textId="77777777" w:rsidR="00555E97" w:rsidRPr="00E37897" w:rsidRDefault="00555E97" w:rsidP="005F3BE2">
      <w:pPr>
        <w:widowControl/>
        <w:autoSpaceDE w:val="0"/>
        <w:autoSpaceDN w:val="0"/>
        <w:ind w:left="1440" w:right="1440"/>
        <w:contextualSpacing/>
        <w:rPr>
          <w:sz w:val="26"/>
          <w:szCs w:val="26"/>
        </w:rPr>
      </w:pPr>
    </w:p>
    <w:p w14:paraId="7CC26437" w14:textId="41BED73C"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20.  </w:t>
      </w:r>
      <w:r w:rsidR="00307A4F">
        <w:rPr>
          <w:sz w:val="26"/>
          <w:szCs w:val="26"/>
        </w:rPr>
        <w:tab/>
      </w:r>
      <w:r w:rsidRPr="00E37897">
        <w:rPr>
          <w:sz w:val="26"/>
          <w:szCs w:val="26"/>
        </w:rPr>
        <w:t>Suppliers will bid in a competitive, sealed-bid request for proposals (“RFP”) process on “tranches” corresponding to a percentage of the actual Residential default service customer load.  Winning suppliers will be obligated to supply full requirements load-following service, which includes energy, capacity, ancillary services, and all other services or products necessary to serve a specified percentage of PECO’s default service load in all hours during the supply product’s delivery period.</w:t>
      </w:r>
      <w:r w:rsidRPr="00E37897">
        <w:rPr>
          <w:rStyle w:val="FootnoteReference"/>
          <w:sz w:val="26"/>
          <w:szCs w:val="26"/>
        </w:rPr>
        <w:footnoteReference w:id="5"/>
      </w:r>
      <w:r w:rsidRPr="00E37897">
        <w:rPr>
          <w:sz w:val="26"/>
          <w:szCs w:val="26"/>
        </w:rPr>
        <w:t xml:space="preserve">  The full requirements product requires the </w:t>
      </w:r>
      <w:r w:rsidRPr="00E37897">
        <w:rPr>
          <w:sz w:val="26"/>
          <w:szCs w:val="26"/>
        </w:rPr>
        <w:lastRenderedPageBreak/>
        <w:t xml:space="preserve">supplier to provide PECO all necessary AECs described in Paragraph 30, </w:t>
      </w:r>
      <w:r w:rsidRPr="00E37897">
        <w:rPr>
          <w:i/>
          <w:iCs/>
          <w:sz w:val="26"/>
          <w:szCs w:val="26"/>
        </w:rPr>
        <w:t>infra</w:t>
      </w:r>
      <w:r w:rsidRPr="00E37897">
        <w:rPr>
          <w:sz w:val="26"/>
          <w:szCs w:val="26"/>
        </w:rPr>
        <w:t>, for compliance with Pennsylvania’s Alternative Energy Portfolio Standards (“AEPS”) Act, 73 P.S. § 1648.1 et seq.  Each of the contracts will be procured approximately two months prior to the beginning of the applicable contract delivery period.  As in DSP IV, PECO will continue to nominate PJM Auction Revenue Rights (“ARRs”) for the default service load.  To facilitate selection and transfer of ARRs to wholesale default service suppliers, PECO will continue to employ a consultant for ARR analysis and selection.</w:t>
      </w:r>
    </w:p>
    <w:p w14:paraId="488B79E8" w14:textId="77777777" w:rsidR="00555E97" w:rsidRPr="00E37897" w:rsidRDefault="00555E97" w:rsidP="005F3BE2">
      <w:pPr>
        <w:widowControl/>
        <w:autoSpaceDE w:val="0"/>
        <w:autoSpaceDN w:val="0"/>
        <w:ind w:left="1440" w:right="1440"/>
        <w:contextualSpacing/>
        <w:rPr>
          <w:sz w:val="26"/>
          <w:szCs w:val="26"/>
        </w:rPr>
      </w:pPr>
    </w:p>
    <w:p w14:paraId="29D090B9" w14:textId="51540285"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21.  </w:t>
      </w:r>
      <w:r w:rsidR="00307A4F">
        <w:rPr>
          <w:sz w:val="26"/>
          <w:szCs w:val="26"/>
        </w:rPr>
        <w:tab/>
      </w:r>
      <w:r w:rsidRPr="00E37897">
        <w:rPr>
          <w:sz w:val="26"/>
          <w:szCs w:val="26"/>
        </w:rPr>
        <w:t>The Joint Petitioners agree to the procurement terms and schedule for the Residential Class FPFR contracts set forth in PECO Exhibit No. JJM-3.</w:t>
      </w:r>
    </w:p>
    <w:p w14:paraId="414CE212" w14:textId="77777777" w:rsidR="00555E97" w:rsidRPr="00E37897" w:rsidRDefault="00555E97" w:rsidP="005F3BE2">
      <w:pPr>
        <w:widowControl/>
        <w:autoSpaceDE w:val="0"/>
        <w:autoSpaceDN w:val="0"/>
        <w:ind w:left="1440" w:right="1440"/>
        <w:contextualSpacing/>
        <w:rPr>
          <w:sz w:val="26"/>
          <w:szCs w:val="26"/>
        </w:rPr>
      </w:pPr>
    </w:p>
    <w:p w14:paraId="3D89B6B7" w14:textId="77777777" w:rsidR="00555E97" w:rsidRPr="00E37897" w:rsidRDefault="00555E97" w:rsidP="005F3BE2">
      <w:pPr>
        <w:keepNext/>
        <w:widowControl/>
        <w:autoSpaceDE w:val="0"/>
        <w:autoSpaceDN w:val="0"/>
        <w:ind w:left="2880" w:right="1440"/>
        <w:contextualSpacing/>
        <w:rPr>
          <w:b/>
          <w:bCs/>
          <w:sz w:val="26"/>
          <w:szCs w:val="26"/>
        </w:rPr>
      </w:pPr>
      <w:r w:rsidRPr="00E37897">
        <w:rPr>
          <w:b/>
          <w:bCs/>
          <w:sz w:val="26"/>
          <w:szCs w:val="26"/>
        </w:rPr>
        <w:t xml:space="preserve">(2) </w:t>
      </w:r>
      <w:r w:rsidRPr="00E37897">
        <w:rPr>
          <w:b/>
          <w:bCs/>
          <w:sz w:val="26"/>
          <w:szCs w:val="26"/>
        </w:rPr>
        <w:tab/>
        <w:t>Small Commercial Class</w:t>
      </w:r>
    </w:p>
    <w:p w14:paraId="67334CB7" w14:textId="77777777" w:rsidR="00555E97" w:rsidRPr="00E37897" w:rsidRDefault="00555E97" w:rsidP="005F3BE2">
      <w:pPr>
        <w:keepNext/>
        <w:widowControl/>
        <w:autoSpaceDE w:val="0"/>
        <w:autoSpaceDN w:val="0"/>
        <w:ind w:left="1440" w:right="1440"/>
        <w:contextualSpacing/>
        <w:rPr>
          <w:sz w:val="26"/>
          <w:szCs w:val="26"/>
        </w:rPr>
      </w:pPr>
    </w:p>
    <w:p w14:paraId="3612F833" w14:textId="65891491" w:rsidR="00555E97" w:rsidRPr="00E37897" w:rsidRDefault="00555E97" w:rsidP="005F3BE2">
      <w:pPr>
        <w:keepNext/>
        <w:widowControl/>
        <w:autoSpaceDE w:val="0"/>
        <w:autoSpaceDN w:val="0"/>
        <w:ind w:left="1440" w:right="1440"/>
        <w:contextualSpacing/>
        <w:rPr>
          <w:sz w:val="26"/>
          <w:szCs w:val="26"/>
        </w:rPr>
      </w:pPr>
      <w:r w:rsidRPr="00E37897">
        <w:rPr>
          <w:sz w:val="26"/>
          <w:szCs w:val="26"/>
        </w:rPr>
        <w:t xml:space="preserve">22.  </w:t>
      </w:r>
      <w:r w:rsidR="00307A4F">
        <w:rPr>
          <w:sz w:val="26"/>
          <w:szCs w:val="26"/>
        </w:rPr>
        <w:tab/>
      </w:r>
      <w:r w:rsidRPr="00E37897">
        <w:rPr>
          <w:sz w:val="26"/>
          <w:szCs w:val="26"/>
        </w:rPr>
        <w:t>The Small Commercial Class load will continue to be supplied by equal shares of one-year and two-year FPFR products.  Each of the contracts for the Small Commercial Class will be procured through a competitive sealed-bid process in the same manner as FPFR products for the Residential Class approximately two months prior to delivery of energy under the contract.</w:t>
      </w:r>
    </w:p>
    <w:p w14:paraId="10C88FB3" w14:textId="77777777" w:rsidR="00555E97" w:rsidRPr="00E37897" w:rsidRDefault="00555E97" w:rsidP="005F3BE2">
      <w:pPr>
        <w:widowControl/>
        <w:autoSpaceDE w:val="0"/>
        <w:autoSpaceDN w:val="0"/>
        <w:ind w:left="1440" w:right="1440"/>
        <w:contextualSpacing/>
        <w:rPr>
          <w:sz w:val="26"/>
          <w:szCs w:val="26"/>
        </w:rPr>
      </w:pPr>
    </w:p>
    <w:p w14:paraId="793D9154" w14:textId="56E6F1FD"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23.  </w:t>
      </w:r>
      <w:r w:rsidR="00307A4F">
        <w:rPr>
          <w:sz w:val="26"/>
          <w:szCs w:val="26"/>
        </w:rPr>
        <w:tab/>
      </w:r>
      <w:r w:rsidRPr="00E37897">
        <w:rPr>
          <w:sz w:val="26"/>
          <w:szCs w:val="26"/>
        </w:rPr>
        <w:t>The Joint Petitioners agree to the procurement terms and schedule for the Small Commercial Class FPFR contracts set forth in PECO Exhibit No. JJM-3.</w:t>
      </w:r>
    </w:p>
    <w:p w14:paraId="49FD3269" w14:textId="77777777" w:rsidR="00555E97" w:rsidRPr="00E37897" w:rsidRDefault="00555E97" w:rsidP="005F3BE2">
      <w:pPr>
        <w:widowControl/>
        <w:autoSpaceDE w:val="0"/>
        <w:autoSpaceDN w:val="0"/>
        <w:ind w:left="1440" w:right="1440"/>
        <w:contextualSpacing/>
        <w:rPr>
          <w:sz w:val="26"/>
          <w:szCs w:val="26"/>
        </w:rPr>
      </w:pPr>
    </w:p>
    <w:p w14:paraId="1183B965" w14:textId="77777777" w:rsidR="00555E97" w:rsidRPr="00E37897" w:rsidRDefault="00555E97" w:rsidP="005F3BE2">
      <w:pPr>
        <w:widowControl/>
        <w:autoSpaceDE w:val="0"/>
        <w:autoSpaceDN w:val="0"/>
        <w:ind w:left="3600" w:right="1440" w:hanging="720"/>
        <w:contextualSpacing/>
        <w:rPr>
          <w:b/>
          <w:bCs/>
          <w:sz w:val="26"/>
          <w:szCs w:val="26"/>
        </w:rPr>
      </w:pPr>
      <w:r w:rsidRPr="00E37897">
        <w:rPr>
          <w:b/>
          <w:bCs/>
          <w:sz w:val="26"/>
          <w:szCs w:val="26"/>
        </w:rPr>
        <w:t>(3)</w:t>
      </w:r>
      <w:r w:rsidRPr="00E37897">
        <w:rPr>
          <w:b/>
          <w:bCs/>
          <w:sz w:val="26"/>
          <w:szCs w:val="26"/>
        </w:rPr>
        <w:tab/>
        <w:t>Consolidated Large Commercial and Industrial Class</w:t>
      </w:r>
    </w:p>
    <w:p w14:paraId="056C039A" w14:textId="77777777" w:rsidR="00555E97" w:rsidRPr="00E37897" w:rsidRDefault="00555E97" w:rsidP="005F3BE2">
      <w:pPr>
        <w:widowControl/>
        <w:autoSpaceDE w:val="0"/>
        <w:autoSpaceDN w:val="0"/>
        <w:ind w:left="1440" w:right="1440"/>
        <w:contextualSpacing/>
        <w:rPr>
          <w:sz w:val="26"/>
          <w:szCs w:val="26"/>
        </w:rPr>
      </w:pPr>
    </w:p>
    <w:p w14:paraId="1BD2EF5B" w14:textId="74DE65A7" w:rsidR="00555E97" w:rsidRDefault="00555E97" w:rsidP="005F3BE2">
      <w:pPr>
        <w:widowControl/>
        <w:autoSpaceDE w:val="0"/>
        <w:autoSpaceDN w:val="0"/>
        <w:ind w:left="1440" w:right="1440"/>
        <w:contextualSpacing/>
        <w:rPr>
          <w:sz w:val="26"/>
          <w:szCs w:val="26"/>
        </w:rPr>
      </w:pPr>
      <w:r w:rsidRPr="00E37897">
        <w:rPr>
          <w:sz w:val="26"/>
          <w:szCs w:val="26"/>
        </w:rPr>
        <w:t xml:space="preserve">24.  </w:t>
      </w:r>
      <w:r w:rsidR="00307A4F">
        <w:rPr>
          <w:sz w:val="26"/>
          <w:szCs w:val="26"/>
        </w:rPr>
        <w:tab/>
      </w:r>
      <w:r w:rsidRPr="00E37897">
        <w:rPr>
          <w:sz w:val="26"/>
          <w:szCs w:val="26"/>
        </w:rPr>
        <w:t>For its Consolidated Large Commercial and Industrial customers, PECO will continue to solicit twelve-month hourly-priced full requirements products, without overlap, for all default service supply.</w:t>
      </w:r>
    </w:p>
    <w:p w14:paraId="24F7BC7B" w14:textId="77777777" w:rsidR="00A340C7" w:rsidRPr="00E37897" w:rsidRDefault="00A340C7" w:rsidP="005F3BE2">
      <w:pPr>
        <w:widowControl/>
        <w:autoSpaceDE w:val="0"/>
        <w:autoSpaceDN w:val="0"/>
        <w:ind w:left="1440" w:right="1440"/>
        <w:contextualSpacing/>
        <w:rPr>
          <w:sz w:val="26"/>
          <w:szCs w:val="26"/>
        </w:rPr>
      </w:pPr>
    </w:p>
    <w:p w14:paraId="455866F6" w14:textId="12EEA358"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25.  </w:t>
      </w:r>
      <w:r w:rsidR="00307A4F">
        <w:rPr>
          <w:sz w:val="26"/>
          <w:szCs w:val="26"/>
        </w:rPr>
        <w:tab/>
      </w:r>
      <w:r w:rsidRPr="00E37897">
        <w:rPr>
          <w:sz w:val="26"/>
          <w:szCs w:val="26"/>
        </w:rPr>
        <w:t>PECO will procure default service supply for the Consolidated Large Commercial and Industrial Class annually as shown on PECO Exhibit No. JJM-3.</w:t>
      </w:r>
    </w:p>
    <w:p w14:paraId="6B72C188" w14:textId="77777777" w:rsidR="00555E97" w:rsidRPr="00E37897" w:rsidRDefault="00555E97" w:rsidP="005F3BE2">
      <w:pPr>
        <w:widowControl/>
        <w:autoSpaceDE w:val="0"/>
        <w:autoSpaceDN w:val="0"/>
        <w:ind w:left="1440" w:right="1440"/>
        <w:contextualSpacing/>
        <w:rPr>
          <w:sz w:val="26"/>
          <w:szCs w:val="26"/>
        </w:rPr>
      </w:pPr>
    </w:p>
    <w:p w14:paraId="2C777A44" w14:textId="77777777" w:rsidR="00555E97" w:rsidRPr="00E37897" w:rsidRDefault="00555E97" w:rsidP="005F3BE2">
      <w:pPr>
        <w:widowControl/>
        <w:autoSpaceDE w:val="0"/>
        <w:autoSpaceDN w:val="0"/>
        <w:ind w:left="2880" w:right="1440" w:hanging="720"/>
        <w:contextualSpacing/>
        <w:rPr>
          <w:b/>
          <w:bCs/>
          <w:sz w:val="26"/>
          <w:szCs w:val="26"/>
        </w:rPr>
      </w:pPr>
      <w:r w:rsidRPr="00E37897">
        <w:rPr>
          <w:b/>
          <w:bCs/>
          <w:sz w:val="26"/>
          <w:szCs w:val="26"/>
        </w:rPr>
        <w:lastRenderedPageBreak/>
        <w:t xml:space="preserve">B. </w:t>
      </w:r>
      <w:r w:rsidRPr="00E37897">
        <w:rPr>
          <w:b/>
          <w:bCs/>
          <w:sz w:val="26"/>
          <w:szCs w:val="26"/>
        </w:rPr>
        <w:tab/>
        <w:t>Default Service Implementation Plan and Independent Evaluator</w:t>
      </w:r>
    </w:p>
    <w:p w14:paraId="7E9A3FEB" w14:textId="77777777" w:rsidR="00555E97" w:rsidRPr="00E37897" w:rsidRDefault="00555E97" w:rsidP="005F3BE2">
      <w:pPr>
        <w:widowControl/>
        <w:autoSpaceDE w:val="0"/>
        <w:autoSpaceDN w:val="0"/>
        <w:ind w:left="1440" w:right="1440"/>
        <w:contextualSpacing/>
        <w:rPr>
          <w:sz w:val="26"/>
          <w:szCs w:val="26"/>
        </w:rPr>
      </w:pPr>
    </w:p>
    <w:p w14:paraId="7E930391" w14:textId="67FD1B31"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26.  </w:t>
      </w:r>
      <w:r w:rsidR="00307A4F">
        <w:rPr>
          <w:sz w:val="26"/>
          <w:szCs w:val="26"/>
        </w:rPr>
        <w:tab/>
      </w:r>
      <w:r w:rsidRPr="00E37897">
        <w:rPr>
          <w:sz w:val="26"/>
          <w:szCs w:val="26"/>
        </w:rPr>
        <w:t>The Joint Petitioners agree to the form of the Supplier Master Agreement (“SMA”) that PECO will execute with wholesale suppliers that are successful bidders in PECO’s default service supply procurements set forth in PECO Exhibit No. JJM-4.</w:t>
      </w:r>
    </w:p>
    <w:p w14:paraId="68FCD2C6" w14:textId="77777777" w:rsidR="00555E97" w:rsidRPr="00E37897" w:rsidRDefault="00555E97" w:rsidP="005F3BE2">
      <w:pPr>
        <w:widowControl/>
        <w:autoSpaceDE w:val="0"/>
        <w:autoSpaceDN w:val="0"/>
        <w:ind w:left="1440" w:right="1440"/>
        <w:contextualSpacing/>
        <w:rPr>
          <w:sz w:val="26"/>
          <w:szCs w:val="26"/>
        </w:rPr>
      </w:pPr>
    </w:p>
    <w:p w14:paraId="462EF4EF" w14:textId="740917CA"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27.  </w:t>
      </w:r>
      <w:r w:rsidR="00307A4F">
        <w:rPr>
          <w:sz w:val="26"/>
          <w:szCs w:val="26"/>
        </w:rPr>
        <w:tab/>
      </w:r>
      <w:r w:rsidRPr="00E37897">
        <w:rPr>
          <w:sz w:val="26"/>
          <w:szCs w:val="26"/>
        </w:rPr>
        <w:t>The Joint Petitioners agree to the Requests for Proposals (“RFP”) for PECO’s competitive sealed-bid solicitations and the RFP protocol set forth in PECO Exhibit Nos. JJM-6 and JJM-7, respectively.</w:t>
      </w:r>
    </w:p>
    <w:p w14:paraId="12774A19" w14:textId="77777777"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 </w:t>
      </w:r>
    </w:p>
    <w:p w14:paraId="05624953" w14:textId="1BE29D4A"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28.  </w:t>
      </w:r>
      <w:r w:rsidR="00307A4F">
        <w:rPr>
          <w:sz w:val="26"/>
          <w:szCs w:val="26"/>
        </w:rPr>
        <w:tab/>
      </w:r>
      <w:r w:rsidRPr="00E37897">
        <w:rPr>
          <w:sz w:val="26"/>
          <w:szCs w:val="26"/>
        </w:rPr>
        <w:t>PECO will again appoint NERA Economic Consulting, Inc. (“NERA”) as the third-party independent evaluator for PECO’s default service procurements.</w:t>
      </w:r>
    </w:p>
    <w:p w14:paraId="26A39706" w14:textId="77777777" w:rsidR="00555E97" w:rsidRPr="00E37897" w:rsidRDefault="00555E97" w:rsidP="005F3BE2">
      <w:pPr>
        <w:widowControl/>
        <w:autoSpaceDE w:val="0"/>
        <w:autoSpaceDN w:val="0"/>
        <w:ind w:left="1440" w:right="1440"/>
        <w:contextualSpacing/>
        <w:rPr>
          <w:sz w:val="26"/>
          <w:szCs w:val="26"/>
        </w:rPr>
      </w:pPr>
    </w:p>
    <w:p w14:paraId="6CE5788D" w14:textId="5FB8F1ED"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29.  </w:t>
      </w:r>
      <w:r w:rsidR="00307A4F">
        <w:rPr>
          <w:sz w:val="26"/>
          <w:szCs w:val="26"/>
        </w:rPr>
        <w:tab/>
      </w:r>
      <w:r w:rsidRPr="00E37897">
        <w:rPr>
          <w:sz w:val="26"/>
          <w:szCs w:val="26"/>
        </w:rPr>
        <w:t>The Commission has previously approved PECO’s SMA as an affiliated interest agreement so that PECO’s affiliates may participate in default service supply procurements, and PECO is maintaining the same protocols and other protections in its Revised DSP V to be administered by the Independent Evaluator.  In the event that an affiliate of PECO is a winning bidder in a default supply procurement, it will need to execute the SMA in the same manner and time period as other bidders.  The Joint Petitioners support PECO’s request for advance approval of the SMA (PECO Exhibit JJM-4) by the Commission as an affiliated interest agreement.</w:t>
      </w:r>
    </w:p>
    <w:p w14:paraId="3A4E9BFB" w14:textId="77777777" w:rsidR="00555E97" w:rsidRPr="00E37897" w:rsidRDefault="00555E97" w:rsidP="005F3BE2">
      <w:pPr>
        <w:widowControl/>
        <w:autoSpaceDE w:val="0"/>
        <w:autoSpaceDN w:val="0"/>
        <w:ind w:left="1440" w:right="1440"/>
        <w:contextualSpacing/>
        <w:rPr>
          <w:sz w:val="26"/>
          <w:szCs w:val="26"/>
        </w:rPr>
      </w:pPr>
    </w:p>
    <w:p w14:paraId="74C2AF3E" w14:textId="77777777" w:rsidR="00555E97" w:rsidRPr="00E37897" w:rsidRDefault="00555E97" w:rsidP="005F3BE2">
      <w:pPr>
        <w:widowControl/>
        <w:autoSpaceDE w:val="0"/>
        <w:autoSpaceDN w:val="0"/>
        <w:ind w:left="2880" w:right="1440" w:hanging="720"/>
        <w:contextualSpacing/>
        <w:rPr>
          <w:b/>
          <w:bCs/>
          <w:sz w:val="26"/>
          <w:szCs w:val="26"/>
        </w:rPr>
      </w:pPr>
      <w:r w:rsidRPr="00E37897">
        <w:rPr>
          <w:b/>
          <w:bCs/>
          <w:sz w:val="26"/>
          <w:szCs w:val="26"/>
        </w:rPr>
        <w:t xml:space="preserve">C. </w:t>
      </w:r>
      <w:r w:rsidRPr="00E37897">
        <w:rPr>
          <w:b/>
          <w:bCs/>
          <w:sz w:val="26"/>
          <w:szCs w:val="26"/>
        </w:rPr>
        <w:tab/>
        <w:t>Alternative Energy Portfolio Standards (“AEPS”) Act Compliance</w:t>
      </w:r>
    </w:p>
    <w:p w14:paraId="6BC9CD2A" w14:textId="77777777" w:rsidR="00555E97" w:rsidRPr="00E37897" w:rsidRDefault="00555E97" w:rsidP="005F3BE2">
      <w:pPr>
        <w:widowControl/>
        <w:autoSpaceDE w:val="0"/>
        <w:autoSpaceDN w:val="0"/>
        <w:ind w:left="1440" w:right="1440"/>
        <w:contextualSpacing/>
        <w:rPr>
          <w:sz w:val="26"/>
          <w:szCs w:val="26"/>
        </w:rPr>
      </w:pPr>
    </w:p>
    <w:p w14:paraId="37D0B6F9" w14:textId="55260D54"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30.  </w:t>
      </w:r>
      <w:r w:rsidR="00307A4F">
        <w:rPr>
          <w:sz w:val="26"/>
          <w:szCs w:val="26"/>
        </w:rPr>
        <w:tab/>
      </w:r>
      <w:r w:rsidRPr="00E37897">
        <w:rPr>
          <w:sz w:val="26"/>
          <w:szCs w:val="26"/>
        </w:rPr>
        <w:t xml:space="preserve">Under the SMA, as in DSP IV, PECO will continue to require each full requirements default service supplier to transfer Tier I (including solar photovoltaic) and Tier II alternative energy credits (“AECs”) to PECO corresponding to PECO’s AEPS obligations associated with the amount of default service load served by that supplier.  In addition, PECO will continue to allocate AECs obtained through its separate AEC procurements to suppliers in accordance with the percentage of load served by each supplier.  PECO will </w:t>
      </w:r>
      <w:r w:rsidRPr="00E37897">
        <w:rPr>
          <w:sz w:val="26"/>
          <w:szCs w:val="26"/>
        </w:rPr>
        <w:lastRenderedPageBreak/>
        <w:t>retain any portion of its AEC inventory to meet AEPS obligations not provided for by fixed-price full requirements suppliers and procure any additional required AECs through PECO’s Tier I and Tier II “balancing” procurements previously authorized by the Commission.</w:t>
      </w:r>
    </w:p>
    <w:p w14:paraId="5D084BE4" w14:textId="77777777" w:rsidR="00555E97" w:rsidRPr="00E37897" w:rsidRDefault="00555E97" w:rsidP="005F3BE2">
      <w:pPr>
        <w:widowControl/>
        <w:autoSpaceDE w:val="0"/>
        <w:autoSpaceDN w:val="0"/>
        <w:ind w:left="1440" w:right="1440"/>
        <w:contextualSpacing/>
        <w:rPr>
          <w:sz w:val="26"/>
          <w:szCs w:val="26"/>
        </w:rPr>
      </w:pPr>
    </w:p>
    <w:p w14:paraId="22545713" w14:textId="2FDA2F8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31.  </w:t>
      </w:r>
      <w:r w:rsidR="00307A4F">
        <w:rPr>
          <w:sz w:val="26"/>
          <w:szCs w:val="26"/>
        </w:rPr>
        <w:tab/>
      </w:r>
      <w:r w:rsidRPr="00E37897">
        <w:rPr>
          <w:sz w:val="26"/>
          <w:szCs w:val="26"/>
        </w:rPr>
        <w:t>PECO will also conduct two solicitations in both 2021 and 2022 for ten-year Solar AEC contracts to deliver a total of 16,000 Solar AECs annually (i.e., 4,000 Solar AECs in each of four solicitations).  PECO will procure up to half of each year’s Solar AEC amount from solar generating facilities located within its service area.</w:t>
      </w:r>
    </w:p>
    <w:p w14:paraId="189D474D" w14:textId="77777777" w:rsidR="00555E97" w:rsidRPr="00E37897" w:rsidRDefault="00555E97" w:rsidP="005F3BE2">
      <w:pPr>
        <w:widowControl/>
        <w:autoSpaceDE w:val="0"/>
        <w:autoSpaceDN w:val="0"/>
        <w:ind w:left="1440" w:right="1440"/>
        <w:contextualSpacing/>
        <w:rPr>
          <w:sz w:val="26"/>
          <w:szCs w:val="26"/>
        </w:rPr>
      </w:pPr>
    </w:p>
    <w:p w14:paraId="64C50ED1" w14:textId="605D0F2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32.  </w:t>
      </w:r>
      <w:r w:rsidR="00307A4F">
        <w:rPr>
          <w:sz w:val="26"/>
          <w:szCs w:val="26"/>
        </w:rPr>
        <w:tab/>
      </w:r>
      <w:r w:rsidRPr="00E37897">
        <w:rPr>
          <w:sz w:val="26"/>
          <w:szCs w:val="26"/>
        </w:rPr>
        <w:t>The first stage of each annual RFP will consist of a competitive procurement where the winning bidders will be determined by lowest Solar AEC prices offered.  The second stage will be a Standard Offer to Purchase Solar AECs at the quantity-weighted average of the winning competitive prices determined by the first stage RFP, with the requirement that the Solar AECs from stage two bidders come from solar generation resources located in the PECO service area.</w:t>
      </w:r>
    </w:p>
    <w:p w14:paraId="76D64A74" w14:textId="77777777" w:rsidR="00555E97" w:rsidRPr="00E37897" w:rsidRDefault="00555E97" w:rsidP="005F3BE2">
      <w:pPr>
        <w:widowControl/>
        <w:autoSpaceDE w:val="0"/>
        <w:autoSpaceDN w:val="0"/>
        <w:ind w:left="1440" w:right="1440"/>
        <w:contextualSpacing/>
        <w:rPr>
          <w:sz w:val="26"/>
          <w:szCs w:val="26"/>
        </w:rPr>
      </w:pPr>
    </w:p>
    <w:p w14:paraId="15F33EE0" w14:textId="6D1A1F5B"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33.  </w:t>
      </w:r>
      <w:r w:rsidR="00307A4F">
        <w:rPr>
          <w:sz w:val="26"/>
          <w:szCs w:val="26"/>
        </w:rPr>
        <w:tab/>
      </w:r>
      <w:r w:rsidRPr="00E37897">
        <w:rPr>
          <w:sz w:val="26"/>
          <w:szCs w:val="26"/>
        </w:rPr>
        <w:t>The Joint Petitioners agree to the use of the RFP rules for Solar AEC procurements and both forms of the Solar Alternative Energy Credit Purchase and Sale Agreement (a Project Version and an Aggregator Version), which each winning bidder will be required to execute, set forth in PECO Exhibit No. JJM-10.</w:t>
      </w:r>
    </w:p>
    <w:p w14:paraId="30DAC584" w14:textId="77777777" w:rsidR="006E7B16" w:rsidRDefault="006E7B16" w:rsidP="005F3BE2">
      <w:pPr>
        <w:widowControl/>
        <w:autoSpaceDE w:val="0"/>
        <w:autoSpaceDN w:val="0"/>
        <w:ind w:left="2160" w:right="1440"/>
        <w:contextualSpacing/>
        <w:rPr>
          <w:b/>
          <w:bCs/>
          <w:sz w:val="26"/>
          <w:szCs w:val="26"/>
        </w:rPr>
      </w:pPr>
    </w:p>
    <w:p w14:paraId="6EE3BBB0" w14:textId="4D076C83" w:rsidR="00555E97" w:rsidRPr="00E37897" w:rsidRDefault="00555E97" w:rsidP="005F3BE2">
      <w:pPr>
        <w:widowControl/>
        <w:autoSpaceDE w:val="0"/>
        <w:autoSpaceDN w:val="0"/>
        <w:ind w:left="2160" w:right="1440"/>
        <w:contextualSpacing/>
        <w:rPr>
          <w:b/>
          <w:bCs/>
          <w:sz w:val="26"/>
          <w:szCs w:val="26"/>
        </w:rPr>
      </w:pPr>
      <w:r w:rsidRPr="00E37897">
        <w:rPr>
          <w:b/>
          <w:bCs/>
          <w:sz w:val="26"/>
          <w:szCs w:val="26"/>
        </w:rPr>
        <w:t xml:space="preserve">D. </w:t>
      </w:r>
      <w:r w:rsidRPr="00E37897">
        <w:rPr>
          <w:b/>
          <w:bCs/>
          <w:sz w:val="26"/>
          <w:szCs w:val="26"/>
        </w:rPr>
        <w:tab/>
        <w:t>Contingency Plans</w:t>
      </w:r>
    </w:p>
    <w:p w14:paraId="31A4464D" w14:textId="77777777" w:rsidR="00555E97" w:rsidRPr="00E37897" w:rsidRDefault="00555E97" w:rsidP="005F3BE2">
      <w:pPr>
        <w:widowControl/>
        <w:autoSpaceDE w:val="0"/>
        <w:autoSpaceDN w:val="0"/>
        <w:ind w:left="1440" w:right="1440"/>
        <w:contextualSpacing/>
        <w:rPr>
          <w:sz w:val="26"/>
          <w:szCs w:val="26"/>
        </w:rPr>
      </w:pPr>
    </w:p>
    <w:p w14:paraId="0629B917" w14:textId="77777777" w:rsidR="00555E97" w:rsidRPr="00E37897" w:rsidRDefault="00555E97" w:rsidP="005F3BE2">
      <w:pPr>
        <w:widowControl/>
        <w:autoSpaceDE w:val="0"/>
        <w:autoSpaceDN w:val="0"/>
        <w:ind w:left="2880" w:right="1440"/>
        <w:contextualSpacing/>
        <w:rPr>
          <w:b/>
          <w:bCs/>
          <w:sz w:val="26"/>
          <w:szCs w:val="26"/>
        </w:rPr>
      </w:pPr>
      <w:r w:rsidRPr="00E37897">
        <w:rPr>
          <w:b/>
          <w:bCs/>
          <w:sz w:val="26"/>
          <w:szCs w:val="26"/>
        </w:rPr>
        <w:t xml:space="preserve">(1) </w:t>
      </w:r>
      <w:r w:rsidRPr="00E37897">
        <w:rPr>
          <w:b/>
          <w:bCs/>
          <w:sz w:val="26"/>
          <w:szCs w:val="26"/>
        </w:rPr>
        <w:tab/>
        <w:t>Full Requirements</w:t>
      </w:r>
    </w:p>
    <w:p w14:paraId="09AE54EA" w14:textId="77777777" w:rsidR="00555E97" w:rsidRPr="00E37897" w:rsidRDefault="00555E97" w:rsidP="005F3BE2">
      <w:pPr>
        <w:widowControl/>
        <w:autoSpaceDE w:val="0"/>
        <w:autoSpaceDN w:val="0"/>
        <w:ind w:left="1440" w:right="1440"/>
        <w:contextualSpacing/>
        <w:rPr>
          <w:sz w:val="26"/>
          <w:szCs w:val="26"/>
        </w:rPr>
      </w:pPr>
    </w:p>
    <w:p w14:paraId="7FFC5944" w14:textId="1E31D302"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34.  </w:t>
      </w:r>
      <w:r w:rsidR="00307A4F">
        <w:rPr>
          <w:sz w:val="26"/>
          <w:szCs w:val="26"/>
        </w:rPr>
        <w:tab/>
      </w:r>
      <w:r w:rsidRPr="00E37897">
        <w:rPr>
          <w:sz w:val="26"/>
          <w:szCs w:val="26"/>
        </w:rPr>
        <w:t>PECO will continue utilizing the contingency plans approved in prior default service programs.  Specifically, in the event PECO fails to obtain sufficient approved bids for all offered tranches for a product in a solicitation, the unfilled tranches will be included in PECO’s next default supply solicitation for that product.  PECO will supply any unserved portion of its default service load from the PJM-administered markets for energy, capacity and ancillary services.</w:t>
      </w:r>
    </w:p>
    <w:p w14:paraId="0EF971C1" w14:textId="77777777" w:rsidR="00555E97" w:rsidRPr="00E37897" w:rsidRDefault="00555E97" w:rsidP="005F3BE2">
      <w:pPr>
        <w:widowControl/>
        <w:autoSpaceDE w:val="0"/>
        <w:autoSpaceDN w:val="0"/>
        <w:ind w:left="1440" w:right="1440"/>
        <w:contextualSpacing/>
        <w:rPr>
          <w:sz w:val="26"/>
          <w:szCs w:val="26"/>
        </w:rPr>
      </w:pPr>
    </w:p>
    <w:p w14:paraId="128DA9E5" w14:textId="7878AB65" w:rsidR="00555E97" w:rsidRPr="00E37897" w:rsidRDefault="00555E97" w:rsidP="005F3BE2">
      <w:pPr>
        <w:widowControl/>
        <w:autoSpaceDE w:val="0"/>
        <w:autoSpaceDN w:val="0"/>
        <w:ind w:left="1440" w:right="1440"/>
        <w:contextualSpacing/>
        <w:rPr>
          <w:sz w:val="26"/>
          <w:szCs w:val="26"/>
        </w:rPr>
      </w:pPr>
      <w:r w:rsidRPr="00E37897">
        <w:rPr>
          <w:sz w:val="26"/>
          <w:szCs w:val="26"/>
        </w:rPr>
        <w:lastRenderedPageBreak/>
        <w:t xml:space="preserve">35.  </w:t>
      </w:r>
      <w:r w:rsidR="00307A4F">
        <w:rPr>
          <w:sz w:val="26"/>
          <w:szCs w:val="26"/>
        </w:rPr>
        <w:tab/>
      </w:r>
      <w:r w:rsidRPr="00E37897">
        <w:rPr>
          <w:sz w:val="26"/>
          <w:szCs w:val="26"/>
        </w:rPr>
        <w:t>If a supplier default occurs within a reasonable time before a scheduled procurement, the load served by the defaulting supplier will be incorporated into that next procurement.  Otherwise, PECO will file a plan with the Commission proposing alternative procurement options and a request for approval on an expedited basis.</w:t>
      </w:r>
    </w:p>
    <w:p w14:paraId="5FBB732E" w14:textId="77777777" w:rsidR="00555E97" w:rsidRPr="00E37897" w:rsidRDefault="00555E97" w:rsidP="005F3BE2">
      <w:pPr>
        <w:widowControl/>
        <w:autoSpaceDE w:val="0"/>
        <w:autoSpaceDN w:val="0"/>
        <w:ind w:left="1440" w:right="1440"/>
        <w:contextualSpacing/>
        <w:rPr>
          <w:sz w:val="26"/>
          <w:szCs w:val="26"/>
        </w:rPr>
      </w:pPr>
    </w:p>
    <w:p w14:paraId="353EA65F" w14:textId="77777777" w:rsidR="00555E97" w:rsidRPr="00E37897" w:rsidRDefault="00555E97" w:rsidP="005F3BE2">
      <w:pPr>
        <w:widowControl/>
        <w:autoSpaceDE w:val="0"/>
        <w:autoSpaceDN w:val="0"/>
        <w:ind w:left="2880" w:right="1440"/>
        <w:contextualSpacing/>
        <w:rPr>
          <w:b/>
          <w:bCs/>
          <w:sz w:val="26"/>
          <w:szCs w:val="26"/>
        </w:rPr>
      </w:pPr>
      <w:r w:rsidRPr="00E37897">
        <w:rPr>
          <w:b/>
          <w:bCs/>
          <w:sz w:val="26"/>
          <w:szCs w:val="26"/>
        </w:rPr>
        <w:t xml:space="preserve">(2) </w:t>
      </w:r>
      <w:r w:rsidRPr="00E37897">
        <w:rPr>
          <w:b/>
          <w:bCs/>
          <w:sz w:val="26"/>
          <w:szCs w:val="26"/>
        </w:rPr>
        <w:tab/>
        <w:t>AEPS Requirements</w:t>
      </w:r>
    </w:p>
    <w:p w14:paraId="3F814B40" w14:textId="77777777" w:rsidR="00555E97" w:rsidRPr="00E37897" w:rsidRDefault="00555E97" w:rsidP="005F3BE2">
      <w:pPr>
        <w:widowControl/>
        <w:autoSpaceDE w:val="0"/>
        <w:autoSpaceDN w:val="0"/>
        <w:ind w:left="1440" w:right="1440"/>
        <w:contextualSpacing/>
        <w:rPr>
          <w:sz w:val="26"/>
          <w:szCs w:val="26"/>
        </w:rPr>
      </w:pPr>
    </w:p>
    <w:p w14:paraId="5E30ADB1" w14:textId="48544052"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36.  </w:t>
      </w:r>
      <w:r w:rsidR="00307A4F">
        <w:rPr>
          <w:sz w:val="26"/>
          <w:szCs w:val="26"/>
        </w:rPr>
        <w:tab/>
      </w:r>
      <w:r w:rsidRPr="00E37897">
        <w:rPr>
          <w:sz w:val="26"/>
          <w:szCs w:val="26"/>
        </w:rPr>
        <w:t xml:space="preserve">In the event that PECO’s 2021 RFP for Solar AECs is unsuccessful or there is insufficient participant interest, the </w:t>
      </w:r>
      <w:proofErr w:type="gramStart"/>
      <w:r w:rsidRPr="00E37897">
        <w:rPr>
          <w:sz w:val="26"/>
          <w:szCs w:val="26"/>
        </w:rPr>
        <w:t>amount</w:t>
      </w:r>
      <w:proofErr w:type="gramEnd"/>
      <w:r w:rsidRPr="00E37897">
        <w:rPr>
          <w:sz w:val="26"/>
          <w:szCs w:val="26"/>
        </w:rPr>
        <w:t xml:space="preserve"> of solar AECs not under contract will be added to the amount procured in the 2022 procurement process.  If PECO is unable to obtain its full 16,000 Solar AECs after completing the 2021 and the 2022 procurements, any shortfall will be met by wholesale suppliers who are obligated to transfer enough Solar AECs to meet AEPS requirements for the percentage of default service load that they supply under the SMA.</w:t>
      </w:r>
    </w:p>
    <w:p w14:paraId="0C84382B" w14:textId="77777777" w:rsidR="00555E97" w:rsidRPr="00E37897" w:rsidRDefault="00555E97" w:rsidP="005F3BE2">
      <w:pPr>
        <w:widowControl/>
        <w:autoSpaceDE w:val="0"/>
        <w:autoSpaceDN w:val="0"/>
        <w:ind w:left="1440" w:right="1440"/>
        <w:contextualSpacing/>
        <w:rPr>
          <w:sz w:val="26"/>
          <w:szCs w:val="26"/>
        </w:rPr>
      </w:pPr>
    </w:p>
    <w:p w14:paraId="476B8D6E" w14:textId="77777777" w:rsidR="00555E97" w:rsidRPr="00E37897" w:rsidRDefault="00555E97" w:rsidP="005F3BE2">
      <w:pPr>
        <w:widowControl/>
        <w:autoSpaceDE w:val="0"/>
        <w:autoSpaceDN w:val="0"/>
        <w:ind w:left="2160" w:right="1440"/>
        <w:contextualSpacing/>
        <w:rPr>
          <w:b/>
          <w:bCs/>
          <w:sz w:val="26"/>
          <w:szCs w:val="26"/>
        </w:rPr>
      </w:pPr>
      <w:r w:rsidRPr="00E37897">
        <w:rPr>
          <w:b/>
          <w:bCs/>
          <w:sz w:val="26"/>
          <w:szCs w:val="26"/>
        </w:rPr>
        <w:t xml:space="preserve">E. </w:t>
      </w:r>
      <w:r w:rsidRPr="00E37897">
        <w:rPr>
          <w:b/>
          <w:bCs/>
          <w:sz w:val="26"/>
          <w:szCs w:val="26"/>
        </w:rPr>
        <w:tab/>
        <w:t xml:space="preserve">Rate Design </w:t>
      </w:r>
      <w:proofErr w:type="gramStart"/>
      <w:r w:rsidRPr="00E37897">
        <w:rPr>
          <w:b/>
          <w:bCs/>
          <w:sz w:val="26"/>
          <w:szCs w:val="26"/>
        </w:rPr>
        <w:t>And</w:t>
      </w:r>
      <w:proofErr w:type="gramEnd"/>
      <w:r w:rsidRPr="00E37897">
        <w:rPr>
          <w:b/>
          <w:bCs/>
          <w:sz w:val="26"/>
          <w:szCs w:val="26"/>
        </w:rPr>
        <w:t xml:space="preserve"> Cost Recovery</w:t>
      </w:r>
    </w:p>
    <w:p w14:paraId="041D9D91" w14:textId="77777777" w:rsidR="00555E97" w:rsidRPr="00E37897" w:rsidRDefault="00555E97" w:rsidP="005F3BE2">
      <w:pPr>
        <w:widowControl/>
        <w:autoSpaceDE w:val="0"/>
        <w:autoSpaceDN w:val="0"/>
        <w:ind w:left="1440" w:right="1440"/>
        <w:contextualSpacing/>
        <w:rPr>
          <w:b/>
          <w:bCs/>
          <w:sz w:val="26"/>
          <w:szCs w:val="26"/>
        </w:rPr>
      </w:pPr>
    </w:p>
    <w:p w14:paraId="7F3266AA" w14:textId="77777777" w:rsidR="00555E97" w:rsidRPr="00E37897" w:rsidRDefault="00555E97" w:rsidP="005F3BE2">
      <w:pPr>
        <w:widowControl/>
        <w:autoSpaceDE w:val="0"/>
        <w:autoSpaceDN w:val="0"/>
        <w:ind w:left="2880" w:right="1440"/>
        <w:contextualSpacing/>
        <w:rPr>
          <w:b/>
          <w:bCs/>
          <w:sz w:val="26"/>
          <w:szCs w:val="26"/>
        </w:rPr>
      </w:pPr>
      <w:r w:rsidRPr="00E37897">
        <w:rPr>
          <w:b/>
          <w:bCs/>
          <w:sz w:val="26"/>
          <w:szCs w:val="26"/>
        </w:rPr>
        <w:t>(1)</w:t>
      </w:r>
      <w:r w:rsidRPr="00E37897">
        <w:rPr>
          <w:b/>
          <w:bCs/>
          <w:sz w:val="26"/>
          <w:szCs w:val="26"/>
        </w:rPr>
        <w:tab/>
        <w:t>Generation Supply Adjustment</w:t>
      </w:r>
    </w:p>
    <w:p w14:paraId="4B99814B" w14:textId="77777777" w:rsidR="00555E97" w:rsidRPr="00E37897" w:rsidRDefault="00555E97" w:rsidP="005F3BE2">
      <w:pPr>
        <w:widowControl/>
        <w:autoSpaceDE w:val="0"/>
        <w:autoSpaceDN w:val="0"/>
        <w:ind w:left="1440" w:right="1440"/>
        <w:contextualSpacing/>
        <w:rPr>
          <w:sz w:val="26"/>
          <w:szCs w:val="26"/>
        </w:rPr>
      </w:pPr>
    </w:p>
    <w:p w14:paraId="5B01E5B3" w14:textId="633462BA"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37.  </w:t>
      </w:r>
      <w:r w:rsidR="00307A4F">
        <w:rPr>
          <w:sz w:val="26"/>
          <w:szCs w:val="26"/>
        </w:rPr>
        <w:tab/>
      </w:r>
      <w:r w:rsidRPr="00E37897">
        <w:rPr>
          <w:sz w:val="26"/>
          <w:szCs w:val="26"/>
        </w:rPr>
        <w:t>PECO will continue to recover the cost of default service from default service customers through the Generation Supply Adjustment (“GSA”) and Transmission Service Charge (“TSC”) consistent with DSP IV.  For each customer class, default service rates established pursuant to the GSA will continue to change quarterly and over/undercollections of default service costs will continue to be reconciled on a semi-annual basis.  Such rates will continue to recover: (1) generation costs, certain transmission costs and ancillary service costs established through PECO’s competitive procurements; (2) supply management, administrative costs (including costs incurred to implement Commission-approved retail enhancement programs) and working capital, as provided in 52 Pa. Code § 69.1808; and (3) applicable taxes. The projected GSA for each quarter will continue to be filed by PECO 45 days before the start of each quarter.  The GSA and TSC form the basis of the Price-to-Compare (“PTC”) that customers may use to evaluate competitive generation service offerings.</w:t>
      </w:r>
    </w:p>
    <w:p w14:paraId="72D5DA7E" w14:textId="77777777" w:rsidR="00555E97" w:rsidRPr="00E37897" w:rsidRDefault="00555E97" w:rsidP="005F3BE2">
      <w:pPr>
        <w:widowControl/>
        <w:autoSpaceDE w:val="0"/>
        <w:autoSpaceDN w:val="0"/>
        <w:ind w:left="1440" w:right="1440"/>
        <w:contextualSpacing/>
        <w:rPr>
          <w:sz w:val="26"/>
          <w:szCs w:val="26"/>
        </w:rPr>
      </w:pPr>
    </w:p>
    <w:p w14:paraId="112C0525" w14:textId="6BBC6AB6"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38.  </w:t>
      </w:r>
      <w:r w:rsidR="00307A4F">
        <w:rPr>
          <w:sz w:val="26"/>
          <w:szCs w:val="26"/>
        </w:rPr>
        <w:tab/>
      </w:r>
      <w:r w:rsidRPr="00E37897">
        <w:rPr>
          <w:sz w:val="26"/>
          <w:szCs w:val="26"/>
        </w:rPr>
        <w:t>PECO’s default service rates for the Consolidated Large Commercial and Industrial Class will also continue to be charged through the GSA.  For those customers, default service rates will continue to be based upon the price paid to winning suppliers in PECO’s hourly-priced service procurements, which includes the PJM day-ahead hourly locational marginal price (“LMP”) for the PJM PECO Zone, plus associated costs, such as capacity, ancillary services, PJM administrative expenses and costs to comply with AEPS requirements that are incurred to provide hourly-priced service.  To align the filing schedule for Consolidated Large Commercial and Industrial Class default service rates with PECO’s other procurement classes, the Joint Petitioners agree that PECO will continue to file the Hourly Pricing Adder on a quarterly, instead of monthly, basis.</w:t>
      </w:r>
    </w:p>
    <w:p w14:paraId="60CE092C" w14:textId="77777777" w:rsidR="00555E97" w:rsidRPr="00E37897" w:rsidRDefault="00555E97" w:rsidP="005F3BE2">
      <w:pPr>
        <w:widowControl/>
        <w:autoSpaceDE w:val="0"/>
        <w:autoSpaceDN w:val="0"/>
        <w:ind w:left="1440" w:right="1440"/>
        <w:contextualSpacing/>
        <w:rPr>
          <w:sz w:val="26"/>
          <w:szCs w:val="26"/>
        </w:rPr>
      </w:pPr>
    </w:p>
    <w:p w14:paraId="5B42C7AE" w14:textId="3656AC99"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39.  </w:t>
      </w:r>
      <w:r w:rsidR="00307A4F">
        <w:rPr>
          <w:sz w:val="26"/>
          <w:szCs w:val="26"/>
        </w:rPr>
        <w:tab/>
      </w:r>
      <w:r w:rsidRPr="00E37897">
        <w:rPr>
          <w:sz w:val="26"/>
          <w:szCs w:val="26"/>
        </w:rPr>
        <w:t>The default service rates for the Large Commercial and Industrial Class also include a reconciliation component to refund or recoup GSA over/under collections from prior periods.  The Joint Petitioners agree that over/under collections of default service costs for the Consolidated Large Commercial and Industrial Class will continue to be reconciled on a semi-annual basis instead of a monthly basis.</w:t>
      </w:r>
    </w:p>
    <w:p w14:paraId="2BF3513A" w14:textId="77777777" w:rsidR="00555E97" w:rsidRPr="00E37897" w:rsidRDefault="00555E97" w:rsidP="005F3BE2">
      <w:pPr>
        <w:widowControl/>
        <w:autoSpaceDE w:val="0"/>
        <w:autoSpaceDN w:val="0"/>
        <w:ind w:left="1440" w:right="1440"/>
        <w:contextualSpacing/>
        <w:rPr>
          <w:sz w:val="26"/>
          <w:szCs w:val="26"/>
        </w:rPr>
      </w:pPr>
    </w:p>
    <w:p w14:paraId="307FF0F1" w14:textId="36283363"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40.  </w:t>
      </w:r>
      <w:r w:rsidR="00307A4F">
        <w:rPr>
          <w:sz w:val="26"/>
          <w:szCs w:val="26"/>
        </w:rPr>
        <w:tab/>
      </w:r>
      <w:r w:rsidRPr="00E37897">
        <w:rPr>
          <w:sz w:val="26"/>
          <w:szCs w:val="26"/>
        </w:rPr>
        <w:t>PECO shall be permitted to file the GSA and Reconciliation tariff pages set forth in Exhibits A and B to the Joint Petition to become effective as of June 1, 2021, subject to resolution of the issues related to TOU cost allocation and recovery of NITS charges.  Exhibits A and B are revised versions of PECO Exhibit Nos. JAB-7 and JAB-8, respectively, to reflect the tariff changes set forth in this Settlement.</w:t>
      </w:r>
    </w:p>
    <w:p w14:paraId="374B2358" w14:textId="77777777" w:rsidR="00555E97" w:rsidRPr="00E37897" w:rsidRDefault="00555E97" w:rsidP="005F3BE2">
      <w:pPr>
        <w:widowControl/>
        <w:autoSpaceDE w:val="0"/>
        <w:autoSpaceDN w:val="0"/>
        <w:ind w:left="1440" w:right="1440"/>
        <w:contextualSpacing/>
        <w:rPr>
          <w:sz w:val="26"/>
          <w:szCs w:val="26"/>
        </w:rPr>
      </w:pPr>
    </w:p>
    <w:p w14:paraId="5897BFFB" w14:textId="77777777" w:rsidR="00555E97" w:rsidRPr="00E37897" w:rsidRDefault="00555E97" w:rsidP="005F3BE2">
      <w:pPr>
        <w:pStyle w:val="ListParagraph"/>
        <w:numPr>
          <w:ilvl w:val="0"/>
          <w:numId w:val="31"/>
        </w:numPr>
        <w:autoSpaceDE w:val="0"/>
        <w:autoSpaceDN w:val="0"/>
        <w:ind w:right="1440" w:firstLine="0"/>
        <w:contextualSpacing/>
        <w:rPr>
          <w:b/>
          <w:bCs/>
          <w:sz w:val="26"/>
          <w:szCs w:val="26"/>
        </w:rPr>
      </w:pPr>
      <w:r w:rsidRPr="00E37897">
        <w:rPr>
          <w:b/>
          <w:bCs/>
          <w:sz w:val="26"/>
          <w:szCs w:val="26"/>
        </w:rPr>
        <w:t>Recovery of Certain PJM Charges</w:t>
      </w:r>
    </w:p>
    <w:p w14:paraId="50ACF84B" w14:textId="77777777" w:rsidR="00555E97" w:rsidRPr="00E37897" w:rsidRDefault="00555E97" w:rsidP="005F3BE2">
      <w:pPr>
        <w:widowControl/>
        <w:autoSpaceDE w:val="0"/>
        <w:autoSpaceDN w:val="0"/>
        <w:ind w:left="1440" w:right="1440"/>
        <w:contextualSpacing/>
        <w:rPr>
          <w:sz w:val="26"/>
          <w:szCs w:val="26"/>
        </w:rPr>
      </w:pPr>
    </w:p>
    <w:p w14:paraId="16BE359B" w14:textId="3F483395"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41.  </w:t>
      </w:r>
      <w:r w:rsidR="00307A4F">
        <w:rPr>
          <w:sz w:val="26"/>
          <w:szCs w:val="26"/>
        </w:rPr>
        <w:tab/>
      </w:r>
      <w:r w:rsidRPr="00E37897">
        <w:rPr>
          <w:sz w:val="26"/>
          <w:szCs w:val="26"/>
        </w:rPr>
        <w:t>Wholesale suppliers will continue to be responsible for those PJM bill line items specified in the SMA.</w:t>
      </w:r>
    </w:p>
    <w:p w14:paraId="1A1B456A" w14:textId="77777777" w:rsidR="00555E97" w:rsidRPr="00E37897" w:rsidRDefault="00555E97" w:rsidP="005F3BE2">
      <w:pPr>
        <w:widowControl/>
        <w:autoSpaceDE w:val="0"/>
        <w:autoSpaceDN w:val="0"/>
        <w:ind w:left="1440" w:right="1440"/>
        <w:contextualSpacing/>
        <w:rPr>
          <w:sz w:val="26"/>
          <w:szCs w:val="26"/>
        </w:rPr>
      </w:pPr>
    </w:p>
    <w:p w14:paraId="2342BFA3" w14:textId="4FEFB411"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42.  </w:t>
      </w:r>
      <w:r w:rsidR="00307A4F">
        <w:rPr>
          <w:sz w:val="26"/>
          <w:szCs w:val="26"/>
        </w:rPr>
        <w:tab/>
      </w:r>
      <w:r w:rsidRPr="00E37897">
        <w:rPr>
          <w:sz w:val="26"/>
          <w:szCs w:val="26"/>
        </w:rPr>
        <w:t xml:space="preserve">PECO will continue to be responsible for and recover the following PJM charges from all distribution customers in PECO’s service area through its Non-Bypassable Transmission Charge (“NBT”): Generation </w:t>
      </w:r>
      <w:r w:rsidRPr="00E37897">
        <w:rPr>
          <w:sz w:val="26"/>
          <w:szCs w:val="26"/>
        </w:rPr>
        <w:lastRenderedPageBreak/>
        <w:t>Deactivation/RMR charges (PJM bill line 1930) set after December 4, 2014; RTEP charges (PJM bill line 1108); and Expansion Cost Recovery charges (PJM bill line 1730). The issue of whether PJM charges for NITS should be recovered by PECO from all distribution customers through the NBT on a class basis is reserved for litigation.</w:t>
      </w:r>
      <w:r w:rsidRPr="00E37897">
        <w:rPr>
          <w:rStyle w:val="FootnoteReference"/>
          <w:sz w:val="26"/>
          <w:szCs w:val="26"/>
        </w:rPr>
        <w:footnoteReference w:id="6"/>
      </w:r>
    </w:p>
    <w:p w14:paraId="52BE98AB" w14:textId="77777777" w:rsidR="00555E97" w:rsidRPr="00E37897" w:rsidRDefault="00555E97" w:rsidP="005F3BE2">
      <w:pPr>
        <w:widowControl/>
        <w:autoSpaceDE w:val="0"/>
        <w:autoSpaceDN w:val="0"/>
        <w:ind w:left="1440" w:right="1440"/>
        <w:contextualSpacing/>
        <w:rPr>
          <w:sz w:val="26"/>
          <w:szCs w:val="26"/>
        </w:rPr>
      </w:pPr>
    </w:p>
    <w:p w14:paraId="74F3CAC2" w14:textId="77777777" w:rsidR="00555E97" w:rsidRPr="00E37897" w:rsidRDefault="00555E97" w:rsidP="005F3BE2">
      <w:pPr>
        <w:widowControl/>
        <w:autoSpaceDE w:val="0"/>
        <w:autoSpaceDN w:val="0"/>
        <w:ind w:left="2880" w:right="1440"/>
        <w:contextualSpacing/>
        <w:rPr>
          <w:b/>
          <w:bCs/>
          <w:sz w:val="26"/>
          <w:szCs w:val="26"/>
        </w:rPr>
      </w:pPr>
      <w:r w:rsidRPr="00E37897">
        <w:rPr>
          <w:b/>
          <w:bCs/>
          <w:sz w:val="26"/>
          <w:szCs w:val="26"/>
        </w:rPr>
        <w:t>(3)</w:t>
      </w:r>
      <w:r w:rsidRPr="00E37897">
        <w:rPr>
          <w:b/>
          <w:bCs/>
          <w:sz w:val="26"/>
          <w:szCs w:val="26"/>
        </w:rPr>
        <w:tab/>
        <w:t>Time-of Use Rates</w:t>
      </w:r>
    </w:p>
    <w:p w14:paraId="47B6713B" w14:textId="77777777" w:rsidR="00555E97" w:rsidRPr="00E37897" w:rsidRDefault="00555E97" w:rsidP="005F3BE2">
      <w:pPr>
        <w:widowControl/>
        <w:autoSpaceDE w:val="0"/>
        <w:autoSpaceDN w:val="0"/>
        <w:ind w:left="1440" w:right="1440"/>
        <w:contextualSpacing/>
        <w:rPr>
          <w:sz w:val="26"/>
          <w:szCs w:val="26"/>
        </w:rPr>
      </w:pPr>
    </w:p>
    <w:p w14:paraId="3D22CEE8" w14:textId="39DBE151"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43.  </w:t>
      </w:r>
      <w:r w:rsidR="00307A4F">
        <w:rPr>
          <w:sz w:val="26"/>
          <w:szCs w:val="26"/>
        </w:rPr>
        <w:tab/>
      </w:r>
      <w:r w:rsidRPr="00E37897">
        <w:rPr>
          <w:sz w:val="26"/>
          <w:szCs w:val="26"/>
        </w:rPr>
        <w:t>During DSP V, PECO will introduce new, TOU default service rate options for eligible customers in PECO’s Residential and Small Commercial procurement classes (the “TOU Rates”) to comply with PECO’s obligation under Act 129 of 2008 (“Act 129”) to offer TOU and real-time rates to all default service customers with smart meters.</w:t>
      </w:r>
      <w:r w:rsidRPr="00E37897">
        <w:rPr>
          <w:rStyle w:val="FootnoteReference"/>
          <w:sz w:val="26"/>
          <w:szCs w:val="26"/>
        </w:rPr>
        <w:footnoteReference w:id="7"/>
      </w:r>
    </w:p>
    <w:p w14:paraId="7B687863" w14:textId="77777777" w:rsidR="00555E97" w:rsidRPr="00E37897" w:rsidRDefault="00555E97" w:rsidP="005F3BE2">
      <w:pPr>
        <w:widowControl/>
        <w:autoSpaceDE w:val="0"/>
        <w:autoSpaceDN w:val="0"/>
        <w:ind w:left="1440" w:right="1440"/>
        <w:contextualSpacing/>
        <w:rPr>
          <w:sz w:val="26"/>
          <w:szCs w:val="26"/>
        </w:rPr>
      </w:pPr>
    </w:p>
    <w:p w14:paraId="71DF738F" w14:textId="77777777" w:rsidR="00555E97" w:rsidRPr="00E37897" w:rsidRDefault="00555E97" w:rsidP="001953F3">
      <w:pPr>
        <w:keepNext/>
        <w:widowControl/>
        <w:autoSpaceDE w:val="0"/>
        <w:autoSpaceDN w:val="0"/>
        <w:ind w:left="3600" w:right="1440"/>
        <w:contextualSpacing/>
        <w:rPr>
          <w:b/>
          <w:bCs/>
          <w:sz w:val="26"/>
          <w:szCs w:val="26"/>
        </w:rPr>
      </w:pPr>
      <w:r w:rsidRPr="00E37897">
        <w:rPr>
          <w:b/>
          <w:bCs/>
          <w:sz w:val="26"/>
          <w:szCs w:val="26"/>
        </w:rPr>
        <w:t>(i)</w:t>
      </w:r>
      <w:r w:rsidRPr="00E37897">
        <w:rPr>
          <w:b/>
          <w:bCs/>
          <w:sz w:val="26"/>
          <w:szCs w:val="26"/>
        </w:rPr>
        <w:tab/>
        <w:t>TOU Product Structure and Rate Design</w:t>
      </w:r>
    </w:p>
    <w:p w14:paraId="2461300F" w14:textId="77777777" w:rsidR="00555E97" w:rsidRPr="00E37897" w:rsidRDefault="00555E97" w:rsidP="005F3BE2">
      <w:pPr>
        <w:keepNext/>
        <w:widowControl/>
        <w:autoSpaceDE w:val="0"/>
        <w:autoSpaceDN w:val="0"/>
        <w:ind w:left="1440" w:right="1440"/>
        <w:contextualSpacing/>
        <w:rPr>
          <w:sz w:val="26"/>
          <w:szCs w:val="26"/>
        </w:rPr>
      </w:pPr>
    </w:p>
    <w:p w14:paraId="3F7D73B6" w14:textId="5388ED06" w:rsidR="00555E97" w:rsidRPr="00E37897" w:rsidRDefault="00555E97" w:rsidP="005F3BE2">
      <w:pPr>
        <w:keepNext/>
        <w:widowControl/>
        <w:autoSpaceDE w:val="0"/>
        <w:autoSpaceDN w:val="0"/>
        <w:ind w:left="1440" w:right="1440"/>
        <w:contextualSpacing/>
        <w:rPr>
          <w:sz w:val="26"/>
          <w:szCs w:val="26"/>
        </w:rPr>
      </w:pPr>
      <w:r w:rsidRPr="00E37897">
        <w:rPr>
          <w:sz w:val="26"/>
          <w:szCs w:val="26"/>
        </w:rPr>
        <w:t xml:space="preserve">44.  </w:t>
      </w:r>
      <w:r w:rsidR="00307A4F">
        <w:rPr>
          <w:sz w:val="26"/>
          <w:szCs w:val="26"/>
        </w:rPr>
        <w:tab/>
      </w:r>
      <w:r w:rsidRPr="00E37897">
        <w:rPr>
          <w:sz w:val="26"/>
          <w:szCs w:val="26"/>
        </w:rPr>
        <w:t>PECO’s TOU Rates will differentiate prices across three usage periods that are constant throughout the year as shown in Table 1 below.</w:t>
      </w:r>
    </w:p>
    <w:p w14:paraId="4ACCD2CD" w14:textId="77777777" w:rsidR="00555E97" w:rsidRPr="00E37897" w:rsidRDefault="00555E97" w:rsidP="005F3BE2">
      <w:pPr>
        <w:widowControl/>
        <w:autoSpaceDE w:val="0"/>
        <w:autoSpaceDN w:val="0"/>
        <w:ind w:left="1440" w:right="1440"/>
        <w:contextualSpacing/>
        <w:jc w:val="center"/>
        <w:rPr>
          <w:sz w:val="26"/>
          <w:szCs w:val="26"/>
        </w:rPr>
      </w:pPr>
    </w:p>
    <w:p w14:paraId="2EBFD977" w14:textId="77777777" w:rsidR="00555E97" w:rsidRPr="00E37897" w:rsidRDefault="00555E97" w:rsidP="005F3BE2">
      <w:pPr>
        <w:widowControl/>
        <w:autoSpaceDE w:val="0"/>
        <w:autoSpaceDN w:val="0"/>
        <w:ind w:left="1440" w:right="1440"/>
        <w:contextualSpacing/>
        <w:jc w:val="center"/>
        <w:rPr>
          <w:b/>
          <w:bCs/>
          <w:sz w:val="26"/>
          <w:szCs w:val="26"/>
        </w:rPr>
      </w:pPr>
      <w:r w:rsidRPr="00E37897">
        <w:rPr>
          <w:b/>
          <w:bCs/>
          <w:sz w:val="26"/>
          <w:szCs w:val="26"/>
        </w:rPr>
        <w:t>Table 1</w:t>
      </w:r>
    </w:p>
    <w:p w14:paraId="11067FA7" w14:textId="77777777" w:rsidR="00555E97" w:rsidRPr="00E37897" w:rsidRDefault="00555E97" w:rsidP="005F3BE2">
      <w:pPr>
        <w:widowControl/>
        <w:autoSpaceDE w:val="0"/>
        <w:autoSpaceDN w:val="0"/>
        <w:ind w:left="1440" w:right="1440"/>
        <w:contextualSpacing/>
        <w:jc w:val="center"/>
        <w:rPr>
          <w:sz w:val="26"/>
          <w:szCs w:val="26"/>
        </w:rPr>
      </w:pPr>
    </w:p>
    <w:tbl>
      <w:tblPr>
        <w:tblStyle w:val="TableGrid"/>
        <w:tblW w:w="0" w:type="auto"/>
        <w:jc w:val="center"/>
        <w:tblLook w:val="04A0" w:firstRow="1" w:lastRow="0" w:firstColumn="1" w:lastColumn="0" w:noHBand="0" w:noVBand="1"/>
      </w:tblPr>
      <w:tblGrid>
        <w:gridCol w:w="2520"/>
        <w:gridCol w:w="3365"/>
      </w:tblGrid>
      <w:tr w:rsidR="00555E97" w:rsidRPr="00E37897" w14:paraId="100EE610" w14:textId="77777777" w:rsidTr="00FB1019">
        <w:trPr>
          <w:jc w:val="center"/>
        </w:trPr>
        <w:tc>
          <w:tcPr>
            <w:tcW w:w="2520" w:type="dxa"/>
          </w:tcPr>
          <w:p w14:paraId="415BDFD7" w14:textId="77777777" w:rsidR="00555E97" w:rsidRPr="00E37897" w:rsidRDefault="00555E97" w:rsidP="005F3BE2">
            <w:pPr>
              <w:widowControl/>
              <w:autoSpaceDE w:val="0"/>
              <w:autoSpaceDN w:val="0"/>
              <w:ind w:left="-30"/>
              <w:contextualSpacing/>
              <w:jc w:val="center"/>
              <w:rPr>
                <w:sz w:val="26"/>
                <w:szCs w:val="26"/>
                <w:u w:val="single"/>
              </w:rPr>
            </w:pPr>
            <w:r w:rsidRPr="00E37897">
              <w:rPr>
                <w:sz w:val="26"/>
                <w:szCs w:val="26"/>
                <w:u w:val="single"/>
              </w:rPr>
              <w:t>TOU Pricing Period</w:t>
            </w:r>
          </w:p>
        </w:tc>
        <w:tc>
          <w:tcPr>
            <w:tcW w:w="3365" w:type="dxa"/>
          </w:tcPr>
          <w:p w14:paraId="7CA72174" w14:textId="77777777" w:rsidR="00555E97" w:rsidRPr="00E37897" w:rsidRDefault="00555E97" w:rsidP="005F3BE2">
            <w:pPr>
              <w:widowControl/>
              <w:autoSpaceDE w:val="0"/>
              <w:autoSpaceDN w:val="0"/>
              <w:contextualSpacing/>
              <w:jc w:val="center"/>
              <w:rPr>
                <w:sz w:val="26"/>
                <w:szCs w:val="26"/>
                <w:u w:val="single"/>
              </w:rPr>
            </w:pPr>
            <w:r w:rsidRPr="00E37897">
              <w:rPr>
                <w:sz w:val="26"/>
                <w:szCs w:val="26"/>
                <w:u w:val="single"/>
              </w:rPr>
              <w:t>Year-Round</w:t>
            </w:r>
          </w:p>
          <w:p w14:paraId="32BB63FD" w14:textId="77777777" w:rsidR="00555E97" w:rsidRPr="00E37897" w:rsidRDefault="00555E97" w:rsidP="005F3BE2">
            <w:pPr>
              <w:widowControl/>
              <w:autoSpaceDE w:val="0"/>
              <w:autoSpaceDN w:val="0"/>
              <w:contextualSpacing/>
              <w:jc w:val="center"/>
              <w:rPr>
                <w:sz w:val="26"/>
                <w:szCs w:val="26"/>
                <w:u w:val="single"/>
              </w:rPr>
            </w:pPr>
            <w:r w:rsidRPr="00E37897">
              <w:rPr>
                <w:sz w:val="26"/>
                <w:szCs w:val="26"/>
                <w:u w:val="single"/>
              </w:rPr>
              <w:t>Days/Hours Included</w:t>
            </w:r>
          </w:p>
          <w:p w14:paraId="59F7BCB2" w14:textId="77777777" w:rsidR="00555E97" w:rsidRPr="00E37897" w:rsidRDefault="00555E97" w:rsidP="005F3BE2">
            <w:pPr>
              <w:widowControl/>
              <w:autoSpaceDE w:val="0"/>
              <w:autoSpaceDN w:val="0"/>
              <w:contextualSpacing/>
              <w:jc w:val="center"/>
              <w:rPr>
                <w:sz w:val="26"/>
                <w:szCs w:val="26"/>
              </w:rPr>
            </w:pPr>
          </w:p>
        </w:tc>
      </w:tr>
      <w:tr w:rsidR="00555E97" w:rsidRPr="00E37897" w14:paraId="429BC903" w14:textId="77777777" w:rsidTr="00FB1019">
        <w:trPr>
          <w:jc w:val="center"/>
        </w:trPr>
        <w:tc>
          <w:tcPr>
            <w:tcW w:w="2520" w:type="dxa"/>
          </w:tcPr>
          <w:p w14:paraId="269CAEC8" w14:textId="77777777" w:rsidR="00555E97" w:rsidRPr="00E37897" w:rsidRDefault="00555E97" w:rsidP="005F3BE2">
            <w:pPr>
              <w:widowControl/>
              <w:autoSpaceDE w:val="0"/>
              <w:autoSpaceDN w:val="0"/>
              <w:ind w:right="-15"/>
              <w:contextualSpacing/>
              <w:rPr>
                <w:sz w:val="26"/>
                <w:szCs w:val="26"/>
              </w:rPr>
            </w:pPr>
            <w:r w:rsidRPr="00E37897">
              <w:rPr>
                <w:sz w:val="26"/>
                <w:szCs w:val="26"/>
              </w:rPr>
              <w:t>Peak</w:t>
            </w:r>
          </w:p>
        </w:tc>
        <w:tc>
          <w:tcPr>
            <w:tcW w:w="3365" w:type="dxa"/>
          </w:tcPr>
          <w:p w14:paraId="63EA069F" w14:textId="77777777" w:rsidR="00555E97" w:rsidRPr="00E37897" w:rsidRDefault="00555E97" w:rsidP="005F3BE2">
            <w:pPr>
              <w:widowControl/>
              <w:autoSpaceDE w:val="0"/>
              <w:autoSpaceDN w:val="0"/>
              <w:contextualSpacing/>
              <w:rPr>
                <w:sz w:val="26"/>
                <w:szCs w:val="26"/>
              </w:rPr>
            </w:pPr>
            <w:r w:rsidRPr="00E37897">
              <w:rPr>
                <w:sz w:val="26"/>
                <w:szCs w:val="26"/>
              </w:rPr>
              <w:t>2 p.m. – 6 p.m.</w:t>
            </w:r>
          </w:p>
          <w:p w14:paraId="240CE50B" w14:textId="77777777" w:rsidR="00555E97" w:rsidRPr="00E37897" w:rsidRDefault="00555E97" w:rsidP="005F3BE2">
            <w:pPr>
              <w:widowControl/>
              <w:autoSpaceDE w:val="0"/>
              <w:autoSpaceDN w:val="0"/>
              <w:contextualSpacing/>
              <w:rPr>
                <w:sz w:val="26"/>
                <w:szCs w:val="26"/>
              </w:rPr>
            </w:pPr>
            <w:r w:rsidRPr="00E37897">
              <w:rPr>
                <w:sz w:val="26"/>
                <w:szCs w:val="26"/>
              </w:rPr>
              <w:t>Monday Through Friday,</w:t>
            </w:r>
          </w:p>
          <w:p w14:paraId="1DBBA453" w14:textId="77777777" w:rsidR="00555E97" w:rsidRPr="00E37897" w:rsidRDefault="00555E97" w:rsidP="005F3BE2">
            <w:pPr>
              <w:widowControl/>
              <w:autoSpaceDE w:val="0"/>
              <w:autoSpaceDN w:val="0"/>
              <w:contextualSpacing/>
              <w:rPr>
                <w:sz w:val="26"/>
                <w:szCs w:val="26"/>
              </w:rPr>
            </w:pPr>
            <w:r w:rsidRPr="00E37897">
              <w:rPr>
                <w:sz w:val="26"/>
                <w:szCs w:val="26"/>
              </w:rPr>
              <w:t>excluding PJM holidays</w:t>
            </w:r>
          </w:p>
        </w:tc>
      </w:tr>
      <w:tr w:rsidR="00555E97" w:rsidRPr="00E37897" w14:paraId="06BD0D9F" w14:textId="77777777" w:rsidTr="00FB1019">
        <w:trPr>
          <w:jc w:val="center"/>
        </w:trPr>
        <w:tc>
          <w:tcPr>
            <w:tcW w:w="2520" w:type="dxa"/>
          </w:tcPr>
          <w:p w14:paraId="6D7B4F27" w14:textId="77777777" w:rsidR="00555E97" w:rsidRPr="00E37897" w:rsidRDefault="00555E97" w:rsidP="001953F3">
            <w:pPr>
              <w:keepNext/>
              <w:widowControl/>
              <w:autoSpaceDE w:val="0"/>
              <w:autoSpaceDN w:val="0"/>
              <w:ind w:right="-15"/>
              <w:contextualSpacing/>
              <w:rPr>
                <w:sz w:val="26"/>
                <w:szCs w:val="26"/>
              </w:rPr>
            </w:pPr>
            <w:r w:rsidRPr="00E37897">
              <w:rPr>
                <w:sz w:val="26"/>
                <w:szCs w:val="26"/>
              </w:rPr>
              <w:lastRenderedPageBreak/>
              <w:t>Super Off-Peak</w:t>
            </w:r>
          </w:p>
        </w:tc>
        <w:tc>
          <w:tcPr>
            <w:tcW w:w="3365" w:type="dxa"/>
          </w:tcPr>
          <w:p w14:paraId="2E988DEB" w14:textId="77777777" w:rsidR="00555E97" w:rsidRPr="00E37897" w:rsidRDefault="00555E97" w:rsidP="005F3BE2">
            <w:pPr>
              <w:widowControl/>
              <w:autoSpaceDE w:val="0"/>
              <w:autoSpaceDN w:val="0"/>
              <w:contextualSpacing/>
              <w:rPr>
                <w:sz w:val="26"/>
                <w:szCs w:val="26"/>
              </w:rPr>
            </w:pPr>
            <w:r w:rsidRPr="00E37897">
              <w:rPr>
                <w:sz w:val="26"/>
                <w:szCs w:val="26"/>
              </w:rPr>
              <w:t>Midnight (12 a.m.) – 6 a.m.</w:t>
            </w:r>
          </w:p>
          <w:p w14:paraId="2D8948DD" w14:textId="77777777" w:rsidR="00555E97" w:rsidRPr="00E37897" w:rsidRDefault="00555E97" w:rsidP="005F3BE2">
            <w:pPr>
              <w:widowControl/>
              <w:autoSpaceDE w:val="0"/>
              <w:autoSpaceDN w:val="0"/>
              <w:contextualSpacing/>
              <w:rPr>
                <w:sz w:val="26"/>
                <w:szCs w:val="26"/>
              </w:rPr>
            </w:pPr>
            <w:r w:rsidRPr="00E37897">
              <w:rPr>
                <w:sz w:val="26"/>
                <w:szCs w:val="26"/>
              </w:rPr>
              <w:t>Every day</w:t>
            </w:r>
          </w:p>
        </w:tc>
      </w:tr>
      <w:tr w:rsidR="00555E97" w:rsidRPr="00E37897" w14:paraId="04B67A25" w14:textId="77777777" w:rsidTr="00FB1019">
        <w:trPr>
          <w:jc w:val="center"/>
        </w:trPr>
        <w:tc>
          <w:tcPr>
            <w:tcW w:w="2520" w:type="dxa"/>
          </w:tcPr>
          <w:p w14:paraId="1DC03D3E" w14:textId="77777777" w:rsidR="00555E97" w:rsidRPr="00E37897" w:rsidRDefault="00555E97" w:rsidP="001953F3">
            <w:pPr>
              <w:keepNext/>
              <w:widowControl/>
              <w:autoSpaceDE w:val="0"/>
              <w:autoSpaceDN w:val="0"/>
              <w:ind w:right="-15"/>
              <w:contextualSpacing/>
              <w:rPr>
                <w:sz w:val="26"/>
                <w:szCs w:val="26"/>
              </w:rPr>
            </w:pPr>
            <w:r w:rsidRPr="00E37897">
              <w:rPr>
                <w:sz w:val="26"/>
                <w:szCs w:val="26"/>
              </w:rPr>
              <w:t>Off-Peak</w:t>
            </w:r>
          </w:p>
        </w:tc>
        <w:tc>
          <w:tcPr>
            <w:tcW w:w="3365" w:type="dxa"/>
          </w:tcPr>
          <w:p w14:paraId="72FA3B01" w14:textId="77777777" w:rsidR="00555E97" w:rsidRPr="00E37897" w:rsidRDefault="00555E97" w:rsidP="005F3BE2">
            <w:pPr>
              <w:widowControl/>
              <w:autoSpaceDE w:val="0"/>
              <w:autoSpaceDN w:val="0"/>
              <w:contextualSpacing/>
              <w:rPr>
                <w:sz w:val="26"/>
                <w:szCs w:val="26"/>
              </w:rPr>
            </w:pPr>
            <w:r w:rsidRPr="00E37897">
              <w:rPr>
                <w:sz w:val="26"/>
                <w:szCs w:val="26"/>
              </w:rPr>
              <w:t>All other hours</w:t>
            </w:r>
          </w:p>
        </w:tc>
      </w:tr>
    </w:tbl>
    <w:p w14:paraId="67789CC1" w14:textId="77777777" w:rsidR="00555E97" w:rsidRPr="00E37897" w:rsidRDefault="00555E97" w:rsidP="005F3BE2">
      <w:pPr>
        <w:widowControl/>
        <w:autoSpaceDE w:val="0"/>
        <w:autoSpaceDN w:val="0"/>
        <w:ind w:left="1440" w:right="1440"/>
        <w:contextualSpacing/>
        <w:rPr>
          <w:sz w:val="26"/>
          <w:szCs w:val="26"/>
        </w:rPr>
      </w:pPr>
    </w:p>
    <w:p w14:paraId="1922849D" w14:textId="77777777" w:rsidR="00555E97" w:rsidRPr="00E37897" w:rsidRDefault="00555E97" w:rsidP="005F3BE2">
      <w:pPr>
        <w:widowControl/>
        <w:autoSpaceDE w:val="0"/>
        <w:autoSpaceDN w:val="0"/>
        <w:ind w:left="1440" w:right="1440"/>
        <w:contextualSpacing/>
        <w:rPr>
          <w:sz w:val="26"/>
          <w:szCs w:val="26"/>
        </w:rPr>
      </w:pPr>
      <w:r w:rsidRPr="00E37897">
        <w:rPr>
          <w:sz w:val="26"/>
          <w:szCs w:val="26"/>
        </w:rPr>
        <w:t>These TOU pricing periods will be identical for the Residential and Small Commercial Classes.</w:t>
      </w:r>
    </w:p>
    <w:p w14:paraId="5C462F1C" w14:textId="77777777" w:rsidR="00555E97" w:rsidRPr="00E37897" w:rsidRDefault="00555E97" w:rsidP="005F3BE2">
      <w:pPr>
        <w:widowControl/>
        <w:autoSpaceDE w:val="0"/>
        <w:autoSpaceDN w:val="0"/>
        <w:ind w:left="1440" w:right="1440"/>
        <w:contextualSpacing/>
        <w:rPr>
          <w:sz w:val="26"/>
          <w:szCs w:val="26"/>
        </w:rPr>
      </w:pPr>
    </w:p>
    <w:p w14:paraId="0B8A283B" w14:textId="1EF18D79"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45.  </w:t>
      </w:r>
      <w:r w:rsidR="00307A4F">
        <w:rPr>
          <w:sz w:val="26"/>
          <w:szCs w:val="26"/>
        </w:rPr>
        <w:tab/>
      </w:r>
      <w:r w:rsidRPr="00E37897">
        <w:rPr>
          <w:sz w:val="26"/>
          <w:szCs w:val="26"/>
        </w:rPr>
        <w:t>The Joint Petitioners agree to the TOU price multipliers for each procurement class shown in Table 2 below. These multipliers reflect the ratios calculated from average PJM PECO zone spot market prices as well as allocation of the cost of capacity to peak and off-peak hours only.</w:t>
      </w:r>
    </w:p>
    <w:p w14:paraId="4E3617DB" w14:textId="77777777" w:rsidR="00555E97" w:rsidRPr="00E37897" w:rsidRDefault="00555E97" w:rsidP="005F3BE2">
      <w:pPr>
        <w:widowControl/>
        <w:autoSpaceDE w:val="0"/>
        <w:autoSpaceDN w:val="0"/>
        <w:ind w:left="1440" w:right="1440"/>
        <w:contextualSpacing/>
        <w:rPr>
          <w:sz w:val="26"/>
          <w:szCs w:val="26"/>
        </w:rPr>
      </w:pPr>
    </w:p>
    <w:p w14:paraId="0C3DFDC9" w14:textId="77777777" w:rsidR="00555E97" w:rsidRPr="00E37897" w:rsidRDefault="00555E97" w:rsidP="005F3BE2">
      <w:pPr>
        <w:widowControl/>
        <w:autoSpaceDE w:val="0"/>
        <w:autoSpaceDN w:val="0"/>
        <w:ind w:left="1440" w:right="1440"/>
        <w:contextualSpacing/>
        <w:jc w:val="center"/>
        <w:rPr>
          <w:b/>
          <w:bCs/>
          <w:sz w:val="26"/>
          <w:szCs w:val="26"/>
        </w:rPr>
      </w:pPr>
      <w:r w:rsidRPr="00E37897">
        <w:rPr>
          <w:b/>
          <w:bCs/>
          <w:sz w:val="26"/>
          <w:szCs w:val="26"/>
        </w:rPr>
        <w:t>Table 2</w:t>
      </w:r>
    </w:p>
    <w:p w14:paraId="413DB799" w14:textId="77777777" w:rsidR="00555E97" w:rsidRPr="00E37897" w:rsidRDefault="00555E97" w:rsidP="005F3BE2">
      <w:pPr>
        <w:widowControl/>
        <w:autoSpaceDE w:val="0"/>
        <w:autoSpaceDN w:val="0"/>
        <w:ind w:left="1440" w:right="1440"/>
        <w:contextualSpacing/>
        <w:jc w:val="center"/>
        <w:rPr>
          <w:sz w:val="26"/>
          <w:szCs w:val="26"/>
        </w:rPr>
      </w:pPr>
    </w:p>
    <w:tbl>
      <w:tblPr>
        <w:tblStyle w:val="TableGrid"/>
        <w:tblW w:w="0" w:type="auto"/>
        <w:jc w:val="center"/>
        <w:tblLook w:val="04A0" w:firstRow="1" w:lastRow="0" w:firstColumn="1" w:lastColumn="0" w:noHBand="0" w:noVBand="1"/>
      </w:tblPr>
      <w:tblGrid>
        <w:gridCol w:w="2491"/>
        <w:gridCol w:w="2454"/>
        <w:gridCol w:w="2430"/>
      </w:tblGrid>
      <w:tr w:rsidR="00555E97" w:rsidRPr="00E37897" w14:paraId="1ED15711" w14:textId="77777777" w:rsidTr="00FB1019">
        <w:trPr>
          <w:jc w:val="center"/>
        </w:trPr>
        <w:tc>
          <w:tcPr>
            <w:tcW w:w="2491" w:type="dxa"/>
          </w:tcPr>
          <w:p w14:paraId="77B94F88" w14:textId="77777777" w:rsidR="00555E97" w:rsidRPr="00E37897" w:rsidRDefault="00555E97" w:rsidP="005F3BE2">
            <w:pPr>
              <w:widowControl/>
              <w:autoSpaceDE w:val="0"/>
              <w:autoSpaceDN w:val="0"/>
              <w:ind w:left="60" w:right="45"/>
              <w:contextualSpacing/>
              <w:jc w:val="center"/>
              <w:rPr>
                <w:sz w:val="26"/>
                <w:szCs w:val="26"/>
                <w:u w:val="single"/>
              </w:rPr>
            </w:pPr>
            <w:r w:rsidRPr="00E37897">
              <w:rPr>
                <w:sz w:val="26"/>
                <w:szCs w:val="26"/>
                <w:u w:val="single"/>
              </w:rPr>
              <w:t>TOU Pricing Period</w:t>
            </w:r>
          </w:p>
        </w:tc>
        <w:tc>
          <w:tcPr>
            <w:tcW w:w="2454" w:type="dxa"/>
          </w:tcPr>
          <w:p w14:paraId="1B2D0447" w14:textId="77777777" w:rsidR="00555E97" w:rsidRPr="00E37897" w:rsidRDefault="00555E97" w:rsidP="005F3BE2">
            <w:pPr>
              <w:widowControl/>
              <w:autoSpaceDE w:val="0"/>
              <w:autoSpaceDN w:val="0"/>
              <w:ind w:right="30"/>
              <w:contextualSpacing/>
              <w:jc w:val="center"/>
              <w:rPr>
                <w:sz w:val="26"/>
                <w:szCs w:val="26"/>
                <w:u w:val="single"/>
              </w:rPr>
            </w:pPr>
            <w:r w:rsidRPr="00E37897">
              <w:rPr>
                <w:sz w:val="26"/>
                <w:szCs w:val="26"/>
                <w:u w:val="single"/>
              </w:rPr>
              <w:t>GSA-1 TOU</w:t>
            </w:r>
          </w:p>
          <w:p w14:paraId="2909D29D" w14:textId="77777777" w:rsidR="00555E97" w:rsidRPr="00E37897" w:rsidRDefault="00555E97" w:rsidP="005F3BE2">
            <w:pPr>
              <w:widowControl/>
              <w:autoSpaceDE w:val="0"/>
              <w:autoSpaceDN w:val="0"/>
              <w:ind w:right="30"/>
              <w:contextualSpacing/>
              <w:jc w:val="center"/>
              <w:rPr>
                <w:sz w:val="26"/>
                <w:szCs w:val="26"/>
                <w:u w:val="single"/>
              </w:rPr>
            </w:pPr>
            <w:r w:rsidRPr="00E37897">
              <w:rPr>
                <w:sz w:val="26"/>
                <w:szCs w:val="26"/>
                <w:u w:val="single"/>
              </w:rPr>
              <w:t>Pricing Multipliers*</w:t>
            </w:r>
          </w:p>
        </w:tc>
        <w:tc>
          <w:tcPr>
            <w:tcW w:w="2430" w:type="dxa"/>
          </w:tcPr>
          <w:p w14:paraId="78E19B10" w14:textId="77777777" w:rsidR="00555E97" w:rsidRPr="00E37897" w:rsidRDefault="00555E97" w:rsidP="005F3BE2">
            <w:pPr>
              <w:widowControl/>
              <w:autoSpaceDE w:val="0"/>
              <w:autoSpaceDN w:val="0"/>
              <w:ind w:left="1"/>
              <w:contextualSpacing/>
              <w:jc w:val="center"/>
              <w:rPr>
                <w:sz w:val="26"/>
                <w:szCs w:val="26"/>
                <w:u w:val="single"/>
              </w:rPr>
            </w:pPr>
            <w:r w:rsidRPr="00E37897">
              <w:rPr>
                <w:sz w:val="26"/>
                <w:szCs w:val="26"/>
                <w:u w:val="single"/>
              </w:rPr>
              <w:t>GSA-2 TOU</w:t>
            </w:r>
          </w:p>
          <w:p w14:paraId="0206A057" w14:textId="77777777" w:rsidR="00555E97" w:rsidRPr="00E37897" w:rsidRDefault="00555E97" w:rsidP="005F3BE2">
            <w:pPr>
              <w:widowControl/>
              <w:autoSpaceDE w:val="0"/>
              <w:autoSpaceDN w:val="0"/>
              <w:ind w:left="1"/>
              <w:contextualSpacing/>
              <w:jc w:val="center"/>
              <w:rPr>
                <w:sz w:val="26"/>
                <w:szCs w:val="26"/>
                <w:u w:val="single"/>
              </w:rPr>
            </w:pPr>
            <w:r w:rsidRPr="00E37897">
              <w:rPr>
                <w:sz w:val="26"/>
                <w:szCs w:val="26"/>
                <w:u w:val="single"/>
              </w:rPr>
              <w:t>Pricing Multipliers*</w:t>
            </w:r>
          </w:p>
          <w:p w14:paraId="5341CFE5" w14:textId="77777777" w:rsidR="00555E97" w:rsidRPr="00E37897" w:rsidRDefault="00555E97" w:rsidP="005F3BE2">
            <w:pPr>
              <w:widowControl/>
              <w:autoSpaceDE w:val="0"/>
              <w:autoSpaceDN w:val="0"/>
              <w:ind w:left="1"/>
              <w:contextualSpacing/>
              <w:jc w:val="center"/>
              <w:rPr>
                <w:sz w:val="26"/>
                <w:szCs w:val="26"/>
                <w:u w:val="single"/>
              </w:rPr>
            </w:pPr>
          </w:p>
        </w:tc>
      </w:tr>
      <w:tr w:rsidR="00555E97" w:rsidRPr="00E37897" w14:paraId="172D3C2A" w14:textId="77777777" w:rsidTr="00FB1019">
        <w:trPr>
          <w:jc w:val="center"/>
        </w:trPr>
        <w:tc>
          <w:tcPr>
            <w:tcW w:w="2491" w:type="dxa"/>
          </w:tcPr>
          <w:p w14:paraId="6005ED9B" w14:textId="77777777" w:rsidR="00555E97" w:rsidRPr="00E37897" w:rsidRDefault="00555E97" w:rsidP="005F3BE2">
            <w:pPr>
              <w:widowControl/>
              <w:autoSpaceDE w:val="0"/>
              <w:autoSpaceDN w:val="0"/>
              <w:ind w:left="60" w:right="45"/>
              <w:contextualSpacing/>
              <w:rPr>
                <w:sz w:val="26"/>
                <w:szCs w:val="26"/>
              </w:rPr>
            </w:pPr>
            <w:r w:rsidRPr="00E37897">
              <w:rPr>
                <w:sz w:val="26"/>
                <w:szCs w:val="26"/>
              </w:rPr>
              <w:t>Peak</w:t>
            </w:r>
          </w:p>
        </w:tc>
        <w:tc>
          <w:tcPr>
            <w:tcW w:w="2454" w:type="dxa"/>
          </w:tcPr>
          <w:p w14:paraId="5E79499E" w14:textId="77777777" w:rsidR="00555E97" w:rsidRPr="00E37897" w:rsidRDefault="00555E97" w:rsidP="005F3BE2">
            <w:pPr>
              <w:widowControl/>
              <w:autoSpaceDE w:val="0"/>
              <w:autoSpaceDN w:val="0"/>
              <w:ind w:right="30"/>
              <w:contextualSpacing/>
              <w:rPr>
                <w:sz w:val="26"/>
                <w:szCs w:val="26"/>
              </w:rPr>
            </w:pPr>
            <w:r w:rsidRPr="00E37897">
              <w:rPr>
                <w:sz w:val="26"/>
                <w:szCs w:val="26"/>
              </w:rPr>
              <w:t>6.5</w:t>
            </w:r>
          </w:p>
        </w:tc>
        <w:tc>
          <w:tcPr>
            <w:tcW w:w="2430" w:type="dxa"/>
          </w:tcPr>
          <w:p w14:paraId="6E0A2B55" w14:textId="77777777" w:rsidR="00555E97" w:rsidRPr="00E37897" w:rsidRDefault="00555E97" w:rsidP="005F3BE2">
            <w:pPr>
              <w:widowControl/>
              <w:autoSpaceDE w:val="0"/>
              <w:autoSpaceDN w:val="0"/>
              <w:ind w:left="1"/>
              <w:contextualSpacing/>
              <w:rPr>
                <w:sz w:val="26"/>
                <w:szCs w:val="26"/>
              </w:rPr>
            </w:pPr>
            <w:r w:rsidRPr="00E37897">
              <w:rPr>
                <w:sz w:val="26"/>
                <w:szCs w:val="26"/>
              </w:rPr>
              <w:t>5.1</w:t>
            </w:r>
          </w:p>
        </w:tc>
      </w:tr>
      <w:tr w:rsidR="00555E97" w:rsidRPr="00E37897" w14:paraId="4D2EDBDA" w14:textId="77777777" w:rsidTr="00FB1019">
        <w:trPr>
          <w:jc w:val="center"/>
        </w:trPr>
        <w:tc>
          <w:tcPr>
            <w:tcW w:w="2491" w:type="dxa"/>
          </w:tcPr>
          <w:p w14:paraId="3D69DA78" w14:textId="77777777" w:rsidR="00555E97" w:rsidRPr="00E37897" w:rsidRDefault="00555E97" w:rsidP="005F3BE2">
            <w:pPr>
              <w:widowControl/>
              <w:autoSpaceDE w:val="0"/>
              <w:autoSpaceDN w:val="0"/>
              <w:ind w:left="60" w:right="45"/>
              <w:contextualSpacing/>
              <w:rPr>
                <w:sz w:val="26"/>
                <w:szCs w:val="26"/>
              </w:rPr>
            </w:pPr>
            <w:r w:rsidRPr="00E37897">
              <w:rPr>
                <w:sz w:val="26"/>
                <w:szCs w:val="26"/>
              </w:rPr>
              <w:t>Super Off-Peak</w:t>
            </w:r>
          </w:p>
        </w:tc>
        <w:tc>
          <w:tcPr>
            <w:tcW w:w="2454" w:type="dxa"/>
          </w:tcPr>
          <w:p w14:paraId="20EF04D0" w14:textId="77777777" w:rsidR="00555E97" w:rsidRPr="00E37897" w:rsidRDefault="00555E97" w:rsidP="005F3BE2">
            <w:pPr>
              <w:widowControl/>
              <w:autoSpaceDE w:val="0"/>
              <w:autoSpaceDN w:val="0"/>
              <w:ind w:right="30"/>
              <w:contextualSpacing/>
              <w:rPr>
                <w:sz w:val="26"/>
                <w:szCs w:val="26"/>
              </w:rPr>
            </w:pPr>
            <w:r w:rsidRPr="00E37897">
              <w:rPr>
                <w:sz w:val="26"/>
                <w:szCs w:val="26"/>
              </w:rPr>
              <w:t>1</w:t>
            </w:r>
          </w:p>
        </w:tc>
        <w:tc>
          <w:tcPr>
            <w:tcW w:w="2430" w:type="dxa"/>
          </w:tcPr>
          <w:p w14:paraId="0C986387" w14:textId="77777777" w:rsidR="00555E97" w:rsidRPr="00E37897" w:rsidRDefault="00555E97" w:rsidP="005F3BE2">
            <w:pPr>
              <w:widowControl/>
              <w:autoSpaceDE w:val="0"/>
              <w:autoSpaceDN w:val="0"/>
              <w:ind w:left="1"/>
              <w:contextualSpacing/>
              <w:rPr>
                <w:sz w:val="26"/>
                <w:szCs w:val="26"/>
              </w:rPr>
            </w:pPr>
            <w:r w:rsidRPr="00E37897">
              <w:rPr>
                <w:sz w:val="26"/>
                <w:szCs w:val="26"/>
              </w:rPr>
              <w:t>1</w:t>
            </w:r>
          </w:p>
        </w:tc>
      </w:tr>
      <w:tr w:rsidR="00555E97" w:rsidRPr="00E37897" w14:paraId="1609ACAF" w14:textId="77777777" w:rsidTr="00FB1019">
        <w:trPr>
          <w:jc w:val="center"/>
        </w:trPr>
        <w:tc>
          <w:tcPr>
            <w:tcW w:w="2491" w:type="dxa"/>
          </w:tcPr>
          <w:p w14:paraId="19B521AD" w14:textId="77777777" w:rsidR="00555E97" w:rsidRPr="00E37897" w:rsidRDefault="00555E97" w:rsidP="005F3BE2">
            <w:pPr>
              <w:widowControl/>
              <w:autoSpaceDE w:val="0"/>
              <w:autoSpaceDN w:val="0"/>
              <w:ind w:left="60" w:right="45"/>
              <w:contextualSpacing/>
              <w:rPr>
                <w:sz w:val="26"/>
                <w:szCs w:val="26"/>
              </w:rPr>
            </w:pPr>
            <w:r w:rsidRPr="00E37897">
              <w:rPr>
                <w:sz w:val="26"/>
                <w:szCs w:val="26"/>
              </w:rPr>
              <w:t>Off-Peak</w:t>
            </w:r>
          </w:p>
        </w:tc>
        <w:tc>
          <w:tcPr>
            <w:tcW w:w="2454" w:type="dxa"/>
          </w:tcPr>
          <w:p w14:paraId="54D99767" w14:textId="77777777" w:rsidR="00555E97" w:rsidRPr="00E37897" w:rsidRDefault="00555E97" w:rsidP="005F3BE2">
            <w:pPr>
              <w:widowControl/>
              <w:autoSpaceDE w:val="0"/>
              <w:autoSpaceDN w:val="0"/>
              <w:ind w:right="30"/>
              <w:contextualSpacing/>
              <w:rPr>
                <w:sz w:val="26"/>
                <w:szCs w:val="26"/>
              </w:rPr>
            </w:pPr>
            <w:r w:rsidRPr="00E37897">
              <w:rPr>
                <w:sz w:val="26"/>
                <w:szCs w:val="26"/>
              </w:rPr>
              <w:t>1.5</w:t>
            </w:r>
          </w:p>
        </w:tc>
        <w:tc>
          <w:tcPr>
            <w:tcW w:w="2430" w:type="dxa"/>
          </w:tcPr>
          <w:p w14:paraId="3A92350B" w14:textId="77777777" w:rsidR="00555E97" w:rsidRPr="00E37897" w:rsidRDefault="00555E97" w:rsidP="005F3BE2">
            <w:pPr>
              <w:widowControl/>
              <w:autoSpaceDE w:val="0"/>
              <w:autoSpaceDN w:val="0"/>
              <w:contextualSpacing/>
              <w:rPr>
                <w:sz w:val="26"/>
                <w:szCs w:val="26"/>
              </w:rPr>
            </w:pPr>
            <w:r w:rsidRPr="00E37897">
              <w:rPr>
                <w:sz w:val="26"/>
                <w:szCs w:val="26"/>
              </w:rPr>
              <w:t>1.7</w:t>
            </w:r>
          </w:p>
        </w:tc>
      </w:tr>
    </w:tbl>
    <w:p w14:paraId="0C326635" w14:textId="77777777" w:rsidR="00555E97" w:rsidRPr="00E37897" w:rsidRDefault="00555E97" w:rsidP="005F3BE2">
      <w:pPr>
        <w:widowControl/>
        <w:autoSpaceDE w:val="0"/>
        <w:autoSpaceDN w:val="0"/>
        <w:ind w:left="1440" w:right="1440"/>
        <w:contextualSpacing/>
        <w:jc w:val="center"/>
        <w:rPr>
          <w:sz w:val="26"/>
          <w:szCs w:val="26"/>
        </w:rPr>
      </w:pPr>
    </w:p>
    <w:p w14:paraId="0487AE50" w14:textId="77777777" w:rsidR="00555E97" w:rsidRPr="00E37897" w:rsidRDefault="00555E97" w:rsidP="005F3BE2">
      <w:pPr>
        <w:widowControl/>
        <w:autoSpaceDE w:val="0"/>
        <w:autoSpaceDN w:val="0"/>
        <w:ind w:left="1440" w:right="1440"/>
        <w:contextualSpacing/>
        <w:rPr>
          <w:sz w:val="26"/>
          <w:szCs w:val="26"/>
        </w:rPr>
      </w:pPr>
      <w:r w:rsidRPr="00E37897">
        <w:rPr>
          <w:sz w:val="26"/>
          <w:szCs w:val="26"/>
        </w:rPr>
        <w:t>*Ratio to Super Off-Peak TOU price</w:t>
      </w:r>
    </w:p>
    <w:p w14:paraId="6436E93C" w14:textId="77777777" w:rsidR="00555E97" w:rsidRPr="00E37897" w:rsidRDefault="00555E97" w:rsidP="005F3BE2">
      <w:pPr>
        <w:widowControl/>
        <w:autoSpaceDE w:val="0"/>
        <w:autoSpaceDN w:val="0"/>
        <w:ind w:left="1440" w:right="1440"/>
        <w:contextualSpacing/>
        <w:rPr>
          <w:sz w:val="26"/>
          <w:szCs w:val="26"/>
        </w:rPr>
      </w:pPr>
    </w:p>
    <w:p w14:paraId="299E8927" w14:textId="792450B4"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46. </w:t>
      </w:r>
      <w:r w:rsidR="00307A4F">
        <w:rPr>
          <w:sz w:val="26"/>
          <w:szCs w:val="26"/>
        </w:rPr>
        <w:tab/>
      </w:r>
      <w:r w:rsidRPr="00E37897">
        <w:rPr>
          <w:sz w:val="26"/>
          <w:szCs w:val="26"/>
        </w:rPr>
        <w:t xml:space="preserve"> Commencing with the GSA and TOU rates effective June 1, 2022, PECO agrees to review the TOU pricing multipliers set forth in Table 2, on an annual basis, using a rolling five years of historical PJM Day-Ahead Spot Market Pricing energy data and Reliability Pricing Model capacity pricing data for the PECO Zone.  PECO will only update the applicable TOU pricing multipliers if the use of such data would result in no more than a 10% change from the prior-year’s TOU pricing multipliers.  If the price multiplier change would exceed 10%, the applicable pricing multipliers will be changed by exactly 10%.</w:t>
      </w:r>
    </w:p>
    <w:p w14:paraId="4200554A" w14:textId="77777777" w:rsidR="00555E97" w:rsidRPr="00E37897" w:rsidRDefault="00555E97" w:rsidP="005F3BE2">
      <w:pPr>
        <w:widowControl/>
        <w:autoSpaceDE w:val="0"/>
        <w:autoSpaceDN w:val="0"/>
        <w:ind w:left="1440" w:right="1440"/>
        <w:contextualSpacing/>
        <w:rPr>
          <w:sz w:val="26"/>
          <w:szCs w:val="26"/>
        </w:rPr>
      </w:pPr>
    </w:p>
    <w:p w14:paraId="21D4D399" w14:textId="0138F571" w:rsidR="00555E97" w:rsidRDefault="00555E97" w:rsidP="005F3BE2">
      <w:pPr>
        <w:widowControl/>
        <w:autoSpaceDE w:val="0"/>
        <w:autoSpaceDN w:val="0"/>
        <w:ind w:left="1440" w:right="1440"/>
        <w:contextualSpacing/>
        <w:rPr>
          <w:sz w:val="26"/>
          <w:szCs w:val="26"/>
        </w:rPr>
      </w:pPr>
      <w:r w:rsidRPr="00E37897">
        <w:rPr>
          <w:sz w:val="26"/>
          <w:szCs w:val="26"/>
        </w:rPr>
        <w:t xml:space="preserve">47. </w:t>
      </w:r>
      <w:r w:rsidR="00307A4F">
        <w:rPr>
          <w:sz w:val="26"/>
          <w:szCs w:val="26"/>
        </w:rPr>
        <w:tab/>
      </w:r>
      <w:r w:rsidRPr="00E37897">
        <w:rPr>
          <w:sz w:val="26"/>
          <w:szCs w:val="26"/>
        </w:rPr>
        <w:t xml:space="preserve"> PECO will source both the standard and TOU default service for residential and small commercial customers from the same supply portfolio for each procurement class.  PECO will use the standard default service GSA as the reference price for PECO’s TOU rate calculations.</w:t>
      </w:r>
    </w:p>
    <w:p w14:paraId="7C4C268C" w14:textId="77777777" w:rsidR="00F41AC4" w:rsidRPr="00E37897" w:rsidRDefault="00F41AC4" w:rsidP="005F3BE2">
      <w:pPr>
        <w:widowControl/>
        <w:autoSpaceDE w:val="0"/>
        <w:autoSpaceDN w:val="0"/>
        <w:ind w:left="1440" w:right="1440"/>
        <w:contextualSpacing/>
        <w:rPr>
          <w:sz w:val="26"/>
          <w:szCs w:val="26"/>
        </w:rPr>
      </w:pPr>
    </w:p>
    <w:p w14:paraId="5FAA2365" w14:textId="1518DD97" w:rsidR="00555E97" w:rsidRPr="00E37897" w:rsidRDefault="00555E97" w:rsidP="005F3BE2">
      <w:pPr>
        <w:widowControl/>
        <w:autoSpaceDE w:val="0"/>
        <w:autoSpaceDN w:val="0"/>
        <w:ind w:left="1440" w:right="1440"/>
        <w:contextualSpacing/>
        <w:rPr>
          <w:sz w:val="26"/>
          <w:szCs w:val="26"/>
        </w:rPr>
      </w:pPr>
      <w:r w:rsidRPr="00E37897">
        <w:rPr>
          <w:sz w:val="26"/>
          <w:szCs w:val="26"/>
        </w:rPr>
        <w:lastRenderedPageBreak/>
        <w:t xml:space="preserve">48.  </w:t>
      </w:r>
      <w:r w:rsidR="006D630F">
        <w:rPr>
          <w:sz w:val="26"/>
          <w:szCs w:val="26"/>
        </w:rPr>
        <w:tab/>
      </w:r>
      <w:r w:rsidRPr="00E37897">
        <w:rPr>
          <w:sz w:val="26"/>
          <w:szCs w:val="26"/>
        </w:rPr>
        <w:t>PECO will calculate the TOU Rates on a quarterly basis, synchronized with the GSA adjustment periods for the Residential and Small Commercial Classes, using the pricing methodology set forth in PECO Exhibit Nos. JAB-3 and JAB</w:t>
      </w:r>
      <w:r w:rsidRPr="00E37897">
        <w:rPr>
          <w:sz w:val="26"/>
          <w:szCs w:val="26"/>
        </w:rPr>
        <w:noBreakHyphen/>
        <w:t>4.  TOU customer kWh sales and costs will be included in the semi-annual reconciliation of the over/under collection component of the GSA for the entire procurement class (i.e., Residential or Small Commercial).</w:t>
      </w:r>
    </w:p>
    <w:p w14:paraId="1D1CB16F" w14:textId="77777777" w:rsidR="00555E97" w:rsidRPr="00E37897" w:rsidRDefault="00555E97" w:rsidP="005F3BE2">
      <w:pPr>
        <w:widowControl/>
        <w:autoSpaceDE w:val="0"/>
        <w:autoSpaceDN w:val="0"/>
        <w:ind w:left="1440" w:right="1440"/>
        <w:contextualSpacing/>
        <w:rPr>
          <w:sz w:val="26"/>
          <w:szCs w:val="26"/>
        </w:rPr>
      </w:pPr>
    </w:p>
    <w:p w14:paraId="70CFBDB2" w14:textId="77777777" w:rsidR="00555E97" w:rsidRPr="00E37897" w:rsidRDefault="00555E97" w:rsidP="005F3BE2">
      <w:pPr>
        <w:widowControl/>
        <w:autoSpaceDE w:val="0"/>
        <w:autoSpaceDN w:val="0"/>
        <w:ind w:left="1440" w:right="1440"/>
        <w:contextualSpacing/>
        <w:rPr>
          <w:b/>
          <w:bCs/>
          <w:sz w:val="26"/>
          <w:szCs w:val="26"/>
        </w:rPr>
      </w:pPr>
      <w:r w:rsidRPr="00E37897">
        <w:rPr>
          <w:b/>
          <w:bCs/>
          <w:sz w:val="26"/>
          <w:szCs w:val="26"/>
        </w:rPr>
        <w:t xml:space="preserve">(ii) </w:t>
      </w:r>
      <w:r w:rsidRPr="00E37897">
        <w:rPr>
          <w:b/>
          <w:bCs/>
          <w:sz w:val="26"/>
          <w:szCs w:val="26"/>
        </w:rPr>
        <w:tab/>
        <w:t>Customer Eligibility</w:t>
      </w:r>
    </w:p>
    <w:p w14:paraId="6CAD55B7" w14:textId="77777777" w:rsidR="00555E97" w:rsidRPr="00E37897" w:rsidRDefault="00555E97" w:rsidP="005F3BE2">
      <w:pPr>
        <w:widowControl/>
        <w:autoSpaceDE w:val="0"/>
        <w:autoSpaceDN w:val="0"/>
        <w:ind w:left="1440" w:right="1440"/>
        <w:contextualSpacing/>
        <w:rPr>
          <w:sz w:val="26"/>
          <w:szCs w:val="26"/>
        </w:rPr>
      </w:pPr>
    </w:p>
    <w:p w14:paraId="50BE37A7" w14:textId="3E5D7636"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49. </w:t>
      </w:r>
      <w:r w:rsidR="00701895">
        <w:rPr>
          <w:sz w:val="26"/>
          <w:szCs w:val="26"/>
        </w:rPr>
        <w:tab/>
      </w:r>
      <w:r w:rsidRPr="00E37897">
        <w:rPr>
          <w:sz w:val="26"/>
          <w:szCs w:val="26"/>
        </w:rPr>
        <w:t xml:space="preserve"> PECO’s TOU Rates will be available to residential and small commercial default service customers with smart meters configured to measure energy consumption in watt-hours.  However, customers enrolled in the Company’s Customer Assistance Program (“CAP”) will not be eligible for the residential TOU Rate during the Revised DSP V term to avoid potential adverse impacts on CAP benefits.</w:t>
      </w:r>
    </w:p>
    <w:p w14:paraId="2C69EA58" w14:textId="77777777" w:rsidR="00555E97" w:rsidRPr="00E37897" w:rsidRDefault="00555E97" w:rsidP="005F3BE2">
      <w:pPr>
        <w:widowControl/>
        <w:autoSpaceDE w:val="0"/>
        <w:autoSpaceDN w:val="0"/>
        <w:ind w:left="1440" w:right="1440"/>
        <w:contextualSpacing/>
        <w:rPr>
          <w:sz w:val="26"/>
          <w:szCs w:val="26"/>
        </w:rPr>
      </w:pPr>
    </w:p>
    <w:p w14:paraId="7650024A" w14:textId="228CC8A4"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50.  </w:t>
      </w:r>
      <w:r w:rsidR="00701895">
        <w:rPr>
          <w:sz w:val="26"/>
          <w:szCs w:val="26"/>
        </w:rPr>
        <w:tab/>
      </w:r>
      <w:r w:rsidRPr="00E37897">
        <w:rPr>
          <w:sz w:val="26"/>
          <w:szCs w:val="26"/>
        </w:rPr>
        <w:t>Eligible default service customers may enroll in PECO’s TOU Rates online or through the Company’s care center. Participating customers will remain on the TOU Rate until they affirmatively elect to return to PECO’s standard default service rate, switch to an EGS or otherwise become ineligible.</w:t>
      </w:r>
    </w:p>
    <w:p w14:paraId="7674C64B" w14:textId="77777777" w:rsidR="00555E97" w:rsidRPr="00E37897" w:rsidRDefault="00555E97" w:rsidP="005F3BE2">
      <w:pPr>
        <w:widowControl/>
        <w:autoSpaceDE w:val="0"/>
        <w:autoSpaceDN w:val="0"/>
        <w:ind w:left="1440" w:right="1440"/>
        <w:contextualSpacing/>
        <w:rPr>
          <w:sz w:val="26"/>
          <w:szCs w:val="26"/>
        </w:rPr>
      </w:pPr>
    </w:p>
    <w:p w14:paraId="78E81D5C" w14:textId="0DF9F8F3"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51.  </w:t>
      </w:r>
      <w:r w:rsidR="00701895">
        <w:rPr>
          <w:sz w:val="26"/>
          <w:szCs w:val="26"/>
        </w:rPr>
        <w:tab/>
      </w:r>
      <w:r w:rsidRPr="00E37897">
        <w:rPr>
          <w:sz w:val="26"/>
          <w:szCs w:val="26"/>
        </w:rPr>
        <w:t>Customers who select the TOU Rate may leave at any time without incurring related penalties or fees.  However, if those customers subsequently leave the TOU Rate for any reason, they may not re-enroll for twelve billing months after switching off the TOU Rate.</w:t>
      </w:r>
    </w:p>
    <w:p w14:paraId="7BBB44D6" w14:textId="77777777" w:rsidR="00555E97" w:rsidRPr="00E37897" w:rsidRDefault="00555E97" w:rsidP="005F3BE2">
      <w:pPr>
        <w:widowControl/>
        <w:autoSpaceDE w:val="0"/>
        <w:autoSpaceDN w:val="0"/>
        <w:ind w:left="1440" w:right="1440"/>
        <w:contextualSpacing/>
        <w:rPr>
          <w:sz w:val="26"/>
          <w:szCs w:val="26"/>
        </w:rPr>
      </w:pPr>
    </w:p>
    <w:p w14:paraId="5A4CADAB" w14:textId="77777777" w:rsidR="00555E97" w:rsidRPr="00E37897" w:rsidRDefault="00555E97" w:rsidP="005F3BE2">
      <w:pPr>
        <w:keepNext/>
        <w:widowControl/>
        <w:autoSpaceDE w:val="0"/>
        <w:autoSpaceDN w:val="0"/>
        <w:ind w:left="1440" w:right="1440"/>
        <w:contextualSpacing/>
        <w:rPr>
          <w:b/>
          <w:bCs/>
          <w:sz w:val="26"/>
          <w:szCs w:val="26"/>
        </w:rPr>
      </w:pPr>
      <w:r w:rsidRPr="00E37897">
        <w:rPr>
          <w:b/>
          <w:bCs/>
          <w:sz w:val="26"/>
          <w:szCs w:val="26"/>
        </w:rPr>
        <w:t xml:space="preserve">(iii) </w:t>
      </w:r>
      <w:r w:rsidRPr="00E37897">
        <w:rPr>
          <w:b/>
          <w:bCs/>
          <w:sz w:val="26"/>
          <w:szCs w:val="26"/>
        </w:rPr>
        <w:tab/>
        <w:t>Net Metering Customers</w:t>
      </w:r>
    </w:p>
    <w:p w14:paraId="4AAF5090" w14:textId="77777777" w:rsidR="00555E97" w:rsidRPr="00E37897" w:rsidRDefault="00555E97" w:rsidP="005F3BE2">
      <w:pPr>
        <w:keepNext/>
        <w:widowControl/>
        <w:autoSpaceDE w:val="0"/>
        <w:autoSpaceDN w:val="0"/>
        <w:ind w:left="1440" w:right="1440"/>
        <w:contextualSpacing/>
        <w:rPr>
          <w:sz w:val="26"/>
          <w:szCs w:val="26"/>
        </w:rPr>
      </w:pPr>
    </w:p>
    <w:p w14:paraId="42B27D2D" w14:textId="33CD16AD" w:rsidR="00555E97" w:rsidRPr="00E37897" w:rsidRDefault="00555E97" w:rsidP="005F3BE2">
      <w:pPr>
        <w:keepNext/>
        <w:widowControl/>
        <w:autoSpaceDE w:val="0"/>
        <w:autoSpaceDN w:val="0"/>
        <w:ind w:left="1440" w:right="1440"/>
        <w:contextualSpacing/>
        <w:rPr>
          <w:sz w:val="26"/>
          <w:szCs w:val="26"/>
        </w:rPr>
      </w:pPr>
      <w:r w:rsidRPr="00E37897">
        <w:rPr>
          <w:sz w:val="26"/>
          <w:szCs w:val="26"/>
        </w:rPr>
        <w:t xml:space="preserve">52.  </w:t>
      </w:r>
      <w:r w:rsidR="00701895">
        <w:rPr>
          <w:sz w:val="26"/>
          <w:szCs w:val="26"/>
        </w:rPr>
        <w:tab/>
      </w:r>
      <w:r w:rsidRPr="00E37897">
        <w:rPr>
          <w:sz w:val="26"/>
          <w:szCs w:val="26"/>
        </w:rPr>
        <w:t xml:space="preserve">Customer-generators, </w:t>
      </w:r>
      <w:proofErr w:type="gramStart"/>
      <w:r w:rsidRPr="00E37897">
        <w:rPr>
          <w:sz w:val="26"/>
          <w:szCs w:val="26"/>
        </w:rPr>
        <w:t>with the exception of</w:t>
      </w:r>
      <w:proofErr w:type="gramEnd"/>
      <w:r w:rsidRPr="00E37897">
        <w:rPr>
          <w:sz w:val="26"/>
          <w:szCs w:val="26"/>
        </w:rPr>
        <w:t xml:space="preserve"> virtual net metering customers, will be eligible for the Company’s TOU Rates.</w:t>
      </w:r>
    </w:p>
    <w:p w14:paraId="54791185" w14:textId="77777777" w:rsidR="00555E97" w:rsidRPr="00E37897" w:rsidRDefault="00555E97" w:rsidP="005F3BE2">
      <w:pPr>
        <w:keepNext/>
        <w:widowControl/>
        <w:autoSpaceDE w:val="0"/>
        <w:autoSpaceDN w:val="0"/>
        <w:ind w:left="1440" w:right="1440"/>
        <w:contextualSpacing/>
        <w:rPr>
          <w:sz w:val="26"/>
          <w:szCs w:val="26"/>
        </w:rPr>
      </w:pPr>
    </w:p>
    <w:p w14:paraId="43A203EB" w14:textId="553B980D"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53.  </w:t>
      </w:r>
      <w:r w:rsidR="00701895">
        <w:rPr>
          <w:sz w:val="26"/>
          <w:szCs w:val="26"/>
        </w:rPr>
        <w:tab/>
      </w:r>
      <w:r w:rsidRPr="00E37897">
        <w:rPr>
          <w:sz w:val="26"/>
          <w:szCs w:val="26"/>
        </w:rPr>
        <w:t xml:space="preserve">PECO will separately track net excess generation created by TOU net metering customers within the TOU peak, off-peak and super off-peak periods.  Such excess generation will be “banked” for use by the customer in subsequent billing periods.  As illustrated on PECO Exhibit </w:t>
      </w:r>
      <w:r w:rsidRPr="00E37897">
        <w:rPr>
          <w:sz w:val="26"/>
          <w:szCs w:val="26"/>
        </w:rPr>
        <w:lastRenderedPageBreak/>
        <w:t>No. JAB-5, during any month when a TOU net metering customer consumes more power than it generates, the banked excess generation in the applicable TOU rate period will be used to reduce or offset the customer’s bill at the full retail rate, including the current TOU prices for generation.  At the end of the PJM planning period on May 31 of each year, PECO will compensate TOU net metering customers for accumulated excess generation based on the applicable TOU rate and TSC in effect at the time the excess electricity was generated.</w:t>
      </w:r>
    </w:p>
    <w:p w14:paraId="397D17BA" w14:textId="77777777" w:rsidR="00555E97" w:rsidRPr="00E37897" w:rsidRDefault="00555E97" w:rsidP="005F3BE2">
      <w:pPr>
        <w:widowControl/>
        <w:autoSpaceDE w:val="0"/>
        <w:autoSpaceDN w:val="0"/>
        <w:ind w:left="1440" w:right="1440"/>
        <w:contextualSpacing/>
        <w:rPr>
          <w:sz w:val="26"/>
          <w:szCs w:val="26"/>
        </w:rPr>
      </w:pPr>
    </w:p>
    <w:p w14:paraId="0F040DBE" w14:textId="77777777" w:rsidR="00555E97" w:rsidRPr="00E37897" w:rsidRDefault="00555E97" w:rsidP="005F3BE2">
      <w:pPr>
        <w:widowControl/>
        <w:autoSpaceDE w:val="0"/>
        <w:autoSpaceDN w:val="0"/>
        <w:ind w:left="1440" w:right="1440"/>
        <w:contextualSpacing/>
        <w:rPr>
          <w:b/>
          <w:bCs/>
          <w:sz w:val="26"/>
          <w:szCs w:val="26"/>
        </w:rPr>
      </w:pPr>
      <w:r w:rsidRPr="00E37897">
        <w:rPr>
          <w:b/>
          <w:bCs/>
          <w:sz w:val="26"/>
          <w:szCs w:val="26"/>
        </w:rPr>
        <w:t xml:space="preserve">(iv) </w:t>
      </w:r>
      <w:r w:rsidRPr="00E37897">
        <w:rPr>
          <w:b/>
          <w:bCs/>
          <w:sz w:val="26"/>
          <w:szCs w:val="26"/>
        </w:rPr>
        <w:tab/>
        <w:t>Implementation Plan and Cost Recovery</w:t>
      </w:r>
    </w:p>
    <w:p w14:paraId="298FFD54" w14:textId="77777777" w:rsidR="00555E97" w:rsidRPr="00E37897" w:rsidRDefault="00555E97" w:rsidP="005F3BE2">
      <w:pPr>
        <w:widowControl/>
        <w:autoSpaceDE w:val="0"/>
        <w:autoSpaceDN w:val="0"/>
        <w:ind w:left="1440" w:right="1440"/>
        <w:contextualSpacing/>
        <w:rPr>
          <w:sz w:val="26"/>
          <w:szCs w:val="26"/>
        </w:rPr>
      </w:pPr>
    </w:p>
    <w:p w14:paraId="13F6480D" w14:textId="6A45104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54.  </w:t>
      </w:r>
      <w:r w:rsidR="00701895">
        <w:rPr>
          <w:sz w:val="26"/>
          <w:szCs w:val="26"/>
        </w:rPr>
        <w:tab/>
      </w:r>
      <w:r w:rsidRPr="00E37897">
        <w:rPr>
          <w:sz w:val="26"/>
          <w:szCs w:val="26"/>
        </w:rPr>
        <w:t>The Joint Petitioners agree to adopt PECO’s communications plan proposed in the DSP V Petition to inform customers about the new TOU Rates and update enrolled TOU customers about the opportunity for bill savings.  This plan includes a webpage dedicated to the TOU Rates, a variety of other customer education materials, and monthly e-mail communications to enrolled TOU customers.</w:t>
      </w:r>
    </w:p>
    <w:p w14:paraId="6A36C79A" w14:textId="77777777" w:rsidR="00555E97" w:rsidRPr="00E37897" w:rsidRDefault="00555E97" w:rsidP="005F3BE2">
      <w:pPr>
        <w:widowControl/>
        <w:autoSpaceDE w:val="0"/>
        <w:autoSpaceDN w:val="0"/>
        <w:ind w:left="1440" w:right="1440"/>
        <w:contextualSpacing/>
        <w:rPr>
          <w:sz w:val="26"/>
          <w:szCs w:val="26"/>
        </w:rPr>
      </w:pPr>
    </w:p>
    <w:p w14:paraId="52945794" w14:textId="768D45CE"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55.  </w:t>
      </w:r>
      <w:r w:rsidR="00701895">
        <w:rPr>
          <w:sz w:val="26"/>
          <w:szCs w:val="26"/>
        </w:rPr>
        <w:tab/>
      </w:r>
      <w:r w:rsidRPr="00E37897">
        <w:rPr>
          <w:sz w:val="26"/>
          <w:szCs w:val="26"/>
        </w:rPr>
        <w:t>All TOU outreach and education materials will include, at a minimum, the following statements, with the title: Important Information About Time of Use Rates:</w:t>
      </w:r>
    </w:p>
    <w:p w14:paraId="1FF0B38A" w14:textId="77777777" w:rsidR="00555E97" w:rsidRPr="00E37897" w:rsidRDefault="00555E97" w:rsidP="005F3BE2">
      <w:pPr>
        <w:widowControl/>
        <w:autoSpaceDE w:val="0"/>
        <w:autoSpaceDN w:val="0"/>
        <w:ind w:left="1440" w:right="1440"/>
        <w:contextualSpacing/>
        <w:rPr>
          <w:sz w:val="26"/>
          <w:szCs w:val="26"/>
        </w:rPr>
      </w:pPr>
    </w:p>
    <w:p w14:paraId="702488C0" w14:textId="77777777" w:rsidR="00555E97" w:rsidRPr="00E37897" w:rsidRDefault="00555E97" w:rsidP="001953F3">
      <w:pPr>
        <w:pStyle w:val="ListParagraph"/>
        <w:numPr>
          <w:ilvl w:val="0"/>
          <w:numId w:val="32"/>
        </w:numPr>
        <w:autoSpaceDE w:val="0"/>
        <w:autoSpaceDN w:val="0"/>
        <w:ind w:left="2880" w:right="1440" w:hanging="720"/>
        <w:contextualSpacing/>
        <w:rPr>
          <w:sz w:val="26"/>
          <w:szCs w:val="26"/>
        </w:rPr>
      </w:pPr>
      <w:r w:rsidRPr="00E37897">
        <w:rPr>
          <w:sz w:val="26"/>
          <w:szCs w:val="26"/>
        </w:rPr>
        <w:t>“Time of Use rates may not be appropriate for customers that cannot change the time of day that they rely on electricity, such as those with medical devices that require electricity or customers who are home during peak hours.”</w:t>
      </w:r>
    </w:p>
    <w:p w14:paraId="449F22DD" w14:textId="77777777" w:rsidR="00555E97" w:rsidRPr="00E37897" w:rsidRDefault="00555E97" w:rsidP="001953F3">
      <w:pPr>
        <w:widowControl/>
        <w:autoSpaceDE w:val="0"/>
        <w:autoSpaceDN w:val="0"/>
        <w:ind w:left="2880" w:right="1440" w:hanging="720"/>
        <w:contextualSpacing/>
        <w:rPr>
          <w:sz w:val="26"/>
          <w:szCs w:val="26"/>
        </w:rPr>
      </w:pPr>
    </w:p>
    <w:p w14:paraId="28094E88" w14:textId="77777777" w:rsidR="00555E97" w:rsidRPr="00E37897" w:rsidRDefault="00555E97" w:rsidP="001953F3">
      <w:pPr>
        <w:widowControl/>
        <w:autoSpaceDE w:val="0"/>
        <w:autoSpaceDN w:val="0"/>
        <w:ind w:left="2880" w:right="1440" w:hanging="720"/>
        <w:contextualSpacing/>
        <w:rPr>
          <w:sz w:val="26"/>
          <w:szCs w:val="26"/>
        </w:rPr>
      </w:pPr>
      <w:r w:rsidRPr="00E37897">
        <w:rPr>
          <w:sz w:val="26"/>
          <w:szCs w:val="26"/>
        </w:rPr>
        <w:t xml:space="preserve">(b) </w:t>
      </w:r>
      <w:r w:rsidRPr="00E37897">
        <w:rPr>
          <w:sz w:val="26"/>
          <w:szCs w:val="26"/>
        </w:rPr>
        <w:tab/>
        <w:t>“If you are a low-income customer, other programs and rate assistance may be available to help you to afford your bill.  Contact PECO at …_for more information and to apply.”</w:t>
      </w:r>
    </w:p>
    <w:p w14:paraId="08166D82" w14:textId="77777777" w:rsidR="00555E97" w:rsidRPr="00E37897" w:rsidRDefault="00555E97" w:rsidP="005F3BE2">
      <w:pPr>
        <w:widowControl/>
        <w:autoSpaceDE w:val="0"/>
        <w:autoSpaceDN w:val="0"/>
        <w:ind w:left="1440" w:right="1440"/>
        <w:contextualSpacing/>
        <w:rPr>
          <w:sz w:val="26"/>
          <w:szCs w:val="26"/>
        </w:rPr>
      </w:pPr>
    </w:p>
    <w:p w14:paraId="5F73CD3F" w14:textId="0BBF4B06"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56.  </w:t>
      </w:r>
      <w:r w:rsidR="001A27EB">
        <w:rPr>
          <w:sz w:val="26"/>
          <w:szCs w:val="26"/>
        </w:rPr>
        <w:tab/>
      </w:r>
      <w:r w:rsidRPr="00E37897">
        <w:rPr>
          <w:sz w:val="26"/>
          <w:szCs w:val="26"/>
        </w:rPr>
        <w:t>PECO agrees to conduct a collaborative meeting at least 120 days before launching its TOU rate to provide an overview of PECO’s TOU outreach and education plans and materials.  PECO will provide stakeholders with an opportunity to review and comment on outreach and education materials before such materials are finalized.</w:t>
      </w:r>
    </w:p>
    <w:p w14:paraId="7895CC7D" w14:textId="77777777" w:rsidR="00555E97" w:rsidRPr="00E37897" w:rsidRDefault="00555E97" w:rsidP="005F3BE2">
      <w:pPr>
        <w:widowControl/>
        <w:autoSpaceDE w:val="0"/>
        <w:autoSpaceDN w:val="0"/>
        <w:ind w:left="1440" w:right="1440"/>
        <w:contextualSpacing/>
        <w:rPr>
          <w:sz w:val="26"/>
          <w:szCs w:val="26"/>
        </w:rPr>
      </w:pPr>
    </w:p>
    <w:p w14:paraId="25D2D91D" w14:textId="331603BA" w:rsidR="00555E97" w:rsidRPr="00E37897" w:rsidRDefault="00555E97" w:rsidP="005F3BE2">
      <w:pPr>
        <w:widowControl/>
        <w:autoSpaceDE w:val="0"/>
        <w:autoSpaceDN w:val="0"/>
        <w:ind w:left="1440" w:right="1440"/>
        <w:contextualSpacing/>
        <w:rPr>
          <w:sz w:val="26"/>
          <w:szCs w:val="26"/>
        </w:rPr>
      </w:pPr>
      <w:r w:rsidRPr="00E37897">
        <w:rPr>
          <w:sz w:val="26"/>
          <w:szCs w:val="26"/>
        </w:rPr>
        <w:lastRenderedPageBreak/>
        <w:t xml:space="preserve">57.  </w:t>
      </w:r>
      <w:r w:rsidR="001A27EB">
        <w:rPr>
          <w:sz w:val="26"/>
          <w:szCs w:val="26"/>
        </w:rPr>
        <w:tab/>
      </w:r>
      <w:r w:rsidRPr="00E37897">
        <w:rPr>
          <w:sz w:val="26"/>
          <w:szCs w:val="26"/>
        </w:rPr>
        <w:t>PECO agrees to evaluate the impacts of the Company’s TOU rates on confirmed low-income customers as part of the annual report required by Act 129.</w:t>
      </w:r>
    </w:p>
    <w:p w14:paraId="24DFF133" w14:textId="77777777" w:rsidR="00555E97" w:rsidRPr="00E37897" w:rsidRDefault="00555E97" w:rsidP="005F3BE2">
      <w:pPr>
        <w:widowControl/>
        <w:autoSpaceDE w:val="0"/>
        <w:autoSpaceDN w:val="0"/>
        <w:ind w:left="1440" w:right="1440"/>
        <w:contextualSpacing/>
        <w:rPr>
          <w:sz w:val="26"/>
          <w:szCs w:val="26"/>
        </w:rPr>
      </w:pPr>
    </w:p>
    <w:p w14:paraId="3E34E5D4" w14:textId="6E99C099"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58.  </w:t>
      </w:r>
      <w:r w:rsidR="001A27EB">
        <w:rPr>
          <w:sz w:val="26"/>
          <w:szCs w:val="26"/>
        </w:rPr>
        <w:tab/>
      </w:r>
      <w:r w:rsidRPr="00E37897">
        <w:rPr>
          <w:sz w:val="26"/>
          <w:szCs w:val="26"/>
        </w:rPr>
        <w:t>To assist in the preparation of the annual report, PECO will track TOU customers’ income and demographic information (e.g., age, race, ethnicity and disability status). However, eligible customers who refuse to disclose this information will not be precluded from enrolling in PECO’s TOU rates.</w:t>
      </w:r>
    </w:p>
    <w:p w14:paraId="0E61C79E" w14:textId="77777777" w:rsidR="00555E97" w:rsidRPr="00E37897" w:rsidRDefault="00555E97" w:rsidP="005F3BE2">
      <w:pPr>
        <w:widowControl/>
        <w:autoSpaceDE w:val="0"/>
        <w:autoSpaceDN w:val="0"/>
        <w:ind w:left="1440" w:right="1440"/>
        <w:contextualSpacing/>
        <w:rPr>
          <w:sz w:val="26"/>
          <w:szCs w:val="26"/>
        </w:rPr>
      </w:pPr>
    </w:p>
    <w:p w14:paraId="5833A475" w14:textId="1B7E991B"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59.  </w:t>
      </w:r>
      <w:r w:rsidR="001A27EB">
        <w:rPr>
          <w:sz w:val="26"/>
          <w:szCs w:val="26"/>
        </w:rPr>
        <w:tab/>
      </w:r>
      <w:r w:rsidRPr="00E37897">
        <w:rPr>
          <w:sz w:val="26"/>
          <w:szCs w:val="26"/>
        </w:rPr>
        <w:t>PECO estimates that it will require at least twelve months to implement the final TOU rate design approved by the Commission in this proceeding.</w:t>
      </w:r>
    </w:p>
    <w:p w14:paraId="5038EED9" w14:textId="77777777" w:rsidR="00555E97" w:rsidRPr="00E37897" w:rsidRDefault="00555E97" w:rsidP="005F3BE2">
      <w:pPr>
        <w:widowControl/>
        <w:autoSpaceDE w:val="0"/>
        <w:autoSpaceDN w:val="0"/>
        <w:ind w:left="1440" w:right="1440"/>
        <w:contextualSpacing/>
        <w:rPr>
          <w:sz w:val="26"/>
          <w:szCs w:val="26"/>
        </w:rPr>
      </w:pPr>
    </w:p>
    <w:p w14:paraId="332FEC93" w14:textId="62C46D75"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60.  </w:t>
      </w:r>
      <w:r w:rsidR="001A27EB">
        <w:rPr>
          <w:sz w:val="26"/>
          <w:szCs w:val="26"/>
        </w:rPr>
        <w:tab/>
      </w:r>
      <w:r w:rsidRPr="00E37897">
        <w:rPr>
          <w:sz w:val="26"/>
          <w:szCs w:val="26"/>
        </w:rPr>
        <w:t>PECO will allocate 70% of the costs incurred to implement its new TOU default service rate options based on the total number of default service customers in the Residential and Small Commercial procurement classes, and 30% of the costs on the number of default service kWh consumed by the Residential and Small Commercial procurement classes.</w:t>
      </w:r>
      <w:r w:rsidR="00D52684">
        <w:rPr>
          <w:rStyle w:val="FootnoteReference"/>
          <w:sz w:val="26"/>
          <w:szCs w:val="26"/>
        </w:rPr>
        <w:footnoteReference w:id="8"/>
      </w:r>
    </w:p>
    <w:p w14:paraId="509392E7" w14:textId="77777777" w:rsidR="00555E97" w:rsidRPr="00E37897" w:rsidRDefault="00555E97" w:rsidP="005F3BE2">
      <w:pPr>
        <w:widowControl/>
        <w:autoSpaceDE w:val="0"/>
        <w:autoSpaceDN w:val="0"/>
        <w:ind w:left="1440" w:right="1440"/>
        <w:contextualSpacing/>
        <w:rPr>
          <w:sz w:val="26"/>
          <w:szCs w:val="26"/>
        </w:rPr>
      </w:pPr>
    </w:p>
    <w:p w14:paraId="4877770B" w14:textId="24A81ABD"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61. </w:t>
      </w:r>
      <w:r w:rsidR="001A27EB">
        <w:rPr>
          <w:sz w:val="26"/>
          <w:szCs w:val="26"/>
        </w:rPr>
        <w:tab/>
      </w:r>
      <w:r w:rsidRPr="00E37897">
        <w:rPr>
          <w:sz w:val="26"/>
          <w:szCs w:val="26"/>
        </w:rPr>
        <w:t>Effective June 1, 2021, PECO shall be permitted to implement the tariff changes set forth in Exhibit Nos. A and B related to the Company’s TOU Rates, subject to resolution of the issues related to TOU cost allocation and recovery of NITS charges.</w:t>
      </w:r>
    </w:p>
    <w:p w14:paraId="2A1EB3A5" w14:textId="77777777" w:rsidR="00555E97" w:rsidRPr="00E37897" w:rsidRDefault="00555E97" w:rsidP="005F3BE2">
      <w:pPr>
        <w:widowControl/>
        <w:autoSpaceDE w:val="0"/>
        <w:autoSpaceDN w:val="0"/>
        <w:ind w:left="1440" w:right="1440"/>
        <w:contextualSpacing/>
        <w:rPr>
          <w:sz w:val="26"/>
          <w:szCs w:val="26"/>
        </w:rPr>
      </w:pPr>
    </w:p>
    <w:p w14:paraId="76DE81D4" w14:textId="77777777" w:rsidR="00555E97" w:rsidRPr="00E37897" w:rsidRDefault="00555E97" w:rsidP="005F3BE2">
      <w:pPr>
        <w:keepNext/>
        <w:widowControl/>
        <w:autoSpaceDE w:val="0"/>
        <w:autoSpaceDN w:val="0"/>
        <w:ind w:left="2160" w:right="1440"/>
        <w:contextualSpacing/>
        <w:rPr>
          <w:b/>
          <w:bCs/>
          <w:sz w:val="26"/>
          <w:szCs w:val="26"/>
        </w:rPr>
      </w:pPr>
      <w:r w:rsidRPr="00E37897">
        <w:rPr>
          <w:b/>
          <w:bCs/>
          <w:sz w:val="26"/>
          <w:szCs w:val="26"/>
        </w:rPr>
        <w:t xml:space="preserve">F. </w:t>
      </w:r>
      <w:r w:rsidRPr="00E37897">
        <w:rPr>
          <w:b/>
          <w:bCs/>
          <w:sz w:val="26"/>
          <w:szCs w:val="26"/>
        </w:rPr>
        <w:tab/>
        <w:t>Standard Offer Program</w:t>
      </w:r>
    </w:p>
    <w:p w14:paraId="51278765" w14:textId="77777777" w:rsidR="00555E97" w:rsidRPr="00E37897" w:rsidRDefault="00555E97" w:rsidP="005F3BE2">
      <w:pPr>
        <w:keepNext/>
        <w:widowControl/>
        <w:autoSpaceDE w:val="0"/>
        <w:autoSpaceDN w:val="0"/>
        <w:ind w:left="1440" w:right="1440"/>
        <w:contextualSpacing/>
        <w:rPr>
          <w:sz w:val="26"/>
          <w:szCs w:val="26"/>
        </w:rPr>
      </w:pPr>
    </w:p>
    <w:p w14:paraId="7481FE63" w14:textId="60169A74" w:rsidR="00555E97" w:rsidRPr="00E37897" w:rsidRDefault="00555E97" w:rsidP="005F3BE2">
      <w:pPr>
        <w:keepNext/>
        <w:widowControl/>
        <w:autoSpaceDE w:val="0"/>
        <w:autoSpaceDN w:val="0"/>
        <w:ind w:left="1440" w:right="1440"/>
        <w:contextualSpacing/>
        <w:rPr>
          <w:sz w:val="26"/>
          <w:szCs w:val="26"/>
        </w:rPr>
      </w:pPr>
      <w:r w:rsidRPr="00E37897">
        <w:rPr>
          <w:sz w:val="26"/>
          <w:szCs w:val="26"/>
        </w:rPr>
        <w:t xml:space="preserve">62.  </w:t>
      </w:r>
      <w:r w:rsidR="001A27EB">
        <w:rPr>
          <w:sz w:val="26"/>
          <w:szCs w:val="26"/>
        </w:rPr>
        <w:tab/>
      </w:r>
      <w:r w:rsidRPr="00E37897">
        <w:rPr>
          <w:sz w:val="26"/>
          <w:szCs w:val="26"/>
        </w:rPr>
        <w:t xml:space="preserve">The </w:t>
      </w:r>
      <w:proofErr w:type="gramStart"/>
      <w:r w:rsidRPr="00E37897">
        <w:rPr>
          <w:sz w:val="26"/>
          <w:szCs w:val="26"/>
        </w:rPr>
        <w:t>currently-effective</w:t>
      </w:r>
      <w:proofErr w:type="gramEnd"/>
      <w:r w:rsidRPr="00E37897">
        <w:rPr>
          <w:sz w:val="26"/>
          <w:szCs w:val="26"/>
        </w:rPr>
        <w:t xml:space="preserve"> Standard Offer Program (“SOP”), including the cost recovery mechanisms last approved by the Commission in PECO’s DSP IV proceeding, will continue until May 31, 2025.</w:t>
      </w:r>
    </w:p>
    <w:p w14:paraId="3A090DDB" w14:textId="77777777" w:rsidR="00555E97" w:rsidRPr="00E37897" w:rsidRDefault="00555E97" w:rsidP="005F3BE2">
      <w:pPr>
        <w:widowControl/>
        <w:autoSpaceDE w:val="0"/>
        <w:autoSpaceDN w:val="0"/>
        <w:ind w:left="1440" w:right="1440"/>
        <w:contextualSpacing/>
        <w:rPr>
          <w:sz w:val="26"/>
          <w:szCs w:val="26"/>
        </w:rPr>
      </w:pPr>
    </w:p>
    <w:p w14:paraId="086567FF" w14:textId="5E302D27"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63.  </w:t>
      </w:r>
      <w:r w:rsidR="001A27EB">
        <w:rPr>
          <w:sz w:val="26"/>
          <w:szCs w:val="26"/>
        </w:rPr>
        <w:tab/>
      </w:r>
      <w:r w:rsidRPr="00E37897">
        <w:rPr>
          <w:sz w:val="26"/>
          <w:szCs w:val="26"/>
        </w:rPr>
        <w:t>Within sixty days of the entry of a final, non-appealable Opinion and Order in this proceeding, PECO will change the brand name for the SOP from “PECO Smart Energy Choice” to “Customer Referral Program”.</w:t>
      </w:r>
    </w:p>
    <w:p w14:paraId="5BDD89B6" w14:textId="79412946" w:rsidR="00555E97" w:rsidRPr="00E37897" w:rsidRDefault="00555E97" w:rsidP="005F3BE2">
      <w:pPr>
        <w:widowControl/>
        <w:autoSpaceDE w:val="0"/>
        <w:autoSpaceDN w:val="0"/>
        <w:ind w:left="1440" w:right="1440"/>
        <w:contextualSpacing/>
        <w:rPr>
          <w:sz w:val="26"/>
          <w:szCs w:val="26"/>
        </w:rPr>
      </w:pPr>
      <w:r w:rsidRPr="00E37897">
        <w:rPr>
          <w:sz w:val="26"/>
          <w:szCs w:val="26"/>
        </w:rPr>
        <w:lastRenderedPageBreak/>
        <w:t xml:space="preserve">64.  </w:t>
      </w:r>
      <w:r w:rsidR="001A27EB">
        <w:rPr>
          <w:sz w:val="26"/>
          <w:szCs w:val="26"/>
        </w:rPr>
        <w:tab/>
      </w:r>
      <w:r w:rsidRPr="00E37897">
        <w:rPr>
          <w:sz w:val="26"/>
          <w:szCs w:val="26"/>
        </w:rPr>
        <w:t>The Joint Petitioners agree that prior to obtaining customer approval to participate in the SOP, the customer service representative for PECO’s third-party SOP administrator, currently Kandela, will ask the customer’s authorization to enroll with a named supplier.</w:t>
      </w:r>
    </w:p>
    <w:p w14:paraId="5CF8EB53" w14:textId="77777777" w:rsidR="00555E97" w:rsidRPr="00E37897" w:rsidRDefault="00555E97" w:rsidP="005F3BE2">
      <w:pPr>
        <w:widowControl/>
        <w:autoSpaceDE w:val="0"/>
        <w:autoSpaceDN w:val="0"/>
        <w:ind w:left="1440" w:right="1440"/>
        <w:contextualSpacing/>
        <w:rPr>
          <w:sz w:val="26"/>
          <w:szCs w:val="26"/>
        </w:rPr>
      </w:pPr>
    </w:p>
    <w:p w14:paraId="5468B1AF" w14:textId="53D96926"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65.  </w:t>
      </w:r>
      <w:r w:rsidR="001A27EB">
        <w:rPr>
          <w:sz w:val="26"/>
          <w:szCs w:val="26"/>
        </w:rPr>
        <w:tab/>
      </w:r>
      <w:r w:rsidRPr="00E37897">
        <w:rPr>
          <w:sz w:val="26"/>
          <w:szCs w:val="26"/>
        </w:rPr>
        <w:t>PECO will conduct a monthly evaluation of customer service representatives of Kandela or its successor about presentation of the customer disclosures consistent with the current-SOP related scripts and training materials and take such steps as necessary to train those customer service representatives to provide the correct and approved information about the SOP.</w:t>
      </w:r>
    </w:p>
    <w:p w14:paraId="4F755AF1" w14:textId="77777777" w:rsidR="00555E97" w:rsidRPr="00E37897" w:rsidRDefault="00555E97" w:rsidP="005F3BE2">
      <w:pPr>
        <w:widowControl/>
        <w:autoSpaceDE w:val="0"/>
        <w:autoSpaceDN w:val="0"/>
        <w:ind w:left="1440" w:right="1440"/>
        <w:contextualSpacing/>
        <w:rPr>
          <w:sz w:val="26"/>
          <w:szCs w:val="26"/>
        </w:rPr>
      </w:pPr>
    </w:p>
    <w:p w14:paraId="642EBD9E" w14:textId="56A3C76C"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66.  </w:t>
      </w:r>
      <w:r w:rsidR="001A27EB">
        <w:rPr>
          <w:sz w:val="26"/>
          <w:szCs w:val="26"/>
        </w:rPr>
        <w:tab/>
      </w:r>
      <w:r w:rsidRPr="00E37897">
        <w:rPr>
          <w:sz w:val="26"/>
          <w:szCs w:val="26"/>
        </w:rPr>
        <w:t>Prior to filing its next default service program, PECO agrees to conduct a customer satisfaction survey of customers who withdrew from the SOP before the conclusion of the twelve month program, those who selected a new EGS at the conclusion of the SOP, those who returned to default service at the conclusion of the SOP, and those remained with their SOP supplier at the conclusion of the program.</w:t>
      </w:r>
    </w:p>
    <w:p w14:paraId="702D5014" w14:textId="77777777" w:rsidR="00555E97" w:rsidRPr="00E37897" w:rsidRDefault="00555E97" w:rsidP="005F3BE2">
      <w:pPr>
        <w:widowControl/>
        <w:autoSpaceDE w:val="0"/>
        <w:autoSpaceDN w:val="0"/>
        <w:ind w:left="1440" w:right="1440"/>
        <w:contextualSpacing/>
        <w:rPr>
          <w:sz w:val="26"/>
          <w:szCs w:val="26"/>
        </w:rPr>
      </w:pPr>
    </w:p>
    <w:p w14:paraId="15660EDF" w14:textId="6426544C"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67.  </w:t>
      </w:r>
      <w:r w:rsidR="001A27EB">
        <w:rPr>
          <w:sz w:val="26"/>
          <w:szCs w:val="26"/>
        </w:rPr>
        <w:tab/>
      </w:r>
      <w:r w:rsidRPr="00E37897">
        <w:rPr>
          <w:sz w:val="26"/>
          <w:szCs w:val="26"/>
        </w:rPr>
        <w:t>In the portion of PECO’s website where shopping information is provided, PECO will provide information about SOP and how customers may enroll.</w:t>
      </w:r>
    </w:p>
    <w:p w14:paraId="07554161" w14:textId="77777777" w:rsidR="00555E97" w:rsidRPr="00E37897" w:rsidRDefault="00555E97" w:rsidP="005F3BE2">
      <w:pPr>
        <w:widowControl/>
        <w:autoSpaceDE w:val="0"/>
        <w:autoSpaceDN w:val="0"/>
        <w:ind w:left="1440" w:right="1440"/>
        <w:contextualSpacing/>
        <w:rPr>
          <w:sz w:val="26"/>
          <w:szCs w:val="26"/>
        </w:rPr>
      </w:pPr>
    </w:p>
    <w:p w14:paraId="6CB9DAD6" w14:textId="2D7CCE30"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68.  </w:t>
      </w:r>
      <w:r w:rsidR="001A27EB">
        <w:rPr>
          <w:sz w:val="26"/>
          <w:szCs w:val="26"/>
        </w:rPr>
        <w:tab/>
      </w:r>
      <w:r w:rsidRPr="00E37897">
        <w:rPr>
          <w:sz w:val="26"/>
          <w:szCs w:val="26"/>
        </w:rPr>
        <w:t>PECO agrees to allow customers to enroll in the SOP through its website and will waive the SOP referral fee for web-enrollments.  The website presentment will contain the same information and disclaimers about the program as currently provided in PECO’s SOP-related scripts.  All implementation costs to enable SOP web-enrollment will be recovered over the Revised DSP V period through a Purchase of Receivables discount.  PECO will present a good-faith estimate of implementation costs to the Joint Petitioners by the end of March 2021.  If the Joint Petitioners approve those costs, PECO will proceed with implementation by March 2022.  SOP suppliers must accept referrals from both PECO’s website and call center.</w:t>
      </w:r>
    </w:p>
    <w:p w14:paraId="310D3137" w14:textId="77777777" w:rsidR="00555E97" w:rsidRPr="00E37897" w:rsidRDefault="00555E97" w:rsidP="005F3BE2">
      <w:pPr>
        <w:widowControl/>
        <w:autoSpaceDE w:val="0"/>
        <w:autoSpaceDN w:val="0"/>
        <w:ind w:left="1440" w:right="1440"/>
        <w:contextualSpacing/>
        <w:rPr>
          <w:sz w:val="26"/>
          <w:szCs w:val="26"/>
        </w:rPr>
      </w:pPr>
    </w:p>
    <w:p w14:paraId="6225CCFE" w14:textId="77777777" w:rsidR="00555E97" w:rsidRPr="00E37897" w:rsidRDefault="00555E97" w:rsidP="009D5F06">
      <w:pPr>
        <w:keepNext/>
        <w:widowControl/>
        <w:autoSpaceDE w:val="0"/>
        <w:autoSpaceDN w:val="0"/>
        <w:ind w:left="2160" w:right="1440"/>
        <w:contextualSpacing/>
        <w:rPr>
          <w:b/>
          <w:bCs/>
          <w:sz w:val="26"/>
          <w:szCs w:val="26"/>
        </w:rPr>
      </w:pPr>
      <w:r w:rsidRPr="00E37897">
        <w:rPr>
          <w:b/>
          <w:bCs/>
          <w:sz w:val="26"/>
          <w:szCs w:val="26"/>
        </w:rPr>
        <w:lastRenderedPageBreak/>
        <w:t xml:space="preserve">G. </w:t>
      </w:r>
      <w:r w:rsidRPr="00E37897">
        <w:rPr>
          <w:b/>
          <w:bCs/>
          <w:sz w:val="26"/>
          <w:szCs w:val="26"/>
        </w:rPr>
        <w:tab/>
        <w:t>Residential Customer Bill Improvements</w:t>
      </w:r>
    </w:p>
    <w:p w14:paraId="5F360716" w14:textId="77777777" w:rsidR="00555E97" w:rsidRPr="00E37897" w:rsidRDefault="00555E97" w:rsidP="009D5F06">
      <w:pPr>
        <w:keepNext/>
        <w:widowControl/>
        <w:autoSpaceDE w:val="0"/>
        <w:autoSpaceDN w:val="0"/>
        <w:ind w:left="1440" w:right="1440"/>
        <w:contextualSpacing/>
        <w:rPr>
          <w:sz w:val="26"/>
          <w:szCs w:val="26"/>
        </w:rPr>
      </w:pPr>
    </w:p>
    <w:p w14:paraId="36BAB687" w14:textId="27FED477"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69.  </w:t>
      </w:r>
      <w:r w:rsidR="001A27EB">
        <w:rPr>
          <w:sz w:val="26"/>
          <w:szCs w:val="26"/>
        </w:rPr>
        <w:tab/>
      </w:r>
      <w:r w:rsidRPr="00E37897">
        <w:rPr>
          <w:sz w:val="26"/>
          <w:szCs w:val="26"/>
        </w:rPr>
        <w:t>Within sixty days of the entry of a final, non-appealable Opinion and Order in this proceeding, PECO will convene a stakeholder process to discuss mechanisms to collect EGS pricing information compatible with PECO’s “bill-ready” billing system and to develop bill improvements to ensure that shopping information is clear and transparent to residential customers.  This process will also address EGS recommendations to improve the presentation of shopping information on residential customer bills.</w:t>
      </w:r>
    </w:p>
    <w:p w14:paraId="33F92339" w14:textId="77777777" w:rsidR="00555E97" w:rsidRPr="00E37897" w:rsidRDefault="00555E97" w:rsidP="005F3BE2">
      <w:pPr>
        <w:widowControl/>
        <w:autoSpaceDE w:val="0"/>
        <w:autoSpaceDN w:val="0"/>
        <w:ind w:left="1440" w:right="1440"/>
        <w:contextualSpacing/>
        <w:rPr>
          <w:sz w:val="26"/>
          <w:szCs w:val="26"/>
        </w:rPr>
      </w:pPr>
    </w:p>
    <w:p w14:paraId="77C914CD" w14:textId="77777777" w:rsidR="00555E97" w:rsidRPr="00E37897" w:rsidRDefault="00555E97" w:rsidP="005F3BE2">
      <w:pPr>
        <w:widowControl/>
        <w:autoSpaceDE w:val="0"/>
        <w:autoSpaceDN w:val="0"/>
        <w:ind w:left="2160" w:right="1440"/>
        <w:contextualSpacing/>
        <w:rPr>
          <w:b/>
          <w:bCs/>
          <w:sz w:val="26"/>
          <w:szCs w:val="26"/>
        </w:rPr>
      </w:pPr>
      <w:r w:rsidRPr="00E37897">
        <w:rPr>
          <w:b/>
          <w:bCs/>
          <w:sz w:val="26"/>
          <w:szCs w:val="26"/>
        </w:rPr>
        <w:t xml:space="preserve">H. </w:t>
      </w:r>
      <w:r w:rsidRPr="00E37897">
        <w:rPr>
          <w:b/>
          <w:bCs/>
          <w:sz w:val="26"/>
          <w:szCs w:val="26"/>
        </w:rPr>
        <w:tab/>
        <w:t>CAP Shopping Plan</w:t>
      </w:r>
    </w:p>
    <w:p w14:paraId="782FE72B" w14:textId="77777777" w:rsidR="00555E97" w:rsidRPr="00E37897" w:rsidRDefault="00555E97" w:rsidP="005F3BE2">
      <w:pPr>
        <w:widowControl/>
        <w:autoSpaceDE w:val="0"/>
        <w:autoSpaceDN w:val="0"/>
        <w:ind w:left="1440" w:right="1440"/>
        <w:contextualSpacing/>
        <w:rPr>
          <w:sz w:val="26"/>
          <w:szCs w:val="26"/>
        </w:rPr>
      </w:pPr>
    </w:p>
    <w:p w14:paraId="60C44FA2" w14:textId="7629A894"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70.  </w:t>
      </w:r>
      <w:r w:rsidR="001A27EB">
        <w:rPr>
          <w:sz w:val="26"/>
          <w:szCs w:val="26"/>
        </w:rPr>
        <w:tab/>
      </w:r>
      <w:r w:rsidRPr="00E37897">
        <w:rPr>
          <w:sz w:val="26"/>
          <w:szCs w:val="26"/>
        </w:rPr>
        <w:t>PECO has proposed, in Docket No. M-2018-3005795 (PECO Energy Company’s 2019-2024 Universal Service and Energy Conservation Plan), to redesign its CAP from its existing Fixed Credit Option (“FCO”) design to a Percent of Income Payment Plan (“PIPP”).  To accommodate coordination of PECO’s proposed plan to facilitate shopping by low-income customers enrolled in the Company’s CAP (“CAP Shopping Plan”) with its proposal to move from a FCO design to a PIPP:</w:t>
      </w:r>
    </w:p>
    <w:p w14:paraId="662FF329" w14:textId="77777777" w:rsidR="00555E97" w:rsidRPr="00E37897" w:rsidRDefault="00555E97" w:rsidP="005F3BE2">
      <w:pPr>
        <w:widowControl/>
        <w:autoSpaceDE w:val="0"/>
        <w:autoSpaceDN w:val="0"/>
        <w:ind w:left="1440" w:right="1440"/>
        <w:contextualSpacing/>
        <w:rPr>
          <w:sz w:val="26"/>
          <w:szCs w:val="26"/>
        </w:rPr>
      </w:pPr>
    </w:p>
    <w:p w14:paraId="589048A8" w14:textId="77777777" w:rsidR="00555E97" w:rsidRPr="00E37897" w:rsidRDefault="00555E97" w:rsidP="001953F3">
      <w:pPr>
        <w:widowControl/>
        <w:autoSpaceDE w:val="0"/>
        <w:autoSpaceDN w:val="0"/>
        <w:ind w:left="2880" w:right="1440" w:hanging="720"/>
        <w:contextualSpacing/>
        <w:rPr>
          <w:sz w:val="26"/>
          <w:szCs w:val="26"/>
        </w:rPr>
      </w:pPr>
      <w:r w:rsidRPr="00E37897">
        <w:rPr>
          <w:sz w:val="26"/>
          <w:szCs w:val="26"/>
        </w:rPr>
        <w:t xml:space="preserve">(a) </w:t>
      </w:r>
      <w:r w:rsidRPr="00E37897">
        <w:rPr>
          <w:sz w:val="26"/>
          <w:szCs w:val="26"/>
        </w:rPr>
        <w:tab/>
        <w:t>PECO will not implement its CAP Shopping Plan as described in the DSP V Petition and the Company’s witness statements in the instant docket;</w:t>
      </w:r>
    </w:p>
    <w:p w14:paraId="324029ED" w14:textId="77777777" w:rsidR="00555E97" w:rsidRPr="00E37897" w:rsidRDefault="00555E97" w:rsidP="001953F3">
      <w:pPr>
        <w:widowControl/>
        <w:autoSpaceDE w:val="0"/>
        <w:autoSpaceDN w:val="0"/>
        <w:ind w:left="2880" w:right="1440" w:hanging="720"/>
        <w:contextualSpacing/>
        <w:rPr>
          <w:sz w:val="26"/>
          <w:szCs w:val="26"/>
        </w:rPr>
      </w:pPr>
    </w:p>
    <w:p w14:paraId="62953B38" w14:textId="77777777" w:rsidR="00555E97" w:rsidRPr="00E37897" w:rsidRDefault="00555E97" w:rsidP="001953F3">
      <w:pPr>
        <w:widowControl/>
        <w:autoSpaceDE w:val="0"/>
        <w:autoSpaceDN w:val="0"/>
        <w:ind w:left="2880" w:right="1440" w:hanging="720"/>
        <w:contextualSpacing/>
        <w:rPr>
          <w:sz w:val="26"/>
          <w:szCs w:val="26"/>
        </w:rPr>
      </w:pPr>
      <w:r w:rsidRPr="00E37897">
        <w:rPr>
          <w:sz w:val="26"/>
          <w:szCs w:val="26"/>
        </w:rPr>
        <w:t xml:space="preserve">(b) </w:t>
      </w:r>
      <w:r w:rsidRPr="00E37897">
        <w:rPr>
          <w:sz w:val="26"/>
          <w:szCs w:val="26"/>
        </w:rPr>
        <w:tab/>
        <w:t>Within ninety days of obtaining a final, non-appealable Opinion and Order in Docket No. M-2018-3005795 that approves, modifies, or rejects PECO’s proposal to move to a PIPP, PECO will make a filing with the Commission in which it will make a proposal regarding CAP shopping that is consistent with the CAP design approved in such final, non-appealable Opinion and Order, and which is informed by all available information and data;</w:t>
      </w:r>
    </w:p>
    <w:p w14:paraId="120DB02F" w14:textId="77777777" w:rsidR="00555E97" w:rsidRPr="00E37897" w:rsidRDefault="00555E97" w:rsidP="001953F3">
      <w:pPr>
        <w:widowControl/>
        <w:autoSpaceDE w:val="0"/>
        <w:autoSpaceDN w:val="0"/>
        <w:ind w:left="2880" w:right="1440" w:hanging="720"/>
        <w:contextualSpacing/>
        <w:rPr>
          <w:sz w:val="26"/>
          <w:szCs w:val="26"/>
        </w:rPr>
      </w:pPr>
    </w:p>
    <w:p w14:paraId="322CB093" w14:textId="77777777" w:rsidR="00555E97" w:rsidRPr="00E37897" w:rsidRDefault="00555E97" w:rsidP="001953F3">
      <w:pPr>
        <w:widowControl/>
        <w:autoSpaceDE w:val="0"/>
        <w:autoSpaceDN w:val="0"/>
        <w:ind w:left="2880" w:right="1440" w:hanging="720"/>
        <w:contextualSpacing/>
        <w:rPr>
          <w:sz w:val="26"/>
          <w:szCs w:val="26"/>
        </w:rPr>
      </w:pPr>
      <w:r w:rsidRPr="00E37897">
        <w:rPr>
          <w:sz w:val="26"/>
          <w:szCs w:val="26"/>
        </w:rPr>
        <w:t xml:space="preserve">(c) </w:t>
      </w:r>
      <w:r w:rsidRPr="00E37897">
        <w:rPr>
          <w:sz w:val="26"/>
          <w:szCs w:val="26"/>
        </w:rPr>
        <w:tab/>
        <w:t xml:space="preserve">In its transmittal letter for the PECO filing referred to above, PECO shall request that its </w:t>
      </w:r>
      <w:r w:rsidRPr="00E37897">
        <w:rPr>
          <w:sz w:val="26"/>
          <w:szCs w:val="26"/>
        </w:rPr>
        <w:lastRenderedPageBreak/>
        <w:t>proposal regarding CAP shopping be assigned a new docket number;</w:t>
      </w:r>
    </w:p>
    <w:p w14:paraId="777EC566" w14:textId="77777777" w:rsidR="00555E97" w:rsidRPr="00E37897" w:rsidRDefault="00555E97" w:rsidP="001953F3">
      <w:pPr>
        <w:widowControl/>
        <w:autoSpaceDE w:val="0"/>
        <w:autoSpaceDN w:val="0"/>
        <w:ind w:left="2880" w:right="1440" w:hanging="720"/>
        <w:contextualSpacing/>
        <w:rPr>
          <w:sz w:val="26"/>
          <w:szCs w:val="26"/>
        </w:rPr>
      </w:pPr>
    </w:p>
    <w:p w14:paraId="5567DDA1" w14:textId="77777777" w:rsidR="00555E97" w:rsidRPr="00E37897" w:rsidRDefault="00555E97" w:rsidP="001953F3">
      <w:pPr>
        <w:widowControl/>
        <w:autoSpaceDE w:val="0"/>
        <w:autoSpaceDN w:val="0"/>
        <w:ind w:left="2880" w:right="1440" w:hanging="720"/>
        <w:contextualSpacing/>
        <w:rPr>
          <w:sz w:val="26"/>
          <w:szCs w:val="26"/>
        </w:rPr>
      </w:pPr>
      <w:r w:rsidRPr="00E37897">
        <w:rPr>
          <w:sz w:val="26"/>
          <w:szCs w:val="26"/>
        </w:rPr>
        <w:t xml:space="preserve">(d) </w:t>
      </w:r>
      <w:r w:rsidRPr="00E37897">
        <w:rPr>
          <w:sz w:val="26"/>
          <w:szCs w:val="26"/>
        </w:rPr>
        <w:tab/>
        <w:t>The Settlement does not limit any parties’ right to take litigation positions in that new docket with respect to whether, when, or in what form PECO should proceed with CAP shopping under the future Commission-approved CAP design;</w:t>
      </w:r>
    </w:p>
    <w:p w14:paraId="0CAE41D5" w14:textId="77777777" w:rsidR="00555E97" w:rsidRPr="00E37897" w:rsidRDefault="00555E97" w:rsidP="001953F3">
      <w:pPr>
        <w:widowControl/>
        <w:autoSpaceDE w:val="0"/>
        <w:autoSpaceDN w:val="0"/>
        <w:ind w:left="2880" w:right="1440" w:hanging="720"/>
        <w:contextualSpacing/>
        <w:rPr>
          <w:sz w:val="26"/>
          <w:szCs w:val="26"/>
        </w:rPr>
      </w:pPr>
    </w:p>
    <w:p w14:paraId="142041C7" w14:textId="77777777" w:rsidR="00555E97" w:rsidRPr="00E37897" w:rsidRDefault="00555E97" w:rsidP="001953F3">
      <w:pPr>
        <w:widowControl/>
        <w:autoSpaceDE w:val="0"/>
        <w:autoSpaceDN w:val="0"/>
        <w:ind w:left="2880" w:right="1440" w:hanging="720"/>
        <w:contextualSpacing/>
        <w:rPr>
          <w:sz w:val="26"/>
          <w:szCs w:val="26"/>
        </w:rPr>
      </w:pPr>
      <w:r w:rsidRPr="00E37897">
        <w:rPr>
          <w:sz w:val="26"/>
          <w:szCs w:val="26"/>
        </w:rPr>
        <w:t xml:space="preserve">(e) </w:t>
      </w:r>
      <w:r w:rsidRPr="00E37897">
        <w:rPr>
          <w:sz w:val="26"/>
          <w:szCs w:val="26"/>
        </w:rPr>
        <w:tab/>
        <w:t>Upon receipt of a final, non-appealable Opinion and Order in the new docket, PECO will proceed to implement CAP shopping in the manner and time frame if and as approved by the Commission therein.</w:t>
      </w:r>
    </w:p>
    <w:p w14:paraId="34882804" w14:textId="77777777" w:rsidR="00555E97" w:rsidRPr="00E37897" w:rsidRDefault="00555E97" w:rsidP="005F3BE2">
      <w:pPr>
        <w:widowControl/>
        <w:autoSpaceDE w:val="0"/>
        <w:autoSpaceDN w:val="0"/>
        <w:ind w:left="1440" w:right="1440"/>
        <w:contextualSpacing/>
        <w:rPr>
          <w:sz w:val="26"/>
          <w:szCs w:val="26"/>
        </w:rPr>
      </w:pPr>
    </w:p>
    <w:p w14:paraId="6673E82F" w14:textId="77777777" w:rsidR="00555E97" w:rsidRPr="00E37897" w:rsidRDefault="00555E97" w:rsidP="005F3BE2">
      <w:pPr>
        <w:widowControl/>
        <w:autoSpaceDE w:val="0"/>
        <w:autoSpaceDN w:val="0"/>
        <w:ind w:left="2160" w:right="1440"/>
        <w:contextualSpacing/>
        <w:rPr>
          <w:b/>
          <w:bCs/>
          <w:sz w:val="26"/>
          <w:szCs w:val="26"/>
        </w:rPr>
      </w:pPr>
      <w:r w:rsidRPr="00E37897">
        <w:rPr>
          <w:b/>
          <w:bCs/>
          <w:sz w:val="26"/>
          <w:szCs w:val="26"/>
        </w:rPr>
        <w:t xml:space="preserve">I. </w:t>
      </w:r>
      <w:r w:rsidRPr="00E37897">
        <w:rPr>
          <w:b/>
          <w:bCs/>
          <w:sz w:val="26"/>
          <w:szCs w:val="26"/>
        </w:rPr>
        <w:tab/>
        <w:t xml:space="preserve">Request </w:t>
      </w:r>
      <w:proofErr w:type="gramStart"/>
      <w:r w:rsidRPr="00E37897">
        <w:rPr>
          <w:b/>
          <w:bCs/>
          <w:sz w:val="26"/>
          <w:szCs w:val="26"/>
        </w:rPr>
        <w:t>For</w:t>
      </w:r>
      <w:proofErr w:type="gramEnd"/>
      <w:r w:rsidRPr="00E37897">
        <w:rPr>
          <w:b/>
          <w:bCs/>
          <w:sz w:val="26"/>
          <w:szCs w:val="26"/>
        </w:rPr>
        <w:t xml:space="preserve"> Waivers</w:t>
      </w:r>
    </w:p>
    <w:p w14:paraId="079F3EE6" w14:textId="77777777" w:rsidR="00555E97" w:rsidRPr="00E37897" w:rsidRDefault="00555E97" w:rsidP="005F3BE2">
      <w:pPr>
        <w:widowControl/>
        <w:autoSpaceDE w:val="0"/>
        <w:autoSpaceDN w:val="0"/>
        <w:ind w:left="1440" w:right="1440"/>
        <w:contextualSpacing/>
        <w:rPr>
          <w:sz w:val="26"/>
          <w:szCs w:val="26"/>
        </w:rPr>
      </w:pPr>
    </w:p>
    <w:p w14:paraId="033CBFA5" w14:textId="23F0F42F"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71.  </w:t>
      </w:r>
      <w:r w:rsidR="00037386">
        <w:rPr>
          <w:sz w:val="26"/>
          <w:szCs w:val="26"/>
        </w:rPr>
        <w:tab/>
      </w:r>
      <w:r w:rsidRPr="00E37897">
        <w:rPr>
          <w:sz w:val="26"/>
          <w:szCs w:val="26"/>
        </w:rPr>
        <w:t>The Commission’s regulations (52 Pa. Code § 54.187) and Policy Statement (52 Pa. Code § 69.1805) provide that default service providers should design procurement classes based upon peak loads of 0</w:t>
      </w:r>
      <w:r w:rsidRPr="00E37897">
        <w:rPr>
          <w:sz w:val="26"/>
          <w:szCs w:val="26"/>
        </w:rPr>
        <w:noBreakHyphen/>
        <w:t xml:space="preserve">25 kW, 25-500 kW, and 500 kW and greater, but default service providers may propose to depart from these specific ranges, including to “preserve existing customer classes.”  If necessary, the Joint Petitioners respectfully request that the Commission grant PECO a waiver of 52 Pa. Code § 54.187 to allow PECO’s procurement classes to be as delineated in Section II.A, </w:t>
      </w:r>
      <w:r w:rsidRPr="00E37897">
        <w:rPr>
          <w:i/>
          <w:iCs/>
          <w:sz w:val="26"/>
          <w:szCs w:val="26"/>
        </w:rPr>
        <w:t>supra</w:t>
      </w:r>
      <w:r w:rsidRPr="00E37897">
        <w:rPr>
          <w:sz w:val="26"/>
          <w:szCs w:val="26"/>
        </w:rPr>
        <w:t>.</w:t>
      </w:r>
    </w:p>
    <w:p w14:paraId="4C90D85C" w14:textId="77777777" w:rsidR="00555E97" w:rsidRPr="00E37897" w:rsidRDefault="00555E97" w:rsidP="005F3BE2">
      <w:pPr>
        <w:widowControl/>
        <w:autoSpaceDE w:val="0"/>
        <w:autoSpaceDN w:val="0"/>
        <w:ind w:left="1440" w:right="1440"/>
        <w:contextualSpacing/>
        <w:rPr>
          <w:sz w:val="26"/>
          <w:szCs w:val="26"/>
        </w:rPr>
      </w:pPr>
    </w:p>
    <w:p w14:paraId="6BC91CD6" w14:textId="6DD485EA" w:rsidR="00555E97" w:rsidRPr="00E37897" w:rsidRDefault="00555E97" w:rsidP="005F3BE2">
      <w:pPr>
        <w:widowControl/>
        <w:autoSpaceDE w:val="0"/>
        <w:autoSpaceDN w:val="0"/>
        <w:ind w:left="1440" w:right="1440"/>
        <w:contextualSpacing/>
        <w:rPr>
          <w:sz w:val="26"/>
          <w:szCs w:val="26"/>
        </w:rPr>
      </w:pPr>
      <w:r w:rsidRPr="00E37897">
        <w:rPr>
          <w:sz w:val="26"/>
          <w:szCs w:val="26"/>
        </w:rPr>
        <w:t xml:space="preserve">72.  </w:t>
      </w:r>
      <w:r w:rsidR="00037386">
        <w:rPr>
          <w:sz w:val="26"/>
          <w:szCs w:val="26"/>
        </w:rPr>
        <w:tab/>
      </w:r>
      <w:r w:rsidRPr="00E37897">
        <w:rPr>
          <w:sz w:val="26"/>
          <w:szCs w:val="26"/>
        </w:rPr>
        <w:t xml:space="preserve">To the extent necessary, the Joint Petitioners also respectfully request that the Commission grant PECO a waiver of 52 Pa. Code §§ 54.187(i) and (j) to allow PECO to continue quarterly filing of hourly-priced default service rates and semi-annual reconciliation of the over/undercollection component of the GSA for all default service customers as explained in Section II.E., </w:t>
      </w:r>
      <w:r w:rsidRPr="00E37897">
        <w:rPr>
          <w:i/>
          <w:iCs/>
          <w:sz w:val="26"/>
          <w:szCs w:val="26"/>
        </w:rPr>
        <w:t>supra.</w:t>
      </w:r>
    </w:p>
    <w:p w14:paraId="1D641F4D" w14:textId="77777777" w:rsidR="00555E97" w:rsidRPr="00E37897" w:rsidRDefault="00555E97" w:rsidP="005F3BE2">
      <w:pPr>
        <w:widowControl/>
        <w:autoSpaceDE w:val="0"/>
        <w:autoSpaceDN w:val="0"/>
        <w:spacing w:line="360" w:lineRule="auto"/>
        <w:ind w:firstLine="1440"/>
        <w:contextualSpacing/>
        <w:rPr>
          <w:sz w:val="26"/>
          <w:szCs w:val="26"/>
        </w:rPr>
      </w:pPr>
    </w:p>
    <w:p w14:paraId="251193A2" w14:textId="53D83052" w:rsidR="00555E97" w:rsidRDefault="00431D9E" w:rsidP="005F3BE2">
      <w:pPr>
        <w:widowControl/>
        <w:spacing w:line="360" w:lineRule="auto"/>
        <w:contextualSpacing/>
        <w:rPr>
          <w:sz w:val="26"/>
          <w:szCs w:val="26"/>
        </w:rPr>
      </w:pPr>
      <w:r>
        <w:rPr>
          <w:sz w:val="26"/>
          <w:szCs w:val="26"/>
        </w:rPr>
        <w:t xml:space="preserve">Partial </w:t>
      </w:r>
      <w:r w:rsidR="00555E97" w:rsidRPr="00E37897">
        <w:rPr>
          <w:sz w:val="26"/>
          <w:szCs w:val="26"/>
        </w:rPr>
        <w:t xml:space="preserve">Settlement </w:t>
      </w:r>
      <w:r w:rsidR="009337E5">
        <w:rPr>
          <w:sz w:val="26"/>
          <w:szCs w:val="26"/>
        </w:rPr>
        <w:t xml:space="preserve">¶¶ 13-72 at </w:t>
      </w:r>
      <w:r w:rsidR="00555E97" w:rsidRPr="00E37897">
        <w:rPr>
          <w:sz w:val="26"/>
          <w:szCs w:val="26"/>
        </w:rPr>
        <w:t>5-20</w:t>
      </w:r>
      <w:r w:rsidR="00A7160B">
        <w:rPr>
          <w:sz w:val="26"/>
          <w:szCs w:val="26"/>
        </w:rPr>
        <w:t>; TOU Settlement at ¶ 60.</w:t>
      </w:r>
    </w:p>
    <w:p w14:paraId="27C28BB0" w14:textId="77777777" w:rsidR="006E7B16" w:rsidRPr="00E37897" w:rsidRDefault="006E7B16" w:rsidP="005F3BE2">
      <w:pPr>
        <w:widowControl/>
        <w:spacing w:line="360" w:lineRule="auto"/>
        <w:contextualSpacing/>
        <w:rPr>
          <w:sz w:val="26"/>
          <w:szCs w:val="26"/>
        </w:rPr>
      </w:pPr>
    </w:p>
    <w:p w14:paraId="379E322D" w14:textId="5C77804D" w:rsidR="00555E97" w:rsidRPr="00E37897" w:rsidRDefault="00555E97" w:rsidP="005F3BE2">
      <w:pPr>
        <w:widowControl/>
        <w:spacing w:line="360" w:lineRule="auto"/>
        <w:ind w:firstLine="1440"/>
        <w:contextualSpacing/>
        <w:rPr>
          <w:sz w:val="26"/>
          <w:szCs w:val="26"/>
        </w:rPr>
      </w:pPr>
      <w:r w:rsidRPr="00E37897">
        <w:rPr>
          <w:sz w:val="26"/>
          <w:szCs w:val="26"/>
        </w:rPr>
        <w:lastRenderedPageBreak/>
        <w:t xml:space="preserve">In addition to the specific essential terms to which the Joint Petitioners have agreed, as set forth above, the Partial Settlement contains certain additional general terms.  The Joint Petitioners state that the Partial Settlement is in the public interest and will provide substantial affirmative public benefits.  </w:t>
      </w:r>
      <w:r w:rsidR="00B47B0E" w:rsidRPr="00E37897">
        <w:rPr>
          <w:sz w:val="26"/>
          <w:szCs w:val="26"/>
        </w:rPr>
        <w:t xml:space="preserve">Partial </w:t>
      </w:r>
      <w:r w:rsidRPr="00E37897">
        <w:rPr>
          <w:sz w:val="26"/>
          <w:szCs w:val="26"/>
        </w:rPr>
        <w:t xml:space="preserve">Settlement ¶¶ 73-74 at 20-21.  In addition, the Partial Settlement states that the Settlement does not constitute an admission against, or prejudice to, any position which any of the Joint Petitioners might adopt during subsequent litigation of this case or any other case.  </w:t>
      </w:r>
      <w:r w:rsidR="00B47B0E" w:rsidRPr="00E37897">
        <w:rPr>
          <w:sz w:val="26"/>
          <w:szCs w:val="26"/>
        </w:rPr>
        <w:t xml:space="preserve">Partial </w:t>
      </w:r>
      <w:r w:rsidRPr="00E37897">
        <w:rPr>
          <w:sz w:val="26"/>
          <w:szCs w:val="26"/>
        </w:rPr>
        <w:t xml:space="preserve">Settlement ¶ 76 at 21-22.  The Partial Settlement states that it is conditioned upon the Commission’s approval of the terms and conditions without modification and establishes a procedure by which any of the Settling Parties may withdraw from the Partial Settlement and proceed to litigate this case, if the Commission should act to modify the Settlement.  </w:t>
      </w:r>
      <w:r w:rsidR="00B47B0E" w:rsidRPr="00E37897">
        <w:rPr>
          <w:sz w:val="26"/>
          <w:szCs w:val="26"/>
        </w:rPr>
        <w:t xml:space="preserve">Partial </w:t>
      </w:r>
      <w:r w:rsidRPr="00E37897">
        <w:rPr>
          <w:sz w:val="26"/>
          <w:szCs w:val="26"/>
        </w:rPr>
        <w:t xml:space="preserve">Settlement ¶ 77 at 22.   </w:t>
      </w:r>
    </w:p>
    <w:p w14:paraId="4AF7C9C1" w14:textId="77777777" w:rsidR="00555E97" w:rsidRPr="00E37897" w:rsidRDefault="00555E97" w:rsidP="005F3BE2">
      <w:pPr>
        <w:widowControl/>
        <w:spacing w:line="360" w:lineRule="auto"/>
        <w:contextualSpacing/>
        <w:rPr>
          <w:sz w:val="26"/>
          <w:szCs w:val="26"/>
        </w:rPr>
      </w:pPr>
    </w:p>
    <w:p w14:paraId="1F03D00D" w14:textId="5322963D" w:rsidR="00555E97" w:rsidRPr="00E37897" w:rsidRDefault="00555E97" w:rsidP="005F3BE2">
      <w:pPr>
        <w:widowControl/>
        <w:spacing w:line="360" w:lineRule="auto"/>
        <w:ind w:firstLine="1440"/>
        <w:contextualSpacing/>
        <w:rPr>
          <w:sz w:val="26"/>
          <w:szCs w:val="26"/>
        </w:rPr>
      </w:pPr>
      <w:r w:rsidRPr="00E37897">
        <w:rPr>
          <w:sz w:val="26"/>
          <w:szCs w:val="26"/>
        </w:rPr>
        <w:t xml:space="preserve">The Joint Petitioners respectfully request that the ALJ and the Commission approve the proposed Partial Settlement </w:t>
      </w:r>
      <w:r w:rsidR="00004B7A">
        <w:rPr>
          <w:sz w:val="26"/>
          <w:szCs w:val="26"/>
        </w:rPr>
        <w:t xml:space="preserve">and TOU Settlement </w:t>
      </w:r>
      <w:r w:rsidRPr="00E37897">
        <w:rPr>
          <w:sz w:val="26"/>
          <w:szCs w:val="26"/>
        </w:rPr>
        <w:t xml:space="preserve">without modification, and approve the proposals set forth in PECO’s Revised DSP V Program.  </w:t>
      </w:r>
      <w:r w:rsidR="00B47B0E" w:rsidRPr="00E37897">
        <w:rPr>
          <w:sz w:val="26"/>
          <w:szCs w:val="26"/>
        </w:rPr>
        <w:t xml:space="preserve">Partial </w:t>
      </w:r>
      <w:r w:rsidRPr="00E37897">
        <w:rPr>
          <w:sz w:val="26"/>
          <w:szCs w:val="26"/>
        </w:rPr>
        <w:t>Settlement at 23</w:t>
      </w:r>
      <w:r w:rsidR="00610808">
        <w:rPr>
          <w:sz w:val="26"/>
          <w:szCs w:val="26"/>
        </w:rPr>
        <w:t>; TOU Settlement at 2</w:t>
      </w:r>
      <w:r w:rsidRPr="00E37897">
        <w:rPr>
          <w:sz w:val="26"/>
          <w:szCs w:val="26"/>
        </w:rPr>
        <w:t>.</w:t>
      </w:r>
    </w:p>
    <w:p w14:paraId="5C20104F" w14:textId="77777777" w:rsidR="004D1D71" w:rsidRPr="00E37897" w:rsidRDefault="004D1D71" w:rsidP="005F3BE2">
      <w:pPr>
        <w:keepNext/>
        <w:keepLines/>
        <w:widowControl/>
        <w:spacing w:line="360" w:lineRule="auto"/>
        <w:contextualSpacing/>
        <w:rPr>
          <w:b/>
          <w:sz w:val="26"/>
          <w:szCs w:val="26"/>
        </w:rPr>
      </w:pPr>
    </w:p>
    <w:p w14:paraId="6E55E91E" w14:textId="77777777" w:rsidR="007E3DBB" w:rsidRPr="00E37897" w:rsidRDefault="007E3DBB" w:rsidP="005F3BE2">
      <w:pPr>
        <w:pStyle w:val="Heading2"/>
        <w:spacing w:after="0"/>
        <w:ind w:left="720" w:hanging="720"/>
        <w:contextualSpacing/>
        <w:jc w:val="left"/>
        <w:rPr>
          <w:caps w:val="0"/>
          <w:sz w:val="26"/>
          <w:szCs w:val="26"/>
        </w:rPr>
      </w:pPr>
      <w:bookmarkStart w:id="9" w:name="_Toc56512757"/>
      <w:r w:rsidRPr="00E37897">
        <w:rPr>
          <w:caps w:val="0"/>
          <w:sz w:val="26"/>
          <w:szCs w:val="26"/>
        </w:rPr>
        <w:t>C.</w:t>
      </w:r>
      <w:r w:rsidRPr="00E37897">
        <w:rPr>
          <w:caps w:val="0"/>
          <w:sz w:val="26"/>
          <w:szCs w:val="26"/>
        </w:rPr>
        <w:tab/>
        <w:t>ALJ’s Recommendation</w:t>
      </w:r>
      <w:bookmarkEnd w:id="9"/>
    </w:p>
    <w:p w14:paraId="70DD1616" w14:textId="77777777" w:rsidR="007E3DBB" w:rsidRPr="00E37897" w:rsidRDefault="007E3DBB" w:rsidP="005F3BE2">
      <w:pPr>
        <w:keepNext/>
        <w:keepLines/>
        <w:widowControl/>
        <w:spacing w:line="360" w:lineRule="auto"/>
        <w:contextualSpacing/>
        <w:rPr>
          <w:b/>
          <w:sz w:val="26"/>
          <w:szCs w:val="26"/>
        </w:rPr>
      </w:pPr>
    </w:p>
    <w:p w14:paraId="6CA5434C" w14:textId="77777777" w:rsidR="007E3DBB" w:rsidRPr="00E37897" w:rsidRDefault="007E3DBB" w:rsidP="005F3BE2">
      <w:pPr>
        <w:widowControl/>
        <w:spacing w:line="360" w:lineRule="auto"/>
        <w:contextualSpacing/>
        <w:rPr>
          <w:sz w:val="26"/>
          <w:szCs w:val="26"/>
        </w:rPr>
      </w:pPr>
      <w:r w:rsidRPr="00E37897">
        <w:rPr>
          <w:b/>
          <w:sz w:val="26"/>
          <w:szCs w:val="26"/>
        </w:rPr>
        <w:tab/>
      </w:r>
      <w:r w:rsidRPr="00E37897">
        <w:rPr>
          <w:b/>
          <w:sz w:val="26"/>
          <w:szCs w:val="26"/>
        </w:rPr>
        <w:tab/>
      </w:r>
      <w:r w:rsidRPr="00E37897">
        <w:rPr>
          <w:sz w:val="26"/>
          <w:szCs w:val="26"/>
        </w:rPr>
        <w:t>In her Recommended Decision, the ALJ reached twenty-seven Conclusions of Law.  R.D. at 108-112.  The Conclusions of Law are incorporated herein by reference and are adopted without comment unless they are either expressly or by necessary implication rejected or modified by this Opinion and Order.</w:t>
      </w:r>
    </w:p>
    <w:p w14:paraId="1B13BDD0" w14:textId="77777777" w:rsidR="007E3DBB" w:rsidRPr="00E37897" w:rsidRDefault="007E3DBB" w:rsidP="005F3BE2">
      <w:pPr>
        <w:widowControl/>
        <w:spacing w:line="360" w:lineRule="auto"/>
        <w:contextualSpacing/>
        <w:rPr>
          <w:sz w:val="26"/>
          <w:szCs w:val="26"/>
        </w:rPr>
      </w:pPr>
    </w:p>
    <w:p w14:paraId="11A7D250" w14:textId="1DBEB43B" w:rsidR="004835D2" w:rsidRDefault="007E3DBB" w:rsidP="005F3BE2">
      <w:pPr>
        <w:widowControl/>
        <w:spacing w:line="360" w:lineRule="auto"/>
        <w:contextualSpacing/>
        <w:rPr>
          <w:sz w:val="26"/>
          <w:szCs w:val="26"/>
        </w:rPr>
      </w:pPr>
      <w:r w:rsidRPr="00E37897">
        <w:rPr>
          <w:sz w:val="26"/>
          <w:szCs w:val="26"/>
        </w:rPr>
        <w:tab/>
      </w:r>
      <w:r w:rsidRPr="00E37897">
        <w:rPr>
          <w:sz w:val="26"/>
          <w:szCs w:val="26"/>
        </w:rPr>
        <w:tab/>
        <w:t xml:space="preserve">In her Recommended Decision, the ALJ acknowledged that only one Party, the Environmental Stakeholders, objected to the Partial Settlement on the following grounds: (1) PECO failed to properly analyze and incorporate long-term renewable energy supply contracts into the DSP V; and (2) PECO’s proposed DSP V TOU rates are </w:t>
      </w:r>
      <w:r w:rsidRPr="00E37897">
        <w:rPr>
          <w:sz w:val="26"/>
          <w:szCs w:val="26"/>
        </w:rPr>
        <w:lastRenderedPageBreak/>
        <w:t>deficient because PECO neither performed the cost-benefit analysis recommended by the Environmental Stakeholders nor developed rate designs tailored to technologies that support electrification of heavy duty vehicles, such as buses, or building sources, such as appliances currently using natural gas.  R.D. at 52-53.</w:t>
      </w:r>
    </w:p>
    <w:p w14:paraId="5F658A22" w14:textId="521BDADB" w:rsidR="007E3DBB" w:rsidRPr="00E37897" w:rsidRDefault="007E3DBB" w:rsidP="005F3BE2">
      <w:pPr>
        <w:widowControl/>
        <w:spacing w:line="360" w:lineRule="auto"/>
        <w:contextualSpacing/>
        <w:rPr>
          <w:sz w:val="26"/>
          <w:szCs w:val="26"/>
        </w:rPr>
      </w:pPr>
      <w:r w:rsidRPr="00E37897">
        <w:rPr>
          <w:sz w:val="26"/>
          <w:szCs w:val="26"/>
        </w:rPr>
        <w:t xml:space="preserve">  </w:t>
      </w:r>
    </w:p>
    <w:p w14:paraId="732553A9" w14:textId="53A8A63F" w:rsidR="007E3DBB" w:rsidRPr="00E37897" w:rsidRDefault="007E3DBB" w:rsidP="005F3BE2">
      <w:pPr>
        <w:widowControl/>
        <w:spacing w:line="360" w:lineRule="auto"/>
        <w:ind w:firstLine="1440"/>
        <w:contextualSpacing/>
        <w:rPr>
          <w:sz w:val="26"/>
          <w:szCs w:val="26"/>
        </w:rPr>
      </w:pPr>
      <w:r w:rsidRPr="00E37897">
        <w:rPr>
          <w:sz w:val="26"/>
          <w:szCs w:val="26"/>
        </w:rPr>
        <w:t xml:space="preserve">However, the ALJ stated that the Joint Petitioners have shown that the provisions in the Joint Petition are reasonable compromises and that the Joint Petition reduces litigation expenses because only one issue, allocation of NITS charges, was reserved for briefing.  Furthermore, the ALJ noted that the OCA and the OSBA asserted, respectively, that the terms of the Joint Petition benefit residential customers and small and medium commercial customers.  Furthermore, the ALJ noted that TURN, </w:t>
      </w:r>
      <w:r w:rsidRPr="00E37897">
        <w:rPr>
          <w:i/>
          <w:iCs/>
          <w:sz w:val="26"/>
          <w:szCs w:val="26"/>
        </w:rPr>
        <w:t>et al.</w:t>
      </w:r>
      <w:r w:rsidRPr="00E37897">
        <w:rPr>
          <w:sz w:val="26"/>
          <w:szCs w:val="26"/>
        </w:rPr>
        <w:t xml:space="preserve"> stated that the Joint Petition offers important protections for low-income customers, offers stakeholder processes to address matters of concern in the near future, and maintains PECO’s role in billing and providing default service.  The ALJ provided that PAIEUG and CAUSE-PA stated that the Settlement was achieved after an extensive investigation of the Company’s filing and is in the public interest.  The ALJ also noted that Calpine supported the Joint Petition because it is not damaging to its interests, and </w:t>
      </w:r>
      <w:r w:rsidR="00A12B58">
        <w:rPr>
          <w:sz w:val="26"/>
          <w:szCs w:val="26"/>
        </w:rPr>
        <w:t xml:space="preserve">the </w:t>
      </w:r>
      <w:r w:rsidRPr="00E37897">
        <w:rPr>
          <w:sz w:val="26"/>
          <w:szCs w:val="26"/>
        </w:rPr>
        <w:t xml:space="preserve">ESC stated that the Partial Settlement represents improvements on SOP and customer billing information.  R.D. at 52.  </w:t>
      </w:r>
    </w:p>
    <w:p w14:paraId="7A077978" w14:textId="77777777" w:rsidR="007E3DBB" w:rsidRPr="00E37897" w:rsidRDefault="007E3DBB" w:rsidP="005F3BE2">
      <w:pPr>
        <w:widowControl/>
        <w:spacing w:line="360" w:lineRule="auto"/>
        <w:contextualSpacing/>
        <w:rPr>
          <w:sz w:val="26"/>
          <w:szCs w:val="26"/>
        </w:rPr>
      </w:pPr>
    </w:p>
    <w:p w14:paraId="0BCBF333" w14:textId="344BAE6C" w:rsidR="007E3DBB" w:rsidRPr="00E37897" w:rsidRDefault="007E3DBB" w:rsidP="005F3BE2">
      <w:pPr>
        <w:widowControl/>
        <w:spacing w:line="360" w:lineRule="auto"/>
        <w:ind w:firstLine="1440"/>
        <w:contextualSpacing/>
        <w:rPr>
          <w:sz w:val="26"/>
          <w:szCs w:val="26"/>
        </w:rPr>
      </w:pPr>
      <w:r w:rsidRPr="00E37897">
        <w:rPr>
          <w:sz w:val="26"/>
          <w:szCs w:val="26"/>
        </w:rPr>
        <w:t>After considering the Joint Petition, including the compromises on procurement plans, the consolidation of the Large Commercial and Industrial Class into a single procurement group, the TOU product structure and rate design, the allocation of TOU implementation costs, the additional SOP disclosures and stakeholder meetings, the continuation of programs approved during the DSP IV proceeding, and the savings achieved by not fully litigating the case, the ALJ found that the Partial Settlement and the TOU Settlement are fair, just, reasonable, and in the public interest.  Accordingly, the ALJ recommended that the Partial Settlement, as modified by the TOU Settlement, be approved without modification.  R.D. at 52.</w:t>
      </w:r>
    </w:p>
    <w:p w14:paraId="16BF556C" w14:textId="0D224FDB" w:rsidR="007E3DBB" w:rsidRDefault="007E3DBB" w:rsidP="005F3BE2">
      <w:pPr>
        <w:widowControl/>
        <w:spacing w:line="360" w:lineRule="auto"/>
        <w:ind w:firstLine="1440"/>
        <w:contextualSpacing/>
        <w:rPr>
          <w:sz w:val="26"/>
          <w:szCs w:val="26"/>
        </w:rPr>
      </w:pPr>
      <w:r w:rsidRPr="00E37897">
        <w:rPr>
          <w:sz w:val="26"/>
          <w:szCs w:val="26"/>
        </w:rPr>
        <w:lastRenderedPageBreak/>
        <w:t xml:space="preserve">With regard to the Environmental Stakeholders’ objection to the Partial Settlement, the ALJ noted that the Environmental Stakeholders filed a Main Brief opposing PECO’s DSP V proposing that PECO perform a new default service analysis focusing on the use of long term renewable energy contracts and offering additional TOU service rate options.  As noted above, the Environmental Stakeholders argued that PECO failed to properly analyze and incorporate long-term (greater than four years in length) renewable energy supply contracts in its preparation of the DSP V plan.  R.D. at 53, 59.  The Environmental Stakeholders claimed that PECO’s proposed procurement plan, which requires bids for one- or two-year periods, functions as a discriminatory barrier to renewable energy resources.  R.D. at 59.  The Environmental Stakeholders proposed that PECO be required to study the potential benefits to customers of long-term contracts for supply.  R.D. at 61.  </w:t>
      </w:r>
    </w:p>
    <w:p w14:paraId="785E431F" w14:textId="77777777" w:rsidR="00037386" w:rsidRPr="00E37897" w:rsidRDefault="00037386" w:rsidP="005F3BE2">
      <w:pPr>
        <w:widowControl/>
        <w:spacing w:line="360" w:lineRule="auto"/>
        <w:ind w:firstLine="1440"/>
        <w:contextualSpacing/>
        <w:rPr>
          <w:sz w:val="26"/>
          <w:szCs w:val="26"/>
        </w:rPr>
      </w:pPr>
    </w:p>
    <w:p w14:paraId="469D3541" w14:textId="77777777" w:rsidR="007E3DBB" w:rsidRPr="00E37897" w:rsidRDefault="007E3DBB" w:rsidP="005F3BE2">
      <w:pPr>
        <w:widowControl/>
        <w:spacing w:line="360" w:lineRule="auto"/>
        <w:ind w:firstLine="1440"/>
        <w:contextualSpacing/>
        <w:rPr>
          <w:sz w:val="26"/>
          <w:szCs w:val="26"/>
        </w:rPr>
      </w:pPr>
      <w:r w:rsidRPr="00E37897">
        <w:rPr>
          <w:sz w:val="26"/>
          <w:szCs w:val="26"/>
        </w:rPr>
        <w:t xml:space="preserve">The ALJ pointed out that despite their criticism of PECO’s DSP V proposal and their advocacy in favor of inclusion of increased renewable energy in PECO’s default service supply mix, the Environmental Stakeholders did not offer any alternative procurement, implementation, and contingency default service plans to PECO’s DSP V proposal.  The ALJ noted that the Environmental Stakeholders provided in their Main Brief that several participants at the Public Input Hearing specifically recommended that 20% of PECO’s default generation supply should come from solar.  R.D. at 81 (citing ES M.B., Attachment 1).  The ALJ also noted that, in response, PECO evaluated that recommendation and determined that it was unrealistic due to physical constraints for rooftop solar or utility-scale solar and the overall cost of $15 billion related to this option.  R.D. at 81 (citing Tr. at 395-396). </w:t>
      </w:r>
    </w:p>
    <w:p w14:paraId="1810E63E" w14:textId="77777777" w:rsidR="007E3DBB" w:rsidRPr="00E37897" w:rsidRDefault="007E3DBB" w:rsidP="005F3BE2">
      <w:pPr>
        <w:widowControl/>
        <w:spacing w:line="360" w:lineRule="auto"/>
        <w:ind w:firstLine="1440"/>
        <w:contextualSpacing/>
        <w:rPr>
          <w:sz w:val="26"/>
          <w:szCs w:val="26"/>
        </w:rPr>
      </w:pPr>
    </w:p>
    <w:p w14:paraId="5B5D9404" w14:textId="18553FC3" w:rsidR="007E3DBB" w:rsidRPr="00E37897" w:rsidRDefault="007E3DBB" w:rsidP="005F3BE2">
      <w:pPr>
        <w:widowControl/>
        <w:spacing w:line="360" w:lineRule="auto"/>
        <w:ind w:firstLine="1440"/>
        <w:contextualSpacing/>
        <w:rPr>
          <w:sz w:val="26"/>
          <w:szCs w:val="26"/>
        </w:rPr>
      </w:pPr>
      <w:r w:rsidRPr="00E37897">
        <w:rPr>
          <w:sz w:val="26"/>
          <w:szCs w:val="26"/>
        </w:rPr>
        <w:t xml:space="preserve">According to the ALJ, PECO showed in the current case, that laddering one-year and two-year full requirements contracts, along with some spot and some long-term contracts for Solar AECs to meet a portion of AEPS Act obligations, has been effective in addressing price volatility for its default service customers.  R.D. at 79.  The </w:t>
      </w:r>
      <w:r w:rsidRPr="00E37897">
        <w:rPr>
          <w:sz w:val="26"/>
          <w:szCs w:val="26"/>
        </w:rPr>
        <w:lastRenderedPageBreak/>
        <w:t xml:space="preserve">ALJ explained that the record evidence shows that DSP V, as set forth in the Partial Settlement and supported by the Joint Petitioners, includes a prudent mix of contracts designed to provide adequate and reliable service at least cost to customers over time.  </w:t>
      </w:r>
      <w:r w:rsidRPr="00E37897">
        <w:rPr>
          <w:i/>
          <w:iCs/>
          <w:sz w:val="26"/>
          <w:szCs w:val="26"/>
        </w:rPr>
        <w:t>See</w:t>
      </w:r>
      <w:r w:rsidRPr="00E37897">
        <w:rPr>
          <w:sz w:val="26"/>
          <w:szCs w:val="26"/>
        </w:rPr>
        <w:t xml:space="preserve"> 66 Pa. C.S. § 2807(e)(3.4).  The ALJ reasoned further that PECO appropriately considered the use of long-term contracts and stakeholder preferences when developing DSP V and refuted the overly broad statements made by the Environmental Stakeholders about the benefits of long-term contracts for renewable supply.  R.D. at 82.  Accordingly, the ALJ recommended that the Commission reject the Environmental Stakeholders’ proposal that PECO undertake a new default service analysis.  R.D. at 82.  </w:t>
      </w:r>
    </w:p>
    <w:p w14:paraId="197BD22A" w14:textId="77777777" w:rsidR="00BD5BE5" w:rsidRPr="00E37897" w:rsidRDefault="00BD5BE5" w:rsidP="005F3BE2">
      <w:pPr>
        <w:widowControl/>
        <w:spacing w:line="360" w:lineRule="auto"/>
        <w:ind w:firstLine="1440"/>
        <w:contextualSpacing/>
        <w:rPr>
          <w:sz w:val="26"/>
          <w:szCs w:val="26"/>
        </w:rPr>
      </w:pPr>
    </w:p>
    <w:p w14:paraId="30043FD6" w14:textId="7C69B053" w:rsidR="007E3DBB" w:rsidRDefault="007E3DBB" w:rsidP="005F3BE2">
      <w:pPr>
        <w:widowControl/>
        <w:spacing w:line="360" w:lineRule="auto"/>
        <w:ind w:firstLine="1440"/>
        <w:contextualSpacing/>
        <w:rPr>
          <w:sz w:val="26"/>
          <w:szCs w:val="26"/>
        </w:rPr>
      </w:pPr>
      <w:r w:rsidRPr="00E37897">
        <w:rPr>
          <w:sz w:val="26"/>
          <w:szCs w:val="26"/>
        </w:rPr>
        <w:t xml:space="preserve">The ALJ explained that the Environmental Stakeholders requested that PECO be required to improve its TOU rates by performing a cost-benefit analysis and by further tailoring the rate design to support heavy electric vehicles (EVs) and building electrification.  The Environmental Stakeholders averred that PECO has failed to meet the mandate of Act 129, its general statutory duty to provide default service at the least cost to customers over time, and the Commission’s subsequent TOU rate guidance by failing to incorporate any meaningful cost-benefit analysis into its TOU rate development.  R.D. at 63, 64.  The ALJ provided that the Environmental Stakeholders requested that the Commission condition its approval of the proposed TOU rate upon PECO’s commitment to performing a detailed and comprehensive evaluation of the results and impacts of the rate.  The Environmental Stakeholders requested that the Commission direct PECO to develop, informed by a cost-benefit analysis, proposals for additional TOU rate pilots directed at the electrification of medium- and heavy-duty EVs, including fleets, and at beneficial electrification of buildings, including direct thermal loads currently served by gas.  R.D. at 66.   </w:t>
      </w:r>
    </w:p>
    <w:p w14:paraId="7D9E4EE5" w14:textId="77777777" w:rsidR="006E7B16" w:rsidRPr="00E37897" w:rsidRDefault="006E7B16" w:rsidP="005F3BE2">
      <w:pPr>
        <w:widowControl/>
        <w:spacing w:line="360" w:lineRule="auto"/>
        <w:ind w:firstLine="1440"/>
        <w:contextualSpacing/>
        <w:rPr>
          <w:sz w:val="26"/>
          <w:szCs w:val="26"/>
        </w:rPr>
      </w:pPr>
    </w:p>
    <w:p w14:paraId="79467D4B" w14:textId="3D459304" w:rsidR="007E3DBB" w:rsidRDefault="007E3DBB" w:rsidP="005F3BE2">
      <w:pPr>
        <w:widowControl/>
        <w:spacing w:line="360" w:lineRule="auto"/>
        <w:ind w:firstLine="1440"/>
        <w:contextualSpacing/>
        <w:rPr>
          <w:sz w:val="26"/>
          <w:szCs w:val="26"/>
        </w:rPr>
      </w:pPr>
      <w:r w:rsidRPr="00E37897">
        <w:rPr>
          <w:sz w:val="26"/>
          <w:szCs w:val="26"/>
        </w:rPr>
        <w:t xml:space="preserve">The ALJ found that the Environmental Stakeholders did not offer any alternative rate designs to support their contention that PECO’s TOU rates are not tailored to the needs of medium- and heavy-duty EV fleets.  The ALJ reasoned that the </w:t>
      </w:r>
      <w:r w:rsidRPr="00E37897">
        <w:rPr>
          <w:sz w:val="26"/>
          <w:szCs w:val="26"/>
        </w:rPr>
        <w:lastRenderedPageBreak/>
        <w:t xml:space="preserve">record in this case supports a finding that PECO’s TOU rates will accommodate the technologies that support building electrification.  The ALJ further noted that PECO plans to explore a variety of additional rate structures as part of its efforts in support of House Bill 1446 to develop a comprehensive transportation electrification plan for its service territory to support, among other things, increased electrification of larger vehicle fleets.  R.D. at 83 (citing PECO St. 2-R at 20-21).  Accordingly, the ALJ recommended that the Commission approve PECO’s TOU rates set forth in the Partial Settlement, without modification.  R.D. at 83.  </w:t>
      </w:r>
    </w:p>
    <w:p w14:paraId="20419F2F" w14:textId="77777777" w:rsidR="007E3DBB" w:rsidRPr="00E37897" w:rsidRDefault="007E3DBB" w:rsidP="005F3BE2">
      <w:pPr>
        <w:widowControl/>
        <w:spacing w:line="360" w:lineRule="auto"/>
        <w:ind w:firstLine="1440"/>
        <w:contextualSpacing/>
        <w:rPr>
          <w:sz w:val="26"/>
          <w:szCs w:val="26"/>
        </w:rPr>
      </w:pPr>
    </w:p>
    <w:p w14:paraId="10848826" w14:textId="77777777" w:rsidR="007E3DBB" w:rsidRPr="00E37897" w:rsidRDefault="007E3DBB" w:rsidP="005F3BE2">
      <w:pPr>
        <w:pStyle w:val="Heading2"/>
        <w:keepNext/>
        <w:spacing w:after="0"/>
        <w:ind w:left="720" w:hanging="720"/>
        <w:contextualSpacing/>
        <w:jc w:val="left"/>
        <w:rPr>
          <w:caps w:val="0"/>
          <w:sz w:val="26"/>
          <w:szCs w:val="26"/>
        </w:rPr>
      </w:pPr>
      <w:bookmarkStart w:id="10" w:name="_Toc56512758"/>
      <w:r w:rsidRPr="00E37897">
        <w:rPr>
          <w:caps w:val="0"/>
          <w:sz w:val="26"/>
          <w:szCs w:val="26"/>
        </w:rPr>
        <w:t>D.</w:t>
      </w:r>
      <w:r w:rsidRPr="00E37897">
        <w:rPr>
          <w:caps w:val="0"/>
          <w:sz w:val="26"/>
          <w:szCs w:val="26"/>
        </w:rPr>
        <w:tab/>
        <w:t>Disposition of the Partial Settlement and the TOU Settlement</w:t>
      </w:r>
      <w:bookmarkEnd w:id="10"/>
    </w:p>
    <w:p w14:paraId="4767C484" w14:textId="77777777" w:rsidR="007E3DBB" w:rsidRPr="00E37897" w:rsidRDefault="007E3DBB" w:rsidP="005F3BE2">
      <w:pPr>
        <w:pStyle w:val="Heading2"/>
        <w:keepNext/>
        <w:spacing w:after="0"/>
        <w:ind w:left="720" w:hanging="720"/>
        <w:contextualSpacing/>
        <w:jc w:val="left"/>
        <w:rPr>
          <w:caps w:val="0"/>
          <w:sz w:val="26"/>
          <w:szCs w:val="26"/>
        </w:rPr>
      </w:pPr>
    </w:p>
    <w:p w14:paraId="49A33EBA" w14:textId="77777777" w:rsidR="008C4980" w:rsidRDefault="008C4980" w:rsidP="005F3BE2">
      <w:pPr>
        <w:widowControl/>
        <w:spacing w:line="360" w:lineRule="auto"/>
        <w:ind w:firstLine="1440"/>
        <w:contextualSpacing/>
        <w:rPr>
          <w:sz w:val="26"/>
          <w:szCs w:val="26"/>
        </w:rPr>
      </w:pPr>
    </w:p>
    <w:p w14:paraId="72EAC3F5" w14:textId="1620F7F1" w:rsidR="007E3DBB" w:rsidRPr="00E37897" w:rsidRDefault="007E3DBB" w:rsidP="005F3BE2">
      <w:pPr>
        <w:widowControl/>
        <w:spacing w:line="360" w:lineRule="auto"/>
        <w:ind w:firstLine="1440"/>
        <w:contextualSpacing/>
        <w:rPr>
          <w:sz w:val="26"/>
          <w:szCs w:val="26"/>
        </w:rPr>
      </w:pPr>
      <w:r w:rsidRPr="00E37897">
        <w:rPr>
          <w:sz w:val="26"/>
          <w:szCs w:val="26"/>
        </w:rPr>
        <w:t xml:space="preserve">Upon our review of the Partial Settlement and the TOU Settlement, we find </w:t>
      </w:r>
      <w:r w:rsidR="00843E4C">
        <w:rPr>
          <w:sz w:val="26"/>
          <w:szCs w:val="26"/>
        </w:rPr>
        <w:t>they are</w:t>
      </w:r>
      <w:r w:rsidRPr="00E37897">
        <w:rPr>
          <w:sz w:val="26"/>
          <w:szCs w:val="26"/>
        </w:rPr>
        <w:t xml:space="preserve"> reasonable and in the public interest and, therefore, we shall approve t</w:t>
      </w:r>
      <w:r w:rsidR="00843E4C">
        <w:rPr>
          <w:sz w:val="26"/>
          <w:szCs w:val="26"/>
        </w:rPr>
        <w:t>hem</w:t>
      </w:r>
      <w:r w:rsidRPr="00E37897">
        <w:rPr>
          <w:sz w:val="26"/>
          <w:szCs w:val="26"/>
        </w:rPr>
        <w:t xml:space="preserve"> without modification.  We agree with the ALJ that the provisions within the Partial Settlement represent reasonable compromises and that the Settlement has served to reduce the litigation expenses of all involved Parties.  We also find that the terms of the Partial Settlement will benefit residential customers, small and medium commercial customers, and large commercial and industrial customers, as well as provide important protections for low-income customers.  </w:t>
      </w:r>
    </w:p>
    <w:p w14:paraId="336C7D33" w14:textId="77777777" w:rsidR="007E3DBB" w:rsidRPr="00E37897" w:rsidRDefault="007E3DBB" w:rsidP="005F3BE2">
      <w:pPr>
        <w:widowControl/>
        <w:spacing w:line="360" w:lineRule="auto"/>
        <w:ind w:firstLine="1440"/>
        <w:contextualSpacing/>
        <w:rPr>
          <w:sz w:val="26"/>
          <w:szCs w:val="26"/>
        </w:rPr>
      </w:pPr>
    </w:p>
    <w:p w14:paraId="640BD648" w14:textId="1BC3A7C9" w:rsidR="007E3DBB" w:rsidRPr="00E37897" w:rsidRDefault="007E3DBB" w:rsidP="005F3BE2">
      <w:pPr>
        <w:widowControl/>
        <w:spacing w:line="360" w:lineRule="auto"/>
        <w:ind w:firstLine="1440"/>
        <w:contextualSpacing/>
        <w:rPr>
          <w:sz w:val="26"/>
          <w:szCs w:val="26"/>
        </w:rPr>
      </w:pPr>
      <w:r w:rsidRPr="00E37897">
        <w:rPr>
          <w:sz w:val="26"/>
          <w:szCs w:val="26"/>
        </w:rPr>
        <w:t xml:space="preserve">The benefits of the Partial Settlement are numerous.  The Partial Settlement results in savings of time and expenses for all Parties involved by avoiding the necessity of further administrative proceedings and possible appellate court proceedings.  In addition to the avoidance of litigation and associated costs, the beneficial aspects of the Partial Settlement include: </w:t>
      </w:r>
      <w:r w:rsidR="00D730BA">
        <w:rPr>
          <w:sz w:val="26"/>
          <w:szCs w:val="26"/>
        </w:rPr>
        <w:t xml:space="preserve"> </w:t>
      </w:r>
      <w:r w:rsidRPr="00E37897">
        <w:rPr>
          <w:sz w:val="26"/>
          <w:szCs w:val="26"/>
        </w:rPr>
        <w:t xml:space="preserve">(1) the inclusion of a Revised DSP, consistent with the Company’s original proposal and existing DSP IV; (2) the consolidation of all customers receiving hourly-priced default service into a single procurement group – the Consolidated Large Commercial and Industrial Class; (3) a four-year DSP V term to </w:t>
      </w:r>
      <w:r w:rsidRPr="00E37897">
        <w:rPr>
          <w:sz w:val="26"/>
          <w:szCs w:val="26"/>
        </w:rPr>
        <w:lastRenderedPageBreak/>
        <w:t>minimize future litigation expenses and reduce administrative costs; (4) the use of one-and two-year FPFR products which will continue to provide an appropriate level of price stability for the Residential Class; (5) the portfolio of FPFR products for Small Commercial customers which constitutes of a “prudent mix” of supply resources; (6) a proposal to continue to procure hourly-priced full requirements annually for all default service supply for the Consolidated Large Commercial and Industrial Class; (7) the agreement on the Supplier Master Agreements and R</w:t>
      </w:r>
      <w:r w:rsidR="00A300F3">
        <w:rPr>
          <w:sz w:val="26"/>
          <w:szCs w:val="26"/>
        </w:rPr>
        <w:t>equest for</w:t>
      </w:r>
      <w:r w:rsidR="00C17321">
        <w:rPr>
          <w:sz w:val="26"/>
          <w:szCs w:val="26"/>
        </w:rPr>
        <w:t xml:space="preserve"> </w:t>
      </w:r>
      <w:r w:rsidRPr="00E37897">
        <w:rPr>
          <w:sz w:val="26"/>
          <w:szCs w:val="26"/>
        </w:rPr>
        <w:t>P</w:t>
      </w:r>
      <w:r w:rsidR="00A300F3">
        <w:rPr>
          <w:sz w:val="26"/>
          <w:szCs w:val="26"/>
        </w:rPr>
        <w:t>roposal</w:t>
      </w:r>
      <w:r w:rsidRPr="00E37897">
        <w:rPr>
          <w:sz w:val="26"/>
          <w:szCs w:val="26"/>
        </w:rPr>
        <w:t xml:space="preserve">s; (8) the agreement on procedures for the acquisition and use of AECs; (9) the agreement on contingency plans in the event of failure to fully subscribe the default service load for any class, or for Commission rejection of the bid results for any procurement, or supplier default; (10) the appointment of NERA as the independent third-party evaluator of the Companies’ default service procurements; (11) the agreement to support PECO’s request for the Commission to approve the form SMA found in PECO Exhibit JJM-4 as an affiliated interest agreement; (12) the agreement that PECO shall be permitted to file the GSA and Reconciliation tariff pages set forth in Exhibits A and B to the Joint Petition to become effective June 1, 2021; (13) agreements regarding the rate design, customer eligibility, treatment of net metering customers and the implementation plan for PECO’s new TOU rates; (14) the continuance of the Company’s Commission-approved existing SOP; (15) residential customer bill improvements; and (16) the agreement that PECO will submit a CAP shopping proposal following the Commission’s final Order in the CAP Design Proceeding.  </w:t>
      </w:r>
    </w:p>
    <w:p w14:paraId="3528704F" w14:textId="77777777" w:rsidR="007E3DBB" w:rsidRPr="00E37897" w:rsidRDefault="007E3DBB" w:rsidP="005F3BE2">
      <w:pPr>
        <w:widowControl/>
        <w:spacing w:line="360" w:lineRule="auto"/>
        <w:ind w:firstLine="1440"/>
        <w:contextualSpacing/>
        <w:rPr>
          <w:sz w:val="26"/>
          <w:szCs w:val="26"/>
        </w:rPr>
      </w:pPr>
    </w:p>
    <w:p w14:paraId="6B694C9B" w14:textId="77777777" w:rsidR="007E3DBB" w:rsidRPr="00E37897" w:rsidRDefault="007E3DBB" w:rsidP="005F3BE2">
      <w:pPr>
        <w:widowControl/>
        <w:spacing w:line="360" w:lineRule="auto"/>
        <w:ind w:firstLine="1440"/>
        <w:contextualSpacing/>
        <w:rPr>
          <w:sz w:val="26"/>
          <w:szCs w:val="26"/>
        </w:rPr>
      </w:pPr>
      <w:r w:rsidRPr="00E37897">
        <w:rPr>
          <w:sz w:val="26"/>
          <w:szCs w:val="26"/>
        </w:rPr>
        <w:t xml:space="preserve">For the reasons stated herein and in the Joint Petitioners’ Statements in Support, we agree with the ALJ’s conclusion that the Partial Settlement, and the TOU Settlement, are in the public interest.  PECO’s proposed generation supply procurement plan, as set forth in its DSP V program and modified by the terms of the Partial Settlement and the TOU Settlement, encompasses a prudent mix of supply methods, which is anticipated to result in adequate, reasonable and reliable service to customers, as </w:t>
      </w:r>
      <w:r w:rsidRPr="00E37897">
        <w:rPr>
          <w:sz w:val="26"/>
          <w:szCs w:val="26"/>
        </w:rPr>
        <w:lastRenderedPageBreak/>
        <w:t xml:space="preserve">well as service that is provided at the least cost over time.  In addition, AECs are provided for in a competitive fashion, and a contingency plan is properly established.  </w:t>
      </w:r>
    </w:p>
    <w:p w14:paraId="41ACC235" w14:textId="77777777" w:rsidR="007E3DBB" w:rsidRPr="00E37897" w:rsidRDefault="007E3DBB" w:rsidP="005F3BE2">
      <w:pPr>
        <w:widowControl/>
        <w:spacing w:line="360" w:lineRule="auto"/>
        <w:ind w:firstLine="1440"/>
        <w:contextualSpacing/>
        <w:rPr>
          <w:sz w:val="26"/>
          <w:szCs w:val="26"/>
        </w:rPr>
      </w:pPr>
    </w:p>
    <w:p w14:paraId="1BA33450" w14:textId="39D5571F" w:rsidR="007E3DBB" w:rsidRDefault="007E3DBB" w:rsidP="005F3BE2">
      <w:pPr>
        <w:widowControl/>
        <w:spacing w:line="360" w:lineRule="auto"/>
        <w:ind w:firstLine="1440"/>
        <w:contextualSpacing/>
        <w:rPr>
          <w:sz w:val="26"/>
          <w:szCs w:val="26"/>
        </w:rPr>
      </w:pPr>
      <w:r w:rsidRPr="00E37897">
        <w:rPr>
          <w:sz w:val="26"/>
          <w:szCs w:val="26"/>
        </w:rPr>
        <w:t>Accordingly, we shall adopt the ALJ’s recommendation to grant the Joint Petition for Partial Settlement and approve the Partial Settlement, inclusive of the TOU Settlement, without modification.</w:t>
      </w:r>
    </w:p>
    <w:p w14:paraId="487C045F" w14:textId="77777777" w:rsidR="00547E7C" w:rsidRPr="00E37897" w:rsidRDefault="00547E7C" w:rsidP="005F3BE2">
      <w:pPr>
        <w:widowControl/>
        <w:spacing w:line="360" w:lineRule="auto"/>
        <w:ind w:firstLine="1440"/>
        <w:contextualSpacing/>
        <w:rPr>
          <w:sz w:val="26"/>
          <w:szCs w:val="26"/>
        </w:rPr>
      </w:pPr>
    </w:p>
    <w:p w14:paraId="60940227" w14:textId="3C27DC3F" w:rsidR="004E2313" w:rsidRPr="00E37897" w:rsidRDefault="008469F2" w:rsidP="005F3BE2">
      <w:pPr>
        <w:pStyle w:val="Heading1"/>
        <w:keepNext/>
        <w:spacing w:after="0"/>
        <w:ind w:left="720" w:hanging="720"/>
        <w:contextualSpacing/>
        <w:jc w:val="center"/>
        <w:rPr>
          <w:caps w:val="0"/>
          <w:sz w:val="26"/>
          <w:szCs w:val="26"/>
          <w:u w:val="none"/>
        </w:rPr>
      </w:pPr>
      <w:bookmarkStart w:id="11" w:name="_Toc56512759"/>
      <w:r w:rsidRPr="00E37897">
        <w:rPr>
          <w:caps w:val="0"/>
          <w:sz w:val="26"/>
          <w:szCs w:val="26"/>
          <w:u w:val="none"/>
        </w:rPr>
        <w:t>V.</w:t>
      </w:r>
      <w:r w:rsidRPr="00E37897">
        <w:rPr>
          <w:caps w:val="0"/>
          <w:sz w:val="26"/>
          <w:szCs w:val="26"/>
          <w:u w:val="none"/>
        </w:rPr>
        <w:tab/>
      </w:r>
      <w:r w:rsidR="004E2313" w:rsidRPr="00E37897">
        <w:rPr>
          <w:caps w:val="0"/>
          <w:sz w:val="26"/>
          <w:szCs w:val="26"/>
          <w:u w:val="none"/>
        </w:rPr>
        <w:t>Contested Issue</w:t>
      </w:r>
      <w:r w:rsidR="009153D2" w:rsidRPr="00E37897">
        <w:rPr>
          <w:caps w:val="0"/>
          <w:sz w:val="26"/>
          <w:szCs w:val="26"/>
          <w:u w:val="none"/>
        </w:rPr>
        <w:t xml:space="preserve"> – </w:t>
      </w:r>
      <w:r w:rsidR="00D41A84" w:rsidRPr="00E37897">
        <w:rPr>
          <w:caps w:val="0"/>
          <w:sz w:val="26"/>
          <w:szCs w:val="26"/>
          <w:u w:val="none"/>
        </w:rPr>
        <w:t xml:space="preserve">Allocation </w:t>
      </w:r>
      <w:r w:rsidR="00EA50BC" w:rsidRPr="00E37897">
        <w:rPr>
          <w:caps w:val="0"/>
          <w:sz w:val="26"/>
          <w:szCs w:val="26"/>
          <w:u w:val="none"/>
        </w:rPr>
        <w:t xml:space="preserve">of NITS </w:t>
      </w:r>
      <w:r w:rsidR="00101388" w:rsidRPr="00E37897">
        <w:rPr>
          <w:caps w:val="0"/>
          <w:sz w:val="26"/>
          <w:szCs w:val="26"/>
          <w:u w:val="none"/>
        </w:rPr>
        <w:t>Charges</w:t>
      </w:r>
      <w:bookmarkEnd w:id="11"/>
    </w:p>
    <w:p w14:paraId="29238EB3" w14:textId="77777777" w:rsidR="00691D00" w:rsidRPr="00E37897" w:rsidRDefault="00691D00" w:rsidP="005F3BE2">
      <w:pPr>
        <w:keepNext/>
        <w:keepLines/>
        <w:widowControl/>
        <w:spacing w:line="360" w:lineRule="auto"/>
        <w:ind w:firstLine="1440"/>
        <w:contextualSpacing/>
        <w:rPr>
          <w:sz w:val="26"/>
          <w:szCs w:val="26"/>
        </w:rPr>
      </w:pPr>
    </w:p>
    <w:p w14:paraId="64EAF585" w14:textId="46BD8971" w:rsidR="00AF014D" w:rsidRPr="00E37897" w:rsidRDefault="009D299A" w:rsidP="005F3BE2">
      <w:pPr>
        <w:pStyle w:val="Heading2"/>
        <w:keepNext/>
        <w:spacing w:after="0"/>
        <w:ind w:left="720" w:hanging="720"/>
        <w:contextualSpacing/>
        <w:jc w:val="left"/>
        <w:rPr>
          <w:caps w:val="0"/>
          <w:sz w:val="26"/>
          <w:szCs w:val="26"/>
        </w:rPr>
      </w:pPr>
      <w:bookmarkStart w:id="12" w:name="_Toc56512760"/>
      <w:r w:rsidRPr="00E37897">
        <w:rPr>
          <w:caps w:val="0"/>
          <w:sz w:val="26"/>
          <w:szCs w:val="26"/>
        </w:rPr>
        <w:t>A</w:t>
      </w:r>
      <w:r w:rsidR="00AF014D" w:rsidRPr="00E37897">
        <w:rPr>
          <w:caps w:val="0"/>
          <w:sz w:val="26"/>
          <w:szCs w:val="26"/>
        </w:rPr>
        <w:t>.</w:t>
      </w:r>
      <w:r w:rsidR="00AF014D" w:rsidRPr="00E37897">
        <w:rPr>
          <w:caps w:val="0"/>
          <w:sz w:val="26"/>
          <w:szCs w:val="26"/>
        </w:rPr>
        <w:tab/>
        <w:t>Background</w:t>
      </w:r>
      <w:bookmarkEnd w:id="12"/>
    </w:p>
    <w:p w14:paraId="24D9CE2D" w14:textId="77777777" w:rsidR="008469F2" w:rsidRPr="00E37897" w:rsidRDefault="008469F2" w:rsidP="005F3BE2">
      <w:pPr>
        <w:keepNext/>
        <w:keepLines/>
        <w:widowControl/>
        <w:spacing w:line="360" w:lineRule="auto"/>
        <w:ind w:firstLine="1440"/>
        <w:contextualSpacing/>
        <w:rPr>
          <w:caps/>
          <w:sz w:val="26"/>
          <w:szCs w:val="26"/>
        </w:rPr>
      </w:pPr>
    </w:p>
    <w:p w14:paraId="5CB385D3" w14:textId="4AE1A2B6" w:rsidR="00002471" w:rsidRPr="00E37897" w:rsidRDefault="00002471" w:rsidP="005F3BE2">
      <w:pPr>
        <w:widowControl/>
        <w:spacing w:line="360" w:lineRule="auto"/>
        <w:ind w:firstLine="1440"/>
        <w:contextualSpacing/>
        <w:rPr>
          <w:rFonts w:eastAsiaTheme="minorHAnsi"/>
          <w:i/>
          <w:iCs/>
          <w:sz w:val="26"/>
          <w:szCs w:val="26"/>
        </w:rPr>
      </w:pPr>
      <w:r w:rsidRPr="00E37897">
        <w:rPr>
          <w:rFonts w:eastAsiaTheme="minorHAnsi"/>
          <w:sz w:val="26"/>
          <w:szCs w:val="26"/>
        </w:rPr>
        <w:t xml:space="preserve">The remaining contested issue in this proceeding centers on the allocation of Network Integration Transmission Service (NITS) Charges.  NITS charges reflect a load serving entity’s (LSE’s) share of the </w:t>
      </w:r>
      <w:r w:rsidR="00405B5D">
        <w:rPr>
          <w:rFonts w:eastAsiaTheme="minorHAnsi"/>
          <w:sz w:val="26"/>
          <w:szCs w:val="26"/>
        </w:rPr>
        <w:t xml:space="preserve">EDC’s </w:t>
      </w:r>
      <w:r w:rsidRPr="00E37897">
        <w:rPr>
          <w:rFonts w:eastAsiaTheme="minorHAnsi"/>
          <w:sz w:val="26"/>
          <w:szCs w:val="26"/>
        </w:rPr>
        <w:t>approved transmission service rate for a given transmission owner’s zone.  LSEs include both EGSs and wholesale default service providers.  Accordingly, all customer load (including shopping and non-shopping customers) on an EDC’s system is allocated a share of transmission service costs.  PAIEUG St. 1 at 2.  During PECO’s first two DSPs, LSEs</w:t>
      </w:r>
      <w:r w:rsidR="002C2583">
        <w:rPr>
          <w:rFonts w:eastAsiaTheme="minorHAnsi"/>
          <w:sz w:val="26"/>
          <w:szCs w:val="26"/>
        </w:rPr>
        <w:t>,</w:t>
      </w:r>
      <w:r w:rsidRPr="00E37897">
        <w:rPr>
          <w:rFonts w:eastAsiaTheme="minorHAnsi"/>
          <w:sz w:val="26"/>
          <w:szCs w:val="26"/>
        </w:rPr>
        <w:t xml:space="preserve"> including EGSs, were responsible for PJM transmission-related costs, including NITS, Generation Deactivation/Reliability Must Run (RMR) charges, Expansion Cost Recovery charges and Transmission Enhancement (a/k/a Regional Transmission Expansion Plan or RTEP) charges.  In its third DSP, PECO proposed to recover certain PJM transmission charges through a</w:t>
      </w:r>
      <w:r w:rsidR="00B558F2" w:rsidRPr="00E37897">
        <w:rPr>
          <w:rFonts w:eastAsiaTheme="minorHAnsi"/>
          <w:sz w:val="26"/>
          <w:szCs w:val="26"/>
        </w:rPr>
        <w:t xml:space="preserve">n </w:t>
      </w:r>
      <w:r w:rsidRPr="00E37897">
        <w:rPr>
          <w:rFonts w:eastAsiaTheme="minorHAnsi"/>
          <w:sz w:val="26"/>
          <w:szCs w:val="26"/>
        </w:rPr>
        <w:t xml:space="preserve">NBT for all distribution customers.  Additionally, PECO proposed to exclude NITS and </w:t>
      </w:r>
      <w:r w:rsidR="007403CE">
        <w:rPr>
          <w:rFonts w:eastAsiaTheme="minorHAnsi"/>
          <w:sz w:val="26"/>
          <w:szCs w:val="26"/>
        </w:rPr>
        <w:t xml:space="preserve">certain </w:t>
      </w:r>
      <w:r w:rsidRPr="00E37897">
        <w:rPr>
          <w:rFonts w:eastAsiaTheme="minorHAnsi"/>
          <w:sz w:val="26"/>
          <w:szCs w:val="26"/>
        </w:rPr>
        <w:t>other charges from its NBT.  The Commission approved PECO’s proposal, finding that such non-</w:t>
      </w:r>
      <w:proofErr w:type="spellStart"/>
      <w:r w:rsidRPr="00E37897">
        <w:rPr>
          <w:rFonts w:eastAsiaTheme="minorHAnsi"/>
          <w:sz w:val="26"/>
          <w:szCs w:val="26"/>
        </w:rPr>
        <w:t>bypassable</w:t>
      </w:r>
      <w:proofErr w:type="spellEnd"/>
      <w:r w:rsidRPr="00E37897">
        <w:rPr>
          <w:rFonts w:eastAsiaTheme="minorHAnsi"/>
          <w:sz w:val="26"/>
          <w:szCs w:val="26"/>
        </w:rPr>
        <w:t xml:space="preserve"> recovery is beneficial to customers.  At the same time, the Commission specified, </w:t>
      </w:r>
      <w:r w:rsidRPr="00E37897">
        <w:rPr>
          <w:rFonts w:eastAsiaTheme="minorHAnsi"/>
          <w:i/>
          <w:iCs/>
          <w:sz w:val="26"/>
          <w:szCs w:val="26"/>
        </w:rPr>
        <w:t xml:space="preserve">inter alia, </w:t>
      </w:r>
      <w:r w:rsidRPr="00E37897">
        <w:rPr>
          <w:rFonts w:eastAsiaTheme="minorHAnsi"/>
          <w:sz w:val="26"/>
          <w:szCs w:val="26"/>
        </w:rPr>
        <w:t xml:space="preserve">that NITS will be excluded from PECO’s NBT.  </w:t>
      </w:r>
      <w:bookmarkStart w:id="13" w:name="_Hlk55894423"/>
      <w:r w:rsidRPr="00E37897">
        <w:rPr>
          <w:rFonts w:eastAsiaTheme="minorHAnsi"/>
          <w:i/>
          <w:iCs/>
          <w:sz w:val="26"/>
          <w:szCs w:val="26"/>
        </w:rPr>
        <w:t xml:space="preserve">See Petition of PECO Energy Co. for Approval of its Default Service Program for the Period from June 1, 2015 through May 31, 2017, </w:t>
      </w:r>
      <w:r w:rsidRPr="00E37897">
        <w:rPr>
          <w:rFonts w:eastAsiaTheme="minorHAnsi"/>
          <w:sz w:val="26"/>
          <w:szCs w:val="26"/>
        </w:rPr>
        <w:t>Docket No. P</w:t>
      </w:r>
      <w:r w:rsidRPr="00E37897">
        <w:rPr>
          <w:rFonts w:eastAsiaTheme="minorHAnsi"/>
          <w:sz w:val="26"/>
          <w:szCs w:val="26"/>
        </w:rPr>
        <w:noBreakHyphen/>
        <w:t>2014</w:t>
      </w:r>
      <w:r w:rsidRPr="00E37897">
        <w:rPr>
          <w:rFonts w:eastAsiaTheme="minorHAnsi"/>
          <w:sz w:val="26"/>
          <w:szCs w:val="26"/>
        </w:rPr>
        <w:noBreakHyphen/>
        <w:t>2409362</w:t>
      </w:r>
      <w:r w:rsidRPr="00E37897">
        <w:rPr>
          <w:rFonts w:eastAsiaTheme="minorHAnsi"/>
          <w:i/>
          <w:iCs/>
          <w:sz w:val="26"/>
          <w:szCs w:val="26"/>
        </w:rPr>
        <w:t xml:space="preserve"> </w:t>
      </w:r>
      <w:r w:rsidRPr="00E37897">
        <w:rPr>
          <w:rFonts w:eastAsiaTheme="minorHAnsi"/>
          <w:sz w:val="26"/>
          <w:szCs w:val="26"/>
        </w:rPr>
        <w:t xml:space="preserve">(Order </w:t>
      </w:r>
      <w:r w:rsidR="009E1D80" w:rsidRPr="00E37897">
        <w:rPr>
          <w:rFonts w:eastAsiaTheme="minorHAnsi"/>
          <w:sz w:val="26"/>
          <w:szCs w:val="26"/>
        </w:rPr>
        <w:t>e</w:t>
      </w:r>
      <w:r w:rsidRPr="00E37897">
        <w:rPr>
          <w:rFonts w:eastAsiaTheme="minorHAnsi"/>
          <w:sz w:val="26"/>
          <w:szCs w:val="26"/>
        </w:rPr>
        <w:t>ntered Dec</w:t>
      </w:r>
      <w:r w:rsidR="009E1D80" w:rsidRPr="00E37897">
        <w:rPr>
          <w:rFonts w:eastAsiaTheme="minorHAnsi"/>
          <w:sz w:val="26"/>
          <w:szCs w:val="26"/>
        </w:rPr>
        <w:t>ember</w:t>
      </w:r>
      <w:r w:rsidRPr="00E37897">
        <w:rPr>
          <w:rFonts w:eastAsiaTheme="minorHAnsi"/>
          <w:sz w:val="26"/>
          <w:szCs w:val="26"/>
        </w:rPr>
        <w:t xml:space="preserve"> 4, 2014)</w:t>
      </w:r>
      <w:r w:rsidR="009E1D80" w:rsidRPr="00E37897">
        <w:rPr>
          <w:rFonts w:eastAsiaTheme="minorHAnsi"/>
          <w:sz w:val="26"/>
          <w:szCs w:val="26"/>
        </w:rPr>
        <w:t xml:space="preserve"> </w:t>
      </w:r>
      <w:r w:rsidRPr="00E37897">
        <w:rPr>
          <w:rFonts w:eastAsiaTheme="minorHAnsi"/>
          <w:sz w:val="26"/>
          <w:szCs w:val="26"/>
        </w:rPr>
        <w:t>(</w:t>
      </w:r>
      <w:r w:rsidRPr="00E37897">
        <w:rPr>
          <w:rFonts w:eastAsiaTheme="minorHAnsi"/>
          <w:i/>
          <w:iCs/>
          <w:sz w:val="26"/>
          <w:szCs w:val="26"/>
        </w:rPr>
        <w:t>PECO DSP III</w:t>
      </w:r>
      <w:r w:rsidRPr="00E37897">
        <w:rPr>
          <w:rFonts w:eastAsiaTheme="minorHAnsi"/>
          <w:sz w:val="26"/>
          <w:szCs w:val="26"/>
        </w:rPr>
        <w:t>)</w:t>
      </w:r>
      <w:bookmarkEnd w:id="13"/>
      <w:r w:rsidR="006D69BA" w:rsidRPr="00E37897">
        <w:rPr>
          <w:rFonts w:eastAsiaTheme="minorHAnsi"/>
          <w:sz w:val="26"/>
          <w:szCs w:val="26"/>
        </w:rPr>
        <w:t>,</w:t>
      </w:r>
      <w:r w:rsidRPr="00E37897">
        <w:rPr>
          <w:rFonts w:eastAsiaTheme="minorHAnsi"/>
          <w:sz w:val="26"/>
          <w:szCs w:val="26"/>
        </w:rPr>
        <w:t xml:space="preserve"> at 40-46.  In its </w:t>
      </w:r>
      <w:r w:rsidRPr="00E37897">
        <w:rPr>
          <w:rFonts w:eastAsiaTheme="minorHAnsi"/>
          <w:sz w:val="26"/>
          <w:szCs w:val="26"/>
        </w:rPr>
        <w:lastRenderedPageBreak/>
        <w:t xml:space="preserve">fourth DSP, the Commission approved PECO’s proposal to continue this approach.  </w:t>
      </w:r>
      <w:r w:rsidRPr="00E37897">
        <w:rPr>
          <w:rFonts w:eastAsiaTheme="minorHAnsi"/>
          <w:i/>
          <w:iCs/>
          <w:sz w:val="26"/>
          <w:szCs w:val="26"/>
        </w:rPr>
        <w:t>See PECO DSP IV</w:t>
      </w:r>
      <w:r w:rsidRPr="00E37897">
        <w:rPr>
          <w:rFonts w:eastAsiaTheme="minorHAnsi"/>
          <w:sz w:val="26"/>
          <w:szCs w:val="26"/>
        </w:rPr>
        <w:t>.</w:t>
      </w:r>
    </w:p>
    <w:p w14:paraId="6E21E73C" w14:textId="77777777" w:rsidR="00002471" w:rsidRPr="00E37897" w:rsidRDefault="00002471" w:rsidP="005F3BE2">
      <w:pPr>
        <w:widowControl/>
        <w:spacing w:after="200" w:line="360" w:lineRule="auto"/>
        <w:ind w:firstLine="1440"/>
        <w:contextualSpacing/>
        <w:rPr>
          <w:rFonts w:eastAsiaTheme="minorHAnsi"/>
          <w:sz w:val="26"/>
          <w:szCs w:val="26"/>
        </w:rPr>
      </w:pPr>
    </w:p>
    <w:p w14:paraId="25B0E51B" w14:textId="032E957B" w:rsidR="00002471" w:rsidRPr="00E37897" w:rsidRDefault="00002471"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Pursuant to its Tariff Electric – Pa. PUC No. 6, Fourth Revised Page No. 43, PECO currently recovers NITS charges from its default service customers as part of its PTC.  On the other hand, EGSs providing generation supply to PECO’s distribution customers are currently responsible for collecting NITS charges from these shopping customers.  In its DSP V, PECO proposed to continue to recover NITS through a </w:t>
      </w:r>
      <w:proofErr w:type="spellStart"/>
      <w:r w:rsidRPr="00E37897">
        <w:rPr>
          <w:rFonts w:eastAsiaTheme="minorHAnsi"/>
          <w:sz w:val="26"/>
          <w:szCs w:val="26"/>
        </w:rPr>
        <w:t>bypassable</w:t>
      </w:r>
      <w:proofErr w:type="spellEnd"/>
      <w:r w:rsidRPr="00E37897">
        <w:rPr>
          <w:rFonts w:eastAsiaTheme="minorHAnsi"/>
          <w:sz w:val="26"/>
          <w:szCs w:val="26"/>
        </w:rPr>
        <w:t xml:space="preserve"> charge applicable only to customers receiving default service</w:t>
      </w:r>
      <w:r w:rsidR="00B941B8">
        <w:rPr>
          <w:rFonts w:eastAsiaTheme="minorHAnsi"/>
          <w:sz w:val="26"/>
          <w:szCs w:val="26"/>
        </w:rPr>
        <w:t xml:space="preserve"> from PECO</w:t>
      </w:r>
      <w:r w:rsidRPr="00E37897">
        <w:rPr>
          <w:rFonts w:eastAsiaTheme="minorHAnsi"/>
          <w:sz w:val="26"/>
          <w:szCs w:val="26"/>
        </w:rPr>
        <w:t xml:space="preserve">, consistent with </w:t>
      </w:r>
      <w:r w:rsidRPr="00E37897">
        <w:rPr>
          <w:rFonts w:eastAsiaTheme="minorHAnsi"/>
          <w:i/>
          <w:iCs/>
          <w:sz w:val="26"/>
          <w:szCs w:val="26"/>
        </w:rPr>
        <w:t>PECO DSP III</w:t>
      </w:r>
      <w:r w:rsidRPr="00E37897">
        <w:rPr>
          <w:rFonts w:eastAsiaTheme="minorHAnsi"/>
          <w:sz w:val="26"/>
          <w:szCs w:val="26"/>
        </w:rPr>
        <w:t xml:space="preserve"> and </w:t>
      </w:r>
      <w:r w:rsidRPr="00E37897">
        <w:rPr>
          <w:rFonts w:eastAsiaTheme="minorHAnsi"/>
          <w:i/>
          <w:iCs/>
          <w:sz w:val="26"/>
          <w:szCs w:val="26"/>
        </w:rPr>
        <w:t>PECO DSP IV</w:t>
      </w:r>
      <w:r w:rsidRPr="00E37897">
        <w:rPr>
          <w:rFonts w:eastAsiaTheme="minorHAnsi"/>
          <w:sz w:val="26"/>
          <w:szCs w:val="26"/>
        </w:rPr>
        <w:t>.  PECO M.B. at 29-30; PECO St. 1-R at 16</w:t>
      </w:r>
      <w:r w:rsidRPr="00E37897">
        <w:rPr>
          <w:rFonts w:eastAsiaTheme="minorHAnsi"/>
          <w:sz w:val="26"/>
          <w:szCs w:val="26"/>
        </w:rPr>
        <w:noBreakHyphen/>
        <w:t xml:space="preserve">17.  As will be discussed in more detail below, </w:t>
      </w:r>
      <w:r w:rsidR="00A12B58">
        <w:rPr>
          <w:rFonts w:eastAsiaTheme="minorHAnsi"/>
          <w:sz w:val="26"/>
          <w:szCs w:val="26"/>
        </w:rPr>
        <w:t xml:space="preserve">the </w:t>
      </w:r>
      <w:r w:rsidRPr="00E37897">
        <w:rPr>
          <w:rFonts w:eastAsiaTheme="minorHAnsi"/>
          <w:sz w:val="26"/>
          <w:szCs w:val="26"/>
        </w:rPr>
        <w:t xml:space="preserve">ESC has challenged PECO’s proposal and argues that PECO’s NITS costs should be recovered </w:t>
      </w:r>
      <w:r w:rsidR="002F0915">
        <w:rPr>
          <w:rFonts w:eastAsiaTheme="minorHAnsi"/>
          <w:sz w:val="26"/>
          <w:szCs w:val="26"/>
        </w:rPr>
        <w:t>by PECO through</w:t>
      </w:r>
      <w:r w:rsidRPr="00E37897">
        <w:rPr>
          <w:rFonts w:eastAsiaTheme="minorHAnsi"/>
          <w:sz w:val="26"/>
          <w:szCs w:val="26"/>
        </w:rPr>
        <w:t xml:space="preserve"> a non-</w:t>
      </w:r>
      <w:proofErr w:type="spellStart"/>
      <w:r w:rsidRPr="00E37897">
        <w:rPr>
          <w:rFonts w:eastAsiaTheme="minorHAnsi"/>
          <w:sz w:val="26"/>
          <w:szCs w:val="26"/>
        </w:rPr>
        <w:t>bypassable</w:t>
      </w:r>
      <w:proofErr w:type="spellEnd"/>
      <w:r w:rsidRPr="00E37897">
        <w:rPr>
          <w:rFonts w:eastAsiaTheme="minorHAnsi"/>
          <w:sz w:val="26"/>
          <w:szCs w:val="26"/>
        </w:rPr>
        <w:t xml:space="preserve"> </w:t>
      </w:r>
      <w:r w:rsidR="002F0915">
        <w:rPr>
          <w:rFonts w:eastAsiaTheme="minorHAnsi"/>
          <w:sz w:val="26"/>
          <w:szCs w:val="26"/>
        </w:rPr>
        <w:t xml:space="preserve">charge </w:t>
      </w:r>
      <w:r w:rsidR="006230F3">
        <w:rPr>
          <w:rFonts w:eastAsiaTheme="minorHAnsi"/>
          <w:sz w:val="26"/>
          <w:szCs w:val="26"/>
        </w:rPr>
        <w:t>to all</w:t>
      </w:r>
      <w:r w:rsidRPr="00E37897">
        <w:rPr>
          <w:rFonts w:eastAsiaTheme="minorHAnsi"/>
          <w:sz w:val="26"/>
          <w:szCs w:val="26"/>
        </w:rPr>
        <w:t xml:space="preserve"> PECO distribution customers regardless of whether </w:t>
      </w:r>
      <w:r w:rsidR="001363C8">
        <w:rPr>
          <w:rFonts w:eastAsiaTheme="minorHAnsi"/>
          <w:sz w:val="26"/>
          <w:szCs w:val="26"/>
        </w:rPr>
        <w:t xml:space="preserve">such customers </w:t>
      </w:r>
      <w:r w:rsidRPr="00E37897">
        <w:rPr>
          <w:rFonts w:eastAsiaTheme="minorHAnsi"/>
          <w:sz w:val="26"/>
          <w:szCs w:val="26"/>
        </w:rPr>
        <w:t xml:space="preserve">receive default service </w:t>
      </w:r>
      <w:r w:rsidR="001363C8">
        <w:rPr>
          <w:rFonts w:eastAsiaTheme="minorHAnsi"/>
          <w:sz w:val="26"/>
          <w:szCs w:val="26"/>
        </w:rPr>
        <w:t xml:space="preserve">from PECO </w:t>
      </w:r>
      <w:r w:rsidRPr="00E37897">
        <w:rPr>
          <w:rFonts w:eastAsiaTheme="minorHAnsi"/>
          <w:sz w:val="26"/>
          <w:szCs w:val="26"/>
        </w:rPr>
        <w:t xml:space="preserve">or </w:t>
      </w:r>
      <w:r w:rsidR="00B93E08">
        <w:rPr>
          <w:rFonts w:eastAsiaTheme="minorHAnsi"/>
          <w:sz w:val="26"/>
          <w:szCs w:val="26"/>
        </w:rPr>
        <w:t xml:space="preserve">competitive generation supply service from </w:t>
      </w:r>
      <w:r w:rsidRPr="00E37897">
        <w:rPr>
          <w:rFonts w:eastAsiaTheme="minorHAnsi"/>
          <w:sz w:val="26"/>
          <w:szCs w:val="26"/>
        </w:rPr>
        <w:t>an EGS.</w:t>
      </w:r>
    </w:p>
    <w:p w14:paraId="0E51FD7A" w14:textId="77777777" w:rsidR="00002471" w:rsidRPr="00E37897" w:rsidRDefault="00002471" w:rsidP="005F3BE2">
      <w:pPr>
        <w:widowControl/>
        <w:spacing w:line="360" w:lineRule="auto"/>
        <w:contextualSpacing/>
        <w:rPr>
          <w:rFonts w:eastAsiaTheme="minorHAnsi"/>
          <w:sz w:val="26"/>
          <w:szCs w:val="26"/>
        </w:rPr>
      </w:pPr>
    </w:p>
    <w:p w14:paraId="70E340FA" w14:textId="77777777" w:rsidR="00AF014D" w:rsidRPr="00E37897" w:rsidRDefault="00AF014D" w:rsidP="005F3BE2">
      <w:pPr>
        <w:pStyle w:val="Heading2"/>
        <w:spacing w:after="0"/>
        <w:ind w:left="720" w:hanging="720"/>
        <w:contextualSpacing/>
        <w:jc w:val="left"/>
        <w:rPr>
          <w:caps w:val="0"/>
          <w:sz w:val="26"/>
          <w:szCs w:val="26"/>
        </w:rPr>
      </w:pPr>
      <w:bookmarkStart w:id="14" w:name="_Toc56512761"/>
      <w:r w:rsidRPr="00E37897">
        <w:rPr>
          <w:caps w:val="0"/>
          <w:sz w:val="26"/>
          <w:szCs w:val="26"/>
        </w:rPr>
        <w:t>B.</w:t>
      </w:r>
      <w:r w:rsidRPr="00E37897">
        <w:rPr>
          <w:caps w:val="0"/>
          <w:sz w:val="26"/>
          <w:szCs w:val="26"/>
        </w:rPr>
        <w:tab/>
        <w:t>Positions of the Parties</w:t>
      </w:r>
      <w:bookmarkEnd w:id="14"/>
    </w:p>
    <w:p w14:paraId="59409C92" w14:textId="77777777" w:rsidR="00AF014D" w:rsidRPr="00E37897" w:rsidRDefault="00AF014D" w:rsidP="005F3BE2">
      <w:pPr>
        <w:keepNext/>
        <w:keepLines/>
        <w:widowControl/>
        <w:spacing w:line="360" w:lineRule="auto"/>
        <w:contextualSpacing/>
        <w:rPr>
          <w:sz w:val="26"/>
          <w:szCs w:val="26"/>
        </w:rPr>
      </w:pPr>
    </w:p>
    <w:p w14:paraId="148E09F6" w14:textId="792BC142" w:rsidR="00132B33" w:rsidRPr="00E37897" w:rsidRDefault="00132B33" w:rsidP="005F3BE2">
      <w:pPr>
        <w:pStyle w:val="Heading3"/>
        <w:keepNext/>
        <w:keepLines/>
        <w:numPr>
          <w:ilvl w:val="0"/>
          <w:numId w:val="38"/>
        </w:numPr>
        <w:spacing w:after="0"/>
        <w:ind w:left="1440" w:hanging="720"/>
        <w:contextualSpacing/>
        <w:jc w:val="left"/>
        <w:rPr>
          <w:rFonts w:eastAsiaTheme="majorEastAsia"/>
          <w:sz w:val="26"/>
        </w:rPr>
      </w:pPr>
      <w:bookmarkStart w:id="15" w:name="_Toc56512762"/>
      <w:r w:rsidRPr="00E37897">
        <w:rPr>
          <w:rFonts w:eastAsiaTheme="majorEastAsia"/>
          <w:sz w:val="26"/>
        </w:rPr>
        <w:t>ESC</w:t>
      </w:r>
      <w:bookmarkEnd w:id="15"/>
    </w:p>
    <w:p w14:paraId="2820D9F7" w14:textId="77777777" w:rsidR="00132B33" w:rsidRPr="00E37897" w:rsidRDefault="00132B33" w:rsidP="005F3BE2">
      <w:pPr>
        <w:keepNext/>
        <w:keepLines/>
        <w:widowControl/>
        <w:spacing w:after="200" w:line="360" w:lineRule="auto"/>
        <w:contextualSpacing/>
        <w:rPr>
          <w:rFonts w:eastAsiaTheme="minorHAnsi"/>
          <w:sz w:val="26"/>
          <w:szCs w:val="26"/>
        </w:rPr>
      </w:pPr>
    </w:p>
    <w:p w14:paraId="0F56AA08" w14:textId="66C125DB" w:rsidR="00132B33" w:rsidRPr="00E37897" w:rsidRDefault="00A12B58" w:rsidP="005F3BE2">
      <w:pPr>
        <w:widowControl/>
        <w:spacing w:after="200" w:line="360" w:lineRule="auto"/>
        <w:ind w:firstLine="1440"/>
        <w:contextualSpacing/>
        <w:rPr>
          <w:rFonts w:eastAsiaTheme="minorHAnsi"/>
          <w:sz w:val="26"/>
          <w:szCs w:val="26"/>
        </w:rPr>
      </w:pPr>
      <w:r>
        <w:rPr>
          <w:rFonts w:eastAsiaTheme="minorHAnsi"/>
          <w:sz w:val="26"/>
          <w:szCs w:val="26"/>
        </w:rPr>
        <w:t xml:space="preserve">The </w:t>
      </w:r>
      <w:r w:rsidR="00132B33" w:rsidRPr="00E37897">
        <w:rPr>
          <w:rFonts w:eastAsiaTheme="minorHAnsi"/>
          <w:sz w:val="26"/>
          <w:szCs w:val="26"/>
        </w:rPr>
        <w:t>ESC claimed that PECO’s NITS cost recovery proposal should be denied because it treats shopping customers different</w:t>
      </w:r>
      <w:r w:rsidR="00B526AE" w:rsidRPr="00E37897">
        <w:rPr>
          <w:rFonts w:eastAsiaTheme="minorHAnsi"/>
          <w:sz w:val="26"/>
          <w:szCs w:val="26"/>
        </w:rPr>
        <w:t>ly</w:t>
      </w:r>
      <w:r w:rsidR="00132B33" w:rsidRPr="00E37897">
        <w:rPr>
          <w:rFonts w:eastAsiaTheme="minorHAnsi"/>
          <w:sz w:val="26"/>
          <w:szCs w:val="26"/>
        </w:rPr>
        <w:t xml:space="preserve"> </w:t>
      </w:r>
      <w:r w:rsidR="00B526AE" w:rsidRPr="00E37897">
        <w:rPr>
          <w:rFonts w:eastAsiaTheme="minorHAnsi"/>
          <w:sz w:val="26"/>
          <w:szCs w:val="26"/>
        </w:rPr>
        <w:t>than</w:t>
      </w:r>
      <w:r w:rsidR="00132B33" w:rsidRPr="00E37897">
        <w:rPr>
          <w:rFonts w:eastAsiaTheme="minorHAnsi"/>
          <w:sz w:val="26"/>
          <w:szCs w:val="26"/>
        </w:rPr>
        <w:t xml:space="preserve"> default service customers.  In this regard, </w:t>
      </w:r>
      <w:r>
        <w:rPr>
          <w:rFonts w:eastAsiaTheme="minorHAnsi"/>
          <w:sz w:val="26"/>
          <w:szCs w:val="26"/>
        </w:rPr>
        <w:t xml:space="preserve">the </w:t>
      </w:r>
      <w:r w:rsidR="00132B33" w:rsidRPr="00E37897">
        <w:rPr>
          <w:rFonts w:eastAsiaTheme="minorHAnsi"/>
          <w:sz w:val="26"/>
          <w:szCs w:val="26"/>
        </w:rPr>
        <w:t xml:space="preserve">ESC argued that EGSs must bear the risk of estimating NITS charges and may need to include risk premiums in the supply price.  </w:t>
      </w:r>
      <w:r>
        <w:rPr>
          <w:rFonts w:eastAsiaTheme="minorHAnsi"/>
          <w:sz w:val="26"/>
          <w:szCs w:val="26"/>
        </w:rPr>
        <w:t xml:space="preserve">The </w:t>
      </w:r>
      <w:r w:rsidR="00132B33" w:rsidRPr="00E37897">
        <w:rPr>
          <w:rFonts w:eastAsiaTheme="minorHAnsi"/>
          <w:sz w:val="26"/>
          <w:szCs w:val="26"/>
        </w:rPr>
        <w:t xml:space="preserve">ESC reasoned that because PECO’s wholesale default suppliers bear no risk associated with NITS charges, the prices they bid to provide default service do not need to include risk premiums.  Therefore, </w:t>
      </w:r>
      <w:r>
        <w:rPr>
          <w:rFonts w:eastAsiaTheme="minorHAnsi"/>
          <w:sz w:val="26"/>
          <w:szCs w:val="26"/>
        </w:rPr>
        <w:t xml:space="preserve">the </w:t>
      </w:r>
      <w:r w:rsidR="00132B33" w:rsidRPr="00E37897">
        <w:rPr>
          <w:rFonts w:eastAsiaTheme="minorHAnsi"/>
          <w:sz w:val="26"/>
          <w:szCs w:val="26"/>
        </w:rPr>
        <w:t xml:space="preserve">ESC submitted that while default service customers are paying only their actual NITS costs, shopping customers are paying potentially widely differing amounts for NITS costs, depending on how much risk premium the EGSs must factor into the supply price.  </w:t>
      </w:r>
      <w:r w:rsidR="00132B33" w:rsidRPr="00E37897">
        <w:rPr>
          <w:rFonts w:eastAsiaTheme="minorHAnsi"/>
          <w:sz w:val="26"/>
          <w:szCs w:val="26"/>
        </w:rPr>
        <w:lastRenderedPageBreak/>
        <w:t xml:space="preserve">According to </w:t>
      </w:r>
      <w:r>
        <w:rPr>
          <w:rFonts w:eastAsiaTheme="minorHAnsi"/>
          <w:sz w:val="26"/>
          <w:szCs w:val="26"/>
        </w:rPr>
        <w:t xml:space="preserve">the </w:t>
      </w:r>
      <w:r w:rsidR="00132B33" w:rsidRPr="00E37897">
        <w:rPr>
          <w:rFonts w:eastAsiaTheme="minorHAnsi"/>
          <w:sz w:val="26"/>
          <w:szCs w:val="26"/>
        </w:rPr>
        <w:t xml:space="preserve">ESC, this creates an unlevel playing field between PECO and the EGSs selling electric supply in PECO’s territory.  </w:t>
      </w:r>
      <w:r>
        <w:rPr>
          <w:rFonts w:eastAsiaTheme="minorHAnsi"/>
          <w:sz w:val="26"/>
          <w:szCs w:val="26"/>
        </w:rPr>
        <w:t xml:space="preserve">The </w:t>
      </w:r>
      <w:r w:rsidR="00132B33" w:rsidRPr="00E37897">
        <w:rPr>
          <w:rFonts w:eastAsiaTheme="minorHAnsi"/>
          <w:sz w:val="26"/>
          <w:szCs w:val="26"/>
        </w:rPr>
        <w:t xml:space="preserve">ESC asserted that </w:t>
      </w:r>
      <w:r w:rsidR="00EC70E5">
        <w:rPr>
          <w:rFonts w:eastAsiaTheme="minorHAnsi"/>
          <w:sz w:val="26"/>
          <w:szCs w:val="26"/>
        </w:rPr>
        <w:t xml:space="preserve">this result </w:t>
      </w:r>
      <w:r w:rsidR="00132B33" w:rsidRPr="00E37897">
        <w:rPr>
          <w:rFonts w:eastAsiaTheme="minorHAnsi"/>
          <w:sz w:val="26"/>
          <w:szCs w:val="26"/>
        </w:rPr>
        <w:t>is an inequality that is compounded by the unpredictable</w:t>
      </w:r>
      <w:r w:rsidR="00533613">
        <w:rPr>
          <w:rFonts w:eastAsiaTheme="minorHAnsi"/>
          <w:sz w:val="26"/>
          <w:szCs w:val="26"/>
        </w:rPr>
        <w:t>,</w:t>
      </w:r>
      <w:r w:rsidR="00132B33" w:rsidRPr="00E37897">
        <w:rPr>
          <w:rFonts w:eastAsiaTheme="minorHAnsi"/>
          <w:sz w:val="26"/>
          <w:szCs w:val="26"/>
        </w:rPr>
        <w:t xml:space="preserve"> non</w:t>
      </w:r>
      <w:r w:rsidR="000D3BB2">
        <w:rPr>
          <w:rFonts w:eastAsiaTheme="minorHAnsi"/>
          <w:sz w:val="26"/>
          <w:szCs w:val="26"/>
        </w:rPr>
        <w:t>-</w:t>
      </w:r>
      <w:r w:rsidR="00132B33" w:rsidRPr="00E37897">
        <w:rPr>
          <w:rFonts w:eastAsiaTheme="minorHAnsi"/>
          <w:sz w:val="26"/>
          <w:szCs w:val="26"/>
        </w:rPr>
        <w:t>market</w:t>
      </w:r>
      <w:r w:rsidR="000D3BB2">
        <w:rPr>
          <w:rFonts w:eastAsiaTheme="minorHAnsi"/>
          <w:sz w:val="26"/>
          <w:szCs w:val="26"/>
        </w:rPr>
        <w:t>-</w:t>
      </w:r>
      <w:r w:rsidR="00132B33" w:rsidRPr="00E37897">
        <w:rPr>
          <w:rFonts w:eastAsiaTheme="minorHAnsi"/>
          <w:sz w:val="26"/>
          <w:szCs w:val="26"/>
        </w:rPr>
        <w:t>based nature and volatil</w:t>
      </w:r>
      <w:r w:rsidR="000D3BB2">
        <w:rPr>
          <w:rFonts w:eastAsiaTheme="minorHAnsi"/>
          <w:sz w:val="26"/>
          <w:szCs w:val="26"/>
        </w:rPr>
        <w:t>e nature</w:t>
      </w:r>
      <w:r w:rsidR="00132B33" w:rsidRPr="00E37897">
        <w:rPr>
          <w:rFonts w:eastAsiaTheme="minorHAnsi"/>
          <w:sz w:val="26"/>
          <w:szCs w:val="26"/>
        </w:rPr>
        <w:t xml:space="preserve"> of the actual NITS costs assessed on all LSEs.  ESC M.B. at 5-6.</w:t>
      </w:r>
    </w:p>
    <w:p w14:paraId="0AC5AB75" w14:textId="77777777" w:rsidR="00132B33" w:rsidRPr="00E37897" w:rsidRDefault="00132B33" w:rsidP="005F3BE2">
      <w:pPr>
        <w:widowControl/>
        <w:spacing w:after="200" w:line="360" w:lineRule="auto"/>
        <w:contextualSpacing/>
        <w:rPr>
          <w:rFonts w:eastAsiaTheme="minorHAnsi"/>
          <w:sz w:val="26"/>
          <w:szCs w:val="26"/>
        </w:rPr>
      </w:pPr>
    </w:p>
    <w:p w14:paraId="5C4F63F8" w14:textId="394BBF70" w:rsidR="00132B33" w:rsidRPr="00E37897" w:rsidRDefault="00A12B58" w:rsidP="005F3BE2">
      <w:pPr>
        <w:widowControl/>
        <w:spacing w:after="200" w:line="360" w:lineRule="auto"/>
        <w:ind w:firstLine="1440"/>
        <w:contextualSpacing/>
        <w:rPr>
          <w:rFonts w:eastAsiaTheme="minorHAnsi"/>
          <w:sz w:val="26"/>
          <w:szCs w:val="26"/>
        </w:rPr>
      </w:pPr>
      <w:r>
        <w:rPr>
          <w:rFonts w:eastAsiaTheme="minorHAnsi"/>
          <w:sz w:val="26"/>
          <w:szCs w:val="26"/>
        </w:rPr>
        <w:t xml:space="preserve">The </w:t>
      </w:r>
      <w:r w:rsidR="00132B33" w:rsidRPr="00E37897">
        <w:rPr>
          <w:rFonts w:eastAsiaTheme="minorHAnsi"/>
          <w:sz w:val="26"/>
          <w:szCs w:val="26"/>
        </w:rPr>
        <w:t xml:space="preserve">ESC recognized that in past proceedings, including in </w:t>
      </w:r>
      <w:r w:rsidR="00132B33" w:rsidRPr="00E37897">
        <w:rPr>
          <w:rFonts w:eastAsiaTheme="minorHAnsi"/>
          <w:i/>
          <w:iCs/>
          <w:sz w:val="26"/>
          <w:szCs w:val="26"/>
        </w:rPr>
        <w:t>PECO DSP III</w:t>
      </w:r>
      <w:r w:rsidR="00132B33" w:rsidRPr="00E37897">
        <w:rPr>
          <w:rFonts w:eastAsiaTheme="minorHAnsi"/>
          <w:sz w:val="26"/>
          <w:szCs w:val="26"/>
        </w:rPr>
        <w:t xml:space="preserve">, the Commission has rejected proposals that would have required EDCs to be responsible for the recovery of NITS costs for all LSEs.  ESC M.B. at 5-6 (citing </w:t>
      </w:r>
      <w:r w:rsidR="00F84337" w:rsidRPr="00E37897">
        <w:rPr>
          <w:rFonts w:eastAsiaTheme="minorHAnsi"/>
          <w:i/>
          <w:iCs/>
          <w:sz w:val="26"/>
          <w:szCs w:val="26"/>
        </w:rPr>
        <w:t xml:space="preserve">PECO </w:t>
      </w:r>
      <w:r w:rsidR="00132B33" w:rsidRPr="00E37897">
        <w:rPr>
          <w:rFonts w:eastAsiaTheme="minorHAnsi"/>
          <w:i/>
          <w:iCs/>
          <w:sz w:val="26"/>
          <w:szCs w:val="26"/>
        </w:rPr>
        <w:t>DSP III</w:t>
      </w:r>
      <w:r w:rsidR="00132B33" w:rsidRPr="00E37897">
        <w:rPr>
          <w:rFonts w:eastAsiaTheme="minorHAnsi"/>
          <w:sz w:val="26"/>
          <w:szCs w:val="26"/>
        </w:rPr>
        <w:t xml:space="preserve"> at 53-54).  However, </w:t>
      </w:r>
      <w:r>
        <w:rPr>
          <w:rFonts w:eastAsiaTheme="minorHAnsi"/>
          <w:sz w:val="26"/>
          <w:szCs w:val="26"/>
        </w:rPr>
        <w:t xml:space="preserve">the </w:t>
      </w:r>
      <w:r w:rsidR="00132B33" w:rsidRPr="00E37897">
        <w:rPr>
          <w:rFonts w:eastAsiaTheme="minorHAnsi"/>
          <w:sz w:val="26"/>
          <w:szCs w:val="26"/>
        </w:rPr>
        <w:t xml:space="preserve">ESC submitted that although the Commission, in rejecting these proposals cited to a lack of evidence that the cost of NITS is volatile and unpredictable, circumstances have significantly changed since the issuance of </w:t>
      </w:r>
      <w:r w:rsidR="00132B33" w:rsidRPr="00E37897">
        <w:rPr>
          <w:rFonts w:eastAsiaTheme="minorHAnsi"/>
          <w:i/>
          <w:iCs/>
          <w:sz w:val="26"/>
          <w:szCs w:val="26"/>
        </w:rPr>
        <w:t>PECO DSP III</w:t>
      </w:r>
      <w:r w:rsidR="00132B33" w:rsidRPr="00E37897">
        <w:rPr>
          <w:rFonts w:eastAsiaTheme="minorHAnsi"/>
          <w:sz w:val="26"/>
          <w:szCs w:val="26"/>
        </w:rPr>
        <w:t xml:space="preserve">.  Namely, </w:t>
      </w:r>
      <w:r>
        <w:rPr>
          <w:rFonts w:eastAsiaTheme="minorHAnsi"/>
          <w:sz w:val="26"/>
          <w:szCs w:val="26"/>
        </w:rPr>
        <w:t xml:space="preserve">the </w:t>
      </w:r>
      <w:r w:rsidR="00132B33" w:rsidRPr="00E37897">
        <w:rPr>
          <w:rFonts w:eastAsiaTheme="minorHAnsi"/>
          <w:sz w:val="26"/>
          <w:szCs w:val="26"/>
        </w:rPr>
        <w:t xml:space="preserve">ESC proffered that recent changes approved by </w:t>
      </w:r>
      <w:r w:rsidR="0022433C" w:rsidRPr="00E37897">
        <w:rPr>
          <w:rFonts w:eastAsiaTheme="minorHAnsi"/>
          <w:sz w:val="26"/>
          <w:szCs w:val="26"/>
        </w:rPr>
        <w:t>the Federal Energy Regulatory Commission (</w:t>
      </w:r>
      <w:r w:rsidR="00132B33" w:rsidRPr="00E37897">
        <w:rPr>
          <w:rFonts w:eastAsiaTheme="minorHAnsi"/>
          <w:sz w:val="26"/>
          <w:szCs w:val="26"/>
        </w:rPr>
        <w:t>FERC</w:t>
      </w:r>
      <w:r w:rsidR="0022433C" w:rsidRPr="00E37897">
        <w:rPr>
          <w:rFonts w:eastAsiaTheme="minorHAnsi"/>
          <w:sz w:val="26"/>
          <w:szCs w:val="26"/>
        </w:rPr>
        <w:t>)</w:t>
      </w:r>
      <w:r w:rsidR="00132B33" w:rsidRPr="00E37897">
        <w:rPr>
          <w:rFonts w:eastAsiaTheme="minorHAnsi"/>
          <w:sz w:val="26"/>
          <w:szCs w:val="26"/>
        </w:rPr>
        <w:t xml:space="preserve"> on June 27, 2017</w:t>
      </w:r>
      <w:r w:rsidR="00F84337" w:rsidRPr="00E37897">
        <w:rPr>
          <w:rFonts w:eastAsiaTheme="minorHAnsi"/>
          <w:sz w:val="26"/>
          <w:szCs w:val="26"/>
        </w:rPr>
        <w:t>,</w:t>
      </w:r>
      <w:r w:rsidR="00132B33" w:rsidRPr="00E37897">
        <w:rPr>
          <w:rFonts w:eastAsiaTheme="minorHAnsi"/>
          <w:sz w:val="26"/>
          <w:szCs w:val="26"/>
        </w:rPr>
        <w:t xml:space="preserve"> and implemented by PECO on December 1, 2017</w:t>
      </w:r>
      <w:r w:rsidR="0022433C" w:rsidRPr="00E37897">
        <w:rPr>
          <w:rFonts w:eastAsiaTheme="minorHAnsi"/>
          <w:sz w:val="26"/>
          <w:szCs w:val="26"/>
        </w:rPr>
        <w:t>,</w:t>
      </w:r>
      <w:r w:rsidR="00132B33" w:rsidRPr="00E37897">
        <w:rPr>
          <w:rFonts w:eastAsiaTheme="minorHAnsi"/>
          <w:sz w:val="26"/>
          <w:szCs w:val="26"/>
        </w:rPr>
        <w:t xml:space="preserve"> have altered the way in which PECO establishes NITS charges.  According to </w:t>
      </w:r>
      <w:r>
        <w:rPr>
          <w:rFonts w:eastAsiaTheme="minorHAnsi"/>
          <w:sz w:val="26"/>
          <w:szCs w:val="26"/>
        </w:rPr>
        <w:t xml:space="preserve">the </w:t>
      </w:r>
      <w:r w:rsidR="00132B33" w:rsidRPr="00E37897">
        <w:rPr>
          <w:rFonts w:eastAsiaTheme="minorHAnsi"/>
          <w:sz w:val="26"/>
          <w:szCs w:val="26"/>
        </w:rPr>
        <w:t xml:space="preserve">ESC, these changes have increased the volatility and unpredictability of NITS costs.  ESC M.B. at 6, 8.  </w:t>
      </w:r>
    </w:p>
    <w:p w14:paraId="6CBB1155" w14:textId="77777777" w:rsidR="00132B33" w:rsidRPr="00E37897" w:rsidRDefault="00132B33" w:rsidP="005F3BE2">
      <w:pPr>
        <w:widowControl/>
        <w:spacing w:after="200" w:line="360" w:lineRule="auto"/>
        <w:contextualSpacing/>
        <w:rPr>
          <w:rFonts w:eastAsiaTheme="minorHAnsi"/>
          <w:sz w:val="26"/>
          <w:szCs w:val="26"/>
        </w:rPr>
      </w:pPr>
    </w:p>
    <w:p w14:paraId="5F94EDD3" w14:textId="1A374A94" w:rsidR="00132B33" w:rsidRPr="00E37897" w:rsidRDefault="00A12B58" w:rsidP="005F3BE2">
      <w:pPr>
        <w:widowControl/>
        <w:spacing w:after="200" w:line="360" w:lineRule="auto"/>
        <w:ind w:firstLine="1440"/>
        <w:contextualSpacing/>
        <w:rPr>
          <w:rFonts w:eastAsiaTheme="minorHAnsi"/>
          <w:sz w:val="26"/>
          <w:szCs w:val="26"/>
        </w:rPr>
      </w:pPr>
      <w:r>
        <w:rPr>
          <w:rFonts w:eastAsiaTheme="minorHAnsi"/>
          <w:sz w:val="26"/>
          <w:szCs w:val="26"/>
        </w:rPr>
        <w:t xml:space="preserve">The </w:t>
      </w:r>
      <w:r w:rsidR="00132B33" w:rsidRPr="00E37897">
        <w:rPr>
          <w:rFonts w:eastAsiaTheme="minorHAnsi"/>
          <w:sz w:val="26"/>
          <w:szCs w:val="26"/>
        </w:rPr>
        <w:t xml:space="preserve">ESC explained that under FERC’s approved changes, most transmission owners now charge formula rates in lieu of rates established through a traditional transmission ratemaking process.  </w:t>
      </w:r>
      <w:r>
        <w:rPr>
          <w:rFonts w:eastAsiaTheme="minorHAnsi"/>
          <w:sz w:val="26"/>
          <w:szCs w:val="26"/>
        </w:rPr>
        <w:t xml:space="preserve">The </w:t>
      </w:r>
      <w:r w:rsidR="00132B33" w:rsidRPr="00E37897">
        <w:rPr>
          <w:rFonts w:eastAsiaTheme="minorHAnsi"/>
          <w:sz w:val="26"/>
          <w:szCs w:val="26"/>
        </w:rPr>
        <w:t xml:space="preserve">ESC asserted that </w:t>
      </w:r>
      <w:r w:rsidR="00502683">
        <w:rPr>
          <w:rFonts w:eastAsiaTheme="minorHAnsi"/>
          <w:sz w:val="26"/>
          <w:szCs w:val="26"/>
        </w:rPr>
        <w:t xml:space="preserve">FERC-approved, annual formula rates for transmission services </w:t>
      </w:r>
      <w:r w:rsidR="00132B33" w:rsidRPr="00E37897">
        <w:rPr>
          <w:rFonts w:eastAsiaTheme="minorHAnsi"/>
          <w:sz w:val="26"/>
          <w:szCs w:val="26"/>
        </w:rPr>
        <w:t xml:space="preserve">promote more frequent and sudden changes in NITS costs, which makes it increasingly difficult for EGSs to estimate likely NITS costs over the term of the offers they make to consumers in the </w:t>
      </w:r>
      <w:r w:rsidR="007D5F34">
        <w:rPr>
          <w:rFonts w:eastAsiaTheme="minorHAnsi"/>
          <w:sz w:val="26"/>
          <w:szCs w:val="26"/>
        </w:rPr>
        <w:t xml:space="preserve">retail </w:t>
      </w:r>
      <w:r w:rsidR="00132B33" w:rsidRPr="00E37897">
        <w:rPr>
          <w:rFonts w:eastAsiaTheme="minorHAnsi"/>
          <w:sz w:val="26"/>
          <w:szCs w:val="26"/>
        </w:rPr>
        <w:t xml:space="preserve">market.  More specifically, </w:t>
      </w:r>
      <w:r>
        <w:rPr>
          <w:rFonts w:eastAsiaTheme="minorHAnsi"/>
          <w:sz w:val="26"/>
          <w:szCs w:val="26"/>
        </w:rPr>
        <w:t xml:space="preserve">the </w:t>
      </w:r>
      <w:r w:rsidR="00132B33" w:rsidRPr="00E37897">
        <w:rPr>
          <w:rFonts w:eastAsiaTheme="minorHAnsi"/>
          <w:sz w:val="26"/>
          <w:szCs w:val="26"/>
        </w:rPr>
        <w:t xml:space="preserve">ESC stated that the inputs to the formula rates include: (1) the capital investments a transmission owner expects to make next year; (2) the operating expenses it expects to have to pay; and (3) a return on the existing investments in its system.  </w:t>
      </w:r>
      <w:r>
        <w:rPr>
          <w:rFonts w:eastAsiaTheme="minorHAnsi"/>
          <w:sz w:val="26"/>
          <w:szCs w:val="26"/>
        </w:rPr>
        <w:t xml:space="preserve">The </w:t>
      </w:r>
      <w:r w:rsidR="00132B33" w:rsidRPr="00E37897">
        <w:rPr>
          <w:rFonts w:eastAsiaTheme="minorHAnsi"/>
          <w:sz w:val="26"/>
          <w:szCs w:val="26"/>
        </w:rPr>
        <w:t xml:space="preserve">ESC continued that because these rates are </w:t>
      </w:r>
      <w:r w:rsidR="008326FA">
        <w:rPr>
          <w:rFonts w:eastAsiaTheme="minorHAnsi"/>
          <w:sz w:val="26"/>
          <w:szCs w:val="26"/>
        </w:rPr>
        <w:t>reconciled</w:t>
      </w:r>
      <w:r w:rsidR="00132B33" w:rsidRPr="00E37897">
        <w:rPr>
          <w:rFonts w:eastAsiaTheme="minorHAnsi"/>
          <w:sz w:val="26"/>
          <w:szCs w:val="26"/>
        </w:rPr>
        <w:t xml:space="preserve"> annually, the rate can swing up </w:t>
      </w:r>
      <w:r w:rsidR="008326FA">
        <w:rPr>
          <w:rFonts w:eastAsiaTheme="minorHAnsi"/>
          <w:sz w:val="26"/>
          <w:szCs w:val="26"/>
        </w:rPr>
        <w:t>or</w:t>
      </w:r>
      <w:r w:rsidR="00132B33" w:rsidRPr="00E37897">
        <w:rPr>
          <w:rFonts w:eastAsiaTheme="minorHAnsi"/>
          <w:sz w:val="26"/>
          <w:szCs w:val="26"/>
        </w:rPr>
        <w:t xml:space="preserve"> down </w:t>
      </w:r>
      <w:r w:rsidR="008326FA">
        <w:rPr>
          <w:rFonts w:eastAsiaTheme="minorHAnsi"/>
          <w:sz w:val="26"/>
          <w:szCs w:val="26"/>
        </w:rPr>
        <w:t>corresponding</w:t>
      </w:r>
      <w:r w:rsidR="00132B33" w:rsidRPr="00E37897">
        <w:rPr>
          <w:rFonts w:eastAsiaTheme="minorHAnsi"/>
          <w:sz w:val="26"/>
          <w:szCs w:val="26"/>
        </w:rPr>
        <w:t xml:space="preserve"> with </w:t>
      </w:r>
      <w:r w:rsidR="00A95A79">
        <w:rPr>
          <w:rFonts w:eastAsiaTheme="minorHAnsi"/>
          <w:sz w:val="26"/>
          <w:szCs w:val="26"/>
        </w:rPr>
        <w:t>t</w:t>
      </w:r>
      <w:r w:rsidR="00132B33" w:rsidRPr="00E37897">
        <w:rPr>
          <w:rFonts w:eastAsiaTheme="minorHAnsi"/>
          <w:sz w:val="26"/>
          <w:szCs w:val="26"/>
        </w:rPr>
        <w:t xml:space="preserve">he </w:t>
      </w:r>
      <w:r w:rsidR="00A95A79">
        <w:rPr>
          <w:rFonts w:eastAsiaTheme="minorHAnsi"/>
          <w:sz w:val="26"/>
          <w:szCs w:val="26"/>
        </w:rPr>
        <w:t xml:space="preserve">transmission owner’s </w:t>
      </w:r>
      <w:r w:rsidR="00132B33" w:rsidRPr="00E37897">
        <w:rPr>
          <w:rFonts w:eastAsiaTheme="minorHAnsi"/>
          <w:sz w:val="26"/>
          <w:szCs w:val="26"/>
        </w:rPr>
        <w:t xml:space="preserve">under or over recovery </w:t>
      </w:r>
      <w:r w:rsidR="00A95A79">
        <w:rPr>
          <w:rFonts w:eastAsiaTheme="minorHAnsi"/>
          <w:sz w:val="26"/>
          <w:szCs w:val="26"/>
        </w:rPr>
        <w:t xml:space="preserve">based on the difference between the transmission owner’s </w:t>
      </w:r>
      <w:r w:rsidR="003D067D">
        <w:rPr>
          <w:rFonts w:eastAsiaTheme="minorHAnsi"/>
          <w:sz w:val="26"/>
          <w:szCs w:val="26"/>
        </w:rPr>
        <w:t xml:space="preserve">previously projected costs and actual costs </w:t>
      </w:r>
      <w:r w:rsidR="003D067D">
        <w:rPr>
          <w:rFonts w:eastAsiaTheme="minorHAnsi"/>
          <w:sz w:val="26"/>
          <w:szCs w:val="26"/>
        </w:rPr>
        <w:lastRenderedPageBreak/>
        <w:t>incurred.</w:t>
      </w:r>
      <w:r w:rsidR="00132B33" w:rsidRPr="00E37897">
        <w:rPr>
          <w:rFonts w:eastAsiaTheme="minorHAnsi"/>
          <w:sz w:val="26"/>
          <w:szCs w:val="26"/>
        </w:rPr>
        <w:t xml:space="preserve">  Accordingly, </w:t>
      </w:r>
      <w:r>
        <w:rPr>
          <w:rFonts w:eastAsiaTheme="minorHAnsi"/>
          <w:sz w:val="26"/>
          <w:szCs w:val="26"/>
        </w:rPr>
        <w:t xml:space="preserve">the </w:t>
      </w:r>
      <w:r w:rsidR="00132B33" w:rsidRPr="00E37897">
        <w:rPr>
          <w:rFonts w:eastAsiaTheme="minorHAnsi"/>
          <w:sz w:val="26"/>
          <w:szCs w:val="26"/>
        </w:rPr>
        <w:t xml:space="preserve">ESC </w:t>
      </w:r>
      <w:r w:rsidR="003D067D">
        <w:rPr>
          <w:rFonts w:eastAsiaTheme="minorHAnsi"/>
          <w:sz w:val="26"/>
          <w:szCs w:val="26"/>
        </w:rPr>
        <w:t>argued</w:t>
      </w:r>
      <w:r w:rsidR="00132B33" w:rsidRPr="00E37897">
        <w:rPr>
          <w:rFonts w:eastAsiaTheme="minorHAnsi"/>
          <w:sz w:val="26"/>
          <w:szCs w:val="26"/>
        </w:rPr>
        <w:t xml:space="preserve"> that NITS costs are driven, in part, by the transmission owner’s managerial decisions on investments and accounting, which are not visible to EGSs.  ESC M.B. at 7</w:t>
      </w:r>
    </w:p>
    <w:p w14:paraId="6F74B2E8" w14:textId="77777777" w:rsidR="00132B33" w:rsidRPr="00E37897" w:rsidRDefault="00132B33" w:rsidP="005F3BE2">
      <w:pPr>
        <w:widowControl/>
        <w:spacing w:after="200" w:line="360" w:lineRule="auto"/>
        <w:contextualSpacing/>
        <w:rPr>
          <w:rFonts w:eastAsiaTheme="minorHAnsi"/>
          <w:sz w:val="26"/>
          <w:szCs w:val="26"/>
        </w:rPr>
      </w:pPr>
    </w:p>
    <w:p w14:paraId="6B0066C3" w14:textId="7ADD3F0E" w:rsidR="00132B33" w:rsidRPr="00E37897" w:rsidRDefault="00A12B58" w:rsidP="005F3BE2">
      <w:pPr>
        <w:widowControl/>
        <w:spacing w:after="200" w:line="360" w:lineRule="auto"/>
        <w:ind w:firstLine="1440"/>
        <w:contextualSpacing/>
        <w:rPr>
          <w:rFonts w:eastAsiaTheme="minorHAnsi"/>
          <w:sz w:val="26"/>
          <w:szCs w:val="26"/>
        </w:rPr>
      </w:pPr>
      <w:r>
        <w:rPr>
          <w:rFonts w:eastAsiaTheme="minorHAnsi"/>
          <w:sz w:val="26"/>
          <w:szCs w:val="26"/>
        </w:rPr>
        <w:t xml:space="preserve">The </w:t>
      </w:r>
      <w:r w:rsidR="00132B33" w:rsidRPr="00E37897">
        <w:rPr>
          <w:rFonts w:eastAsiaTheme="minorHAnsi"/>
          <w:sz w:val="26"/>
          <w:szCs w:val="26"/>
        </w:rPr>
        <w:t xml:space="preserve">ESC cited to the testimony of its witness Mr. Travis </w:t>
      </w:r>
      <w:proofErr w:type="spellStart"/>
      <w:r w:rsidR="00132B33" w:rsidRPr="00E37897">
        <w:rPr>
          <w:rFonts w:eastAsiaTheme="minorHAnsi"/>
          <w:sz w:val="26"/>
          <w:szCs w:val="26"/>
        </w:rPr>
        <w:t>Kavulla</w:t>
      </w:r>
      <w:proofErr w:type="spellEnd"/>
      <w:r w:rsidR="00132B33" w:rsidRPr="00E37897">
        <w:rPr>
          <w:rFonts w:eastAsiaTheme="minorHAnsi"/>
          <w:sz w:val="26"/>
          <w:szCs w:val="26"/>
        </w:rPr>
        <w:t xml:space="preserve"> in support of its assertion that the use of </w:t>
      </w:r>
      <w:r w:rsidR="003D067D">
        <w:rPr>
          <w:rFonts w:eastAsiaTheme="minorHAnsi"/>
          <w:sz w:val="26"/>
          <w:szCs w:val="26"/>
        </w:rPr>
        <w:t xml:space="preserve">FERC </w:t>
      </w:r>
      <w:r w:rsidR="00132B33" w:rsidRPr="00E37897">
        <w:rPr>
          <w:rFonts w:eastAsiaTheme="minorHAnsi"/>
          <w:sz w:val="26"/>
          <w:szCs w:val="26"/>
        </w:rPr>
        <w:t xml:space="preserve">formula rates has resulted in significant fluctuations in NITS charges.  </w:t>
      </w:r>
      <w:r>
        <w:rPr>
          <w:rFonts w:eastAsiaTheme="minorHAnsi"/>
          <w:sz w:val="26"/>
          <w:szCs w:val="26"/>
        </w:rPr>
        <w:t xml:space="preserve">The </w:t>
      </w:r>
      <w:r w:rsidR="00132B33" w:rsidRPr="00E37897">
        <w:rPr>
          <w:rFonts w:eastAsiaTheme="minorHAnsi"/>
          <w:sz w:val="26"/>
          <w:szCs w:val="26"/>
        </w:rPr>
        <w:t xml:space="preserve">ESC stated that Mr. </w:t>
      </w:r>
      <w:proofErr w:type="spellStart"/>
      <w:r w:rsidR="00132B33" w:rsidRPr="00E37897">
        <w:rPr>
          <w:rFonts w:eastAsiaTheme="minorHAnsi"/>
          <w:sz w:val="26"/>
          <w:szCs w:val="26"/>
        </w:rPr>
        <w:t>Kavulla</w:t>
      </w:r>
      <w:proofErr w:type="spellEnd"/>
      <w:r w:rsidR="00132B33" w:rsidRPr="00E37897">
        <w:rPr>
          <w:rFonts w:eastAsiaTheme="minorHAnsi"/>
          <w:sz w:val="26"/>
          <w:szCs w:val="26"/>
        </w:rPr>
        <w:t xml:space="preserve"> provided examples of the actual impacts on several LSEs of NITS rate increases implemented through the </w:t>
      </w:r>
      <w:r w:rsidR="003D067D">
        <w:rPr>
          <w:rFonts w:eastAsiaTheme="minorHAnsi"/>
          <w:sz w:val="26"/>
          <w:szCs w:val="26"/>
        </w:rPr>
        <w:t xml:space="preserve">FERC </w:t>
      </w:r>
      <w:r w:rsidR="00132B33" w:rsidRPr="00E37897">
        <w:rPr>
          <w:rFonts w:eastAsiaTheme="minorHAnsi"/>
          <w:sz w:val="26"/>
          <w:szCs w:val="26"/>
        </w:rPr>
        <w:t xml:space="preserve">formula rate, highlighting significant increases in the NITS rate year over year.  ESC M.B. at 8-9 (citing ESC St. 1 at 36-39).  </w:t>
      </w:r>
      <w:r>
        <w:rPr>
          <w:rFonts w:eastAsiaTheme="minorHAnsi"/>
          <w:sz w:val="26"/>
          <w:szCs w:val="26"/>
        </w:rPr>
        <w:t xml:space="preserve">The </w:t>
      </w:r>
      <w:r w:rsidR="00132B33" w:rsidRPr="00E37897">
        <w:rPr>
          <w:rFonts w:eastAsiaTheme="minorHAnsi"/>
          <w:sz w:val="26"/>
          <w:szCs w:val="26"/>
        </w:rPr>
        <w:t xml:space="preserve">ESC further claimed that NITS costs are difficult to predict.  </w:t>
      </w:r>
      <w:r>
        <w:rPr>
          <w:rFonts w:eastAsiaTheme="minorHAnsi"/>
          <w:sz w:val="26"/>
          <w:szCs w:val="26"/>
        </w:rPr>
        <w:t xml:space="preserve">The </w:t>
      </w:r>
      <w:r w:rsidR="00132B33" w:rsidRPr="00E37897">
        <w:rPr>
          <w:rFonts w:eastAsiaTheme="minorHAnsi"/>
          <w:sz w:val="26"/>
          <w:szCs w:val="26"/>
        </w:rPr>
        <w:t xml:space="preserve">ESC stated that while PJM provides data related to each transmission owner’s rates, that data must be verified against actual sources of new project information filings and updates.  According to </w:t>
      </w:r>
      <w:r>
        <w:rPr>
          <w:rFonts w:eastAsiaTheme="minorHAnsi"/>
          <w:sz w:val="26"/>
          <w:szCs w:val="26"/>
        </w:rPr>
        <w:t xml:space="preserve">the </w:t>
      </w:r>
      <w:r w:rsidR="00132B33" w:rsidRPr="00E37897">
        <w:rPr>
          <w:rFonts w:eastAsiaTheme="minorHAnsi"/>
          <w:sz w:val="26"/>
          <w:szCs w:val="26"/>
        </w:rPr>
        <w:t>ESC, because the rates are not final until approved by FERC, and are subject to adjustment during those proceedings, the available updates are not always timed in a way that allows EGS</w:t>
      </w:r>
      <w:r w:rsidR="00484288">
        <w:rPr>
          <w:rFonts w:eastAsiaTheme="minorHAnsi"/>
          <w:sz w:val="26"/>
          <w:szCs w:val="26"/>
        </w:rPr>
        <w:t>s</w:t>
      </w:r>
      <w:r w:rsidR="00132B33" w:rsidRPr="00E37897">
        <w:rPr>
          <w:rFonts w:eastAsiaTheme="minorHAnsi"/>
          <w:sz w:val="26"/>
          <w:szCs w:val="26"/>
        </w:rPr>
        <w:t xml:space="preserve"> to accurately estimate NITS costs during the relevant contract period with its customers.  </w:t>
      </w:r>
      <w:r>
        <w:rPr>
          <w:rFonts w:eastAsiaTheme="minorHAnsi"/>
          <w:sz w:val="26"/>
          <w:szCs w:val="26"/>
        </w:rPr>
        <w:t xml:space="preserve">The </w:t>
      </w:r>
      <w:r w:rsidR="00132B33" w:rsidRPr="00E37897">
        <w:rPr>
          <w:rFonts w:eastAsiaTheme="minorHAnsi"/>
          <w:sz w:val="26"/>
          <w:szCs w:val="26"/>
        </w:rPr>
        <w:t xml:space="preserve">ESC alleged that given the unpredictability of </w:t>
      </w:r>
      <w:r w:rsidR="000C093C">
        <w:rPr>
          <w:rFonts w:eastAsiaTheme="minorHAnsi"/>
          <w:sz w:val="26"/>
          <w:szCs w:val="26"/>
        </w:rPr>
        <w:t>formula</w:t>
      </w:r>
      <w:r w:rsidR="00132B33" w:rsidRPr="00E37897">
        <w:rPr>
          <w:rFonts w:eastAsiaTheme="minorHAnsi"/>
          <w:sz w:val="26"/>
          <w:szCs w:val="26"/>
        </w:rPr>
        <w:t xml:space="preserve"> rates, EGSs need to forecast them, while PECO as the default service provider does not, resulting in the need for the EGSs to add risk premiums, as discussed above.  ESC M.B. at 7-10.  </w:t>
      </w:r>
    </w:p>
    <w:p w14:paraId="09734A0B" w14:textId="77777777" w:rsidR="00132B33" w:rsidRPr="00E37897" w:rsidRDefault="00132B33" w:rsidP="005F3BE2">
      <w:pPr>
        <w:widowControl/>
        <w:spacing w:after="200" w:line="360" w:lineRule="auto"/>
        <w:contextualSpacing/>
        <w:rPr>
          <w:rFonts w:eastAsiaTheme="minorHAnsi"/>
          <w:sz w:val="26"/>
          <w:szCs w:val="26"/>
        </w:rPr>
      </w:pPr>
    </w:p>
    <w:p w14:paraId="26EC3D92" w14:textId="2D293214"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Accordingly, </w:t>
      </w:r>
      <w:r w:rsidR="00A12B58">
        <w:rPr>
          <w:rFonts w:eastAsiaTheme="minorHAnsi"/>
          <w:sz w:val="26"/>
          <w:szCs w:val="26"/>
        </w:rPr>
        <w:t xml:space="preserve">the </w:t>
      </w:r>
      <w:r w:rsidRPr="00E37897">
        <w:rPr>
          <w:rFonts w:eastAsiaTheme="minorHAnsi"/>
          <w:sz w:val="26"/>
          <w:szCs w:val="26"/>
        </w:rPr>
        <w:t xml:space="preserve">ESC submitted that a change is warranted in PECO’s approach for recovering NITS costs.  Therefore, </w:t>
      </w:r>
      <w:r w:rsidR="00A12B58">
        <w:rPr>
          <w:rFonts w:eastAsiaTheme="minorHAnsi"/>
          <w:sz w:val="26"/>
          <w:szCs w:val="26"/>
        </w:rPr>
        <w:t xml:space="preserve">the </w:t>
      </w:r>
      <w:r w:rsidRPr="00E37897">
        <w:rPr>
          <w:rFonts w:eastAsiaTheme="minorHAnsi"/>
          <w:sz w:val="26"/>
          <w:szCs w:val="26"/>
        </w:rPr>
        <w:t xml:space="preserve">ESC proposed that PECO be directed to include all NITS costs incurred by both wholesale default suppliers and EGSs in its NBT charge.  </w:t>
      </w:r>
      <w:r w:rsidR="00A12B58">
        <w:rPr>
          <w:rFonts w:eastAsiaTheme="minorHAnsi"/>
          <w:sz w:val="26"/>
          <w:szCs w:val="26"/>
        </w:rPr>
        <w:t xml:space="preserve">The </w:t>
      </w:r>
      <w:r w:rsidRPr="00E37897">
        <w:rPr>
          <w:rFonts w:eastAsiaTheme="minorHAnsi"/>
          <w:sz w:val="26"/>
          <w:szCs w:val="26"/>
        </w:rPr>
        <w:t xml:space="preserve">ESC claimed that this revised cost recovery proposal treats shopping customers and non-shopping customers in the same manner.  Further, </w:t>
      </w:r>
      <w:r w:rsidR="00A12B58">
        <w:rPr>
          <w:rFonts w:eastAsiaTheme="minorHAnsi"/>
          <w:sz w:val="26"/>
          <w:szCs w:val="26"/>
        </w:rPr>
        <w:t xml:space="preserve">the </w:t>
      </w:r>
      <w:r w:rsidRPr="00E37897">
        <w:rPr>
          <w:rFonts w:eastAsiaTheme="minorHAnsi"/>
          <w:sz w:val="26"/>
          <w:szCs w:val="26"/>
        </w:rPr>
        <w:t>ESC averred that its proposal is consistent with Section 2804(6) of the Competition Act, 66 Pa. C.S. §</w:t>
      </w:r>
      <w:r w:rsidR="00A12B58">
        <w:rPr>
          <w:rFonts w:eastAsiaTheme="minorHAnsi"/>
          <w:sz w:val="26"/>
          <w:szCs w:val="26"/>
        </w:rPr>
        <w:t> </w:t>
      </w:r>
      <w:r w:rsidRPr="00E37897">
        <w:rPr>
          <w:rFonts w:eastAsiaTheme="minorHAnsi"/>
          <w:sz w:val="26"/>
          <w:szCs w:val="26"/>
        </w:rPr>
        <w:t xml:space="preserve">2804(6), which charges the Commission with requiring a public utility that owns or operates jurisdictional transmission and distribution facilities to provide transmission and distribution service to all electric customers and EGSs “on rates, terms of access and </w:t>
      </w:r>
      <w:r w:rsidRPr="00E37897">
        <w:rPr>
          <w:rFonts w:eastAsiaTheme="minorHAnsi"/>
          <w:sz w:val="26"/>
          <w:szCs w:val="26"/>
        </w:rPr>
        <w:lastRenderedPageBreak/>
        <w:t>conditions that are comparable to the utility’s use of its own system.”  ESC M.B. at</w:t>
      </w:r>
      <w:r w:rsidR="00037386">
        <w:rPr>
          <w:rFonts w:eastAsiaTheme="minorHAnsi"/>
          <w:sz w:val="26"/>
          <w:szCs w:val="26"/>
        </w:rPr>
        <w:t> </w:t>
      </w:r>
      <w:r w:rsidRPr="00E37897">
        <w:rPr>
          <w:rFonts w:eastAsiaTheme="minorHAnsi"/>
          <w:sz w:val="26"/>
          <w:szCs w:val="26"/>
        </w:rPr>
        <w:t>10</w:t>
      </w:r>
      <w:r w:rsidRPr="00E37897">
        <w:rPr>
          <w:rFonts w:eastAsiaTheme="minorHAnsi"/>
          <w:sz w:val="26"/>
          <w:szCs w:val="26"/>
        </w:rPr>
        <w:noBreakHyphen/>
        <w:t xml:space="preserve">13. </w:t>
      </w:r>
    </w:p>
    <w:p w14:paraId="5002DF02" w14:textId="77777777" w:rsidR="00132B33" w:rsidRPr="00E37897" w:rsidRDefault="00132B33" w:rsidP="005F3BE2">
      <w:pPr>
        <w:widowControl/>
        <w:spacing w:after="200" w:line="360" w:lineRule="auto"/>
        <w:contextualSpacing/>
        <w:rPr>
          <w:rFonts w:eastAsiaTheme="minorHAnsi"/>
          <w:sz w:val="26"/>
          <w:szCs w:val="26"/>
        </w:rPr>
      </w:pPr>
    </w:p>
    <w:p w14:paraId="193228D2" w14:textId="0B438C1D" w:rsidR="00132B33" w:rsidRPr="00E37897" w:rsidRDefault="00132B33"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Finally, </w:t>
      </w:r>
      <w:r w:rsidR="00A12B58">
        <w:rPr>
          <w:rFonts w:eastAsiaTheme="minorHAnsi"/>
          <w:sz w:val="26"/>
          <w:szCs w:val="26"/>
        </w:rPr>
        <w:t xml:space="preserve">the </w:t>
      </w:r>
      <w:r w:rsidRPr="00E37897">
        <w:rPr>
          <w:rFonts w:eastAsiaTheme="minorHAnsi"/>
          <w:sz w:val="26"/>
          <w:szCs w:val="26"/>
        </w:rPr>
        <w:t xml:space="preserve">ESC acknowledged PECO’s concerns, </w:t>
      </w:r>
      <w:r w:rsidRPr="00E37897">
        <w:rPr>
          <w:rFonts w:eastAsiaTheme="minorHAnsi"/>
          <w:i/>
          <w:iCs/>
          <w:sz w:val="26"/>
          <w:szCs w:val="26"/>
        </w:rPr>
        <w:t xml:space="preserve">infra, </w:t>
      </w:r>
      <w:r w:rsidRPr="00E37897">
        <w:rPr>
          <w:rFonts w:eastAsiaTheme="minorHAnsi"/>
          <w:sz w:val="26"/>
          <w:szCs w:val="26"/>
        </w:rPr>
        <w:t xml:space="preserve">with the impact that implementing such a proposal could have on existing customers’ contracts.  However, </w:t>
      </w:r>
      <w:r w:rsidR="00A12B58">
        <w:rPr>
          <w:rFonts w:eastAsiaTheme="minorHAnsi"/>
          <w:sz w:val="26"/>
          <w:szCs w:val="26"/>
        </w:rPr>
        <w:t xml:space="preserve">the </w:t>
      </w:r>
      <w:r w:rsidRPr="00E37897">
        <w:rPr>
          <w:rFonts w:eastAsiaTheme="minorHAnsi"/>
          <w:sz w:val="26"/>
          <w:szCs w:val="26"/>
        </w:rPr>
        <w:t xml:space="preserve">ESC posited that to address such concerns, a reasonable transition mechanism could be created, similar to the method that PECO employed when it first created the NBT.  </w:t>
      </w:r>
      <w:r w:rsidR="00A12B58">
        <w:rPr>
          <w:rFonts w:eastAsiaTheme="minorHAnsi"/>
          <w:sz w:val="26"/>
          <w:szCs w:val="26"/>
        </w:rPr>
        <w:t xml:space="preserve">The </w:t>
      </w:r>
      <w:r w:rsidRPr="00E37897">
        <w:rPr>
          <w:rFonts w:eastAsiaTheme="minorHAnsi"/>
          <w:sz w:val="26"/>
          <w:szCs w:val="26"/>
        </w:rPr>
        <w:t xml:space="preserve">ESC suggested that the change in cost responsibility can be limited to only new charges associated with NITS occurring after the Commission’s final order </w:t>
      </w:r>
      <w:r w:rsidR="002D66DC">
        <w:rPr>
          <w:rFonts w:eastAsiaTheme="minorHAnsi"/>
          <w:sz w:val="26"/>
          <w:szCs w:val="26"/>
        </w:rPr>
        <w:t xml:space="preserve">is entered </w:t>
      </w:r>
      <w:r w:rsidRPr="00E37897">
        <w:rPr>
          <w:rFonts w:eastAsiaTheme="minorHAnsi"/>
          <w:sz w:val="26"/>
          <w:szCs w:val="26"/>
        </w:rPr>
        <w:t xml:space="preserve">in this proceeding.  Alternatively, </w:t>
      </w:r>
      <w:r w:rsidR="00A12B58">
        <w:rPr>
          <w:rFonts w:eastAsiaTheme="minorHAnsi"/>
          <w:sz w:val="26"/>
          <w:szCs w:val="26"/>
        </w:rPr>
        <w:t xml:space="preserve">the </w:t>
      </w:r>
      <w:r w:rsidRPr="00E37897">
        <w:rPr>
          <w:rFonts w:eastAsiaTheme="minorHAnsi"/>
          <w:sz w:val="26"/>
          <w:szCs w:val="26"/>
        </w:rPr>
        <w:t>ESC proposed that the change in cost responsibility could be deferred to a later date to provide a transition period during which many EGS contracts expire and renew.  ESC M.B. at 13.</w:t>
      </w:r>
    </w:p>
    <w:p w14:paraId="3454B2A4" w14:textId="77777777" w:rsidR="00132B33" w:rsidRPr="00E37897" w:rsidRDefault="00132B33" w:rsidP="005F3BE2">
      <w:pPr>
        <w:widowControl/>
        <w:spacing w:line="360" w:lineRule="auto"/>
        <w:ind w:firstLine="1440"/>
        <w:contextualSpacing/>
        <w:rPr>
          <w:rFonts w:eastAsiaTheme="minorHAnsi"/>
          <w:sz w:val="26"/>
          <w:szCs w:val="26"/>
        </w:rPr>
      </w:pPr>
    </w:p>
    <w:p w14:paraId="305619D1" w14:textId="77777777" w:rsidR="00132B33" w:rsidRPr="00E37897" w:rsidRDefault="00132B33" w:rsidP="005F3BE2">
      <w:pPr>
        <w:pStyle w:val="Heading3"/>
        <w:keepNext/>
        <w:keepLines/>
        <w:numPr>
          <w:ilvl w:val="0"/>
          <w:numId w:val="38"/>
        </w:numPr>
        <w:spacing w:after="0"/>
        <w:ind w:left="1440" w:hanging="720"/>
        <w:contextualSpacing/>
        <w:jc w:val="left"/>
        <w:rPr>
          <w:rFonts w:eastAsiaTheme="majorEastAsia"/>
          <w:sz w:val="26"/>
        </w:rPr>
      </w:pPr>
      <w:bookmarkStart w:id="16" w:name="_Toc56512763"/>
      <w:r w:rsidRPr="00E37897">
        <w:rPr>
          <w:rFonts w:eastAsiaTheme="majorEastAsia"/>
          <w:sz w:val="26"/>
        </w:rPr>
        <w:t>PECO</w:t>
      </w:r>
      <w:bookmarkEnd w:id="16"/>
    </w:p>
    <w:p w14:paraId="72293167" w14:textId="77777777" w:rsidR="00132B33" w:rsidRPr="00E37897" w:rsidRDefault="00132B33" w:rsidP="005F3BE2">
      <w:pPr>
        <w:keepNext/>
        <w:keepLines/>
        <w:widowControl/>
        <w:spacing w:line="360" w:lineRule="auto"/>
        <w:contextualSpacing/>
        <w:rPr>
          <w:rFonts w:eastAsiaTheme="minorHAnsi"/>
          <w:sz w:val="26"/>
          <w:szCs w:val="26"/>
        </w:rPr>
      </w:pPr>
    </w:p>
    <w:p w14:paraId="31592B63" w14:textId="3C1316FE" w:rsidR="00132B33" w:rsidRDefault="00132B33"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PECO countered that </w:t>
      </w:r>
      <w:r w:rsidR="00A12B58">
        <w:rPr>
          <w:rFonts w:eastAsiaTheme="minorHAnsi"/>
          <w:sz w:val="26"/>
          <w:szCs w:val="26"/>
        </w:rPr>
        <w:t xml:space="preserve">the </w:t>
      </w:r>
      <w:r w:rsidRPr="00E37897">
        <w:rPr>
          <w:rFonts w:eastAsiaTheme="minorHAnsi"/>
          <w:sz w:val="26"/>
          <w:szCs w:val="26"/>
        </w:rPr>
        <w:t xml:space="preserve">ESC’s proposed changes to PECO’s current Commission-approved cost assignment for NITS charges should be rejected.  PECO took the position that </w:t>
      </w:r>
      <w:r w:rsidR="00A12B58">
        <w:rPr>
          <w:rFonts w:eastAsiaTheme="minorHAnsi"/>
          <w:sz w:val="26"/>
          <w:szCs w:val="26"/>
        </w:rPr>
        <w:t xml:space="preserve">the </w:t>
      </w:r>
      <w:r w:rsidRPr="00E37897">
        <w:rPr>
          <w:rFonts w:eastAsiaTheme="minorHAnsi"/>
          <w:sz w:val="26"/>
          <w:szCs w:val="26"/>
        </w:rPr>
        <w:t xml:space="preserve">ESC did not establish that EGSs cannot financially manage and account for NITS costs in the products and services they choose to offer in the competitive market such that these costs must be recovered through an NBT.  According to PECO, EGSs have the flexibility to offer products with pricing terms that align with their costs and profit expectations.  PECO posited that EGSs may make offers with terms that allocate risks between the EGS and its customer, including a direct pass-through of NITS costs, which will minimize the EGS’s risk of cost-under recovery.  Further, PECO pointed to evidence presented by Calpine, </w:t>
      </w:r>
      <w:r w:rsidRPr="00E37897">
        <w:rPr>
          <w:rFonts w:eastAsiaTheme="minorHAnsi"/>
          <w:i/>
          <w:iCs/>
          <w:sz w:val="26"/>
          <w:szCs w:val="26"/>
        </w:rPr>
        <w:t xml:space="preserve">infra, </w:t>
      </w:r>
      <w:r w:rsidRPr="00E37897">
        <w:rPr>
          <w:rFonts w:eastAsiaTheme="minorHAnsi"/>
          <w:sz w:val="26"/>
          <w:szCs w:val="26"/>
        </w:rPr>
        <w:t xml:space="preserve">that LSEs are able to </w:t>
      </w:r>
      <w:r w:rsidR="002D66DC">
        <w:rPr>
          <w:rFonts w:eastAsiaTheme="minorHAnsi"/>
          <w:sz w:val="26"/>
          <w:szCs w:val="26"/>
        </w:rPr>
        <w:t xml:space="preserve">successfully </w:t>
      </w:r>
      <w:r w:rsidRPr="00E37897">
        <w:rPr>
          <w:rFonts w:eastAsiaTheme="minorHAnsi"/>
          <w:sz w:val="26"/>
          <w:szCs w:val="26"/>
        </w:rPr>
        <w:t>manage NITS costs.  PECO M.B. at 30</w:t>
      </w:r>
      <w:r w:rsidRPr="00E37897">
        <w:rPr>
          <w:rFonts w:eastAsiaTheme="minorHAnsi"/>
          <w:sz w:val="26"/>
          <w:szCs w:val="26"/>
        </w:rPr>
        <w:noBreakHyphen/>
        <w:t>31.</w:t>
      </w:r>
    </w:p>
    <w:p w14:paraId="4365DA53" w14:textId="77777777" w:rsidR="006E7B16" w:rsidRPr="00E37897" w:rsidRDefault="006E7B16" w:rsidP="005F3BE2">
      <w:pPr>
        <w:widowControl/>
        <w:spacing w:line="360" w:lineRule="auto"/>
        <w:ind w:firstLine="1440"/>
        <w:contextualSpacing/>
        <w:rPr>
          <w:rFonts w:eastAsiaTheme="minorHAnsi"/>
          <w:sz w:val="26"/>
          <w:szCs w:val="26"/>
        </w:rPr>
      </w:pPr>
    </w:p>
    <w:p w14:paraId="390745BC" w14:textId="08B20069"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PECO also refuted </w:t>
      </w:r>
      <w:r w:rsidR="00A12B58">
        <w:rPr>
          <w:rFonts w:eastAsiaTheme="minorHAnsi"/>
          <w:sz w:val="26"/>
          <w:szCs w:val="26"/>
        </w:rPr>
        <w:t xml:space="preserve">the </w:t>
      </w:r>
      <w:r w:rsidRPr="00E37897">
        <w:rPr>
          <w:rFonts w:eastAsiaTheme="minorHAnsi"/>
          <w:sz w:val="26"/>
          <w:szCs w:val="26"/>
        </w:rPr>
        <w:t xml:space="preserve">ESC’s arguments that the Company should be required to alter its cost recovery for NITS in light of recent changes at FERC.  PECO </w:t>
      </w:r>
      <w:r w:rsidRPr="00E37897">
        <w:rPr>
          <w:rFonts w:eastAsiaTheme="minorHAnsi"/>
          <w:sz w:val="26"/>
          <w:szCs w:val="26"/>
        </w:rPr>
        <w:lastRenderedPageBreak/>
        <w:t xml:space="preserve">noted that in </w:t>
      </w:r>
      <w:r w:rsidRPr="00E37897">
        <w:rPr>
          <w:rFonts w:eastAsiaTheme="minorHAnsi"/>
          <w:i/>
          <w:iCs/>
          <w:sz w:val="26"/>
          <w:szCs w:val="26"/>
        </w:rPr>
        <w:t>PECO DSP III</w:t>
      </w:r>
      <w:r w:rsidRPr="00E37897">
        <w:rPr>
          <w:rFonts w:eastAsiaTheme="minorHAnsi"/>
          <w:sz w:val="26"/>
          <w:szCs w:val="26"/>
        </w:rPr>
        <w:t>, the Commission ruled that alleged incidence of volatile NITS costs for utilities other than PECO did not justify non-</w:t>
      </w:r>
      <w:proofErr w:type="spellStart"/>
      <w:r w:rsidRPr="00E37897">
        <w:rPr>
          <w:rFonts w:eastAsiaTheme="minorHAnsi"/>
          <w:sz w:val="26"/>
          <w:szCs w:val="26"/>
        </w:rPr>
        <w:t>bypassable</w:t>
      </w:r>
      <w:proofErr w:type="spellEnd"/>
      <w:r w:rsidRPr="00E37897">
        <w:rPr>
          <w:rFonts w:eastAsiaTheme="minorHAnsi"/>
          <w:sz w:val="26"/>
          <w:szCs w:val="26"/>
        </w:rPr>
        <w:t xml:space="preserve"> treatment of NITS costs in PECO’s service area.  PECO R.B. at 14-15 (citing </w:t>
      </w:r>
      <w:r w:rsidRPr="00E37897">
        <w:rPr>
          <w:rFonts w:eastAsiaTheme="minorHAnsi"/>
          <w:i/>
          <w:iCs/>
          <w:sz w:val="26"/>
          <w:szCs w:val="26"/>
        </w:rPr>
        <w:t>PECO DSP III</w:t>
      </w:r>
      <w:r w:rsidRPr="00E37897">
        <w:rPr>
          <w:rFonts w:eastAsiaTheme="minorHAnsi"/>
          <w:sz w:val="26"/>
          <w:szCs w:val="26"/>
        </w:rPr>
        <w:t xml:space="preserve"> at</w:t>
      </w:r>
      <w:r w:rsidR="009D5F06">
        <w:rPr>
          <w:rFonts w:eastAsiaTheme="minorHAnsi"/>
          <w:sz w:val="26"/>
          <w:szCs w:val="26"/>
        </w:rPr>
        <w:t> </w:t>
      </w:r>
      <w:r w:rsidRPr="00E37897">
        <w:rPr>
          <w:rFonts w:eastAsiaTheme="minorHAnsi"/>
          <w:sz w:val="26"/>
          <w:szCs w:val="26"/>
        </w:rPr>
        <w:t>53</w:t>
      </w:r>
      <w:r w:rsidR="009D5F06">
        <w:rPr>
          <w:rFonts w:eastAsiaTheme="minorHAnsi"/>
          <w:sz w:val="26"/>
          <w:szCs w:val="26"/>
        </w:rPr>
        <w:noBreakHyphen/>
      </w:r>
      <w:r w:rsidRPr="00E37897">
        <w:rPr>
          <w:rFonts w:eastAsiaTheme="minorHAnsi"/>
          <w:sz w:val="26"/>
          <w:szCs w:val="26"/>
        </w:rPr>
        <w:t>54).  PECO stressed its position that ESC did not present any evidence of material changes in NITS costs for PECO since it transitioned from a fixed/stated rate to a formula rate for FERC-jurisdictional wholesale transmission service.  PECO R.B. at 15.</w:t>
      </w:r>
    </w:p>
    <w:p w14:paraId="670AFDF5" w14:textId="77777777" w:rsidR="00132B33" w:rsidRPr="00E37897" w:rsidRDefault="00132B33" w:rsidP="005F3BE2">
      <w:pPr>
        <w:widowControl/>
        <w:spacing w:line="360" w:lineRule="auto"/>
        <w:contextualSpacing/>
        <w:rPr>
          <w:rFonts w:eastAsiaTheme="minorHAnsi"/>
          <w:sz w:val="26"/>
          <w:szCs w:val="26"/>
        </w:rPr>
      </w:pPr>
    </w:p>
    <w:p w14:paraId="2BBD96D7" w14:textId="0F952D78"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Further, PECO contended that </w:t>
      </w:r>
      <w:r w:rsidR="00A12B58">
        <w:rPr>
          <w:rFonts w:eastAsiaTheme="minorHAnsi"/>
          <w:sz w:val="26"/>
          <w:szCs w:val="26"/>
        </w:rPr>
        <w:t xml:space="preserve">the </w:t>
      </w:r>
      <w:r w:rsidRPr="00E37897">
        <w:rPr>
          <w:rFonts w:eastAsiaTheme="minorHAnsi"/>
          <w:sz w:val="26"/>
          <w:szCs w:val="26"/>
        </w:rPr>
        <w:t>ESC’s proposed treatment of NITS would create unnecessary transition problems for customers with existing EGS contracts.  First, PECO contended that shopping customers could be “double-charged” and end up paying for NITS costs in both</w:t>
      </w:r>
      <w:r w:rsidR="0069616B">
        <w:rPr>
          <w:rFonts w:eastAsiaTheme="minorHAnsi"/>
          <w:sz w:val="26"/>
          <w:szCs w:val="26"/>
        </w:rPr>
        <w:t>:</w:t>
      </w:r>
      <w:r w:rsidRPr="00E37897">
        <w:rPr>
          <w:rFonts w:eastAsiaTheme="minorHAnsi"/>
          <w:sz w:val="26"/>
          <w:szCs w:val="26"/>
        </w:rPr>
        <w:t xml:space="preserve"> </w:t>
      </w:r>
      <w:r w:rsidR="00701B6F">
        <w:rPr>
          <w:rFonts w:eastAsiaTheme="minorHAnsi"/>
          <w:sz w:val="26"/>
          <w:szCs w:val="26"/>
        </w:rPr>
        <w:t xml:space="preserve">(1) </w:t>
      </w:r>
      <w:r w:rsidRPr="00E37897">
        <w:rPr>
          <w:rFonts w:eastAsiaTheme="minorHAnsi"/>
          <w:sz w:val="26"/>
          <w:szCs w:val="26"/>
        </w:rPr>
        <w:t>PECO’s distribution rates (pursuant to the NBT)</w:t>
      </w:r>
      <w:r w:rsidR="0069616B">
        <w:rPr>
          <w:rFonts w:eastAsiaTheme="minorHAnsi"/>
          <w:sz w:val="26"/>
          <w:szCs w:val="26"/>
        </w:rPr>
        <w:t>;</w:t>
      </w:r>
      <w:r w:rsidRPr="00E37897">
        <w:rPr>
          <w:rFonts w:eastAsiaTheme="minorHAnsi"/>
          <w:sz w:val="26"/>
          <w:szCs w:val="26"/>
        </w:rPr>
        <w:t xml:space="preserve"> and </w:t>
      </w:r>
      <w:r w:rsidR="00701B6F">
        <w:rPr>
          <w:rFonts w:eastAsiaTheme="minorHAnsi"/>
          <w:sz w:val="26"/>
          <w:szCs w:val="26"/>
        </w:rPr>
        <w:t xml:space="preserve">(2) </w:t>
      </w:r>
      <w:r w:rsidRPr="00E37897">
        <w:rPr>
          <w:rFonts w:eastAsiaTheme="minorHAnsi"/>
          <w:sz w:val="26"/>
          <w:szCs w:val="26"/>
        </w:rPr>
        <w:t>as part of the price of generation purchased from their EGSs.  PECO M.B. at 31; PECO St. 1</w:t>
      </w:r>
      <w:r w:rsidRPr="00E37897">
        <w:rPr>
          <w:rFonts w:eastAsiaTheme="minorHAnsi"/>
          <w:sz w:val="26"/>
          <w:szCs w:val="26"/>
        </w:rPr>
        <w:noBreakHyphen/>
        <w:t>R at 17</w:t>
      </w:r>
      <w:r w:rsidRPr="00E37897">
        <w:rPr>
          <w:rFonts w:eastAsiaTheme="minorHAnsi"/>
          <w:sz w:val="26"/>
          <w:szCs w:val="26"/>
        </w:rPr>
        <w:noBreakHyphen/>
        <w:t xml:space="preserve">18.  Second, PECO argued that </w:t>
      </w:r>
      <w:r w:rsidR="00A12B58">
        <w:rPr>
          <w:rFonts w:eastAsiaTheme="minorHAnsi"/>
          <w:sz w:val="26"/>
          <w:szCs w:val="26"/>
        </w:rPr>
        <w:t xml:space="preserve">the </w:t>
      </w:r>
      <w:r w:rsidRPr="00E37897">
        <w:rPr>
          <w:rFonts w:eastAsiaTheme="minorHAnsi"/>
          <w:sz w:val="26"/>
          <w:szCs w:val="26"/>
        </w:rPr>
        <w:t>ESC’s proposal would create an unbundling problem that occurs when an EGS has structured its retail pricing in a way that combines the provision of generation and NITS into a single price for the product bundle, which the customer has agreed to pay.  According to PECO, because the customer entered into the agreement without knowing whether or how the price could be deconstructed into NITS and other parts, it will be unclear how much to credit the customer even if the EGS agrees to credit the NITS component to the customer when the NITS charge becomes non</w:t>
      </w:r>
      <w:r w:rsidR="00643979">
        <w:rPr>
          <w:rFonts w:eastAsiaTheme="minorHAnsi"/>
          <w:sz w:val="26"/>
          <w:szCs w:val="26"/>
        </w:rPr>
        <w:t>-</w:t>
      </w:r>
      <w:proofErr w:type="spellStart"/>
      <w:r w:rsidRPr="00E37897">
        <w:rPr>
          <w:rFonts w:eastAsiaTheme="minorHAnsi"/>
          <w:sz w:val="26"/>
          <w:szCs w:val="26"/>
        </w:rPr>
        <w:t>bypassable</w:t>
      </w:r>
      <w:bookmarkStart w:id="17" w:name="_Hlk56150303"/>
      <w:proofErr w:type="spellEnd"/>
      <w:r w:rsidRPr="00E37897">
        <w:rPr>
          <w:rFonts w:eastAsiaTheme="minorHAnsi"/>
          <w:sz w:val="26"/>
          <w:szCs w:val="26"/>
        </w:rPr>
        <w:t>.  PECO St. 1</w:t>
      </w:r>
      <w:r w:rsidRPr="00E37897">
        <w:rPr>
          <w:rFonts w:eastAsiaTheme="minorHAnsi"/>
          <w:sz w:val="26"/>
          <w:szCs w:val="26"/>
        </w:rPr>
        <w:noBreakHyphen/>
        <w:t>R at 18.</w:t>
      </w:r>
      <w:bookmarkEnd w:id="17"/>
    </w:p>
    <w:p w14:paraId="23509318" w14:textId="77777777" w:rsidR="00132B33" w:rsidRPr="00E37897" w:rsidRDefault="00132B33" w:rsidP="005F3BE2">
      <w:pPr>
        <w:widowControl/>
        <w:spacing w:line="360" w:lineRule="auto"/>
        <w:contextualSpacing/>
        <w:rPr>
          <w:rFonts w:eastAsiaTheme="minorHAnsi"/>
          <w:sz w:val="26"/>
          <w:szCs w:val="26"/>
        </w:rPr>
      </w:pPr>
    </w:p>
    <w:p w14:paraId="6527C327" w14:textId="1EC6BF6D" w:rsidR="00132B33" w:rsidRPr="00E37897" w:rsidRDefault="00132B33" w:rsidP="005F3BE2">
      <w:pPr>
        <w:widowControl/>
        <w:spacing w:line="360" w:lineRule="auto"/>
        <w:ind w:firstLine="1440"/>
        <w:contextualSpacing/>
        <w:rPr>
          <w:rFonts w:eastAsiaTheme="minorHAnsi"/>
          <w:sz w:val="26"/>
          <w:szCs w:val="26"/>
        </w:rPr>
      </w:pPr>
      <w:r w:rsidRPr="00E37897">
        <w:rPr>
          <w:rFonts w:eastAsiaTheme="minorHAnsi"/>
          <w:sz w:val="26"/>
          <w:szCs w:val="26"/>
        </w:rPr>
        <w:t>Finally, PECO refuted PAI</w:t>
      </w:r>
      <w:r w:rsidR="00A12B58">
        <w:rPr>
          <w:rFonts w:eastAsiaTheme="minorHAnsi"/>
          <w:sz w:val="26"/>
          <w:szCs w:val="26"/>
        </w:rPr>
        <w:t>E</w:t>
      </w:r>
      <w:r w:rsidRPr="00E37897">
        <w:rPr>
          <w:rFonts w:eastAsiaTheme="minorHAnsi"/>
          <w:sz w:val="26"/>
          <w:szCs w:val="26"/>
        </w:rPr>
        <w:t>UG’s assertion</w:t>
      </w:r>
      <w:r w:rsidRPr="00E37897">
        <w:rPr>
          <w:rFonts w:eastAsiaTheme="minorHAnsi"/>
          <w:i/>
          <w:iCs/>
          <w:sz w:val="26"/>
          <w:szCs w:val="26"/>
        </w:rPr>
        <w:t xml:space="preserve"> </w:t>
      </w:r>
      <w:r w:rsidRPr="00E37897">
        <w:rPr>
          <w:rFonts w:eastAsiaTheme="minorHAnsi"/>
          <w:sz w:val="26"/>
          <w:szCs w:val="26"/>
        </w:rPr>
        <w:t xml:space="preserve">that in the event the Commission adopts ESC’s proposal, it should establish a “carve out” to maintain the “status quo” for Large </w:t>
      </w:r>
      <w:r w:rsidR="00697A20">
        <w:rPr>
          <w:rFonts w:eastAsiaTheme="minorHAnsi"/>
          <w:sz w:val="26"/>
          <w:szCs w:val="26"/>
        </w:rPr>
        <w:t xml:space="preserve">Commercial and Industrial (Large </w:t>
      </w:r>
      <w:r w:rsidRPr="00E37897">
        <w:rPr>
          <w:rFonts w:eastAsiaTheme="minorHAnsi"/>
          <w:sz w:val="26"/>
          <w:szCs w:val="26"/>
        </w:rPr>
        <w:t>C&amp;I</w:t>
      </w:r>
      <w:r w:rsidR="00697A20">
        <w:rPr>
          <w:rFonts w:eastAsiaTheme="minorHAnsi"/>
          <w:sz w:val="26"/>
          <w:szCs w:val="26"/>
        </w:rPr>
        <w:t>)</w:t>
      </w:r>
      <w:r w:rsidRPr="00E37897">
        <w:rPr>
          <w:rFonts w:eastAsiaTheme="minorHAnsi"/>
          <w:sz w:val="26"/>
          <w:szCs w:val="26"/>
        </w:rPr>
        <w:t xml:space="preserve"> customers that already have arrangements with EGSs.  PECO argued that PAIEUG did not present any evidence that Large C&amp;I customers would experience different transition issues than other shopping customers with existing EGS contracts that would justify a special exception for those customers.  According to PECO, PAIEUG’s concerns further demonstrate that ESC’s proposal should not be adopted for </w:t>
      </w:r>
      <w:r w:rsidRPr="00E37897">
        <w:rPr>
          <w:rFonts w:eastAsiaTheme="minorHAnsi"/>
          <w:i/>
          <w:iCs/>
          <w:sz w:val="26"/>
          <w:szCs w:val="26"/>
        </w:rPr>
        <w:t>any</w:t>
      </w:r>
      <w:r w:rsidRPr="00E37897">
        <w:rPr>
          <w:rFonts w:eastAsiaTheme="minorHAnsi"/>
          <w:sz w:val="26"/>
          <w:szCs w:val="26"/>
        </w:rPr>
        <w:t xml:space="preserve"> rate class.  In addition</w:t>
      </w:r>
      <w:r w:rsidR="00682FDD" w:rsidRPr="00E37897">
        <w:rPr>
          <w:rFonts w:eastAsiaTheme="minorHAnsi"/>
          <w:sz w:val="26"/>
          <w:szCs w:val="26"/>
        </w:rPr>
        <w:t>,</w:t>
      </w:r>
      <w:r w:rsidRPr="00E37897">
        <w:rPr>
          <w:rFonts w:eastAsiaTheme="minorHAnsi"/>
          <w:sz w:val="26"/>
          <w:szCs w:val="26"/>
        </w:rPr>
        <w:t xml:space="preserve"> PECO claims that </w:t>
      </w:r>
      <w:r w:rsidRPr="00E37897">
        <w:rPr>
          <w:rFonts w:eastAsiaTheme="minorHAnsi"/>
          <w:sz w:val="26"/>
          <w:szCs w:val="26"/>
        </w:rPr>
        <w:lastRenderedPageBreak/>
        <w:t>implementing PAIEUG’s proposal would require the Company to reconfigure its billing system to recover the same category of costs (</w:t>
      </w:r>
      <w:r w:rsidRPr="00E37897">
        <w:rPr>
          <w:rFonts w:eastAsiaTheme="minorHAnsi"/>
          <w:i/>
          <w:iCs/>
          <w:sz w:val="26"/>
          <w:szCs w:val="26"/>
        </w:rPr>
        <w:t>i.e</w:t>
      </w:r>
      <w:r w:rsidRPr="00E37897">
        <w:rPr>
          <w:rFonts w:eastAsiaTheme="minorHAnsi"/>
          <w:sz w:val="26"/>
          <w:szCs w:val="26"/>
        </w:rPr>
        <w:t>.</w:t>
      </w:r>
      <w:r w:rsidR="00682FDD" w:rsidRPr="00E37897">
        <w:rPr>
          <w:rFonts w:eastAsiaTheme="minorHAnsi"/>
          <w:sz w:val="26"/>
          <w:szCs w:val="26"/>
        </w:rPr>
        <w:t>,</w:t>
      </w:r>
      <w:r w:rsidRPr="00E37897">
        <w:rPr>
          <w:rFonts w:eastAsiaTheme="minorHAnsi"/>
          <w:sz w:val="26"/>
          <w:szCs w:val="26"/>
        </w:rPr>
        <w:t xml:space="preserve"> NITS) through two different retail rate mechanisms, which would increase the administrative costs recovered from all other distribution customers through the NBT.  PECO M.B. at 31-32.</w:t>
      </w:r>
    </w:p>
    <w:p w14:paraId="41769B4A" w14:textId="77777777" w:rsidR="00132B33" w:rsidRPr="00E37897" w:rsidRDefault="00132B33" w:rsidP="005F3BE2">
      <w:pPr>
        <w:widowControl/>
        <w:spacing w:line="360" w:lineRule="auto"/>
        <w:ind w:firstLine="1440"/>
        <w:contextualSpacing/>
        <w:rPr>
          <w:rFonts w:eastAsiaTheme="minorHAnsi"/>
          <w:sz w:val="26"/>
          <w:szCs w:val="26"/>
        </w:rPr>
      </w:pPr>
    </w:p>
    <w:p w14:paraId="7E3043D7" w14:textId="77777777" w:rsidR="00132B33" w:rsidRPr="00E37897" w:rsidRDefault="00132B33" w:rsidP="005F3BE2">
      <w:pPr>
        <w:pStyle w:val="Heading3"/>
        <w:keepNext/>
        <w:keepLines/>
        <w:numPr>
          <w:ilvl w:val="0"/>
          <w:numId w:val="38"/>
        </w:numPr>
        <w:spacing w:after="0"/>
        <w:ind w:left="1440" w:hanging="720"/>
        <w:contextualSpacing/>
        <w:jc w:val="left"/>
        <w:rPr>
          <w:rFonts w:eastAsiaTheme="majorEastAsia"/>
          <w:sz w:val="26"/>
        </w:rPr>
      </w:pPr>
      <w:bookmarkStart w:id="18" w:name="_Toc56512764"/>
      <w:r w:rsidRPr="00E37897">
        <w:rPr>
          <w:rFonts w:eastAsiaTheme="majorEastAsia"/>
          <w:sz w:val="26"/>
        </w:rPr>
        <w:t>Calpine</w:t>
      </w:r>
      <w:bookmarkEnd w:id="18"/>
    </w:p>
    <w:p w14:paraId="1CA786C5" w14:textId="77777777" w:rsidR="00132B33" w:rsidRPr="00E37897" w:rsidRDefault="00132B33" w:rsidP="005F3BE2">
      <w:pPr>
        <w:keepNext/>
        <w:keepLines/>
        <w:widowControl/>
        <w:spacing w:line="360" w:lineRule="auto"/>
        <w:contextualSpacing/>
        <w:rPr>
          <w:rFonts w:eastAsiaTheme="minorHAnsi"/>
          <w:sz w:val="26"/>
          <w:szCs w:val="26"/>
        </w:rPr>
      </w:pPr>
    </w:p>
    <w:p w14:paraId="61E9EA30" w14:textId="555074D8" w:rsidR="00132B33" w:rsidRPr="00E37897" w:rsidRDefault="00132B33"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Calpine opposed the ESC’s proposed allocation of NITS charges.  Calpine explained that like </w:t>
      </w:r>
      <w:r w:rsidR="00A25C1A">
        <w:rPr>
          <w:rFonts w:eastAsiaTheme="minorHAnsi"/>
          <w:sz w:val="26"/>
          <w:szCs w:val="26"/>
        </w:rPr>
        <w:t xml:space="preserve">the specific EGSs that </w:t>
      </w:r>
      <w:r w:rsidR="00CB5131">
        <w:rPr>
          <w:rFonts w:eastAsiaTheme="minorHAnsi"/>
          <w:sz w:val="26"/>
          <w:szCs w:val="26"/>
        </w:rPr>
        <w:t xml:space="preserve">comprise </w:t>
      </w:r>
      <w:r w:rsidR="00A12B58">
        <w:rPr>
          <w:rFonts w:eastAsiaTheme="minorHAnsi"/>
          <w:sz w:val="26"/>
          <w:szCs w:val="26"/>
        </w:rPr>
        <w:t xml:space="preserve">the </w:t>
      </w:r>
      <w:r w:rsidRPr="00E37897">
        <w:rPr>
          <w:rFonts w:eastAsiaTheme="minorHAnsi"/>
          <w:sz w:val="26"/>
          <w:szCs w:val="26"/>
        </w:rPr>
        <w:t>ESC</w:t>
      </w:r>
      <w:r w:rsidR="00CB5131">
        <w:rPr>
          <w:rFonts w:eastAsiaTheme="minorHAnsi"/>
          <w:sz w:val="26"/>
          <w:szCs w:val="26"/>
        </w:rPr>
        <w:t xml:space="preserve"> as a Party in this proceeding</w:t>
      </w:r>
      <w:r w:rsidRPr="00E37897">
        <w:rPr>
          <w:rFonts w:eastAsiaTheme="minorHAnsi"/>
          <w:sz w:val="26"/>
          <w:szCs w:val="26"/>
        </w:rPr>
        <w:t xml:space="preserve">, it is </w:t>
      </w:r>
      <w:r w:rsidR="007E0838">
        <w:rPr>
          <w:rFonts w:eastAsiaTheme="minorHAnsi"/>
          <w:sz w:val="26"/>
          <w:szCs w:val="26"/>
        </w:rPr>
        <w:t>a Commission-licensed</w:t>
      </w:r>
      <w:r w:rsidRPr="00E37897">
        <w:rPr>
          <w:rFonts w:eastAsiaTheme="minorHAnsi"/>
          <w:sz w:val="26"/>
          <w:szCs w:val="26"/>
        </w:rPr>
        <w:t xml:space="preserve"> EGS serving customers in Pennsylvania, including </w:t>
      </w:r>
      <w:r w:rsidR="007E0838">
        <w:rPr>
          <w:rFonts w:eastAsiaTheme="minorHAnsi"/>
          <w:sz w:val="26"/>
          <w:szCs w:val="26"/>
        </w:rPr>
        <w:t xml:space="preserve">customers </w:t>
      </w:r>
      <w:r w:rsidRPr="00E37897">
        <w:rPr>
          <w:rFonts w:eastAsiaTheme="minorHAnsi"/>
          <w:sz w:val="26"/>
          <w:szCs w:val="26"/>
        </w:rPr>
        <w:t xml:space="preserve">in PECO’s </w:t>
      </w:r>
      <w:r w:rsidR="007E0838">
        <w:rPr>
          <w:rFonts w:eastAsiaTheme="minorHAnsi"/>
          <w:sz w:val="26"/>
          <w:szCs w:val="26"/>
        </w:rPr>
        <w:t xml:space="preserve">service </w:t>
      </w:r>
      <w:r w:rsidRPr="00E37897">
        <w:rPr>
          <w:rFonts w:eastAsiaTheme="minorHAnsi"/>
          <w:sz w:val="26"/>
          <w:szCs w:val="26"/>
        </w:rPr>
        <w:t xml:space="preserve">territory, and is also an LSE and a member of PJM.  As such, Calpine stated that like </w:t>
      </w:r>
      <w:r w:rsidR="007E0838">
        <w:rPr>
          <w:rFonts w:eastAsiaTheme="minorHAnsi"/>
          <w:sz w:val="26"/>
          <w:szCs w:val="26"/>
        </w:rPr>
        <w:t xml:space="preserve">the EGSs that form the </w:t>
      </w:r>
      <w:r w:rsidRPr="00E37897">
        <w:rPr>
          <w:rFonts w:eastAsiaTheme="minorHAnsi"/>
          <w:sz w:val="26"/>
          <w:szCs w:val="26"/>
        </w:rPr>
        <w:t xml:space="preserve">ESC, it incurs NITS costs.  According to Calpine, it has been able to </w:t>
      </w:r>
      <w:r w:rsidR="007E0838">
        <w:rPr>
          <w:rFonts w:eastAsiaTheme="minorHAnsi"/>
          <w:sz w:val="26"/>
          <w:szCs w:val="26"/>
        </w:rPr>
        <w:t xml:space="preserve">successfully </w:t>
      </w:r>
      <w:r w:rsidRPr="00E37897">
        <w:rPr>
          <w:rFonts w:eastAsiaTheme="minorHAnsi"/>
          <w:sz w:val="26"/>
          <w:szCs w:val="26"/>
        </w:rPr>
        <w:t xml:space="preserve">manage </w:t>
      </w:r>
      <w:r w:rsidR="007E0838">
        <w:rPr>
          <w:rFonts w:eastAsiaTheme="minorHAnsi"/>
          <w:sz w:val="26"/>
          <w:szCs w:val="26"/>
        </w:rPr>
        <w:t>NITS</w:t>
      </w:r>
      <w:r w:rsidRPr="00E37897">
        <w:rPr>
          <w:rFonts w:eastAsiaTheme="minorHAnsi"/>
          <w:sz w:val="26"/>
          <w:szCs w:val="26"/>
        </w:rPr>
        <w:t xml:space="preserve"> costs and its customers’ loads while still offering products and services that its customers desire.  Calpine surmised that </w:t>
      </w:r>
      <w:r w:rsidR="001B5AC0">
        <w:rPr>
          <w:rFonts w:eastAsiaTheme="minorHAnsi"/>
          <w:sz w:val="26"/>
          <w:szCs w:val="26"/>
        </w:rPr>
        <w:t xml:space="preserve">the EGSs in </w:t>
      </w:r>
      <w:r w:rsidR="00A12B58">
        <w:rPr>
          <w:rFonts w:eastAsiaTheme="minorHAnsi"/>
          <w:sz w:val="26"/>
          <w:szCs w:val="26"/>
        </w:rPr>
        <w:t xml:space="preserve">the </w:t>
      </w:r>
      <w:r w:rsidRPr="00E37897">
        <w:rPr>
          <w:rFonts w:eastAsiaTheme="minorHAnsi"/>
          <w:sz w:val="26"/>
          <w:szCs w:val="26"/>
        </w:rPr>
        <w:t>ESC</w:t>
      </w:r>
      <w:r w:rsidR="001B5AC0">
        <w:rPr>
          <w:rFonts w:eastAsiaTheme="minorHAnsi"/>
          <w:sz w:val="26"/>
          <w:szCs w:val="26"/>
        </w:rPr>
        <w:t>, in contrast,</w:t>
      </w:r>
      <w:r w:rsidRPr="00E37897">
        <w:rPr>
          <w:rFonts w:eastAsiaTheme="minorHAnsi"/>
          <w:sz w:val="26"/>
          <w:szCs w:val="26"/>
        </w:rPr>
        <w:t xml:space="preserve"> ha</w:t>
      </w:r>
      <w:r w:rsidR="001B5AC0">
        <w:rPr>
          <w:rFonts w:eastAsiaTheme="minorHAnsi"/>
          <w:sz w:val="26"/>
          <w:szCs w:val="26"/>
        </w:rPr>
        <w:t>ve</w:t>
      </w:r>
      <w:r w:rsidRPr="00E37897">
        <w:rPr>
          <w:rFonts w:eastAsiaTheme="minorHAnsi"/>
          <w:sz w:val="26"/>
          <w:szCs w:val="26"/>
        </w:rPr>
        <w:t xml:space="preserve"> not been successful in this regard and </w:t>
      </w:r>
      <w:r w:rsidR="001B5AC0">
        <w:rPr>
          <w:rFonts w:eastAsiaTheme="minorHAnsi"/>
          <w:sz w:val="26"/>
          <w:szCs w:val="26"/>
        </w:rPr>
        <w:t>are</w:t>
      </w:r>
      <w:r w:rsidRPr="00E37897">
        <w:rPr>
          <w:rFonts w:eastAsiaTheme="minorHAnsi"/>
          <w:sz w:val="26"/>
          <w:szCs w:val="26"/>
        </w:rPr>
        <w:t xml:space="preserve">, therefore, attempting to shed </w:t>
      </w:r>
      <w:r w:rsidR="001B5AC0">
        <w:rPr>
          <w:rFonts w:eastAsiaTheme="minorHAnsi"/>
          <w:sz w:val="26"/>
          <w:szCs w:val="26"/>
        </w:rPr>
        <w:t>their individual</w:t>
      </w:r>
      <w:r w:rsidRPr="00E37897">
        <w:rPr>
          <w:rFonts w:eastAsiaTheme="minorHAnsi"/>
          <w:sz w:val="26"/>
          <w:szCs w:val="26"/>
        </w:rPr>
        <w:t xml:space="preserve"> retail business risk</w:t>
      </w:r>
      <w:r w:rsidR="001B5AC0">
        <w:rPr>
          <w:rFonts w:eastAsiaTheme="minorHAnsi"/>
          <w:sz w:val="26"/>
          <w:szCs w:val="26"/>
        </w:rPr>
        <w:t>s</w:t>
      </w:r>
      <w:r w:rsidRPr="00E37897">
        <w:rPr>
          <w:rFonts w:eastAsiaTheme="minorHAnsi"/>
          <w:sz w:val="26"/>
          <w:szCs w:val="26"/>
        </w:rPr>
        <w:t xml:space="preserve"> by moving </w:t>
      </w:r>
      <w:r w:rsidR="001B5AC0">
        <w:rPr>
          <w:rFonts w:eastAsiaTheme="minorHAnsi"/>
          <w:sz w:val="26"/>
          <w:szCs w:val="26"/>
        </w:rPr>
        <w:t>the NITS costs</w:t>
      </w:r>
      <w:r w:rsidRPr="00E37897">
        <w:rPr>
          <w:rFonts w:eastAsiaTheme="minorHAnsi"/>
          <w:sz w:val="26"/>
          <w:szCs w:val="26"/>
        </w:rPr>
        <w:t xml:space="preserve"> from the competitive retail market to all customers of PECO, regardless of </w:t>
      </w:r>
      <w:r w:rsidR="00D3253D" w:rsidRPr="00E37897">
        <w:rPr>
          <w:rFonts w:eastAsiaTheme="minorHAnsi"/>
          <w:sz w:val="26"/>
          <w:szCs w:val="26"/>
        </w:rPr>
        <w:t xml:space="preserve">the </w:t>
      </w:r>
      <w:r w:rsidRPr="00E37897">
        <w:rPr>
          <w:rFonts w:eastAsiaTheme="minorHAnsi"/>
          <w:sz w:val="26"/>
          <w:szCs w:val="26"/>
        </w:rPr>
        <w:t>existing market, contracts, products, and services.  According to Calpine, such cost shifting would harm the retail competitive market and remove any incentive and opportunity to create customized products and services that are, or may potentially be</w:t>
      </w:r>
      <w:r w:rsidR="00D3253D" w:rsidRPr="00E37897">
        <w:rPr>
          <w:rFonts w:eastAsiaTheme="minorHAnsi"/>
          <w:sz w:val="26"/>
          <w:szCs w:val="26"/>
        </w:rPr>
        <w:t>,</w:t>
      </w:r>
      <w:r w:rsidRPr="00E37897">
        <w:rPr>
          <w:rFonts w:eastAsiaTheme="minorHAnsi"/>
          <w:sz w:val="26"/>
          <w:szCs w:val="26"/>
        </w:rPr>
        <w:t xml:space="preserve"> formulated to assist EGS customers in addressing these costs.  Calpine M.B. at 2.</w:t>
      </w:r>
    </w:p>
    <w:p w14:paraId="65CA1D3C" w14:textId="77777777" w:rsidR="00132B33" w:rsidRPr="00E37897" w:rsidRDefault="00132B33" w:rsidP="005F3BE2">
      <w:pPr>
        <w:widowControl/>
        <w:spacing w:after="200" w:line="360" w:lineRule="auto"/>
        <w:contextualSpacing/>
        <w:rPr>
          <w:rFonts w:eastAsiaTheme="minorHAnsi"/>
          <w:sz w:val="26"/>
          <w:szCs w:val="26"/>
        </w:rPr>
      </w:pPr>
    </w:p>
    <w:p w14:paraId="15D072EC" w14:textId="625832C2"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Calpine argued that although </w:t>
      </w:r>
      <w:r w:rsidR="00A12B58">
        <w:rPr>
          <w:rFonts w:eastAsiaTheme="minorHAnsi"/>
          <w:sz w:val="26"/>
          <w:szCs w:val="26"/>
        </w:rPr>
        <w:t xml:space="preserve">the </w:t>
      </w:r>
      <w:r w:rsidRPr="00E37897">
        <w:rPr>
          <w:rFonts w:eastAsiaTheme="minorHAnsi"/>
          <w:sz w:val="26"/>
          <w:szCs w:val="26"/>
        </w:rPr>
        <w:t xml:space="preserve">ESC has recognized that the Commission previously considered and rejected proposals similar to the one ESC has proposed in this proceeding, </w:t>
      </w:r>
      <w:r w:rsidR="00A12B58">
        <w:rPr>
          <w:rFonts w:eastAsiaTheme="minorHAnsi"/>
          <w:sz w:val="26"/>
          <w:szCs w:val="26"/>
        </w:rPr>
        <w:t xml:space="preserve">the </w:t>
      </w:r>
      <w:r w:rsidRPr="00E37897">
        <w:rPr>
          <w:rFonts w:eastAsiaTheme="minorHAnsi"/>
          <w:sz w:val="26"/>
          <w:szCs w:val="26"/>
        </w:rPr>
        <w:t xml:space="preserve">ESC has failed to acknowledge the extent to which such proposals have been considered and rejected.  Namely, Calpine noted that in addition to explicitly considering this proposal in </w:t>
      </w:r>
      <w:r w:rsidRPr="00E37897">
        <w:rPr>
          <w:rFonts w:eastAsiaTheme="minorHAnsi"/>
          <w:i/>
          <w:iCs/>
          <w:sz w:val="26"/>
          <w:szCs w:val="26"/>
        </w:rPr>
        <w:t>PECO DSP III</w:t>
      </w:r>
      <w:r w:rsidRPr="00E37897">
        <w:rPr>
          <w:rFonts w:eastAsiaTheme="minorHAnsi"/>
          <w:sz w:val="26"/>
          <w:szCs w:val="26"/>
        </w:rPr>
        <w:t xml:space="preserve"> and, by extension </w:t>
      </w:r>
      <w:r w:rsidR="00D3253D" w:rsidRPr="00E37897">
        <w:rPr>
          <w:rFonts w:eastAsiaTheme="minorHAnsi"/>
          <w:sz w:val="26"/>
          <w:szCs w:val="26"/>
        </w:rPr>
        <w:t>in</w:t>
      </w:r>
      <w:r w:rsidRPr="00E37897">
        <w:rPr>
          <w:rFonts w:eastAsiaTheme="minorHAnsi"/>
          <w:sz w:val="26"/>
          <w:szCs w:val="26"/>
        </w:rPr>
        <w:t xml:space="preserve"> </w:t>
      </w:r>
      <w:r w:rsidRPr="00E37897">
        <w:rPr>
          <w:rFonts w:eastAsiaTheme="minorHAnsi"/>
          <w:i/>
          <w:iCs/>
          <w:sz w:val="26"/>
          <w:szCs w:val="26"/>
        </w:rPr>
        <w:t>PECO DSP IV</w:t>
      </w:r>
      <w:r w:rsidRPr="00E37897">
        <w:rPr>
          <w:rFonts w:eastAsiaTheme="minorHAnsi"/>
          <w:sz w:val="26"/>
          <w:szCs w:val="26"/>
        </w:rPr>
        <w:t xml:space="preserve">, the Commission also considered and rejected this type of proposal in PECO’s second DSP proceeding at </w:t>
      </w:r>
      <w:r w:rsidRPr="00E37897">
        <w:rPr>
          <w:rFonts w:eastAsiaTheme="minorHAnsi"/>
          <w:i/>
          <w:iCs/>
          <w:sz w:val="26"/>
          <w:szCs w:val="26"/>
        </w:rPr>
        <w:t xml:space="preserve">Petition of PECO Energy Company for Approval of its Default Service </w:t>
      </w:r>
      <w:r w:rsidRPr="00E37897">
        <w:rPr>
          <w:rFonts w:eastAsiaTheme="minorHAnsi"/>
          <w:i/>
          <w:iCs/>
          <w:sz w:val="26"/>
          <w:szCs w:val="26"/>
        </w:rPr>
        <w:lastRenderedPageBreak/>
        <w:t>Program II</w:t>
      </w:r>
      <w:r w:rsidRPr="00E37897">
        <w:rPr>
          <w:rFonts w:eastAsiaTheme="minorHAnsi"/>
          <w:sz w:val="26"/>
          <w:szCs w:val="26"/>
        </w:rPr>
        <w:t xml:space="preserve">, Docket No. P-2012-2283641 (Order entered October 12, 2012).  Calpine submitted that </w:t>
      </w:r>
      <w:r w:rsidR="00A12B58">
        <w:rPr>
          <w:rFonts w:eastAsiaTheme="minorHAnsi"/>
          <w:sz w:val="26"/>
          <w:szCs w:val="26"/>
        </w:rPr>
        <w:t xml:space="preserve">the </w:t>
      </w:r>
      <w:r w:rsidRPr="00E37897">
        <w:rPr>
          <w:rFonts w:eastAsiaTheme="minorHAnsi"/>
          <w:sz w:val="26"/>
          <w:szCs w:val="26"/>
        </w:rPr>
        <w:t xml:space="preserve">ESC’s arguments regarding the changes at FERC are without merit because the formulas now used by FERC are still subject to a ratemaking process </w:t>
      </w:r>
      <w:r w:rsidR="00E65F3D">
        <w:rPr>
          <w:rFonts w:eastAsiaTheme="minorHAnsi"/>
          <w:sz w:val="26"/>
          <w:szCs w:val="26"/>
        </w:rPr>
        <w:t>overseen and approved by</w:t>
      </w:r>
      <w:r w:rsidRPr="00E37897">
        <w:rPr>
          <w:rFonts w:eastAsiaTheme="minorHAnsi"/>
          <w:sz w:val="26"/>
          <w:szCs w:val="26"/>
        </w:rPr>
        <w:t xml:space="preserve"> FERC.  Calpine M.B. at 3-4.</w:t>
      </w:r>
    </w:p>
    <w:p w14:paraId="78D57F54" w14:textId="77777777" w:rsidR="00132B33" w:rsidRPr="00E37897" w:rsidRDefault="00132B33" w:rsidP="005F3BE2">
      <w:pPr>
        <w:widowControl/>
        <w:spacing w:after="200" w:line="360" w:lineRule="auto"/>
        <w:contextualSpacing/>
        <w:rPr>
          <w:rFonts w:eastAsiaTheme="minorHAnsi"/>
          <w:sz w:val="26"/>
          <w:szCs w:val="26"/>
        </w:rPr>
      </w:pPr>
    </w:p>
    <w:p w14:paraId="3182B12D" w14:textId="3ACF2342"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Additionally, Calpine characterized </w:t>
      </w:r>
      <w:r w:rsidR="00A12B58">
        <w:rPr>
          <w:rFonts w:eastAsiaTheme="minorHAnsi"/>
          <w:sz w:val="26"/>
          <w:szCs w:val="26"/>
        </w:rPr>
        <w:t xml:space="preserve">the </w:t>
      </w:r>
      <w:r w:rsidRPr="00E37897">
        <w:rPr>
          <w:rFonts w:eastAsiaTheme="minorHAnsi"/>
          <w:sz w:val="26"/>
          <w:szCs w:val="26"/>
        </w:rPr>
        <w:t>ESC’s attempt to compare retail electric market products and services to a fully regulated default service as an “apples to oranges comparison.”  Calpine reasoned that default service is a one</w:t>
      </w:r>
      <w:r w:rsidR="00E65F3D">
        <w:rPr>
          <w:rFonts w:eastAsiaTheme="minorHAnsi"/>
          <w:sz w:val="26"/>
          <w:szCs w:val="26"/>
        </w:rPr>
        <w:t>-</w:t>
      </w:r>
      <w:r w:rsidRPr="00E37897">
        <w:rPr>
          <w:rFonts w:eastAsiaTheme="minorHAnsi"/>
          <w:sz w:val="26"/>
          <w:szCs w:val="26"/>
        </w:rPr>
        <w:t>size</w:t>
      </w:r>
      <w:r w:rsidR="00734A29">
        <w:rPr>
          <w:rFonts w:eastAsiaTheme="minorHAnsi"/>
          <w:sz w:val="26"/>
          <w:szCs w:val="26"/>
        </w:rPr>
        <w:t>-</w:t>
      </w:r>
      <w:r w:rsidRPr="00E37897">
        <w:rPr>
          <w:rFonts w:eastAsiaTheme="minorHAnsi"/>
          <w:sz w:val="26"/>
          <w:szCs w:val="26"/>
        </w:rPr>
        <w:t>fits</w:t>
      </w:r>
      <w:r w:rsidR="00734A29">
        <w:rPr>
          <w:rFonts w:eastAsiaTheme="minorHAnsi"/>
          <w:sz w:val="26"/>
          <w:szCs w:val="26"/>
        </w:rPr>
        <w:t>-</w:t>
      </w:r>
      <w:r w:rsidRPr="00E37897">
        <w:rPr>
          <w:rFonts w:eastAsiaTheme="minorHAnsi"/>
          <w:sz w:val="26"/>
          <w:szCs w:val="26"/>
        </w:rPr>
        <w:t xml:space="preserve">all service based on a uniform master supply agreement with no individually negotiated terms of service.  Conversely, Calpine submitted that EGSs have the freedom to build, establish and promote innovative products and services to meet </w:t>
      </w:r>
      <w:r w:rsidR="00E31069" w:rsidRPr="00E37897">
        <w:rPr>
          <w:rFonts w:eastAsiaTheme="minorHAnsi"/>
          <w:sz w:val="26"/>
          <w:szCs w:val="26"/>
        </w:rPr>
        <w:t>their</w:t>
      </w:r>
      <w:r w:rsidRPr="00E37897">
        <w:rPr>
          <w:rFonts w:eastAsiaTheme="minorHAnsi"/>
          <w:sz w:val="26"/>
          <w:szCs w:val="26"/>
        </w:rPr>
        <w:t xml:space="preserve"> individual customers’ needs, as well as the structure and timing of those services based on the EGS’s own business and management decisions.  Calpine M.B. at 4-5.</w:t>
      </w:r>
    </w:p>
    <w:p w14:paraId="7DD3E855" w14:textId="77777777" w:rsidR="00132B33" w:rsidRPr="00E37897" w:rsidRDefault="00132B33" w:rsidP="005F3BE2">
      <w:pPr>
        <w:widowControl/>
        <w:spacing w:line="360" w:lineRule="auto"/>
        <w:contextualSpacing/>
        <w:rPr>
          <w:rFonts w:eastAsiaTheme="minorHAnsi"/>
          <w:sz w:val="26"/>
          <w:szCs w:val="26"/>
        </w:rPr>
      </w:pPr>
    </w:p>
    <w:p w14:paraId="4584EEAD" w14:textId="77777777" w:rsidR="00132B33" w:rsidRPr="00E37897" w:rsidRDefault="00132B33" w:rsidP="005F3BE2">
      <w:pPr>
        <w:pStyle w:val="Heading3"/>
        <w:keepNext/>
        <w:keepLines/>
        <w:numPr>
          <w:ilvl w:val="0"/>
          <w:numId w:val="38"/>
        </w:numPr>
        <w:spacing w:after="0"/>
        <w:ind w:left="1440" w:hanging="720"/>
        <w:contextualSpacing/>
        <w:jc w:val="left"/>
        <w:rPr>
          <w:rFonts w:eastAsiaTheme="majorEastAsia"/>
          <w:sz w:val="26"/>
        </w:rPr>
      </w:pPr>
      <w:bookmarkStart w:id="19" w:name="_Toc56512765"/>
      <w:r w:rsidRPr="00E37897">
        <w:rPr>
          <w:rFonts w:eastAsiaTheme="majorEastAsia"/>
          <w:sz w:val="26"/>
        </w:rPr>
        <w:t>PAIEUG</w:t>
      </w:r>
      <w:bookmarkEnd w:id="19"/>
    </w:p>
    <w:p w14:paraId="17C54EF9" w14:textId="77777777" w:rsidR="00132B33" w:rsidRPr="00E37897" w:rsidRDefault="00132B33" w:rsidP="005F3BE2">
      <w:pPr>
        <w:keepNext/>
        <w:keepLines/>
        <w:widowControl/>
        <w:spacing w:line="360" w:lineRule="auto"/>
        <w:contextualSpacing/>
        <w:rPr>
          <w:rFonts w:eastAsiaTheme="minorHAnsi"/>
          <w:sz w:val="26"/>
          <w:szCs w:val="26"/>
        </w:rPr>
      </w:pPr>
    </w:p>
    <w:p w14:paraId="07735E0F" w14:textId="74185140" w:rsidR="00132B33" w:rsidRPr="00E37897" w:rsidRDefault="00132B33"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PAIEUG echoed the arguments of PECO and Calpine that </w:t>
      </w:r>
      <w:r w:rsidR="00A12B58">
        <w:rPr>
          <w:rFonts w:eastAsiaTheme="minorHAnsi"/>
          <w:sz w:val="26"/>
          <w:szCs w:val="26"/>
        </w:rPr>
        <w:t xml:space="preserve">the </w:t>
      </w:r>
      <w:r w:rsidRPr="00E37897">
        <w:rPr>
          <w:rFonts w:eastAsiaTheme="minorHAnsi"/>
          <w:sz w:val="26"/>
          <w:szCs w:val="26"/>
        </w:rPr>
        <w:t xml:space="preserve">ESC’s proposal should not be adopted.  PAIEUG submitted that the Competition Act, Commission precedent, and Commission </w:t>
      </w:r>
      <w:r w:rsidR="00D2637F" w:rsidRPr="00E37897">
        <w:rPr>
          <w:rFonts w:eastAsiaTheme="minorHAnsi"/>
          <w:sz w:val="26"/>
          <w:szCs w:val="26"/>
        </w:rPr>
        <w:t>R</w:t>
      </w:r>
      <w:r w:rsidRPr="00E37897">
        <w:rPr>
          <w:rFonts w:eastAsiaTheme="minorHAnsi"/>
          <w:sz w:val="26"/>
          <w:szCs w:val="26"/>
        </w:rPr>
        <w:t>egulations mandate that EGSs collect NITS costs from shopping customers.  PAI</w:t>
      </w:r>
      <w:r w:rsidR="000455F2">
        <w:rPr>
          <w:rFonts w:eastAsiaTheme="minorHAnsi"/>
          <w:sz w:val="26"/>
          <w:szCs w:val="26"/>
        </w:rPr>
        <w:t>E</w:t>
      </w:r>
      <w:r w:rsidRPr="00E37897">
        <w:rPr>
          <w:rFonts w:eastAsiaTheme="minorHAnsi"/>
          <w:sz w:val="26"/>
          <w:szCs w:val="26"/>
        </w:rPr>
        <w:t>UG noted that under the unbundling provisions of the Competition Act, shopping customers negotiate with EGSs wh</w:t>
      </w:r>
      <w:r w:rsidR="00734A29">
        <w:rPr>
          <w:rFonts w:eastAsiaTheme="minorHAnsi"/>
          <w:sz w:val="26"/>
          <w:szCs w:val="26"/>
        </w:rPr>
        <w:t>ich</w:t>
      </w:r>
      <w:r w:rsidRPr="00E37897">
        <w:rPr>
          <w:rFonts w:eastAsiaTheme="minorHAnsi"/>
          <w:sz w:val="26"/>
          <w:szCs w:val="26"/>
        </w:rPr>
        <w:t xml:space="preserve"> provide such customers with both generation and transmission services, while these customers continue to receive distribution service from their EDC.  On the other hand, PAI</w:t>
      </w:r>
      <w:r w:rsidR="0069616B">
        <w:rPr>
          <w:rFonts w:eastAsiaTheme="minorHAnsi"/>
          <w:sz w:val="26"/>
          <w:szCs w:val="26"/>
        </w:rPr>
        <w:t>E</w:t>
      </w:r>
      <w:r w:rsidRPr="00E37897">
        <w:rPr>
          <w:rFonts w:eastAsiaTheme="minorHAnsi"/>
          <w:sz w:val="26"/>
          <w:szCs w:val="26"/>
        </w:rPr>
        <w:t xml:space="preserve">UG stated customers who choose not to shop continue to receive generation, transmission, and distribution service under the EDC’s “provider of last resort” </w:t>
      </w:r>
      <w:r w:rsidR="00BA5005">
        <w:rPr>
          <w:rFonts w:eastAsiaTheme="minorHAnsi"/>
          <w:sz w:val="26"/>
          <w:szCs w:val="26"/>
        </w:rPr>
        <w:t xml:space="preserve">service or </w:t>
      </w:r>
      <w:r w:rsidRPr="00E37897">
        <w:rPr>
          <w:rFonts w:eastAsiaTheme="minorHAnsi"/>
          <w:sz w:val="26"/>
          <w:szCs w:val="26"/>
        </w:rPr>
        <w:t>default service.  PAIEUG M.B. at 4-5 (citing 66 Pa</w:t>
      </w:r>
      <w:r w:rsidR="008970CA" w:rsidRPr="00E37897">
        <w:rPr>
          <w:rFonts w:eastAsiaTheme="minorHAnsi"/>
          <w:sz w:val="26"/>
          <w:szCs w:val="26"/>
        </w:rPr>
        <w:t>.</w:t>
      </w:r>
      <w:r w:rsidRPr="00E37897">
        <w:rPr>
          <w:rFonts w:eastAsiaTheme="minorHAnsi"/>
          <w:sz w:val="26"/>
          <w:szCs w:val="26"/>
        </w:rPr>
        <w:t xml:space="preserve"> C.S. § 2802(16)).  Additionally, PAIEUG noted that </w:t>
      </w:r>
      <w:r w:rsidR="00BA5005">
        <w:rPr>
          <w:rFonts w:eastAsiaTheme="minorHAnsi"/>
          <w:sz w:val="26"/>
          <w:szCs w:val="26"/>
        </w:rPr>
        <w:t xml:space="preserve">the </w:t>
      </w:r>
      <w:r w:rsidRPr="00E37897">
        <w:rPr>
          <w:rFonts w:eastAsiaTheme="minorHAnsi"/>
          <w:sz w:val="26"/>
          <w:szCs w:val="26"/>
        </w:rPr>
        <w:t>Commission</w:t>
      </w:r>
      <w:r w:rsidR="00BA5005">
        <w:rPr>
          <w:rFonts w:eastAsiaTheme="minorHAnsi"/>
          <w:sz w:val="26"/>
          <w:szCs w:val="26"/>
        </w:rPr>
        <w:t>’s</w:t>
      </w:r>
      <w:r w:rsidRPr="00E37897">
        <w:rPr>
          <w:rFonts w:eastAsiaTheme="minorHAnsi"/>
          <w:sz w:val="26"/>
          <w:szCs w:val="26"/>
        </w:rPr>
        <w:t xml:space="preserve"> Regulations designate transmission service as a load-following expense, given that the entity providing a customer’s generation service must also take responsibility for the provision of transmission services and collection of the </w:t>
      </w:r>
      <w:r w:rsidRPr="00E37897">
        <w:rPr>
          <w:rFonts w:eastAsiaTheme="minorHAnsi"/>
          <w:sz w:val="26"/>
          <w:szCs w:val="26"/>
        </w:rPr>
        <w:lastRenderedPageBreak/>
        <w:t>associated costs.  P</w:t>
      </w:r>
      <w:r w:rsidR="00002FF3">
        <w:rPr>
          <w:rFonts w:eastAsiaTheme="minorHAnsi"/>
          <w:sz w:val="26"/>
          <w:szCs w:val="26"/>
        </w:rPr>
        <w:t>AIE</w:t>
      </w:r>
      <w:r w:rsidR="00DF255B">
        <w:rPr>
          <w:rFonts w:eastAsiaTheme="minorHAnsi"/>
          <w:sz w:val="26"/>
          <w:szCs w:val="26"/>
        </w:rPr>
        <w:t>UG</w:t>
      </w:r>
      <w:r w:rsidRPr="00E37897">
        <w:rPr>
          <w:rFonts w:eastAsiaTheme="minorHAnsi"/>
          <w:sz w:val="26"/>
          <w:szCs w:val="26"/>
        </w:rPr>
        <w:t xml:space="preserve"> M.B. at 5 (citing 52 Pa. </w:t>
      </w:r>
      <w:r w:rsidR="00023F50" w:rsidRPr="00E37897">
        <w:rPr>
          <w:rFonts w:eastAsiaTheme="minorHAnsi"/>
          <w:sz w:val="26"/>
          <w:szCs w:val="26"/>
        </w:rPr>
        <w:t>Code §</w:t>
      </w:r>
      <w:r w:rsidRPr="00E37897">
        <w:rPr>
          <w:rFonts w:eastAsiaTheme="minorHAnsi"/>
          <w:sz w:val="26"/>
          <w:szCs w:val="26"/>
        </w:rPr>
        <w:t xml:space="preserve"> 54.187(d)).  Therefore, PAIEUG claimed that ESC’s proposal to shift </w:t>
      </w:r>
      <w:r w:rsidR="00965907">
        <w:rPr>
          <w:rFonts w:eastAsiaTheme="minorHAnsi"/>
          <w:sz w:val="26"/>
          <w:szCs w:val="26"/>
        </w:rPr>
        <w:t xml:space="preserve">the </w:t>
      </w:r>
      <w:r w:rsidRPr="00E37897">
        <w:rPr>
          <w:rFonts w:eastAsiaTheme="minorHAnsi"/>
          <w:sz w:val="26"/>
          <w:szCs w:val="26"/>
        </w:rPr>
        <w:t xml:space="preserve">collection of NITS </w:t>
      </w:r>
      <w:r w:rsidR="00965907">
        <w:rPr>
          <w:rFonts w:eastAsiaTheme="minorHAnsi"/>
          <w:sz w:val="26"/>
          <w:szCs w:val="26"/>
        </w:rPr>
        <w:t xml:space="preserve">costs </w:t>
      </w:r>
      <w:r w:rsidRPr="00E37897">
        <w:rPr>
          <w:rFonts w:eastAsiaTheme="minorHAnsi"/>
          <w:sz w:val="26"/>
          <w:szCs w:val="26"/>
        </w:rPr>
        <w:t xml:space="preserve">solely to PECO </w:t>
      </w:r>
      <w:r w:rsidR="00965907">
        <w:rPr>
          <w:rFonts w:eastAsiaTheme="minorHAnsi"/>
          <w:sz w:val="26"/>
          <w:szCs w:val="26"/>
        </w:rPr>
        <w:t xml:space="preserve">and its distribution customers </w:t>
      </w:r>
      <w:r w:rsidRPr="00E37897">
        <w:rPr>
          <w:rFonts w:eastAsiaTheme="minorHAnsi"/>
          <w:sz w:val="26"/>
          <w:szCs w:val="26"/>
        </w:rPr>
        <w:t>runs contrary to both the Competition Act and Commission Regulations.  PAIEUG M.B. at 5-6.</w:t>
      </w:r>
    </w:p>
    <w:p w14:paraId="6FEC1061" w14:textId="77777777" w:rsidR="00132B33" w:rsidRPr="00E37897" w:rsidRDefault="00132B33" w:rsidP="005F3BE2">
      <w:pPr>
        <w:widowControl/>
        <w:spacing w:after="200" w:line="360" w:lineRule="auto"/>
        <w:ind w:firstLine="1440"/>
        <w:contextualSpacing/>
        <w:rPr>
          <w:rFonts w:eastAsiaTheme="minorHAnsi"/>
          <w:sz w:val="26"/>
          <w:szCs w:val="26"/>
        </w:rPr>
      </w:pPr>
    </w:p>
    <w:p w14:paraId="4E3D5C83" w14:textId="2072EB0F" w:rsidR="00132B33" w:rsidRPr="00E37897" w:rsidRDefault="00132B33"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PAIEUG argued that </w:t>
      </w:r>
      <w:r w:rsidR="00A12B58">
        <w:rPr>
          <w:rFonts w:eastAsiaTheme="minorHAnsi"/>
          <w:sz w:val="26"/>
          <w:szCs w:val="26"/>
        </w:rPr>
        <w:t xml:space="preserve">the </w:t>
      </w:r>
      <w:r w:rsidRPr="00E37897">
        <w:rPr>
          <w:rFonts w:eastAsiaTheme="minorHAnsi"/>
          <w:sz w:val="26"/>
          <w:szCs w:val="26"/>
        </w:rPr>
        <w:t>ESC was unable to provide evidence that NITS costs in PECO's service territory are so volatile that they cannot be predicted</w:t>
      </w:r>
      <w:r w:rsidR="003D373B">
        <w:rPr>
          <w:rFonts w:eastAsiaTheme="minorHAnsi"/>
          <w:sz w:val="26"/>
          <w:szCs w:val="26"/>
        </w:rPr>
        <w:t xml:space="preserve"> or managed</w:t>
      </w:r>
      <w:r w:rsidRPr="00E37897">
        <w:rPr>
          <w:rFonts w:eastAsiaTheme="minorHAnsi"/>
          <w:sz w:val="26"/>
          <w:szCs w:val="26"/>
        </w:rPr>
        <w:t xml:space="preserve">.  Instead, PAIEUG submitted that </w:t>
      </w:r>
      <w:r w:rsidR="00A12B58">
        <w:rPr>
          <w:rFonts w:eastAsiaTheme="minorHAnsi"/>
          <w:sz w:val="26"/>
          <w:szCs w:val="26"/>
        </w:rPr>
        <w:t xml:space="preserve">the </w:t>
      </w:r>
      <w:r w:rsidRPr="00E37897">
        <w:rPr>
          <w:rFonts w:eastAsiaTheme="minorHAnsi"/>
          <w:sz w:val="26"/>
          <w:szCs w:val="26"/>
        </w:rPr>
        <w:t xml:space="preserve">ESC only cited to changes in the NITS rates of other transmission owners, which are irrelevant to customers taking competitive generation supply in PECO’s service territory.  PAIEUG further noted that in PECO’s service territory, NITS costs have actually decreased over the past two years.  PAIEUG argued that even if such volatility existed, EGSs do not have to take on such risk, especially with respect to Large C&amp;I customers.  In this regard, PAIEUG explained that most Large C&amp;I customers procure generation from EGSs under contracts in which NITS costs are a direct pass-through based on each customer's Network Service Peak Load (NSPL).  Therefore, PAIEUG echoed Calpine’s assertion that </w:t>
      </w:r>
      <w:r w:rsidR="00A12B58">
        <w:rPr>
          <w:rFonts w:eastAsiaTheme="minorHAnsi"/>
          <w:sz w:val="26"/>
          <w:szCs w:val="26"/>
        </w:rPr>
        <w:t xml:space="preserve">the </w:t>
      </w:r>
      <w:r w:rsidRPr="00E37897">
        <w:rPr>
          <w:rFonts w:eastAsiaTheme="minorHAnsi"/>
          <w:sz w:val="26"/>
          <w:szCs w:val="26"/>
        </w:rPr>
        <w:t>ESC’s proposal is nothing more than an attempt to shed and shift market risk associated with its demand</w:t>
      </w:r>
      <w:r w:rsidR="003D373B">
        <w:rPr>
          <w:rFonts w:eastAsiaTheme="minorHAnsi"/>
          <w:sz w:val="26"/>
          <w:szCs w:val="26"/>
        </w:rPr>
        <w:t>-</w:t>
      </w:r>
      <w:r w:rsidRPr="00E37897">
        <w:rPr>
          <w:rFonts w:eastAsiaTheme="minorHAnsi"/>
          <w:sz w:val="26"/>
          <w:szCs w:val="26"/>
        </w:rPr>
        <w:t xml:space="preserve">driven costs.  In PAIEUG’s view, </w:t>
      </w:r>
      <w:r w:rsidR="00A12B58">
        <w:rPr>
          <w:rFonts w:eastAsiaTheme="minorHAnsi"/>
          <w:sz w:val="26"/>
          <w:szCs w:val="26"/>
        </w:rPr>
        <w:t xml:space="preserve">the </w:t>
      </w:r>
      <w:r w:rsidRPr="00E37897">
        <w:rPr>
          <w:rFonts w:eastAsiaTheme="minorHAnsi"/>
          <w:sz w:val="26"/>
          <w:szCs w:val="26"/>
        </w:rPr>
        <w:t xml:space="preserve">ESC is inappropriately seeking a bail-out from </w:t>
      </w:r>
      <w:r w:rsidR="003D373B">
        <w:rPr>
          <w:rFonts w:eastAsiaTheme="minorHAnsi"/>
          <w:sz w:val="26"/>
          <w:szCs w:val="26"/>
        </w:rPr>
        <w:t xml:space="preserve">PECO’s distribution </w:t>
      </w:r>
      <w:r w:rsidRPr="00E37897">
        <w:rPr>
          <w:rFonts w:eastAsiaTheme="minorHAnsi"/>
          <w:sz w:val="26"/>
          <w:szCs w:val="26"/>
        </w:rPr>
        <w:t>customers rather than using its expertise to manage these costs and the associated risks.  PAIEUG M.B. at 7-8, 10-11.</w:t>
      </w:r>
    </w:p>
    <w:p w14:paraId="2312F06C" w14:textId="77777777" w:rsidR="00132B33" w:rsidRPr="00E37897" w:rsidRDefault="00132B33" w:rsidP="005F3BE2">
      <w:pPr>
        <w:widowControl/>
        <w:spacing w:line="360" w:lineRule="auto"/>
        <w:ind w:firstLine="1440"/>
        <w:contextualSpacing/>
        <w:rPr>
          <w:rFonts w:eastAsiaTheme="minorHAnsi"/>
          <w:sz w:val="26"/>
          <w:szCs w:val="26"/>
        </w:rPr>
      </w:pPr>
    </w:p>
    <w:p w14:paraId="289E291E" w14:textId="114E3BBC"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Like Calpine, PAIEUG took the position that </w:t>
      </w:r>
      <w:r w:rsidR="00A12B58">
        <w:rPr>
          <w:rFonts w:eastAsiaTheme="minorHAnsi"/>
          <w:sz w:val="26"/>
          <w:szCs w:val="26"/>
        </w:rPr>
        <w:t xml:space="preserve">the </w:t>
      </w:r>
      <w:r w:rsidRPr="00E37897">
        <w:rPr>
          <w:rFonts w:eastAsiaTheme="minorHAnsi"/>
          <w:sz w:val="26"/>
          <w:szCs w:val="26"/>
        </w:rPr>
        <w:t>ESC’s proposal would be harmful to competition because it would remove</w:t>
      </w:r>
      <w:r w:rsidRPr="00E37897">
        <w:rPr>
          <w:rFonts w:eastAsiaTheme="minorHAnsi"/>
          <w:color w:val="FF0000"/>
          <w:sz w:val="26"/>
          <w:szCs w:val="26"/>
        </w:rPr>
        <w:t xml:space="preserve"> </w:t>
      </w:r>
      <w:r w:rsidRPr="00E37897">
        <w:rPr>
          <w:rFonts w:eastAsiaTheme="minorHAnsi"/>
          <w:sz w:val="26"/>
          <w:szCs w:val="26"/>
        </w:rPr>
        <w:t xml:space="preserve">products and services from the </w:t>
      </w:r>
      <w:r w:rsidR="003D373B">
        <w:rPr>
          <w:rFonts w:eastAsiaTheme="minorHAnsi"/>
          <w:sz w:val="26"/>
          <w:szCs w:val="26"/>
        </w:rPr>
        <w:t xml:space="preserve">retail </w:t>
      </w:r>
      <w:r w:rsidRPr="00E37897">
        <w:rPr>
          <w:rFonts w:eastAsiaTheme="minorHAnsi"/>
          <w:sz w:val="26"/>
          <w:szCs w:val="26"/>
        </w:rPr>
        <w:t>market.</w:t>
      </w:r>
      <w:r w:rsidRPr="00E37897">
        <w:rPr>
          <w:rFonts w:eastAsiaTheme="minorHAnsi"/>
          <w:color w:val="FF0000"/>
          <w:sz w:val="26"/>
          <w:szCs w:val="26"/>
        </w:rPr>
        <w:t xml:space="preserve">  </w:t>
      </w:r>
      <w:r w:rsidRPr="00E37897">
        <w:rPr>
          <w:rFonts w:eastAsiaTheme="minorHAnsi"/>
          <w:sz w:val="26"/>
          <w:szCs w:val="26"/>
        </w:rPr>
        <w:t>PAIEUG highlighted Calpine’s argument that PECO’s default service is one</w:t>
      </w:r>
      <w:r w:rsidR="003D373B">
        <w:rPr>
          <w:rFonts w:eastAsiaTheme="minorHAnsi"/>
          <w:sz w:val="26"/>
          <w:szCs w:val="26"/>
        </w:rPr>
        <w:t>-</w:t>
      </w:r>
      <w:r w:rsidRPr="00E37897">
        <w:rPr>
          <w:rFonts w:eastAsiaTheme="minorHAnsi"/>
          <w:sz w:val="26"/>
          <w:szCs w:val="26"/>
        </w:rPr>
        <w:t>size</w:t>
      </w:r>
      <w:r w:rsidR="003D373B">
        <w:rPr>
          <w:rFonts w:eastAsiaTheme="minorHAnsi"/>
          <w:sz w:val="26"/>
          <w:szCs w:val="26"/>
        </w:rPr>
        <w:t>-</w:t>
      </w:r>
      <w:r w:rsidRPr="00E37897">
        <w:rPr>
          <w:rFonts w:eastAsiaTheme="minorHAnsi"/>
          <w:sz w:val="26"/>
          <w:szCs w:val="26"/>
        </w:rPr>
        <w:t>fits</w:t>
      </w:r>
      <w:r w:rsidR="003D373B">
        <w:rPr>
          <w:rFonts w:eastAsiaTheme="minorHAnsi"/>
          <w:sz w:val="26"/>
          <w:szCs w:val="26"/>
        </w:rPr>
        <w:t>-</w:t>
      </w:r>
      <w:r w:rsidRPr="00E37897">
        <w:rPr>
          <w:rFonts w:eastAsiaTheme="minorHAnsi"/>
          <w:sz w:val="26"/>
          <w:szCs w:val="26"/>
        </w:rPr>
        <w:t xml:space="preserve">all, while EGSs have the freedom to choose the products and services they offer into the </w:t>
      </w:r>
      <w:r w:rsidR="003D373B">
        <w:rPr>
          <w:rFonts w:eastAsiaTheme="minorHAnsi"/>
          <w:sz w:val="26"/>
          <w:szCs w:val="26"/>
        </w:rPr>
        <w:t xml:space="preserve">retail </w:t>
      </w:r>
      <w:r w:rsidRPr="00E37897">
        <w:rPr>
          <w:rFonts w:eastAsiaTheme="minorHAnsi"/>
          <w:sz w:val="26"/>
          <w:szCs w:val="26"/>
        </w:rPr>
        <w:t xml:space="preserve">marketplace.  Therefore, PAIEUG submitted that </w:t>
      </w:r>
      <w:r w:rsidR="00A12B58">
        <w:rPr>
          <w:rFonts w:eastAsiaTheme="minorHAnsi"/>
          <w:sz w:val="26"/>
          <w:szCs w:val="26"/>
        </w:rPr>
        <w:t xml:space="preserve">the </w:t>
      </w:r>
      <w:r w:rsidRPr="00E37897">
        <w:rPr>
          <w:rFonts w:eastAsiaTheme="minorHAnsi"/>
          <w:sz w:val="26"/>
          <w:szCs w:val="26"/>
        </w:rPr>
        <w:t>ESC’s proposal effectively re</w:t>
      </w:r>
      <w:r w:rsidR="003D373B">
        <w:rPr>
          <w:rFonts w:eastAsiaTheme="minorHAnsi"/>
          <w:sz w:val="26"/>
          <w:szCs w:val="26"/>
        </w:rPr>
        <w:t>-</w:t>
      </w:r>
      <w:r w:rsidRPr="00E37897">
        <w:rPr>
          <w:rFonts w:eastAsiaTheme="minorHAnsi"/>
          <w:sz w:val="26"/>
          <w:szCs w:val="26"/>
        </w:rPr>
        <w:t>bundle</w:t>
      </w:r>
      <w:r w:rsidR="00DD741B" w:rsidRPr="00E37897">
        <w:rPr>
          <w:rFonts w:eastAsiaTheme="minorHAnsi"/>
          <w:sz w:val="26"/>
          <w:szCs w:val="26"/>
        </w:rPr>
        <w:t>s</w:t>
      </w:r>
      <w:r w:rsidRPr="00E37897">
        <w:rPr>
          <w:rFonts w:eastAsiaTheme="minorHAnsi"/>
          <w:sz w:val="26"/>
          <w:szCs w:val="26"/>
        </w:rPr>
        <w:t xml:space="preserve"> transmission and distribution, contrary to the terms of the Competition Act.  PAIEUG M.B. at 12.</w:t>
      </w:r>
    </w:p>
    <w:p w14:paraId="569C1B1F" w14:textId="77777777" w:rsidR="00132B33" w:rsidRPr="00E37897" w:rsidRDefault="00132B33" w:rsidP="005F3BE2">
      <w:pPr>
        <w:widowControl/>
        <w:spacing w:after="200" w:line="360" w:lineRule="auto"/>
        <w:ind w:firstLine="1440"/>
        <w:contextualSpacing/>
        <w:rPr>
          <w:rFonts w:eastAsiaTheme="minorHAnsi"/>
          <w:sz w:val="26"/>
          <w:szCs w:val="26"/>
        </w:rPr>
      </w:pPr>
    </w:p>
    <w:p w14:paraId="3DC94915" w14:textId="57A73C31" w:rsidR="00132B33" w:rsidRPr="001953F3"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lastRenderedPageBreak/>
        <w:t xml:space="preserve">Additionally, </w:t>
      </w:r>
      <w:bookmarkStart w:id="20" w:name="_Hlk56083932"/>
      <w:r w:rsidRPr="00E37897">
        <w:rPr>
          <w:rFonts w:eastAsiaTheme="minorHAnsi"/>
          <w:sz w:val="26"/>
          <w:szCs w:val="26"/>
        </w:rPr>
        <w:t xml:space="preserve">PAIEUG </w:t>
      </w:r>
      <w:bookmarkEnd w:id="20"/>
      <w:r w:rsidRPr="00E37897">
        <w:rPr>
          <w:rFonts w:eastAsiaTheme="minorHAnsi"/>
          <w:sz w:val="26"/>
          <w:szCs w:val="26"/>
        </w:rPr>
        <w:t xml:space="preserve">claimed that </w:t>
      </w:r>
      <w:r w:rsidR="00A12B58">
        <w:rPr>
          <w:rFonts w:eastAsiaTheme="minorHAnsi"/>
          <w:sz w:val="26"/>
          <w:szCs w:val="26"/>
        </w:rPr>
        <w:t xml:space="preserve">the </w:t>
      </w:r>
      <w:r w:rsidRPr="00E37897">
        <w:rPr>
          <w:rFonts w:eastAsiaTheme="minorHAnsi"/>
          <w:sz w:val="26"/>
          <w:szCs w:val="26"/>
        </w:rPr>
        <w:t>ESC’s proposal would pose specific harm to Large C&amp;I customers that have entered into long-term fixed price contracts with EGSs.  According to PAIEUG, although Large C&amp;I customers seek to utilize a pass</w:t>
      </w:r>
      <w:r w:rsidRPr="00E37897">
        <w:rPr>
          <w:rFonts w:eastAsiaTheme="minorHAnsi"/>
          <w:sz w:val="26"/>
          <w:szCs w:val="26"/>
        </w:rPr>
        <w:noBreakHyphen/>
        <w:t xml:space="preserve">through for NITS rates, some Large C&amp;I customers prefer the option of requesting a fixed price contract that would include generation and NITS charges.  Therefore, PAIEUG argued that for such customers, shifting cost collection responsibility for NITS to PECO could result in double recovery of NITS charges: </w:t>
      </w:r>
      <w:r w:rsidR="00A97F4D">
        <w:rPr>
          <w:rFonts w:eastAsiaTheme="minorHAnsi"/>
          <w:sz w:val="26"/>
          <w:szCs w:val="26"/>
        </w:rPr>
        <w:t xml:space="preserve">(1) </w:t>
      </w:r>
      <w:r w:rsidRPr="00E37897">
        <w:rPr>
          <w:rFonts w:eastAsiaTheme="minorHAnsi"/>
          <w:sz w:val="26"/>
          <w:szCs w:val="26"/>
        </w:rPr>
        <w:t>once through PECO’s NBT</w:t>
      </w:r>
      <w:r w:rsidR="00A97F4D">
        <w:rPr>
          <w:rFonts w:eastAsiaTheme="minorHAnsi"/>
          <w:sz w:val="26"/>
          <w:szCs w:val="26"/>
        </w:rPr>
        <w:t>:</w:t>
      </w:r>
      <w:r w:rsidRPr="00E37897">
        <w:rPr>
          <w:rFonts w:eastAsiaTheme="minorHAnsi"/>
          <w:sz w:val="26"/>
          <w:szCs w:val="26"/>
        </w:rPr>
        <w:t xml:space="preserve"> and </w:t>
      </w:r>
      <w:r w:rsidR="00A97F4D">
        <w:rPr>
          <w:rFonts w:eastAsiaTheme="minorHAnsi"/>
          <w:sz w:val="26"/>
          <w:szCs w:val="26"/>
        </w:rPr>
        <w:t xml:space="preserve">(2) </w:t>
      </w:r>
      <w:r w:rsidRPr="00E37897">
        <w:rPr>
          <w:rFonts w:eastAsiaTheme="minorHAnsi"/>
          <w:sz w:val="26"/>
          <w:szCs w:val="26"/>
        </w:rPr>
        <w:t xml:space="preserve">once through fixed price EGS contracts that extend beyond the date ESC’s proposal is implemented.  PAIEUG asserted that </w:t>
      </w:r>
      <w:r w:rsidR="00A12B58">
        <w:rPr>
          <w:rFonts w:eastAsiaTheme="minorHAnsi"/>
          <w:sz w:val="26"/>
          <w:szCs w:val="26"/>
        </w:rPr>
        <w:t xml:space="preserve">the </w:t>
      </w:r>
      <w:r w:rsidRPr="00E37897">
        <w:rPr>
          <w:rFonts w:eastAsiaTheme="minorHAnsi"/>
          <w:sz w:val="26"/>
          <w:szCs w:val="26"/>
        </w:rPr>
        <w:t xml:space="preserve">ESC’s transitional proposal to limit the change in cost responsibility to new charges associated with NITS occurring after a final Commission order </w:t>
      </w:r>
      <w:r w:rsidR="003D373B">
        <w:rPr>
          <w:rFonts w:eastAsiaTheme="minorHAnsi"/>
          <w:sz w:val="26"/>
          <w:szCs w:val="26"/>
        </w:rPr>
        <w:t xml:space="preserve">is entered in this proceeding </w:t>
      </w:r>
      <w:r w:rsidRPr="00E37897">
        <w:rPr>
          <w:rFonts w:eastAsiaTheme="minorHAnsi"/>
          <w:sz w:val="26"/>
          <w:szCs w:val="26"/>
        </w:rPr>
        <w:t>would provide no relief because NITS costs are a single charge updated once a year for all customers.  PAIEUG M.B. at 13-15</w:t>
      </w:r>
      <w:r w:rsidRPr="00037386">
        <w:rPr>
          <w:rFonts w:eastAsiaTheme="minorHAnsi"/>
          <w:sz w:val="26"/>
          <w:szCs w:val="26"/>
        </w:rPr>
        <w:t>.</w:t>
      </w:r>
      <w:r w:rsidRPr="001953F3">
        <w:rPr>
          <w:rFonts w:eastAsiaTheme="minorHAnsi"/>
          <w:sz w:val="26"/>
          <w:szCs w:val="26"/>
        </w:rPr>
        <w:t xml:space="preserve">  </w:t>
      </w:r>
    </w:p>
    <w:p w14:paraId="6E0575C8" w14:textId="77777777" w:rsidR="00132B33" w:rsidRPr="00E37897" w:rsidRDefault="00132B33" w:rsidP="005F3BE2">
      <w:pPr>
        <w:widowControl/>
        <w:spacing w:after="200" w:line="360" w:lineRule="auto"/>
        <w:contextualSpacing/>
        <w:rPr>
          <w:rFonts w:eastAsiaTheme="minorHAnsi"/>
          <w:sz w:val="26"/>
          <w:szCs w:val="26"/>
        </w:rPr>
      </w:pPr>
    </w:p>
    <w:p w14:paraId="62845A9D" w14:textId="2314033C"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PAIEUG further submitted that </w:t>
      </w:r>
      <w:r w:rsidR="00A12B58">
        <w:rPr>
          <w:rFonts w:eastAsiaTheme="minorHAnsi"/>
          <w:sz w:val="26"/>
          <w:szCs w:val="26"/>
        </w:rPr>
        <w:t xml:space="preserve">the </w:t>
      </w:r>
      <w:r w:rsidRPr="00E37897">
        <w:rPr>
          <w:rFonts w:eastAsiaTheme="minorHAnsi"/>
          <w:sz w:val="26"/>
          <w:szCs w:val="26"/>
        </w:rPr>
        <w:t xml:space="preserve">ESC’s proposal would sever the link between cost recovery and cost causation.  In PAIEUG’s view, this runs contrary to the Commonwealth Court’s Decision </w:t>
      </w:r>
      <w:r w:rsidRPr="001953F3">
        <w:rPr>
          <w:rFonts w:eastAsiaTheme="minorHAnsi"/>
          <w:sz w:val="26"/>
          <w:szCs w:val="26"/>
        </w:rPr>
        <w:t>in</w:t>
      </w:r>
      <w:r w:rsidRPr="00E37897">
        <w:rPr>
          <w:rFonts w:eastAsiaTheme="minorHAnsi"/>
          <w:i/>
          <w:iCs/>
          <w:sz w:val="26"/>
          <w:szCs w:val="26"/>
        </w:rPr>
        <w:t xml:space="preserve"> Lloyd v. Pa. </w:t>
      </w:r>
      <w:r w:rsidR="00242784" w:rsidRPr="00E37897">
        <w:rPr>
          <w:rFonts w:eastAsiaTheme="minorHAnsi"/>
          <w:i/>
          <w:iCs/>
          <w:sz w:val="26"/>
          <w:szCs w:val="26"/>
        </w:rPr>
        <w:t>PUC</w:t>
      </w:r>
      <w:r w:rsidRPr="00E37897">
        <w:rPr>
          <w:rFonts w:eastAsiaTheme="minorHAnsi"/>
          <w:sz w:val="26"/>
          <w:szCs w:val="26"/>
        </w:rPr>
        <w:t>, 904 A.2d 1010, 1016 (Pa. Cmwlth. 2006)</w:t>
      </w:r>
      <w:r w:rsidR="00C5629C" w:rsidRPr="00E37897">
        <w:rPr>
          <w:rFonts w:eastAsiaTheme="minorHAnsi"/>
          <w:sz w:val="26"/>
          <w:szCs w:val="26"/>
        </w:rPr>
        <w:t>,</w:t>
      </w:r>
      <w:r w:rsidRPr="00E37897">
        <w:rPr>
          <w:rFonts w:eastAsiaTheme="minorHAnsi"/>
          <w:sz w:val="26"/>
          <w:szCs w:val="26"/>
        </w:rPr>
        <w:t xml:space="preserve"> in which the Commonwealth Court determined that the principle of cost causation is the polestar of ratemaking.  Using Large C&amp;I customers as an example, PAIEUG explained that most Large C&amp;I shopping customers procure generation from EGSs through contracts under which NITS costs are a direct pass</w:t>
      </w:r>
      <w:r w:rsidRPr="00E37897">
        <w:rPr>
          <w:rFonts w:eastAsiaTheme="minorHAnsi"/>
          <w:sz w:val="26"/>
          <w:szCs w:val="26"/>
        </w:rPr>
        <w:noBreakHyphen/>
        <w:t>through.  PAIEUG continued that this pass through is based on the individual customer</w:t>
      </w:r>
      <w:r w:rsidR="00C5629C" w:rsidRPr="00E37897">
        <w:rPr>
          <w:rFonts w:eastAsiaTheme="minorHAnsi"/>
          <w:sz w:val="26"/>
          <w:szCs w:val="26"/>
        </w:rPr>
        <w:t>’</w:t>
      </w:r>
      <w:r w:rsidRPr="00E37897">
        <w:rPr>
          <w:rFonts w:eastAsiaTheme="minorHAnsi"/>
          <w:sz w:val="26"/>
          <w:szCs w:val="26"/>
        </w:rPr>
        <w:t>s NSPL, which is based in turn on the customer’s contribution to the annual system peak.  Thus, PAIEUG noted that each customer pays for NITS in a manner that reflects the customer</w:t>
      </w:r>
      <w:r w:rsidR="00C5629C" w:rsidRPr="00E37897">
        <w:rPr>
          <w:rFonts w:eastAsiaTheme="minorHAnsi"/>
          <w:sz w:val="26"/>
          <w:szCs w:val="26"/>
        </w:rPr>
        <w:t>’</w:t>
      </w:r>
      <w:r w:rsidRPr="00E37897">
        <w:rPr>
          <w:rFonts w:eastAsiaTheme="minorHAnsi"/>
          <w:sz w:val="26"/>
          <w:szCs w:val="26"/>
        </w:rPr>
        <w:t xml:space="preserve">s responsibility for network transmission costs.  PAIEUG contended that if </w:t>
      </w:r>
      <w:r w:rsidR="00A12B58">
        <w:rPr>
          <w:rFonts w:eastAsiaTheme="minorHAnsi"/>
          <w:sz w:val="26"/>
          <w:szCs w:val="26"/>
        </w:rPr>
        <w:t xml:space="preserve">the </w:t>
      </w:r>
      <w:r w:rsidRPr="00E37897">
        <w:rPr>
          <w:rFonts w:eastAsiaTheme="minorHAnsi"/>
          <w:sz w:val="26"/>
          <w:szCs w:val="26"/>
        </w:rPr>
        <w:t>ESC’s proposal is adopted, NITS recovery through the TSC would bill the customer for its highest measured demand, rather than its NSPL, irrespective of when such demand occurred.  PAIEUG M.B. at 16-17.</w:t>
      </w:r>
    </w:p>
    <w:p w14:paraId="0A9514AD" w14:textId="77777777" w:rsidR="00132B33" w:rsidRPr="00E37897" w:rsidRDefault="00132B33" w:rsidP="005F3BE2">
      <w:pPr>
        <w:widowControl/>
        <w:spacing w:after="200" w:line="360" w:lineRule="auto"/>
        <w:contextualSpacing/>
        <w:rPr>
          <w:rFonts w:eastAsiaTheme="minorHAnsi"/>
          <w:sz w:val="26"/>
          <w:szCs w:val="26"/>
        </w:rPr>
      </w:pPr>
    </w:p>
    <w:p w14:paraId="1446E9F2" w14:textId="68E63246" w:rsidR="00132B33" w:rsidRPr="00E37897" w:rsidRDefault="00132B33" w:rsidP="005F3BE2">
      <w:pPr>
        <w:widowControl/>
        <w:spacing w:after="200" w:line="360" w:lineRule="auto"/>
        <w:ind w:firstLine="1440"/>
        <w:contextualSpacing/>
        <w:rPr>
          <w:rFonts w:eastAsiaTheme="minorHAnsi"/>
          <w:sz w:val="26"/>
          <w:szCs w:val="26"/>
        </w:rPr>
      </w:pPr>
      <w:r w:rsidRPr="00E37897">
        <w:rPr>
          <w:rFonts w:eastAsiaTheme="minorHAnsi"/>
          <w:sz w:val="26"/>
          <w:szCs w:val="26"/>
        </w:rPr>
        <w:lastRenderedPageBreak/>
        <w:t xml:space="preserve">Finally, PAIEUG asserted that if the Commission adopts </w:t>
      </w:r>
      <w:r w:rsidR="00A12B58">
        <w:rPr>
          <w:rFonts w:eastAsiaTheme="minorHAnsi"/>
          <w:sz w:val="26"/>
          <w:szCs w:val="26"/>
        </w:rPr>
        <w:t xml:space="preserve">the </w:t>
      </w:r>
      <w:r w:rsidRPr="00E37897">
        <w:rPr>
          <w:rFonts w:eastAsiaTheme="minorHAnsi"/>
          <w:sz w:val="26"/>
          <w:szCs w:val="26"/>
        </w:rPr>
        <w:t xml:space="preserve">ESC’s proposal, it should approve a carve-out for Large C&amp;I customers so that the status quo remains for this customer class.  PAIEUG reasoned that Large C&amp;I customers have specific issues of concern warranting a carve-out.  In response to PECO’s concern that it would need to reconfigure its billing system to accommodate a carve out, PAIEUG posited that the associated administrative costs could be recovered by EGSs seeking to implement </w:t>
      </w:r>
      <w:r w:rsidR="00A12B58">
        <w:rPr>
          <w:rFonts w:eastAsiaTheme="minorHAnsi"/>
          <w:sz w:val="26"/>
          <w:szCs w:val="26"/>
        </w:rPr>
        <w:t xml:space="preserve">the </w:t>
      </w:r>
      <w:r w:rsidRPr="00E37897">
        <w:rPr>
          <w:rFonts w:eastAsiaTheme="minorHAnsi"/>
          <w:sz w:val="26"/>
          <w:szCs w:val="26"/>
        </w:rPr>
        <w:t>ESC’s proposal.  PAIEUG M.B. at 18-19.</w:t>
      </w:r>
    </w:p>
    <w:p w14:paraId="4A2B8D13" w14:textId="77777777" w:rsidR="004E3528" w:rsidRPr="00E37897" w:rsidRDefault="004E3528" w:rsidP="005F3BE2">
      <w:pPr>
        <w:pStyle w:val="BodyText2"/>
        <w:widowControl/>
        <w:spacing w:after="0" w:line="360" w:lineRule="auto"/>
        <w:contextualSpacing/>
        <w:rPr>
          <w:sz w:val="26"/>
          <w:szCs w:val="26"/>
          <w:highlight w:val="green"/>
        </w:rPr>
      </w:pPr>
    </w:p>
    <w:p w14:paraId="03CFF496" w14:textId="77777777" w:rsidR="004103D7" w:rsidRPr="00E37897" w:rsidRDefault="004E3528" w:rsidP="005F3BE2">
      <w:pPr>
        <w:pStyle w:val="Heading2"/>
        <w:spacing w:after="0" w:line="360" w:lineRule="auto"/>
        <w:ind w:left="720" w:hanging="720"/>
        <w:contextualSpacing/>
        <w:jc w:val="left"/>
        <w:rPr>
          <w:caps w:val="0"/>
          <w:sz w:val="26"/>
          <w:szCs w:val="26"/>
        </w:rPr>
      </w:pPr>
      <w:bookmarkStart w:id="21" w:name="_Toc56512766"/>
      <w:r w:rsidRPr="00E37897">
        <w:rPr>
          <w:caps w:val="0"/>
          <w:sz w:val="26"/>
          <w:szCs w:val="26"/>
        </w:rPr>
        <w:t>C</w:t>
      </w:r>
      <w:r w:rsidR="004103D7" w:rsidRPr="00E37897">
        <w:rPr>
          <w:caps w:val="0"/>
          <w:sz w:val="26"/>
          <w:szCs w:val="26"/>
        </w:rPr>
        <w:t>.</w:t>
      </w:r>
      <w:r w:rsidR="004103D7" w:rsidRPr="00E37897">
        <w:rPr>
          <w:caps w:val="0"/>
          <w:sz w:val="26"/>
          <w:szCs w:val="26"/>
        </w:rPr>
        <w:tab/>
        <w:t>ALJ</w:t>
      </w:r>
      <w:r w:rsidR="00F776A7" w:rsidRPr="00E37897">
        <w:rPr>
          <w:caps w:val="0"/>
          <w:sz w:val="26"/>
          <w:szCs w:val="26"/>
        </w:rPr>
        <w:t>’</w:t>
      </w:r>
      <w:r w:rsidR="004103D7" w:rsidRPr="00E37897">
        <w:rPr>
          <w:caps w:val="0"/>
          <w:sz w:val="26"/>
          <w:szCs w:val="26"/>
        </w:rPr>
        <w:t>s Recommendation</w:t>
      </w:r>
      <w:bookmarkEnd w:id="21"/>
    </w:p>
    <w:p w14:paraId="5BE6DA6F" w14:textId="77777777" w:rsidR="00470AC3" w:rsidRPr="00E37897" w:rsidRDefault="00470AC3" w:rsidP="005F3BE2">
      <w:pPr>
        <w:pStyle w:val="BodyText2"/>
        <w:keepNext/>
        <w:keepLines/>
        <w:widowControl/>
        <w:spacing w:after="0" w:line="360" w:lineRule="auto"/>
        <w:contextualSpacing/>
        <w:rPr>
          <w:sz w:val="26"/>
          <w:szCs w:val="26"/>
        </w:rPr>
      </w:pPr>
    </w:p>
    <w:p w14:paraId="5652C43E" w14:textId="73B054FF" w:rsidR="00BC2F7A" w:rsidRPr="00E37897" w:rsidRDefault="0010721D" w:rsidP="005F3BE2">
      <w:pPr>
        <w:widowControl/>
        <w:spacing w:line="360" w:lineRule="auto"/>
        <w:ind w:right="72" w:firstLine="1440"/>
        <w:contextualSpacing/>
        <w:textAlignment w:val="baseline"/>
        <w:rPr>
          <w:sz w:val="26"/>
          <w:szCs w:val="26"/>
        </w:rPr>
      </w:pPr>
      <w:r w:rsidRPr="00E37897">
        <w:rPr>
          <w:sz w:val="26"/>
          <w:szCs w:val="26"/>
        </w:rPr>
        <w:t>The ALJ rec</w:t>
      </w:r>
      <w:r w:rsidR="00B5145F" w:rsidRPr="00E37897">
        <w:rPr>
          <w:sz w:val="26"/>
          <w:szCs w:val="26"/>
        </w:rPr>
        <w:t>ommend</w:t>
      </w:r>
      <w:r w:rsidRPr="00E37897">
        <w:rPr>
          <w:sz w:val="26"/>
          <w:szCs w:val="26"/>
        </w:rPr>
        <w:t>ed</w:t>
      </w:r>
      <w:r w:rsidR="00B5145F" w:rsidRPr="00E37897">
        <w:rPr>
          <w:sz w:val="26"/>
          <w:szCs w:val="26"/>
        </w:rPr>
        <w:t xml:space="preserve"> that </w:t>
      </w:r>
      <w:r w:rsidR="00A12B58">
        <w:rPr>
          <w:sz w:val="26"/>
          <w:szCs w:val="26"/>
        </w:rPr>
        <w:t xml:space="preserve">the </w:t>
      </w:r>
      <w:r w:rsidR="00B5145F" w:rsidRPr="00E37897">
        <w:rPr>
          <w:sz w:val="26"/>
          <w:szCs w:val="26"/>
        </w:rPr>
        <w:t>ESC’s proposal that PECO acquire NITS for all customer load and recover the associated PJM charges on a non-bypassable basis be denied</w:t>
      </w:r>
      <w:r w:rsidR="00FB0996" w:rsidRPr="00E37897">
        <w:rPr>
          <w:sz w:val="26"/>
          <w:szCs w:val="26"/>
        </w:rPr>
        <w:t>, finding that</w:t>
      </w:r>
      <w:r w:rsidR="00B5145F" w:rsidRPr="00E37897">
        <w:rPr>
          <w:sz w:val="26"/>
          <w:szCs w:val="26"/>
        </w:rPr>
        <w:t xml:space="preserve"> </w:t>
      </w:r>
      <w:r w:rsidR="00A12B58">
        <w:rPr>
          <w:sz w:val="26"/>
          <w:szCs w:val="26"/>
        </w:rPr>
        <w:t xml:space="preserve">the </w:t>
      </w:r>
      <w:r w:rsidR="00B5145F" w:rsidRPr="00E37897">
        <w:rPr>
          <w:sz w:val="26"/>
          <w:szCs w:val="26"/>
        </w:rPr>
        <w:t>ESC did not establish any basis to change the existing Commission-approved assignment of responsibility for NITS to all LSEs, including EGSs.</w:t>
      </w:r>
      <w:r w:rsidR="00C16FCD" w:rsidRPr="00E37897">
        <w:rPr>
          <w:sz w:val="26"/>
          <w:szCs w:val="26"/>
        </w:rPr>
        <w:t xml:space="preserve">  </w:t>
      </w:r>
      <w:r w:rsidR="005B01D8" w:rsidRPr="00E37897">
        <w:rPr>
          <w:sz w:val="26"/>
          <w:szCs w:val="26"/>
        </w:rPr>
        <w:t xml:space="preserve">R.D. at 108.  </w:t>
      </w:r>
      <w:r w:rsidR="007A12EB" w:rsidRPr="00E37897">
        <w:rPr>
          <w:sz w:val="26"/>
          <w:szCs w:val="26"/>
        </w:rPr>
        <w:t>The ALJ determined that</w:t>
      </w:r>
      <w:r w:rsidR="00BC2F7A" w:rsidRPr="00E37897">
        <w:rPr>
          <w:sz w:val="26"/>
          <w:szCs w:val="26"/>
        </w:rPr>
        <w:t xml:space="preserve"> </w:t>
      </w:r>
      <w:r w:rsidR="00A12B58">
        <w:rPr>
          <w:sz w:val="26"/>
          <w:szCs w:val="26"/>
        </w:rPr>
        <w:t xml:space="preserve">the </w:t>
      </w:r>
      <w:r w:rsidR="00BC2F7A" w:rsidRPr="00E37897">
        <w:rPr>
          <w:sz w:val="26"/>
          <w:szCs w:val="26"/>
        </w:rPr>
        <w:t xml:space="preserve">ESC failed to </w:t>
      </w:r>
      <w:r w:rsidR="007A12EB" w:rsidRPr="00E37897">
        <w:rPr>
          <w:sz w:val="26"/>
          <w:szCs w:val="26"/>
        </w:rPr>
        <w:t>demonstrate</w:t>
      </w:r>
      <w:r w:rsidR="00BC2F7A" w:rsidRPr="00E37897">
        <w:rPr>
          <w:sz w:val="26"/>
          <w:szCs w:val="26"/>
        </w:rPr>
        <w:t xml:space="preserve"> that the NITS costs in PECO</w:t>
      </w:r>
      <w:r w:rsidR="00504B21" w:rsidRPr="00E37897">
        <w:rPr>
          <w:sz w:val="26"/>
          <w:szCs w:val="26"/>
        </w:rPr>
        <w:t>’</w:t>
      </w:r>
      <w:r w:rsidR="00BC2F7A" w:rsidRPr="00E37897">
        <w:rPr>
          <w:sz w:val="26"/>
          <w:szCs w:val="26"/>
        </w:rPr>
        <w:t xml:space="preserve">s service territory are so volatile that they cannot be predicted. </w:t>
      </w:r>
      <w:r w:rsidR="002623B7" w:rsidRPr="00E37897">
        <w:rPr>
          <w:sz w:val="26"/>
          <w:szCs w:val="26"/>
        </w:rPr>
        <w:t xml:space="preserve"> </w:t>
      </w:r>
      <w:r w:rsidR="005B01D8" w:rsidRPr="00E37897">
        <w:rPr>
          <w:sz w:val="26"/>
          <w:szCs w:val="26"/>
        </w:rPr>
        <w:t xml:space="preserve">R.D. at 106.  </w:t>
      </w:r>
      <w:r w:rsidR="002623B7" w:rsidRPr="00E37897">
        <w:rPr>
          <w:sz w:val="26"/>
          <w:szCs w:val="26"/>
        </w:rPr>
        <w:t xml:space="preserve">The ALJ noted that </w:t>
      </w:r>
      <w:r w:rsidR="00BC2F7A" w:rsidRPr="00E37897">
        <w:rPr>
          <w:sz w:val="26"/>
          <w:szCs w:val="26"/>
        </w:rPr>
        <w:t>a FERC</w:t>
      </w:r>
      <w:r w:rsidR="00C2397F" w:rsidRPr="00E37897">
        <w:rPr>
          <w:sz w:val="26"/>
          <w:szCs w:val="26"/>
        </w:rPr>
        <w:t xml:space="preserve"> </w:t>
      </w:r>
      <w:r w:rsidR="00BC2F7A" w:rsidRPr="00E37897">
        <w:rPr>
          <w:sz w:val="26"/>
          <w:szCs w:val="26"/>
        </w:rPr>
        <w:t>approved formula rate periodically sets a transmission provider</w:t>
      </w:r>
      <w:r w:rsidR="005B01D8" w:rsidRPr="00E37897">
        <w:rPr>
          <w:sz w:val="26"/>
          <w:szCs w:val="26"/>
        </w:rPr>
        <w:t>’</w:t>
      </w:r>
      <w:r w:rsidR="00BC2F7A" w:rsidRPr="00E37897">
        <w:rPr>
          <w:sz w:val="26"/>
          <w:szCs w:val="26"/>
        </w:rPr>
        <w:t xml:space="preserve">s wholesale transmission rate using a cost-of-service formula, rather than separate rate cases, to determine the resulting NITS charge. </w:t>
      </w:r>
      <w:r w:rsidR="005B01D8" w:rsidRPr="00E37897">
        <w:rPr>
          <w:sz w:val="26"/>
          <w:szCs w:val="26"/>
        </w:rPr>
        <w:t xml:space="preserve"> </w:t>
      </w:r>
      <w:r w:rsidR="005B01D8" w:rsidRPr="00E37897">
        <w:rPr>
          <w:i/>
          <w:iCs/>
          <w:sz w:val="26"/>
          <w:szCs w:val="26"/>
        </w:rPr>
        <w:t>Id</w:t>
      </w:r>
      <w:r w:rsidR="005B01D8" w:rsidRPr="00E37897">
        <w:rPr>
          <w:sz w:val="26"/>
          <w:szCs w:val="26"/>
        </w:rPr>
        <w:t xml:space="preserve">.  (citing </w:t>
      </w:r>
      <w:r w:rsidR="00BC2F7A" w:rsidRPr="00E37897">
        <w:rPr>
          <w:sz w:val="26"/>
          <w:szCs w:val="26"/>
        </w:rPr>
        <w:t>PAIEUG M</w:t>
      </w:r>
      <w:r w:rsidR="005B01D8" w:rsidRPr="00E37897">
        <w:rPr>
          <w:sz w:val="26"/>
          <w:szCs w:val="26"/>
        </w:rPr>
        <w:t>.</w:t>
      </w:r>
      <w:r w:rsidR="00BC2F7A" w:rsidRPr="00E37897">
        <w:rPr>
          <w:sz w:val="26"/>
          <w:szCs w:val="26"/>
        </w:rPr>
        <w:t>B</w:t>
      </w:r>
      <w:r w:rsidR="00504B21" w:rsidRPr="00E37897">
        <w:rPr>
          <w:sz w:val="26"/>
          <w:szCs w:val="26"/>
        </w:rPr>
        <w:t>.</w:t>
      </w:r>
      <w:r w:rsidR="00BC2F7A" w:rsidRPr="00E37897">
        <w:rPr>
          <w:sz w:val="26"/>
          <w:szCs w:val="26"/>
        </w:rPr>
        <w:t xml:space="preserve"> at 9,</w:t>
      </w:r>
      <w:r w:rsidR="002F61C0" w:rsidRPr="00E37897">
        <w:rPr>
          <w:sz w:val="26"/>
          <w:szCs w:val="26"/>
        </w:rPr>
        <w:t xml:space="preserve"> </w:t>
      </w:r>
      <w:r w:rsidR="00BC2F7A" w:rsidRPr="00E37897">
        <w:rPr>
          <w:sz w:val="26"/>
          <w:szCs w:val="26"/>
        </w:rPr>
        <w:t>PAIEUG St. 1 at 6</w:t>
      </w:r>
      <w:r w:rsidR="002F61C0" w:rsidRPr="00E37897">
        <w:rPr>
          <w:sz w:val="26"/>
          <w:szCs w:val="26"/>
        </w:rPr>
        <w:t>)</w:t>
      </w:r>
      <w:r w:rsidR="00BC2F7A" w:rsidRPr="00E37897">
        <w:rPr>
          <w:sz w:val="26"/>
          <w:szCs w:val="26"/>
        </w:rPr>
        <w:t xml:space="preserve">. </w:t>
      </w:r>
      <w:r w:rsidR="006D115C" w:rsidRPr="00E37897">
        <w:rPr>
          <w:sz w:val="26"/>
          <w:szCs w:val="26"/>
        </w:rPr>
        <w:t xml:space="preserve"> The ALJ explained that the </w:t>
      </w:r>
      <w:r w:rsidR="00BC2F7A" w:rsidRPr="00E37897">
        <w:rPr>
          <w:sz w:val="26"/>
          <w:szCs w:val="26"/>
        </w:rPr>
        <w:t xml:space="preserve">formula emulates how transmission rates are set using a standard revenue requirement calculation and the applicable load. </w:t>
      </w:r>
      <w:r w:rsidR="000307F1" w:rsidRPr="00E37897">
        <w:rPr>
          <w:sz w:val="26"/>
          <w:szCs w:val="26"/>
        </w:rPr>
        <w:t xml:space="preserve"> </w:t>
      </w:r>
      <w:r w:rsidR="00BC2F7A" w:rsidRPr="00E37897">
        <w:rPr>
          <w:sz w:val="26"/>
          <w:szCs w:val="26"/>
        </w:rPr>
        <w:t xml:space="preserve">The formula uses FERC Form 1 data, and the formula </w:t>
      </w:r>
      <w:r w:rsidR="0029297D" w:rsidRPr="00E37897">
        <w:rPr>
          <w:sz w:val="26"/>
          <w:szCs w:val="26"/>
        </w:rPr>
        <w:t>is</w:t>
      </w:r>
      <w:r w:rsidR="00BC2F7A" w:rsidRPr="00E37897">
        <w:rPr>
          <w:sz w:val="26"/>
          <w:szCs w:val="26"/>
        </w:rPr>
        <w:t xml:space="preserve"> detailed and well-documented.</w:t>
      </w:r>
      <w:r w:rsidR="0029297D" w:rsidRPr="00E37897">
        <w:rPr>
          <w:sz w:val="26"/>
          <w:szCs w:val="26"/>
        </w:rPr>
        <w:t xml:space="preserve">  The ALJ concluded that a</w:t>
      </w:r>
      <w:r w:rsidR="00BC2F7A" w:rsidRPr="00E37897">
        <w:rPr>
          <w:sz w:val="26"/>
          <w:szCs w:val="26"/>
        </w:rPr>
        <w:t>s a result of the process</w:t>
      </w:r>
      <w:r w:rsidR="0029297D" w:rsidRPr="00E37897">
        <w:rPr>
          <w:sz w:val="26"/>
          <w:szCs w:val="26"/>
        </w:rPr>
        <w:t>, there is</w:t>
      </w:r>
      <w:r w:rsidR="00BC2F7A" w:rsidRPr="00E37897">
        <w:rPr>
          <w:sz w:val="26"/>
          <w:szCs w:val="26"/>
        </w:rPr>
        <w:t xml:space="preserve"> no question </w:t>
      </w:r>
      <w:r w:rsidR="004F09F0" w:rsidRPr="00E37897">
        <w:rPr>
          <w:sz w:val="26"/>
          <w:szCs w:val="26"/>
        </w:rPr>
        <w:t>concerning</w:t>
      </w:r>
      <w:r w:rsidR="00BC2F7A" w:rsidRPr="00E37897">
        <w:rPr>
          <w:sz w:val="26"/>
          <w:szCs w:val="26"/>
        </w:rPr>
        <w:t xml:space="preserve"> when periodic changes in NITS rates will become effective</w:t>
      </w:r>
      <w:r w:rsidR="004F09F0" w:rsidRPr="00E37897">
        <w:rPr>
          <w:sz w:val="26"/>
          <w:szCs w:val="26"/>
        </w:rPr>
        <w:t>,</w:t>
      </w:r>
      <w:r w:rsidR="00BC2F7A" w:rsidRPr="00E37897">
        <w:rPr>
          <w:sz w:val="26"/>
          <w:szCs w:val="26"/>
        </w:rPr>
        <w:t xml:space="preserve"> and EGSs can anticipate changes in NITS rates. </w:t>
      </w:r>
      <w:r w:rsidR="004F09F0" w:rsidRPr="00E37897">
        <w:rPr>
          <w:sz w:val="26"/>
          <w:szCs w:val="26"/>
        </w:rPr>
        <w:t xml:space="preserve"> </w:t>
      </w:r>
      <w:r w:rsidR="006F2C33" w:rsidRPr="00E37897">
        <w:rPr>
          <w:sz w:val="26"/>
          <w:szCs w:val="26"/>
        </w:rPr>
        <w:t>The ALJ reasoned that t</w:t>
      </w:r>
      <w:r w:rsidR="00BC2F7A" w:rsidRPr="00E37897">
        <w:rPr>
          <w:sz w:val="26"/>
          <w:szCs w:val="26"/>
        </w:rPr>
        <w:t xml:space="preserve">he protocols that accompany a formula transmission rate specify when rates are to be reset </w:t>
      </w:r>
      <w:r w:rsidR="00EF00B6" w:rsidRPr="00E37897">
        <w:rPr>
          <w:sz w:val="26"/>
          <w:szCs w:val="26"/>
        </w:rPr>
        <w:t>and that</w:t>
      </w:r>
      <w:r w:rsidR="00BC2F7A" w:rsidRPr="00E37897">
        <w:rPr>
          <w:sz w:val="26"/>
          <w:szCs w:val="26"/>
        </w:rPr>
        <w:t xml:space="preserve"> for PECO, new NITS rates are implemented on June 1 of each calendar year. </w:t>
      </w:r>
      <w:r w:rsidR="00EF00B6" w:rsidRPr="00E37897">
        <w:rPr>
          <w:sz w:val="26"/>
          <w:szCs w:val="26"/>
        </w:rPr>
        <w:t xml:space="preserve"> </w:t>
      </w:r>
      <w:r w:rsidR="0045484D" w:rsidRPr="00E37897">
        <w:rPr>
          <w:sz w:val="26"/>
          <w:szCs w:val="26"/>
        </w:rPr>
        <w:t>The ALJ continued that e</w:t>
      </w:r>
      <w:r w:rsidR="00BC2F7A" w:rsidRPr="00E37897">
        <w:rPr>
          <w:sz w:val="26"/>
          <w:szCs w:val="26"/>
        </w:rPr>
        <w:t xml:space="preserve">ven though a formula rate may be forward-looking, there is a true-up that reconciles the </w:t>
      </w:r>
      <w:r w:rsidR="00BC2F7A" w:rsidRPr="00E37897">
        <w:rPr>
          <w:sz w:val="26"/>
          <w:szCs w:val="26"/>
        </w:rPr>
        <w:lastRenderedPageBreak/>
        <w:t>forward-looking rate with the actual costs incurred to provide NITS, as published in each utility</w:t>
      </w:r>
      <w:r w:rsidR="0045484D" w:rsidRPr="00E37897">
        <w:rPr>
          <w:sz w:val="26"/>
          <w:szCs w:val="26"/>
        </w:rPr>
        <w:t>’</w:t>
      </w:r>
      <w:r w:rsidR="00BC2F7A" w:rsidRPr="00E37897">
        <w:rPr>
          <w:sz w:val="26"/>
          <w:szCs w:val="26"/>
        </w:rPr>
        <w:t>s FERC Form 1. Because the formula rate includes a true-up provision, a utility is allowed to recover only its actually incurred costs as reported in FERC Form 1.</w:t>
      </w:r>
      <w:r w:rsidR="0045484D" w:rsidRPr="00E37897">
        <w:rPr>
          <w:sz w:val="26"/>
          <w:szCs w:val="26"/>
        </w:rPr>
        <w:t xml:space="preserve">  </w:t>
      </w:r>
      <w:r w:rsidR="005026E1" w:rsidRPr="00E37897">
        <w:rPr>
          <w:sz w:val="26"/>
          <w:szCs w:val="26"/>
        </w:rPr>
        <w:t>R.D. at</w:t>
      </w:r>
      <w:r w:rsidR="00037386">
        <w:rPr>
          <w:sz w:val="26"/>
          <w:szCs w:val="26"/>
        </w:rPr>
        <w:t> </w:t>
      </w:r>
      <w:r w:rsidR="005026E1" w:rsidRPr="00E37897">
        <w:rPr>
          <w:sz w:val="26"/>
          <w:szCs w:val="26"/>
        </w:rPr>
        <w:t xml:space="preserve">106.  </w:t>
      </w:r>
    </w:p>
    <w:p w14:paraId="6A772D98" w14:textId="77777777" w:rsidR="00100CE0" w:rsidRPr="00E37897" w:rsidRDefault="00100CE0" w:rsidP="005F3BE2">
      <w:pPr>
        <w:widowControl/>
        <w:spacing w:line="360" w:lineRule="auto"/>
        <w:ind w:right="72" w:firstLine="1440"/>
        <w:contextualSpacing/>
        <w:textAlignment w:val="baseline"/>
        <w:rPr>
          <w:sz w:val="26"/>
          <w:szCs w:val="26"/>
        </w:rPr>
      </w:pPr>
    </w:p>
    <w:p w14:paraId="403F6D0B" w14:textId="005FEE3E" w:rsidR="00BC2F7A" w:rsidRPr="00E37897" w:rsidRDefault="001266F5" w:rsidP="005F3BE2">
      <w:pPr>
        <w:widowControl/>
        <w:spacing w:line="360" w:lineRule="auto"/>
        <w:ind w:right="72" w:firstLine="1440"/>
        <w:contextualSpacing/>
        <w:textAlignment w:val="baseline"/>
        <w:rPr>
          <w:sz w:val="26"/>
          <w:szCs w:val="26"/>
        </w:rPr>
      </w:pPr>
      <w:r w:rsidRPr="00E37897">
        <w:rPr>
          <w:sz w:val="26"/>
          <w:szCs w:val="26"/>
        </w:rPr>
        <w:t xml:space="preserve">The ALJ </w:t>
      </w:r>
      <w:r w:rsidR="00BC2F7A" w:rsidRPr="00E37897">
        <w:rPr>
          <w:sz w:val="26"/>
          <w:szCs w:val="26"/>
        </w:rPr>
        <w:t>addition</w:t>
      </w:r>
      <w:r w:rsidRPr="00E37897">
        <w:rPr>
          <w:sz w:val="26"/>
          <w:szCs w:val="26"/>
        </w:rPr>
        <w:t>ally explained that</w:t>
      </w:r>
      <w:r w:rsidR="00BC2F7A" w:rsidRPr="00E37897">
        <w:rPr>
          <w:sz w:val="26"/>
          <w:szCs w:val="26"/>
        </w:rPr>
        <w:t xml:space="preserve"> NITS rates are based on a standard cost-of-service calculation</w:t>
      </w:r>
      <w:r w:rsidRPr="00E37897">
        <w:rPr>
          <w:sz w:val="26"/>
          <w:szCs w:val="26"/>
        </w:rPr>
        <w:t>,</w:t>
      </w:r>
      <w:r w:rsidR="00BC2F7A" w:rsidRPr="00E37897">
        <w:rPr>
          <w:sz w:val="26"/>
          <w:szCs w:val="26"/>
        </w:rPr>
        <w:t xml:space="preserve"> using the same type of information typically found in an EDC</w:t>
      </w:r>
      <w:r w:rsidRPr="00E37897">
        <w:rPr>
          <w:sz w:val="26"/>
          <w:szCs w:val="26"/>
        </w:rPr>
        <w:t>’</w:t>
      </w:r>
      <w:r w:rsidR="00BC2F7A" w:rsidRPr="00E37897">
        <w:rPr>
          <w:sz w:val="26"/>
          <w:szCs w:val="26"/>
        </w:rPr>
        <w:t xml:space="preserve">s FERC Form 1. </w:t>
      </w:r>
      <w:r w:rsidRPr="00E37897">
        <w:rPr>
          <w:sz w:val="26"/>
          <w:szCs w:val="26"/>
        </w:rPr>
        <w:t xml:space="preserve"> </w:t>
      </w:r>
      <w:r w:rsidR="00E85103" w:rsidRPr="00E37897">
        <w:rPr>
          <w:sz w:val="26"/>
          <w:szCs w:val="26"/>
        </w:rPr>
        <w:t>Accordingly</w:t>
      </w:r>
      <w:r w:rsidR="00BC2F7A" w:rsidRPr="00E37897">
        <w:rPr>
          <w:sz w:val="26"/>
          <w:szCs w:val="26"/>
        </w:rPr>
        <w:t xml:space="preserve">, the primary drivers of the NITS rates are transmission investment, transmission-related operating expenses, cost of capital, applicable income tax rates, and peak demand. </w:t>
      </w:r>
      <w:r w:rsidR="00E85103" w:rsidRPr="00E37897">
        <w:rPr>
          <w:sz w:val="26"/>
          <w:szCs w:val="26"/>
        </w:rPr>
        <w:t xml:space="preserve"> The ALJ cited </w:t>
      </w:r>
      <w:r w:rsidR="00E265A1" w:rsidRPr="00E37897">
        <w:rPr>
          <w:sz w:val="26"/>
          <w:szCs w:val="26"/>
        </w:rPr>
        <w:t xml:space="preserve">to </w:t>
      </w:r>
      <w:r w:rsidR="00E85103" w:rsidRPr="00E37897">
        <w:rPr>
          <w:sz w:val="26"/>
          <w:szCs w:val="26"/>
        </w:rPr>
        <w:t xml:space="preserve">the </w:t>
      </w:r>
      <w:r w:rsidR="00686896" w:rsidRPr="00E37897">
        <w:rPr>
          <w:sz w:val="26"/>
          <w:szCs w:val="26"/>
        </w:rPr>
        <w:t>testimony of Becky Merola</w:t>
      </w:r>
      <w:r w:rsidR="003F3C25" w:rsidRPr="00E37897">
        <w:rPr>
          <w:sz w:val="26"/>
          <w:szCs w:val="26"/>
        </w:rPr>
        <w:t xml:space="preserve">, Director, </w:t>
      </w:r>
      <w:r w:rsidR="002163C3" w:rsidRPr="00E37897">
        <w:rPr>
          <w:sz w:val="26"/>
          <w:szCs w:val="26"/>
        </w:rPr>
        <w:t xml:space="preserve">Government and Regulatory Affairs of </w:t>
      </w:r>
      <w:r w:rsidR="00686896" w:rsidRPr="00E37897">
        <w:rPr>
          <w:sz w:val="26"/>
          <w:szCs w:val="26"/>
        </w:rPr>
        <w:t>Calpine</w:t>
      </w:r>
      <w:r w:rsidR="002163C3" w:rsidRPr="00E37897">
        <w:rPr>
          <w:sz w:val="26"/>
          <w:szCs w:val="26"/>
        </w:rPr>
        <w:t>,</w:t>
      </w:r>
      <w:r w:rsidR="00686896" w:rsidRPr="00E37897">
        <w:rPr>
          <w:sz w:val="26"/>
          <w:szCs w:val="26"/>
        </w:rPr>
        <w:t xml:space="preserve"> in finding that </w:t>
      </w:r>
      <w:r w:rsidR="00BC2F7A" w:rsidRPr="00E37897">
        <w:rPr>
          <w:sz w:val="26"/>
          <w:szCs w:val="26"/>
        </w:rPr>
        <w:t xml:space="preserve">the regulatory process in place at FERC does not negate the ability of EGSs to manage their loads and NITS costs. </w:t>
      </w:r>
      <w:r w:rsidR="00AA5080" w:rsidRPr="00E37897">
        <w:rPr>
          <w:sz w:val="26"/>
          <w:szCs w:val="26"/>
        </w:rPr>
        <w:t xml:space="preserve"> </w:t>
      </w:r>
      <w:r w:rsidR="0085187B" w:rsidRPr="00E37897">
        <w:rPr>
          <w:i/>
          <w:iCs/>
          <w:sz w:val="26"/>
          <w:szCs w:val="26"/>
        </w:rPr>
        <w:t>Id</w:t>
      </w:r>
      <w:r w:rsidR="0085187B" w:rsidRPr="00E37897">
        <w:rPr>
          <w:sz w:val="26"/>
          <w:szCs w:val="26"/>
        </w:rPr>
        <w:t xml:space="preserve">. (citing </w:t>
      </w:r>
      <w:r w:rsidR="00BC2F7A" w:rsidRPr="00E37897">
        <w:rPr>
          <w:sz w:val="26"/>
          <w:szCs w:val="26"/>
        </w:rPr>
        <w:t>Calpine St</w:t>
      </w:r>
      <w:r w:rsidR="0085187B" w:rsidRPr="00E37897">
        <w:rPr>
          <w:sz w:val="26"/>
          <w:szCs w:val="26"/>
        </w:rPr>
        <w:t>.</w:t>
      </w:r>
      <w:r w:rsidR="00BC2F7A" w:rsidRPr="00E37897">
        <w:rPr>
          <w:sz w:val="26"/>
          <w:szCs w:val="26"/>
        </w:rPr>
        <w:t xml:space="preserve"> 1 at 3</w:t>
      </w:r>
      <w:r w:rsidR="0085187B" w:rsidRPr="00E37897">
        <w:rPr>
          <w:sz w:val="26"/>
          <w:szCs w:val="26"/>
        </w:rPr>
        <w:t>)</w:t>
      </w:r>
      <w:r w:rsidR="00BC2F7A" w:rsidRPr="00E37897">
        <w:rPr>
          <w:sz w:val="26"/>
          <w:szCs w:val="26"/>
        </w:rPr>
        <w:t>.</w:t>
      </w:r>
      <w:r w:rsidR="0085187B" w:rsidRPr="00E37897">
        <w:rPr>
          <w:sz w:val="26"/>
          <w:szCs w:val="26"/>
        </w:rPr>
        <w:t xml:space="preserve">  </w:t>
      </w:r>
    </w:p>
    <w:p w14:paraId="734864D8" w14:textId="77777777" w:rsidR="000371DD" w:rsidRPr="00E37897" w:rsidRDefault="000371DD" w:rsidP="005F3BE2">
      <w:pPr>
        <w:widowControl/>
        <w:spacing w:line="360" w:lineRule="auto"/>
        <w:ind w:right="216" w:firstLine="1440"/>
        <w:contextualSpacing/>
        <w:textAlignment w:val="baseline"/>
        <w:rPr>
          <w:sz w:val="26"/>
          <w:szCs w:val="26"/>
        </w:rPr>
      </w:pPr>
    </w:p>
    <w:p w14:paraId="207E63F6" w14:textId="03263E51" w:rsidR="00BC2F7A" w:rsidRPr="00E37897" w:rsidRDefault="00BC2F7A" w:rsidP="005F3BE2">
      <w:pPr>
        <w:widowControl/>
        <w:spacing w:line="360" w:lineRule="auto"/>
        <w:ind w:right="216" w:firstLine="1440"/>
        <w:contextualSpacing/>
        <w:textAlignment w:val="baseline"/>
        <w:rPr>
          <w:sz w:val="26"/>
          <w:szCs w:val="26"/>
        </w:rPr>
      </w:pPr>
      <w:r w:rsidRPr="00E37897">
        <w:rPr>
          <w:sz w:val="26"/>
          <w:szCs w:val="26"/>
        </w:rPr>
        <w:t xml:space="preserve">Furthermore, </w:t>
      </w:r>
      <w:r w:rsidR="003C709A" w:rsidRPr="00E37897">
        <w:rPr>
          <w:sz w:val="26"/>
          <w:szCs w:val="26"/>
        </w:rPr>
        <w:t xml:space="preserve">the ALJ decided that </w:t>
      </w:r>
      <w:r w:rsidR="00A12B58">
        <w:rPr>
          <w:sz w:val="26"/>
          <w:szCs w:val="26"/>
        </w:rPr>
        <w:t xml:space="preserve">the </w:t>
      </w:r>
      <w:r w:rsidRPr="00E37897">
        <w:rPr>
          <w:sz w:val="26"/>
          <w:szCs w:val="26"/>
        </w:rPr>
        <w:t xml:space="preserve">ESC </w:t>
      </w:r>
      <w:r w:rsidR="003C709A" w:rsidRPr="00E37897">
        <w:rPr>
          <w:sz w:val="26"/>
          <w:szCs w:val="26"/>
        </w:rPr>
        <w:t>did</w:t>
      </w:r>
      <w:r w:rsidRPr="00E37897">
        <w:rPr>
          <w:sz w:val="26"/>
          <w:szCs w:val="26"/>
        </w:rPr>
        <w:t xml:space="preserve"> not provide any evidence of volatility for PECO</w:t>
      </w:r>
      <w:r w:rsidR="003C709A" w:rsidRPr="00E37897">
        <w:rPr>
          <w:sz w:val="26"/>
          <w:szCs w:val="26"/>
        </w:rPr>
        <w:t>’</w:t>
      </w:r>
      <w:r w:rsidRPr="00E37897">
        <w:rPr>
          <w:sz w:val="26"/>
          <w:szCs w:val="26"/>
        </w:rPr>
        <w:t>s NITS rates</w:t>
      </w:r>
      <w:r w:rsidR="002C2230" w:rsidRPr="00E37897">
        <w:rPr>
          <w:sz w:val="26"/>
          <w:szCs w:val="26"/>
        </w:rPr>
        <w:t>, reasoning that</w:t>
      </w:r>
      <w:r w:rsidRPr="00E37897">
        <w:rPr>
          <w:sz w:val="26"/>
          <w:szCs w:val="26"/>
        </w:rPr>
        <w:t xml:space="preserve"> </w:t>
      </w:r>
      <w:r w:rsidR="002C2230" w:rsidRPr="00E37897">
        <w:rPr>
          <w:sz w:val="26"/>
          <w:szCs w:val="26"/>
        </w:rPr>
        <w:t>n</w:t>
      </w:r>
      <w:r w:rsidRPr="00E37897">
        <w:rPr>
          <w:sz w:val="26"/>
          <w:szCs w:val="26"/>
        </w:rPr>
        <w:t>one of the examples of NITS rates</w:t>
      </w:r>
      <w:r w:rsidR="007466E0" w:rsidRPr="00E37897">
        <w:rPr>
          <w:sz w:val="26"/>
          <w:szCs w:val="26"/>
        </w:rPr>
        <w:t>’</w:t>
      </w:r>
      <w:r w:rsidRPr="00E37897">
        <w:rPr>
          <w:sz w:val="26"/>
          <w:szCs w:val="26"/>
        </w:rPr>
        <w:t xml:space="preserve"> volatility </w:t>
      </w:r>
      <w:r w:rsidR="002163C3" w:rsidRPr="00E37897">
        <w:rPr>
          <w:sz w:val="26"/>
          <w:szCs w:val="26"/>
        </w:rPr>
        <w:t xml:space="preserve">that </w:t>
      </w:r>
      <w:r w:rsidR="00A12B58">
        <w:rPr>
          <w:sz w:val="26"/>
          <w:szCs w:val="26"/>
        </w:rPr>
        <w:t xml:space="preserve">the </w:t>
      </w:r>
      <w:r w:rsidR="002163C3" w:rsidRPr="00E37897">
        <w:rPr>
          <w:sz w:val="26"/>
          <w:szCs w:val="26"/>
        </w:rPr>
        <w:t>ESC</w:t>
      </w:r>
      <w:r w:rsidRPr="00E37897">
        <w:rPr>
          <w:sz w:val="26"/>
          <w:szCs w:val="26"/>
        </w:rPr>
        <w:t xml:space="preserve"> </w:t>
      </w:r>
      <w:r w:rsidR="007466E0" w:rsidRPr="00E37897">
        <w:rPr>
          <w:sz w:val="26"/>
          <w:szCs w:val="26"/>
        </w:rPr>
        <w:t xml:space="preserve">presented </w:t>
      </w:r>
      <w:r w:rsidRPr="00E37897">
        <w:rPr>
          <w:sz w:val="26"/>
          <w:szCs w:val="26"/>
        </w:rPr>
        <w:t>in this proceeding pertain</w:t>
      </w:r>
      <w:r w:rsidR="007466E0" w:rsidRPr="00E37897">
        <w:rPr>
          <w:sz w:val="26"/>
          <w:szCs w:val="26"/>
        </w:rPr>
        <w:t>ed</w:t>
      </w:r>
      <w:r w:rsidRPr="00E37897">
        <w:rPr>
          <w:sz w:val="26"/>
          <w:szCs w:val="26"/>
        </w:rPr>
        <w:t xml:space="preserve"> to PECO</w:t>
      </w:r>
      <w:r w:rsidR="007466E0" w:rsidRPr="00E37897">
        <w:rPr>
          <w:sz w:val="26"/>
          <w:szCs w:val="26"/>
        </w:rPr>
        <w:t>, but, i</w:t>
      </w:r>
      <w:r w:rsidRPr="00E37897">
        <w:rPr>
          <w:sz w:val="26"/>
          <w:szCs w:val="26"/>
        </w:rPr>
        <w:t xml:space="preserve">nstead, </w:t>
      </w:r>
      <w:r w:rsidR="00367E2C" w:rsidRPr="00E37897">
        <w:rPr>
          <w:sz w:val="26"/>
          <w:szCs w:val="26"/>
        </w:rPr>
        <w:t>pertained to</w:t>
      </w:r>
      <w:r w:rsidRPr="00E37897">
        <w:rPr>
          <w:sz w:val="26"/>
          <w:szCs w:val="26"/>
        </w:rPr>
        <w:t xml:space="preserve"> other transmission owners. </w:t>
      </w:r>
      <w:r w:rsidR="00367E2C" w:rsidRPr="00E37897">
        <w:rPr>
          <w:sz w:val="26"/>
          <w:szCs w:val="26"/>
        </w:rPr>
        <w:t xml:space="preserve"> </w:t>
      </w:r>
      <w:r w:rsidR="002F1D26" w:rsidRPr="00E37897">
        <w:rPr>
          <w:sz w:val="26"/>
          <w:szCs w:val="26"/>
        </w:rPr>
        <w:t xml:space="preserve">R.D. at 106.  </w:t>
      </w:r>
      <w:r w:rsidR="004F7706" w:rsidRPr="00E37897">
        <w:rPr>
          <w:sz w:val="26"/>
          <w:szCs w:val="26"/>
        </w:rPr>
        <w:t>The ALJ observed that</w:t>
      </w:r>
      <w:r w:rsidR="000178A1" w:rsidRPr="00E37897">
        <w:rPr>
          <w:sz w:val="26"/>
          <w:szCs w:val="26"/>
        </w:rPr>
        <w:t xml:space="preserve"> </w:t>
      </w:r>
      <w:r w:rsidR="004F7706" w:rsidRPr="00E37897">
        <w:rPr>
          <w:sz w:val="26"/>
          <w:szCs w:val="26"/>
        </w:rPr>
        <w:t>c</w:t>
      </w:r>
      <w:r w:rsidRPr="00E37897">
        <w:rPr>
          <w:sz w:val="26"/>
          <w:szCs w:val="26"/>
        </w:rPr>
        <w:t>ontrary to</w:t>
      </w:r>
      <w:r w:rsidR="002163C3" w:rsidRPr="00E37897">
        <w:rPr>
          <w:sz w:val="26"/>
          <w:szCs w:val="26"/>
        </w:rPr>
        <w:t xml:space="preserve"> </w:t>
      </w:r>
      <w:r w:rsidR="00A12B58">
        <w:rPr>
          <w:sz w:val="26"/>
          <w:szCs w:val="26"/>
        </w:rPr>
        <w:t xml:space="preserve">the </w:t>
      </w:r>
      <w:r w:rsidRPr="00E37897">
        <w:rPr>
          <w:sz w:val="26"/>
          <w:szCs w:val="26"/>
        </w:rPr>
        <w:t xml:space="preserve">ESC’s claims of volatility, PAIEUG </w:t>
      </w:r>
      <w:r w:rsidR="000178A1" w:rsidRPr="00E37897">
        <w:rPr>
          <w:sz w:val="26"/>
          <w:szCs w:val="26"/>
        </w:rPr>
        <w:t xml:space="preserve">presented evidence </w:t>
      </w:r>
      <w:r w:rsidRPr="00E37897">
        <w:rPr>
          <w:sz w:val="26"/>
          <w:szCs w:val="26"/>
        </w:rPr>
        <w:t>show</w:t>
      </w:r>
      <w:r w:rsidR="000178A1" w:rsidRPr="00E37897">
        <w:rPr>
          <w:sz w:val="26"/>
          <w:szCs w:val="26"/>
        </w:rPr>
        <w:t>ing</w:t>
      </w:r>
      <w:r w:rsidRPr="00E37897">
        <w:rPr>
          <w:sz w:val="26"/>
          <w:szCs w:val="26"/>
        </w:rPr>
        <w:t xml:space="preserve"> tha</w:t>
      </w:r>
      <w:r w:rsidR="000178A1" w:rsidRPr="00E37897">
        <w:rPr>
          <w:sz w:val="26"/>
          <w:szCs w:val="26"/>
        </w:rPr>
        <w:t>t</w:t>
      </w:r>
      <w:r w:rsidRPr="00E37897">
        <w:rPr>
          <w:sz w:val="26"/>
          <w:szCs w:val="26"/>
        </w:rPr>
        <w:t xml:space="preserve"> since implementation of a formula rate, PECO</w:t>
      </w:r>
      <w:r w:rsidR="000178A1" w:rsidRPr="00E37897">
        <w:rPr>
          <w:sz w:val="26"/>
          <w:szCs w:val="26"/>
        </w:rPr>
        <w:t>’</w:t>
      </w:r>
      <w:r w:rsidRPr="00E37897">
        <w:rPr>
          <w:sz w:val="26"/>
          <w:szCs w:val="26"/>
        </w:rPr>
        <w:t xml:space="preserve">s NITS rates have been stable and have decreased over the past two years. </w:t>
      </w:r>
      <w:r w:rsidR="000178A1" w:rsidRPr="00E37897">
        <w:rPr>
          <w:sz w:val="26"/>
          <w:szCs w:val="26"/>
        </w:rPr>
        <w:t xml:space="preserve"> </w:t>
      </w:r>
      <w:r w:rsidR="004F7706" w:rsidRPr="00E37897">
        <w:rPr>
          <w:i/>
          <w:iCs/>
          <w:sz w:val="26"/>
          <w:szCs w:val="26"/>
        </w:rPr>
        <w:t>Id</w:t>
      </w:r>
      <w:r w:rsidR="004F7706" w:rsidRPr="00E37897">
        <w:rPr>
          <w:sz w:val="26"/>
          <w:szCs w:val="26"/>
        </w:rPr>
        <w:t>. at 106-107 (citing</w:t>
      </w:r>
      <w:r w:rsidRPr="00E37897">
        <w:rPr>
          <w:i/>
          <w:sz w:val="26"/>
          <w:szCs w:val="26"/>
        </w:rPr>
        <w:t xml:space="preserve"> </w:t>
      </w:r>
      <w:r w:rsidRPr="00E37897">
        <w:rPr>
          <w:sz w:val="26"/>
          <w:szCs w:val="26"/>
        </w:rPr>
        <w:t>PAIEUG St</w:t>
      </w:r>
      <w:r w:rsidR="004F7706" w:rsidRPr="00E37897">
        <w:rPr>
          <w:sz w:val="26"/>
          <w:szCs w:val="26"/>
        </w:rPr>
        <w:t>.</w:t>
      </w:r>
      <w:r w:rsidRPr="00E37897">
        <w:rPr>
          <w:sz w:val="26"/>
          <w:szCs w:val="26"/>
        </w:rPr>
        <w:t xml:space="preserve"> 1 at 7</w:t>
      </w:r>
      <w:r w:rsidR="004F7706" w:rsidRPr="00E37897">
        <w:rPr>
          <w:sz w:val="26"/>
          <w:szCs w:val="26"/>
        </w:rPr>
        <w:t>)</w:t>
      </w:r>
      <w:r w:rsidRPr="00E37897">
        <w:rPr>
          <w:sz w:val="26"/>
          <w:szCs w:val="26"/>
        </w:rPr>
        <w:t>.</w:t>
      </w:r>
      <w:r w:rsidR="004F7706" w:rsidRPr="00E37897">
        <w:rPr>
          <w:sz w:val="26"/>
          <w:szCs w:val="26"/>
        </w:rPr>
        <w:t xml:space="preserve">  The ALJ also noted that </w:t>
      </w:r>
      <w:r w:rsidR="00B8142E" w:rsidRPr="00E37897">
        <w:rPr>
          <w:sz w:val="26"/>
          <w:szCs w:val="26"/>
        </w:rPr>
        <w:t>a</w:t>
      </w:r>
      <w:r w:rsidRPr="00E37897">
        <w:rPr>
          <w:sz w:val="26"/>
          <w:szCs w:val="26"/>
        </w:rPr>
        <w:t xml:space="preserve">s PAIEUG pointed out, even if such volatility existed, EGSs do not have to take on such risk, </w:t>
      </w:r>
      <w:r w:rsidR="00B8142E" w:rsidRPr="00E37897">
        <w:rPr>
          <w:sz w:val="26"/>
          <w:szCs w:val="26"/>
        </w:rPr>
        <w:t>particularly</w:t>
      </w:r>
      <w:r w:rsidRPr="00E37897">
        <w:rPr>
          <w:sz w:val="26"/>
          <w:szCs w:val="26"/>
        </w:rPr>
        <w:t xml:space="preserve"> with respect to Large C&amp;I customers, </w:t>
      </w:r>
      <w:r w:rsidR="00B8142E" w:rsidRPr="00E37897">
        <w:rPr>
          <w:sz w:val="26"/>
          <w:szCs w:val="26"/>
        </w:rPr>
        <w:t>because</w:t>
      </w:r>
      <w:r w:rsidRPr="00E37897">
        <w:rPr>
          <w:sz w:val="26"/>
          <w:szCs w:val="26"/>
        </w:rPr>
        <w:t xml:space="preserve"> most Large C&amp;I customers procure generation from EGSs under contracts </w:t>
      </w:r>
      <w:r w:rsidR="007A147F" w:rsidRPr="00E37897">
        <w:rPr>
          <w:sz w:val="26"/>
          <w:szCs w:val="26"/>
        </w:rPr>
        <w:t>pursuant to</w:t>
      </w:r>
      <w:r w:rsidRPr="00E37897">
        <w:rPr>
          <w:sz w:val="26"/>
          <w:szCs w:val="26"/>
        </w:rPr>
        <w:t xml:space="preserve"> which NITS costs are a direct pass-through based on each customer</w:t>
      </w:r>
      <w:r w:rsidR="007A147F" w:rsidRPr="00E37897">
        <w:rPr>
          <w:sz w:val="26"/>
          <w:szCs w:val="26"/>
        </w:rPr>
        <w:t>’</w:t>
      </w:r>
      <w:r w:rsidRPr="00E37897">
        <w:rPr>
          <w:sz w:val="26"/>
          <w:szCs w:val="26"/>
        </w:rPr>
        <w:t>s NSPL.</w:t>
      </w:r>
      <w:r w:rsidR="007A147F" w:rsidRPr="00E37897">
        <w:rPr>
          <w:sz w:val="26"/>
          <w:szCs w:val="26"/>
        </w:rPr>
        <w:t xml:space="preserve">  R.D. at 107 (citing</w:t>
      </w:r>
      <w:r w:rsidRPr="00E37897">
        <w:rPr>
          <w:i/>
          <w:sz w:val="26"/>
          <w:szCs w:val="26"/>
        </w:rPr>
        <w:t xml:space="preserve"> </w:t>
      </w:r>
      <w:r w:rsidRPr="00E37897">
        <w:rPr>
          <w:sz w:val="26"/>
          <w:szCs w:val="26"/>
        </w:rPr>
        <w:t>PAIEUG St. 1 at 3</w:t>
      </w:r>
      <w:r w:rsidR="007A147F" w:rsidRPr="00E37897">
        <w:rPr>
          <w:sz w:val="26"/>
          <w:szCs w:val="26"/>
        </w:rPr>
        <w:t>)</w:t>
      </w:r>
      <w:r w:rsidRPr="00E37897">
        <w:rPr>
          <w:sz w:val="26"/>
          <w:szCs w:val="26"/>
        </w:rPr>
        <w:t xml:space="preserve">. </w:t>
      </w:r>
      <w:r w:rsidR="007F1F77" w:rsidRPr="00E37897">
        <w:rPr>
          <w:sz w:val="26"/>
          <w:szCs w:val="26"/>
        </w:rPr>
        <w:t xml:space="preserve"> </w:t>
      </w:r>
      <w:r w:rsidRPr="00E37897">
        <w:rPr>
          <w:sz w:val="26"/>
          <w:szCs w:val="26"/>
        </w:rPr>
        <w:t>Th</w:t>
      </w:r>
      <w:r w:rsidR="007F1F77" w:rsidRPr="00E37897">
        <w:rPr>
          <w:sz w:val="26"/>
          <w:szCs w:val="26"/>
        </w:rPr>
        <w:t>erefore</w:t>
      </w:r>
      <w:r w:rsidRPr="00E37897">
        <w:rPr>
          <w:sz w:val="26"/>
          <w:szCs w:val="26"/>
        </w:rPr>
        <w:t xml:space="preserve">, </w:t>
      </w:r>
      <w:r w:rsidR="007F1F77" w:rsidRPr="00E37897">
        <w:rPr>
          <w:sz w:val="26"/>
          <w:szCs w:val="26"/>
        </w:rPr>
        <w:t xml:space="preserve">the ALJ reasoned that </w:t>
      </w:r>
      <w:r w:rsidRPr="00E37897">
        <w:rPr>
          <w:sz w:val="26"/>
          <w:szCs w:val="26"/>
        </w:rPr>
        <w:t>the use of the pass-through eliminates the risk that EGSs would over</w:t>
      </w:r>
      <w:r w:rsidR="004B0C32" w:rsidRPr="00E37897">
        <w:rPr>
          <w:sz w:val="26"/>
          <w:szCs w:val="26"/>
        </w:rPr>
        <w:t xml:space="preserve">, </w:t>
      </w:r>
      <w:r w:rsidRPr="00E37897">
        <w:rPr>
          <w:sz w:val="26"/>
          <w:szCs w:val="26"/>
        </w:rPr>
        <w:t>or under</w:t>
      </w:r>
      <w:r w:rsidR="004B0C32" w:rsidRPr="00E37897">
        <w:rPr>
          <w:sz w:val="26"/>
          <w:szCs w:val="26"/>
        </w:rPr>
        <w:t>,</w:t>
      </w:r>
      <w:r w:rsidRPr="00E37897">
        <w:rPr>
          <w:sz w:val="26"/>
          <w:szCs w:val="26"/>
        </w:rPr>
        <w:t xml:space="preserve"> recover actual NITS costs allocated to a Large C&amp;I customer. </w:t>
      </w:r>
      <w:r w:rsidR="007F1F77" w:rsidRPr="00E37897">
        <w:rPr>
          <w:sz w:val="26"/>
          <w:szCs w:val="26"/>
        </w:rPr>
        <w:t xml:space="preserve"> </w:t>
      </w:r>
      <w:r w:rsidR="0029756A" w:rsidRPr="00E37897">
        <w:rPr>
          <w:sz w:val="26"/>
          <w:szCs w:val="26"/>
        </w:rPr>
        <w:t xml:space="preserve">R.D. at 107 (citing </w:t>
      </w:r>
      <w:r w:rsidRPr="00E37897">
        <w:rPr>
          <w:sz w:val="26"/>
          <w:szCs w:val="26"/>
        </w:rPr>
        <w:t>PAIEUG M</w:t>
      </w:r>
      <w:r w:rsidR="0029756A" w:rsidRPr="00E37897">
        <w:rPr>
          <w:sz w:val="26"/>
          <w:szCs w:val="26"/>
        </w:rPr>
        <w:t>.</w:t>
      </w:r>
      <w:r w:rsidRPr="00E37897">
        <w:rPr>
          <w:sz w:val="26"/>
          <w:szCs w:val="26"/>
        </w:rPr>
        <w:t>B</w:t>
      </w:r>
      <w:r w:rsidR="0029756A" w:rsidRPr="00E37897">
        <w:rPr>
          <w:sz w:val="26"/>
          <w:szCs w:val="26"/>
        </w:rPr>
        <w:t>.</w:t>
      </w:r>
      <w:r w:rsidRPr="00E37897">
        <w:rPr>
          <w:sz w:val="26"/>
          <w:szCs w:val="26"/>
        </w:rPr>
        <w:t xml:space="preserve"> at 11</w:t>
      </w:r>
      <w:r w:rsidR="0029756A" w:rsidRPr="00E37897">
        <w:rPr>
          <w:sz w:val="26"/>
          <w:szCs w:val="26"/>
        </w:rPr>
        <w:t>)</w:t>
      </w:r>
      <w:r w:rsidRPr="00E37897">
        <w:rPr>
          <w:sz w:val="26"/>
          <w:szCs w:val="26"/>
        </w:rPr>
        <w:t>.</w:t>
      </w:r>
    </w:p>
    <w:p w14:paraId="301D808E" w14:textId="77777777" w:rsidR="00C05D16" w:rsidRPr="00E37897" w:rsidRDefault="00C05D16" w:rsidP="005F3BE2">
      <w:pPr>
        <w:widowControl/>
        <w:spacing w:line="360" w:lineRule="auto"/>
        <w:ind w:right="216" w:firstLine="1440"/>
        <w:contextualSpacing/>
        <w:textAlignment w:val="baseline"/>
        <w:rPr>
          <w:sz w:val="26"/>
          <w:szCs w:val="26"/>
        </w:rPr>
      </w:pPr>
    </w:p>
    <w:p w14:paraId="2BCD8ED0" w14:textId="3BF66A5A" w:rsidR="00BC2F7A" w:rsidRPr="00E37897" w:rsidRDefault="00B92479" w:rsidP="005F3BE2">
      <w:pPr>
        <w:widowControl/>
        <w:spacing w:line="360" w:lineRule="auto"/>
        <w:ind w:right="72" w:firstLine="1440"/>
        <w:contextualSpacing/>
        <w:textAlignment w:val="baseline"/>
        <w:rPr>
          <w:spacing w:val="2"/>
          <w:sz w:val="26"/>
          <w:szCs w:val="26"/>
        </w:rPr>
      </w:pPr>
      <w:r w:rsidRPr="00E37897">
        <w:rPr>
          <w:spacing w:val="2"/>
          <w:sz w:val="26"/>
          <w:szCs w:val="26"/>
        </w:rPr>
        <w:lastRenderedPageBreak/>
        <w:t xml:space="preserve">The ALJ relied on </w:t>
      </w:r>
      <w:r w:rsidR="009958AB" w:rsidRPr="00E37897">
        <w:rPr>
          <w:spacing w:val="2"/>
          <w:sz w:val="26"/>
          <w:szCs w:val="26"/>
        </w:rPr>
        <w:t xml:space="preserve">current Commission decisions that maintain </w:t>
      </w:r>
      <w:r w:rsidR="00BC2F7A" w:rsidRPr="00E37897">
        <w:rPr>
          <w:spacing w:val="2"/>
          <w:sz w:val="26"/>
          <w:szCs w:val="26"/>
        </w:rPr>
        <w:t>that the collection of NITS for shopping customers should remain with the customer</w:t>
      </w:r>
      <w:r w:rsidR="00C93644" w:rsidRPr="00E37897">
        <w:rPr>
          <w:spacing w:val="2"/>
          <w:sz w:val="26"/>
          <w:szCs w:val="26"/>
        </w:rPr>
        <w:t>’</w:t>
      </w:r>
      <w:r w:rsidR="00BC2F7A" w:rsidRPr="00E37897">
        <w:rPr>
          <w:spacing w:val="2"/>
          <w:sz w:val="26"/>
          <w:szCs w:val="26"/>
        </w:rPr>
        <w:t xml:space="preserve">s EGS. </w:t>
      </w:r>
      <w:r w:rsidR="00C93644" w:rsidRPr="00E37897">
        <w:rPr>
          <w:spacing w:val="2"/>
          <w:sz w:val="26"/>
          <w:szCs w:val="26"/>
        </w:rPr>
        <w:t xml:space="preserve"> The ALJ cited to </w:t>
      </w:r>
      <w:r w:rsidR="00F54961" w:rsidRPr="00E37897">
        <w:rPr>
          <w:i/>
          <w:iCs/>
          <w:spacing w:val="2"/>
          <w:sz w:val="26"/>
          <w:szCs w:val="26"/>
        </w:rPr>
        <w:t>PECO DSP III</w:t>
      </w:r>
      <w:r w:rsidR="00BC2F7A" w:rsidRPr="00E37897">
        <w:rPr>
          <w:spacing w:val="2"/>
          <w:sz w:val="26"/>
          <w:szCs w:val="26"/>
        </w:rPr>
        <w:t xml:space="preserve">, </w:t>
      </w:r>
      <w:r w:rsidR="00C93644" w:rsidRPr="00E37897">
        <w:rPr>
          <w:spacing w:val="2"/>
          <w:sz w:val="26"/>
          <w:szCs w:val="26"/>
        </w:rPr>
        <w:t xml:space="preserve">in which </w:t>
      </w:r>
      <w:r w:rsidR="00BC2F7A" w:rsidRPr="00E37897">
        <w:rPr>
          <w:spacing w:val="2"/>
          <w:sz w:val="26"/>
          <w:szCs w:val="26"/>
        </w:rPr>
        <w:t>the Commission rejected the argument that the unpredictability of NITS costs lend</w:t>
      </w:r>
      <w:r w:rsidR="003859B8" w:rsidRPr="00E37897">
        <w:rPr>
          <w:spacing w:val="2"/>
          <w:sz w:val="26"/>
          <w:szCs w:val="26"/>
        </w:rPr>
        <w:t>ed</w:t>
      </w:r>
      <w:r w:rsidR="00BC2F7A" w:rsidRPr="00E37897">
        <w:rPr>
          <w:spacing w:val="2"/>
          <w:sz w:val="26"/>
          <w:szCs w:val="26"/>
        </w:rPr>
        <w:t xml:space="preserve"> itself to collection by PECO instead of EGSs. </w:t>
      </w:r>
      <w:r w:rsidR="00D55B7B" w:rsidRPr="00E37897">
        <w:rPr>
          <w:spacing w:val="2"/>
          <w:sz w:val="26"/>
          <w:szCs w:val="26"/>
        </w:rPr>
        <w:t xml:space="preserve"> </w:t>
      </w:r>
      <w:r w:rsidR="00E04E13" w:rsidRPr="00E37897">
        <w:rPr>
          <w:spacing w:val="2"/>
          <w:sz w:val="26"/>
          <w:szCs w:val="26"/>
        </w:rPr>
        <w:t xml:space="preserve">R.D. at 107 </w:t>
      </w:r>
      <w:r w:rsidR="001347E0" w:rsidRPr="00E37897">
        <w:rPr>
          <w:spacing w:val="2"/>
          <w:sz w:val="26"/>
          <w:szCs w:val="26"/>
        </w:rPr>
        <w:t>(citing</w:t>
      </w:r>
      <w:r w:rsidR="00BC2F7A" w:rsidRPr="00E37897">
        <w:rPr>
          <w:spacing w:val="2"/>
          <w:sz w:val="26"/>
          <w:szCs w:val="26"/>
        </w:rPr>
        <w:t xml:space="preserve"> </w:t>
      </w:r>
      <w:r w:rsidR="00BC2F7A" w:rsidRPr="00E37897">
        <w:rPr>
          <w:i/>
          <w:iCs/>
          <w:spacing w:val="2"/>
          <w:sz w:val="26"/>
          <w:szCs w:val="26"/>
        </w:rPr>
        <w:t>PECO DSP III Order</w:t>
      </w:r>
      <w:r w:rsidR="00BC2F7A" w:rsidRPr="00E37897">
        <w:rPr>
          <w:spacing w:val="2"/>
          <w:sz w:val="26"/>
          <w:szCs w:val="26"/>
        </w:rPr>
        <w:t>, at 53-54</w:t>
      </w:r>
      <w:r w:rsidR="00B474B5" w:rsidRPr="00E37897">
        <w:rPr>
          <w:spacing w:val="2"/>
          <w:sz w:val="26"/>
          <w:szCs w:val="26"/>
        </w:rPr>
        <w:t>)</w:t>
      </w:r>
      <w:r w:rsidR="00BC2F7A" w:rsidRPr="00E37897">
        <w:rPr>
          <w:spacing w:val="2"/>
          <w:sz w:val="26"/>
          <w:szCs w:val="26"/>
        </w:rPr>
        <w:t xml:space="preserve">. </w:t>
      </w:r>
      <w:r w:rsidR="00D55B7B" w:rsidRPr="00E37897">
        <w:rPr>
          <w:spacing w:val="2"/>
          <w:sz w:val="26"/>
          <w:szCs w:val="26"/>
        </w:rPr>
        <w:t xml:space="preserve"> </w:t>
      </w:r>
      <w:r w:rsidR="00B474B5" w:rsidRPr="00E37897">
        <w:rPr>
          <w:spacing w:val="2"/>
          <w:sz w:val="26"/>
          <w:szCs w:val="26"/>
        </w:rPr>
        <w:t xml:space="preserve">The ALJ found that since </w:t>
      </w:r>
      <w:r w:rsidR="00BC2F7A" w:rsidRPr="00E37897">
        <w:rPr>
          <w:spacing w:val="2"/>
          <w:sz w:val="26"/>
          <w:szCs w:val="26"/>
        </w:rPr>
        <w:t xml:space="preserve">the </w:t>
      </w:r>
      <w:r w:rsidR="00D55B7B" w:rsidRPr="00E37897">
        <w:rPr>
          <w:spacing w:val="2"/>
          <w:sz w:val="26"/>
          <w:szCs w:val="26"/>
        </w:rPr>
        <w:t xml:space="preserve">Electric Supplier </w:t>
      </w:r>
      <w:r w:rsidR="00BC2F7A" w:rsidRPr="00E37897">
        <w:rPr>
          <w:spacing w:val="2"/>
          <w:sz w:val="26"/>
          <w:szCs w:val="26"/>
        </w:rPr>
        <w:t xml:space="preserve">Coalition failed to show that PECO’s NITS costs are volatile and unpredictable in nature, its argument for changing the status quo based on a claim of volatility of PECO NITS rates </w:t>
      </w:r>
      <w:r w:rsidR="003E4E61" w:rsidRPr="00E37897">
        <w:rPr>
          <w:spacing w:val="2"/>
          <w:sz w:val="26"/>
          <w:szCs w:val="26"/>
        </w:rPr>
        <w:t>was</w:t>
      </w:r>
      <w:r w:rsidR="00BC2F7A" w:rsidRPr="00E37897">
        <w:rPr>
          <w:spacing w:val="2"/>
          <w:sz w:val="26"/>
          <w:szCs w:val="26"/>
        </w:rPr>
        <w:t xml:space="preserve"> unconvincing.</w:t>
      </w:r>
      <w:r w:rsidR="004B18D2" w:rsidRPr="00E37897">
        <w:rPr>
          <w:spacing w:val="2"/>
          <w:sz w:val="26"/>
          <w:szCs w:val="26"/>
        </w:rPr>
        <w:t xml:space="preserve">  </w:t>
      </w:r>
      <w:r w:rsidR="003F663C" w:rsidRPr="00E37897">
        <w:rPr>
          <w:spacing w:val="2"/>
          <w:sz w:val="26"/>
          <w:szCs w:val="26"/>
        </w:rPr>
        <w:t>R.D. at 107.</w:t>
      </w:r>
    </w:p>
    <w:p w14:paraId="7F810A6F" w14:textId="77777777" w:rsidR="003E4E61" w:rsidRPr="00E37897" w:rsidRDefault="003E4E61" w:rsidP="005F3BE2">
      <w:pPr>
        <w:widowControl/>
        <w:spacing w:line="360" w:lineRule="auto"/>
        <w:ind w:right="72" w:firstLine="1440"/>
        <w:contextualSpacing/>
        <w:textAlignment w:val="baseline"/>
        <w:rPr>
          <w:spacing w:val="2"/>
          <w:sz w:val="26"/>
          <w:szCs w:val="26"/>
        </w:rPr>
      </w:pPr>
    </w:p>
    <w:p w14:paraId="545BA645" w14:textId="4EB99D77" w:rsidR="00BC2F7A" w:rsidRPr="00E37897" w:rsidRDefault="007C1F12" w:rsidP="005F3BE2">
      <w:pPr>
        <w:widowControl/>
        <w:spacing w:line="360" w:lineRule="auto"/>
        <w:ind w:right="72" w:firstLine="1440"/>
        <w:contextualSpacing/>
        <w:textAlignment w:val="baseline"/>
        <w:rPr>
          <w:sz w:val="26"/>
          <w:szCs w:val="26"/>
        </w:rPr>
      </w:pPr>
      <w:r w:rsidRPr="00E37897">
        <w:rPr>
          <w:sz w:val="26"/>
          <w:szCs w:val="26"/>
        </w:rPr>
        <w:t>T</w:t>
      </w:r>
      <w:r w:rsidR="00F2039F" w:rsidRPr="00E37897">
        <w:rPr>
          <w:sz w:val="26"/>
          <w:szCs w:val="26"/>
        </w:rPr>
        <w:t xml:space="preserve">he ALJ emphasized </w:t>
      </w:r>
      <w:r w:rsidR="00BC2F7A" w:rsidRPr="00E37897">
        <w:rPr>
          <w:sz w:val="26"/>
          <w:szCs w:val="26"/>
        </w:rPr>
        <w:t>Calpine</w:t>
      </w:r>
      <w:r w:rsidR="00F2039F" w:rsidRPr="00E37897">
        <w:rPr>
          <w:sz w:val="26"/>
          <w:szCs w:val="26"/>
        </w:rPr>
        <w:t>’s</w:t>
      </w:r>
      <w:r w:rsidR="00BC2F7A" w:rsidRPr="00E37897">
        <w:rPr>
          <w:sz w:val="26"/>
          <w:szCs w:val="26"/>
        </w:rPr>
        <w:t xml:space="preserve"> strong counterargument to </w:t>
      </w:r>
      <w:r w:rsidR="00A12B58">
        <w:rPr>
          <w:sz w:val="26"/>
          <w:szCs w:val="26"/>
        </w:rPr>
        <w:t xml:space="preserve">the </w:t>
      </w:r>
      <w:r w:rsidR="00BC2F7A" w:rsidRPr="00E37897">
        <w:rPr>
          <w:sz w:val="26"/>
          <w:szCs w:val="26"/>
        </w:rPr>
        <w:t xml:space="preserve">ESC’s position. </w:t>
      </w:r>
      <w:r w:rsidR="00B353B9" w:rsidRPr="00E37897">
        <w:rPr>
          <w:sz w:val="26"/>
          <w:szCs w:val="26"/>
        </w:rPr>
        <w:t xml:space="preserve"> The ALJ noted that </w:t>
      </w:r>
      <w:r w:rsidR="00BC2F7A" w:rsidRPr="00E37897">
        <w:rPr>
          <w:sz w:val="26"/>
          <w:szCs w:val="26"/>
        </w:rPr>
        <w:t xml:space="preserve">like the </w:t>
      </w:r>
      <w:r w:rsidR="003F663C" w:rsidRPr="00E37897">
        <w:rPr>
          <w:sz w:val="26"/>
          <w:szCs w:val="26"/>
        </w:rPr>
        <w:t xml:space="preserve">Electric Supplier </w:t>
      </w:r>
      <w:r w:rsidR="00A76EDB" w:rsidRPr="00E37897">
        <w:rPr>
          <w:sz w:val="26"/>
          <w:szCs w:val="26"/>
        </w:rPr>
        <w:t xml:space="preserve">Coalition </w:t>
      </w:r>
      <w:r w:rsidR="00BC2F7A" w:rsidRPr="00E37897">
        <w:rPr>
          <w:sz w:val="26"/>
          <w:szCs w:val="26"/>
        </w:rPr>
        <w:t>members, Calpine incurs NITS costs</w:t>
      </w:r>
      <w:r w:rsidR="00CE6789" w:rsidRPr="00E37897">
        <w:rPr>
          <w:sz w:val="26"/>
          <w:szCs w:val="26"/>
        </w:rPr>
        <w:t>, yet</w:t>
      </w:r>
      <w:r w:rsidR="00BC2F7A" w:rsidRPr="00E37897">
        <w:rPr>
          <w:sz w:val="26"/>
          <w:szCs w:val="26"/>
        </w:rPr>
        <w:t xml:space="preserve"> </w:t>
      </w:r>
      <w:r w:rsidR="00CE6789" w:rsidRPr="00E37897">
        <w:rPr>
          <w:sz w:val="26"/>
          <w:szCs w:val="26"/>
        </w:rPr>
        <w:t>Calpine</w:t>
      </w:r>
      <w:r w:rsidR="00BC2F7A" w:rsidRPr="00E37897">
        <w:rPr>
          <w:sz w:val="26"/>
          <w:szCs w:val="26"/>
        </w:rPr>
        <w:t xml:space="preserve"> has been able to manage NITS costs and </w:t>
      </w:r>
      <w:r w:rsidR="00B35C30" w:rsidRPr="00E37897">
        <w:rPr>
          <w:sz w:val="26"/>
          <w:szCs w:val="26"/>
        </w:rPr>
        <w:t>continue to</w:t>
      </w:r>
      <w:r w:rsidR="00BC2F7A" w:rsidRPr="00E37897">
        <w:rPr>
          <w:sz w:val="26"/>
          <w:szCs w:val="26"/>
        </w:rPr>
        <w:t xml:space="preserve"> offer products and services that its customers desire. </w:t>
      </w:r>
      <w:r w:rsidR="00B35C30" w:rsidRPr="00E37897">
        <w:rPr>
          <w:sz w:val="26"/>
          <w:szCs w:val="26"/>
        </w:rPr>
        <w:t xml:space="preserve"> </w:t>
      </w:r>
      <w:r w:rsidR="00647E0B" w:rsidRPr="00E37897">
        <w:rPr>
          <w:sz w:val="26"/>
          <w:szCs w:val="26"/>
        </w:rPr>
        <w:t xml:space="preserve">The ALJ also noted that Calpine </w:t>
      </w:r>
      <w:r w:rsidR="00BC2F7A" w:rsidRPr="00E37897">
        <w:rPr>
          <w:sz w:val="26"/>
          <w:szCs w:val="26"/>
        </w:rPr>
        <w:t xml:space="preserve">has achieved this by managing the customer loads </w:t>
      </w:r>
      <w:r w:rsidR="00647E0B" w:rsidRPr="00E37897">
        <w:rPr>
          <w:sz w:val="26"/>
          <w:szCs w:val="26"/>
        </w:rPr>
        <w:t xml:space="preserve">it </w:t>
      </w:r>
      <w:r w:rsidR="00BC2F7A" w:rsidRPr="00E37897">
        <w:rPr>
          <w:sz w:val="26"/>
          <w:szCs w:val="26"/>
        </w:rPr>
        <w:t xml:space="preserve">served. </w:t>
      </w:r>
      <w:r w:rsidR="00BE6042" w:rsidRPr="00E37897">
        <w:rPr>
          <w:sz w:val="26"/>
          <w:szCs w:val="26"/>
        </w:rPr>
        <w:t xml:space="preserve"> </w:t>
      </w:r>
      <w:r w:rsidR="00BE6042" w:rsidRPr="00E37897">
        <w:rPr>
          <w:i/>
          <w:iCs/>
          <w:sz w:val="26"/>
          <w:szCs w:val="26"/>
        </w:rPr>
        <w:t>Id</w:t>
      </w:r>
      <w:r w:rsidR="00BE6042" w:rsidRPr="00E37897">
        <w:rPr>
          <w:sz w:val="26"/>
          <w:szCs w:val="26"/>
        </w:rPr>
        <w:t>. (citing Calpine M.B. at 3;</w:t>
      </w:r>
      <w:r w:rsidR="00BC2F7A" w:rsidRPr="00E37897">
        <w:rPr>
          <w:i/>
          <w:sz w:val="26"/>
          <w:szCs w:val="26"/>
        </w:rPr>
        <w:t xml:space="preserve"> </w:t>
      </w:r>
      <w:r w:rsidR="00BC2F7A" w:rsidRPr="00E37897">
        <w:rPr>
          <w:sz w:val="26"/>
          <w:szCs w:val="26"/>
        </w:rPr>
        <w:t>Calpine St. 1 at 3</w:t>
      </w:r>
      <w:r w:rsidR="00F86BDC" w:rsidRPr="00E37897">
        <w:rPr>
          <w:sz w:val="26"/>
          <w:szCs w:val="26"/>
        </w:rPr>
        <w:t>)</w:t>
      </w:r>
      <w:r w:rsidR="00BC2F7A" w:rsidRPr="00E37897">
        <w:rPr>
          <w:sz w:val="26"/>
          <w:szCs w:val="26"/>
        </w:rPr>
        <w:t xml:space="preserve">. </w:t>
      </w:r>
      <w:r w:rsidRPr="00E37897">
        <w:rPr>
          <w:sz w:val="26"/>
          <w:szCs w:val="26"/>
        </w:rPr>
        <w:t xml:space="preserve"> The ALJ explain</w:t>
      </w:r>
      <w:r w:rsidR="00250D45" w:rsidRPr="00E37897">
        <w:rPr>
          <w:sz w:val="26"/>
          <w:szCs w:val="26"/>
        </w:rPr>
        <w:t>ed</w:t>
      </w:r>
      <w:r w:rsidRPr="00E37897">
        <w:rPr>
          <w:sz w:val="26"/>
          <w:szCs w:val="26"/>
        </w:rPr>
        <w:t xml:space="preserve"> that </w:t>
      </w:r>
      <w:r w:rsidR="00BC2F7A" w:rsidRPr="00E37897">
        <w:rPr>
          <w:sz w:val="26"/>
          <w:szCs w:val="26"/>
        </w:rPr>
        <w:t xml:space="preserve">Calpine defends the allocation of NITS costs on EGSs as an aspect of a competitive retail market and </w:t>
      </w:r>
      <w:r w:rsidR="00435675" w:rsidRPr="00E37897">
        <w:rPr>
          <w:sz w:val="26"/>
          <w:szCs w:val="26"/>
        </w:rPr>
        <w:t>views</w:t>
      </w:r>
      <w:r w:rsidR="00BC2F7A" w:rsidRPr="00E37897">
        <w:rPr>
          <w:sz w:val="26"/>
          <w:szCs w:val="26"/>
        </w:rPr>
        <w:t xml:space="preserve"> the cost shifting </w:t>
      </w:r>
      <w:r w:rsidR="00A12B58">
        <w:rPr>
          <w:sz w:val="26"/>
          <w:szCs w:val="26"/>
        </w:rPr>
        <w:t xml:space="preserve">the </w:t>
      </w:r>
      <w:r w:rsidR="00435675" w:rsidRPr="00E37897">
        <w:rPr>
          <w:sz w:val="26"/>
          <w:szCs w:val="26"/>
        </w:rPr>
        <w:t>E</w:t>
      </w:r>
      <w:r w:rsidR="004D7BA2">
        <w:rPr>
          <w:sz w:val="26"/>
          <w:szCs w:val="26"/>
        </w:rPr>
        <w:t>S</w:t>
      </w:r>
      <w:r w:rsidR="00435675" w:rsidRPr="00E37897">
        <w:rPr>
          <w:sz w:val="26"/>
          <w:szCs w:val="26"/>
        </w:rPr>
        <w:t xml:space="preserve">C </w:t>
      </w:r>
      <w:r w:rsidR="00BC2F7A" w:rsidRPr="00E37897">
        <w:rPr>
          <w:sz w:val="26"/>
          <w:szCs w:val="26"/>
        </w:rPr>
        <w:t>propose</w:t>
      </w:r>
      <w:r w:rsidR="00435675" w:rsidRPr="00E37897">
        <w:rPr>
          <w:sz w:val="26"/>
          <w:szCs w:val="26"/>
        </w:rPr>
        <w:t>s</w:t>
      </w:r>
      <w:r w:rsidR="00BC2F7A" w:rsidRPr="00E37897">
        <w:rPr>
          <w:sz w:val="26"/>
          <w:szCs w:val="26"/>
        </w:rPr>
        <w:t xml:space="preserve"> as simultaneously limiting existing and potential customers’ product and service choices.</w:t>
      </w:r>
      <w:r w:rsidR="009D2E3F" w:rsidRPr="00E37897">
        <w:rPr>
          <w:sz w:val="26"/>
          <w:szCs w:val="26"/>
        </w:rPr>
        <w:t xml:space="preserve">  R.D. at 107.</w:t>
      </w:r>
      <w:r w:rsidR="00BC2F7A" w:rsidRPr="00E37897">
        <w:rPr>
          <w:sz w:val="26"/>
          <w:szCs w:val="26"/>
        </w:rPr>
        <w:t xml:space="preserve"> </w:t>
      </w:r>
      <w:r w:rsidR="009D2E3F" w:rsidRPr="00E37897">
        <w:rPr>
          <w:sz w:val="26"/>
          <w:szCs w:val="26"/>
        </w:rPr>
        <w:t xml:space="preserve"> </w:t>
      </w:r>
      <w:r w:rsidR="00601251" w:rsidRPr="00E37897">
        <w:rPr>
          <w:sz w:val="26"/>
          <w:szCs w:val="26"/>
        </w:rPr>
        <w:t>Calpine’s position is that t</w:t>
      </w:r>
      <w:r w:rsidR="00BC2F7A" w:rsidRPr="00E37897">
        <w:rPr>
          <w:sz w:val="26"/>
          <w:szCs w:val="26"/>
        </w:rPr>
        <w:t>he cost shifting</w:t>
      </w:r>
      <w:r w:rsidR="00601251" w:rsidRPr="00E37897">
        <w:rPr>
          <w:sz w:val="26"/>
          <w:szCs w:val="26"/>
        </w:rPr>
        <w:t xml:space="preserve"> </w:t>
      </w:r>
      <w:r w:rsidR="00A12B58">
        <w:rPr>
          <w:sz w:val="26"/>
          <w:szCs w:val="26"/>
        </w:rPr>
        <w:t xml:space="preserve">the </w:t>
      </w:r>
      <w:r w:rsidR="00601251" w:rsidRPr="00E37897">
        <w:rPr>
          <w:sz w:val="26"/>
          <w:szCs w:val="26"/>
        </w:rPr>
        <w:t>E</w:t>
      </w:r>
      <w:r w:rsidR="00AB5006">
        <w:rPr>
          <w:sz w:val="26"/>
          <w:szCs w:val="26"/>
        </w:rPr>
        <w:t>S</w:t>
      </w:r>
      <w:r w:rsidR="00601251" w:rsidRPr="00E37897">
        <w:rPr>
          <w:sz w:val="26"/>
          <w:szCs w:val="26"/>
        </w:rPr>
        <w:t xml:space="preserve">C </w:t>
      </w:r>
      <w:r w:rsidR="00BC2F7A" w:rsidRPr="00E37897">
        <w:rPr>
          <w:sz w:val="26"/>
          <w:szCs w:val="26"/>
        </w:rPr>
        <w:t>proposed would not only harm the retail market, but it</w:t>
      </w:r>
      <w:r w:rsidR="00601251" w:rsidRPr="00E37897">
        <w:rPr>
          <w:sz w:val="26"/>
          <w:szCs w:val="26"/>
        </w:rPr>
        <w:t xml:space="preserve"> </w:t>
      </w:r>
      <w:r w:rsidR="00BC2F7A" w:rsidRPr="00E37897">
        <w:rPr>
          <w:sz w:val="26"/>
          <w:szCs w:val="26"/>
        </w:rPr>
        <w:t>would also remove any incentive and opportunity to create customized products and services that are, or potentially might be</w:t>
      </w:r>
      <w:r w:rsidR="00601251" w:rsidRPr="00E37897">
        <w:rPr>
          <w:sz w:val="26"/>
          <w:szCs w:val="26"/>
        </w:rPr>
        <w:t>,</w:t>
      </w:r>
      <w:r w:rsidR="00BC2F7A" w:rsidRPr="00E37897">
        <w:rPr>
          <w:sz w:val="26"/>
          <w:szCs w:val="26"/>
        </w:rPr>
        <w:t xml:space="preserve"> formulated to assist EGS customers in addressing these costs. </w:t>
      </w:r>
      <w:r w:rsidR="00601251" w:rsidRPr="00E37897">
        <w:rPr>
          <w:sz w:val="26"/>
          <w:szCs w:val="26"/>
        </w:rPr>
        <w:t xml:space="preserve"> </w:t>
      </w:r>
      <w:r w:rsidR="009D2E3F" w:rsidRPr="00E37897">
        <w:rPr>
          <w:i/>
          <w:iCs/>
          <w:sz w:val="26"/>
          <w:szCs w:val="26"/>
        </w:rPr>
        <w:t>Id</w:t>
      </w:r>
      <w:r w:rsidR="009D2E3F" w:rsidRPr="00E37897">
        <w:rPr>
          <w:sz w:val="26"/>
          <w:szCs w:val="26"/>
        </w:rPr>
        <w:t xml:space="preserve">. at 107-108 (citing </w:t>
      </w:r>
      <w:r w:rsidR="00BC2F7A" w:rsidRPr="00E37897">
        <w:rPr>
          <w:sz w:val="26"/>
          <w:szCs w:val="26"/>
        </w:rPr>
        <w:t>Calpine M</w:t>
      </w:r>
      <w:r w:rsidR="009D2E3F" w:rsidRPr="00E37897">
        <w:rPr>
          <w:sz w:val="26"/>
          <w:szCs w:val="26"/>
        </w:rPr>
        <w:t>.</w:t>
      </w:r>
      <w:r w:rsidR="00BC2F7A" w:rsidRPr="00E37897">
        <w:rPr>
          <w:sz w:val="26"/>
          <w:szCs w:val="26"/>
        </w:rPr>
        <w:t>B</w:t>
      </w:r>
      <w:r w:rsidR="009D2E3F" w:rsidRPr="00E37897">
        <w:rPr>
          <w:sz w:val="26"/>
          <w:szCs w:val="26"/>
        </w:rPr>
        <w:t>.</w:t>
      </w:r>
      <w:r w:rsidR="00BC2F7A" w:rsidRPr="00E37897">
        <w:rPr>
          <w:sz w:val="26"/>
          <w:szCs w:val="26"/>
        </w:rPr>
        <w:t xml:space="preserve"> at 3</w:t>
      </w:r>
      <w:r w:rsidR="00D67E8C" w:rsidRPr="00E37897">
        <w:rPr>
          <w:sz w:val="26"/>
          <w:szCs w:val="26"/>
        </w:rPr>
        <w:t>;</w:t>
      </w:r>
      <w:r w:rsidR="00BC2F7A" w:rsidRPr="00E37897">
        <w:rPr>
          <w:sz w:val="26"/>
          <w:szCs w:val="26"/>
        </w:rPr>
        <w:t xml:space="preserve"> PAIEUG St</w:t>
      </w:r>
      <w:r w:rsidR="00D67E8C" w:rsidRPr="00E37897">
        <w:rPr>
          <w:sz w:val="26"/>
          <w:szCs w:val="26"/>
        </w:rPr>
        <w:t>.</w:t>
      </w:r>
      <w:r w:rsidR="00BC2F7A" w:rsidRPr="00E37897">
        <w:rPr>
          <w:sz w:val="26"/>
          <w:szCs w:val="26"/>
        </w:rPr>
        <w:t xml:space="preserve"> 1 at 8-9</w:t>
      </w:r>
      <w:r w:rsidR="00D67E8C" w:rsidRPr="00E37897">
        <w:rPr>
          <w:sz w:val="26"/>
          <w:szCs w:val="26"/>
        </w:rPr>
        <w:t>)</w:t>
      </w:r>
      <w:r w:rsidR="00BC2F7A" w:rsidRPr="00E37897">
        <w:rPr>
          <w:sz w:val="26"/>
          <w:szCs w:val="26"/>
        </w:rPr>
        <w:t xml:space="preserve">. </w:t>
      </w:r>
    </w:p>
    <w:p w14:paraId="26962821" w14:textId="77777777" w:rsidR="00B82B95" w:rsidRPr="00E37897" w:rsidRDefault="00B82B95" w:rsidP="005F3BE2">
      <w:pPr>
        <w:widowControl/>
        <w:spacing w:line="360" w:lineRule="auto"/>
        <w:ind w:right="72" w:firstLine="1440"/>
        <w:contextualSpacing/>
        <w:textAlignment w:val="baseline"/>
        <w:rPr>
          <w:sz w:val="26"/>
          <w:szCs w:val="26"/>
        </w:rPr>
      </w:pPr>
    </w:p>
    <w:p w14:paraId="5B069AB4" w14:textId="055D875F" w:rsidR="00BC2F7A" w:rsidRPr="00E37897" w:rsidRDefault="00092838" w:rsidP="005F3BE2">
      <w:pPr>
        <w:widowControl/>
        <w:spacing w:line="360" w:lineRule="auto"/>
        <w:ind w:right="72" w:firstLine="1440"/>
        <w:contextualSpacing/>
        <w:textAlignment w:val="baseline"/>
        <w:rPr>
          <w:sz w:val="26"/>
          <w:szCs w:val="26"/>
        </w:rPr>
      </w:pPr>
      <w:r w:rsidRPr="00E37897">
        <w:rPr>
          <w:sz w:val="26"/>
          <w:szCs w:val="26"/>
        </w:rPr>
        <w:t xml:space="preserve">Moreover, the ALJ found that </w:t>
      </w:r>
      <w:r w:rsidR="00BC2F7A" w:rsidRPr="00E37897">
        <w:rPr>
          <w:sz w:val="26"/>
          <w:szCs w:val="26"/>
        </w:rPr>
        <w:t>having EDCs collect NITS costs</w:t>
      </w:r>
      <w:r w:rsidR="006824B9" w:rsidRPr="00E37897">
        <w:rPr>
          <w:sz w:val="26"/>
          <w:szCs w:val="26"/>
        </w:rPr>
        <w:t xml:space="preserve"> would</w:t>
      </w:r>
      <w:r w:rsidR="00BC2F7A" w:rsidRPr="00E37897">
        <w:rPr>
          <w:sz w:val="26"/>
          <w:szCs w:val="26"/>
        </w:rPr>
        <w:t xml:space="preserve"> constitute rebundling of transmission and distribution service for certain groups of customers in contravention of the Competition Act. </w:t>
      </w:r>
      <w:r w:rsidR="006824B9" w:rsidRPr="00E37897">
        <w:rPr>
          <w:sz w:val="26"/>
          <w:szCs w:val="26"/>
        </w:rPr>
        <w:t xml:space="preserve"> </w:t>
      </w:r>
      <w:r w:rsidR="008F6ED7" w:rsidRPr="00E37897">
        <w:rPr>
          <w:sz w:val="26"/>
          <w:szCs w:val="26"/>
        </w:rPr>
        <w:t xml:space="preserve">R.D. at 108.  </w:t>
      </w:r>
      <w:r w:rsidR="006824B9" w:rsidRPr="00E37897">
        <w:rPr>
          <w:sz w:val="26"/>
          <w:szCs w:val="26"/>
        </w:rPr>
        <w:t xml:space="preserve">The ALJ </w:t>
      </w:r>
      <w:r w:rsidR="003812A4" w:rsidRPr="00E37897">
        <w:rPr>
          <w:sz w:val="26"/>
          <w:szCs w:val="26"/>
        </w:rPr>
        <w:t xml:space="preserve">reasoned that </w:t>
      </w:r>
      <w:r w:rsidR="00752924" w:rsidRPr="00E37897">
        <w:rPr>
          <w:sz w:val="26"/>
          <w:szCs w:val="26"/>
        </w:rPr>
        <w:t xml:space="preserve">the removal of NITS costs from products in the competitive market is contrary to the intent of the Competition Act and </w:t>
      </w:r>
      <w:r w:rsidR="00A53E0B" w:rsidRPr="00E37897">
        <w:rPr>
          <w:sz w:val="26"/>
          <w:szCs w:val="26"/>
        </w:rPr>
        <w:t xml:space="preserve">the </w:t>
      </w:r>
      <w:r w:rsidR="00752924" w:rsidRPr="00E37897">
        <w:rPr>
          <w:sz w:val="26"/>
          <w:szCs w:val="26"/>
        </w:rPr>
        <w:t>Commission</w:t>
      </w:r>
      <w:r w:rsidR="00A53E0B" w:rsidRPr="00E37897">
        <w:rPr>
          <w:sz w:val="26"/>
          <w:szCs w:val="26"/>
        </w:rPr>
        <w:t>’s</w:t>
      </w:r>
      <w:r w:rsidR="00752924" w:rsidRPr="00E37897">
        <w:rPr>
          <w:sz w:val="26"/>
          <w:szCs w:val="26"/>
        </w:rPr>
        <w:t xml:space="preserve"> </w:t>
      </w:r>
      <w:r w:rsidR="00A53E0B" w:rsidRPr="00E37897">
        <w:rPr>
          <w:sz w:val="26"/>
          <w:szCs w:val="26"/>
        </w:rPr>
        <w:t>R</w:t>
      </w:r>
      <w:r w:rsidR="00752924" w:rsidRPr="00E37897">
        <w:rPr>
          <w:sz w:val="26"/>
          <w:szCs w:val="26"/>
        </w:rPr>
        <w:t>egulation</w:t>
      </w:r>
      <w:r w:rsidR="00A53E0B" w:rsidRPr="00E37897">
        <w:rPr>
          <w:sz w:val="26"/>
          <w:szCs w:val="26"/>
        </w:rPr>
        <w:t xml:space="preserve">s, because </w:t>
      </w:r>
      <w:r w:rsidR="003812A4" w:rsidRPr="00E37897">
        <w:rPr>
          <w:sz w:val="26"/>
          <w:szCs w:val="26"/>
        </w:rPr>
        <w:t xml:space="preserve">the </w:t>
      </w:r>
      <w:r w:rsidR="00BC2F7A" w:rsidRPr="00E37897">
        <w:rPr>
          <w:sz w:val="26"/>
          <w:szCs w:val="26"/>
        </w:rPr>
        <w:t>Commission</w:t>
      </w:r>
      <w:r w:rsidR="003812A4" w:rsidRPr="00E37897">
        <w:rPr>
          <w:sz w:val="26"/>
          <w:szCs w:val="26"/>
        </w:rPr>
        <w:t>’s</w:t>
      </w:r>
      <w:r w:rsidR="00BC2F7A" w:rsidRPr="00E37897">
        <w:rPr>
          <w:sz w:val="26"/>
          <w:szCs w:val="26"/>
        </w:rPr>
        <w:t xml:space="preserve"> </w:t>
      </w:r>
      <w:r w:rsidR="003812A4" w:rsidRPr="00E37897">
        <w:rPr>
          <w:sz w:val="26"/>
          <w:szCs w:val="26"/>
        </w:rPr>
        <w:t>R</w:t>
      </w:r>
      <w:r w:rsidR="00BC2F7A" w:rsidRPr="00E37897">
        <w:rPr>
          <w:sz w:val="26"/>
          <w:szCs w:val="26"/>
        </w:rPr>
        <w:t xml:space="preserve">egulations designate transmission service as a load-following expense, </w:t>
      </w:r>
      <w:r w:rsidR="00BC2F7A" w:rsidRPr="00E37897">
        <w:rPr>
          <w:sz w:val="26"/>
          <w:szCs w:val="26"/>
        </w:rPr>
        <w:lastRenderedPageBreak/>
        <w:t>meaning that the entity providing a customer</w:t>
      </w:r>
      <w:r w:rsidR="003812A4" w:rsidRPr="00E37897">
        <w:rPr>
          <w:sz w:val="26"/>
          <w:szCs w:val="26"/>
        </w:rPr>
        <w:t>’</w:t>
      </w:r>
      <w:r w:rsidR="00BC2F7A" w:rsidRPr="00E37897">
        <w:rPr>
          <w:sz w:val="26"/>
          <w:szCs w:val="26"/>
        </w:rPr>
        <w:t xml:space="preserve">s generation service </w:t>
      </w:r>
      <w:r w:rsidR="003812A4" w:rsidRPr="00E37897">
        <w:rPr>
          <w:sz w:val="26"/>
          <w:szCs w:val="26"/>
        </w:rPr>
        <w:t>is also</w:t>
      </w:r>
      <w:r w:rsidR="00BC2F7A" w:rsidRPr="00E37897">
        <w:rPr>
          <w:sz w:val="26"/>
          <w:szCs w:val="26"/>
        </w:rPr>
        <w:t xml:space="preserve"> responsib</w:t>
      </w:r>
      <w:r w:rsidR="003812A4" w:rsidRPr="00E37897">
        <w:rPr>
          <w:sz w:val="26"/>
          <w:szCs w:val="26"/>
        </w:rPr>
        <w:t>le</w:t>
      </w:r>
      <w:r w:rsidR="00BC2F7A" w:rsidRPr="00E37897">
        <w:rPr>
          <w:sz w:val="26"/>
          <w:szCs w:val="26"/>
        </w:rPr>
        <w:t xml:space="preserve"> for provi</w:t>
      </w:r>
      <w:r w:rsidR="00F036CA" w:rsidRPr="00E37897">
        <w:rPr>
          <w:sz w:val="26"/>
          <w:szCs w:val="26"/>
        </w:rPr>
        <w:t>ding</w:t>
      </w:r>
      <w:r w:rsidR="00BC2F7A" w:rsidRPr="00E37897">
        <w:rPr>
          <w:sz w:val="26"/>
          <w:szCs w:val="26"/>
        </w:rPr>
        <w:t xml:space="preserve"> transmission services and collectin</w:t>
      </w:r>
      <w:r w:rsidR="00F036CA" w:rsidRPr="00E37897">
        <w:rPr>
          <w:sz w:val="26"/>
          <w:szCs w:val="26"/>
        </w:rPr>
        <w:t>g</w:t>
      </w:r>
      <w:r w:rsidR="00BC2F7A" w:rsidRPr="00E37897">
        <w:rPr>
          <w:sz w:val="26"/>
          <w:szCs w:val="26"/>
        </w:rPr>
        <w:t xml:space="preserve"> the associated costs. </w:t>
      </w:r>
      <w:r w:rsidR="008F6ED7" w:rsidRPr="00E37897">
        <w:rPr>
          <w:sz w:val="26"/>
          <w:szCs w:val="26"/>
        </w:rPr>
        <w:t xml:space="preserve"> </w:t>
      </w:r>
      <w:r w:rsidR="008F6ED7" w:rsidRPr="00E37897">
        <w:rPr>
          <w:i/>
          <w:iCs/>
          <w:sz w:val="26"/>
          <w:szCs w:val="26"/>
        </w:rPr>
        <w:t>Id</w:t>
      </w:r>
      <w:r w:rsidR="008F6ED7" w:rsidRPr="00E37897">
        <w:rPr>
          <w:sz w:val="26"/>
          <w:szCs w:val="26"/>
        </w:rPr>
        <w:t xml:space="preserve">. (citing </w:t>
      </w:r>
      <w:r w:rsidR="00BC2F7A" w:rsidRPr="00E37897">
        <w:rPr>
          <w:sz w:val="26"/>
          <w:szCs w:val="26"/>
        </w:rPr>
        <w:t>52 Pa. Code §§ 54.182, 54.187(d)</w:t>
      </w:r>
      <w:r w:rsidR="008F6ED7" w:rsidRPr="00E37897">
        <w:rPr>
          <w:sz w:val="26"/>
          <w:szCs w:val="26"/>
        </w:rPr>
        <w:t>)</w:t>
      </w:r>
      <w:r w:rsidR="00BC2F7A" w:rsidRPr="00E37897">
        <w:rPr>
          <w:sz w:val="26"/>
          <w:szCs w:val="26"/>
        </w:rPr>
        <w:t xml:space="preserve">. </w:t>
      </w:r>
      <w:r w:rsidR="008F6ED7" w:rsidRPr="00E37897">
        <w:rPr>
          <w:sz w:val="26"/>
          <w:szCs w:val="26"/>
        </w:rPr>
        <w:t xml:space="preserve"> </w:t>
      </w:r>
    </w:p>
    <w:p w14:paraId="701EF48B" w14:textId="77777777" w:rsidR="00355529" w:rsidRPr="00E37897" w:rsidRDefault="00355529" w:rsidP="005F3BE2">
      <w:pPr>
        <w:widowControl/>
        <w:spacing w:line="360" w:lineRule="auto"/>
        <w:ind w:right="72" w:firstLine="1440"/>
        <w:contextualSpacing/>
        <w:textAlignment w:val="baseline"/>
        <w:rPr>
          <w:sz w:val="26"/>
          <w:szCs w:val="26"/>
        </w:rPr>
      </w:pPr>
    </w:p>
    <w:p w14:paraId="135CEEBA" w14:textId="18433668" w:rsidR="00C13033" w:rsidRPr="00E37897" w:rsidRDefault="003839D3" w:rsidP="005F3BE2">
      <w:pPr>
        <w:widowControl/>
        <w:spacing w:line="360" w:lineRule="auto"/>
        <w:ind w:right="72" w:firstLine="1440"/>
        <w:contextualSpacing/>
        <w:textAlignment w:val="baseline"/>
        <w:rPr>
          <w:sz w:val="26"/>
          <w:szCs w:val="26"/>
        </w:rPr>
      </w:pPr>
      <w:r w:rsidRPr="00E37897">
        <w:rPr>
          <w:sz w:val="26"/>
          <w:szCs w:val="26"/>
        </w:rPr>
        <w:t xml:space="preserve">As the ALJ </w:t>
      </w:r>
      <w:r w:rsidR="00C13033" w:rsidRPr="00E37897">
        <w:rPr>
          <w:sz w:val="26"/>
          <w:szCs w:val="26"/>
        </w:rPr>
        <w:t>recommend</w:t>
      </w:r>
      <w:r w:rsidRPr="00E37897">
        <w:rPr>
          <w:sz w:val="26"/>
          <w:szCs w:val="26"/>
        </w:rPr>
        <w:t>ed</w:t>
      </w:r>
      <w:r w:rsidR="00C13033" w:rsidRPr="00E37897">
        <w:rPr>
          <w:sz w:val="26"/>
          <w:szCs w:val="26"/>
        </w:rPr>
        <w:t xml:space="preserve"> that </w:t>
      </w:r>
      <w:r w:rsidR="00A12B58">
        <w:rPr>
          <w:sz w:val="26"/>
          <w:szCs w:val="26"/>
        </w:rPr>
        <w:t xml:space="preserve">the </w:t>
      </w:r>
      <w:r w:rsidR="00C13033" w:rsidRPr="00E37897">
        <w:rPr>
          <w:sz w:val="26"/>
          <w:szCs w:val="26"/>
        </w:rPr>
        <w:t xml:space="preserve">ESC’s proposal be denied, </w:t>
      </w:r>
      <w:r w:rsidR="00FB2C0C" w:rsidRPr="00E37897">
        <w:rPr>
          <w:sz w:val="26"/>
          <w:szCs w:val="26"/>
        </w:rPr>
        <w:t>the ALJ</w:t>
      </w:r>
      <w:r w:rsidR="00C13033" w:rsidRPr="00E37897">
        <w:rPr>
          <w:sz w:val="26"/>
          <w:szCs w:val="26"/>
        </w:rPr>
        <w:t xml:space="preserve"> </w:t>
      </w:r>
      <w:r w:rsidR="00FB2C0C" w:rsidRPr="00E37897">
        <w:rPr>
          <w:sz w:val="26"/>
          <w:szCs w:val="26"/>
        </w:rPr>
        <w:t>did</w:t>
      </w:r>
      <w:r w:rsidR="00C13033" w:rsidRPr="00E37897">
        <w:rPr>
          <w:sz w:val="26"/>
          <w:szCs w:val="26"/>
        </w:rPr>
        <w:t xml:space="preserve"> not address PECO’s “double-charge” and “unbundling” concerns</w:t>
      </w:r>
      <w:r w:rsidR="007C7315" w:rsidRPr="00E37897">
        <w:rPr>
          <w:sz w:val="26"/>
          <w:szCs w:val="26"/>
        </w:rPr>
        <w:t>, finding that</w:t>
      </w:r>
      <w:r w:rsidR="00C13033" w:rsidRPr="00E37897">
        <w:rPr>
          <w:sz w:val="26"/>
          <w:szCs w:val="26"/>
        </w:rPr>
        <w:t xml:space="preserve"> th</w:t>
      </w:r>
      <w:r w:rsidR="007C7315" w:rsidRPr="00E37897">
        <w:rPr>
          <w:sz w:val="26"/>
          <w:szCs w:val="26"/>
        </w:rPr>
        <w:t>o</w:t>
      </w:r>
      <w:r w:rsidR="00C13033" w:rsidRPr="00E37897">
        <w:rPr>
          <w:sz w:val="26"/>
          <w:szCs w:val="26"/>
        </w:rPr>
        <w:t xml:space="preserve">se transition issues would arise only if the </w:t>
      </w:r>
      <w:r w:rsidR="009014B8" w:rsidRPr="00E37897">
        <w:rPr>
          <w:sz w:val="26"/>
          <w:szCs w:val="26"/>
        </w:rPr>
        <w:t xml:space="preserve">Electric Supplier </w:t>
      </w:r>
      <w:r w:rsidR="00C13033" w:rsidRPr="00E37897">
        <w:rPr>
          <w:sz w:val="26"/>
          <w:szCs w:val="26"/>
        </w:rPr>
        <w:t xml:space="preserve">Coalition’s proposal were adopted. </w:t>
      </w:r>
      <w:r w:rsidR="007C7315" w:rsidRPr="00E37897">
        <w:rPr>
          <w:sz w:val="26"/>
          <w:szCs w:val="26"/>
        </w:rPr>
        <w:t xml:space="preserve"> Additionally</w:t>
      </w:r>
      <w:r w:rsidR="00C13033" w:rsidRPr="00E37897">
        <w:rPr>
          <w:sz w:val="26"/>
          <w:szCs w:val="26"/>
        </w:rPr>
        <w:t xml:space="preserve">, </w:t>
      </w:r>
      <w:r w:rsidR="007C7315" w:rsidRPr="00E37897">
        <w:rPr>
          <w:sz w:val="26"/>
          <w:szCs w:val="26"/>
        </w:rPr>
        <w:t>the ALJ determined that her</w:t>
      </w:r>
      <w:r w:rsidR="00C13033" w:rsidRPr="00E37897">
        <w:rPr>
          <w:sz w:val="26"/>
          <w:szCs w:val="26"/>
        </w:rPr>
        <w:t xml:space="preserve"> recommendation render</w:t>
      </w:r>
      <w:r w:rsidR="007C7315" w:rsidRPr="00E37897">
        <w:rPr>
          <w:sz w:val="26"/>
          <w:szCs w:val="26"/>
        </w:rPr>
        <w:t>ed</w:t>
      </w:r>
      <w:r w:rsidR="00C13033" w:rsidRPr="00E37897">
        <w:rPr>
          <w:sz w:val="26"/>
          <w:szCs w:val="26"/>
        </w:rPr>
        <w:t xml:space="preserve"> moot PAIEUG’s request for the implementation of a carve-out for Large C&amp;I customers.</w:t>
      </w:r>
      <w:r w:rsidR="007C7315" w:rsidRPr="00E37897">
        <w:rPr>
          <w:sz w:val="26"/>
          <w:szCs w:val="26"/>
        </w:rPr>
        <w:t xml:space="preserve">  R.D. at 108.  </w:t>
      </w:r>
    </w:p>
    <w:p w14:paraId="0E2E6B80" w14:textId="77777777" w:rsidR="00C13033" w:rsidRPr="00E37897" w:rsidRDefault="00C13033" w:rsidP="005F3BE2">
      <w:pPr>
        <w:pStyle w:val="BodyText2"/>
        <w:widowControl/>
        <w:spacing w:after="0" w:line="360" w:lineRule="auto"/>
        <w:contextualSpacing/>
        <w:rPr>
          <w:sz w:val="26"/>
          <w:szCs w:val="26"/>
        </w:rPr>
      </w:pPr>
    </w:p>
    <w:p w14:paraId="19D07C5C" w14:textId="18D68CC7" w:rsidR="00514FF0" w:rsidRPr="00E37897" w:rsidRDefault="005C0F2B" w:rsidP="005F3BE2">
      <w:pPr>
        <w:pStyle w:val="Heading2"/>
        <w:keepNext/>
        <w:spacing w:after="0"/>
        <w:ind w:left="720" w:hanging="720"/>
        <w:contextualSpacing/>
        <w:jc w:val="left"/>
        <w:rPr>
          <w:caps w:val="0"/>
          <w:sz w:val="26"/>
          <w:szCs w:val="26"/>
        </w:rPr>
      </w:pPr>
      <w:bookmarkStart w:id="22" w:name="_Toc56512767"/>
      <w:r w:rsidRPr="00E37897">
        <w:rPr>
          <w:caps w:val="0"/>
          <w:sz w:val="26"/>
          <w:szCs w:val="26"/>
        </w:rPr>
        <w:t>D</w:t>
      </w:r>
      <w:r w:rsidR="00514FF0" w:rsidRPr="00E37897">
        <w:rPr>
          <w:caps w:val="0"/>
          <w:sz w:val="26"/>
          <w:szCs w:val="26"/>
        </w:rPr>
        <w:t>.</w:t>
      </w:r>
      <w:r w:rsidR="00514FF0" w:rsidRPr="00E37897">
        <w:rPr>
          <w:caps w:val="0"/>
          <w:sz w:val="26"/>
          <w:szCs w:val="26"/>
        </w:rPr>
        <w:tab/>
      </w:r>
      <w:r w:rsidR="00336F8B" w:rsidRPr="00E37897">
        <w:rPr>
          <w:caps w:val="0"/>
          <w:sz w:val="26"/>
          <w:szCs w:val="26"/>
        </w:rPr>
        <w:t>ESC Exception No. 1</w:t>
      </w:r>
      <w:r w:rsidR="00663D8F" w:rsidRPr="00E37897">
        <w:rPr>
          <w:caps w:val="0"/>
          <w:sz w:val="26"/>
          <w:szCs w:val="26"/>
        </w:rPr>
        <w:t xml:space="preserve">, </w:t>
      </w:r>
      <w:r w:rsidR="00514FF0" w:rsidRPr="00E37897">
        <w:rPr>
          <w:caps w:val="0"/>
          <w:sz w:val="26"/>
          <w:szCs w:val="26"/>
        </w:rPr>
        <w:t>Replies</w:t>
      </w:r>
      <w:r w:rsidR="00663D8F" w:rsidRPr="00E37897">
        <w:rPr>
          <w:caps w:val="0"/>
          <w:sz w:val="26"/>
          <w:szCs w:val="26"/>
        </w:rPr>
        <w:t>, and Disposition</w:t>
      </w:r>
      <w:bookmarkEnd w:id="22"/>
    </w:p>
    <w:p w14:paraId="6E3F92DC" w14:textId="77777777" w:rsidR="00F17FB8" w:rsidRPr="00E37897" w:rsidRDefault="00F17FB8" w:rsidP="005F3BE2">
      <w:pPr>
        <w:pStyle w:val="BodyText2"/>
        <w:keepNext/>
        <w:keepLines/>
        <w:widowControl/>
        <w:spacing w:after="0" w:line="360" w:lineRule="auto"/>
        <w:contextualSpacing/>
        <w:rPr>
          <w:b/>
          <w:sz w:val="26"/>
          <w:szCs w:val="26"/>
        </w:rPr>
      </w:pPr>
    </w:p>
    <w:p w14:paraId="17F20007" w14:textId="0A1EAA1F" w:rsidR="00F17FB8" w:rsidRPr="00E37897" w:rsidRDefault="006236B5" w:rsidP="005F3BE2">
      <w:pPr>
        <w:pStyle w:val="Heading3"/>
        <w:keepNext/>
        <w:keepLines/>
        <w:spacing w:after="0"/>
        <w:ind w:left="1440" w:hanging="720"/>
        <w:contextualSpacing/>
        <w:jc w:val="left"/>
        <w:rPr>
          <w:sz w:val="26"/>
        </w:rPr>
      </w:pPr>
      <w:bookmarkStart w:id="23" w:name="_Toc56512768"/>
      <w:r w:rsidRPr="00E37897">
        <w:rPr>
          <w:sz w:val="26"/>
        </w:rPr>
        <w:t>1</w:t>
      </w:r>
      <w:r w:rsidR="00F17FB8" w:rsidRPr="00E37897">
        <w:rPr>
          <w:sz w:val="26"/>
        </w:rPr>
        <w:t>.</w:t>
      </w:r>
      <w:r w:rsidR="00F17FB8" w:rsidRPr="00E37897">
        <w:rPr>
          <w:sz w:val="26"/>
        </w:rPr>
        <w:tab/>
      </w:r>
      <w:r w:rsidR="00CA7EC6" w:rsidRPr="00E37897">
        <w:rPr>
          <w:sz w:val="26"/>
        </w:rPr>
        <w:t>ESC Exception No. 1</w:t>
      </w:r>
      <w:bookmarkEnd w:id="23"/>
      <w:r w:rsidR="00CA7EC6" w:rsidRPr="00E37897">
        <w:rPr>
          <w:sz w:val="26"/>
        </w:rPr>
        <w:t xml:space="preserve"> </w:t>
      </w:r>
    </w:p>
    <w:p w14:paraId="39F7DAFE" w14:textId="77777777" w:rsidR="00177DBB" w:rsidRPr="00E37897" w:rsidRDefault="00177DBB" w:rsidP="005F3BE2">
      <w:pPr>
        <w:pStyle w:val="BodyText2"/>
        <w:keepNext/>
        <w:keepLines/>
        <w:widowControl/>
        <w:spacing w:after="0" w:line="360" w:lineRule="auto"/>
        <w:contextualSpacing/>
        <w:rPr>
          <w:b/>
          <w:sz w:val="26"/>
          <w:szCs w:val="26"/>
        </w:rPr>
      </w:pPr>
    </w:p>
    <w:p w14:paraId="5F8956A8" w14:textId="64B42A3C" w:rsidR="005B1D39" w:rsidRDefault="00556793" w:rsidP="005F3BE2">
      <w:pPr>
        <w:widowControl/>
        <w:spacing w:line="360" w:lineRule="auto"/>
        <w:contextualSpacing/>
        <w:rPr>
          <w:sz w:val="26"/>
          <w:szCs w:val="26"/>
        </w:rPr>
      </w:pPr>
      <w:r w:rsidRPr="00E37897">
        <w:rPr>
          <w:sz w:val="26"/>
          <w:szCs w:val="26"/>
        </w:rPr>
        <w:tab/>
      </w:r>
      <w:r w:rsidRPr="00E37897">
        <w:rPr>
          <w:sz w:val="26"/>
          <w:szCs w:val="26"/>
        </w:rPr>
        <w:tab/>
      </w:r>
      <w:r w:rsidR="00380F86" w:rsidRPr="00E37897">
        <w:rPr>
          <w:sz w:val="26"/>
          <w:szCs w:val="26"/>
        </w:rPr>
        <w:t xml:space="preserve">In </w:t>
      </w:r>
      <w:r w:rsidR="008E54E8" w:rsidRPr="00E37897">
        <w:rPr>
          <w:sz w:val="26"/>
          <w:szCs w:val="26"/>
        </w:rPr>
        <w:t xml:space="preserve">its first Exception, the ESC avers that the ALJ erred in finding that the Commission lacks the </w:t>
      </w:r>
      <w:r w:rsidR="0041578F" w:rsidRPr="00E37897">
        <w:rPr>
          <w:sz w:val="26"/>
          <w:szCs w:val="26"/>
        </w:rPr>
        <w:t xml:space="preserve">requisite legal authority to change the status quo for </w:t>
      </w:r>
      <w:r w:rsidR="00EA4321" w:rsidRPr="00E37897">
        <w:rPr>
          <w:sz w:val="26"/>
          <w:szCs w:val="26"/>
        </w:rPr>
        <w:t>how NITS are handled.  Specifically, the ESC takes issue with the ALJ’s conclusions that</w:t>
      </w:r>
      <w:r w:rsidR="00E44BA1" w:rsidRPr="00E37897">
        <w:rPr>
          <w:sz w:val="26"/>
          <w:szCs w:val="26"/>
        </w:rPr>
        <w:t>:</w:t>
      </w:r>
      <w:r w:rsidR="00ED38A2">
        <w:rPr>
          <w:sz w:val="26"/>
          <w:szCs w:val="26"/>
        </w:rPr>
        <w:t xml:space="preserve"> </w:t>
      </w:r>
      <w:r w:rsidR="00E44BA1" w:rsidRPr="00E37897">
        <w:rPr>
          <w:sz w:val="26"/>
          <w:szCs w:val="26"/>
        </w:rPr>
        <w:t xml:space="preserve"> </w:t>
      </w:r>
      <w:r w:rsidR="007B304E" w:rsidRPr="00E37897">
        <w:rPr>
          <w:sz w:val="26"/>
          <w:szCs w:val="26"/>
        </w:rPr>
        <w:t xml:space="preserve">(1) “Commission precedent holds that collection of NITS for shopping customers should remain with the customer’s EGS;” (2) “having EDCs collect NITS costs. . . constitutes rebundling. . .in clear contravention of the Competition Act;” and, (3) “removal of NITS costs from products in the competitive markets is contrary to the intent of the Competition Act and Commission </w:t>
      </w:r>
      <w:r w:rsidR="00F3111C" w:rsidRPr="00E37897">
        <w:rPr>
          <w:sz w:val="26"/>
          <w:szCs w:val="26"/>
        </w:rPr>
        <w:t>R</w:t>
      </w:r>
      <w:r w:rsidR="007B304E" w:rsidRPr="00E37897">
        <w:rPr>
          <w:sz w:val="26"/>
          <w:szCs w:val="26"/>
        </w:rPr>
        <w:t>egulation.”</w:t>
      </w:r>
      <w:r w:rsidR="00F3111C" w:rsidRPr="00E37897">
        <w:rPr>
          <w:sz w:val="26"/>
          <w:szCs w:val="26"/>
        </w:rPr>
        <w:t xml:space="preserve">  ESC Exc. at 3-4</w:t>
      </w:r>
      <w:r w:rsidR="008A6DE0" w:rsidRPr="00E37897">
        <w:rPr>
          <w:sz w:val="26"/>
          <w:szCs w:val="26"/>
        </w:rPr>
        <w:t xml:space="preserve"> (citing R.D. at 107-108).  </w:t>
      </w:r>
      <w:r w:rsidR="00A12B58">
        <w:rPr>
          <w:sz w:val="26"/>
          <w:szCs w:val="26"/>
        </w:rPr>
        <w:t xml:space="preserve">The </w:t>
      </w:r>
      <w:r w:rsidR="005F1FD7" w:rsidRPr="00E37897">
        <w:rPr>
          <w:sz w:val="26"/>
          <w:szCs w:val="26"/>
        </w:rPr>
        <w:t xml:space="preserve">ESC argues that </w:t>
      </w:r>
      <w:r w:rsidR="00195337" w:rsidRPr="00E37897">
        <w:rPr>
          <w:sz w:val="26"/>
          <w:szCs w:val="26"/>
        </w:rPr>
        <w:t xml:space="preserve">the </w:t>
      </w:r>
      <w:r w:rsidR="005B1D39" w:rsidRPr="00E37897">
        <w:rPr>
          <w:sz w:val="26"/>
          <w:szCs w:val="26"/>
        </w:rPr>
        <w:t xml:space="preserve">Commission </w:t>
      </w:r>
      <w:r w:rsidR="00195337" w:rsidRPr="00E37897">
        <w:rPr>
          <w:sz w:val="26"/>
          <w:szCs w:val="26"/>
        </w:rPr>
        <w:t>previously</w:t>
      </w:r>
      <w:r w:rsidR="005B1D39" w:rsidRPr="00E37897">
        <w:rPr>
          <w:sz w:val="26"/>
          <w:szCs w:val="26"/>
        </w:rPr>
        <w:t xml:space="preserve"> made clear that adopting a proposal where an EDC is directed to recover the </w:t>
      </w:r>
      <w:r w:rsidR="009F08CA" w:rsidRPr="00E37897">
        <w:rPr>
          <w:sz w:val="26"/>
          <w:szCs w:val="26"/>
        </w:rPr>
        <w:t xml:space="preserve">NITS </w:t>
      </w:r>
      <w:r w:rsidR="005B1D39" w:rsidRPr="00E37897">
        <w:rPr>
          <w:sz w:val="26"/>
          <w:szCs w:val="26"/>
        </w:rPr>
        <w:t>costs from all customers “would not violate the Competition Act, the Public Utility Code or [Commission] Regulations.”</w:t>
      </w:r>
      <w:r w:rsidR="00A72A9A" w:rsidRPr="00E37897">
        <w:rPr>
          <w:sz w:val="26"/>
          <w:szCs w:val="26"/>
        </w:rPr>
        <w:t xml:space="preserve">  ESC Exc. at 4 (citing </w:t>
      </w:r>
      <w:r w:rsidR="003246CC" w:rsidRPr="00E37897">
        <w:rPr>
          <w:i/>
          <w:iCs/>
          <w:sz w:val="26"/>
          <w:szCs w:val="26"/>
        </w:rPr>
        <w:t xml:space="preserve">Joint Petition of Metropolitan Edison Company, Pennsylvania Electric Company, Pennsylvania Power Company and West Penn Power Company for Approval of their Default Service Programs (FE DSP </w:t>
      </w:r>
      <w:r w:rsidR="00E94D8A" w:rsidRPr="00E37897">
        <w:rPr>
          <w:i/>
          <w:iCs/>
          <w:sz w:val="26"/>
          <w:szCs w:val="26"/>
        </w:rPr>
        <w:t>III)</w:t>
      </w:r>
      <w:r w:rsidR="003246CC" w:rsidRPr="00E37897">
        <w:rPr>
          <w:sz w:val="26"/>
          <w:szCs w:val="26"/>
        </w:rPr>
        <w:t xml:space="preserve">, Docket No. P-2013-2391368 </w:t>
      </w:r>
      <w:r w:rsidR="003246CC" w:rsidRPr="00E37897">
        <w:rPr>
          <w:sz w:val="26"/>
          <w:szCs w:val="26"/>
        </w:rPr>
        <w:lastRenderedPageBreak/>
        <w:t>(Order entered July 24, 2014)</w:t>
      </w:r>
      <w:r w:rsidR="00E94D8A" w:rsidRPr="00E37897">
        <w:rPr>
          <w:sz w:val="26"/>
          <w:szCs w:val="26"/>
        </w:rPr>
        <w:t>,</w:t>
      </w:r>
      <w:r w:rsidR="0022705C" w:rsidRPr="00E37897">
        <w:rPr>
          <w:sz w:val="26"/>
          <w:szCs w:val="26"/>
        </w:rPr>
        <w:t xml:space="preserve"> at 38).</w:t>
      </w:r>
      <w:r w:rsidR="005B1D39" w:rsidRPr="00E37897">
        <w:rPr>
          <w:sz w:val="26"/>
          <w:szCs w:val="26"/>
        </w:rPr>
        <w:t xml:space="preserve">  </w:t>
      </w:r>
      <w:r w:rsidR="00A12B58">
        <w:rPr>
          <w:sz w:val="26"/>
          <w:szCs w:val="26"/>
        </w:rPr>
        <w:t xml:space="preserve">The </w:t>
      </w:r>
      <w:r w:rsidR="005B1D39" w:rsidRPr="00E37897">
        <w:rPr>
          <w:sz w:val="26"/>
          <w:szCs w:val="26"/>
        </w:rPr>
        <w:t>ESC</w:t>
      </w:r>
      <w:r w:rsidR="0022705C" w:rsidRPr="00E37897">
        <w:rPr>
          <w:sz w:val="26"/>
          <w:szCs w:val="26"/>
        </w:rPr>
        <w:t xml:space="preserve"> believes its</w:t>
      </w:r>
      <w:r w:rsidR="005B1D39" w:rsidRPr="00E37897">
        <w:rPr>
          <w:sz w:val="26"/>
          <w:szCs w:val="26"/>
        </w:rPr>
        <w:t xml:space="preserve"> proposal is consistent with one previously deemed legal by the Commission, </w:t>
      </w:r>
      <w:r w:rsidR="000B5D92" w:rsidRPr="00E37897">
        <w:rPr>
          <w:sz w:val="26"/>
          <w:szCs w:val="26"/>
        </w:rPr>
        <w:t xml:space="preserve">and, as such, </w:t>
      </w:r>
      <w:r w:rsidR="005B1D39" w:rsidRPr="00E37897">
        <w:rPr>
          <w:sz w:val="26"/>
          <w:szCs w:val="26"/>
        </w:rPr>
        <w:t xml:space="preserve">there is no basis upon which to conclude that adoption of </w:t>
      </w:r>
      <w:r w:rsidR="000B5D92" w:rsidRPr="00E37897">
        <w:rPr>
          <w:sz w:val="26"/>
          <w:szCs w:val="26"/>
        </w:rPr>
        <w:t>its</w:t>
      </w:r>
      <w:r w:rsidR="005B1D39" w:rsidRPr="00E37897">
        <w:rPr>
          <w:sz w:val="26"/>
          <w:szCs w:val="26"/>
        </w:rPr>
        <w:t xml:space="preserve"> proposal violates the law.</w:t>
      </w:r>
      <w:r w:rsidR="008C1B8E" w:rsidRPr="00E37897">
        <w:rPr>
          <w:sz w:val="26"/>
          <w:szCs w:val="26"/>
        </w:rPr>
        <w:t xml:space="preserve">  ESC Exc. at 4.</w:t>
      </w:r>
      <w:r w:rsidR="005B1D39" w:rsidRPr="00E37897">
        <w:rPr>
          <w:sz w:val="26"/>
          <w:szCs w:val="26"/>
        </w:rPr>
        <w:t xml:space="preserve">  </w:t>
      </w:r>
      <w:r w:rsidR="001C2B9B" w:rsidRPr="00E37897">
        <w:rPr>
          <w:sz w:val="26"/>
          <w:szCs w:val="26"/>
        </w:rPr>
        <w:t xml:space="preserve">ESC states that </w:t>
      </w:r>
      <w:r w:rsidR="005B1D39" w:rsidRPr="00E37897">
        <w:rPr>
          <w:sz w:val="26"/>
          <w:szCs w:val="26"/>
        </w:rPr>
        <w:t>the Commission has been open to other alternatives to level the playing field for recovering NITS costs</w:t>
      </w:r>
      <w:r w:rsidR="00DD4BFA" w:rsidRPr="00E37897">
        <w:rPr>
          <w:sz w:val="26"/>
          <w:szCs w:val="26"/>
        </w:rPr>
        <w:t xml:space="preserve"> based on the Commission’s</w:t>
      </w:r>
      <w:r w:rsidR="005B1D39" w:rsidRPr="00E37897">
        <w:rPr>
          <w:sz w:val="26"/>
          <w:szCs w:val="26"/>
        </w:rPr>
        <w:t xml:space="preserve"> approval of an approach that requires the wholesale supplier to include NITS </w:t>
      </w:r>
      <w:r w:rsidR="00DD4BFA" w:rsidRPr="00E37897">
        <w:rPr>
          <w:sz w:val="26"/>
          <w:szCs w:val="26"/>
        </w:rPr>
        <w:t xml:space="preserve">costs </w:t>
      </w:r>
      <w:r w:rsidR="005B1D39" w:rsidRPr="00E37897">
        <w:rPr>
          <w:sz w:val="26"/>
          <w:szCs w:val="26"/>
        </w:rPr>
        <w:t>as part of their bids to provide default service.</w:t>
      </w:r>
      <w:r w:rsidR="008C1B8E" w:rsidRPr="00E37897">
        <w:rPr>
          <w:sz w:val="26"/>
          <w:szCs w:val="26"/>
        </w:rPr>
        <w:t xml:space="preserve">  </w:t>
      </w:r>
      <w:r w:rsidR="008C1B8E" w:rsidRPr="00E37897">
        <w:rPr>
          <w:i/>
          <w:iCs/>
          <w:sz w:val="26"/>
          <w:szCs w:val="26"/>
        </w:rPr>
        <w:t>Id</w:t>
      </w:r>
      <w:r w:rsidR="008C1B8E" w:rsidRPr="00E37897">
        <w:rPr>
          <w:sz w:val="26"/>
          <w:szCs w:val="26"/>
        </w:rPr>
        <w:t xml:space="preserve">. (citing </w:t>
      </w:r>
      <w:r w:rsidR="00BB5642" w:rsidRPr="00E37897">
        <w:rPr>
          <w:i/>
          <w:iCs/>
          <w:sz w:val="26"/>
          <w:szCs w:val="26"/>
        </w:rPr>
        <w:t xml:space="preserve">FE DSP III </w:t>
      </w:r>
      <w:r w:rsidR="00BB5642" w:rsidRPr="00E37897">
        <w:rPr>
          <w:sz w:val="26"/>
          <w:szCs w:val="26"/>
        </w:rPr>
        <w:t xml:space="preserve">at </w:t>
      </w:r>
      <w:r w:rsidR="00135F6A" w:rsidRPr="00E37897">
        <w:rPr>
          <w:sz w:val="26"/>
          <w:szCs w:val="26"/>
        </w:rPr>
        <w:t xml:space="preserve">31-32).  </w:t>
      </w:r>
      <w:r w:rsidR="00BB5642" w:rsidRPr="00E37897">
        <w:rPr>
          <w:sz w:val="26"/>
          <w:szCs w:val="26"/>
        </w:rPr>
        <w:t xml:space="preserve"> </w:t>
      </w:r>
      <w:r w:rsidR="005B1D39" w:rsidRPr="00E37897">
        <w:rPr>
          <w:sz w:val="26"/>
          <w:szCs w:val="26"/>
        </w:rPr>
        <w:t xml:space="preserve">  </w:t>
      </w:r>
    </w:p>
    <w:p w14:paraId="43C802B5" w14:textId="77777777" w:rsidR="00665A70" w:rsidRPr="00E37897" w:rsidRDefault="00665A70" w:rsidP="005F3BE2">
      <w:pPr>
        <w:widowControl/>
        <w:spacing w:line="360" w:lineRule="auto"/>
        <w:contextualSpacing/>
        <w:rPr>
          <w:sz w:val="26"/>
          <w:szCs w:val="26"/>
        </w:rPr>
      </w:pPr>
    </w:p>
    <w:p w14:paraId="32CE62B1" w14:textId="4A307013" w:rsidR="005B1D39" w:rsidRPr="00E37897" w:rsidRDefault="00A12B58" w:rsidP="005F3BE2">
      <w:pPr>
        <w:pStyle w:val="BodyText1"/>
        <w:spacing w:line="360" w:lineRule="auto"/>
        <w:ind w:firstLine="1440"/>
        <w:contextualSpacing/>
        <w:rPr>
          <w:sz w:val="26"/>
          <w:szCs w:val="26"/>
        </w:rPr>
      </w:pPr>
      <w:r>
        <w:rPr>
          <w:sz w:val="26"/>
          <w:szCs w:val="26"/>
        </w:rPr>
        <w:t xml:space="preserve">The </w:t>
      </w:r>
      <w:r w:rsidR="00135F6A" w:rsidRPr="00E37897">
        <w:rPr>
          <w:sz w:val="26"/>
          <w:szCs w:val="26"/>
        </w:rPr>
        <w:t xml:space="preserve">ESC continues that the ALJ’s </w:t>
      </w:r>
      <w:r w:rsidR="005B1D39" w:rsidRPr="00E37897">
        <w:rPr>
          <w:sz w:val="26"/>
          <w:szCs w:val="26"/>
        </w:rPr>
        <w:t xml:space="preserve">reliance on </w:t>
      </w:r>
      <w:r w:rsidR="000951C7" w:rsidRPr="00E37897">
        <w:rPr>
          <w:sz w:val="26"/>
          <w:szCs w:val="26"/>
        </w:rPr>
        <w:t xml:space="preserve">the </w:t>
      </w:r>
      <w:r w:rsidR="005B1D39" w:rsidRPr="00E37897">
        <w:rPr>
          <w:sz w:val="26"/>
          <w:szCs w:val="26"/>
        </w:rPr>
        <w:t xml:space="preserve">Competition Act and the Commission’s </w:t>
      </w:r>
      <w:r w:rsidR="003B7767">
        <w:rPr>
          <w:sz w:val="26"/>
          <w:szCs w:val="26"/>
        </w:rPr>
        <w:t>D</w:t>
      </w:r>
      <w:r w:rsidR="005B1D39" w:rsidRPr="00E37897">
        <w:rPr>
          <w:sz w:val="26"/>
          <w:szCs w:val="26"/>
        </w:rPr>
        <w:t xml:space="preserve">efault </w:t>
      </w:r>
      <w:r w:rsidR="003B7767">
        <w:rPr>
          <w:sz w:val="26"/>
          <w:szCs w:val="26"/>
        </w:rPr>
        <w:t>S</w:t>
      </w:r>
      <w:r w:rsidR="005B1D39" w:rsidRPr="00E37897">
        <w:rPr>
          <w:sz w:val="26"/>
          <w:szCs w:val="26"/>
        </w:rPr>
        <w:t xml:space="preserve">ervice </w:t>
      </w:r>
      <w:r w:rsidR="000951C7" w:rsidRPr="00E37897">
        <w:rPr>
          <w:sz w:val="26"/>
          <w:szCs w:val="26"/>
        </w:rPr>
        <w:t>R</w:t>
      </w:r>
      <w:r w:rsidR="005B1D39" w:rsidRPr="00E37897">
        <w:rPr>
          <w:sz w:val="26"/>
          <w:szCs w:val="26"/>
        </w:rPr>
        <w:t xml:space="preserve">egulations </w:t>
      </w:r>
      <w:r w:rsidR="000951C7" w:rsidRPr="00E37897">
        <w:rPr>
          <w:sz w:val="26"/>
          <w:szCs w:val="26"/>
        </w:rPr>
        <w:t xml:space="preserve">as a basis </w:t>
      </w:r>
      <w:r w:rsidR="005B1D39" w:rsidRPr="00E37897">
        <w:rPr>
          <w:sz w:val="26"/>
          <w:szCs w:val="26"/>
        </w:rPr>
        <w:t xml:space="preserve">to reject </w:t>
      </w:r>
      <w:r w:rsidR="000951C7" w:rsidRPr="00E37897">
        <w:rPr>
          <w:sz w:val="26"/>
          <w:szCs w:val="26"/>
        </w:rPr>
        <w:t>its</w:t>
      </w:r>
      <w:r w:rsidR="005B1D39" w:rsidRPr="00E37897">
        <w:rPr>
          <w:sz w:val="26"/>
          <w:szCs w:val="26"/>
        </w:rPr>
        <w:t xml:space="preserve"> proposal is </w:t>
      </w:r>
      <w:r w:rsidR="00B32C14" w:rsidRPr="00E37897">
        <w:rPr>
          <w:sz w:val="26"/>
          <w:szCs w:val="26"/>
        </w:rPr>
        <w:t>incorrect, because</w:t>
      </w:r>
      <w:r w:rsidR="00EB1FF5" w:rsidRPr="00E37897">
        <w:rPr>
          <w:sz w:val="26"/>
          <w:szCs w:val="26"/>
        </w:rPr>
        <w:t xml:space="preserve"> n</w:t>
      </w:r>
      <w:r w:rsidR="005B1D39" w:rsidRPr="00E37897">
        <w:rPr>
          <w:sz w:val="26"/>
          <w:szCs w:val="26"/>
        </w:rPr>
        <w:t xml:space="preserve">othing in the Competition Act or the Commission’s </w:t>
      </w:r>
      <w:r w:rsidR="00EB1FF5" w:rsidRPr="00E37897">
        <w:rPr>
          <w:sz w:val="26"/>
          <w:szCs w:val="26"/>
        </w:rPr>
        <w:t>R</w:t>
      </w:r>
      <w:r w:rsidR="005B1D39" w:rsidRPr="00E37897">
        <w:rPr>
          <w:sz w:val="26"/>
          <w:szCs w:val="26"/>
        </w:rPr>
        <w:t xml:space="preserve">egulations requires or justifies a continuation of the status quo where PECO handles NITS cost recovery differently for shopping and non-shopping customers.  </w:t>
      </w:r>
      <w:r w:rsidR="00543979" w:rsidRPr="00E37897">
        <w:rPr>
          <w:sz w:val="26"/>
          <w:szCs w:val="26"/>
        </w:rPr>
        <w:t xml:space="preserve">ESC Exc. at 4.  </w:t>
      </w:r>
      <w:r w:rsidR="00EB1FF5" w:rsidRPr="00E37897">
        <w:rPr>
          <w:sz w:val="26"/>
          <w:szCs w:val="26"/>
        </w:rPr>
        <w:t>Rather</w:t>
      </w:r>
      <w:r w:rsidR="005B1D39" w:rsidRPr="00E37897">
        <w:rPr>
          <w:sz w:val="26"/>
          <w:szCs w:val="26"/>
        </w:rPr>
        <w:t>,</w:t>
      </w:r>
      <w:r w:rsidR="00EB1FF5" w:rsidRPr="00E37897">
        <w:rPr>
          <w:sz w:val="26"/>
          <w:szCs w:val="26"/>
        </w:rPr>
        <w:t xml:space="preserve"> according to </w:t>
      </w:r>
      <w:r>
        <w:rPr>
          <w:sz w:val="26"/>
          <w:szCs w:val="26"/>
        </w:rPr>
        <w:t xml:space="preserve">the </w:t>
      </w:r>
      <w:r w:rsidR="00EB1FF5" w:rsidRPr="00E37897">
        <w:rPr>
          <w:sz w:val="26"/>
          <w:szCs w:val="26"/>
        </w:rPr>
        <w:t>ESC,</w:t>
      </w:r>
      <w:r w:rsidR="005B1D39" w:rsidRPr="00E37897">
        <w:rPr>
          <w:sz w:val="26"/>
          <w:szCs w:val="26"/>
        </w:rPr>
        <w:t xml:space="preserve"> Section 2804(6) of the Competition Act obligates the Commission to ensure that a public utility owning and operating jurisdictional transmission and distribution facilities provide</w:t>
      </w:r>
      <w:r w:rsidR="00280662" w:rsidRPr="00E37897">
        <w:rPr>
          <w:sz w:val="26"/>
          <w:szCs w:val="26"/>
        </w:rPr>
        <w:t>s</w:t>
      </w:r>
      <w:r w:rsidR="005B1D39" w:rsidRPr="00E37897">
        <w:rPr>
          <w:sz w:val="26"/>
          <w:szCs w:val="26"/>
        </w:rPr>
        <w:t xml:space="preserve"> transmission and distribution service to all retail electric customers and EGSs “on rates, terms of access and conditions that are comparable to the utility’s own use of its system.”  </w:t>
      </w:r>
      <w:r w:rsidR="00543979" w:rsidRPr="00E37897">
        <w:rPr>
          <w:i/>
          <w:iCs/>
          <w:sz w:val="26"/>
          <w:szCs w:val="26"/>
        </w:rPr>
        <w:t>Id</w:t>
      </w:r>
      <w:r w:rsidR="00543979" w:rsidRPr="00E37897">
        <w:rPr>
          <w:sz w:val="26"/>
          <w:szCs w:val="26"/>
        </w:rPr>
        <w:t xml:space="preserve">. at 4-5 (citing </w:t>
      </w:r>
      <w:r w:rsidR="00310571" w:rsidRPr="00E37897">
        <w:rPr>
          <w:sz w:val="26"/>
          <w:szCs w:val="26"/>
        </w:rPr>
        <w:t xml:space="preserve">66 Pa. C.S. § 2804(6)).  </w:t>
      </w:r>
      <w:r>
        <w:rPr>
          <w:sz w:val="26"/>
          <w:szCs w:val="26"/>
        </w:rPr>
        <w:t xml:space="preserve">The </w:t>
      </w:r>
      <w:r w:rsidR="00310571" w:rsidRPr="00E37897">
        <w:rPr>
          <w:sz w:val="26"/>
          <w:szCs w:val="26"/>
        </w:rPr>
        <w:t xml:space="preserve">ESC contends that because </w:t>
      </w:r>
      <w:r w:rsidR="005B1D39" w:rsidRPr="00E37897">
        <w:rPr>
          <w:sz w:val="26"/>
          <w:szCs w:val="26"/>
        </w:rPr>
        <w:t xml:space="preserve">PECO is using a different cost recovery method in providing transmission service to EGSs’ customers than it is </w:t>
      </w:r>
      <w:r w:rsidR="004B211F" w:rsidRPr="00E37897">
        <w:rPr>
          <w:sz w:val="26"/>
          <w:szCs w:val="26"/>
        </w:rPr>
        <w:t>using for</w:t>
      </w:r>
      <w:r w:rsidR="005B1D39" w:rsidRPr="00E37897">
        <w:rPr>
          <w:sz w:val="26"/>
          <w:szCs w:val="26"/>
        </w:rPr>
        <w:t xml:space="preserve"> its own default service customers, a modification is warranted to level the playing field and ensure compliance with Section 2804(6).  </w:t>
      </w:r>
      <w:r w:rsidR="00432C9C" w:rsidRPr="00E37897">
        <w:rPr>
          <w:sz w:val="26"/>
          <w:szCs w:val="26"/>
        </w:rPr>
        <w:t>ESC Exc. at 5.</w:t>
      </w:r>
    </w:p>
    <w:p w14:paraId="52C3E41B" w14:textId="77777777" w:rsidR="004B211F" w:rsidRPr="00E37897" w:rsidRDefault="004B211F" w:rsidP="005F3BE2">
      <w:pPr>
        <w:pStyle w:val="BodyText"/>
        <w:widowControl/>
        <w:spacing w:after="0" w:line="360" w:lineRule="auto"/>
        <w:contextualSpacing/>
        <w:rPr>
          <w:sz w:val="26"/>
          <w:szCs w:val="26"/>
        </w:rPr>
      </w:pPr>
    </w:p>
    <w:p w14:paraId="32ACFD37" w14:textId="6B84E0C8" w:rsidR="005B1D39" w:rsidRPr="00E37897" w:rsidRDefault="004B211F" w:rsidP="006E7B16">
      <w:pPr>
        <w:pStyle w:val="BodyText"/>
        <w:widowControl/>
        <w:spacing w:after="0" w:line="360" w:lineRule="auto"/>
        <w:ind w:firstLine="1440"/>
        <w:contextualSpacing/>
        <w:rPr>
          <w:sz w:val="26"/>
          <w:szCs w:val="26"/>
        </w:rPr>
      </w:pPr>
      <w:r w:rsidRPr="00E37897">
        <w:rPr>
          <w:sz w:val="26"/>
          <w:szCs w:val="26"/>
        </w:rPr>
        <w:t xml:space="preserve">Additionally, </w:t>
      </w:r>
      <w:r w:rsidR="00A12B58">
        <w:rPr>
          <w:sz w:val="26"/>
          <w:szCs w:val="26"/>
        </w:rPr>
        <w:t xml:space="preserve">the </w:t>
      </w:r>
      <w:r w:rsidRPr="00E37897">
        <w:rPr>
          <w:sz w:val="26"/>
          <w:szCs w:val="26"/>
        </w:rPr>
        <w:t xml:space="preserve">ESC </w:t>
      </w:r>
      <w:r w:rsidR="00D26FEF" w:rsidRPr="00E37897">
        <w:rPr>
          <w:sz w:val="26"/>
          <w:szCs w:val="26"/>
        </w:rPr>
        <w:t xml:space="preserve">argues that the ALJ’s </w:t>
      </w:r>
      <w:r w:rsidR="005B1D39" w:rsidRPr="00E37897">
        <w:rPr>
          <w:sz w:val="26"/>
          <w:szCs w:val="26"/>
        </w:rPr>
        <w:t xml:space="preserve">characterization of </w:t>
      </w:r>
      <w:r w:rsidR="00D26FEF" w:rsidRPr="00E37897">
        <w:rPr>
          <w:sz w:val="26"/>
          <w:szCs w:val="26"/>
        </w:rPr>
        <w:t>its</w:t>
      </w:r>
      <w:r w:rsidR="005B1D39" w:rsidRPr="00E37897">
        <w:rPr>
          <w:sz w:val="26"/>
          <w:szCs w:val="26"/>
        </w:rPr>
        <w:t xml:space="preserve"> proposal as resulting in the rebundling of transmission and distribution service is incorrect.</w:t>
      </w:r>
      <w:r w:rsidR="007E6066" w:rsidRPr="00E37897">
        <w:rPr>
          <w:sz w:val="26"/>
          <w:szCs w:val="26"/>
        </w:rPr>
        <w:t xml:space="preserve">  </w:t>
      </w:r>
      <w:r w:rsidR="00432C9C" w:rsidRPr="00E37897">
        <w:rPr>
          <w:i/>
          <w:iCs/>
          <w:sz w:val="26"/>
          <w:szCs w:val="26"/>
        </w:rPr>
        <w:t>Id</w:t>
      </w:r>
      <w:r w:rsidR="00432C9C" w:rsidRPr="00E37897">
        <w:rPr>
          <w:sz w:val="26"/>
          <w:szCs w:val="26"/>
        </w:rPr>
        <w:t xml:space="preserve">. (citing </w:t>
      </w:r>
      <w:r w:rsidR="00432C9C" w:rsidRPr="00E37897">
        <w:rPr>
          <w:i/>
          <w:sz w:val="26"/>
          <w:szCs w:val="26"/>
        </w:rPr>
        <w:t>PECO</w:t>
      </w:r>
      <w:r w:rsidR="00432C9C" w:rsidRPr="00E37897">
        <w:rPr>
          <w:sz w:val="26"/>
          <w:szCs w:val="26"/>
        </w:rPr>
        <w:t xml:space="preserve"> </w:t>
      </w:r>
      <w:r w:rsidR="00432C9C" w:rsidRPr="00E37897">
        <w:rPr>
          <w:i/>
          <w:sz w:val="26"/>
          <w:szCs w:val="26"/>
        </w:rPr>
        <w:t>DSP III</w:t>
      </w:r>
      <w:r w:rsidR="00432C9C" w:rsidRPr="00E37897">
        <w:rPr>
          <w:rStyle w:val="FootnoteReference"/>
          <w:sz w:val="26"/>
          <w:szCs w:val="26"/>
        </w:rPr>
        <w:t xml:space="preserve"> </w:t>
      </w:r>
      <w:r w:rsidR="00432C9C" w:rsidRPr="00E37897">
        <w:rPr>
          <w:sz w:val="26"/>
          <w:szCs w:val="26"/>
        </w:rPr>
        <w:t>).</w:t>
      </w:r>
      <w:r w:rsidR="005B1D39" w:rsidRPr="00E37897">
        <w:rPr>
          <w:sz w:val="26"/>
          <w:szCs w:val="26"/>
        </w:rPr>
        <w:t xml:space="preserve">  </w:t>
      </w:r>
      <w:r w:rsidR="00A12B58">
        <w:rPr>
          <w:sz w:val="26"/>
          <w:szCs w:val="26"/>
        </w:rPr>
        <w:t xml:space="preserve">The </w:t>
      </w:r>
      <w:r w:rsidR="00113CCC" w:rsidRPr="00E37897">
        <w:rPr>
          <w:sz w:val="26"/>
          <w:szCs w:val="26"/>
        </w:rPr>
        <w:t xml:space="preserve">ESC avers that </w:t>
      </w:r>
      <w:r w:rsidR="005B1D39" w:rsidRPr="00E37897">
        <w:rPr>
          <w:sz w:val="26"/>
          <w:szCs w:val="26"/>
        </w:rPr>
        <w:t xml:space="preserve">the only service the Competition Act declared as competitive is generation service.  </w:t>
      </w:r>
      <w:r w:rsidR="00A12B58">
        <w:rPr>
          <w:sz w:val="26"/>
          <w:szCs w:val="26"/>
        </w:rPr>
        <w:t xml:space="preserve">The </w:t>
      </w:r>
      <w:r w:rsidR="00393AEB" w:rsidRPr="00E37897">
        <w:rPr>
          <w:sz w:val="26"/>
          <w:szCs w:val="26"/>
        </w:rPr>
        <w:t xml:space="preserve">ESC points to </w:t>
      </w:r>
      <w:r w:rsidR="005B1D39" w:rsidRPr="00E37897">
        <w:rPr>
          <w:sz w:val="26"/>
          <w:szCs w:val="26"/>
        </w:rPr>
        <w:t>Section 2802(13</w:t>
      </w:r>
      <w:bookmarkStart w:id="24" w:name="_Hlk56359711"/>
      <w:r w:rsidR="005B1D39" w:rsidRPr="00E37897">
        <w:rPr>
          <w:sz w:val="26"/>
          <w:szCs w:val="26"/>
        </w:rPr>
        <w:t>)</w:t>
      </w:r>
      <w:r w:rsidR="00491A9F" w:rsidRPr="00E37897">
        <w:rPr>
          <w:sz w:val="26"/>
          <w:szCs w:val="26"/>
        </w:rPr>
        <w:t xml:space="preserve">, </w:t>
      </w:r>
      <w:r w:rsidR="008721D2" w:rsidRPr="00E37897">
        <w:rPr>
          <w:sz w:val="26"/>
          <w:szCs w:val="26"/>
        </w:rPr>
        <w:t>66 Pa. C.S. § 2802</w:t>
      </w:r>
      <w:r w:rsidR="0012221A" w:rsidRPr="00E37897">
        <w:rPr>
          <w:sz w:val="26"/>
          <w:szCs w:val="26"/>
        </w:rPr>
        <w:t>(13)</w:t>
      </w:r>
      <w:bookmarkEnd w:id="24"/>
      <w:r w:rsidR="0012221A" w:rsidRPr="00E37897">
        <w:rPr>
          <w:sz w:val="26"/>
          <w:szCs w:val="26"/>
        </w:rPr>
        <w:t xml:space="preserve">, </w:t>
      </w:r>
      <w:r w:rsidR="00491A9F" w:rsidRPr="00E37897">
        <w:rPr>
          <w:sz w:val="26"/>
          <w:szCs w:val="26"/>
        </w:rPr>
        <w:t xml:space="preserve">which </w:t>
      </w:r>
      <w:r w:rsidR="005B1D39" w:rsidRPr="00E37897">
        <w:rPr>
          <w:sz w:val="26"/>
          <w:szCs w:val="26"/>
        </w:rPr>
        <w:t xml:space="preserve">provides that the Competition Act will give retail customers access only to “a competitive market for the generation and sale or purchase of </w:t>
      </w:r>
      <w:r w:rsidR="005B1D39" w:rsidRPr="00E37897">
        <w:rPr>
          <w:sz w:val="26"/>
          <w:szCs w:val="26"/>
        </w:rPr>
        <w:lastRenderedPageBreak/>
        <w:t xml:space="preserve">electricity” </w:t>
      </w:r>
      <w:r w:rsidR="00E370E2" w:rsidRPr="00E37897">
        <w:rPr>
          <w:sz w:val="26"/>
          <w:szCs w:val="26"/>
        </w:rPr>
        <w:t xml:space="preserve">and </w:t>
      </w:r>
      <w:r w:rsidR="005B1D39" w:rsidRPr="00E37897">
        <w:rPr>
          <w:sz w:val="26"/>
          <w:szCs w:val="26"/>
        </w:rPr>
        <w:t>Section 2802(14)</w:t>
      </w:r>
      <w:r w:rsidR="00E370E2" w:rsidRPr="00E37897">
        <w:rPr>
          <w:sz w:val="26"/>
          <w:szCs w:val="26"/>
        </w:rPr>
        <w:t>,</w:t>
      </w:r>
      <w:r w:rsidR="0012221A" w:rsidRPr="00E37897">
        <w:rPr>
          <w:sz w:val="26"/>
          <w:szCs w:val="26"/>
        </w:rPr>
        <w:t xml:space="preserve"> 66 Pa. C.S. § 2802(1</w:t>
      </w:r>
      <w:r w:rsidR="00ED38A2">
        <w:rPr>
          <w:sz w:val="26"/>
          <w:szCs w:val="26"/>
        </w:rPr>
        <w:t>4</w:t>
      </w:r>
      <w:r w:rsidR="0012221A" w:rsidRPr="00E37897">
        <w:rPr>
          <w:sz w:val="26"/>
          <w:szCs w:val="26"/>
        </w:rPr>
        <w:t xml:space="preserve">), </w:t>
      </w:r>
      <w:r w:rsidR="00E370E2" w:rsidRPr="00E37897">
        <w:rPr>
          <w:sz w:val="26"/>
          <w:szCs w:val="26"/>
        </w:rPr>
        <w:t>which</w:t>
      </w:r>
      <w:r w:rsidR="005B1D39" w:rsidRPr="00E37897">
        <w:rPr>
          <w:sz w:val="26"/>
          <w:szCs w:val="26"/>
        </w:rPr>
        <w:t xml:space="preserve"> specifies that unbundling was designed to give competitive suppliers open access to the EDCs’ transmission and distribution systems to allow them “to generate and sell electricity directly to consumers.”  </w:t>
      </w:r>
      <w:r w:rsidR="00411DE3" w:rsidRPr="00E37897">
        <w:rPr>
          <w:sz w:val="26"/>
          <w:szCs w:val="26"/>
        </w:rPr>
        <w:t xml:space="preserve">ESC Exc. at 5.  </w:t>
      </w:r>
      <w:r w:rsidR="00124DA0" w:rsidRPr="00E37897">
        <w:rPr>
          <w:sz w:val="26"/>
          <w:szCs w:val="26"/>
        </w:rPr>
        <w:t xml:space="preserve">The ESC also avers that </w:t>
      </w:r>
      <w:r w:rsidR="005B1D39" w:rsidRPr="00E37897">
        <w:rPr>
          <w:sz w:val="26"/>
          <w:szCs w:val="26"/>
        </w:rPr>
        <w:t>the law states that “[i]t is in the public interest for the transmission and distribution of electricity to continue to be regulated as a natural monopoly subject to the jurisdiction and active supervision of the commission.”</w:t>
      </w:r>
      <w:r w:rsidR="00DE1543" w:rsidRPr="00E37897">
        <w:rPr>
          <w:sz w:val="26"/>
          <w:szCs w:val="26"/>
        </w:rPr>
        <w:t xml:space="preserve">  </w:t>
      </w:r>
      <w:r w:rsidR="00DE1543" w:rsidRPr="00E37897">
        <w:rPr>
          <w:i/>
          <w:iCs/>
          <w:sz w:val="26"/>
          <w:szCs w:val="26"/>
        </w:rPr>
        <w:t>Id</w:t>
      </w:r>
      <w:r w:rsidR="00DE1543" w:rsidRPr="00E37897">
        <w:rPr>
          <w:sz w:val="26"/>
          <w:szCs w:val="26"/>
        </w:rPr>
        <w:t xml:space="preserve">. (citing 66 Pa. C.S. </w:t>
      </w:r>
      <w:r w:rsidR="0012221A" w:rsidRPr="00E37897">
        <w:rPr>
          <w:sz w:val="26"/>
          <w:szCs w:val="26"/>
        </w:rPr>
        <w:t>§</w:t>
      </w:r>
      <w:r w:rsidR="005125BE" w:rsidRPr="00E37897">
        <w:rPr>
          <w:sz w:val="26"/>
          <w:szCs w:val="26"/>
        </w:rPr>
        <w:t xml:space="preserve">2802(16)).  </w:t>
      </w:r>
    </w:p>
    <w:p w14:paraId="104368B3" w14:textId="77777777" w:rsidR="00504BA5" w:rsidRPr="00E37897" w:rsidRDefault="00504BA5" w:rsidP="005F3BE2">
      <w:pPr>
        <w:pStyle w:val="BodyText"/>
        <w:widowControl/>
        <w:spacing w:after="0" w:line="360" w:lineRule="auto"/>
        <w:ind w:firstLine="1440"/>
        <w:contextualSpacing/>
        <w:rPr>
          <w:sz w:val="26"/>
          <w:szCs w:val="26"/>
        </w:rPr>
      </w:pPr>
    </w:p>
    <w:p w14:paraId="317AE373" w14:textId="79EE787B" w:rsidR="005B1D39" w:rsidRPr="00E37897" w:rsidRDefault="00FB14D7" w:rsidP="005F3BE2">
      <w:pPr>
        <w:pStyle w:val="BodyText"/>
        <w:widowControl/>
        <w:spacing w:after="0" w:line="360" w:lineRule="auto"/>
        <w:ind w:firstLine="1530"/>
        <w:contextualSpacing/>
        <w:rPr>
          <w:sz w:val="26"/>
          <w:szCs w:val="26"/>
        </w:rPr>
      </w:pPr>
      <w:r>
        <w:rPr>
          <w:sz w:val="26"/>
          <w:szCs w:val="26"/>
        </w:rPr>
        <w:t xml:space="preserve">The </w:t>
      </w:r>
      <w:r w:rsidR="00F87256" w:rsidRPr="00E37897">
        <w:rPr>
          <w:sz w:val="26"/>
          <w:szCs w:val="26"/>
        </w:rPr>
        <w:t xml:space="preserve">ESC explains that </w:t>
      </w:r>
      <w:r w:rsidR="005B1D39" w:rsidRPr="00E37897">
        <w:rPr>
          <w:sz w:val="26"/>
          <w:szCs w:val="26"/>
        </w:rPr>
        <w:t>transmission costs for shopping customers need to be recovered either by the EDC providing distribution service or the EGS supplying generation service</w:t>
      </w:r>
      <w:r w:rsidR="00F87256" w:rsidRPr="00E37897">
        <w:rPr>
          <w:sz w:val="26"/>
          <w:szCs w:val="26"/>
        </w:rPr>
        <w:t>, and</w:t>
      </w:r>
      <w:r w:rsidR="0070448B" w:rsidRPr="00E37897">
        <w:rPr>
          <w:sz w:val="26"/>
          <w:szCs w:val="26"/>
        </w:rPr>
        <w:t>,</w:t>
      </w:r>
      <w:r w:rsidR="00F87256" w:rsidRPr="00E37897">
        <w:rPr>
          <w:sz w:val="26"/>
          <w:szCs w:val="26"/>
        </w:rPr>
        <w:t xml:space="preserve"> t</w:t>
      </w:r>
      <w:r w:rsidR="005B1D39" w:rsidRPr="00E37897">
        <w:rPr>
          <w:sz w:val="26"/>
          <w:szCs w:val="26"/>
        </w:rPr>
        <w:t>oday</w:t>
      </w:r>
      <w:r w:rsidR="0070448B" w:rsidRPr="00E37897">
        <w:rPr>
          <w:sz w:val="26"/>
          <w:szCs w:val="26"/>
        </w:rPr>
        <w:t>,</w:t>
      </w:r>
      <w:r w:rsidR="005B1D39" w:rsidRPr="00E37897">
        <w:rPr>
          <w:sz w:val="26"/>
          <w:szCs w:val="26"/>
        </w:rPr>
        <w:t xml:space="preserve"> different components of transmission cost</w:t>
      </w:r>
      <w:r w:rsidR="0012221A" w:rsidRPr="00E37897">
        <w:rPr>
          <w:sz w:val="26"/>
          <w:szCs w:val="26"/>
        </w:rPr>
        <w:t>s</w:t>
      </w:r>
      <w:r w:rsidR="005B1D39" w:rsidRPr="00E37897">
        <w:rPr>
          <w:sz w:val="26"/>
          <w:szCs w:val="26"/>
        </w:rPr>
        <w:t xml:space="preserve"> are recovered through the EDC in some circumstances and through the EGS in others.  </w:t>
      </w:r>
      <w:r w:rsidR="00307B43" w:rsidRPr="00E37897">
        <w:rPr>
          <w:sz w:val="26"/>
          <w:szCs w:val="26"/>
        </w:rPr>
        <w:t xml:space="preserve">ESC Exc. at </w:t>
      </w:r>
      <w:r w:rsidR="00834423" w:rsidRPr="00E37897">
        <w:rPr>
          <w:sz w:val="26"/>
          <w:szCs w:val="26"/>
        </w:rPr>
        <w:t xml:space="preserve">5.  </w:t>
      </w:r>
      <w:r w:rsidR="0070448B" w:rsidRPr="00E37897">
        <w:rPr>
          <w:sz w:val="26"/>
          <w:szCs w:val="26"/>
        </w:rPr>
        <w:t xml:space="preserve">However, according to </w:t>
      </w:r>
      <w:r>
        <w:rPr>
          <w:sz w:val="26"/>
          <w:szCs w:val="26"/>
        </w:rPr>
        <w:t xml:space="preserve">the </w:t>
      </w:r>
      <w:r w:rsidR="0070448B" w:rsidRPr="00E37897">
        <w:rPr>
          <w:sz w:val="26"/>
          <w:szCs w:val="26"/>
        </w:rPr>
        <w:t xml:space="preserve">ESC, </w:t>
      </w:r>
      <w:r w:rsidR="005B1D39" w:rsidRPr="00E37897">
        <w:rPr>
          <w:sz w:val="26"/>
          <w:szCs w:val="26"/>
        </w:rPr>
        <w:t xml:space="preserve">placing cost recovery responsibility on the EDC rather than the EGS does not amount to rebundling of transmission service with distribution, in the same way PECO’s current approach does not rebundle transmission and generation service. </w:t>
      </w:r>
      <w:r w:rsidR="00834423" w:rsidRPr="00E37897">
        <w:rPr>
          <w:sz w:val="26"/>
          <w:szCs w:val="26"/>
        </w:rPr>
        <w:t xml:space="preserve"> </w:t>
      </w:r>
      <w:r w:rsidR="00834423" w:rsidRPr="00E37897">
        <w:rPr>
          <w:i/>
          <w:iCs/>
          <w:sz w:val="26"/>
          <w:szCs w:val="26"/>
        </w:rPr>
        <w:t>Id</w:t>
      </w:r>
      <w:r w:rsidR="00834423" w:rsidRPr="00E37897">
        <w:rPr>
          <w:sz w:val="26"/>
          <w:szCs w:val="26"/>
        </w:rPr>
        <w:t xml:space="preserve">. at 5-6.  </w:t>
      </w:r>
      <w:r>
        <w:rPr>
          <w:sz w:val="26"/>
          <w:szCs w:val="26"/>
        </w:rPr>
        <w:t xml:space="preserve">The </w:t>
      </w:r>
      <w:r w:rsidR="00ED4F5A" w:rsidRPr="00E37897">
        <w:rPr>
          <w:sz w:val="26"/>
          <w:szCs w:val="26"/>
        </w:rPr>
        <w:t>ESC avers that n</w:t>
      </w:r>
      <w:r w:rsidR="005B1D39" w:rsidRPr="00E37897">
        <w:rPr>
          <w:sz w:val="26"/>
          <w:szCs w:val="26"/>
        </w:rPr>
        <w:t>othing is being rebundled</w:t>
      </w:r>
      <w:r w:rsidR="006C7FEA" w:rsidRPr="00E37897">
        <w:rPr>
          <w:sz w:val="26"/>
          <w:szCs w:val="26"/>
        </w:rPr>
        <w:t xml:space="preserve">, rather, </w:t>
      </w:r>
      <w:r w:rsidR="005B1D39" w:rsidRPr="00E37897">
        <w:rPr>
          <w:sz w:val="26"/>
          <w:szCs w:val="26"/>
        </w:rPr>
        <w:t xml:space="preserve">the only change under the </w:t>
      </w:r>
      <w:r w:rsidR="006C7FEA" w:rsidRPr="00E37897">
        <w:rPr>
          <w:sz w:val="26"/>
          <w:szCs w:val="26"/>
        </w:rPr>
        <w:t xml:space="preserve">Electric Supplier </w:t>
      </w:r>
      <w:r w:rsidR="005B1D39" w:rsidRPr="00E37897">
        <w:rPr>
          <w:sz w:val="26"/>
          <w:szCs w:val="26"/>
        </w:rPr>
        <w:t>Coalition’s proposal is that the NITS charges would be recovered in the same way other transmission charges are.</w:t>
      </w:r>
      <w:r w:rsidR="00900E43" w:rsidRPr="00E37897">
        <w:rPr>
          <w:sz w:val="26"/>
          <w:szCs w:val="26"/>
        </w:rPr>
        <w:t xml:space="preserve">  </w:t>
      </w:r>
      <w:r w:rsidR="00900E43" w:rsidRPr="00E37897">
        <w:rPr>
          <w:i/>
          <w:iCs/>
          <w:sz w:val="26"/>
          <w:szCs w:val="26"/>
        </w:rPr>
        <w:t>Id</w:t>
      </w:r>
      <w:r w:rsidR="00900E43" w:rsidRPr="00E37897">
        <w:rPr>
          <w:sz w:val="26"/>
          <w:szCs w:val="26"/>
        </w:rPr>
        <w:t>. at 6.</w:t>
      </w:r>
      <w:r w:rsidR="006C7FEA" w:rsidRPr="00E37897">
        <w:rPr>
          <w:sz w:val="26"/>
          <w:szCs w:val="26"/>
        </w:rPr>
        <w:t xml:space="preserve">  </w:t>
      </w:r>
    </w:p>
    <w:p w14:paraId="1DE3D2FF" w14:textId="77777777" w:rsidR="006C7FEA" w:rsidRPr="00E37897" w:rsidRDefault="006C7FEA" w:rsidP="005F3BE2">
      <w:pPr>
        <w:pStyle w:val="BodyText"/>
        <w:widowControl/>
        <w:spacing w:after="0" w:line="360" w:lineRule="auto"/>
        <w:ind w:firstLine="1530"/>
        <w:contextualSpacing/>
        <w:rPr>
          <w:sz w:val="26"/>
          <w:szCs w:val="26"/>
        </w:rPr>
      </w:pPr>
    </w:p>
    <w:p w14:paraId="52747CA8" w14:textId="63B04D2B" w:rsidR="005B1D39" w:rsidRPr="00E37897" w:rsidRDefault="002E5F1D" w:rsidP="005F3BE2">
      <w:pPr>
        <w:pStyle w:val="BodyText"/>
        <w:widowControl/>
        <w:spacing w:after="0" w:line="360" w:lineRule="auto"/>
        <w:ind w:firstLine="1440"/>
        <w:contextualSpacing/>
        <w:rPr>
          <w:sz w:val="26"/>
          <w:szCs w:val="26"/>
        </w:rPr>
      </w:pPr>
      <w:r w:rsidRPr="00E37897">
        <w:rPr>
          <w:sz w:val="26"/>
          <w:szCs w:val="26"/>
        </w:rPr>
        <w:t>To illustrate this point</w:t>
      </w:r>
      <w:r w:rsidR="00330E8E" w:rsidRPr="00E37897">
        <w:rPr>
          <w:sz w:val="26"/>
          <w:szCs w:val="26"/>
        </w:rPr>
        <w:t xml:space="preserve">, </w:t>
      </w:r>
      <w:r w:rsidR="00FB14D7">
        <w:rPr>
          <w:sz w:val="26"/>
          <w:szCs w:val="26"/>
        </w:rPr>
        <w:t xml:space="preserve">the </w:t>
      </w:r>
      <w:r w:rsidR="00B66343" w:rsidRPr="00E37897">
        <w:rPr>
          <w:sz w:val="26"/>
          <w:szCs w:val="26"/>
        </w:rPr>
        <w:t xml:space="preserve">ESC </w:t>
      </w:r>
      <w:r w:rsidRPr="00E37897">
        <w:rPr>
          <w:sz w:val="26"/>
          <w:szCs w:val="26"/>
        </w:rPr>
        <w:t>state</w:t>
      </w:r>
      <w:r w:rsidR="00093D70" w:rsidRPr="00E37897">
        <w:rPr>
          <w:sz w:val="26"/>
          <w:szCs w:val="26"/>
        </w:rPr>
        <w:t>s</w:t>
      </w:r>
      <w:r w:rsidRPr="00E37897">
        <w:rPr>
          <w:sz w:val="26"/>
          <w:szCs w:val="26"/>
        </w:rPr>
        <w:t xml:space="preserve"> that </w:t>
      </w:r>
      <w:r w:rsidR="005B1D39" w:rsidRPr="00E37897">
        <w:rPr>
          <w:sz w:val="26"/>
          <w:szCs w:val="26"/>
        </w:rPr>
        <w:t xml:space="preserve">PECO currently recovers costs for the following charges for all customers: </w:t>
      </w:r>
      <w:r w:rsidR="00ED38A2">
        <w:rPr>
          <w:sz w:val="26"/>
          <w:szCs w:val="26"/>
        </w:rPr>
        <w:t xml:space="preserve"> </w:t>
      </w:r>
      <w:r w:rsidR="002E4C99">
        <w:rPr>
          <w:sz w:val="26"/>
          <w:szCs w:val="26"/>
        </w:rPr>
        <w:t xml:space="preserve">(1) </w:t>
      </w:r>
      <w:r w:rsidR="005B1D39" w:rsidRPr="00E37897">
        <w:rPr>
          <w:sz w:val="26"/>
          <w:szCs w:val="26"/>
        </w:rPr>
        <w:t>Generation Deactivation/Reliability Must Run</w:t>
      </w:r>
      <w:r w:rsidR="00770145" w:rsidRPr="00E37897">
        <w:rPr>
          <w:sz w:val="26"/>
          <w:szCs w:val="26"/>
        </w:rPr>
        <w:t xml:space="preserve"> (RMR)</w:t>
      </w:r>
      <w:r w:rsidR="005B1D39" w:rsidRPr="00E37897">
        <w:rPr>
          <w:sz w:val="26"/>
          <w:szCs w:val="26"/>
        </w:rPr>
        <w:t xml:space="preserve"> charges; </w:t>
      </w:r>
      <w:r w:rsidR="002E4C99">
        <w:rPr>
          <w:sz w:val="26"/>
          <w:szCs w:val="26"/>
        </w:rPr>
        <w:t xml:space="preserve">(2) </w:t>
      </w:r>
      <w:r w:rsidR="005B1D39" w:rsidRPr="00E37897">
        <w:rPr>
          <w:sz w:val="26"/>
          <w:szCs w:val="26"/>
        </w:rPr>
        <w:t xml:space="preserve">Regional Transmission Expansion Plan charges; and </w:t>
      </w:r>
      <w:r w:rsidR="002E4C99">
        <w:rPr>
          <w:sz w:val="26"/>
          <w:szCs w:val="26"/>
        </w:rPr>
        <w:t xml:space="preserve">(3) </w:t>
      </w:r>
      <w:r w:rsidR="005B1D39" w:rsidRPr="00E37897">
        <w:rPr>
          <w:sz w:val="26"/>
          <w:szCs w:val="26"/>
        </w:rPr>
        <w:t>Expansion Cost Recovery charges (collectively, “Other PJM Charges”).</w:t>
      </w:r>
      <w:r w:rsidR="00900E43" w:rsidRPr="00E37897">
        <w:rPr>
          <w:sz w:val="26"/>
          <w:szCs w:val="26"/>
        </w:rPr>
        <w:t xml:space="preserve">  </w:t>
      </w:r>
      <w:r w:rsidR="00EA7A44" w:rsidRPr="00E37897">
        <w:rPr>
          <w:i/>
          <w:iCs/>
          <w:sz w:val="26"/>
          <w:szCs w:val="26"/>
        </w:rPr>
        <w:t>Id</w:t>
      </w:r>
      <w:r w:rsidR="00EA7A44" w:rsidRPr="00E37897">
        <w:rPr>
          <w:sz w:val="26"/>
          <w:szCs w:val="26"/>
        </w:rPr>
        <w:t>. (citing ESC St. 1 at 31, 33).</w:t>
      </w:r>
      <w:r w:rsidR="005B1D39" w:rsidRPr="00E37897">
        <w:rPr>
          <w:sz w:val="26"/>
          <w:szCs w:val="26"/>
        </w:rPr>
        <w:t xml:space="preserve">  </w:t>
      </w:r>
      <w:r w:rsidR="00093D70" w:rsidRPr="00E37897">
        <w:rPr>
          <w:sz w:val="26"/>
          <w:szCs w:val="26"/>
        </w:rPr>
        <w:t xml:space="preserve">According to </w:t>
      </w:r>
      <w:r w:rsidR="00FB14D7">
        <w:rPr>
          <w:sz w:val="26"/>
          <w:szCs w:val="26"/>
        </w:rPr>
        <w:t xml:space="preserve">the </w:t>
      </w:r>
      <w:r w:rsidR="00093D70" w:rsidRPr="00E37897">
        <w:rPr>
          <w:sz w:val="26"/>
          <w:szCs w:val="26"/>
        </w:rPr>
        <w:t xml:space="preserve">ESC, </w:t>
      </w:r>
      <w:r w:rsidR="005B1D39" w:rsidRPr="00E37897">
        <w:rPr>
          <w:sz w:val="26"/>
          <w:szCs w:val="26"/>
        </w:rPr>
        <w:t>PECO recovers the costs of the Other PJM Charges via the Non-</w:t>
      </w:r>
      <w:proofErr w:type="spellStart"/>
      <w:r w:rsidR="005B1D39" w:rsidRPr="00E37897">
        <w:rPr>
          <w:sz w:val="26"/>
          <w:szCs w:val="26"/>
        </w:rPr>
        <w:t>Bypassable</w:t>
      </w:r>
      <w:proofErr w:type="spellEnd"/>
      <w:r w:rsidR="005B1D39" w:rsidRPr="00E37897">
        <w:rPr>
          <w:sz w:val="26"/>
          <w:szCs w:val="26"/>
        </w:rPr>
        <w:t xml:space="preserve"> Transmission NBT Charge</w:t>
      </w:r>
      <w:r w:rsidR="00EA4E67">
        <w:rPr>
          <w:sz w:val="26"/>
          <w:szCs w:val="26"/>
        </w:rPr>
        <w:t xml:space="preserve"> (NBT Charge)</w:t>
      </w:r>
      <w:r w:rsidR="005B1D39" w:rsidRPr="00E37897">
        <w:rPr>
          <w:sz w:val="26"/>
          <w:szCs w:val="26"/>
        </w:rPr>
        <w:t xml:space="preserve">.  </w:t>
      </w:r>
      <w:r w:rsidR="00A649FC" w:rsidRPr="00E37897">
        <w:rPr>
          <w:sz w:val="26"/>
          <w:szCs w:val="26"/>
        </w:rPr>
        <w:t xml:space="preserve">Accordingly, </w:t>
      </w:r>
      <w:r w:rsidR="00FB14D7">
        <w:rPr>
          <w:sz w:val="26"/>
          <w:szCs w:val="26"/>
        </w:rPr>
        <w:t xml:space="preserve">the </w:t>
      </w:r>
      <w:r w:rsidR="005B1D39" w:rsidRPr="00E37897">
        <w:rPr>
          <w:sz w:val="26"/>
          <w:szCs w:val="26"/>
        </w:rPr>
        <w:t xml:space="preserve">ESC’s proposal is that NITS costs be included with the NBT Charge.  </w:t>
      </w:r>
      <w:r w:rsidR="00486182" w:rsidRPr="00E37897">
        <w:rPr>
          <w:sz w:val="26"/>
          <w:szCs w:val="26"/>
        </w:rPr>
        <w:t>ESC Exc. at 6 (citing ESC St. 1</w:t>
      </w:r>
      <w:r w:rsidR="00B95EB5" w:rsidRPr="00E37897">
        <w:rPr>
          <w:sz w:val="26"/>
          <w:szCs w:val="26"/>
        </w:rPr>
        <w:t xml:space="preserve"> at 33).  </w:t>
      </w:r>
      <w:r w:rsidR="00FB14D7">
        <w:rPr>
          <w:sz w:val="26"/>
          <w:szCs w:val="26"/>
        </w:rPr>
        <w:t xml:space="preserve">The </w:t>
      </w:r>
      <w:r w:rsidR="00B95EB5" w:rsidRPr="00E37897">
        <w:rPr>
          <w:sz w:val="26"/>
          <w:szCs w:val="26"/>
        </w:rPr>
        <w:t xml:space="preserve">ESC argues that because </w:t>
      </w:r>
      <w:r w:rsidR="005B1D39" w:rsidRPr="00E37897">
        <w:rPr>
          <w:sz w:val="26"/>
          <w:szCs w:val="26"/>
        </w:rPr>
        <w:t>the NBT Charge is a Commission approved cost recovery mechanism for Other PJM Charges, there is no legal reason why NITS</w:t>
      </w:r>
      <w:r w:rsidR="00B95EB5" w:rsidRPr="00E37897">
        <w:rPr>
          <w:sz w:val="26"/>
          <w:szCs w:val="26"/>
        </w:rPr>
        <w:t>,</w:t>
      </w:r>
      <w:r w:rsidR="005B1D39" w:rsidRPr="00E37897">
        <w:rPr>
          <w:sz w:val="26"/>
          <w:szCs w:val="26"/>
        </w:rPr>
        <w:t xml:space="preserve"> a similar wholesale charge</w:t>
      </w:r>
      <w:r w:rsidR="006F29B8" w:rsidRPr="00E37897">
        <w:rPr>
          <w:sz w:val="26"/>
          <w:szCs w:val="26"/>
        </w:rPr>
        <w:t>,</w:t>
      </w:r>
      <w:r w:rsidR="005B1D39" w:rsidRPr="00E37897">
        <w:rPr>
          <w:sz w:val="26"/>
          <w:szCs w:val="26"/>
        </w:rPr>
        <w:t xml:space="preserve"> cannot be included as well.  </w:t>
      </w:r>
      <w:r w:rsidR="00FB14D7">
        <w:rPr>
          <w:sz w:val="26"/>
          <w:szCs w:val="26"/>
        </w:rPr>
        <w:t xml:space="preserve">The </w:t>
      </w:r>
      <w:r w:rsidR="006F29B8" w:rsidRPr="00E37897">
        <w:rPr>
          <w:sz w:val="26"/>
          <w:szCs w:val="26"/>
        </w:rPr>
        <w:t xml:space="preserve">ESC </w:t>
      </w:r>
      <w:r w:rsidR="006F29B8" w:rsidRPr="00E37897">
        <w:rPr>
          <w:sz w:val="26"/>
          <w:szCs w:val="26"/>
        </w:rPr>
        <w:lastRenderedPageBreak/>
        <w:t>also argues that</w:t>
      </w:r>
      <w:r w:rsidR="003752C0" w:rsidRPr="00E37897">
        <w:rPr>
          <w:sz w:val="26"/>
          <w:szCs w:val="26"/>
        </w:rPr>
        <w:t>,</w:t>
      </w:r>
      <w:r w:rsidR="006F29B8" w:rsidRPr="00E37897">
        <w:rPr>
          <w:sz w:val="26"/>
          <w:szCs w:val="26"/>
        </w:rPr>
        <w:t xml:space="preserve"> on the other hand, </w:t>
      </w:r>
      <w:r w:rsidR="005B1D39" w:rsidRPr="00E37897">
        <w:rPr>
          <w:sz w:val="26"/>
          <w:szCs w:val="26"/>
        </w:rPr>
        <w:t xml:space="preserve">if the Commission </w:t>
      </w:r>
      <w:r w:rsidR="006F29B8" w:rsidRPr="00E37897">
        <w:rPr>
          <w:sz w:val="26"/>
          <w:szCs w:val="26"/>
        </w:rPr>
        <w:t>adopts</w:t>
      </w:r>
      <w:r w:rsidR="005B1D39" w:rsidRPr="00E37897">
        <w:rPr>
          <w:sz w:val="26"/>
          <w:szCs w:val="26"/>
        </w:rPr>
        <w:t xml:space="preserve"> the ALJ’s reasoning that the </w:t>
      </w:r>
      <w:r w:rsidR="006F29B8" w:rsidRPr="00E37897">
        <w:rPr>
          <w:sz w:val="26"/>
          <w:szCs w:val="26"/>
        </w:rPr>
        <w:t xml:space="preserve">Electric Supplier </w:t>
      </w:r>
      <w:r w:rsidR="005B1D39" w:rsidRPr="00E37897">
        <w:rPr>
          <w:sz w:val="26"/>
          <w:szCs w:val="26"/>
        </w:rPr>
        <w:t>Coalition’s proposal would constitute unlawful rebundling, it cannot sustain the NBT Charge as it presently exists.</w:t>
      </w:r>
      <w:r w:rsidR="00803B53" w:rsidRPr="00E37897">
        <w:rPr>
          <w:sz w:val="26"/>
          <w:szCs w:val="26"/>
        </w:rPr>
        <w:t xml:space="preserve">  ESC Exc. at 6. </w:t>
      </w:r>
      <w:r w:rsidR="005B1D39" w:rsidRPr="00E37897">
        <w:rPr>
          <w:sz w:val="26"/>
          <w:szCs w:val="26"/>
        </w:rPr>
        <w:t xml:space="preserve"> </w:t>
      </w:r>
    </w:p>
    <w:p w14:paraId="3E22372A" w14:textId="77777777" w:rsidR="00132F69" w:rsidRPr="00E37897" w:rsidRDefault="00132F69" w:rsidP="005F3BE2">
      <w:pPr>
        <w:pStyle w:val="BodyText"/>
        <w:widowControl/>
        <w:spacing w:after="0" w:line="360" w:lineRule="auto"/>
        <w:contextualSpacing/>
        <w:rPr>
          <w:sz w:val="26"/>
          <w:szCs w:val="26"/>
        </w:rPr>
      </w:pPr>
    </w:p>
    <w:p w14:paraId="59DF169E" w14:textId="7D8D55D7" w:rsidR="005B1D39" w:rsidRPr="00E37897" w:rsidRDefault="00132F69" w:rsidP="005F3BE2">
      <w:pPr>
        <w:pStyle w:val="BodyText"/>
        <w:widowControl/>
        <w:spacing w:after="0" w:line="360" w:lineRule="auto"/>
        <w:ind w:firstLine="1440"/>
        <w:contextualSpacing/>
        <w:rPr>
          <w:sz w:val="26"/>
          <w:szCs w:val="26"/>
        </w:rPr>
      </w:pPr>
      <w:r w:rsidRPr="00E37897">
        <w:rPr>
          <w:sz w:val="26"/>
          <w:szCs w:val="26"/>
        </w:rPr>
        <w:t xml:space="preserve">Further, </w:t>
      </w:r>
      <w:r w:rsidR="00FB14D7">
        <w:rPr>
          <w:sz w:val="26"/>
          <w:szCs w:val="26"/>
        </w:rPr>
        <w:t xml:space="preserve">the </w:t>
      </w:r>
      <w:r w:rsidRPr="00E37897">
        <w:rPr>
          <w:sz w:val="26"/>
          <w:szCs w:val="26"/>
        </w:rPr>
        <w:t xml:space="preserve">ESC </w:t>
      </w:r>
      <w:r w:rsidR="008430C6" w:rsidRPr="00E37897">
        <w:rPr>
          <w:sz w:val="26"/>
          <w:szCs w:val="26"/>
        </w:rPr>
        <w:t>disagrees with the ALJ’s reliance on the</w:t>
      </w:r>
      <w:r w:rsidR="005B1D39" w:rsidRPr="00E37897">
        <w:rPr>
          <w:sz w:val="26"/>
          <w:szCs w:val="26"/>
        </w:rPr>
        <w:t xml:space="preserve"> Commission</w:t>
      </w:r>
      <w:r w:rsidR="00211D39" w:rsidRPr="00E37897">
        <w:rPr>
          <w:sz w:val="26"/>
          <w:szCs w:val="26"/>
        </w:rPr>
        <w:t>’s</w:t>
      </w:r>
      <w:r w:rsidR="005B1D39" w:rsidRPr="00E37897">
        <w:rPr>
          <w:sz w:val="26"/>
          <w:szCs w:val="26"/>
        </w:rPr>
        <w:t xml:space="preserve"> </w:t>
      </w:r>
      <w:r w:rsidR="00211D39" w:rsidRPr="00E37897">
        <w:rPr>
          <w:sz w:val="26"/>
          <w:szCs w:val="26"/>
        </w:rPr>
        <w:t>R</w:t>
      </w:r>
      <w:r w:rsidR="005B1D39" w:rsidRPr="00E37897">
        <w:rPr>
          <w:sz w:val="26"/>
          <w:szCs w:val="26"/>
        </w:rPr>
        <w:t xml:space="preserve">egulations </w:t>
      </w:r>
      <w:r w:rsidR="00211D39" w:rsidRPr="00E37897">
        <w:rPr>
          <w:sz w:val="26"/>
          <w:szCs w:val="26"/>
        </w:rPr>
        <w:t>in</w:t>
      </w:r>
      <w:r w:rsidR="005B1D39" w:rsidRPr="00E37897">
        <w:rPr>
          <w:sz w:val="26"/>
          <w:szCs w:val="26"/>
        </w:rPr>
        <w:t xml:space="preserve"> support</w:t>
      </w:r>
      <w:r w:rsidR="00211D39" w:rsidRPr="00E37897">
        <w:rPr>
          <w:sz w:val="26"/>
          <w:szCs w:val="26"/>
        </w:rPr>
        <w:t xml:space="preserve"> of the conclusion in the Recommended Decision</w:t>
      </w:r>
      <w:r w:rsidR="005B1D39" w:rsidRPr="00E37897">
        <w:rPr>
          <w:sz w:val="26"/>
          <w:szCs w:val="26"/>
        </w:rPr>
        <w:t xml:space="preserve">.  </w:t>
      </w:r>
      <w:r w:rsidR="00FB14D7">
        <w:rPr>
          <w:sz w:val="26"/>
          <w:szCs w:val="26"/>
        </w:rPr>
        <w:t xml:space="preserve">The </w:t>
      </w:r>
      <w:r w:rsidR="00A56C94" w:rsidRPr="00E37897">
        <w:rPr>
          <w:sz w:val="26"/>
          <w:szCs w:val="26"/>
        </w:rPr>
        <w:t xml:space="preserve">ESC avers that </w:t>
      </w:r>
      <w:r w:rsidR="005B1D39" w:rsidRPr="00E37897">
        <w:rPr>
          <w:sz w:val="26"/>
          <w:szCs w:val="26"/>
        </w:rPr>
        <w:t xml:space="preserve">these </w:t>
      </w:r>
      <w:r w:rsidR="00A56C94" w:rsidRPr="00E37897">
        <w:rPr>
          <w:sz w:val="26"/>
          <w:szCs w:val="26"/>
        </w:rPr>
        <w:t>R</w:t>
      </w:r>
      <w:r w:rsidR="005B1D39" w:rsidRPr="00E37897">
        <w:rPr>
          <w:sz w:val="26"/>
          <w:szCs w:val="26"/>
        </w:rPr>
        <w:t xml:space="preserve">egulations do not </w:t>
      </w:r>
      <w:r w:rsidR="00C705B2" w:rsidRPr="00E37897">
        <w:rPr>
          <w:sz w:val="26"/>
          <w:szCs w:val="26"/>
        </w:rPr>
        <w:t>state</w:t>
      </w:r>
      <w:r w:rsidR="005B1D39" w:rsidRPr="00E37897">
        <w:rPr>
          <w:sz w:val="26"/>
          <w:szCs w:val="26"/>
        </w:rPr>
        <w:t xml:space="preserve"> that the entity providing a customer’s generation service must take responsibility for the provision of transmission services and collection of the associated costs.  </w:t>
      </w:r>
      <w:r w:rsidR="00803B53" w:rsidRPr="00E37897">
        <w:rPr>
          <w:i/>
          <w:iCs/>
          <w:sz w:val="26"/>
          <w:szCs w:val="26"/>
        </w:rPr>
        <w:t>Id</w:t>
      </w:r>
      <w:r w:rsidR="00803B53" w:rsidRPr="00E37897">
        <w:rPr>
          <w:sz w:val="26"/>
          <w:szCs w:val="26"/>
        </w:rPr>
        <w:t xml:space="preserve">.  </w:t>
      </w:r>
      <w:r w:rsidR="005B1D39" w:rsidRPr="00E37897">
        <w:rPr>
          <w:sz w:val="26"/>
          <w:szCs w:val="26"/>
        </w:rPr>
        <w:t xml:space="preserve">Rather, </w:t>
      </w:r>
      <w:r w:rsidR="00FB14D7">
        <w:rPr>
          <w:sz w:val="26"/>
          <w:szCs w:val="26"/>
        </w:rPr>
        <w:t xml:space="preserve">the </w:t>
      </w:r>
      <w:r w:rsidR="00C705B2" w:rsidRPr="00E37897">
        <w:rPr>
          <w:sz w:val="26"/>
          <w:szCs w:val="26"/>
        </w:rPr>
        <w:t xml:space="preserve">ESC contends, that </w:t>
      </w:r>
      <w:r w:rsidR="005B1D39" w:rsidRPr="00E37897">
        <w:rPr>
          <w:sz w:val="26"/>
          <w:szCs w:val="26"/>
        </w:rPr>
        <w:t xml:space="preserve">these </w:t>
      </w:r>
      <w:r w:rsidR="00C705B2" w:rsidRPr="00E37897">
        <w:rPr>
          <w:sz w:val="26"/>
          <w:szCs w:val="26"/>
        </w:rPr>
        <w:t>R</w:t>
      </w:r>
      <w:r w:rsidR="005B1D39" w:rsidRPr="00E37897">
        <w:rPr>
          <w:sz w:val="26"/>
          <w:szCs w:val="26"/>
        </w:rPr>
        <w:t>egulations merely define default service and specify the costs that should be recovered from default service customers.</w:t>
      </w:r>
      <w:r w:rsidR="00A910D1" w:rsidRPr="00E37897">
        <w:rPr>
          <w:sz w:val="26"/>
          <w:szCs w:val="26"/>
        </w:rPr>
        <w:t xml:space="preserve">  </w:t>
      </w:r>
      <w:r w:rsidR="00A910D1" w:rsidRPr="00E37897">
        <w:rPr>
          <w:i/>
          <w:iCs/>
          <w:sz w:val="26"/>
          <w:szCs w:val="26"/>
        </w:rPr>
        <w:t>Id</w:t>
      </w:r>
      <w:r w:rsidR="00A910D1" w:rsidRPr="00E37897">
        <w:rPr>
          <w:sz w:val="26"/>
          <w:szCs w:val="26"/>
        </w:rPr>
        <w:t xml:space="preserve">. at </w:t>
      </w:r>
      <w:r w:rsidR="00510ADC" w:rsidRPr="00E37897">
        <w:rPr>
          <w:sz w:val="26"/>
          <w:szCs w:val="26"/>
        </w:rPr>
        <w:t xml:space="preserve">6-7.  </w:t>
      </w:r>
    </w:p>
    <w:p w14:paraId="3987C245" w14:textId="77777777" w:rsidR="00A75EC1" w:rsidRPr="00E37897" w:rsidRDefault="00A75EC1" w:rsidP="005F3BE2">
      <w:pPr>
        <w:pStyle w:val="BodyText"/>
        <w:widowControl/>
        <w:spacing w:after="0" w:line="360" w:lineRule="auto"/>
        <w:ind w:firstLine="1440"/>
        <w:contextualSpacing/>
        <w:rPr>
          <w:sz w:val="26"/>
          <w:szCs w:val="26"/>
        </w:rPr>
      </w:pPr>
    </w:p>
    <w:p w14:paraId="5E738037" w14:textId="32231689" w:rsidR="005B1D39" w:rsidRPr="00E37897" w:rsidRDefault="005B1D39" w:rsidP="005F3BE2">
      <w:pPr>
        <w:pStyle w:val="BodyText1"/>
        <w:spacing w:line="360" w:lineRule="auto"/>
        <w:ind w:firstLine="1440"/>
        <w:contextualSpacing/>
        <w:rPr>
          <w:sz w:val="26"/>
          <w:szCs w:val="26"/>
        </w:rPr>
      </w:pPr>
      <w:r w:rsidRPr="00E37897">
        <w:rPr>
          <w:sz w:val="26"/>
          <w:szCs w:val="26"/>
        </w:rPr>
        <w:t xml:space="preserve">Finally, </w:t>
      </w:r>
      <w:r w:rsidR="00FB14D7">
        <w:rPr>
          <w:sz w:val="26"/>
          <w:szCs w:val="26"/>
        </w:rPr>
        <w:t xml:space="preserve">the </w:t>
      </w:r>
      <w:r w:rsidR="00284B76" w:rsidRPr="00E37897">
        <w:rPr>
          <w:sz w:val="26"/>
          <w:szCs w:val="26"/>
        </w:rPr>
        <w:t xml:space="preserve">ESC does not believe that Commission precedent </w:t>
      </w:r>
      <w:r w:rsidR="003B06BC" w:rsidRPr="00E37897">
        <w:rPr>
          <w:sz w:val="26"/>
          <w:szCs w:val="26"/>
        </w:rPr>
        <w:t xml:space="preserve">is determinative of this issue because </w:t>
      </w:r>
      <w:r w:rsidR="00862A4C" w:rsidRPr="00E37897">
        <w:rPr>
          <w:sz w:val="26"/>
          <w:szCs w:val="26"/>
        </w:rPr>
        <w:t>t</w:t>
      </w:r>
      <w:r w:rsidRPr="00E37897">
        <w:rPr>
          <w:sz w:val="26"/>
          <w:szCs w:val="26"/>
        </w:rPr>
        <w:t>he Commission has made clear that it is not prevented from considering proposals to require a different outcome.</w:t>
      </w:r>
      <w:r w:rsidR="00510ADC" w:rsidRPr="00E37897">
        <w:rPr>
          <w:sz w:val="26"/>
          <w:szCs w:val="26"/>
        </w:rPr>
        <w:t xml:space="preserve">  </w:t>
      </w:r>
      <w:r w:rsidR="00510ADC" w:rsidRPr="00E37897">
        <w:rPr>
          <w:i/>
          <w:iCs/>
          <w:sz w:val="26"/>
          <w:szCs w:val="26"/>
        </w:rPr>
        <w:t>Id</w:t>
      </w:r>
      <w:r w:rsidR="00510ADC" w:rsidRPr="00E37897">
        <w:rPr>
          <w:sz w:val="26"/>
          <w:szCs w:val="26"/>
        </w:rPr>
        <w:t xml:space="preserve">. at 7 (citing </w:t>
      </w:r>
      <w:r w:rsidR="00510ADC" w:rsidRPr="00E37897">
        <w:rPr>
          <w:i/>
          <w:iCs/>
          <w:sz w:val="26"/>
          <w:szCs w:val="26"/>
        </w:rPr>
        <w:t>FE</w:t>
      </w:r>
      <w:r w:rsidR="00F60A38" w:rsidRPr="00E37897">
        <w:rPr>
          <w:i/>
          <w:iCs/>
          <w:sz w:val="26"/>
          <w:szCs w:val="26"/>
        </w:rPr>
        <w:t xml:space="preserve"> </w:t>
      </w:r>
      <w:r w:rsidR="00510ADC" w:rsidRPr="00E37897">
        <w:rPr>
          <w:i/>
          <w:iCs/>
          <w:sz w:val="26"/>
          <w:szCs w:val="26"/>
        </w:rPr>
        <w:t>D</w:t>
      </w:r>
      <w:r w:rsidR="00F60A38" w:rsidRPr="00E37897">
        <w:rPr>
          <w:i/>
          <w:iCs/>
          <w:sz w:val="26"/>
          <w:szCs w:val="26"/>
        </w:rPr>
        <w:t xml:space="preserve">SP III </w:t>
      </w:r>
      <w:r w:rsidR="00F60A38" w:rsidRPr="00E37897">
        <w:rPr>
          <w:sz w:val="26"/>
          <w:szCs w:val="26"/>
        </w:rPr>
        <w:t>at 53).</w:t>
      </w:r>
      <w:r w:rsidRPr="00E37897">
        <w:rPr>
          <w:sz w:val="26"/>
          <w:szCs w:val="26"/>
        </w:rPr>
        <w:t xml:space="preserve"> </w:t>
      </w:r>
      <w:r w:rsidR="0056538A" w:rsidRPr="00E37897">
        <w:rPr>
          <w:sz w:val="26"/>
          <w:szCs w:val="26"/>
        </w:rPr>
        <w:t xml:space="preserve"> </w:t>
      </w:r>
      <w:r w:rsidR="00FB14D7">
        <w:rPr>
          <w:sz w:val="26"/>
          <w:szCs w:val="26"/>
        </w:rPr>
        <w:t xml:space="preserve">The </w:t>
      </w:r>
      <w:r w:rsidR="0056538A" w:rsidRPr="00E37897">
        <w:rPr>
          <w:sz w:val="26"/>
          <w:szCs w:val="26"/>
        </w:rPr>
        <w:t xml:space="preserve">ESC avers that when the Commission reached its decision in </w:t>
      </w:r>
      <w:r w:rsidR="009E0AC8" w:rsidRPr="00E37897">
        <w:rPr>
          <w:i/>
          <w:iCs/>
          <w:sz w:val="26"/>
          <w:szCs w:val="26"/>
        </w:rPr>
        <w:t>FE DSP III</w:t>
      </w:r>
      <w:r w:rsidR="009E0AC8" w:rsidRPr="00E37897">
        <w:rPr>
          <w:sz w:val="26"/>
          <w:szCs w:val="26"/>
        </w:rPr>
        <w:t xml:space="preserve">, it was not </w:t>
      </w:r>
      <w:r w:rsidRPr="00E37897">
        <w:rPr>
          <w:sz w:val="26"/>
          <w:szCs w:val="26"/>
        </w:rPr>
        <w:t>convinced NITS charges</w:t>
      </w:r>
      <w:r w:rsidR="00266907" w:rsidRPr="00E37897">
        <w:rPr>
          <w:sz w:val="26"/>
          <w:szCs w:val="26"/>
        </w:rPr>
        <w:t xml:space="preserve"> were unpredictable, but s</w:t>
      </w:r>
      <w:r w:rsidRPr="00E37897">
        <w:rPr>
          <w:sz w:val="26"/>
          <w:szCs w:val="26"/>
        </w:rPr>
        <w:t xml:space="preserve">ince then, </w:t>
      </w:r>
      <w:r w:rsidR="00543574" w:rsidRPr="00E37897">
        <w:rPr>
          <w:sz w:val="26"/>
          <w:szCs w:val="26"/>
        </w:rPr>
        <w:t xml:space="preserve">FERC </w:t>
      </w:r>
      <w:r w:rsidRPr="00E37897">
        <w:rPr>
          <w:sz w:val="26"/>
          <w:szCs w:val="26"/>
        </w:rPr>
        <w:t>has approved the use of a formula rate for PECO</w:t>
      </w:r>
      <w:r w:rsidR="00543574" w:rsidRPr="00E37897">
        <w:rPr>
          <w:sz w:val="26"/>
          <w:szCs w:val="26"/>
        </w:rPr>
        <w:t xml:space="preserve"> that</w:t>
      </w:r>
      <w:r w:rsidRPr="00E37897">
        <w:rPr>
          <w:sz w:val="26"/>
          <w:szCs w:val="26"/>
        </w:rPr>
        <w:t xml:space="preserve"> has resulted in significant fluctuations in NITS costs and increased their unpredictability.</w:t>
      </w:r>
      <w:r w:rsidR="00F9358D" w:rsidRPr="00E37897">
        <w:rPr>
          <w:sz w:val="26"/>
          <w:szCs w:val="26"/>
        </w:rPr>
        <w:t xml:space="preserve">  ESC Exc. at 7 (citing ESC M.B. at </w:t>
      </w:r>
      <w:r w:rsidR="00174794" w:rsidRPr="00E37897">
        <w:rPr>
          <w:sz w:val="26"/>
          <w:szCs w:val="26"/>
        </w:rPr>
        <w:t>7-10; ESC St. 1 at 34-40).</w:t>
      </w:r>
      <w:r w:rsidRPr="00E37897">
        <w:rPr>
          <w:sz w:val="26"/>
          <w:szCs w:val="26"/>
        </w:rPr>
        <w:t xml:space="preserve">  </w:t>
      </w:r>
      <w:r w:rsidR="00FB14D7">
        <w:rPr>
          <w:sz w:val="26"/>
          <w:szCs w:val="26"/>
        </w:rPr>
        <w:t xml:space="preserve">The </w:t>
      </w:r>
      <w:r w:rsidR="00C3635C" w:rsidRPr="00E37897">
        <w:rPr>
          <w:sz w:val="26"/>
          <w:szCs w:val="26"/>
        </w:rPr>
        <w:t>ESC asserts that it presented</w:t>
      </w:r>
      <w:r w:rsidRPr="00E37897">
        <w:rPr>
          <w:sz w:val="26"/>
          <w:szCs w:val="26"/>
        </w:rPr>
        <w:t xml:space="preserve"> compelling evidence through the Direct and Surrebuttal Testimony of Mr. Kavulla</w:t>
      </w:r>
      <w:r w:rsidR="00793081" w:rsidRPr="00E37897">
        <w:rPr>
          <w:sz w:val="26"/>
          <w:szCs w:val="26"/>
        </w:rPr>
        <w:t xml:space="preserve">, Vice President of </w:t>
      </w:r>
      <w:r w:rsidR="00A13275" w:rsidRPr="00E37897">
        <w:rPr>
          <w:sz w:val="26"/>
          <w:szCs w:val="26"/>
        </w:rPr>
        <w:t>Regulatory Affairs for NRG Energy,</w:t>
      </w:r>
      <w:r w:rsidR="00A652F6" w:rsidRPr="00E37897">
        <w:rPr>
          <w:sz w:val="26"/>
          <w:szCs w:val="26"/>
        </w:rPr>
        <w:t xml:space="preserve"> that NITS costs are unpredictable and that </w:t>
      </w:r>
      <w:r w:rsidRPr="00E37897">
        <w:rPr>
          <w:sz w:val="26"/>
          <w:szCs w:val="26"/>
        </w:rPr>
        <w:t>EGSs have no control over these costs because they are driven by PECO’s decisions on transmission spending.</w:t>
      </w:r>
      <w:r w:rsidR="00A652F6" w:rsidRPr="00E37897">
        <w:rPr>
          <w:sz w:val="26"/>
          <w:szCs w:val="26"/>
        </w:rPr>
        <w:t xml:space="preserve">  </w:t>
      </w:r>
      <w:r w:rsidR="009279A5" w:rsidRPr="00E37897">
        <w:rPr>
          <w:sz w:val="26"/>
          <w:szCs w:val="26"/>
        </w:rPr>
        <w:t xml:space="preserve">ESC Exc. at 7 (citing ESC St. 1 at </w:t>
      </w:r>
      <w:r w:rsidR="00B2004E" w:rsidRPr="00E37897">
        <w:rPr>
          <w:sz w:val="26"/>
          <w:szCs w:val="26"/>
        </w:rPr>
        <w:t>37-</w:t>
      </w:r>
      <w:r w:rsidR="007172B8" w:rsidRPr="00E37897">
        <w:rPr>
          <w:sz w:val="26"/>
          <w:szCs w:val="26"/>
        </w:rPr>
        <w:t>40</w:t>
      </w:r>
      <w:r w:rsidR="00B43CF9" w:rsidRPr="00E37897">
        <w:rPr>
          <w:sz w:val="26"/>
          <w:szCs w:val="26"/>
        </w:rPr>
        <w:t>; ESC St. 1-S</w:t>
      </w:r>
      <w:r w:rsidR="00C14C1F" w:rsidRPr="00E37897">
        <w:rPr>
          <w:sz w:val="26"/>
          <w:szCs w:val="26"/>
        </w:rPr>
        <w:t xml:space="preserve"> at 22-23; ESC M.B. at 9-10).  </w:t>
      </w:r>
    </w:p>
    <w:p w14:paraId="79115AEB" w14:textId="77777777" w:rsidR="00CA7EC6" w:rsidRPr="00E37897" w:rsidRDefault="00CA7EC6" w:rsidP="005F3BE2">
      <w:pPr>
        <w:widowControl/>
        <w:spacing w:line="360" w:lineRule="auto"/>
        <w:contextualSpacing/>
        <w:jc w:val="center"/>
        <w:rPr>
          <w:b/>
          <w:sz w:val="26"/>
          <w:szCs w:val="26"/>
        </w:rPr>
      </w:pPr>
    </w:p>
    <w:p w14:paraId="28021CCE" w14:textId="41D19BA7" w:rsidR="00CA7EC6" w:rsidRPr="00E37897" w:rsidRDefault="008077E6" w:rsidP="005F3BE2">
      <w:pPr>
        <w:pStyle w:val="Heading3"/>
        <w:keepNext/>
        <w:keepLines/>
        <w:spacing w:after="0" w:line="360" w:lineRule="auto"/>
        <w:ind w:left="1440" w:hanging="720"/>
        <w:contextualSpacing/>
        <w:jc w:val="left"/>
        <w:rPr>
          <w:rFonts w:eastAsiaTheme="majorEastAsia"/>
          <w:sz w:val="26"/>
        </w:rPr>
      </w:pPr>
      <w:bookmarkStart w:id="25" w:name="_Toc56512769"/>
      <w:r w:rsidRPr="00E37897">
        <w:rPr>
          <w:rFonts w:eastAsiaTheme="majorEastAsia"/>
          <w:sz w:val="26"/>
        </w:rPr>
        <w:lastRenderedPageBreak/>
        <w:t>2.</w:t>
      </w:r>
      <w:r w:rsidRPr="00E37897">
        <w:rPr>
          <w:rFonts w:eastAsiaTheme="majorEastAsia"/>
          <w:sz w:val="26"/>
        </w:rPr>
        <w:tab/>
      </w:r>
      <w:r w:rsidR="00E329FE" w:rsidRPr="00E37897">
        <w:rPr>
          <w:rFonts w:eastAsiaTheme="majorEastAsia"/>
          <w:sz w:val="26"/>
        </w:rPr>
        <w:t>Replies</w:t>
      </w:r>
      <w:bookmarkEnd w:id="25"/>
    </w:p>
    <w:p w14:paraId="11976C40" w14:textId="40F5B77B" w:rsidR="008077E6" w:rsidRPr="00E37897" w:rsidRDefault="008077E6" w:rsidP="005F3BE2">
      <w:pPr>
        <w:keepNext/>
        <w:keepLines/>
        <w:widowControl/>
        <w:spacing w:line="360" w:lineRule="auto"/>
        <w:contextualSpacing/>
        <w:rPr>
          <w:b/>
          <w:sz w:val="26"/>
          <w:szCs w:val="26"/>
        </w:rPr>
      </w:pPr>
    </w:p>
    <w:p w14:paraId="2D8CAEFE" w14:textId="49B8D0B9" w:rsidR="00E329FE" w:rsidRPr="00E37897" w:rsidRDefault="00AC60A0" w:rsidP="005F3BE2">
      <w:pPr>
        <w:pStyle w:val="Heading4"/>
        <w:keepNext/>
        <w:keepLines/>
        <w:numPr>
          <w:ilvl w:val="0"/>
          <w:numId w:val="25"/>
        </w:numPr>
        <w:spacing w:after="0" w:line="360" w:lineRule="auto"/>
        <w:ind w:left="2160" w:hanging="720"/>
        <w:contextualSpacing/>
        <w:jc w:val="left"/>
        <w:rPr>
          <w:rFonts w:eastAsiaTheme="minorHAnsi"/>
          <w:sz w:val="26"/>
          <w:szCs w:val="26"/>
        </w:rPr>
      </w:pPr>
      <w:r w:rsidRPr="00E37897">
        <w:rPr>
          <w:rFonts w:eastAsiaTheme="minorHAnsi"/>
          <w:sz w:val="26"/>
          <w:szCs w:val="26"/>
        </w:rPr>
        <w:t>PECO</w:t>
      </w:r>
    </w:p>
    <w:p w14:paraId="6EC8258C" w14:textId="77777777" w:rsidR="00017FF9" w:rsidRPr="00E37897" w:rsidRDefault="00017FF9" w:rsidP="005F3BE2">
      <w:pPr>
        <w:keepNext/>
        <w:keepLines/>
        <w:widowControl/>
        <w:spacing w:line="360" w:lineRule="auto"/>
        <w:contextualSpacing/>
        <w:rPr>
          <w:bCs/>
          <w:sz w:val="26"/>
          <w:szCs w:val="26"/>
        </w:rPr>
      </w:pPr>
    </w:p>
    <w:p w14:paraId="4B186181" w14:textId="0419FDAF" w:rsidR="005B1C18" w:rsidRPr="00E37897" w:rsidRDefault="00060E9F" w:rsidP="005F3BE2">
      <w:pPr>
        <w:widowControl/>
        <w:spacing w:line="360" w:lineRule="auto"/>
        <w:ind w:firstLine="1440"/>
        <w:contextualSpacing/>
        <w:rPr>
          <w:bCs/>
          <w:sz w:val="26"/>
          <w:szCs w:val="26"/>
        </w:rPr>
      </w:pPr>
      <w:r w:rsidRPr="00E37897">
        <w:rPr>
          <w:bCs/>
          <w:sz w:val="26"/>
          <w:szCs w:val="26"/>
        </w:rPr>
        <w:t xml:space="preserve">PECO notes that in </w:t>
      </w:r>
      <w:r w:rsidR="00DE567F" w:rsidRPr="00E37897">
        <w:rPr>
          <w:bCs/>
          <w:sz w:val="26"/>
          <w:szCs w:val="26"/>
        </w:rPr>
        <w:t>its first Exception</w:t>
      </w:r>
      <w:r w:rsidR="00355529" w:rsidRPr="00E37897">
        <w:rPr>
          <w:bCs/>
          <w:sz w:val="26"/>
          <w:szCs w:val="26"/>
        </w:rPr>
        <w:t>,</w:t>
      </w:r>
      <w:r w:rsidR="00DE567F" w:rsidRPr="00E37897">
        <w:rPr>
          <w:bCs/>
          <w:sz w:val="26"/>
          <w:szCs w:val="26"/>
        </w:rPr>
        <w:t xml:space="preserve"> </w:t>
      </w:r>
      <w:r w:rsidR="00FB14D7">
        <w:rPr>
          <w:bCs/>
          <w:sz w:val="26"/>
          <w:szCs w:val="26"/>
        </w:rPr>
        <w:t xml:space="preserve">the </w:t>
      </w:r>
      <w:r w:rsidR="00DE567F" w:rsidRPr="00E37897">
        <w:rPr>
          <w:bCs/>
          <w:sz w:val="26"/>
          <w:szCs w:val="26"/>
        </w:rPr>
        <w:t xml:space="preserve">ESC contends that the ALJ </w:t>
      </w:r>
      <w:r w:rsidR="00017FF9" w:rsidRPr="00E37897">
        <w:rPr>
          <w:bCs/>
          <w:sz w:val="26"/>
          <w:szCs w:val="26"/>
        </w:rPr>
        <w:t xml:space="preserve">erred in </w:t>
      </w:r>
      <w:r w:rsidR="002F3868" w:rsidRPr="00E37897">
        <w:rPr>
          <w:bCs/>
          <w:sz w:val="26"/>
          <w:szCs w:val="26"/>
        </w:rPr>
        <w:t xml:space="preserve">concluding </w:t>
      </w:r>
      <w:r w:rsidR="00A37410" w:rsidRPr="00E37897">
        <w:rPr>
          <w:bCs/>
          <w:sz w:val="26"/>
          <w:szCs w:val="26"/>
        </w:rPr>
        <w:t>that ESC’s proposal would contravene the Competition Act</w:t>
      </w:r>
      <w:r w:rsidR="00CD47F6" w:rsidRPr="00E37897">
        <w:rPr>
          <w:bCs/>
          <w:sz w:val="26"/>
          <w:szCs w:val="26"/>
        </w:rPr>
        <w:t xml:space="preserve"> and the Commission’s Regulations.</w:t>
      </w:r>
      <w:r w:rsidR="000115C9" w:rsidRPr="00E37897">
        <w:rPr>
          <w:bCs/>
          <w:sz w:val="26"/>
          <w:szCs w:val="26"/>
        </w:rPr>
        <w:t xml:space="preserve">  PECO avers that it is unnecessary to address </w:t>
      </w:r>
      <w:r w:rsidR="00357A2E" w:rsidRPr="00E37897">
        <w:rPr>
          <w:bCs/>
          <w:sz w:val="26"/>
          <w:szCs w:val="26"/>
        </w:rPr>
        <w:t xml:space="preserve">this legal issue in this proceeding.  </w:t>
      </w:r>
      <w:r w:rsidR="009C5E26" w:rsidRPr="00E37897">
        <w:rPr>
          <w:bCs/>
          <w:sz w:val="26"/>
          <w:szCs w:val="26"/>
        </w:rPr>
        <w:t xml:space="preserve">PECO R. Exc. at 5.  </w:t>
      </w:r>
      <w:r w:rsidR="000115C9" w:rsidRPr="00E37897">
        <w:rPr>
          <w:bCs/>
          <w:sz w:val="26"/>
          <w:szCs w:val="26"/>
        </w:rPr>
        <w:t xml:space="preserve"> </w:t>
      </w:r>
    </w:p>
    <w:p w14:paraId="6796E2F2" w14:textId="2229405C" w:rsidR="00B86A1D" w:rsidRPr="00E37897" w:rsidRDefault="00B86A1D" w:rsidP="005F3BE2">
      <w:pPr>
        <w:widowControl/>
        <w:spacing w:line="360" w:lineRule="auto"/>
        <w:ind w:left="1440"/>
        <w:contextualSpacing/>
        <w:rPr>
          <w:b/>
          <w:sz w:val="26"/>
          <w:szCs w:val="26"/>
        </w:rPr>
      </w:pPr>
    </w:p>
    <w:p w14:paraId="2396BEEC" w14:textId="3D6075F7" w:rsidR="00C266F9" w:rsidRPr="00E37897" w:rsidRDefault="00BF6D94" w:rsidP="005F3BE2">
      <w:pPr>
        <w:pStyle w:val="Heading4"/>
        <w:keepNext/>
        <w:keepLines/>
        <w:numPr>
          <w:ilvl w:val="0"/>
          <w:numId w:val="25"/>
        </w:numPr>
        <w:spacing w:after="0" w:line="360" w:lineRule="auto"/>
        <w:ind w:left="2160" w:hanging="720"/>
        <w:contextualSpacing/>
        <w:jc w:val="left"/>
        <w:rPr>
          <w:rFonts w:eastAsiaTheme="majorEastAsia"/>
          <w:sz w:val="26"/>
          <w:szCs w:val="26"/>
        </w:rPr>
      </w:pPr>
      <w:r w:rsidRPr="00E37897">
        <w:rPr>
          <w:rFonts w:eastAsiaTheme="majorEastAsia"/>
          <w:sz w:val="26"/>
          <w:szCs w:val="26"/>
        </w:rPr>
        <w:t>PAI</w:t>
      </w:r>
      <w:r w:rsidR="00F53DC7" w:rsidRPr="00E37897">
        <w:rPr>
          <w:rFonts w:eastAsiaTheme="majorEastAsia"/>
          <w:sz w:val="26"/>
          <w:szCs w:val="26"/>
        </w:rPr>
        <w:t>EUG</w:t>
      </w:r>
    </w:p>
    <w:p w14:paraId="389A5701" w14:textId="0A6714E8" w:rsidR="00F53DC7" w:rsidRPr="00E37897" w:rsidRDefault="00F53DC7" w:rsidP="005F3BE2">
      <w:pPr>
        <w:keepNext/>
        <w:keepLines/>
        <w:widowControl/>
        <w:spacing w:line="360" w:lineRule="auto"/>
        <w:ind w:left="1440"/>
        <w:contextualSpacing/>
        <w:rPr>
          <w:b/>
          <w:sz w:val="26"/>
          <w:szCs w:val="26"/>
        </w:rPr>
      </w:pPr>
    </w:p>
    <w:p w14:paraId="11A6BD08" w14:textId="0C5B4F71" w:rsidR="002646FF" w:rsidRPr="00E37897" w:rsidRDefault="00DB5256" w:rsidP="005F3BE2">
      <w:pPr>
        <w:widowControl/>
        <w:spacing w:line="360" w:lineRule="auto"/>
        <w:ind w:firstLine="1440"/>
        <w:contextualSpacing/>
        <w:textAlignment w:val="baseline"/>
        <w:rPr>
          <w:sz w:val="26"/>
          <w:szCs w:val="26"/>
        </w:rPr>
      </w:pPr>
      <w:r w:rsidRPr="00E37897">
        <w:rPr>
          <w:sz w:val="26"/>
          <w:szCs w:val="26"/>
        </w:rPr>
        <w:t xml:space="preserve">PAIEUG avers that the ALJ correctly </w:t>
      </w:r>
      <w:r w:rsidR="00EF03CD" w:rsidRPr="00E37897">
        <w:rPr>
          <w:sz w:val="26"/>
          <w:szCs w:val="26"/>
        </w:rPr>
        <w:t xml:space="preserve">rejected </w:t>
      </w:r>
      <w:r w:rsidR="00FB14D7">
        <w:rPr>
          <w:sz w:val="26"/>
          <w:szCs w:val="26"/>
        </w:rPr>
        <w:t xml:space="preserve">the </w:t>
      </w:r>
      <w:r w:rsidR="002646FF" w:rsidRPr="00E37897">
        <w:rPr>
          <w:sz w:val="26"/>
          <w:szCs w:val="26"/>
        </w:rPr>
        <w:t>ESC</w:t>
      </w:r>
      <w:r w:rsidRPr="00E37897">
        <w:rPr>
          <w:sz w:val="26"/>
          <w:szCs w:val="26"/>
        </w:rPr>
        <w:t>’</w:t>
      </w:r>
      <w:r w:rsidR="002646FF" w:rsidRPr="00E37897">
        <w:rPr>
          <w:sz w:val="26"/>
          <w:szCs w:val="26"/>
        </w:rPr>
        <w:t xml:space="preserve">s request to modify the status quo </w:t>
      </w:r>
      <w:r w:rsidR="00C56A3E" w:rsidRPr="00E37897">
        <w:rPr>
          <w:sz w:val="26"/>
          <w:szCs w:val="26"/>
        </w:rPr>
        <w:t>regarding</w:t>
      </w:r>
      <w:r w:rsidR="002646FF" w:rsidRPr="00E37897">
        <w:rPr>
          <w:sz w:val="26"/>
          <w:szCs w:val="26"/>
        </w:rPr>
        <w:t xml:space="preserve"> the collection of NITS costs </w:t>
      </w:r>
      <w:r w:rsidR="00EF03CD" w:rsidRPr="00E37897">
        <w:rPr>
          <w:sz w:val="26"/>
          <w:szCs w:val="26"/>
        </w:rPr>
        <w:t>bec</w:t>
      </w:r>
      <w:r w:rsidR="002646FF" w:rsidRPr="00E37897">
        <w:rPr>
          <w:sz w:val="26"/>
          <w:szCs w:val="26"/>
        </w:rPr>
        <w:t xml:space="preserve">ause </w:t>
      </w:r>
      <w:r w:rsidR="00FB14D7">
        <w:rPr>
          <w:sz w:val="26"/>
          <w:szCs w:val="26"/>
        </w:rPr>
        <w:t xml:space="preserve">the </w:t>
      </w:r>
      <w:r w:rsidR="002646FF" w:rsidRPr="00E37897">
        <w:rPr>
          <w:sz w:val="26"/>
          <w:szCs w:val="26"/>
        </w:rPr>
        <w:t xml:space="preserve">ESC failed to meet the burden of proving such a change was appropriate. </w:t>
      </w:r>
      <w:r w:rsidR="00A240F1" w:rsidRPr="00E37897">
        <w:rPr>
          <w:sz w:val="26"/>
          <w:szCs w:val="26"/>
        </w:rPr>
        <w:t xml:space="preserve"> PAIEUG states that </w:t>
      </w:r>
      <w:r w:rsidR="00B33443" w:rsidRPr="00E37897">
        <w:rPr>
          <w:sz w:val="26"/>
          <w:szCs w:val="26"/>
        </w:rPr>
        <w:t xml:space="preserve">in its Exceptions, </w:t>
      </w:r>
      <w:r w:rsidR="00A240F1" w:rsidRPr="00E37897">
        <w:rPr>
          <w:sz w:val="26"/>
          <w:szCs w:val="26"/>
        </w:rPr>
        <w:t xml:space="preserve">the ESC </w:t>
      </w:r>
      <w:r w:rsidR="002646FF" w:rsidRPr="00E37897">
        <w:rPr>
          <w:sz w:val="26"/>
          <w:szCs w:val="26"/>
        </w:rPr>
        <w:t>claims that the R</w:t>
      </w:r>
      <w:r w:rsidR="00B33443" w:rsidRPr="00E37897">
        <w:rPr>
          <w:sz w:val="26"/>
          <w:szCs w:val="26"/>
        </w:rPr>
        <w:t xml:space="preserve">ecommended </w:t>
      </w:r>
      <w:r w:rsidR="002646FF" w:rsidRPr="00E37897">
        <w:rPr>
          <w:sz w:val="26"/>
          <w:szCs w:val="26"/>
        </w:rPr>
        <w:t>D</w:t>
      </w:r>
      <w:r w:rsidR="00B33443" w:rsidRPr="00E37897">
        <w:rPr>
          <w:sz w:val="26"/>
          <w:szCs w:val="26"/>
        </w:rPr>
        <w:t>ecision</w:t>
      </w:r>
      <w:r w:rsidR="002646FF" w:rsidRPr="00E37897">
        <w:rPr>
          <w:sz w:val="26"/>
          <w:szCs w:val="26"/>
        </w:rPr>
        <w:t xml:space="preserve"> must be rejected based on a single paragraph discussing the provisions of the Competition Act. </w:t>
      </w:r>
      <w:r w:rsidR="005C305F" w:rsidRPr="00E37897">
        <w:rPr>
          <w:sz w:val="26"/>
          <w:szCs w:val="26"/>
        </w:rPr>
        <w:t xml:space="preserve"> PAIEUG also states that a f</w:t>
      </w:r>
      <w:r w:rsidR="002646FF" w:rsidRPr="00E37897">
        <w:rPr>
          <w:sz w:val="26"/>
          <w:szCs w:val="26"/>
        </w:rPr>
        <w:t>urther review of the R</w:t>
      </w:r>
      <w:r w:rsidR="005C305F" w:rsidRPr="00E37897">
        <w:rPr>
          <w:sz w:val="26"/>
          <w:szCs w:val="26"/>
        </w:rPr>
        <w:t>ecomm</w:t>
      </w:r>
      <w:r w:rsidR="00C61C98" w:rsidRPr="00E37897">
        <w:rPr>
          <w:sz w:val="26"/>
          <w:szCs w:val="26"/>
        </w:rPr>
        <w:t xml:space="preserve">ended </w:t>
      </w:r>
      <w:r w:rsidR="002646FF" w:rsidRPr="00E37897">
        <w:rPr>
          <w:sz w:val="26"/>
          <w:szCs w:val="26"/>
        </w:rPr>
        <w:t>D</w:t>
      </w:r>
      <w:r w:rsidR="00C61C98" w:rsidRPr="00E37897">
        <w:rPr>
          <w:sz w:val="26"/>
          <w:szCs w:val="26"/>
        </w:rPr>
        <w:t>ecision</w:t>
      </w:r>
      <w:r w:rsidR="002646FF" w:rsidRPr="00E37897">
        <w:rPr>
          <w:sz w:val="26"/>
          <w:szCs w:val="26"/>
        </w:rPr>
        <w:t xml:space="preserve"> </w:t>
      </w:r>
      <w:r w:rsidR="00C61C98" w:rsidRPr="00E37897">
        <w:rPr>
          <w:sz w:val="26"/>
          <w:szCs w:val="26"/>
        </w:rPr>
        <w:t>reveals</w:t>
      </w:r>
      <w:r w:rsidR="002646FF" w:rsidRPr="00E37897">
        <w:rPr>
          <w:sz w:val="26"/>
          <w:szCs w:val="26"/>
        </w:rPr>
        <w:t xml:space="preserve"> that while the ALJ agrees with several </w:t>
      </w:r>
      <w:r w:rsidR="00C61C98" w:rsidRPr="00E37897">
        <w:rPr>
          <w:sz w:val="26"/>
          <w:szCs w:val="26"/>
        </w:rPr>
        <w:t>P</w:t>
      </w:r>
      <w:r w:rsidR="002646FF" w:rsidRPr="00E37897">
        <w:rPr>
          <w:sz w:val="26"/>
          <w:szCs w:val="26"/>
        </w:rPr>
        <w:t>arties</w:t>
      </w:r>
      <w:r w:rsidR="00C61C98" w:rsidRPr="00E37897">
        <w:rPr>
          <w:sz w:val="26"/>
          <w:szCs w:val="26"/>
        </w:rPr>
        <w:t>’</w:t>
      </w:r>
      <w:r w:rsidR="002646FF" w:rsidRPr="00E37897">
        <w:rPr>
          <w:sz w:val="26"/>
          <w:szCs w:val="26"/>
        </w:rPr>
        <w:t xml:space="preserve"> positions on the Competition Act interpretation, the reasoning behind the ALJ</w:t>
      </w:r>
      <w:r w:rsidR="006B1D43" w:rsidRPr="00E37897">
        <w:rPr>
          <w:sz w:val="26"/>
          <w:szCs w:val="26"/>
        </w:rPr>
        <w:t>’</w:t>
      </w:r>
      <w:r w:rsidR="002646FF" w:rsidRPr="00E37897">
        <w:rPr>
          <w:sz w:val="26"/>
          <w:szCs w:val="26"/>
        </w:rPr>
        <w:t xml:space="preserve">s recommendation to maintain the status quo </w:t>
      </w:r>
      <w:r w:rsidR="006B1D43" w:rsidRPr="00E37897">
        <w:rPr>
          <w:sz w:val="26"/>
          <w:szCs w:val="26"/>
        </w:rPr>
        <w:t xml:space="preserve">was based on </w:t>
      </w:r>
      <w:r w:rsidR="00FB14D7">
        <w:rPr>
          <w:sz w:val="26"/>
          <w:szCs w:val="26"/>
        </w:rPr>
        <w:t xml:space="preserve">the </w:t>
      </w:r>
      <w:r w:rsidR="002646FF" w:rsidRPr="00E37897">
        <w:rPr>
          <w:sz w:val="26"/>
          <w:szCs w:val="26"/>
        </w:rPr>
        <w:t>ESC</w:t>
      </w:r>
      <w:r w:rsidR="006B1D43" w:rsidRPr="00E37897">
        <w:rPr>
          <w:sz w:val="26"/>
          <w:szCs w:val="26"/>
        </w:rPr>
        <w:t>’</w:t>
      </w:r>
      <w:r w:rsidR="002646FF" w:rsidRPr="00E37897">
        <w:rPr>
          <w:sz w:val="26"/>
          <w:szCs w:val="26"/>
        </w:rPr>
        <w:t>s failure to meet its burden of proof.</w:t>
      </w:r>
      <w:r w:rsidR="00656C49" w:rsidRPr="00E37897">
        <w:rPr>
          <w:sz w:val="26"/>
          <w:szCs w:val="26"/>
        </w:rPr>
        <w:t xml:space="preserve">  PAIEUG R. Exc. at 3.</w:t>
      </w:r>
    </w:p>
    <w:p w14:paraId="0D58E7A9" w14:textId="77777777" w:rsidR="00FE1C72" w:rsidRPr="00E37897" w:rsidRDefault="00FE1C72" w:rsidP="005F3BE2">
      <w:pPr>
        <w:widowControl/>
        <w:spacing w:line="360" w:lineRule="auto"/>
        <w:ind w:firstLine="720"/>
        <w:contextualSpacing/>
        <w:textAlignment w:val="baseline"/>
        <w:rPr>
          <w:sz w:val="26"/>
          <w:szCs w:val="26"/>
        </w:rPr>
      </w:pPr>
    </w:p>
    <w:p w14:paraId="74F391B8" w14:textId="350D3E78" w:rsidR="002A2610" w:rsidRPr="00E37897" w:rsidRDefault="00FE1C72" w:rsidP="005F3BE2">
      <w:pPr>
        <w:widowControl/>
        <w:spacing w:line="360" w:lineRule="auto"/>
        <w:ind w:firstLine="1440"/>
        <w:contextualSpacing/>
        <w:textAlignment w:val="baseline"/>
        <w:rPr>
          <w:sz w:val="26"/>
          <w:szCs w:val="26"/>
        </w:rPr>
      </w:pPr>
      <w:r w:rsidRPr="00E37897">
        <w:rPr>
          <w:sz w:val="26"/>
          <w:szCs w:val="26"/>
        </w:rPr>
        <w:t xml:space="preserve">PAIEUG continues that </w:t>
      </w:r>
      <w:r w:rsidR="002646FF" w:rsidRPr="00E37897">
        <w:rPr>
          <w:sz w:val="26"/>
          <w:szCs w:val="26"/>
        </w:rPr>
        <w:t xml:space="preserve">the ALJ correctly </w:t>
      </w:r>
      <w:r w:rsidRPr="00E37897">
        <w:rPr>
          <w:sz w:val="26"/>
          <w:szCs w:val="26"/>
        </w:rPr>
        <w:t>determined</w:t>
      </w:r>
      <w:r w:rsidR="002646FF" w:rsidRPr="00E37897">
        <w:rPr>
          <w:sz w:val="26"/>
          <w:szCs w:val="26"/>
        </w:rPr>
        <w:t xml:space="preserve"> that </w:t>
      </w:r>
      <w:r w:rsidR="00FB14D7">
        <w:rPr>
          <w:sz w:val="26"/>
          <w:szCs w:val="26"/>
        </w:rPr>
        <w:t xml:space="preserve">the </w:t>
      </w:r>
      <w:r w:rsidR="002646FF" w:rsidRPr="00E37897">
        <w:rPr>
          <w:sz w:val="26"/>
          <w:szCs w:val="26"/>
        </w:rPr>
        <w:t>ESC failed to show that the NITS costs in PECO</w:t>
      </w:r>
      <w:r w:rsidRPr="00E37897">
        <w:rPr>
          <w:sz w:val="26"/>
          <w:szCs w:val="26"/>
        </w:rPr>
        <w:t>’</w:t>
      </w:r>
      <w:r w:rsidR="002646FF" w:rsidRPr="00E37897">
        <w:rPr>
          <w:sz w:val="26"/>
          <w:szCs w:val="26"/>
        </w:rPr>
        <w:t>s service territory are so volatile they cannot be predicted</w:t>
      </w:r>
      <w:r w:rsidR="00B13577" w:rsidRPr="00E37897">
        <w:rPr>
          <w:sz w:val="26"/>
          <w:szCs w:val="26"/>
        </w:rPr>
        <w:t xml:space="preserve"> and correctly</w:t>
      </w:r>
      <w:r w:rsidR="002646FF" w:rsidRPr="00E37897">
        <w:rPr>
          <w:sz w:val="26"/>
          <w:szCs w:val="26"/>
        </w:rPr>
        <w:t xml:space="preserve"> note</w:t>
      </w:r>
      <w:r w:rsidR="00B13577" w:rsidRPr="00E37897">
        <w:rPr>
          <w:sz w:val="26"/>
          <w:szCs w:val="26"/>
        </w:rPr>
        <w:t>d</w:t>
      </w:r>
      <w:r w:rsidR="002646FF" w:rsidRPr="00E37897">
        <w:rPr>
          <w:sz w:val="26"/>
          <w:szCs w:val="26"/>
        </w:rPr>
        <w:t xml:space="preserve"> that </w:t>
      </w:r>
      <w:r w:rsidR="00FB14D7">
        <w:rPr>
          <w:sz w:val="26"/>
          <w:szCs w:val="26"/>
        </w:rPr>
        <w:t xml:space="preserve">the </w:t>
      </w:r>
      <w:r w:rsidR="002646FF" w:rsidRPr="00E37897">
        <w:rPr>
          <w:sz w:val="26"/>
          <w:szCs w:val="26"/>
        </w:rPr>
        <w:t>ESC did not provide any evidence showing the volatility of PECO</w:t>
      </w:r>
      <w:r w:rsidR="00B13577" w:rsidRPr="00E37897">
        <w:rPr>
          <w:sz w:val="26"/>
          <w:szCs w:val="26"/>
        </w:rPr>
        <w:t>’</w:t>
      </w:r>
      <w:r w:rsidR="002646FF" w:rsidRPr="00E37897">
        <w:rPr>
          <w:sz w:val="26"/>
          <w:szCs w:val="26"/>
        </w:rPr>
        <w:t xml:space="preserve">s NITS rates. </w:t>
      </w:r>
      <w:r w:rsidR="00B13577" w:rsidRPr="00E37897">
        <w:rPr>
          <w:sz w:val="26"/>
          <w:szCs w:val="26"/>
        </w:rPr>
        <w:t xml:space="preserve"> </w:t>
      </w:r>
      <w:r w:rsidR="00C64959" w:rsidRPr="00E37897">
        <w:rPr>
          <w:sz w:val="26"/>
          <w:szCs w:val="26"/>
        </w:rPr>
        <w:t>PAIEUG also states that the A</w:t>
      </w:r>
      <w:r w:rsidR="002646FF" w:rsidRPr="00E37897">
        <w:rPr>
          <w:sz w:val="26"/>
          <w:szCs w:val="26"/>
        </w:rPr>
        <w:t xml:space="preserve">LJ </w:t>
      </w:r>
      <w:r w:rsidR="00C64959" w:rsidRPr="00E37897">
        <w:rPr>
          <w:sz w:val="26"/>
          <w:szCs w:val="26"/>
        </w:rPr>
        <w:t>properly relied on</w:t>
      </w:r>
      <w:r w:rsidR="002646FF" w:rsidRPr="00E37897">
        <w:rPr>
          <w:sz w:val="26"/>
          <w:szCs w:val="26"/>
        </w:rPr>
        <w:t xml:space="preserve"> </w:t>
      </w:r>
      <w:r w:rsidR="00C64959" w:rsidRPr="00E37897">
        <w:rPr>
          <w:sz w:val="26"/>
          <w:szCs w:val="26"/>
        </w:rPr>
        <w:t>Commission</w:t>
      </w:r>
      <w:r w:rsidR="002646FF" w:rsidRPr="00E37897">
        <w:rPr>
          <w:sz w:val="26"/>
          <w:szCs w:val="26"/>
        </w:rPr>
        <w:t xml:space="preserve"> precedent holding that the collection of NITS for shopping customers should remain with the customer</w:t>
      </w:r>
      <w:r w:rsidR="002A2610" w:rsidRPr="00E37897">
        <w:rPr>
          <w:sz w:val="26"/>
          <w:szCs w:val="26"/>
        </w:rPr>
        <w:t>’</w:t>
      </w:r>
      <w:r w:rsidR="002646FF" w:rsidRPr="00E37897">
        <w:rPr>
          <w:sz w:val="26"/>
          <w:szCs w:val="26"/>
        </w:rPr>
        <w:t xml:space="preserve">s EGS. </w:t>
      </w:r>
      <w:r w:rsidR="002A2610" w:rsidRPr="00E37897">
        <w:rPr>
          <w:sz w:val="26"/>
          <w:szCs w:val="26"/>
        </w:rPr>
        <w:t xml:space="preserve"> </w:t>
      </w:r>
      <w:r w:rsidR="00656C49" w:rsidRPr="00E37897">
        <w:rPr>
          <w:i/>
          <w:iCs/>
          <w:sz w:val="26"/>
          <w:szCs w:val="26"/>
        </w:rPr>
        <w:t>Id</w:t>
      </w:r>
      <w:r w:rsidR="00656C49" w:rsidRPr="00E37897">
        <w:rPr>
          <w:sz w:val="26"/>
          <w:szCs w:val="26"/>
        </w:rPr>
        <w:t>.</w:t>
      </w:r>
    </w:p>
    <w:p w14:paraId="51F668F8" w14:textId="77777777" w:rsidR="002A2610" w:rsidRPr="00E37897" w:rsidRDefault="002A2610" w:rsidP="005F3BE2">
      <w:pPr>
        <w:widowControl/>
        <w:spacing w:line="360" w:lineRule="auto"/>
        <w:ind w:firstLine="1440"/>
        <w:contextualSpacing/>
        <w:textAlignment w:val="baseline"/>
        <w:rPr>
          <w:sz w:val="26"/>
          <w:szCs w:val="26"/>
        </w:rPr>
      </w:pPr>
    </w:p>
    <w:p w14:paraId="35D742A9" w14:textId="0724624F" w:rsidR="002646FF" w:rsidRPr="00E37897" w:rsidRDefault="002A2610" w:rsidP="005F3BE2">
      <w:pPr>
        <w:widowControl/>
        <w:spacing w:line="360" w:lineRule="auto"/>
        <w:ind w:firstLine="1440"/>
        <w:contextualSpacing/>
        <w:textAlignment w:val="baseline"/>
        <w:rPr>
          <w:sz w:val="26"/>
          <w:szCs w:val="26"/>
        </w:rPr>
      </w:pPr>
      <w:r w:rsidRPr="00E37897">
        <w:rPr>
          <w:sz w:val="26"/>
          <w:szCs w:val="26"/>
        </w:rPr>
        <w:lastRenderedPageBreak/>
        <w:t xml:space="preserve">PAIEUG avers that while the ALJ </w:t>
      </w:r>
      <w:r w:rsidR="002646FF" w:rsidRPr="00E37897">
        <w:rPr>
          <w:sz w:val="26"/>
          <w:szCs w:val="26"/>
        </w:rPr>
        <w:t>provide</w:t>
      </w:r>
      <w:r w:rsidRPr="00E37897">
        <w:rPr>
          <w:sz w:val="26"/>
          <w:szCs w:val="26"/>
        </w:rPr>
        <w:t>d</w:t>
      </w:r>
      <w:r w:rsidR="002646FF" w:rsidRPr="00E37897">
        <w:rPr>
          <w:sz w:val="26"/>
          <w:szCs w:val="26"/>
        </w:rPr>
        <w:t xml:space="preserve"> a strong and substantive basis for rejecting </w:t>
      </w:r>
      <w:r w:rsidR="00FB14D7">
        <w:rPr>
          <w:sz w:val="26"/>
          <w:szCs w:val="26"/>
        </w:rPr>
        <w:t xml:space="preserve">the </w:t>
      </w:r>
      <w:r w:rsidR="002646FF" w:rsidRPr="00E37897">
        <w:rPr>
          <w:sz w:val="26"/>
          <w:szCs w:val="26"/>
        </w:rPr>
        <w:t>ESC</w:t>
      </w:r>
      <w:r w:rsidRPr="00E37897">
        <w:rPr>
          <w:sz w:val="26"/>
          <w:szCs w:val="26"/>
        </w:rPr>
        <w:t>’</w:t>
      </w:r>
      <w:r w:rsidR="002646FF" w:rsidRPr="00E37897">
        <w:rPr>
          <w:sz w:val="26"/>
          <w:szCs w:val="26"/>
        </w:rPr>
        <w:t>s position</w:t>
      </w:r>
      <w:r w:rsidRPr="00E37897">
        <w:rPr>
          <w:sz w:val="26"/>
          <w:szCs w:val="26"/>
        </w:rPr>
        <w:t xml:space="preserve">, </w:t>
      </w:r>
      <w:r w:rsidR="00FB14D7">
        <w:rPr>
          <w:sz w:val="26"/>
          <w:szCs w:val="26"/>
        </w:rPr>
        <w:t xml:space="preserve">the </w:t>
      </w:r>
      <w:r w:rsidR="002646FF" w:rsidRPr="00E37897">
        <w:rPr>
          <w:sz w:val="26"/>
          <w:szCs w:val="26"/>
        </w:rPr>
        <w:t>ESC</w:t>
      </w:r>
      <w:r w:rsidRPr="00E37897">
        <w:rPr>
          <w:sz w:val="26"/>
          <w:szCs w:val="26"/>
        </w:rPr>
        <w:t>’s Exceptions</w:t>
      </w:r>
      <w:r w:rsidR="002646FF" w:rsidRPr="00E37897">
        <w:rPr>
          <w:sz w:val="26"/>
          <w:szCs w:val="26"/>
        </w:rPr>
        <w:t xml:space="preserve"> focus mainly on one paragraph in the R</w:t>
      </w:r>
      <w:r w:rsidR="008B0EC7" w:rsidRPr="00E37897">
        <w:rPr>
          <w:sz w:val="26"/>
          <w:szCs w:val="26"/>
        </w:rPr>
        <w:t xml:space="preserve">ecommended </w:t>
      </w:r>
      <w:r w:rsidR="002646FF" w:rsidRPr="00E37897">
        <w:rPr>
          <w:sz w:val="26"/>
          <w:szCs w:val="26"/>
        </w:rPr>
        <w:t>D</w:t>
      </w:r>
      <w:r w:rsidR="008B0EC7" w:rsidRPr="00E37897">
        <w:rPr>
          <w:sz w:val="26"/>
          <w:szCs w:val="26"/>
        </w:rPr>
        <w:t>ecision</w:t>
      </w:r>
      <w:r w:rsidR="002646FF" w:rsidRPr="00E37897">
        <w:rPr>
          <w:sz w:val="26"/>
          <w:szCs w:val="26"/>
        </w:rPr>
        <w:t xml:space="preserve"> that agrees with PAIEUG</w:t>
      </w:r>
      <w:r w:rsidR="008B0EC7" w:rsidRPr="00E37897">
        <w:rPr>
          <w:sz w:val="26"/>
          <w:szCs w:val="26"/>
        </w:rPr>
        <w:t>’</w:t>
      </w:r>
      <w:r w:rsidR="002646FF" w:rsidRPr="00E37897">
        <w:rPr>
          <w:sz w:val="26"/>
          <w:szCs w:val="26"/>
        </w:rPr>
        <w:t xml:space="preserve">s position regarding the possibility that rebundling of transmission and distribution services could result from the </w:t>
      </w:r>
      <w:r w:rsidR="008B0EC7" w:rsidRPr="00E37897">
        <w:rPr>
          <w:sz w:val="26"/>
          <w:szCs w:val="26"/>
        </w:rPr>
        <w:t>ES</w:t>
      </w:r>
      <w:r w:rsidR="002646FF" w:rsidRPr="00E37897">
        <w:rPr>
          <w:sz w:val="26"/>
          <w:szCs w:val="26"/>
        </w:rPr>
        <w:t>C</w:t>
      </w:r>
      <w:r w:rsidR="008B0EC7" w:rsidRPr="00E37897">
        <w:rPr>
          <w:sz w:val="26"/>
          <w:szCs w:val="26"/>
        </w:rPr>
        <w:t>’</w:t>
      </w:r>
      <w:r w:rsidR="002646FF" w:rsidRPr="00E37897">
        <w:rPr>
          <w:sz w:val="26"/>
          <w:szCs w:val="26"/>
        </w:rPr>
        <w:t xml:space="preserve">s proposal in contravention of the Competition Act. </w:t>
      </w:r>
      <w:r w:rsidR="00656C49" w:rsidRPr="00E37897">
        <w:rPr>
          <w:sz w:val="26"/>
          <w:szCs w:val="26"/>
        </w:rPr>
        <w:t xml:space="preserve"> </w:t>
      </w:r>
      <w:r w:rsidR="00656C49" w:rsidRPr="00E37897">
        <w:rPr>
          <w:i/>
          <w:iCs/>
          <w:sz w:val="26"/>
          <w:szCs w:val="26"/>
        </w:rPr>
        <w:t>Id</w:t>
      </w:r>
      <w:r w:rsidR="00656C49" w:rsidRPr="00E37897">
        <w:rPr>
          <w:sz w:val="26"/>
          <w:szCs w:val="26"/>
        </w:rPr>
        <w:t>.</w:t>
      </w:r>
      <w:r w:rsidR="008B0EC7" w:rsidRPr="00E37897">
        <w:rPr>
          <w:sz w:val="26"/>
          <w:szCs w:val="26"/>
        </w:rPr>
        <w:t xml:space="preserve"> </w:t>
      </w:r>
      <w:r w:rsidR="007B4DC3" w:rsidRPr="00E37897">
        <w:rPr>
          <w:sz w:val="26"/>
          <w:szCs w:val="26"/>
        </w:rPr>
        <w:t xml:space="preserve"> </w:t>
      </w:r>
      <w:r w:rsidR="00265C56" w:rsidRPr="00E37897">
        <w:rPr>
          <w:sz w:val="26"/>
          <w:szCs w:val="26"/>
        </w:rPr>
        <w:t xml:space="preserve">PAIEUG notes that in support of its argument, </w:t>
      </w:r>
      <w:r w:rsidR="00FB14D7">
        <w:rPr>
          <w:sz w:val="26"/>
          <w:szCs w:val="26"/>
        </w:rPr>
        <w:t xml:space="preserve">the </w:t>
      </w:r>
      <w:r w:rsidR="00265C56" w:rsidRPr="00E37897">
        <w:rPr>
          <w:sz w:val="26"/>
          <w:szCs w:val="26"/>
        </w:rPr>
        <w:t xml:space="preserve">ESC pointed to the Commission’s decision in </w:t>
      </w:r>
      <w:r w:rsidR="002B5DE8" w:rsidRPr="00E37897">
        <w:rPr>
          <w:i/>
          <w:iCs/>
          <w:sz w:val="26"/>
          <w:szCs w:val="26"/>
        </w:rPr>
        <w:t>FE DSP III</w:t>
      </w:r>
      <w:r w:rsidR="001071E6" w:rsidRPr="00E37897">
        <w:rPr>
          <w:sz w:val="26"/>
          <w:szCs w:val="26"/>
        </w:rPr>
        <w:t>, but that this Order actually supports the ALJ’s findings</w:t>
      </w:r>
      <w:r w:rsidR="0083689E" w:rsidRPr="00E37897">
        <w:rPr>
          <w:sz w:val="26"/>
          <w:szCs w:val="26"/>
        </w:rPr>
        <w:t xml:space="preserve"> because </w:t>
      </w:r>
      <w:r w:rsidR="00FB14D7">
        <w:rPr>
          <w:sz w:val="26"/>
          <w:szCs w:val="26"/>
        </w:rPr>
        <w:t xml:space="preserve">the </w:t>
      </w:r>
      <w:r w:rsidR="0083689E" w:rsidRPr="00E37897">
        <w:rPr>
          <w:sz w:val="26"/>
          <w:szCs w:val="26"/>
        </w:rPr>
        <w:t xml:space="preserve">ESC failed to prove any </w:t>
      </w:r>
      <w:r w:rsidR="002646FF" w:rsidRPr="00E37897">
        <w:rPr>
          <w:sz w:val="26"/>
          <w:szCs w:val="26"/>
        </w:rPr>
        <w:t>volatility in NITS costs warranting a change in the status quo.</w:t>
      </w:r>
      <w:r w:rsidR="00656C49" w:rsidRPr="00E37897">
        <w:rPr>
          <w:sz w:val="26"/>
          <w:szCs w:val="26"/>
        </w:rPr>
        <w:t xml:space="preserve">  </w:t>
      </w:r>
      <w:r w:rsidR="00656C49" w:rsidRPr="00E37897">
        <w:rPr>
          <w:i/>
          <w:iCs/>
          <w:sz w:val="26"/>
          <w:szCs w:val="26"/>
        </w:rPr>
        <w:t>Id</w:t>
      </w:r>
      <w:r w:rsidR="00656C49" w:rsidRPr="00E37897">
        <w:rPr>
          <w:sz w:val="26"/>
          <w:szCs w:val="26"/>
        </w:rPr>
        <w:t>. at 3-4.</w:t>
      </w:r>
    </w:p>
    <w:p w14:paraId="16189881" w14:textId="77777777" w:rsidR="00305D25" w:rsidRPr="00E37897" w:rsidRDefault="00305D25" w:rsidP="005F3BE2">
      <w:pPr>
        <w:widowControl/>
        <w:spacing w:line="360" w:lineRule="auto"/>
        <w:ind w:firstLine="720"/>
        <w:contextualSpacing/>
        <w:textAlignment w:val="baseline"/>
        <w:rPr>
          <w:sz w:val="26"/>
          <w:szCs w:val="26"/>
        </w:rPr>
      </w:pPr>
    </w:p>
    <w:p w14:paraId="0FE3B70E" w14:textId="3ABF6748" w:rsidR="002646FF" w:rsidRPr="00E37897" w:rsidRDefault="003F1CDB" w:rsidP="005F3BE2">
      <w:pPr>
        <w:widowControl/>
        <w:spacing w:line="360" w:lineRule="auto"/>
        <w:ind w:left="90" w:firstLine="1350"/>
        <w:contextualSpacing/>
        <w:textAlignment w:val="baseline"/>
        <w:rPr>
          <w:sz w:val="26"/>
          <w:szCs w:val="26"/>
        </w:rPr>
      </w:pPr>
      <w:r w:rsidRPr="00E37897">
        <w:rPr>
          <w:sz w:val="26"/>
          <w:szCs w:val="26"/>
        </w:rPr>
        <w:t>PAIEUG s</w:t>
      </w:r>
      <w:r w:rsidR="00A84FB4" w:rsidRPr="00E37897">
        <w:rPr>
          <w:sz w:val="26"/>
          <w:szCs w:val="26"/>
        </w:rPr>
        <w:t>tates</w:t>
      </w:r>
      <w:r w:rsidRPr="00E37897">
        <w:rPr>
          <w:sz w:val="26"/>
          <w:szCs w:val="26"/>
        </w:rPr>
        <w:t xml:space="preserve"> that i</w:t>
      </w:r>
      <w:r w:rsidR="002646FF" w:rsidRPr="00E37897">
        <w:rPr>
          <w:sz w:val="26"/>
          <w:szCs w:val="26"/>
        </w:rPr>
        <w:t xml:space="preserve">n </w:t>
      </w:r>
      <w:r w:rsidR="002646FF" w:rsidRPr="00E37897">
        <w:rPr>
          <w:i/>
          <w:iCs/>
          <w:sz w:val="26"/>
          <w:szCs w:val="26"/>
        </w:rPr>
        <w:t>FE DSP III</w:t>
      </w:r>
      <w:r w:rsidR="002646FF" w:rsidRPr="00E37897">
        <w:rPr>
          <w:sz w:val="26"/>
          <w:szCs w:val="26"/>
        </w:rPr>
        <w:t xml:space="preserve">, the Commission does find that </w:t>
      </w:r>
      <w:r w:rsidR="006A7E58" w:rsidRPr="00E37897">
        <w:rPr>
          <w:sz w:val="26"/>
          <w:szCs w:val="26"/>
        </w:rPr>
        <w:t>an EGS’</w:t>
      </w:r>
      <w:r w:rsidR="002646FF" w:rsidRPr="00E37897">
        <w:rPr>
          <w:sz w:val="26"/>
          <w:szCs w:val="26"/>
        </w:rPr>
        <w:t xml:space="preserve"> proposal to modify the NITS collection was not precluded by the Competition Act or </w:t>
      </w:r>
      <w:r w:rsidR="006A7E58" w:rsidRPr="00E37897">
        <w:rPr>
          <w:sz w:val="26"/>
          <w:szCs w:val="26"/>
        </w:rPr>
        <w:t>the Commission’s</w:t>
      </w:r>
      <w:r w:rsidR="002646FF" w:rsidRPr="00E37897">
        <w:rPr>
          <w:sz w:val="26"/>
          <w:szCs w:val="26"/>
        </w:rPr>
        <w:t xml:space="preserve"> </w:t>
      </w:r>
      <w:r w:rsidR="006A7E58" w:rsidRPr="00E37897">
        <w:rPr>
          <w:sz w:val="26"/>
          <w:szCs w:val="26"/>
        </w:rPr>
        <w:t>R</w:t>
      </w:r>
      <w:r w:rsidR="002646FF" w:rsidRPr="00E37897">
        <w:rPr>
          <w:sz w:val="26"/>
          <w:szCs w:val="26"/>
        </w:rPr>
        <w:t xml:space="preserve">egulations. </w:t>
      </w:r>
      <w:r w:rsidR="006A7E58" w:rsidRPr="00E37897">
        <w:rPr>
          <w:sz w:val="26"/>
          <w:szCs w:val="26"/>
        </w:rPr>
        <w:t xml:space="preserve"> </w:t>
      </w:r>
      <w:r w:rsidR="009047BD" w:rsidRPr="00E37897">
        <w:rPr>
          <w:i/>
          <w:iCs/>
          <w:sz w:val="26"/>
          <w:szCs w:val="26"/>
        </w:rPr>
        <w:t>Id</w:t>
      </w:r>
      <w:r w:rsidR="009047BD" w:rsidRPr="00E37897">
        <w:rPr>
          <w:sz w:val="26"/>
          <w:szCs w:val="26"/>
        </w:rPr>
        <w:t xml:space="preserve">. at 4 (citing </w:t>
      </w:r>
      <w:r w:rsidR="002646FF" w:rsidRPr="00E37897">
        <w:rPr>
          <w:i/>
          <w:iCs/>
          <w:sz w:val="26"/>
          <w:szCs w:val="26"/>
        </w:rPr>
        <w:t xml:space="preserve">FE DSP III </w:t>
      </w:r>
      <w:r w:rsidR="00BF2F3D" w:rsidRPr="00E37897">
        <w:rPr>
          <w:sz w:val="26"/>
          <w:szCs w:val="26"/>
        </w:rPr>
        <w:t>at</w:t>
      </w:r>
      <w:r w:rsidR="002646FF" w:rsidRPr="00E37897">
        <w:rPr>
          <w:sz w:val="26"/>
          <w:szCs w:val="26"/>
        </w:rPr>
        <w:t xml:space="preserve"> 38</w:t>
      </w:r>
      <w:r w:rsidR="00BF2F3D" w:rsidRPr="00E37897">
        <w:rPr>
          <w:sz w:val="26"/>
          <w:szCs w:val="26"/>
        </w:rPr>
        <w:t>)</w:t>
      </w:r>
      <w:r w:rsidR="002646FF" w:rsidRPr="00E37897">
        <w:rPr>
          <w:sz w:val="26"/>
          <w:szCs w:val="26"/>
        </w:rPr>
        <w:t xml:space="preserve">. </w:t>
      </w:r>
      <w:r w:rsidR="006A7E58" w:rsidRPr="00E37897">
        <w:rPr>
          <w:sz w:val="26"/>
          <w:szCs w:val="26"/>
        </w:rPr>
        <w:t xml:space="preserve"> </w:t>
      </w:r>
      <w:r w:rsidR="00A84FB4" w:rsidRPr="00E37897">
        <w:rPr>
          <w:sz w:val="26"/>
          <w:szCs w:val="26"/>
        </w:rPr>
        <w:t>PAIEUG believes t</w:t>
      </w:r>
      <w:r w:rsidR="002646FF" w:rsidRPr="00E37897">
        <w:rPr>
          <w:sz w:val="26"/>
          <w:szCs w:val="26"/>
        </w:rPr>
        <w:t>his finding, however, is irrelevant to the Commission</w:t>
      </w:r>
      <w:r w:rsidR="00A84FB4" w:rsidRPr="00E37897">
        <w:rPr>
          <w:sz w:val="26"/>
          <w:szCs w:val="26"/>
        </w:rPr>
        <w:t>’</w:t>
      </w:r>
      <w:r w:rsidR="002646FF" w:rsidRPr="00E37897">
        <w:rPr>
          <w:sz w:val="26"/>
          <w:szCs w:val="26"/>
        </w:rPr>
        <w:t xml:space="preserve">s overarching determination that </w:t>
      </w:r>
      <w:r w:rsidR="00C77F52" w:rsidRPr="00E37897">
        <w:rPr>
          <w:sz w:val="26"/>
          <w:szCs w:val="26"/>
        </w:rPr>
        <w:t>the EGS</w:t>
      </w:r>
      <w:r w:rsidR="002646FF" w:rsidRPr="00E37897">
        <w:rPr>
          <w:sz w:val="26"/>
          <w:szCs w:val="26"/>
        </w:rPr>
        <w:t xml:space="preserve"> </w:t>
      </w:r>
      <w:r w:rsidR="00C77F52" w:rsidRPr="00E37897">
        <w:rPr>
          <w:sz w:val="26"/>
          <w:szCs w:val="26"/>
        </w:rPr>
        <w:t>failed to</w:t>
      </w:r>
      <w:r w:rsidR="002646FF" w:rsidRPr="00E37897">
        <w:rPr>
          <w:sz w:val="26"/>
          <w:szCs w:val="26"/>
        </w:rPr>
        <w:t xml:space="preserve"> meet its burden of proof in that proceeding. </w:t>
      </w:r>
      <w:r w:rsidR="00BF2F3D" w:rsidRPr="00E37897">
        <w:rPr>
          <w:sz w:val="26"/>
          <w:szCs w:val="26"/>
        </w:rPr>
        <w:t xml:space="preserve"> </w:t>
      </w:r>
      <w:r w:rsidR="00D1338A" w:rsidRPr="00E37897">
        <w:rPr>
          <w:sz w:val="26"/>
          <w:szCs w:val="26"/>
        </w:rPr>
        <w:t>PAIEUG</w:t>
      </w:r>
      <w:r w:rsidR="00DD36BE" w:rsidRPr="00E37897">
        <w:rPr>
          <w:sz w:val="26"/>
          <w:szCs w:val="26"/>
        </w:rPr>
        <w:t xml:space="preserve"> R. Exc. at 4 </w:t>
      </w:r>
      <w:r w:rsidR="009B2F92" w:rsidRPr="00E37897">
        <w:rPr>
          <w:sz w:val="26"/>
          <w:szCs w:val="26"/>
        </w:rPr>
        <w:t xml:space="preserve">(citing </w:t>
      </w:r>
      <w:r w:rsidR="009B2F92" w:rsidRPr="00E37897">
        <w:rPr>
          <w:i/>
          <w:iCs/>
          <w:sz w:val="26"/>
          <w:szCs w:val="26"/>
        </w:rPr>
        <w:t xml:space="preserve">FE DSP III </w:t>
      </w:r>
      <w:r w:rsidR="009B2F92" w:rsidRPr="00E37897">
        <w:rPr>
          <w:sz w:val="26"/>
          <w:szCs w:val="26"/>
        </w:rPr>
        <w:t xml:space="preserve">at 38).  </w:t>
      </w:r>
      <w:r w:rsidR="00C34442" w:rsidRPr="00E37897">
        <w:rPr>
          <w:sz w:val="26"/>
          <w:szCs w:val="26"/>
        </w:rPr>
        <w:t xml:space="preserve">PAIEUG avers that in this case, </w:t>
      </w:r>
      <w:r w:rsidR="002646FF" w:rsidRPr="00E37897">
        <w:rPr>
          <w:sz w:val="26"/>
          <w:szCs w:val="26"/>
        </w:rPr>
        <w:t xml:space="preserve">the ALJ also correctly finds that </w:t>
      </w:r>
      <w:r w:rsidR="00FB14D7">
        <w:rPr>
          <w:sz w:val="26"/>
          <w:szCs w:val="26"/>
        </w:rPr>
        <w:t>the</w:t>
      </w:r>
      <w:r w:rsidR="00EB6D8A" w:rsidRPr="00E37897">
        <w:rPr>
          <w:sz w:val="26"/>
          <w:szCs w:val="26"/>
        </w:rPr>
        <w:t xml:space="preserve"> </w:t>
      </w:r>
      <w:r w:rsidR="002646FF" w:rsidRPr="00E37897">
        <w:rPr>
          <w:sz w:val="26"/>
          <w:szCs w:val="26"/>
        </w:rPr>
        <w:t xml:space="preserve">ESC failed to </w:t>
      </w:r>
      <w:r w:rsidR="00416650" w:rsidRPr="00E37897">
        <w:rPr>
          <w:sz w:val="26"/>
          <w:szCs w:val="26"/>
        </w:rPr>
        <w:t xml:space="preserve">present evidence to </w:t>
      </w:r>
      <w:r w:rsidR="002646FF" w:rsidRPr="00E37897">
        <w:rPr>
          <w:sz w:val="26"/>
          <w:szCs w:val="26"/>
        </w:rPr>
        <w:t>show that NITS costs in PECO</w:t>
      </w:r>
      <w:r w:rsidR="00EB6D8A" w:rsidRPr="00E37897">
        <w:rPr>
          <w:sz w:val="26"/>
          <w:szCs w:val="26"/>
        </w:rPr>
        <w:t>’</w:t>
      </w:r>
      <w:r w:rsidR="002646FF" w:rsidRPr="00E37897">
        <w:rPr>
          <w:sz w:val="26"/>
          <w:szCs w:val="26"/>
        </w:rPr>
        <w:t>s service territory are so volatile they cannot be predicted</w:t>
      </w:r>
      <w:r w:rsidR="00220A09" w:rsidRPr="00E37897">
        <w:rPr>
          <w:sz w:val="26"/>
          <w:szCs w:val="26"/>
        </w:rPr>
        <w:t>,</w:t>
      </w:r>
      <w:r w:rsidR="00EB6D8A" w:rsidRPr="00E37897">
        <w:rPr>
          <w:sz w:val="26"/>
          <w:szCs w:val="26"/>
        </w:rPr>
        <w:t xml:space="preserve"> and</w:t>
      </w:r>
      <w:r w:rsidR="002646FF" w:rsidRPr="00E37897">
        <w:rPr>
          <w:sz w:val="26"/>
          <w:szCs w:val="26"/>
        </w:rPr>
        <w:t xml:space="preserve"> the ALJ cite</w:t>
      </w:r>
      <w:r w:rsidR="00220A09" w:rsidRPr="00E37897">
        <w:rPr>
          <w:sz w:val="26"/>
          <w:szCs w:val="26"/>
        </w:rPr>
        <w:t>d</w:t>
      </w:r>
      <w:r w:rsidR="002646FF" w:rsidRPr="00E37897">
        <w:rPr>
          <w:sz w:val="26"/>
          <w:szCs w:val="26"/>
        </w:rPr>
        <w:t xml:space="preserve"> to </w:t>
      </w:r>
      <w:r w:rsidR="00220A09" w:rsidRPr="00E37897">
        <w:rPr>
          <w:sz w:val="26"/>
          <w:szCs w:val="26"/>
        </w:rPr>
        <w:t>Commission</w:t>
      </w:r>
      <w:r w:rsidR="002646FF" w:rsidRPr="00E37897">
        <w:rPr>
          <w:sz w:val="26"/>
          <w:szCs w:val="26"/>
        </w:rPr>
        <w:t xml:space="preserve"> precedent upholding the status quo </w:t>
      </w:r>
      <w:r w:rsidR="00220A09" w:rsidRPr="00E37897">
        <w:rPr>
          <w:sz w:val="26"/>
          <w:szCs w:val="26"/>
        </w:rPr>
        <w:t>regarding</w:t>
      </w:r>
      <w:r w:rsidR="002646FF" w:rsidRPr="00E37897">
        <w:rPr>
          <w:sz w:val="26"/>
          <w:szCs w:val="26"/>
        </w:rPr>
        <w:t xml:space="preserve"> NITS collection.  According</w:t>
      </w:r>
      <w:r w:rsidR="00E5680F" w:rsidRPr="00E37897">
        <w:rPr>
          <w:sz w:val="26"/>
          <w:szCs w:val="26"/>
        </w:rPr>
        <w:t xml:space="preserve"> to PAIEUG</w:t>
      </w:r>
      <w:r w:rsidR="002646FF" w:rsidRPr="00E37897">
        <w:rPr>
          <w:sz w:val="26"/>
          <w:szCs w:val="26"/>
        </w:rPr>
        <w:t>, even if the C</w:t>
      </w:r>
      <w:r w:rsidR="00E5680F" w:rsidRPr="00E37897">
        <w:rPr>
          <w:sz w:val="26"/>
          <w:szCs w:val="26"/>
        </w:rPr>
        <w:t>ommission</w:t>
      </w:r>
      <w:r w:rsidR="002646FF" w:rsidRPr="00E37897">
        <w:rPr>
          <w:sz w:val="26"/>
          <w:szCs w:val="26"/>
        </w:rPr>
        <w:t xml:space="preserve"> were to determine that the Competition Act did not hinder </w:t>
      </w:r>
      <w:r w:rsidR="00FB14D7">
        <w:rPr>
          <w:sz w:val="26"/>
          <w:szCs w:val="26"/>
        </w:rPr>
        <w:t xml:space="preserve">the </w:t>
      </w:r>
      <w:r w:rsidR="002646FF" w:rsidRPr="00E37897">
        <w:rPr>
          <w:sz w:val="26"/>
          <w:szCs w:val="26"/>
        </w:rPr>
        <w:t>ESC</w:t>
      </w:r>
      <w:r w:rsidR="00E5680F" w:rsidRPr="00E37897">
        <w:rPr>
          <w:sz w:val="26"/>
          <w:szCs w:val="26"/>
        </w:rPr>
        <w:t>’</w:t>
      </w:r>
      <w:r w:rsidR="002646FF" w:rsidRPr="00E37897">
        <w:rPr>
          <w:sz w:val="26"/>
          <w:szCs w:val="26"/>
        </w:rPr>
        <w:t xml:space="preserve">s proposal, that determination is irrelevant </w:t>
      </w:r>
      <w:r w:rsidR="00961F2A" w:rsidRPr="00E37897">
        <w:rPr>
          <w:sz w:val="26"/>
          <w:szCs w:val="26"/>
        </w:rPr>
        <w:t>due to</w:t>
      </w:r>
      <w:r w:rsidR="002646FF" w:rsidRPr="00E37897">
        <w:rPr>
          <w:sz w:val="26"/>
          <w:szCs w:val="26"/>
        </w:rPr>
        <w:t xml:space="preserve"> </w:t>
      </w:r>
      <w:r w:rsidR="00961F2A" w:rsidRPr="00E37897">
        <w:rPr>
          <w:sz w:val="26"/>
          <w:szCs w:val="26"/>
        </w:rPr>
        <w:t>Commission</w:t>
      </w:r>
      <w:r w:rsidR="002646FF" w:rsidRPr="00E37897">
        <w:rPr>
          <w:sz w:val="26"/>
          <w:szCs w:val="26"/>
        </w:rPr>
        <w:t xml:space="preserve"> precedent and lack of evidence</w:t>
      </w:r>
      <w:r w:rsidR="00961F2A" w:rsidRPr="00E37897">
        <w:rPr>
          <w:sz w:val="26"/>
          <w:szCs w:val="26"/>
        </w:rPr>
        <w:t xml:space="preserve"> in this proceeding.</w:t>
      </w:r>
      <w:r w:rsidR="0075567D" w:rsidRPr="00E37897">
        <w:rPr>
          <w:sz w:val="26"/>
          <w:szCs w:val="26"/>
        </w:rPr>
        <w:t xml:space="preserve">  </w:t>
      </w:r>
      <w:r w:rsidR="0075567D" w:rsidRPr="00E37897">
        <w:rPr>
          <w:i/>
          <w:iCs/>
          <w:sz w:val="26"/>
          <w:szCs w:val="26"/>
        </w:rPr>
        <w:t>Id</w:t>
      </w:r>
      <w:r w:rsidR="0075567D" w:rsidRPr="00E37897">
        <w:rPr>
          <w:sz w:val="26"/>
          <w:szCs w:val="26"/>
        </w:rPr>
        <w:t xml:space="preserve">.  </w:t>
      </w:r>
    </w:p>
    <w:p w14:paraId="2F99C426" w14:textId="44222B04" w:rsidR="00F53DC7" w:rsidRPr="00E37897" w:rsidRDefault="00F53DC7" w:rsidP="005F3BE2">
      <w:pPr>
        <w:widowControl/>
        <w:spacing w:line="360" w:lineRule="auto"/>
        <w:ind w:left="1440"/>
        <w:contextualSpacing/>
        <w:rPr>
          <w:b/>
          <w:sz w:val="26"/>
          <w:szCs w:val="26"/>
        </w:rPr>
      </w:pPr>
    </w:p>
    <w:p w14:paraId="6DD90C12" w14:textId="2E27AA44" w:rsidR="00BB4DDE" w:rsidRPr="00E37897" w:rsidRDefault="00624F05" w:rsidP="005F3BE2">
      <w:pPr>
        <w:pStyle w:val="Heading4"/>
        <w:keepNext/>
        <w:keepLines/>
        <w:numPr>
          <w:ilvl w:val="0"/>
          <w:numId w:val="25"/>
        </w:numPr>
        <w:spacing w:after="0"/>
        <w:ind w:left="2160" w:hanging="720"/>
        <w:contextualSpacing/>
        <w:jc w:val="left"/>
        <w:rPr>
          <w:rFonts w:eastAsiaTheme="majorEastAsia"/>
          <w:sz w:val="26"/>
          <w:szCs w:val="26"/>
        </w:rPr>
      </w:pPr>
      <w:r w:rsidRPr="00E37897">
        <w:rPr>
          <w:rFonts w:eastAsiaTheme="majorEastAsia"/>
          <w:sz w:val="26"/>
          <w:szCs w:val="26"/>
        </w:rPr>
        <w:t>Calpine</w:t>
      </w:r>
    </w:p>
    <w:p w14:paraId="4EE6E97B" w14:textId="42BBAF3F" w:rsidR="00CA7EC6" w:rsidRPr="00E37897" w:rsidRDefault="00CA7EC6" w:rsidP="005F3BE2">
      <w:pPr>
        <w:keepNext/>
        <w:keepLines/>
        <w:widowControl/>
        <w:spacing w:line="360" w:lineRule="auto"/>
        <w:contextualSpacing/>
        <w:rPr>
          <w:b/>
          <w:sz w:val="26"/>
          <w:szCs w:val="26"/>
        </w:rPr>
      </w:pPr>
    </w:p>
    <w:p w14:paraId="353ED4BC" w14:textId="237C0529" w:rsidR="00624F05" w:rsidRPr="00E37897" w:rsidRDefault="00B12D3D" w:rsidP="005F3BE2">
      <w:pPr>
        <w:widowControl/>
        <w:spacing w:line="360" w:lineRule="auto"/>
        <w:ind w:left="90" w:firstLine="1350"/>
        <w:contextualSpacing/>
        <w:rPr>
          <w:bCs/>
          <w:sz w:val="26"/>
          <w:szCs w:val="26"/>
        </w:rPr>
      </w:pPr>
      <w:r w:rsidRPr="00E37897">
        <w:rPr>
          <w:bCs/>
          <w:sz w:val="26"/>
          <w:szCs w:val="26"/>
        </w:rPr>
        <w:t xml:space="preserve">In response to </w:t>
      </w:r>
      <w:r w:rsidR="00FB14D7">
        <w:rPr>
          <w:bCs/>
          <w:sz w:val="26"/>
          <w:szCs w:val="26"/>
        </w:rPr>
        <w:t xml:space="preserve">the </w:t>
      </w:r>
      <w:r w:rsidR="000F6DD9" w:rsidRPr="00E37897">
        <w:rPr>
          <w:bCs/>
          <w:sz w:val="26"/>
          <w:szCs w:val="26"/>
        </w:rPr>
        <w:t xml:space="preserve">ESC’s first Exception, Calpine asserts that </w:t>
      </w:r>
      <w:r w:rsidR="00FB14D7">
        <w:rPr>
          <w:bCs/>
          <w:sz w:val="26"/>
          <w:szCs w:val="26"/>
        </w:rPr>
        <w:t xml:space="preserve">the </w:t>
      </w:r>
      <w:r w:rsidR="000F6DD9" w:rsidRPr="00E37897">
        <w:rPr>
          <w:bCs/>
          <w:sz w:val="26"/>
          <w:szCs w:val="26"/>
        </w:rPr>
        <w:t xml:space="preserve">ESC </w:t>
      </w:r>
      <w:r w:rsidR="00AF5557" w:rsidRPr="00E37897">
        <w:rPr>
          <w:bCs/>
          <w:sz w:val="26"/>
          <w:szCs w:val="26"/>
        </w:rPr>
        <w:t xml:space="preserve">makes an irrelevant </w:t>
      </w:r>
      <w:r w:rsidR="000F6DD9" w:rsidRPr="00E37897">
        <w:rPr>
          <w:bCs/>
          <w:sz w:val="26"/>
          <w:szCs w:val="26"/>
        </w:rPr>
        <w:t>argu</w:t>
      </w:r>
      <w:r w:rsidR="00AF5557" w:rsidRPr="00E37897">
        <w:rPr>
          <w:bCs/>
          <w:sz w:val="26"/>
          <w:szCs w:val="26"/>
        </w:rPr>
        <w:t xml:space="preserve">ment by claiming that the Commission has authority to change the status quo.  </w:t>
      </w:r>
      <w:r w:rsidR="00013E3E" w:rsidRPr="00E37897">
        <w:rPr>
          <w:bCs/>
          <w:sz w:val="26"/>
          <w:szCs w:val="26"/>
        </w:rPr>
        <w:t xml:space="preserve">Calpine states that </w:t>
      </w:r>
      <w:r w:rsidR="0069531F" w:rsidRPr="00E37897">
        <w:rPr>
          <w:bCs/>
          <w:sz w:val="26"/>
          <w:szCs w:val="26"/>
        </w:rPr>
        <w:t>the ESC was given ample opportunity through testimony and briefing to support such a change</w:t>
      </w:r>
      <w:r w:rsidR="00A051C8">
        <w:rPr>
          <w:bCs/>
          <w:sz w:val="26"/>
          <w:szCs w:val="26"/>
        </w:rPr>
        <w:t>,</w:t>
      </w:r>
      <w:r w:rsidR="0069531F" w:rsidRPr="00E37897">
        <w:rPr>
          <w:bCs/>
          <w:sz w:val="26"/>
          <w:szCs w:val="26"/>
        </w:rPr>
        <w:t xml:space="preserve"> but i</w:t>
      </w:r>
      <w:r w:rsidR="0060490A">
        <w:rPr>
          <w:bCs/>
          <w:sz w:val="26"/>
          <w:szCs w:val="26"/>
        </w:rPr>
        <w:t>t</w:t>
      </w:r>
      <w:r w:rsidR="0069531F" w:rsidRPr="00E37897">
        <w:rPr>
          <w:bCs/>
          <w:sz w:val="26"/>
          <w:szCs w:val="26"/>
        </w:rPr>
        <w:t xml:space="preserve"> failed to meet its burden of proof.  </w:t>
      </w:r>
      <w:r w:rsidR="002E40F1" w:rsidRPr="00E37897">
        <w:rPr>
          <w:bCs/>
          <w:sz w:val="26"/>
          <w:szCs w:val="26"/>
        </w:rPr>
        <w:t xml:space="preserve">Calpine avers that the Parties opposing </w:t>
      </w:r>
      <w:r w:rsidR="00FB14D7">
        <w:rPr>
          <w:bCs/>
          <w:sz w:val="26"/>
          <w:szCs w:val="26"/>
        </w:rPr>
        <w:t xml:space="preserve">the </w:t>
      </w:r>
      <w:r w:rsidR="002E40F1" w:rsidRPr="00E37897">
        <w:rPr>
          <w:bCs/>
          <w:sz w:val="26"/>
          <w:szCs w:val="26"/>
        </w:rPr>
        <w:t>ESC’s proposal</w:t>
      </w:r>
      <w:r w:rsidR="000D0000" w:rsidRPr="00E37897">
        <w:rPr>
          <w:bCs/>
          <w:sz w:val="26"/>
          <w:szCs w:val="26"/>
        </w:rPr>
        <w:t xml:space="preserve"> collectively demonstrated </w:t>
      </w:r>
      <w:r w:rsidR="000D0000" w:rsidRPr="00E37897">
        <w:rPr>
          <w:bCs/>
          <w:sz w:val="26"/>
          <w:szCs w:val="26"/>
        </w:rPr>
        <w:lastRenderedPageBreak/>
        <w:t>substantial precedent in favor of the status quo</w:t>
      </w:r>
      <w:r w:rsidR="00DC5DA0" w:rsidRPr="00E37897">
        <w:rPr>
          <w:bCs/>
          <w:sz w:val="26"/>
          <w:szCs w:val="26"/>
        </w:rPr>
        <w:t xml:space="preserve"> that was established over multiple proceedings involving PECO and other default service providers</w:t>
      </w:r>
      <w:r w:rsidR="00802EEB" w:rsidRPr="00E37897">
        <w:rPr>
          <w:bCs/>
          <w:sz w:val="26"/>
          <w:szCs w:val="26"/>
        </w:rPr>
        <w:t xml:space="preserve">.  </w:t>
      </w:r>
      <w:r w:rsidR="00383557" w:rsidRPr="00E37897">
        <w:rPr>
          <w:bCs/>
          <w:sz w:val="26"/>
          <w:szCs w:val="26"/>
        </w:rPr>
        <w:t>According to Calpine, the ALJ</w:t>
      </w:r>
      <w:r w:rsidR="00A5709C" w:rsidRPr="00E37897">
        <w:rPr>
          <w:bCs/>
          <w:sz w:val="26"/>
          <w:szCs w:val="26"/>
        </w:rPr>
        <w:t xml:space="preserve"> did not reach the conclusion that the Commission lacked power to recommend a change to the status quo, </w:t>
      </w:r>
      <w:r w:rsidR="001B7164" w:rsidRPr="00E37897">
        <w:rPr>
          <w:bCs/>
          <w:sz w:val="26"/>
          <w:szCs w:val="26"/>
        </w:rPr>
        <w:t xml:space="preserve">but, </w:t>
      </w:r>
      <w:r w:rsidR="00A5709C" w:rsidRPr="00E37897">
        <w:rPr>
          <w:bCs/>
          <w:sz w:val="26"/>
          <w:szCs w:val="26"/>
        </w:rPr>
        <w:t xml:space="preserve">rather, </w:t>
      </w:r>
      <w:r w:rsidR="001B7164" w:rsidRPr="00E37897">
        <w:rPr>
          <w:bCs/>
          <w:sz w:val="26"/>
          <w:szCs w:val="26"/>
        </w:rPr>
        <w:t xml:space="preserve">the ALJ was persuaded that the status </w:t>
      </w:r>
      <w:r w:rsidR="00E82757" w:rsidRPr="00E37897">
        <w:rPr>
          <w:bCs/>
          <w:sz w:val="26"/>
          <w:szCs w:val="26"/>
        </w:rPr>
        <w:t xml:space="preserve">quo is working because it imposes competitive discipline on EGSs.  </w:t>
      </w:r>
      <w:r w:rsidR="00412545" w:rsidRPr="00E37897">
        <w:rPr>
          <w:bCs/>
          <w:sz w:val="26"/>
          <w:szCs w:val="26"/>
        </w:rPr>
        <w:t xml:space="preserve">Calpine R. Exc. at 2.  </w:t>
      </w:r>
      <w:r w:rsidR="00383557" w:rsidRPr="00E37897">
        <w:rPr>
          <w:bCs/>
          <w:sz w:val="26"/>
          <w:szCs w:val="26"/>
        </w:rPr>
        <w:t xml:space="preserve"> </w:t>
      </w:r>
      <w:r w:rsidR="00DC5DA0" w:rsidRPr="00E37897">
        <w:rPr>
          <w:bCs/>
          <w:sz w:val="26"/>
          <w:szCs w:val="26"/>
        </w:rPr>
        <w:t xml:space="preserve">  </w:t>
      </w:r>
      <w:r w:rsidR="000F6DD9" w:rsidRPr="00E37897">
        <w:rPr>
          <w:bCs/>
          <w:sz w:val="26"/>
          <w:szCs w:val="26"/>
        </w:rPr>
        <w:t xml:space="preserve"> </w:t>
      </w:r>
    </w:p>
    <w:p w14:paraId="300106EF" w14:textId="0FBB5674" w:rsidR="00B12D3D" w:rsidRPr="00E37897" w:rsidRDefault="00B12D3D" w:rsidP="005F3BE2">
      <w:pPr>
        <w:widowControl/>
        <w:spacing w:line="360" w:lineRule="auto"/>
        <w:ind w:left="1440"/>
        <w:contextualSpacing/>
        <w:rPr>
          <w:bCs/>
          <w:sz w:val="26"/>
          <w:szCs w:val="26"/>
        </w:rPr>
      </w:pPr>
    </w:p>
    <w:p w14:paraId="20F06946" w14:textId="0BEB87A5" w:rsidR="005B5525" w:rsidRPr="00E37897" w:rsidRDefault="003C79A9" w:rsidP="005F3BE2">
      <w:pPr>
        <w:pStyle w:val="Heading3"/>
        <w:keepNext/>
        <w:keepLines/>
        <w:spacing w:after="0" w:line="360" w:lineRule="auto"/>
        <w:ind w:left="1440" w:hanging="720"/>
        <w:contextualSpacing/>
        <w:jc w:val="left"/>
        <w:rPr>
          <w:rStyle w:val="Heading3Char"/>
          <w:b/>
          <w:bCs/>
          <w:sz w:val="26"/>
        </w:rPr>
      </w:pPr>
      <w:bookmarkStart w:id="26" w:name="_Toc56512770"/>
      <w:r w:rsidRPr="00E37897">
        <w:rPr>
          <w:rStyle w:val="Heading3Char"/>
          <w:b/>
          <w:bCs/>
          <w:sz w:val="26"/>
        </w:rPr>
        <w:t>3.</w:t>
      </w:r>
      <w:r w:rsidRPr="00E37897">
        <w:rPr>
          <w:rStyle w:val="Heading3Char"/>
          <w:b/>
          <w:bCs/>
          <w:sz w:val="26"/>
        </w:rPr>
        <w:tab/>
        <w:t>Disposition</w:t>
      </w:r>
      <w:bookmarkEnd w:id="26"/>
    </w:p>
    <w:p w14:paraId="4B636468" w14:textId="65BF738B" w:rsidR="003C79A9" w:rsidRPr="00E37897" w:rsidRDefault="003C79A9" w:rsidP="005F3BE2">
      <w:pPr>
        <w:keepNext/>
        <w:keepLines/>
        <w:widowControl/>
        <w:spacing w:line="360" w:lineRule="auto"/>
        <w:ind w:left="1440"/>
        <w:contextualSpacing/>
        <w:rPr>
          <w:bCs/>
          <w:sz w:val="26"/>
          <w:szCs w:val="26"/>
        </w:rPr>
      </w:pPr>
    </w:p>
    <w:p w14:paraId="6984B26D" w14:textId="511699A4" w:rsidR="00902005" w:rsidRPr="00E37897" w:rsidRDefault="00FD37AA" w:rsidP="005F3BE2">
      <w:pPr>
        <w:widowControl/>
        <w:spacing w:line="360" w:lineRule="auto"/>
        <w:ind w:firstLine="1440"/>
        <w:contextualSpacing/>
        <w:rPr>
          <w:sz w:val="26"/>
          <w:szCs w:val="26"/>
        </w:rPr>
      </w:pPr>
      <w:r w:rsidRPr="00E37897">
        <w:rPr>
          <w:bCs/>
          <w:sz w:val="26"/>
          <w:szCs w:val="26"/>
        </w:rPr>
        <w:t xml:space="preserve">Upon review, we will </w:t>
      </w:r>
      <w:r w:rsidR="00DC3EC5">
        <w:rPr>
          <w:bCs/>
          <w:sz w:val="26"/>
          <w:szCs w:val="26"/>
        </w:rPr>
        <w:t>deny, in part</w:t>
      </w:r>
      <w:r w:rsidR="005E0A5C">
        <w:rPr>
          <w:bCs/>
          <w:sz w:val="26"/>
          <w:szCs w:val="26"/>
        </w:rPr>
        <w:t xml:space="preserve">, and </w:t>
      </w:r>
      <w:r w:rsidRPr="00E37897">
        <w:rPr>
          <w:bCs/>
          <w:sz w:val="26"/>
          <w:szCs w:val="26"/>
        </w:rPr>
        <w:t>grant</w:t>
      </w:r>
      <w:r w:rsidR="002811E9" w:rsidRPr="00E37897">
        <w:rPr>
          <w:bCs/>
          <w:sz w:val="26"/>
          <w:szCs w:val="26"/>
        </w:rPr>
        <w:t>, in part,</w:t>
      </w:r>
      <w:r w:rsidRPr="00E37897">
        <w:rPr>
          <w:bCs/>
          <w:sz w:val="26"/>
          <w:szCs w:val="26"/>
        </w:rPr>
        <w:t xml:space="preserve"> </w:t>
      </w:r>
      <w:r w:rsidR="00FB14D7">
        <w:rPr>
          <w:bCs/>
          <w:sz w:val="26"/>
          <w:szCs w:val="26"/>
        </w:rPr>
        <w:t xml:space="preserve">the </w:t>
      </w:r>
      <w:r w:rsidR="002811E9" w:rsidRPr="00E37897">
        <w:rPr>
          <w:bCs/>
          <w:sz w:val="26"/>
          <w:szCs w:val="26"/>
        </w:rPr>
        <w:t xml:space="preserve">ESC’s first Exception.  As the party </w:t>
      </w:r>
      <w:r w:rsidR="00C81201" w:rsidRPr="00E37897">
        <w:rPr>
          <w:bCs/>
          <w:sz w:val="26"/>
          <w:szCs w:val="26"/>
        </w:rPr>
        <w:t xml:space="preserve">proposing that PECO include NITS charges in its existing </w:t>
      </w:r>
      <w:r w:rsidR="00F4002F" w:rsidRPr="00E37897">
        <w:rPr>
          <w:bCs/>
          <w:sz w:val="26"/>
          <w:szCs w:val="26"/>
        </w:rPr>
        <w:t xml:space="preserve">NBT, </w:t>
      </w:r>
      <w:r w:rsidR="00FB14D7">
        <w:rPr>
          <w:bCs/>
          <w:sz w:val="26"/>
          <w:szCs w:val="26"/>
        </w:rPr>
        <w:t xml:space="preserve">the </w:t>
      </w:r>
      <w:r w:rsidR="00F4002F" w:rsidRPr="00E37897">
        <w:rPr>
          <w:bCs/>
          <w:sz w:val="26"/>
          <w:szCs w:val="26"/>
        </w:rPr>
        <w:t>ESC</w:t>
      </w:r>
      <w:r w:rsidR="00F4002F" w:rsidRPr="00E37897">
        <w:rPr>
          <w:sz w:val="26"/>
          <w:szCs w:val="26"/>
        </w:rPr>
        <w:t xml:space="preserve"> bears the burden of proof for </w:t>
      </w:r>
      <w:r w:rsidR="00EF046A" w:rsidRPr="00E37897">
        <w:rPr>
          <w:sz w:val="26"/>
          <w:szCs w:val="26"/>
        </w:rPr>
        <w:t>t</w:t>
      </w:r>
      <w:r w:rsidR="00E52D37" w:rsidRPr="00E37897">
        <w:rPr>
          <w:sz w:val="26"/>
          <w:szCs w:val="26"/>
        </w:rPr>
        <w:t>his</w:t>
      </w:r>
      <w:r w:rsidR="00F4002F" w:rsidRPr="00E37897">
        <w:rPr>
          <w:sz w:val="26"/>
          <w:szCs w:val="26"/>
        </w:rPr>
        <w:t xml:space="preserve"> proposal.  </w:t>
      </w:r>
      <w:r w:rsidR="00F4002F" w:rsidRPr="00E37897">
        <w:rPr>
          <w:i/>
          <w:sz w:val="26"/>
          <w:szCs w:val="26"/>
        </w:rPr>
        <w:t>Metropolitan Edison Co.</w:t>
      </w:r>
      <w:r w:rsidR="006E0ABA" w:rsidRPr="00E37897">
        <w:rPr>
          <w:iCs/>
          <w:sz w:val="26"/>
          <w:szCs w:val="26"/>
        </w:rPr>
        <w:t xml:space="preserve">; </w:t>
      </w:r>
      <w:r w:rsidR="006E0ABA" w:rsidRPr="00E37897">
        <w:rPr>
          <w:i/>
          <w:sz w:val="26"/>
          <w:szCs w:val="26"/>
        </w:rPr>
        <w:t>Citizens’ Electric Co</w:t>
      </w:r>
      <w:r w:rsidR="006E0ABA" w:rsidRPr="00E37897">
        <w:rPr>
          <w:iCs/>
          <w:sz w:val="26"/>
          <w:szCs w:val="26"/>
        </w:rPr>
        <w:t>.</w:t>
      </w:r>
      <w:r w:rsidR="00E52D37" w:rsidRPr="00E37897">
        <w:rPr>
          <w:sz w:val="26"/>
          <w:szCs w:val="26"/>
        </w:rPr>
        <w:t xml:space="preserve">  </w:t>
      </w:r>
      <w:r w:rsidR="00F40DAB" w:rsidRPr="00E37897">
        <w:rPr>
          <w:sz w:val="26"/>
          <w:szCs w:val="26"/>
        </w:rPr>
        <w:t xml:space="preserve">In reaching her conclusion on </w:t>
      </w:r>
      <w:r w:rsidR="00FB14D7">
        <w:rPr>
          <w:sz w:val="26"/>
          <w:szCs w:val="26"/>
        </w:rPr>
        <w:t xml:space="preserve">the </w:t>
      </w:r>
      <w:r w:rsidR="00F40DAB" w:rsidRPr="00E37897">
        <w:rPr>
          <w:sz w:val="26"/>
          <w:szCs w:val="26"/>
        </w:rPr>
        <w:t xml:space="preserve">ESC’s proposal, ALJ Vero </w:t>
      </w:r>
      <w:r w:rsidR="0067116E" w:rsidRPr="00E37897">
        <w:rPr>
          <w:sz w:val="26"/>
          <w:szCs w:val="26"/>
        </w:rPr>
        <w:t xml:space="preserve">correctly </w:t>
      </w:r>
      <w:r w:rsidR="00614AD2" w:rsidRPr="00E37897">
        <w:rPr>
          <w:sz w:val="26"/>
          <w:szCs w:val="26"/>
        </w:rPr>
        <w:t>determined</w:t>
      </w:r>
      <w:r w:rsidR="008F321C" w:rsidRPr="00E37897">
        <w:rPr>
          <w:sz w:val="26"/>
          <w:szCs w:val="26"/>
        </w:rPr>
        <w:t>, based on the evidence in this proceeding,</w:t>
      </w:r>
      <w:r w:rsidR="0067116E" w:rsidRPr="00E37897">
        <w:rPr>
          <w:sz w:val="26"/>
          <w:szCs w:val="26"/>
        </w:rPr>
        <w:t xml:space="preserve"> that </w:t>
      </w:r>
      <w:r w:rsidR="00FB14D7">
        <w:rPr>
          <w:sz w:val="26"/>
          <w:szCs w:val="26"/>
        </w:rPr>
        <w:t xml:space="preserve">the </w:t>
      </w:r>
      <w:r w:rsidR="0067116E" w:rsidRPr="00E37897">
        <w:rPr>
          <w:sz w:val="26"/>
          <w:szCs w:val="26"/>
        </w:rPr>
        <w:t>ESC did not satisfy its burden of proof</w:t>
      </w:r>
      <w:r w:rsidR="00A44D06" w:rsidRPr="00E37897">
        <w:rPr>
          <w:sz w:val="26"/>
          <w:szCs w:val="26"/>
        </w:rPr>
        <w:t xml:space="preserve"> and, particularly, did not show that </w:t>
      </w:r>
      <w:r w:rsidR="008F321C" w:rsidRPr="00E37897">
        <w:rPr>
          <w:sz w:val="26"/>
          <w:szCs w:val="26"/>
        </w:rPr>
        <w:t>NITS costs in PECO’s service territory are so vol</w:t>
      </w:r>
      <w:r w:rsidR="003F5372" w:rsidRPr="00E37897">
        <w:rPr>
          <w:sz w:val="26"/>
          <w:szCs w:val="26"/>
        </w:rPr>
        <w:t>atile that they cannot be predicted.  R.D. at 106</w:t>
      </w:r>
      <w:r w:rsidR="00A64D55" w:rsidRPr="00E37897">
        <w:rPr>
          <w:sz w:val="26"/>
          <w:szCs w:val="26"/>
        </w:rPr>
        <w:t xml:space="preserve">, 107, and 108.  </w:t>
      </w:r>
    </w:p>
    <w:p w14:paraId="6BFA44F0" w14:textId="77777777" w:rsidR="00902005" w:rsidRPr="00E37897" w:rsidRDefault="00902005" w:rsidP="005F3BE2">
      <w:pPr>
        <w:widowControl/>
        <w:spacing w:line="360" w:lineRule="auto"/>
        <w:ind w:firstLine="1440"/>
        <w:contextualSpacing/>
        <w:rPr>
          <w:sz w:val="26"/>
          <w:szCs w:val="26"/>
        </w:rPr>
      </w:pPr>
    </w:p>
    <w:p w14:paraId="5FCFA8AF" w14:textId="2E98947F" w:rsidR="00C47C57" w:rsidRPr="00E37897" w:rsidRDefault="00E55E3A" w:rsidP="005F3BE2">
      <w:pPr>
        <w:widowControl/>
        <w:spacing w:line="360" w:lineRule="auto"/>
        <w:ind w:firstLine="1440"/>
        <w:contextualSpacing/>
        <w:rPr>
          <w:sz w:val="26"/>
          <w:szCs w:val="26"/>
        </w:rPr>
      </w:pPr>
      <w:r w:rsidRPr="00E37897">
        <w:rPr>
          <w:sz w:val="26"/>
          <w:szCs w:val="26"/>
        </w:rPr>
        <w:t xml:space="preserve">Additionally, the ALJ </w:t>
      </w:r>
      <w:r w:rsidR="00566F0E" w:rsidRPr="00E37897">
        <w:rPr>
          <w:sz w:val="26"/>
          <w:szCs w:val="26"/>
        </w:rPr>
        <w:t>properly reference</w:t>
      </w:r>
      <w:r w:rsidR="004F0639" w:rsidRPr="00E37897">
        <w:rPr>
          <w:sz w:val="26"/>
          <w:szCs w:val="26"/>
        </w:rPr>
        <w:t>d</w:t>
      </w:r>
      <w:r w:rsidR="00566F0E" w:rsidRPr="00E37897">
        <w:rPr>
          <w:sz w:val="26"/>
          <w:szCs w:val="26"/>
        </w:rPr>
        <w:t xml:space="preserve"> our prior decisions</w:t>
      </w:r>
      <w:r w:rsidR="000F6709" w:rsidRPr="00E37897">
        <w:rPr>
          <w:sz w:val="26"/>
          <w:szCs w:val="26"/>
        </w:rPr>
        <w:t xml:space="preserve"> in default service proceedings</w:t>
      </w:r>
      <w:r w:rsidR="00C33CD1" w:rsidRPr="00E37897">
        <w:rPr>
          <w:sz w:val="26"/>
          <w:szCs w:val="26"/>
        </w:rPr>
        <w:t>, including PECO’s,</w:t>
      </w:r>
      <w:r w:rsidR="00566F0E" w:rsidRPr="00E37897">
        <w:rPr>
          <w:sz w:val="26"/>
          <w:szCs w:val="26"/>
        </w:rPr>
        <w:t xml:space="preserve"> and employ</w:t>
      </w:r>
      <w:r w:rsidR="004F0639" w:rsidRPr="00E37897">
        <w:rPr>
          <w:sz w:val="26"/>
          <w:szCs w:val="26"/>
        </w:rPr>
        <w:t>ed</w:t>
      </w:r>
      <w:r w:rsidR="00566F0E" w:rsidRPr="00E37897">
        <w:rPr>
          <w:sz w:val="26"/>
          <w:szCs w:val="26"/>
        </w:rPr>
        <w:t xml:space="preserve"> </w:t>
      </w:r>
      <w:r w:rsidR="00E626DF" w:rsidRPr="00E37897">
        <w:rPr>
          <w:sz w:val="26"/>
          <w:szCs w:val="26"/>
        </w:rPr>
        <w:t>reasoning consistent with</w:t>
      </w:r>
      <w:r w:rsidR="008C0C1C" w:rsidRPr="00E37897">
        <w:rPr>
          <w:sz w:val="26"/>
          <w:szCs w:val="26"/>
        </w:rPr>
        <w:t xml:space="preserve"> </w:t>
      </w:r>
      <w:r w:rsidR="007053C6" w:rsidRPr="00E37897">
        <w:rPr>
          <w:sz w:val="26"/>
          <w:szCs w:val="26"/>
        </w:rPr>
        <w:t>those</w:t>
      </w:r>
      <w:r w:rsidR="00E626DF" w:rsidRPr="00E37897">
        <w:rPr>
          <w:sz w:val="26"/>
          <w:szCs w:val="26"/>
        </w:rPr>
        <w:t xml:space="preserve"> decisions</w:t>
      </w:r>
      <w:r w:rsidR="001A6CCB" w:rsidRPr="00E37897">
        <w:rPr>
          <w:sz w:val="26"/>
          <w:szCs w:val="26"/>
        </w:rPr>
        <w:t xml:space="preserve">, in which we found that </w:t>
      </w:r>
      <w:r w:rsidR="00EE1ED3" w:rsidRPr="00E37897">
        <w:rPr>
          <w:sz w:val="26"/>
          <w:szCs w:val="26"/>
        </w:rPr>
        <w:t xml:space="preserve">an </w:t>
      </w:r>
      <w:r w:rsidR="0008517A" w:rsidRPr="00E37897">
        <w:rPr>
          <w:sz w:val="26"/>
          <w:szCs w:val="26"/>
        </w:rPr>
        <w:t xml:space="preserve">EGS </w:t>
      </w:r>
      <w:r w:rsidR="00E15289" w:rsidRPr="00E37897">
        <w:rPr>
          <w:sz w:val="26"/>
          <w:szCs w:val="26"/>
        </w:rPr>
        <w:t xml:space="preserve">or other party </w:t>
      </w:r>
      <w:r w:rsidR="0008517A" w:rsidRPr="00E37897">
        <w:rPr>
          <w:sz w:val="26"/>
          <w:szCs w:val="26"/>
        </w:rPr>
        <w:t xml:space="preserve">did not meet </w:t>
      </w:r>
      <w:r w:rsidR="00EE1ED3" w:rsidRPr="00E37897">
        <w:rPr>
          <w:sz w:val="26"/>
          <w:szCs w:val="26"/>
        </w:rPr>
        <w:t>its</w:t>
      </w:r>
      <w:r w:rsidR="0008517A" w:rsidRPr="00E37897">
        <w:rPr>
          <w:sz w:val="26"/>
          <w:szCs w:val="26"/>
        </w:rPr>
        <w:t xml:space="preserve"> burden of </w:t>
      </w:r>
      <w:r w:rsidR="00B66C42" w:rsidRPr="00E37897">
        <w:rPr>
          <w:sz w:val="26"/>
          <w:szCs w:val="26"/>
        </w:rPr>
        <w:t xml:space="preserve">proving that </w:t>
      </w:r>
      <w:r w:rsidR="000B0C59" w:rsidRPr="00E37897">
        <w:rPr>
          <w:sz w:val="26"/>
          <w:szCs w:val="26"/>
        </w:rPr>
        <w:t>the</w:t>
      </w:r>
      <w:r w:rsidR="00F67DB3" w:rsidRPr="00E37897">
        <w:rPr>
          <w:sz w:val="26"/>
          <w:szCs w:val="26"/>
        </w:rPr>
        <w:t xml:space="preserve"> EDC</w:t>
      </w:r>
      <w:r w:rsidR="000B0C59" w:rsidRPr="00E37897">
        <w:rPr>
          <w:sz w:val="26"/>
          <w:szCs w:val="26"/>
        </w:rPr>
        <w:t xml:space="preserve"> </w:t>
      </w:r>
      <w:r w:rsidR="008D328F" w:rsidRPr="00E37897">
        <w:rPr>
          <w:sz w:val="26"/>
          <w:szCs w:val="26"/>
        </w:rPr>
        <w:t xml:space="preserve">should assume responsibility </w:t>
      </w:r>
      <w:r w:rsidR="00F45485" w:rsidRPr="00E37897">
        <w:rPr>
          <w:sz w:val="26"/>
          <w:szCs w:val="26"/>
        </w:rPr>
        <w:t>for NITS</w:t>
      </w:r>
      <w:r w:rsidR="00F67DB3" w:rsidRPr="00E37897">
        <w:rPr>
          <w:sz w:val="26"/>
          <w:szCs w:val="26"/>
        </w:rPr>
        <w:t xml:space="preserve"> charges</w:t>
      </w:r>
      <w:r w:rsidR="009C5554" w:rsidRPr="00E37897">
        <w:rPr>
          <w:sz w:val="26"/>
          <w:szCs w:val="26"/>
        </w:rPr>
        <w:t>.</w:t>
      </w:r>
      <w:r w:rsidR="00EE1ED3" w:rsidRPr="00E37897">
        <w:rPr>
          <w:sz w:val="26"/>
          <w:szCs w:val="26"/>
        </w:rPr>
        <w:t xml:space="preserve">  </w:t>
      </w:r>
      <w:r w:rsidR="001D4299" w:rsidRPr="00E37897">
        <w:rPr>
          <w:i/>
          <w:iCs/>
          <w:sz w:val="26"/>
          <w:szCs w:val="26"/>
        </w:rPr>
        <w:t xml:space="preserve">Joint Petition of Metropolitan Edison Company, Pennsylvania Electric Company, Pennsylvania Power Company and West Penn Power Company for Approval of their Default Service Programs </w:t>
      </w:r>
      <w:r w:rsidR="001D4299" w:rsidRPr="00E37897">
        <w:rPr>
          <w:sz w:val="26"/>
          <w:szCs w:val="26"/>
        </w:rPr>
        <w:t>(</w:t>
      </w:r>
      <w:r w:rsidR="0099385C" w:rsidRPr="00E37897">
        <w:rPr>
          <w:i/>
          <w:iCs/>
          <w:sz w:val="26"/>
          <w:szCs w:val="26"/>
        </w:rPr>
        <w:t>FE DSP II</w:t>
      </w:r>
      <w:r w:rsidR="001D4299" w:rsidRPr="00E37897">
        <w:rPr>
          <w:i/>
          <w:iCs/>
          <w:sz w:val="26"/>
          <w:szCs w:val="26"/>
        </w:rPr>
        <w:t>)</w:t>
      </w:r>
      <w:r w:rsidR="001C4BB0" w:rsidRPr="00E37897">
        <w:rPr>
          <w:sz w:val="26"/>
          <w:szCs w:val="26"/>
        </w:rPr>
        <w:t>, Docket No. P-2011-</w:t>
      </w:r>
      <w:r w:rsidR="00F35669" w:rsidRPr="00E37897">
        <w:rPr>
          <w:sz w:val="26"/>
          <w:szCs w:val="26"/>
        </w:rPr>
        <w:t>2273650 (Order on Reconsideration entered</w:t>
      </w:r>
      <w:r w:rsidR="00017F8B" w:rsidRPr="00E37897">
        <w:rPr>
          <w:sz w:val="26"/>
          <w:szCs w:val="26"/>
        </w:rPr>
        <w:t xml:space="preserve"> October 11, 2012</w:t>
      </w:r>
      <w:r w:rsidR="002675E6" w:rsidRPr="00E37897">
        <w:rPr>
          <w:sz w:val="26"/>
          <w:szCs w:val="26"/>
        </w:rPr>
        <w:t>), at 10</w:t>
      </w:r>
      <w:r w:rsidR="00017F8B" w:rsidRPr="00E37897">
        <w:rPr>
          <w:sz w:val="26"/>
          <w:szCs w:val="26"/>
        </w:rPr>
        <w:t xml:space="preserve"> (“Consistent with the Commonwealth’s </w:t>
      </w:r>
      <w:r w:rsidR="00D96A14" w:rsidRPr="00E37897">
        <w:rPr>
          <w:sz w:val="26"/>
          <w:szCs w:val="26"/>
        </w:rPr>
        <w:t>continued migration to a more competitive retail market, we believe that these supply</w:t>
      </w:r>
      <w:r w:rsidR="00B514C7" w:rsidRPr="00E37897">
        <w:rPr>
          <w:sz w:val="26"/>
          <w:szCs w:val="26"/>
        </w:rPr>
        <w:t>-related costs should remain with the EGSs</w:t>
      </w:r>
      <w:r w:rsidR="00AA6179" w:rsidRPr="00E37897">
        <w:rPr>
          <w:sz w:val="26"/>
          <w:szCs w:val="26"/>
        </w:rPr>
        <w:t xml:space="preserve">; </w:t>
      </w:r>
      <w:r w:rsidR="00556A12" w:rsidRPr="00E37897">
        <w:rPr>
          <w:i/>
          <w:sz w:val="26"/>
          <w:szCs w:val="26"/>
        </w:rPr>
        <w:t xml:space="preserve">FE DSP III </w:t>
      </w:r>
      <w:r w:rsidR="0079449F" w:rsidRPr="00E37897">
        <w:rPr>
          <w:iCs/>
          <w:sz w:val="26"/>
          <w:szCs w:val="26"/>
        </w:rPr>
        <w:t xml:space="preserve">at </w:t>
      </w:r>
      <w:r w:rsidR="00FC2E99" w:rsidRPr="00E37897">
        <w:rPr>
          <w:iCs/>
          <w:sz w:val="26"/>
          <w:szCs w:val="26"/>
        </w:rPr>
        <w:t xml:space="preserve">31-32 </w:t>
      </w:r>
      <w:r w:rsidR="00DF7E8B" w:rsidRPr="00E37897">
        <w:rPr>
          <w:sz w:val="26"/>
          <w:szCs w:val="26"/>
        </w:rPr>
        <w:t>(</w:t>
      </w:r>
      <w:r w:rsidR="00E723DD" w:rsidRPr="00E37897">
        <w:rPr>
          <w:sz w:val="26"/>
          <w:szCs w:val="26"/>
        </w:rPr>
        <w:t xml:space="preserve">rejecting the </w:t>
      </w:r>
      <w:r w:rsidR="00114E31" w:rsidRPr="00E37897">
        <w:rPr>
          <w:sz w:val="26"/>
          <w:szCs w:val="26"/>
        </w:rPr>
        <w:t xml:space="preserve">EGS’ arguments regarding volatility of NITS costs and finding </w:t>
      </w:r>
      <w:r w:rsidR="005F73B1" w:rsidRPr="00E37897">
        <w:rPr>
          <w:sz w:val="26"/>
          <w:szCs w:val="26"/>
        </w:rPr>
        <w:t xml:space="preserve">the evidence the EGS presented was </w:t>
      </w:r>
      <w:r w:rsidR="007B5F22" w:rsidRPr="00E37897">
        <w:rPr>
          <w:sz w:val="26"/>
          <w:szCs w:val="26"/>
        </w:rPr>
        <w:t>insufficient to meet its burden of pro</w:t>
      </w:r>
      <w:r w:rsidR="00293AFF" w:rsidRPr="00E37897">
        <w:rPr>
          <w:sz w:val="26"/>
          <w:szCs w:val="26"/>
        </w:rPr>
        <w:t>ving</w:t>
      </w:r>
      <w:r w:rsidR="007B5F22" w:rsidRPr="00E37897">
        <w:rPr>
          <w:sz w:val="26"/>
          <w:szCs w:val="26"/>
        </w:rPr>
        <w:t xml:space="preserve"> the Commission should alt</w:t>
      </w:r>
      <w:r w:rsidR="002B333A" w:rsidRPr="00E37897">
        <w:rPr>
          <w:sz w:val="26"/>
          <w:szCs w:val="26"/>
        </w:rPr>
        <w:t>e</w:t>
      </w:r>
      <w:r w:rsidR="007B5F22" w:rsidRPr="00E37897">
        <w:rPr>
          <w:sz w:val="26"/>
          <w:szCs w:val="26"/>
        </w:rPr>
        <w:t xml:space="preserve">r our decision </w:t>
      </w:r>
      <w:r w:rsidR="0005068A" w:rsidRPr="00E37897">
        <w:rPr>
          <w:sz w:val="26"/>
          <w:szCs w:val="26"/>
        </w:rPr>
        <w:t xml:space="preserve">in </w:t>
      </w:r>
      <w:r w:rsidR="0005068A" w:rsidRPr="00E37897">
        <w:rPr>
          <w:i/>
          <w:iCs/>
          <w:sz w:val="26"/>
          <w:szCs w:val="26"/>
        </w:rPr>
        <w:t>FE DSP II</w:t>
      </w:r>
      <w:r w:rsidR="0005068A" w:rsidRPr="00E37897">
        <w:rPr>
          <w:sz w:val="26"/>
          <w:szCs w:val="26"/>
        </w:rPr>
        <w:t xml:space="preserve"> that NITS</w:t>
      </w:r>
      <w:r w:rsidR="002B333A" w:rsidRPr="00E37897">
        <w:rPr>
          <w:sz w:val="26"/>
          <w:szCs w:val="26"/>
        </w:rPr>
        <w:t xml:space="preserve"> </w:t>
      </w:r>
      <w:r w:rsidR="0005068A" w:rsidRPr="00E37897">
        <w:rPr>
          <w:sz w:val="26"/>
          <w:szCs w:val="26"/>
        </w:rPr>
        <w:t>costs</w:t>
      </w:r>
      <w:r w:rsidR="003F37A3" w:rsidRPr="00E37897">
        <w:rPr>
          <w:sz w:val="26"/>
          <w:szCs w:val="26"/>
        </w:rPr>
        <w:t xml:space="preserve"> should not be collected through the utilities’ D</w:t>
      </w:r>
      <w:r w:rsidR="00DC7B04" w:rsidRPr="00E37897">
        <w:rPr>
          <w:sz w:val="26"/>
          <w:szCs w:val="26"/>
        </w:rPr>
        <w:t xml:space="preserve">efault </w:t>
      </w:r>
      <w:r w:rsidR="003F37A3" w:rsidRPr="00E37897">
        <w:rPr>
          <w:sz w:val="26"/>
          <w:szCs w:val="26"/>
        </w:rPr>
        <w:t>S</w:t>
      </w:r>
      <w:r w:rsidR="005B0A24" w:rsidRPr="00E37897">
        <w:rPr>
          <w:sz w:val="26"/>
          <w:szCs w:val="26"/>
        </w:rPr>
        <w:t xml:space="preserve">ervice </w:t>
      </w:r>
      <w:r w:rsidR="003F37A3" w:rsidRPr="00E37897">
        <w:rPr>
          <w:sz w:val="26"/>
          <w:szCs w:val="26"/>
        </w:rPr>
        <w:t>S</w:t>
      </w:r>
      <w:r w:rsidR="005B0A24" w:rsidRPr="00E37897">
        <w:rPr>
          <w:sz w:val="26"/>
          <w:szCs w:val="26"/>
        </w:rPr>
        <w:t xml:space="preserve">upply </w:t>
      </w:r>
      <w:r w:rsidR="003F37A3" w:rsidRPr="00E37897">
        <w:rPr>
          <w:sz w:val="26"/>
          <w:szCs w:val="26"/>
        </w:rPr>
        <w:t>R</w:t>
      </w:r>
      <w:r w:rsidR="005B0A24" w:rsidRPr="00E37897">
        <w:rPr>
          <w:sz w:val="26"/>
          <w:szCs w:val="26"/>
        </w:rPr>
        <w:t>ider</w:t>
      </w:r>
      <w:r w:rsidR="00F05486" w:rsidRPr="00E37897">
        <w:rPr>
          <w:sz w:val="26"/>
          <w:szCs w:val="26"/>
        </w:rPr>
        <w:t xml:space="preserve"> </w:t>
      </w:r>
      <w:r w:rsidR="00F05486" w:rsidRPr="00E37897">
        <w:rPr>
          <w:sz w:val="26"/>
          <w:szCs w:val="26"/>
        </w:rPr>
        <w:lastRenderedPageBreak/>
        <w:t>mechanism)</w:t>
      </w:r>
      <w:r w:rsidR="00D10CB5">
        <w:rPr>
          <w:sz w:val="26"/>
          <w:szCs w:val="26"/>
        </w:rPr>
        <w:t>)</w:t>
      </w:r>
      <w:r w:rsidR="00881EBF" w:rsidRPr="00E37897">
        <w:rPr>
          <w:sz w:val="26"/>
          <w:szCs w:val="26"/>
        </w:rPr>
        <w:t>;</w:t>
      </w:r>
      <w:r w:rsidR="00C22BDF" w:rsidRPr="00E37897">
        <w:rPr>
          <w:sz w:val="26"/>
          <w:szCs w:val="26"/>
        </w:rPr>
        <w:t xml:space="preserve"> </w:t>
      </w:r>
      <w:r w:rsidR="00C22BDF" w:rsidRPr="00E37897">
        <w:rPr>
          <w:i/>
          <w:iCs/>
          <w:sz w:val="26"/>
          <w:szCs w:val="26"/>
        </w:rPr>
        <w:t>PECO DSP III Order</w:t>
      </w:r>
      <w:r w:rsidR="00C22BDF" w:rsidRPr="00E37897">
        <w:rPr>
          <w:sz w:val="26"/>
          <w:szCs w:val="26"/>
        </w:rPr>
        <w:t xml:space="preserve"> at 53-54 (</w:t>
      </w:r>
      <w:r w:rsidR="00933636" w:rsidRPr="00E37897">
        <w:rPr>
          <w:sz w:val="26"/>
          <w:szCs w:val="26"/>
        </w:rPr>
        <w:t>NITS related costs should not be collected within the Company’s non-bypassable rider mechanism</w:t>
      </w:r>
      <w:r w:rsidR="003D52F6" w:rsidRPr="00E37897">
        <w:rPr>
          <w:sz w:val="26"/>
          <w:szCs w:val="26"/>
        </w:rPr>
        <w:t xml:space="preserve"> because</w:t>
      </w:r>
      <w:r w:rsidR="00F05486" w:rsidRPr="00E37897">
        <w:rPr>
          <w:sz w:val="26"/>
          <w:szCs w:val="26"/>
        </w:rPr>
        <w:t xml:space="preserve"> </w:t>
      </w:r>
      <w:r w:rsidR="008A185E" w:rsidRPr="00E37897">
        <w:rPr>
          <w:sz w:val="26"/>
          <w:szCs w:val="26"/>
        </w:rPr>
        <w:t xml:space="preserve">the </w:t>
      </w:r>
      <w:r w:rsidR="00230D76" w:rsidRPr="00E37897">
        <w:rPr>
          <w:sz w:val="26"/>
          <w:szCs w:val="26"/>
        </w:rPr>
        <w:t>R</w:t>
      </w:r>
      <w:r w:rsidR="008A185E" w:rsidRPr="00E37897">
        <w:rPr>
          <w:sz w:val="26"/>
          <w:szCs w:val="26"/>
        </w:rPr>
        <w:t xml:space="preserve">etail </w:t>
      </w:r>
      <w:r w:rsidR="00230D76" w:rsidRPr="00E37897">
        <w:rPr>
          <w:sz w:val="26"/>
          <w:szCs w:val="26"/>
        </w:rPr>
        <w:t>E</w:t>
      </w:r>
      <w:r w:rsidR="008A185E" w:rsidRPr="00E37897">
        <w:rPr>
          <w:sz w:val="26"/>
          <w:szCs w:val="26"/>
        </w:rPr>
        <w:t xml:space="preserve">nergy </w:t>
      </w:r>
      <w:r w:rsidR="00230D76" w:rsidRPr="00E37897">
        <w:rPr>
          <w:sz w:val="26"/>
          <w:szCs w:val="26"/>
        </w:rPr>
        <w:t>S</w:t>
      </w:r>
      <w:r w:rsidR="008A185E" w:rsidRPr="00E37897">
        <w:rPr>
          <w:sz w:val="26"/>
          <w:szCs w:val="26"/>
        </w:rPr>
        <w:t xml:space="preserve">upply </w:t>
      </w:r>
      <w:r w:rsidR="00230D76" w:rsidRPr="00E37897">
        <w:rPr>
          <w:sz w:val="26"/>
          <w:szCs w:val="26"/>
        </w:rPr>
        <w:t>A</w:t>
      </w:r>
      <w:r w:rsidR="008A185E" w:rsidRPr="00E37897">
        <w:rPr>
          <w:sz w:val="26"/>
          <w:szCs w:val="26"/>
        </w:rPr>
        <w:t>ssociation</w:t>
      </w:r>
      <w:r w:rsidR="00230D76" w:rsidRPr="00E37897">
        <w:rPr>
          <w:sz w:val="26"/>
          <w:szCs w:val="26"/>
        </w:rPr>
        <w:t xml:space="preserve"> failed to pre</w:t>
      </w:r>
      <w:r w:rsidR="000D1892" w:rsidRPr="00E37897">
        <w:rPr>
          <w:sz w:val="26"/>
          <w:szCs w:val="26"/>
        </w:rPr>
        <w:t>sent</w:t>
      </w:r>
      <w:r w:rsidR="00230D76" w:rsidRPr="00E37897">
        <w:rPr>
          <w:sz w:val="26"/>
          <w:szCs w:val="26"/>
        </w:rPr>
        <w:t xml:space="preserve"> sufficient evidence that PECO’s NITS costs </w:t>
      </w:r>
      <w:r w:rsidR="006346BF" w:rsidRPr="00E37897">
        <w:rPr>
          <w:sz w:val="26"/>
          <w:szCs w:val="26"/>
        </w:rPr>
        <w:t>were</w:t>
      </w:r>
      <w:r w:rsidR="00230D76" w:rsidRPr="00E37897">
        <w:rPr>
          <w:sz w:val="26"/>
          <w:szCs w:val="26"/>
        </w:rPr>
        <w:t xml:space="preserve"> unpredictable and difficult for the EGSs to hedge</w:t>
      </w:r>
      <w:r w:rsidR="008A185E" w:rsidRPr="00E37897">
        <w:rPr>
          <w:sz w:val="26"/>
          <w:szCs w:val="26"/>
        </w:rPr>
        <w:t>)</w:t>
      </w:r>
      <w:r w:rsidR="00230D76" w:rsidRPr="00E37897">
        <w:rPr>
          <w:sz w:val="26"/>
          <w:szCs w:val="26"/>
        </w:rPr>
        <w:t xml:space="preserve">. </w:t>
      </w:r>
      <w:r w:rsidR="006346BF" w:rsidRPr="00E37897">
        <w:rPr>
          <w:sz w:val="26"/>
          <w:szCs w:val="26"/>
        </w:rPr>
        <w:t xml:space="preserve"> </w:t>
      </w:r>
      <w:r w:rsidR="00F05486" w:rsidRPr="00E37897">
        <w:rPr>
          <w:sz w:val="26"/>
          <w:szCs w:val="26"/>
        </w:rPr>
        <w:t xml:space="preserve"> </w:t>
      </w:r>
    </w:p>
    <w:p w14:paraId="29CB59CC" w14:textId="77777777" w:rsidR="00C47C57" w:rsidRPr="00E37897" w:rsidRDefault="00C47C57" w:rsidP="005F3BE2">
      <w:pPr>
        <w:widowControl/>
        <w:spacing w:line="360" w:lineRule="auto"/>
        <w:ind w:firstLine="1440"/>
        <w:contextualSpacing/>
        <w:rPr>
          <w:sz w:val="26"/>
          <w:szCs w:val="26"/>
        </w:rPr>
      </w:pPr>
    </w:p>
    <w:p w14:paraId="101ED90B" w14:textId="2F44AE6C" w:rsidR="00F96933" w:rsidRPr="00E37897" w:rsidRDefault="008E45F3" w:rsidP="005F3BE2">
      <w:pPr>
        <w:widowControl/>
        <w:spacing w:line="360" w:lineRule="auto"/>
        <w:ind w:firstLine="1440"/>
        <w:contextualSpacing/>
        <w:rPr>
          <w:bCs/>
          <w:sz w:val="26"/>
          <w:szCs w:val="26"/>
        </w:rPr>
      </w:pPr>
      <w:r w:rsidRPr="00E37897">
        <w:rPr>
          <w:bCs/>
          <w:sz w:val="26"/>
          <w:szCs w:val="26"/>
        </w:rPr>
        <w:t xml:space="preserve">Our prior </w:t>
      </w:r>
      <w:r w:rsidR="006E59E3" w:rsidRPr="00E37897">
        <w:rPr>
          <w:bCs/>
          <w:sz w:val="26"/>
          <w:szCs w:val="26"/>
        </w:rPr>
        <w:t>DSP decisions</w:t>
      </w:r>
      <w:r w:rsidR="0060490A">
        <w:rPr>
          <w:bCs/>
          <w:sz w:val="26"/>
          <w:szCs w:val="26"/>
        </w:rPr>
        <w:t>,</w:t>
      </w:r>
      <w:r w:rsidR="006E59E3" w:rsidRPr="00E37897">
        <w:rPr>
          <w:bCs/>
          <w:sz w:val="26"/>
          <w:szCs w:val="26"/>
        </w:rPr>
        <w:t xml:space="preserve"> however, do not reach any conclusions that </w:t>
      </w:r>
      <w:r w:rsidR="004203D4" w:rsidRPr="00E37897">
        <w:rPr>
          <w:bCs/>
          <w:sz w:val="26"/>
          <w:szCs w:val="26"/>
        </w:rPr>
        <w:t xml:space="preserve">a NITS proposal like that of </w:t>
      </w:r>
      <w:r w:rsidR="00FB14D7">
        <w:rPr>
          <w:bCs/>
          <w:sz w:val="26"/>
          <w:szCs w:val="26"/>
        </w:rPr>
        <w:t xml:space="preserve">the </w:t>
      </w:r>
      <w:r w:rsidR="004203D4" w:rsidRPr="00E37897">
        <w:rPr>
          <w:bCs/>
          <w:sz w:val="26"/>
          <w:szCs w:val="26"/>
        </w:rPr>
        <w:t>ESC</w:t>
      </w:r>
      <w:r w:rsidR="00703B21" w:rsidRPr="00E37897">
        <w:rPr>
          <w:bCs/>
          <w:sz w:val="26"/>
          <w:szCs w:val="26"/>
        </w:rPr>
        <w:t>’s</w:t>
      </w:r>
      <w:r w:rsidR="004203D4" w:rsidRPr="00E37897">
        <w:rPr>
          <w:bCs/>
          <w:sz w:val="26"/>
          <w:szCs w:val="26"/>
        </w:rPr>
        <w:t xml:space="preserve"> in this case</w:t>
      </w:r>
      <w:r w:rsidR="00B760A5" w:rsidRPr="00E37897">
        <w:rPr>
          <w:bCs/>
          <w:sz w:val="26"/>
          <w:szCs w:val="26"/>
        </w:rPr>
        <w:t xml:space="preserve"> would </w:t>
      </w:r>
      <w:r w:rsidR="00821E54" w:rsidRPr="00E37897">
        <w:rPr>
          <w:bCs/>
          <w:sz w:val="26"/>
          <w:szCs w:val="26"/>
        </w:rPr>
        <w:t xml:space="preserve">be contrary to </w:t>
      </w:r>
      <w:r w:rsidR="00B760A5" w:rsidRPr="00E37897">
        <w:rPr>
          <w:bCs/>
          <w:sz w:val="26"/>
          <w:szCs w:val="26"/>
        </w:rPr>
        <w:t xml:space="preserve">the Competition Act or </w:t>
      </w:r>
      <w:r w:rsidR="00A20D7A" w:rsidRPr="00E37897">
        <w:rPr>
          <w:bCs/>
          <w:sz w:val="26"/>
          <w:szCs w:val="26"/>
        </w:rPr>
        <w:t xml:space="preserve">the </w:t>
      </w:r>
      <w:r w:rsidR="00B760A5" w:rsidRPr="00E37897">
        <w:rPr>
          <w:bCs/>
          <w:sz w:val="26"/>
          <w:szCs w:val="26"/>
        </w:rPr>
        <w:t>Commission</w:t>
      </w:r>
      <w:r w:rsidR="00A20D7A" w:rsidRPr="00E37897">
        <w:rPr>
          <w:bCs/>
          <w:sz w:val="26"/>
          <w:szCs w:val="26"/>
        </w:rPr>
        <w:t>’s</w:t>
      </w:r>
      <w:r w:rsidR="00B760A5" w:rsidRPr="00E37897">
        <w:rPr>
          <w:bCs/>
          <w:sz w:val="26"/>
          <w:szCs w:val="26"/>
        </w:rPr>
        <w:t xml:space="preserve"> Regulations.</w:t>
      </w:r>
      <w:r w:rsidRPr="00E37897">
        <w:rPr>
          <w:bCs/>
          <w:sz w:val="26"/>
          <w:szCs w:val="26"/>
        </w:rPr>
        <w:t xml:space="preserve"> </w:t>
      </w:r>
      <w:r w:rsidR="00B760A5" w:rsidRPr="00E37897">
        <w:rPr>
          <w:bCs/>
          <w:sz w:val="26"/>
          <w:szCs w:val="26"/>
        </w:rPr>
        <w:t xml:space="preserve"> </w:t>
      </w:r>
      <w:r w:rsidR="0005648F" w:rsidRPr="00E37897">
        <w:rPr>
          <w:bCs/>
          <w:sz w:val="26"/>
          <w:szCs w:val="26"/>
        </w:rPr>
        <w:t xml:space="preserve">In </w:t>
      </w:r>
      <w:r w:rsidR="00C47C57" w:rsidRPr="00E37897">
        <w:rPr>
          <w:bCs/>
          <w:i/>
          <w:iCs/>
          <w:sz w:val="26"/>
          <w:szCs w:val="26"/>
        </w:rPr>
        <w:t>FE DSP III</w:t>
      </w:r>
      <w:r w:rsidR="00C47C57" w:rsidRPr="00E37897">
        <w:rPr>
          <w:bCs/>
          <w:sz w:val="26"/>
          <w:szCs w:val="26"/>
        </w:rPr>
        <w:t xml:space="preserve">, </w:t>
      </w:r>
      <w:r w:rsidR="00DC0210" w:rsidRPr="00E37897">
        <w:rPr>
          <w:bCs/>
          <w:sz w:val="26"/>
          <w:szCs w:val="26"/>
        </w:rPr>
        <w:t>we</w:t>
      </w:r>
      <w:r w:rsidR="00C47C57" w:rsidRPr="00E37897">
        <w:rPr>
          <w:bCs/>
          <w:sz w:val="26"/>
          <w:szCs w:val="26"/>
        </w:rPr>
        <w:t xml:space="preserve"> specifically addressed whether </w:t>
      </w:r>
      <w:r w:rsidR="00852F3F" w:rsidRPr="00E37897">
        <w:rPr>
          <w:bCs/>
          <w:sz w:val="26"/>
          <w:szCs w:val="26"/>
        </w:rPr>
        <w:t xml:space="preserve">shifting </w:t>
      </w:r>
      <w:r w:rsidR="00C47C57" w:rsidRPr="00E37897">
        <w:rPr>
          <w:bCs/>
          <w:sz w:val="26"/>
          <w:szCs w:val="26"/>
        </w:rPr>
        <w:t xml:space="preserve">the </w:t>
      </w:r>
      <w:r w:rsidR="00852F3F" w:rsidRPr="00E37897">
        <w:rPr>
          <w:bCs/>
          <w:sz w:val="26"/>
          <w:szCs w:val="26"/>
        </w:rPr>
        <w:t>collection</w:t>
      </w:r>
      <w:r w:rsidR="0012483C" w:rsidRPr="00E37897">
        <w:rPr>
          <w:bCs/>
          <w:sz w:val="26"/>
          <w:szCs w:val="26"/>
        </w:rPr>
        <w:t xml:space="preserve"> of </w:t>
      </w:r>
      <w:r w:rsidR="00C47C57" w:rsidRPr="00E37897">
        <w:rPr>
          <w:bCs/>
          <w:sz w:val="26"/>
          <w:szCs w:val="26"/>
        </w:rPr>
        <w:t xml:space="preserve">NITS </w:t>
      </w:r>
      <w:r w:rsidR="0012483C" w:rsidRPr="00E37897">
        <w:rPr>
          <w:bCs/>
          <w:sz w:val="26"/>
          <w:szCs w:val="26"/>
        </w:rPr>
        <w:t xml:space="preserve">from EGSs to EDCs </w:t>
      </w:r>
      <w:r w:rsidR="000E499F" w:rsidRPr="00E37897">
        <w:rPr>
          <w:bCs/>
          <w:sz w:val="26"/>
          <w:szCs w:val="26"/>
        </w:rPr>
        <w:t>w</w:t>
      </w:r>
      <w:r w:rsidR="006059EF" w:rsidRPr="00E37897">
        <w:rPr>
          <w:bCs/>
          <w:sz w:val="26"/>
          <w:szCs w:val="26"/>
        </w:rPr>
        <w:t xml:space="preserve">ould violate </w:t>
      </w:r>
      <w:r w:rsidR="00DE64BD" w:rsidRPr="00E37897">
        <w:rPr>
          <w:bCs/>
          <w:sz w:val="26"/>
          <w:szCs w:val="26"/>
        </w:rPr>
        <w:t xml:space="preserve">the Competition Act, the Code, </w:t>
      </w:r>
      <w:r w:rsidR="00DC0210" w:rsidRPr="00E37897">
        <w:rPr>
          <w:bCs/>
          <w:sz w:val="26"/>
          <w:szCs w:val="26"/>
        </w:rPr>
        <w:t>or</w:t>
      </w:r>
      <w:r w:rsidR="00DE64BD" w:rsidRPr="00E37897">
        <w:rPr>
          <w:bCs/>
          <w:sz w:val="26"/>
          <w:szCs w:val="26"/>
        </w:rPr>
        <w:t xml:space="preserve"> the Commission’s Regulations.</w:t>
      </w:r>
      <w:r w:rsidR="00C703A9" w:rsidRPr="00E37897">
        <w:rPr>
          <w:bCs/>
          <w:sz w:val="26"/>
          <w:szCs w:val="26"/>
        </w:rPr>
        <w:t xml:space="preserve">  </w:t>
      </w:r>
      <w:r w:rsidR="00254998" w:rsidRPr="00E37897">
        <w:rPr>
          <w:bCs/>
          <w:sz w:val="26"/>
          <w:szCs w:val="26"/>
        </w:rPr>
        <w:t xml:space="preserve">In that case, we explained that </w:t>
      </w:r>
      <w:r w:rsidR="00A5516B" w:rsidRPr="00E37897">
        <w:rPr>
          <w:bCs/>
          <w:sz w:val="26"/>
          <w:szCs w:val="26"/>
        </w:rPr>
        <w:t xml:space="preserve">although we found the </w:t>
      </w:r>
      <w:r w:rsidR="00E44CB7" w:rsidRPr="00E37897">
        <w:rPr>
          <w:bCs/>
          <w:sz w:val="26"/>
          <w:szCs w:val="26"/>
        </w:rPr>
        <w:t xml:space="preserve">EGS did not meet its burden of proof regarding its NITS </w:t>
      </w:r>
      <w:r w:rsidR="00274E25" w:rsidRPr="00E37897">
        <w:rPr>
          <w:bCs/>
          <w:sz w:val="26"/>
          <w:szCs w:val="26"/>
        </w:rPr>
        <w:t xml:space="preserve">proposal, such a proposal would not violate the Competition Act, the Code, </w:t>
      </w:r>
      <w:r w:rsidR="00BF34D9" w:rsidRPr="00E37897">
        <w:rPr>
          <w:bCs/>
          <w:sz w:val="26"/>
          <w:szCs w:val="26"/>
        </w:rPr>
        <w:t>or our Regulations.</w:t>
      </w:r>
      <w:r w:rsidR="0025405B" w:rsidRPr="00E37897">
        <w:rPr>
          <w:bCs/>
          <w:sz w:val="26"/>
          <w:szCs w:val="26"/>
        </w:rPr>
        <w:t xml:space="preserve">  We stated</w:t>
      </w:r>
      <w:r w:rsidR="00C941E8" w:rsidRPr="00E37897">
        <w:rPr>
          <w:bCs/>
          <w:sz w:val="26"/>
          <w:szCs w:val="26"/>
        </w:rPr>
        <w:t xml:space="preserve"> that “</w:t>
      </w:r>
      <w:r w:rsidR="0052242A" w:rsidRPr="00E37897">
        <w:rPr>
          <w:bCs/>
          <w:sz w:val="26"/>
          <w:szCs w:val="26"/>
        </w:rPr>
        <w:t>neither the Competition Act nor the Code preclude the implementation of the NITS proposal</w:t>
      </w:r>
      <w:r w:rsidR="006E30D9" w:rsidRPr="00E37897">
        <w:rPr>
          <w:bCs/>
          <w:sz w:val="26"/>
          <w:szCs w:val="26"/>
        </w:rPr>
        <w:t xml:space="preserve">, if we had determined that changed circumstances caused us to reconsider our prior decisions on this issue.”  </w:t>
      </w:r>
      <w:r w:rsidR="00DB752A" w:rsidRPr="00E37897">
        <w:rPr>
          <w:bCs/>
          <w:i/>
          <w:iCs/>
          <w:sz w:val="26"/>
          <w:szCs w:val="26"/>
        </w:rPr>
        <w:t>FE DSP III</w:t>
      </w:r>
      <w:r w:rsidR="00DB752A" w:rsidRPr="00E37897">
        <w:rPr>
          <w:bCs/>
          <w:sz w:val="26"/>
          <w:szCs w:val="26"/>
        </w:rPr>
        <w:t xml:space="preserve"> a</w:t>
      </w:r>
      <w:r w:rsidR="006E30D9" w:rsidRPr="00E37897">
        <w:rPr>
          <w:bCs/>
          <w:sz w:val="26"/>
          <w:szCs w:val="26"/>
        </w:rPr>
        <w:t>t 38</w:t>
      </w:r>
      <w:r w:rsidR="00DB752A" w:rsidRPr="00E37897">
        <w:rPr>
          <w:bCs/>
          <w:sz w:val="26"/>
          <w:szCs w:val="26"/>
        </w:rPr>
        <w:t>.</w:t>
      </w:r>
      <w:r w:rsidR="0052242A" w:rsidRPr="00E37897">
        <w:rPr>
          <w:bCs/>
          <w:sz w:val="26"/>
          <w:szCs w:val="26"/>
        </w:rPr>
        <w:t xml:space="preserve"> </w:t>
      </w:r>
      <w:r w:rsidR="00FE32CF" w:rsidRPr="00E37897">
        <w:rPr>
          <w:bCs/>
          <w:sz w:val="26"/>
          <w:szCs w:val="26"/>
        </w:rPr>
        <w:t xml:space="preserve"> </w:t>
      </w:r>
    </w:p>
    <w:p w14:paraId="66A521DE" w14:textId="77777777" w:rsidR="00F96933" w:rsidRPr="00E37897" w:rsidRDefault="00F96933" w:rsidP="005F3BE2">
      <w:pPr>
        <w:widowControl/>
        <w:spacing w:line="360" w:lineRule="auto"/>
        <w:ind w:firstLine="1440"/>
        <w:contextualSpacing/>
        <w:rPr>
          <w:bCs/>
          <w:sz w:val="26"/>
          <w:szCs w:val="26"/>
        </w:rPr>
      </w:pPr>
    </w:p>
    <w:p w14:paraId="05C8CE14" w14:textId="76A87121" w:rsidR="005B347B" w:rsidRPr="00E37897" w:rsidRDefault="00FE32CF" w:rsidP="001953F3">
      <w:pPr>
        <w:widowControl/>
        <w:spacing w:line="360" w:lineRule="auto"/>
        <w:ind w:firstLine="1440"/>
        <w:contextualSpacing/>
        <w:rPr>
          <w:bCs/>
          <w:sz w:val="26"/>
          <w:szCs w:val="26"/>
        </w:rPr>
      </w:pPr>
      <w:r w:rsidRPr="00E37897">
        <w:rPr>
          <w:bCs/>
          <w:sz w:val="26"/>
          <w:szCs w:val="26"/>
        </w:rPr>
        <w:t>We find no reason in this proceeding to reach</w:t>
      </w:r>
      <w:r w:rsidR="003B1EFE" w:rsidRPr="00E37897">
        <w:rPr>
          <w:bCs/>
          <w:sz w:val="26"/>
          <w:szCs w:val="26"/>
        </w:rPr>
        <w:t xml:space="preserve"> a different conclusion.  Therefore, to the extent that the ALJ’s language in the </w:t>
      </w:r>
      <w:r w:rsidR="001F2CB9" w:rsidRPr="00E37897">
        <w:rPr>
          <w:bCs/>
          <w:sz w:val="26"/>
          <w:szCs w:val="26"/>
        </w:rPr>
        <w:t xml:space="preserve">Recommended Decision which </w:t>
      </w:r>
      <w:r w:rsidR="00FB14D7">
        <w:rPr>
          <w:bCs/>
          <w:sz w:val="26"/>
          <w:szCs w:val="26"/>
        </w:rPr>
        <w:t xml:space="preserve">the </w:t>
      </w:r>
      <w:r w:rsidR="001F2CB9" w:rsidRPr="00E37897">
        <w:rPr>
          <w:bCs/>
          <w:sz w:val="26"/>
          <w:szCs w:val="26"/>
        </w:rPr>
        <w:t>ESC finds objectiona</w:t>
      </w:r>
      <w:r w:rsidR="00112DAA" w:rsidRPr="00E37897">
        <w:rPr>
          <w:bCs/>
          <w:sz w:val="26"/>
          <w:szCs w:val="26"/>
        </w:rPr>
        <w:t>b</w:t>
      </w:r>
      <w:r w:rsidR="001F2CB9" w:rsidRPr="00E37897">
        <w:rPr>
          <w:bCs/>
          <w:sz w:val="26"/>
          <w:szCs w:val="26"/>
        </w:rPr>
        <w:t>l</w:t>
      </w:r>
      <w:r w:rsidR="00112DAA" w:rsidRPr="00E37897">
        <w:rPr>
          <w:bCs/>
          <w:sz w:val="26"/>
          <w:szCs w:val="26"/>
        </w:rPr>
        <w:t xml:space="preserve">e </w:t>
      </w:r>
      <w:r w:rsidR="001F2CB9" w:rsidRPr="00E37897">
        <w:rPr>
          <w:bCs/>
          <w:sz w:val="26"/>
          <w:szCs w:val="26"/>
        </w:rPr>
        <w:t>can be read as a legal conclusion</w:t>
      </w:r>
      <w:r w:rsidR="00112DAA" w:rsidRPr="00E37897">
        <w:rPr>
          <w:bCs/>
          <w:sz w:val="26"/>
          <w:szCs w:val="26"/>
        </w:rPr>
        <w:t xml:space="preserve"> that </w:t>
      </w:r>
      <w:r w:rsidR="00FB14D7">
        <w:rPr>
          <w:bCs/>
          <w:sz w:val="26"/>
          <w:szCs w:val="26"/>
        </w:rPr>
        <w:t xml:space="preserve">the </w:t>
      </w:r>
      <w:r w:rsidR="00DA675B" w:rsidRPr="00E37897">
        <w:rPr>
          <w:bCs/>
          <w:sz w:val="26"/>
          <w:szCs w:val="26"/>
        </w:rPr>
        <w:t xml:space="preserve">ESC’s </w:t>
      </w:r>
      <w:r w:rsidR="00112DAA" w:rsidRPr="00E37897">
        <w:rPr>
          <w:bCs/>
          <w:sz w:val="26"/>
          <w:szCs w:val="26"/>
        </w:rPr>
        <w:t xml:space="preserve">NITS </w:t>
      </w:r>
      <w:r w:rsidR="00DA675B" w:rsidRPr="00E37897">
        <w:rPr>
          <w:bCs/>
          <w:sz w:val="26"/>
          <w:szCs w:val="26"/>
        </w:rPr>
        <w:t>proposal</w:t>
      </w:r>
      <w:r w:rsidR="00EC3252" w:rsidRPr="00E37897">
        <w:rPr>
          <w:bCs/>
          <w:sz w:val="26"/>
          <w:szCs w:val="26"/>
        </w:rPr>
        <w:t>, if implemented,</w:t>
      </w:r>
      <w:r w:rsidR="00112DAA" w:rsidRPr="00E37897">
        <w:rPr>
          <w:bCs/>
          <w:sz w:val="26"/>
          <w:szCs w:val="26"/>
        </w:rPr>
        <w:t xml:space="preserve"> </w:t>
      </w:r>
      <w:r w:rsidR="00D74F25">
        <w:rPr>
          <w:bCs/>
          <w:sz w:val="26"/>
          <w:szCs w:val="26"/>
        </w:rPr>
        <w:t xml:space="preserve">would </w:t>
      </w:r>
      <w:r w:rsidR="007F0B53" w:rsidRPr="00E37897">
        <w:rPr>
          <w:bCs/>
          <w:sz w:val="26"/>
          <w:szCs w:val="26"/>
        </w:rPr>
        <w:t>be inconsistent with</w:t>
      </w:r>
      <w:r w:rsidR="005938A1" w:rsidRPr="00E37897">
        <w:rPr>
          <w:bCs/>
          <w:sz w:val="26"/>
          <w:szCs w:val="26"/>
        </w:rPr>
        <w:t xml:space="preserve"> the Competition Act or our Regulations</w:t>
      </w:r>
      <w:r w:rsidR="00EC3252" w:rsidRPr="00E37897">
        <w:rPr>
          <w:bCs/>
          <w:sz w:val="26"/>
          <w:szCs w:val="26"/>
        </w:rPr>
        <w:t xml:space="preserve">, we </w:t>
      </w:r>
      <w:r w:rsidR="00EC3252" w:rsidRPr="00E37897">
        <w:rPr>
          <w:bCs/>
          <w:sz w:val="26"/>
          <w:szCs w:val="26"/>
        </w:rPr>
        <w:lastRenderedPageBreak/>
        <w:t xml:space="preserve">will not adopt </w:t>
      </w:r>
      <w:r w:rsidR="00F96933" w:rsidRPr="00E37897">
        <w:rPr>
          <w:bCs/>
          <w:sz w:val="26"/>
          <w:szCs w:val="26"/>
        </w:rPr>
        <w:t xml:space="preserve">herein </w:t>
      </w:r>
      <w:r w:rsidR="005E4985" w:rsidRPr="00E37897">
        <w:rPr>
          <w:bCs/>
          <w:sz w:val="26"/>
          <w:szCs w:val="26"/>
        </w:rPr>
        <w:t>t</w:t>
      </w:r>
      <w:r w:rsidR="00EC3252" w:rsidRPr="00E37897">
        <w:rPr>
          <w:bCs/>
          <w:sz w:val="26"/>
          <w:szCs w:val="26"/>
        </w:rPr>
        <w:t>he ALJ’s language</w:t>
      </w:r>
      <w:r w:rsidR="00C51D6A" w:rsidRPr="00E37897">
        <w:rPr>
          <w:bCs/>
          <w:sz w:val="26"/>
          <w:szCs w:val="26"/>
        </w:rPr>
        <w:t xml:space="preserve"> discussing this issue.</w:t>
      </w:r>
      <w:r w:rsidR="00C51D6A" w:rsidRPr="00E37897">
        <w:rPr>
          <w:rStyle w:val="FootnoteReference"/>
          <w:bCs/>
          <w:sz w:val="26"/>
          <w:szCs w:val="26"/>
        </w:rPr>
        <w:footnoteReference w:id="9"/>
      </w:r>
      <w:r w:rsidR="00C51D6A" w:rsidRPr="00E37897">
        <w:rPr>
          <w:bCs/>
          <w:sz w:val="26"/>
          <w:szCs w:val="26"/>
        </w:rPr>
        <w:t xml:space="preserve"> </w:t>
      </w:r>
      <w:r w:rsidR="00BF34D9" w:rsidRPr="00E37897">
        <w:rPr>
          <w:bCs/>
          <w:sz w:val="26"/>
          <w:szCs w:val="26"/>
        </w:rPr>
        <w:t xml:space="preserve"> </w:t>
      </w:r>
      <w:r w:rsidR="00DD6CB4" w:rsidRPr="00E37897">
        <w:rPr>
          <w:bCs/>
          <w:sz w:val="26"/>
          <w:szCs w:val="26"/>
        </w:rPr>
        <w:t xml:space="preserve">We will adopt the remainder of the Recommended Decision addressing this matter because, as we previously </w:t>
      </w:r>
      <w:r w:rsidR="00F96933" w:rsidRPr="00E37897">
        <w:rPr>
          <w:bCs/>
          <w:sz w:val="26"/>
          <w:szCs w:val="26"/>
        </w:rPr>
        <w:t>concluded</w:t>
      </w:r>
      <w:r w:rsidR="00E06EFF" w:rsidRPr="00E37897">
        <w:rPr>
          <w:bCs/>
          <w:sz w:val="26"/>
          <w:szCs w:val="26"/>
        </w:rPr>
        <w:t xml:space="preserve">, the ALJ’s decision on </w:t>
      </w:r>
      <w:r w:rsidR="00FB14D7">
        <w:rPr>
          <w:bCs/>
          <w:sz w:val="26"/>
          <w:szCs w:val="26"/>
        </w:rPr>
        <w:t xml:space="preserve">the </w:t>
      </w:r>
      <w:r w:rsidR="00E06EFF" w:rsidRPr="00E37897">
        <w:rPr>
          <w:bCs/>
          <w:sz w:val="26"/>
          <w:szCs w:val="26"/>
        </w:rPr>
        <w:t>ESC’s NITS proposal is sound</w:t>
      </w:r>
      <w:r w:rsidR="00F96933" w:rsidRPr="00E37897">
        <w:rPr>
          <w:bCs/>
          <w:sz w:val="26"/>
          <w:szCs w:val="26"/>
        </w:rPr>
        <w:t>,</w:t>
      </w:r>
      <w:r w:rsidR="00E06EFF" w:rsidRPr="00E37897">
        <w:rPr>
          <w:bCs/>
          <w:sz w:val="26"/>
          <w:szCs w:val="26"/>
        </w:rPr>
        <w:t xml:space="preserve"> supported by the record</w:t>
      </w:r>
      <w:r w:rsidR="00F96933" w:rsidRPr="00E37897">
        <w:rPr>
          <w:bCs/>
          <w:sz w:val="26"/>
          <w:szCs w:val="26"/>
        </w:rPr>
        <w:t>, and consistent with our prior decisions</w:t>
      </w:r>
      <w:r w:rsidR="00E06EFF" w:rsidRPr="00E37897">
        <w:rPr>
          <w:bCs/>
          <w:sz w:val="26"/>
          <w:szCs w:val="26"/>
        </w:rPr>
        <w:t>.</w:t>
      </w:r>
      <w:r w:rsidR="00231D98" w:rsidRPr="00E37897">
        <w:rPr>
          <w:bCs/>
          <w:sz w:val="26"/>
          <w:szCs w:val="26"/>
        </w:rPr>
        <w:t xml:space="preserve">  </w:t>
      </w:r>
      <w:r w:rsidR="009C1FF8" w:rsidRPr="00E37897">
        <w:rPr>
          <w:bCs/>
          <w:sz w:val="26"/>
          <w:szCs w:val="26"/>
        </w:rPr>
        <w:t xml:space="preserve">Accordingly, we are granting </w:t>
      </w:r>
      <w:r w:rsidR="00FB14D7">
        <w:rPr>
          <w:bCs/>
          <w:sz w:val="26"/>
          <w:szCs w:val="26"/>
        </w:rPr>
        <w:t xml:space="preserve">the </w:t>
      </w:r>
      <w:r w:rsidR="009C1FF8" w:rsidRPr="00E37897">
        <w:rPr>
          <w:bCs/>
          <w:sz w:val="26"/>
          <w:szCs w:val="26"/>
        </w:rPr>
        <w:t>ESC’s first Exception to th</w:t>
      </w:r>
      <w:r w:rsidR="005F779F" w:rsidRPr="00E37897">
        <w:rPr>
          <w:bCs/>
          <w:sz w:val="26"/>
          <w:szCs w:val="26"/>
        </w:rPr>
        <w:t>e</w:t>
      </w:r>
      <w:r w:rsidR="009C1FF8" w:rsidRPr="00E37897">
        <w:rPr>
          <w:bCs/>
          <w:sz w:val="26"/>
          <w:szCs w:val="26"/>
        </w:rPr>
        <w:t xml:space="preserve"> extent that we are not adopting</w:t>
      </w:r>
      <w:r w:rsidR="00F52241" w:rsidRPr="00E37897">
        <w:rPr>
          <w:bCs/>
          <w:sz w:val="26"/>
          <w:szCs w:val="26"/>
        </w:rPr>
        <w:t xml:space="preserve"> the ALJ’s discussion </w:t>
      </w:r>
      <w:r w:rsidR="006B790B" w:rsidRPr="00E37897">
        <w:rPr>
          <w:bCs/>
          <w:sz w:val="26"/>
          <w:szCs w:val="26"/>
        </w:rPr>
        <w:t>concerning the Competition Act</w:t>
      </w:r>
      <w:r w:rsidR="00124930" w:rsidRPr="00E37897">
        <w:rPr>
          <w:bCs/>
          <w:sz w:val="26"/>
          <w:szCs w:val="26"/>
        </w:rPr>
        <w:t xml:space="preserve"> and the Commission’s Regulations.</w:t>
      </w:r>
      <w:r w:rsidR="00F52241" w:rsidRPr="00E37897">
        <w:rPr>
          <w:bCs/>
          <w:sz w:val="26"/>
          <w:szCs w:val="26"/>
        </w:rPr>
        <w:t xml:space="preserve"> </w:t>
      </w:r>
      <w:r w:rsidR="00E06EFF" w:rsidRPr="00E37897">
        <w:rPr>
          <w:bCs/>
          <w:sz w:val="26"/>
          <w:szCs w:val="26"/>
        </w:rPr>
        <w:t xml:space="preserve">  </w:t>
      </w:r>
    </w:p>
    <w:p w14:paraId="7E0C3F32" w14:textId="42B19FDA" w:rsidR="007D70DE" w:rsidRPr="00E37897" w:rsidRDefault="007D70DE" w:rsidP="005F3BE2">
      <w:pPr>
        <w:widowControl/>
        <w:spacing w:line="360" w:lineRule="auto"/>
        <w:contextualSpacing/>
        <w:rPr>
          <w:bCs/>
          <w:sz w:val="26"/>
          <w:szCs w:val="26"/>
        </w:rPr>
      </w:pPr>
    </w:p>
    <w:p w14:paraId="7CF16108" w14:textId="3143917A" w:rsidR="007D70DE" w:rsidRPr="00E37897" w:rsidRDefault="00044D25" w:rsidP="005F3BE2">
      <w:pPr>
        <w:pStyle w:val="Heading2"/>
        <w:keepNext/>
        <w:spacing w:after="0"/>
        <w:ind w:left="720" w:hanging="720"/>
        <w:contextualSpacing/>
        <w:jc w:val="left"/>
        <w:rPr>
          <w:caps w:val="0"/>
          <w:sz w:val="26"/>
          <w:szCs w:val="26"/>
        </w:rPr>
      </w:pPr>
      <w:bookmarkStart w:id="27" w:name="_Toc56512771"/>
      <w:r w:rsidRPr="00E37897">
        <w:rPr>
          <w:caps w:val="0"/>
          <w:sz w:val="26"/>
          <w:szCs w:val="26"/>
        </w:rPr>
        <w:t>E.</w:t>
      </w:r>
      <w:r w:rsidRPr="00E37897">
        <w:rPr>
          <w:caps w:val="0"/>
          <w:sz w:val="26"/>
          <w:szCs w:val="26"/>
        </w:rPr>
        <w:tab/>
        <w:t>ESC Exception No. 2, Replies, and Disposition</w:t>
      </w:r>
      <w:bookmarkEnd w:id="27"/>
    </w:p>
    <w:p w14:paraId="0830B0E4" w14:textId="77777777" w:rsidR="008638D3" w:rsidRPr="00E37897" w:rsidRDefault="008638D3" w:rsidP="005F3BE2">
      <w:pPr>
        <w:keepNext/>
        <w:keepLines/>
        <w:widowControl/>
        <w:spacing w:line="360" w:lineRule="auto"/>
        <w:contextualSpacing/>
        <w:rPr>
          <w:bCs/>
          <w:sz w:val="26"/>
          <w:szCs w:val="26"/>
        </w:rPr>
      </w:pPr>
    </w:p>
    <w:p w14:paraId="66D118D2" w14:textId="437BF69C" w:rsidR="009404AC" w:rsidRPr="00E37897" w:rsidRDefault="009404AC" w:rsidP="005F3BE2">
      <w:pPr>
        <w:pStyle w:val="Heading3"/>
        <w:keepNext/>
        <w:keepLines/>
        <w:numPr>
          <w:ilvl w:val="0"/>
          <w:numId w:val="39"/>
        </w:numPr>
        <w:spacing w:after="0"/>
        <w:ind w:left="1440" w:hanging="720"/>
        <w:contextualSpacing/>
        <w:jc w:val="left"/>
        <w:rPr>
          <w:rFonts w:eastAsiaTheme="majorEastAsia"/>
          <w:sz w:val="26"/>
        </w:rPr>
      </w:pPr>
      <w:bookmarkStart w:id="28" w:name="_Toc56512772"/>
      <w:r w:rsidRPr="00E37897">
        <w:rPr>
          <w:rFonts w:eastAsiaTheme="majorEastAsia"/>
          <w:sz w:val="26"/>
        </w:rPr>
        <w:t>ESC’s Exception</w:t>
      </w:r>
      <w:r w:rsidR="006760ED" w:rsidRPr="00E37897">
        <w:rPr>
          <w:rFonts w:eastAsiaTheme="majorEastAsia"/>
          <w:sz w:val="26"/>
        </w:rPr>
        <w:t xml:space="preserve"> No. 2</w:t>
      </w:r>
      <w:bookmarkEnd w:id="28"/>
    </w:p>
    <w:p w14:paraId="7EB22EEA" w14:textId="77777777" w:rsidR="009404AC" w:rsidRPr="00E37897" w:rsidRDefault="009404AC" w:rsidP="005F3BE2">
      <w:pPr>
        <w:keepNext/>
        <w:keepLines/>
        <w:widowControl/>
        <w:spacing w:line="360" w:lineRule="auto"/>
        <w:contextualSpacing/>
        <w:rPr>
          <w:rFonts w:eastAsiaTheme="minorHAnsi"/>
          <w:sz w:val="26"/>
          <w:szCs w:val="26"/>
        </w:rPr>
      </w:pPr>
    </w:p>
    <w:p w14:paraId="14BEC62A" w14:textId="370903E9"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In its second Exception, </w:t>
      </w:r>
      <w:r w:rsidR="00FB14D7">
        <w:rPr>
          <w:rFonts w:eastAsiaTheme="minorHAnsi"/>
          <w:sz w:val="26"/>
          <w:szCs w:val="26"/>
        </w:rPr>
        <w:t xml:space="preserve">the </w:t>
      </w:r>
      <w:r w:rsidRPr="00E37897">
        <w:rPr>
          <w:rFonts w:eastAsiaTheme="minorHAnsi"/>
          <w:sz w:val="26"/>
          <w:szCs w:val="26"/>
        </w:rPr>
        <w:t xml:space="preserve">ESC remains of the opinion that permitting PECO to continue its current method for recovering NITS costs will perpetuate an unlevel playing field and create an unfair competitive advantage for default service.  </w:t>
      </w:r>
      <w:r w:rsidR="00FB14D7">
        <w:rPr>
          <w:rFonts w:eastAsiaTheme="minorHAnsi"/>
          <w:sz w:val="26"/>
          <w:szCs w:val="26"/>
        </w:rPr>
        <w:t xml:space="preserve">The </w:t>
      </w:r>
      <w:r w:rsidRPr="00E37897">
        <w:rPr>
          <w:rFonts w:eastAsiaTheme="minorHAnsi"/>
          <w:sz w:val="26"/>
          <w:szCs w:val="26"/>
        </w:rPr>
        <w:t xml:space="preserve">ESC submits that the ALJ erred in reaching her conclusion that EGSs can manage NITS risk without any need to alter PECO’s current cost recovery method.  </w:t>
      </w:r>
      <w:r w:rsidR="00FB14D7">
        <w:rPr>
          <w:rFonts w:eastAsiaTheme="minorHAnsi"/>
          <w:sz w:val="26"/>
          <w:szCs w:val="26"/>
        </w:rPr>
        <w:t xml:space="preserve">The </w:t>
      </w:r>
      <w:r w:rsidRPr="00E37897">
        <w:rPr>
          <w:rFonts w:eastAsiaTheme="minorHAnsi"/>
          <w:sz w:val="26"/>
          <w:szCs w:val="26"/>
        </w:rPr>
        <w:t>ESC clarifies that its position is not that EGSs cannot manage risk, but</w:t>
      </w:r>
      <w:r w:rsidR="00D058D5" w:rsidRPr="00E37897">
        <w:rPr>
          <w:rFonts w:eastAsiaTheme="minorHAnsi"/>
          <w:sz w:val="26"/>
          <w:szCs w:val="26"/>
        </w:rPr>
        <w:t>,</w:t>
      </w:r>
      <w:r w:rsidRPr="00E37897">
        <w:rPr>
          <w:rFonts w:eastAsiaTheme="minorHAnsi"/>
          <w:sz w:val="26"/>
          <w:szCs w:val="26"/>
        </w:rPr>
        <w:t xml:space="preserve"> rather</w:t>
      </w:r>
      <w:r w:rsidR="00D058D5" w:rsidRPr="00E37897">
        <w:rPr>
          <w:rFonts w:eastAsiaTheme="minorHAnsi"/>
          <w:sz w:val="26"/>
          <w:szCs w:val="26"/>
        </w:rPr>
        <w:t>,</w:t>
      </w:r>
      <w:r w:rsidRPr="00E37897">
        <w:rPr>
          <w:rFonts w:eastAsiaTheme="minorHAnsi"/>
          <w:sz w:val="26"/>
          <w:szCs w:val="26"/>
        </w:rPr>
        <w:t xml:space="preserve"> that maintaining the status quo creates an unlevel playing field.  Namely, </w:t>
      </w:r>
      <w:r w:rsidR="00FB14D7">
        <w:rPr>
          <w:rFonts w:eastAsiaTheme="minorHAnsi"/>
          <w:sz w:val="26"/>
          <w:szCs w:val="26"/>
        </w:rPr>
        <w:t xml:space="preserve">the </w:t>
      </w:r>
      <w:r w:rsidRPr="00E37897">
        <w:rPr>
          <w:rFonts w:eastAsiaTheme="minorHAnsi"/>
          <w:sz w:val="26"/>
          <w:szCs w:val="26"/>
        </w:rPr>
        <w:t xml:space="preserve">ESC claims that the ALJ </w:t>
      </w:r>
      <w:r w:rsidRPr="00E37897">
        <w:rPr>
          <w:rFonts w:eastAsiaTheme="minorHAnsi"/>
          <w:sz w:val="26"/>
          <w:szCs w:val="26"/>
        </w:rPr>
        <w:lastRenderedPageBreak/>
        <w:t xml:space="preserve">erroneously overlooked the evidence it provided regarding: </w:t>
      </w:r>
      <w:r w:rsidR="0060490A">
        <w:rPr>
          <w:rFonts w:eastAsiaTheme="minorHAnsi"/>
          <w:sz w:val="26"/>
          <w:szCs w:val="26"/>
        </w:rPr>
        <w:t xml:space="preserve"> </w:t>
      </w:r>
      <w:r w:rsidRPr="00E37897">
        <w:rPr>
          <w:rFonts w:eastAsiaTheme="minorHAnsi"/>
          <w:sz w:val="26"/>
          <w:szCs w:val="26"/>
        </w:rPr>
        <w:t>(1) the underlying inequity in the market caused by PECO’s recovery of NITS costs for default service customers only; (2) the reality of the unlevel playing field and differences that exist based on customer class; and (3) why action needs to be taken to correct the current status quo.  ESC Exc. at</w:t>
      </w:r>
      <w:r w:rsidR="00924404">
        <w:rPr>
          <w:rFonts w:eastAsiaTheme="minorHAnsi"/>
          <w:sz w:val="26"/>
          <w:szCs w:val="26"/>
        </w:rPr>
        <w:t> </w:t>
      </w:r>
      <w:r w:rsidRPr="00E37897">
        <w:rPr>
          <w:rFonts w:eastAsiaTheme="minorHAnsi"/>
          <w:sz w:val="26"/>
          <w:szCs w:val="26"/>
        </w:rPr>
        <w:t xml:space="preserve">8, 10.  </w:t>
      </w:r>
    </w:p>
    <w:p w14:paraId="75C4F62C" w14:textId="77777777" w:rsidR="009404AC" w:rsidRPr="00E37897" w:rsidRDefault="009404AC" w:rsidP="005F3BE2">
      <w:pPr>
        <w:widowControl/>
        <w:spacing w:after="200" w:line="360" w:lineRule="auto"/>
        <w:contextualSpacing/>
        <w:rPr>
          <w:rFonts w:eastAsiaTheme="minorHAnsi"/>
          <w:sz w:val="26"/>
          <w:szCs w:val="26"/>
        </w:rPr>
      </w:pPr>
    </w:p>
    <w:p w14:paraId="2024E9AD" w14:textId="52720AFE" w:rsidR="009404AC" w:rsidRPr="00E37897" w:rsidRDefault="00FB14D7" w:rsidP="005F3BE2">
      <w:pPr>
        <w:widowControl/>
        <w:spacing w:after="200" w:line="360" w:lineRule="auto"/>
        <w:ind w:firstLine="1440"/>
        <w:contextualSpacing/>
        <w:rPr>
          <w:sz w:val="26"/>
          <w:szCs w:val="26"/>
        </w:rPr>
      </w:pPr>
      <w:r>
        <w:rPr>
          <w:rFonts w:eastAsiaTheme="minorHAnsi"/>
          <w:sz w:val="26"/>
          <w:szCs w:val="26"/>
        </w:rPr>
        <w:t xml:space="preserve">The </w:t>
      </w:r>
      <w:r w:rsidR="009404AC" w:rsidRPr="00E37897">
        <w:rPr>
          <w:rFonts w:eastAsiaTheme="minorHAnsi"/>
          <w:sz w:val="26"/>
          <w:szCs w:val="26"/>
        </w:rPr>
        <w:t xml:space="preserve">ESC restates its argument that under PECO’s current NITS allocation, </w:t>
      </w:r>
      <w:r w:rsidR="009404AC" w:rsidRPr="00E37897">
        <w:rPr>
          <w:sz w:val="26"/>
          <w:szCs w:val="26"/>
        </w:rPr>
        <w:t xml:space="preserve">EGSs bear the risk of estimating and pricing likely NITS charges, while PECO’s wholesale default service suppliers, and PECO itself, pass that risk along to default service customers, who have their rates increased after the fact for any increase in NITS charges.  </w:t>
      </w:r>
      <w:r>
        <w:rPr>
          <w:sz w:val="26"/>
          <w:szCs w:val="26"/>
        </w:rPr>
        <w:t xml:space="preserve">The </w:t>
      </w:r>
      <w:r w:rsidR="009404AC" w:rsidRPr="00E37897">
        <w:rPr>
          <w:sz w:val="26"/>
          <w:szCs w:val="26"/>
        </w:rPr>
        <w:t xml:space="preserve">ESC claims that this is unjust because PECO is a transmission owner whose planning and investment decisions ultimately drive NITS rate changes.  </w:t>
      </w:r>
      <w:r>
        <w:rPr>
          <w:sz w:val="26"/>
          <w:szCs w:val="26"/>
        </w:rPr>
        <w:t xml:space="preserve">The </w:t>
      </w:r>
      <w:r w:rsidR="009404AC" w:rsidRPr="00E37897">
        <w:rPr>
          <w:sz w:val="26"/>
          <w:szCs w:val="26"/>
        </w:rPr>
        <w:t xml:space="preserve">ESC stresses its argument that PECO’s NITS rates are a function of FERC’s formula ratemaking methodology, which results in transmission rates that change more frequently, are based on forward-looking revenue requirements that are less forecastable, and which have resulted in volatility in the NITS rate.  According to </w:t>
      </w:r>
      <w:r>
        <w:rPr>
          <w:sz w:val="26"/>
          <w:szCs w:val="26"/>
        </w:rPr>
        <w:t xml:space="preserve">the </w:t>
      </w:r>
      <w:r w:rsidR="009404AC" w:rsidRPr="00E37897">
        <w:rPr>
          <w:sz w:val="26"/>
          <w:szCs w:val="26"/>
        </w:rPr>
        <w:t xml:space="preserve">ESC, when NITS costs change unpredictably, the impact on shopping customers will be very different depending on how their EGS has elected to manage the risk and also based on the customer class.  In contrast, </w:t>
      </w:r>
      <w:r>
        <w:rPr>
          <w:sz w:val="26"/>
          <w:szCs w:val="26"/>
        </w:rPr>
        <w:t xml:space="preserve">the </w:t>
      </w:r>
      <w:r w:rsidR="009404AC" w:rsidRPr="00E37897">
        <w:rPr>
          <w:sz w:val="26"/>
          <w:szCs w:val="26"/>
        </w:rPr>
        <w:t xml:space="preserve">ESC submits that none of these difficulties occur for default service customers because PECO can simply recover the NITS costs via a true-up and reconciliation of the default service price.  ESC Exc. at 8-9, 10.  </w:t>
      </w:r>
    </w:p>
    <w:p w14:paraId="432556B5" w14:textId="77777777" w:rsidR="009404AC" w:rsidRPr="00E37897" w:rsidRDefault="009404AC" w:rsidP="005F3BE2">
      <w:pPr>
        <w:widowControl/>
        <w:spacing w:after="200" w:line="360" w:lineRule="auto"/>
        <w:ind w:firstLine="1440"/>
        <w:contextualSpacing/>
        <w:rPr>
          <w:sz w:val="26"/>
          <w:szCs w:val="26"/>
        </w:rPr>
      </w:pPr>
    </w:p>
    <w:p w14:paraId="0A7C34D3" w14:textId="66F796DE" w:rsidR="009404AC" w:rsidRDefault="00FB14D7" w:rsidP="005F3BE2">
      <w:pPr>
        <w:widowControl/>
        <w:spacing w:after="200" w:line="360" w:lineRule="auto"/>
        <w:ind w:firstLine="1440"/>
        <w:contextualSpacing/>
        <w:rPr>
          <w:sz w:val="26"/>
          <w:szCs w:val="26"/>
        </w:rPr>
      </w:pPr>
      <w:r>
        <w:rPr>
          <w:sz w:val="26"/>
          <w:szCs w:val="26"/>
        </w:rPr>
        <w:t xml:space="preserve">The </w:t>
      </w:r>
      <w:r w:rsidR="009404AC" w:rsidRPr="00E37897">
        <w:rPr>
          <w:sz w:val="26"/>
          <w:szCs w:val="26"/>
        </w:rPr>
        <w:t xml:space="preserve">ESC also finds fault with the ALJ’s finding that since the implementation of the FERC formula rate, PECO’s NITS rates have been stable.  According to </w:t>
      </w:r>
      <w:r>
        <w:rPr>
          <w:sz w:val="26"/>
          <w:szCs w:val="26"/>
        </w:rPr>
        <w:t xml:space="preserve">the </w:t>
      </w:r>
      <w:r w:rsidR="009404AC" w:rsidRPr="00E37897">
        <w:rPr>
          <w:sz w:val="26"/>
          <w:szCs w:val="26"/>
        </w:rPr>
        <w:t xml:space="preserve">ESC, in making this finding, the ALJ clearly misinterpreted the effect of the only evidence in this proceeding related to PECO’s NITS rates.  Namely, </w:t>
      </w:r>
      <w:r>
        <w:rPr>
          <w:sz w:val="26"/>
          <w:szCs w:val="26"/>
        </w:rPr>
        <w:t xml:space="preserve">the </w:t>
      </w:r>
      <w:r w:rsidR="009404AC" w:rsidRPr="00E37897">
        <w:rPr>
          <w:sz w:val="26"/>
          <w:szCs w:val="26"/>
        </w:rPr>
        <w:t xml:space="preserve">ESC contends that the ALJ failed to acknowledge that between June 1, 2019 and June 1, 2020, PECO’s NITS </w:t>
      </w:r>
      <w:r w:rsidR="00B051D4" w:rsidRPr="00E37897">
        <w:rPr>
          <w:sz w:val="26"/>
          <w:szCs w:val="26"/>
        </w:rPr>
        <w:t xml:space="preserve">rates </w:t>
      </w:r>
      <w:r w:rsidR="009404AC" w:rsidRPr="00E37897">
        <w:rPr>
          <w:sz w:val="26"/>
          <w:szCs w:val="26"/>
        </w:rPr>
        <w:t xml:space="preserve">changed by eighteen percent.  </w:t>
      </w:r>
      <w:r>
        <w:rPr>
          <w:sz w:val="26"/>
          <w:szCs w:val="26"/>
        </w:rPr>
        <w:t xml:space="preserve">The </w:t>
      </w:r>
      <w:r w:rsidR="009404AC" w:rsidRPr="00E37897">
        <w:rPr>
          <w:sz w:val="26"/>
          <w:szCs w:val="26"/>
        </w:rPr>
        <w:t xml:space="preserve">ESC argues that although this </w:t>
      </w:r>
      <w:r w:rsidR="009404AC" w:rsidRPr="00E37897">
        <w:rPr>
          <w:sz w:val="26"/>
          <w:szCs w:val="26"/>
        </w:rPr>
        <w:lastRenderedPageBreak/>
        <w:t xml:space="preserve">represented an eighteen percent </w:t>
      </w:r>
      <w:r w:rsidR="009404AC" w:rsidRPr="00E37897">
        <w:rPr>
          <w:i/>
          <w:iCs/>
          <w:sz w:val="26"/>
          <w:szCs w:val="26"/>
        </w:rPr>
        <w:t>decrease</w:t>
      </w:r>
      <w:r w:rsidR="009404AC" w:rsidRPr="00E37897">
        <w:rPr>
          <w:sz w:val="26"/>
          <w:szCs w:val="26"/>
        </w:rPr>
        <w:t>,</w:t>
      </w:r>
      <w:r w:rsidR="009404AC" w:rsidRPr="00E37897">
        <w:rPr>
          <w:i/>
          <w:iCs/>
          <w:sz w:val="26"/>
          <w:szCs w:val="26"/>
        </w:rPr>
        <w:t xml:space="preserve"> </w:t>
      </w:r>
      <w:r w:rsidR="009404AC" w:rsidRPr="00E37897">
        <w:rPr>
          <w:sz w:val="26"/>
          <w:szCs w:val="26"/>
        </w:rPr>
        <w:t>overlooking this change is not a reasonable basis for fact finding on whether the rate is volatile.  ESC Exc</w:t>
      </w:r>
      <w:r w:rsidR="009404AC" w:rsidRPr="00E37897">
        <w:rPr>
          <w:i/>
          <w:iCs/>
          <w:sz w:val="26"/>
          <w:szCs w:val="26"/>
        </w:rPr>
        <w:t xml:space="preserve">. </w:t>
      </w:r>
      <w:r w:rsidR="009404AC" w:rsidRPr="00E37897">
        <w:rPr>
          <w:sz w:val="26"/>
          <w:szCs w:val="26"/>
        </w:rPr>
        <w:t xml:space="preserve">at 9, n.29.  </w:t>
      </w:r>
    </w:p>
    <w:p w14:paraId="43639FC9" w14:textId="77777777" w:rsidR="00FB14D7" w:rsidRPr="00E37897" w:rsidRDefault="00FB14D7" w:rsidP="005F3BE2">
      <w:pPr>
        <w:widowControl/>
        <w:spacing w:after="200" w:line="360" w:lineRule="auto"/>
        <w:ind w:firstLine="1440"/>
        <w:contextualSpacing/>
        <w:rPr>
          <w:sz w:val="26"/>
          <w:szCs w:val="26"/>
        </w:rPr>
      </w:pPr>
    </w:p>
    <w:p w14:paraId="48A21D43" w14:textId="324724E6" w:rsidR="009404AC" w:rsidRPr="00E37897" w:rsidRDefault="00FB14D7" w:rsidP="005F3BE2">
      <w:pPr>
        <w:widowControl/>
        <w:spacing w:after="200" w:line="360" w:lineRule="auto"/>
        <w:ind w:firstLine="1440"/>
        <w:contextualSpacing/>
        <w:rPr>
          <w:sz w:val="26"/>
          <w:szCs w:val="26"/>
        </w:rPr>
      </w:pPr>
      <w:r>
        <w:rPr>
          <w:sz w:val="26"/>
          <w:szCs w:val="26"/>
        </w:rPr>
        <w:t xml:space="preserve">The </w:t>
      </w:r>
      <w:r w:rsidR="009404AC" w:rsidRPr="00E37897">
        <w:rPr>
          <w:sz w:val="26"/>
          <w:szCs w:val="26"/>
        </w:rPr>
        <w:t xml:space="preserve">ESC further objects to the ALJ’s finding that even if such volatility existed, EGSs do not have to take on such risk because they can write automatic pass-through provisions for NITS rate changes into contracts.  </w:t>
      </w:r>
      <w:r>
        <w:rPr>
          <w:sz w:val="26"/>
          <w:szCs w:val="26"/>
        </w:rPr>
        <w:t xml:space="preserve">The </w:t>
      </w:r>
      <w:r w:rsidR="009404AC" w:rsidRPr="00E37897">
        <w:rPr>
          <w:sz w:val="26"/>
          <w:szCs w:val="26"/>
        </w:rPr>
        <w:t xml:space="preserve">ESC contends that given the Commission’s Order on </w:t>
      </w:r>
      <w:r w:rsidR="009404AC" w:rsidRPr="00E37897">
        <w:rPr>
          <w:i/>
          <w:sz w:val="26"/>
          <w:szCs w:val="26"/>
        </w:rPr>
        <w:t xml:space="preserve">Guidelines for Use of Fixed Price Labels for Products With a Pass Through Clause, </w:t>
      </w:r>
      <w:r w:rsidR="009404AC" w:rsidRPr="00E37897">
        <w:rPr>
          <w:iCs/>
          <w:sz w:val="26"/>
          <w:szCs w:val="26"/>
        </w:rPr>
        <w:t>Docket N</w:t>
      </w:r>
      <w:r w:rsidR="00B051D4" w:rsidRPr="00E37897">
        <w:rPr>
          <w:iCs/>
          <w:sz w:val="26"/>
          <w:szCs w:val="26"/>
        </w:rPr>
        <w:t>o</w:t>
      </w:r>
      <w:r w:rsidR="009404AC" w:rsidRPr="00E37897">
        <w:rPr>
          <w:iCs/>
          <w:sz w:val="26"/>
          <w:szCs w:val="26"/>
        </w:rPr>
        <w:t>. M-2013-2362962 (Order entered November 14, 2013) (</w:t>
      </w:r>
      <w:r w:rsidR="009404AC" w:rsidRPr="00E37897">
        <w:rPr>
          <w:i/>
          <w:iCs/>
          <w:sz w:val="26"/>
          <w:szCs w:val="26"/>
        </w:rPr>
        <w:t xml:space="preserve">Fixed </w:t>
      </w:r>
      <w:r w:rsidR="00C12678" w:rsidRPr="00E37897">
        <w:rPr>
          <w:i/>
          <w:iCs/>
          <w:sz w:val="26"/>
          <w:szCs w:val="26"/>
        </w:rPr>
        <w:t>Price</w:t>
      </w:r>
      <w:r w:rsidR="009404AC" w:rsidRPr="00E37897">
        <w:rPr>
          <w:i/>
          <w:iCs/>
          <w:sz w:val="26"/>
          <w:szCs w:val="26"/>
        </w:rPr>
        <w:t xml:space="preserve"> Order</w:t>
      </w:r>
      <w:r w:rsidR="009404AC" w:rsidRPr="00E37897">
        <w:rPr>
          <w:iCs/>
          <w:sz w:val="26"/>
          <w:szCs w:val="26"/>
        </w:rPr>
        <w:t xml:space="preserve">), this is not a feasible approach for residential and small business customers.  ESC Exc. at 9.  </w:t>
      </w:r>
      <w:r>
        <w:rPr>
          <w:iCs/>
          <w:sz w:val="26"/>
          <w:szCs w:val="26"/>
        </w:rPr>
        <w:t xml:space="preserve">The </w:t>
      </w:r>
      <w:r w:rsidR="009404AC" w:rsidRPr="00E37897">
        <w:rPr>
          <w:iCs/>
          <w:sz w:val="26"/>
          <w:szCs w:val="26"/>
        </w:rPr>
        <w:t xml:space="preserve">ESC argues that in the </w:t>
      </w:r>
      <w:r w:rsidR="009404AC" w:rsidRPr="00E37897">
        <w:rPr>
          <w:i/>
          <w:sz w:val="26"/>
          <w:szCs w:val="26"/>
        </w:rPr>
        <w:t xml:space="preserve">Fixed </w:t>
      </w:r>
      <w:r w:rsidR="00C12678" w:rsidRPr="00E37897">
        <w:rPr>
          <w:i/>
          <w:sz w:val="26"/>
          <w:szCs w:val="26"/>
        </w:rPr>
        <w:t>Price</w:t>
      </w:r>
      <w:r w:rsidR="009404AC" w:rsidRPr="00E37897">
        <w:rPr>
          <w:i/>
          <w:sz w:val="26"/>
          <w:szCs w:val="26"/>
        </w:rPr>
        <w:t xml:space="preserve"> Order, </w:t>
      </w:r>
      <w:r w:rsidR="009404AC" w:rsidRPr="00E37897">
        <w:rPr>
          <w:sz w:val="26"/>
          <w:szCs w:val="26"/>
        </w:rPr>
        <w:t xml:space="preserve">the Commission noted that it is “unrealistic to expect the average residential consumer to understand electric markets to this level of granularity, with many of them still struggling with the basic distinctions of generation, transmission and distribution.”  </w:t>
      </w:r>
      <w:r>
        <w:rPr>
          <w:sz w:val="26"/>
          <w:szCs w:val="26"/>
        </w:rPr>
        <w:t xml:space="preserve">The </w:t>
      </w:r>
      <w:r w:rsidR="009404AC" w:rsidRPr="00E37897">
        <w:rPr>
          <w:sz w:val="26"/>
          <w:szCs w:val="26"/>
        </w:rPr>
        <w:t xml:space="preserve">ESC also notes that the Commission concluded that a fixed-price product for residential and small business customers must not change in price during the term of the agreement.  </w:t>
      </w:r>
      <w:r w:rsidR="009404AC" w:rsidRPr="00E37897">
        <w:rPr>
          <w:i/>
          <w:iCs/>
          <w:sz w:val="26"/>
          <w:szCs w:val="26"/>
        </w:rPr>
        <w:t xml:space="preserve">Id. </w:t>
      </w:r>
      <w:r w:rsidR="009404AC" w:rsidRPr="00E37897">
        <w:rPr>
          <w:sz w:val="26"/>
          <w:szCs w:val="26"/>
        </w:rPr>
        <w:t xml:space="preserve">(citing </w:t>
      </w:r>
      <w:r w:rsidR="009404AC" w:rsidRPr="00E37897">
        <w:rPr>
          <w:i/>
          <w:iCs/>
          <w:sz w:val="26"/>
          <w:szCs w:val="26"/>
        </w:rPr>
        <w:t xml:space="preserve">Fixed </w:t>
      </w:r>
      <w:r w:rsidR="00970688" w:rsidRPr="00E37897">
        <w:rPr>
          <w:i/>
          <w:iCs/>
          <w:sz w:val="26"/>
          <w:szCs w:val="26"/>
        </w:rPr>
        <w:t>Price</w:t>
      </w:r>
      <w:r w:rsidR="009404AC" w:rsidRPr="00E37897">
        <w:rPr>
          <w:i/>
          <w:iCs/>
          <w:sz w:val="26"/>
          <w:szCs w:val="26"/>
        </w:rPr>
        <w:t xml:space="preserve"> Order </w:t>
      </w:r>
      <w:r w:rsidR="009404AC" w:rsidRPr="00E37897">
        <w:rPr>
          <w:sz w:val="26"/>
          <w:szCs w:val="26"/>
        </w:rPr>
        <w:t xml:space="preserve">at 20-24, 30).  Therefore, </w:t>
      </w:r>
      <w:r>
        <w:rPr>
          <w:sz w:val="26"/>
          <w:szCs w:val="26"/>
        </w:rPr>
        <w:t xml:space="preserve">the </w:t>
      </w:r>
      <w:r w:rsidR="009404AC" w:rsidRPr="00E37897">
        <w:rPr>
          <w:sz w:val="26"/>
          <w:szCs w:val="26"/>
        </w:rPr>
        <w:t>ESC claims that the ability of some EGSs to pass-through NITSs charges directly to large commercial customers is not an option that exists in the same way for residential and small business customers.  ESC Exc. at 9-10.</w:t>
      </w:r>
    </w:p>
    <w:p w14:paraId="0E497A12" w14:textId="77777777" w:rsidR="009404AC" w:rsidRPr="00E37897" w:rsidRDefault="009404AC" w:rsidP="005F3BE2">
      <w:pPr>
        <w:widowControl/>
        <w:spacing w:after="200" w:line="360" w:lineRule="auto"/>
        <w:ind w:firstLine="1440"/>
        <w:contextualSpacing/>
        <w:rPr>
          <w:sz w:val="26"/>
          <w:szCs w:val="26"/>
        </w:rPr>
      </w:pPr>
    </w:p>
    <w:p w14:paraId="33DCB924" w14:textId="36321E3C" w:rsidR="009404AC" w:rsidRPr="00E37897" w:rsidRDefault="009404AC" w:rsidP="005F3BE2">
      <w:pPr>
        <w:widowControl/>
        <w:spacing w:after="200" w:line="360" w:lineRule="auto"/>
        <w:ind w:firstLine="1440"/>
        <w:contextualSpacing/>
        <w:rPr>
          <w:sz w:val="26"/>
          <w:szCs w:val="26"/>
        </w:rPr>
      </w:pPr>
      <w:r w:rsidRPr="00E37897">
        <w:rPr>
          <w:sz w:val="26"/>
          <w:szCs w:val="26"/>
        </w:rPr>
        <w:t xml:space="preserve">In view of the above, </w:t>
      </w:r>
      <w:r w:rsidR="00FB14D7">
        <w:rPr>
          <w:sz w:val="26"/>
          <w:szCs w:val="26"/>
        </w:rPr>
        <w:t xml:space="preserve">the </w:t>
      </w:r>
      <w:r w:rsidRPr="00E37897">
        <w:rPr>
          <w:sz w:val="26"/>
          <w:szCs w:val="26"/>
        </w:rPr>
        <w:t xml:space="preserve">ESC submits that its proposal should be adopted because it would address the current market disparity.  Namely, </w:t>
      </w:r>
      <w:r w:rsidR="00FB14D7">
        <w:rPr>
          <w:sz w:val="26"/>
          <w:szCs w:val="26"/>
        </w:rPr>
        <w:t xml:space="preserve">the </w:t>
      </w:r>
      <w:r w:rsidRPr="00E37897">
        <w:rPr>
          <w:sz w:val="26"/>
          <w:szCs w:val="26"/>
        </w:rPr>
        <w:t>ESC asserts that its proposal would:</w:t>
      </w:r>
      <w:r w:rsidR="002E4071">
        <w:rPr>
          <w:sz w:val="26"/>
          <w:szCs w:val="26"/>
        </w:rPr>
        <w:t xml:space="preserve"> </w:t>
      </w:r>
      <w:r w:rsidRPr="00E37897">
        <w:rPr>
          <w:sz w:val="26"/>
          <w:szCs w:val="26"/>
        </w:rPr>
        <w:t xml:space="preserve"> (1) align NITS cost recovery with PECO’s current recovery method for other wholesale costs; (2) level the playing field so that PECO and all EGSs have access to the same cost recovery mechanism; and, (3) ensure that all customers are paying only the actual costs of NITS.  Exc. at 2.</w:t>
      </w:r>
    </w:p>
    <w:p w14:paraId="35B76130" w14:textId="77777777" w:rsidR="009404AC" w:rsidRPr="00E37897" w:rsidRDefault="009404AC" w:rsidP="005F3BE2">
      <w:pPr>
        <w:widowControl/>
        <w:spacing w:line="360" w:lineRule="auto"/>
        <w:contextualSpacing/>
        <w:rPr>
          <w:rFonts w:eastAsiaTheme="minorHAnsi"/>
          <w:sz w:val="26"/>
          <w:szCs w:val="26"/>
        </w:rPr>
      </w:pPr>
    </w:p>
    <w:p w14:paraId="57183060" w14:textId="5034D1AD" w:rsidR="009404AC" w:rsidRPr="00E37897" w:rsidRDefault="009404AC" w:rsidP="005F3BE2">
      <w:pPr>
        <w:pStyle w:val="Heading3"/>
        <w:keepNext/>
        <w:keepLines/>
        <w:numPr>
          <w:ilvl w:val="0"/>
          <w:numId w:val="39"/>
        </w:numPr>
        <w:spacing w:after="0"/>
        <w:ind w:left="1440" w:hanging="720"/>
        <w:contextualSpacing/>
        <w:jc w:val="left"/>
        <w:rPr>
          <w:rFonts w:eastAsiaTheme="majorEastAsia"/>
          <w:sz w:val="26"/>
        </w:rPr>
      </w:pPr>
      <w:bookmarkStart w:id="29" w:name="_Toc56512773"/>
      <w:r w:rsidRPr="00E37897">
        <w:rPr>
          <w:rFonts w:eastAsiaTheme="majorEastAsia"/>
          <w:sz w:val="26"/>
        </w:rPr>
        <w:lastRenderedPageBreak/>
        <w:t>Replies</w:t>
      </w:r>
      <w:bookmarkEnd w:id="29"/>
    </w:p>
    <w:p w14:paraId="5604A6B8" w14:textId="26490FC0" w:rsidR="009404AC" w:rsidRPr="00E37897" w:rsidRDefault="009404AC" w:rsidP="005F3BE2">
      <w:pPr>
        <w:keepNext/>
        <w:keepLines/>
        <w:widowControl/>
        <w:spacing w:line="360" w:lineRule="auto"/>
        <w:ind w:left="1080"/>
        <w:contextualSpacing/>
        <w:rPr>
          <w:rFonts w:eastAsiaTheme="minorHAnsi"/>
          <w:sz w:val="26"/>
          <w:szCs w:val="26"/>
        </w:rPr>
      </w:pPr>
    </w:p>
    <w:p w14:paraId="5BEDF37E" w14:textId="4644BA03" w:rsidR="000F4C67" w:rsidRPr="00E37897" w:rsidRDefault="000F4C67" w:rsidP="005F3BE2">
      <w:pPr>
        <w:pStyle w:val="Heading4"/>
        <w:keepNext/>
        <w:keepLines/>
        <w:numPr>
          <w:ilvl w:val="0"/>
          <w:numId w:val="40"/>
        </w:numPr>
        <w:spacing w:after="0" w:line="360" w:lineRule="auto"/>
        <w:ind w:left="2160" w:hanging="720"/>
        <w:contextualSpacing/>
        <w:jc w:val="left"/>
        <w:rPr>
          <w:rFonts w:eastAsiaTheme="minorHAnsi"/>
          <w:sz w:val="26"/>
          <w:szCs w:val="26"/>
        </w:rPr>
      </w:pPr>
      <w:r w:rsidRPr="00E37897">
        <w:rPr>
          <w:rFonts w:eastAsiaTheme="minorHAnsi"/>
          <w:sz w:val="26"/>
          <w:szCs w:val="26"/>
        </w:rPr>
        <w:t>PECO</w:t>
      </w:r>
    </w:p>
    <w:p w14:paraId="1FD0BF56" w14:textId="77777777" w:rsidR="000F4C67" w:rsidRPr="00E37897" w:rsidRDefault="000F4C67" w:rsidP="005F3BE2">
      <w:pPr>
        <w:keepNext/>
        <w:keepLines/>
        <w:widowControl/>
        <w:spacing w:line="360" w:lineRule="auto"/>
        <w:ind w:firstLine="1440"/>
        <w:contextualSpacing/>
        <w:rPr>
          <w:rFonts w:eastAsiaTheme="minorHAnsi"/>
          <w:sz w:val="26"/>
          <w:szCs w:val="26"/>
        </w:rPr>
      </w:pPr>
    </w:p>
    <w:p w14:paraId="0B7CC480" w14:textId="1479236F"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In its Replies to Exceptions, PECO submits that the ALJ properly considered each of </w:t>
      </w:r>
      <w:r w:rsidR="00FB14D7">
        <w:rPr>
          <w:rFonts w:eastAsiaTheme="minorHAnsi"/>
          <w:sz w:val="26"/>
          <w:szCs w:val="26"/>
        </w:rPr>
        <w:t xml:space="preserve">the </w:t>
      </w:r>
      <w:r w:rsidRPr="00E37897">
        <w:rPr>
          <w:rFonts w:eastAsiaTheme="minorHAnsi"/>
          <w:sz w:val="26"/>
          <w:szCs w:val="26"/>
        </w:rPr>
        <w:t xml:space="preserve">ESC’s arguments and explained, in detail, why she was rejecting them.  According to PECO, the ALJ outlined detailed findings that </w:t>
      </w:r>
      <w:r w:rsidR="00FB14D7">
        <w:rPr>
          <w:rFonts w:eastAsiaTheme="minorHAnsi"/>
          <w:sz w:val="26"/>
          <w:szCs w:val="26"/>
        </w:rPr>
        <w:t xml:space="preserve">the </w:t>
      </w:r>
      <w:r w:rsidRPr="00E37897">
        <w:rPr>
          <w:rFonts w:eastAsiaTheme="minorHAnsi"/>
          <w:sz w:val="26"/>
          <w:szCs w:val="26"/>
        </w:rPr>
        <w:t xml:space="preserve">ESC had failed to show that NITS costs are unpredictable even if an EDC recovers transmission costs through a FERC-approved formula rate.  PECO highlights the ALJ’s findings that none of </w:t>
      </w:r>
      <w:r w:rsidR="00FB14D7">
        <w:rPr>
          <w:rFonts w:eastAsiaTheme="minorHAnsi"/>
          <w:sz w:val="26"/>
          <w:szCs w:val="26"/>
        </w:rPr>
        <w:t xml:space="preserve">the </w:t>
      </w:r>
      <w:r w:rsidRPr="00E37897">
        <w:rPr>
          <w:rFonts w:eastAsiaTheme="minorHAnsi"/>
          <w:sz w:val="26"/>
          <w:szCs w:val="26"/>
        </w:rPr>
        <w:t xml:space="preserve">ESC’s examples of NITS rate volatility pertained to PECO, and that PECO’s NITS rates have been stable since it implemented a transmission formula rate.  In PECO’s view, the ALJ fully considered </w:t>
      </w:r>
      <w:r w:rsidR="00FB14D7">
        <w:rPr>
          <w:rFonts w:eastAsiaTheme="minorHAnsi"/>
          <w:sz w:val="26"/>
          <w:szCs w:val="26"/>
        </w:rPr>
        <w:t xml:space="preserve">the </w:t>
      </w:r>
      <w:r w:rsidRPr="00E37897">
        <w:rPr>
          <w:rFonts w:eastAsiaTheme="minorHAnsi"/>
          <w:sz w:val="26"/>
          <w:szCs w:val="26"/>
        </w:rPr>
        <w:t xml:space="preserve">ESC’s proposal to shift responsibility for NITS costs in PECO’s service territory and correctly concluded that nothing had changed since the Commission’s decisions in earlier PECO default service proceedings that now merit a change in NITS cost recovery.  Therefore, PECO contends that </w:t>
      </w:r>
      <w:r w:rsidR="00FB14D7">
        <w:rPr>
          <w:rFonts w:eastAsiaTheme="minorHAnsi"/>
          <w:sz w:val="26"/>
          <w:szCs w:val="26"/>
        </w:rPr>
        <w:t xml:space="preserve">the </w:t>
      </w:r>
      <w:r w:rsidRPr="00E37897">
        <w:rPr>
          <w:rFonts w:eastAsiaTheme="minorHAnsi"/>
          <w:sz w:val="26"/>
          <w:szCs w:val="26"/>
        </w:rPr>
        <w:t xml:space="preserve">ESC’s second Exception should be denied.  PECO R. Exc. at 5, 7. </w:t>
      </w:r>
    </w:p>
    <w:p w14:paraId="122F82F5" w14:textId="128B3572" w:rsidR="009404AC" w:rsidRPr="00E37897" w:rsidRDefault="009404AC" w:rsidP="005F3BE2">
      <w:pPr>
        <w:pStyle w:val="Heading4"/>
        <w:keepNext/>
        <w:keepLines/>
        <w:numPr>
          <w:ilvl w:val="0"/>
          <w:numId w:val="40"/>
        </w:numPr>
        <w:spacing w:after="0" w:line="360" w:lineRule="auto"/>
        <w:ind w:left="2160" w:hanging="720"/>
        <w:contextualSpacing/>
        <w:jc w:val="left"/>
        <w:rPr>
          <w:rFonts w:eastAsiaTheme="majorEastAsia"/>
          <w:sz w:val="26"/>
          <w:szCs w:val="26"/>
        </w:rPr>
      </w:pPr>
      <w:r w:rsidRPr="00E37897">
        <w:rPr>
          <w:rFonts w:eastAsiaTheme="majorEastAsia"/>
          <w:sz w:val="26"/>
          <w:szCs w:val="26"/>
        </w:rPr>
        <w:t>Calpine</w:t>
      </w:r>
    </w:p>
    <w:p w14:paraId="78192DF7" w14:textId="77777777" w:rsidR="00CA1603" w:rsidRPr="00E37897" w:rsidRDefault="00CA1603" w:rsidP="005F3BE2">
      <w:pPr>
        <w:keepNext/>
        <w:keepLines/>
        <w:widowControl/>
        <w:spacing w:line="360" w:lineRule="auto"/>
        <w:ind w:firstLine="1440"/>
        <w:contextualSpacing/>
        <w:rPr>
          <w:rFonts w:eastAsiaTheme="minorHAnsi"/>
          <w:sz w:val="26"/>
          <w:szCs w:val="26"/>
        </w:rPr>
      </w:pPr>
    </w:p>
    <w:p w14:paraId="29F355E9" w14:textId="33218BB4" w:rsidR="009404AC" w:rsidRPr="00E37897" w:rsidRDefault="009404AC"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In its Replies to Exceptions, Calpine refutes </w:t>
      </w:r>
      <w:r w:rsidR="00FB14D7">
        <w:rPr>
          <w:rFonts w:eastAsiaTheme="minorHAnsi"/>
          <w:sz w:val="26"/>
          <w:szCs w:val="26"/>
        </w:rPr>
        <w:t xml:space="preserve">the </w:t>
      </w:r>
      <w:r w:rsidRPr="00E37897">
        <w:rPr>
          <w:rFonts w:eastAsiaTheme="minorHAnsi"/>
          <w:sz w:val="26"/>
          <w:szCs w:val="26"/>
        </w:rPr>
        <w:t xml:space="preserve">ESC’s assertion that PECO’s current method is unfair because it treats default service customers differently from shopping customers.  Calpine contends that this represents the very distinction between default service and service from an EGS.  Calpine restates that default service is intended to be a “one size fits all program” implemented through a very prescriptive standardized master service agreement in which all terms and conditions, including timing, amount of load, and risk of load migration, are based on these predetermined terms.  In contrast, Calpine explains that EGSs are not under any default service set of mandated requirements, but are instead able to customize offerings based upon their own business model, management decisions, load and demands.  As such, Calpine submits that EGSs should be responsible and accountable for their own business decisions.  </w:t>
      </w:r>
      <w:r w:rsidRPr="00E37897">
        <w:rPr>
          <w:rFonts w:eastAsiaTheme="minorHAnsi"/>
          <w:sz w:val="26"/>
          <w:szCs w:val="26"/>
        </w:rPr>
        <w:lastRenderedPageBreak/>
        <w:t xml:space="preserve">Calpine opines that </w:t>
      </w:r>
      <w:r w:rsidR="00FB14D7">
        <w:rPr>
          <w:rFonts w:eastAsiaTheme="minorHAnsi"/>
          <w:sz w:val="26"/>
          <w:szCs w:val="26"/>
        </w:rPr>
        <w:t xml:space="preserve">the </w:t>
      </w:r>
      <w:r w:rsidRPr="00E37897">
        <w:rPr>
          <w:rFonts w:eastAsiaTheme="minorHAnsi"/>
          <w:sz w:val="26"/>
          <w:szCs w:val="26"/>
        </w:rPr>
        <w:t xml:space="preserve">ESC’s proposal erroneously assumes that all EGSs would be presumed to face the exact same load and </w:t>
      </w:r>
      <w:proofErr w:type="gramStart"/>
      <w:r w:rsidRPr="00E37897">
        <w:rPr>
          <w:rFonts w:eastAsiaTheme="minorHAnsi"/>
          <w:sz w:val="26"/>
          <w:szCs w:val="26"/>
        </w:rPr>
        <w:t>demand, when</w:t>
      </w:r>
      <w:proofErr w:type="gramEnd"/>
      <w:r w:rsidRPr="00E37897">
        <w:rPr>
          <w:rFonts w:eastAsiaTheme="minorHAnsi"/>
          <w:sz w:val="26"/>
          <w:szCs w:val="26"/>
        </w:rPr>
        <w:t xml:space="preserve"> this is not the case in reality.  Rather, Calpine points out that each EGS has its own demand load and level of expertise, operational capability, and management and decision making.  Therefore, Calpine submits that </w:t>
      </w:r>
      <w:r w:rsidR="00FB14D7">
        <w:rPr>
          <w:rFonts w:eastAsiaTheme="minorHAnsi"/>
          <w:sz w:val="26"/>
          <w:szCs w:val="26"/>
        </w:rPr>
        <w:t xml:space="preserve">the </w:t>
      </w:r>
      <w:r w:rsidRPr="00E37897">
        <w:rPr>
          <w:rFonts w:eastAsiaTheme="minorHAnsi"/>
          <w:sz w:val="26"/>
          <w:szCs w:val="26"/>
        </w:rPr>
        <w:t>ESC’s second Exception, if granted, would eliminate an important element of competition among EGSs as LSEs.  Calpine R. Exc. at 3.</w:t>
      </w:r>
    </w:p>
    <w:p w14:paraId="773389C2" w14:textId="77777777" w:rsidR="009404AC" w:rsidRPr="00E37897" w:rsidRDefault="009404AC" w:rsidP="005F3BE2">
      <w:pPr>
        <w:widowControl/>
        <w:spacing w:line="360" w:lineRule="auto"/>
        <w:contextualSpacing/>
        <w:rPr>
          <w:rFonts w:eastAsiaTheme="minorHAnsi"/>
          <w:sz w:val="26"/>
          <w:szCs w:val="26"/>
        </w:rPr>
      </w:pPr>
    </w:p>
    <w:p w14:paraId="0F38C793" w14:textId="7806FD37" w:rsidR="009404AC" w:rsidRPr="00E37897" w:rsidRDefault="009404AC" w:rsidP="005F3BE2">
      <w:pPr>
        <w:pStyle w:val="Heading4"/>
        <w:keepNext/>
        <w:keepLines/>
        <w:numPr>
          <w:ilvl w:val="0"/>
          <w:numId w:val="40"/>
        </w:numPr>
        <w:spacing w:after="0"/>
        <w:ind w:left="2160" w:hanging="720"/>
        <w:contextualSpacing/>
        <w:jc w:val="left"/>
        <w:rPr>
          <w:rFonts w:eastAsiaTheme="majorEastAsia"/>
          <w:sz w:val="26"/>
          <w:szCs w:val="26"/>
        </w:rPr>
      </w:pPr>
      <w:r w:rsidRPr="00E37897">
        <w:rPr>
          <w:rFonts w:eastAsiaTheme="majorEastAsia"/>
          <w:sz w:val="26"/>
          <w:szCs w:val="26"/>
        </w:rPr>
        <w:t>PAIEUG</w:t>
      </w:r>
    </w:p>
    <w:p w14:paraId="11D34383" w14:textId="77777777" w:rsidR="007643DE" w:rsidRPr="00E37897" w:rsidRDefault="007643DE" w:rsidP="005F3BE2">
      <w:pPr>
        <w:keepNext/>
        <w:keepLines/>
        <w:widowControl/>
        <w:spacing w:line="360" w:lineRule="auto"/>
        <w:ind w:firstLine="1440"/>
        <w:contextualSpacing/>
        <w:rPr>
          <w:rFonts w:eastAsiaTheme="minorHAnsi"/>
          <w:sz w:val="26"/>
          <w:szCs w:val="26"/>
        </w:rPr>
      </w:pPr>
    </w:p>
    <w:p w14:paraId="74606BFF" w14:textId="711C180C" w:rsidR="009404AC" w:rsidRPr="00E37897" w:rsidRDefault="009404AC"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In its Replies to Exceptions, PAIEUG submits that in arguing in its Exceptions that the ALJ did not interpret the evidence correctly because she failed to create a level playing field for EDCs and EGSs, </w:t>
      </w:r>
      <w:r w:rsidR="00FB14D7">
        <w:rPr>
          <w:rFonts w:eastAsiaTheme="minorHAnsi"/>
          <w:sz w:val="26"/>
          <w:szCs w:val="26"/>
        </w:rPr>
        <w:t xml:space="preserve">the </w:t>
      </w:r>
      <w:r w:rsidRPr="00E37897">
        <w:rPr>
          <w:rFonts w:eastAsiaTheme="minorHAnsi"/>
          <w:sz w:val="26"/>
          <w:szCs w:val="26"/>
        </w:rPr>
        <w:t xml:space="preserve">ESC disregards that EDCs and EGSs are different and must be treated as such.  Like Calpine, </w:t>
      </w:r>
      <w:r w:rsidRPr="00E37897">
        <w:rPr>
          <w:rFonts w:eastAsiaTheme="minorHAnsi"/>
          <w:i/>
          <w:iCs/>
          <w:sz w:val="26"/>
          <w:szCs w:val="26"/>
        </w:rPr>
        <w:t xml:space="preserve">supra, </w:t>
      </w:r>
      <w:r w:rsidRPr="00E37897">
        <w:rPr>
          <w:rFonts w:eastAsiaTheme="minorHAnsi"/>
          <w:sz w:val="26"/>
          <w:szCs w:val="26"/>
        </w:rPr>
        <w:t xml:space="preserve">PAIEUG explains the difference between service from an EGS and service from an EDC.  In PAIEUG’s view, </w:t>
      </w:r>
      <w:r w:rsidR="00FB14D7">
        <w:rPr>
          <w:rFonts w:eastAsiaTheme="minorHAnsi"/>
          <w:sz w:val="26"/>
          <w:szCs w:val="26"/>
        </w:rPr>
        <w:t xml:space="preserve">the </w:t>
      </w:r>
      <w:r w:rsidRPr="00E37897">
        <w:rPr>
          <w:rFonts w:eastAsiaTheme="minorHAnsi"/>
          <w:sz w:val="26"/>
          <w:szCs w:val="26"/>
        </w:rPr>
        <w:t xml:space="preserve">ESC cannot pick and choose those provisions of a regulated EDC that it would prefer would apply to EGSs while still retaining those portions of the competitive marketplace that benefit </w:t>
      </w:r>
      <w:r w:rsidR="00FB14D7">
        <w:rPr>
          <w:rFonts w:eastAsiaTheme="minorHAnsi"/>
          <w:sz w:val="26"/>
          <w:szCs w:val="26"/>
        </w:rPr>
        <w:t xml:space="preserve">the </w:t>
      </w:r>
      <w:r w:rsidRPr="00E37897">
        <w:rPr>
          <w:rFonts w:eastAsiaTheme="minorHAnsi"/>
          <w:sz w:val="26"/>
          <w:szCs w:val="26"/>
        </w:rPr>
        <w:t>ESC’s members.  PAIEUG R. Exc. at 5-6.</w:t>
      </w:r>
    </w:p>
    <w:p w14:paraId="321C0668" w14:textId="77777777" w:rsidR="009404AC" w:rsidRPr="00E37897" w:rsidRDefault="009404AC" w:rsidP="005F3BE2">
      <w:pPr>
        <w:widowControl/>
        <w:spacing w:line="360" w:lineRule="auto"/>
        <w:contextualSpacing/>
        <w:rPr>
          <w:rFonts w:eastAsiaTheme="minorHAnsi"/>
          <w:sz w:val="26"/>
          <w:szCs w:val="26"/>
        </w:rPr>
      </w:pPr>
    </w:p>
    <w:p w14:paraId="2BC41814" w14:textId="2E34E633" w:rsidR="009404AC" w:rsidRPr="00E37897" w:rsidRDefault="009404AC" w:rsidP="005F3BE2">
      <w:pPr>
        <w:widowControl/>
        <w:spacing w:line="360" w:lineRule="auto"/>
        <w:ind w:firstLine="1440"/>
        <w:contextualSpacing/>
        <w:rPr>
          <w:rFonts w:eastAsiaTheme="minorHAnsi"/>
          <w:sz w:val="26"/>
          <w:szCs w:val="26"/>
        </w:rPr>
      </w:pPr>
      <w:r w:rsidRPr="00E37897">
        <w:rPr>
          <w:rFonts w:eastAsiaTheme="minorHAnsi"/>
          <w:sz w:val="26"/>
          <w:szCs w:val="26"/>
        </w:rPr>
        <w:t xml:space="preserve">PAIEUG also contends that a review of </w:t>
      </w:r>
      <w:r w:rsidR="00FB14D7">
        <w:rPr>
          <w:rFonts w:eastAsiaTheme="minorHAnsi"/>
          <w:sz w:val="26"/>
          <w:szCs w:val="26"/>
        </w:rPr>
        <w:t xml:space="preserve">the </w:t>
      </w:r>
      <w:r w:rsidRPr="00E37897">
        <w:rPr>
          <w:rFonts w:eastAsiaTheme="minorHAnsi"/>
          <w:sz w:val="26"/>
          <w:szCs w:val="26"/>
        </w:rPr>
        <w:t>ESC’s Exceptions indicates that it can provide no evidence that PECO’s NITS charges are volatile.  PAIEUG notes the ALJ’</w:t>
      </w:r>
      <w:r w:rsidR="009F7DEF" w:rsidRPr="00E37897">
        <w:rPr>
          <w:rFonts w:eastAsiaTheme="minorHAnsi"/>
          <w:sz w:val="26"/>
          <w:szCs w:val="26"/>
        </w:rPr>
        <w:t>s</w:t>
      </w:r>
      <w:r w:rsidRPr="00E37897">
        <w:rPr>
          <w:rFonts w:eastAsiaTheme="minorHAnsi"/>
          <w:sz w:val="26"/>
          <w:szCs w:val="26"/>
        </w:rPr>
        <w:t xml:space="preserve"> finding that </w:t>
      </w:r>
      <w:r w:rsidR="009F7DEF" w:rsidRPr="00E37897">
        <w:rPr>
          <w:rFonts w:eastAsiaTheme="minorHAnsi"/>
          <w:sz w:val="26"/>
          <w:szCs w:val="26"/>
        </w:rPr>
        <w:t>“</w:t>
      </w:r>
      <w:r w:rsidRPr="00E37897">
        <w:rPr>
          <w:rFonts w:eastAsiaTheme="minorHAnsi"/>
          <w:sz w:val="26"/>
          <w:szCs w:val="26"/>
        </w:rPr>
        <w:t>[n]one of the examples of NITS rates volatility brought forth by the Coalition in this proceeding pertain to PECO.  Instead, they involve other transmission owners.</w:t>
      </w:r>
      <w:r w:rsidR="009F7DEF" w:rsidRPr="00E37897">
        <w:rPr>
          <w:rFonts w:eastAsiaTheme="minorHAnsi"/>
          <w:sz w:val="26"/>
          <w:szCs w:val="26"/>
        </w:rPr>
        <w:t>”</w:t>
      </w:r>
      <w:r w:rsidRPr="00E37897">
        <w:rPr>
          <w:rFonts w:eastAsiaTheme="minorHAnsi"/>
          <w:sz w:val="26"/>
          <w:szCs w:val="26"/>
        </w:rPr>
        <w:t xml:space="preserve">  PAIEUG R. Exc. at 6 (citing RD at 106).  PAIEUG downplays </w:t>
      </w:r>
      <w:r w:rsidR="00FB14D7">
        <w:rPr>
          <w:rFonts w:eastAsiaTheme="minorHAnsi"/>
          <w:sz w:val="26"/>
          <w:szCs w:val="26"/>
        </w:rPr>
        <w:t xml:space="preserve">the </w:t>
      </w:r>
      <w:r w:rsidRPr="00E37897">
        <w:rPr>
          <w:rFonts w:eastAsiaTheme="minorHAnsi"/>
          <w:sz w:val="26"/>
          <w:szCs w:val="26"/>
        </w:rPr>
        <w:t>ESC’s assertion that the only evidence in this proceeding related to PECO’s NITS rates shows a rate change of eighteen percent in a single year.  PAIEUG argues that its own witness Mr. Jeffry Pollock</w:t>
      </w:r>
      <w:r w:rsidR="005F12AA" w:rsidRPr="00E37897">
        <w:rPr>
          <w:rFonts w:eastAsiaTheme="minorHAnsi"/>
          <w:sz w:val="26"/>
          <w:szCs w:val="26"/>
        </w:rPr>
        <w:t xml:space="preserve">, Energy </w:t>
      </w:r>
      <w:r w:rsidR="008A7DC7" w:rsidRPr="00E37897">
        <w:rPr>
          <w:rFonts w:eastAsiaTheme="minorHAnsi"/>
          <w:sz w:val="26"/>
          <w:szCs w:val="26"/>
        </w:rPr>
        <w:t>Advisor and President of J. Pollock, Incorporated,</w:t>
      </w:r>
      <w:r w:rsidRPr="00E37897">
        <w:rPr>
          <w:rFonts w:eastAsiaTheme="minorHAnsi"/>
          <w:sz w:val="26"/>
          <w:szCs w:val="26"/>
        </w:rPr>
        <w:t xml:space="preserve"> provided this information in response to </w:t>
      </w:r>
      <w:r w:rsidR="00FB14D7">
        <w:rPr>
          <w:rFonts w:eastAsiaTheme="minorHAnsi"/>
          <w:sz w:val="26"/>
          <w:szCs w:val="26"/>
        </w:rPr>
        <w:t xml:space="preserve">the </w:t>
      </w:r>
      <w:r w:rsidRPr="00E37897">
        <w:rPr>
          <w:rFonts w:eastAsiaTheme="minorHAnsi"/>
          <w:sz w:val="26"/>
          <w:szCs w:val="26"/>
        </w:rPr>
        <w:t xml:space="preserve">ESC’s failure to include PECO’s NITS rates in any of its evidence comparing NITS costs among transmission owners.  Therefore, PAIEUG submits that the ALJ appropriately found that </w:t>
      </w:r>
      <w:r w:rsidR="00FB14D7">
        <w:rPr>
          <w:rFonts w:eastAsiaTheme="minorHAnsi"/>
          <w:sz w:val="26"/>
          <w:szCs w:val="26"/>
        </w:rPr>
        <w:t xml:space="preserve">the </w:t>
      </w:r>
      <w:r w:rsidRPr="00E37897">
        <w:rPr>
          <w:rFonts w:eastAsiaTheme="minorHAnsi"/>
          <w:sz w:val="26"/>
          <w:szCs w:val="26"/>
        </w:rPr>
        <w:t xml:space="preserve">ESC failed to provide any evidence </w:t>
      </w:r>
      <w:r w:rsidRPr="00E37897">
        <w:rPr>
          <w:rFonts w:eastAsiaTheme="minorHAnsi"/>
          <w:sz w:val="26"/>
          <w:szCs w:val="26"/>
        </w:rPr>
        <w:lastRenderedPageBreak/>
        <w:t>regarding the volatility of NITS rates in PECO’s service territory.  PAIEUG R. Exc. at</w:t>
      </w:r>
      <w:r w:rsidR="00924404">
        <w:rPr>
          <w:rFonts w:eastAsiaTheme="minorHAnsi"/>
          <w:sz w:val="26"/>
          <w:szCs w:val="26"/>
        </w:rPr>
        <w:t> </w:t>
      </w:r>
      <w:r w:rsidRPr="00E37897">
        <w:rPr>
          <w:rFonts w:eastAsiaTheme="minorHAnsi"/>
          <w:sz w:val="26"/>
          <w:szCs w:val="26"/>
        </w:rPr>
        <w:t>6</w:t>
      </w:r>
      <w:r w:rsidR="00924404">
        <w:rPr>
          <w:rFonts w:eastAsiaTheme="minorHAnsi"/>
          <w:sz w:val="26"/>
          <w:szCs w:val="26"/>
        </w:rPr>
        <w:noBreakHyphen/>
      </w:r>
      <w:r w:rsidRPr="00E37897">
        <w:rPr>
          <w:rFonts w:eastAsiaTheme="minorHAnsi"/>
          <w:sz w:val="26"/>
          <w:szCs w:val="26"/>
        </w:rPr>
        <w:t xml:space="preserve">7. </w:t>
      </w:r>
    </w:p>
    <w:p w14:paraId="6E353C54" w14:textId="77777777" w:rsidR="006760ED" w:rsidRPr="00E37897" w:rsidRDefault="006760ED" w:rsidP="005F3BE2">
      <w:pPr>
        <w:widowControl/>
        <w:spacing w:line="360" w:lineRule="auto"/>
        <w:ind w:firstLine="1440"/>
        <w:contextualSpacing/>
        <w:rPr>
          <w:rFonts w:eastAsiaTheme="minorHAnsi"/>
          <w:sz w:val="26"/>
          <w:szCs w:val="26"/>
        </w:rPr>
      </w:pPr>
    </w:p>
    <w:p w14:paraId="1CDC80EC" w14:textId="77777777" w:rsidR="009404AC" w:rsidRPr="00E37897" w:rsidRDefault="009404AC" w:rsidP="005F3BE2">
      <w:pPr>
        <w:pStyle w:val="Heading3"/>
        <w:keepNext/>
        <w:keepLines/>
        <w:numPr>
          <w:ilvl w:val="0"/>
          <w:numId w:val="39"/>
        </w:numPr>
        <w:spacing w:after="0" w:line="360" w:lineRule="auto"/>
        <w:ind w:left="1440" w:hanging="720"/>
        <w:contextualSpacing/>
        <w:jc w:val="left"/>
        <w:rPr>
          <w:rFonts w:eastAsiaTheme="majorEastAsia"/>
          <w:sz w:val="26"/>
        </w:rPr>
      </w:pPr>
      <w:bookmarkStart w:id="30" w:name="_Toc56512774"/>
      <w:r w:rsidRPr="00E37897">
        <w:rPr>
          <w:rFonts w:eastAsiaTheme="majorEastAsia"/>
          <w:sz w:val="26"/>
        </w:rPr>
        <w:t>Disposition</w:t>
      </w:r>
      <w:bookmarkEnd w:id="30"/>
    </w:p>
    <w:p w14:paraId="524AA66A" w14:textId="77777777" w:rsidR="009404AC" w:rsidRPr="00E37897" w:rsidRDefault="009404AC" w:rsidP="005F3BE2">
      <w:pPr>
        <w:keepNext/>
        <w:keepLines/>
        <w:widowControl/>
        <w:spacing w:line="360" w:lineRule="auto"/>
        <w:contextualSpacing/>
        <w:rPr>
          <w:rFonts w:eastAsiaTheme="minorHAnsi"/>
          <w:sz w:val="26"/>
          <w:szCs w:val="26"/>
        </w:rPr>
      </w:pPr>
    </w:p>
    <w:p w14:paraId="14DF11B1" w14:textId="1683B5C4"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We shall deny </w:t>
      </w:r>
      <w:r w:rsidR="00FB14D7">
        <w:rPr>
          <w:rFonts w:eastAsiaTheme="minorHAnsi"/>
          <w:sz w:val="26"/>
          <w:szCs w:val="26"/>
        </w:rPr>
        <w:t xml:space="preserve">the </w:t>
      </w:r>
      <w:r w:rsidRPr="00E37897">
        <w:rPr>
          <w:rFonts w:eastAsiaTheme="minorHAnsi"/>
          <w:sz w:val="26"/>
          <w:szCs w:val="26"/>
        </w:rPr>
        <w:t xml:space="preserve">ESC’s second Exception.  As discussed under our disposition of </w:t>
      </w:r>
      <w:r w:rsidR="00FB14D7">
        <w:rPr>
          <w:rFonts w:eastAsiaTheme="minorHAnsi"/>
          <w:sz w:val="26"/>
          <w:szCs w:val="26"/>
        </w:rPr>
        <w:t xml:space="preserve">the </w:t>
      </w:r>
      <w:r w:rsidRPr="00E37897">
        <w:rPr>
          <w:rFonts w:eastAsiaTheme="minorHAnsi"/>
          <w:sz w:val="26"/>
          <w:szCs w:val="26"/>
        </w:rPr>
        <w:t>ESC’s Exception N</w:t>
      </w:r>
      <w:r w:rsidR="007A6E7D" w:rsidRPr="00E37897">
        <w:rPr>
          <w:rFonts w:eastAsiaTheme="minorHAnsi"/>
          <w:sz w:val="26"/>
          <w:szCs w:val="26"/>
        </w:rPr>
        <w:t>umber</w:t>
      </w:r>
      <w:r w:rsidRPr="00E37897">
        <w:rPr>
          <w:rFonts w:eastAsiaTheme="minorHAnsi"/>
          <w:sz w:val="26"/>
          <w:szCs w:val="26"/>
        </w:rPr>
        <w:t xml:space="preserve"> 1, </w:t>
      </w:r>
      <w:r w:rsidRPr="00E37897">
        <w:rPr>
          <w:rFonts w:eastAsiaTheme="minorHAnsi"/>
          <w:i/>
          <w:iCs/>
          <w:sz w:val="26"/>
          <w:szCs w:val="26"/>
        </w:rPr>
        <w:t xml:space="preserve">supra, </w:t>
      </w:r>
      <w:r w:rsidRPr="00E37897">
        <w:rPr>
          <w:rFonts w:eastAsiaTheme="minorHAnsi"/>
          <w:sz w:val="26"/>
          <w:szCs w:val="26"/>
        </w:rPr>
        <w:t xml:space="preserve">we have determined that </w:t>
      </w:r>
      <w:r w:rsidR="00FB14D7">
        <w:rPr>
          <w:rFonts w:eastAsiaTheme="minorHAnsi"/>
          <w:sz w:val="26"/>
          <w:szCs w:val="26"/>
        </w:rPr>
        <w:t xml:space="preserve">the </w:t>
      </w:r>
      <w:r w:rsidRPr="00E37897">
        <w:rPr>
          <w:rFonts w:eastAsiaTheme="minorHAnsi"/>
          <w:sz w:val="26"/>
          <w:szCs w:val="26"/>
        </w:rPr>
        <w:t>ESC has failed to meet its burden of proving that PECO’s NITS are so volatile that they cannot be predicted</w:t>
      </w:r>
      <w:r w:rsidR="00D74F25">
        <w:rPr>
          <w:rFonts w:eastAsiaTheme="minorHAnsi"/>
          <w:sz w:val="26"/>
          <w:szCs w:val="26"/>
        </w:rPr>
        <w:t xml:space="preserve"> or managed</w:t>
      </w:r>
      <w:r w:rsidRPr="00E37897">
        <w:rPr>
          <w:rFonts w:eastAsiaTheme="minorHAnsi"/>
          <w:sz w:val="26"/>
          <w:szCs w:val="26"/>
        </w:rPr>
        <w:t xml:space="preserve">.  For this reason, we find no merit in </w:t>
      </w:r>
      <w:r w:rsidR="00FB14D7">
        <w:rPr>
          <w:rFonts w:eastAsiaTheme="minorHAnsi"/>
          <w:sz w:val="26"/>
          <w:szCs w:val="26"/>
        </w:rPr>
        <w:t xml:space="preserve">the </w:t>
      </w:r>
      <w:r w:rsidRPr="00E37897">
        <w:rPr>
          <w:rFonts w:eastAsiaTheme="minorHAnsi"/>
          <w:sz w:val="26"/>
          <w:szCs w:val="26"/>
        </w:rPr>
        <w:t xml:space="preserve">ESC’s argument in its second Exception that the FERC formula-based rate has resulted in NITS rates for PECO that are less forecastable and more volatile.    </w:t>
      </w:r>
    </w:p>
    <w:p w14:paraId="4CB67D54" w14:textId="77777777" w:rsidR="009404AC" w:rsidRPr="00E37897" w:rsidRDefault="009404AC" w:rsidP="005F3BE2">
      <w:pPr>
        <w:widowControl/>
        <w:spacing w:after="200" w:line="360" w:lineRule="auto"/>
        <w:ind w:firstLine="1440"/>
        <w:contextualSpacing/>
        <w:rPr>
          <w:rFonts w:eastAsiaTheme="minorHAnsi"/>
          <w:sz w:val="26"/>
          <w:szCs w:val="26"/>
        </w:rPr>
      </w:pPr>
    </w:p>
    <w:p w14:paraId="0FF2EB0A" w14:textId="644830DB"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Rather, we agree with the position of PAIEUG, as endorsed by the ALJ</w:t>
      </w:r>
      <w:r w:rsidR="00E71A9E" w:rsidRPr="00E37897">
        <w:rPr>
          <w:rFonts w:eastAsiaTheme="minorHAnsi"/>
          <w:sz w:val="26"/>
          <w:szCs w:val="26"/>
        </w:rPr>
        <w:t>,</w:t>
      </w:r>
      <w:r w:rsidRPr="00E37897">
        <w:rPr>
          <w:rFonts w:eastAsiaTheme="minorHAnsi"/>
          <w:sz w:val="26"/>
          <w:szCs w:val="26"/>
        </w:rPr>
        <w:t xml:space="preserve"> that the NITS rates are based on a standard cost</w:t>
      </w:r>
      <w:r w:rsidRPr="00E37897">
        <w:rPr>
          <w:rFonts w:eastAsiaTheme="minorHAnsi"/>
          <w:sz w:val="26"/>
          <w:szCs w:val="26"/>
        </w:rPr>
        <w:noBreakHyphen/>
        <w:t>of</w:t>
      </w:r>
      <w:r w:rsidRPr="00E37897">
        <w:rPr>
          <w:rFonts w:eastAsiaTheme="minorHAnsi"/>
          <w:sz w:val="26"/>
          <w:szCs w:val="26"/>
        </w:rPr>
        <w:noBreakHyphen/>
        <w:t>service calculation using the same type of information typically found in an EDC’s FERC Form 1, and which emulates how transmission rates are set using a standard revenue requirement calculation and the applicable loads.  Although a formula rate may be forward-looking, there is a</w:t>
      </w:r>
      <w:r w:rsidR="00D74F25">
        <w:rPr>
          <w:rFonts w:eastAsiaTheme="minorHAnsi"/>
          <w:sz w:val="26"/>
          <w:szCs w:val="26"/>
        </w:rPr>
        <w:t>n annual</w:t>
      </w:r>
      <w:r w:rsidRPr="00E37897">
        <w:rPr>
          <w:rFonts w:eastAsiaTheme="minorHAnsi"/>
          <w:sz w:val="26"/>
          <w:szCs w:val="26"/>
        </w:rPr>
        <w:t xml:space="preserve"> true-up which reconciles the forward-looking rate with the actual costs incurred as published in each utility’s FERC Form 1.  In addition, the protocols that accompany a formula transmission rate specify when rates are to be reset.  For PECO, new NITS rates are implemented on June 1st of each calendar year.  Thus, there is a definitive date when periodic changes in NITS rates will become effective.  Moreover, PAIEUG highlighted that PJM has a Transmission Cost Information Center to help stakeholders understand current transmission costs and estimate future costs.  </w:t>
      </w:r>
      <w:r w:rsidRPr="00E37897">
        <w:rPr>
          <w:rFonts w:eastAsiaTheme="minorHAnsi"/>
          <w:i/>
          <w:iCs/>
          <w:sz w:val="26"/>
          <w:szCs w:val="26"/>
        </w:rPr>
        <w:t xml:space="preserve">See </w:t>
      </w:r>
      <w:hyperlink r:id="rId10" w:history="1">
        <w:r w:rsidRPr="00E37897">
          <w:rPr>
            <w:rFonts w:eastAsiaTheme="minorHAnsi"/>
            <w:color w:val="0000FF" w:themeColor="hyperlink"/>
            <w:sz w:val="26"/>
            <w:szCs w:val="26"/>
            <w:u w:val="single"/>
          </w:rPr>
          <w:t>https://www.pjm.com/planning/project-construction.aspx</w:t>
        </w:r>
      </w:hyperlink>
      <w:r w:rsidRPr="00E37897">
        <w:rPr>
          <w:rFonts w:eastAsiaTheme="minorHAnsi"/>
          <w:sz w:val="26"/>
          <w:szCs w:val="26"/>
        </w:rPr>
        <w:t>.  R.D. at 106; PAIEUG St. 1 at</w:t>
      </w:r>
      <w:r w:rsidR="00A051C8">
        <w:rPr>
          <w:rFonts w:eastAsiaTheme="minorHAnsi"/>
          <w:sz w:val="26"/>
          <w:szCs w:val="26"/>
        </w:rPr>
        <w:t> </w:t>
      </w:r>
      <w:r w:rsidRPr="00E37897">
        <w:rPr>
          <w:rFonts w:eastAsiaTheme="minorHAnsi"/>
          <w:sz w:val="26"/>
          <w:szCs w:val="26"/>
        </w:rPr>
        <w:t xml:space="preserve">6-7.  Therefore, this </w:t>
      </w:r>
      <w:r w:rsidR="005A0525">
        <w:rPr>
          <w:rFonts w:eastAsiaTheme="minorHAnsi"/>
          <w:sz w:val="26"/>
          <w:szCs w:val="26"/>
        </w:rPr>
        <w:t xml:space="preserve">formula rate </w:t>
      </w:r>
      <w:r w:rsidRPr="00E37897">
        <w:rPr>
          <w:rFonts w:eastAsiaTheme="minorHAnsi"/>
          <w:sz w:val="26"/>
          <w:szCs w:val="26"/>
        </w:rPr>
        <w:t xml:space="preserve">process at FERC does not negate the ability of EGS companies to manage their loads and manage their NITS costs.  In our view, given that the rates for the recovery of NITS costs are set by FERC, ESC must raise objections to </w:t>
      </w:r>
      <w:r w:rsidRPr="00E37897">
        <w:rPr>
          <w:rFonts w:eastAsiaTheme="minorHAnsi"/>
          <w:sz w:val="26"/>
          <w:szCs w:val="26"/>
        </w:rPr>
        <w:lastRenderedPageBreak/>
        <w:t>those rates at the FERC level, rather than seek to have PECO alter its NITS allocation method in this proceeding.</w:t>
      </w:r>
    </w:p>
    <w:p w14:paraId="752FAB35" w14:textId="77777777" w:rsidR="009404AC" w:rsidRPr="00E37897" w:rsidRDefault="009404AC" w:rsidP="005F3BE2">
      <w:pPr>
        <w:widowControl/>
        <w:spacing w:after="200" w:line="360" w:lineRule="auto"/>
        <w:contextualSpacing/>
        <w:rPr>
          <w:rFonts w:eastAsiaTheme="minorHAnsi"/>
          <w:sz w:val="26"/>
          <w:szCs w:val="26"/>
        </w:rPr>
      </w:pPr>
    </w:p>
    <w:p w14:paraId="40C80285" w14:textId="45891658"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Similarly, we are not persuaded by </w:t>
      </w:r>
      <w:r w:rsidR="00FB14D7">
        <w:rPr>
          <w:rFonts w:eastAsiaTheme="minorHAnsi"/>
          <w:sz w:val="26"/>
          <w:szCs w:val="26"/>
        </w:rPr>
        <w:t xml:space="preserve">the </w:t>
      </w:r>
      <w:r w:rsidRPr="00E37897">
        <w:rPr>
          <w:rFonts w:eastAsiaTheme="minorHAnsi"/>
          <w:sz w:val="26"/>
          <w:szCs w:val="26"/>
        </w:rPr>
        <w:t xml:space="preserve">ESC’s argument that in finding that PECO’s NITS rates have been stable since the implementation of the FERC formula rate, the ALJ misinterpreted the effect of the only evidence in this proceeding related to PECO’s NITS rates.  Rather, we find PAIEUG’s counter argument in its Replies to Exceptions to be particularly compelling.  Namely, as PAIEUG notes, it was PAIEUG, and not </w:t>
      </w:r>
      <w:r w:rsidR="00FB14D7">
        <w:rPr>
          <w:rFonts w:eastAsiaTheme="minorHAnsi"/>
          <w:sz w:val="26"/>
          <w:szCs w:val="26"/>
        </w:rPr>
        <w:t xml:space="preserve">the </w:t>
      </w:r>
      <w:r w:rsidRPr="00E37897">
        <w:rPr>
          <w:rFonts w:eastAsiaTheme="minorHAnsi"/>
          <w:sz w:val="26"/>
          <w:szCs w:val="26"/>
        </w:rPr>
        <w:t>ESC that provided specific evidence regarding the NITS rates in PECO’s territory.  PAIEUG Exc. at 7</w:t>
      </w:r>
      <w:r w:rsidR="00C83CB0" w:rsidRPr="00E37897">
        <w:rPr>
          <w:rFonts w:eastAsiaTheme="minorHAnsi"/>
          <w:sz w:val="26"/>
          <w:szCs w:val="26"/>
        </w:rPr>
        <w:t>;</w:t>
      </w:r>
      <w:r w:rsidRPr="00E37897">
        <w:rPr>
          <w:rFonts w:eastAsiaTheme="minorHAnsi"/>
          <w:sz w:val="26"/>
          <w:szCs w:val="26"/>
        </w:rPr>
        <w:t xml:space="preserve"> </w:t>
      </w:r>
      <w:r w:rsidR="00C83CB0" w:rsidRPr="00E37897">
        <w:rPr>
          <w:rFonts w:eastAsiaTheme="minorHAnsi"/>
          <w:sz w:val="26"/>
          <w:szCs w:val="26"/>
        </w:rPr>
        <w:t>s</w:t>
      </w:r>
      <w:r w:rsidRPr="00E37897">
        <w:rPr>
          <w:rFonts w:eastAsiaTheme="minorHAnsi"/>
          <w:i/>
          <w:iCs/>
          <w:sz w:val="26"/>
          <w:szCs w:val="26"/>
        </w:rPr>
        <w:t xml:space="preserve">ee also </w:t>
      </w:r>
      <w:r w:rsidRPr="00E37897">
        <w:rPr>
          <w:rFonts w:eastAsiaTheme="minorHAnsi"/>
          <w:sz w:val="26"/>
          <w:szCs w:val="26"/>
        </w:rPr>
        <w:t xml:space="preserve">PAIEUG St. 1 at 7.  As previously noted, </w:t>
      </w:r>
      <w:r w:rsidRPr="00E37897">
        <w:rPr>
          <w:rFonts w:eastAsiaTheme="minorHAnsi"/>
          <w:bCs/>
          <w:sz w:val="26"/>
          <w:szCs w:val="26"/>
        </w:rPr>
        <w:t xml:space="preserve">as the party proposing that PECO include NITS charges in its existing NBT, </w:t>
      </w:r>
      <w:r w:rsidR="00FB14D7">
        <w:rPr>
          <w:rFonts w:eastAsiaTheme="minorHAnsi"/>
          <w:bCs/>
          <w:sz w:val="26"/>
          <w:szCs w:val="26"/>
        </w:rPr>
        <w:t xml:space="preserve">the </w:t>
      </w:r>
      <w:r w:rsidRPr="00E37897">
        <w:rPr>
          <w:rFonts w:eastAsiaTheme="minorHAnsi"/>
          <w:bCs/>
          <w:sz w:val="26"/>
          <w:szCs w:val="26"/>
        </w:rPr>
        <w:t>ESC</w:t>
      </w:r>
      <w:r w:rsidRPr="00E37897">
        <w:rPr>
          <w:rFonts w:eastAsiaTheme="minorHAnsi"/>
          <w:sz w:val="26"/>
          <w:szCs w:val="26"/>
        </w:rPr>
        <w:t xml:space="preserve"> bears the burden of proof for this proposal.  This includes having the burden to produce specific evidence regarding the volatility of NITS rates in PECO’s service territory.  As </w:t>
      </w:r>
      <w:r w:rsidR="00FB14D7">
        <w:rPr>
          <w:rFonts w:eastAsiaTheme="minorHAnsi"/>
          <w:sz w:val="26"/>
          <w:szCs w:val="26"/>
        </w:rPr>
        <w:t xml:space="preserve">the </w:t>
      </w:r>
      <w:r w:rsidRPr="00E37897">
        <w:rPr>
          <w:rFonts w:eastAsiaTheme="minorHAnsi"/>
          <w:sz w:val="26"/>
          <w:szCs w:val="26"/>
        </w:rPr>
        <w:t>ESC only provided evidence regarding NITS volatility in other service territories, but not PECO’s service territory, it has not met this burden.</w:t>
      </w:r>
    </w:p>
    <w:p w14:paraId="5415824E" w14:textId="77777777" w:rsidR="009404AC" w:rsidRPr="00E37897" w:rsidRDefault="009404AC" w:rsidP="005F3BE2">
      <w:pPr>
        <w:widowControl/>
        <w:spacing w:after="200" w:line="360" w:lineRule="auto"/>
        <w:contextualSpacing/>
        <w:rPr>
          <w:rFonts w:eastAsiaTheme="minorHAnsi"/>
          <w:sz w:val="26"/>
          <w:szCs w:val="26"/>
        </w:rPr>
      </w:pPr>
    </w:p>
    <w:p w14:paraId="5834C9F1" w14:textId="7CF1074E"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We likewise find that </w:t>
      </w:r>
      <w:r w:rsidR="00FB14D7">
        <w:rPr>
          <w:rFonts w:eastAsiaTheme="minorHAnsi"/>
          <w:sz w:val="26"/>
          <w:szCs w:val="26"/>
        </w:rPr>
        <w:t xml:space="preserve">the </w:t>
      </w:r>
      <w:r w:rsidRPr="00E37897">
        <w:rPr>
          <w:rFonts w:eastAsiaTheme="minorHAnsi"/>
          <w:sz w:val="26"/>
          <w:szCs w:val="26"/>
        </w:rPr>
        <w:t xml:space="preserve">ESC has failed to meet its burden of proving that the fact that PECO recovers NITS costs only from its default service customers demonstrates that inequalities exist in the market.  As Calpine and PAIEUG each point out in their </w:t>
      </w:r>
      <w:r w:rsidR="009A5DA0">
        <w:rPr>
          <w:rFonts w:eastAsiaTheme="minorHAnsi"/>
          <w:sz w:val="26"/>
          <w:szCs w:val="26"/>
        </w:rPr>
        <w:t>R</w:t>
      </w:r>
      <w:r w:rsidRPr="00E37897">
        <w:rPr>
          <w:rFonts w:eastAsiaTheme="minorHAnsi"/>
          <w:sz w:val="26"/>
          <w:szCs w:val="26"/>
        </w:rPr>
        <w:t xml:space="preserve">eplies to </w:t>
      </w:r>
      <w:r w:rsidR="00FB14D7">
        <w:rPr>
          <w:rFonts w:eastAsiaTheme="minorHAnsi"/>
          <w:sz w:val="26"/>
          <w:szCs w:val="26"/>
        </w:rPr>
        <w:t xml:space="preserve">the </w:t>
      </w:r>
      <w:r w:rsidRPr="00E37897">
        <w:rPr>
          <w:rFonts w:eastAsiaTheme="minorHAnsi"/>
          <w:sz w:val="26"/>
          <w:szCs w:val="26"/>
        </w:rPr>
        <w:t xml:space="preserve">ESC’s second Exception, PECO’s Default Service and the products and services offered by EGSs in an open retail market possess inherently different characteristics.  Therefore, comparing retail electric market products and services to a fully regulated default service is an “apples to oranges comparison.”  We echo the ALJ that Calpine has proffered testimony that is particularly convincing on this point.  Namely, we concur with Calpine’s position that requiring all shopping and non-shopping customers to have their NITS costs collected through an NBT, as </w:t>
      </w:r>
      <w:r w:rsidR="00FB14D7">
        <w:rPr>
          <w:rFonts w:eastAsiaTheme="minorHAnsi"/>
          <w:sz w:val="26"/>
          <w:szCs w:val="26"/>
        </w:rPr>
        <w:t xml:space="preserve">the </w:t>
      </w:r>
      <w:r w:rsidRPr="00E37897">
        <w:rPr>
          <w:rFonts w:eastAsiaTheme="minorHAnsi"/>
          <w:sz w:val="26"/>
          <w:szCs w:val="26"/>
        </w:rPr>
        <w:t>E</w:t>
      </w:r>
      <w:r w:rsidR="00641D12">
        <w:rPr>
          <w:rFonts w:eastAsiaTheme="minorHAnsi"/>
          <w:sz w:val="26"/>
          <w:szCs w:val="26"/>
        </w:rPr>
        <w:t>S</w:t>
      </w:r>
      <w:r w:rsidRPr="00E37897">
        <w:rPr>
          <w:rFonts w:eastAsiaTheme="minorHAnsi"/>
          <w:sz w:val="26"/>
          <w:szCs w:val="26"/>
        </w:rPr>
        <w:t xml:space="preserve">C envisions, would simultaneously limit existing and potential customers’ product and service choices.  As a result, this would not only harm the competitive retail market, but it would also remove any incentive and opportunity to create customized products and </w:t>
      </w:r>
      <w:r w:rsidRPr="00E37897">
        <w:rPr>
          <w:rFonts w:eastAsiaTheme="minorHAnsi"/>
          <w:sz w:val="26"/>
          <w:szCs w:val="26"/>
        </w:rPr>
        <w:lastRenderedPageBreak/>
        <w:t xml:space="preserve">services that are, or potentially might be formulated, to assist EGSs in addressing these </w:t>
      </w:r>
      <w:r w:rsidR="009A5DA0">
        <w:rPr>
          <w:rFonts w:eastAsiaTheme="minorHAnsi"/>
          <w:sz w:val="26"/>
          <w:szCs w:val="26"/>
        </w:rPr>
        <w:t xml:space="preserve">specific </w:t>
      </w:r>
      <w:r w:rsidRPr="00E37897">
        <w:rPr>
          <w:rFonts w:eastAsiaTheme="minorHAnsi"/>
          <w:sz w:val="26"/>
          <w:szCs w:val="26"/>
        </w:rPr>
        <w:t xml:space="preserve">costs.  </w:t>
      </w:r>
      <w:r w:rsidRPr="00E37897">
        <w:rPr>
          <w:rFonts w:eastAsiaTheme="minorHAnsi"/>
          <w:i/>
          <w:iCs/>
          <w:sz w:val="26"/>
          <w:szCs w:val="26"/>
        </w:rPr>
        <w:t xml:space="preserve">See </w:t>
      </w:r>
      <w:r w:rsidRPr="00E37897">
        <w:rPr>
          <w:rFonts w:eastAsiaTheme="minorHAnsi"/>
          <w:sz w:val="26"/>
          <w:szCs w:val="26"/>
        </w:rPr>
        <w:t xml:space="preserve">Calpine St. 1 at 3.  Further, as Calpine and the ALJ each point out, Calpine, like </w:t>
      </w:r>
      <w:r w:rsidR="009A5DA0">
        <w:rPr>
          <w:rFonts w:eastAsiaTheme="minorHAnsi"/>
          <w:sz w:val="26"/>
          <w:szCs w:val="26"/>
        </w:rPr>
        <w:t xml:space="preserve">the EGSs that comprise </w:t>
      </w:r>
      <w:r w:rsidRPr="00E37897">
        <w:rPr>
          <w:rFonts w:eastAsiaTheme="minorHAnsi"/>
          <w:sz w:val="26"/>
          <w:szCs w:val="26"/>
        </w:rPr>
        <w:t xml:space="preserve">ESC, is an EGS that incurs NITS costs.  However, Calpine has been able to </w:t>
      </w:r>
      <w:r w:rsidR="009A5DA0">
        <w:rPr>
          <w:rFonts w:eastAsiaTheme="minorHAnsi"/>
          <w:sz w:val="26"/>
          <w:szCs w:val="26"/>
        </w:rPr>
        <w:t xml:space="preserve">successfully </w:t>
      </w:r>
      <w:r w:rsidRPr="00E37897">
        <w:rPr>
          <w:rFonts w:eastAsiaTheme="minorHAnsi"/>
          <w:sz w:val="26"/>
          <w:szCs w:val="26"/>
        </w:rPr>
        <w:t xml:space="preserve">manage these costs by managing its customers’ loads.  </w:t>
      </w:r>
      <w:r w:rsidRPr="00E37897">
        <w:rPr>
          <w:rFonts w:eastAsiaTheme="minorHAnsi"/>
          <w:i/>
          <w:iCs/>
          <w:sz w:val="26"/>
          <w:szCs w:val="26"/>
        </w:rPr>
        <w:t xml:space="preserve">See </w:t>
      </w:r>
      <w:r w:rsidRPr="00E37897">
        <w:rPr>
          <w:rFonts w:eastAsiaTheme="minorHAnsi"/>
          <w:sz w:val="26"/>
          <w:szCs w:val="26"/>
        </w:rPr>
        <w:t xml:space="preserve">Calpine M.B. at 4; R.D. at 107.  </w:t>
      </w:r>
    </w:p>
    <w:p w14:paraId="7C341A0F" w14:textId="77777777" w:rsidR="009404AC" w:rsidRPr="00E37897" w:rsidRDefault="009404AC" w:rsidP="005F3BE2">
      <w:pPr>
        <w:widowControl/>
        <w:spacing w:after="200" w:line="360" w:lineRule="auto"/>
        <w:contextualSpacing/>
        <w:rPr>
          <w:rFonts w:eastAsiaTheme="minorHAnsi"/>
          <w:sz w:val="26"/>
          <w:szCs w:val="26"/>
        </w:rPr>
      </w:pPr>
    </w:p>
    <w:p w14:paraId="75D8A6C9" w14:textId="7C03AC74" w:rsidR="009404AC" w:rsidRPr="00E37897" w:rsidRDefault="009404AC" w:rsidP="005F3BE2">
      <w:pPr>
        <w:widowControl/>
        <w:spacing w:after="200" w:line="360" w:lineRule="auto"/>
        <w:ind w:firstLine="1440"/>
        <w:contextualSpacing/>
        <w:rPr>
          <w:rFonts w:eastAsiaTheme="minorHAnsi"/>
          <w:sz w:val="26"/>
          <w:szCs w:val="26"/>
        </w:rPr>
      </w:pPr>
      <w:r w:rsidRPr="00E37897">
        <w:rPr>
          <w:rFonts w:eastAsiaTheme="minorHAnsi"/>
          <w:sz w:val="26"/>
          <w:szCs w:val="26"/>
        </w:rPr>
        <w:t xml:space="preserve">Consistent with the forgoing, we shall deny </w:t>
      </w:r>
      <w:r w:rsidR="00167A68">
        <w:rPr>
          <w:rFonts w:eastAsiaTheme="minorHAnsi"/>
          <w:sz w:val="26"/>
          <w:szCs w:val="26"/>
        </w:rPr>
        <w:t xml:space="preserve">the </w:t>
      </w:r>
      <w:r w:rsidRPr="00E37897">
        <w:rPr>
          <w:rFonts w:eastAsiaTheme="minorHAnsi"/>
          <w:sz w:val="26"/>
          <w:szCs w:val="26"/>
        </w:rPr>
        <w:t xml:space="preserve">ESC’s second Exception and shall adopt the ALJ’s recommendation to deny ESC’s proposed allocation of NITS charges.  Accordingly, </w:t>
      </w:r>
      <w:r w:rsidR="009A5DA0">
        <w:rPr>
          <w:rFonts w:eastAsiaTheme="minorHAnsi"/>
          <w:sz w:val="26"/>
          <w:szCs w:val="26"/>
        </w:rPr>
        <w:t xml:space="preserve">we shall </w:t>
      </w:r>
      <w:r w:rsidR="00FB7696">
        <w:rPr>
          <w:rFonts w:eastAsiaTheme="minorHAnsi"/>
          <w:sz w:val="26"/>
          <w:szCs w:val="26"/>
        </w:rPr>
        <w:t>approve PECO’s proposal to c</w:t>
      </w:r>
      <w:r w:rsidRPr="00E37897">
        <w:rPr>
          <w:rFonts w:eastAsiaTheme="minorHAnsi"/>
          <w:sz w:val="26"/>
          <w:szCs w:val="26"/>
        </w:rPr>
        <w:t xml:space="preserve">ontinue </w:t>
      </w:r>
      <w:r w:rsidR="00FB7696">
        <w:rPr>
          <w:rFonts w:eastAsiaTheme="minorHAnsi"/>
          <w:sz w:val="26"/>
          <w:szCs w:val="26"/>
        </w:rPr>
        <w:t xml:space="preserve">in its DSP V </w:t>
      </w:r>
      <w:r w:rsidRPr="00E37897">
        <w:rPr>
          <w:rFonts w:eastAsiaTheme="minorHAnsi"/>
          <w:sz w:val="26"/>
          <w:szCs w:val="26"/>
        </w:rPr>
        <w:t xml:space="preserve">its present allocation of NITS charges such that it will collect NITS charges only from its default service customers, while the EGSs operating in PECO’s service territory will continue to collect NITS charges from shopping customers.  </w:t>
      </w:r>
    </w:p>
    <w:p w14:paraId="1383583F" w14:textId="77777777" w:rsidR="009404AC" w:rsidRPr="00E37897" w:rsidRDefault="009404AC" w:rsidP="005F3BE2">
      <w:pPr>
        <w:widowControl/>
        <w:spacing w:after="200" w:line="360" w:lineRule="auto"/>
        <w:contextualSpacing/>
        <w:rPr>
          <w:rFonts w:eastAsiaTheme="minorHAnsi"/>
          <w:sz w:val="26"/>
          <w:szCs w:val="26"/>
        </w:rPr>
      </w:pPr>
    </w:p>
    <w:p w14:paraId="16A16455" w14:textId="24DD1203" w:rsidR="005B5525" w:rsidRPr="00E37897" w:rsidRDefault="00044D25" w:rsidP="005F3BE2">
      <w:pPr>
        <w:pStyle w:val="Heading2"/>
        <w:keepNext/>
        <w:spacing w:after="0"/>
        <w:ind w:left="720" w:hanging="720"/>
        <w:contextualSpacing/>
        <w:jc w:val="left"/>
        <w:rPr>
          <w:rStyle w:val="Heading2Char"/>
          <w:b/>
          <w:bCs/>
          <w:sz w:val="26"/>
          <w:szCs w:val="26"/>
        </w:rPr>
      </w:pPr>
      <w:bookmarkStart w:id="31" w:name="_Toc56512775"/>
      <w:r w:rsidRPr="00E37897">
        <w:rPr>
          <w:rStyle w:val="Heading2Char"/>
          <w:b/>
          <w:bCs/>
          <w:sz w:val="26"/>
          <w:szCs w:val="26"/>
        </w:rPr>
        <w:t>F</w:t>
      </w:r>
      <w:r w:rsidR="005B5525" w:rsidRPr="00E37897">
        <w:rPr>
          <w:rStyle w:val="Heading2Char"/>
          <w:b/>
          <w:bCs/>
          <w:sz w:val="26"/>
          <w:szCs w:val="26"/>
        </w:rPr>
        <w:t>.</w:t>
      </w:r>
      <w:r w:rsidR="00524001" w:rsidRPr="00E37897">
        <w:rPr>
          <w:rStyle w:val="Heading2Char"/>
          <w:b/>
          <w:bCs/>
          <w:sz w:val="26"/>
          <w:szCs w:val="26"/>
        </w:rPr>
        <w:tab/>
      </w:r>
      <w:r w:rsidR="00C54F3D" w:rsidRPr="00E37897">
        <w:rPr>
          <w:rStyle w:val="Heading2Char"/>
          <w:b/>
          <w:bCs/>
          <w:sz w:val="26"/>
          <w:szCs w:val="26"/>
        </w:rPr>
        <w:t xml:space="preserve">ESC’s </w:t>
      </w:r>
      <w:bookmarkStart w:id="32" w:name="_Hlk56510389"/>
      <w:r w:rsidR="001B61D5" w:rsidRPr="00E37897">
        <w:rPr>
          <w:rStyle w:val="Heading2Char"/>
          <w:b/>
          <w:bCs/>
          <w:sz w:val="26"/>
          <w:szCs w:val="26"/>
        </w:rPr>
        <w:t>Proposal</w:t>
      </w:r>
      <w:r w:rsidR="00776A33" w:rsidRPr="00E37897">
        <w:rPr>
          <w:rStyle w:val="Heading2Char"/>
          <w:b/>
          <w:bCs/>
          <w:sz w:val="26"/>
          <w:szCs w:val="26"/>
        </w:rPr>
        <w:t xml:space="preserve"> Regarding a Commission</w:t>
      </w:r>
      <w:r w:rsidR="00A75E8A">
        <w:rPr>
          <w:rStyle w:val="Heading2Char"/>
          <w:b/>
          <w:bCs/>
          <w:sz w:val="26"/>
          <w:szCs w:val="26"/>
        </w:rPr>
        <w:t>-Ordered</w:t>
      </w:r>
      <w:r w:rsidR="00776A33" w:rsidRPr="00E37897">
        <w:rPr>
          <w:rStyle w:val="Heading2Char"/>
          <w:b/>
          <w:bCs/>
          <w:sz w:val="26"/>
          <w:szCs w:val="26"/>
        </w:rPr>
        <w:t xml:space="preserve"> Statewide Review</w:t>
      </w:r>
      <w:r w:rsidR="005271F3" w:rsidRPr="00E37897">
        <w:rPr>
          <w:rStyle w:val="Heading2Char"/>
          <w:b/>
          <w:bCs/>
          <w:sz w:val="26"/>
          <w:szCs w:val="26"/>
        </w:rPr>
        <w:t xml:space="preserve"> Addressing NITS</w:t>
      </w:r>
      <w:r w:rsidR="00A75E8A">
        <w:rPr>
          <w:rStyle w:val="Heading2Char"/>
          <w:b/>
          <w:bCs/>
          <w:sz w:val="26"/>
          <w:szCs w:val="26"/>
        </w:rPr>
        <w:t xml:space="preserve"> Costs Recovery to </w:t>
      </w:r>
      <w:r w:rsidR="00BA7772">
        <w:rPr>
          <w:rStyle w:val="Heading2Char"/>
          <w:b/>
          <w:bCs/>
          <w:sz w:val="26"/>
          <w:szCs w:val="26"/>
        </w:rPr>
        <w:t>Enhance the Retail Electric Market</w:t>
      </w:r>
      <w:bookmarkEnd w:id="32"/>
      <w:r w:rsidR="001542FF" w:rsidRPr="00E37897">
        <w:rPr>
          <w:rStyle w:val="Heading2Char"/>
          <w:b/>
          <w:bCs/>
          <w:sz w:val="26"/>
          <w:szCs w:val="26"/>
        </w:rPr>
        <w:t>, Responses</w:t>
      </w:r>
      <w:r w:rsidR="00137B64" w:rsidRPr="00E37897">
        <w:rPr>
          <w:rStyle w:val="Heading2Char"/>
          <w:b/>
          <w:bCs/>
          <w:sz w:val="26"/>
          <w:szCs w:val="26"/>
        </w:rPr>
        <w:t xml:space="preserve"> Thereto, and Disposition</w:t>
      </w:r>
      <w:bookmarkEnd w:id="31"/>
      <w:r w:rsidR="00137B64" w:rsidRPr="00E37897">
        <w:rPr>
          <w:rStyle w:val="Heading2Char"/>
          <w:b/>
          <w:bCs/>
          <w:sz w:val="26"/>
          <w:szCs w:val="26"/>
        </w:rPr>
        <w:t xml:space="preserve"> </w:t>
      </w:r>
    </w:p>
    <w:p w14:paraId="44804654" w14:textId="24EF2D24" w:rsidR="005B5525" w:rsidRPr="00E37897" w:rsidRDefault="005B5525" w:rsidP="00A051C8">
      <w:pPr>
        <w:keepNext/>
        <w:keepLines/>
        <w:widowControl/>
        <w:spacing w:line="480" w:lineRule="auto"/>
        <w:ind w:left="1440"/>
        <w:contextualSpacing/>
        <w:rPr>
          <w:bCs/>
          <w:sz w:val="26"/>
          <w:szCs w:val="26"/>
        </w:rPr>
      </w:pPr>
    </w:p>
    <w:p w14:paraId="3D235DA9" w14:textId="61996063" w:rsidR="00FA3EB5" w:rsidRPr="00E37897" w:rsidRDefault="00FA3EB5" w:rsidP="005F3BE2">
      <w:pPr>
        <w:pStyle w:val="Heading3"/>
        <w:keepNext/>
        <w:keepLines/>
        <w:numPr>
          <w:ilvl w:val="0"/>
          <w:numId w:val="27"/>
        </w:numPr>
        <w:tabs>
          <w:tab w:val="num" w:pos="1620"/>
        </w:tabs>
        <w:spacing w:after="0" w:line="360" w:lineRule="auto"/>
        <w:ind w:left="1620" w:hanging="720"/>
        <w:contextualSpacing/>
        <w:jc w:val="left"/>
        <w:rPr>
          <w:sz w:val="26"/>
        </w:rPr>
      </w:pPr>
      <w:bookmarkStart w:id="33" w:name="_Toc56512776"/>
      <w:r w:rsidRPr="00E37897">
        <w:rPr>
          <w:sz w:val="26"/>
        </w:rPr>
        <w:t xml:space="preserve">ESC’s </w:t>
      </w:r>
      <w:r w:rsidR="001B61D5" w:rsidRPr="00E37897">
        <w:rPr>
          <w:sz w:val="26"/>
        </w:rPr>
        <w:t>Proposal</w:t>
      </w:r>
      <w:bookmarkEnd w:id="33"/>
    </w:p>
    <w:p w14:paraId="0A403293" w14:textId="7B386263" w:rsidR="00137B64" w:rsidRPr="00E37897" w:rsidRDefault="005271F3" w:rsidP="005F3BE2">
      <w:pPr>
        <w:pStyle w:val="BodyText1"/>
        <w:keepNext/>
        <w:keepLines/>
        <w:spacing w:line="360" w:lineRule="auto"/>
        <w:contextualSpacing/>
        <w:rPr>
          <w:bCs/>
          <w:sz w:val="26"/>
          <w:szCs w:val="26"/>
        </w:rPr>
      </w:pPr>
      <w:r w:rsidRPr="00E37897">
        <w:rPr>
          <w:bCs/>
          <w:sz w:val="26"/>
          <w:szCs w:val="26"/>
        </w:rPr>
        <w:tab/>
      </w:r>
    </w:p>
    <w:p w14:paraId="4F29B848" w14:textId="0B5F2AFF" w:rsidR="00A4651F" w:rsidRPr="00E37897" w:rsidRDefault="00167A68" w:rsidP="005F3BE2">
      <w:pPr>
        <w:pStyle w:val="BodyText1"/>
        <w:spacing w:line="360" w:lineRule="auto"/>
        <w:ind w:firstLine="1440"/>
        <w:contextualSpacing/>
        <w:rPr>
          <w:sz w:val="26"/>
          <w:szCs w:val="26"/>
        </w:rPr>
      </w:pPr>
      <w:r>
        <w:rPr>
          <w:bCs/>
          <w:sz w:val="26"/>
          <w:szCs w:val="26"/>
        </w:rPr>
        <w:t xml:space="preserve">The </w:t>
      </w:r>
      <w:r w:rsidR="00A4651F" w:rsidRPr="00E37897">
        <w:rPr>
          <w:bCs/>
          <w:sz w:val="26"/>
          <w:szCs w:val="26"/>
        </w:rPr>
        <w:t xml:space="preserve">ESC proposes that </w:t>
      </w:r>
      <w:r w:rsidR="002E7045" w:rsidRPr="00E37897">
        <w:rPr>
          <w:bCs/>
          <w:sz w:val="26"/>
          <w:szCs w:val="26"/>
        </w:rPr>
        <w:t>instead of</w:t>
      </w:r>
      <w:r w:rsidR="00864A79" w:rsidRPr="00E37897">
        <w:rPr>
          <w:sz w:val="26"/>
          <w:szCs w:val="26"/>
        </w:rPr>
        <w:t xml:space="preserve"> continu</w:t>
      </w:r>
      <w:r w:rsidR="002E7045" w:rsidRPr="00E37897">
        <w:rPr>
          <w:sz w:val="26"/>
          <w:szCs w:val="26"/>
        </w:rPr>
        <w:t>ing</w:t>
      </w:r>
      <w:r w:rsidR="00864A79" w:rsidRPr="00E37897">
        <w:rPr>
          <w:sz w:val="26"/>
          <w:szCs w:val="26"/>
        </w:rPr>
        <w:t xml:space="preserve"> the current unlevel market by rejecting </w:t>
      </w:r>
      <w:r>
        <w:rPr>
          <w:sz w:val="26"/>
          <w:szCs w:val="26"/>
        </w:rPr>
        <w:t xml:space="preserve">the </w:t>
      </w:r>
      <w:r w:rsidR="00864A79" w:rsidRPr="00E37897">
        <w:rPr>
          <w:sz w:val="26"/>
          <w:szCs w:val="26"/>
        </w:rPr>
        <w:t xml:space="preserve">ESC’s </w:t>
      </w:r>
      <w:r w:rsidR="002E7045" w:rsidRPr="00E37897">
        <w:rPr>
          <w:sz w:val="26"/>
          <w:szCs w:val="26"/>
        </w:rPr>
        <w:t>position in this case</w:t>
      </w:r>
      <w:r w:rsidR="00864A79" w:rsidRPr="00E37897">
        <w:rPr>
          <w:sz w:val="26"/>
          <w:szCs w:val="26"/>
        </w:rPr>
        <w:t xml:space="preserve">, the Commission </w:t>
      </w:r>
      <w:r w:rsidR="0018209A" w:rsidRPr="00E37897">
        <w:rPr>
          <w:sz w:val="26"/>
          <w:szCs w:val="26"/>
        </w:rPr>
        <w:t xml:space="preserve">should </w:t>
      </w:r>
      <w:r w:rsidR="00864A79" w:rsidRPr="00E37897">
        <w:rPr>
          <w:sz w:val="26"/>
          <w:szCs w:val="26"/>
        </w:rPr>
        <w:t>institute a statewide review of whether there is a need to address NITS cost recovery in a more uniform and comprehensive way that would facilitate and enhance the retail electric market.</w:t>
      </w:r>
      <w:r w:rsidR="00A4651F" w:rsidRPr="00E37897">
        <w:rPr>
          <w:sz w:val="26"/>
          <w:szCs w:val="26"/>
        </w:rPr>
        <w:t xml:space="preserve"> </w:t>
      </w:r>
      <w:r w:rsidR="0018209A" w:rsidRPr="00E37897">
        <w:rPr>
          <w:sz w:val="26"/>
          <w:szCs w:val="26"/>
        </w:rPr>
        <w:t xml:space="preserve"> </w:t>
      </w:r>
      <w:r w:rsidR="00DC62B7" w:rsidRPr="00E37897">
        <w:rPr>
          <w:sz w:val="26"/>
          <w:szCs w:val="26"/>
        </w:rPr>
        <w:t xml:space="preserve">ESC Exc. at 12.  </w:t>
      </w:r>
      <w:r>
        <w:rPr>
          <w:sz w:val="26"/>
          <w:szCs w:val="26"/>
        </w:rPr>
        <w:t xml:space="preserve">The </w:t>
      </w:r>
      <w:r w:rsidR="00092AEC" w:rsidRPr="00E37897">
        <w:rPr>
          <w:sz w:val="26"/>
          <w:szCs w:val="26"/>
        </w:rPr>
        <w:t xml:space="preserve">ESC refers to </w:t>
      </w:r>
      <w:r w:rsidR="00A4651F" w:rsidRPr="00E37897">
        <w:rPr>
          <w:sz w:val="26"/>
          <w:szCs w:val="26"/>
        </w:rPr>
        <w:t>Mr. Kavulla</w:t>
      </w:r>
      <w:r w:rsidR="00092AEC" w:rsidRPr="00E37897">
        <w:rPr>
          <w:sz w:val="26"/>
          <w:szCs w:val="26"/>
        </w:rPr>
        <w:t>’s testimony in which he discussed</w:t>
      </w:r>
      <w:r w:rsidR="00A4651F" w:rsidRPr="00E37897">
        <w:rPr>
          <w:sz w:val="26"/>
          <w:szCs w:val="26"/>
        </w:rPr>
        <w:t xml:space="preserve"> the Commission’s May 1, 2015 Secretarial Letter initiating an informal investigation “to determine if there is a need to address these non-market based wholesale market charges in a more uniform and comprehensive way that would facilitate and enhance the retail electric market during future proceedings.”  </w:t>
      </w:r>
      <w:r>
        <w:rPr>
          <w:sz w:val="26"/>
          <w:szCs w:val="26"/>
        </w:rPr>
        <w:t xml:space="preserve">The </w:t>
      </w:r>
      <w:r w:rsidR="00393AD0" w:rsidRPr="00E37897">
        <w:rPr>
          <w:sz w:val="26"/>
          <w:szCs w:val="26"/>
        </w:rPr>
        <w:t>ESC also referenced Mr. Kavulla’s testimony in which</w:t>
      </w:r>
      <w:r w:rsidR="00092AEC" w:rsidRPr="00E37897">
        <w:rPr>
          <w:sz w:val="26"/>
          <w:szCs w:val="26"/>
        </w:rPr>
        <w:t xml:space="preserve"> </w:t>
      </w:r>
      <w:r w:rsidR="00393AD0" w:rsidRPr="00E37897">
        <w:rPr>
          <w:sz w:val="26"/>
          <w:szCs w:val="26"/>
        </w:rPr>
        <w:t>h</w:t>
      </w:r>
      <w:r w:rsidR="00A4651F" w:rsidRPr="00E37897">
        <w:rPr>
          <w:sz w:val="26"/>
          <w:szCs w:val="26"/>
        </w:rPr>
        <w:t xml:space="preserve">e noted that neither the information provided by the EDCs in </w:t>
      </w:r>
      <w:r w:rsidR="00A4651F" w:rsidRPr="00E37897">
        <w:rPr>
          <w:sz w:val="26"/>
          <w:szCs w:val="26"/>
        </w:rPr>
        <w:lastRenderedPageBreak/>
        <w:t xml:space="preserve">response to the May 1, 2015 letter nor any other result of the Staff’s informal investigation was shared publicly.  </w:t>
      </w:r>
      <w:r w:rsidR="00C9338D" w:rsidRPr="00E37897">
        <w:rPr>
          <w:i/>
          <w:iCs/>
          <w:sz w:val="26"/>
          <w:szCs w:val="26"/>
        </w:rPr>
        <w:t>Id</w:t>
      </w:r>
      <w:r w:rsidR="00C9338D" w:rsidRPr="00E37897">
        <w:rPr>
          <w:sz w:val="26"/>
          <w:szCs w:val="26"/>
        </w:rPr>
        <w:t xml:space="preserve">.  </w:t>
      </w:r>
      <w:r>
        <w:rPr>
          <w:sz w:val="26"/>
          <w:szCs w:val="26"/>
        </w:rPr>
        <w:t xml:space="preserve">The </w:t>
      </w:r>
      <w:r w:rsidR="00C9338D" w:rsidRPr="00E37897">
        <w:rPr>
          <w:sz w:val="26"/>
          <w:szCs w:val="26"/>
        </w:rPr>
        <w:t xml:space="preserve">ESC states that </w:t>
      </w:r>
      <w:r w:rsidR="00A4651F" w:rsidRPr="00E37897">
        <w:rPr>
          <w:sz w:val="26"/>
          <w:szCs w:val="26"/>
        </w:rPr>
        <w:t xml:space="preserve">in response to discovery in this proceeding, </w:t>
      </w:r>
      <w:r w:rsidR="00C9338D" w:rsidRPr="00E37897">
        <w:rPr>
          <w:sz w:val="26"/>
          <w:szCs w:val="26"/>
        </w:rPr>
        <w:t xml:space="preserve">PECO </w:t>
      </w:r>
      <w:r w:rsidR="00A4651F" w:rsidRPr="00E37897">
        <w:rPr>
          <w:sz w:val="26"/>
          <w:szCs w:val="26"/>
        </w:rPr>
        <w:t>indicated that “after a reasonable search . . . it was unable to locate the written informal comments” shared with Commission Staff.</w:t>
      </w:r>
      <w:r w:rsidR="00C9338D" w:rsidRPr="00E37897">
        <w:rPr>
          <w:sz w:val="26"/>
          <w:szCs w:val="26"/>
        </w:rPr>
        <w:t xml:space="preserve">  </w:t>
      </w:r>
      <w:r w:rsidR="00C9338D" w:rsidRPr="00E37897">
        <w:rPr>
          <w:i/>
          <w:iCs/>
          <w:sz w:val="26"/>
          <w:szCs w:val="26"/>
        </w:rPr>
        <w:t>Id</w:t>
      </w:r>
      <w:r w:rsidR="00C9338D" w:rsidRPr="00E37897">
        <w:rPr>
          <w:sz w:val="26"/>
          <w:szCs w:val="26"/>
        </w:rPr>
        <w:t xml:space="preserve">. (citing </w:t>
      </w:r>
      <w:r w:rsidR="0022769E" w:rsidRPr="00E37897">
        <w:rPr>
          <w:sz w:val="26"/>
          <w:szCs w:val="26"/>
        </w:rPr>
        <w:t>Exh. TK-14</w:t>
      </w:r>
      <w:r w:rsidR="00AA4A97" w:rsidRPr="00E37897">
        <w:rPr>
          <w:sz w:val="26"/>
          <w:szCs w:val="26"/>
        </w:rPr>
        <w:t>).</w:t>
      </w:r>
      <w:r w:rsidR="00A4651F" w:rsidRPr="00E37897">
        <w:rPr>
          <w:sz w:val="26"/>
          <w:szCs w:val="26"/>
        </w:rPr>
        <w:t xml:space="preserve"> </w:t>
      </w:r>
      <w:r w:rsidR="00AA4A97" w:rsidRPr="00E37897">
        <w:rPr>
          <w:sz w:val="26"/>
          <w:szCs w:val="26"/>
        </w:rPr>
        <w:t xml:space="preserve"> </w:t>
      </w:r>
      <w:r>
        <w:rPr>
          <w:sz w:val="26"/>
          <w:szCs w:val="26"/>
        </w:rPr>
        <w:t xml:space="preserve">The </w:t>
      </w:r>
      <w:r w:rsidR="00AA4A97" w:rsidRPr="00E37897">
        <w:rPr>
          <w:sz w:val="26"/>
          <w:szCs w:val="26"/>
        </w:rPr>
        <w:t xml:space="preserve">ESC notes that </w:t>
      </w:r>
      <w:r w:rsidR="00A4651F" w:rsidRPr="00E37897">
        <w:rPr>
          <w:sz w:val="26"/>
          <w:szCs w:val="26"/>
        </w:rPr>
        <w:t xml:space="preserve">in April 2017, Commission Staff </w:t>
      </w:r>
      <w:r w:rsidR="00421009" w:rsidRPr="00E37897">
        <w:rPr>
          <w:sz w:val="26"/>
          <w:szCs w:val="26"/>
        </w:rPr>
        <w:t>indicated it would</w:t>
      </w:r>
      <w:r w:rsidR="00A4651F" w:rsidRPr="00E37897">
        <w:rPr>
          <w:sz w:val="26"/>
          <w:szCs w:val="26"/>
        </w:rPr>
        <w:t xml:space="preserve"> reopen the informal investigation and requested </w:t>
      </w:r>
      <w:r w:rsidR="00421009" w:rsidRPr="00E37897">
        <w:rPr>
          <w:sz w:val="26"/>
          <w:szCs w:val="26"/>
        </w:rPr>
        <w:t>that i</w:t>
      </w:r>
      <w:r w:rsidR="00A4651F" w:rsidRPr="00E37897">
        <w:rPr>
          <w:sz w:val="26"/>
          <w:szCs w:val="26"/>
        </w:rPr>
        <w:t>nterested stakeholder</w:t>
      </w:r>
      <w:r w:rsidR="00421009" w:rsidRPr="00E37897">
        <w:rPr>
          <w:sz w:val="26"/>
          <w:szCs w:val="26"/>
        </w:rPr>
        <w:t>s</w:t>
      </w:r>
      <w:r w:rsidR="00A4651F" w:rsidRPr="00E37897">
        <w:rPr>
          <w:sz w:val="26"/>
          <w:szCs w:val="26"/>
        </w:rPr>
        <w:t xml:space="preserve"> submit informal comments by July 2017.  </w:t>
      </w:r>
      <w:r w:rsidR="00BA3170" w:rsidRPr="00E37897">
        <w:rPr>
          <w:sz w:val="26"/>
          <w:szCs w:val="26"/>
        </w:rPr>
        <w:t xml:space="preserve">ESC Exc. at 12.  </w:t>
      </w:r>
      <w:r>
        <w:rPr>
          <w:sz w:val="26"/>
          <w:szCs w:val="26"/>
        </w:rPr>
        <w:t xml:space="preserve">The </w:t>
      </w:r>
      <w:r w:rsidR="00421009" w:rsidRPr="00E37897">
        <w:rPr>
          <w:sz w:val="26"/>
          <w:szCs w:val="26"/>
        </w:rPr>
        <w:t>ESC avers that l</w:t>
      </w:r>
      <w:r w:rsidR="00A4651F" w:rsidRPr="00E37897">
        <w:rPr>
          <w:sz w:val="26"/>
          <w:szCs w:val="26"/>
        </w:rPr>
        <w:t xml:space="preserve">ike the earlier investigation, none of the informal information received in July 2017 nor any other result of Staff’s restarted investigation was publicly shared.  </w:t>
      </w:r>
      <w:r>
        <w:rPr>
          <w:sz w:val="26"/>
          <w:szCs w:val="26"/>
        </w:rPr>
        <w:t xml:space="preserve">The </w:t>
      </w:r>
      <w:r w:rsidR="00BE016E" w:rsidRPr="00E37897">
        <w:rPr>
          <w:sz w:val="26"/>
          <w:szCs w:val="26"/>
        </w:rPr>
        <w:t>ESC also avers that n</w:t>
      </w:r>
      <w:r w:rsidR="00A4651F" w:rsidRPr="00E37897">
        <w:rPr>
          <w:sz w:val="26"/>
          <w:szCs w:val="26"/>
        </w:rPr>
        <w:t xml:space="preserve">o further action has occurred as a result of this </w:t>
      </w:r>
      <w:r w:rsidR="00BE016E" w:rsidRPr="00E37897">
        <w:rPr>
          <w:sz w:val="26"/>
          <w:szCs w:val="26"/>
        </w:rPr>
        <w:t>investigation</w:t>
      </w:r>
      <w:r w:rsidR="00A4651F" w:rsidRPr="00E37897">
        <w:rPr>
          <w:sz w:val="26"/>
          <w:szCs w:val="26"/>
        </w:rPr>
        <w:t>.</w:t>
      </w:r>
      <w:r w:rsidR="00BA3170" w:rsidRPr="00E37897">
        <w:rPr>
          <w:sz w:val="26"/>
          <w:szCs w:val="26"/>
        </w:rPr>
        <w:t xml:space="preserve">  </w:t>
      </w:r>
      <w:r w:rsidR="00BA3170" w:rsidRPr="00E37897">
        <w:rPr>
          <w:i/>
          <w:iCs/>
          <w:sz w:val="26"/>
          <w:szCs w:val="26"/>
        </w:rPr>
        <w:t>Id</w:t>
      </w:r>
      <w:r w:rsidR="00BA3170" w:rsidRPr="00E37897">
        <w:rPr>
          <w:sz w:val="26"/>
          <w:szCs w:val="26"/>
        </w:rPr>
        <w:t xml:space="preserve">. </w:t>
      </w:r>
      <w:r w:rsidR="0085445C" w:rsidRPr="00E37897">
        <w:rPr>
          <w:sz w:val="26"/>
          <w:szCs w:val="26"/>
        </w:rPr>
        <w:t>at 12-13</w:t>
      </w:r>
      <w:r w:rsidR="00330FF3" w:rsidRPr="00E37897">
        <w:rPr>
          <w:sz w:val="26"/>
          <w:szCs w:val="26"/>
        </w:rPr>
        <w:t xml:space="preserve"> </w:t>
      </w:r>
      <w:r w:rsidR="00BA3170" w:rsidRPr="00E37897">
        <w:rPr>
          <w:sz w:val="26"/>
          <w:szCs w:val="26"/>
        </w:rPr>
        <w:t xml:space="preserve">(citing ESC St. </w:t>
      </w:r>
      <w:r w:rsidR="0011258B" w:rsidRPr="00E37897">
        <w:rPr>
          <w:sz w:val="26"/>
          <w:szCs w:val="26"/>
        </w:rPr>
        <w:t>1 at 31</w:t>
      </w:r>
      <w:r w:rsidR="00924404">
        <w:rPr>
          <w:sz w:val="26"/>
          <w:szCs w:val="26"/>
        </w:rPr>
        <w:noBreakHyphen/>
      </w:r>
      <w:r w:rsidR="0011258B" w:rsidRPr="00E37897">
        <w:rPr>
          <w:sz w:val="26"/>
          <w:szCs w:val="26"/>
        </w:rPr>
        <w:t>32).</w:t>
      </w:r>
      <w:r w:rsidR="00A4651F" w:rsidRPr="00E37897">
        <w:rPr>
          <w:sz w:val="26"/>
          <w:szCs w:val="26"/>
        </w:rPr>
        <w:t xml:space="preserve">  </w:t>
      </w:r>
    </w:p>
    <w:p w14:paraId="1FDFBB58" w14:textId="77777777" w:rsidR="00005BF7" w:rsidRPr="00E37897" w:rsidRDefault="00005BF7" w:rsidP="005F3BE2">
      <w:pPr>
        <w:pStyle w:val="BodyText1"/>
        <w:spacing w:line="360" w:lineRule="auto"/>
        <w:contextualSpacing/>
        <w:rPr>
          <w:sz w:val="26"/>
          <w:szCs w:val="26"/>
        </w:rPr>
      </w:pPr>
    </w:p>
    <w:p w14:paraId="394212AA" w14:textId="611BD4E2" w:rsidR="00A4651F" w:rsidRDefault="00167A68" w:rsidP="005F3BE2">
      <w:pPr>
        <w:pStyle w:val="BodyText1"/>
        <w:spacing w:line="360" w:lineRule="auto"/>
        <w:ind w:firstLine="1440"/>
        <w:contextualSpacing/>
        <w:rPr>
          <w:sz w:val="26"/>
          <w:szCs w:val="26"/>
        </w:rPr>
      </w:pPr>
      <w:r>
        <w:rPr>
          <w:sz w:val="26"/>
          <w:szCs w:val="26"/>
        </w:rPr>
        <w:t xml:space="preserve">The </w:t>
      </w:r>
      <w:r w:rsidR="00DB1A63" w:rsidRPr="00E37897">
        <w:rPr>
          <w:sz w:val="26"/>
          <w:szCs w:val="26"/>
        </w:rPr>
        <w:t>ESC states that the ALJ</w:t>
      </w:r>
      <w:r w:rsidR="00A4651F" w:rsidRPr="00E37897">
        <w:rPr>
          <w:sz w:val="26"/>
          <w:szCs w:val="26"/>
        </w:rPr>
        <w:t xml:space="preserve"> does not consider </w:t>
      </w:r>
      <w:r w:rsidR="00DB1A63" w:rsidRPr="00E37897">
        <w:rPr>
          <w:sz w:val="26"/>
          <w:szCs w:val="26"/>
        </w:rPr>
        <w:t xml:space="preserve">in this proceeding </w:t>
      </w:r>
      <w:r w:rsidR="00A4651F" w:rsidRPr="00E37897">
        <w:rPr>
          <w:sz w:val="26"/>
          <w:szCs w:val="26"/>
        </w:rPr>
        <w:t xml:space="preserve">how an EGS’s recovery of NITS may vary depending on customer class but, rather, relies on testimony that </w:t>
      </w:r>
      <w:r w:rsidR="00B966F6">
        <w:rPr>
          <w:sz w:val="26"/>
          <w:szCs w:val="26"/>
        </w:rPr>
        <w:t>L</w:t>
      </w:r>
      <w:r w:rsidR="00A4651F" w:rsidRPr="00E37897">
        <w:rPr>
          <w:sz w:val="26"/>
          <w:szCs w:val="26"/>
        </w:rPr>
        <w:t xml:space="preserve">arge C&amp;I customers pay NITS costs on a direct pass-through basis.  </w:t>
      </w:r>
      <w:r>
        <w:rPr>
          <w:sz w:val="26"/>
          <w:szCs w:val="26"/>
        </w:rPr>
        <w:t xml:space="preserve">The </w:t>
      </w:r>
      <w:r w:rsidR="00EF2CE2" w:rsidRPr="00E37897">
        <w:rPr>
          <w:sz w:val="26"/>
          <w:szCs w:val="26"/>
        </w:rPr>
        <w:t>ESC avers that d</w:t>
      </w:r>
      <w:r w:rsidR="00A4651F" w:rsidRPr="00E37897">
        <w:rPr>
          <w:sz w:val="26"/>
          <w:szCs w:val="26"/>
        </w:rPr>
        <w:t xml:space="preserve">ecisions on these issues that may make sense for </w:t>
      </w:r>
      <w:r w:rsidR="000C2F7A">
        <w:rPr>
          <w:sz w:val="26"/>
          <w:szCs w:val="26"/>
        </w:rPr>
        <w:t>L</w:t>
      </w:r>
      <w:r w:rsidR="00A4651F" w:rsidRPr="00E37897">
        <w:rPr>
          <w:sz w:val="26"/>
          <w:szCs w:val="26"/>
        </w:rPr>
        <w:t xml:space="preserve">arge C&amp;I customers do not necessarily make sense for residential and/or small commercial customers. </w:t>
      </w:r>
      <w:r w:rsidR="00EF2CE2" w:rsidRPr="00E37897">
        <w:rPr>
          <w:sz w:val="26"/>
          <w:szCs w:val="26"/>
        </w:rPr>
        <w:t xml:space="preserve"> </w:t>
      </w:r>
      <w:r w:rsidR="00330FF3" w:rsidRPr="00E37897">
        <w:rPr>
          <w:i/>
          <w:iCs/>
          <w:sz w:val="26"/>
          <w:szCs w:val="26"/>
        </w:rPr>
        <w:t>Id</w:t>
      </w:r>
      <w:r w:rsidR="00330FF3" w:rsidRPr="00E37897">
        <w:rPr>
          <w:sz w:val="26"/>
          <w:szCs w:val="26"/>
        </w:rPr>
        <w:t xml:space="preserve">. at 13.  </w:t>
      </w:r>
      <w:r>
        <w:rPr>
          <w:sz w:val="26"/>
          <w:szCs w:val="26"/>
        </w:rPr>
        <w:t xml:space="preserve">The </w:t>
      </w:r>
      <w:r w:rsidR="00D203D5" w:rsidRPr="00E37897">
        <w:rPr>
          <w:sz w:val="26"/>
          <w:szCs w:val="26"/>
        </w:rPr>
        <w:t xml:space="preserve">ESC believes that a statewide review, with </w:t>
      </w:r>
      <w:r w:rsidR="00BC4E9F" w:rsidRPr="00E37897">
        <w:rPr>
          <w:sz w:val="26"/>
          <w:szCs w:val="26"/>
        </w:rPr>
        <w:t>input and deliberation from interested stakeholders</w:t>
      </w:r>
      <w:r w:rsidR="00BC1C57" w:rsidRPr="00E37897">
        <w:rPr>
          <w:sz w:val="26"/>
          <w:szCs w:val="26"/>
        </w:rPr>
        <w:t>,</w:t>
      </w:r>
      <w:r w:rsidR="00BC4E9F" w:rsidRPr="00E37897">
        <w:rPr>
          <w:sz w:val="26"/>
          <w:szCs w:val="26"/>
        </w:rPr>
        <w:t xml:space="preserve"> is a reasonable resolution g</w:t>
      </w:r>
      <w:r w:rsidR="00A4651F" w:rsidRPr="00E37897">
        <w:rPr>
          <w:sz w:val="26"/>
          <w:szCs w:val="26"/>
        </w:rPr>
        <w:t xml:space="preserve">iven the debate on the record in this proceeding, </w:t>
      </w:r>
      <w:r>
        <w:rPr>
          <w:sz w:val="26"/>
          <w:szCs w:val="26"/>
        </w:rPr>
        <w:t xml:space="preserve">the </w:t>
      </w:r>
      <w:r w:rsidR="00B41138" w:rsidRPr="00E37897">
        <w:rPr>
          <w:sz w:val="26"/>
          <w:szCs w:val="26"/>
        </w:rPr>
        <w:t xml:space="preserve">ESC’s assertion that </w:t>
      </w:r>
      <w:r w:rsidR="00A4651F" w:rsidRPr="00E37897">
        <w:rPr>
          <w:sz w:val="26"/>
          <w:szCs w:val="26"/>
        </w:rPr>
        <w:t xml:space="preserve">an unlevel playing field will continue to exist </w:t>
      </w:r>
      <w:r w:rsidR="00B41138" w:rsidRPr="00E37897">
        <w:rPr>
          <w:sz w:val="26"/>
          <w:szCs w:val="26"/>
        </w:rPr>
        <w:t>as</w:t>
      </w:r>
      <w:r w:rsidR="00A4651F" w:rsidRPr="00E37897">
        <w:rPr>
          <w:sz w:val="26"/>
          <w:szCs w:val="26"/>
        </w:rPr>
        <w:t xml:space="preserve"> long as the Commission maintains the status quo, and the apparent importance of this issue to </w:t>
      </w:r>
      <w:r w:rsidR="00B41138" w:rsidRPr="00E37897">
        <w:rPr>
          <w:sz w:val="26"/>
          <w:szCs w:val="26"/>
        </w:rPr>
        <w:t>other</w:t>
      </w:r>
      <w:r w:rsidR="00A4651F" w:rsidRPr="00E37897">
        <w:rPr>
          <w:sz w:val="26"/>
          <w:szCs w:val="26"/>
        </w:rPr>
        <w:t xml:space="preserve"> EGSs as they continue to raise it in default service proceedings.</w:t>
      </w:r>
      <w:r w:rsidR="00330FF3" w:rsidRPr="00E37897">
        <w:rPr>
          <w:sz w:val="26"/>
          <w:szCs w:val="26"/>
        </w:rPr>
        <w:t xml:space="preserve">  </w:t>
      </w:r>
      <w:r w:rsidR="00330FF3" w:rsidRPr="00E37897">
        <w:rPr>
          <w:i/>
          <w:iCs/>
          <w:sz w:val="26"/>
          <w:szCs w:val="26"/>
        </w:rPr>
        <w:t>Id</w:t>
      </w:r>
      <w:r w:rsidR="00330FF3" w:rsidRPr="00E37897">
        <w:rPr>
          <w:sz w:val="26"/>
          <w:szCs w:val="26"/>
        </w:rPr>
        <w:t xml:space="preserve">. at 13-14. </w:t>
      </w:r>
      <w:r w:rsidR="009E1CDB" w:rsidRPr="00E37897">
        <w:rPr>
          <w:sz w:val="26"/>
          <w:szCs w:val="26"/>
        </w:rPr>
        <w:t xml:space="preserve"> </w:t>
      </w:r>
      <w:r>
        <w:rPr>
          <w:sz w:val="26"/>
          <w:szCs w:val="26"/>
        </w:rPr>
        <w:t xml:space="preserve">The </w:t>
      </w:r>
      <w:r w:rsidR="009E1CDB" w:rsidRPr="00E37897">
        <w:rPr>
          <w:sz w:val="26"/>
          <w:szCs w:val="26"/>
        </w:rPr>
        <w:t>ESC explains that w</w:t>
      </w:r>
      <w:r w:rsidR="00A4651F" w:rsidRPr="00E37897">
        <w:rPr>
          <w:sz w:val="26"/>
          <w:szCs w:val="26"/>
        </w:rPr>
        <w:t xml:space="preserve">hile </w:t>
      </w:r>
      <w:r w:rsidR="009E1CDB" w:rsidRPr="00E37897">
        <w:rPr>
          <w:sz w:val="26"/>
          <w:szCs w:val="26"/>
        </w:rPr>
        <w:t>its</w:t>
      </w:r>
      <w:r w:rsidR="00A4651F" w:rsidRPr="00E37897">
        <w:rPr>
          <w:sz w:val="26"/>
          <w:szCs w:val="26"/>
        </w:rPr>
        <w:t xml:space="preserve"> proposal would address the market inequities,</w:t>
      </w:r>
      <w:r w:rsidR="00557D89" w:rsidRPr="00E37897">
        <w:rPr>
          <w:sz w:val="26"/>
          <w:szCs w:val="26"/>
        </w:rPr>
        <w:t xml:space="preserve"> t</w:t>
      </w:r>
      <w:r w:rsidR="00A4651F" w:rsidRPr="00E37897">
        <w:rPr>
          <w:sz w:val="26"/>
          <w:szCs w:val="26"/>
        </w:rPr>
        <w:t>he statewide investigation could also deal with differences necessitated by differing customer classes as well as transition issues.</w:t>
      </w:r>
      <w:r w:rsidR="00FE55E8" w:rsidRPr="00E37897">
        <w:rPr>
          <w:sz w:val="26"/>
          <w:szCs w:val="26"/>
        </w:rPr>
        <w:t xml:space="preserve">  </w:t>
      </w:r>
      <w:r w:rsidR="00FE55E8" w:rsidRPr="00E37897">
        <w:rPr>
          <w:i/>
          <w:iCs/>
          <w:sz w:val="26"/>
          <w:szCs w:val="26"/>
        </w:rPr>
        <w:t>Id</w:t>
      </w:r>
      <w:r w:rsidR="00FE55E8" w:rsidRPr="00E37897">
        <w:rPr>
          <w:sz w:val="26"/>
          <w:szCs w:val="26"/>
        </w:rPr>
        <w:t xml:space="preserve">. at 14 (citing ESC M.B. at </w:t>
      </w:r>
      <w:r w:rsidR="00C4048F" w:rsidRPr="00E37897">
        <w:rPr>
          <w:sz w:val="26"/>
          <w:szCs w:val="26"/>
        </w:rPr>
        <w:t xml:space="preserve">12-13; ESC St. 1-S at 24).  </w:t>
      </w:r>
      <w:r w:rsidR="00A4651F" w:rsidRPr="00E37897">
        <w:rPr>
          <w:sz w:val="26"/>
          <w:szCs w:val="26"/>
        </w:rPr>
        <w:t xml:space="preserve">  </w:t>
      </w:r>
    </w:p>
    <w:p w14:paraId="2E0DC109" w14:textId="77777777" w:rsidR="00665A70" w:rsidRPr="00E37897" w:rsidRDefault="00665A70" w:rsidP="005F3BE2">
      <w:pPr>
        <w:pStyle w:val="BodyText1"/>
        <w:spacing w:line="360" w:lineRule="auto"/>
        <w:ind w:firstLine="1440"/>
        <w:contextualSpacing/>
        <w:rPr>
          <w:sz w:val="26"/>
          <w:szCs w:val="26"/>
        </w:rPr>
      </w:pPr>
    </w:p>
    <w:p w14:paraId="06A38C3B" w14:textId="4E064F02" w:rsidR="005271F3" w:rsidRPr="00E37897" w:rsidRDefault="00ED31BD" w:rsidP="005F3BE2">
      <w:pPr>
        <w:pStyle w:val="Heading3"/>
        <w:keepNext/>
        <w:keepLines/>
        <w:numPr>
          <w:ilvl w:val="0"/>
          <w:numId w:val="27"/>
        </w:numPr>
        <w:spacing w:after="0" w:line="360" w:lineRule="auto"/>
        <w:ind w:left="1440" w:hanging="720"/>
        <w:contextualSpacing/>
        <w:jc w:val="left"/>
        <w:rPr>
          <w:sz w:val="26"/>
        </w:rPr>
      </w:pPr>
      <w:bookmarkStart w:id="34" w:name="_Toc56512777"/>
      <w:r w:rsidRPr="00E37897">
        <w:rPr>
          <w:sz w:val="26"/>
        </w:rPr>
        <w:lastRenderedPageBreak/>
        <w:t>Responses</w:t>
      </w:r>
      <w:bookmarkEnd w:id="34"/>
      <w:r w:rsidRPr="00E37897">
        <w:rPr>
          <w:sz w:val="26"/>
        </w:rPr>
        <w:t xml:space="preserve"> </w:t>
      </w:r>
    </w:p>
    <w:p w14:paraId="72BE7F50" w14:textId="6311EAF2" w:rsidR="005B5525" w:rsidRPr="00E37897" w:rsidRDefault="005B5525" w:rsidP="005F3BE2">
      <w:pPr>
        <w:keepNext/>
        <w:keepLines/>
        <w:widowControl/>
        <w:spacing w:line="360" w:lineRule="auto"/>
        <w:ind w:left="1440"/>
        <w:contextualSpacing/>
        <w:rPr>
          <w:bCs/>
          <w:sz w:val="26"/>
          <w:szCs w:val="26"/>
        </w:rPr>
      </w:pPr>
    </w:p>
    <w:p w14:paraId="416F4358" w14:textId="168C397F" w:rsidR="00ED31BD" w:rsidRPr="00E37897" w:rsidRDefault="00BF71AB" w:rsidP="005F3BE2">
      <w:pPr>
        <w:pStyle w:val="Heading4"/>
        <w:keepNext/>
        <w:keepLines/>
        <w:numPr>
          <w:ilvl w:val="0"/>
          <w:numId w:val="29"/>
        </w:numPr>
        <w:spacing w:after="0" w:line="360" w:lineRule="auto"/>
        <w:ind w:left="2160" w:hanging="720"/>
        <w:contextualSpacing/>
        <w:jc w:val="left"/>
        <w:rPr>
          <w:sz w:val="26"/>
          <w:szCs w:val="26"/>
        </w:rPr>
      </w:pPr>
      <w:r w:rsidRPr="00E37897">
        <w:rPr>
          <w:sz w:val="26"/>
          <w:szCs w:val="26"/>
        </w:rPr>
        <w:t>PECO</w:t>
      </w:r>
    </w:p>
    <w:p w14:paraId="532B7279" w14:textId="44D372AF" w:rsidR="00ED31BD" w:rsidRPr="00E37897" w:rsidRDefault="00ED31BD" w:rsidP="005F3BE2">
      <w:pPr>
        <w:keepNext/>
        <w:keepLines/>
        <w:widowControl/>
        <w:spacing w:line="360" w:lineRule="auto"/>
        <w:ind w:left="1440"/>
        <w:contextualSpacing/>
        <w:rPr>
          <w:bCs/>
          <w:sz w:val="26"/>
          <w:szCs w:val="26"/>
        </w:rPr>
      </w:pPr>
    </w:p>
    <w:p w14:paraId="2D1BD934" w14:textId="300830B4" w:rsidR="007071E0" w:rsidRPr="00E37897" w:rsidRDefault="001B61D5" w:rsidP="005F3BE2">
      <w:pPr>
        <w:widowControl/>
        <w:spacing w:line="360" w:lineRule="auto"/>
        <w:ind w:right="144" w:firstLine="1440"/>
        <w:contextualSpacing/>
        <w:textAlignment w:val="baseline"/>
        <w:rPr>
          <w:color w:val="000000"/>
          <w:sz w:val="26"/>
          <w:szCs w:val="26"/>
        </w:rPr>
      </w:pPr>
      <w:r w:rsidRPr="00E37897">
        <w:rPr>
          <w:color w:val="000000"/>
          <w:sz w:val="26"/>
          <w:szCs w:val="26"/>
        </w:rPr>
        <w:t xml:space="preserve">PECO argues that the Commission should reject </w:t>
      </w:r>
      <w:r w:rsidR="00167A68">
        <w:rPr>
          <w:color w:val="000000"/>
          <w:sz w:val="26"/>
          <w:szCs w:val="26"/>
        </w:rPr>
        <w:t xml:space="preserve">the </w:t>
      </w:r>
      <w:r w:rsidRPr="00E37897">
        <w:rPr>
          <w:color w:val="000000"/>
          <w:sz w:val="26"/>
          <w:szCs w:val="26"/>
        </w:rPr>
        <w:t>ESC’s proposal.  PECO states that t</w:t>
      </w:r>
      <w:r w:rsidR="007071E0" w:rsidRPr="00E37897">
        <w:rPr>
          <w:color w:val="000000"/>
          <w:sz w:val="26"/>
          <w:szCs w:val="26"/>
        </w:rPr>
        <w:t xml:space="preserve">he ALJ did not have the opportunity to consider this proposal, </w:t>
      </w:r>
      <w:r w:rsidR="001034D6" w:rsidRPr="00E37897">
        <w:rPr>
          <w:color w:val="000000"/>
          <w:sz w:val="26"/>
          <w:szCs w:val="26"/>
        </w:rPr>
        <w:t xml:space="preserve">because </w:t>
      </w:r>
      <w:r w:rsidR="00167A68">
        <w:rPr>
          <w:color w:val="000000"/>
          <w:sz w:val="26"/>
          <w:szCs w:val="26"/>
        </w:rPr>
        <w:t xml:space="preserve">the </w:t>
      </w:r>
      <w:r w:rsidR="007071E0" w:rsidRPr="00E37897">
        <w:rPr>
          <w:color w:val="000000"/>
          <w:sz w:val="26"/>
          <w:szCs w:val="26"/>
        </w:rPr>
        <w:t>ESC did not make its recommendations in briefing the issue reserved for litigation</w:t>
      </w:r>
      <w:r w:rsidR="007071E0" w:rsidRPr="00E37897">
        <w:rPr>
          <w:color w:val="000000"/>
          <w:spacing w:val="-2"/>
          <w:sz w:val="26"/>
          <w:szCs w:val="26"/>
        </w:rPr>
        <w:t xml:space="preserve">. </w:t>
      </w:r>
      <w:r w:rsidR="001034D6" w:rsidRPr="00E37897">
        <w:rPr>
          <w:color w:val="000000"/>
          <w:spacing w:val="-2"/>
          <w:sz w:val="26"/>
          <w:szCs w:val="26"/>
        </w:rPr>
        <w:t xml:space="preserve"> PECO avers that a</w:t>
      </w:r>
      <w:r w:rsidR="007071E0" w:rsidRPr="00E37897">
        <w:rPr>
          <w:color w:val="000000"/>
          <w:spacing w:val="-2"/>
          <w:sz w:val="26"/>
          <w:szCs w:val="26"/>
        </w:rPr>
        <w:t xml:space="preserve">s </w:t>
      </w:r>
      <w:r w:rsidR="00167A68">
        <w:rPr>
          <w:color w:val="000000"/>
          <w:spacing w:val="-2"/>
          <w:sz w:val="26"/>
          <w:szCs w:val="26"/>
        </w:rPr>
        <w:t xml:space="preserve">the </w:t>
      </w:r>
      <w:r w:rsidR="007071E0" w:rsidRPr="00E37897">
        <w:rPr>
          <w:color w:val="000000"/>
          <w:spacing w:val="-2"/>
          <w:sz w:val="26"/>
          <w:szCs w:val="26"/>
        </w:rPr>
        <w:t>ESC concedes, an investigation of non-market based PJM charges is already underway</w:t>
      </w:r>
      <w:r w:rsidR="007071E0" w:rsidRPr="00E37897">
        <w:rPr>
          <w:b/>
          <w:i/>
          <w:color w:val="000000"/>
          <w:spacing w:val="-2"/>
          <w:sz w:val="26"/>
          <w:szCs w:val="26"/>
        </w:rPr>
        <w:t xml:space="preserve"> </w:t>
      </w:r>
      <w:r w:rsidR="007071E0" w:rsidRPr="00E37897">
        <w:rPr>
          <w:color w:val="000000"/>
          <w:spacing w:val="-2"/>
          <w:sz w:val="26"/>
          <w:szCs w:val="26"/>
        </w:rPr>
        <w:t xml:space="preserve">at the Commission. </w:t>
      </w:r>
      <w:r w:rsidR="00203430" w:rsidRPr="00E37897">
        <w:rPr>
          <w:color w:val="000000"/>
          <w:spacing w:val="-2"/>
          <w:sz w:val="26"/>
          <w:szCs w:val="26"/>
        </w:rPr>
        <w:t xml:space="preserve"> </w:t>
      </w:r>
      <w:r w:rsidR="00A84744">
        <w:rPr>
          <w:color w:val="000000"/>
          <w:spacing w:val="-2"/>
          <w:sz w:val="26"/>
          <w:szCs w:val="26"/>
        </w:rPr>
        <w:t xml:space="preserve">PECO R. Exc. at </w:t>
      </w:r>
      <w:r w:rsidR="003F3D5F">
        <w:rPr>
          <w:color w:val="000000"/>
          <w:spacing w:val="-2"/>
          <w:sz w:val="26"/>
          <w:szCs w:val="26"/>
        </w:rPr>
        <w:t xml:space="preserve">8.  </w:t>
      </w:r>
      <w:r w:rsidR="00062335" w:rsidRPr="00E37897">
        <w:rPr>
          <w:color w:val="000000"/>
          <w:spacing w:val="-2"/>
          <w:sz w:val="26"/>
          <w:szCs w:val="26"/>
        </w:rPr>
        <w:t>PECO asserts that w</w:t>
      </w:r>
      <w:r w:rsidR="007071E0" w:rsidRPr="00E37897">
        <w:rPr>
          <w:color w:val="000000"/>
          <w:spacing w:val="-2"/>
          <w:sz w:val="26"/>
          <w:szCs w:val="26"/>
        </w:rPr>
        <w:t xml:space="preserve">hile </w:t>
      </w:r>
      <w:r w:rsidR="00167A68">
        <w:rPr>
          <w:color w:val="000000"/>
          <w:spacing w:val="-2"/>
          <w:sz w:val="26"/>
          <w:szCs w:val="26"/>
        </w:rPr>
        <w:t xml:space="preserve">the </w:t>
      </w:r>
      <w:r w:rsidR="007071E0" w:rsidRPr="00E37897">
        <w:rPr>
          <w:color w:val="000000"/>
          <w:spacing w:val="-2"/>
          <w:sz w:val="26"/>
          <w:szCs w:val="26"/>
        </w:rPr>
        <w:t xml:space="preserve">ESC may consider that investigation “stalled,” </w:t>
      </w:r>
      <w:r w:rsidR="00167A68">
        <w:rPr>
          <w:color w:val="000000"/>
          <w:spacing w:val="-2"/>
          <w:sz w:val="26"/>
          <w:szCs w:val="26"/>
        </w:rPr>
        <w:t xml:space="preserve">the </w:t>
      </w:r>
      <w:r w:rsidR="007071E0" w:rsidRPr="00E37897">
        <w:rPr>
          <w:color w:val="000000"/>
          <w:spacing w:val="-2"/>
          <w:sz w:val="26"/>
          <w:szCs w:val="26"/>
        </w:rPr>
        <w:t>ESC’s belief that the Commission should move</w:t>
      </w:r>
      <w:r w:rsidR="00062335" w:rsidRPr="00E37897">
        <w:rPr>
          <w:color w:val="000000"/>
          <w:spacing w:val="-2"/>
          <w:sz w:val="26"/>
          <w:szCs w:val="26"/>
        </w:rPr>
        <w:t xml:space="preserve"> </w:t>
      </w:r>
      <w:r w:rsidR="007071E0" w:rsidRPr="00E37897">
        <w:rPr>
          <w:color w:val="000000"/>
          <w:sz w:val="26"/>
          <w:szCs w:val="26"/>
        </w:rPr>
        <w:t xml:space="preserve">more quickly is no basis to start another investigation while an existing statewide investigation remains open. </w:t>
      </w:r>
      <w:r w:rsidR="00062335" w:rsidRPr="00E37897">
        <w:rPr>
          <w:color w:val="000000"/>
          <w:sz w:val="26"/>
          <w:szCs w:val="26"/>
        </w:rPr>
        <w:t xml:space="preserve"> </w:t>
      </w:r>
      <w:r w:rsidR="003F3D5F" w:rsidRPr="003F3D5F">
        <w:rPr>
          <w:i/>
          <w:iCs/>
          <w:color w:val="000000"/>
          <w:sz w:val="26"/>
          <w:szCs w:val="26"/>
        </w:rPr>
        <w:t>Id</w:t>
      </w:r>
      <w:r w:rsidR="003F3D5F">
        <w:rPr>
          <w:color w:val="000000"/>
          <w:sz w:val="26"/>
          <w:szCs w:val="26"/>
        </w:rPr>
        <w:t xml:space="preserve">. at 8-9.  </w:t>
      </w:r>
      <w:r w:rsidR="00062335" w:rsidRPr="00E37897">
        <w:rPr>
          <w:color w:val="000000"/>
          <w:sz w:val="26"/>
          <w:szCs w:val="26"/>
        </w:rPr>
        <w:t>PECO also believes that</w:t>
      </w:r>
      <w:r w:rsidR="004134D8" w:rsidRPr="00E37897">
        <w:rPr>
          <w:color w:val="000000"/>
          <w:sz w:val="26"/>
          <w:szCs w:val="26"/>
        </w:rPr>
        <w:t xml:space="preserve"> based on</w:t>
      </w:r>
      <w:r w:rsidR="00062335" w:rsidRPr="00E37897">
        <w:rPr>
          <w:color w:val="000000"/>
          <w:sz w:val="26"/>
          <w:szCs w:val="26"/>
        </w:rPr>
        <w:t xml:space="preserve"> </w:t>
      </w:r>
      <w:r w:rsidR="007071E0" w:rsidRPr="00E37897">
        <w:rPr>
          <w:color w:val="000000"/>
          <w:sz w:val="26"/>
          <w:szCs w:val="26"/>
        </w:rPr>
        <w:t xml:space="preserve">the repeated failure of both </w:t>
      </w:r>
      <w:r w:rsidR="00DF3173">
        <w:rPr>
          <w:color w:val="000000"/>
          <w:sz w:val="26"/>
          <w:szCs w:val="26"/>
        </w:rPr>
        <w:t xml:space="preserve">the </w:t>
      </w:r>
      <w:r w:rsidR="007071E0" w:rsidRPr="00E37897">
        <w:rPr>
          <w:color w:val="000000"/>
          <w:sz w:val="26"/>
          <w:szCs w:val="26"/>
        </w:rPr>
        <w:t>R</w:t>
      </w:r>
      <w:r w:rsidR="00DF3173">
        <w:rPr>
          <w:color w:val="000000"/>
          <w:sz w:val="26"/>
          <w:szCs w:val="26"/>
        </w:rPr>
        <w:t xml:space="preserve">etail </w:t>
      </w:r>
      <w:r w:rsidR="007071E0" w:rsidRPr="00E37897">
        <w:rPr>
          <w:color w:val="000000"/>
          <w:sz w:val="26"/>
          <w:szCs w:val="26"/>
        </w:rPr>
        <w:t>E</w:t>
      </w:r>
      <w:r w:rsidR="00DF3173">
        <w:rPr>
          <w:color w:val="000000"/>
          <w:sz w:val="26"/>
          <w:szCs w:val="26"/>
        </w:rPr>
        <w:t xml:space="preserve">nergy </w:t>
      </w:r>
      <w:r w:rsidR="007071E0" w:rsidRPr="00E37897">
        <w:rPr>
          <w:color w:val="000000"/>
          <w:sz w:val="26"/>
          <w:szCs w:val="26"/>
        </w:rPr>
        <w:t>S</w:t>
      </w:r>
      <w:r w:rsidR="00C3729E">
        <w:rPr>
          <w:color w:val="000000"/>
          <w:sz w:val="26"/>
          <w:szCs w:val="26"/>
        </w:rPr>
        <w:t xml:space="preserve">upply </w:t>
      </w:r>
      <w:r w:rsidR="007071E0" w:rsidRPr="00E37897">
        <w:rPr>
          <w:color w:val="000000"/>
          <w:sz w:val="26"/>
          <w:szCs w:val="26"/>
        </w:rPr>
        <w:t>A</w:t>
      </w:r>
      <w:r w:rsidR="00C3729E">
        <w:rPr>
          <w:color w:val="000000"/>
          <w:sz w:val="26"/>
          <w:szCs w:val="26"/>
        </w:rPr>
        <w:t>ssociation</w:t>
      </w:r>
      <w:r w:rsidR="007071E0" w:rsidRPr="00E37897">
        <w:rPr>
          <w:color w:val="000000"/>
          <w:sz w:val="26"/>
          <w:szCs w:val="26"/>
        </w:rPr>
        <w:t xml:space="preserve"> and </w:t>
      </w:r>
      <w:r w:rsidR="00167A68">
        <w:rPr>
          <w:color w:val="000000"/>
          <w:sz w:val="26"/>
          <w:szCs w:val="26"/>
        </w:rPr>
        <w:t xml:space="preserve">the </w:t>
      </w:r>
      <w:r w:rsidR="007071E0" w:rsidRPr="00E37897">
        <w:rPr>
          <w:color w:val="000000"/>
          <w:sz w:val="26"/>
          <w:szCs w:val="26"/>
        </w:rPr>
        <w:t>ESC to demonstrate any need to revisit</w:t>
      </w:r>
      <w:r w:rsidR="004134D8" w:rsidRPr="00E37897">
        <w:rPr>
          <w:color w:val="000000"/>
          <w:sz w:val="26"/>
          <w:szCs w:val="26"/>
        </w:rPr>
        <w:t xml:space="preserve"> the</w:t>
      </w:r>
      <w:r w:rsidR="007071E0" w:rsidRPr="00E37897">
        <w:rPr>
          <w:color w:val="000000"/>
          <w:sz w:val="26"/>
          <w:szCs w:val="26"/>
        </w:rPr>
        <w:t xml:space="preserve"> allocation of NITS costs in several default service proceedings, </w:t>
      </w:r>
      <w:r w:rsidR="004134D8" w:rsidRPr="00E37897">
        <w:rPr>
          <w:color w:val="000000"/>
          <w:sz w:val="26"/>
          <w:szCs w:val="26"/>
        </w:rPr>
        <w:t>it is un</w:t>
      </w:r>
      <w:r w:rsidR="00E2283A" w:rsidRPr="00E37897">
        <w:rPr>
          <w:color w:val="000000"/>
          <w:sz w:val="26"/>
          <w:szCs w:val="26"/>
        </w:rPr>
        <w:t>n</w:t>
      </w:r>
      <w:r w:rsidR="004134D8" w:rsidRPr="00E37897">
        <w:rPr>
          <w:color w:val="000000"/>
          <w:sz w:val="26"/>
          <w:szCs w:val="26"/>
        </w:rPr>
        <w:t>ecessary</w:t>
      </w:r>
      <w:r w:rsidR="007071E0" w:rsidRPr="00E37897">
        <w:rPr>
          <w:color w:val="000000"/>
          <w:sz w:val="26"/>
          <w:szCs w:val="26"/>
        </w:rPr>
        <w:t xml:space="preserve"> for the Commission to expand its consideration of these issues at this time.</w:t>
      </w:r>
      <w:r w:rsidR="003F3D5F">
        <w:rPr>
          <w:color w:val="000000"/>
          <w:sz w:val="26"/>
          <w:szCs w:val="26"/>
        </w:rPr>
        <w:t xml:space="preserve">  </w:t>
      </w:r>
      <w:r w:rsidR="003F3D5F" w:rsidRPr="003F3D5F">
        <w:rPr>
          <w:i/>
          <w:iCs/>
          <w:color w:val="000000"/>
          <w:sz w:val="26"/>
          <w:szCs w:val="26"/>
        </w:rPr>
        <w:t>Id</w:t>
      </w:r>
      <w:r w:rsidR="003F3D5F">
        <w:rPr>
          <w:color w:val="000000"/>
          <w:sz w:val="26"/>
          <w:szCs w:val="26"/>
        </w:rPr>
        <w:t xml:space="preserve">. at 9.  </w:t>
      </w:r>
    </w:p>
    <w:p w14:paraId="7EE37E89" w14:textId="492EADD3" w:rsidR="00ED31BD" w:rsidRPr="00E37897" w:rsidRDefault="00ED31BD" w:rsidP="005F3BE2">
      <w:pPr>
        <w:widowControl/>
        <w:spacing w:line="360" w:lineRule="auto"/>
        <w:ind w:left="1440"/>
        <w:contextualSpacing/>
        <w:rPr>
          <w:bCs/>
          <w:sz w:val="26"/>
          <w:szCs w:val="26"/>
        </w:rPr>
      </w:pPr>
    </w:p>
    <w:p w14:paraId="1ECF5ADD" w14:textId="0E81BD04" w:rsidR="00E2283A" w:rsidRPr="00E37897" w:rsidRDefault="00194F64" w:rsidP="005F3BE2">
      <w:pPr>
        <w:pStyle w:val="Heading4"/>
        <w:keepNext/>
        <w:keepLines/>
        <w:numPr>
          <w:ilvl w:val="0"/>
          <w:numId w:val="29"/>
        </w:numPr>
        <w:spacing w:after="0"/>
        <w:ind w:left="2160" w:hanging="720"/>
        <w:contextualSpacing/>
        <w:jc w:val="left"/>
        <w:rPr>
          <w:sz w:val="26"/>
          <w:szCs w:val="26"/>
        </w:rPr>
      </w:pPr>
      <w:r w:rsidRPr="00E37897">
        <w:rPr>
          <w:sz w:val="26"/>
          <w:szCs w:val="26"/>
        </w:rPr>
        <w:t>PAI</w:t>
      </w:r>
      <w:r w:rsidR="006760ED" w:rsidRPr="00E37897">
        <w:rPr>
          <w:sz w:val="26"/>
          <w:szCs w:val="26"/>
        </w:rPr>
        <w:t>E</w:t>
      </w:r>
      <w:r w:rsidRPr="00E37897">
        <w:rPr>
          <w:sz w:val="26"/>
          <w:szCs w:val="26"/>
        </w:rPr>
        <w:t>UG</w:t>
      </w:r>
    </w:p>
    <w:p w14:paraId="7078062A" w14:textId="47917DE1" w:rsidR="00BF71AB" w:rsidRPr="00E37897" w:rsidRDefault="00BF71AB" w:rsidP="005F3BE2">
      <w:pPr>
        <w:keepNext/>
        <w:keepLines/>
        <w:widowControl/>
        <w:spacing w:line="360" w:lineRule="auto"/>
        <w:ind w:left="1440"/>
        <w:contextualSpacing/>
        <w:rPr>
          <w:bCs/>
          <w:sz w:val="26"/>
          <w:szCs w:val="26"/>
        </w:rPr>
      </w:pPr>
    </w:p>
    <w:p w14:paraId="53D4150B" w14:textId="03C2BD5E" w:rsidR="00194F64" w:rsidRPr="00E37897" w:rsidRDefault="007E5851" w:rsidP="005F3BE2">
      <w:pPr>
        <w:widowControl/>
        <w:spacing w:line="360" w:lineRule="auto"/>
        <w:ind w:firstLine="1440"/>
        <w:contextualSpacing/>
        <w:textAlignment w:val="baseline"/>
        <w:rPr>
          <w:color w:val="000000"/>
          <w:sz w:val="26"/>
          <w:szCs w:val="26"/>
        </w:rPr>
      </w:pPr>
      <w:r w:rsidRPr="00E37897">
        <w:rPr>
          <w:bCs/>
          <w:sz w:val="26"/>
          <w:szCs w:val="26"/>
        </w:rPr>
        <w:t>PAI</w:t>
      </w:r>
      <w:r w:rsidR="00D10CB5">
        <w:rPr>
          <w:bCs/>
          <w:sz w:val="26"/>
          <w:szCs w:val="26"/>
        </w:rPr>
        <w:t>E</w:t>
      </w:r>
      <w:r w:rsidRPr="00E37897">
        <w:rPr>
          <w:bCs/>
          <w:sz w:val="26"/>
          <w:szCs w:val="26"/>
        </w:rPr>
        <w:t xml:space="preserve">UG argues that </w:t>
      </w:r>
      <w:r w:rsidR="00167A68">
        <w:rPr>
          <w:bCs/>
          <w:sz w:val="26"/>
          <w:szCs w:val="26"/>
        </w:rPr>
        <w:t xml:space="preserve">the </w:t>
      </w:r>
      <w:r w:rsidR="00AB1A1E" w:rsidRPr="00E37897">
        <w:rPr>
          <w:bCs/>
          <w:sz w:val="26"/>
          <w:szCs w:val="26"/>
        </w:rPr>
        <w:t xml:space="preserve">ESC’s proposal should be rejected </w:t>
      </w:r>
      <w:r w:rsidR="00037AC2" w:rsidRPr="00E37897">
        <w:rPr>
          <w:bCs/>
          <w:sz w:val="26"/>
          <w:szCs w:val="26"/>
        </w:rPr>
        <w:t xml:space="preserve">and this section </w:t>
      </w:r>
      <w:r w:rsidR="00DA4DA3" w:rsidRPr="00E37897">
        <w:rPr>
          <w:bCs/>
          <w:sz w:val="26"/>
          <w:szCs w:val="26"/>
        </w:rPr>
        <w:t xml:space="preserve">of </w:t>
      </w:r>
      <w:r w:rsidR="00167A68">
        <w:rPr>
          <w:bCs/>
          <w:sz w:val="26"/>
          <w:szCs w:val="26"/>
        </w:rPr>
        <w:t xml:space="preserve">the </w:t>
      </w:r>
      <w:r w:rsidR="00DA4DA3" w:rsidRPr="00E37897">
        <w:rPr>
          <w:bCs/>
          <w:sz w:val="26"/>
          <w:szCs w:val="26"/>
        </w:rPr>
        <w:t>ESC’s</w:t>
      </w:r>
      <w:r w:rsidR="00037AC2" w:rsidRPr="00E37897">
        <w:rPr>
          <w:bCs/>
          <w:sz w:val="26"/>
          <w:szCs w:val="26"/>
        </w:rPr>
        <w:t xml:space="preserve"> Exceptions should be stricken</w:t>
      </w:r>
      <w:r w:rsidR="00695FFB" w:rsidRPr="00E37897">
        <w:rPr>
          <w:bCs/>
          <w:sz w:val="26"/>
          <w:szCs w:val="26"/>
        </w:rPr>
        <w:t>,</w:t>
      </w:r>
      <w:r w:rsidR="00994722" w:rsidRPr="00E37897">
        <w:rPr>
          <w:bCs/>
          <w:sz w:val="26"/>
          <w:szCs w:val="26"/>
        </w:rPr>
        <w:t xml:space="preserve"> because this proposal is beyond the scope of Exceptions and the ALJ’s Recommended Decision.  </w:t>
      </w:r>
      <w:r w:rsidR="00557732" w:rsidRPr="00E37897">
        <w:rPr>
          <w:bCs/>
          <w:sz w:val="26"/>
          <w:szCs w:val="26"/>
        </w:rPr>
        <w:t>PAI</w:t>
      </w:r>
      <w:r w:rsidR="00D10CB5">
        <w:rPr>
          <w:bCs/>
          <w:sz w:val="26"/>
          <w:szCs w:val="26"/>
        </w:rPr>
        <w:t>E</w:t>
      </w:r>
      <w:r w:rsidR="00557732" w:rsidRPr="00E37897">
        <w:rPr>
          <w:bCs/>
          <w:sz w:val="26"/>
          <w:szCs w:val="26"/>
        </w:rPr>
        <w:t xml:space="preserve">UG states that </w:t>
      </w:r>
      <w:r w:rsidR="00C923A5" w:rsidRPr="00E37897">
        <w:rPr>
          <w:bCs/>
          <w:sz w:val="26"/>
          <w:szCs w:val="26"/>
        </w:rPr>
        <w:t>a</w:t>
      </w:r>
      <w:r w:rsidR="00557732" w:rsidRPr="00E37897">
        <w:rPr>
          <w:color w:val="000000"/>
          <w:sz w:val="26"/>
          <w:szCs w:val="26"/>
        </w:rPr>
        <w:t xml:space="preserve">s part of its testimony, </w:t>
      </w:r>
      <w:r w:rsidR="00167A68">
        <w:rPr>
          <w:color w:val="000000"/>
          <w:sz w:val="26"/>
          <w:szCs w:val="26"/>
        </w:rPr>
        <w:t xml:space="preserve">the </w:t>
      </w:r>
      <w:r w:rsidR="00557732" w:rsidRPr="00E37897">
        <w:rPr>
          <w:color w:val="000000"/>
          <w:sz w:val="26"/>
          <w:szCs w:val="26"/>
        </w:rPr>
        <w:t>ESC noted that it would welcome statewide review of this issue</w:t>
      </w:r>
      <w:r w:rsidR="00B549CA" w:rsidRPr="00E37897">
        <w:rPr>
          <w:color w:val="000000"/>
          <w:sz w:val="26"/>
          <w:szCs w:val="26"/>
        </w:rPr>
        <w:t>.  H</w:t>
      </w:r>
      <w:r w:rsidR="00557732" w:rsidRPr="00E37897">
        <w:rPr>
          <w:color w:val="000000"/>
          <w:sz w:val="26"/>
          <w:szCs w:val="26"/>
        </w:rPr>
        <w:t xml:space="preserve">owever, </w:t>
      </w:r>
      <w:r w:rsidR="00B549CA" w:rsidRPr="00E37897">
        <w:rPr>
          <w:color w:val="000000"/>
          <w:sz w:val="26"/>
          <w:szCs w:val="26"/>
        </w:rPr>
        <w:t>PAI</w:t>
      </w:r>
      <w:r w:rsidR="00D10CB5">
        <w:rPr>
          <w:color w:val="000000"/>
          <w:sz w:val="26"/>
          <w:szCs w:val="26"/>
        </w:rPr>
        <w:t>E</w:t>
      </w:r>
      <w:r w:rsidR="00B549CA" w:rsidRPr="00E37897">
        <w:rPr>
          <w:color w:val="000000"/>
          <w:sz w:val="26"/>
          <w:szCs w:val="26"/>
        </w:rPr>
        <w:t xml:space="preserve">UG </w:t>
      </w:r>
      <w:r w:rsidR="00C35F93" w:rsidRPr="00E37897">
        <w:rPr>
          <w:color w:val="000000"/>
          <w:sz w:val="26"/>
          <w:szCs w:val="26"/>
        </w:rPr>
        <w:t xml:space="preserve">notes that </w:t>
      </w:r>
      <w:r w:rsidR="00167A68">
        <w:rPr>
          <w:color w:val="000000"/>
          <w:sz w:val="26"/>
          <w:szCs w:val="26"/>
        </w:rPr>
        <w:t xml:space="preserve">the </w:t>
      </w:r>
      <w:r w:rsidR="00557732" w:rsidRPr="00E37897">
        <w:rPr>
          <w:color w:val="000000"/>
          <w:sz w:val="26"/>
          <w:szCs w:val="26"/>
        </w:rPr>
        <w:t xml:space="preserve">ESC </w:t>
      </w:r>
      <w:r w:rsidR="00C923A5" w:rsidRPr="00E37897">
        <w:rPr>
          <w:color w:val="000000"/>
          <w:sz w:val="26"/>
          <w:szCs w:val="26"/>
        </w:rPr>
        <w:t xml:space="preserve">did not </w:t>
      </w:r>
      <w:r w:rsidR="00695FFB" w:rsidRPr="00E37897">
        <w:rPr>
          <w:color w:val="000000"/>
          <w:sz w:val="26"/>
          <w:szCs w:val="26"/>
        </w:rPr>
        <w:t>elaborate</w:t>
      </w:r>
      <w:r w:rsidR="00557732" w:rsidRPr="00E37897">
        <w:rPr>
          <w:color w:val="000000"/>
          <w:sz w:val="26"/>
          <w:szCs w:val="26"/>
        </w:rPr>
        <w:t xml:space="preserve"> </w:t>
      </w:r>
      <w:r w:rsidR="00695FFB" w:rsidRPr="00E37897">
        <w:rPr>
          <w:color w:val="000000"/>
          <w:sz w:val="26"/>
          <w:szCs w:val="26"/>
        </w:rPr>
        <w:t xml:space="preserve">on </w:t>
      </w:r>
      <w:r w:rsidR="00557732" w:rsidRPr="00E37897">
        <w:rPr>
          <w:color w:val="000000"/>
          <w:sz w:val="26"/>
          <w:szCs w:val="26"/>
        </w:rPr>
        <w:t xml:space="preserve">this </w:t>
      </w:r>
      <w:r w:rsidR="00B549CA" w:rsidRPr="00E37897">
        <w:rPr>
          <w:color w:val="000000"/>
          <w:sz w:val="26"/>
          <w:szCs w:val="26"/>
        </w:rPr>
        <w:t>issue</w:t>
      </w:r>
      <w:r w:rsidR="00557732" w:rsidRPr="00E37897">
        <w:rPr>
          <w:color w:val="000000"/>
          <w:sz w:val="26"/>
          <w:szCs w:val="26"/>
        </w:rPr>
        <w:t xml:space="preserve"> in its Main Brief</w:t>
      </w:r>
      <w:r w:rsidR="00C35F93" w:rsidRPr="00E37897">
        <w:rPr>
          <w:color w:val="000000"/>
          <w:sz w:val="26"/>
          <w:szCs w:val="26"/>
        </w:rPr>
        <w:t>, but now</w:t>
      </w:r>
      <w:r w:rsidR="00557732" w:rsidRPr="00E37897">
        <w:rPr>
          <w:color w:val="000000"/>
          <w:sz w:val="26"/>
          <w:szCs w:val="26"/>
        </w:rPr>
        <w:t xml:space="preserve"> attempts to have a </w:t>
      </w:r>
      <w:r w:rsidR="00C35F93" w:rsidRPr="00E37897">
        <w:rPr>
          <w:color w:val="000000"/>
          <w:sz w:val="26"/>
          <w:szCs w:val="26"/>
        </w:rPr>
        <w:t>“</w:t>
      </w:r>
      <w:r w:rsidR="00557732" w:rsidRPr="00E37897">
        <w:rPr>
          <w:color w:val="000000"/>
          <w:sz w:val="26"/>
          <w:szCs w:val="26"/>
        </w:rPr>
        <w:t>second bite at the apple</w:t>
      </w:r>
      <w:r w:rsidR="00C35F93" w:rsidRPr="00E37897">
        <w:rPr>
          <w:color w:val="000000"/>
          <w:sz w:val="26"/>
          <w:szCs w:val="26"/>
        </w:rPr>
        <w:t>”</w:t>
      </w:r>
      <w:r w:rsidR="00557732" w:rsidRPr="00E37897">
        <w:rPr>
          <w:color w:val="000000"/>
          <w:sz w:val="26"/>
          <w:szCs w:val="26"/>
        </w:rPr>
        <w:t xml:space="preserve"> by raising this issue in its Exceptions.</w:t>
      </w:r>
      <w:r w:rsidR="00C35F93" w:rsidRPr="00E37897">
        <w:rPr>
          <w:color w:val="000000"/>
          <w:sz w:val="26"/>
          <w:szCs w:val="26"/>
        </w:rPr>
        <w:t xml:space="preserve">  </w:t>
      </w:r>
      <w:r w:rsidR="006F17D6" w:rsidRPr="00E37897">
        <w:rPr>
          <w:color w:val="000000"/>
          <w:sz w:val="26"/>
          <w:szCs w:val="26"/>
        </w:rPr>
        <w:t>PAI</w:t>
      </w:r>
      <w:r w:rsidR="00D10CB5">
        <w:rPr>
          <w:color w:val="000000"/>
          <w:sz w:val="26"/>
          <w:szCs w:val="26"/>
        </w:rPr>
        <w:t>E</w:t>
      </w:r>
      <w:r w:rsidR="006F17D6" w:rsidRPr="00E37897">
        <w:rPr>
          <w:color w:val="000000"/>
          <w:sz w:val="26"/>
          <w:szCs w:val="26"/>
        </w:rPr>
        <w:t xml:space="preserve">UG R. Exc. at 7.  </w:t>
      </w:r>
      <w:r w:rsidR="00AE4DB7" w:rsidRPr="00E37897">
        <w:rPr>
          <w:color w:val="000000"/>
          <w:sz w:val="26"/>
          <w:szCs w:val="26"/>
        </w:rPr>
        <w:t>PAI</w:t>
      </w:r>
      <w:r w:rsidR="00D10CB5">
        <w:rPr>
          <w:color w:val="000000"/>
          <w:sz w:val="26"/>
          <w:szCs w:val="26"/>
        </w:rPr>
        <w:t>E</w:t>
      </w:r>
      <w:r w:rsidR="00AE4DB7" w:rsidRPr="00E37897">
        <w:rPr>
          <w:color w:val="000000"/>
          <w:sz w:val="26"/>
          <w:szCs w:val="26"/>
        </w:rPr>
        <w:t xml:space="preserve">UG additionally avers that </w:t>
      </w:r>
      <w:r w:rsidR="00167A68">
        <w:rPr>
          <w:color w:val="000000"/>
          <w:sz w:val="26"/>
          <w:szCs w:val="26"/>
        </w:rPr>
        <w:t xml:space="preserve">the </w:t>
      </w:r>
      <w:r w:rsidR="00AE4DB7" w:rsidRPr="00E37897">
        <w:rPr>
          <w:color w:val="000000"/>
          <w:sz w:val="26"/>
          <w:szCs w:val="26"/>
        </w:rPr>
        <w:t>ESC’s</w:t>
      </w:r>
      <w:r w:rsidR="00557732" w:rsidRPr="00E37897">
        <w:rPr>
          <w:color w:val="000000"/>
          <w:sz w:val="26"/>
          <w:szCs w:val="26"/>
        </w:rPr>
        <w:t xml:space="preserve"> argument seeks a statewide review as part of a specific EDC</w:t>
      </w:r>
      <w:r w:rsidR="00AE4DB7" w:rsidRPr="00E37897">
        <w:rPr>
          <w:color w:val="000000"/>
          <w:sz w:val="26"/>
          <w:szCs w:val="26"/>
        </w:rPr>
        <w:t>’</w:t>
      </w:r>
      <w:r w:rsidR="00557732" w:rsidRPr="00E37897">
        <w:rPr>
          <w:color w:val="000000"/>
          <w:sz w:val="26"/>
          <w:szCs w:val="26"/>
        </w:rPr>
        <w:t>s DSP proceeding</w:t>
      </w:r>
      <w:r w:rsidR="00AE4DB7" w:rsidRPr="00E37897">
        <w:rPr>
          <w:color w:val="000000"/>
          <w:sz w:val="26"/>
          <w:szCs w:val="26"/>
        </w:rPr>
        <w:t>, and ot</w:t>
      </w:r>
      <w:r w:rsidR="00557732" w:rsidRPr="00E37897">
        <w:rPr>
          <w:color w:val="000000"/>
          <w:sz w:val="26"/>
          <w:szCs w:val="26"/>
        </w:rPr>
        <w:t>her entities not involved in this proceeding (</w:t>
      </w:r>
      <w:r w:rsidR="00557732" w:rsidRPr="00E37897">
        <w:rPr>
          <w:i/>
          <w:color w:val="000000"/>
          <w:sz w:val="26"/>
          <w:szCs w:val="26"/>
        </w:rPr>
        <w:t>e.g.</w:t>
      </w:r>
      <w:r w:rsidR="00557732" w:rsidRPr="00E37897">
        <w:rPr>
          <w:color w:val="000000"/>
          <w:sz w:val="26"/>
          <w:szCs w:val="26"/>
        </w:rPr>
        <w:t>, other EDCs) might</w:t>
      </w:r>
      <w:r w:rsidR="00AE4DB7" w:rsidRPr="00E37897">
        <w:rPr>
          <w:color w:val="000000"/>
          <w:sz w:val="26"/>
          <w:szCs w:val="26"/>
        </w:rPr>
        <w:t xml:space="preserve"> </w:t>
      </w:r>
      <w:r w:rsidR="00557732" w:rsidRPr="00E37897">
        <w:rPr>
          <w:color w:val="000000"/>
          <w:sz w:val="26"/>
          <w:szCs w:val="26"/>
        </w:rPr>
        <w:t xml:space="preserve">have a position on whether such an investigation is appropriate. </w:t>
      </w:r>
      <w:r w:rsidR="00AE4DB7" w:rsidRPr="00E37897">
        <w:rPr>
          <w:color w:val="000000"/>
          <w:sz w:val="26"/>
          <w:szCs w:val="26"/>
        </w:rPr>
        <w:t xml:space="preserve"> </w:t>
      </w:r>
      <w:r w:rsidR="006F17D6" w:rsidRPr="00E37897">
        <w:rPr>
          <w:i/>
          <w:iCs/>
          <w:color w:val="000000"/>
          <w:sz w:val="26"/>
          <w:szCs w:val="26"/>
        </w:rPr>
        <w:t>Id</w:t>
      </w:r>
      <w:r w:rsidR="006F17D6" w:rsidRPr="00E37897">
        <w:rPr>
          <w:color w:val="000000"/>
          <w:sz w:val="26"/>
          <w:szCs w:val="26"/>
        </w:rPr>
        <w:t xml:space="preserve">. at 7-8.  </w:t>
      </w:r>
      <w:r w:rsidR="00797C8D" w:rsidRPr="00E37897">
        <w:rPr>
          <w:color w:val="000000"/>
          <w:sz w:val="26"/>
          <w:szCs w:val="26"/>
        </w:rPr>
        <w:t>PAI</w:t>
      </w:r>
      <w:r w:rsidR="00D10CB5">
        <w:rPr>
          <w:color w:val="000000"/>
          <w:sz w:val="26"/>
          <w:szCs w:val="26"/>
        </w:rPr>
        <w:t>E</w:t>
      </w:r>
      <w:r w:rsidR="00797C8D" w:rsidRPr="00E37897">
        <w:rPr>
          <w:color w:val="000000"/>
          <w:sz w:val="26"/>
          <w:szCs w:val="26"/>
        </w:rPr>
        <w:t>UG states that i</w:t>
      </w:r>
      <w:r w:rsidR="00557732" w:rsidRPr="00E37897">
        <w:rPr>
          <w:color w:val="000000"/>
          <w:sz w:val="26"/>
          <w:szCs w:val="26"/>
        </w:rPr>
        <w:t xml:space="preserve">f </w:t>
      </w:r>
      <w:r w:rsidR="00167A68">
        <w:rPr>
          <w:color w:val="000000"/>
          <w:sz w:val="26"/>
          <w:szCs w:val="26"/>
        </w:rPr>
        <w:t xml:space="preserve">the </w:t>
      </w:r>
      <w:r w:rsidR="00557732" w:rsidRPr="00E37897">
        <w:rPr>
          <w:color w:val="000000"/>
          <w:sz w:val="26"/>
          <w:szCs w:val="26"/>
        </w:rPr>
        <w:t xml:space="preserve">ESC believes a </w:t>
      </w:r>
      <w:r w:rsidR="00557732" w:rsidRPr="00E37897">
        <w:rPr>
          <w:color w:val="000000"/>
          <w:sz w:val="26"/>
          <w:szCs w:val="26"/>
        </w:rPr>
        <w:lastRenderedPageBreak/>
        <w:t xml:space="preserve">statewide investigation is warranted, </w:t>
      </w:r>
      <w:r w:rsidR="00797C8D" w:rsidRPr="00E37897">
        <w:rPr>
          <w:color w:val="000000"/>
          <w:sz w:val="26"/>
          <w:szCs w:val="26"/>
        </w:rPr>
        <w:t xml:space="preserve">then </w:t>
      </w:r>
      <w:r w:rsidR="00167A68">
        <w:rPr>
          <w:color w:val="000000"/>
          <w:sz w:val="26"/>
          <w:szCs w:val="26"/>
        </w:rPr>
        <w:t xml:space="preserve">the </w:t>
      </w:r>
      <w:r w:rsidR="00557732" w:rsidRPr="00E37897">
        <w:rPr>
          <w:color w:val="000000"/>
          <w:sz w:val="26"/>
          <w:szCs w:val="26"/>
        </w:rPr>
        <w:t xml:space="preserve">ESC </w:t>
      </w:r>
      <w:r w:rsidR="006A7B8F" w:rsidRPr="00E37897">
        <w:rPr>
          <w:color w:val="000000"/>
          <w:sz w:val="26"/>
          <w:szCs w:val="26"/>
        </w:rPr>
        <w:t xml:space="preserve">should </w:t>
      </w:r>
      <w:r w:rsidR="00557732" w:rsidRPr="00E37897">
        <w:rPr>
          <w:color w:val="000000"/>
          <w:sz w:val="26"/>
          <w:szCs w:val="26"/>
        </w:rPr>
        <w:t xml:space="preserve">file a Petition with the </w:t>
      </w:r>
      <w:r w:rsidR="006A7B8F" w:rsidRPr="00E37897">
        <w:rPr>
          <w:color w:val="000000"/>
          <w:sz w:val="26"/>
          <w:szCs w:val="26"/>
        </w:rPr>
        <w:t>Commission requesting an investigation</w:t>
      </w:r>
      <w:r w:rsidR="00557732" w:rsidRPr="00E37897">
        <w:rPr>
          <w:color w:val="000000"/>
          <w:sz w:val="26"/>
          <w:szCs w:val="26"/>
        </w:rPr>
        <w:t xml:space="preserve">. </w:t>
      </w:r>
      <w:r w:rsidR="006A7B8F" w:rsidRPr="00E37897">
        <w:rPr>
          <w:color w:val="000000"/>
          <w:sz w:val="26"/>
          <w:szCs w:val="26"/>
        </w:rPr>
        <w:t xml:space="preserve"> PAI</w:t>
      </w:r>
      <w:r w:rsidR="00D10CB5">
        <w:rPr>
          <w:color w:val="000000"/>
          <w:sz w:val="26"/>
          <w:szCs w:val="26"/>
        </w:rPr>
        <w:t>E</w:t>
      </w:r>
      <w:r w:rsidR="006A7B8F" w:rsidRPr="00E37897">
        <w:rPr>
          <w:color w:val="000000"/>
          <w:sz w:val="26"/>
          <w:szCs w:val="26"/>
        </w:rPr>
        <w:t>UG asserts that s</w:t>
      </w:r>
      <w:r w:rsidR="00557732" w:rsidRPr="00E37897">
        <w:rPr>
          <w:color w:val="000000"/>
          <w:sz w:val="26"/>
          <w:szCs w:val="26"/>
        </w:rPr>
        <w:t xml:space="preserve">uch a Petition would ensure appropriate due process, </w:t>
      </w:r>
      <w:r w:rsidR="00844E76" w:rsidRPr="00E37897">
        <w:rPr>
          <w:color w:val="000000"/>
          <w:sz w:val="26"/>
          <w:szCs w:val="26"/>
        </w:rPr>
        <w:t>because</w:t>
      </w:r>
      <w:r w:rsidR="00557732" w:rsidRPr="00E37897">
        <w:rPr>
          <w:color w:val="000000"/>
          <w:sz w:val="26"/>
          <w:szCs w:val="26"/>
        </w:rPr>
        <w:t xml:space="preserve"> all interested parties would have the ability to respond accordingly.</w:t>
      </w:r>
      <w:r w:rsidR="006F17D6" w:rsidRPr="00E37897">
        <w:rPr>
          <w:color w:val="000000"/>
          <w:sz w:val="26"/>
          <w:szCs w:val="26"/>
        </w:rPr>
        <w:t xml:space="preserve">  </w:t>
      </w:r>
      <w:r w:rsidR="006F17D6" w:rsidRPr="00E37897">
        <w:rPr>
          <w:i/>
          <w:iCs/>
          <w:color w:val="000000"/>
          <w:sz w:val="26"/>
          <w:szCs w:val="26"/>
        </w:rPr>
        <w:t>Id</w:t>
      </w:r>
      <w:r w:rsidR="006F17D6" w:rsidRPr="00E37897">
        <w:rPr>
          <w:color w:val="000000"/>
          <w:sz w:val="26"/>
          <w:szCs w:val="26"/>
        </w:rPr>
        <w:t xml:space="preserve">. at 8.  </w:t>
      </w:r>
      <w:r w:rsidR="00557732" w:rsidRPr="00E37897">
        <w:rPr>
          <w:color w:val="000000"/>
          <w:sz w:val="26"/>
          <w:szCs w:val="26"/>
        </w:rPr>
        <w:t xml:space="preserve"> </w:t>
      </w:r>
    </w:p>
    <w:p w14:paraId="40A577ED" w14:textId="26F69FE8" w:rsidR="006F17D6" w:rsidRPr="00E37897" w:rsidRDefault="006F17D6" w:rsidP="005F3BE2">
      <w:pPr>
        <w:widowControl/>
        <w:spacing w:line="360" w:lineRule="auto"/>
        <w:ind w:firstLine="1440"/>
        <w:contextualSpacing/>
        <w:textAlignment w:val="baseline"/>
        <w:rPr>
          <w:color w:val="000000"/>
          <w:sz w:val="26"/>
          <w:szCs w:val="26"/>
        </w:rPr>
      </w:pPr>
    </w:p>
    <w:p w14:paraId="5E6154D5" w14:textId="163DE224" w:rsidR="006F17D6" w:rsidRPr="00E37897" w:rsidRDefault="00465ADB" w:rsidP="005F3BE2">
      <w:pPr>
        <w:pStyle w:val="Heading4"/>
        <w:keepNext/>
        <w:keepLines/>
        <w:numPr>
          <w:ilvl w:val="0"/>
          <w:numId w:val="29"/>
        </w:numPr>
        <w:spacing w:after="0"/>
        <w:ind w:left="2160" w:hanging="720"/>
        <w:contextualSpacing/>
        <w:jc w:val="left"/>
        <w:rPr>
          <w:sz w:val="26"/>
          <w:szCs w:val="26"/>
        </w:rPr>
      </w:pPr>
      <w:r w:rsidRPr="00E37897">
        <w:rPr>
          <w:sz w:val="26"/>
          <w:szCs w:val="26"/>
        </w:rPr>
        <w:t>Calpine</w:t>
      </w:r>
    </w:p>
    <w:p w14:paraId="24F792EF" w14:textId="77777777" w:rsidR="00194F64" w:rsidRPr="00E37897" w:rsidRDefault="00194F64" w:rsidP="005F3BE2">
      <w:pPr>
        <w:keepNext/>
        <w:keepLines/>
        <w:widowControl/>
        <w:spacing w:line="360" w:lineRule="auto"/>
        <w:ind w:left="1440"/>
        <w:contextualSpacing/>
        <w:rPr>
          <w:bCs/>
          <w:sz w:val="26"/>
          <w:szCs w:val="26"/>
        </w:rPr>
      </w:pPr>
    </w:p>
    <w:p w14:paraId="3931976A" w14:textId="7E1C2328" w:rsidR="00524D00" w:rsidRPr="00E37897" w:rsidRDefault="00524D00" w:rsidP="005F3BE2">
      <w:pPr>
        <w:widowControl/>
        <w:spacing w:line="360" w:lineRule="auto"/>
        <w:ind w:right="360" w:firstLine="1440"/>
        <w:contextualSpacing/>
        <w:textAlignment w:val="baseline"/>
        <w:rPr>
          <w:color w:val="000000"/>
          <w:spacing w:val="-1"/>
          <w:sz w:val="26"/>
          <w:szCs w:val="26"/>
        </w:rPr>
      </w:pPr>
      <w:r w:rsidRPr="00E37897">
        <w:rPr>
          <w:color w:val="000000"/>
          <w:spacing w:val="-1"/>
          <w:sz w:val="26"/>
          <w:szCs w:val="26"/>
        </w:rPr>
        <w:t xml:space="preserve">Calpine avers that </w:t>
      </w:r>
      <w:r w:rsidR="00167A68">
        <w:rPr>
          <w:color w:val="000000"/>
          <w:spacing w:val="-1"/>
          <w:sz w:val="26"/>
          <w:szCs w:val="26"/>
        </w:rPr>
        <w:t xml:space="preserve">the </w:t>
      </w:r>
      <w:r w:rsidRPr="00E37897">
        <w:rPr>
          <w:color w:val="000000"/>
          <w:spacing w:val="-1"/>
          <w:sz w:val="26"/>
          <w:szCs w:val="26"/>
        </w:rPr>
        <w:t xml:space="preserve">ESC’s proposal is an inappropriate request to </w:t>
      </w:r>
      <w:r w:rsidR="009D4588" w:rsidRPr="00E37897">
        <w:rPr>
          <w:color w:val="000000"/>
          <w:spacing w:val="-1"/>
          <w:sz w:val="26"/>
          <w:szCs w:val="26"/>
        </w:rPr>
        <w:t>include in</w:t>
      </w:r>
      <w:r w:rsidRPr="00E37897">
        <w:rPr>
          <w:color w:val="000000"/>
          <w:spacing w:val="-1"/>
          <w:sz w:val="26"/>
          <w:szCs w:val="26"/>
        </w:rPr>
        <w:t xml:space="preserve"> </w:t>
      </w:r>
      <w:r w:rsidR="009D4588" w:rsidRPr="00E37897">
        <w:rPr>
          <w:color w:val="000000"/>
          <w:spacing w:val="-1"/>
          <w:sz w:val="26"/>
          <w:szCs w:val="26"/>
        </w:rPr>
        <w:t>E</w:t>
      </w:r>
      <w:r w:rsidRPr="00E37897">
        <w:rPr>
          <w:color w:val="000000"/>
          <w:spacing w:val="-1"/>
          <w:sz w:val="26"/>
          <w:szCs w:val="26"/>
        </w:rPr>
        <w:t xml:space="preserve">xceptions, which should be limited to </w:t>
      </w:r>
      <w:r w:rsidR="00E86FE0" w:rsidRPr="00E37897">
        <w:rPr>
          <w:color w:val="000000"/>
          <w:spacing w:val="-1"/>
          <w:sz w:val="26"/>
          <w:szCs w:val="26"/>
        </w:rPr>
        <w:t>addressing the Re</w:t>
      </w:r>
      <w:r w:rsidRPr="00E37897">
        <w:rPr>
          <w:color w:val="000000"/>
          <w:spacing w:val="-1"/>
          <w:sz w:val="26"/>
          <w:szCs w:val="26"/>
        </w:rPr>
        <w:t xml:space="preserve">commended </w:t>
      </w:r>
      <w:r w:rsidR="00E86FE0" w:rsidRPr="00E37897">
        <w:rPr>
          <w:color w:val="000000"/>
          <w:spacing w:val="-1"/>
          <w:sz w:val="26"/>
          <w:szCs w:val="26"/>
        </w:rPr>
        <w:t>Decision</w:t>
      </w:r>
      <w:r w:rsidRPr="00E37897">
        <w:rPr>
          <w:color w:val="000000"/>
          <w:spacing w:val="-1"/>
          <w:sz w:val="26"/>
          <w:szCs w:val="26"/>
        </w:rPr>
        <w:t>.</w:t>
      </w:r>
      <w:r w:rsidR="00E86FE0" w:rsidRPr="00E37897">
        <w:rPr>
          <w:color w:val="000000"/>
          <w:spacing w:val="-1"/>
          <w:sz w:val="26"/>
          <w:szCs w:val="26"/>
        </w:rPr>
        <w:t xml:space="preserve">  Ca</w:t>
      </w:r>
      <w:r w:rsidR="00900584" w:rsidRPr="00E37897">
        <w:rPr>
          <w:color w:val="000000"/>
          <w:spacing w:val="-1"/>
          <w:sz w:val="26"/>
          <w:szCs w:val="26"/>
        </w:rPr>
        <w:t>lpine states that a</w:t>
      </w:r>
      <w:r w:rsidRPr="00E37897">
        <w:rPr>
          <w:color w:val="000000"/>
          <w:spacing w:val="-1"/>
          <w:sz w:val="26"/>
          <w:szCs w:val="26"/>
        </w:rPr>
        <w:t xml:space="preserve">s the </w:t>
      </w:r>
      <w:r w:rsidR="00900584" w:rsidRPr="00E37897">
        <w:rPr>
          <w:color w:val="000000"/>
          <w:spacing w:val="-1"/>
          <w:sz w:val="26"/>
          <w:szCs w:val="26"/>
        </w:rPr>
        <w:t xml:space="preserve">Electric Supplier </w:t>
      </w:r>
      <w:r w:rsidRPr="00E37897">
        <w:rPr>
          <w:color w:val="000000"/>
          <w:spacing w:val="-1"/>
          <w:sz w:val="26"/>
          <w:szCs w:val="26"/>
        </w:rPr>
        <w:t xml:space="preserve">Coalition concedes, the Commission has agreed to consider the issue generically. </w:t>
      </w:r>
      <w:r w:rsidR="00900584" w:rsidRPr="00E37897">
        <w:rPr>
          <w:color w:val="000000"/>
          <w:spacing w:val="-1"/>
          <w:sz w:val="26"/>
          <w:szCs w:val="26"/>
        </w:rPr>
        <w:t xml:space="preserve"> Calpine believes that the </w:t>
      </w:r>
      <w:r w:rsidRPr="00E37897">
        <w:rPr>
          <w:color w:val="000000"/>
          <w:spacing w:val="-1"/>
          <w:sz w:val="26"/>
          <w:szCs w:val="26"/>
        </w:rPr>
        <w:t xml:space="preserve">lack of subsequent action is </w:t>
      </w:r>
      <w:r w:rsidR="00F50BAC" w:rsidRPr="00E37897">
        <w:rPr>
          <w:color w:val="000000"/>
          <w:spacing w:val="-1"/>
          <w:sz w:val="26"/>
          <w:szCs w:val="26"/>
        </w:rPr>
        <w:t xml:space="preserve">due to the fact </w:t>
      </w:r>
      <w:r w:rsidRPr="00E37897">
        <w:rPr>
          <w:color w:val="000000"/>
          <w:spacing w:val="-1"/>
          <w:sz w:val="26"/>
          <w:szCs w:val="26"/>
        </w:rPr>
        <w:t>that there is no need for such a</w:t>
      </w:r>
      <w:r w:rsidR="00F50BAC" w:rsidRPr="00E37897">
        <w:rPr>
          <w:color w:val="000000"/>
          <w:spacing w:val="-1"/>
          <w:sz w:val="26"/>
          <w:szCs w:val="26"/>
        </w:rPr>
        <w:t>ction</w:t>
      </w:r>
      <w:r w:rsidRPr="00E37897">
        <w:rPr>
          <w:color w:val="000000"/>
          <w:spacing w:val="-1"/>
          <w:sz w:val="26"/>
          <w:szCs w:val="26"/>
        </w:rPr>
        <w:t xml:space="preserve">. </w:t>
      </w:r>
      <w:r w:rsidR="00F50BAC" w:rsidRPr="00E37897">
        <w:rPr>
          <w:color w:val="000000"/>
          <w:spacing w:val="-1"/>
          <w:sz w:val="26"/>
          <w:szCs w:val="26"/>
        </w:rPr>
        <w:t xml:space="preserve"> </w:t>
      </w:r>
      <w:r w:rsidR="005912F2" w:rsidRPr="00E37897">
        <w:rPr>
          <w:color w:val="000000"/>
          <w:spacing w:val="-1"/>
          <w:sz w:val="26"/>
          <w:szCs w:val="26"/>
        </w:rPr>
        <w:t>Calpine argues that this</w:t>
      </w:r>
      <w:r w:rsidRPr="00E37897">
        <w:rPr>
          <w:color w:val="000000"/>
          <w:spacing w:val="-1"/>
          <w:sz w:val="26"/>
          <w:szCs w:val="26"/>
        </w:rPr>
        <w:t xml:space="preserve"> issue has </w:t>
      </w:r>
      <w:r w:rsidR="005912F2" w:rsidRPr="00E37897">
        <w:rPr>
          <w:color w:val="000000"/>
          <w:spacing w:val="-1"/>
          <w:sz w:val="26"/>
          <w:szCs w:val="26"/>
        </w:rPr>
        <w:t xml:space="preserve">been raised </w:t>
      </w:r>
      <w:r w:rsidRPr="00E37897">
        <w:rPr>
          <w:color w:val="000000"/>
          <w:spacing w:val="-1"/>
          <w:sz w:val="26"/>
          <w:szCs w:val="26"/>
        </w:rPr>
        <w:t xml:space="preserve">in multiple DSP proceedings, and the result has been consistently the same. </w:t>
      </w:r>
      <w:r w:rsidR="005912F2" w:rsidRPr="00E37897">
        <w:rPr>
          <w:color w:val="000000"/>
          <w:spacing w:val="-1"/>
          <w:sz w:val="26"/>
          <w:szCs w:val="26"/>
        </w:rPr>
        <w:t xml:space="preserve"> </w:t>
      </w:r>
      <w:r w:rsidR="00644A05" w:rsidRPr="00E37897">
        <w:rPr>
          <w:color w:val="000000"/>
          <w:spacing w:val="-1"/>
          <w:sz w:val="26"/>
          <w:szCs w:val="26"/>
        </w:rPr>
        <w:t xml:space="preserve">Calpine R. Exc. at 4.  </w:t>
      </w:r>
      <w:r w:rsidR="009037F6" w:rsidRPr="00E37897">
        <w:rPr>
          <w:color w:val="000000"/>
          <w:spacing w:val="-1"/>
          <w:sz w:val="26"/>
          <w:szCs w:val="26"/>
        </w:rPr>
        <w:t xml:space="preserve">Calpine submits that it would be more appropriate </w:t>
      </w:r>
      <w:r w:rsidR="00116C80" w:rsidRPr="00E37897">
        <w:rPr>
          <w:color w:val="000000"/>
          <w:spacing w:val="-1"/>
          <w:sz w:val="26"/>
          <w:szCs w:val="26"/>
        </w:rPr>
        <w:t xml:space="preserve">for </w:t>
      </w:r>
      <w:r w:rsidR="00167A68">
        <w:rPr>
          <w:color w:val="000000"/>
          <w:spacing w:val="-1"/>
          <w:sz w:val="26"/>
          <w:szCs w:val="26"/>
        </w:rPr>
        <w:t xml:space="preserve">the </w:t>
      </w:r>
      <w:r w:rsidR="00116C80" w:rsidRPr="00E37897">
        <w:rPr>
          <w:color w:val="000000"/>
          <w:spacing w:val="-1"/>
          <w:sz w:val="26"/>
          <w:szCs w:val="26"/>
        </w:rPr>
        <w:t>ESC</w:t>
      </w:r>
      <w:r w:rsidR="009037F6" w:rsidRPr="00E37897">
        <w:rPr>
          <w:color w:val="000000"/>
          <w:spacing w:val="-1"/>
          <w:sz w:val="26"/>
          <w:szCs w:val="26"/>
        </w:rPr>
        <w:t xml:space="preserve"> to file a</w:t>
      </w:r>
      <w:r w:rsidRPr="00E37897">
        <w:rPr>
          <w:color w:val="000000"/>
          <w:spacing w:val="-1"/>
          <w:sz w:val="26"/>
          <w:szCs w:val="26"/>
        </w:rPr>
        <w:t xml:space="preserve"> </w:t>
      </w:r>
      <w:r w:rsidR="00116C80">
        <w:rPr>
          <w:color w:val="000000"/>
          <w:spacing w:val="-1"/>
          <w:sz w:val="26"/>
          <w:szCs w:val="26"/>
        </w:rPr>
        <w:t>P</w:t>
      </w:r>
      <w:r w:rsidRPr="00E37897">
        <w:rPr>
          <w:color w:val="000000"/>
          <w:spacing w:val="-1"/>
          <w:sz w:val="26"/>
          <w:szCs w:val="26"/>
        </w:rPr>
        <w:t xml:space="preserve">etition on this issue, </w:t>
      </w:r>
      <w:r w:rsidR="00871F75" w:rsidRPr="00E37897">
        <w:rPr>
          <w:color w:val="000000"/>
          <w:spacing w:val="-1"/>
          <w:sz w:val="26"/>
          <w:szCs w:val="26"/>
        </w:rPr>
        <w:t xml:space="preserve">rather than to raise this issue in the context of </w:t>
      </w:r>
      <w:r w:rsidR="00FA6538" w:rsidRPr="00E37897">
        <w:rPr>
          <w:color w:val="000000"/>
          <w:spacing w:val="-1"/>
          <w:sz w:val="26"/>
          <w:szCs w:val="26"/>
        </w:rPr>
        <w:t>a</w:t>
      </w:r>
      <w:r w:rsidRPr="00E37897">
        <w:rPr>
          <w:color w:val="000000"/>
          <w:spacing w:val="-1"/>
          <w:sz w:val="26"/>
          <w:szCs w:val="26"/>
        </w:rPr>
        <w:t xml:space="preserve"> DSP proposal of a single</w:t>
      </w:r>
      <w:r w:rsidR="00871F75" w:rsidRPr="00E37897">
        <w:rPr>
          <w:color w:val="000000"/>
          <w:spacing w:val="-1"/>
          <w:sz w:val="26"/>
          <w:szCs w:val="26"/>
        </w:rPr>
        <w:t xml:space="preserve"> </w:t>
      </w:r>
      <w:r w:rsidRPr="00E37897">
        <w:rPr>
          <w:color w:val="000000"/>
          <w:spacing w:val="-1"/>
          <w:sz w:val="26"/>
          <w:szCs w:val="26"/>
        </w:rPr>
        <w:t>utility</w:t>
      </w:r>
      <w:r w:rsidR="00871F75" w:rsidRPr="00E37897">
        <w:rPr>
          <w:color w:val="000000"/>
          <w:spacing w:val="-1"/>
          <w:sz w:val="26"/>
          <w:szCs w:val="26"/>
        </w:rPr>
        <w:t>.</w:t>
      </w:r>
      <w:r w:rsidR="00644A05" w:rsidRPr="00E37897">
        <w:rPr>
          <w:color w:val="000000"/>
          <w:spacing w:val="-1"/>
          <w:sz w:val="26"/>
          <w:szCs w:val="26"/>
        </w:rPr>
        <w:t xml:space="preserve">  </w:t>
      </w:r>
      <w:r w:rsidR="00644A05" w:rsidRPr="00E37897">
        <w:rPr>
          <w:i/>
          <w:iCs/>
          <w:color w:val="000000"/>
          <w:spacing w:val="-1"/>
          <w:sz w:val="26"/>
          <w:szCs w:val="26"/>
        </w:rPr>
        <w:t>Id</w:t>
      </w:r>
      <w:r w:rsidR="00644A05" w:rsidRPr="00E37897">
        <w:rPr>
          <w:color w:val="000000"/>
          <w:spacing w:val="-1"/>
          <w:sz w:val="26"/>
          <w:szCs w:val="26"/>
        </w:rPr>
        <w:t xml:space="preserve">. at 4-5.  </w:t>
      </w:r>
      <w:r w:rsidR="00871F75" w:rsidRPr="00E37897">
        <w:rPr>
          <w:color w:val="000000"/>
          <w:spacing w:val="-1"/>
          <w:sz w:val="26"/>
          <w:szCs w:val="26"/>
        </w:rPr>
        <w:t xml:space="preserve">  </w:t>
      </w:r>
    </w:p>
    <w:p w14:paraId="117FCF88" w14:textId="77777777" w:rsidR="00465ADB" w:rsidRPr="00E37897" w:rsidRDefault="00465ADB" w:rsidP="005F3BE2">
      <w:pPr>
        <w:widowControl/>
        <w:spacing w:line="360" w:lineRule="auto"/>
        <w:ind w:left="1440"/>
        <w:contextualSpacing/>
        <w:rPr>
          <w:b/>
          <w:sz w:val="26"/>
          <w:szCs w:val="26"/>
        </w:rPr>
      </w:pPr>
    </w:p>
    <w:p w14:paraId="6A1260BC" w14:textId="4725C5EB" w:rsidR="00465ADB" w:rsidRPr="00E37897" w:rsidRDefault="00125748" w:rsidP="005F3BE2">
      <w:pPr>
        <w:pStyle w:val="Heading3"/>
        <w:keepNext/>
        <w:keepLines/>
        <w:numPr>
          <w:ilvl w:val="0"/>
          <w:numId w:val="27"/>
        </w:numPr>
        <w:spacing w:after="0"/>
        <w:ind w:left="1440" w:hanging="720"/>
        <w:contextualSpacing/>
        <w:jc w:val="left"/>
        <w:rPr>
          <w:sz w:val="26"/>
        </w:rPr>
      </w:pPr>
      <w:bookmarkStart w:id="35" w:name="_Toc56512778"/>
      <w:r w:rsidRPr="00E37897">
        <w:rPr>
          <w:sz w:val="26"/>
        </w:rPr>
        <w:t>Disposition</w:t>
      </w:r>
      <w:bookmarkEnd w:id="35"/>
    </w:p>
    <w:p w14:paraId="09A918B3" w14:textId="0F2690FB" w:rsidR="00465ADB" w:rsidRPr="00E37897" w:rsidRDefault="00465ADB" w:rsidP="005F3BE2">
      <w:pPr>
        <w:keepNext/>
        <w:keepLines/>
        <w:widowControl/>
        <w:spacing w:line="360" w:lineRule="auto"/>
        <w:contextualSpacing/>
        <w:rPr>
          <w:b/>
          <w:sz w:val="26"/>
          <w:szCs w:val="26"/>
        </w:rPr>
      </w:pPr>
    </w:p>
    <w:p w14:paraId="2F96BCC8" w14:textId="7348D2E2" w:rsidR="00D32CC9" w:rsidRDefault="00D32CC9" w:rsidP="00D32CC9">
      <w:pPr>
        <w:pStyle w:val="FootnoteText"/>
        <w:ind w:firstLine="1440"/>
        <w:jc w:val="left"/>
        <w:rPr>
          <w:color w:val="000000"/>
          <w:sz w:val="26"/>
          <w:szCs w:val="26"/>
        </w:rPr>
      </w:pPr>
      <w:r>
        <w:rPr>
          <w:sz w:val="26"/>
        </w:rPr>
        <w:t xml:space="preserve">Initially, we conclude that </w:t>
      </w:r>
      <w:r w:rsidR="00167A68">
        <w:rPr>
          <w:sz w:val="26"/>
        </w:rPr>
        <w:t xml:space="preserve">the </w:t>
      </w:r>
      <w:r w:rsidR="00D81F0C" w:rsidRPr="00E841E4">
        <w:rPr>
          <w:sz w:val="26"/>
        </w:rPr>
        <w:t xml:space="preserve">ESC cannot properly frame this </w:t>
      </w:r>
      <w:r w:rsidR="00D81F0C">
        <w:rPr>
          <w:sz w:val="26"/>
        </w:rPr>
        <w:t xml:space="preserve">NITS investigation </w:t>
      </w:r>
      <w:r w:rsidR="00D81F0C" w:rsidRPr="00E841E4">
        <w:rPr>
          <w:sz w:val="26"/>
        </w:rPr>
        <w:t xml:space="preserve">proposal as an Exception </w:t>
      </w:r>
      <w:r w:rsidR="00D81F0C">
        <w:rPr>
          <w:sz w:val="26"/>
        </w:rPr>
        <w:t xml:space="preserve">under 52 Pa. Code § 5.533(b), </w:t>
      </w:r>
      <w:r w:rsidR="00D81F0C" w:rsidRPr="00E841E4">
        <w:rPr>
          <w:sz w:val="26"/>
        </w:rPr>
        <w:t xml:space="preserve">because it was not </w:t>
      </w:r>
      <w:r w:rsidR="00D81F0C">
        <w:rPr>
          <w:sz w:val="26"/>
        </w:rPr>
        <w:t>a</w:t>
      </w:r>
      <w:r w:rsidR="00D81F0C" w:rsidRPr="00E841E4">
        <w:rPr>
          <w:sz w:val="26"/>
        </w:rPr>
        <w:t xml:space="preserve"> contested issue to be briefed, and the ALJ did not address it in the Recommended Decision.</w:t>
      </w:r>
      <w:r>
        <w:rPr>
          <w:sz w:val="26"/>
        </w:rPr>
        <w:t xml:space="preserve">  </w:t>
      </w:r>
      <w:r w:rsidR="000B186C" w:rsidRPr="00E37897">
        <w:rPr>
          <w:bCs/>
          <w:sz w:val="26"/>
          <w:szCs w:val="26"/>
        </w:rPr>
        <w:t xml:space="preserve">Upon review, </w:t>
      </w:r>
      <w:r w:rsidR="00476835" w:rsidRPr="00E37897">
        <w:rPr>
          <w:bCs/>
          <w:sz w:val="26"/>
          <w:szCs w:val="26"/>
        </w:rPr>
        <w:t xml:space="preserve">we decline to open an investigation into </w:t>
      </w:r>
      <w:r w:rsidR="00510BF3" w:rsidRPr="00E37897">
        <w:rPr>
          <w:color w:val="000000"/>
          <w:sz w:val="26"/>
          <w:szCs w:val="26"/>
        </w:rPr>
        <w:t>the allocation of NITS costs</w:t>
      </w:r>
      <w:r w:rsidR="00817369" w:rsidRPr="00E37897">
        <w:rPr>
          <w:color w:val="000000"/>
          <w:sz w:val="26"/>
          <w:szCs w:val="26"/>
        </w:rPr>
        <w:t xml:space="preserve"> in the context of this </w:t>
      </w:r>
      <w:r w:rsidR="0023131D" w:rsidRPr="00E37897">
        <w:rPr>
          <w:color w:val="000000"/>
          <w:sz w:val="26"/>
          <w:szCs w:val="26"/>
        </w:rPr>
        <w:t>DSP proceeding</w:t>
      </w:r>
      <w:r>
        <w:rPr>
          <w:color w:val="000000"/>
          <w:sz w:val="26"/>
          <w:szCs w:val="26"/>
        </w:rPr>
        <w:t xml:space="preserve"> for both this procedural reason and substantive reasons</w:t>
      </w:r>
      <w:r w:rsidR="00BF69A6">
        <w:rPr>
          <w:color w:val="000000"/>
          <w:sz w:val="26"/>
          <w:szCs w:val="26"/>
        </w:rPr>
        <w:t>, as discussed below</w:t>
      </w:r>
      <w:r w:rsidR="0023131D" w:rsidRPr="00E37897">
        <w:rPr>
          <w:color w:val="000000"/>
          <w:sz w:val="26"/>
          <w:szCs w:val="26"/>
        </w:rPr>
        <w:t>.</w:t>
      </w:r>
      <w:r w:rsidR="00297D96" w:rsidRPr="00E37897">
        <w:rPr>
          <w:color w:val="000000"/>
          <w:sz w:val="26"/>
          <w:szCs w:val="26"/>
        </w:rPr>
        <w:t xml:space="preserve">  </w:t>
      </w:r>
    </w:p>
    <w:p w14:paraId="3D67922C" w14:textId="77777777" w:rsidR="00D32CC9" w:rsidRDefault="00D32CC9" w:rsidP="00D32CC9">
      <w:pPr>
        <w:pStyle w:val="FootnoteText"/>
        <w:ind w:firstLine="1440"/>
        <w:jc w:val="left"/>
        <w:rPr>
          <w:color w:val="000000"/>
          <w:sz w:val="26"/>
          <w:szCs w:val="26"/>
        </w:rPr>
      </w:pPr>
    </w:p>
    <w:p w14:paraId="395966E1" w14:textId="6CCB9E42" w:rsidR="00996946" w:rsidRDefault="00297D96" w:rsidP="00D32CC9">
      <w:pPr>
        <w:pStyle w:val="FootnoteText"/>
        <w:ind w:firstLine="1440"/>
        <w:jc w:val="left"/>
        <w:rPr>
          <w:color w:val="000000"/>
          <w:sz w:val="26"/>
          <w:szCs w:val="26"/>
        </w:rPr>
      </w:pPr>
      <w:r w:rsidRPr="00E37897">
        <w:rPr>
          <w:color w:val="000000"/>
          <w:sz w:val="26"/>
          <w:szCs w:val="26"/>
        </w:rPr>
        <w:t xml:space="preserve">As </w:t>
      </w:r>
      <w:r w:rsidR="00167A68">
        <w:rPr>
          <w:color w:val="000000"/>
          <w:sz w:val="26"/>
          <w:szCs w:val="26"/>
        </w:rPr>
        <w:t xml:space="preserve">the </w:t>
      </w:r>
      <w:r w:rsidRPr="00E37897">
        <w:rPr>
          <w:color w:val="000000"/>
          <w:sz w:val="26"/>
          <w:szCs w:val="26"/>
        </w:rPr>
        <w:t xml:space="preserve">ESC </w:t>
      </w:r>
      <w:r w:rsidR="00721CDF" w:rsidRPr="00E37897">
        <w:rPr>
          <w:color w:val="000000"/>
          <w:sz w:val="26"/>
          <w:szCs w:val="26"/>
        </w:rPr>
        <w:t xml:space="preserve">correctly indicates, </w:t>
      </w:r>
      <w:r w:rsidR="007D1209" w:rsidRPr="00E37897">
        <w:rPr>
          <w:color w:val="000000"/>
          <w:sz w:val="26"/>
          <w:szCs w:val="26"/>
        </w:rPr>
        <w:t>the Commission</w:t>
      </w:r>
      <w:r w:rsidR="00875E95" w:rsidRPr="00E37897">
        <w:rPr>
          <w:color w:val="000000"/>
          <w:sz w:val="26"/>
          <w:szCs w:val="26"/>
        </w:rPr>
        <w:t xml:space="preserve"> directed its</w:t>
      </w:r>
      <w:r w:rsidR="007D1209" w:rsidRPr="00E37897">
        <w:rPr>
          <w:color w:val="000000"/>
          <w:sz w:val="26"/>
          <w:szCs w:val="26"/>
        </w:rPr>
        <w:t xml:space="preserve"> Office of Competitive Market </w:t>
      </w:r>
      <w:r w:rsidR="00F01407" w:rsidRPr="00E37897">
        <w:rPr>
          <w:color w:val="000000"/>
          <w:sz w:val="26"/>
          <w:szCs w:val="26"/>
        </w:rPr>
        <w:t>Oversight</w:t>
      </w:r>
      <w:r w:rsidR="007C3CF0" w:rsidRPr="00E37897">
        <w:rPr>
          <w:color w:val="000000"/>
          <w:sz w:val="26"/>
          <w:szCs w:val="26"/>
        </w:rPr>
        <w:t xml:space="preserve"> </w:t>
      </w:r>
      <w:r w:rsidR="003A2AD5" w:rsidRPr="00E37897">
        <w:rPr>
          <w:color w:val="000000"/>
          <w:sz w:val="26"/>
          <w:szCs w:val="26"/>
        </w:rPr>
        <w:t xml:space="preserve">(OCMO) </w:t>
      </w:r>
      <w:r w:rsidR="007C3CF0" w:rsidRPr="00E37897">
        <w:rPr>
          <w:color w:val="000000"/>
          <w:sz w:val="26"/>
          <w:szCs w:val="26"/>
        </w:rPr>
        <w:t>to perform an informal review of</w:t>
      </w:r>
      <w:r w:rsidR="003219B8" w:rsidRPr="00E37897">
        <w:rPr>
          <w:color w:val="000000"/>
          <w:sz w:val="26"/>
          <w:szCs w:val="26"/>
        </w:rPr>
        <w:t xml:space="preserve"> the non-market</w:t>
      </w:r>
      <w:r w:rsidR="00996946">
        <w:rPr>
          <w:color w:val="000000"/>
          <w:sz w:val="26"/>
          <w:szCs w:val="26"/>
        </w:rPr>
        <w:t>-</w:t>
      </w:r>
      <w:r w:rsidR="003219B8" w:rsidRPr="00E37897">
        <w:rPr>
          <w:color w:val="000000"/>
          <w:sz w:val="26"/>
          <w:szCs w:val="26"/>
        </w:rPr>
        <w:t>based charges</w:t>
      </w:r>
      <w:r w:rsidR="00787D77" w:rsidRPr="00E37897">
        <w:rPr>
          <w:color w:val="000000"/>
          <w:sz w:val="26"/>
          <w:szCs w:val="26"/>
        </w:rPr>
        <w:t>, including NITS,</w:t>
      </w:r>
      <w:r w:rsidR="003219B8" w:rsidRPr="00E37897">
        <w:rPr>
          <w:color w:val="000000"/>
          <w:sz w:val="26"/>
          <w:szCs w:val="26"/>
        </w:rPr>
        <w:t xml:space="preserve"> </w:t>
      </w:r>
      <w:r w:rsidR="001E6A0C" w:rsidRPr="00E37897">
        <w:rPr>
          <w:color w:val="000000"/>
          <w:sz w:val="26"/>
          <w:szCs w:val="26"/>
        </w:rPr>
        <w:t xml:space="preserve">PJM </w:t>
      </w:r>
      <w:r w:rsidR="003219B8" w:rsidRPr="00E37897">
        <w:rPr>
          <w:color w:val="000000"/>
          <w:sz w:val="26"/>
          <w:szCs w:val="26"/>
        </w:rPr>
        <w:t>imposed on LSEs</w:t>
      </w:r>
      <w:r w:rsidR="00543D7B" w:rsidRPr="00E37897">
        <w:rPr>
          <w:color w:val="000000"/>
          <w:sz w:val="26"/>
          <w:szCs w:val="26"/>
        </w:rPr>
        <w:t xml:space="preserve">.  </w:t>
      </w:r>
      <w:r w:rsidR="00426022" w:rsidRPr="00E37897">
        <w:rPr>
          <w:color w:val="000000"/>
          <w:sz w:val="26"/>
          <w:szCs w:val="26"/>
        </w:rPr>
        <w:t xml:space="preserve">The intent of </w:t>
      </w:r>
      <w:r w:rsidR="003B2E07" w:rsidRPr="00E37897">
        <w:rPr>
          <w:color w:val="000000"/>
          <w:sz w:val="26"/>
          <w:szCs w:val="26"/>
        </w:rPr>
        <w:t xml:space="preserve">the </w:t>
      </w:r>
      <w:r w:rsidR="003B2E07" w:rsidRPr="00E37897">
        <w:rPr>
          <w:color w:val="000000"/>
          <w:sz w:val="26"/>
          <w:szCs w:val="26"/>
        </w:rPr>
        <w:lastRenderedPageBreak/>
        <w:t xml:space="preserve">informal investigation was to determine if there was a need to address these </w:t>
      </w:r>
      <w:r w:rsidR="00650F4F" w:rsidRPr="00E37897">
        <w:rPr>
          <w:color w:val="000000"/>
          <w:sz w:val="26"/>
          <w:szCs w:val="26"/>
        </w:rPr>
        <w:t>non-market</w:t>
      </w:r>
      <w:r w:rsidR="00996946">
        <w:rPr>
          <w:color w:val="000000"/>
          <w:sz w:val="26"/>
          <w:szCs w:val="26"/>
        </w:rPr>
        <w:t>-</w:t>
      </w:r>
      <w:r w:rsidR="00650F4F" w:rsidRPr="00E37897">
        <w:rPr>
          <w:color w:val="000000"/>
          <w:sz w:val="26"/>
          <w:szCs w:val="26"/>
        </w:rPr>
        <w:t>based wholesale market charges in a more uniform</w:t>
      </w:r>
      <w:r w:rsidR="0084298B" w:rsidRPr="00E37897">
        <w:rPr>
          <w:color w:val="000000"/>
          <w:sz w:val="26"/>
          <w:szCs w:val="26"/>
        </w:rPr>
        <w:t xml:space="preserve"> and comprehensive manner.  </w:t>
      </w:r>
      <w:r w:rsidR="00543D7B" w:rsidRPr="00E37897">
        <w:rPr>
          <w:i/>
          <w:iCs/>
          <w:color w:val="000000"/>
          <w:sz w:val="26"/>
          <w:szCs w:val="26"/>
        </w:rPr>
        <w:t xml:space="preserve">May 1, </w:t>
      </w:r>
      <w:r w:rsidR="00D16558" w:rsidRPr="00E37897">
        <w:rPr>
          <w:i/>
          <w:iCs/>
          <w:color w:val="000000"/>
          <w:sz w:val="26"/>
          <w:szCs w:val="26"/>
        </w:rPr>
        <w:t>2015 Secretarial Letter</w:t>
      </w:r>
      <w:r w:rsidR="00CC017D" w:rsidRPr="00E37897">
        <w:rPr>
          <w:i/>
          <w:iCs/>
          <w:color w:val="000000"/>
          <w:sz w:val="26"/>
          <w:szCs w:val="26"/>
        </w:rPr>
        <w:t xml:space="preserve"> </w:t>
      </w:r>
      <w:r w:rsidR="00E72F21" w:rsidRPr="00E37897">
        <w:rPr>
          <w:i/>
          <w:iCs/>
          <w:color w:val="000000"/>
          <w:sz w:val="26"/>
          <w:szCs w:val="26"/>
        </w:rPr>
        <w:t xml:space="preserve">Sent to all EDCs </w:t>
      </w:r>
      <w:r w:rsidR="00CC017D" w:rsidRPr="00E37897">
        <w:rPr>
          <w:i/>
          <w:iCs/>
          <w:color w:val="000000"/>
          <w:sz w:val="26"/>
          <w:szCs w:val="26"/>
        </w:rPr>
        <w:t>Re</w:t>
      </w:r>
      <w:r w:rsidR="001B2299" w:rsidRPr="00E37897">
        <w:rPr>
          <w:i/>
          <w:iCs/>
          <w:color w:val="000000"/>
          <w:sz w:val="26"/>
          <w:szCs w:val="26"/>
        </w:rPr>
        <w:t>: Informal Review of PJM Non-Market Based Charges.</w:t>
      </w:r>
      <w:r w:rsidR="001B2299" w:rsidRPr="00E37897">
        <w:rPr>
          <w:color w:val="000000"/>
          <w:sz w:val="26"/>
          <w:szCs w:val="26"/>
        </w:rPr>
        <w:t xml:space="preserve"> </w:t>
      </w:r>
      <w:r w:rsidR="003A2AD5" w:rsidRPr="00E37897">
        <w:rPr>
          <w:color w:val="000000"/>
          <w:sz w:val="26"/>
          <w:szCs w:val="26"/>
        </w:rPr>
        <w:t xml:space="preserve"> OCMO placed the review on hold </w:t>
      </w:r>
      <w:r w:rsidR="000A436A" w:rsidRPr="00E37897">
        <w:rPr>
          <w:color w:val="000000"/>
          <w:sz w:val="26"/>
          <w:szCs w:val="26"/>
        </w:rPr>
        <w:t xml:space="preserve">during the litigation </w:t>
      </w:r>
      <w:r w:rsidR="00673166" w:rsidRPr="00E37897">
        <w:rPr>
          <w:color w:val="000000"/>
          <w:sz w:val="26"/>
          <w:szCs w:val="26"/>
        </w:rPr>
        <w:t xml:space="preserve">of several DSPs.  </w:t>
      </w:r>
      <w:r w:rsidR="00090764" w:rsidRPr="00E37897">
        <w:rPr>
          <w:color w:val="000000"/>
          <w:sz w:val="26"/>
          <w:szCs w:val="26"/>
        </w:rPr>
        <w:t xml:space="preserve">OCMO then resumed </w:t>
      </w:r>
      <w:r w:rsidR="005F7DDE" w:rsidRPr="00E37897">
        <w:rPr>
          <w:color w:val="000000"/>
          <w:sz w:val="26"/>
          <w:szCs w:val="26"/>
        </w:rPr>
        <w:t xml:space="preserve">its informal review and broadened the review </w:t>
      </w:r>
      <w:r w:rsidR="005D52DA" w:rsidRPr="00E37897">
        <w:rPr>
          <w:color w:val="000000"/>
          <w:sz w:val="26"/>
          <w:szCs w:val="26"/>
        </w:rPr>
        <w:t xml:space="preserve">beyond EDCs </w:t>
      </w:r>
      <w:r w:rsidR="005F7DDE" w:rsidRPr="00E37897">
        <w:rPr>
          <w:color w:val="000000"/>
          <w:sz w:val="26"/>
          <w:szCs w:val="26"/>
        </w:rPr>
        <w:t xml:space="preserve">by </w:t>
      </w:r>
      <w:r w:rsidR="00E2248D" w:rsidRPr="00E37897">
        <w:rPr>
          <w:color w:val="000000"/>
          <w:sz w:val="26"/>
          <w:szCs w:val="26"/>
        </w:rPr>
        <w:t>inviting any interested party to submit informal comments</w:t>
      </w:r>
      <w:r w:rsidR="000D4AE7" w:rsidRPr="00E37897">
        <w:rPr>
          <w:color w:val="000000"/>
          <w:sz w:val="26"/>
          <w:szCs w:val="26"/>
        </w:rPr>
        <w:t xml:space="preserve"> on the issues in the May 2015 Secretarial </w:t>
      </w:r>
      <w:r w:rsidR="004C326E" w:rsidRPr="00E37897">
        <w:rPr>
          <w:color w:val="000000"/>
          <w:sz w:val="26"/>
          <w:szCs w:val="26"/>
        </w:rPr>
        <w:t xml:space="preserve">Letter by </w:t>
      </w:r>
      <w:r w:rsidR="000A7F7C" w:rsidRPr="00E37897">
        <w:rPr>
          <w:color w:val="000000"/>
          <w:sz w:val="26"/>
          <w:szCs w:val="26"/>
        </w:rPr>
        <w:t>July 31, 2017.</w:t>
      </w:r>
      <w:r w:rsidR="00140FD7" w:rsidRPr="00E37897">
        <w:rPr>
          <w:color w:val="000000"/>
          <w:sz w:val="26"/>
          <w:szCs w:val="26"/>
        </w:rPr>
        <w:t xml:space="preserve">  </w:t>
      </w:r>
      <w:r w:rsidR="00F74D7B" w:rsidRPr="00E37897">
        <w:rPr>
          <w:color w:val="000000"/>
          <w:sz w:val="26"/>
          <w:szCs w:val="26"/>
        </w:rPr>
        <w:t xml:space="preserve">OCMO Charge Call Summary dated April </w:t>
      </w:r>
      <w:r w:rsidR="001603D0" w:rsidRPr="00E37897">
        <w:rPr>
          <w:color w:val="000000"/>
          <w:sz w:val="26"/>
          <w:szCs w:val="26"/>
        </w:rPr>
        <w:t xml:space="preserve">21, 2017.  </w:t>
      </w:r>
    </w:p>
    <w:p w14:paraId="45C4699E" w14:textId="6206C8FC" w:rsidR="009468F0" w:rsidRPr="00E37897" w:rsidRDefault="00D004D1" w:rsidP="00D32CC9">
      <w:pPr>
        <w:pStyle w:val="FootnoteText"/>
        <w:ind w:firstLine="1440"/>
        <w:jc w:val="left"/>
        <w:rPr>
          <w:color w:val="000000"/>
          <w:sz w:val="26"/>
          <w:szCs w:val="26"/>
        </w:rPr>
      </w:pPr>
      <w:r w:rsidRPr="00E37897">
        <w:rPr>
          <w:color w:val="000000"/>
          <w:sz w:val="26"/>
          <w:szCs w:val="26"/>
        </w:rPr>
        <w:t xml:space="preserve">  </w:t>
      </w:r>
    </w:p>
    <w:p w14:paraId="19DBB851" w14:textId="4A031201" w:rsidR="002C38BF" w:rsidRPr="00E37897" w:rsidRDefault="009468F0" w:rsidP="005F3BE2">
      <w:pPr>
        <w:widowControl/>
        <w:spacing w:line="360" w:lineRule="auto"/>
        <w:ind w:firstLine="1440"/>
        <w:contextualSpacing/>
        <w:rPr>
          <w:color w:val="000000"/>
          <w:sz w:val="26"/>
          <w:szCs w:val="26"/>
        </w:rPr>
      </w:pPr>
      <w:r w:rsidRPr="00E37897">
        <w:rPr>
          <w:color w:val="000000"/>
          <w:sz w:val="26"/>
          <w:szCs w:val="26"/>
        </w:rPr>
        <w:t>T</w:t>
      </w:r>
      <w:r w:rsidR="0050030C" w:rsidRPr="00E37897">
        <w:rPr>
          <w:color w:val="000000"/>
          <w:sz w:val="26"/>
          <w:szCs w:val="26"/>
        </w:rPr>
        <w:t xml:space="preserve">he Commission </w:t>
      </w:r>
      <w:r w:rsidRPr="00E37897">
        <w:rPr>
          <w:color w:val="000000"/>
          <w:sz w:val="26"/>
          <w:szCs w:val="26"/>
        </w:rPr>
        <w:t xml:space="preserve">then decided to </w:t>
      </w:r>
      <w:r w:rsidR="0050030C" w:rsidRPr="00E37897">
        <w:rPr>
          <w:color w:val="000000"/>
          <w:sz w:val="26"/>
          <w:szCs w:val="26"/>
        </w:rPr>
        <w:t xml:space="preserve">start a formal investigation </w:t>
      </w:r>
      <w:r w:rsidR="0089591D" w:rsidRPr="00E37897">
        <w:rPr>
          <w:color w:val="000000"/>
          <w:sz w:val="26"/>
          <w:szCs w:val="26"/>
        </w:rPr>
        <w:t xml:space="preserve">to address </w:t>
      </w:r>
      <w:r w:rsidR="00451F8D" w:rsidRPr="00E37897">
        <w:rPr>
          <w:color w:val="000000"/>
          <w:sz w:val="26"/>
          <w:szCs w:val="26"/>
        </w:rPr>
        <w:t>many of the issues that were reviewed in the informal investigation</w:t>
      </w:r>
      <w:r w:rsidR="00C861F7" w:rsidRPr="00E37897">
        <w:rPr>
          <w:color w:val="000000"/>
          <w:sz w:val="26"/>
          <w:szCs w:val="26"/>
        </w:rPr>
        <w:t xml:space="preserve"> and specifically </w:t>
      </w:r>
      <w:r w:rsidR="00C63D99" w:rsidRPr="00E37897">
        <w:rPr>
          <w:color w:val="000000"/>
          <w:sz w:val="26"/>
          <w:szCs w:val="26"/>
        </w:rPr>
        <w:t>s</w:t>
      </w:r>
      <w:r w:rsidR="00AD4C20" w:rsidRPr="00E37897">
        <w:rPr>
          <w:color w:val="000000"/>
          <w:sz w:val="26"/>
          <w:szCs w:val="26"/>
        </w:rPr>
        <w:t>ought</w:t>
      </w:r>
      <w:r w:rsidR="00C63D99" w:rsidRPr="00E37897">
        <w:rPr>
          <w:color w:val="000000"/>
          <w:sz w:val="26"/>
          <w:szCs w:val="26"/>
        </w:rPr>
        <w:t xml:space="preserve"> input on how smart meter technology could be used to </w:t>
      </w:r>
      <w:r w:rsidR="00545BBC" w:rsidRPr="00E37897">
        <w:rPr>
          <w:color w:val="000000"/>
          <w:sz w:val="26"/>
          <w:szCs w:val="26"/>
        </w:rPr>
        <w:t xml:space="preserve">design default service rates in a way that better aligned </w:t>
      </w:r>
      <w:r w:rsidR="009A3935" w:rsidRPr="00E37897">
        <w:rPr>
          <w:color w:val="000000"/>
          <w:sz w:val="26"/>
          <w:szCs w:val="26"/>
        </w:rPr>
        <w:t>associated wholesale cost allocation with retail cost allocation</w:t>
      </w:r>
      <w:r w:rsidR="00451F8D" w:rsidRPr="00E37897">
        <w:rPr>
          <w:color w:val="000000"/>
          <w:sz w:val="26"/>
          <w:szCs w:val="26"/>
        </w:rPr>
        <w:t xml:space="preserve">.  </w:t>
      </w:r>
      <w:r w:rsidR="00890101" w:rsidRPr="00E37897">
        <w:rPr>
          <w:i/>
          <w:iCs/>
          <w:color w:val="000000"/>
          <w:sz w:val="26"/>
          <w:szCs w:val="26"/>
        </w:rPr>
        <w:t>See Investigation into Default Service</w:t>
      </w:r>
      <w:r w:rsidR="00F1606C" w:rsidRPr="00E37897">
        <w:rPr>
          <w:i/>
          <w:iCs/>
          <w:color w:val="000000"/>
          <w:sz w:val="26"/>
          <w:szCs w:val="26"/>
        </w:rPr>
        <w:t xml:space="preserve"> and PJM Interconnection, LLC</w:t>
      </w:r>
      <w:r w:rsidR="007C5272" w:rsidRPr="00E37897">
        <w:rPr>
          <w:i/>
          <w:iCs/>
          <w:color w:val="000000"/>
          <w:sz w:val="26"/>
          <w:szCs w:val="26"/>
        </w:rPr>
        <w:t>. Settlement Reforms</w:t>
      </w:r>
      <w:r w:rsidR="007C5272" w:rsidRPr="00E37897">
        <w:rPr>
          <w:color w:val="000000"/>
          <w:sz w:val="26"/>
          <w:szCs w:val="26"/>
        </w:rPr>
        <w:t>, Docket No. M-2019-</w:t>
      </w:r>
      <w:r w:rsidR="001D4639" w:rsidRPr="00E37897">
        <w:rPr>
          <w:color w:val="000000"/>
          <w:sz w:val="26"/>
          <w:szCs w:val="26"/>
        </w:rPr>
        <w:t xml:space="preserve">3007101 (Order entered February </w:t>
      </w:r>
      <w:r w:rsidR="007E568E" w:rsidRPr="00E37897">
        <w:rPr>
          <w:color w:val="000000"/>
          <w:sz w:val="26"/>
          <w:szCs w:val="26"/>
        </w:rPr>
        <w:t>26, 2019).</w:t>
      </w:r>
      <w:r w:rsidR="00211C99" w:rsidRPr="00E37897">
        <w:rPr>
          <w:color w:val="000000"/>
          <w:sz w:val="26"/>
          <w:szCs w:val="26"/>
        </w:rPr>
        <w:t xml:space="preserve">  Various s</w:t>
      </w:r>
      <w:r w:rsidR="000D4E05" w:rsidRPr="00E37897">
        <w:rPr>
          <w:color w:val="000000"/>
          <w:sz w:val="26"/>
          <w:szCs w:val="26"/>
        </w:rPr>
        <w:t xml:space="preserve">takeholders, including </w:t>
      </w:r>
      <w:r w:rsidR="00167A68">
        <w:rPr>
          <w:color w:val="000000"/>
          <w:sz w:val="26"/>
          <w:szCs w:val="26"/>
        </w:rPr>
        <w:t xml:space="preserve">the </w:t>
      </w:r>
      <w:r w:rsidR="00E26E67" w:rsidRPr="00E37897">
        <w:rPr>
          <w:color w:val="000000"/>
          <w:sz w:val="26"/>
          <w:szCs w:val="26"/>
        </w:rPr>
        <w:t>ESC,</w:t>
      </w:r>
      <w:r w:rsidR="00211C99" w:rsidRPr="00E37897">
        <w:rPr>
          <w:color w:val="000000"/>
          <w:sz w:val="26"/>
          <w:szCs w:val="26"/>
        </w:rPr>
        <w:t xml:space="preserve"> filed Comments</w:t>
      </w:r>
      <w:r w:rsidR="00E26E67" w:rsidRPr="00E37897">
        <w:rPr>
          <w:color w:val="000000"/>
          <w:sz w:val="26"/>
          <w:szCs w:val="26"/>
        </w:rPr>
        <w:t xml:space="preserve"> and Reply Comments in the formal investigation.</w:t>
      </w:r>
      <w:r w:rsidR="009B1206" w:rsidRPr="00E37897">
        <w:rPr>
          <w:color w:val="000000"/>
          <w:sz w:val="26"/>
          <w:szCs w:val="26"/>
        </w:rPr>
        <w:t xml:space="preserve">  The Commission ultimately </w:t>
      </w:r>
      <w:r w:rsidR="00E14A01" w:rsidRPr="00E37897">
        <w:rPr>
          <w:color w:val="000000"/>
          <w:sz w:val="26"/>
          <w:szCs w:val="26"/>
        </w:rPr>
        <w:t xml:space="preserve">decided that the matters it investigated, including </w:t>
      </w:r>
      <w:r w:rsidR="009C6DB4">
        <w:rPr>
          <w:color w:val="000000"/>
          <w:sz w:val="26"/>
          <w:szCs w:val="26"/>
        </w:rPr>
        <w:t xml:space="preserve">the recovery of </w:t>
      </w:r>
      <w:r w:rsidR="00E14A01" w:rsidRPr="00E37897">
        <w:rPr>
          <w:color w:val="000000"/>
          <w:sz w:val="26"/>
          <w:szCs w:val="26"/>
        </w:rPr>
        <w:t>NITS</w:t>
      </w:r>
      <w:r w:rsidR="009C6DB4">
        <w:rPr>
          <w:color w:val="000000"/>
          <w:sz w:val="26"/>
          <w:szCs w:val="26"/>
        </w:rPr>
        <w:t xml:space="preserve"> costs</w:t>
      </w:r>
      <w:r w:rsidR="00E14A01" w:rsidRPr="00E37897">
        <w:rPr>
          <w:color w:val="000000"/>
          <w:sz w:val="26"/>
          <w:szCs w:val="26"/>
        </w:rPr>
        <w:t xml:space="preserve">, should continue to be addressed </w:t>
      </w:r>
      <w:r w:rsidR="00AD430E" w:rsidRPr="00E37897">
        <w:rPr>
          <w:color w:val="000000"/>
          <w:sz w:val="26"/>
          <w:szCs w:val="26"/>
        </w:rPr>
        <w:t>on a case-by-case basis within individual DSP proceedings</w:t>
      </w:r>
      <w:r w:rsidR="00B966D4" w:rsidRPr="00E37897">
        <w:rPr>
          <w:color w:val="000000"/>
          <w:sz w:val="26"/>
          <w:szCs w:val="26"/>
        </w:rPr>
        <w:t xml:space="preserve"> based on the evidence presented in each case</w:t>
      </w:r>
      <w:r w:rsidR="00AD430E" w:rsidRPr="00E37897">
        <w:rPr>
          <w:color w:val="000000"/>
          <w:sz w:val="26"/>
          <w:szCs w:val="26"/>
        </w:rPr>
        <w:t>.</w:t>
      </w:r>
      <w:r w:rsidR="00B966D4" w:rsidRPr="00E37897">
        <w:rPr>
          <w:color w:val="000000"/>
          <w:sz w:val="26"/>
          <w:szCs w:val="26"/>
        </w:rPr>
        <w:t xml:space="preserve">  </w:t>
      </w:r>
      <w:r w:rsidR="00810419" w:rsidRPr="00E37897">
        <w:rPr>
          <w:color w:val="000000"/>
          <w:sz w:val="26"/>
          <w:szCs w:val="26"/>
        </w:rPr>
        <w:t>By Secretarial Letter</w:t>
      </w:r>
      <w:r w:rsidR="000A33EA" w:rsidRPr="00E37897">
        <w:rPr>
          <w:color w:val="000000"/>
          <w:sz w:val="26"/>
          <w:szCs w:val="26"/>
        </w:rPr>
        <w:t xml:space="preserve"> issued January 23, 2020, </w:t>
      </w:r>
      <w:r w:rsidR="00A60C6C" w:rsidRPr="00E37897">
        <w:rPr>
          <w:color w:val="000000"/>
          <w:sz w:val="26"/>
          <w:szCs w:val="26"/>
        </w:rPr>
        <w:t>the Commission closed the formal investigation</w:t>
      </w:r>
      <w:r w:rsidR="00DF00FC" w:rsidRPr="00E37897">
        <w:rPr>
          <w:color w:val="000000"/>
          <w:sz w:val="26"/>
          <w:szCs w:val="26"/>
        </w:rPr>
        <w:t xml:space="preserve"> and offered guidance to the EDCs</w:t>
      </w:r>
      <w:r w:rsidR="008111A0" w:rsidRPr="00E37897">
        <w:rPr>
          <w:color w:val="000000"/>
          <w:sz w:val="26"/>
          <w:szCs w:val="26"/>
        </w:rPr>
        <w:t xml:space="preserve"> as they prepared for the next round of DSPs.  </w:t>
      </w:r>
    </w:p>
    <w:p w14:paraId="7079D865" w14:textId="77777777" w:rsidR="002C38BF" w:rsidRPr="00E37897" w:rsidRDefault="002C38BF" w:rsidP="005F3BE2">
      <w:pPr>
        <w:widowControl/>
        <w:spacing w:line="360" w:lineRule="auto"/>
        <w:ind w:firstLine="1440"/>
        <w:contextualSpacing/>
        <w:rPr>
          <w:color w:val="000000"/>
          <w:sz w:val="26"/>
          <w:szCs w:val="26"/>
        </w:rPr>
      </w:pPr>
    </w:p>
    <w:p w14:paraId="5594A108" w14:textId="187DB177" w:rsidR="00125748" w:rsidRPr="00E37897" w:rsidRDefault="00841541" w:rsidP="005F3BE2">
      <w:pPr>
        <w:widowControl/>
        <w:spacing w:line="360" w:lineRule="auto"/>
        <w:ind w:firstLine="1440"/>
        <w:contextualSpacing/>
        <w:rPr>
          <w:color w:val="000000"/>
          <w:sz w:val="26"/>
          <w:szCs w:val="26"/>
        </w:rPr>
      </w:pPr>
      <w:r w:rsidRPr="00E37897">
        <w:rPr>
          <w:color w:val="000000"/>
          <w:sz w:val="26"/>
          <w:szCs w:val="26"/>
        </w:rPr>
        <w:t xml:space="preserve">As we have </w:t>
      </w:r>
      <w:r w:rsidR="005B10D8" w:rsidRPr="00E37897">
        <w:rPr>
          <w:color w:val="000000"/>
          <w:sz w:val="26"/>
          <w:szCs w:val="26"/>
        </w:rPr>
        <w:t xml:space="preserve">recently </w:t>
      </w:r>
      <w:r w:rsidRPr="00E37897">
        <w:rPr>
          <w:color w:val="000000"/>
          <w:sz w:val="26"/>
          <w:szCs w:val="26"/>
        </w:rPr>
        <w:t xml:space="preserve">reviewed </w:t>
      </w:r>
      <w:r w:rsidR="005B10D8" w:rsidRPr="00E37897">
        <w:rPr>
          <w:color w:val="000000"/>
          <w:sz w:val="26"/>
          <w:szCs w:val="26"/>
        </w:rPr>
        <w:t>various</w:t>
      </w:r>
      <w:r w:rsidRPr="00E37897">
        <w:rPr>
          <w:color w:val="000000"/>
          <w:sz w:val="26"/>
          <w:szCs w:val="26"/>
        </w:rPr>
        <w:t xml:space="preserve"> </w:t>
      </w:r>
      <w:r w:rsidR="007F6722" w:rsidRPr="00E37897">
        <w:rPr>
          <w:color w:val="000000"/>
          <w:sz w:val="26"/>
          <w:szCs w:val="26"/>
        </w:rPr>
        <w:t xml:space="preserve">DSP-related </w:t>
      </w:r>
      <w:r w:rsidRPr="00E37897">
        <w:rPr>
          <w:color w:val="000000"/>
          <w:sz w:val="26"/>
          <w:szCs w:val="26"/>
        </w:rPr>
        <w:t xml:space="preserve">issues </w:t>
      </w:r>
      <w:r w:rsidR="0001524E" w:rsidRPr="00E37897">
        <w:rPr>
          <w:color w:val="000000"/>
          <w:sz w:val="26"/>
          <w:szCs w:val="26"/>
        </w:rPr>
        <w:t>in the context of the informal and formal investigations discussed above</w:t>
      </w:r>
      <w:r w:rsidR="00ED48FF" w:rsidRPr="00E37897">
        <w:rPr>
          <w:color w:val="000000"/>
          <w:sz w:val="26"/>
          <w:szCs w:val="26"/>
        </w:rPr>
        <w:t xml:space="preserve"> and </w:t>
      </w:r>
      <w:r w:rsidR="00C804B1" w:rsidRPr="00E37897">
        <w:rPr>
          <w:color w:val="000000"/>
          <w:sz w:val="26"/>
          <w:szCs w:val="26"/>
        </w:rPr>
        <w:t>provided informed guidance to EDCs for future DSP</w:t>
      </w:r>
      <w:r w:rsidR="006870A7" w:rsidRPr="00E37897">
        <w:rPr>
          <w:color w:val="000000"/>
          <w:sz w:val="26"/>
          <w:szCs w:val="26"/>
        </w:rPr>
        <w:t xml:space="preserve"> proceedings, we do not believe it would be beneficial to open </w:t>
      </w:r>
      <w:r w:rsidR="0034023B" w:rsidRPr="00E37897">
        <w:rPr>
          <w:color w:val="000000"/>
          <w:sz w:val="26"/>
          <w:szCs w:val="26"/>
        </w:rPr>
        <w:t xml:space="preserve">a new investigation or </w:t>
      </w:r>
      <w:r w:rsidR="00F75628" w:rsidRPr="00E37897">
        <w:rPr>
          <w:color w:val="000000"/>
          <w:sz w:val="26"/>
          <w:szCs w:val="26"/>
        </w:rPr>
        <w:t xml:space="preserve">to </w:t>
      </w:r>
      <w:r w:rsidR="0034023B" w:rsidRPr="00E37897">
        <w:rPr>
          <w:color w:val="000000"/>
          <w:sz w:val="26"/>
          <w:szCs w:val="26"/>
        </w:rPr>
        <w:t>reopen the prior formal investigation at this time</w:t>
      </w:r>
      <w:r w:rsidR="00376D04" w:rsidRPr="00E37897">
        <w:rPr>
          <w:color w:val="000000"/>
          <w:sz w:val="26"/>
          <w:szCs w:val="26"/>
        </w:rPr>
        <w:t>, particularly in the context of this individual DSP proceeding</w:t>
      </w:r>
      <w:r w:rsidR="0034023B" w:rsidRPr="00E37897">
        <w:rPr>
          <w:color w:val="000000"/>
          <w:sz w:val="26"/>
          <w:szCs w:val="26"/>
        </w:rPr>
        <w:t>.</w:t>
      </w:r>
      <w:r w:rsidR="00376D04" w:rsidRPr="00E37897">
        <w:rPr>
          <w:color w:val="000000"/>
          <w:sz w:val="26"/>
          <w:szCs w:val="26"/>
        </w:rPr>
        <w:t xml:space="preserve">  </w:t>
      </w:r>
      <w:r w:rsidR="00446C1B">
        <w:rPr>
          <w:color w:val="000000"/>
          <w:sz w:val="26"/>
          <w:szCs w:val="26"/>
        </w:rPr>
        <w:t xml:space="preserve">The individual </w:t>
      </w:r>
      <w:r w:rsidR="00A53497">
        <w:rPr>
          <w:color w:val="000000"/>
          <w:sz w:val="26"/>
          <w:szCs w:val="26"/>
        </w:rPr>
        <w:t xml:space="preserve">EGSs that comprise the </w:t>
      </w:r>
      <w:r w:rsidR="0041729D" w:rsidRPr="00E37897">
        <w:rPr>
          <w:color w:val="000000"/>
          <w:sz w:val="26"/>
          <w:szCs w:val="26"/>
        </w:rPr>
        <w:t>ESC ha</w:t>
      </w:r>
      <w:r w:rsidR="004E1923" w:rsidRPr="00E37897">
        <w:rPr>
          <w:color w:val="000000"/>
          <w:sz w:val="26"/>
          <w:szCs w:val="26"/>
        </w:rPr>
        <w:t>d</w:t>
      </w:r>
      <w:r w:rsidR="0041729D" w:rsidRPr="00E37897">
        <w:rPr>
          <w:color w:val="000000"/>
          <w:sz w:val="26"/>
          <w:szCs w:val="26"/>
        </w:rPr>
        <w:t xml:space="preserve"> the </w:t>
      </w:r>
      <w:r w:rsidR="004E1923" w:rsidRPr="00E37897">
        <w:rPr>
          <w:color w:val="000000"/>
          <w:sz w:val="26"/>
          <w:szCs w:val="26"/>
        </w:rPr>
        <w:t>opportunity to participate and file comments in the prior investigation</w:t>
      </w:r>
      <w:r w:rsidR="000319B5">
        <w:rPr>
          <w:color w:val="000000"/>
          <w:sz w:val="26"/>
          <w:szCs w:val="26"/>
        </w:rPr>
        <w:t>,</w:t>
      </w:r>
      <w:r w:rsidR="000319B5" w:rsidRPr="000319B5">
        <w:rPr>
          <w:color w:val="000000"/>
          <w:sz w:val="26"/>
          <w:szCs w:val="26"/>
        </w:rPr>
        <w:t xml:space="preserve"> </w:t>
      </w:r>
      <w:r w:rsidR="000319B5">
        <w:rPr>
          <w:color w:val="000000"/>
          <w:sz w:val="26"/>
          <w:szCs w:val="26"/>
        </w:rPr>
        <w:t>either separately or as part of a coalition</w:t>
      </w:r>
      <w:r w:rsidR="000319B5" w:rsidRPr="00E37897">
        <w:rPr>
          <w:color w:val="000000"/>
          <w:sz w:val="26"/>
          <w:szCs w:val="26"/>
        </w:rPr>
        <w:t>.</w:t>
      </w:r>
      <w:r w:rsidR="004E1923" w:rsidRPr="00E37897">
        <w:rPr>
          <w:color w:val="000000"/>
          <w:sz w:val="26"/>
          <w:szCs w:val="26"/>
        </w:rPr>
        <w:t xml:space="preserve">  </w:t>
      </w:r>
      <w:r w:rsidR="0009176B" w:rsidRPr="00E37897">
        <w:rPr>
          <w:color w:val="000000"/>
          <w:sz w:val="26"/>
          <w:szCs w:val="26"/>
        </w:rPr>
        <w:t xml:space="preserve">If </w:t>
      </w:r>
      <w:r w:rsidR="00167A68">
        <w:rPr>
          <w:color w:val="000000"/>
          <w:sz w:val="26"/>
          <w:szCs w:val="26"/>
        </w:rPr>
        <w:t xml:space="preserve">the </w:t>
      </w:r>
      <w:r w:rsidR="005946E9" w:rsidRPr="00E37897">
        <w:rPr>
          <w:color w:val="000000"/>
          <w:sz w:val="26"/>
          <w:szCs w:val="26"/>
        </w:rPr>
        <w:t>ESC believes a</w:t>
      </w:r>
      <w:r w:rsidR="00792EAA" w:rsidRPr="00E37897">
        <w:rPr>
          <w:color w:val="000000"/>
          <w:sz w:val="26"/>
          <w:szCs w:val="26"/>
        </w:rPr>
        <w:t xml:space="preserve"> new</w:t>
      </w:r>
      <w:r w:rsidR="005946E9" w:rsidRPr="00E37897">
        <w:rPr>
          <w:color w:val="000000"/>
          <w:sz w:val="26"/>
          <w:szCs w:val="26"/>
        </w:rPr>
        <w:t xml:space="preserve"> investigation</w:t>
      </w:r>
      <w:r w:rsidR="00E50C58" w:rsidRPr="00E37897">
        <w:rPr>
          <w:color w:val="000000"/>
          <w:sz w:val="26"/>
          <w:szCs w:val="26"/>
        </w:rPr>
        <w:t xml:space="preserve"> into </w:t>
      </w:r>
      <w:r w:rsidR="00A651D7">
        <w:rPr>
          <w:color w:val="000000"/>
          <w:sz w:val="26"/>
          <w:szCs w:val="26"/>
        </w:rPr>
        <w:t xml:space="preserve">the </w:t>
      </w:r>
      <w:r w:rsidR="00A651D7">
        <w:rPr>
          <w:color w:val="000000"/>
          <w:sz w:val="26"/>
          <w:szCs w:val="26"/>
        </w:rPr>
        <w:lastRenderedPageBreak/>
        <w:t xml:space="preserve">recovery of </w:t>
      </w:r>
      <w:r w:rsidR="00E50C58" w:rsidRPr="00E37897">
        <w:rPr>
          <w:color w:val="000000"/>
          <w:sz w:val="26"/>
          <w:szCs w:val="26"/>
        </w:rPr>
        <w:t xml:space="preserve">NITS costs is warranted, ESC may file a petition </w:t>
      </w:r>
      <w:r w:rsidR="00FE73B7" w:rsidRPr="00E37897">
        <w:rPr>
          <w:color w:val="000000"/>
          <w:sz w:val="26"/>
          <w:szCs w:val="26"/>
        </w:rPr>
        <w:t xml:space="preserve">outside of this proceeding </w:t>
      </w:r>
      <w:r w:rsidR="00E50C58" w:rsidRPr="00E37897">
        <w:rPr>
          <w:color w:val="000000"/>
          <w:sz w:val="26"/>
          <w:szCs w:val="26"/>
        </w:rPr>
        <w:t xml:space="preserve">requesting </w:t>
      </w:r>
      <w:r w:rsidR="00FE73B7" w:rsidRPr="00E37897">
        <w:rPr>
          <w:color w:val="000000"/>
          <w:sz w:val="26"/>
          <w:szCs w:val="26"/>
        </w:rPr>
        <w:t>such</w:t>
      </w:r>
      <w:r w:rsidR="00FF681A" w:rsidRPr="00E37897">
        <w:rPr>
          <w:color w:val="000000"/>
          <w:sz w:val="26"/>
          <w:szCs w:val="26"/>
        </w:rPr>
        <w:t xml:space="preserve"> an investigation</w:t>
      </w:r>
      <w:r w:rsidR="00A651D7">
        <w:rPr>
          <w:color w:val="000000"/>
          <w:sz w:val="26"/>
          <w:szCs w:val="26"/>
        </w:rPr>
        <w:t>.</w:t>
      </w:r>
      <w:r w:rsidR="00070908" w:rsidRPr="00E37897">
        <w:rPr>
          <w:color w:val="000000"/>
          <w:sz w:val="26"/>
          <w:szCs w:val="26"/>
        </w:rPr>
        <w:t xml:space="preserve">  A petition would properly provide interested parties that are not </w:t>
      </w:r>
      <w:r w:rsidR="00CF4207" w:rsidRPr="00E37897">
        <w:rPr>
          <w:color w:val="000000"/>
          <w:sz w:val="26"/>
          <w:szCs w:val="26"/>
        </w:rPr>
        <w:t>involved in this proceeding with an opportunity to respond</w:t>
      </w:r>
      <w:r w:rsidR="00FF681A" w:rsidRPr="00E37897">
        <w:rPr>
          <w:color w:val="000000"/>
          <w:sz w:val="26"/>
          <w:szCs w:val="26"/>
        </w:rPr>
        <w:t xml:space="preserve"> </w:t>
      </w:r>
      <w:r w:rsidR="005B612B" w:rsidRPr="00E37897">
        <w:rPr>
          <w:color w:val="000000"/>
          <w:sz w:val="26"/>
          <w:szCs w:val="26"/>
        </w:rPr>
        <w:t xml:space="preserve">to </w:t>
      </w:r>
      <w:r w:rsidR="00167A68">
        <w:rPr>
          <w:color w:val="000000"/>
          <w:sz w:val="26"/>
          <w:szCs w:val="26"/>
        </w:rPr>
        <w:t xml:space="preserve">the </w:t>
      </w:r>
      <w:r w:rsidR="005B612B" w:rsidRPr="00E37897">
        <w:rPr>
          <w:color w:val="000000"/>
          <w:sz w:val="26"/>
          <w:szCs w:val="26"/>
        </w:rPr>
        <w:t>ESC’s request.</w:t>
      </w:r>
      <w:r w:rsidR="00FF681A" w:rsidRPr="00E37897">
        <w:rPr>
          <w:color w:val="000000"/>
          <w:sz w:val="26"/>
          <w:szCs w:val="26"/>
        </w:rPr>
        <w:t xml:space="preserve"> </w:t>
      </w:r>
    </w:p>
    <w:p w14:paraId="149A8806" w14:textId="77777777" w:rsidR="00125748" w:rsidRPr="001953F3" w:rsidRDefault="00125748" w:rsidP="005F3BE2">
      <w:pPr>
        <w:widowControl/>
        <w:spacing w:line="360" w:lineRule="auto"/>
        <w:contextualSpacing/>
        <w:jc w:val="center"/>
        <w:rPr>
          <w:bCs/>
          <w:sz w:val="26"/>
          <w:szCs w:val="26"/>
        </w:rPr>
      </w:pPr>
    </w:p>
    <w:p w14:paraId="1336717B" w14:textId="60393F31" w:rsidR="00F776A7" w:rsidRPr="00E37897" w:rsidRDefault="00F776A7" w:rsidP="005F3BE2">
      <w:pPr>
        <w:pStyle w:val="Heading1"/>
        <w:keepNext/>
        <w:spacing w:after="0"/>
        <w:ind w:left="720" w:hanging="720"/>
        <w:contextualSpacing/>
        <w:jc w:val="center"/>
        <w:rPr>
          <w:caps w:val="0"/>
          <w:sz w:val="26"/>
          <w:szCs w:val="26"/>
          <w:u w:val="none"/>
        </w:rPr>
      </w:pPr>
      <w:bookmarkStart w:id="36" w:name="_Toc56512779"/>
      <w:r w:rsidRPr="00E37897">
        <w:rPr>
          <w:caps w:val="0"/>
          <w:sz w:val="26"/>
          <w:szCs w:val="26"/>
          <w:u w:val="none"/>
        </w:rPr>
        <w:t>V</w:t>
      </w:r>
      <w:r w:rsidR="006F7D6F" w:rsidRPr="00E37897">
        <w:rPr>
          <w:caps w:val="0"/>
          <w:sz w:val="26"/>
          <w:szCs w:val="26"/>
          <w:u w:val="none"/>
        </w:rPr>
        <w:t>I</w:t>
      </w:r>
      <w:r w:rsidRPr="00E37897">
        <w:rPr>
          <w:caps w:val="0"/>
          <w:sz w:val="26"/>
          <w:szCs w:val="26"/>
          <w:u w:val="none"/>
        </w:rPr>
        <w:t>.</w:t>
      </w:r>
      <w:r w:rsidRPr="00E37897">
        <w:rPr>
          <w:caps w:val="0"/>
          <w:sz w:val="26"/>
          <w:szCs w:val="26"/>
          <w:u w:val="none"/>
        </w:rPr>
        <w:tab/>
        <w:t>Conclusion</w:t>
      </w:r>
      <w:bookmarkEnd w:id="36"/>
    </w:p>
    <w:p w14:paraId="2AAC2A5E" w14:textId="77777777" w:rsidR="00F776A7" w:rsidRPr="00E37897" w:rsidRDefault="00F776A7" w:rsidP="005F3BE2">
      <w:pPr>
        <w:keepNext/>
        <w:keepLines/>
        <w:widowControl/>
        <w:spacing w:line="360" w:lineRule="auto"/>
        <w:contextualSpacing/>
        <w:rPr>
          <w:sz w:val="26"/>
          <w:szCs w:val="26"/>
        </w:rPr>
      </w:pPr>
    </w:p>
    <w:p w14:paraId="6576C181" w14:textId="230D2165" w:rsidR="004665ED" w:rsidRDefault="00F776A7" w:rsidP="004665ED">
      <w:pPr>
        <w:widowControl/>
        <w:spacing w:line="360" w:lineRule="auto"/>
        <w:contextualSpacing/>
        <w:rPr>
          <w:b/>
          <w:sz w:val="26"/>
          <w:szCs w:val="26"/>
        </w:rPr>
      </w:pPr>
      <w:r w:rsidRPr="00E37897">
        <w:rPr>
          <w:sz w:val="26"/>
          <w:szCs w:val="26"/>
        </w:rPr>
        <w:tab/>
      </w:r>
      <w:r w:rsidRPr="00E37897">
        <w:rPr>
          <w:sz w:val="26"/>
          <w:szCs w:val="26"/>
        </w:rPr>
        <w:tab/>
        <w:t xml:space="preserve">Based on the foregoing, we </w:t>
      </w:r>
      <w:r w:rsidR="00E938BF" w:rsidRPr="00E37897">
        <w:rPr>
          <w:sz w:val="26"/>
          <w:szCs w:val="26"/>
        </w:rPr>
        <w:t xml:space="preserve">shall </w:t>
      </w:r>
      <w:r w:rsidR="00046A6B">
        <w:rPr>
          <w:sz w:val="26"/>
          <w:szCs w:val="26"/>
        </w:rPr>
        <w:t xml:space="preserve">deny, in part, and </w:t>
      </w:r>
      <w:r w:rsidR="001B5032" w:rsidRPr="00E37897">
        <w:rPr>
          <w:sz w:val="26"/>
          <w:szCs w:val="26"/>
        </w:rPr>
        <w:t>grant</w:t>
      </w:r>
      <w:r w:rsidR="0078703F" w:rsidRPr="00E37897">
        <w:rPr>
          <w:sz w:val="26"/>
          <w:szCs w:val="26"/>
        </w:rPr>
        <w:t xml:space="preserve">, in </w:t>
      </w:r>
      <w:r w:rsidR="00046A6B">
        <w:rPr>
          <w:sz w:val="26"/>
          <w:szCs w:val="26"/>
        </w:rPr>
        <w:t xml:space="preserve">limited </w:t>
      </w:r>
      <w:r w:rsidR="0078703F" w:rsidRPr="00E37897">
        <w:rPr>
          <w:sz w:val="26"/>
          <w:szCs w:val="26"/>
        </w:rPr>
        <w:t>part,</w:t>
      </w:r>
      <w:r w:rsidR="00E938BF" w:rsidRPr="00E37897">
        <w:rPr>
          <w:sz w:val="26"/>
          <w:szCs w:val="26"/>
        </w:rPr>
        <w:t xml:space="preserve"> the Exceptions </w:t>
      </w:r>
      <w:r w:rsidR="0078703F" w:rsidRPr="00E37897">
        <w:rPr>
          <w:sz w:val="26"/>
          <w:szCs w:val="26"/>
        </w:rPr>
        <w:t xml:space="preserve">filed by </w:t>
      </w:r>
      <w:r w:rsidR="003E0B1C">
        <w:rPr>
          <w:sz w:val="26"/>
          <w:szCs w:val="26"/>
        </w:rPr>
        <w:t xml:space="preserve">the </w:t>
      </w:r>
      <w:r w:rsidR="0078703F" w:rsidRPr="00E37897">
        <w:rPr>
          <w:sz w:val="26"/>
          <w:szCs w:val="26"/>
        </w:rPr>
        <w:t xml:space="preserve">ESC and </w:t>
      </w:r>
      <w:r w:rsidRPr="00E37897">
        <w:rPr>
          <w:sz w:val="26"/>
          <w:szCs w:val="26"/>
        </w:rPr>
        <w:t xml:space="preserve">adopt the ALJ’s </w:t>
      </w:r>
      <w:r w:rsidR="003C7DB8" w:rsidRPr="00E37897">
        <w:rPr>
          <w:sz w:val="26"/>
          <w:szCs w:val="26"/>
        </w:rPr>
        <w:t>Recommended</w:t>
      </w:r>
      <w:r w:rsidRPr="00E37897">
        <w:rPr>
          <w:sz w:val="26"/>
          <w:szCs w:val="26"/>
        </w:rPr>
        <w:t xml:space="preserve"> Decisi</w:t>
      </w:r>
      <w:r w:rsidR="00C24421" w:rsidRPr="00E37897">
        <w:rPr>
          <w:sz w:val="26"/>
          <w:szCs w:val="26"/>
        </w:rPr>
        <w:t xml:space="preserve">on, </w:t>
      </w:r>
      <w:r w:rsidR="00F55583" w:rsidRPr="00E37897">
        <w:rPr>
          <w:sz w:val="26"/>
          <w:szCs w:val="26"/>
        </w:rPr>
        <w:t xml:space="preserve">as modified, </w:t>
      </w:r>
      <w:r w:rsidR="00C24421" w:rsidRPr="00E37897">
        <w:rPr>
          <w:sz w:val="26"/>
          <w:szCs w:val="26"/>
        </w:rPr>
        <w:t>consistent with</w:t>
      </w:r>
      <w:r w:rsidRPr="00E37897">
        <w:rPr>
          <w:sz w:val="26"/>
          <w:szCs w:val="26"/>
        </w:rPr>
        <w:t xml:space="preserve"> this Opinion and Order; </w:t>
      </w:r>
      <w:r w:rsidRPr="00E37897">
        <w:rPr>
          <w:b/>
          <w:sz w:val="26"/>
          <w:szCs w:val="26"/>
        </w:rPr>
        <w:t>THEREFORE,</w:t>
      </w:r>
    </w:p>
    <w:p w14:paraId="1394DC7C" w14:textId="77777777" w:rsidR="004665ED" w:rsidRDefault="004665ED" w:rsidP="004665ED">
      <w:pPr>
        <w:widowControl/>
        <w:spacing w:line="360" w:lineRule="auto"/>
        <w:contextualSpacing/>
        <w:rPr>
          <w:b/>
          <w:sz w:val="26"/>
          <w:szCs w:val="26"/>
        </w:rPr>
      </w:pPr>
    </w:p>
    <w:p w14:paraId="5E3277B0" w14:textId="17EA5393" w:rsidR="00F776A7" w:rsidRPr="00E37897" w:rsidRDefault="00F776A7" w:rsidP="004665ED">
      <w:pPr>
        <w:widowControl/>
        <w:spacing w:line="360" w:lineRule="auto"/>
        <w:ind w:left="720" w:firstLine="720"/>
        <w:contextualSpacing/>
        <w:rPr>
          <w:b/>
          <w:sz w:val="26"/>
          <w:szCs w:val="26"/>
        </w:rPr>
      </w:pPr>
      <w:r w:rsidRPr="00E37897">
        <w:rPr>
          <w:b/>
          <w:sz w:val="26"/>
          <w:szCs w:val="26"/>
        </w:rPr>
        <w:t>IT IS ORDERED:</w:t>
      </w:r>
    </w:p>
    <w:p w14:paraId="51269226" w14:textId="77777777" w:rsidR="00F776A7" w:rsidRPr="00E37897" w:rsidRDefault="00F776A7" w:rsidP="005F3BE2">
      <w:pPr>
        <w:widowControl/>
        <w:spacing w:line="360" w:lineRule="auto"/>
        <w:ind w:left="720" w:firstLine="720"/>
        <w:contextualSpacing/>
        <w:rPr>
          <w:b/>
          <w:sz w:val="26"/>
          <w:szCs w:val="26"/>
        </w:rPr>
      </w:pPr>
    </w:p>
    <w:p w14:paraId="102DDCC6" w14:textId="14AF6A72" w:rsidR="00A224CB" w:rsidRPr="00E37897" w:rsidRDefault="00282F8F" w:rsidP="0055723C">
      <w:pPr>
        <w:pStyle w:val="ListParagraph"/>
        <w:numPr>
          <w:ilvl w:val="1"/>
          <w:numId w:val="29"/>
        </w:numPr>
        <w:spacing w:line="360" w:lineRule="auto"/>
        <w:ind w:left="0" w:firstLine="1440"/>
        <w:contextualSpacing/>
        <w:rPr>
          <w:sz w:val="26"/>
          <w:szCs w:val="26"/>
        </w:rPr>
      </w:pPr>
      <w:r w:rsidRPr="00E37897">
        <w:rPr>
          <w:sz w:val="26"/>
          <w:szCs w:val="26"/>
        </w:rPr>
        <w:t xml:space="preserve">That the Exceptions </w:t>
      </w:r>
      <w:r w:rsidR="002C1F7E" w:rsidRPr="00E37897">
        <w:rPr>
          <w:sz w:val="26"/>
          <w:szCs w:val="26"/>
        </w:rPr>
        <w:t xml:space="preserve">filed by </w:t>
      </w:r>
      <w:r w:rsidR="004E723B" w:rsidRPr="00E37897">
        <w:rPr>
          <w:sz w:val="26"/>
          <w:szCs w:val="26"/>
        </w:rPr>
        <w:t>NRG Energy, Inc., Direct Energy Services LLC, Interstate Gas Supply, Inc. d/b/a IGS Energy, Vistra Energy Corp., Shipley Choice LLC, ENGIE Resources LLC and WGL Energy Services, Inc.</w:t>
      </w:r>
      <w:r w:rsidR="00CE3F6A">
        <w:rPr>
          <w:sz w:val="26"/>
          <w:szCs w:val="26"/>
        </w:rPr>
        <w:t>, collectively, the Electric Supplier Coalition,</w:t>
      </w:r>
      <w:r w:rsidR="004E723B" w:rsidRPr="00E37897">
        <w:rPr>
          <w:sz w:val="26"/>
          <w:szCs w:val="26"/>
        </w:rPr>
        <w:t xml:space="preserve"> on October 29, 2020, </w:t>
      </w:r>
      <w:r w:rsidR="00A224CB" w:rsidRPr="00E37897">
        <w:rPr>
          <w:sz w:val="26"/>
          <w:szCs w:val="26"/>
        </w:rPr>
        <w:t xml:space="preserve">are </w:t>
      </w:r>
      <w:r w:rsidR="000451B5">
        <w:rPr>
          <w:sz w:val="26"/>
          <w:szCs w:val="26"/>
        </w:rPr>
        <w:t xml:space="preserve">denied, in part, and </w:t>
      </w:r>
      <w:r w:rsidR="00A224CB" w:rsidRPr="00E37897">
        <w:rPr>
          <w:sz w:val="26"/>
          <w:szCs w:val="26"/>
        </w:rPr>
        <w:t xml:space="preserve">granted, in </w:t>
      </w:r>
      <w:r w:rsidR="000451B5">
        <w:rPr>
          <w:sz w:val="26"/>
          <w:szCs w:val="26"/>
        </w:rPr>
        <w:t xml:space="preserve">limited </w:t>
      </w:r>
      <w:r w:rsidR="00A224CB" w:rsidRPr="00E37897">
        <w:rPr>
          <w:sz w:val="26"/>
          <w:szCs w:val="26"/>
        </w:rPr>
        <w:t xml:space="preserve">part.  </w:t>
      </w:r>
    </w:p>
    <w:p w14:paraId="6E2B1DC3" w14:textId="36BFFDD5" w:rsidR="002623F7" w:rsidRDefault="002623F7" w:rsidP="0055723C">
      <w:pPr>
        <w:widowControl/>
        <w:spacing w:line="360" w:lineRule="auto"/>
        <w:ind w:left="1440"/>
        <w:contextualSpacing/>
        <w:rPr>
          <w:sz w:val="26"/>
          <w:szCs w:val="26"/>
        </w:rPr>
      </w:pPr>
    </w:p>
    <w:p w14:paraId="7E79B03D" w14:textId="290DE67E" w:rsidR="00B73F93" w:rsidRPr="002165A8" w:rsidRDefault="002165A8" w:rsidP="002165A8">
      <w:pPr>
        <w:pStyle w:val="ListParagraph"/>
        <w:numPr>
          <w:ilvl w:val="1"/>
          <w:numId w:val="29"/>
        </w:numPr>
        <w:spacing w:line="360" w:lineRule="auto"/>
        <w:ind w:left="0" w:firstLine="1440"/>
        <w:contextualSpacing/>
        <w:rPr>
          <w:b/>
          <w:bCs/>
          <w:caps/>
          <w:sz w:val="26"/>
          <w:szCs w:val="26"/>
        </w:rPr>
      </w:pPr>
      <w:r w:rsidRPr="002165A8">
        <w:rPr>
          <w:sz w:val="26"/>
          <w:szCs w:val="26"/>
        </w:rPr>
        <w:t>That</w:t>
      </w:r>
      <w:r>
        <w:rPr>
          <w:sz w:val="26"/>
          <w:szCs w:val="26"/>
        </w:rPr>
        <w:t xml:space="preserve"> the </w:t>
      </w:r>
      <w:r w:rsidRPr="002165A8">
        <w:rPr>
          <w:rStyle w:val="Heading2Char"/>
          <w:b w:val="0"/>
          <w:bCs w:val="0"/>
          <w:caps w:val="0"/>
          <w:sz w:val="26"/>
          <w:szCs w:val="26"/>
        </w:rPr>
        <w:t xml:space="preserve">Proposal Regarding a Commission-Ordered Statewide Review Addressing </w:t>
      </w:r>
      <w:r w:rsidR="00D05B4A" w:rsidRPr="00E37897">
        <w:rPr>
          <w:color w:val="000000"/>
          <w:sz w:val="26"/>
          <w:szCs w:val="26"/>
        </w:rPr>
        <w:t xml:space="preserve">Network Integration Transmission Service </w:t>
      </w:r>
      <w:r w:rsidRPr="002165A8">
        <w:rPr>
          <w:rStyle w:val="Heading2Char"/>
          <w:b w:val="0"/>
          <w:bCs w:val="0"/>
          <w:caps w:val="0"/>
          <w:sz w:val="26"/>
          <w:szCs w:val="26"/>
        </w:rPr>
        <w:t>Costs Recovery to Enhance the Retail Electric Market</w:t>
      </w:r>
      <w:r w:rsidR="00A638FC">
        <w:rPr>
          <w:rStyle w:val="Heading2Char"/>
          <w:b w:val="0"/>
          <w:bCs w:val="0"/>
          <w:caps w:val="0"/>
          <w:sz w:val="26"/>
          <w:szCs w:val="26"/>
        </w:rPr>
        <w:t xml:space="preserve"> of </w:t>
      </w:r>
      <w:r w:rsidR="00A638FC" w:rsidRPr="00E37897">
        <w:rPr>
          <w:sz w:val="26"/>
          <w:szCs w:val="26"/>
        </w:rPr>
        <w:t xml:space="preserve">NRG Energy, Inc., Direct Energy Services LLC, Interstate Gas Supply, Inc. d/b/a IGS Energy, </w:t>
      </w:r>
      <w:proofErr w:type="spellStart"/>
      <w:r w:rsidR="00A638FC" w:rsidRPr="00E37897">
        <w:rPr>
          <w:sz w:val="26"/>
          <w:szCs w:val="26"/>
        </w:rPr>
        <w:t>Vistra</w:t>
      </w:r>
      <w:proofErr w:type="spellEnd"/>
      <w:r w:rsidR="00A638FC" w:rsidRPr="00E37897">
        <w:rPr>
          <w:sz w:val="26"/>
          <w:szCs w:val="26"/>
        </w:rPr>
        <w:t xml:space="preserve"> Energy Corp., Shipley Choice LLC, ENGIE Resources LLC and WGL Energy Services, Inc.</w:t>
      </w:r>
      <w:r w:rsidR="00A638FC">
        <w:rPr>
          <w:sz w:val="26"/>
          <w:szCs w:val="26"/>
        </w:rPr>
        <w:t>, collectively, the Electric Supplier Coalition, is denied, consistent with this Opinion and Order.</w:t>
      </w:r>
    </w:p>
    <w:p w14:paraId="760694E9" w14:textId="02E73B5B" w:rsidR="00F63867" w:rsidRPr="00B73F93" w:rsidRDefault="00F63867" w:rsidP="00B73F93">
      <w:pPr>
        <w:spacing w:line="360" w:lineRule="auto"/>
        <w:ind w:left="1800"/>
        <w:contextualSpacing/>
        <w:rPr>
          <w:sz w:val="26"/>
          <w:szCs w:val="26"/>
        </w:rPr>
      </w:pPr>
    </w:p>
    <w:p w14:paraId="6C86127D" w14:textId="09814EED" w:rsidR="009A19BE" w:rsidRDefault="009A19BE" w:rsidP="0055723C">
      <w:pPr>
        <w:pStyle w:val="ListParagraph"/>
        <w:numPr>
          <w:ilvl w:val="1"/>
          <w:numId w:val="29"/>
        </w:numPr>
        <w:spacing w:line="360" w:lineRule="auto"/>
        <w:ind w:left="0" w:firstLine="1440"/>
        <w:contextualSpacing/>
        <w:rPr>
          <w:sz w:val="26"/>
          <w:szCs w:val="26"/>
        </w:rPr>
      </w:pPr>
      <w:r w:rsidRPr="00E37897">
        <w:rPr>
          <w:sz w:val="26"/>
          <w:szCs w:val="26"/>
        </w:rPr>
        <w:t xml:space="preserve">That the Recommended Decision of </w:t>
      </w:r>
      <w:r w:rsidR="00407986" w:rsidRPr="00E37897">
        <w:rPr>
          <w:sz w:val="26"/>
          <w:szCs w:val="26"/>
        </w:rPr>
        <w:t xml:space="preserve">Administrative Law Judge Eranda Vero, served on </w:t>
      </w:r>
      <w:r w:rsidR="00A4229D" w:rsidRPr="00E37897">
        <w:rPr>
          <w:sz w:val="26"/>
          <w:szCs w:val="26"/>
        </w:rPr>
        <w:t>October 20, 2020</w:t>
      </w:r>
      <w:r w:rsidR="002063AD" w:rsidRPr="00E37897">
        <w:rPr>
          <w:sz w:val="26"/>
          <w:szCs w:val="26"/>
        </w:rPr>
        <w:t>, is adopted as modified, consistent with this Opinion and Order.</w:t>
      </w:r>
      <w:r w:rsidR="00407986" w:rsidRPr="00E37897">
        <w:rPr>
          <w:sz w:val="26"/>
          <w:szCs w:val="26"/>
        </w:rPr>
        <w:t xml:space="preserve"> </w:t>
      </w:r>
    </w:p>
    <w:p w14:paraId="76F67C7F" w14:textId="00A0B871" w:rsidR="004D2339" w:rsidRDefault="004D2339" w:rsidP="0055723C">
      <w:pPr>
        <w:pStyle w:val="ListParagraph"/>
        <w:numPr>
          <w:ilvl w:val="1"/>
          <w:numId w:val="29"/>
        </w:numPr>
        <w:spacing w:line="360" w:lineRule="auto"/>
        <w:ind w:left="0" w:right="432" w:firstLine="1440"/>
        <w:contextualSpacing/>
        <w:textAlignment w:val="baseline"/>
        <w:rPr>
          <w:color w:val="000000"/>
          <w:sz w:val="26"/>
          <w:szCs w:val="26"/>
        </w:rPr>
      </w:pPr>
      <w:r w:rsidRPr="00E37897">
        <w:rPr>
          <w:color w:val="000000"/>
          <w:sz w:val="26"/>
          <w:szCs w:val="26"/>
        </w:rPr>
        <w:lastRenderedPageBreak/>
        <w:t>That the Joint Petition for Partial Settlement is granted, and the Partial Settlement is approved without modification.</w:t>
      </w:r>
    </w:p>
    <w:p w14:paraId="30D08877" w14:textId="77777777" w:rsidR="00E37897" w:rsidRPr="00E37897" w:rsidRDefault="00E37897" w:rsidP="0055723C">
      <w:pPr>
        <w:pStyle w:val="ListParagraph"/>
        <w:spacing w:line="360" w:lineRule="auto"/>
        <w:ind w:left="1440" w:right="432"/>
        <w:contextualSpacing/>
        <w:textAlignment w:val="baseline"/>
        <w:rPr>
          <w:color w:val="000000"/>
          <w:sz w:val="26"/>
          <w:szCs w:val="26"/>
        </w:rPr>
      </w:pPr>
    </w:p>
    <w:p w14:paraId="69130C05" w14:textId="30FD0870" w:rsidR="004D2339" w:rsidRDefault="004D2339" w:rsidP="0055723C">
      <w:pPr>
        <w:pStyle w:val="ListParagraph"/>
        <w:numPr>
          <w:ilvl w:val="1"/>
          <w:numId w:val="29"/>
        </w:numPr>
        <w:spacing w:line="360" w:lineRule="auto"/>
        <w:ind w:left="0" w:right="72" w:firstLine="1440"/>
        <w:contextualSpacing/>
        <w:textAlignment w:val="baseline"/>
        <w:rPr>
          <w:color w:val="000000"/>
          <w:sz w:val="26"/>
          <w:szCs w:val="26"/>
        </w:rPr>
      </w:pPr>
      <w:r w:rsidRPr="00E37897">
        <w:rPr>
          <w:color w:val="000000"/>
          <w:sz w:val="26"/>
          <w:szCs w:val="26"/>
        </w:rPr>
        <w:t xml:space="preserve">That the </w:t>
      </w:r>
      <w:r w:rsidR="0077741B" w:rsidRPr="00E37897">
        <w:rPr>
          <w:sz w:val="26"/>
          <w:szCs w:val="26"/>
        </w:rPr>
        <w:t>Clean Air Council, Sierra Club/PA Chapter, and Philadelphia Solar Energy Association</w:t>
      </w:r>
      <w:r w:rsidR="00303992">
        <w:rPr>
          <w:color w:val="000000"/>
          <w:sz w:val="26"/>
          <w:szCs w:val="26"/>
        </w:rPr>
        <w:t xml:space="preserve">’s </w:t>
      </w:r>
      <w:r w:rsidRPr="00E37897">
        <w:rPr>
          <w:color w:val="000000"/>
          <w:sz w:val="26"/>
          <w:szCs w:val="26"/>
        </w:rPr>
        <w:t>objections to the Partial Settlement are denied.</w:t>
      </w:r>
    </w:p>
    <w:p w14:paraId="11FD8F75" w14:textId="77777777" w:rsidR="00E37897" w:rsidRPr="00E37897" w:rsidRDefault="00E37897" w:rsidP="0055723C">
      <w:pPr>
        <w:pStyle w:val="ListParagraph"/>
        <w:spacing w:line="360" w:lineRule="auto"/>
        <w:ind w:left="0" w:right="72" w:firstLine="1440"/>
        <w:contextualSpacing/>
        <w:textAlignment w:val="baseline"/>
        <w:rPr>
          <w:color w:val="000000"/>
          <w:sz w:val="26"/>
          <w:szCs w:val="26"/>
        </w:rPr>
      </w:pPr>
    </w:p>
    <w:p w14:paraId="1AC10DA3" w14:textId="444FFD8F" w:rsidR="004D2339" w:rsidRDefault="004D2339" w:rsidP="0055723C">
      <w:pPr>
        <w:pStyle w:val="ListParagraph"/>
        <w:numPr>
          <w:ilvl w:val="1"/>
          <w:numId w:val="29"/>
        </w:numPr>
        <w:spacing w:line="360" w:lineRule="auto"/>
        <w:ind w:left="0" w:right="432" w:firstLine="1440"/>
        <w:contextualSpacing/>
        <w:textAlignment w:val="baseline"/>
        <w:rPr>
          <w:color w:val="000000"/>
          <w:sz w:val="26"/>
          <w:szCs w:val="26"/>
        </w:rPr>
      </w:pPr>
      <w:r w:rsidRPr="00E37897">
        <w:rPr>
          <w:color w:val="000000"/>
          <w:sz w:val="26"/>
          <w:szCs w:val="26"/>
        </w:rPr>
        <w:t>That the Partial Settlement on Time of Use Cost Allocation is a</w:t>
      </w:r>
      <w:r w:rsidR="009743D0">
        <w:rPr>
          <w:color w:val="000000"/>
          <w:sz w:val="26"/>
          <w:szCs w:val="26"/>
        </w:rPr>
        <w:t>pproved</w:t>
      </w:r>
      <w:r w:rsidRPr="00E37897">
        <w:rPr>
          <w:color w:val="000000"/>
          <w:sz w:val="26"/>
          <w:szCs w:val="26"/>
        </w:rPr>
        <w:t xml:space="preserve"> without modification.</w:t>
      </w:r>
    </w:p>
    <w:p w14:paraId="709DDB1A" w14:textId="77777777" w:rsidR="00E37897" w:rsidRPr="00E37897" w:rsidRDefault="00E37897" w:rsidP="0055723C">
      <w:pPr>
        <w:pStyle w:val="ListParagraph"/>
        <w:spacing w:line="360" w:lineRule="auto"/>
        <w:ind w:left="1440" w:right="432"/>
        <w:contextualSpacing/>
        <w:textAlignment w:val="baseline"/>
        <w:rPr>
          <w:color w:val="000000"/>
          <w:sz w:val="26"/>
          <w:szCs w:val="26"/>
        </w:rPr>
      </w:pPr>
    </w:p>
    <w:p w14:paraId="7B34D651" w14:textId="779D1084" w:rsidR="004D2339" w:rsidRDefault="004D2339" w:rsidP="0055723C">
      <w:pPr>
        <w:pStyle w:val="ListParagraph"/>
        <w:numPr>
          <w:ilvl w:val="1"/>
          <w:numId w:val="29"/>
        </w:numPr>
        <w:spacing w:line="360" w:lineRule="auto"/>
        <w:ind w:left="0" w:right="72" w:firstLine="1440"/>
        <w:contextualSpacing/>
        <w:textAlignment w:val="baseline"/>
        <w:rPr>
          <w:color w:val="000000"/>
          <w:sz w:val="26"/>
          <w:szCs w:val="26"/>
        </w:rPr>
      </w:pPr>
      <w:r w:rsidRPr="00E37897">
        <w:rPr>
          <w:color w:val="000000"/>
          <w:sz w:val="26"/>
          <w:szCs w:val="26"/>
        </w:rPr>
        <w:t xml:space="preserve">That PECO Energy Company shall allocate </w:t>
      </w:r>
      <w:r w:rsidR="009743D0">
        <w:rPr>
          <w:color w:val="000000"/>
          <w:sz w:val="26"/>
          <w:szCs w:val="26"/>
        </w:rPr>
        <w:t xml:space="preserve">seventy percent </w:t>
      </w:r>
      <w:r w:rsidRPr="00E37897">
        <w:rPr>
          <w:color w:val="000000"/>
          <w:sz w:val="26"/>
          <w:szCs w:val="26"/>
        </w:rPr>
        <w:t>of the costs incurred to implement its new T</w:t>
      </w:r>
      <w:r w:rsidR="009743D0">
        <w:rPr>
          <w:color w:val="000000"/>
          <w:sz w:val="26"/>
          <w:szCs w:val="26"/>
        </w:rPr>
        <w:t xml:space="preserve">ime of </w:t>
      </w:r>
      <w:r w:rsidRPr="00E37897">
        <w:rPr>
          <w:color w:val="000000"/>
          <w:sz w:val="26"/>
          <w:szCs w:val="26"/>
        </w:rPr>
        <w:t>U</w:t>
      </w:r>
      <w:r w:rsidR="009743D0">
        <w:rPr>
          <w:color w:val="000000"/>
          <w:sz w:val="26"/>
          <w:szCs w:val="26"/>
        </w:rPr>
        <w:t>se</w:t>
      </w:r>
      <w:r w:rsidRPr="00E37897">
        <w:rPr>
          <w:color w:val="000000"/>
          <w:sz w:val="26"/>
          <w:szCs w:val="26"/>
        </w:rPr>
        <w:t xml:space="preserve"> default service rate options based on the total number of default service customers in the Residential and Small Commercial procurement classes, and </w:t>
      </w:r>
      <w:r w:rsidR="008E6E33">
        <w:rPr>
          <w:color w:val="000000"/>
          <w:sz w:val="26"/>
          <w:szCs w:val="26"/>
        </w:rPr>
        <w:t>thirty percent</w:t>
      </w:r>
      <w:r w:rsidRPr="00E37897">
        <w:rPr>
          <w:color w:val="000000"/>
          <w:sz w:val="26"/>
          <w:szCs w:val="26"/>
        </w:rPr>
        <w:t xml:space="preserve"> of the costs on the number of default service k</w:t>
      </w:r>
      <w:r w:rsidR="00BF77DF">
        <w:rPr>
          <w:color w:val="000000"/>
          <w:sz w:val="26"/>
          <w:szCs w:val="26"/>
        </w:rPr>
        <w:t>il</w:t>
      </w:r>
      <w:r w:rsidR="00107458">
        <w:rPr>
          <w:color w:val="000000"/>
          <w:sz w:val="26"/>
          <w:szCs w:val="26"/>
        </w:rPr>
        <w:t>owatt-hour</w:t>
      </w:r>
      <w:r w:rsidRPr="00E37897">
        <w:rPr>
          <w:color w:val="000000"/>
          <w:sz w:val="26"/>
          <w:szCs w:val="26"/>
        </w:rPr>
        <w:t xml:space="preserve"> consumed by the Residential and Small Commercial procurement classes.</w:t>
      </w:r>
    </w:p>
    <w:p w14:paraId="374EC43C" w14:textId="77777777" w:rsidR="00E37897" w:rsidRPr="00E37897" w:rsidRDefault="00E37897" w:rsidP="0055723C">
      <w:pPr>
        <w:pStyle w:val="ListParagraph"/>
        <w:spacing w:before="416" w:line="360" w:lineRule="auto"/>
        <w:ind w:left="1440" w:right="72"/>
        <w:contextualSpacing/>
        <w:textAlignment w:val="baseline"/>
        <w:rPr>
          <w:color w:val="000000"/>
          <w:sz w:val="26"/>
          <w:szCs w:val="26"/>
        </w:rPr>
      </w:pPr>
    </w:p>
    <w:p w14:paraId="14B988D8" w14:textId="2A57F0C4" w:rsidR="004D2339" w:rsidRDefault="004D2339" w:rsidP="0055723C">
      <w:pPr>
        <w:pStyle w:val="ListParagraph"/>
        <w:numPr>
          <w:ilvl w:val="1"/>
          <w:numId w:val="29"/>
        </w:numPr>
        <w:spacing w:before="414" w:line="360" w:lineRule="auto"/>
        <w:ind w:left="0" w:right="360" w:firstLine="1440"/>
        <w:contextualSpacing/>
        <w:textAlignment w:val="baseline"/>
        <w:rPr>
          <w:color w:val="000000"/>
          <w:spacing w:val="-2"/>
          <w:sz w:val="26"/>
          <w:szCs w:val="26"/>
        </w:rPr>
      </w:pPr>
      <w:r w:rsidRPr="00E37897">
        <w:rPr>
          <w:color w:val="000000"/>
          <w:spacing w:val="-2"/>
          <w:sz w:val="26"/>
          <w:szCs w:val="26"/>
        </w:rPr>
        <w:t>That NERA Economic Consulting, Inc., is approved to continue as the independent third-party evaluator for PECO Energy Company’s default service procurements.</w:t>
      </w:r>
    </w:p>
    <w:p w14:paraId="0ABC5E8E" w14:textId="77777777" w:rsidR="00E37897" w:rsidRPr="00E37897" w:rsidRDefault="00E37897" w:rsidP="0055723C">
      <w:pPr>
        <w:pStyle w:val="ListParagraph"/>
        <w:spacing w:before="414" w:line="360" w:lineRule="auto"/>
        <w:ind w:left="1440" w:right="360"/>
        <w:contextualSpacing/>
        <w:textAlignment w:val="baseline"/>
        <w:rPr>
          <w:color w:val="000000"/>
          <w:spacing w:val="-2"/>
          <w:sz w:val="26"/>
          <w:szCs w:val="26"/>
        </w:rPr>
      </w:pPr>
    </w:p>
    <w:p w14:paraId="2DCC2AF3" w14:textId="58BE85FB" w:rsidR="004D2339" w:rsidRDefault="004D2339" w:rsidP="0055723C">
      <w:pPr>
        <w:pStyle w:val="ListParagraph"/>
        <w:numPr>
          <w:ilvl w:val="1"/>
          <w:numId w:val="29"/>
        </w:numPr>
        <w:spacing w:line="360" w:lineRule="auto"/>
        <w:ind w:left="0" w:right="72" w:firstLine="1440"/>
        <w:contextualSpacing/>
        <w:textAlignment w:val="baseline"/>
        <w:rPr>
          <w:color w:val="000000"/>
          <w:sz w:val="26"/>
          <w:szCs w:val="26"/>
        </w:rPr>
      </w:pPr>
      <w:r w:rsidRPr="00E37897">
        <w:rPr>
          <w:color w:val="000000"/>
          <w:spacing w:val="-2"/>
          <w:sz w:val="26"/>
          <w:szCs w:val="26"/>
        </w:rPr>
        <w:t>That, to the extent that it is necessary to permit PECO Energy Company to procure generation for three procurement classes, quarterly filing of hourly-priced default service rates and semi-annual reconciliation of the over/under collection component of the G</w:t>
      </w:r>
      <w:r w:rsidR="0025013C">
        <w:rPr>
          <w:color w:val="000000"/>
          <w:spacing w:val="-2"/>
          <w:sz w:val="26"/>
          <w:szCs w:val="26"/>
        </w:rPr>
        <w:t xml:space="preserve">eneration </w:t>
      </w:r>
      <w:r w:rsidRPr="00E37897">
        <w:rPr>
          <w:color w:val="000000"/>
          <w:spacing w:val="-2"/>
          <w:sz w:val="26"/>
          <w:szCs w:val="26"/>
        </w:rPr>
        <w:t>S</w:t>
      </w:r>
      <w:r w:rsidR="0025013C">
        <w:rPr>
          <w:color w:val="000000"/>
          <w:spacing w:val="-2"/>
          <w:sz w:val="26"/>
          <w:szCs w:val="26"/>
        </w:rPr>
        <w:t xml:space="preserve">upply </w:t>
      </w:r>
      <w:r w:rsidRPr="00E37897">
        <w:rPr>
          <w:color w:val="000000"/>
          <w:spacing w:val="-2"/>
          <w:sz w:val="26"/>
          <w:szCs w:val="26"/>
        </w:rPr>
        <w:t>A</w:t>
      </w:r>
      <w:r w:rsidR="0025013C">
        <w:rPr>
          <w:color w:val="000000"/>
          <w:spacing w:val="-2"/>
          <w:sz w:val="26"/>
          <w:szCs w:val="26"/>
        </w:rPr>
        <w:t>djustment</w:t>
      </w:r>
      <w:r w:rsidRPr="00E37897">
        <w:rPr>
          <w:color w:val="000000"/>
          <w:spacing w:val="-2"/>
          <w:sz w:val="26"/>
          <w:szCs w:val="26"/>
        </w:rPr>
        <w:t xml:space="preserve"> for all</w:t>
      </w:r>
      <w:r w:rsidR="00CF7AA8" w:rsidRPr="00E37897">
        <w:rPr>
          <w:color w:val="000000"/>
          <w:spacing w:val="-2"/>
          <w:sz w:val="26"/>
          <w:szCs w:val="26"/>
        </w:rPr>
        <w:t xml:space="preserve"> d</w:t>
      </w:r>
      <w:r w:rsidRPr="00E37897">
        <w:rPr>
          <w:color w:val="000000"/>
          <w:sz w:val="26"/>
          <w:szCs w:val="26"/>
        </w:rPr>
        <w:t xml:space="preserve">efault service customers as set forth in PECO Energy Company’s Revised Default Service Program V, the Commission’s </w:t>
      </w:r>
      <w:r w:rsidR="00CF7AA8" w:rsidRPr="00E37897">
        <w:rPr>
          <w:color w:val="000000"/>
          <w:sz w:val="26"/>
          <w:szCs w:val="26"/>
        </w:rPr>
        <w:t>R</w:t>
      </w:r>
      <w:r w:rsidRPr="00E37897">
        <w:rPr>
          <w:color w:val="000000"/>
          <w:sz w:val="26"/>
          <w:szCs w:val="26"/>
        </w:rPr>
        <w:t>egulation at 52 Pa.</w:t>
      </w:r>
      <w:r w:rsidR="00CF7AA8" w:rsidRPr="00E37897">
        <w:rPr>
          <w:color w:val="000000"/>
          <w:sz w:val="26"/>
          <w:szCs w:val="26"/>
        </w:rPr>
        <w:t xml:space="preserve"> </w:t>
      </w:r>
      <w:r w:rsidRPr="00E37897">
        <w:rPr>
          <w:color w:val="000000"/>
          <w:sz w:val="26"/>
          <w:szCs w:val="26"/>
        </w:rPr>
        <w:t>Code § 54.187 is waived.</w:t>
      </w:r>
    </w:p>
    <w:p w14:paraId="3557C018" w14:textId="77777777" w:rsidR="00E37897" w:rsidRPr="00E37897" w:rsidRDefault="00E37897" w:rsidP="0055723C">
      <w:pPr>
        <w:pStyle w:val="ListParagraph"/>
        <w:spacing w:line="360" w:lineRule="auto"/>
        <w:ind w:left="1440" w:right="72"/>
        <w:contextualSpacing/>
        <w:textAlignment w:val="baseline"/>
        <w:rPr>
          <w:color w:val="000000"/>
          <w:sz w:val="26"/>
          <w:szCs w:val="26"/>
        </w:rPr>
      </w:pPr>
    </w:p>
    <w:p w14:paraId="0C98855F" w14:textId="755CFD8D" w:rsidR="004D2339" w:rsidRDefault="004D2339" w:rsidP="0055723C">
      <w:pPr>
        <w:pStyle w:val="ListParagraph"/>
        <w:numPr>
          <w:ilvl w:val="1"/>
          <w:numId w:val="29"/>
        </w:numPr>
        <w:spacing w:before="411" w:line="360" w:lineRule="auto"/>
        <w:ind w:left="0" w:right="72" w:firstLine="1440"/>
        <w:contextualSpacing/>
        <w:textAlignment w:val="baseline"/>
        <w:rPr>
          <w:color w:val="000000"/>
          <w:spacing w:val="-2"/>
          <w:sz w:val="26"/>
          <w:szCs w:val="26"/>
        </w:rPr>
      </w:pPr>
      <w:r w:rsidRPr="00E37897">
        <w:rPr>
          <w:color w:val="000000"/>
          <w:spacing w:val="-2"/>
          <w:sz w:val="26"/>
          <w:szCs w:val="26"/>
        </w:rPr>
        <w:t xml:space="preserve">That the form Supply Master Agreement set forth in PECO Exhibit No. JJM-4 and both forms of the Solar </w:t>
      </w:r>
      <w:r w:rsidR="00626BE3" w:rsidRPr="00E37897">
        <w:rPr>
          <w:sz w:val="26"/>
          <w:szCs w:val="26"/>
        </w:rPr>
        <w:t>Alternative Energy Credits</w:t>
      </w:r>
      <w:r w:rsidRPr="00E37897">
        <w:rPr>
          <w:color w:val="000000"/>
          <w:spacing w:val="-2"/>
          <w:sz w:val="26"/>
          <w:szCs w:val="26"/>
        </w:rPr>
        <w:t xml:space="preserve"> Purchase and Sale </w:t>
      </w:r>
      <w:r w:rsidRPr="00E37897">
        <w:rPr>
          <w:color w:val="000000"/>
          <w:spacing w:val="-2"/>
          <w:sz w:val="26"/>
          <w:szCs w:val="26"/>
        </w:rPr>
        <w:lastRenderedPageBreak/>
        <w:t>Agreement set forth in PECO Exhibit No. JJM-10 are approved as affiliated interest agreements pursuant to 66 Pa.</w:t>
      </w:r>
      <w:r w:rsidR="00CF7AA8" w:rsidRPr="00E37897">
        <w:rPr>
          <w:color w:val="000000"/>
          <w:spacing w:val="-2"/>
          <w:sz w:val="26"/>
          <w:szCs w:val="26"/>
        </w:rPr>
        <w:t xml:space="preserve"> </w:t>
      </w:r>
      <w:r w:rsidRPr="00E37897">
        <w:rPr>
          <w:color w:val="000000"/>
          <w:spacing w:val="-2"/>
          <w:sz w:val="26"/>
          <w:szCs w:val="26"/>
        </w:rPr>
        <w:t>C.S. § 2102.</w:t>
      </w:r>
    </w:p>
    <w:p w14:paraId="1B517428" w14:textId="77777777" w:rsidR="00E37897" w:rsidRPr="00E37897" w:rsidRDefault="00E37897" w:rsidP="0055723C">
      <w:pPr>
        <w:pStyle w:val="ListParagraph"/>
        <w:spacing w:line="360" w:lineRule="auto"/>
        <w:ind w:left="1440" w:right="72"/>
        <w:contextualSpacing/>
        <w:textAlignment w:val="baseline"/>
        <w:rPr>
          <w:color w:val="000000"/>
          <w:spacing w:val="-2"/>
          <w:sz w:val="26"/>
          <w:szCs w:val="26"/>
        </w:rPr>
      </w:pPr>
    </w:p>
    <w:p w14:paraId="52413FDD" w14:textId="5C22C9B7" w:rsidR="004D2339" w:rsidRDefault="004D2339" w:rsidP="0055723C">
      <w:pPr>
        <w:pStyle w:val="ListParagraph"/>
        <w:numPr>
          <w:ilvl w:val="1"/>
          <w:numId w:val="29"/>
        </w:numPr>
        <w:spacing w:before="413" w:line="360" w:lineRule="auto"/>
        <w:ind w:left="0" w:firstLine="1440"/>
        <w:contextualSpacing/>
        <w:textAlignment w:val="baseline"/>
        <w:rPr>
          <w:color w:val="000000"/>
          <w:sz w:val="26"/>
          <w:szCs w:val="26"/>
        </w:rPr>
      </w:pPr>
      <w:r w:rsidRPr="00E37897">
        <w:rPr>
          <w:color w:val="000000"/>
          <w:sz w:val="26"/>
          <w:szCs w:val="26"/>
        </w:rPr>
        <w:t xml:space="preserve">That PECO Energy Company’s Standard Offer Program currently in effect, including the associated cost recovery mechanisms approved in PECO Energy Company’s prior default service proceedings, is permitted to continue, subject to the applicable provisions set forth in the </w:t>
      </w:r>
      <w:r w:rsidR="00CF7AA8" w:rsidRPr="00E37897">
        <w:rPr>
          <w:color w:val="000000"/>
          <w:sz w:val="26"/>
          <w:szCs w:val="26"/>
        </w:rPr>
        <w:t xml:space="preserve">Joint Petition for </w:t>
      </w:r>
      <w:r w:rsidRPr="00E37897">
        <w:rPr>
          <w:color w:val="000000"/>
          <w:sz w:val="26"/>
          <w:szCs w:val="26"/>
        </w:rPr>
        <w:t>Partial Settlement.</w:t>
      </w:r>
    </w:p>
    <w:p w14:paraId="3DA151B0" w14:textId="77777777" w:rsidR="00E37897" w:rsidRPr="00E37897" w:rsidRDefault="00E37897" w:rsidP="0045767D">
      <w:pPr>
        <w:pStyle w:val="ListParagraph"/>
        <w:spacing w:line="360" w:lineRule="auto"/>
        <w:ind w:left="1440"/>
        <w:contextualSpacing/>
        <w:textAlignment w:val="baseline"/>
        <w:rPr>
          <w:color w:val="000000"/>
          <w:sz w:val="26"/>
          <w:szCs w:val="26"/>
        </w:rPr>
      </w:pPr>
    </w:p>
    <w:p w14:paraId="2C3BDD86" w14:textId="50DB4FB9" w:rsidR="004D2339" w:rsidRDefault="004D2339" w:rsidP="0055723C">
      <w:pPr>
        <w:pStyle w:val="ListParagraph"/>
        <w:numPr>
          <w:ilvl w:val="1"/>
          <w:numId w:val="29"/>
        </w:numPr>
        <w:spacing w:before="419" w:line="360" w:lineRule="auto"/>
        <w:ind w:left="0" w:firstLine="1440"/>
        <w:contextualSpacing/>
        <w:textAlignment w:val="baseline"/>
        <w:rPr>
          <w:color w:val="000000"/>
          <w:sz w:val="26"/>
          <w:szCs w:val="26"/>
        </w:rPr>
      </w:pPr>
      <w:r w:rsidRPr="00E37897">
        <w:rPr>
          <w:color w:val="000000"/>
          <w:sz w:val="26"/>
          <w:szCs w:val="26"/>
        </w:rPr>
        <w:t>That the issues involved in PECO Energy Company’s Customer Assistance Program Shopping Program will not be addressed in this proceeding.</w:t>
      </w:r>
    </w:p>
    <w:p w14:paraId="5389DE65" w14:textId="29C8C8E1" w:rsidR="004665ED" w:rsidRDefault="004665ED" w:rsidP="004665ED">
      <w:pPr>
        <w:pStyle w:val="ListParagraph"/>
        <w:rPr>
          <w:color w:val="000000"/>
          <w:sz w:val="26"/>
          <w:szCs w:val="26"/>
        </w:rPr>
      </w:pPr>
    </w:p>
    <w:p w14:paraId="16CF1803" w14:textId="77777777" w:rsidR="004665ED" w:rsidRPr="004665ED" w:rsidRDefault="004665ED" w:rsidP="004665ED">
      <w:pPr>
        <w:pStyle w:val="ListParagraph"/>
        <w:rPr>
          <w:color w:val="000000"/>
          <w:sz w:val="26"/>
          <w:szCs w:val="26"/>
        </w:rPr>
      </w:pPr>
    </w:p>
    <w:p w14:paraId="7A4EE9F8" w14:textId="778DBEBB" w:rsidR="007F333A" w:rsidRDefault="004D2339" w:rsidP="0055723C">
      <w:pPr>
        <w:pStyle w:val="ListParagraph"/>
        <w:numPr>
          <w:ilvl w:val="1"/>
          <w:numId w:val="29"/>
        </w:numPr>
        <w:tabs>
          <w:tab w:val="left" w:pos="1440"/>
        </w:tabs>
        <w:spacing w:before="408" w:line="360" w:lineRule="auto"/>
        <w:ind w:left="0" w:right="504" w:firstLine="1440"/>
        <w:contextualSpacing/>
        <w:textAlignment w:val="baseline"/>
        <w:rPr>
          <w:color w:val="000000"/>
          <w:spacing w:val="-1"/>
          <w:sz w:val="26"/>
          <w:szCs w:val="26"/>
        </w:rPr>
      </w:pPr>
      <w:r w:rsidRPr="00E37897">
        <w:rPr>
          <w:color w:val="000000"/>
          <w:spacing w:val="-1"/>
          <w:sz w:val="26"/>
          <w:szCs w:val="26"/>
        </w:rPr>
        <w:t xml:space="preserve">That the proposed default service program for the period June 1, 2021 through May 31, 2025 is approved, except as set forth in the </w:t>
      </w:r>
      <w:r w:rsidR="00F27CC6" w:rsidRPr="00E37897">
        <w:rPr>
          <w:color w:val="000000"/>
          <w:spacing w:val="-1"/>
          <w:sz w:val="26"/>
          <w:szCs w:val="26"/>
        </w:rPr>
        <w:t>O</w:t>
      </w:r>
      <w:r w:rsidRPr="00E37897">
        <w:rPr>
          <w:color w:val="000000"/>
          <w:spacing w:val="-1"/>
          <w:sz w:val="26"/>
          <w:szCs w:val="26"/>
        </w:rPr>
        <w:t xml:space="preserve">rdering </w:t>
      </w:r>
      <w:r w:rsidR="00F27CC6" w:rsidRPr="00E37897">
        <w:rPr>
          <w:color w:val="000000"/>
          <w:spacing w:val="-1"/>
          <w:sz w:val="26"/>
          <w:szCs w:val="26"/>
        </w:rPr>
        <w:t>P</w:t>
      </w:r>
      <w:r w:rsidRPr="00E37897">
        <w:rPr>
          <w:color w:val="000000"/>
          <w:spacing w:val="-1"/>
          <w:sz w:val="26"/>
          <w:szCs w:val="26"/>
        </w:rPr>
        <w:t>aragraphs above.</w:t>
      </w:r>
    </w:p>
    <w:p w14:paraId="13DAF775" w14:textId="77777777" w:rsidR="00E37897" w:rsidRPr="00E37897" w:rsidRDefault="00E37897" w:rsidP="0045767D">
      <w:pPr>
        <w:pStyle w:val="ListParagraph"/>
        <w:tabs>
          <w:tab w:val="left" w:pos="1440"/>
        </w:tabs>
        <w:spacing w:line="360" w:lineRule="auto"/>
        <w:ind w:left="1440" w:right="504"/>
        <w:contextualSpacing/>
        <w:textAlignment w:val="baseline"/>
        <w:rPr>
          <w:color w:val="000000"/>
          <w:spacing w:val="-1"/>
          <w:sz w:val="26"/>
          <w:szCs w:val="26"/>
        </w:rPr>
      </w:pPr>
    </w:p>
    <w:p w14:paraId="27477580" w14:textId="0C6F6EE4" w:rsidR="004D2339" w:rsidRPr="00E37897" w:rsidRDefault="004D2339" w:rsidP="005F3BE2">
      <w:pPr>
        <w:pStyle w:val="ListParagraph"/>
        <w:keepNext/>
        <w:keepLines/>
        <w:numPr>
          <w:ilvl w:val="1"/>
          <w:numId w:val="29"/>
        </w:numPr>
        <w:spacing w:before="412" w:line="413" w:lineRule="exact"/>
        <w:ind w:left="0" w:firstLine="1440"/>
        <w:contextualSpacing/>
        <w:textAlignment w:val="baseline"/>
        <w:rPr>
          <w:color w:val="000000"/>
          <w:sz w:val="26"/>
          <w:szCs w:val="26"/>
        </w:rPr>
      </w:pPr>
      <w:r w:rsidRPr="00E37897">
        <w:rPr>
          <w:color w:val="000000"/>
          <w:sz w:val="26"/>
          <w:szCs w:val="26"/>
        </w:rPr>
        <w:t>That the proceeding at Docket No. P-2020-3019290 be marked closed.</w:t>
      </w:r>
    </w:p>
    <w:p w14:paraId="1ADF0E9F" w14:textId="0463B243" w:rsidR="007D4B83" w:rsidRDefault="007D4B83" w:rsidP="005F3BE2">
      <w:pPr>
        <w:keepNext/>
        <w:keepLines/>
        <w:widowControl/>
        <w:spacing w:line="360" w:lineRule="auto"/>
        <w:ind w:firstLine="1440"/>
        <w:contextualSpacing/>
        <w:rPr>
          <w:sz w:val="26"/>
          <w:szCs w:val="26"/>
        </w:rPr>
      </w:pPr>
    </w:p>
    <w:p w14:paraId="7FBA5FDF" w14:textId="5BCCDB94" w:rsidR="005C38A6" w:rsidRPr="00E37897" w:rsidRDefault="005C38A6" w:rsidP="005F3BE2">
      <w:pPr>
        <w:keepNext/>
        <w:keepLines/>
        <w:widowControl/>
        <w:spacing w:line="360" w:lineRule="auto"/>
        <w:ind w:firstLine="1440"/>
        <w:contextualSpacing/>
        <w:rPr>
          <w:sz w:val="26"/>
          <w:szCs w:val="26"/>
        </w:rPr>
      </w:pPr>
    </w:p>
    <w:p w14:paraId="1BAD0AEE" w14:textId="5D10A2D1" w:rsidR="00F776A7" w:rsidRPr="00E37897" w:rsidRDefault="007426B8" w:rsidP="00A051C8">
      <w:pPr>
        <w:keepNext/>
        <w:widowControl/>
        <w:spacing w:line="360" w:lineRule="auto"/>
        <w:ind w:left="4320" w:firstLine="720"/>
        <w:contextualSpacing/>
        <w:rPr>
          <w:b/>
          <w:sz w:val="26"/>
          <w:szCs w:val="26"/>
        </w:rPr>
      </w:pPr>
      <w:r>
        <w:rPr>
          <w:noProof/>
        </w:rPr>
        <w:drawing>
          <wp:anchor distT="0" distB="0" distL="114300" distR="114300" simplePos="0" relativeHeight="251659264" behindDoc="1" locked="0" layoutInCell="1" allowOverlap="1" wp14:anchorId="1DB306DA" wp14:editId="7880667A">
            <wp:simplePos x="0" y="0"/>
            <wp:positionH relativeFrom="column">
              <wp:posOffset>3124862</wp:posOffset>
            </wp:positionH>
            <wp:positionV relativeFrom="paragraph">
              <wp:posOffset>168109</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6A7" w:rsidRPr="00E37897">
        <w:rPr>
          <w:b/>
          <w:sz w:val="26"/>
          <w:szCs w:val="26"/>
        </w:rPr>
        <w:t>BY THE COMMISSION,</w:t>
      </w:r>
    </w:p>
    <w:p w14:paraId="588902A2" w14:textId="77777777" w:rsidR="00F776A7" w:rsidRPr="00E37897" w:rsidRDefault="00F776A7" w:rsidP="00A051C8">
      <w:pPr>
        <w:keepNext/>
        <w:keepLines/>
        <w:widowControl/>
        <w:ind w:firstLine="720"/>
        <w:contextualSpacing/>
        <w:rPr>
          <w:sz w:val="26"/>
          <w:szCs w:val="26"/>
        </w:rPr>
      </w:pPr>
    </w:p>
    <w:p w14:paraId="1B36E735" w14:textId="77777777" w:rsidR="00F776A7" w:rsidRPr="00E37897" w:rsidRDefault="00F776A7" w:rsidP="00A051C8">
      <w:pPr>
        <w:keepNext/>
        <w:keepLines/>
        <w:widowControl/>
        <w:ind w:firstLine="720"/>
        <w:contextualSpacing/>
        <w:rPr>
          <w:b/>
          <w:sz w:val="26"/>
          <w:szCs w:val="26"/>
        </w:rPr>
      </w:pPr>
    </w:p>
    <w:p w14:paraId="42590296" w14:textId="77777777" w:rsidR="00F776A7" w:rsidRPr="00E37897" w:rsidRDefault="00F776A7" w:rsidP="00A051C8">
      <w:pPr>
        <w:keepNext/>
        <w:keepLines/>
        <w:widowControl/>
        <w:ind w:firstLine="720"/>
        <w:contextualSpacing/>
        <w:rPr>
          <w:b/>
          <w:sz w:val="26"/>
          <w:szCs w:val="26"/>
        </w:rPr>
      </w:pPr>
    </w:p>
    <w:p w14:paraId="6BC51AEB" w14:textId="71174530" w:rsidR="00F776A7" w:rsidRPr="00E37897" w:rsidRDefault="00F776A7" w:rsidP="00A051C8">
      <w:pPr>
        <w:keepNext/>
        <w:keepLines/>
        <w:widowControl/>
        <w:ind w:firstLine="720"/>
        <w:contextualSpacing/>
        <w:rPr>
          <w:sz w:val="26"/>
          <w:szCs w:val="26"/>
        </w:rPr>
      </w:pPr>
      <w:r w:rsidRPr="00E37897">
        <w:rPr>
          <w:sz w:val="26"/>
          <w:szCs w:val="26"/>
        </w:rPr>
        <w:tab/>
      </w:r>
      <w:r w:rsidRPr="00E37897">
        <w:rPr>
          <w:sz w:val="26"/>
          <w:szCs w:val="26"/>
        </w:rPr>
        <w:tab/>
      </w:r>
      <w:r w:rsidRPr="00E37897">
        <w:rPr>
          <w:sz w:val="26"/>
          <w:szCs w:val="26"/>
        </w:rPr>
        <w:tab/>
      </w:r>
      <w:r w:rsidRPr="00E37897">
        <w:rPr>
          <w:sz w:val="26"/>
          <w:szCs w:val="26"/>
        </w:rPr>
        <w:tab/>
      </w:r>
      <w:r w:rsidRPr="00E37897">
        <w:rPr>
          <w:sz w:val="26"/>
          <w:szCs w:val="26"/>
        </w:rPr>
        <w:tab/>
      </w:r>
      <w:r w:rsidRPr="00E37897">
        <w:rPr>
          <w:sz w:val="26"/>
          <w:szCs w:val="26"/>
        </w:rPr>
        <w:tab/>
        <w:t>Rosemary Chiavetta</w:t>
      </w:r>
    </w:p>
    <w:p w14:paraId="03A68ED4" w14:textId="56576053" w:rsidR="00F776A7" w:rsidRPr="00E37897" w:rsidRDefault="00F776A7" w:rsidP="00A051C8">
      <w:pPr>
        <w:keepNext/>
        <w:widowControl/>
        <w:ind w:firstLine="720"/>
        <w:contextualSpacing/>
        <w:rPr>
          <w:sz w:val="26"/>
          <w:szCs w:val="26"/>
        </w:rPr>
      </w:pPr>
      <w:r w:rsidRPr="00E37897">
        <w:rPr>
          <w:sz w:val="26"/>
          <w:szCs w:val="26"/>
        </w:rPr>
        <w:tab/>
      </w:r>
      <w:r w:rsidRPr="00E37897">
        <w:rPr>
          <w:sz w:val="26"/>
          <w:szCs w:val="26"/>
        </w:rPr>
        <w:tab/>
      </w:r>
      <w:r w:rsidRPr="00E37897">
        <w:rPr>
          <w:sz w:val="26"/>
          <w:szCs w:val="26"/>
        </w:rPr>
        <w:tab/>
      </w:r>
      <w:r w:rsidRPr="00E37897">
        <w:rPr>
          <w:sz w:val="26"/>
          <w:szCs w:val="26"/>
        </w:rPr>
        <w:tab/>
      </w:r>
      <w:r w:rsidRPr="00E37897">
        <w:rPr>
          <w:sz w:val="26"/>
          <w:szCs w:val="26"/>
        </w:rPr>
        <w:tab/>
      </w:r>
      <w:r w:rsidRPr="00E37897">
        <w:rPr>
          <w:sz w:val="26"/>
          <w:szCs w:val="26"/>
        </w:rPr>
        <w:tab/>
        <w:t>Secretary</w:t>
      </w:r>
    </w:p>
    <w:p w14:paraId="27C20C65" w14:textId="4072D477" w:rsidR="00F776A7" w:rsidRPr="00E37897" w:rsidRDefault="00F776A7" w:rsidP="005F3BE2">
      <w:pPr>
        <w:keepNext/>
        <w:widowControl/>
        <w:contextualSpacing/>
        <w:rPr>
          <w:sz w:val="26"/>
          <w:szCs w:val="26"/>
        </w:rPr>
      </w:pPr>
    </w:p>
    <w:p w14:paraId="104DBF5C" w14:textId="77777777" w:rsidR="007F333A" w:rsidRPr="00E37897" w:rsidRDefault="007F333A" w:rsidP="005F3BE2">
      <w:pPr>
        <w:keepNext/>
        <w:widowControl/>
        <w:contextualSpacing/>
        <w:rPr>
          <w:sz w:val="26"/>
          <w:szCs w:val="26"/>
        </w:rPr>
      </w:pPr>
    </w:p>
    <w:p w14:paraId="5A624D11" w14:textId="77777777" w:rsidR="00F776A7" w:rsidRPr="00E37897" w:rsidRDefault="00F776A7" w:rsidP="005F3BE2">
      <w:pPr>
        <w:keepNext/>
        <w:keepLines/>
        <w:widowControl/>
        <w:tabs>
          <w:tab w:val="left" w:pos="-720"/>
        </w:tabs>
        <w:suppressAutoHyphens/>
        <w:contextualSpacing/>
        <w:rPr>
          <w:sz w:val="26"/>
          <w:szCs w:val="26"/>
        </w:rPr>
      </w:pPr>
      <w:r w:rsidRPr="00E37897">
        <w:rPr>
          <w:sz w:val="26"/>
          <w:szCs w:val="26"/>
        </w:rPr>
        <w:t>(SEAL)</w:t>
      </w:r>
    </w:p>
    <w:p w14:paraId="08335EDE" w14:textId="77777777" w:rsidR="00F776A7" w:rsidRPr="00E37897" w:rsidRDefault="00F776A7" w:rsidP="005F3BE2">
      <w:pPr>
        <w:keepNext/>
        <w:keepLines/>
        <w:widowControl/>
        <w:tabs>
          <w:tab w:val="left" w:pos="-720"/>
        </w:tabs>
        <w:suppressAutoHyphens/>
        <w:contextualSpacing/>
        <w:rPr>
          <w:sz w:val="26"/>
          <w:szCs w:val="26"/>
        </w:rPr>
      </w:pPr>
    </w:p>
    <w:p w14:paraId="35CB2E62" w14:textId="05909E60" w:rsidR="00F776A7" w:rsidRPr="00E37897" w:rsidRDefault="008229A0" w:rsidP="005F3BE2">
      <w:pPr>
        <w:keepNext/>
        <w:keepLines/>
        <w:widowControl/>
        <w:tabs>
          <w:tab w:val="left" w:pos="-720"/>
        </w:tabs>
        <w:suppressAutoHyphens/>
        <w:contextualSpacing/>
        <w:rPr>
          <w:sz w:val="26"/>
          <w:szCs w:val="26"/>
        </w:rPr>
      </w:pPr>
      <w:r w:rsidRPr="00E37897">
        <w:rPr>
          <w:sz w:val="26"/>
          <w:szCs w:val="26"/>
        </w:rPr>
        <w:t xml:space="preserve">ORDER ADOPTED:  December </w:t>
      </w:r>
      <w:r w:rsidR="00FE26FB" w:rsidRPr="00E37897">
        <w:rPr>
          <w:sz w:val="26"/>
          <w:szCs w:val="26"/>
        </w:rPr>
        <w:t>3</w:t>
      </w:r>
      <w:r w:rsidR="00F776A7" w:rsidRPr="00E37897">
        <w:rPr>
          <w:sz w:val="26"/>
          <w:szCs w:val="26"/>
        </w:rPr>
        <w:t>, 20</w:t>
      </w:r>
      <w:r w:rsidR="00FE26FB" w:rsidRPr="00E37897">
        <w:rPr>
          <w:sz w:val="26"/>
          <w:szCs w:val="26"/>
        </w:rPr>
        <w:t>20</w:t>
      </w:r>
      <w:r w:rsidR="00F776A7" w:rsidRPr="00E37897">
        <w:rPr>
          <w:sz w:val="26"/>
          <w:szCs w:val="26"/>
        </w:rPr>
        <w:t xml:space="preserve"> </w:t>
      </w:r>
    </w:p>
    <w:p w14:paraId="4EBF473C" w14:textId="77777777" w:rsidR="00F776A7" w:rsidRPr="00E37897" w:rsidRDefault="00F776A7" w:rsidP="005F3BE2">
      <w:pPr>
        <w:keepNext/>
        <w:keepLines/>
        <w:widowControl/>
        <w:tabs>
          <w:tab w:val="left" w:pos="-720"/>
        </w:tabs>
        <w:suppressAutoHyphens/>
        <w:contextualSpacing/>
        <w:rPr>
          <w:sz w:val="26"/>
          <w:szCs w:val="26"/>
        </w:rPr>
      </w:pPr>
    </w:p>
    <w:p w14:paraId="1B1C9646" w14:textId="5678DD15" w:rsidR="00F776A7" w:rsidRPr="00E37897" w:rsidRDefault="00F776A7" w:rsidP="005F3BE2">
      <w:pPr>
        <w:keepNext/>
        <w:keepLines/>
        <w:widowControl/>
        <w:tabs>
          <w:tab w:val="left" w:pos="-720"/>
        </w:tabs>
        <w:suppressAutoHyphens/>
        <w:contextualSpacing/>
        <w:rPr>
          <w:sz w:val="26"/>
          <w:szCs w:val="26"/>
        </w:rPr>
      </w:pPr>
      <w:r w:rsidRPr="00E37897">
        <w:rPr>
          <w:sz w:val="26"/>
          <w:szCs w:val="26"/>
        </w:rPr>
        <w:t xml:space="preserve">ORDER ENTERED:  </w:t>
      </w:r>
      <w:r w:rsidR="007426B8">
        <w:rPr>
          <w:sz w:val="26"/>
          <w:szCs w:val="26"/>
        </w:rPr>
        <w:t>December 3, 2020</w:t>
      </w:r>
    </w:p>
    <w:sectPr w:rsidR="00F776A7" w:rsidRPr="00E37897" w:rsidSect="008077D8">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8C8D" w14:textId="77777777" w:rsidR="00C75D8C" w:rsidRDefault="00C75D8C" w:rsidP="002179E4">
      <w:r>
        <w:separator/>
      </w:r>
    </w:p>
  </w:endnote>
  <w:endnote w:type="continuationSeparator" w:id="0">
    <w:p w14:paraId="4DD423D0" w14:textId="77777777" w:rsidR="00C75D8C" w:rsidRDefault="00C75D8C" w:rsidP="002179E4">
      <w:r>
        <w:continuationSeparator/>
      </w:r>
    </w:p>
  </w:endnote>
  <w:endnote w:type="continuationNotice" w:id="1">
    <w:p w14:paraId="5B71F3BE" w14:textId="77777777" w:rsidR="00C75D8C" w:rsidRDefault="00C7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572279"/>
      <w:docPartObj>
        <w:docPartGallery w:val="Page Numbers (Bottom of Page)"/>
        <w:docPartUnique/>
      </w:docPartObj>
    </w:sdtPr>
    <w:sdtEndPr>
      <w:rPr>
        <w:noProof/>
        <w:sz w:val="26"/>
        <w:szCs w:val="26"/>
      </w:rPr>
    </w:sdtEndPr>
    <w:sdtContent>
      <w:p w14:paraId="3B6A29DC" w14:textId="141D3FC0" w:rsidR="00307A4F" w:rsidRDefault="00307A4F" w:rsidP="001953F3">
        <w:pPr>
          <w:pStyle w:val="Footer"/>
          <w:jc w:val="center"/>
        </w:pPr>
        <w:r w:rsidRPr="007D4428">
          <w:rPr>
            <w:sz w:val="26"/>
            <w:szCs w:val="26"/>
          </w:rPr>
          <w:fldChar w:fldCharType="begin"/>
        </w:r>
        <w:r w:rsidRPr="007D4428">
          <w:rPr>
            <w:sz w:val="26"/>
            <w:szCs w:val="26"/>
          </w:rPr>
          <w:instrText xml:space="preserve"> PAGE   \* MERGEFORMAT </w:instrText>
        </w:r>
        <w:r w:rsidRPr="007D4428">
          <w:rPr>
            <w:sz w:val="26"/>
            <w:szCs w:val="26"/>
          </w:rPr>
          <w:fldChar w:fldCharType="separate"/>
        </w:r>
        <w:r w:rsidRPr="007D4428">
          <w:rPr>
            <w:noProof/>
            <w:sz w:val="26"/>
            <w:szCs w:val="26"/>
          </w:rPr>
          <w:t>68</w:t>
        </w:r>
        <w:r w:rsidRPr="007D4428">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377" w14:textId="77777777" w:rsidR="00307A4F" w:rsidRDefault="0030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17797" w14:textId="77777777" w:rsidR="00C75D8C" w:rsidRDefault="00C75D8C" w:rsidP="002179E4">
      <w:r>
        <w:separator/>
      </w:r>
    </w:p>
  </w:footnote>
  <w:footnote w:type="continuationSeparator" w:id="0">
    <w:p w14:paraId="3D8017DA" w14:textId="77777777" w:rsidR="00C75D8C" w:rsidRDefault="00C75D8C" w:rsidP="002179E4">
      <w:r>
        <w:continuationSeparator/>
      </w:r>
    </w:p>
  </w:footnote>
  <w:footnote w:type="continuationNotice" w:id="1">
    <w:p w14:paraId="3F7DEF78" w14:textId="77777777" w:rsidR="00C75D8C" w:rsidRDefault="00C75D8C"/>
  </w:footnote>
  <w:footnote w:id="2">
    <w:p w14:paraId="47F0E19E" w14:textId="2EC79468" w:rsidR="00307A4F" w:rsidRPr="00661198" w:rsidRDefault="00307A4F" w:rsidP="007D4428">
      <w:pPr>
        <w:pStyle w:val="FootnoteText"/>
        <w:keepNext/>
        <w:keepLines/>
        <w:spacing w:line="240" w:lineRule="auto"/>
        <w:contextualSpacing/>
        <w:jc w:val="left"/>
        <w:rPr>
          <w:sz w:val="26"/>
        </w:rPr>
      </w:pPr>
      <w:r w:rsidRPr="00661198">
        <w:rPr>
          <w:rStyle w:val="FootnoteReference"/>
          <w:sz w:val="26"/>
        </w:rPr>
        <w:footnoteRef/>
      </w:r>
      <w:r w:rsidRPr="00661198">
        <w:rPr>
          <w:sz w:val="26"/>
        </w:rPr>
        <w:t xml:space="preserve"> </w:t>
      </w:r>
      <w:r w:rsidRPr="00661198">
        <w:rPr>
          <w:sz w:val="26"/>
        </w:rPr>
        <w:tab/>
        <w:t>Calpine’s Replies to Exceptions were filed with the Commission after 4:30</w:t>
      </w:r>
      <w:r w:rsidR="001953F3">
        <w:rPr>
          <w:sz w:val="26"/>
        </w:rPr>
        <w:t> </w:t>
      </w:r>
      <w:r w:rsidRPr="00661198">
        <w:rPr>
          <w:sz w:val="26"/>
        </w:rPr>
        <w:t xml:space="preserve">p.m. on </w:t>
      </w:r>
      <w:proofErr w:type="gramStart"/>
      <w:r w:rsidRPr="00661198">
        <w:rPr>
          <w:sz w:val="26"/>
        </w:rPr>
        <w:t>November 3, 2020, and</w:t>
      </w:r>
      <w:proofErr w:type="gramEnd"/>
      <w:r w:rsidRPr="00661198">
        <w:rPr>
          <w:sz w:val="26"/>
        </w:rPr>
        <w:t xml:space="preserve"> were therefore deemed filed on November 4, 2020.  Although received slightly after the November 3, 2020 deadline, we shall consider Calpine’s Replies to Exceptions in order to secure a just, speedy, and inexpensive determination in this proceeding.</w:t>
      </w:r>
      <w:r>
        <w:rPr>
          <w:sz w:val="26"/>
        </w:rPr>
        <w:t xml:space="preserve">  </w:t>
      </w:r>
      <w:r w:rsidRPr="00896329">
        <w:rPr>
          <w:i/>
          <w:iCs/>
          <w:sz w:val="26"/>
        </w:rPr>
        <w:t>See</w:t>
      </w:r>
      <w:r>
        <w:rPr>
          <w:sz w:val="26"/>
        </w:rPr>
        <w:t xml:space="preserve"> 52 Pa. Code § 1.2(a).   </w:t>
      </w:r>
      <w:r w:rsidRPr="00661198">
        <w:rPr>
          <w:sz w:val="26"/>
        </w:rPr>
        <w:t xml:space="preserve"> </w:t>
      </w:r>
    </w:p>
  </w:footnote>
  <w:footnote w:id="3">
    <w:p w14:paraId="4C72B9C9" w14:textId="2ED7A8B6" w:rsidR="00307A4F" w:rsidRPr="002410A4" w:rsidRDefault="00307A4F" w:rsidP="001953F3">
      <w:pPr>
        <w:spacing w:after="120"/>
      </w:pPr>
      <w:r>
        <w:tab/>
      </w:r>
      <w:bookmarkStart w:id="2" w:name="_Hlk56760440"/>
      <w:r w:rsidRPr="002410A4">
        <w:rPr>
          <w:rStyle w:val="FootnoteReference"/>
          <w:sz w:val="26"/>
          <w:szCs w:val="26"/>
        </w:rPr>
        <w:footnoteRef/>
      </w:r>
      <w:r w:rsidRPr="002410A4">
        <w:rPr>
          <w:sz w:val="26"/>
          <w:szCs w:val="26"/>
        </w:rPr>
        <w:t xml:space="preserve"> </w:t>
      </w:r>
      <w:r>
        <w:rPr>
          <w:sz w:val="26"/>
          <w:szCs w:val="26"/>
        </w:rPr>
        <w:t xml:space="preserve"> </w:t>
      </w:r>
      <w:r>
        <w:rPr>
          <w:sz w:val="26"/>
          <w:szCs w:val="26"/>
        </w:rPr>
        <w:tab/>
      </w:r>
      <w:r w:rsidRPr="002410A4">
        <w:rPr>
          <w:i/>
          <w:color w:val="000000"/>
          <w:sz w:val="26"/>
          <w:szCs w:val="26"/>
        </w:rPr>
        <w:t xml:space="preserve">Petition of PECO Energy Company for Approval of its Default Service Program for the Period from June 1, 2017 through May 31, 2021, </w:t>
      </w:r>
      <w:r w:rsidRPr="002410A4">
        <w:rPr>
          <w:color w:val="000000"/>
          <w:sz w:val="26"/>
          <w:szCs w:val="26"/>
        </w:rPr>
        <w:t>Docket No. P</w:t>
      </w:r>
      <w:r w:rsidR="001953F3">
        <w:rPr>
          <w:color w:val="000000"/>
          <w:sz w:val="26"/>
          <w:szCs w:val="26"/>
        </w:rPr>
        <w:noBreakHyphen/>
      </w:r>
      <w:r w:rsidRPr="002410A4">
        <w:rPr>
          <w:color w:val="000000"/>
          <w:sz w:val="26"/>
          <w:szCs w:val="26"/>
        </w:rPr>
        <w:t>2016</w:t>
      </w:r>
      <w:r w:rsidR="001953F3">
        <w:rPr>
          <w:color w:val="000000"/>
          <w:sz w:val="26"/>
          <w:szCs w:val="26"/>
        </w:rPr>
        <w:noBreakHyphen/>
      </w:r>
      <w:r w:rsidRPr="002410A4">
        <w:rPr>
          <w:color w:val="000000"/>
          <w:sz w:val="26"/>
          <w:szCs w:val="26"/>
        </w:rPr>
        <w:t>2534980 (Order entered December 8, 2016) (</w:t>
      </w:r>
      <w:r w:rsidRPr="002410A4">
        <w:rPr>
          <w:i/>
          <w:iCs/>
          <w:color w:val="000000"/>
          <w:sz w:val="26"/>
          <w:szCs w:val="26"/>
        </w:rPr>
        <w:t>PECO DSP IV</w:t>
      </w:r>
      <w:r w:rsidRPr="002410A4">
        <w:rPr>
          <w:color w:val="000000"/>
          <w:sz w:val="26"/>
          <w:szCs w:val="26"/>
        </w:rPr>
        <w:t>).</w:t>
      </w:r>
      <w:bookmarkEnd w:id="2"/>
    </w:p>
  </w:footnote>
  <w:footnote w:id="4">
    <w:p w14:paraId="0FA8BC74" w14:textId="27DD1058" w:rsidR="00307A4F" w:rsidRDefault="00307A4F" w:rsidP="001953F3">
      <w:pPr>
        <w:keepNext/>
        <w:keepLines/>
        <w:widowControl/>
        <w:spacing w:after="120"/>
        <w:ind w:right="72" w:firstLine="720"/>
        <w:textAlignment w:val="baseline"/>
      </w:pPr>
      <w:r w:rsidRPr="00B44541">
        <w:rPr>
          <w:rStyle w:val="FootnoteReference"/>
          <w:sz w:val="26"/>
        </w:rPr>
        <w:footnoteRef/>
      </w:r>
      <w:r w:rsidRPr="00B44541">
        <w:rPr>
          <w:sz w:val="26"/>
        </w:rPr>
        <w:t xml:space="preserve">  </w:t>
      </w:r>
      <w:r w:rsidRPr="00B44541">
        <w:rPr>
          <w:sz w:val="26"/>
        </w:rPr>
        <w:tab/>
      </w:r>
      <w:r w:rsidRPr="00B44541">
        <w:rPr>
          <w:color w:val="000000"/>
          <w:sz w:val="26"/>
          <w:szCs w:val="26"/>
        </w:rPr>
        <w:t xml:space="preserve">On June 1, 2020, PECO filed a Petition for extension of the statutory deadline for approval of its DSP V from December 13, 2020 to December 17, 2020. </w:t>
      </w:r>
      <w:r>
        <w:rPr>
          <w:color w:val="000000"/>
          <w:sz w:val="26"/>
          <w:szCs w:val="26"/>
        </w:rPr>
        <w:t xml:space="preserve"> </w:t>
      </w:r>
      <w:r w:rsidRPr="00B44541">
        <w:rPr>
          <w:color w:val="000000"/>
          <w:sz w:val="26"/>
          <w:szCs w:val="26"/>
        </w:rPr>
        <w:t>In support of its request, PECO referenced its proposed procedural schedule, which took into consideration the effects of COVID-19 related closures and operational issues. PECO Petition for Extension at 4.  By Order dated June 2, 2020, Chief Administrative Law Judge Charles Rainey granted PECO’s Petition for a four-day extension of the statutory deadline set by 66 Pa. C.S. § 2807(e)(3.6).</w:t>
      </w:r>
    </w:p>
  </w:footnote>
  <w:footnote w:id="5">
    <w:p w14:paraId="70513B84" w14:textId="77777777" w:rsidR="00307A4F" w:rsidRPr="009060F3" w:rsidRDefault="00307A4F" w:rsidP="007D4428">
      <w:pPr>
        <w:pStyle w:val="FootnoteText"/>
        <w:keepNext/>
        <w:keepLines/>
        <w:spacing w:line="240" w:lineRule="auto"/>
        <w:jc w:val="left"/>
        <w:rPr>
          <w:sz w:val="26"/>
          <w:szCs w:val="26"/>
        </w:rPr>
      </w:pPr>
      <w:r w:rsidRPr="009060F3">
        <w:rPr>
          <w:rStyle w:val="FootnoteReference"/>
          <w:sz w:val="26"/>
          <w:szCs w:val="26"/>
        </w:rPr>
        <w:footnoteRef/>
      </w:r>
      <w:r w:rsidRPr="009060F3">
        <w:rPr>
          <w:sz w:val="26"/>
          <w:szCs w:val="26"/>
        </w:rPr>
        <w:t xml:space="preserve"> </w:t>
      </w:r>
      <w:r w:rsidRPr="009060F3">
        <w:rPr>
          <w:sz w:val="26"/>
          <w:szCs w:val="26"/>
        </w:rPr>
        <w:tab/>
        <w:t xml:space="preserve">PECO remains responsible for all distribution services to its default service customers.  The assignment of responsibility for PJM transmission-related costs is discussed in Section II.E., </w:t>
      </w:r>
      <w:r w:rsidRPr="009060F3">
        <w:rPr>
          <w:i/>
          <w:iCs/>
          <w:sz w:val="26"/>
          <w:szCs w:val="26"/>
        </w:rPr>
        <w:t>infra.</w:t>
      </w:r>
    </w:p>
  </w:footnote>
  <w:footnote w:id="6">
    <w:p w14:paraId="77652B04" w14:textId="77777777" w:rsidR="00307A4F" w:rsidRPr="009060F3" w:rsidRDefault="00307A4F" w:rsidP="00EB426A">
      <w:pPr>
        <w:pStyle w:val="FootnoteText"/>
        <w:keepNext/>
        <w:keepLines/>
        <w:spacing w:after="120" w:line="240" w:lineRule="auto"/>
        <w:jc w:val="left"/>
        <w:rPr>
          <w:sz w:val="26"/>
        </w:rPr>
      </w:pPr>
      <w:r w:rsidRPr="009060F3">
        <w:rPr>
          <w:rStyle w:val="FootnoteReference"/>
          <w:sz w:val="26"/>
        </w:rPr>
        <w:footnoteRef/>
      </w:r>
      <w:r w:rsidRPr="009060F3">
        <w:rPr>
          <w:sz w:val="26"/>
        </w:rPr>
        <w:t xml:space="preserve"> </w:t>
      </w:r>
      <w:r w:rsidRPr="009060F3">
        <w:rPr>
          <w:sz w:val="26"/>
        </w:rPr>
        <w:tab/>
        <w:t xml:space="preserve">The electric service tariff pages referenced in this Joint Petition do not change the Company’s current assignment of cost responsibility for PJM NITS charges to load-serving entities (e.g., PECO as the default service provider and EGSs).  PECO currently acquires NITS for its default service customer load and recovers the associated PJM charges through the Company’s bypassable TSC.  PECO will address any Commission determination regarding NITS in a subsequent compliance filing.  </w:t>
      </w:r>
    </w:p>
  </w:footnote>
  <w:footnote w:id="7">
    <w:p w14:paraId="7F30203A" w14:textId="77777777" w:rsidR="00307A4F" w:rsidRPr="009060F3" w:rsidRDefault="00307A4F" w:rsidP="007D4428">
      <w:pPr>
        <w:pStyle w:val="FootnoteText"/>
        <w:keepNext/>
        <w:keepLines/>
        <w:spacing w:line="240" w:lineRule="auto"/>
        <w:jc w:val="left"/>
        <w:rPr>
          <w:sz w:val="26"/>
        </w:rPr>
      </w:pPr>
      <w:r w:rsidRPr="009060F3">
        <w:rPr>
          <w:rStyle w:val="FootnoteReference"/>
          <w:sz w:val="26"/>
        </w:rPr>
        <w:footnoteRef/>
      </w:r>
      <w:r w:rsidRPr="009060F3">
        <w:rPr>
          <w:sz w:val="26"/>
        </w:rPr>
        <w:t xml:space="preserve"> </w:t>
      </w:r>
      <w:r w:rsidRPr="009060F3">
        <w:rPr>
          <w:sz w:val="26"/>
        </w:rPr>
        <w:tab/>
        <w:t xml:space="preserve">66 Pa. C.S. § 2807(f)(5).  The hourly-priced default service rate for the Consolidated Large Commercial and Industrial Class already meets Act 129 requirements.  </w:t>
      </w:r>
    </w:p>
  </w:footnote>
  <w:footnote w:id="8">
    <w:p w14:paraId="5705D515" w14:textId="03B9AE1A" w:rsidR="00307A4F" w:rsidRPr="00332ADA" w:rsidRDefault="00307A4F" w:rsidP="009D5F06">
      <w:pPr>
        <w:pStyle w:val="FootnoteText"/>
        <w:keepNext/>
        <w:keepLines/>
        <w:spacing w:line="240" w:lineRule="auto"/>
        <w:jc w:val="left"/>
        <w:rPr>
          <w:sz w:val="26"/>
          <w:szCs w:val="26"/>
        </w:rPr>
      </w:pPr>
      <w:r w:rsidRPr="00332ADA">
        <w:rPr>
          <w:rStyle w:val="FootnoteReference"/>
          <w:sz w:val="26"/>
          <w:szCs w:val="26"/>
        </w:rPr>
        <w:footnoteRef/>
      </w:r>
      <w:r w:rsidRPr="00332ADA">
        <w:rPr>
          <w:sz w:val="26"/>
          <w:szCs w:val="26"/>
        </w:rPr>
        <w:t xml:space="preserve">  </w:t>
      </w:r>
      <w:r w:rsidRPr="00332ADA">
        <w:rPr>
          <w:sz w:val="26"/>
          <w:szCs w:val="26"/>
        </w:rPr>
        <w:tab/>
        <w:t xml:space="preserve">As noted above, the language in Paragraph 60 </w:t>
      </w:r>
      <w:r>
        <w:rPr>
          <w:sz w:val="26"/>
          <w:szCs w:val="26"/>
        </w:rPr>
        <w:t>replaces the language of the original Partial Settlement with the new</w:t>
      </w:r>
      <w:r w:rsidRPr="00332ADA">
        <w:rPr>
          <w:sz w:val="26"/>
          <w:szCs w:val="26"/>
        </w:rPr>
        <w:t xml:space="preserve"> Paragraph 60 from the TOU Settlement.</w:t>
      </w:r>
      <w:r>
        <w:rPr>
          <w:sz w:val="26"/>
          <w:szCs w:val="26"/>
        </w:rPr>
        <w:t xml:space="preserve">  </w:t>
      </w:r>
      <w:r w:rsidRPr="00332ADA">
        <w:rPr>
          <w:sz w:val="26"/>
          <w:szCs w:val="26"/>
        </w:rPr>
        <w:t xml:space="preserve">  </w:t>
      </w:r>
    </w:p>
  </w:footnote>
  <w:footnote w:id="9">
    <w:p w14:paraId="63941308" w14:textId="1DD864E1" w:rsidR="00307A4F" w:rsidRDefault="00307A4F" w:rsidP="007D4428">
      <w:pPr>
        <w:keepNext/>
        <w:keepLines/>
        <w:widowControl/>
        <w:ind w:right="72" w:firstLine="720"/>
        <w:textAlignment w:val="baseline"/>
        <w:rPr>
          <w:sz w:val="26"/>
        </w:rPr>
      </w:pPr>
      <w:r w:rsidRPr="00246863">
        <w:rPr>
          <w:rStyle w:val="FootnoteReference"/>
          <w:sz w:val="26"/>
        </w:rPr>
        <w:footnoteRef/>
      </w:r>
      <w:r w:rsidRPr="00246863">
        <w:rPr>
          <w:sz w:val="26"/>
        </w:rPr>
        <w:t xml:space="preserve"> </w:t>
      </w:r>
      <w:r>
        <w:rPr>
          <w:sz w:val="26"/>
        </w:rPr>
        <w:tab/>
        <w:t xml:space="preserve">The ALJ’s discussion of this issue is as follows:  </w:t>
      </w:r>
    </w:p>
    <w:p w14:paraId="11A2D073" w14:textId="77777777" w:rsidR="00307A4F" w:rsidRDefault="00307A4F" w:rsidP="007D4428">
      <w:pPr>
        <w:keepNext/>
        <w:keepLines/>
        <w:widowControl/>
        <w:ind w:right="72" w:firstLine="720"/>
        <w:textAlignment w:val="baseline"/>
        <w:rPr>
          <w:sz w:val="26"/>
        </w:rPr>
      </w:pPr>
    </w:p>
    <w:p w14:paraId="5C76506F" w14:textId="4C08F4DB" w:rsidR="00307A4F" w:rsidRPr="00F0087E" w:rsidRDefault="00307A4F" w:rsidP="007D4428">
      <w:pPr>
        <w:keepNext/>
        <w:keepLines/>
        <w:widowControl/>
        <w:ind w:left="1440" w:right="1440" w:firstLine="720"/>
        <w:textAlignment w:val="baseline"/>
        <w:rPr>
          <w:sz w:val="26"/>
        </w:rPr>
      </w:pPr>
      <w:r w:rsidRPr="00F0087E">
        <w:rPr>
          <w:sz w:val="26"/>
        </w:rPr>
        <w:t xml:space="preserve">More importantly, having EDCs collect NITS costs, as proposed by ESC, constitutes rebundling of transmission and distribution service for certain groups of customers in clear contravention of the Competition Act. </w:t>
      </w:r>
      <w:r>
        <w:rPr>
          <w:sz w:val="26"/>
        </w:rPr>
        <w:t xml:space="preserve"> </w:t>
      </w:r>
      <w:r w:rsidRPr="00F0087E">
        <w:rPr>
          <w:sz w:val="26"/>
        </w:rPr>
        <w:t xml:space="preserve">Also, Commission regulations designate transmission service as a load-following expense, meaning that the entity providing a customer's generation service must also take responsibility for the provision of transmission services and collection of the associated costs. </w:t>
      </w:r>
      <w:r>
        <w:rPr>
          <w:sz w:val="26"/>
        </w:rPr>
        <w:t xml:space="preserve"> </w:t>
      </w:r>
      <w:r w:rsidRPr="00F0087E">
        <w:rPr>
          <w:i/>
          <w:sz w:val="26"/>
        </w:rPr>
        <w:t xml:space="preserve">See </w:t>
      </w:r>
      <w:r w:rsidRPr="00F0087E">
        <w:rPr>
          <w:sz w:val="26"/>
        </w:rPr>
        <w:t>52 Pa. Code §§ 54.182, 54.187(d). Consequently, the removal of NITS costs from products in the competitive market is contrary to the intent of the Competition Act and Commission regulation.</w:t>
      </w:r>
    </w:p>
    <w:p w14:paraId="10B5416E" w14:textId="77777777" w:rsidR="00307A4F" w:rsidRDefault="00307A4F" w:rsidP="007D4428">
      <w:pPr>
        <w:pStyle w:val="FootnoteText"/>
        <w:keepNext/>
        <w:keepLines/>
        <w:spacing w:line="240" w:lineRule="auto"/>
        <w:ind w:firstLine="0"/>
        <w:jc w:val="left"/>
        <w:rPr>
          <w:sz w:val="26"/>
        </w:rPr>
      </w:pPr>
    </w:p>
    <w:p w14:paraId="414B5A71" w14:textId="7B51EB1A" w:rsidR="00307A4F" w:rsidRPr="00246863" w:rsidRDefault="00307A4F" w:rsidP="007D4428">
      <w:pPr>
        <w:pStyle w:val="FootnoteText"/>
        <w:keepNext/>
        <w:keepLines/>
        <w:spacing w:line="240" w:lineRule="auto"/>
        <w:ind w:firstLine="0"/>
        <w:jc w:val="left"/>
        <w:rPr>
          <w:sz w:val="26"/>
        </w:rPr>
      </w:pPr>
      <w:r>
        <w:rPr>
          <w:sz w:val="26"/>
        </w:rPr>
        <w:t>R.D. at 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F2AA2FA"/>
    <w:lvl w:ilvl="0">
      <w:start w:val="1"/>
      <w:numFmt w:val="decimal"/>
      <w:pStyle w:val="ListNumber"/>
      <w:lvlText w:val="%1."/>
      <w:lvlJc w:val="left"/>
      <w:pPr>
        <w:tabs>
          <w:tab w:val="num" w:pos="720"/>
        </w:tabs>
        <w:ind w:left="0" w:firstLine="720"/>
      </w:pPr>
      <w:rPr>
        <w:rFonts w:hint="default"/>
      </w:rPr>
    </w:lvl>
  </w:abstractNum>
  <w:abstractNum w:abstractNumId="1" w15:restartNumberingAfterBreak="0">
    <w:nsid w:val="01C50D61"/>
    <w:multiLevelType w:val="hybridMultilevel"/>
    <w:tmpl w:val="4B66FD9A"/>
    <w:lvl w:ilvl="0" w:tplc="8668B79C">
      <w:start w:val="1"/>
      <w:numFmt w:val="upperLetter"/>
      <w:lvlText w:val="%1."/>
      <w:lvlJc w:val="left"/>
      <w:pPr>
        <w:ind w:left="4320" w:hanging="720"/>
      </w:pPr>
      <w:rPr>
        <w:rFonts w:hint="default"/>
        <w:b/>
        <w:bCs/>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46B2BCE"/>
    <w:multiLevelType w:val="hybridMultilevel"/>
    <w:tmpl w:val="72F496CC"/>
    <w:lvl w:ilvl="0" w:tplc="11A8C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160DA"/>
    <w:multiLevelType w:val="hybridMultilevel"/>
    <w:tmpl w:val="B23E6158"/>
    <w:lvl w:ilvl="0" w:tplc="3A58A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94751D"/>
    <w:multiLevelType w:val="hybridMultilevel"/>
    <w:tmpl w:val="6D18C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DE7CF8"/>
    <w:multiLevelType w:val="hybridMultilevel"/>
    <w:tmpl w:val="15FEFBAE"/>
    <w:lvl w:ilvl="0" w:tplc="11A8C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87A94"/>
    <w:multiLevelType w:val="hybridMultilevel"/>
    <w:tmpl w:val="6D945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952246"/>
    <w:multiLevelType w:val="multilevel"/>
    <w:tmpl w:val="37EA6216"/>
    <w:name w:val=" Numbered List3"/>
    <w:lvl w:ilvl="0">
      <w:start w:val="1"/>
      <w:numFmt w:val="upperRoman"/>
      <w:lvlText w:val="%1."/>
      <w:lvlJc w:val="left"/>
      <w:pPr>
        <w:tabs>
          <w:tab w:val="num" w:pos="720"/>
        </w:tabs>
        <w:ind w:left="720" w:hanging="720"/>
      </w:pPr>
      <w:rPr>
        <w:caps w:val="0"/>
        <w:color w:val="010000"/>
        <w:u w:val="none"/>
      </w:rPr>
    </w:lvl>
    <w:lvl w:ilvl="1">
      <w:start w:val="1"/>
      <w:numFmt w:val="upperLetter"/>
      <w:lvlText w:val="%2."/>
      <w:lvlJc w:val="left"/>
      <w:pPr>
        <w:tabs>
          <w:tab w:val="num" w:pos="1350"/>
        </w:tabs>
        <w:ind w:left="135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lvlText w:val="%4."/>
      <w:lvlJc w:val="left"/>
      <w:pPr>
        <w:tabs>
          <w:tab w:val="num" w:pos="2880"/>
        </w:tabs>
        <w:ind w:left="2880" w:hanging="720"/>
      </w:pPr>
      <w:rPr>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upp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1A4202B7"/>
    <w:multiLevelType w:val="hybridMultilevel"/>
    <w:tmpl w:val="5F7EC7C4"/>
    <w:lvl w:ilvl="0" w:tplc="3918C61A">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6400"/>
    <w:multiLevelType w:val="hybridMultilevel"/>
    <w:tmpl w:val="D7E274E8"/>
    <w:lvl w:ilvl="0" w:tplc="0AD01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AB28A3"/>
    <w:multiLevelType w:val="hybridMultilevel"/>
    <w:tmpl w:val="18420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D4626"/>
    <w:multiLevelType w:val="hybridMultilevel"/>
    <w:tmpl w:val="3B78BFC4"/>
    <w:lvl w:ilvl="0" w:tplc="45788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8A6222"/>
    <w:multiLevelType w:val="hybridMultilevel"/>
    <w:tmpl w:val="FEFEFF3E"/>
    <w:lvl w:ilvl="0" w:tplc="AA88A2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7794E"/>
    <w:multiLevelType w:val="hybridMultilevel"/>
    <w:tmpl w:val="98DCD4DC"/>
    <w:lvl w:ilvl="0" w:tplc="138A0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C5289"/>
    <w:multiLevelType w:val="multilevel"/>
    <w:tmpl w:val="45D67DE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E16AFC"/>
    <w:multiLevelType w:val="hybridMultilevel"/>
    <w:tmpl w:val="97343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938BD"/>
    <w:multiLevelType w:val="hybridMultilevel"/>
    <w:tmpl w:val="8E62E844"/>
    <w:lvl w:ilvl="0" w:tplc="FD067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8" w15:restartNumberingAfterBreak="0">
    <w:nsid w:val="4BDA2E66"/>
    <w:multiLevelType w:val="multilevel"/>
    <w:tmpl w:val="725EE494"/>
    <w:lvl w:ilvl="0">
      <w:start w:val="8"/>
      <w:numFmt w:val="decimal"/>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36522"/>
    <w:multiLevelType w:val="hybridMultilevel"/>
    <w:tmpl w:val="EBCC99F8"/>
    <w:lvl w:ilvl="0" w:tplc="8A64C1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9461AAC"/>
    <w:multiLevelType w:val="hybridMultilevel"/>
    <w:tmpl w:val="EC74E502"/>
    <w:lvl w:ilvl="0" w:tplc="11A8C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7037F"/>
    <w:multiLevelType w:val="hybridMultilevel"/>
    <w:tmpl w:val="2160BF1A"/>
    <w:lvl w:ilvl="0" w:tplc="0409000F">
      <w:start w:val="1"/>
      <w:numFmt w:val="decimal"/>
      <w:lvlText w:val="%1."/>
      <w:lvlJc w:val="left"/>
      <w:pPr>
        <w:ind w:left="1620" w:hanging="360"/>
      </w:pPr>
      <w:rPr>
        <w:b/>
        <w:bCs/>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A440AFC"/>
    <w:multiLevelType w:val="hybridMultilevel"/>
    <w:tmpl w:val="CEA050AC"/>
    <w:lvl w:ilvl="0" w:tplc="563E0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482B29"/>
    <w:multiLevelType w:val="hybridMultilevel"/>
    <w:tmpl w:val="0D90CB2E"/>
    <w:lvl w:ilvl="0" w:tplc="1B248C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FA305F4"/>
    <w:multiLevelType w:val="hybridMultilevel"/>
    <w:tmpl w:val="505C397A"/>
    <w:lvl w:ilvl="0" w:tplc="6312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8F26EC"/>
    <w:multiLevelType w:val="hybridMultilevel"/>
    <w:tmpl w:val="A20E8268"/>
    <w:lvl w:ilvl="0" w:tplc="18468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4B493A"/>
    <w:multiLevelType w:val="hybridMultilevel"/>
    <w:tmpl w:val="82A69E6C"/>
    <w:lvl w:ilvl="0" w:tplc="DBE440CC">
      <w:start w:val="1"/>
      <w:numFmt w:val="decimal"/>
      <w:lvlText w:val="%1."/>
      <w:lvlJc w:val="left"/>
      <w:pPr>
        <w:ind w:left="1260" w:hanging="360"/>
      </w:pPr>
      <w:rPr>
        <w:b/>
        <w:bCs/>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7D873B5"/>
    <w:multiLevelType w:val="hybridMultilevel"/>
    <w:tmpl w:val="88BCF61C"/>
    <w:lvl w:ilvl="0" w:tplc="6F4AD8B8">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384B0D"/>
    <w:multiLevelType w:val="hybridMultilevel"/>
    <w:tmpl w:val="F9C4735A"/>
    <w:lvl w:ilvl="0" w:tplc="DC5C4C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DC5072"/>
    <w:multiLevelType w:val="hybridMultilevel"/>
    <w:tmpl w:val="F5D22FB8"/>
    <w:lvl w:ilvl="0" w:tplc="9D66CF16">
      <w:start w:val="1"/>
      <w:numFmt w:val="lowerLetter"/>
      <w:lvlText w:val="%1."/>
      <w:lvlJc w:val="left"/>
      <w:pPr>
        <w:ind w:left="1800" w:hanging="360"/>
      </w:pPr>
      <w:rPr>
        <w:rFonts w:hint="default"/>
      </w:rPr>
    </w:lvl>
    <w:lvl w:ilvl="1" w:tplc="2BE0828E">
      <w:start w:val="1"/>
      <w:numFmt w:val="decimal"/>
      <w:lvlText w:val="%2."/>
      <w:lvlJc w:val="left"/>
      <w:pPr>
        <w:ind w:left="2055" w:hanging="525"/>
      </w:pPr>
      <w:rPr>
        <w:rFonts w:hint="default"/>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36479E"/>
    <w:multiLevelType w:val="hybridMultilevel"/>
    <w:tmpl w:val="4BD0DE2A"/>
    <w:lvl w:ilvl="0" w:tplc="719CEF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E746E54"/>
    <w:multiLevelType w:val="hybridMultilevel"/>
    <w:tmpl w:val="644E8500"/>
    <w:lvl w:ilvl="0" w:tplc="8D6A8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7"/>
  </w:num>
  <w:num w:numId="4">
    <w:abstractNumId w:val="20"/>
  </w:num>
  <w:num w:numId="5">
    <w:abstractNumId w:val="5"/>
  </w:num>
  <w:num w:numId="6">
    <w:abstractNumId w:val="2"/>
  </w:num>
  <w:num w:numId="7">
    <w:abstractNumId w:val="7"/>
    <w:lvlOverride w:ilvl="0">
      <w:startOverride w:val="1"/>
    </w:lvlOverride>
    <w:lvlOverride w:ilvl="1">
      <w:startOverride w:val="1"/>
    </w:lvlOverride>
    <w:lvlOverride w:ilvl="2">
      <w:startOverride w:val="23"/>
    </w:lvlOverride>
  </w:num>
  <w:num w:numId="8">
    <w:abstractNumId w:val="7"/>
    <w:lvlOverride w:ilvl="0">
      <w:startOverride w:val="1"/>
    </w:lvlOverride>
    <w:lvlOverride w:ilvl="1">
      <w:startOverride w:val="1"/>
    </w:lvlOverride>
    <w:lvlOverride w:ilvl="2">
      <w:startOverride w:val="23"/>
    </w:lvlOverride>
  </w:num>
  <w:num w:numId="9">
    <w:abstractNumId w:val="7"/>
    <w:lvlOverride w:ilvl="0">
      <w:startOverride w:val="1"/>
    </w:lvlOverride>
    <w:lvlOverride w:ilvl="1">
      <w:startOverride w:val="1"/>
    </w:lvlOverride>
    <w:lvlOverride w:ilvl="2">
      <w:startOverride w:val="24"/>
    </w:lvlOverride>
  </w:num>
  <w:num w:numId="10">
    <w:abstractNumId w:val="7"/>
    <w:lvlOverride w:ilvl="0">
      <w:startOverride w:val="1"/>
    </w:lvlOverride>
    <w:lvlOverride w:ilvl="1">
      <w:startOverride w:val="1"/>
    </w:lvlOverride>
    <w:lvlOverride w:ilvl="2">
      <w:startOverride w:val="37"/>
    </w:lvlOverride>
  </w:num>
  <w:num w:numId="11">
    <w:abstractNumId w:val="27"/>
  </w:num>
  <w:num w:numId="12">
    <w:abstractNumId w:val="7"/>
    <w:lvlOverride w:ilvl="0">
      <w:startOverride w:val="500"/>
    </w:lvlOverride>
  </w:num>
  <w:num w:numId="13">
    <w:abstractNumId w:val="7"/>
  </w:num>
  <w:num w:numId="14">
    <w:abstractNumId w:val="7"/>
    <w:lvlOverride w:ilvl="0">
      <w:startOverride w:val="1"/>
    </w:lvlOverride>
    <w:lvlOverride w:ilvl="1">
      <w:startOverride w:val="6"/>
    </w:lvlOverride>
  </w:num>
  <w:num w:numId="15">
    <w:abstractNumId w:val="17"/>
  </w:num>
  <w:num w:numId="16">
    <w:abstractNumId w:val="7"/>
    <w:lvlOverride w:ilvl="0">
      <w:startOverride w:val="5"/>
    </w:lvlOverride>
  </w:num>
  <w:num w:numId="17">
    <w:abstractNumId w:val="15"/>
  </w:num>
  <w:num w:numId="18">
    <w:abstractNumId w:val="12"/>
  </w:num>
  <w:num w:numId="19">
    <w:abstractNumId w:val="3"/>
  </w:num>
  <w:num w:numId="20">
    <w:abstractNumId w:val="4"/>
  </w:num>
  <w:num w:numId="21">
    <w:abstractNumId w:val="6"/>
  </w:num>
  <w:num w:numId="22">
    <w:abstractNumId w:val="8"/>
  </w:num>
  <w:num w:numId="23">
    <w:abstractNumId w:val="24"/>
  </w:num>
  <w:num w:numId="24">
    <w:abstractNumId w:val="30"/>
  </w:num>
  <w:num w:numId="25">
    <w:abstractNumId w:val="9"/>
  </w:num>
  <w:num w:numId="26">
    <w:abstractNumId w:val="13"/>
  </w:num>
  <w:num w:numId="27">
    <w:abstractNumId w:val="16"/>
  </w:num>
  <w:num w:numId="28">
    <w:abstractNumId w:val="11"/>
  </w:num>
  <w:num w:numId="29">
    <w:abstractNumId w:val="29"/>
  </w:num>
  <w:num w:numId="30">
    <w:abstractNumId w:val="1"/>
  </w:num>
  <w:num w:numId="31">
    <w:abstractNumId w:val="23"/>
  </w:num>
  <w:num w:numId="32">
    <w:abstractNumId w:val="19"/>
  </w:num>
  <w:num w:numId="33">
    <w:abstractNumId w:val="28"/>
  </w:num>
  <w:num w:numId="34">
    <w:abstractNumId w:val="10"/>
  </w:num>
  <w:num w:numId="35">
    <w:abstractNumId w:val="25"/>
  </w:num>
  <w:num w:numId="36">
    <w:abstractNumId w:val="14"/>
  </w:num>
  <w:num w:numId="37">
    <w:abstractNumId w:val="18"/>
  </w:num>
  <w:num w:numId="38">
    <w:abstractNumId w:val="26"/>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71"/>
    <w:rsid w:val="00001F29"/>
    <w:rsid w:val="00002471"/>
    <w:rsid w:val="00002FF3"/>
    <w:rsid w:val="000033E8"/>
    <w:rsid w:val="0000389F"/>
    <w:rsid w:val="000042C8"/>
    <w:rsid w:val="000042D5"/>
    <w:rsid w:val="00004B7A"/>
    <w:rsid w:val="0000555E"/>
    <w:rsid w:val="00005BF7"/>
    <w:rsid w:val="000069AF"/>
    <w:rsid w:val="00007E0C"/>
    <w:rsid w:val="000109CB"/>
    <w:rsid w:val="00010C1D"/>
    <w:rsid w:val="000115C9"/>
    <w:rsid w:val="00011831"/>
    <w:rsid w:val="00012A78"/>
    <w:rsid w:val="00012F65"/>
    <w:rsid w:val="00013E3E"/>
    <w:rsid w:val="00014D48"/>
    <w:rsid w:val="0001524E"/>
    <w:rsid w:val="000178A1"/>
    <w:rsid w:val="00017F8B"/>
    <w:rsid w:val="00017FF9"/>
    <w:rsid w:val="00020135"/>
    <w:rsid w:val="00021361"/>
    <w:rsid w:val="00023F50"/>
    <w:rsid w:val="000240CA"/>
    <w:rsid w:val="00026D34"/>
    <w:rsid w:val="0002718E"/>
    <w:rsid w:val="000307F1"/>
    <w:rsid w:val="00030E0D"/>
    <w:rsid w:val="0003118F"/>
    <w:rsid w:val="000319B5"/>
    <w:rsid w:val="00032CD6"/>
    <w:rsid w:val="00033624"/>
    <w:rsid w:val="0003497E"/>
    <w:rsid w:val="00034A9C"/>
    <w:rsid w:val="0003609B"/>
    <w:rsid w:val="000369A2"/>
    <w:rsid w:val="000371DD"/>
    <w:rsid w:val="00037386"/>
    <w:rsid w:val="00037AC2"/>
    <w:rsid w:val="00043F88"/>
    <w:rsid w:val="00044B46"/>
    <w:rsid w:val="00044D25"/>
    <w:rsid w:val="000450BE"/>
    <w:rsid w:val="000451B5"/>
    <w:rsid w:val="000455F2"/>
    <w:rsid w:val="0004589F"/>
    <w:rsid w:val="00045EBE"/>
    <w:rsid w:val="00046456"/>
    <w:rsid w:val="00046A6B"/>
    <w:rsid w:val="00047358"/>
    <w:rsid w:val="000473D0"/>
    <w:rsid w:val="00047A62"/>
    <w:rsid w:val="00050538"/>
    <w:rsid w:val="00050670"/>
    <w:rsid w:val="0005068A"/>
    <w:rsid w:val="00050C9E"/>
    <w:rsid w:val="00050CE5"/>
    <w:rsid w:val="0005162B"/>
    <w:rsid w:val="00051B52"/>
    <w:rsid w:val="00051DCE"/>
    <w:rsid w:val="000522F9"/>
    <w:rsid w:val="0005324C"/>
    <w:rsid w:val="00056181"/>
    <w:rsid w:val="0005648F"/>
    <w:rsid w:val="000575DD"/>
    <w:rsid w:val="00060E9F"/>
    <w:rsid w:val="000613A6"/>
    <w:rsid w:val="00062335"/>
    <w:rsid w:val="000630BE"/>
    <w:rsid w:val="000643AC"/>
    <w:rsid w:val="0006520A"/>
    <w:rsid w:val="0006697E"/>
    <w:rsid w:val="00067E22"/>
    <w:rsid w:val="00067F20"/>
    <w:rsid w:val="00070908"/>
    <w:rsid w:val="00070F65"/>
    <w:rsid w:val="00071239"/>
    <w:rsid w:val="00074097"/>
    <w:rsid w:val="000753DD"/>
    <w:rsid w:val="00076DB7"/>
    <w:rsid w:val="000816B5"/>
    <w:rsid w:val="00081771"/>
    <w:rsid w:val="000817A0"/>
    <w:rsid w:val="0008517A"/>
    <w:rsid w:val="00090764"/>
    <w:rsid w:val="00091597"/>
    <w:rsid w:val="0009176B"/>
    <w:rsid w:val="00092838"/>
    <w:rsid w:val="00092AEC"/>
    <w:rsid w:val="00092B1B"/>
    <w:rsid w:val="00093D70"/>
    <w:rsid w:val="000951C7"/>
    <w:rsid w:val="0009555B"/>
    <w:rsid w:val="000960E0"/>
    <w:rsid w:val="00096115"/>
    <w:rsid w:val="00096C16"/>
    <w:rsid w:val="00096C8A"/>
    <w:rsid w:val="000A12B1"/>
    <w:rsid w:val="000A1A63"/>
    <w:rsid w:val="000A3065"/>
    <w:rsid w:val="000A30DD"/>
    <w:rsid w:val="000A33EA"/>
    <w:rsid w:val="000A436A"/>
    <w:rsid w:val="000A4679"/>
    <w:rsid w:val="000A4B4D"/>
    <w:rsid w:val="000A5C51"/>
    <w:rsid w:val="000A605A"/>
    <w:rsid w:val="000A7F7C"/>
    <w:rsid w:val="000B0C59"/>
    <w:rsid w:val="000B1443"/>
    <w:rsid w:val="000B186C"/>
    <w:rsid w:val="000B2DAB"/>
    <w:rsid w:val="000B40D2"/>
    <w:rsid w:val="000B5C67"/>
    <w:rsid w:val="000B5D92"/>
    <w:rsid w:val="000B68EC"/>
    <w:rsid w:val="000B7517"/>
    <w:rsid w:val="000B7630"/>
    <w:rsid w:val="000B7B26"/>
    <w:rsid w:val="000B7D0C"/>
    <w:rsid w:val="000C084D"/>
    <w:rsid w:val="000C093C"/>
    <w:rsid w:val="000C1690"/>
    <w:rsid w:val="000C2F7A"/>
    <w:rsid w:val="000C3842"/>
    <w:rsid w:val="000C5FC7"/>
    <w:rsid w:val="000D0000"/>
    <w:rsid w:val="000D103D"/>
    <w:rsid w:val="000D1892"/>
    <w:rsid w:val="000D1A8E"/>
    <w:rsid w:val="000D37A2"/>
    <w:rsid w:val="000D3BB2"/>
    <w:rsid w:val="000D4AE7"/>
    <w:rsid w:val="000D4E05"/>
    <w:rsid w:val="000D703D"/>
    <w:rsid w:val="000D7433"/>
    <w:rsid w:val="000E1293"/>
    <w:rsid w:val="000E19A9"/>
    <w:rsid w:val="000E2764"/>
    <w:rsid w:val="000E499F"/>
    <w:rsid w:val="000E4BF8"/>
    <w:rsid w:val="000E4FB8"/>
    <w:rsid w:val="000E5027"/>
    <w:rsid w:val="000E51C6"/>
    <w:rsid w:val="000E6418"/>
    <w:rsid w:val="000E7617"/>
    <w:rsid w:val="000E765B"/>
    <w:rsid w:val="000F0C8F"/>
    <w:rsid w:val="000F3D92"/>
    <w:rsid w:val="000F4C67"/>
    <w:rsid w:val="000F4D71"/>
    <w:rsid w:val="000F4D72"/>
    <w:rsid w:val="000F5C7B"/>
    <w:rsid w:val="000F6709"/>
    <w:rsid w:val="000F6D3B"/>
    <w:rsid w:val="000F6DD9"/>
    <w:rsid w:val="001004EF"/>
    <w:rsid w:val="00100CE0"/>
    <w:rsid w:val="00100ED5"/>
    <w:rsid w:val="00101388"/>
    <w:rsid w:val="00101493"/>
    <w:rsid w:val="0010279C"/>
    <w:rsid w:val="001034D6"/>
    <w:rsid w:val="00104A5A"/>
    <w:rsid w:val="001053F8"/>
    <w:rsid w:val="00105CE9"/>
    <w:rsid w:val="001071E6"/>
    <w:rsid w:val="0010721D"/>
    <w:rsid w:val="00107275"/>
    <w:rsid w:val="00107458"/>
    <w:rsid w:val="001108B1"/>
    <w:rsid w:val="00110929"/>
    <w:rsid w:val="0011183C"/>
    <w:rsid w:val="0011258B"/>
    <w:rsid w:val="001128D8"/>
    <w:rsid w:val="001128EA"/>
    <w:rsid w:val="00112DAA"/>
    <w:rsid w:val="00113CCC"/>
    <w:rsid w:val="0011457B"/>
    <w:rsid w:val="00114E31"/>
    <w:rsid w:val="0011582B"/>
    <w:rsid w:val="00116C80"/>
    <w:rsid w:val="0012013A"/>
    <w:rsid w:val="00120A2A"/>
    <w:rsid w:val="0012221A"/>
    <w:rsid w:val="00123D14"/>
    <w:rsid w:val="00124742"/>
    <w:rsid w:val="0012483C"/>
    <w:rsid w:val="00124930"/>
    <w:rsid w:val="00124CB1"/>
    <w:rsid w:val="00124DA0"/>
    <w:rsid w:val="00125748"/>
    <w:rsid w:val="00126217"/>
    <w:rsid w:val="001266F5"/>
    <w:rsid w:val="00127802"/>
    <w:rsid w:val="00130303"/>
    <w:rsid w:val="001324E1"/>
    <w:rsid w:val="00132B33"/>
    <w:rsid w:val="00132E50"/>
    <w:rsid w:val="00132F69"/>
    <w:rsid w:val="001347E0"/>
    <w:rsid w:val="00135DE8"/>
    <w:rsid w:val="00135F6A"/>
    <w:rsid w:val="00135F82"/>
    <w:rsid w:val="001361F9"/>
    <w:rsid w:val="001363C8"/>
    <w:rsid w:val="00137B64"/>
    <w:rsid w:val="00140681"/>
    <w:rsid w:val="00140B0E"/>
    <w:rsid w:val="00140FD7"/>
    <w:rsid w:val="00145F2D"/>
    <w:rsid w:val="00150B15"/>
    <w:rsid w:val="00150E97"/>
    <w:rsid w:val="00151C70"/>
    <w:rsid w:val="00152297"/>
    <w:rsid w:val="00152920"/>
    <w:rsid w:val="00152F60"/>
    <w:rsid w:val="001542FF"/>
    <w:rsid w:val="001556E4"/>
    <w:rsid w:val="0015608E"/>
    <w:rsid w:val="001603D0"/>
    <w:rsid w:val="00161DAD"/>
    <w:rsid w:val="00163602"/>
    <w:rsid w:val="00166B36"/>
    <w:rsid w:val="0016711E"/>
    <w:rsid w:val="00167196"/>
    <w:rsid w:val="00167A68"/>
    <w:rsid w:val="00170084"/>
    <w:rsid w:val="0017156C"/>
    <w:rsid w:val="001715F1"/>
    <w:rsid w:val="001731A5"/>
    <w:rsid w:val="00173465"/>
    <w:rsid w:val="00173486"/>
    <w:rsid w:val="00174794"/>
    <w:rsid w:val="00177DBB"/>
    <w:rsid w:val="00180DFD"/>
    <w:rsid w:val="00181EBC"/>
    <w:rsid w:val="0018209A"/>
    <w:rsid w:val="00183E7C"/>
    <w:rsid w:val="001840CF"/>
    <w:rsid w:val="001842D0"/>
    <w:rsid w:val="00184ED1"/>
    <w:rsid w:val="00185F4F"/>
    <w:rsid w:val="001875BB"/>
    <w:rsid w:val="00187897"/>
    <w:rsid w:val="00187F71"/>
    <w:rsid w:val="00190EAA"/>
    <w:rsid w:val="00191250"/>
    <w:rsid w:val="00191807"/>
    <w:rsid w:val="00191FAD"/>
    <w:rsid w:val="00193A2C"/>
    <w:rsid w:val="00193D61"/>
    <w:rsid w:val="00194180"/>
    <w:rsid w:val="00194F64"/>
    <w:rsid w:val="00195337"/>
    <w:rsid w:val="001953F3"/>
    <w:rsid w:val="00195A9E"/>
    <w:rsid w:val="001977B2"/>
    <w:rsid w:val="001A0193"/>
    <w:rsid w:val="001A03A4"/>
    <w:rsid w:val="001A0C52"/>
    <w:rsid w:val="001A27EB"/>
    <w:rsid w:val="001A34F6"/>
    <w:rsid w:val="001A3670"/>
    <w:rsid w:val="001A6CCB"/>
    <w:rsid w:val="001A6E4E"/>
    <w:rsid w:val="001B0678"/>
    <w:rsid w:val="001B108E"/>
    <w:rsid w:val="001B1EF4"/>
    <w:rsid w:val="001B2299"/>
    <w:rsid w:val="001B2E04"/>
    <w:rsid w:val="001B2F98"/>
    <w:rsid w:val="001B37E0"/>
    <w:rsid w:val="001B37F2"/>
    <w:rsid w:val="001B5032"/>
    <w:rsid w:val="001B514E"/>
    <w:rsid w:val="001B5AC0"/>
    <w:rsid w:val="001B5F8D"/>
    <w:rsid w:val="001B61D5"/>
    <w:rsid w:val="001B6A0C"/>
    <w:rsid w:val="001B6F75"/>
    <w:rsid w:val="001B7164"/>
    <w:rsid w:val="001C0715"/>
    <w:rsid w:val="001C0F01"/>
    <w:rsid w:val="001C192E"/>
    <w:rsid w:val="001C2B9B"/>
    <w:rsid w:val="001C417A"/>
    <w:rsid w:val="001C4BB0"/>
    <w:rsid w:val="001C556E"/>
    <w:rsid w:val="001C6ECF"/>
    <w:rsid w:val="001D077A"/>
    <w:rsid w:val="001D2182"/>
    <w:rsid w:val="001D4299"/>
    <w:rsid w:val="001D4639"/>
    <w:rsid w:val="001D5755"/>
    <w:rsid w:val="001D6AC8"/>
    <w:rsid w:val="001D7352"/>
    <w:rsid w:val="001E1C36"/>
    <w:rsid w:val="001E2EC1"/>
    <w:rsid w:val="001E3857"/>
    <w:rsid w:val="001E3DAE"/>
    <w:rsid w:val="001E403A"/>
    <w:rsid w:val="001E4E59"/>
    <w:rsid w:val="001E5514"/>
    <w:rsid w:val="001E5FA9"/>
    <w:rsid w:val="001E6A0C"/>
    <w:rsid w:val="001E7D55"/>
    <w:rsid w:val="001F0A2C"/>
    <w:rsid w:val="001F0C79"/>
    <w:rsid w:val="001F2CB9"/>
    <w:rsid w:val="001F3684"/>
    <w:rsid w:val="001F4568"/>
    <w:rsid w:val="001F60B8"/>
    <w:rsid w:val="001F6A2A"/>
    <w:rsid w:val="002003B6"/>
    <w:rsid w:val="0020297C"/>
    <w:rsid w:val="00203430"/>
    <w:rsid w:val="00203EAC"/>
    <w:rsid w:val="002060BE"/>
    <w:rsid w:val="002063AD"/>
    <w:rsid w:val="002075C2"/>
    <w:rsid w:val="002102B4"/>
    <w:rsid w:val="00210402"/>
    <w:rsid w:val="00211C99"/>
    <w:rsid w:val="00211D39"/>
    <w:rsid w:val="00214646"/>
    <w:rsid w:val="002163C3"/>
    <w:rsid w:val="002165A8"/>
    <w:rsid w:val="002179E4"/>
    <w:rsid w:val="002203BB"/>
    <w:rsid w:val="00220504"/>
    <w:rsid w:val="00220A09"/>
    <w:rsid w:val="00223228"/>
    <w:rsid w:val="00223A88"/>
    <w:rsid w:val="002241BE"/>
    <w:rsid w:val="0022433C"/>
    <w:rsid w:val="00226B80"/>
    <w:rsid w:val="0022705C"/>
    <w:rsid w:val="0022769E"/>
    <w:rsid w:val="00227E50"/>
    <w:rsid w:val="002306B5"/>
    <w:rsid w:val="00230D76"/>
    <w:rsid w:val="0023131D"/>
    <w:rsid w:val="002314EF"/>
    <w:rsid w:val="00231D35"/>
    <w:rsid w:val="00231D98"/>
    <w:rsid w:val="00233F55"/>
    <w:rsid w:val="00233F81"/>
    <w:rsid w:val="0023641C"/>
    <w:rsid w:val="00237644"/>
    <w:rsid w:val="002406A0"/>
    <w:rsid w:val="002410A4"/>
    <w:rsid w:val="00242784"/>
    <w:rsid w:val="00243A3B"/>
    <w:rsid w:val="002444BB"/>
    <w:rsid w:val="0024483A"/>
    <w:rsid w:val="00244E00"/>
    <w:rsid w:val="002457B6"/>
    <w:rsid w:val="002461D5"/>
    <w:rsid w:val="00246863"/>
    <w:rsid w:val="00246973"/>
    <w:rsid w:val="0025013C"/>
    <w:rsid w:val="002502EB"/>
    <w:rsid w:val="00250D45"/>
    <w:rsid w:val="00251103"/>
    <w:rsid w:val="00253380"/>
    <w:rsid w:val="00253AEE"/>
    <w:rsid w:val="0025405B"/>
    <w:rsid w:val="00254998"/>
    <w:rsid w:val="002559CC"/>
    <w:rsid w:val="00255C67"/>
    <w:rsid w:val="002569D4"/>
    <w:rsid w:val="00260DB2"/>
    <w:rsid w:val="00260F35"/>
    <w:rsid w:val="002623B7"/>
    <w:rsid w:val="002623F7"/>
    <w:rsid w:val="0026286C"/>
    <w:rsid w:val="00262D6C"/>
    <w:rsid w:val="00262F5A"/>
    <w:rsid w:val="002646FF"/>
    <w:rsid w:val="00264B0D"/>
    <w:rsid w:val="00265649"/>
    <w:rsid w:val="00265C56"/>
    <w:rsid w:val="00266177"/>
    <w:rsid w:val="00266907"/>
    <w:rsid w:val="00266D2E"/>
    <w:rsid w:val="002675E6"/>
    <w:rsid w:val="00270E24"/>
    <w:rsid w:val="00271881"/>
    <w:rsid w:val="0027230B"/>
    <w:rsid w:val="002727DD"/>
    <w:rsid w:val="00274E25"/>
    <w:rsid w:val="00275559"/>
    <w:rsid w:val="002768F8"/>
    <w:rsid w:val="00277B28"/>
    <w:rsid w:val="00280662"/>
    <w:rsid w:val="002811E9"/>
    <w:rsid w:val="00282F8F"/>
    <w:rsid w:val="00283BE6"/>
    <w:rsid w:val="00284B76"/>
    <w:rsid w:val="00287230"/>
    <w:rsid w:val="00287892"/>
    <w:rsid w:val="002912A7"/>
    <w:rsid w:val="00291730"/>
    <w:rsid w:val="00291B4A"/>
    <w:rsid w:val="0029297D"/>
    <w:rsid w:val="00293AFF"/>
    <w:rsid w:val="00295D77"/>
    <w:rsid w:val="0029756A"/>
    <w:rsid w:val="00297D96"/>
    <w:rsid w:val="002A005B"/>
    <w:rsid w:val="002A0D36"/>
    <w:rsid w:val="002A198B"/>
    <w:rsid w:val="002A1B37"/>
    <w:rsid w:val="002A2102"/>
    <w:rsid w:val="002A2610"/>
    <w:rsid w:val="002A2E55"/>
    <w:rsid w:val="002A3D05"/>
    <w:rsid w:val="002A569C"/>
    <w:rsid w:val="002A6C39"/>
    <w:rsid w:val="002A761C"/>
    <w:rsid w:val="002B0007"/>
    <w:rsid w:val="002B10E0"/>
    <w:rsid w:val="002B16F8"/>
    <w:rsid w:val="002B333A"/>
    <w:rsid w:val="002B337E"/>
    <w:rsid w:val="002B37A2"/>
    <w:rsid w:val="002B3A01"/>
    <w:rsid w:val="002B53CE"/>
    <w:rsid w:val="002B5DE8"/>
    <w:rsid w:val="002B6EFC"/>
    <w:rsid w:val="002B750F"/>
    <w:rsid w:val="002C0929"/>
    <w:rsid w:val="002C1648"/>
    <w:rsid w:val="002C1F7E"/>
    <w:rsid w:val="002C2230"/>
    <w:rsid w:val="002C2583"/>
    <w:rsid w:val="002C38BF"/>
    <w:rsid w:val="002C4B9C"/>
    <w:rsid w:val="002C6083"/>
    <w:rsid w:val="002C63D9"/>
    <w:rsid w:val="002C75FD"/>
    <w:rsid w:val="002D0018"/>
    <w:rsid w:val="002D3149"/>
    <w:rsid w:val="002D5F81"/>
    <w:rsid w:val="002D621B"/>
    <w:rsid w:val="002D66DC"/>
    <w:rsid w:val="002E2383"/>
    <w:rsid w:val="002E2489"/>
    <w:rsid w:val="002E2C3B"/>
    <w:rsid w:val="002E4071"/>
    <w:rsid w:val="002E40F1"/>
    <w:rsid w:val="002E4278"/>
    <w:rsid w:val="002E4342"/>
    <w:rsid w:val="002E4C99"/>
    <w:rsid w:val="002E5CE7"/>
    <w:rsid w:val="002E5F1D"/>
    <w:rsid w:val="002E65F0"/>
    <w:rsid w:val="002E7045"/>
    <w:rsid w:val="002F0915"/>
    <w:rsid w:val="002F19AD"/>
    <w:rsid w:val="002F1C7F"/>
    <w:rsid w:val="002F1D26"/>
    <w:rsid w:val="002F3687"/>
    <w:rsid w:val="002F377F"/>
    <w:rsid w:val="002F3868"/>
    <w:rsid w:val="002F3C8D"/>
    <w:rsid w:val="002F61C0"/>
    <w:rsid w:val="002F77D9"/>
    <w:rsid w:val="00300B47"/>
    <w:rsid w:val="0030136C"/>
    <w:rsid w:val="00301A62"/>
    <w:rsid w:val="003024A1"/>
    <w:rsid w:val="00302E55"/>
    <w:rsid w:val="003030C2"/>
    <w:rsid w:val="00303992"/>
    <w:rsid w:val="003039B5"/>
    <w:rsid w:val="00303C75"/>
    <w:rsid w:val="00304B80"/>
    <w:rsid w:val="003054FF"/>
    <w:rsid w:val="0030560E"/>
    <w:rsid w:val="003059D4"/>
    <w:rsid w:val="00305D25"/>
    <w:rsid w:val="003069E3"/>
    <w:rsid w:val="00306D9A"/>
    <w:rsid w:val="00307A4F"/>
    <w:rsid w:val="00307B43"/>
    <w:rsid w:val="00310571"/>
    <w:rsid w:val="00311645"/>
    <w:rsid w:val="0031363E"/>
    <w:rsid w:val="00315708"/>
    <w:rsid w:val="00320648"/>
    <w:rsid w:val="003212A1"/>
    <w:rsid w:val="003219B8"/>
    <w:rsid w:val="00322FE9"/>
    <w:rsid w:val="003246CC"/>
    <w:rsid w:val="0033037F"/>
    <w:rsid w:val="00330E8E"/>
    <w:rsid w:val="00330FF3"/>
    <w:rsid w:val="0033231E"/>
    <w:rsid w:val="00332ADA"/>
    <w:rsid w:val="0033328A"/>
    <w:rsid w:val="00334539"/>
    <w:rsid w:val="00336F8B"/>
    <w:rsid w:val="003376DE"/>
    <w:rsid w:val="0034023B"/>
    <w:rsid w:val="00340F8C"/>
    <w:rsid w:val="0034107F"/>
    <w:rsid w:val="003419F5"/>
    <w:rsid w:val="00343E90"/>
    <w:rsid w:val="003442BA"/>
    <w:rsid w:val="00345FB8"/>
    <w:rsid w:val="003469A9"/>
    <w:rsid w:val="0034756A"/>
    <w:rsid w:val="00347625"/>
    <w:rsid w:val="00347654"/>
    <w:rsid w:val="003515BB"/>
    <w:rsid w:val="00352FBB"/>
    <w:rsid w:val="0035315E"/>
    <w:rsid w:val="003531C8"/>
    <w:rsid w:val="003552B1"/>
    <w:rsid w:val="0035538A"/>
    <w:rsid w:val="00355529"/>
    <w:rsid w:val="0035703C"/>
    <w:rsid w:val="00357A2E"/>
    <w:rsid w:val="003614EF"/>
    <w:rsid w:val="00366362"/>
    <w:rsid w:val="00367E2C"/>
    <w:rsid w:val="003702C7"/>
    <w:rsid w:val="003747AC"/>
    <w:rsid w:val="003752C0"/>
    <w:rsid w:val="003764D9"/>
    <w:rsid w:val="00376D04"/>
    <w:rsid w:val="00377652"/>
    <w:rsid w:val="0038098A"/>
    <w:rsid w:val="00380F86"/>
    <w:rsid w:val="003812A4"/>
    <w:rsid w:val="0038340D"/>
    <w:rsid w:val="00383557"/>
    <w:rsid w:val="003839D3"/>
    <w:rsid w:val="003856BC"/>
    <w:rsid w:val="003859B8"/>
    <w:rsid w:val="00385BB4"/>
    <w:rsid w:val="00387656"/>
    <w:rsid w:val="0039106C"/>
    <w:rsid w:val="00393611"/>
    <w:rsid w:val="00393AD0"/>
    <w:rsid w:val="00393AEB"/>
    <w:rsid w:val="003973B8"/>
    <w:rsid w:val="00397F66"/>
    <w:rsid w:val="003A05BD"/>
    <w:rsid w:val="003A0BF4"/>
    <w:rsid w:val="003A2662"/>
    <w:rsid w:val="003A2AD5"/>
    <w:rsid w:val="003A2CD5"/>
    <w:rsid w:val="003A336C"/>
    <w:rsid w:val="003A357E"/>
    <w:rsid w:val="003A4E40"/>
    <w:rsid w:val="003A4E65"/>
    <w:rsid w:val="003A6D98"/>
    <w:rsid w:val="003B06BC"/>
    <w:rsid w:val="003B0C6B"/>
    <w:rsid w:val="003B1EFE"/>
    <w:rsid w:val="003B20C9"/>
    <w:rsid w:val="003B2E07"/>
    <w:rsid w:val="003B3878"/>
    <w:rsid w:val="003B667C"/>
    <w:rsid w:val="003B7767"/>
    <w:rsid w:val="003C1E65"/>
    <w:rsid w:val="003C1F86"/>
    <w:rsid w:val="003C2BBB"/>
    <w:rsid w:val="003C3B61"/>
    <w:rsid w:val="003C40DF"/>
    <w:rsid w:val="003C43EE"/>
    <w:rsid w:val="003C5415"/>
    <w:rsid w:val="003C5E79"/>
    <w:rsid w:val="003C637F"/>
    <w:rsid w:val="003C709A"/>
    <w:rsid w:val="003C79A9"/>
    <w:rsid w:val="003C7DB8"/>
    <w:rsid w:val="003D067D"/>
    <w:rsid w:val="003D29CF"/>
    <w:rsid w:val="003D373B"/>
    <w:rsid w:val="003D52F6"/>
    <w:rsid w:val="003D5FEE"/>
    <w:rsid w:val="003D6BF5"/>
    <w:rsid w:val="003D77BA"/>
    <w:rsid w:val="003E0B1C"/>
    <w:rsid w:val="003E4E61"/>
    <w:rsid w:val="003E549D"/>
    <w:rsid w:val="003E5544"/>
    <w:rsid w:val="003F0928"/>
    <w:rsid w:val="003F1CDB"/>
    <w:rsid w:val="003F27E0"/>
    <w:rsid w:val="003F2B64"/>
    <w:rsid w:val="003F37A3"/>
    <w:rsid w:val="003F3C25"/>
    <w:rsid w:val="003F3D5F"/>
    <w:rsid w:val="003F4FF3"/>
    <w:rsid w:val="003F51F2"/>
    <w:rsid w:val="003F5372"/>
    <w:rsid w:val="003F65DE"/>
    <w:rsid w:val="003F663C"/>
    <w:rsid w:val="003F6AC7"/>
    <w:rsid w:val="004000B1"/>
    <w:rsid w:val="0040050E"/>
    <w:rsid w:val="00400B4A"/>
    <w:rsid w:val="00402505"/>
    <w:rsid w:val="00405803"/>
    <w:rsid w:val="00405894"/>
    <w:rsid w:val="00405908"/>
    <w:rsid w:val="00405B5D"/>
    <w:rsid w:val="0040762B"/>
    <w:rsid w:val="00407986"/>
    <w:rsid w:val="004103D7"/>
    <w:rsid w:val="00411DE3"/>
    <w:rsid w:val="00412545"/>
    <w:rsid w:val="004132AD"/>
    <w:rsid w:val="004134D8"/>
    <w:rsid w:val="00414350"/>
    <w:rsid w:val="00414A73"/>
    <w:rsid w:val="00414E87"/>
    <w:rsid w:val="0041578F"/>
    <w:rsid w:val="00415D73"/>
    <w:rsid w:val="00416650"/>
    <w:rsid w:val="0041729D"/>
    <w:rsid w:val="00417804"/>
    <w:rsid w:val="00417999"/>
    <w:rsid w:val="004203D4"/>
    <w:rsid w:val="00420C7D"/>
    <w:rsid w:val="00421009"/>
    <w:rsid w:val="0042263F"/>
    <w:rsid w:val="00423372"/>
    <w:rsid w:val="00423905"/>
    <w:rsid w:val="00426022"/>
    <w:rsid w:val="00431D7E"/>
    <w:rsid w:val="00431D9E"/>
    <w:rsid w:val="00432C71"/>
    <w:rsid w:val="00432C9C"/>
    <w:rsid w:val="00435350"/>
    <w:rsid w:val="00435675"/>
    <w:rsid w:val="00435D5D"/>
    <w:rsid w:val="00435E67"/>
    <w:rsid w:val="00435F14"/>
    <w:rsid w:val="00440168"/>
    <w:rsid w:val="00440354"/>
    <w:rsid w:val="00442AF1"/>
    <w:rsid w:val="00443E6E"/>
    <w:rsid w:val="00446A41"/>
    <w:rsid w:val="00446BD7"/>
    <w:rsid w:val="00446C1B"/>
    <w:rsid w:val="00446C85"/>
    <w:rsid w:val="00447697"/>
    <w:rsid w:val="00447D1F"/>
    <w:rsid w:val="00450D97"/>
    <w:rsid w:val="00451B21"/>
    <w:rsid w:val="00451F8D"/>
    <w:rsid w:val="004525D6"/>
    <w:rsid w:val="004532C4"/>
    <w:rsid w:val="0045484D"/>
    <w:rsid w:val="00454FEE"/>
    <w:rsid w:val="004557FE"/>
    <w:rsid w:val="0045767D"/>
    <w:rsid w:val="00457E25"/>
    <w:rsid w:val="00460A06"/>
    <w:rsid w:val="004614CD"/>
    <w:rsid w:val="00462B2A"/>
    <w:rsid w:val="00465386"/>
    <w:rsid w:val="00465ADB"/>
    <w:rsid w:val="004665ED"/>
    <w:rsid w:val="00467874"/>
    <w:rsid w:val="00467949"/>
    <w:rsid w:val="0047023B"/>
    <w:rsid w:val="00470910"/>
    <w:rsid w:val="00470AC3"/>
    <w:rsid w:val="00471067"/>
    <w:rsid w:val="00472136"/>
    <w:rsid w:val="0047237E"/>
    <w:rsid w:val="004729E8"/>
    <w:rsid w:val="00474967"/>
    <w:rsid w:val="00475AC8"/>
    <w:rsid w:val="00475C4B"/>
    <w:rsid w:val="0047610C"/>
    <w:rsid w:val="004765F0"/>
    <w:rsid w:val="00476835"/>
    <w:rsid w:val="004772E4"/>
    <w:rsid w:val="00481B02"/>
    <w:rsid w:val="004835D2"/>
    <w:rsid w:val="004835F3"/>
    <w:rsid w:val="00484288"/>
    <w:rsid w:val="00486182"/>
    <w:rsid w:val="00487A71"/>
    <w:rsid w:val="004915C7"/>
    <w:rsid w:val="00491A9F"/>
    <w:rsid w:val="00491FF8"/>
    <w:rsid w:val="00493033"/>
    <w:rsid w:val="004951A3"/>
    <w:rsid w:val="00496B85"/>
    <w:rsid w:val="004A0DBC"/>
    <w:rsid w:val="004A1170"/>
    <w:rsid w:val="004A349B"/>
    <w:rsid w:val="004A4F15"/>
    <w:rsid w:val="004A6167"/>
    <w:rsid w:val="004B0370"/>
    <w:rsid w:val="004B055D"/>
    <w:rsid w:val="004B0778"/>
    <w:rsid w:val="004B0C32"/>
    <w:rsid w:val="004B0D5F"/>
    <w:rsid w:val="004B18D2"/>
    <w:rsid w:val="004B1FDC"/>
    <w:rsid w:val="004B211F"/>
    <w:rsid w:val="004B21BB"/>
    <w:rsid w:val="004B25DE"/>
    <w:rsid w:val="004B2E53"/>
    <w:rsid w:val="004B3C9A"/>
    <w:rsid w:val="004C0977"/>
    <w:rsid w:val="004C10ED"/>
    <w:rsid w:val="004C20EF"/>
    <w:rsid w:val="004C24F8"/>
    <w:rsid w:val="004C2510"/>
    <w:rsid w:val="004C28EF"/>
    <w:rsid w:val="004C326E"/>
    <w:rsid w:val="004C53FA"/>
    <w:rsid w:val="004D119A"/>
    <w:rsid w:val="004D1D71"/>
    <w:rsid w:val="004D2092"/>
    <w:rsid w:val="004D2339"/>
    <w:rsid w:val="004D29EE"/>
    <w:rsid w:val="004D481E"/>
    <w:rsid w:val="004D4D82"/>
    <w:rsid w:val="004D5810"/>
    <w:rsid w:val="004D78E5"/>
    <w:rsid w:val="004D7B37"/>
    <w:rsid w:val="004D7BA2"/>
    <w:rsid w:val="004E097B"/>
    <w:rsid w:val="004E1923"/>
    <w:rsid w:val="004E1EA6"/>
    <w:rsid w:val="004E2313"/>
    <w:rsid w:val="004E3528"/>
    <w:rsid w:val="004E46B3"/>
    <w:rsid w:val="004E6856"/>
    <w:rsid w:val="004E723B"/>
    <w:rsid w:val="004E73DF"/>
    <w:rsid w:val="004E7861"/>
    <w:rsid w:val="004E7D0D"/>
    <w:rsid w:val="004F0639"/>
    <w:rsid w:val="004F09F0"/>
    <w:rsid w:val="004F289D"/>
    <w:rsid w:val="004F2E3A"/>
    <w:rsid w:val="004F5C17"/>
    <w:rsid w:val="004F5E63"/>
    <w:rsid w:val="004F7706"/>
    <w:rsid w:val="0050010F"/>
    <w:rsid w:val="0050030C"/>
    <w:rsid w:val="005004C0"/>
    <w:rsid w:val="00500603"/>
    <w:rsid w:val="00500D19"/>
    <w:rsid w:val="005016F5"/>
    <w:rsid w:val="00501E70"/>
    <w:rsid w:val="00502683"/>
    <w:rsid w:val="005026E1"/>
    <w:rsid w:val="005030B3"/>
    <w:rsid w:val="00504B21"/>
    <w:rsid w:val="00504BA5"/>
    <w:rsid w:val="005108F4"/>
    <w:rsid w:val="00510ADC"/>
    <w:rsid w:val="00510BBD"/>
    <w:rsid w:val="00510BF3"/>
    <w:rsid w:val="00511241"/>
    <w:rsid w:val="005117D7"/>
    <w:rsid w:val="00512543"/>
    <w:rsid w:val="005125BE"/>
    <w:rsid w:val="00514504"/>
    <w:rsid w:val="00514FF0"/>
    <w:rsid w:val="005166A5"/>
    <w:rsid w:val="00520945"/>
    <w:rsid w:val="00521069"/>
    <w:rsid w:val="0052242A"/>
    <w:rsid w:val="00523924"/>
    <w:rsid w:val="00524001"/>
    <w:rsid w:val="00524492"/>
    <w:rsid w:val="005244E7"/>
    <w:rsid w:val="005247F4"/>
    <w:rsid w:val="00524C6C"/>
    <w:rsid w:val="00524D00"/>
    <w:rsid w:val="00524D8D"/>
    <w:rsid w:val="005271F3"/>
    <w:rsid w:val="00530291"/>
    <w:rsid w:val="00530B21"/>
    <w:rsid w:val="0053198A"/>
    <w:rsid w:val="0053220C"/>
    <w:rsid w:val="00532C3B"/>
    <w:rsid w:val="00533613"/>
    <w:rsid w:val="00533EFA"/>
    <w:rsid w:val="005342E9"/>
    <w:rsid w:val="0053567C"/>
    <w:rsid w:val="00535BE5"/>
    <w:rsid w:val="00536494"/>
    <w:rsid w:val="005403BA"/>
    <w:rsid w:val="0054155E"/>
    <w:rsid w:val="00541F99"/>
    <w:rsid w:val="00543574"/>
    <w:rsid w:val="00543979"/>
    <w:rsid w:val="00543CC0"/>
    <w:rsid w:val="00543D7B"/>
    <w:rsid w:val="005444BD"/>
    <w:rsid w:val="00545BBC"/>
    <w:rsid w:val="00547E7C"/>
    <w:rsid w:val="00550ABD"/>
    <w:rsid w:val="00551D84"/>
    <w:rsid w:val="005555E0"/>
    <w:rsid w:val="00555E97"/>
    <w:rsid w:val="00556793"/>
    <w:rsid w:val="00556A12"/>
    <w:rsid w:val="00556B3C"/>
    <w:rsid w:val="0055723C"/>
    <w:rsid w:val="00557732"/>
    <w:rsid w:val="00557D89"/>
    <w:rsid w:val="005623B1"/>
    <w:rsid w:val="005632E9"/>
    <w:rsid w:val="00563638"/>
    <w:rsid w:val="005640C1"/>
    <w:rsid w:val="0056538A"/>
    <w:rsid w:val="0056540A"/>
    <w:rsid w:val="00566F0E"/>
    <w:rsid w:val="00570437"/>
    <w:rsid w:val="00571744"/>
    <w:rsid w:val="005734EE"/>
    <w:rsid w:val="00573E23"/>
    <w:rsid w:val="00577F19"/>
    <w:rsid w:val="005822F1"/>
    <w:rsid w:val="00583889"/>
    <w:rsid w:val="00586338"/>
    <w:rsid w:val="00587DA6"/>
    <w:rsid w:val="005912F2"/>
    <w:rsid w:val="00592540"/>
    <w:rsid w:val="00593278"/>
    <w:rsid w:val="005938A1"/>
    <w:rsid w:val="005946E9"/>
    <w:rsid w:val="005958A0"/>
    <w:rsid w:val="005975CC"/>
    <w:rsid w:val="005A0525"/>
    <w:rsid w:val="005A06CE"/>
    <w:rsid w:val="005A12C3"/>
    <w:rsid w:val="005A1892"/>
    <w:rsid w:val="005A1EB0"/>
    <w:rsid w:val="005A3198"/>
    <w:rsid w:val="005A3815"/>
    <w:rsid w:val="005A7887"/>
    <w:rsid w:val="005B01D8"/>
    <w:rsid w:val="005B0A24"/>
    <w:rsid w:val="005B10D8"/>
    <w:rsid w:val="005B1C18"/>
    <w:rsid w:val="005B1D39"/>
    <w:rsid w:val="005B23A4"/>
    <w:rsid w:val="005B2B8D"/>
    <w:rsid w:val="005B3374"/>
    <w:rsid w:val="005B347B"/>
    <w:rsid w:val="005B3B05"/>
    <w:rsid w:val="005B505A"/>
    <w:rsid w:val="005B53F4"/>
    <w:rsid w:val="005B5525"/>
    <w:rsid w:val="005B612B"/>
    <w:rsid w:val="005C0F2B"/>
    <w:rsid w:val="005C1DC3"/>
    <w:rsid w:val="005C227E"/>
    <w:rsid w:val="005C305F"/>
    <w:rsid w:val="005C38A6"/>
    <w:rsid w:val="005C3917"/>
    <w:rsid w:val="005C4A7D"/>
    <w:rsid w:val="005C7309"/>
    <w:rsid w:val="005C7615"/>
    <w:rsid w:val="005D1932"/>
    <w:rsid w:val="005D22BC"/>
    <w:rsid w:val="005D3543"/>
    <w:rsid w:val="005D4399"/>
    <w:rsid w:val="005D52DA"/>
    <w:rsid w:val="005E0A5C"/>
    <w:rsid w:val="005E0C8A"/>
    <w:rsid w:val="005E1486"/>
    <w:rsid w:val="005E4985"/>
    <w:rsid w:val="005E6728"/>
    <w:rsid w:val="005E79C1"/>
    <w:rsid w:val="005E7BB4"/>
    <w:rsid w:val="005F0C4E"/>
    <w:rsid w:val="005F12AA"/>
    <w:rsid w:val="005F1FD7"/>
    <w:rsid w:val="005F3BE2"/>
    <w:rsid w:val="005F4308"/>
    <w:rsid w:val="005F4CC6"/>
    <w:rsid w:val="005F5404"/>
    <w:rsid w:val="005F6663"/>
    <w:rsid w:val="005F73B1"/>
    <w:rsid w:val="005F779F"/>
    <w:rsid w:val="005F7B43"/>
    <w:rsid w:val="005F7CD8"/>
    <w:rsid w:val="005F7DDE"/>
    <w:rsid w:val="00600B9E"/>
    <w:rsid w:val="00601251"/>
    <w:rsid w:val="00602D90"/>
    <w:rsid w:val="00604138"/>
    <w:rsid w:val="0060490A"/>
    <w:rsid w:val="00605945"/>
    <w:rsid w:val="006059EF"/>
    <w:rsid w:val="00606865"/>
    <w:rsid w:val="006101C6"/>
    <w:rsid w:val="00610808"/>
    <w:rsid w:val="00610CD1"/>
    <w:rsid w:val="0061123C"/>
    <w:rsid w:val="00611C7E"/>
    <w:rsid w:val="00612BC1"/>
    <w:rsid w:val="00612D3A"/>
    <w:rsid w:val="0061394A"/>
    <w:rsid w:val="00614AD2"/>
    <w:rsid w:val="00615438"/>
    <w:rsid w:val="006154D0"/>
    <w:rsid w:val="00621405"/>
    <w:rsid w:val="006220D8"/>
    <w:rsid w:val="00622A54"/>
    <w:rsid w:val="006230E0"/>
    <w:rsid w:val="006230F3"/>
    <w:rsid w:val="006236B5"/>
    <w:rsid w:val="0062405A"/>
    <w:rsid w:val="00624F05"/>
    <w:rsid w:val="0062604B"/>
    <w:rsid w:val="00626BE3"/>
    <w:rsid w:val="00627786"/>
    <w:rsid w:val="0063185C"/>
    <w:rsid w:val="00632093"/>
    <w:rsid w:val="00633521"/>
    <w:rsid w:val="0063415B"/>
    <w:rsid w:val="00634181"/>
    <w:rsid w:val="006346BF"/>
    <w:rsid w:val="00635B25"/>
    <w:rsid w:val="00635CC9"/>
    <w:rsid w:val="00635EF0"/>
    <w:rsid w:val="00636AA8"/>
    <w:rsid w:val="00640EAC"/>
    <w:rsid w:val="00641D12"/>
    <w:rsid w:val="00643979"/>
    <w:rsid w:val="006442C3"/>
    <w:rsid w:val="00644945"/>
    <w:rsid w:val="006449D6"/>
    <w:rsid w:val="00644A05"/>
    <w:rsid w:val="00645E2A"/>
    <w:rsid w:val="006467FB"/>
    <w:rsid w:val="00646EDB"/>
    <w:rsid w:val="00646F20"/>
    <w:rsid w:val="006477F7"/>
    <w:rsid w:val="00647803"/>
    <w:rsid w:val="00647E0B"/>
    <w:rsid w:val="00650F4F"/>
    <w:rsid w:val="0065429F"/>
    <w:rsid w:val="00656C49"/>
    <w:rsid w:val="0065743C"/>
    <w:rsid w:val="00657E09"/>
    <w:rsid w:val="00660432"/>
    <w:rsid w:val="0066083C"/>
    <w:rsid w:val="00661198"/>
    <w:rsid w:val="00661D99"/>
    <w:rsid w:val="00662CD4"/>
    <w:rsid w:val="00663BFF"/>
    <w:rsid w:val="00663D8F"/>
    <w:rsid w:val="00664C71"/>
    <w:rsid w:val="00665A70"/>
    <w:rsid w:val="00666E1B"/>
    <w:rsid w:val="006673FD"/>
    <w:rsid w:val="00667D5C"/>
    <w:rsid w:val="00670473"/>
    <w:rsid w:val="00670A26"/>
    <w:rsid w:val="00670F44"/>
    <w:rsid w:val="00671038"/>
    <w:rsid w:val="0067116E"/>
    <w:rsid w:val="00671B90"/>
    <w:rsid w:val="00673166"/>
    <w:rsid w:val="0067341F"/>
    <w:rsid w:val="0067457E"/>
    <w:rsid w:val="00674B32"/>
    <w:rsid w:val="00675BAF"/>
    <w:rsid w:val="006760ED"/>
    <w:rsid w:val="00676113"/>
    <w:rsid w:val="0068015B"/>
    <w:rsid w:val="00681B21"/>
    <w:rsid w:val="006824B9"/>
    <w:rsid w:val="00682FDD"/>
    <w:rsid w:val="006842FA"/>
    <w:rsid w:val="0068466A"/>
    <w:rsid w:val="00685DD5"/>
    <w:rsid w:val="00686896"/>
    <w:rsid w:val="006870A7"/>
    <w:rsid w:val="006877EA"/>
    <w:rsid w:val="006911FA"/>
    <w:rsid w:val="006913E8"/>
    <w:rsid w:val="00691944"/>
    <w:rsid w:val="00691D00"/>
    <w:rsid w:val="00692FE7"/>
    <w:rsid w:val="0069531F"/>
    <w:rsid w:val="006953B3"/>
    <w:rsid w:val="00695FFB"/>
    <w:rsid w:val="0069616B"/>
    <w:rsid w:val="00697A20"/>
    <w:rsid w:val="006A00C6"/>
    <w:rsid w:val="006A1A7D"/>
    <w:rsid w:val="006A32D9"/>
    <w:rsid w:val="006A4717"/>
    <w:rsid w:val="006A5BE7"/>
    <w:rsid w:val="006A65F0"/>
    <w:rsid w:val="006A7B8F"/>
    <w:rsid w:val="006A7E58"/>
    <w:rsid w:val="006B1D43"/>
    <w:rsid w:val="006B2711"/>
    <w:rsid w:val="006B2D3C"/>
    <w:rsid w:val="006B3249"/>
    <w:rsid w:val="006B34DD"/>
    <w:rsid w:val="006B4DAC"/>
    <w:rsid w:val="006B4E7D"/>
    <w:rsid w:val="006B51D3"/>
    <w:rsid w:val="006B5E68"/>
    <w:rsid w:val="006B5F5E"/>
    <w:rsid w:val="006B6584"/>
    <w:rsid w:val="006B790B"/>
    <w:rsid w:val="006B7D0A"/>
    <w:rsid w:val="006C04BE"/>
    <w:rsid w:val="006C06E0"/>
    <w:rsid w:val="006C53F8"/>
    <w:rsid w:val="006C59DF"/>
    <w:rsid w:val="006C7FEA"/>
    <w:rsid w:val="006D115C"/>
    <w:rsid w:val="006D3055"/>
    <w:rsid w:val="006D4039"/>
    <w:rsid w:val="006D5803"/>
    <w:rsid w:val="006D6229"/>
    <w:rsid w:val="006D630F"/>
    <w:rsid w:val="006D65CA"/>
    <w:rsid w:val="006D69BA"/>
    <w:rsid w:val="006D6C85"/>
    <w:rsid w:val="006D6D8E"/>
    <w:rsid w:val="006D7810"/>
    <w:rsid w:val="006E0ABA"/>
    <w:rsid w:val="006E1311"/>
    <w:rsid w:val="006E30D9"/>
    <w:rsid w:val="006E3810"/>
    <w:rsid w:val="006E59E3"/>
    <w:rsid w:val="006E5D02"/>
    <w:rsid w:val="006E7145"/>
    <w:rsid w:val="006E719A"/>
    <w:rsid w:val="006E7B16"/>
    <w:rsid w:val="006F0D38"/>
    <w:rsid w:val="006F0E0F"/>
    <w:rsid w:val="006F17D6"/>
    <w:rsid w:val="006F1C9C"/>
    <w:rsid w:val="006F25E3"/>
    <w:rsid w:val="006F29B8"/>
    <w:rsid w:val="006F2C33"/>
    <w:rsid w:val="006F7D6F"/>
    <w:rsid w:val="007002F7"/>
    <w:rsid w:val="00701895"/>
    <w:rsid w:val="00701B6F"/>
    <w:rsid w:val="00703B21"/>
    <w:rsid w:val="0070448B"/>
    <w:rsid w:val="007045A0"/>
    <w:rsid w:val="00704FB7"/>
    <w:rsid w:val="007053C6"/>
    <w:rsid w:val="007071E0"/>
    <w:rsid w:val="00711802"/>
    <w:rsid w:val="007130D7"/>
    <w:rsid w:val="007135CE"/>
    <w:rsid w:val="00714092"/>
    <w:rsid w:val="00714158"/>
    <w:rsid w:val="007145A7"/>
    <w:rsid w:val="00716F79"/>
    <w:rsid w:val="007172B8"/>
    <w:rsid w:val="00721CDF"/>
    <w:rsid w:val="00722902"/>
    <w:rsid w:val="007236CA"/>
    <w:rsid w:val="007239DB"/>
    <w:rsid w:val="00724204"/>
    <w:rsid w:val="00724CA1"/>
    <w:rsid w:val="00725A1F"/>
    <w:rsid w:val="00727160"/>
    <w:rsid w:val="007278AB"/>
    <w:rsid w:val="00730CCE"/>
    <w:rsid w:val="0073148F"/>
    <w:rsid w:val="00731513"/>
    <w:rsid w:val="007323B3"/>
    <w:rsid w:val="00732686"/>
    <w:rsid w:val="00732BFD"/>
    <w:rsid w:val="00732EA4"/>
    <w:rsid w:val="00734A29"/>
    <w:rsid w:val="00736403"/>
    <w:rsid w:val="0073781F"/>
    <w:rsid w:val="007403CE"/>
    <w:rsid w:val="00740A69"/>
    <w:rsid w:val="00740D93"/>
    <w:rsid w:val="0074158F"/>
    <w:rsid w:val="007426B8"/>
    <w:rsid w:val="00745377"/>
    <w:rsid w:val="007466E0"/>
    <w:rsid w:val="00750542"/>
    <w:rsid w:val="007518FF"/>
    <w:rsid w:val="00752924"/>
    <w:rsid w:val="0075298F"/>
    <w:rsid w:val="007552C6"/>
    <w:rsid w:val="0075567D"/>
    <w:rsid w:val="00760D8B"/>
    <w:rsid w:val="007633C2"/>
    <w:rsid w:val="007643DE"/>
    <w:rsid w:val="00770145"/>
    <w:rsid w:val="007723CC"/>
    <w:rsid w:val="00772FC7"/>
    <w:rsid w:val="007735FB"/>
    <w:rsid w:val="00773A54"/>
    <w:rsid w:val="00774298"/>
    <w:rsid w:val="00774921"/>
    <w:rsid w:val="00774B36"/>
    <w:rsid w:val="00776819"/>
    <w:rsid w:val="00776A33"/>
    <w:rsid w:val="00776A8D"/>
    <w:rsid w:val="0077741B"/>
    <w:rsid w:val="00780DD0"/>
    <w:rsid w:val="00780FC4"/>
    <w:rsid w:val="007825A1"/>
    <w:rsid w:val="0078553F"/>
    <w:rsid w:val="00785A7B"/>
    <w:rsid w:val="007867A0"/>
    <w:rsid w:val="007867A5"/>
    <w:rsid w:val="0078703F"/>
    <w:rsid w:val="00787A1A"/>
    <w:rsid w:val="00787B12"/>
    <w:rsid w:val="00787D77"/>
    <w:rsid w:val="0079071C"/>
    <w:rsid w:val="007913A7"/>
    <w:rsid w:val="00792EAA"/>
    <w:rsid w:val="00793081"/>
    <w:rsid w:val="0079449F"/>
    <w:rsid w:val="00797BA3"/>
    <w:rsid w:val="00797C8D"/>
    <w:rsid w:val="00797FB1"/>
    <w:rsid w:val="007A0901"/>
    <w:rsid w:val="007A12EB"/>
    <w:rsid w:val="007A147F"/>
    <w:rsid w:val="007A3578"/>
    <w:rsid w:val="007A42FD"/>
    <w:rsid w:val="007A4A5F"/>
    <w:rsid w:val="007A4DE3"/>
    <w:rsid w:val="007A66C7"/>
    <w:rsid w:val="007A6E7D"/>
    <w:rsid w:val="007B0E29"/>
    <w:rsid w:val="007B0EEF"/>
    <w:rsid w:val="007B269E"/>
    <w:rsid w:val="007B304E"/>
    <w:rsid w:val="007B4464"/>
    <w:rsid w:val="007B4DC3"/>
    <w:rsid w:val="007B5F22"/>
    <w:rsid w:val="007B62BC"/>
    <w:rsid w:val="007B757D"/>
    <w:rsid w:val="007C06C6"/>
    <w:rsid w:val="007C0A3B"/>
    <w:rsid w:val="007C1F12"/>
    <w:rsid w:val="007C3850"/>
    <w:rsid w:val="007C3CF0"/>
    <w:rsid w:val="007C4730"/>
    <w:rsid w:val="007C5272"/>
    <w:rsid w:val="007C5369"/>
    <w:rsid w:val="007C71C2"/>
    <w:rsid w:val="007C7315"/>
    <w:rsid w:val="007C790A"/>
    <w:rsid w:val="007D05CA"/>
    <w:rsid w:val="007D1209"/>
    <w:rsid w:val="007D3CA6"/>
    <w:rsid w:val="007D3EFD"/>
    <w:rsid w:val="007D4428"/>
    <w:rsid w:val="007D4B83"/>
    <w:rsid w:val="007D5F34"/>
    <w:rsid w:val="007D6554"/>
    <w:rsid w:val="007D70DE"/>
    <w:rsid w:val="007D7347"/>
    <w:rsid w:val="007D7856"/>
    <w:rsid w:val="007D7B30"/>
    <w:rsid w:val="007E05B1"/>
    <w:rsid w:val="007E0838"/>
    <w:rsid w:val="007E0E94"/>
    <w:rsid w:val="007E175D"/>
    <w:rsid w:val="007E1B94"/>
    <w:rsid w:val="007E212A"/>
    <w:rsid w:val="007E2B32"/>
    <w:rsid w:val="007E3DBB"/>
    <w:rsid w:val="007E4BAB"/>
    <w:rsid w:val="007E568E"/>
    <w:rsid w:val="007E5851"/>
    <w:rsid w:val="007E6066"/>
    <w:rsid w:val="007E74E6"/>
    <w:rsid w:val="007F0533"/>
    <w:rsid w:val="007F08D6"/>
    <w:rsid w:val="007F0B53"/>
    <w:rsid w:val="007F1F77"/>
    <w:rsid w:val="007F333A"/>
    <w:rsid w:val="007F4483"/>
    <w:rsid w:val="007F6722"/>
    <w:rsid w:val="007F7293"/>
    <w:rsid w:val="007F74BC"/>
    <w:rsid w:val="00801479"/>
    <w:rsid w:val="00802946"/>
    <w:rsid w:val="00802EEB"/>
    <w:rsid w:val="00803B53"/>
    <w:rsid w:val="008077D8"/>
    <w:rsid w:val="008077E6"/>
    <w:rsid w:val="00810357"/>
    <w:rsid w:val="00810419"/>
    <w:rsid w:val="008111A0"/>
    <w:rsid w:val="0081262B"/>
    <w:rsid w:val="00816437"/>
    <w:rsid w:val="00817369"/>
    <w:rsid w:val="00820813"/>
    <w:rsid w:val="00821E54"/>
    <w:rsid w:val="008229A0"/>
    <w:rsid w:val="00824671"/>
    <w:rsid w:val="00826FD9"/>
    <w:rsid w:val="008270F2"/>
    <w:rsid w:val="00830917"/>
    <w:rsid w:val="008309CA"/>
    <w:rsid w:val="00832144"/>
    <w:rsid w:val="008326FA"/>
    <w:rsid w:val="008333AA"/>
    <w:rsid w:val="00834423"/>
    <w:rsid w:val="00834E58"/>
    <w:rsid w:val="0083689E"/>
    <w:rsid w:val="00837811"/>
    <w:rsid w:val="00837F3F"/>
    <w:rsid w:val="00841541"/>
    <w:rsid w:val="00841C73"/>
    <w:rsid w:val="00841C79"/>
    <w:rsid w:val="00841EE5"/>
    <w:rsid w:val="008426D8"/>
    <w:rsid w:val="0084298B"/>
    <w:rsid w:val="00843005"/>
    <w:rsid w:val="008430C6"/>
    <w:rsid w:val="00843E4C"/>
    <w:rsid w:val="00844E76"/>
    <w:rsid w:val="00844E96"/>
    <w:rsid w:val="00845A35"/>
    <w:rsid w:val="008460D4"/>
    <w:rsid w:val="008469F2"/>
    <w:rsid w:val="00846C8D"/>
    <w:rsid w:val="00850A27"/>
    <w:rsid w:val="00851314"/>
    <w:rsid w:val="00851861"/>
    <w:rsid w:val="0085187B"/>
    <w:rsid w:val="00852F3F"/>
    <w:rsid w:val="0085392C"/>
    <w:rsid w:val="0085445C"/>
    <w:rsid w:val="00855009"/>
    <w:rsid w:val="008550A6"/>
    <w:rsid w:val="008556BD"/>
    <w:rsid w:val="0085686E"/>
    <w:rsid w:val="00856EDF"/>
    <w:rsid w:val="00856FF7"/>
    <w:rsid w:val="008613FF"/>
    <w:rsid w:val="008619A2"/>
    <w:rsid w:val="00862A4C"/>
    <w:rsid w:val="008638D3"/>
    <w:rsid w:val="00863CC0"/>
    <w:rsid w:val="00864148"/>
    <w:rsid w:val="00864A79"/>
    <w:rsid w:val="008674EA"/>
    <w:rsid w:val="00871F75"/>
    <w:rsid w:val="008721D2"/>
    <w:rsid w:val="00872F74"/>
    <w:rsid w:val="00875C9C"/>
    <w:rsid w:val="00875E95"/>
    <w:rsid w:val="00876CEC"/>
    <w:rsid w:val="00880A31"/>
    <w:rsid w:val="00881378"/>
    <w:rsid w:val="008817AB"/>
    <w:rsid w:val="00881EBF"/>
    <w:rsid w:val="00882F24"/>
    <w:rsid w:val="008838F1"/>
    <w:rsid w:val="00883D00"/>
    <w:rsid w:val="00886200"/>
    <w:rsid w:val="00887366"/>
    <w:rsid w:val="00887FDB"/>
    <w:rsid w:val="00890101"/>
    <w:rsid w:val="00892D5B"/>
    <w:rsid w:val="00893FD5"/>
    <w:rsid w:val="0089412C"/>
    <w:rsid w:val="0089591D"/>
    <w:rsid w:val="00895B31"/>
    <w:rsid w:val="00896329"/>
    <w:rsid w:val="008970CA"/>
    <w:rsid w:val="008A0503"/>
    <w:rsid w:val="008A185E"/>
    <w:rsid w:val="008A3035"/>
    <w:rsid w:val="008A4C5F"/>
    <w:rsid w:val="008A5784"/>
    <w:rsid w:val="008A58DB"/>
    <w:rsid w:val="008A6DE0"/>
    <w:rsid w:val="008A78C3"/>
    <w:rsid w:val="008A7AC3"/>
    <w:rsid w:val="008A7DC7"/>
    <w:rsid w:val="008B03C9"/>
    <w:rsid w:val="008B0EC7"/>
    <w:rsid w:val="008B2968"/>
    <w:rsid w:val="008B39EA"/>
    <w:rsid w:val="008B4F97"/>
    <w:rsid w:val="008B5590"/>
    <w:rsid w:val="008B5F51"/>
    <w:rsid w:val="008B66DA"/>
    <w:rsid w:val="008B6E7E"/>
    <w:rsid w:val="008B7E06"/>
    <w:rsid w:val="008C0C1C"/>
    <w:rsid w:val="008C10AB"/>
    <w:rsid w:val="008C1A9C"/>
    <w:rsid w:val="008C1B8E"/>
    <w:rsid w:val="008C23F9"/>
    <w:rsid w:val="008C2428"/>
    <w:rsid w:val="008C2439"/>
    <w:rsid w:val="008C2D29"/>
    <w:rsid w:val="008C2F1F"/>
    <w:rsid w:val="008C4215"/>
    <w:rsid w:val="008C4980"/>
    <w:rsid w:val="008C5BE1"/>
    <w:rsid w:val="008D04F0"/>
    <w:rsid w:val="008D07E0"/>
    <w:rsid w:val="008D2281"/>
    <w:rsid w:val="008D228E"/>
    <w:rsid w:val="008D2F24"/>
    <w:rsid w:val="008D328F"/>
    <w:rsid w:val="008D42DF"/>
    <w:rsid w:val="008D69C9"/>
    <w:rsid w:val="008D792B"/>
    <w:rsid w:val="008E081B"/>
    <w:rsid w:val="008E0CD2"/>
    <w:rsid w:val="008E15B7"/>
    <w:rsid w:val="008E3A15"/>
    <w:rsid w:val="008E45F3"/>
    <w:rsid w:val="008E4E38"/>
    <w:rsid w:val="008E54E8"/>
    <w:rsid w:val="008E6C6D"/>
    <w:rsid w:val="008E6E33"/>
    <w:rsid w:val="008E7DF7"/>
    <w:rsid w:val="008F321C"/>
    <w:rsid w:val="008F5044"/>
    <w:rsid w:val="008F568B"/>
    <w:rsid w:val="008F6ED7"/>
    <w:rsid w:val="008F7111"/>
    <w:rsid w:val="008F784A"/>
    <w:rsid w:val="008F7865"/>
    <w:rsid w:val="008F78D0"/>
    <w:rsid w:val="008F7BE6"/>
    <w:rsid w:val="00900584"/>
    <w:rsid w:val="00900E43"/>
    <w:rsid w:val="009014B8"/>
    <w:rsid w:val="00902005"/>
    <w:rsid w:val="009027F1"/>
    <w:rsid w:val="009037F6"/>
    <w:rsid w:val="009047BD"/>
    <w:rsid w:val="009066F0"/>
    <w:rsid w:val="009075BB"/>
    <w:rsid w:val="009126DB"/>
    <w:rsid w:val="00912989"/>
    <w:rsid w:val="00913933"/>
    <w:rsid w:val="00913DF2"/>
    <w:rsid w:val="009153D2"/>
    <w:rsid w:val="00917D57"/>
    <w:rsid w:val="00917E5F"/>
    <w:rsid w:val="00921F2A"/>
    <w:rsid w:val="009241F0"/>
    <w:rsid w:val="00924404"/>
    <w:rsid w:val="00925214"/>
    <w:rsid w:val="00925D9A"/>
    <w:rsid w:val="0092673E"/>
    <w:rsid w:val="00926F5E"/>
    <w:rsid w:val="009279A5"/>
    <w:rsid w:val="00930491"/>
    <w:rsid w:val="0093226D"/>
    <w:rsid w:val="009325C0"/>
    <w:rsid w:val="009333A6"/>
    <w:rsid w:val="00933636"/>
    <w:rsid w:val="009337E5"/>
    <w:rsid w:val="009404AC"/>
    <w:rsid w:val="00944867"/>
    <w:rsid w:val="00945295"/>
    <w:rsid w:val="009468F0"/>
    <w:rsid w:val="00951612"/>
    <w:rsid w:val="00951E13"/>
    <w:rsid w:val="0095234E"/>
    <w:rsid w:val="00960A39"/>
    <w:rsid w:val="00961F2A"/>
    <w:rsid w:val="00965098"/>
    <w:rsid w:val="00965907"/>
    <w:rsid w:val="00965C8C"/>
    <w:rsid w:val="00965F78"/>
    <w:rsid w:val="0096681D"/>
    <w:rsid w:val="00967FB3"/>
    <w:rsid w:val="009700C9"/>
    <w:rsid w:val="00970688"/>
    <w:rsid w:val="009734C3"/>
    <w:rsid w:val="00973E9B"/>
    <w:rsid w:val="009743D0"/>
    <w:rsid w:val="00980D37"/>
    <w:rsid w:val="00986EAD"/>
    <w:rsid w:val="009879C0"/>
    <w:rsid w:val="00987F24"/>
    <w:rsid w:val="00990438"/>
    <w:rsid w:val="0099108E"/>
    <w:rsid w:val="0099230C"/>
    <w:rsid w:val="0099385C"/>
    <w:rsid w:val="00994722"/>
    <w:rsid w:val="00995110"/>
    <w:rsid w:val="009958AB"/>
    <w:rsid w:val="00996135"/>
    <w:rsid w:val="00996946"/>
    <w:rsid w:val="009971A2"/>
    <w:rsid w:val="0099728C"/>
    <w:rsid w:val="0099755C"/>
    <w:rsid w:val="00997BB6"/>
    <w:rsid w:val="009A19BE"/>
    <w:rsid w:val="009A3935"/>
    <w:rsid w:val="009A440E"/>
    <w:rsid w:val="009A4B92"/>
    <w:rsid w:val="009A5DA0"/>
    <w:rsid w:val="009A5E36"/>
    <w:rsid w:val="009A600F"/>
    <w:rsid w:val="009A680A"/>
    <w:rsid w:val="009A7E26"/>
    <w:rsid w:val="009B1206"/>
    <w:rsid w:val="009B1B15"/>
    <w:rsid w:val="009B1E35"/>
    <w:rsid w:val="009B2F92"/>
    <w:rsid w:val="009B31C2"/>
    <w:rsid w:val="009B53AB"/>
    <w:rsid w:val="009B5886"/>
    <w:rsid w:val="009B60C8"/>
    <w:rsid w:val="009C049E"/>
    <w:rsid w:val="009C12E7"/>
    <w:rsid w:val="009C1415"/>
    <w:rsid w:val="009C1FF8"/>
    <w:rsid w:val="009C3B57"/>
    <w:rsid w:val="009C5554"/>
    <w:rsid w:val="009C5E26"/>
    <w:rsid w:val="009C6ADD"/>
    <w:rsid w:val="009C6DB4"/>
    <w:rsid w:val="009D0316"/>
    <w:rsid w:val="009D1014"/>
    <w:rsid w:val="009D1C74"/>
    <w:rsid w:val="009D258F"/>
    <w:rsid w:val="009D299A"/>
    <w:rsid w:val="009D2E3F"/>
    <w:rsid w:val="009D3712"/>
    <w:rsid w:val="009D37AE"/>
    <w:rsid w:val="009D383D"/>
    <w:rsid w:val="009D4588"/>
    <w:rsid w:val="009D5949"/>
    <w:rsid w:val="009D5F06"/>
    <w:rsid w:val="009D6F0F"/>
    <w:rsid w:val="009D7320"/>
    <w:rsid w:val="009E0609"/>
    <w:rsid w:val="009E0AC8"/>
    <w:rsid w:val="009E0D2D"/>
    <w:rsid w:val="009E1CDB"/>
    <w:rsid w:val="009E1D80"/>
    <w:rsid w:val="009E2CBE"/>
    <w:rsid w:val="009E75B9"/>
    <w:rsid w:val="009F08CA"/>
    <w:rsid w:val="009F0D3B"/>
    <w:rsid w:val="009F0FE0"/>
    <w:rsid w:val="009F12E1"/>
    <w:rsid w:val="009F4D0A"/>
    <w:rsid w:val="009F57A2"/>
    <w:rsid w:val="009F7DEF"/>
    <w:rsid w:val="00A001DE"/>
    <w:rsid w:val="00A01416"/>
    <w:rsid w:val="00A0229C"/>
    <w:rsid w:val="00A02DA1"/>
    <w:rsid w:val="00A02F87"/>
    <w:rsid w:val="00A051C8"/>
    <w:rsid w:val="00A052EE"/>
    <w:rsid w:val="00A0598F"/>
    <w:rsid w:val="00A0622C"/>
    <w:rsid w:val="00A06D37"/>
    <w:rsid w:val="00A07430"/>
    <w:rsid w:val="00A10125"/>
    <w:rsid w:val="00A10286"/>
    <w:rsid w:val="00A10B3C"/>
    <w:rsid w:val="00A119A0"/>
    <w:rsid w:val="00A11B46"/>
    <w:rsid w:val="00A11BB4"/>
    <w:rsid w:val="00A1267A"/>
    <w:rsid w:val="00A12683"/>
    <w:rsid w:val="00A12B58"/>
    <w:rsid w:val="00A13275"/>
    <w:rsid w:val="00A14364"/>
    <w:rsid w:val="00A208CD"/>
    <w:rsid w:val="00A20D7A"/>
    <w:rsid w:val="00A20F1E"/>
    <w:rsid w:val="00A2222A"/>
    <w:rsid w:val="00A224CB"/>
    <w:rsid w:val="00A240F1"/>
    <w:rsid w:val="00A2597D"/>
    <w:rsid w:val="00A25C1A"/>
    <w:rsid w:val="00A26901"/>
    <w:rsid w:val="00A26A5E"/>
    <w:rsid w:val="00A27DDE"/>
    <w:rsid w:val="00A300F3"/>
    <w:rsid w:val="00A31ECC"/>
    <w:rsid w:val="00A320D9"/>
    <w:rsid w:val="00A32DC1"/>
    <w:rsid w:val="00A331CE"/>
    <w:rsid w:val="00A33DD8"/>
    <w:rsid w:val="00A33E80"/>
    <w:rsid w:val="00A340C7"/>
    <w:rsid w:val="00A358E4"/>
    <w:rsid w:val="00A37410"/>
    <w:rsid w:val="00A409E7"/>
    <w:rsid w:val="00A41BC1"/>
    <w:rsid w:val="00A41DF2"/>
    <w:rsid w:val="00A41EC9"/>
    <w:rsid w:val="00A41F7E"/>
    <w:rsid w:val="00A42066"/>
    <w:rsid w:val="00A4229D"/>
    <w:rsid w:val="00A42434"/>
    <w:rsid w:val="00A4246C"/>
    <w:rsid w:val="00A428FB"/>
    <w:rsid w:val="00A429CF"/>
    <w:rsid w:val="00A44D06"/>
    <w:rsid w:val="00A458B6"/>
    <w:rsid w:val="00A4651F"/>
    <w:rsid w:val="00A52D7C"/>
    <w:rsid w:val="00A53497"/>
    <w:rsid w:val="00A53E0B"/>
    <w:rsid w:val="00A54CC3"/>
    <w:rsid w:val="00A5516B"/>
    <w:rsid w:val="00A56C94"/>
    <w:rsid w:val="00A5709C"/>
    <w:rsid w:val="00A60456"/>
    <w:rsid w:val="00A60608"/>
    <w:rsid w:val="00A60C6C"/>
    <w:rsid w:val="00A62C08"/>
    <w:rsid w:val="00A638FC"/>
    <w:rsid w:val="00A63A35"/>
    <w:rsid w:val="00A649FC"/>
    <w:rsid w:val="00A64C8F"/>
    <w:rsid w:val="00A64D55"/>
    <w:rsid w:val="00A64D60"/>
    <w:rsid w:val="00A651D7"/>
    <w:rsid w:val="00A652F6"/>
    <w:rsid w:val="00A653AD"/>
    <w:rsid w:val="00A65786"/>
    <w:rsid w:val="00A65AD7"/>
    <w:rsid w:val="00A65B02"/>
    <w:rsid w:val="00A65C10"/>
    <w:rsid w:val="00A6661B"/>
    <w:rsid w:val="00A670A1"/>
    <w:rsid w:val="00A70675"/>
    <w:rsid w:val="00A70E80"/>
    <w:rsid w:val="00A7160B"/>
    <w:rsid w:val="00A71832"/>
    <w:rsid w:val="00A719FA"/>
    <w:rsid w:val="00A72962"/>
    <w:rsid w:val="00A72A9A"/>
    <w:rsid w:val="00A74A17"/>
    <w:rsid w:val="00A75E8A"/>
    <w:rsid w:val="00A75EC1"/>
    <w:rsid w:val="00A76865"/>
    <w:rsid w:val="00A76B7D"/>
    <w:rsid w:val="00A76E3E"/>
    <w:rsid w:val="00A76EA5"/>
    <w:rsid w:val="00A76EDB"/>
    <w:rsid w:val="00A77425"/>
    <w:rsid w:val="00A7766E"/>
    <w:rsid w:val="00A80A7B"/>
    <w:rsid w:val="00A80FF5"/>
    <w:rsid w:val="00A81C30"/>
    <w:rsid w:val="00A83407"/>
    <w:rsid w:val="00A84744"/>
    <w:rsid w:val="00A84FB4"/>
    <w:rsid w:val="00A8541B"/>
    <w:rsid w:val="00A854A5"/>
    <w:rsid w:val="00A865A7"/>
    <w:rsid w:val="00A87633"/>
    <w:rsid w:val="00A910D1"/>
    <w:rsid w:val="00A91628"/>
    <w:rsid w:val="00A922D1"/>
    <w:rsid w:val="00A92F6E"/>
    <w:rsid w:val="00A930E2"/>
    <w:rsid w:val="00A9387D"/>
    <w:rsid w:val="00A942A8"/>
    <w:rsid w:val="00A955A0"/>
    <w:rsid w:val="00A95959"/>
    <w:rsid w:val="00A95A79"/>
    <w:rsid w:val="00A95FDD"/>
    <w:rsid w:val="00A96A4B"/>
    <w:rsid w:val="00A971B1"/>
    <w:rsid w:val="00A97DD4"/>
    <w:rsid w:val="00A97F4D"/>
    <w:rsid w:val="00AA077B"/>
    <w:rsid w:val="00AA2F61"/>
    <w:rsid w:val="00AA4A97"/>
    <w:rsid w:val="00AA5080"/>
    <w:rsid w:val="00AA6179"/>
    <w:rsid w:val="00AA6518"/>
    <w:rsid w:val="00AA68D3"/>
    <w:rsid w:val="00AA7431"/>
    <w:rsid w:val="00AB0BAD"/>
    <w:rsid w:val="00AB1A1E"/>
    <w:rsid w:val="00AB213F"/>
    <w:rsid w:val="00AB37F3"/>
    <w:rsid w:val="00AB46D9"/>
    <w:rsid w:val="00AB5006"/>
    <w:rsid w:val="00AB5B02"/>
    <w:rsid w:val="00AB6933"/>
    <w:rsid w:val="00AB76E5"/>
    <w:rsid w:val="00AB7D1F"/>
    <w:rsid w:val="00AC10F0"/>
    <w:rsid w:val="00AC16BB"/>
    <w:rsid w:val="00AC1827"/>
    <w:rsid w:val="00AC1E39"/>
    <w:rsid w:val="00AC1E81"/>
    <w:rsid w:val="00AC2053"/>
    <w:rsid w:val="00AC2B3A"/>
    <w:rsid w:val="00AC3C62"/>
    <w:rsid w:val="00AC3CEB"/>
    <w:rsid w:val="00AC5D9E"/>
    <w:rsid w:val="00AC60A0"/>
    <w:rsid w:val="00AC68B6"/>
    <w:rsid w:val="00AC77B8"/>
    <w:rsid w:val="00AD0127"/>
    <w:rsid w:val="00AD01FE"/>
    <w:rsid w:val="00AD0838"/>
    <w:rsid w:val="00AD2EBB"/>
    <w:rsid w:val="00AD3B9D"/>
    <w:rsid w:val="00AD430E"/>
    <w:rsid w:val="00AD4C20"/>
    <w:rsid w:val="00AD5675"/>
    <w:rsid w:val="00AE1253"/>
    <w:rsid w:val="00AE31E7"/>
    <w:rsid w:val="00AE3F5F"/>
    <w:rsid w:val="00AE4777"/>
    <w:rsid w:val="00AE4DB7"/>
    <w:rsid w:val="00AE684E"/>
    <w:rsid w:val="00AE7952"/>
    <w:rsid w:val="00AF014D"/>
    <w:rsid w:val="00AF1A20"/>
    <w:rsid w:val="00AF1CDA"/>
    <w:rsid w:val="00AF2BE6"/>
    <w:rsid w:val="00AF2E1F"/>
    <w:rsid w:val="00AF430E"/>
    <w:rsid w:val="00AF4364"/>
    <w:rsid w:val="00AF4A0E"/>
    <w:rsid w:val="00AF5557"/>
    <w:rsid w:val="00AF753B"/>
    <w:rsid w:val="00B00319"/>
    <w:rsid w:val="00B00372"/>
    <w:rsid w:val="00B0326A"/>
    <w:rsid w:val="00B051D4"/>
    <w:rsid w:val="00B06185"/>
    <w:rsid w:val="00B063B0"/>
    <w:rsid w:val="00B068CA"/>
    <w:rsid w:val="00B078DA"/>
    <w:rsid w:val="00B07CAD"/>
    <w:rsid w:val="00B07DB1"/>
    <w:rsid w:val="00B102E0"/>
    <w:rsid w:val="00B10B92"/>
    <w:rsid w:val="00B12D3D"/>
    <w:rsid w:val="00B13577"/>
    <w:rsid w:val="00B13C92"/>
    <w:rsid w:val="00B14243"/>
    <w:rsid w:val="00B1495A"/>
    <w:rsid w:val="00B1582F"/>
    <w:rsid w:val="00B17A1A"/>
    <w:rsid w:val="00B2004E"/>
    <w:rsid w:val="00B221DF"/>
    <w:rsid w:val="00B231B4"/>
    <w:rsid w:val="00B2479E"/>
    <w:rsid w:val="00B24A24"/>
    <w:rsid w:val="00B24E71"/>
    <w:rsid w:val="00B25A41"/>
    <w:rsid w:val="00B2742E"/>
    <w:rsid w:val="00B32C14"/>
    <w:rsid w:val="00B33443"/>
    <w:rsid w:val="00B353B9"/>
    <w:rsid w:val="00B35C30"/>
    <w:rsid w:val="00B36BB6"/>
    <w:rsid w:val="00B36E5D"/>
    <w:rsid w:val="00B374C7"/>
    <w:rsid w:val="00B40AE4"/>
    <w:rsid w:val="00B41138"/>
    <w:rsid w:val="00B42FD5"/>
    <w:rsid w:val="00B430E2"/>
    <w:rsid w:val="00B43422"/>
    <w:rsid w:val="00B43CF9"/>
    <w:rsid w:val="00B443D8"/>
    <w:rsid w:val="00B44541"/>
    <w:rsid w:val="00B46652"/>
    <w:rsid w:val="00B474B5"/>
    <w:rsid w:val="00B47B0E"/>
    <w:rsid w:val="00B5145F"/>
    <w:rsid w:val="00B514C7"/>
    <w:rsid w:val="00B526AE"/>
    <w:rsid w:val="00B52BAB"/>
    <w:rsid w:val="00B53CF7"/>
    <w:rsid w:val="00B549CA"/>
    <w:rsid w:val="00B54B7A"/>
    <w:rsid w:val="00B558F2"/>
    <w:rsid w:val="00B55AC6"/>
    <w:rsid w:val="00B56145"/>
    <w:rsid w:val="00B5642B"/>
    <w:rsid w:val="00B569EB"/>
    <w:rsid w:val="00B6060A"/>
    <w:rsid w:val="00B607D1"/>
    <w:rsid w:val="00B61E71"/>
    <w:rsid w:val="00B63152"/>
    <w:rsid w:val="00B63B92"/>
    <w:rsid w:val="00B642C7"/>
    <w:rsid w:val="00B66343"/>
    <w:rsid w:val="00B66C42"/>
    <w:rsid w:val="00B702C0"/>
    <w:rsid w:val="00B7175C"/>
    <w:rsid w:val="00B72E11"/>
    <w:rsid w:val="00B738C3"/>
    <w:rsid w:val="00B73BD2"/>
    <w:rsid w:val="00B73F93"/>
    <w:rsid w:val="00B750BB"/>
    <w:rsid w:val="00B758F9"/>
    <w:rsid w:val="00B760A5"/>
    <w:rsid w:val="00B76107"/>
    <w:rsid w:val="00B7721F"/>
    <w:rsid w:val="00B8007B"/>
    <w:rsid w:val="00B8142E"/>
    <w:rsid w:val="00B82B95"/>
    <w:rsid w:val="00B84F3F"/>
    <w:rsid w:val="00B8516D"/>
    <w:rsid w:val="00B85BE2"/>
    <w:rsid w:val="00B863AE"/>
    <w:rsid w:val="00B86A1D"/>
    <w:rsid w:val="00B902F5"/>
    <w:rsid w:val="00B92479"/>
    <w:rsid w:val="00B93E08"/>
    <w:rsid w:val="00B941B8"/>
    <w:rsid w:val="00B953E5"/>
    <w:rsid w:val="00B95561"/>
    <w:rsid w:val="00B95EB5"/>
    <w:rsid w:val="00B964C7"/>
    <w:rsid w:val="00B966D4"/>
    <w:rsid w:val="00B966F6"/>
    <w:rsid w:val="00BA18AA"/>
    <w:rsid w:val="00BA1D37"/>
    <w:rsid w:val="00BA2BD2"/>
    <w:rsid w:val="00BA2EE2"/>
    <w:rsid w:val="00BA3170"/>
    <w:rsid w:val="00BA3427"/>
    <w:rsid w:val="00BA3F27"/>
    <w:rsid w:val="00BA5005"/>
    <w:rsid w:val="00BA52DB"/>
    <w:rsid w:val="00BA7772"/>
    <w:rsid w:val="00BB071B"/>
    <w:rsid w:val="00BB12E2"/>
    <w:rsid w:val="00BB4DDE"/>
    <w:rsid w:val="00BB5642"/>
    <w:rsid w:val="00BB573F"/>
    <w:rsid w:val="00BC054D"/>
    <w:rsid w:val="00BC13BA"/>
    <w:rsid w:val="00BC1C57"/>
    <w:rsid w:val="00BC1E65"/>
    <w:rsid w:val="00BC2F7A"/>
    <w:rsid w:val="00BC32F4"/>
    <w:rsid w:val="00BC4E9F"/>
    <w:rsid w:val="00BC5877"/>
    <w:rsid w:val="00BC622E"/>
    <w:rsid w:val="00BC70C1"/>
    <w:rsid w:val="00BD0065"/>
    <w:rsid w:val="00BD0323"/>
    <w:rsid w:val="00BD080D"/>
    <w:rsid w:val="00BD0AD6"/>
    <w:rsid w:val="00BD43F2"/>
    <w:rsid w:val="00BD5BE5"/>
    <w:rsid w:val="00BD770D"/>
    <w:rsid w:val="00BE016E"/>
    <w:rsid w:val="00BE2602"/>
    <w:rsid w:val="00BE3211"/>
    <w:rsid w:val="00BE5034"/>
    <w:rsid w:val="00BE5B01"/>
    <w:rsid w:val="00BE6042"/>
    <w:rsid w:val="00BF17D0"/>
    <w:rsid w:val="00BF2F3D"/>
    <w:rsid w:val="00BF31E7"/>
    <w:rsid w:val="00BF34D9"/>
    <w:rsid w:val="00BF5FF2"/>
    <w:rsid w:val="00BF69A6"/>
    <w:rsid w:val="00BF6D94"/>
    <w:rsid w:val="00BF70B9"/>
    <w:rsid w:val="00BF71AB"/>
    <w:rsid w:val="00BF752B"/>
    <w:rsid w:val="00BF77DF"/>
    <w:rsid w:val="00BF7AE3"/>
    <w:rsid w:val="00C000ED"/>
    <w:rsid w:val="00C03EB5"/>
    <w:rsid w:val="00C04102"/>
    <w:rsid w:val="00C0544E"/>
    <w:rsid w:val="00C05D16"/>
    <w:rsid w:val="00C1055A"/>
    <w:rsid w:val="00C110F6"/>
    <w:rsid w:val="00C112DD"/>
    <w:rsid w:val="00C12173"/>
    <w:rsid w:val="00C12678"/>
    <w:rsid w:val="00C13033"/>
    <w:rsid w:val="00C13E3A"/>
    <w:rsid w:val="00C14C1F"/>
    <w:rsid w:val="00C14C97"/>
    <w:rsid w:val="00C16F09"/>
    <w:rsid w:val="00C16FCD"/>
    <w:rsid w:val="00C17321"/>
    <w:rsid w:val="00C1783A"/>
    <w:rsid w:val="00C17DCE"/>
    <w:rsid w:val="00C211E2"/>
    <w:rsid w:val="00C22BDF"/>
    <w:rsid w:val="00C2397F"/>
    <w:rsid w:val="00C24421"/>
    <w:rsid w:val="00C246CD"/>
    <w:rsid w:val="00C266F9"/>
    <w:rsid w:val="00C30ED0"/>
    <w:rsid w:val="00C313AD"/>
    <w:rsid w:val="00C33273"/>
    <w:rsid w:val="00C33A51"/>
    <w:rsid w:val="00C33CD1"/>
    <w:rsid w:val="00C34442"/>
    <w:rsid w:val="00C35CC5"/>
    <w:rsid w:val="00C35F93"/>
    <w:rsid w:val="00C3635C"/>
    <w:rsid w:val="00C3656D"/>
    <w:rsid w:val="00C36B3B"/>
    <w:rsid w:val="00C3729E"/>
    <w:rsid w:val="00C4048F"/>
    <w:rsid w:val="00C415CD"/>
    <w:rsid w:val="00C41F69"/>
    <w:rsid w:val="00C45960"/>
    <w:rsid w:val="00C45B7F"/>
    <w:rsid w:val="00C47C57"/>
    <w:rsid w:val="00C51196"/>
    <w:rsid w:val="00C515FE"/>
    <w:rsid w:val="00C51D6A"/>
    <w:rsid w:val="00C52F4F"/>
    <w:rsid w:val="00C52F90"/>
    <w:rsid w:val="00C5371F"/>
    <w:rsid w:val="00C53FFA"/>
    <w:rsid w:val="00C5467E"/>
    <w:rsid w:val="00C54F3D"/>
    <w:rsid w:val="00C5629C"/>
    <w:rsid w:val="00C56A3E"/>
    <w:rsid w:val="00C570AA"/>
    <w:rsid w:val="00C57B2D"/>
    <w:rsid w:val="00C6033B"/>
    <w:rsid w:val="00C6064E"/>
    <w:rsid w:val="00C60DC1"/>
    <w:rsid w:val="00C61AD5"/>
    <w:rsid w:val="00C61C98"/>
    <w:rsid w:val="00C629AD"/>
    <w:rsid w:val="00C62E50"/>
    <w:rsid w:val="00C63246"/>
    <w:rsid w:val="00C63D99"/>
    <w:rsid w:val="00C64959"/>
    <w:rsid w:val="00C703A9"/>
    <w:rsid w:val="00C705B2"/>
    <w:rsid w:val="00C71818"/>
    <w:rsid w:val="00C72366"/>
    <w:rsid w:val="00C72545"/>
    <w:rsid w:val="00C725BC"/>
    <w:rsid w:val="00C743C2"/>
    <w:rsid w:val="00C74724"/>
    <w:rsid w:val="00C75D8C"/>
    <w:rsid w:val="00C770C9"/>
    <w:rsid w:val="00C77420"/>
    <w:rsid w:val="00C7791D"/>
    <w:rsid w:val="00C77F52"/>
    <w:rsid w:val="00C804B1"/>
    <w:rsid w:val="00C80B78"/>
    <w:rsid w:val="00C81201"/>
    <w:rsid w:val="00C81717"/>
    <w:rsid w:val="00C818DC"/>
    <w:rsid w:val="00C81FFF"/>
    <w:rsid w:val="00C82619"/>
    <w:rsid w:val="00C83CB0"/>
    <w:rsid w:val="00C853BA"/>
    <w:rsid w:val="00C861F7"/>
    <w:rsid w:val="00C914E5"/>
    <w:rsid w:val="00C923A5"/>
    <w:rsid w:val="00C9338D"/>
    <w:rsid w:val="00C93644"/>
    <w:rsid w:val="00C941E8"/>
    <w:rsid w:val="00C967B7"/>
    <w:rsid w:val="00C97303"/>
    <w:rsid w:val="00CA06DC"/>
    <w:rsid w:val="00CA0738"/>
    <w:rsid w:val="00CA08D9"/>
    <w:rsid w:val="00CA1603"/>
    <w:rsid w:val="00CA2D13"/>
    <w:rsid w:val="00CA3E1B"/>
    <w:rsid w:val="00CA47F5"/>
    <w:rsid w:val="00CA5727"/>
    <w:rsid w:val="00CA5D0B"/>
    <w:rsid w:val="00CA658F"/>
    <w:rsid w:val="00CA7B34"/>
    <w:rsid w:val="00CA7EC6"/>
    <w:rsid w:val="00CB1790"/>
    <w:rsid w:val="00CB2F03"/>
    <w:rsid w:val="00CB357F"/>
    <w:rsid w:val="00CB5131"/>
    <w:rsid w:val="00CB5FDE"/>
    <w:rsid w:val="00CB643E"/>
    <w:rsid w:val="00CB65CA"/>
    <w:rsid w:val="00CC017D"/>
    <w:rsid w:val="00CC36DB"/>
    <w:rsid w:val="00CC3CDF"/>
    <w:rsid w:val="00CC4D94"/>
    <w:rsid w:val="00CC5893"/>
    <w:rsid w:val="00CC6900"/>
    <w:rsid w:val="00CD1132"/>
    <w:rsid w:val="00CD1978"/>
    <w:rsid w:val="00CD382B"/>
    <w:rsid w:val="00CD38F0"/>
    <w:rsid w:val="00CD47F6"/>
    <w:rsid w:val="00CD54C6"/>
    <w:rsid w:val="00CD5514"/>
    <w:rsid w:val="00CD582C"/>
    <w:rsid w:val="00CD617B"/>
    <w:rsid w:val="00CE2A91"/>
    <w:rsid w:val="00CE3F6A"/>
    <w:rsid w:val="00CE6789"/>
    <w:rsid w:val="00CF020D"/>
    <w:rsid w:val="00CF1717"/>
    <w:rsid w:val="00CF1D81"/>
    <w:rsid w:val="00CF1F65"/>
    <w:rsid w:val="00CF3777"/>
    <w:rsid w:val="00CF3FD1"/>
    <w:rsid w:val="00CF4121"/>
    <w:rsid w:val="00CF4207"/>
    <w:rsid w:val="00CF71AB"/>
    <w:rsid w:val="00CF782F"/>
    <w:rsid w:val="00CF7AA8"/>
    <w:rsid w:val="00D004D1"/>
    <w:rsid w:val="00D03F75"/>
    <w:rsid w:val="00D0421E"/>
    <w:rsid w:val="00D058D5"/>
    <w:rsid w:val="00D05B4A"/>
    <w:rsid w:val="00D06243"/>
    <w:rsid w:val="00D063FF"/>
    <w:rsid w:val="00D06756"/>
    <w:rsid w:val="00D06A82"/>
    <w:rsid w:val="00D06CE0"/>
    <w:rsid w:val="00D071BB"/>
    <w:rsid w:val="00D0761D"/>
    <w:rsid w:val="00D10CB5"/>
    <w:rsid w:val="00D11724"/>
    <w:rsid w:val="00D12C5C"/>
    <w:rsid w:val="00D1338A"/>
    <w:rsid w:val="00D13A21"/>
    <w:rsid w:val="00D13A65"/>
    <w:rsid w:val="00D142F6"/>
    <w:rsid w:val="00D16558"/>
    <w:rsid w:val="00D203D5"/>
    <w:rsid w:val="00D24375"/>
    <w:rsid w:val="00D2437F"/>
    <w:rsid w:val="00D249D7"/>
    <w:rsid w:val="00D2514A"/>
    <w:rsid w:val="00D2637F"/>
    <w:rsid w:val="00D26FEF"/>
    <w:rsid w:val="00D27088"/>
    <w:rsid w:val="00D27215"/>
    <w:rsid w:val="00D277E5"/>
    <w:rsid w:val="00D27A1F"/>
    <w:rsid w:val="00D30120"/>
    <w:rsid w:val="00D304E7"/>
    <w:rsid w:val="00D31521"/>
    <w:rsid w:val="00D3253D"/>
    <w:rsid w:val="00D32CC9"/>
    <w:rsid w:val="00D3338D"/>
    <w:rsid w:val="00D33543"/>
    <w:rsid w:val="00D33BD3"/>
    <w:rsid w:val="00D3423D"/>
    <w:rsid w:val="00D364F8"/>
    <w:rsid w:val="00D36BF8"/>
    <w:rsid w:val="00D40841"/>
    <w:rsid w:val="00D40948"/>
    <w:rsid w:val="00D41515"/>
    <w:rsid w:val="00D41A84"/>
    <w:rsid w:val="00D42D09"/>
    <w:rsid w:val="00D43673"/>
    <w:rsid w:val="00D461D8"/>
    <w:rsid w:val="00D47F71"/>
    <w:rsid w:val="00D505DE"/>
    <w:rsid w:val="00D50C28"/>
    <w:rsid w:val="00D5151A"/>
    <w:rsid w:val="00D51638"/>
    <w:rsid w:val="00D51ABB"/>
    <w:rsid w:val="00D52209"/>
    <w:rsid w:val="00D52426"/>
    <w:rsid w:val="00D52684"/>
    <w:rsid w:val="00D55B7B"/>
    <w:rsid w:val="00D56660"/>
    <w:rsid w:val="00D572D3"/>
    <w:rsid w:val="00D63F0C"/>
    <w:rsid w:val="00D658C7"/>
    <w:rsid w:val="00D65AB3"/>
    <w:rsid w:val="00D663D7"/>
    <w:rsid w:val="00D67632"/>
    <w:rsid w:val="00D67E8C"/>
    <w:rsid w:val="00D70A39"/>
    <w:rsid w:val="00D71850"/>
    <w:rsid w:val="00D730BA"/>
    <w:rsid w:val="00D7497D"/>
    <w:rsid w:val="00D74F25"/>
    <w:rsid w:val="00D74FCA"/>
    <w:rsid w:val="00D75A0D"/>
    <w:rsid w:val="00D76307"/>
    <w:rsid w:val="00D76F0A"/>
    <w:rsid w:val="00D81F0C"/>
    <w:rsid w:val="00D827C3"/>
    <w:rsid w:val="00D83864"/>
    <w:rsid w:val="00D83AF7"/>
    <w:rsid w:val="00D83FEA"/>
    <w:rsid w:val="00D84C47"/>
    <w:rsid w:val="00D85A49"/>
    <w:rsid w:val="00D9133D"/>
    <w:rsid w:val="00D92CBE"/>
    <w:rsid w:val="00D9325B"/>
    <w:rsid w:val="00D94C11"/>
    <w:rsid w:val="00D94D5B"/>
    <w:rsid w:val="00D951AB"/>
    <w:rsid w:val="00D96A14"/>
    <w:rsid w:val="00D96B6B"/>
    <w:rsid w:val="00D97E59"/>
    <w:rsid w:val="00DA1533"/>
    <w:rsid w:val="00DA4DA3"/>
    <w:rsid w:val="00DA5BAC"/>
    <w:rsid w:val="00DA675B"/>
    <w:rsid w:val="00DB0C76"/>
    <w:rsid w:val="00DB0E80"/>
    <w:rsid w:val="00DB1A63"/>
    <w:rsid w:val="00DB43AD"/>
    <w:rsid w:val="00DB4B42"/>
    <w:rsid w:val="00DB5256"/>
    <w:rsid w:val="00DB752A"/>
    <w:rsid w:val="00DB78DC"/>
    <w:rsid w:val="00DC0210"/>
    <w:rsid w:val="00DC0498"/>
    <w:rsid w:val="00DC09B8"/>
    <w:rsid w:val="00DC12FB"/>
    <w:rsid w:val="00DC3EC5"/>
    <w:rsid w:val="00DC4730"/>
    <w:rsid w:val="00DC59FE"/>
    <w:rsid w:val="00DC5DA0"/>
    <w:rsid w:val="00DC62B7"/>
    <w:rsid w:val="00DC6869"/>
    <w:rsid w:val="00DC7B04"/>
    <w:rsid w:val="00DD11AD"/>
    <w:rsid w:val="00DD36BE"/>
    <w:rsid w:val="00DD4BFA"/>
    <w:rsid w:val="00DD4C02"/>
    <w:rsid w:val="00DD573B"/>
    <w:rsid w:val="00DD5801"/>
    <w:rsid w:val="00DD6650"/>
    <w:rsid w:val="00DD6CB4"/>
    <w:rsid w:val="00DD741B"/>
    <w:rsid w:val="00DD77CC"/>
    <w:rsid w:val="00DE1271"/>
    <w:rsid w:val="00DE12FE"/>
    <w:rsid w:val="00DE1543"/>
    <w:rsid w:val="00DE4A10"/>
    <w:rsid w:val="00DE4BB2"/>
    <w:rsid w:val="00DE4E20"/>
    <w:rsid w:val="00DE567F"/>
    <w:rsid w:val="00DE64BD"/>
    <w:rsid w:val="00DF00FC"/>
    <w:rsid w:val="00DF255B"/>
    <w:rsid w:val="00DF2DAF"/>
    <w:rsid w:val="00DF3173"/>
    <w:rsid w:val="00DF3930"/>
    <w:rsid w:val="00DF40A6"/>
    <w:rsid w:val="00DF43C5"/>
    <w:rsid w:val="00DF4703"/>
    <w:rsid w:val="00DF5285"/>
    <w:rsid w:val="00DF57ED"/>
    <w:rsid w:val="00DF7E8B"/>
    <w:rsid w:val="00E008E9"/>
    <w:rsid w:val="00E03E23"/>
    <w:rsid w:val="00E04E13"/>
    <w:rsid w:val="00E05522"/>
    <w:rsid w:val="00E05CFC"/>
    <w:rsid w:val="00E06E39"/>
    <w:rsid w:val="00E06EFF"/>
    <w:rsid w:val="00E12553"/>
    <w:rsid w:val="00E12BD9"/>
    <w:rsid w:val="00E1383D"/>
    <w:rsid w:val="00E13ADF"/>
    <w:rsid w:val="00E14A01"/>
    <w:rsid w:val="00E15289"/>
    <w:rsid w:val="00E15672"/>
    <w:rsid w:val="00E16827"/>
    <w:rsid w:val="00E17849"/>
    <w:rsid w:val="00E1788F"/>
    <w:rsid w:val="00E20E6D"/>
    <w:rsid w:val="00E2153F"/>
    <w:rsid w:val="00E21CF5"/>
    <w:rsid w:val="00E21D92"/>
    <w:rsid w:val="00E2248D"/>
    <w:rsid w:val="00E2283A"/>
    <w:rsid w:val="00E23504"/>
    <w:rsid w:val="00E23E69"/>
    <w:rsid w:val="00E23F2B"/>
    <w:rsid w:val="00E265A1"/>
    <w:rsid w:val="00E26E67"/>
    <w:rsid w:val="00E27E8B"/>
    <w:rsid w:val="00E31069"/>
    <w:rsid w:val="00E312E7"/>
    <w:rsid w:val="00E329FE"/>
    <w:rsid w:val="00E33103"/>
    <w:rsid w:val="00E36DA6"/>
    <w:rsid w:val="00E370E2"/>
    <w:rsid w:val="00E37897"/>
    <w:rsid w:val="00E41F43"/>
    <w:rsid w:val="00E43148"/>
    <w:rsid w:val="00E434CC"/>
    <w:rsid w:val="00E44BA1"/>
    <w:rsid w:val="00E44CB7"/>
    <w:rsid w:val="00E47023"/>
    <w:rsid w:val="00E475A5"/>
    <w:rsid w:val="00E47632"/>
    <w:rsid w:val="00E47A58"/>
    <w:rsid w:val="00E50C58"/>
    <w:rsid w:val="00E52B31"/>
    <w:rsid w:val="00E52D37"/>
    <w:rsid w:val="00E55E3A"/>
    <w:rsid w:val="00E5613C"/>
    <w:rsid w:val="00E566D8"/>
    <w:rsid w:val="00E5680F"/>
    <w:rsid w:val="00E60066"/>
    <w:rsid w:val="00E60DA3"/>
    <w:rsid w:val="00E617F5"/>
    <w:rsid w:val="00E626DF"/>
    <w:rsid w:val="00E62E7A"/>
    <w:rsid w:val="00E63A22"/>
    <w:rsid w:val="00E64798"/>
    <w:rsid w:val="00E6513B"/>
    <w:rsid w:val="00E65F3D"/>
    <w:rsid w:val="00E66680"/>
    <w:rsid w:val="00E669F1"/>
    <w:rsid w:val="00E679C6"/>
    <w:rsid w:val="00E67AC4"/>
    <w:rsid w:val="00E7170C"/>
    <w:rsid w:val="00E71A9E"/>
    <w:rsid w:val="00E723DD"/>
    <w:rsid w:val="00E72F21"/>
    <w:rsid w:val="00E7393D"/>
    <w:rsid w:val="00E73E5C"/>
    <w:rsid w:val="00E7619F"/>
    <w:rsid w:val="00E76982"/>
    <w:rsid w:val="00E82757"/>
    <w:rsid w:val="00E841E4"/>
    <w:rsid w:val="00E84687"/>
    <w:rsid w:val="00E85103"/>
    <w:rsid w:val="00E86F9F"/>
    <w:rsid w:val="00E86FE0"/>
    <w:rsid w:val="00E87402"/>
    <w:rsid w:val="00E87893"/>
    <w:rsid w:val="00E90631"/>
    <w:rsid w:val="00E90A7C"/>
    <w:rsid w:val="00E938BF"/>
    <w:rsid w:val="00E93D3D"/>
    <w:rsid w:val="00E9488D"/>
    <w:rsid w:val="00E94D8A"/>
    <w:rsid w:val="00E95E88"/>
    <w:rsid w:val="00E96126"/>
    <w:rsid w:val="00E965A1"/>
    <w:rsid w:val="00E971D0"/>
    <w:rsid w:val="00EA0380"/>
    <w:rsid w:val="00EA0D28"/>
    <w:rsid w:val="00EA4321"/>
    <w:rsid w:val="00EA4724"/>
    <w:rsid w:val="00EA4E67"/>
    <w:rsid w:val="00EA50BC"/>
    <w:rsid w:val="00EA6202"/>
    <w:rsid w:val="00EA7A44"/>
    <w:rsid w:val="00EB1FF5"/>
    <w:rsid w:val="00EB2656"/>
    <w:rsid w:val="00EB2C2C"/>
    <w:rsid w:val="00EB2E68"/>
    <w:rsid w:val="00EB426A"/>
    <w:rsid w:val="00EB634B"/>
    <w:rsid w:val="00EB641D"/>
    <w:rsid w:val="00EB698D"/>
    <w:rsid w:val="00EB6D8A"/>
    <w:rsid w:val="00EB7FDC"/>
    <w:rsid w:val="00EC1BE1"/>
    <w:rsid w:val="00EC3252"/>
    <w:rsid w:val="00EC36CD"/>
    <w:rsid w:val="00EC53F6"/>
    <w:rsid w:val="00EC6406"/>
    <w:rsid w:val="00EC649A"/>
    <w:rsid w:val="00EC70E5"/>
    <w:rsid w:val="00ED0E14"/>
    <w:rsid w:val="00ED1370"/>
    <w:rsid w:val="00ED13EC"/>
    <w:rsid w:val="00ED31BD"/>
    <w:rsid w:val="00ED38A2"/>
    <w:rsid w:val="00ED43C1"/>
    <w:rsid w:val="00ED48FF"/>
    <w:rsid w:val="00ED4F5A"/>
    <w:rsid w:val="00ED767F"/>
    <w:rsid w:val="00EE0D81"/>
    <w:rsid w:val="00EE0D99"/>
    <w:rsid w:val="00EE1ED3"/>
    <w:rsid w:val="00EE2A7D"/>
    <w:rsid w:val="00EE342F"/>
    <w:rsid w:val="00EE3D41"/>
    <w:rsid w:val="00EE48A5"/>
    <w:rsid w:val="00EE5AFD"/>
    <w:rsid w:val="00EE7EF0"/>
    <w:rsid w:val="00EF00B6"/>
    <w:rsid w:val="00EF03CD"/>
    <w:rsid w:val="00EF046A"/>
    <w:rsid w:val="00EF08C7"/>
    <w:rsid w:val="00EF2CE2"/>
    <w:rsid w:val="00EF35C3"/>
    <w:rsid w:val="00EF3985"/>
    <w:rsid w:val="00EF4D0C"/>
    <w:rsid w:val="00EF69D8"/>
    <w:rsid w:val="00F0087E"/>
    <w:rsid w:val="00F01407"/>
    <w:rsid w:val="00F01BD8"/>
    <w:rsid w:val="00F036CA"/>
    <w:rsid w:val="00F03868"/>
    <w:rsid w:val="00F03CC4"/>
    <w:rsid w:val="00F0508C"/>
    <w:rsid w:val="00F05486"/>
    <w:rsid w:val="00F05D8F"/>
    <w:rsid w:val="00F07893"/>
    <w:rsid w:val="00F10A23"/>
    <w:rsid w:val="00F11379"/>
    <w:rsid w:val="00F122BB"/>
    <w:rsid w:val="00F138BE"/>
    <w:rsid w:val="00F15DB6"/>
    <w:rsid w:val="00F1606C"/>
    <w:rsid w:val="00F16D65"/>
    <w:rsid w:val="00F17FB8"/>
    <w:rsid w:val="00F2039F"/>
    <w:rsid w:val="00F20E23"/>
    <w:rsid w:val="00F22DAE"/>
    <w:rsid w:val="00F23407"/>
    <w:rsid w:val="00F258D5"/>
    <w:rsid w:val="00F2672C"/>
    <w:rsid w:val="00F27087"/>
    <w:rsid w:val="00F27936"/>
    <w:rsid w:val="00F27CC6"/>
    <w:rsid w:val="00F27DA0"/>
    <w:rsid w:val="00F27FAB"/>
    <w:rsid w:val="00F303E5"/>
    <w:rsid w:val="00F3111C"/>
    <w:rsid w:val="00F31295"/>
    <w:rsid w:val="00F3221F"/>
    <w:rsid w:val="00F35413"/>
    <w:rsid w:val="00F35669"/>
    <w:rsid w:val="00F4002F"/>
    <w:rsid w:val="00F40DAB"/>
    <w:rsid w:val="00F41AC4"/>
    <w:rsid w:val="00F41D8E"/>
    <w:rsid w:val="00F42801"/>
    <w:rsid w:val="00F42A91"/>
    <w:rsid w:val="00F4326B"/>
    <w:rsid w:val="00F4349C"/>
    <w:rsid w:val="00F439FC"/>
    <w:rsid w:val="00F43BC0"/>
    <w:rsid w:val="00F448A8"/>
    <w:rsid w:val="00F45485"/>
    <w:rsid w:val="00F45665"/>
    <w:rsid w:val="00F50B34"/>
    <w:rsid w:val="00F50BAC"/>
    <w:rsid w:val="00F521CC"/>
    <w:rsid w:val="00F52241"/>
    <w:rsid w:val="00F523B9"/>
    <w:rsid w:val="00F53DC7"/>
    <w:rsid w:val="00F54961"/>
    <w:rsid w:val="00F55583"/>
    <w:rsid w:val="00F55B9E"/>
    <w:rsid w:val="00F579B8"/>
    <w:rsid w:val="00F57B84"/>
    <w:rsid w:val="00F60A38"/>
    <w:rsid w:val="00F612A8"/>
    <w:rsid w:val="00F61C7D"/>
    <w:rsid w:val="00F63867"/>
    <w:rsid w:val="00F63BAC"/>
    <w:rsid w:val="00F6403C"/>
    <w:rsid w:val="00F64454"/>
    <w:rsid w:val="00F64DAE"/>
    <w:rsid w:val="00F67DB3"/>
    <w:rsid w:val="00F71453"/>
    <w:rsid w:val="00F7156A"/>
    <w:rsid w:val="00F71E2A"/>
    <w:rsid w:val="00F723A9"/>
    <w:rsid w:val="00F7385E"/>
    <w:rsid w:val="00F73F80"/>
    <w:rsid w:val="00F74D7B"/>
    <w:rsid w:val="00F75133"/>
    <w:rsid w:val="00F75628"/>
    <w:rsid w:val="00F75BC8"/>
    <w:rsid w:val="00F76444"/>
    <w:rsid w:val="00F776A7"/>
    <w:rsid w:val="00F778F2"/>
    <w:rsid w:val="00F82596"/>
    <w:rsid w:val="00F827A3"/>
    <w:rsid w:val="00F8316C"/>
    <w:rsid w:val="00F84337"/>
    <w:rsid w:val="00F85317"/>
    <w:rsid w:val="00F8550B"/>
    <w:rsid w:val="00F86BDC"/>
    <w:rsid w:val="00F86EFD"/>
    <w:rsid w:val="00F87256"/>
    <w:rsid w:val="00F90793"/>
    <w:rsid w:val="00F90947"/>
    <w:rsid w:val="00F917E7"/>
    <w:rsid w:val="00F9288D"/>
    <w:rsid w:val="00F9358D"/>
    <w:rsid w:val="00F96933"/>
    <w:rsid w:val="00FA1005"/>
    <w:rsid w:val="00FA222D"/>
    <w:rsid w:val="00FA2644"/>
    <w:rsid w:val="00FA2BF7"/>
    <w:rsid w:val="00FA36FA"/>
    <w:rsid w:val="00FA3EB5"/>
    <w:rsid w:val="00FA611E"/>
    <w:rsid w:val="00FA6538"/>
    <w:rsid w:val="00FA737D"/>
    <w:rsid w:val="00FA73DF"/>
    <w:rsid w:val="00FB01CD"/>
    <w:rsid w:val="00FB0996"/>
    <w:rsid w:val="00FB1019"/>
    <w:rsid w:val="00FB14D7"/>
    <w:rsid w:val="00FB1C42"/>
    <w:rsid w:val="00FB2C0C"/>
    <w:rsid w:val="00FB582E"/>
    <w:rsid w:val="00FB5A0E"/>
    <w:rsid w:val="00FB7696"/>
    <w:rsid w:val="00FC0F2A"/>
    <w:rsid w:val="00FC16E9"/>
    <w:rsid w:val="00FC19E4"/>
    <w:rsid w:val="00FC2E99"/>
    <w:rsid w:val="00FC42A8"/>
    <w:rsid w:val="00FC45D6"/>
    <w:rsid w:val="00FC4678"/>
    <w:rsid w:val="00FC4C1E"/>
    <w:rsid w:val="00FC5F9C"/>
    <w:rsid w:val="00FD0331"/>
    <w:rsid w:val="00FD1344"/>
    <w:rsid w:val="00FD2973"/>
    <w:rsid w:val="00FD37AA"/>
    <w:rsid w:val="00FD3CD6"/>
    <w:rsid w:val="00FD4EF4"/>
    <w:rsid w:val="00FD54EC"/>
    <w:rsid w:val="00FD69CE"/>
    <w:rsid w:val="00FD6C9B"/>
    <w:rsid w:val="00FD72CF"/>
    <w:rsid w:val="00FD79A5"/>
    <w:rsid w:val="00FE0271"/>
    <w:rsid w:val="00FE1C4E"/>
    <w:rsid w:val="00FE1C72"/>
    <w:rsid w:val="00FE26FB"/>
    <w:rsid w:val="00FE32CF"/>
    <w:rsid w:val="00FE4604"/>
    <w:rsid w:val="00FE55E8"/>
    <w:rsid w:val="00FE73B7"/>
    <w:rsid w:val="00FE75A1"/>
    <w:rsid w:val="00FF20D4"/>
    <w:rsid w:val="00FF30BD"/>
    <w:rsid w:val="00FF38A7"/>
    <w:rsid w:val="00FF3B55"/>
    <w:rsid w:val="00FF4AD3"/>
    <w:rsid w:val="00FF6155"/>
    <w:rsid w:val="00FF681A"/>
    <w:rsid w:val="00FF68AB"/>
    <w:rsid w:val="00FF7AB9"/>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015"/>
  <w15:docId w15:val="{2B04B8C2-9C12-4816-8914-287A6BE3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7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2"/>
    <w:link w:val="Heading1Char"/>
    <w:qFormat/>
    <w:rsid w:val="00FF4AD3"/>
    <w:pPr>
      <w:keepLines/>
      <w:widowControl/>
      <w:spacing w:after="240"/>
      <w:jc w:val="both"/>
      <w:outlineLvl w:val="0"/>
    </w:pPr>
    <w:rPr>
      <w:b/>
      <w:bCs/>
      <w:caps/>
      <w:sz w:val="24"/>
      <w:szCs w:val="32"/>
      <w:u w:val="single"/>
    </w:rPr>
  </w:style>
  <w:style w:type="paragraph" w:styleId="Heading2">
    <w:name w:val="heading 2"/>
    <w:basedOn w:val="Normal"/>
    <w:next w:val="BodyText2"/>
    <w:link w:val="Heading2Char"/>
    <w:qFormat/>
    <w:rsid w:val="00FF4AD3"/>
    <w:pPr>
      <w:keepLines/>
      <w:widowControl/>
      <w:spacing w:after="240"/>
      <w:jc w:val="both"/>
      <w:outlineLvl w:val="1"/>
    </w:pPr>
    <w:rPr>
      <w:b/>
      <w:bCs/>
      <w:iCs/>
      <w:caps/>
      <w:sz w:val="24"/>
      <w:szCs w:val="28"/>
    </w:rPr>
  </w:style>
  <w:style w:type="paragraph" w:styleId="Heading3">
    <w:name w:val="heading 3"/>
    <w:basedOn w:val="Normal"/>
    <w:next w:val="BodyText2"/>
    <w:link w:val="Heading3Char"/>
    <w:qFormat/>
    <w:rsid w:val="00FF4AD3"/>
    <w:pPr>
      <w:widowControl/>
      <w:spacing w:after="240"/>
      <w:jc w:val="both"/>
      <w:outlineLvl w:val="2"/>
    </w:pPr>
    <w:rPr>
      <w:b/>
      <w:bCs/>
      <w:sz w:val="24"/>
      <w:szCs w:val="26"/>
    </w:rPr>
  </w:style>
  <w:style w:type="paragraph" w:styleId="Heading4">
    <w:name w:val="heading 4"/>
    <w:basedOn w:val="Normal"/>
    <w:next w:val="BodyText2"/>
    <w:link w:val="Heading4Char"/>
    <w:qFormat/>
    <w:rsid w:val="00FF4AD3"/>
    <w:pPr>
      <w:widowControl/>
      <w:spacing w:after="240"/>
      <w:jc w:val="both"/>
      <w:outlineLvl w:val="3"/>
    </w:pPr>
    <w:rPr>
      <w:b/>
      <w:bCs/>
      <w:sz w:val="24"/>
      <w:szCs w:val="28"/>
    </w:rPr>
  </w:style>
  <w:style w:type="paragraph" w:styleId="Heading5">
    <w:name w:val="heading 5"/>
    <w:basedOn w:val="Normal"/>
    <w:next w:val="BodyText2"/>
    <w:link w:val="Heading5Char"/>
    <w:qFormat/>
    <w:rsid w:val="00FF4AD3"/>
    <w:pPr>
      <w:widowControl/>
      <w:spacing w:after="240"/>
      <w:jc w:val="both"/>
      <w:outlineLvl w:val="4"/>
    </w:pPr>
    <w:rPr>
      <w:b/>
      <w:bCs/>
      <w:iCs/>
      <w:sz w:val="24"/>
      <w:szCs w:val="26"/>
    </w:rPr>
  </w:style>
  <w:style w:type="paragraph" w:styleId="Heading6">
    <w:name w:val="heading 6"/>
    <w:basedOn w:val="Normal"/>
    <w:next w:val="BodyText2"/>
    <w:link w:val="Heading6Char"/>
    <w:qFormat/>
    <w:rsid w:val="00FF4AD3"/>
    <w:pPr>
      <w:widowControl/>
      <w:spacing w:after="240"/>
      <w:outlineLvl w:val="5"/>
    </w:pPr>
    <w:rPr>
      <w:b/>
      <w:bCs/>
      <w:sz w:val="24"/>
      <w:szCs w:val="22"/>
    </w:rPr>
  </w:style>
  <w:style w:type="paragraph" w:styleId="Heading7">
    <w:name w:val="heading 7"/>
    <w:basedOn w:val="Normal"/>
    <w:next w:val="BodyText2"/>
    <w:link w:val="Heading7Char"/>
    <w:qFormat/>
    <w:rsid w:val="00FF4AD3"/>
    <w:pPr>
      <w:widowControl/>
      <w:spacing w:after="240"/>
      <w:outlineLvl w:val="6"/>
    </w:pPr>
    <w:rPr>
      <w:b/>
      <w:sz w:val="24"/>
      <w:szCs w:val="24"/>
    </w:rPr>
  </w:style>
  <w:style w:type="paragraph" w:styleId="Heading8">
    <w:name w:val="heading 8"/>
    <w:basedOn w:val="Normal"/>
    <w:next w:val="BodyText2"/>
    <w:link w:val="Heading8Char"/>
    <w:qFormat/>
    <w:rsid w:val="00FF4AD3"/>
    <w:pPr>
      <w:widowControl/>
      <w:spacing w:after="240"/>
      <w:jc w:val="both"/>
      <w:outlineLvl w:val="7"/>
    </w:pPr>
    <w:rPr>
      <w:b/>
      <w:iCs/>
      <w:sz w:val="24"/>
      <w:szCs w:val="24"/>
    </w:rPr>
  </w:style>
  <w:style w:type="paragraph" w:styleId="Heading9">
    <w:name w:val="heading 9"/>
    <w:basedOn w:val="Normal"/>
    <w:next w:val="BodyText2"/>
    <w:link w:val="Heading9Char"/>
    <w:qFormat/>
    <w:rsid w:val="00FF4AD3"/>
    <w:pPr>
      <w:widowControl/>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71"/>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432C71"/>
    <w:pPr>
      <w:widowControl/>
      <w:ind w:left="720"/>
    </w:pPr>
    <w:rPr>
      <w:sz w:val="24"/>
      <w:szCs w:val="24"/>
    </w:rPr>
  </w:style>
  <w:style w:type="paragraph" w:styleId="Header">
    <w:name w:val="header"/>
    <w:basedOn w:val="Normal"/>
    <w:link w:val="HeaderChar"/>
    <w:uiPriority w:val="99"/>
    <w:unhideWhenUsed/>
    <w:rsid w:val="002179E4"/>
    <w:pPr>
      <w:tabs>
        <w:tab w:val="center" w:pos="4680"/>
        <w:tab w:val="right" w:pos="9360"/>
      </w:tabs>
    </w:pPr>
  </w:style>
  <w:style w:type="character" w:customStyle="1" w:styleId="HeaderChar">
    <w:name w:val="Header Char"/>
    <w:basedOn w:val="DefaultParagraphFont"/>
    <w:link w:val="Header"/>
    <w:uiPriority w:val="99"/>
    <w:rsid w:val="00217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9E4"/>
    <w:pPr>
      <w:tabs>
        <w:tab w:val="center" w:pos="4680"/>
        <w:tab w:val="right" w:pos="9360"/>
      </w:tabs>
    </w:pPr>
  </w:style>
  <w:style w:type="character" w:customStyle="1" w:styleId="FooterChar">
    <w:name w:val="Footer Char"/>
    <w:basedOn w:val="DefaultParagraphFont"/>
    <w:link w:val="Footer"/>
    <w:uiPriority w:val="99"/>
    <w:rsid w:val="002179E4"/>
    <w:rPr>
      <w:rFonts w:ascii="Times New Roman" w:eastAsia="Times New Roman" w:hAnsi="Times New Roman" w:cs="Times New Roman"/>
      <w:sz w:val="20"/>
      <w:szCs w:val="20"/>
    </w:rPr>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qFormat/>
    <w:rsid w:val="007C06C6"/>
    <w:pPr>
      <w:widowControl/>
      <w:spacing w:line="360" w:lineRule="auto"/>
      <w:ind w:firstLine="720"/>
      <w:jc w:val="center"/>
    </w:pPr>
    <w:rPr>
      <w:sz w:val="24"/>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qFormat/>
    <w:rsid w:val="007C06C6"/>
    <w:rPr>
      <w:rFonts w:ascii="Times New Roman" w:eastAsia="Times New Roman" w:hAnsi="Times New Roman" w:cs="Times New Roman"/>
      <w:sz w:val="24"/>
      <w:szCs w:val="20"/>
    </w:rPr>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
    <w:basedOn w:val="DefaultParagraphFont"/>
    <w:qFormat/>
    <w:rsid w:val="007C06C6"/>
    <w:rPr>
      <w:vertAlign w:val="superscript"/>
    </w:rPr>
  </w:style>
  <w:style w:type="paragraph" w:styleId="BodyText2">
    <w:name w:val="Body Text 2"/>
    <w:basedOn w:val="Normal"/>
    <w:link w:val="BodyText2Char"/>
    <w:uiPriority w:val="99"/>
    <w:unhideWhenUsed/>
    <w:rsid w:val="007C06C6"/>
    <w:pPr>
      <w:spacing w:after="120" w:line="480" w:lineRule="auto"/>
    </w:pPr>
  </w:style>
  <w:style w:type="character" w:customStyle="1" w:styleId="BodyText2Char">
    <w:name w:val="Body Text 2 Char"/>
    <w:basedOn w:val="DefaultParagraphFont"/>
    <w:link w:val="BodyText2"/>
    <w:uiPriority w:val="99"/>
    <w:rsid w:val="007C06C6"/>
    <w:rPr>
      <w:rFonts w:ascii="Times New Roman" w:eastAsia="Times New Roman" w:hAnsi="Times New Roman" w:cs="Times New Roman"/>
      <w:sz w:val="20"/>
      <w:szCs w:val="20"/>
    </w:rPr>
  </w:style>
  <w:style w:type="character" w:styleId="Hyperlink">
    <w:name w:val="Hyperlink"/>
    <w:basedOn w:val="DefaultParagraphFont"/>
    <w:uiPriority w:val="99"/>
    <w:rsid w:val="007C06C6"/>
    <w:rPr>
      <w:color w:val="0000FF"/>
      <w:u w:val="single"/>
    </w:rPr>
  </w:style>
  <w:style w:type="character" w:customStyle="1" w:styleId="term1">
    <w:name w:val="term1"/>
    <w:basedOn w:val="DefaultParagraphFont"/>
    <w:rsid w:val="007C06C6"/>
    <w:rPr>
      <w:b/>
      <w:bCs/>
    </w:rPr>
  </w:style>
  <w:style w:type="paragraph" w:styleId="BodyText">
    <w:name w:val="Body Text"/>
    <w:basedOn w:val="Normal"/>
    <w:link w:val="BodyTextChar"/>
    <w:uiPriority w:val="99"/>
    <w:semiHidden/>
    <w:unhideWhenUsed/>
    <w:rsid w:val="00FF4AD3"/>
    <w:pPr>
      <w:spacing w:after="120"/>
    </w:pPr>
  </w:style>
  <w:style w:type="character" w:customStyle="1" w:styleId="BodyTextChar">
    <w:name w:val="Body Text Char"/>
    <w:basedOn w:val="DefaultParagraphFont"/>
    <w:link w:val="BodyText"/>
    <w:uiPriority w:val="99"/>
    <w:semiHidden/>
    <w:rsid w:val="00FF4AD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F4AD3"/>
    <w:rPr>
      <w:rFonts w:ascii="Times New Roman" w:eastAsia="Times New Roman" w:hAnsi="Times New Roman" w:cs="Times New Roman"/>
      <w:b/>
      <w:bCs/>
      <w:caps/>
      <w:sz w:val="24"/>
      <w:szCs w:val="32"/>
      <w:u w:val="single"/>
    </w:rPr>
  </w:style>
  <w:style w:type="character" w:customStyle="1" w:styleId="Heading2Char">
    <w:name w:val="Heading 2 Char"/>
    <w:basedOn w:val="DefaultParagraphFont"/>
    <w:link w:val="Heading2"/>
    <w:rsid w:val="00FF4AD3"/>
    <w:rPr>
      <w:rFonts w:ascii="Times New Roman" w:eastAsia="Times New Roman" w:hAnsi="Times New Roman" w:cs="Times New Roman"/>
      <w:b/>
      <w:bCs/>
      <w:iCs/>
      <w:caps/>
      <w:sz w:val="24"/>
      <w:szCs w:val="28"/>
    </w:rPr>
  </w:style>
  <w:style w:type="character" w:customStyle="1" w:styleId="Heading3Char">
    <w:name w:val="Heading 3 Char"/>
    <w:basedOn w:val="DefaultParagraphFont"/>
    <w:link w:val="Heading3"/>
    <w:rsid w:val="00FF4AD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FF4AD3"/>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FF4AD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FF4AD3"/>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FF4A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4AD3"/>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FF4AD3"/>
    <w:rPr>
      <w:rFonts w:ascii="Times New Roman" w:eastAsia="Times New Roman" w:hAnsi="Times New Roman" w:cs="Times New Roman"/>
      <w:b/>
      <w:sz w:val="24"/>
    </w:rPr>
  </w:style>
  <w:style w:type="paragraph" w:styleId="ListNumber">
    <w:name w:val="List Number"/>
    <w:basedOn w:val="Normal"/>
    <w:rsid w:val="00FF4AD3"/>
    <w:pPr>
      <w:widowControl/>
      <w:numPr>
        <w:numId w:val="2"/>
      </w:numPr>
      <w:spacing w:line="480" w:lineRule="auto"/>
    </w:pPr>
    <w:rPr>
      <w:sz w:val="24"/>
      <w:szCs w:val="24"/>
    </w:rPr>
  </w:style>
  <w:style w:type="paragraph" w:customStyle="1" w:styleId="Default">
    <w:name w:val="Default"/>
    <w:rsid w:val="001C192E"/>
    <w:pPr>
      <w:autoSpaceDE w:val="0"/>
      <w:autoSpaceDN w:val="0"/>
      <w:adjustRightInd w:val="0"/>
      <w:spacing w:after="0" w:line="360" w:lineRule="auto"/>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90438"/>
    <w:rPr>
      <w:rFonts w:ascii="Tahoma" w:hAnsi="Tahoma" w:cs="Tahoma"/>
      <w:sz w:val="16"/>
      <w:szCs w:val="16"/>
    </w:rPr>
  </w:style>
  <w:style w:type="character" w:customStyle="1" w:styleId="BalloonTextChar">
    <w:name w:val="Balloon Text Char"/>
    <w:basedOn w:val="DefaultParagraphFont"/>
    <w:link w:val="BalloonText"/>
    <w:uiPriority w:val="99"/>
    <w:semiHidden/>
    <w:rsid w:val="00990438"/>
    <w:rPr>
      <w:rFonts w:ascii="Tahoma" w:eastAsia="Times New Roman" w:hAnsi="Tahoma" w:cs="Tahoma"/>
      <w:sz w:val="16"/>
      <w:szCs w:val="16"/>
    </w:rPr>
  </w:style>
  <w:style w:type="paragraph" w:customStyle="1" w:styleId="OutlineL1">
    <w:name w:val="Outline_L1"/>
    <w:basedOn w:val="Normal"/>
    <w:next w:val="FootnoteText"/>
    <w:rsid w:val="00691D00"/>
    <w:pPr>
      <w:keepNext/>
      <w:widowControl/>
      <w:numPr>
        <w:numId w:val="15"/>
      </w:numPr>
      <w:spacing w:after="240"/>
      <w:jc w:val="center"/>
      <w:outlineLvl w:val="0"/>
    </w:pPr>
    <w:rPr>
      <w:rFonts w:ascii="Times New Roman Bold" w:hAnsi="Times New Roman Bold"/>
      <w:b/>
      <w:caps/>
      <w:sz w:val="24"/>
    </w:rPr>
  </w:style>
  <w:style w:type="paragraph" w:customStyle="1" w:styleId="OutlineL2">
    <w:name w:val="Outline_L2"/>
    <w:basedOn w:val="OutlineL1"/>
    <w:rsid w:val="00691D00"/>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691D00"/>
    <w:pPr>
      <w:numPr>
        <w:ilvl w:val="2"/>
      </w:numPr>
      <w:spacing w:after="120"/>
      <w:outlineLvl w:val="2"/>
    </w:pPr>
  </w:style>
  <w:style w:type="paragraph" w:customStyle="1" w:styleId="OutlineL4">
    <w:name w:val="Outline_L4"/>
    <w:basedOn w:val="OutlineL3"/>
    <w:rsid w:val="00691D00"/>
    <w:pPr>
      <w:numPr>
        <w:ilvl w:val="3"/>
      </w:numPr>
      <w:outlineLvl w:val="3"/>
    </w:pPr>
  </w:style>
  <w:style w:type="paragraph" w:customStyle="1" w:styleId="OutlineL5">
    <w:name w:val="Outline_L5"/>
    <w:basedOn w:val="OutlineL4"/>
    <w:rsid w:val="00691D00"/>
    <w:pPr>
      <w:numPr>
        <w:ilvl w:val="4"/>
      </w:numPr>
      <w:spacing w:line="240" w:lineRule="auto"/>
      <w:outlineLvl w:val="4"/>
    </w:pPr>
  </w:style>
  <w:style w:type="paragraph" w:customStyle="1" w:styleId="OutlineL6">
    <w:name w:val="Outline_L6"/>
    <w:basedOn w:val="OutlineL5"/>
    <w:rsid w:val="00691D00"/>
    <w:pPr>
      <w:numPr>
        <w:ilvl w:val="5"/>
      </w:numPr>
      <w:spacing w:after="240"/>
      <w:outlineLvl w:val="5"/>
    </w:pPr>
    <w:rPr>
      <w:szCs w:val="24"/>
    </w:rPr>
  </w:style>
  <w:style w:type="paragraph" w:customStyle="1" w:styleId="OutlineL7">
    <w:name w:val="Outline_L7"/>
    <w:basedOn w:val="OutlineL6"/>
    <w:rsid w:val="00691D00"/>
    <w:pPr>
      <w:numPr>
        <w:ilvl w:val="6"/>
      </w:numPr>
      <w:outlineLvl w:val="6"/>
    </w:pPr>
    <w:rPr>
      <w:rFonts w:ascii="Times New Roman Bold" w:hAnsi="Times New Roman Bold"/>
      <w:b/>
    </w:rPr>
  </w:style>
  <w:style w:type="paragraph" w:customStyle="1" w:styleId="OutlineL8">
    <w:name w:val="Outline_L8"/>
    <w:basedOn w:val="OutlineL7"/>
    <w:rsid w:val="00691D00"/>
    <w:pPr>
      <w:numPr>
        <w:ilvl w:val="7"/>
      </w:numPr>
      <w:outlineLvl w:val="7"/>
    </w:pPr>
  </w:style>
  <w:style w:type="paragraph" w:customStyle="1" w:styleId="OutlineL9">
    <w:name w:val="Outline_L9"/>
    <w:basedOn w:val="OutlineL8"/>
    <w:rsid w:val="00691D00"/>
    <w:pPr>
      <w:numPr>
        <w:ilvl w:val="8"/>
      </w:numPr>
      <w:outlineLvl w:val="8"/>
    </w:pPr>
  </w:style>
  <w:style w:type="character" w:styleId="CommentReference">
    <w:name w:val="annotation reference"/>
    <w:basedOn w:val="DefaultParagraphFont"/>
    <w:uiPriority w:val="99"/>
    <w:semiHidden/>
    <w:unhideWhenUsed/>
    <w:rsid w:val="00F73F80"/>
    <w:rPr>
      <w:sz w:val="16"/>
      <w:szCs w:val="16"/>
    </w:rPr>
  </w:style>
  <w:style w:type="paragraph" w:styleId="CommentText">
    <w:name w:val="annotation text"/>
    <w:basedOn w:val="Normal"/>
    <w:link w:val="CommentTextChar"/>
    <w:uiPriority w:val="99"/>
    <w:semiHidden/>
    <w:unhideWhenUsed/>
    <w:rsid w:val="00F73F80"/>
  </w:style>
  <w:style w:type="character" w:customStyle="1" w:styleId="CommentTextChar">
    <w:name w:val="Comment Text Char"/>
    <w:basedOn w:val="DefaultParagraphFont"/>
    <w:link w:val="CommentText"/>
    <w:uiPriority w:val="99"/>
    <w:semiHidden/>
    <w:rsid w:val="00F73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F80"/>
    <w:rPr>
      <w:b/>
      <w:bCs/>
    </w:rPr>
  </w:style>
  <w:style w:type="character" w:customStyle="1" w:styleId="CommentSubjectChar">
    <w:name w:val="Comment Subject Char"/>
    <w:basedOn w:val="CommentTextChar"/>
    <w:link w:val="CommentSubject"/>
    <w:uiPriority w:val="99"/>
    <w:semiHidden/>
    <w:rsid w:val="00F73F80"/>
    <w:rPr>
      <w:rFonts w:ascii="Times New Roman" w:eastAsia="Times New Roman" w:hAnsi="Times New Roman" w:cs="Times New Roman"/>
      <w:b/>
      <w:bCs/>
      <w:sz w:val="20"/>
      <w:szCs w:val="20"/>
    </w:rPr>
  </w:style>
  <w:style w:type="table" w:styleId="TableGrid">
    <w:name w:val="Table Grid"/>
    <w:basedOn w:val="TableNormal"/>
    <w:uiPriority w:val="39"/>
    <w:rsid w:val="00AB3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670A1"/>
    <w:pPr>
      <w:spacing w:after="0" w:line="240" w:lineRule="auto"/>
    </w:pPr>
    <w:rPr>
      <w:rFonts w:ascii="Times New Roman" w:eastAsia="Times New Roman" w:hAnsi="Times New Roman" w:cs="Times New Roman"/>
      <w:sz w:val="20"/>
      <w:szCs w:val="20"/>
    </w:rPr>
  </w:style>
  <w:style w:type="paragraph" w:customStyle="1" w:styleId="BodyText1">
    <w:name w:val="Body Text 1"/>
    <w:aliases w:val="B1,WB Body Text 1"/>
    <w:basedOn w:val="Normal"/>
    <w:link w:val="WBBodyText1Char"/>
    <w:rsid w:val="005B1D39"/>
    <w:pPr>
      <w:widowControl/>
      <w:spacing w:line="480" w:lineRule="auto"/>
      <w:ind w:firstLine="720"/>
    </w:pPr>
    <w:rPr>
      <w:sz w:val="24"/>
      <w:szCs w:val="24"/>
    </w:rPr>
  </w:style>
  <w:style w:type="character" w:customStyle="1" w:styleId="WBBodyText1Char">
    <w:name w:val="WB Body Text 1 Char"/>
    <w:aliases w:val="B1 Char,Body Text 1 Char"/>
    <w:link w:val="BodyText1"/>
    <w:rsid w:val="005B1D39"/>
    <w:rPr>
      <w:rFonts w:ascii="Times New Roman" w:eastAsia="Times New Roman" w:hAnsi="Times New Roman" w:cs="Times New Roman"/>
      <w:sz w:val="24"/>
      <w:szCs w:val="24"/>
    </w:rPr>
  </w:style>
  <w:style w:type="table" w:styleId="PlainTable1">
    <w:name w:val="Plain Table 1"/>
    <w:basedOn w:val="TableNormal"/>
    <w:uiPriority w:val="41"/>
    <w:rsid w:val="00555E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5F3BE2"/>
    <w:pPr>
      <w:keepNext/>
      <w:spacing w:before="240" w:after="0" w:line="259" w:lineRule="auto"/>
      <w:jc w:val="left"/>
      <w:outlineLvl w:val="9"/>
    </w:pPr>
    <w:rPr>
      <w:rFonts w:asciiTheme="majorHAnsi" w:eastAsiaTheme="majorEastAsia" w:hAnsiTheme="majorHAnsi" w:cstheme="majorBidi"/>
      <w:b w:val="0"/>
      <w:bCs w:val="0"/>
      <w:caps w:val="0"/>
      <w:color w:val="365F91" w:themeColor="accent1" w:themeShade="BF"/>
      <w:sz w:val="32"/>
      <w:u w:val="none"/>
    </w:rPr>
  </w:style>
  <w:style w:type="paragraph" w:styleId="TOC1">
    <w:name w:val="toc 1"/>
    <w:basedOn w:val="Normal"/>
    <w:next w:val="Normal"/>
    <w:autoRedefine/>
    <w:uiPriority w:val="39"/>
    <w:unhideWhenUsed/>
    <w:rsid w:val="00307A4F"/>
    <w:pPr>
      <w:tabs>
        <w:tab w:val="left" w:pos="720"/>
        <w:tab w:val="right" w:leader="dot" w:pos="9350"/>
      </w:tabs>
      <w:spacing w:after="100"/>
    </w:pPr>
  </w:style>
  <w:style w:type="paragraph" w:styleId="TOC2">
    <w:name w:val="toc 2"/>
    <w:basedOn w:val="Normal"/>
    <w:next w:val="Normal"/>
    <w:autoRedefine/>
    <w:uiPriority w:val="39"/>
    <w:unhideWhenUsed/>
    <w:rsid w:val="00307A4F"/>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307A4F"/>
    <w:pPr>
      <w:tabs>
        <w:tab w:val="left" w:pos="2160"/>
        <w:tab w:val="right" w:leader="dot" w:pos="935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pjm.com/planning/project-construction.aspx" TargetMode="External"/><Relationship Id="rId4" Type="http://schemas.openxmlformats.org/officeDocument/2006/relationships/settings" Target="setting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7611-1613-4036-8F87-AD62C577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19176</Words>
  <Characters>109304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eberzonsky@pa.gov</dc:creator>
  <cp:lastModifiedBy>Wagner, Nathan R</cp:lastModifiedBy>
  <cp:revision>2</cp:revision>
  <cp:lastPrinted>2016-12-08T13:50:00Z</cp:lastPrinted>
  <dcterms:created xsi:type="dcterms:W3CDTF">2020-12-03T16:23:00Z</dcterms:created>
  <dcterms:modified xsi:type="dcterms:W3CDTF">2020-12-03T16:23:00Z</dcterms:modified>
</cp:coreProperties>
</file>