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9A1DD" w14:textId="77777777" w:rsidR="00416112" w:rsidRPr="00160E8F" w:rsidRDefault="008040D2" w:rsidP="00D23B41">
      <w:pPr>
        <w:tabs>
          <w:tab w:val="left" w:pos="-1440"/>
          <w:tab w:val="left" w:pos="-720"/>
          <w:tab w:val="left" w:pos="0"/>
          <w:tab w:val="left" w:pos="432"/>
          <w:tab w:val="left" w:pos="576"/>
          <w:tab w:val="left" w:pos="1440"/>
          <w:tab w:val="left" w:pos="2086"/>
          <w:tab w:val="left" w:pos="2880"/>
        </w:tabs>
        <w:suppressAutoHyphens/>
        <w:jc w:val="center"/>
        <w:rPr>
          <w:b/>
          <w:sz w:val="26"/>
          <w:szCs w:val="26"/>
        </w:rPr>
      </w:pPr>
      <w:r w:rsidRPr="00160E8F">
        <w:rPr>
          <w:b/>
          <w:sz w:val="26"/>
          <w:szCs w:val="26"/>
        </w:rPr>
        <w:t>PENNSYLVANIA</w:t>
      </w:r>
    </w:p>
    <w:p w14:paraId="40E35BBA" w14:textId="77777777" w:rsidR="008040D2" w:rsidRPr="00160E8F" w:rsidRDefault="008040D2" w:rsidP="00246FB9">
      <w:pPr>
        <w:jc w:val="center"/>
        <w:rPr>
          <w:b/>
          <w:sz w:val="26"/>
          <w:szCs w:val="26"/>
        </w:rPr>
      </w:pPr>
      <w:r w:rsidRPr="00160E8F">
        <w:rPr>
          <w:b/>
          <w:sz w:val="26"/>
          <w:szCs w:val="26"/>
        </w:rPr>
        <w:t>PUBLIC UTILITY COMMISSION</w:t>
      </w:r>
    </w:p>
    <w:p w14:paraId="6D42B7EC" w14:textId="77777777" w:rsidR="008040D2" w:rsidRPr="00160E8F" w:rsidRDefault="002C4C75" w:rsidP="00246FB9">
      <w:pPr>
        <w:jc w:val="center"/>
        <w:rPr>
          <w:b/>
          <w:sz w:val="26"/>
          <w:szCs w:val="26"/>
        </w:rPr>
      </w:pPr>
      <w:r w:rsidRPr="00160E8F">
        <w:rPr>
          <w:b/>
          <w:sz w:val="26"/>
          <w:szCs w:val="26"/>
        </w:rPr>
        <w:t>Harrisburg, PA</w:t>
      </w:r>
      <w:r w:rsidR="008040D2" w:rsidRPr="00160E8F">
        <w:rPr>
          <w:b/>
          <w:sz w:val="26"/>
          <w:szCs w:val="26"/>
        </w:rPr>
        <w:t xml:space="preserve"> 17105-3265</w:t>
      </w:r>
    </w:p>
    <w:p w14:paraId="3396D245" w14:textId="77777777" w:rsidR="008040D2" w:rsidRPr="00160E8F" w:rsidRDefault="008040D2" w:rsidP="00246FB9">
      <w:pPr>
        <w:rPr>
          <w:sz w:val="26"/>
          <w:szCs w:val="26"/>
        </w:rPr>
      </w:pPr>
    </w:p>
    <w:p w14:paraId="3C0D6C85" w14:textId="44513B1B" w:rsidR="008040D2" w:rsidRPr="00160E8F" w:rsidRDefault="004C2A50" w:rsidP="00B40E48">
      <w:pPr>
        <w:jc w:val="right"/>
        <w:rPr>
          <w:sz w:val="26"/>
          <w:szCs w:val="26"/>
        </w:rPr>
      </w:pPr>
      <w:r w:rsidRPr="00160E8F">
        <w:rPr>
          <w:sz w:val="26"/>
          <w:szCs w:val="26"/>
        </w:rPr>
        <w:t>Public Meeting held</w:t>
      </w:r>
      <w:r w:rsidR="007F6CF0" w:rsidRPr="00160E8F">
        <w:rPr>
          <w:sz w:val="26"/>
          <w:szCs w:val="26"/>
        </w:rPr>
        <w:t xml:space="preserve"> </w:t>
      </w:r>
      <w:r w:rsidR="004D1BCC">
        <w:rPr>
          <w:sz w:val="26"/>
          <w:szCs w:val="26"/>
        </w:rPr>
        <w:t>December 3, 2020</w:t>
      </w:r>
    </w:p>
    <w:p w14:paraId="6A0900C8" w14:textId="77777777" w:rsidR="008040D2" w:rsidRPr="00160E8F" w:rsidRDefault="008040D2" w:rsidP="00246FB9">
      <w:pPr>
        <w:rPr>
          <w:sz w:val="26"/>
          <w:szCs w:val="26"/>
        </w:rPr>
      </w:pPr>
    </w:p>
    <w:tbl>
      <w:tblPr>
        <w:tblW w:w="10296" w:type="dxa"/>
        <w:tblLayout w:type="fixed"/>
        <w:tblLook w:val="04A0" w:firstRow="1" w:lastRow="0" w:firstColumn="1" w:lastColumn="0" w:noHBand="0" w:noVBand="1"/>
      </w:tblPr>
      <w:tblGrid>
        <w:gridCol w:w="5148"/>
        <w:gridCol w:w="5148"/>
      </w:tblGrid>
      <w:tr w:rsidR="001B4B65" w:rsidRPr="00160E8F" w14:paraId="2C277742" w14:textId="77777777" w:rsidTr="001B4B65">
        <w:tc>
          <w:tcPr>
            <w:tcW w:w="5148" w:type="dxa"/>
            <w:hideMark/>
          </w:tcPr>
          <w:p w14:paraId="766FEA05" w14:textId="77777777" w:rsidR="001B4B65" w:rsidRPr="00160E8F" w:rsidRDefault="001B4B65" w:rsidP="00320094">
            <w:pPr>
              <w:rPr>
                <w:sz w:val="26"/>
                <w:szCs w:val="26"/>
              </w:rPr>
            </w:pPr>
            <w:r w:rsidRPr="00160E8F">
              <w:rPr>
                <w:sz w:val="26"/>
                <w:szCs w:val="26"/>
              </w:rPr>
              <w:t>Commissioners Present:</w:t>
            </w:r>
          </w:p>
        </w:tc>
        <w:tc>
          <w:tcPr>
            <w:tcW w:w="5148" w:type="dxa"/>
          </w:tcPr>
          <w:p w14:paraId="3E71BB33" w14:textId="77777777" w:rsidR="001B4B65" w:rsidRPr="00160E8F" w:rsidRDefault="001B4B65" w:rsidP="00320094">
            <w:pPr>
              <w:rPr>
                <w:sz w:val="26"/>
                <w:szCs w:val="26"/>
              </w:rPr>
            </w:pPr>
          </w:p>
        </w:tc>
      </w:tr>
    </w:tbl>
    <w:p w14:paraId="0116EFC1" w14:textId="77777777" w:rsidR="00320094" w:rsidRPr="00160E8F" w:rsidRDefault="00320094" w:rsidP="00320094">
      <w:pPr>
        <w:rPr>
          <w:sz w:val="26"/>
          <w:szCs w:val="26"/>
        </w:rPr>
      </w:pPr>
    </w:p>
    <w:tbl>
      <w:tblPr>
        <w:tblW w:w="10290" w:type="dxa"/>
        <w:tblLayout w:type="fixed"/>
        <w:tblLook w:val="04A0" w:firstRow="1" w:lastRow="0" w:firstColumn="1" w:lastColumn="0" w:noHBand="0" w:noVBand="1"/>
      </w:tblPr>
      <w:tblGrid>
        <w:gridCol w:w="5954"/>
        <w:gridCol w:w="3946"/>
        <w:gridCol w:w="390"/>
      </w:tblGrid>
      <w:tr w:rsidR="00F45B98" w:rsidRPr="00160E8F" w14:paraId="1F34829D" w14:textId="77777777" w:rsidTr="001B4B65">
        <w:trPr>
          <w:trHeight w:val="243"/>
        </w:trPr>
        <w:tc>
          <w:tcPr>
            <w:tcW w:w="9900" w:type="dxa"/>
            <w:gridSpan w:val="2"/>
            <w:hideMark/>
          </w:tcPr>
          <w:p w14:paraId="67F86B3E" w14:textId="68967C5B" w:rsidR="00F45B98" w:rsidRPr="00160E8F" w:rsidRDefault="00F45B98" w:rsidP="00F45B98">
            <w:pPr>
              <w:ind w:left="612"/>
              <w:rPr>
                <w:sz w:val="26"/>
                <w:szCs w:val="26"/>
              </w:rPr>
            </w:pPr>
            <w:r>
              <w:rPr>
                <w:sz w:val="26"/>
                <w:szCs w:val="26"/>
              </w:rPr>
              <w:tab/>
              <w:t xml:space="preserve">Gladys Brown </w:t>
            </w:r>
            <w:proofErr w:type="spellStart"/>
            <w:r w:rsidRPr="007D2A0F">
              <w:rPr>
                <w:sz w:val="26"/>
                <w:szCs w:val="26"/>
              </w:rPr>
              <w:t>Dutrieuille</w:t>
            </w:r>
            <w:proofErr w:type="spellEnd"/>
            <w:r>
              <w:rPr>
                <w:sz w:val="26"/>
                <w:szCs w:val="26"/>
              </w:rPr>
              <w:t>, Chairman</w:t>
            </w:r>
            <w:r w:rsidR="007E558F">
              <w:rPr>
                <w:sz w:val="26"/>
                <w:szCs w:val="26"/>
              </w:rPr>
              <w:t>, Statement</w:t>
            </w:r>
          </w:p>
        </w:tc>
        <w:tc>
          <w:tcPr>
            <w:tcW w:w="390" w:type="dxa"/>
          </w:tcPr>
          <w:p w14:paraId="40372934" w14:textId="77777777" w:rsidR="00F45B98" w:rsidRPr="00160E8F" w:rsidRDefault="00F45B98" w:rsidP="00F45B98">
            <w:pPr>
              <w:rPr>
                <w:sz w:val="26"/>
                <w:szCs w:val="26"/>
              </w:rPr>
            </w:pPr>
          </w:p>
        </w:tc>
      </w:tr>
      <w:tr w:rsidR="00F45B98" w:rsidRPr="00160E8F" w14:paraId="0D9D40FE" w14:textId="77777777" w:rsidTr="001B4B65">
        <w:tc>
          <w:tcPr>
            <w:tcW w:w="9900" w:type="dxa"/>
            <w:gridSpan w:val="2"/>
            <w:hideMark/>
          </w:tcPr>
          <w:p w14:paraId="3C8388E4" w14:textId="43C99A3E" w:rsidR="00F45B98" w:rsidRPr="00160E8F" w:rsidRDefault="00F45B98" w:rsidP="00F45B98">
            <w:pPr>
              <w:ind w:left="612"/>
              <w:rPr>
                <w:sz w:val="26"/>
                <w:szCs w:val="26"/>
              </w:rPr>
            </w:pPr>
            <w:r>
              <w:rPr>
                <w:sz w:val="26"/>
                <w:szCs w:val="26"/>
              </w:rPr>
              <w:tab/>
            </w:r>
            <w:r w:rsidRPr="00A13935">
              <w:rPr>
                <w:sz w:val="26"/>
                <w:szCs w:val="26"/>
              </w:rPr>
              <w:t>David W. Sweet</w:t>
            </w:r>
            <w:r>
              <w:rPr>
                <w:sz w:val="26"/>
                <w:szCs w:val="26"/>
              </w:rPr>
              <w:t xml:space="preserve">, </w:t>
            </w:r>
            <w:r w:rsidRPr="00C0451E">
              <w:rPr>
                <w:sz w:val="26"/>
                <w:szCs w:val="26"/>
              </w:rPr>
              <w:t>Vice Chairman</w:t>
            </w:r>
          </w:p>
        </w:tc>
        <w:tc>
          <w:tcPr>
            <w:tcW w:w="390" w:type="dxa"/>
          </w:tcPr>
          <w:p w14:paraId="1D277416" w14:textId="77777777" w:rsidR="00F45B98" w:rsidRPr="00160E8F" w:rsidRDefault="00F45B98" w:rsidP="00F45B98">
            <w:pPr>
              <w:rPr>
                <w:sz w:val="26"/>
                <w:szCs w:val="26"/>
              </w:rPr>
            </w:pPr>
          </w:p>
        </w:tc>
      </w:tr>
      <w:tr w:rsidR="00F45B98" w:rsidRPr="00160E8F" w14:paraId="4D501CD5" w14:textId="77777777" w:rsidTr="001B4B65">
        <w:tc>
          <w:tcPr>
            <w:tcW w:w="9900" w:type="dxa"/>
            <w:gridSpan w:val="2"/>
            <w:hideMark/>
          </w:tcPr>
          <w:p w14:paraId="64D3114F" w14:textId="31294314" w:rsidR="00F45B98" w:rsidRPr="00160E8F" w:rsidRDefault="00F45B98" w:rsidP="00F45B98">
            <w:pPr>
              <w:ind w:left="612"/>
              <w:rPr>
                <w:sz w:val="26"/>
                <w:szCs w:val="26"/>
              </w:rPr>
            </w:pPr>
            <w:r>
              <w:rPr>
                <w:sz w:val="26"/>
                <w:szCs w:val="26"/>
              </w:rPr>
              <w:tab/>
              <w:t>John F. Coleman</w:t>
            </w:r>
            <w:r w:rsidRPr="00C0451E">
              <w:rPr>
                <w:sz w:val="26"/>
                <w:szCs w:val="26"/>
              </w:rPr>
              <w:t xml:space="preserve">, </w:t>
            </w:r>
            <w:r>
              <w:rPr>
                <w:sz w:val="26"/>
                <w:szCs w:val="26"/>
              </w:rPr>
              <w:t>Jr.</w:t>
            </w:r>
          </w:p>
        </w:tc>
        <w:tc>
          <w:tcPr>
            <w:tcW w:w="390" w:type="dxa"/>
          </w:tcPr>
          <w:p w14:paraId="104BF704" w14:textId="77777777" w:rsidR="00F45B98" w:rsidRPr="00160E8F" w:rsidRDefault="00F45B98" w:rsidP="00F45B98">
            <w:pPr>
              <w:rPr>
                <w:sz w:val="26"/>
                <w:szCs w:val="26"/>
              </w:rPr>
            </w:pPr>
          </w:p>
        </w:tc>
      </w:tr>
      <w:tr w:rsidR="00F45B98" w:rsidRPr="00160E8F" w14:paraId="2844BBD2" w14:textId="77777777" w:rsidTr="001B4B65">
        <w:tc>
          <w:tcPr>
            <w:tcW w:w="9900" w:type="dxa"/>
            <w:gridSpan w:val="2"/>
          </w:tcPr>
          <w:p w14:paraId="156F030E" w14:textId="56DF8DBD" w:rsidR="00F45B98" w:rsidRPr="00160E8F" w:rsidRDefault="00F45B98" w:rsidP="00F45B98">
            <w:pPr>
              <w:ind w:left="612"/>
              <w:rPr>
                <w:sz w:val="26"/>
                <w:szCs w:val="26"/>
              </w:rPr>
            </w:pPr>
            <w:r>
              <w:rPr>
                <w:sz w:val="26"/>
                <w:szCs w:val="26"/>
              </w:rPr>
              <w:tab/>
              <w:t>Ralph V. Yanora</w:t>
            </w:r>
          </w:p>
        </w:tc>
        <w:tc>
          <w:tcPr>
            <w:tcW w:w="390" w:type="dxa"/>
          </w:tcPr>
          <w:p w14:paraId="5ED4E43C" w14:textId="77777777" w:rsidR="00F45B98" w:rsidRPr="00160E8F" w:rsidRDefault="00F45B98" w:rsidP="00F45B98">
            <w:pPr>
              <w:rPr>
                <w:sz w:val="26"/>
                <w:szCs w:val="26"/>
              </w:rPr>
            </w:pPr>
          </w:p>
        </w:tc>
      </w:tr>
      <w:tr w:rsidR="00B6485F" w:rsidRPr="00160E8F" w14:paraId="295899A8" w14:textId="77777777" w:rsidTr="001B4B65">
        <w:trPr>
          <w:gridAfter w:val="1"/>
          <w:wAfter w:w="390" w:type="dxa"/>
        </w:trPr>
        <w:tc>
          <w:tcPr>
            <w:tcW w:w="5954" w:type="dxa"/>
          </w:tcPr>
          <w:p w14:paraId="6FE641F3" w14:textId="77777777" w:rsidR="00B6485F" w:rsidRPr="00160E8F" w:rsidRDefault="00B6485F" w:rsidP="00320094">
            <w:pPr>
              <w:ind w:left="720"/>
              <w:rPr>
                <w:sz w:val="26"/>
                <w:szCs w:val="26"/>
              </w:rPr>
            </w:pPr>
          </w:p>
        </w:tc>
        <w:tc>
          <w:tcPr>
            <w:tcW w:w="3946" w:type="dxa"/>
          </w:tcPr>
          <w:p w14:paraId="6F7CFF3C" w14:textId="77777777" w:rsidR="00B6485F" w:rsidRPr="00160E8F" w:rsidRDefault="00B6485F" w:rsidP="00320094">
            <w:pPr>
              <w:rPr>
                <w:sz w:val="26"/>
                <w:szCs w:val="26"/>
              </w:rPr>
            </w:pPr>
          </w:p>
        </w:tc>
      </w:tr>
      <w:tr w:rsidR="005802AD" w:rsidRPr="00160E8F" w14:paraId="40C0169F" w14:textId="77777777" w:rsidTr="001B4B65">
        <w:trPr>
          <w:gridAfter w:val="1"/>
          <w:wAfter w:w="390" w:type="dxa"/>
        </w:trPr>
        <w:tc>
          <w:tcPr>
            <w:tcW w:w="5954" w:type="dxa"/>
          </w:tcPr>
          <w:p w14:paraId="470B9B6C" w14:textId="10EB93EC" w:rsidR="005802AD" w:rsidRPr="00160E8F" w:rsidRDefault="002A2073" w:rsidP="005802AD">
            <w:pPr>
              <w:rPr>
                <w:sz w:val="26"/>
                <w:szCs w:val="26"/>
              </w:rPr>
            </w:pPr>
            <w:r w:rsidRPr="00C00370">
              <w:rPr>
                <w:sz w:val="26"/>
                <w:szCs w:val="26"/>
              </w:rPr>
              <w:t>Amended Policy Statement on Diversity</w:t>
            </w:r>
            <w:r w:rsidR="00177DD1">
              <w:rPr>
                <w:sz w:val="26"/>
                <w:szCs w:val="26"/>
              </w:rPr>
              <w:t xml:space="preserve"> </w:t>
            </w:r>
            <w:r w:rsidR="00177DD1" w:rsidRPr="00C00370">
              <w:rPr>
                <w:sz w:val="26"/>
                <w:szCs w:val="26"/>
              </w:rPr>
              <w:t xml:space="preserve">at Major Jurisdictional </w:t>
            </w:r>
            <w:r w:rsidR="00094591">
              <w:rPr>
                <w:sz w:val="26"/>
                <w:szCs w:val="26"/>
              </w:rPr>
              <w:t>Utility Companies</w:t>
            </w:r>
          </w:p>
        </w:tc>
        <w:tc>
          <w:tcPr>
            <w:tcW w:w="3946" w:type="dxa"/>
          </w:tcPr>
          <w:p w14:paraId="23564C76" w14:textId="7DC22165" w:rsidR="005802AD" w:rsidRPr="00160E8F" w:rsidRDefault="00BB6A9D" w:rsidP="001B4B65">
            <w:pPr>
              <w:jc w:val="center"/>
              <w:rPr>
                <w:sz w:val="26"/>
                <w:szCs w:val="26"/>
              </w:rPr>
            </w:pPr>
            <w:r w:rsidRPr="00C00370">
              <w:rPr>
                <w:sz w:val="26"/>
                <w:szCs w:val="26"/>
              </w:rPr>
              <w:t>M-2020-3018089</w:t>
            </w:r>
          </w:p>
        </w:tc>
      </w:tr>
    </w:tbl>
    <w:p w14:paraId="24309DBE" w14:textId="17E8E23A" w:rsidR="0046479C" w:rsidRDefault="0046479C" w:rsidP="00B842DA">
      <w:pPr>
        <w:ind w:left="90"/>
        <w:rPr>
          <w:sz w:val="26"/>
          <w:szCs w:val="26"/>
        </w:rPr>
      </w:pPr>
    </w:p>
    <w:p w14:paraId="17567607" w14:textId="77777777" w:rsidR="00B842DA" w:rsidRPr="00160E8F" w:rsidRDefault="00B842DA" w:rsidP="00B842DA">
      <w:pPr>
        <w:ind w:left="90"/>
        <w:rPr>
          <w:sz w:val="26"/>
          <w:szCs w:val="26"/>
        </w:rPr>
      </w:pPr>
    </w:p>
    <w:p w14:paraId="78203C8A" w14:textId="17999AB8" w:rsidR="008040D2" w:rsidRPr="00160E8F" w:rsidRDefault="00781E1E" w:rsidP="000E1912">
      <w:pPr>
        <w:jc w:val="center"/>
        <w:rPr>
          <w:b/>
          <w:sz w:val="26"/>
          <w:szCs w:val="26"/>
        </w:rPr>
      </w:pPr>
      <w:r w:rsidRPr="00160E8F">
        <w:rPr>
          <w:b/>
          <w:sz w:val="26"/>
          <w:szCs w:val="26"/>
        </w:rPr>
        <w:t>FINAL</w:t>
      </w:r>
      <w:r w:rsidR="00F23234" w:rsidRPr="00160E8F">
        <w:rPr>
          <w:b/>
          <w:sz w:val="26"/>
          <w:szCs w:val="26"/>
        </w:rPr>
        <w:t xml:space="preserve"> </w:t>
      </w:r>
      <w:r w:rsidR="007768AF" w:rsidRPr="00160E8F">
        <w:rPr>
          <w:b/>
          <w:sz w:val="26"/>
          <w:szCs w:val="26"/>
        </w:rPr>
        <w:t>POLICY STATEMENT</w:t>
      </w:r>
      <w:r w:rsidR="00F75F16">
        <w:rPr>
          <w:b/>
          <w:sz w:val="26"/>
          <w:szCs w:val="26"/>
        </w:rPr>
        <w:t xml:space="preserve"> AND ORDER</w:t>
      </w:r>
    </w:p>
    <w:p w14:paraId="07BF7505" w14:textId="77777777" w:rsidR="0046479C" w:rsidRPr="00160E8F" w:rsidRDefault="0046479C" w:rsidP="000E1912">
      <w:pPr>
        <w:jc w:val="center"/>
        <w:rPr>
          <w:b/>
          <w:sz w:val="26"/>
          <w:szCs w:val="26"/>
        </w:rPr>
      </w:pPr>
    </w:p>
    <w:p w14:paraId="56F8F018" w14:textId="77777777" w:rsidR="004C6F3D" w:rsidRPr="00160E8F" w:rsidRDefault="004C6F3D" w:rsidP="000E1912">
      <w:pPr>
        <w:jc w:val="center"/>
        <w:rPr>
          <w:b/>
          <w:sz w:val="26"/>
          <w:szCs w:val="26"/>
        </w:rPr>
      </w:pPr>
    </w:p>
    <w:p w14:paraId="271FBA29" w14:textId="77777777" w:rsidR="000C2E24" w:rsidRPr="00160E8F" w:rsidRDefault="008040D2" w:rsidP="000E1912">
      <w:pPr>
        <w:spacing w:line="360" w:lineRule="auto"/>
        <w:rPr>
          <w:b/>
          <w:sz w:val="26"/>
          <w:szCs w:val="26"/>
        </w:rPr>
      </w:pPr>
      <w:r w:rsidRPr="00160E8F">
        <w:rPr>
          <w:b/>
          <w:sz w:val="26"/>
          <w:szCs w:val="26"/>
        </w:rPr>
        <w:t>BY THE COMMISSION:</w:t>
      </w:r>
    </w:p>
    <w:p w14:paraId="2D040DB6" w14:textId="520DA420" w:rsidR="00BD0564" w:rsidRDefault="00517EC7" w:rsidP="000E1912">
      <w:pPr>
        <w:spacing w:line="360" w:lineRule="auto"/>
        <w:rPr>
          <w:sz w:val="26"/>
          <w:szCs w:val="26"/>
        </w:rPr>
      </w:pPr>
      <w:r w:rsidRPr="00160E8F">
        <w:rPr>
          <w:b/>
          <w:sz w:val="26"/>
          <w:szCs w:val="26"/>
        </w:rPr>
        <w:tab/>
      </w:r>
      <w:r w:rsidR="00781E1E" w:rsidRPr="00160E8F">
        <w:rPr>
          <w:sz w:val="26"/>
          <w:szCs w:val="26"/>
        </w:rPr>
        <w:t xml:space="preserve">On </w:t>
      </w:r>
      <w:r w:rsidR="009D4A31">
        <w:rPr>
          <w:sz w:val="26"/>
          <w:szCs w:val="26"/>
        </w:rPr>
        <w:t>May 21, 2020</w:t>
      </w:r>
      <w:r w:rsidR="00B97F4A" w:rsidRPr="00160E8F">
        <w:rPr>
          <w:sz w:val="26"/>
          <w:szCs w:val="26"/>
        </w:rPr>
        <w:t xml:space="preserve">, the Commission entered </w:t>
      </w:r>
      <w:r w:rsidR="002F4CB8" w:rsidRPr="00160E8F">
        <w:rPr>
          <w:sz w:val="26"/>
          <w:szCs w:val="26"/>
        </w:rPr>
        <w:t>a</w:t>
      </w:r>
      <w:r w:rsidR="00781E1E" w:rsidRPr="00160E8F">
        <w:rPr>
          <w:sz w:val="26"/>
          <w:szCs w:val="26"/>
        </w:rPr>
        <w:t xml:space="preserve"> </w:t>
      </w:r>
      <w:r w:rsidR="009D4A31">
        <w:rPr>
          <w:sz w:val="26"/>
          <w:szCs w:val="26"/>
        </w:rPr>
        <w:t>Proposed Policy Statement and Order</w:t>
      </w:r>
      <w:r w:rsidR="00B97F4A" w:rsidRPr="00160E8F">
        <w:rPr>
          <w:sz w:val="26"/>
          <w:szCs w:val="26"/>
        </w:rPr>
        <w:t xml:space="preserve"> wherein the Commission</w:t>
      </w:r>
      <w:r w:rsidR="009D4A31">
        <w:rPr>
          <w:sz w:val="26"/>
          <w:szCs w:val="26"/>
        </w:rPr>
        <w:t xml:space="preserve"> </w:t>
      </w:r>
      <w:r w:rsidR="00D8733E">
        <w:rPr>
          <w:sz w:val="26"/>
          <w:szCs w:val="26"/>
        </w:rPr>
        <w:t xml:space="preserve">proposed to update its </w:t>
      </w:r>
      <w:r w:rsidR="005D0472">
        <w:rPr>
          <w:sz w:val="26"/>
          <w:szCs w:val="26"/>
        </w:rPr>
        <w:t>Policy Statement on Diversity at Major Jurisdictional Utility Companies at 52 Pa. Code §§ 69.801-69.809 (Policy Statement)</w:t>
      </w:r>
      <w:r w:rsidR="00C24269">
        <w:rPr>
          <w:sz w:val="26"/>
          <w:szCs w:val="26"/>
        </w:rPr>
        <w:t xml:space="preserve">.  </w:t>
      </w:r>
      <w:r w:rsidR="000C074C">
        <w:rPr>
          <w:sz w:val="26"/>
          <w:szCs w:val="26"/>
        </w:rPr>
        <w:t xml:space="preserve">The Commission published its Proposed Policy Statement and Order in the </w:t>
      </w:r>
      <w:r w:rsidR="000C074C" w:rsidRPr="00CC4DF0">
        <w:rPr>
          <w:i/>
          <w:iCs/>
          <w:sz w:val="26"/>
          <w:szCs w:val="26"/>
        </w:rPr>
        <w:t>Pennsylvania Bulletin</w:t>
      </w:r>
      <w:r w:rsidR="000C074C">
        <w:rPr>
          <w:sz w:val="26"/>
          <w:szCs w:val="26"/>
        </w:rPr>
        <w:t xml:space="preserve"> on July 18, 2020.  50 Pa. B. 3598.  The comment period closed on September 1, 2020.  </w:t>
      </w:r>
      <w:r w:rsidR="00C24269">
        <w:rPr>
          <w:sz w:val="26"/>
          <w:szCs w:val="26"/>
        </w:rPr>
        <w:t xml:space="preserve">The Policy Statement </w:t>
      </w:r>
      <w:r w:rsidR="00A34AB2">
        <w:rPr>
          <w:sz w:val="26"/>
          <w:szCs w:val="26"/>
        </w:rPr>
        <w:t>will now</w:t>
      </w:r>
      <w:r w:rsidR="00C24269">
        <w:rPr>
          <w:sz w:val="26"/>
          <w:szCs w:val="26"/>
        </w:rPr>
        <w:t xml:space="preserve"> encourage </w:t>
      </w:r>
      <w:r w:rsidR="00D2119E">
        <w:rPr>
          <w:sz w:val="26"/>
          <w:szCs w:val="26"/>
        </w:rPr>
        <w:t xml:space="preserve">major jurisdictional utility companies </w:t>
      </w:r>
      <w:r w:rsidR="00C24269">
        <w:rPr>
          <w:sz w:val="26"/>
          <w:szCs w:val="26"/>
        </w:rPr>
        <w:t xml:space="preserve">to </w:t>
      </w:r>
      <w:r w:rsidR="00C2003B">
        <w:rPr>
          <w:sz w:val="26"/>
          <w:szCs w:val="26"/>
        </w:rPr>
        <w:t xml:space="preserve">use a </w:t>
      </w:r>
      <w:r w:rsidR="004B00BF">
        <w:rPr>
          <w:sz w:val="26"/>
          <w:szCs w:val="26"/>
        </w:rPr>
        <w:t>c</w:t>
      </w:r>
      <w:r w:rsidR="006221E1">
        <w:rPr>
          <w:sz w:val="26"/>
          <w:szCs w:val="26"/>
        </w:rPr>
        <w:t xml:space="preserve">ommon form </w:t>
      </w:r>
      <w:r w:rsidR="00EE3802">
        <w:rPr>
          <w:sz w:val="26"/>
          <w:szCs w:val="26"/>
        </w:rPr>
        <w:t xml:space="preserve">to </w:t>
      </w:r>
      <w:r w:rsidR="00C24269">
        <w:rPr>
          <w:sz w:val="26"/>
          <w:szCs w:val="26"/>
        </w:rPr>
        <w:t xml:space="preserve">file a diversity report annually with the Commission and provides guidelines identifying the information </w:t>
      </w:r>
      <w:r w:rsidR="002C2172">
        <w:rPr>
          <w:sz w:val="26"/>
          <w:szCs w:val="26"/>
        </w:rPr>
        <w:t xml:space="preserve">major jurisdictional </w:t>
      </w:r>
      <w:r w:rsidR="00C24269">
        <w:rPr>
          <w:sz w:val="26"/>
          <w:szCs w:val="26"/>
        </w:rPr>
        <w:t>utilit</w:t>
      </w:r>
      <w:r w:rsidR="00814C4A">
        <w:rPr>
          <w:sz w:val="26"/>
          <w:szCs w:val="26"/>
        </w:rPr>
        <w:t>y companies</w:t>
      </w:r>
      <w:r w:rsidR="00C24269">
        <w:rPr>
          <w:sz w:val="26"/>
          <w:szCs w:val="26"/>
        </w:rPr>
        <w:t xml:space="preserve"> should report to describe their efforts to employ and contract with members of diverse groups.  </w:t>
      </w:r>
      <w:r w:rsidR="002E594C">
        <w:rPr>
          <w:sz w:val="26"/>
          <w:szCs w:val="26"/>
        </w:rPr>
        <w:t xml:space="preserve">The revised Policy statement will now </w:t>
      </w:r>
      <w:r w:rsidR="00C24269" w:rsidRPr="00961692">
        <w:rPr>
          <w:sz w:val="26"/>
          <w:szCs w:val="26"/>
        </w:rPr>
        <w:t>reflect the Commonwealth’s diverse citizenship.</w:t>
      </w:r>
      <w:r w:rsidR="00A9050E">
        <w:rPr>
          <w:sz w:val="26"/>
          <w:szCs w:val="26"/>
        </w:rPr>
        <w:t xml:space="preserve">  </w:t>
      </w:r>
    </w:p>
    <w:p w14:paraId="330CCAEC" w14:textId="77777777" w:rsidR="00BD0564" w:rsidRDefault="00BD0564" w:rsidP="000E1912">
      <w:pPr>
        <w:spacing w:line="360" w:lineRule="auto"/>
        <w:rPr>
          <w:sz w:val="26"/>
          <w:szCs w:val="26"/>
        </w:rPr>
      </w:pPr>
    </w:p>
    <w:p w14:paraId="31659E1F" w14:textId="6D65854F" w:rsidR="00E9045F" w:rsidRDefault="00B842DA" w:rsidP="00A919D4">
      <w:pPr>
        <w:keepNext/>
        <w:spacing w:line="360" w:lineRule="auto"/>
        <w:jc w:val="center"/>
        <w:rPr>
          <w:b/>
          <w:bCs/>
          <w:sz w:val="26"/>
          <w:szCs w:val="26"/>
        </w:rPr>
      </w:pPr>
      <w:r>
        <w:rPr>
          <w:b/>
          <w:bCs/>
          <w:sz w:val="26"/>
          <w:szCs w:val="26"/>
        </w:rPr>
        <w:lastRenderedPageBreak/>
        <w:t>SUMMARY OF THE PROPOSED POLICY STATEMENT</w:t>
      </w:r>
    </w:p>
    <w:p w14:paraId="520BC9FA" w14:textId="6409C5D7" w:rsidR="00C3724A" w:rsidRDefault="005E2CE2" w:rsidP="005E2CE2">
      <w:pPr>
        <w:spacing w:line="360" w:lineRule="auto"/>
        <w:ind w:firstLine="720"/>
        <w:rPr>
          <w:sz w:val="26"/>
          <w:szCs w:val="26"/>
        </w:rPr>
      </w:pPr>
      <w:r>
        <w:rPr>
          <w:sz w:val="26"/>
          <w:szCs w:val="26"/>
        </w:rPr>
        <w:t xml:space="preserve">In the proposed </w:t>
      </w:r>
      <w:r w:rsidR="0089582A">
        <w:rPr>
          <w:sz w:val="26"/>
          <w:szCs w:val="26"/>
        </w:rPr>
        <w:t xml:space="preserve">policy statement, the Commission acknowledged that the </w:t>
      </w:r>
      <w:r w:rsidR="00F02417">
        <w:rPr>
          <w:sz w:val="26"/>
          <w:szCs w:val="26"/>
        </w:rPr>
        <w:t xml:space="preserve">terms and definitions in Section 69.802 </w:t>
      </w:r>
      <w:r w:rsidR="00177677">
        <w:rPr>
          <w:sz w:val="26"/>
          <w:szCs w:val="26"/>
        </w:rPr>
        <w:t xml:space="preserve">needed to be updated in order to reflect </w:t>
      </w:r>
      <w:r w:rsidR="002E74DF">
        <w:rPr>
          <w:sz w:val="26"/>
          <w:szCs w:val="26"/>
        </w:rPr>
        <w:t xml:space="preserve">the Commonwealth’s diverse citizenship.  </w:t>
      </w:r>
      <w:r w:rsidR="007830FC">
        <w:rPr>
          <w:sz w:val="26"/>
          <w:szCs w:val="26"/>
        </w:rPr>
        <w:t>Specifically</w:t>
      </w:r>
      <w:r w:rsidR="002E74DF">
        <w:rPr>
          <w:sz w:val="26"/>
          <w:szCs w:val="26"/>
        </w:rPr>
        <w:t xml:space="preserve">, we proposed </w:t>
      </w:r>
      <w:r w:rsidR="0078617B">
        <w:rPr>
          <w:sz w:val="26"/>
          <w:szCs w:val="26"/>
        </w:rPr>
        <w:t>adding the following definitions to Section 69.802: disabled person, LGBTQ</w:t>
      </w:r>
      <w:r w:rsidR="00946280">
        <w:rPr>
          <w:sz w:val="26"/>
          <w:szCs w:val="26"/>
        </w:rPr>
        <w:t>,</w:t>
      </w:r>
      <w:r w:rsidR="0078617B">
        <w:rPr>
          <w:sz w:val="26"/>
          <w:szCs w:val="26"/>
        </w:rPr>
        <w:t xml:space="preserve"> and veteran.  </w:t>
      </w:r>
      <w:r w:rsidR="004C0786">
        <w:rPr>
          <w:sz w:val="26"/>
          <w:szCs w:val="26"/>
        </w:rPr>
        <w:t xml:space="preserve">We proposed defining “LGBTQ” as it is currently defined in </w:t>
      </w:r>
      <w:r w:rsidR="004C0786" w:rsidRPr="0057733D">
        <w:rPr>
          <w:i/>
          <w:iCs/>
          <w:sz w:val="26"/>
          <w:szCs w:val="26"/>
        </w:rPr>
        <w:t>Black’s Law Dictionary</w:t>
      </w:r>
      <w:r w:rsidR="004C0786">
        <w:rPr>
          <w:sz w:val="26"/>
          <w:szCs w:val="26"/>
        </w:rPr>
        <w:t xml:space="preserve"> 11</w:t>
      </w:r>
      <w:r w:rsidR="004C0786" w:rsidRPr="004C0786">
        <w:rPr>
          <w:sz w:val="26"/>
          <w:szCs w:val="26"/>
          <w:vertAlign w:val="superscript"/>
        </w:rPr>
        <w:t>th</w:t>
      </w:r>
      <w:r w:rsidR="004C0786">
        <w:rPr>
          <w:sz w:val="26"/>
          <w:szCs w:val="26"/>
        </w:rPr>
        <w:t xml:space="preserve"> Edition.  </w:t>
      </w:r>
      <w:r w:rsidR="00E32FAF">
        <w:rPr>
          <w:sz w:val="26"/>
          <w:szCs w:val="26"/>
        </w:rPr>
        <w:t>We enumerated</w:t>
      </w:r>
      <w:r w:rsidR="00E32FAF" w:rsidRPr="0CA07E42">
        <w:rPr>
          <w:sz w:val="26"/>
          <w:szCs w:val="26"/>
        </w:rPr>
        <w:t xml:space="preserve"> </w:t>
      </w:r>
      <w:r w:rsidR="776792B1" w:rsidRPr="0CA07E42">
        <w:rPr>
          <w:sz w:val="26"/>
          <w:szCs w:val="26"/>
        </w:rPr>
        <w:t>the</w:t>
      </w:r>
      <w:r w:rsidR="00E32FAF">
        <w:rPr>
          <w:sz w:val="26"/>
          <w:szCs w:val="26"/>
        </w:rPr>
        <w:t xml:space="preserve"> demographic of “veteran” and </w:t>
      </w:r>
      <w:r w:rsidR="00121843">
        <w:rPr>
          <w:sz w:val="26"/>
          <w:szCs w:val="26"/>
        </w:rPr>
        <w:t>adopted the definition from 51 Pa.C.S. §</w:t>
      </w:r>
      <w:r w:rsidR="00EF4AC0">
        <w:rPr>
          <w:sz w:val="26"/>
          <w:szCs w:val="26"/>
        </w:rPr>
        <w:t> </w:t>
      </w:r>
      <w:r w:rsidR="00121843">
        <w:rPr>
          <w:sz w:val="26"/>
          <w:szCs w:val="26"/>
        </w:rPr>
        <w:t xml:space="preserve">9601 which defined </w:t>
      </w:r>
      <w:r w:rsidR="00D65DD0">
        <w:rPr>
          <w:sz w:val="26"/>
          <w:szCs w:val="26"/>
        </w:rPr>
        <w:t xml:space="preserve">“veteran” in the context of business ownership.  </w:t>
      </w:r>
      <w:r w:rsidR="001728CF">
        <w:rPr>
          <w:sz w:val="26"/>
          <w:szCs w:val="26"/>
        </w:rPr>
        <w:t xml:space="preserve">We noted that </w:t>
      </w:r>
      <w:r w:rsidR="00AF538F">
        <w:rPr>
          <w:sz w:val="26"/>
          <w:szCs w:val="26"/>
        </w:rPr>
        <w:t xml:space="preserve">the term “disabled person” was not previously defined even though it was used throughout the existing Policy Statement.  </w:t>
      </w:r>
      <w:r w:rsidR="00C513ED">
        <w:rPr>
          <w:sz w:val="26"/>
          <w:szCs w:val="26"/>
        </w:rPr>
        <w:t>To remedy this, we proposed adopting the Americans with Disabilities Act’s (ADA), 42 U.S.C.A. § 1210</w:t>
      </w:r>
      <w:r w:rsidR="00E53489">
        <w:rPr>
          <w:sz w:val="26"/>
          <w:szCs w:val="26"/>
        </w:rPr>
        <w:t>2, definition and citing directly to the ADA in order for the definition of “disabled person” to stay current in the future.</w:t>
      </w:r>
    </w:p>
    <w:p w14:paraId="65F7C064" w14:textId="77777777" w:rsidR="00DB1208" w:rsidRDefault="00DB1208" w:rsidP="005E2CE2">
      <w:pPr>
        <w:spacing w:line="360" w:lineRule="auto"/>
        <w:ind w:firstLine="720"/>
        <w:rPr>
          <w:sz w:val="26"/>
          <w:szCs w:val="26"/>
        </w:rPr>
      </w:pPr>
    </w:p>
    <w:p w14:paraId="05280701" w14:textId="6C9C9CC2" w:rsidR="00A3084A" w:rsidRDefault="00A3084A" w:rsidP="005E2CE2">
      <w:pPr>
        <w:spacing w:line="360" w:lineRule="auto"/>
        <w:ind w:firstLine="720"/>
        <w:rPr>
          <w:sz w:val="26"/>
          <w:szCs w:val="26"/>
        </w:rPr>
      </w:pPr>
      <w:r>
        <w:rPr>
          <w:sz w:val="26"/>
          <w:szCs w:val="26"/>
        </w:rPr>
        <w:t xml:space="preserve">We also proposed </w:t>
      </w:r>
      <w:r w:rsidR="00927406">
        <w:rPr>
          <w:sz w:val="26"/>
          <w:szCs w:val="26"/>
        </w:rPr>
        <w:t>updating the definition of “diversity” by explicitly identifying the following groups: minorities, women, persons with disabilities, LGBTQ</w:t>
      </w:r>
      <w:r w:rsidR="004C55A3">
        <w:rPr>
          <w:sz w:val="26"/>
          <w:szCs w:val="26"/>
        </w:rPr>
        <w:t>,</w:t>
      </w:r>
      <w:r w:rsidR="00927406">
        <w:rPr>
          <w:sz w:val="26"/>
          <w:szCs w:val="26"/>
        </w:rPr>
        <w:t xml:space="preserve"> and veterans.  Additionally, we proposed to amend the definition of “Minority-Owned Business Enterprise” by specifically including Subcontinent Asian-Americans and Asian Pac</w:t>
      </w:r>
      <w:r w:rsidR="001F0CC9">
        <w:rPr>
          <w:sz w:val="26"/>
          <w:szCs w:val="26"/>
        </w:rPr>
        <w:t xml:space="preserve">ific-Americans in the list of minority groups. </w:t>
      </w:r>
      <w:r w:rsidR="00592469">
        <w:rPr>
          <w:sz w:val="26"/>
          <w:szCs w:val="26"/>
        </w:rPr>
        <w:t xml:space="preserve"> </w:t>
      </w:r>
      <w:r w:rsidR="00653B56">
        <w:rPr>
          <w:sz w:val="26"/>
          <w:szCs w:val="26"/>
        </w:rPr>
        <w:t xml:space="preserve">Finally, we </w:t>
      </w:r>
      <w:r w:rsidR="00F6447C">
        <w:rPr>
          <w:sz w:val="26"/>
          <w:szCs w:val="26"/>
        </w:rPr>
        <w:t xml:space="preserve">initially </w:t>
      </w:r>
      <w:r w:rsidR="00653B56">
        <w:rPr>
          <w:sz w:val="26"/>
          <w:szCs w:val="26"/>
        </w:rPr>
        <w:t xml:space="preserve">proposed removing the acronyms </w:t>
      </w:r>
      <w:r w:rsidR="003718C3">
        <w:rPr>
          <w:sz w:val="26"/>
          <w:szCs w:val="26"/>
        </w:rPr>
        <w:t xml:space="preserve">of Women-Owned Business Enterprise (WBE) and Minority-Owned Business Enterprise (MBE) because these acronyms were not used anywhere in the Commission’s policy </w:t>
      </w:r>
      <w:r w:rsidR="0096177C">
        <w:rPr>
          <w:sz w:val="26"/>
          <w:szCs w:val="26"/>
        </w:rPr>
        <w:t>statement on diversity.</w:t>
      </w:r>
    </w:p>
    <w:p w14:paraId="4F36B5E9" w14:textId="77777777" w:rsidR="00DB1208" w:rsidRDefault="00DB1208" w:rsidP="005E2CE2">
      <w:pPr>
        <w:spacing w:line="360" w:lineRule="auto"/>
        <w:ind w:firstLine="720"/>
        <w:rPr>
          <w:sz w:val="26"/>
          <w:szCs w:val="26"/>
        </w:rPr>
      </w:pPr>
    </w:p>
    <w:p w14:paraId="4D66BC22" w14:textId="77777777" w:rsidR="007B1865" w:rsidRDefault="00C71D9F" w:rsidP="005E2CE2">
      <w:pPr>
        <w:spacing w:line="360" w:lineRule="auto"/>
        <w:ind w:firstLine="720"/>
        <w:rPr>
          <w:sz w:val="26"/>
          <w:szCs w:val="26"/>
        </w:rPr>
      </w:pPr>
      <w:r>
        <w:rPr>
          <w:sz w:val="26"/>
          <w:szCs w:val="26"/>
        </w:rPr>
        <w:t xml:space="preserve">The proposed Policy Statement also focused on encouraging </w:t>
      </w:r>
      <w:r w:rsidR="00143D21">
        <w:rPr>
          <w:sz w:val="26"/>
          <w:szCs w:val="26"/>
        </w:rPr>
        <w:t xml:space="preserve">a uniform method of reporting diversity employment and vendor data.  We noted that </w:t>
      </w:r>
      <w:r w:rsidR="003A53F2">
        <w:rPr>
          <w:sz w:val="26"/>
          <w:szCs w:val="26"/>
        </w:rPr>
        <w:t xml:space="preserve">Commission staff found the detail and type of information reported in the major jurisdictional utility companies’ diversity reports </w:t>
      </w:r>
      <w:r w:rsidR="00C51A43">
        <w:rPr>
          <w:sz w:val="26"/>
          <w:szCs w:val="26"/>
        </w:rPr>
        <w:t xml:space="preserve">was inconsistent.  We </w:t>
      </w:r>
      <w:r w:rsidR="005C21D7">
        <w:rPr>
          <w:sz w:val="26"/>
          <w:szCs w:val="26"/>
        </w:rPr>
        <w:t>proposed</w:t>
      </w:r>
      <w:r w:rsidR="00C51A43">
        <w:rPr>
          <w:sz w:val="26"/>
          <w:szCs w:val="26"/>
        </w:rPr>
        <w:t xml:space="preserve"> revising the recommended reporting elements in Section 69.809 in their entirety.  </w:t>
      </w:r>
      <w:r w:rsidR="00BB5CC6">
        <w:rPr>
          <w:sz w:val="26"/>
          <w:szCs w:val="26"/>
        </w:rPr>
        <w:t xml:space="preserve">The proposed policy statement revised </w:t>
      </w:r>
    </w:p>
    <w:p w14:paraId="7B87E027" w14:textId="77777777" w:rsidR="007B1865" w:rsidRDefault="007B1865">
      <w:pPr>
        <w:rPr>
          <w:sz w:val="26"/>
          <w:szCs w:val="26"/>
        </w:rPr>
      </w:pPr>
      <w:r>
        <w:rPr>
          <w:sz w:val="26"/>
          <w:szCs w:val="26"/>
        </w:rPr>
        <w:br w:type="page"/>
      </w:r>
    </w:p>
    <w:p w14:paraId="701330E6" w14:textId="794C3486" w:rsidR="0092655C" w:rsidRDefault="00BB5CC6" w:rsidP="007B1865">
      <w:pPr>
        <w:spacing w:line="360" w:lineRule="auto"/>
        <w:rPr>
          <w:sz w:val="26"/>
          <w:szCs w:val="26"/>
        </w:rPr>
      </w:pPr>
      <w:r>
        <w:rPr>
          <w:sz w:val="26"/>
          <w:szCs w:val="26"/>
        </w:rPr>
        <w:lastRenderedPageBreak/>
        <w:t xml:space="preserve">Section 69.809 </w:t>
      </w:r>
      <w:r w:rsidR="005C21D7">
        <w:rPr>
          <w:sz w:val="26"/>
          <w:szCs w:val="26"/>
        </w:rPr>
        <w:t>to request the following elements from major jurisdictional utility companies</w:t>
      </w:r>
      <w:r w:rsidR="002038BE">
        <w:rPr>
          <w:sz w:val="26"/>
          <w:szCs w:val="26"/>
        </w:rPr>
        <w:t>:</w:t>
      </w:r>
    </w:p>
    <w:p w14:paraId="26F3ED61" w14:textId="77777777" w:rsidR="001C0BDC" w:rsidRDefault="001C0BDC" w:rsidP="001C0BDC">
      <w:pPr>
        <w:ind w:left="1440" w:right="720"/>
        <w:rPr>
          <w:sz w:val="26"/>
          <w:szCs w:val="26"/>
        </w:rPr>
      </w:pPr>
      <w:r>
        <w:rPr>
          <w:sz w:val="26"/>
          <w:szCs w:val="26"/>
        </w:rPr>
        <w:t xml:space="preserve">(1) A copy of any corporate policy committed to improving diversity in the workplace and in the procurement </w:t>
      </w:r>
      <w:proofErr w:type="gramStart"/>
      <w:r>
        <w:rPr>
          <w:sz w:val="26"/>
          <w:szCs w:val="26"/>
        </w:rPr>
        <w:t>process;</w:t>
      </w:r>
      <w:proofErr w:type="gramEnd"/>
    </w:p>
    <w:p w14:paraId="76E662F9" w14:textId="77777777" w:rsidR="001C0BDC" w:rsidRDefault="001C0BDC" w:rsidP="001C0BDC">
      <w:pPr>
        <w:ind w:left="1440" w:right="720"/>
        <w:rPr>
          <w:sz w:val="26"/>
          <w:szCs w:val="26"/>
        </w:rPr>
      </w:pPr>
    </w:p>
    <w:p w14:paraId="7F6FE842" w14:textId="77777777" w:rsidR="001C0BDC" w:rsidRDefault="001C0BDC" w:rsidP="001C0BDC">
      <w:pPr>
        <w:ind w:left="1440" w:right="720"/>
        <w:rPr>
          <w:sz w:val="26"/>
          <w:szCs w:val="26"/>
        </w:rPr>
      </w:pPr>
      <w:r>
        <w:rPr>
          <w:sz w:val="26"/>
          <w:szCs w:val="26"/>
        </w:rPr>
        <w:t xml:space="preserve">(2) a description of any training implemented on diversity initiatives in employment and in the contract of goods and </w:t>
      </w:r>
      <w:proofErr w:type="gramStart"/>
      <w:r>
        <w:rPr>
          <w:sz w:val="26"/>
          <w:szCs w:val="26"/>
        </w:rPr>
        <w:t>services;</w:t>
      </w:r>
      <w:proofErr w:type="gramEnd"/>
    </w:p>
    <w:p w14:paraId="032E2B49" w14:textId="77777777" w:rsidR="001C0BDC" w:rsidRDefault="001C0BDC" w:rsidP="001C0BDC">
      <w:pPr>
        <w:ind w:left="1440" w:right="720"/>
        <w:rPr>
          <w:sz w:val="26"/>
          <w:szCs w:val="26"/>
        </w:rPr>
      </w:pPr>
    </w:p>
    <w:p w14:paraId="1D3F3403" w14:textId="77777777" w:rsidR="001C0BDC" w:rsidRDefault="001C0BDC" w:rsidP="001C0BDC">
      <w:pPr>
        <w:ind w:left="1440" w:right="720"/>
        <w:rPr>
          <w:sz w:val="26"/>
          <w:szCs w:val="26"/>
        </w:rPr>
      </w:pPr>
      <w:r>
        <w:rPr>
          <w:sz w:val="26"/>
          <w:szCs w:val="26"/>
        </w:rPr>
        <w:t xml:space="preserve">(3) a standardized format to account for diverse employee </w:t>
      </w:r>
      <w:proofErr w:type="gramStart"/>
      <w:r>
        <w:rPr>
          <w:sz w:val="26"/>
          <w:szCs w:val="26"/>
        </w:rPr>
        <w:t>numbers;</w:t>
      </w:r>
      <w:proofErr w:type="gramEnd"/>
    </w:p>
    <w:p w14:paraId="1CBB1C2E" w14:textId="77777777" w:rsidR="001C0BDC" w:rsidRDefault="001C0BDC" w:rsidP="001C0BDC">
      <w:pPr>
        <w:ind w:left="1440" w:right="720"/>
        <w:rPr>
          <w:sz w:val="26"/>
          <w:szCs w:val="26"/>
        </w:rPr>
      </w:pPr>
    </w:p>
    <w:p w14:paraId="5134C6F5" w14:textId="77777777" w:rsidR="001C0BDC" w:rsidRDefault="001C0BDC" w:rsidP="001C0BDC">
      <w:pPr>
        <w:ind w:left="1440" w:right="720"/>
        <w:rPr>
          <w:sz w:val="26"/>
          <w:szCs w:val="26"/>
        </w:rPr>
      </w:pPr>
      <w:r>
        <w:rPr>
          <w:sz w:val="26"/>
          <w:szCs w:val="26"/>
        </w:rPr>
        <w:t xml:space="preserve">(4) a description of any diversity recruiting </w:t>
      </w:r>
      <w:proofErr w:type="gramStart"/>
      <w:r>
        <w:rPr>
          <w:sz w:val="26"/>
          <w:szCs w:val="26"/>
        </w:rPr>
        <w:t>strategies;</w:t>
      </w:r>
      <w:proofErr w:type="gramEnd"/>
    </w:p>
    <w:p w14:paraId="70C19252" w14:textId="77777777" w:rsidR="001C0BDC" w:rsidRDefault="001C0BDC" w:rsidP="001C0BDC">
      <w:pPr>
        <w:ind w:left="1440" w:right="720"/>
        <w:rPr>
          <w:sz w:val="26"/>
          <w:szCs w:val="26"/>
        </w:rPr>
      </w:pPr>
    </w:p>
    <w:p w14:paraId="4D175484" w14:textId="77777777" w:rsidR="001C0BDC" w:rsidRDefault="001C0BDC" w:rsidP="001C0BDC">
      <w:pPr>
        <w:ind w:left="1440" w:right="720"/>
        <w:rPr>
          <w:sz w:val="26"/>
          <w:szCs w:val="26"/>
        </w:rPr>
      </w:pPr>
      <w:r>
        <w:rPr>
          <w:sz w:val="26"/>
          <w:szCs w:val="26"/>
        </w:rPr>
        <w:t xml:space="preserve">(5) a description of any diversity promotion </w:t>
      </w:r>
      <w:proofErr w:type="gramStart"/>
      <w:r>
        <w:rPr>
          <w:sz w:val="26"/>
          <w:szCs w:val="26"/>
        </w:rPr>
        <w:t>efforts;</w:t>
      </w:r>
      <w:proofErr w:type="gramEnd"/>
    </w:p>
    <w:p w14:paraId="13122831" w14:textId="77777777" w:rsidR="001C0BDC" w:rsidRDefault="001C0BDC" w:rsidP="001C0BDC">
      <w:pPr>
        <w:ind w:left="1440" w:right="720"/>
        <w:rPr>
          <w:sz w:val="26"/>
          <w:szCs w:val="26"/>
        </w:rPr>
      </w:pPr>
    </w:p>
    <w:p w14:paraId="3A9CAA48" w14:textId="77777777" w:rsidR="001C0BDC" w:rsidRDefault="001C0BDC" w:rsidP="001C0BDC">
      <w:pPr>
        <w:ind w:left="1440" w:right="720"/>
        <w:rPr>
          <w:sz w:val="26"/>
          <w:szCs w:val="26"/>
        </w:rPr>
      </w:pPr>
      <w:r>
        <w:rPr>
          <w:sz w:val="26"/>
          <w:szCs w:val="26"/>
        </w:rPr>
        <w:t xml:space="preserve">(6) a description of any diversity retention </w:t>
      </w:r>
      <w:proofErr w:type="gramStart"/>
      <w:r>
        <w:rPr>
          <w:sz w:val="26"/>
          <w:szCs w:val="26"/>
        </w:rPr>
        <w:t>efforts;</w:t>
      </w:r>
      <w:proofErr w:type="gramEnd"/>
    </w:p>
    <w:p w14:paraId="273D54C3" w14:textId="77777777" w:rsidR="001C0BDC" w:rsidRDefault="001C0BDC" w:rsidP="001C0BDC">
      <w:pPr>
        <w:ind w:left="1440" w:right="720"/>
        <w:rPr>
          <w:sz w:val="26"/>
          <w:szCs w:val="26"/>
        </w:rPr>
      </w:pPr>
    </w:p>
    <w:p w14:paraId="76E9970D" w14:textId="00ED9A2B" w:rsidR="001C0BDC" w:rsidRDefault="001C0BDC" w:rsidP="001C0BDC">
      <w:pPr>
        <w:ind w:left="1440" w:right="720"/>
        <w:rPr>
          <w:sz w:val="26"/>
          <w:szCs w:val="26"/>
        </w:rPr>
      </w:pPr>
      <w:r>
        <w:rPr>
          <w:sz w:val="26"/>
          <w:szCs w:val="26"/>
        </w:rPr>
        <w:t>(7) a brief description of any involvement with organizations promoting diversity.</w:t>
      </w:r>
    </w:p>
    <w:p w14:paraId="36401407" w14:textId="77777777" w:rsidR="00DB1208" w:rsidRDefault="00DB1208" w:rsidP="001C0BDC">
      <w:pPr>
        <w:ind w:left="1440" w:right="720"/>
        <w:rPr>
          <w:sz w:val="26"/>
          <w:szCs w:val="26"/>
        </w:rPr>
      </w:pPr>
    </w:p>
    <w:p w14:paraId="332DA846" w14:textId="77777777" w:rsidR="00CD2E02" w:rsidRDefault="00CD2E02" w:rsidP="001C0BDC">
      <w:pPr>
        <w:ind w:left="1440" w:right="720"/>
        <w:rPr>
          <w:sz w:val="26"/>
          <w:szCs w:val="26"/>
        </w:rPr>
      </w:pPr>
    </w:p>
    <w:p w14:paraId="5FBB1D03" w14:textId="534D110E" w:rsidR="002038BE" w:rsidRDefault="003669F5" w:rsidP="005E2CE2">
      <w:pPr>
        <w:spacing w:line="360" w:lineRule="auto"/>
        <w:ind w:firstLine="720"/>
        <w:rPr>
          <w:sz w:val="26"/>
          <w:szCs w:val="26"/>
        </w:rPr>
      </w:pPr>
      <w:r>
        <w:rPr>
          <w:sz w:val="26"/>
          <w:szCs w:val="26"/>
        </w:rPr>
        <w:t xml:space="preserve">In addition to </w:t>
      </w:r>
      <w:r w:rsidR="009D4BDB">
        <w:rPr>
          <w:sz w:val="26"/>
          <w:szCs w:val="26"/>
        </w:rPr>
        <w:t xml:space="preserve">these new </w:t>
      </w:r>
      <w:r w:rsidR="006527C2">
        <w:rPr>
          <w:sz w:val="26"/>
          <w:szCs w:val="26"/>
        </w:rPr>
        <w:t xml:space="preserve">recommended </w:t>
      </w:r>
      <w:r w:rsidR="009D4BDB">
        <w:rPr>
          <w:sz w:val="26"/>
          <w:szCs w:val="26"/>
        </w:rPr>
        <w:t xml:space="preserve">reporting elements, the Commission also proposed a new standardized form </w:t>
      </w:r>
      <w:r w:rsidR="001535BF">
        <w:rPr>
          <w:sz w:val="26"/>
          <w:szCs w:val="26"/>
        </w:rPr>
        <w:t>that the</w:t>
      </w:r>
      <w:r w:rsidR="009D4BDB">
        <w:rPr>
          <w:sz w:val="26"/>
          <w:szCs w:val="26"/>
        </w:rPr>
        <w:t xml:space="preserve"> major jurisdictional utility companies </w:t>
      </w:r>
      <w:r w:rsidR="001C219B">
        <w:rPr>
          <w:sz w:val="26"/>
          <w:szCs w:val="26"/>
        </w:rPr>
        <w:t xml:space="preserve">may </w:t>
      </w:r>
      <w:r w:rsidR="00A4243B">
        <w:rPr>
          <w:sz w:val="26"/>
          <w:szCs w:val="26"/>
        </w:rPr>
        <w:t xml:space="preserve">use in reporting their diverse workforce demographics, which was included as Attachment A.  </w:t>
      </w:r>
      <w:r w:rsidR="00485332">
        <w:rPr>
          <w:sz w:val="26"/>
          <w:szCs w:val="26"/>
        </w:rPr>
        <w:t xml:space="preserve">We proposed using a form </w:t>
      </w:r>
      <w:r w:rsidR="002E5440">
        <w:rPr>
          <w:sz w:val="26"/>
          <w:szCs w:val="26"/>
        </w:rPr>
        <w:t>modeled after the Security and Exchange Commission’s Diversity Assessment Report for Entities Regulated by the SEC.</w:t>
      </w:r>
      <w:r w:rsidR="001C18CF">
        <w:rPr>
          <w:rStyle w:val="FootnoteReference"/>
          <w:sz w:val="26"/>
          <w:szCs w:val="26"/>
        </w:rPr>
        <w:footnoteReference w:id="2"/>
      </w:r>
    </w:p>
    <w:p w14:paraId="4E943A73" w14:textId="77777777" w:rsidR="00DB1208" w:rsidRDefault="00DB1208" w:rsidP="005E2CE2">
      <w:pPr>
        <w:spacing w:line="360" w:lineRule="auto"/>
        <w:ind w:firstLine="720"/>
        <w:rPr>
          <w:sz w:val="26"/>
          <w:szCs w:val="26"/>
        </w:rPr>
      </w:pPr>
    </w:p>
    <w:p w14:paraId="20DDC7F6" w14:textId="39E8902A" w:rsidR="002E5440" w:rsidRPr="0092655C" w:rsidRDefault="002E5440" w:rsidP="005E2CE2">
      <w:pPr>
        <w:spacing w:line="360" w:lineRule="auto"/>
        <w:ind w:firstLine="720"/>
        <w:rPr>
          <w:sz w:val="26"/>
          <w:szCs w:val="26"/>
        </w:rPr>
      </w:pPr>
      <w:r>
        <w:rPr>
          <w:sz w:val="26"/>
          <w:szCs w:val="26"/>
        </w:rPr>
        <w:t>Further</w:t>
      </w:r>
      <w:r w:rsidR="00EC7F47">
        <w:rPr>
          <w:sz w:val="26"/>
          <w:szCs w:val="26"/>
        </w:rPr>
        <w:t>,</w:t>
      </w:r>
      <w:r>
        <w:rPr>
          <w:sz w:val="26"/>
          <w:szCs w:val="26"/>
        </w:rPr>
        <w:t xml:space="preserve"> we proposed updating Section 69.809 to remove outdated references</w:t>
      </w:r>
      <w:r w:rsidR="00116543">
        <w:rPr>
          <w:sz w:val="26"/>
          <w:szCs w:val="26"/>
        </w:rPr>
        <w:t>.  The Commission no longer has a Bureau of Public Liaison so major jurisdictional utility companies will be instructed to submit their reports to the Secretary of the Commission.</w:t>
      </w:r>
      <w:r w:rsidR="001B6B9C">
        <w:rPr>
          <w:sz w:val="26"/>
          <w:szCs w:val="26"/>
        </w:rPr>
        <w:t xml:space="preserve">  Additionally, as the Policy Statement has been in effect since 1995, the initial reporting year is no longer necessary.  As such, we proposed removing </w:t>
      </w:r>
      <w:r w:rsidR="00282FAA">
        <w:rPr>
          <w:sz w:val="26"/>
          <w:szCs w:val="26"/>
        </w:rPr>
        <w:t xml:space="preserve">this language in </w:t>
      </w:r>
      <w:r w:rsidR="00282FAA">
        <w:rPr>
          <w:sz w:val="26"/>
          <w:szCs w:val="26"/>
        </w:rPr>
        <w:lastRenderedPageBreak/>
        <w:t>subsection</w:t>
      </w:r>
      <w:r w:rsidR="008F542E">
        <w:rPr>
          <w:sz w:val="26"/>
          <w:szCs w:val="26"/>
        </w:rPr>
        <w:t> </w:t>
      </w:r>
      <w:r w:rsidR="00282FAA">
        <w:rPr>
          <w:sz w:val="26"/>
          <w:szCs w:val="26"/>
        </w:rPr>
        <w:t>(a).  Finally, the subsection letters in Section 69.809 were revised to address the omission of subsection (b).</w:t>
      </w:r>
    </w:p>
    <w:p w14:paraId="1B7D4845" w14:textId="77777777" w:rsidR="007830FC" w:rsidRPr="005E2CE2" w:rsidRDefault="007830FC" w:rsidP="005E2CE2">
      <w:pPr>
        <w:spacing w:line="360" w:lineRule="auto"/>
        <w:ind w:firstLine="720"/>
        <w:rPr>
          <w:sz w:val="26"/>
          <w:szCs w:val="26"/>
        </w:rPr>
      </w:pPr>
    </w:p>
    <w:p w14:paraId="1C148A20" w14:textId="5B30159A" w:rsidR="00DD3EF3" w:rsidRDefault="00F73495" w:rsidP="00F73495">
      <w:pPr>
        <w:spacing w:line="360" w:lineRule="auto"/>
        <w:jc w:val="center"/>
        <w:rPr>
          <w:b/>
          <w:bCs/>
          <w:sz w:val="26"/>
          <w:szCs w:val="26"/>
        </w:rPr>
      </w:pPr>
      <w:r>
        <w:rPr>
          <w:b/>
          <w:bCs/>
          <w:sz w:val="26"/>
          <w:szCs w:val="26"/>
        </w:rPr>
        <w:t>DISCUSSION</w:t>
      </w:r>
    </w:p>
    <w:p w14:paraId="475018B4" w14:textId="30649FC8" w:rsidR="00AA241D" w:rsidRDefault="000C2BC1" w:rsidP="00A00202">
      <w:pPr>
        <w:spacing w:line="360" w:lineRule="auto"/>
        <w:ind w:firstLine="720"/>
        <w:rPr>
          <w:sz w:val="26"/>
          <w:szCs w:val="26"/>
        </w:rPr>
      </w:pPr>
      <w:r>
        <w:rPr>
          <w:sz w:val="26"/>
          <w:szCs w:val="26"/>
        </w:rPr>
        <w:t xml:space="preserve">The Commission received and reviewed the comments filed in this proceeding.  Based </w:t>
      </w:r>
      <w:r w:rsidR="006D76F0">
        <w:rPr>
          <w:sz w:val="26"/>
          <w:szCs w:val="26"/>
        </w:rPr>
        <w:t xml:space="preserve">upon those comments, the Commission has determined that it will proceed with </w:t>
      </w:r>
      <w:r w:rsidR="00B70F40">
        <w:rPr>
          <w:sz w:val="26"/>
          <w:szCs w:val="26"/>
        </w:rPr>
        <w:t xml:space="preserve">the proposal </w:t>
      </w:r>
      <w:r w:rsidR="00123D9B">
        <w:rPr>
          <w:sz w:val="26"/>
          <w:szCs w:val="26"/>
        </w:rPr>
        <w:t xml:space="preserve">to revise </w:t>
      </w:r>
      <w:r w:rsidR="00B70F40">
        <w:rPr>
          <w:sz w:val="26"/>
          <w:szCs w:val="26"/>
        </w:rPr>
        <w:t xml:space="preserve">the proposed policy statement, with modifications.  </w:t>
      </w:r>
      <w:r w:rsidR="00030264">
        <w:rPr>
          <w:sz w:val="26"/>
          <w:szCs w:val="26"/>
        </w:rPr>
        <w:t>The Commission received comments from Aqua Pennsylvania Inc. (Aqua), Duquesne Light Co.</w:t>
      </w:r>
      <w:r w:rsidR="00707013">
        <w:rPr>
          <w:sz w:val="26"/>
          <w:szCs w:val="26"/>
        </w:rPr>
        <w:t xml:space="preserve"> (Duquesne</w:t>
      </w:r>
      <w:r w:rsidR="000F3CCB">
        <w:rPr>
          <w:sz w:val="26"/>
          <w:szCs w:val="26"/>
        </w:rPr>
        <w:t xml:space="preserve"> Light</w:t>
      </w:r>
      <w:r w:rsidR="00707013">
        <w:rPr>
          <w:sz w:val="26"/>
          <w:szCs w:val="26"/>
        </w:rPr>
        <w:t>)</w:t>
      </w:r>
      <w:r w:rsidR="00030264">
        <w:rPr>
          <w:sz w:val="26"/>
          <w:szCs w:val="26"/>
        </w:rPr>
        <w:t>, Energy Association of Pennsylvania (EAP), First Energy, PECO Energy Company (PECO), Philadelphia Gas Works (PGW), Pennsylvania American Water Company (PAWC) and PPL Electric Utility Corporation (PPL).</w:t>
      </w:r>
      <w:r w:rsidR="00CC7594">
        <w:rPr>
          <w:sz w:val="26"/>
          <w:szCs w:val="26"/>
        </w:rPr>
        <w:t xml:space="preserve">  </w:t>
      </w:r>
      <w:r w:rsidR="0018374D">
        <w:rPr>
          <w:sz w:val="26"/>
          <w:szCs w:val="26"/>
        </w:rPr>
        <w:t xml:space="preserve">The </w:t>
      </w:r>
      <w:r w:rsidR="00870685">
        <w:rPr>
          <w:sz w:val="26"/>
          <w:szCs w:val="26"/>
        </w:rPr>
        <w:t xml:space="preserve">comments </w:t>
      </w:r>
      <w:r w:rsidR="00CC7594">
        <w:rPr>
          <w:sz w:val="26"/>
          <w:szCs w:val="26"/>
        </w:rPr>
        <w:t xml:space="preserve">received </w:t>
      </w:r>
      <w:r w:rsidR="0034151E">
        <w:rPr>
          <w:sz w:val="26"/>
          <w:szCs w:val="26"/>
        </w:rPr>
        <w:t xml:space="preserve">primarily </w:t>
      </w:r>
      <w:r w:rsidR="006E2AD6">
        <w:rPr>
          <w:sz w:val="26"/>
          <w:szCs w:val="26"/>
        </w:rPr>
        <w:t xml:space="preserve">suggest changes to the </w:t>
      </w:r>
      <w:r w:rsidR="00CC7594">
        <w:rPr>
          <w:sz w:val="26"/>
          <w:szCs w:val="26"/>
        </w:rPr>
        <w:t xml:space="preserve">terms and </w:t>
      </w:r>
      <w:r w:rsidR="001014CF">
        <w:rPr>
          <w:sz w:val="26"/>
          <w:szCs w:val="26"/>
        </w:rPr>
        <w:t xml:space="preserve">their </w:t>
      </w:r>
      <w:r w:rsidR="00CC7594">
        <w:rPr>
          <w:sz w:val="26"/>
          <w:szCs w:val="26"/>
        </w:rPr>
        <w:t>respective definitions</w:t>
      </w:r>
      <w:r w:rsidR="00A25C4F">
        <w:rPr>
          <w:sz w:val="26"/>
          <w:szCs w:val="26"/>
        </w:rPr>
        <w:t xml:space="preserve"> that the Commission defined in its Proposed Policy Statement.  The Commission address</w:t>
      </w:r>
      <w:r w:rsidR="001014CF">
        <w:rPr>
          <w:sz w:val="26"/>
          <w:szCs w:val="26"/>
        </w:rPr>
        <w:t>es</w:t>
      </w:r>
      <w:r w:rsidR="00A25C4F">
        <w:rPr>
          <w:sz w:val="26"/>
          <w:szCs w:val="26"/>
        </w:rPr>
        <w:t xml:space="preserve"> </w:t>
      </w:r>
      <w:r w:rsidR="00FE1CAF">
        <w:rPr>
          <w:sz w:val="26"/>
          <w:szCs w:val="26"/>
        </w:rPr>
        <w:t xml:space="preserve">all of the </w:t>
      </w:r>
      <w:r w:rsidR="00102404">
        <w:rPr>
          <w:sz w:val="26"/>
          <w:szCs w:val="26"/>
        </w:rPr>
        <w:t>comments</w:t>
      </w:r>
      <w:r w:rsidR="001014CF">
        <w:rPr>
          <w:sz w:val="26"/>
          <w:szCs w:val="26"/>
        </w:rPr>
        <w:t xml:space="preserve"> </w:t>
      </w:r>
      <w:r w:rsidR="008B0923">
        <w:rPr>
          <w:sz w:val="26"/>
          <w:szCs w:val="26"/>
        </w:rPr>
        <w:t>it received</w:t>
      </w:r>
      <w:r w:rsidR="001014CF">
        <w:rPr>
          <w:sz w:val="26"/>
          <w:szCs w:val="26"/>
        </w:rPr>
        <w:t xml:space="preserve"> in the following sections</w:t>
      </w:r>
      <w:r w:rsidR="00102404">
        <w:rPr>
          <w:sz w:val="26"/>
          <w:szCs w:val="26"/>
        </w:rPr>
        <w:t>.</w:t>
      </w:r>
    </w:p>
    <w:p w14:paraId="12938E06" w14:textId="77777777" w:rsidR="00B2107A" w:rsidRDefault="00B2107A" w:rsidP="00A00202">
      <w:pPr>
        <w:spacing w:line="360" w:lineRule="auto"/>
        <w:ind w:firstLine="720"/>
        <w:rPr>
          <w:b/>
          <w:bCs/>
          <w:sz w:val="26"/>
          <w:szCs w:val="26"/>
        </w:rPr>
      </w:pPr>
    </w:p>
    <w:p w14:paraId="2FE489E4" w14:textId="387F9C14" w:rsidR="00110BB5" w:rsidRPr="00E035EE" w:rsidRDefault="00DB7E2F" w:rsidP="00A00202">
      <w:pPr>
        <w:spacing w:line="360" w:lineRule="auto"/>
        <w:ind w:firstLine="720"/>
        <w:rPr>
          <w:b/>
          <w:bCs/>
          <w:sz w:val="26"/>
          <w:szCs w:val="26"/>
        </w:rPr>
      </w:pPr>
      <w:r w:rsidRPr="0011765A">
        <w:rPr>
          <w:b/>
          <w:bCs/>
          <w:sz w:val="26"/>
          <w:szCs w:val="26"/>
        </w:rPr>
        <w:t>Applicability of the Policy Statement</w:t>
      </w:r>
    </w:p>
    <w:p w14:paraId="76764905" w14:textId="45DCA16D" w:rsidR="00110BB5" w:rsidRDefault="00110BB5" w:rsidP="00A00202">
      <w:pPr>
        <w:spacing w:line="360" w:lineRule="auto"/>
        <w:ind w:firstLine="720"/>
        <w:rPr>
          <w:i/>
          <w:sz w:val="26"/>
          <w:szCs w:val="26"/>
        </w:rPr>
      </w:pPr>
      <w:r>
        <w:rPr>
          <w:sz w:val="26"/>
          <w:szCs w:val="26"/>
        </w:rPr>
        <w:t>EAP recommend</w:t>
      </w:r>
      <w:r w:rsidR="00D46C21">
        <w:rPr>
          <w:sz w:val="26"/>
          <w:szCs w:val="26"/>
        </w:rPr>
        <w:t>ed</w:t>
      </w:r>
      <w:r w:rsidR="00323184">
        <w:rPr>
          <w:sz w:val="26"/>
          <w:szCs w:val="26"/>
        </w:rPr>
        <w:t>, which First Energy and PECO join</w:t>
      </w:r>
      <w:r w:rsidR="00344F52">
        <w:rPr>
          <w:sz w:val="26"/>
          <w:szCs w:val="26"/>
        </w:rPr>
        <w:t>ed</w:t>
      </w:r>
      <w:r w:rsidR="00323184">
        <w:rPr>
          <w:sz w:val="26"/>
          <w:szCs w:val="26"/>
        </w:rPr>
        <w:t xml:space="preserve">, that the Commission amend </w:t>
      </w:r>
      <w:r w:rsidR="00190E08">
        <w:rPr>
          <w:sz w:val="26"/>
          <w:szCs w:val="26"/>
        </w:rPr>
        <w:t xml:space="preserve">the threshold for </w:t>
      </w:r>
      <w:r w:rsidR="004E65B5">
        <w:rPr>
          <w:sz w:val="26"/>
          <w:szCs w:val="26"/>
        </w:rPr>
        <w:t>major jurisdictional utility companies</w:t>
      </w:r>
      <w:r w:rsidR="00190E08">
        <w:rPr>
          <w:sz w:val="26"/>
          <w:szCs w:val="26"/>
        </w:rPr>
        <w:t xml:space="preserve"> that should report under the policy statement</w:t>
      </w:r>
      <w:r w:rsidR="003E58BA">
        <w:rPr>
          <w:sz w:val="26"/>
          <w:szCs w:val="26"/>
        </w:rPr>
        <w:t xml:space="preserve">. </w:t>
      </w:r>
      <w:r w:rsidR="002A5AF0">
        <w:rPr>
          <w:sz w:val="26"/>
          <w:szCs w:val="26"/>
        </w:rPr>
        <w:t xml:space="preserve"> EAP Comments at </w:t>
      </w:r>
      <w:r w:rsidR="00EB1CDD">
        <w:rPr>
          <w:sz w:val="26"/>
          <w:szCs w:val="26"/>
        </w:rPr>
        <w:t>3-4</w:t>
      </w:r>
      <w:r w:rsidR="00FD4E64">
        <w:rPr>
          <w:sz w:val="26"/>
          <w:szCs w:val="26"/>
        </w:rPr>
        <w:t>.</w:t>
      </w:r>
      <w:r w:rsidR="00B676B0">
        <w:rPr>
          <w:sz w:val="26"/>
          <w:szCs w:val="26"/>
        </w:rPr>
        <w:t xml:space="preserve"> </w:t>
      </w:r>
      <w:r w:rsidR="003E58BA">
        <w:rPr>
          <w:sz w:val="26"/>
          <w:szCs w:val="26"/>
        </w:rPr>
        <w:t xml:space="preserve"> Specifically, EAP recommends that the applicability of this policy statement </w:t>
      </w:r>
      <w:r w:rsidR="00CC5BD8">
        <w:rPr>
          <w:sz w:val="26"/>
          <w:szCs w:val="26"/>
        </w:rPr>
        <w:t xml:space="preserve">not be based upon the value of net plant in service of EAP utilities, but on the employee headcount of those utilities. </w:t>
      </w:r>
      <w:r w:rsidR="0076490B">
        <w:rPr>
          <w:sz w:val="26"/>
          <w:szCs w:val="26"/>
        </w:rPr>
        <w:t xml:space="preserve"> </w:t>
      </w:r>
      <w:r w:rsidR="00BC7674">
        <w:rPr>
          <w:sz w:val="26"/>
          <w:szCs w:val="26"/>
        </w:rPr>
        <w:t xml:space="preserve">EAP Comments at 4. </w:t>
      </w:r>
      <w:r w:rsidR="00CC5BD8">
        <w:rPr>
          <w:sz w:val="26"/>
          <w:szCs w:val="26"/>
        </w:rPr>
        <w:t xml:space="preserve"> </w:t>
      </w:r>
      <w:r w:rsidR="00D52F35">
        <w:rPr>
          <w:sz w:val="26"/>
          <w:szCs w:val="26"/>
        </w:rPr>
        <w:t xml:space="preserve">EAP opines that it has some member utilities that </w:t>
      </w:r>
      <w:r w:rsidR="0028312D">
        <w:rPr>
          <w:sz w:val="26"/>
          <w:szCs w:val="26"/>
        </w:rPr>
        <w:t xml:space="preserve">would meet the threshold </w:t>
      </w:r>
      <w:r w:rsidR="002B448C">
        <w:rPr>
          <w:sz w:val="26"/>
          <w:szCs w:val="26"/>
        </w:rPr>
        <w:t>value of net plant in service but have less than 50 employees</w:t>
      </w:r>
      <w:r w:rsidR="00407BAE">
        <w:rPr>
          <w:sz w:val="26"/>
          <w:szCs w:val="26"/>
        </w:rPr>
        <w:t xml:space="preserve">. </w:t>
      </w:r>
      <w:r w:rsidR="00BC7674">
        <w:rPr>
          <w:sz w:val="26"/>
          <w:szCs w:val="26"/>
        </w:rPr>
        <w:t xml:space="preserve"> </w:t>
      </w:r>
      <w:r w:rsidR="00136C34" w:rsidRPr="00136C34">
        <w:rPr>
          <w:i/>
          <w:sz w:val="26"/>
          <w:szCs w:val="26"/>
        </w:rPr>
        <w:t>Id.</w:t>
      </w:r>
      <w:r w:rsidR="00BC7674">
        <w:rPr>
          <w:sz w:val="26"/>
          <w:szCs w:val="26"/>
        </w:rPr>
        <w:t xml:space="preserve"> </w:t>
      </w:r>
      <w:r w:rsidR="00407BAE">
        <w:rPr>
          <w:sz w:val="26"/>
          <w:szCs w:val="26"/>
        </w:rPr>
        <w:t xml:space="preserve"> EAP suggests that removing the threshold of net plant in service value and replacing it with a 50</w:t>
      </w:r>
      <w:r w:rsidR="00E569E3">
        <w:rPr>
          <w:sz w:val="26"/>
          <w:szCs w:val="26"/>
        </w:rPr>
        <w:t>-</w:t>
      </w:r>
      <w:r w:rsidR="00407BAE">
        <w:rPr>
          <w:sz w:val="26"/>
          <w:szCs w:val="26"/>
        </w:rPr>
        <w:t>employee</w:t>
      </w:r>
      <w:r w:rsidR="00E569E3">
        <w:rPr>
          <w:sz w:val="26"/>
          <w:szCs w:val="26"/>
        </w:rPr>
        <w:t>-</w:t>
      </w:r>
      <w:r w:rsidR="008C481F">
        <w:rPr>
          <w:sz w:val="26"/>
          <w:szCs w:val="26"/>
        </w:rPr>
        <w:t>or</w:t>
      </w:r>
      <w:r w:rsidR="00E569E3">
        <w:rPr>
          <w:sz w:val="26"/>
          <w:szCs w:val="26"/>
        </w:rPr>
        <w:t>-</w:t>
      </w:r>
      <w:r w:rsidR="008C481F">
        <w:rPr>
          <w:sz w:val="26"/>
          <w:szCs w:val="26"/>
        </w:rPr>
        <w:t>more</w:t>
      </w:r>
      <w:r w:rsidR="00407BAE">
        <w:rPr>
          <w:sz w:val="26"/>
          <w:szCs w:val="26"/>
        </w:rPr>
        <w:t xml:space="preserve"> </w:t>
      </w:r>
      <w:r w:rsidR="000A0998">
        <w:rPr>
          <w:sz w:val="26"/>
          <w:szCs w:val="26"/>
        </w:rPr>
        <w:t xml:space="preserve">threshold </w:t>
      </w:r>
      <w:r w:rsidR="006831DB">
        <w:rPr>
          <w:sz w:val="26"/>
          <w:szCs w:val="26"/>
        </w:rPr>
        <w:t xml:space="preserve">similar to the federal reporting threshold </w:t>
      </w:r>
      <w:r w:rsidR="000A0998">
        <w:rPr>
          <w:sz w:val="26"/>
          <w:szCs w:val="26"/>
        </w:rPr>
        <w:t xml:space="preserve">will avoid burdening smaller utilities </w:t>
      </w:r>
      <w:r w:rsidR="002469E4">
        <w:rPr>
          <w:sz w:val="26"/>
          <w:szCs w:val="26"/>
        </w:rPr>
        <w:t>with reporting.</w:t>
      </w:r>
      <w:r w:rsidR="00BC7674">
        <w:rPr>
          <w:sz w:val="26"/>
          <w:szCs w:val="26"/>
        </w:rPr>
        <w:t xml:space="preserve">  </w:t>
      </w:r>
      <w:r w:rsidR="00136C34" w:rsidRPr="00136C34">
        <w:rPr>
          <w:i/>
          <w:sz w:val="26"/>
          <w:szCs w:val="26"/>
        </w:rPr>
        <w:t>Id.</w:t>
      </w:r>
    </w:p>
    <w:p w14:paraId="3C29ACF6" w14:textId="77777777" w:rsidR="001553FD" w:rsidRDefault="001553FD" w:rsidP="00A00202">
      <w:pPr>
        <w:spacing w:line="360" w:lineRule="auto"/>
        <w:ind w:firstLine="720"/>
        <w:rPr>
          <w:sz w:val="26"/>
          <w:szCs w:val="26"/>
        </w:rPr>
      </w:pPr>
    </w:p>
    <w:p w14:paraId="6262007E" w14:textId="0D3401D6" w:rsidR="005F7979" w:rsidRPr="005F7979" w:rsidRDefault="005F1FA4" w:rsidP="005F7979">
      <w:pPr>
        <w:spacing w:line="360" w:lineRule="auto"/>
        <w:ind w:firstLine="720"/>
        <w:rPr>
          <w:sz w:val="26"/>
          <w:szCs w:val="26"/>
        </w:rPr>
      </w:pPr>
      <w:r>
        <w:rPr>
          <w:sz w:val="26"/>
          <w:szCs w:val="26"/>
        </w:rPr>
        <w:t xml:space="preserve">The Commission </w:t>
      </w:r>
      <w:r w:rsidR="004F3C03">
        <w:rPr>
          <w:sz w:val="26"/>
          <w:szCs w:val="26"/>
        </w:rPr>
        <w:t xml:space="preserve">has chosen </w:t>
      </w:r>
      <w:r>
        <w:rPr>
          <w:sz w:val="26"/>
          <w:szCs w:val="26"/>
        </w:rPr>
        <w:t>not</w:t>
      </w:r>
      <w:r w:rsidDel="00D23E9F">
        <w:rPr>
          <w:sz w:val="26"/>
          <w:szCs w:val="26"/>
        </w:rPr>
        <w:t xml:space="preserve"> </w:t>
      </w:r>
      <w:r>
        <w:rPr>
          <w:sz w:val="26"/>
          <w:szCs w:val="26"/>
        </w:rPr>
        <w:t xml:space="preserve">to </w:t>
      </w:r>
      <w:r w:rsidR="005E47CD">
        <w:rPr>
          <w:sz w:val="26"/>
          <w:szCs w:val="26"/>
        </w:rPr>
        <w:t xml:space="preserve">reduce the $10 million net plant classification </w:t>
      </w:r>
      <w:r w:rsidR="00D23E9F">
        <w:rPr>
          <w:sz w:val="26"/>
          <w:szCs w:val="26"/>
        </w:rPr>
        <w:t xml:space="preserve">for the purposes of the </w:t>
      </w:r>
      <w:r w:rsidR="00FA6B2B">
        <w:rPr>
          <w:sz w:val="26"/>
          <w:szCs w:val="26"/>
        </w:rPr>
        <w:t xml:space="preserve">diversity </w:t>
      </w:r>
      <w:r w:rsidR="00D23E9F">
        <w:rPr>
          <w:sz w:val="26"/>
          <w:szCs w:val="26"/>
        </w:rPr>
        <w:t xml:space="preserve">policy statement </w:t>
      </w:r>
      <w:r w:rsidR="005E47CD">
        <w:rPr>
          <w:sz w:val="26"/>
          <w:szCs w:val="26"/>
        </w:rPr>
        <w:t xml:space="preserve">because </w:t>
      </w:r>
      <w:r w:rsidR="00FA6B2B">
        <w:rPr>
          <w:sz w:val="26"/>
          <w:szCs w:val="26"/>
        </w:rPr>
        <w:t xml:space="preserve">such a change </w:t>
      </w:r>
      <w:r w:rsidR="00773043">
        <w:rPr>
          <w:sz w:val="26"/>
          <w:szCs w:val="26"/>
        </w:rPr>
        <w:t xml:space="preserve">would not align </w:t>
      </w:r>
      <w:r w:rsidR="00773043">
        <w:rPr>
          <w:sz w:val="26"/>
          <w:szCs w:val="26"/>
        </w:rPr>
        <w:lastRenderedPageBreak/>
        <w:t>with Commission regulations</w:t>
      </w:r>
      <w:r w:rsidR="00B8158E">
        <w:rPr>
          <w:sz w:val="26"/>
          <w:szCs w:val="26"/>
        </w:rPr>
        <w:t xml:space="preserve"> regarding other matters</w:t>
      </w:r>
      <w:r w:rsidR="00A71680">
        <w:rPr>
          <w:sz w:val="26"/>
          <w:szCs w:val="26"/>
        </w:rPr>
        <w:t xml:space="preserve">.  </w:t>
      </w:r>
      <w:r w:rsidR="001C6953">
        <w:rPr>
          <w:sz w:val="26"/>
          <w:szCs w:val="26"/>
        </w:rPr>
        <w:t xml:space="preserve">The Commission </w:t>
      </w:r>
      <w:r w:rsidR="00C5085A">
        <w:rPr>
          <w:sz w:val="26"/>
          <w:szCs w:val="26"/>
        </w:rPr>
        <w:t>notes</w:t>
      </w:r>
      <w:r w:rsidR="001C6953">
        <w:rPr>
          <w:sz w:val="26"/>
          <w:szCs w:val="26"/>
        </w:rPr>
        <w:t xml:space="preserve"> </w:t>
      </w:r>
      <w:r w:rsidR="00E76715">
        <w:rPr>
          <w:sz w:val="26"/>
          <w:szCs w:val="26"/>
        </w:rPr>
        <w:t>in Section</w:t>
      </w:r>
      <w:r w:rsidR="00C5085A">
        <w:rPr>
          <w:sz w:val="26"/>
          <w:szCs w:val="26"/>
        </w:rPr>
        <w:t> </w:t>
      </w:r>
      <w:r w:rsidR="00E76715">
        <w:rPr>
          <w:sz w:val="26"/>
          <w:szCs w:val="26"/>
        </w:rPr>
        <w:t xml:space="preserve">73.2 that the term </w:t>
      </w:r>
      <w:r w:rsidR="006F66E9">
        <w:rPr>
          <w:sz w:val="26"/>
          <w:szCs w:val="26"/>
        </w:rPr>
        <w:t>“</w:t>
      </w:r>
      <w:r w:rsidR="00E76715">
        <w:rPr>
          <w:sz w:val="26"/>
          <w:szCs w:val="26"/>
        </w:rPr>
        <w:t>major</w:t>
      </w:r>
      <w:r w:rsidR="006F66E9">
        <w:rPr>
          <w:sz w:val="26"/>
          <w:szCs w:val="26"/>
        </w:rPr>
        <w:t>”</w:t>
      </w:r>
      <w:r w:rsidR="00E76715">
        <w:rPr>
          <w:sz w:val="26"/>
          <w:szCs w:val="26"/>
        </w:rPr>
        <w:t xml:space="preserve"> as it applies to annual depreciation reports</w:t>
      </w:r>
      <w:r w:rsidR="006F66E9">
        <w:rPr>
          <w:sz w:val="26"/>
          <w:szCs w:val="26"/>
        </w:rPr>
        <w:t>, service life studies and capital investment plans is defined as “[e]</w:t>
      </w:r>
      <w:r w:rsidR="00A033F8">
        <w:rPr>
          <w:sz w:val="26"/>
          <w:szCs w:val="26"/>
        </w:rPr>
        <w:t>ach project with a cost in excess of 1% of the undepreciated original cost of the utility total plant in service or $10 million, whichever is less.</w:t>
      </w:r>
      <w:r w:rsidR="0008214E">
        <w:rPr>
          <w:sz w:val="26"/>
          <w:szCs w:val="26"/>
        </w:rPr>
        <w:t xml:space="preserve">  52 Pa. Code § 73.2.</w:t>
      </w:r>
      <w:r w:rsidR="00A033F8">
        <w:rPr>
          <w:sz w:val="26"/>
          <w:szCs w:val="26"/>
        </w:rPr>
        <w:t xml:space="preserve">  It is apparent that </w:t>
      </w:r>
      <w:r w:rsidR="00C22FF9">
        <w:rPr>
          <w:sz w:val="26"/>
          <w:szCs w:val="26"/>
        </w:rPr>
        <w:t xml:space="preserve">if the Commission were to deviate from the $10 million net plant in service threshold </w:t>
      </w:r>
      <w:r w:rsidR="00B0193D">
        <w:rPr>
          <w:sz w:val="26"/>
          <w:szCs w:val="26"/>
        </w:rPr>
        <w:t xml:space="preserve">for the diversity policy statement </w:t>
      </w:r>
      <w:r w:rsidR="00C22FF9">
        <w:rPr>
          <w:sz w:val="26"/>
          <w:szCs w:val="26"/>
        </w:rPr>
        <w:t xml:space="preserve">that </w:t>
      </w:r>
      <w:r w:rsidR="00961649">
        <w:rPr>
          <w:sz w:val="26"/>
          <w:szCs w:val="26"/>
        </w:rPr>
        <w:t xml:space="preserve">there would be a </w:t>
      </w:r>
      <w:r w:rsidR="006F0816">
        <w:rPr>
          <w:sz w:val="26"/>
          <w:szCs w:val="26"/>
        </w:rPr>
        <w:t>divergence</w:t>
      </w:r>
      <w:r w:rsidR="00961649">
        <w:rPr>
          <w:sz w:val="26"/>
          <w:szCs w:val="26"/>
        </w:rPr>
        <w:t xml:space="preserve"> in the Commission’s definitions of </w:t>
      </w:r>
      <w:r w:rsidR="00B93959">
        <w:rPr>
          <w:sz w:val="26"/>
          <w:szCs w:val="26"/>
        </w:rPr>
        <w:t>“</w:t>
      </w:r>
      <w:r w:rsidR="006F0816">
        <w:rPr>
          <w:sz w:val="26"/>
          <w:szCs w:val="26"/>
        </w:rPr>
        <w:t>major</w:t>
      </w:r>
      <w:r w:rsidR="000A26FB">
        <w:rPr>
          <w:sz w:val="26"/>
          <w:szCs w:val="26"/>
        </w:rPr>
        <w:t>.</w:t>
      </w:r>
      <w:r w:rsidR="00B93959">
        <w:rPr>
          <w:sz w:val="26"/>
          <w:szCs w:val="26"/>
        </w:rPr>
        <w:t>”</w:t>
      </w:r>
      <w:r w:rsidR="006F0816">
        <w:rPr>
          <w:sz w:val="26"/>
          <w:szCs w:val="26"/>
        </w:rPr>
        <w:t xml:space="preserve">  To avoid inconsistency </w:t>
      </w:r>
      <w:r w:rsidR="00B0193D">
        <w:rPr>
          <w:sz w:val="26"/>
          <w:szCs w:val="26"/>
        </w:rPr>
        <w:t>between</w:t>
      </w:r>
      <w:r w:rsidR="00946E59" w:rsidDel="00B0193D">
        <w:rPr>
          <w:sz w:val="26"/>
          <w:szCs w:val="26"/>
        </w:rPr>
        <w:t xml:space="preserve"> </w:t>
      </w:r>
      <w:r w:rsidR="00946E59">
        <w:rPr>
          <w:sz w:val="26"/>
          <w:szCs w:val="26"/>
        </w:rPr>
        <w:t xml:space="preserve">the Commission’s </w:t>
      </w:r>
      <w:r w:rsidR="00B0193D">
        <w:rPr>
          <w:sz w:val="26"/>
          <w:szCs w:val="26"/>
        </w:rPr>
        <w:t>diversity policy statement and r</w:t>
      </w:r>
      <w:r w:rsidR="00946E59">
        <w:rPr>
          <w:sz w:val="26"/>
          <w:szCs w:val="26"/>
        </w:rPr>
        <w:t xml:space="preserve">egulations, the Commission will retain the language </w:t>
      </w:r>
      <w:r w:rsidR="003B5C31">
        <w:rPr>
          <w:sz w:val="26"/>
          <w:szCs w:val="26"/>
        </w:rPr>
        <w:t xml:space="preserve">in its proposed policy statement and keep the </w:t>
      </w:r>
      <w:r w:rsidR="009E1F5A">
        <w:rPr>
          <w:sz w:val="26"/>
          <w:szCs w:val="26"/>
        </w:rPr>
        <w:t>$10 million net plant in service value as the threshold for</w:t>
      </w:r>
      <w:r w:rsidR="0015752B">
        <w:rPr>
          <w:sz w:val="26"/>
          <w:szCs w:val="26"/>
        </w:rPr>
        <w:t xml:space="preserve"> major jurisdictional utility companies.</w:t>
      </w:r>
    </w:p>
    <w:p w14:paraId="364D28D1" w14:textId="3B6C30FC" w:rsidR="004C6AEC" w:rsidRPr="00110BB5" w:rsidRDefault="00081665" w:rsidP="00A00202">
      <w:pPr>
        <w:spacing w:line="360" w:lineRule="auto"/>
        <w:ind w:firstLine="720"/>
        <w:rPr>
          <w:sz w:val="26"/>
          <w:szCs w:val="26"/>
        </w:rPr>
      </w:pPr>
      <w:r w:rsidRPr="004D0D6F">
        <w:rPr>
          <w:b/>
          <w:bCs/>
          <w:sz w:val="26"/>
          <w:szCs w:val="26"/>
        </w:rPr>
        <w:t>Resolution:</w:t>
      </w:r>
      <w:r>
        <w:rPr>
          <w:sz w:val="26"/>
          <w:szCs w:val="26"/>
        </w:rPr>
        <w:t xml:space="preserve"> </w:t>
      </w:r>
      <w:r w:rsidR="004D0D6F">
        <w:rPr>
          <w:sz w:val="26"/>
          <w:szCs w:val="26"/>
        </w:rPr>
        <w:t>Make no changes to the applicability of the Policy Statement.</w:t>
      </w:r>
    </w:p>
    <w:p w14:paraId="6DCD370F" w14:textId="77777777" w:rsidR="00B2107A" w:rsidRPr="00110BB5" w:rsidRDefault="00B2107A" w:rsidP="00A00202">
      <w:pPr>
        <w:spacing w:line="360" w:lineRule="auto"/>
        <w:ind w:firstLine="720"/>
        <w:rPr>
          <w:sz w:val="26"/>
          <w:szCs w:val="26"/>
        </w:rPr>
      </w:pPr>
    </w:p>
    <w:p w14:paraId="46ED5376" w14:textId="155D722A" w:rsidR="00D07E6E" w:rsidRPr="008A3025" w:rsidRDefault="00D6146E" w:rsidP="000D0453">
      <w:pPr>
        <w:keepNext/>
        <w:spacing w:line="360" w:lineRule="auto"/>
        <w:ind w:firstLine="720"/>
        <w:rPr>
          <w:b/>
          <w:sz w:val="26"/>
          <w:szCs w:val="26"/>
        </w:rPr>
      </w:pPr>
      <w:r w:rsidRPr="005F7979">
        <w:rPr>
          <w:b/>
          <w:sz w:val="26"/>
          <w:szCs w:val="26"/>
        </w:rPr>
        <w:t xml:space="preserve">Consistency of Terms and Definitions </w:t>
      </w:r>
      <w:r w:rsidRPr="005F7979">
        <w:rPr>
          <w:b/>
          <w:bCs/>
          <w:sz w:val="26"/>
          <w:szCs w:val="26"/>
        </w:rPr>
        <w:t>Used</w:t>
      </w:r>
    </w:p>
    <w:p w14:paraId="0158B9B4" w14:textId="5E10F1D4" w:rsidR="00102404" w:rsidRDefault="00102404" w:rsidP="00A00202">
      <w:pPr>
        <w:spacing w:line="360" w:lineRule="auto"/>
        <w:ind w:firstLine="720"/>
        <w:rPr>
          <w:sz w:val="26"/>
          <w:szCs w:val="26"/>
        </w:rPr>
      </w:pPr>
      <w:r>
        <w:rPr>
          <w:sz w:val="26"/>
          <w:szCs w:val="26"/>
        </w:rPr>
        <w:t xml:space="preserve">It </w:t>
      </w:r>
      <w:r w:rsidR="0051538E">
        <w:rPr>
          <w:sz w:val="26"/>
          <w:szCs w:val="26"/>
        </w:rPr>
        <w:t xml:space="preserve">was suggested in </w:t>
      </w:r>
      <w:r w:rsidR="00833A00">
        <w:rPr>
          <w:sz w:val="26"/>
          <w:szCs w:val="26"/>
        </w:rPr>
        <w:t>Aqua, Duquesne Light, EAP, PECO</w:t>
      </w:r>
      <w:r w:rsidR="00E17BFA">
        <w:rPr>
          <w:sz w:val="26"/>
          <w:szCs w:val="26"/>
        </w:rPr>
        <w:t>,</w:t>
      </w:r>
      <w:r w:rsidR="00BC411E">
        <w:rPr>
          <w:sz w:val="26"/>
          <w:szCs w:val="26"/>
        </w:rPr>
        <w:t xml:space="preserve"> and </w:t>
      </w:r>
      <w:r w:rsidR="00833A00">
        <w:rPr>
          <w:sz w:val="26"/>
          <w:szCs w:val="26"/>
        </w:rPr>
        <w:t xml:space="preserve">First </w:t>
      </w:r>
      <w:r w:rsidR="00BC411E">
        <w:rPr>
          <w:sz w:val="26"/>
          <w:szCs w:val="26"/>
        </w:rPr>
        <w:t xml:space="preserve">Energy’s comments that the Commission </w:t>
      </w:r>
      <w:r w:rsidR="00F35887">
        <w:rPr>
          <w:sz w:val="26"/>
          <w:szCs w:val="26"/>
        </w:rPr>
        <w:t xml:space="preserve">use the Equal Employment Opportunity Commission’s </w:t>
      </w:r>
      <w:r w:rsidR="00355388">
        <w:rPr>
          <w:sz w:val="26"/>
          <w:szCs w:val="26"/>
        </w:rPr>
        <w:t xml:space="preserve">(EEOC) </w:t>
      </w:r>
      <w:r w:rsidR="002B02F6" w:rsidRPr="002B02F6">
        <w:rPr>
          <w:sz w:val="26"/>
          <w:szCs w:val="26"/>
        </w:rPr>
        <w:t>Employer Information Report EEO–1</w:t>
      </w:r>
      <w:r w:rsidR="00B0407C">
        <w:rPr>
          <w:sz w:val="26"/>
          <w:szCs w:val="26"/>
        </w:rPr>
        <w:t xml:space="preserve">, 29 C.F.R. § </w:t>
      </w:r>
      <w:r w:rsidR="004E6814">
        <w:rPr>
          <w:sz w:val="26"/>
          <w:szCs w:val="26"/>
        </w:rPr>
        <w:t>1602.7,</w:t>
      </w:r>
      <w:r w:rsidR="00FB0076">
        <w:rPr>
          <w:sz w:val="26"/>
          <w:szCs w:val="26"/>
        </w:rPr>
        <w:t xml:space="preserve"> </w:t>
      </w:r>
      <w:r w:rsidR="00B50CF2">
        <w:rPr>
          <w:sz w:val="26"/>
          <w:szCs w:val="26"/>
        </w:rPr>
        <w:t>(</w:t>
      </w:r>
      <w:r w:rsidR="00AD64B8">
        <w:rPr>
          <w:sz w:val="26"/>
          <w:szCs w:val="26"/>
        </w:rPr>
        <w:t xml:space="preserve">EEO-1 Report) </w:t>
      </w:r>
      <w:r w:rsidR="00C35972">
        <w:rPr>
          <w:sz w:val="26"/>
          <w:szCs w:val="26"/>
        </w:rPr>
        <w:t xml:space="preserve">terms and </w:t>
      </w:r>
      <w:r w:rsidR="00F35887">
        <w:rPr>
          <w:sz w:val="26"/>
          <w:szCs w:val="26"/>
        </w:rPr>
        <w:t xml:space="preserve">definitions </w:t>
      </w:r>
      <w:r w:rsidR="001F24BB">
        <w:rPr>
          <w:sz w:val="26"/>
          <w:szCs w:val="26"/>
        </w:rPr>
        <w:t xml:space="preserve">for all of the existing and newly defined demographics that the Proposed Policy Statement </w:t>
      </w:r>
      <w:r w:rsidR="000211E0">
        <w:rPr>
          <w:sz w:val="26"/>
          <w:szCs w:val="26"/>
        </w:rPr>
        <w:t xml:space="preserve">identified. </w:t>
      </w:r>
      <w:r w:rsidR="004E4338">
        <w:rPr>
          <w:sz w:val="26"/>
          <w:szCs w:val="26"/>
        </w:rPr>
        <w:t xml:space="preserve"> Aqua Comments at 3, </w:t>
      </w:r>
      <w:r w:rsidR="00A06E17">
        <w:rPr>
          <w:sz w:val="26"/>
          <w:szCs w:val="26"/>
        </w:rPr>
        <w:t xml:space="preserve">Duquesne Light Comments at 3, </w:t>
      </w:r>
      <w:r w:rsidR="00E81D1F">
        <w:rPr>
          <w:sz w:val="26"/>
          <w:szCs w:val="26"/>
        </w:rPr>
        <w:t>EAP Comments at 6-7</w:t>
      </w:r>
      <w:r w:rsidR="00FB54E1">
        <w:rPr>
          <w:sz w:val="26"/>
          <w:szCs w:val="26"/>
        </w:rPr>
        <w:t xml:space="preserve">, PECO Comments at 1, </w:t>
      </w:r>
      <w:r w:rsidR="00B652EB">
        <w:rPr>
          <w:sz w:val="26"/>
          <w:szCs w:val="26"/>
        </w:rPr>
        <w:t xml:space="preserve">First Energy Comments at </w:t>
      </w:r>
      <w:r w:rsidR="004D754D">
        <w:rPr>
          <w:sz w:val="26"/>
          <w:szCs w:val="26"/>
        </w:rPr>
        <w:t>1</w:t>
      </w:r>
      <w:r w:rsidR="00B47E15">
        <w:rPr>
          <w:sz w:val="26"/>
          <w:szCs w:val="26"/>
        </w:rPr>
        <w:t>.</w:t>
      </w:r>
      <w:r w:rsidR="000211E0">
        <w:rPr>
          <w:sz w:val="26"/>
          <w:szCs w:val="26"/>
        </w:rPr>
        <w:t xml:space="preserve"> </w:t>
      </w:r>
      <w:r w:rsidR="00FB0076">
        <w:rPr>
          <w:sz w:val="26"/>
          <w:szCs w:val="26"/>
        </w:rPr>
        <w:t xml:space="preserve"> </w:t>
      </w:r>
      <w:r w:rsidR="000211E0">
        <w:rPr>
          <w:sz w:val="26"/>
          <w:szCs w:val="26"/>
        </w:rPr>
        <w:t xml:space="preserve">These </w:t>
      </w:r>
      <w:r w:rsidR="00B848ED">
        <w:rPr>
          <w:sz w:val="26"/>
          <w:szCs w:val="26"/>
        </w:rPr>
        <w:t>commentators</w:t>
      </w:r>
      <w:r w:rsidR="000211E0">
        <w:rPr>
          <w:sz w:val="26"/>
          <w:szCs w:val="26"/>
        </w:rPr>
        <w:t xml:space="preserve"> all reasoned that </w:t>
      </w:r>
      <w:r w:rsidR="00C40631">
        <w:rPr>
          <w:sz w:val="26"/>
          <w:szCs w:val="26"/>
        </w:rPr>
        <w:t>since major jurisdictional utility companies also report the</w:t>
      </w:r>
      <w:r w:rsidR="001371D5">
        <w:rPr>
          <w:sz w:val="26"/>
          <w:szCs w:val="26"/>
        </w:rPr>
        <w:t xml:space="preserve"> diversity in their workforce using the EEO</w:t>
      </w:r>
      <w:r w:rsidR="00F5527B">
        <w:rPr>
          <w:sz w:val="26"/>
          <w:szCs w:val="26"/>
        </w:rPr>
        <w:t xml:space="preserve">-1 </w:t>
      </w:r>
      <w:r w:rsidR="00EC0B19">
        <w:rPr>
          <w:sz w:val="26"/>
          <w:szCs w:val="26"/>
        </w:rPr>
        <w:t>Report</w:t>
      </w:r>
      <w:r w:rsidR="001371D5">
        <w:rPr>
          <w:sz w:val="26"/>
          <w:szCs w:val="26"/>
        </w:rPr>
        <w:t xml:space="preserve"> definitions that using the EEO</w:t>
      </w:r>
      <w:r w:rsidR="00F5527B">
        <w:rPr>
          <w:sz w:val="26"/>
          <w:szCs w:val="26"/>
        </w:rPr>
        <w:t xml:space="preserve">-1 </w:t>
      </w:r>
      <w:r w:rsidR="00EC0B19">
        <w:rPr>
          <w:sz w:val="26"/>
          <w:szCs w:val="26"/>
        </w:rPr>
        <w:t>Report</w:t>
      </w:r>
      <w:r w:rsidR="001371D5">
        <w:rPr>
          <w:sz w:val="26"/>
          <w:szCs w:val="26"/>
        </w:rPr>
        <w:t xml:space="preserve"> definitions for the identified demographics </w:t>
      </w:r>
      <w:r w:rsidR="00AF3AB6">
        <w:rPr>
          <w:sz w:val="26"/>
          <w:szCs w:val="26"/>
        </w:rPr>
        <w:t xml:space="preserve">in the proposed policy statement will </w:t>
      </w:r>
      <w:r w:rsidR="00433353">
        <w:rPr>
          <w:sz w:val="26"/>
          <w:szCs w:val="26"/>
        </w:rPr>
        <w:t>ensure</w:t>
      </w:r>
      <w:r w:rsidR="00AF3AB6">
        <w:rPr>
          <w:sz w:val="26"/>
          <w:szCs w:val="26"/>
        </w:rPr>
        <w:t xml:space="preserve"> uniform reporting </w:t>
      </w:r>
      <w:r w:rsidR="007B5B02">
        <w:rPr>
          <w:sz w:val="26"/>
          <w:szCs w:val="26"/>
        </w:rPr>
        <w:t xml:space="preserve">among the various agencies to whom major jurisdictional utility companies report their </w:t>
      </w:r>
      <w:r w:rsidR="00343B9C">
        <w:rPr>
          <w:sz w:val="26"/>
          <w:szCs w:val="26"/>
        </w:rPr>
        <w:t>diverse demographics</w:t>
      </w:r>
      <w:r w:rsidR="00D07E6E">
        <w:rPr>
          <w:sz w:val="26"/>
          <w:szCs w:val="26"/>
        </w:rPr>
        <w:t>.</w:t>
      </w:r>
      <w:r w:rsidR="009D07DD">
        <w:rPr>
          <w:sz w:val="26"/>
          <w:szCs w:val="26"/>
        </w:rPr>
        <w:t xml:space="preserve">  The </w:t>
      </w:r>
      <w:r w:rsidR="00086DA2">
        <w:rPr>
          <w:sz w:val="26"/>
          <w:szCs w:val="26"/>
        </w:rPr>
        <w:t xml:space="preserve">recommended terms and </w:t>
      </w:r>
      <w:r w:rsidR="00C362F9">
        <w:rPr>
          <w:sz w:val="26"/>
          <w:szCs w:val="26"/>
        </w:rPr>
        <w:t>definitions</w:t>
      </w:r>
      <w:r w:rsidR="00086DA2">
        <w:rPr>
          <w:sz w:val="26"/>
          <w:szCs w:val="26"/>
        </w:rPr>
        <w:t xml:space="preserve"> </w:t>
      </w:r>
      <w:r w:rsidR="009E0187">
        <w:rPr>
          <w:sz w:val="26"/>
          <w:szCs w:val="26"/>
        </w:rPr>
        <w:t xml:space="preserve">used in the </w:t>
      </w:r>
      <w:r w:rsidR="00EC0B19">
        <w:rPr>
          <w:sz w:val="26"/>
          <w:szCs w:val="26"/>
        </w:rPr>
        <w:t>EEO-1 Report</w:t>
      </w:r>
      <w:r w:rsidR="009E0187">
        <w:rPr>
          <w:sz w:val="26"/>
          <w:szCs w:val="26"/>
        </w:rPr>
        <w:t xml:space="preserve"> </w:t>
      </w:r>
      <w:r w:rsidR="00086DA2">
        <w:rPr>
          <w:sz w:val="26"/>
          <w:szCs w:val="26"/>
        </w:rPr>
        <w:t>are:</w:t>
      </w:r>
    </w:p>
    <w:p w14:paraId="4B1A3ED0" w14:textId="77777777" w:rsidR="001009DC" w:rsidRDefault="001009DC" w:rsidP="001009DC">
      <w:pPr>
        <w:ind w:firstLine="720"/>
        <w:rPr>
          <w:sz w:val="26"/>
          <w:szCs w:val="26"/>
        </w:rPr>
      </w:pPr>
    </w:p>
    <w:p w14:paraId="740EFD9A" w14:textId="7E23F1C1" w:rsidR="00803A47" w:rsidRDefault="00803A47" w:rsidP="00F931FA">
      <w:pPr>
        <w:spacing w:after="240"/>
        <w:ind w:left="720" w:right="720"/>
        <w:rPr>
          <w:sz w:val="26"/>
          <w:szCs w:val="26"/>
        </w:rPr>
      </w:pPr>
      <w:r>
        <w:rPr>
          <w:sz w:val="26"/>
          <w:szCs w:val="26"/>
        </w:rPr>
        <w:t xml:space="preserve">Asian (Not Hispanic or Latino) – A person having origins in any of the original peoples of the Far East, Southeast Asia, or the Indian Subcontinent, </w:t>
      </w:r>
      <w:r>
        <w:rPr>
          <w:sz w:val="26"/>
          <w:szCs w:val="26"/>
        </w:rPr>
        <w:lastRenderedPageBreak/>
        <w:t>including, for example, Cambodia, China, India, Japan, Korea, Malaysia, Pakistan, the Philippine Islands, Thailand, and Vietnam.</w:t>
      </w:r>
    </w:p>
    <w:p w14:paraId="1C4EDADC" w14:textId="77777777" w:rsidR="00803A47" w:rsidRDefault="00803A47" w:rsidP="00F931FA">
      <w:pPr>
        <w:spacing w:after="240"/>
        <w:ind w:left="720" w:right="720"/>
        <w:rPr>
          <w:sz w:val="26"/>
          <w:szCs w:val="26"/>
        </w:rPr>
      </w:pPr>
      <w:r>
        <w:rPr>
          <w:sz w:val="26"/>
          <w:szCs w:val="26"/>
        </w:rPr>
        <w:t>Black or African American (Not Hispanic or Latino) – A person having origins in any of the black racial groups of Africa.</w:t>
      </w:r>
    </w:p>
    <w:p w14:paraId="534F6504" w14:textId="7B27182B" w:rsidR="00086DA2" w:rsidRDefault="00086DA2" w:rsidP="00F931FA">
      <w:pPr>
        <w:spacing w:after="240"/>
        <w:ind w:left="720" w:right="720"/>
        <w:rPr>
          <w:sz w:val="26"/>
          <w:szCs w:val="26"/>
        </w:rPr>
      </w:pPr>
      <w:r>
        <w:rPr>
          <w:sz w:val="26"/>
          <w:szCs w:val="26"/>
        </w:rPr>
        <w:t xml:space="preserve">Hispanic or Latino – A person of Cuban, Mexican, Puerto Rican, South or Central American, or other Spanish culture </w:t>
      </w:r>
      <w:r w:rsidR="007F1FB4">
        <w:rPr>
          <w:sz w:val="26"/>
          <w:szCs w:val="26"/>
        </w:rPr>
        <w:t>origin</w:t>
      </w:r>
      <w:r>
        <w:rPr>
          <w:sz w:val="26"/>
          <w:szCs w:val="26"/>
        </w:rPr>
        <w:t xml:space="preserve"> regardless of race</w:t>
      </w:r>
      <w:r w:rsidR="00F149A7">
        <w:rPr>
          <w:sz w:val="26"/>
          <w:szCs w:val="26"/>
        </w:rPr>
        <w:t>.</w:t>
      </w:r>
    </w:p>
    <w:p w14:paraId="6AAAB46E" w14:textId="286FF6DC" w:rsidR="00F21B07" w:rsidRDefault="00F21B07" w:rsidP="00653A8E">
      <w:pPr>
        <w:spacing w:after="240"/>
        <w:ind w:left="720" w:right="720"/>
        <w:rPr>
          <w:sz w:val="26"/>
          <w:szCs w:val="26"/>
        </w:rPr>
      </w:pPr>
      <w:r>
        <w:rPr>
          <w:sz w:val="26"/>
          <w:szCs w:val="26"/>
        </w:rPr>
        <w:t>Native American or Alaska Native (Not</w:t>
      </w:r>
      <w:r w:rsidR="004B518C">
        <w:rPr>
          <w:sz w:val="26"/>
          <w:szCs w:val="26"/>
        </w:rPr>
        <w:t xml:space="preserve"> Hispanic or Latino) – A person having origins in any of the original peoples of North and South American (including Central America), and who maintain tribal affiliation or community attachment.</w:t>
      </w:r>
    </w:p>
    <w:p w14:paraId="0DFFB816" w14:textId="77777777" w:rsidR="00CD48F7" w:rsidRDefault="00CD48F7" w:rsidP="00653A8E">
      <w:pPr>
        <w:spacing w:after="240"/>
        <w:ind w:left="720" w:right="720"/>
        <w:rPr>
          <w:sz w:val="26"/>
          <w:szCs w:val="26"/>
        </w:rPr>
      </w:pPr>
      <w:r>
        <w:rPr>
          <w:sz w:val="26"/>
          <w:szCs w:val="26"/>
        </w:rPr>
        <w:t>Native Hawaiian or Pacific Islander (Not Hispanic or Latino) – A person having origins in any of the peoples of Hawaii, Guam, Samoa, or other Pacific Islands.</w:t>
      </w:r>
    </w:p>
    <w:p w14:paraId="202D6176" w14:textId="77777777" w:rsidR="00CD48F7" w:rsidRDefault="004B518C" w:rsidP="00653A8E">
      <w:pPr>
        <w:spacing w:after="240"/>
        <w:ind w:left="720" w:right="720"/>
        <w:rPr>
          <w:sz w:val="26"/>
          <w:szCs w:val="26"/>
        </w:rPr>
      </w:pPr>
      <w:r>
        <w:rPr>
          <w:sz w:val="26"/>
          <w:szCs w:val="26"/>
        </w:rPr>
        <w:t>Two or More Races (Not Hispanic or Latin) – All persons who identify with more than one of the above five races.</w:t>
      </w:r>
    </w:p>
    <w:p w14:paraId="3992D73D" w14:textId="497EAD09" w:rsidR="00CD48F7" w:rsidRDefault="00CD48F7" w:rsidP="00653A8E">
      <w:pPr>
        <w:spacing w:after="240"/>
        <w:ind w:left="720" w:right="720"/>
        <w:rPr>
          <w:sz w:val="26"/>
          <w:szCs w:val="26"/>
        </w:rPr>
      </w:pPr>
      <w:r>
        <w:rPr>
          <w:sz w:val="26"/>
          <w:szCs w:val="26"/>
        </w:rPr>
        <w:t>White (Not Hispanic or Latino) – A person having origins in any of the original peoples of Europe, the Middle East, or North Africa</w:t>
      </w:r>
    </w:p>
    <w:p w14:paraId="1BC12057" w14:textId="77777777" w:rsidR="001553FD" w:rsidRDefault="001553FD" w:rsidP="00653A8E">
      <w:pPr>
        <w:spacing w:after="240"/>
        <w:ind w:left="720" w:right="720"/>
        <w:rPr>
          <w:sz w:val="26"/>
          <w:szCs w:val="26"/>
        </w:rPr>
      </w:pPr>
    </w:p>
    <w:p w14:paraId="5A994C1C" w14:textId="5B027CED" w:rsidR="00E53844" w:rsidRDefault="00E53844" w:rsidP="00701518">
      <w:pPr>
        <w:spacing w:line="360" w:lineRule="auto"/>
        <w:ind w:firstLine="720"/>
        <w:rPr>
          <w:sz w:val="26"/>
          <w:szCs w:val="26"/>
        </w:rPr>
      </w:pPr>
      <w:r>
        <w:rPr>
          <w:sz w:val="26"/>
          <w:szCs w:val="26"/>
        </w:rPr>
        <w:t xml:space="preserve">The Commission agrees </w:t>
      </w:r>
      <w:r w:rsidR="00D56AC8">
        <w:rPr>
          <w:sz w:val="26"/>
          <w:szCs w:val="26"/>
        </w:rPr>
        <w:t xml:space="preserve">that the definitions for the </w:t>
      </w:r>
      <w:r w:rsidR="00F85178">
        <w:rPr>
          <w:sz w:val="26"/>
          <w:szCs w:val="26"/>
        </w:rPr>
        <w:t>racial terms</w:t>
      </w:r>
      <w:r w:rsidR="00D56AC8">
        <w:rPr>
          <w:sz w:val="26"/>
          <w:szCs w:val="26"/>
        </w:rPr>
        <w:t xml:space="preserve"> identified in Section </w:t>
      </w:r>
      <w:r w:rsidR="00F85178">
        <w:rPr>
          <w:sz w:val="26"/>
          <w:szCs w:val="26"/>
        </w:rPr>
        <w:t>69.802</w:t>
      </w:r>
      <w:r w:rsidR="001C623D">
        <w:rPr>
          <w:sz w:val="26"/>
          <w:szCs w:val="26"/>
        </w:rPr>
        <w:t xml:space="preserve"> should </w:t>
      </w:r>
      <w:r w:rsidR="00B02259">
        <w:rPr>
          <w:sz w:val="26"/>
          <w:szCs w:val="26"/>
        </w:rPr>
        <w:t xml:space="preserve">be consistent with the </w:t>
      </w:r>
      <w:r w:rsidR="00F85178">
        <w:rPr>
          <w:sz w:val="26"/>
          <w:szCs w:val="26"/>
        </w:rPr>
        <w:t>racial terms</w:t>
      </w:r>
      <w:r w:rsidR="00B02259">
        <w:rPr>
          <w:sz w:val="26"/>
          <w:szCs w:val="26"/>
        </w:rPr>
        <w:t xml:space="preserve"> </w:t>
      </w:r>
      <w:r w:rsidR="00A83621">
        <w:rPr>
          <w:sz w:val="26"/>
          <w:szCs w:val="26"/>
        </w:rPr>
        <w:t>enumerated</w:t>
      </w:r>
      <w:r w:rsidR="00B02259">
        <w:rPr>
          <w:sz w:val="26"/>
          <w:szCs w:val="26"/>
        </w:rPr>
        <w:t xml:space="preserve"> and defined </w:t>
      </w:r>
      <w:r w:rsidR="009E0187">
        <w:rPr>
          <w:sz w:val="26"/>
          <w:szCs w:val="26"/>
        </w:rPr>
        <w:t xml:space="preserve">in </w:t>
      </w:r>
      <w:r w:rsidR="00B02259">
        <w:rPr>
          <w:sz w:val="26"/>
          <w:szCs w:val="26"/>
        </w:rPr>
        <w:t xml:space="preserve">the </w:t>
      </w:r>
      <w:r w:rsidR="004C711D">
        <w:rPr>
          <w:sz w:val="26"/>
          <w:szCs w:val="26"/>
        </w:rPr>
        <w:t>EEO</w:t>
      </w:r>
      <w:r w:rsidR="009E0187">
        <w:rPr>
          <w:sz w:val="26"/>
          <w:szCs w:val="26"/>
        </w:rPr>
        <w:t xml:space="preserve">-1 </w:t>
      </w:r>
      <w:r w:rsidR="00EC0B19">
        <w:rPr>
          <w:sz w:val="26"/>
          <w:szCs w:val="26"/>
        </w:rPr>
        <w:t>Report</w:t>
      </w:r>
      <w:r w:rsidR="00E921BE">
        <w:rPr>
          <w:sz w:val="26"/>
          <w:szCs w:val="26"/>
        </w:rPr>
        <w:t>’s</w:t>
      </w:r>
      <w:r w:rsidR="009E0187">
        <w:rPr>
          <w:sz w:val="26"/>
          <w:szCs w:val="26"/>
        </w:rPr>
        <w:t xml:space="preserve"> </w:t>
      </w:r>
      <w:r w:rsidR="00295C19">
        <w:rPr>
          <w:sz w:val="26"/>
          <w:szCs w:val="26"/>
        </w:rPr>
        <w:t>instructions</w:t>
      </w:r>
      <w:r w:rsidR="0013349A">
        <w:rPr>
          <w:sz w:val="26"/>
          <w:szCs w:val="26"/>
        </w:rPr>
        <w:t>.  Adhering to the EEO</w:t>
      </w:r>
      <w:r w:rsidR="00295C19">
        <w:rPr>
          <w:sz w:val="26"/>
          <w:szCs w:val="26"/>
        </w:rPr>
        <w:t xml:space="preserve">-1 </w:t>
      </w:r>
      <w:r w:rsidR="00EC0B19">
        <w:rPr>
          <w:sz w:val="26"/>
          <w:szCs w:val="26"/>
        </w:rPr>
        <w:t>Report’s</w:t>
      </w:r>
      <w:r w:rsidR="0013349A">
        <w:rPr>
          <w:sz w:val="26"/>
          <w:szCs w:val="26"/>
        </w:rPr>
        <w:t xml:space="preserve"> terms for race and their respective definitions will ensure </w:t>
      </w:r>
      <w:r w:rsidR="00EB373E">
        <w:rPr>
          <w:sz w:val="26"/>
          <w:szCs w:val="26"/>
        </w:rPr>
        <w:t xml:space="preserve">consistency in major jurisdictional utility companies’ reporting </w:t>
      </w:r>
      <w:r w:rsidR="005D2B0F">
        <w:rPr>
          <w:sz w:val="26"/>
          <w:szCs w:val="26"/>
        </w:rPr>
        <w:t xml:space="preserve">of its workforce diversity and avoid complicating </w:t>
      </w:r>
      <w:r w:rsidR="008B19B8">
        <w:rPr>
          <w:sz w:val="26"/>
          <w:szCs w:val="26"/>
        </w:rPr>
        <w:t>the reporting process</w:t>
      </w:r>
      <w:r w:rsidR="003C235F">
        <w:rPr>
          <w:sz w:val="26"/>
          <w:szCs w:val="26"/>
        </w:rPr>
        <w:t>.</w:t>
      </w:r>
      <w:r w:rsidR="00B615C8">
        <w:rPr>
          <w:sz w:val="26"/>
          <w:szCs w:val="26"/>
        </w:rPr>
        <w:t xml:space="preserve">  In adopting the racial terms and definitions </w:t>
      </w:r>
      <w:r w:rsidR="00B32F81">
        <w:rPr>
          <w:sz w:val="26"/>
          <w:szCs w:val="26"/>
        </w:rPr>
        <w:t xml:space="preserve">in Section </w:t>
      </w:r>
      <w:r w:rsidR="002B69D2">
        <w:rPr>
          <w:sz w:val="26"/>
          <w:szCs w:val="26"/>
        </w:rPr>
        <w:t>69.802</w:t>
      </w:r>
      <w:r w:rsidR="00017698">
        <w:rPr>
          <w:sz w:val="26"/>
          <w:szCs w:val="26"/>
        </w:rPr>
        <w:t>,</w:t>
      </w:r>
      <w:r w:rsidR="00B32F81">
        <w:rPr>
          <w:sz w:val="26"/>
          <w:szCs w:val="26"/>
        </w:rPr>
        <w:t xml:space="preserve"> the Commission adds two racial terms that did not </w:t>
      </w:r>
      <w:r w:rsidR="0053456D">
        <w:rPr>
          <w:sz w:val="26"/>
          <w:szCs w:val="26"/>
        </w:rPr>
        <w:t>previously exist</w:t>
      </w:r>
      <w:r w:rsidR="00066FA3">
        <w:rPr>
          <w:sz w:val="26"/>
          <w:szCs w:val="26"/>
        </w:rPr>
        <w:t xml:space="preserve"> in the policy statement</w:t>
      </w:r>
      <w:r w:rsidR="0053456D">
        <w:rPr>
          <w:sz w:val="26"/>
          <w:szCs w:val="26"/>
        </w:rPr>
        <w:t xml:space="preserve">.  The terms “White (Not Hispanic or Latino)” and “Two or More Races” were added to be consistent with the </w:t>
      </w:r>
      <w:r w:rsidR="00E921BE">
        <w:rPr>
          <w:sz w:val="26"/>
          <w:szCs w:val="26"/>
        </w:rPr>
        <w:t xml:space="preserve">EEO-1 Report’s </w:t>
      </w:r>
      <w:r w:rsidR="00187827">
        <w:rPr>
          <w:sz w:val="26"/>
          <w:szCs w:val="26"/>
        </w:rPr>
        <w:t xml:space="preserve">terms and definitions.  The term “White (Not Hispanic or Latino)” is </w:t>
      </w:r>
      <w:r w:rsidR="001A7698">
        <w:rPr>
          <w:sz w:val="26"/>
          <w:szCs w:val="26"/>
        </w:rPr>
        <w:t xml:space="preserve">now necessary since the term “Two or More Races” relies on all </w:t>
      </w:r>
      <w:r w:rsidR="00BA16A2">
        <w:rPr>
          <w:sz w:val="26"/>
          <w:szCs w:val="26"/>
        </w:rPr>
        <w:t xml:space="preserve">of the racial terms defined in Section </w:t>
      </w:r>
      <w:r w:rsidR="002B69D2">
        <w:rPr>
          <w:sz w:val="26"/>
          <w:szCs w:val="26"/>
        </w:rPr>
        <w:t>69.802</w:t>
      </w:r>
      <w:r w:rsidR="00BA16A2">
        <w:rPr>
          <w:sz w:val="26"/>
          <w:szCs w:val="26"/>
        </w:rPr>
        <w:t xml:space="preserve">  </w:t>
      </w:r>
    </w:p>
    <w:p w14:paraId="097F6957" w14:textId="77777777" w:rsidR="001553FD" w:rsidRDefault="001553FD" w:rsidP="00701518">
      <w:pPr>
        <w:spacing w:line="360" w:lineRule="auto"/>
        <w:ind w:firstLine="720"/>
        <w:rPr>
          <w:sz w:val="26"/>
          <w:szCs w:val="26"/>
        </w:rPr>
      </w:pPr>
    </w:p>
    <w:p w14:paraId="16E2564F" w14:textId="77F8EEE4" w:rsidR="00B87A2F" w:rsidRDefault="00B87A2F" w:rsidP="00A00202">
      <w:pPr>
        <w:spacing w:line="360" w:lineRule="auto"/>
        <w:ind w:firstLine="720"/>
        <w:rPr>
          <w:sz w:val="26"/>
          <w:szCs w:val="26"/>
        </w:rPr>
      </w:pPr>
      <w:r>
        <w:rPr>
          <w:sz w:val="26"/>
          <w:szCs w:val="26"/>
        </w:rPr>
        <w:lastRenderedPageBreak/>
        <w:t xml:space="preserve">In addition to </w:t>
      </w:r>
      <w:r w:rsidR="00EA2EB4">
        <w:rPr>
          <w:sz w:val="26"/>
          <w:szCs w:val="26"/>
        </w:rPr>
        <w:t>recommending adoption of the EEO</w:t>
      </w:r>
      <w:r w:rsidR="00295C19">
        <w:rPr>
          <w:sz w:val="26"/>
          <w:szCs w:val="26"/>
        </w:rPr>
        <w:t xml:space="preserve">-1 </w:t>
      </w:r>
      <w:r w:rsidR="00EC0B19">
        <w:rPr>
          <w:sz w:val="26"/>
          <w:szCs w:val="26"/>
        </w:rPr>
        <w:t>Report’s</w:t>
      </w:r>
      <w:r w:rsidR="00EA2EB4">
        <w:rPr>
          <w:sz w:val="26"/>
          <w:szCs w:val="26"/>
        </w:rPr>
        <w:t xml:space="preserve"> definitions, EAP also recommends removing </w:t>
      </w:r>
      <w:r w:rsidR="00262FD4">
        <w:rPr>
          <w:sz w:val="26"/>
          <w:szCs w:val="26"/>
        </w:rPr>
        <w:t xml:space="preserve">from all of the definitions </w:t>
      </w:r>
      <w:r w:rsidR="00534687">
        <w:rPr>
          <w:sz w:val="26"/>
          <w:szCs w:val="26"/>
        </w:rPr>
        <w:t xml:space="preserve">the requirement for </w:t>
      </w:r>
      <w:r w:rsidR="00262FD4">
        <w:rPr>
          <w:sz w:val="26"/>
          <w:szCs w:val="26"/>
        </w:rPr>
        <w:t xml:space="preserve">citizenship or </w:t>
      </w:r>
      <w:r w:rsidR="0048172E">
        <w:rPr>
          <w:sz w:val="26"/>
          <w:szCs w:val="26"/>
        </w:rPr>
        <w:t>permanent residence</w:t>
      </w:r>
      <w:r w:rsidR="00FA6101">
        <w:rPr>
          <w:sz w:val="26"/>
          <w:szCs w:val="26"/>
        </w:rPr>
        <w:t xml:space="preserve"> in the United States</w:t>
      </w:r>
      <w:r w:rsidR="0048172E">
        <w:rPr>
          <w:sz w:val="26"/>
          <w:szCs w:val="26"/>
        </w:rPr>
        <w:t xml:space="preserve">. </w:t>
      </w:r>
      <w:r w:rsidR="00943334">
        <w:rPr>
          <w:sz w:val="26"/>
          <w:szCs w:val="26"/>
        </w:rPr>
        <w:t xml:space="preserve"> EAP Comments at </w:t>
      </w:r>
      <w:r w:rsidR="00672F41">
        <w:rPr>
          <w:sz w:val="26"/>
          <w:szCs w:val="26"/>
        </w:rPr>
        <w:t>7</w:t>
      </w:r>
      <w:r w:rsidR="00461B21">
        <w:rPr>
          <w:sz w:val="26"/>
          <w:szCs w:val="26"/>
        </w:rPr>
        <w:t xml:space="preserve">-9. </w:t>
      </w:r>
      <w:r w:rsidR="0048172E">
        <w:rPr>
          <w:sz w:val="26"/>
          <w:szCs w:val="26"/>
        </w:rPr>
        <w:t xml:space="preserve"> EAP recommends that the Commission </w:t>
      </w:r>
      <w:r w:rsidR="00D4658B">
        <w:rPr>
          <w:sz w:val="26"/>
          <w:szCs w:val="26"/>
        </w:rPr>
        <w:t xml:space="preserve">remove </w:t>
      </w:r>
      <w:r w:rsidR="00A96CF6">
        <w:rPr>
          <w:sz w:val="26"/>
          <w:szCs w:val="26"/>
        </w:rPr>
        <w:t xml:space="preserve">the reference to citizenship or permanent residence status from </w:t>
      </w:r>
      <w:r w:rsidR="00B20EDE">
        <w:rPr>
          <w:sz w:val="26"/>
          <w:szCs w:val="26"/>
        </w:rPr>
        <w:t>its</w:t>
      </w:r>
      <w:r w:rsidR="00A96CF6">
        <w:rPr>
          <w:sz w:val="26"/>
          <w:szCs w:val="26"/>
        </w:rPr>
        <w:t xml:space="preserve"> definition</w:t>
      </w:r>
      <w:r w:rsidR="00B20EDE">
        <w:rPr>
          <w:sz w:val="26"/>
          <w:szCs w:val="26"/>
        </w:rPr>
        <w:t>s</w:t>
      </w:r>
      <w:r w:rsidR="00A96CF6">
        <w:rPr>
          <w:sz w:val="26"/>
          <w:szCs w:val="26"/>
        </w:rPr>
        <w:t xml:space="preserve"> and adopt the EE</w:t>
      </w:r>
      <w:r w:rsidR="007F22F1">
        <w:rPr>
          <w:sz w:val="26"/>
          <w:szCs w:val="26"/>
        </w:rPr>
        <w:t>O</w:t>
      </w:r>
      <w:r w:rsidR="00A96CF6">
        <w:rPr>
          <w:sz w:val="26"/>
          <w:szCs w:val="26"/>
        </w:rPr>
        <w:t xml:space="preserve">-1 </w:t>
      </w:r>
      <w:r w:rsidR="00EC0B19">
        <w:rPr>
          <w:sz w:val="26"/>
          <w:szCs w:val="26"/>
        </w:rPr>
        <w:t>Report</w:t>
      </w:r>
      <w:r w:rsidR="00A379C3">
        <w:rPr>
          <w:sz w:val="26"/>
          <w:szCs w:val="26"/>
        </w:rPr>
        <w:t xml:space="preserve">’s </w:t>
      </w:r>
      <w:r w:rsidR="00A96CF6">
        <w:rPr>
          <w:sz w:val="26"/>
          <w:szCs w:val="26"/>
        </w:rPr>
        <w:t>defined terms.</w:t>
      </w:r>
      <w:r w:rsidR="004B772B">
        <w:rPr>
          <w:sz w:val="26"/>
          <w:szCs w:val="26"/>
        </w:rPr>
        <w:t xml:space="preserve"> </w:t>
      </w:r>
      <w:r w:rsidR="00461B21">
        <w:rPr>
          <w:sz w:val="26"/>
          <w:szCs w:val="26"/>
        </w:rPr>
        <w:t xml:space="preserve"> </w:t>
      </w:r>
      <w:r w:rsidR="00136C34" w:rsidRPr="00136C34">
        <w:rPr>
          <w:i/>
          <w:sz w:val="26"/>
          <w:szCs w:val="26"/>
        </w:rPr>
        <w:t>Id.</w:t>
      </w:r>
      <w:r w:rsidR="00461B21">
        <w:rPr>
          <w:sz w:val="26"/>
          <w:szCs w:val="26"/>
        </w:rPr>
        <w:t xml:space="preserve"> </w:t>
      </w:r>
      <w:r w:rsidR="004B772B">
        <w:rPr>
          <w:sz w:val="26"/>
          <w:szCs w:val="26"/>
        </w:rPr>
        <w:t xml:space="preserve"> EAP </w:t>
      </w:r>
      <w:r w:rsidR="00CB0C49">
        <w:rPr>
          <w:sz w:val="26"/>
          <w:szCs w:val="26"/>
        </w:rPr>
        <w:t xml:space="preserve">opines that its </w:t>
      </w:r>
      <w:r w:rsidR="004B772B">
        <w:rPr>
          <w:sz w:val="26"/>
          <w:szCs w:val="26"/>
        </w:rPr>
        <w:t>members may employ people who are legally entitled to work in the United States but who are in the process of obtaining permanent legal status.</w:t>
      </w:r>
      <w:r w:rsidR="00FB141B">
        <w:rPr>
          <w:sz w:val="26"/>
          <w:szCs w:val="26"/>
        </w:rPr>
        <w:t xml:space="preserve"> </w:t>
      </w:r>
      <w:r w:rsidR="00461B21">
        <w:rPr>
          <w:sz w:val="26"/>
          <w:szCs w:val="26"/>
        </w:rPr>
        <w:t xml:space="preserve"> </w:t>
      </w:r>
      <w:r w:rsidR="00136C34" w:rsidRPr="00136C34">
        <w:rPr>
          <w:i/>
          <w:sz w:val="26"/>
          <w:szCs w:val="26"/>
        </w:rPr>
        <w:t>Id.</w:t>
      </w:r>
      <w:r w:rsidR="002024CF">
        <w:rPr>
          <w:sz w:val="26"/>
          <w:szCs w:val="26"/>
        </w:rPr>
        <w:t xml:space="preserve"> </w:t>
      </w:r>
      <w:r w:rsidR="00FB141B">
        <w:rPr>
          <w:sz w:val="26"/>
          <w:szCs w:val="26"/>
        </w:rPr>
        <w:t xml:space="preserve"> </w:t>
      </w:r>
      <w:r w:rsidR="006F66CE">
        <w:rPr>
          <w:sz w:val="26"/>
          <w:szCs w:val="26"/>
        </w:rPr>
        <w:t xml:space="preserve">The Commission agrees that </w:t>
      </w:r>
      <w:r w:rsidR="00B31F20">
        <w:rPr>
          <w:sz w:val="26"/>
          <w:szCs w:val="26"/>
        </w:rPr>
        <w:t xml:space="preserve">the requirements for citizenship or permanent residence could preclude reporting of people who are legally entitled to work in the United States.  As such, in the final policy statement, the Commission removes </w:t>
      </w:r>
      <w:r w:rsidR="00DD69DE">
        <w:rPr>
          <w:sz w:val="26"/>
          <w:szCs w:val="26"/>
        </w:rPr>
        <w:t>any reference to citizenship or permanent residency status</w:t>
      </w:r>
      <w:r w:rsidR="004C7858">
        <w:rPr>
          <w:sz w:val="26"/>
          <w:szCs w:val="26"/>
        </w:rPr>
        <w:t xml:space="preserve"> in the United States</w:t>
      </w:r>
      <w:r w:rsidR="003F32D5">
        <w:rPr>
          <w:sz w:val="26"/>
          <w:szCs w:val="26"/>
        </w:rPr>
        <w:t xml:space="preserve"> in its definitions</w:t>
      </w:r>
      <w:r w:rsidR="0027716C">
        <w:rPr>
          <w:sz w:val="26"/>
          <w:szCs w:val="26"/>
        </w:rPr>
        <w:t>.</w:t>
      </w:r>
    </w:p>
    <w:p w14:paraId="23F19B30" w14:textId="77777777" w:rsidR="001553FD" w:rsidRDefault="001553FD" w:rsidP="00A00202">
      <w:pPr>
        <w:spacing w:line="360" w:lineRule="auto"/>
        <w:ind w:firstLine="720"/>
        <w:rPr>
          <w:sz w:val="26"/>
          <w:szCs w:val="26"/>
        </w:rPr>
      </w:pPr>
    </w:p>
    <w:p w14:paraId="25F5808E" w14:textId="77777777" w:rsidR="001553FD" w:rsidRDefault="00484D1E" w:rsidP="00A00202">
      <w:pPr>
        <w:spacing w:line="360" w:lineRule="auto"/>
        <w:ind w:firstLine="720"/>
        <w:rPr>
          <w:sz w:val="26"/>
          <w:szCs w:val="26"/>
        </w:rPr>
      </w:pPr>
      <w:r>
        <w:rPr>
          <w:sz w:val="26"/>
          <w:szCs w:val="26"/>
        </w:rPr>
        <w:t>EAP</w:t>
      </w:r>
      <w:r w:rsidR="00421D0E">
        <w:rPr>
          <w:sz w:val="26"/>
          <w:szCs w:val="26"/>
        </w:rPr>
        <w:t xml:space="preserve">, First Energy, and PECO also suggested that the </w:t>
      </w:r>
      <w:r w:rsidR="00704903">
        <w:rPr>
          <w:sz w:val="26"/>
          <w:szCs w:val="26"/>
        </w:rPr>
        <w:t xml:space="preserve">policy statement’s definition section be split into two different categories: definitions that apply to </w:t>
      </w:r>
      <w:r w:rsidR="003B747F">
        <w:rPr>
          <w:sz w:val="26"/>
          <w:szCs w:val="26"/>
        </w:rPr>
        <w:t xml:space="preserve">major jurisdictional </w:t>
      </w:r>
      <w:r w:rsidR="00704903">
        <w:rPr>
          <w:sz w:val="26"/>
          <w:szCs w:val="26"/>
        </w:rPr>
        <w:t>utility</w:t>
      </w:r>
      <w:r w:rsidR="003B747F">
        <w:rPr>
          <w:sz w:val="26"/>
          <w:szCs w:val="26"/>
        </w:rPr>
        <w:t xml:space="preserve"> company</w:t>
      </w:r>
      <w:r w:rsidR="00704903">
        <w:rPr>
          <w:sz w:val="26"/>
          <w:szCs w:val="26"/>
        </w:rPr>
        <w:t xml:space="preserve"> employees and </w:t>
      </w:r>
      <w:r w:rsidR="00377640">
        <w:rPr>
          <w:sz w:val="26"/>
          <w:szCs w:val="26"/>
        </w:rPr>
        <w:t xml:space="preserve">another set of definitions that apply to </w:t>
      </w:r>
      <w:r w:rsidR="003B747F">
        <w:rPr>
          <w:sz w:val="26"/>
          <w:szCs w:val="26"/>
        </w:rPr>
        <w:t xml:space="preserve">major jurisdictional </w:t>
      </w:r>
      <w:r w:rsidR="00377640">
        <w:rPr>
          <w:sz w:val="26"/>
          <w:szCs w:val="26"/>
        </w:rPr>
        <w:t>utility</w:t>
      </w:r>
      <w:r w:rsidR="003B747F">
        <w:rPr>
          <w:sz w:val="26"/>
          <w:szCs w:val="26"/>
        </w:rPr>
        <w:t xml:space="preserve"> company</w:t>
      </w:r>
      <w:r w:rsidR="00377640">
        <w:rPr>
          <w:sz w:val="26"/>
          <w:szCs w:val="26"/>
        </w:rPr>
        <w:t xml:space="preserve"> vendors. </w:t>
      </w:r>
      <w:r w:rsidR="00CC3A19">
        <w:rPr>
          <w:sz w:val="26"/>
          <w:szCs w:val="26"/>
        </w:rPr>
        <w:t xml:space="preserve"> EAP Comments at 4-</w:t>
      </w:r>
      <w:r w:rsidR="00D32278">
        <w:rPr>
          <w:sz w:val="26"/>
          <w:szCs w:val="26"/>
        </w:rPr>
        <w:t>6</w:t>
      </w:r>
      <w:r w:rsidR="00774BFE">
        <w:rPr>
          <w:sz w:val="26"/>
          <w:szCs w:val="26"/>
        </w:rPr>
        <w:t>, First Energy Comments at 1 and PECO Comments at 1</w:t>
      </w:r>
      <w:r w:rsidR="00A54EE0">
        <w:rPr>
          <w:sz w:val="26"/>
          <w:szCs w:val="26"/>
        </w:rPr>
        <w:t xml:space="preserve">. </w:t>
      </w:r>
      <w:r w:rsidR="008719CF">
        <w:rPr>
          <w:sz w:val="26"/>
          <w:szCs w:val="26"/>
        </w:rPr>
        <w:t xml:space="preserve"> EAP recommends that </w:t>
      </w:r>
      <w:r w:rsidR="003B747F">
        <w:rPr>
          <w:sz w:val="26"/>
          <w:szCs w:val="26"/>
        </w:rPr>
        <w:t xml:space="preserve">major jurisdictional </w:t>
      </w:r>
      <w:r w:rsidR="003765C7">
        <w:rPr>
          <w:sz w:val="26"/>
          <w:szCs w:val="26"/>
        </w:rPr>
        <w:t xml:space="preserve">utility </w:t>
      </w:r>
      <w:r w:rsidR="003B747F">
        <w:rPr>
          <w:sz w:val="26"/>
          <w:szCs w:val="26"/>
        </w:rPr>
        <w:t>company</w:t>
      </w:r>
      <w:r w:rsidR="005610FE">
        <w:rPr>
          <w:sz w:val="26"/>
          <w:szCs w:val="26"/>
        </w:rPr>
        <w:t xml:space="preserve"> </w:t>
      </w:r>
      <w:r w:rsidR="003765C7">
        <w:rPr>
          <w:sz w:val="26"/>
          <w:szCs w:val="26"/>
        </w:rPr>
        <w:t xml:space="preserve">employee definitions should follow the </w:t>
      </w:r>
      <w:r w:rsidR="00EC0B19">
        <w:rPr>
          <w:sz w:val="26"/>
          <w:szCs w:val="26"/>
        </w:rPr>
        <w:t>EEO-1 Report</w:t>
      </w:r>
      <w:r w:rsidR="00733DCD">
        <w:rPr>
          <w:sz w:val="26"/>
          <w:szCs w:val="26"/>
        </w:rPr>
        <w:t xml:space="preserve">’s </w:t>
      </w:r>
      <w:r w:rsidR="00A149D2">
        <w:rPr>
          <w:sz w:val="26"/>
          <w:szCs w:val="26"/>
        </w:rPr>
        <w:t>definitions</w:t>
      </w:r>
      <w:r w:rsidR="003765C7">
        <w:rPr>
          <w:sz w:val="26"/>
          <w:szCs w:val="26"/>
        </w:rPr>
        <w:t xml:space="preserve"> and that </w:t>
      </w:r>
      <w:r w:rsidR="009177E3">
        <w:rPr>
          <w:sz w:val="26"/>
          <w:szCs w:val="26"/>
        </w:rPr>
        <w:t>vendor diversity should be</w:t>
      </w:r>
      <w:r w:rsidR="0053379B">
        <w:rPr>
          <w:sz w:val="26"/>
          <w:szCs w:val="26"/>
        </w:rPr>
        <w:t xml:space="preserve"> generally </w:t>
      </w:r>
      <w:r w:rsidR="00B12736">
        <w:rPr>
          <w:sz w:val="26"/>
          <w:szCs w:val="26"/>
        </w:rPr>
        <w:t>guided</w:t>
      </w:r>
      <w:r w:rsidR="0053379B">
        <w:rPr>
          <w:sz w:val="26"/>
          <w:szCs w:val="26"/>
        </w:rPr>
        <w:t xml:space="preserve"> by the small business program representations set out in the Federal Acquisition Regulations (FAR) at 48 C.F.R.</w:t>
      </w:r>
      <w:r w:rsidR="00EA0FCC">
        <w:rPr>
          <w:sz w:val="26"/>
          <w:szCs w:val="26"/>
        </w:rPr>
        <w:t xml:space="preserve"> </w:t>
      </w:r>
    </w:p>
    <w:p w14:paraId="76F8BA6B" w14:textId="5D006FDF" w:rsidR="00484D1E" w:rsidRDefault="0053379B" w:rsidP="001553FD">
      <w:pPr>
        <w:spacing w:line="360" w:lineRule="auto"/>
        <w:rPr>
          <w:sz w:val="26"/>
          <w:szCs w:val="26"/>
        </w:rPr>
      </w:pPr>
      <w:r>
        <w:rPr>
          <w:sz w:val="26"/>
          <w:szCs w:val="26"/>
        </w:rPr>
        <w:t xml:space="preserve">§ 52.219-1. </w:t>
      </w:r>
      <w:r w:rsidR="00825BFD">
        <w:rPr>
          <w:sz w:val="26"/>
          <w:szCs w:val="26"/>
        </w:rPr>
        <w:t xml:space="preserve"> </w:t>
      </w:r>
      <w:r w:rsidR="00136C34" w:rsidRPr="00136C34">
        <w:rPr>
          <w:i/>
          <w:sz w:val="26"/>
          <w:szCs w:val="26"/>
        </w:rPr>
        <w:t>Id.</w:t>
      </w:r>
      <w:r w:rsidR="00B77C69">
        <w:rPr>
          <w:sz w:val="26"/>
          <w:szCs w:val="26"/>
        </w:rPr>
        <w:t xml:space="preserve"> </w:t>
      </w:r>
      <w:r>
        <w:rPr>
          <w:sz w:val="26"/>
          <w:szCs w:val="26"/>
        </w:rPr>
        <w:t xml:space="preserve"> </w:t>
      </w:r>
      <w:r w:rsidR="009A0639">
        <w:rPr>
          <w:sz w:val="26"/>
          <w:szCs w:val="26"/>
        </w:rPr>
        <w:t xml:space="preserve">This section of FAR establishes the following general </w:t>
      </w:r>
      <w:r w:rsidR="009C79E3">
        <w:rPr>
          <w:sz w:val="26"/>
          <w:szCs w:val="26"/>
        </w:rPr>
        <w:t>categories</w:t>
      </w:r>
      <w:r w:rsidR="009A0639">
        <w:rPr>
          <w:sz w:val="26"/>
          <w:szCs w:val="26"/>
        </w:rPr>
        <w:t>:</w:t>
      </w:r>
    </w:p>
    <w:p w14:paraId="74D0A0B0" w14:textId="77777777" w:rsidR="001009DC" w:rsidRDefault="001009DC" w:rsidP="001009DC">
      <w:pPr>
        <w:rPr>
          <w:sz w:val="26"/>
          <w:szCs w:val="26"/>
        </w:rPr>
      </w:pPr>
    </w:p>
    <w:p w14:paraId="7C8C56B5" w14:textId="47C39436" w:rsidR="009A0639" w:rsidRDefault="009A0639" w:rsidP="00A00202">
      <w:pPr>
        <w:spacing w:line="360" w:lineRule="auto"/>
        <w:ind w:firstLine="720"/>
        <w:rPr>
          <w:sz w:val="26"/>
          <w:szCs w:val="26"/>
        </w:rPr>
      </w:pPr>
      <w:r>
        <w:rPr>
          <w:sz w:val="26"/>
          <w:szCs w:val="26"/>
        </w:rPr>
        <w:t xml:space="preserve">Women-owned small business </w:t>
      </w:r>
      <w:proofErr w:type="gramStart"/>
      <w:r>
        <w:rPr>
          <w:sz w:val="26"/>
          <w:szCs w:val="26"/>
        </w:rPr>
        <w:t>concern;</w:t>
      </w:r>
      <w:proofErr w:type="gramEnd"/>
    </w:p>
    <w:p w14:paraId="3519A63F" w14:textId="7A355CFB" w:rsidR="009A0639" w:rsidRDefault="009A0639" w:rsidP="00A00202">
      <w:pPr>
        <w:spacing w:line="360" w:lineRule="auto"/>
        <w:ind w:firstLine="720"/>
        <w:rPr>
          <w:sz w:val="26"/>
          <w:szCs w:val="26"/>
        </w:rPr>
      </w:pPr>
      <w:r>
        <w:rPr>
          <w:sz w:val="26"/>
          <w:szCs w:val="26"/>
        </w:rPr>
        <w:t xml:space="preserve">Veteran-owned small business </w:t>
      </w:r>
      <w:proofErr w:type="gramStart"/>
      <w:r>
        <w:rPr>
          <w:sz w:val="26"/>
          <w:szCs w:val="26"/>
        </w:rPr>
        <w:t>concern;</w:t>
      </w:r>
      <w:proofErr w:type="gramEnd"/>
    </w:p>
    <w:p w14:paraId="6C3CFD3F" w14:textId="57B477FF" w:rsidR="009A0639" w:rsidRDefault="009A0639" w:rsidP="00A00202">
      <w:pPr>
        <w:spacing w:line="360" w:lineRule="auto"/>
        <w:ind w:firstLine="720"/>
        <w:rPr>
          <w:sz w:val="26"/>
          <w:szCs w:val="26"/>
        </w:rPr>
      </w:pPr>
      <w:r>
        <w:rPr>
          <w:sz w:val="26"/>
          <w:szCs w:val="26"/>
        </w:rPr>
        <w:t xml:space="preserve">Black </w:t>
      </w:r>
      <w:proofErr w:type="gramStart"/>
      <w:r>
        <w:rPr>
          <w:sz w:val="26"/>
          <w:szCs w:val="26"/>
        </w:rPr>
        <w:t>American;</w:t>
      </w:r>
      <w:proofErr w:type="gramEnd"/>
    </w:p>
    <w:p w14:paraId="416C5E48" w14:textId="6CC67921" w:rsidR="009A0639" w:rsidRDefault="009A0639" w:rsidP="00A00202">
      <w:pPr>
        <w:spacing w:line="360" w:lineRule="auto"/>
        <w:ind w:firstLine="720"/>
        <w:rPr>
          <w:sz w:val="26"/>
          <w:szCs w:val="26"/>
        </w:rPr>
      </w:pPr>
      <w:r>
        <w:rPr>
          <w:sz w:val="26"/>
          <w:szCs w:val="26"/>
        </w:rPr>
        <w:t xml:space="preserve">Hispanic </w:t>
      </w:r>
      <w:proofErr w:type="gramStart"/>
      <w:r>
        <w:rPr>
          <w:sz w:val="26"/>
          <w:szCs w:val="26"/>
        </w:rPr>
        <w:t>American;</w:t>
      </w:r>
      <w:proofErr w:type="gramEnd"/>
    </w:p>
    <w:p w14:paraId="1521CDCB" w14:textId="2157ADA6" w:rsidR="009A0639" w:rsidRDefault="009A0639" w:rsidP="00A00202">
      <w:pPr>
        <w:spacing w:line="360" w:lineRule="auto"/>
        <w:ind w:firstLine="720"/>
        <w:rPr>
          <w:sz w:val="26"/>
          <w:szCs w:val="26"/>
        </w:rPr>
      </w:pPr>
      <w:r>
        <w:rPr>
          <w:sz w:val="26"/>
          <w:szCs w:val="26"/>
        </w:rPr>
        <w:t xml:space="preserve">Native </w:t>
      </w:r>
      <w:proofErr w:type="gramStart"/>
      <w:r>
        <w:rPr>
          <w:sz w:val="26"/>
          <w:szCs w:val="26"/>
        </w:rPr>
        <w:t>American;</w:t>
      </w:r>
      <w:proofErr w:type="gramEnd"/>
    </w:p>
    <w:p w14:paraId="3BAD8A27" w14:textId="0CFFDD32" w:rsidR="009A0639" w:rsidRDefault="009A0639" w:rsidP="00A00202">
      <w:pPr>
        <w:spacing w:line="360" w:lineRule="auto"/>
        <w:ind w:firstLine="720"/>
        <w:rPr>
          <w:sz w:val="26"/>
          <w:szCs w:val="26"/>
        </w:rPr>
      </w:pPr>
      <w:r>
        <w:rPr>
          <w:sz w:val="26"/>
          <w:szCs w:val="26"/>
        </w:rPr>
        <w:t xml:space="preserve">Asian-Pacific </w:t>
      </w:r>
      <w:proofErr w:type="gramStart"/>
      <w:r>
        <w:rPr>
          <w:sz w:val="26"/>
          <w:szCs w:val="26"/>
        </w:rPr>
        <w:t>American;</w:t>
      </w:r>
      <w:proofErr w:type="gramEnd"/>
    </w:p>
    <w:p w14:paraId="4ED58A86" w14:textId="24C0D108" w:rsidR="009A0639" w:rsidRDefault="009A0639" w:rsidP="00A00202">
      <w:pPr>
        <w:spacing w:line="360" w:lineRule="auto"/>
        <w:ind w:firstLine="720"/>
        <w:rPr>
          <w:sz w:val="26"/>
          <w:szCs w:val="26"/>
        </w:rPr>
      </w:pPr>
      <w:r>
        <w:rPr>
          <w:sz w:val="26"/>
          <w:szCs w:val="26"/>
        </w:rPr>
        <w:t>Subcontinent Asian</w:t>
      </w:r>
      <w:r w:rsidR="00E921BE">
        <w:rPr>
          <w:sz w:val="26"/>
          <w:szCs w:val="26"/>
        </w:rPr>
        <w:t>.</w:t>
      </w:r>
    </w:p>
    <w:p w14:paraId="091D9EE3" w14:textId="2439858F" w:rsidR="00B93C8E" w:rsidRDefault="00586B5E" w:rsidP="00A00202">
      <w:pPr>
        <w:spacing w:line="360" w:lineRule="auto"/>
        <w:ind w:firstLine="720"/>
        <w:rPr>
          <w:i/>
          <w:sz w:val="26"/>
          <w:szCs w:val="26"/>
        </w:rPr>
      </w:pPr>
      <w:r>
        <w:rPr>
          <w:sz w:val="26"/>
          <w:szCs w:val="26"/>
        </w:rPr>
        <w:lastRenderedPageBreak/>
        <w:t xml:space="preserve">Additionally, EAP </w:t>
      </w:r>
      <w:r w:rsidR="000A10F7">
        <w:rPr>
          <w:sz w:val="26"/>
          <w:szCs w:val="26"/>
        </w:rPr>
        <w:t xml:space="preserve">recommended that the definition of “Minority Owned </w:t>
      </w:r>
      <w:r w:rsidR="00781E55">
        <w:rPr>
          <w:sz w:val="26"/>
          <w:szCs w:val="26"/>
        </w:rPr>
        <w:t>Business</w:t>
      </w:r>
      <w:r w:rsidR="000A10F7">
        <w:rPr>
          <w:sz w:val="26"/>
          <w:szCs w:val="26"/>
        </w:rPr>
        <w:t xml:space="preserve"> Enterprise” should be defined in the vendor section of the policy statement’s definition section. </w:t>
      </w:r>
      <w:r w:rsidR="00515B77">
        <w:rPr>
          <w:sz w:val="26"/>
          <w:szCs w:val="26"/>
        </w:rPr>
        <w:t xml:space="preserve"> EAP Comments at 9. </w:t>
      </w:r>
      <w:r w:rsidR="006E2BAC">
        <w:rPr>
          <w:sz w:val="26"/>
          <w:szCs w:val="26"/>
        </w:rPr>
        <w:t xml:space="preserve"> </w:t>
      </w:r>
      <w:r w:rsidR="00B93C8E">
        <w:rPr>
          <w:sz w:val="26"/>
          <w:szCs w:val="26"/>
        </w:rPr>
        <w:t xml:space="preserve">EAP </w:t>
      </w:r>
      <w:r w:rsidR="00946E16">
        <w:rPr>
          <w:sz w:val="26"/>
          <w:szCs w:val="26"/>
        </w:rPr>
        <w:t>note</w:t>
      </w:r>
      <w:r w:rsidR="009368AA">
        <w:rPr>
          <w:sz w:val="26"/>
          <w:szCs w:val="26"/>
        </w:rPr>
        <w:t>s</w:t>
      </w:r>
      <w:r w:rsidR="00946E16">
        <w:rPr>
          <w:sz w:val="26"/>
          <w:szCs w:val="26"/>
        </w:rPr>
        <w:t xml:space="preserve"> that </w:t>
      </w:r>
      <w:r w:rsidR="002920AE">
        <w:rPr>
          <w:sz w:val="26"/>
          <w:szCs w:val="26"/>
        </w:rPr>
        <w:t>several of</w:t>
      </w:r>
      <w:r w:rsidR="00946E16">
        <w:rPr>
          <w:sz w:val="26"/>
          <w:szCs w:val="26"/>
        </w:rPr>
        <w:t xml:space="preserve"> its member utilities confirm that a potential vendor or contractor’s claim of diversity is valid via third</w:t>
      </w:r>
      <w:r w:rsidR="009368AA">
        <w:rPr>
          <w:sz w:val="26"/>
          <w:szCs w:val="26"/>
        </w:rPr>
        <w:t>-</w:t>
      </w:r>
      <w:r w:rsidR="00946E16">
        <w:rPr>
          <w:sz w:val="26"/>
          <w:szCs w:val="26"/>
        </w:rPr>
        <w:t xml:space="preserve">party entities who certify or otherwise provide information regarding these </w:t>
      </w:r>
      <w:r w:rsidR="003953F2">
        <w:rPr>
          <w:sz w:val="26"/>
          <w:szCs w:val="26"/>
        </w:rPr>
        <w:t xml:space="preserve">metrics. </w:t>
      </w:r>
      <w:r w:rsidR="002018EF">
        <w:rPr>
          <w:sz w:val="26"/>
          <w:szCs w:val="26"/>
        </w:rPr>
        <w:t xml:space="preserve"> </w:t>
      </w:r>
      <w:r w:rsidR="00136C34" w:rsidRPr="00136C34">
        <w:rPr>
          <w:i/>
          <w:sz w:val="26"/>
          <w:szCs w:val="26"/>
        </w:rPr>
        <w:t>Id.</w:t>
      </w:r>
      <w:r w:rsidR="002018EF">
        <w:rPr>
          <w:sz w:val="26"/>
          <w:szCs w:val="26"/>
        </w:rPr>
        <w:t xml:space="preserve"> </w:t>
      </w:r>
      <w:r w:rsidR="003953F2">
        <w:rPr>
          <w:sz w:val="26"/>
          <w:szCs w:val="26"/>
        </w:rPr>
        <w:t xml:space="preserve"> </w:t>
      </w:r>
      <w:r w:rsidR="00A37F36">
        <w:rPr>
          <w:sz w:val="26"/>
          <w:szCs w:val="26"/>
        </w:rPr>
        <w:t xml:space="preserve">EAP explains that </w:t>
      </w:r>
      <w:r w:rsidR="00AC1E47">
        <w:rPr>
          <w:sz w:val="26"/>
          <w:szCs w:val="26"/>
        </w:rPr>
        <w:t xml:space="preserve">using vendor-specific terms and definitions will ensure that </w:t>
      </w:r>
      <w:r w:rsidR="00C01004">
        <w:rPr>
          <w:sz w:val="26"/>
          <w:szCs w:val="26"/>
        </w:rPr>
        <w:t>major jurisdictional utility companies can rely on third party entities who certify or otherwise provide information regarding these metrics.</w:t>
      </w:r>
      <w:r w:rsidR="00203422">
        <w:rPr>
          <w:sz w:val="26"/>
          <w:szCs w:val="26"/>
        </w:rPr>
        <w:t xml:space="preserve">  </w:t>
      </w:r>
      <w:r w:rsidR="00136C34" w:rsidRPr="00136C34">
        <w:rPr>
          <w:i/>
          <w:sz w:val="26"/>
          <w:szCs w:val="26"/>
        </w:rPr>
        <w:t>Id.</w:t>
      </w:r>
    </w:p>
    <w:p w14:paraId="4DC58E86" w14:textId="77777777" w:rsidR="001009DC" w:rsidRDefault="001009DC" w:rsidP="00A00202">
      <w:pPr>
        <w:spacing w:line="360" w:lineRule="auto"/>
        <w:ind w:firstLine="720"/>
        <w:rPr>
          <w:sz w:val="26"/>
          <w:szCs w:val="26"/>
        </w:rPr>
      </w:pPr>
    </w:p>
    <w:p w14:paraId="75F8495B" w14:textId="2EF980C6" w:rsidR="00D24520" w:rsidRDefault="00711535" w:rsidP="00A00202">
      <w:pPr>
        <w:spacing w:line="360" w:lineRule="auto"/>
        <w:ind w:firstLine="720"/>
        <w:rPr>
          <w:sz w:val="26"/>
          <w:szCs w:val="26"/>
        </w:rPr>
      </w:pPr>
      <w:r>
        <w:rPr>
          <w:sz w:val="26"/>
          <w:szCs w:val="26"/>
        </w:rPr>
        <w:t xml:space="preserve">The Commission agrees that </w:t>
      </w:r>
      <w:r w:rsidR="00E1101F">
        <w:rPr>
          <w:sz w:val="26"/>
          <w:szCs w:val="26"/>
        </w:rPr>
        <w:t xml:space="preserve">having separate </w:t>
      </w:r>
      <w:r w:rsidR="00EC7DCE">
        <w:rPr>
          <w:sz w:val="26"/>
          <w:szCs w:val="26"/>
        </w:rPr>
        <w:t xml:space="preserve">definitions for </w:t>
      </w:r>
      <w:r w:rsidR="00C57FF4">
        <w:rPr>
          <w:sz w:val="26"/>
          <w:szCs w:val="26"/>
        </w:rPr>
        <w:t xml:space="preserve">major jurisdictional </w:t>
      </w:r>
      <w:r w:rsidR="00EC7DCE">
        <w:rPr>
          <w:sz w:val="26"/>
          <w:szCs w:val="26"/>
        </w:rPr>
        <w:t>utility</w:t>
      </w:r>
      <w:r w:rsidR="00C57FF4">
        <w:rPr>
          <w:sz w:val="26"/>
          <w:szCs w:val="26"/>
        </w:rPr>
        <w:t xml:space="preserve"> company</w:t>
      </w:r>
      <w:r w:rsidR="00EC7DCE">
        <w:rPr>
          <w:sz w:val="26"/>
          <w:szCs w:val="26"/>
        </w:rPr>
        <w:t xml:space="preserve"> employees and</w:t>
      </w:r>
      <w:r w:rsidR="00A21D46">
        <w:rPr>
          <w:sz w:val="26"/>
          <w:szCs w:val="26"/>
        </w:rPr>
        <w:t xml:space="preserve"> major jurisdictional</w:t>
      </w:r>
      <w:r w:rsidR="00EC7DCE">
        <w:rPr>
          <w:sz w:val="26"/>
          <w:szCs w:val="26"/>
        </w:rPr>
        <w:t xml:space="preserve"> </w:t>
      </w:r>
      <w:r w:rsidR="00FD0947">
        <w:rPr>
          <w:sz w:val="26"/>
          <w:szCs w:val="26"/>
        </w:rPr>
        <w:t>utility</w:t>
      </w:r>
      <w:r w:rsidR="00A21D46">
        <w:rPr>
          <w:sz w:val="26"/>
          <w:szCs w:val="26"/>
        </w:rPr>
        <w:t xml:space="preserve"> company</w:t>
      </w:r>
      <w:r w:rsidR="00FD0947">
        <w:rPr>
          <w:sz w:val="26"/>
          <w:szCs w:val="26"/>
        </w:rPr>
        <w:t xml:space="preserve"> vendors </w:t>
      </w:r>
      <w:r w:rsidR="00227FA6">
        <w:rPr>
          <w:sz w:val="26"/>
          <w:szCs w:val="26"/>
        </w:rPr>
        <w:t>allows</w:t>
      </w:r>
      <w:r w:rsidR="00FD0947">
        <w:rPr>
          <w:sz w:val="26"/>
          <w:szCs w:val="26"/>
        </w:rPr>
        <w:t xml:space="preserve"> for consistent reporting </w:t>
      </w:r>
      <w:r w:rsidR="007E29B6">
        <w:rPr>
          <w:sz w:val="26"/>
          <w:szCs w:val="26"/>
        </w:rPr>
        <w:t xml:space="preserve">among major jurisdictional utility companies. </w:t>
      </w:r>
      <w:r w:rsidR="00D75665">
        <w:rPr>
          <w:sz w:val="26"/>
          <w:szCs w:val="26"/>
        </w:rPr>
        <w:t xml:space="preserve"> The </w:t>
      </w:r>
      <w:r w:rsidR="0067059E">
        <w:rPr>
          <w:sz w:val="26"/>
          <w:szCs w:val="26"/>
        </w:rPr>
        <w:t>EEOC</w:t>
      </w:r>
      <w:r w:rsidR="001C2398">
        <w:rPr>
          <w:sz w:val="26"/>
          <w:szCs w:val="26"/>
        </w:rPr>
        <w:t>’s and DOL’s</w:t>
      </w:r>
      <w:r w:rsidR="00227FA6">
        <w:rPr>
          <w:sz w:val="26"/>
          <w:szCs w:val="26"/>
        </w:rPr>
        <w:t xml:space="preserve"> </w:t>
      </w:r>
      <w:r w:rsidR="008B6547">
        <w:rPr>
          <w:sz w:val="26"/>
          <w:szCs w:val="26"/>
        </w:rPr>
        <w:t>terminolog</w:t>
      </w:r>
      <w:r w:rsidR="00576390">
        <w:rPr>
          <w:sz w:val="26"/>
          <w:szCs w:val="26"/>
        </w:rPr>
        <w:t>ies</w:t>
      </w:r>
      <w:r w:rsidR="008B6547">
        <w:rPr>
          <w:sz w:val="26"/>
          <w:szCs w:val="26"/>
        </w:rPr>
        <w:t xml:space="preserve"> </w:t>
      </w:r>
      <w:r w:rsidR="0012443E">
        <w:rPr>
          <w:sz w:val="26"/>
          <w:szCs w:val="26"/>
        </w:rPr>
        <w:t>are inconsistent</w:t>
      </w:r>
      <w:r w:rsidR="00227FA6">
        <w:rPr>
          <w:sz w:val="26"/>
          <w:szCs w:val="26"/>
        </w:rPr>
        <w:t xml:space="preserve"> with each other</w:t>
      </w:r>
      <w:r w:rsidR="00576390">
        <w:rPr>
          <w:sz w:val="26"/>
          <w:szCs w:val="26"/>
        </w:rPr>
        <w:t>,</w:t>
      </w:r>
      <w:r w:rsidR="0012443E">
        <w:rPr>
          <w:sz w:val="26"/>
          <w:szCs w:val="26"/>
        </w:rPr>
        <w:t xml:space="preserve"> </w:t>
      </w:r>
      <w:r w:rsidR="00A46F35">
        <w:rPr>
          <w:sz w:val="26"/>
          <w:szCs w:val="26"/>
        </w:rPr>
        <w:t xml:space="preserve">so it is necessary to have two separate </w:t>
      </w:r>
      <w:r w:rsidR="00A43216">
        <w:rPr>
          <w:sz w:val="26"/>
          <w:szCs w:val="26"/>
        </w:rPr>
        <w:t xml:space="preserve">sets of definitions </w:t>
      </w:r>
      <w:r w:rsidR="00447BC5">
        <w:rPr>
          <w:sz w:val="26"/>
          <w:szCs w:val="26"/>
        </w:rPr>
        <w:t>to ensure</w:t>
      </w:r>
      <w:r w:rsidR="00A43216">
        <w:rPr>
          <w:sz w:val="26"/>
          <w:szCs w:val="26"/>
        </w:rPr>
        <w:t xml:space="preserve"> that </w:t>
      </w:r>
      <w:r w:rsidR="00FC0A1A">
        <w:rPr>
          <w:sz w:val="26"/>
          <w:szCs w:val="26"/>
        </w:rPr>
        <w:t xml:space="preserve">major jurisdictional utility companies can </w:t>
      </w:r>
      <w:r w:rsidR="003606C4">
        <w:rPr>
          <w:sz w:val="26"/>
          <w:szCs w:val="26"/>
        </w:rPr>
        <w:t>consistently report</w:t>
      </w:r>
      <w:r w:rsidR="006D3632">
        <w:rPr>
          <w:sz w:val="26"/>
          <w:szCs w:val="26"/>
        </w:rPr>
        <w:t xml:space="preserve"> </w:t>
      </w:r>
      <w:r w:rsidR="00D67DC2">
        <w:rPr>
          <w:sz w:val="26"/>
          <w:szCs w:val="26"/>
        </w:rPr>
        <w:t xml:space="preserve">their </w:t>
      </w:r>
      <w:r w:rsidR="003606C4">
        <w:rPr>
          <w:sz w:val="26"/>
          <w:szCs w:val="26"/>
        </w:rPr>
        <w:t xml:space="preserve">diversity amongst their </w:t>
      </w:r>
      <w:r w:rsidR="00D67DC2">
        <w:rPr>
          <w:sz w:val="26"/>
          <w:szCs w:val="26"/>
        </w:rPr>
        <w:t xml:space="preserve">employees </w:t>
      </w:r>
      <w:r w:rsidR="00CC2DE2">
        <w:rPr>
          <w:sz w:val="26"/>
          <w:szCs w:val="26"/>
        </w:rPr>
        <w:t xml:space="preserve">and </w:t>
      </w:r>
      <w:r w:rsidR="00196E9F">
        <w:rPr>
          <w:sz w:val="26"/>
          <w:szCs w:val="26"/>
        </w:rPr>
        <w:t>vendors</w:t>
      </w:r>
      <w:r w:rsidR="00200ACD">
        <w:rPr>
          <w:sz w:val="26"/>
          <w:szCs w:val="26"/>
        </w:rPr>
        <w:t xml:space="preserve">. </w:t>
      </w:r>
      <w:r w:rsidR="007E29B6">
        <w:rPr>
          <w:sz w:val="26"/>
          <w:szCs w:val="26"/>
        </w:rPr>
        <w:t xml:space="preserve"> </w:t>
      </w:r>
      <w:r w:rsidR="00780923">
        <w:rPr>
          <w:sz w:val="26"/>
          <w:szCs w:val="26"/>
        </w:rPr>
        <w:t xml:space="preserve">The Commission renames Section 69.802 to </w:t>
      </w:r>
      <w:r w:rsidR="006A35FC">
        <w:rPr>
          <w:sz w:val="26"/>
          <w:szCs w:val="26"/>
        </w:rPr>
        <w:t>“</w:t>
      </w:r>
      <w:r w:rsidR="00F15409">
        <w:rPr>
          <w:sz w:val="26"/>
          <w:szCs w:val="26"/>
        </w:rPr>
        <w:t xml:space="preserve">Definitions </w:t>
      </w:r>
      <w:r w:rsidR="00046D86">
        <w:rPr>
          <w:sz w:val="26"/>
          <w:szCs w:val="26"/>
        </w:rPr>
        <w:t>for</w:t>
      </w:r>
      <w:r w:rsidR="00F15409">
        <w:rPr>
          <w:sz w:val="26"/>
          <w:szCs w:val="26"/>
        </w:rPr>
        <w:t xml:space="preserve"> </w:t>
      </w:r>
      <w:r w:rsidR="00F15409" w:rsidRPr="005C0F61">
        <w:rPr>
          <w:bCs/>
          <w:sz w:val="26"/>
          <w:szCs w:val="26"/>
        </w:rPr>
        <w:t>Reporting Employee Statistics</w:t>
      </w:r>
      <w:r w:rsidR="006A35FC">
        <w:rPr>
          <w:sz w:val="26"/>
          <w:szCs w:val="26"/>
        </w:rPr>
        <w:t>”</w:t>
      </w:r>
      <w:r w:rsidR="00672D47">
        <w:rPr>
          <w:sz w:val="26"/>
          <w:szCs w:val="26"/>
        </w:rPr>
        <w:t xml:space="preserve"> and creates a new Section 69.</w:t>
      </w:r>
      <w:r w:rsidR="00672D47" w:rsidDel="00697C08">
        <w:rPr>
          <w:sz w:val="26"/>
          <w:szCs w:val="26"/>
        </w:rPr>
        <w:t>80</w:t>
      </w:r>
      <w:r w:rsidR="00DB0C39" w:rsidDel="00697C08">
        <w:rPr>
          <w:sz w:val="26"/>
          <w:szCs w:val="26"/>
        </w:rPr>
        <w:t>2</w:t>
      </w:r>
      <w:r w:rsidR="00A149E5" w:rsidDel="00697C08">
        <w:rPr>
          <w:sz w:val="26"/>
          <w:szCs w:val="26"/>
        </w:rPr>
        <w:t>a</w:t>
      </w:r>
      <w:r w:rsidR="00DB0C39">
        <w:rPr>
          <w:sz w:val="26"/>
          <w:szCs w:val="26"/>
        </w:rPr>
        <w:t xml:space="preserve"> entitled </w:t>
      </w:r>
      <w:r w:rsidR="006A35FC">
        <w:rPr>
          <w:sz w:val="26"/>
          <w:szCs w:val="26"/>
        </w:rPr>
        <w:t>“</w:t>
      </w:r>
      <w:r w:rsidR="00E34B68">
        <w:rPr>
          <w:sz w:val="26"/>
          <w:szCs w:val="26"/>
        </w:rPr>
        <w:t xml:space="preserve">Definitions </w:t>
      </w:r>
      <w:r w:rsidR="00465287">
        <w:rPr>
          <w:sz w:val="26"/>
          <w:szCs w:val="26"/>
        </w:rPr>
        <w:t>for</w:t>
      </w:r>
      <w:r w:rsidR="00E34B68">
        <w:rPr>
          <w:sz w:val="26"/>
          <w:szCs w:val="26"/>
        </w:rPr>
        <w:t xml:space="preserve"> </w:t>
      </w:r>
      <w:r w:rsidR="00E34B68" w:rsidRPr="005C0F61">
        <w:rPr>
          <w:bCs/>
          <w:sz w:val="26"/>
          <w:szCs w:val="26"/>
        </w:rPr>
        <w:t>Reporting Vendor Statistics</w:t>
      </w:r>
      <w:r w:rsidR="009A6101">
        <w:rPr>
          <w:sz w:val="26"/>
          <w:szCs w:val="26"/>
        </w:rPr>
        <w:t>.</w:t>
      </w:r>
      <w:r w:rsidR="006A35FC">
        <w:rPr>
          <w:sz w:val="26"/>
          <w:szCs w:val="26"/>
        </w:rPr>
        <w:t>”</w:t>
      </w:r>
      <w:r w:rsidR="009A6101">
        <w:rPr>
          <w:sz w:val="26"/>
          <w:szCs w:val="26"/>
        </w:rPr>
        <w:t xml:space="preserve">  Section 69.802 </w:t>
      </w:r>
      <w:r w:rsidR="00345324">
        <w:rPr>
          <w:sz w:val="26"/>
          <w:szCs w:val="26"/>
        </w:rPr>
        <w:t xml:space="preserve">now includes in its introductory paragraph </w:t>
      </w:r>
      <w:r w:rsidR="00C9337D">
        <w:rPr>
          <w:sz w:val="26"/>
          <w:szCs w:val="26"/>
        </w:rPr>
        <w:t>“</w:t>
      </w:r>
      <w:r w:rsidR="00C9337D" w:rsidRPr="006961E9">
        <w:rPr>
          <w:sz w:val="26"/>
          <w:szCs w:val="26"/>
        </w:rPr>
        <w:t xml:space="preserve">in the context of </w:t>
      </w:r>
      <w:r w:rsidR="00D12871">
        <w:rPr>
          <w:sz w:val="26"/>
          <w:szCs w:val="26"/>
        </w:rPr>
        <w:t xml:space="preserve">major jurisdictional </w:t>
      </w:r>
      <w:r w:rsidR="00C9337D" w:rsidRPr="006961E9">
        <w:rPr>
          <w:sz w:val="26"/>
          <w:szCs w:val="26"/>
        </w:rPr>
        <w:t>utility</w:t>
      </w:r>
      <w:r w:rsidR="00C9337D" w:rsidRPr="00D75665">
        <w:rPr>
          <w:sz w:val="26"/>
          <w:szCs w:val="26"/>
        </w:rPr>
        <w:t xml:space="preserve"> </w:t>
      </w:r>
      <w:r w:rsidR="00D12871">
        <w:rPr>
          <w:sz w:val="26"/>
          <w:szCs w:val="26"/>
        </w:rPr>
        <w:t xml:space="preserve">company </w:t>
      </w:r>
      <w:r w:rsidR="00C9337D" w:rsidRPr="00D75665">
        <w:rPr>
          <w:sz w:val="26"/>
          <w:szCs w:val="26"/>
        </w:rPr>
        <w:t>employees</w:t>
      </w:r>
      <w:r w:rsidR="00C9337D">
        <w:rPr>
          <w:sz w:val="26"/>
          <w:szCs w:val="26"/>
        </w:rPr>
        <w:t xml:space="preserve">” to expressly indicate that the terms enumerated and defined in this section </w:t>
      </w:r>
      <w:r w:rsidR="005A7203">
        <w:rPr>
          <w:sz w:val="26"/>
          <w:szCs w:val="26"/>
        </w:rPr>
        <w:t xml:space="preserve">are to be applied in the policy statement when the context involves a </w:t>
      </w:r>
      <w:r w:rsidR="0092618B">
        <w:rPr>
          <w:sz w:val="26"/>
          <w:szCs w:val="26"/>
        </w:rPr>
        <w:t xml:space="preserve">major jurisdictional </w:t>
      </w:r>
      <w:r w:rsidR="005A7203">
        <w:rPr>
          <w:sz w:val="26"/>
          <w:szCs w:val="26"/>
        </w:rPr>
        <w:t>utility</w:t>
      </w:r>
      <w:r w:rsidR="0092618B">
        <w:rPr>
          <w:sz w:val="26"/>
          <w:szCs w:val="26"/>
        </w:rPr>
        <w:t xml:space="preserve"> company</w:t>
      </w:r>
      <w:r w:rsidR="005A7203">
        <w:rPr>
          <w:sz w:val="26"/>
          <w:szCs w:val="26"/>
        </w:rPr>
        <w:t>’s employees.</w:t>
      </w:r>
      <w:r w:rsidR="00DF5620">
        <w:rPr>
          <w:sz w:val="26"/>
          <w:szCs w:val="26"/>
        </w:rPr>
        <w:t xml:space="preserve">  Additionally, the Commission removed </w:t>
      </w:r>
      <w:r w:rsidR="00C6249A">
        <w:rPr>
          <w:sz w:val="26"/>
          <w:szCs w:val="26"/>
        </w:rPr>
        <w:t xml:space="preserve">the following </w:t>
      </w:r>
      <w:r w:rsidR="00DF5620">
        <w:rPr>
          <w:sz w:val="26"/>
          <w:szCs w:val="26"/>
        </w:rPr>
        <w:t xml:space="preserve">terms </w:t>
      </w:r>
      <w:r w:rsidR="00A556D9">
        <w:rPr>
          <w:sz w:val="26"/>
          <w:szCs w:val="26"/>
        </w:rPr>
        <w:t xml:space="preserve">from Section </w:t>
      </w:r>
      <w:r w:rsidR="000465C9">
        <w:rPr>
          <w:sz w:val="26"/>
          <w:szCs w:val="26"/>
        </w:rPr>
        <w:t xml:space="preserve">69.802 </w:t>
      </w:r>
      <w:r w:rsidR="00DF5620">
        <w:rPr>
          <w:sz w:val="26"/>
          <w:szCs w:val="26"/>
        </w:rPr>
        <w:t xml:space="preserve">that </w:t>
      </w:r>
      <w:r w:rsidR="0098257C">
        <w:rPr>
          <w:sz w:val="26"/>
          <w:szCs w:val="26"/>
        </w:rPr>
        <w:t xml:space="preserve">apply exclusively to </w:t>
      </w:r>
      <w:r w:rsidR="00D427A5">
        <w:rPr>
          <w:sz w:val="26"/>
          <w:szCs w:val="26"/>
        </w:rPr>
        <w:t xml:space="preserve">major jurisdictional </w:t>
      </w:r>
      <w:r w:rsidR="0098257C">
        <w:rPr>
          <w:sz w:val="26"/>
          <w:szCs w:val="26"/>
        </w:rPr>
        <w:t>utility</w:t>
      </w:r>
      <w:r w:rsidR="00D427A5">
        <w:rPr>
          <w:sz w:val="26"/>
          <w:szCs w:val="26"/>
        </w:rPr>
        <w:t xml:space="preserve"> company</w:t>
      </w:r>
      <w:r w:rsidR="0098257C">
        <w:rPr>
          <w:sz w:val="26"/>
          <w:szCs w:val="26"/>
        </w:rPr>
        <w:t xml:space="preserve"> vendors: </w:t>
      </w:r>
      <w:r w:rsidR="00C6249A">
        <w:rPr>
          <w:sz w:val="26"/>
          <w:szCs w:val="26"/>
        </w:rPr>
        <w:t>“</w:t>
      </w:r>
      <w:r w:rsidR="00306AC6">
        <w:rPr>
          <w:sz w:val="26"/>
          <w:szCs w:val="26"/>
        </w:rPr>
        <w:t>exempt procurement</w:t>
      </w:r>
      <w:r w:rsidR="2FAD8BC6" w:rsidRPr="0CA07E42">
        <w:rPr>
          <w:sz w:val="26"/>
          <w:szCs w:val="26"/>
        </w:rPr>
        <w:t>,</w:t>
      </w:r>
      <w:r w:rsidR="00C6249A" w:rsidRPr="0CA07E42">
        <w:rPr>
          <w:sz w:val="26"/>
          <w:szCs w:val="26"/>
        </w:rPr>
        <w:t>”</w:t>
      </w:r>
      <w:r w:rsidR="00306AC6">
        <w:rPr>
          <w:sz w:val="26"/>
          <w:szCs w:val="26"/>
        </w:rPr>
        <w:t xml:space="preserve"> </w:t>
      </w:r>
      <w:r w:rsidR="00C6249A">
        <w:rPr>
          <w:sz w:val="26"/>
          <w:szCs w:val="26"/>
        </w:rPr>
        <w:t>“</w:t>
      </w:r>
      <w:r w:rsidR="00306AC6">
        <w:rPr>
          <w:sz w:val="26"/>
          <w:szCs w:val="26"/>
        </w:rPr>
        <w:t>minority owned business enterprise</w:t>
      </w:r>
      <w:r w:rsidR="30B27320" w:rsidRPr="0CA07E42">
        <w:rPr>
          <w:sz w:val="26"/>
          <w:szCs w:val="26"/>
        </w:rPr>
        <w:t>,</w:t>
      </w:r>
      <w:r w:rsidR="00C6249A" w:rsidRPr="0CA07E42">
        <w:rPr>
          <w:sz w:val="26"/>
          <w:szCs w:val="26"/>
        </w:rPr>
        <w:t>”</w:t>
      </w:r>
      <w:r w:rsidR="00306AC6">
        <w:rPr>
          <w:sz w:val="26"/>
          <w:szCs w:val="26"/>
        </w:rPr>
        <w:t xml:space="preserve"> </w:t>
      </w:r>
      <w:r w:rsidR="00C6249A">
        <w:rPr>
          <w:sz w:val="26"/>
          <w:szCs w:val="26"/>
        </w:rPr>
        <w:t>“</w:t>
      </w:r>
      <w:r w:rsidR="009B2135">
        <w:rPr>
          <w:sz w:val="26"/>
          <w:szCs w:val="26"/>
        </w:rPr>
        <w:t>operate</w:t>
      </w:r>
      <w:r w:rsidR="0A523603" w:rsidRPr="0CA07E42">
        <w:rPr>
          <w:sz w:val="26"/>
          <w:szCs w:val="26"/>
        </w:rPr>
        <w:t>,</w:t>
      </w:r>
      <w:r w:rsidR="00C6249A" w:rsidRPr="0CA07E42">
        <w:rPr>
          <w:sz w:val="26"/>
          <w:szCs w:val="26"/>
        </w:rPr>
        <w:t>”</w:t>
      </w:r>
      <w:r w:rsidR="009B2135">
        <w:rPr>
          <w:sz w:val="26"/>
          <w:szCs w:val="26"/>
        </w:rPr>
        <w:t xml:space="preserve"> </w:t>
      </w:r>
      <w:r w:rsidR="00C6249A">
        <w:rPr>
          <w:sz w:val="26"/>
          <w:szCs w:val="26"/>
        </w:rPr>
        <w:t>“</w:t>
      </w:r>
      <w:r w:rsidR="009B2135">
        <w:rPr>
          <w:sz w:val="26"/>
          <w:szCs w:val="26"/>
        </w:rPr>
        <w:t>subcontract</w:t>
      </w:r>
      <w:r w:rsidR="687B5B62" w:rsidRPr="0CA07E42">
        <w:rPr>
          <w:sz w:val="26"/>
          <w:szCs w:val="26"/>
        </w:rPr>
        <w:t>,</w:t>
      </w:r>
      <w:r w:rsidR="00C6249A" w:rsidRPr="0CA07E42">
        <w:rPr>
          <w:sz w:val="26"/>
          <w:szCs w:val="26"/>
        </w:rPr>
        <w:t>”</w:t>
      </w:r>
      <w:r w:rsidR="009B2135">
        <w:rPr>
          <w:sz w:val="26"/>
          <w:szCs w:val="26"/>
        </w:rPr>
        <w:t xml:space="preserve"> and </w:t>
      </w:r>
      <w:r w:rsidR="00C6249A">
        <w:rPr>
          <w:sz w:val="26"/>
          <w:szCs w:val="26"/>
        </w:rPr>
        <w:t>“</w:t>
      </w:r>
      <w:r w:rsidR="009B2135">
        <w:rPr>
          <w:sz w:val="26"/>
          <w:szCs w:val="26"/>
        </w:rPr>
        <w:t>women owned business enterprise</w:t>
      </w:r>
      <w:r w:rsidR="614602E5" w:rsidRPr="0CA07E42">
        <w:rPr>
          <w:sz w:val="26"/>
          <w:szCs w:val="26"/>
        </w:rPr>
        <w:t>.</w:t>
      </w:r>
      <w:r w:rsidR="00C6249A" w:rsidRPr="0CA07E42">
        <w:rPr>
          <w:sz w:val="26"/>
          <w:szCs w:val="26"/>
        </w:rPr>
        <w:t>”</w:t>
      </w:r>
      <w:r w:rsidR="001E2931">
        <w:rPr>
          <w:sz w:val="26"/>
          <w:szCs w:val="26"/>
        </w:rPr>
        <w:t xml:space="preserve">  These terms and their respective definitions were moved to the new Section 69.</w:t>
      </w:r>
      <w:r w:rsidR="001E2931" w:rsidDel="00697C08">
        <w:rPr>
          <w:sz w:val="26"/>
          <w:szCs w:val="26"/>
        </w:rPr>
        <w:t>802</w:t>
      </w:r>
      <w:r w:rsidR="001011AF" w:rsidDel="00697C08">
        <w:rPr>
          <w:sz w:val="26"/>
          <w:szCs w:val="26"/>
        </w:rPr>
        <w:t>a</w:t>
      </w:r>
      <w:r w:rsidR="001E2931">
        <w:rPr>
          <w:sz w:val="26"/>
          <w:szCs w:val="26"/>
        </w:rPr>
        <w:t xml:space="preserve"> </w:t>
      </w:r>
      <w:r w:rsidR="002137CF">
        <w:rPr>
          <w:sz w:val="26"/>
          <w:szCs w:val="26"/>
        </w:rPr>
        <w:t xml:space="preserve">since they pertain to </w:t>
      </w:r>
      <w:r w:rsidR="00DC2F81">
        <w:rPr>
          <w:sz w:val="26"/>
          <w:szCs w:val="26"/>
        </w:rPr>
        <w:t xml:space="preserve">major jurisdictional </w:t>
      </w:r>
      <w:r w:rsidR="002137CF">
        <w:rPr>
          <w:sz w:val="26"/>
          <w:szCs w:val="26"/>
        </w:rPr>
        <w:t>utility</w:t>
      </w:r>
      <w:r w:rsidR="00DC2F81">
        <w:rPr>
          <w:sz w:val="26"/>
          <w:szCs w:val="26"/>
        </w:rPr>
        <w:t xml:space="preserve"> company</w:t>
      </w:r>
      <w:r w:rsidR="002137CF">
        <w:rPr>
          <w:sz w:val="26"/>
          <w:szCs w:val="26"/>
        </w:rPr>
        <w:t xml:space="preserve"> vendors.</w:t>
      </w:r>
    </w:p>
    <w:p w14:paraId="34CDFA75" w14:textId="77777777" w:rsidR="001009DC" w:rsidRDefault="001009DC" w:rsidP="00A00202">
      <w:pPr>
        <w:spacing w:line="360" w:lineRule="auto"/>
        <w:ind w:firstLine="720"/>
        <w:rPr>
          <w:sz w:val="26"/>
          <w:szCs w:val="26"/>
        </w:rPr>
      </w:pPr>
    </w:p>
    <w:p w14:paraId="088D8D60" w14:textId="5D0E1BC4" w:rsidR="00803103" w:rsidRDefault="002137CF" w:rsidP="00803103">
      <w:pPr>
        <w:spacing w:line="360" w:lineRule="auto"/>
        <w:ind w:firstLine="720"/>
        <w:rPr>
          <w:sz w:val="26"/>
          <w:szCs w:val="26"/>
        </w:rPr>
      </w:pPr>
      <w:r>
        <w:rPr>
          <w:sz w:val="26"/>
          <w:szCs w:val="26"/>
        </w:rPr>
        <w:t>With respect to Section 69.</w:t>
      </w:r>
      <w:r w:rsidDel="00697C08">
        <w:rPr>
          <w:sz w:val="26"/>
          <w:szCs w:val="26"/>
        </w:rPr>
        <w:t>802</w:t>
      </w:r>
      <w:r w:rsidR="00173EEE" w:rsidDel="00697C08">
        <w:rPr>
          <w:sz w:val="26"/>
          <w:szCs w:val="26"/>
        </w:rPr>
        <w:t>a</w:t>
      </w:r>
      <w:r>
        <w:rPr>
          <w:sz w:val="26"/>
          <w:szCs w:val="26"/>
        </w:rPr>
        <w:t xml:space="preserve">, the Commission </w:t>
      </w:r>
      <w:r w:rsidR="0077558F">
        <w:rPr>
          <w:sz w:val="26"/>
          <w:szCs w:val="26"/>
        </w:rPr>
        <w:t xml:space="preserve">enumerates and defines the following terms: </w:t>
      </w:r>
      <w:r w:rsidR="0033432F">
        <w:rPr>
          <w:sz w:val="26"/>
          <w:szCs w:val="26"/>
        </w:rPr>
        <w:t>“</w:t>
      </w:r>
      <w:r w:rsidR="00DC6F80">
        <w:rPr>
          <w:sz w:val="26"/>
          <w:szCs w:val="26"/>
        </w:rPr>
        <w:t>control</w:t>
      </w:r>
      <w:r w:rsidR="6A6DDF04" w:rsidRPr="0CA07E42">
        <w:rPr>
          <w:sz w:val="26"/>
          <w:szCs w:val="26"/>
        </w:rPr>
        <w:t>,</w:t>
      </w:r>
      <w:r w:rsidR="0033432F" w:rsidRPr="0CA07E42">
        <w:rPr>
          <w:sz w:val="26"/>
          <w:szCs w:val="26"/>
        </w:rPr>
        <w:t>”</w:t>
      </w:r>
      <w:r w:rsidR="00DC6F80">
        <w:rPr>
          <w:sz w:val="26"/>
          <w:szCs w:val="26"/>
        </w:rPr>
        <w:t xml:space="preserve"> </w:t>
      </w:r>
      <w:r w:rsidR="0033432F">
        <w:rPr>
          <w:sz w:val="26"/>
          <w:szCs w:val="26"/>
        </w:rPr>
        <w:t>“</w:t>
      </w:r>
      <w:r w:rsidR="00DC6F80">
        <w:rPr>
          <w:sz w:val="26"/>
          <w:szCs w:val="26"/>
        </w:rPr>
        <w:t>exempt procurement</w:t>
      </w:r>
      <w:r w:rsidR="46C8BF48" w:rsidRPr="0CA07E42">
        <w:rPr>
          <w:sz w:val="26"/>
          <w:szCs w:val="26"/>
        </w:rPr>
        <w:t>,</w:t>
      </w:r>
      <w:r w:rsidR="0033432F" w:rsidRPr="0CA07E42">
        <w:rPr>
          <w:sz w:val="26"/>
          <w:szCs w:val="26"/>
        </w:rPr>
        <w:t>”</w:t>
      </w:r>
      <w:r w:rsidR="00DC6F80">
        <w:rPr>
          <w:sz w:val="26"/>
          <w:szCs w:val="26"/>
        </w:rPr>
        <w:t xml:space="preserve"> </w:t>
      </w:r>
      <w:r w:rsidR="0033432F">
        <w:rPr>
          <w:sz w:val="26"/>
          <w:szCs w:val="26"/>
        </w:rPr>
        <w:t>“</w:t>
      </w:r>
      <w:r w:rsidR="00DC6F80">
        <w:rPr>
          <w:sz w:val="26"/>
          <w:szCs w:val="26"/>
        </w:rPr>
        <w:t>LGBTQ</w:t>
      </w:r>
      <w:r w:rsidR="0033432F">
        <w:rPr>
          <w:sz w:val="26"/>
          <w:szCs w:val="26"/>
        </w:rPr>
        <w:t>”</w:t>
      </w:r>
      <w:r w:rsidR="00DC6F80">
        <w:rPr>
          <w:sz w:val="26"/>
          <w:szCs w:val="26"/>
        </w:rPr>
        <w:t xml:space="preserve">, </w:t>
      </w:r>
      <w:r w:rsidR="0033432F">
        <w:rPr>
          <w:sz w:val="26"/>
          <w:szCs w:val="26"/>
        </w:rPr>
        <w:t>“</w:t>
      </w:r>
      <w:r w:rsidR="00DC6F80">
        <w:rPr>
          <w:sz w:val="26"/>
          <w:szCs w:val="26"/>
        </w:rPr>
        <w:t xml:space="preserve">minority-owned business </w:t>
      </w:r>
      <w:r w:rsidR="00DC6F80">
        <w:rPr>
          <w:sz w:val="26"/>
          <w:szCs w:val="26"/>
        </w:rPr>
        <w:lastRenderedPageBreak/>
        <w:t>enterprise</w:t>
      </w:r>
      <w:r w:rsidR="09A21892" w:rsidRPr="0CA07E42">
        <w:rPr>
          <w:sz w:val="26"/>
          <w:szCs w:val="26"/>
        </w:rPr>
        <w:t>,</w:t>
      </w:r>
      <w:r w:rsidR="0033432F" w:rsidRPr="0CA07E42">
        <w:rPr>
          <w:sz w:val="26"/>
          <w:szCs w:val="26"/>
        </w:rPr>
        <w:t>”</w:t>
      </w:r>
      <w:r w:rsidR="00DC6F80">
        <w:rPr>
          <w:sz w:val="26"/>
          <w:szCs w:val="26"/>
        </w:rPr>
        <w:t xml:space="preserve"> </w:t>
      </w:r>
      <w:r w:rsidR="0033432F">
        <w:rPr>
          <w:sz w:val="26"/>
          <w:szCs w:val="26"/>
        </w:rPr>
        <w:t>“</w:t>
      </w:r>
      <w:r w:rsidR="00DC6F80">
        <w:rPr>
          <w:sz w:val="26"/>
          <w:szCs w:val="26"/>
        </w:rPr>
        <w:t>operate</w:t>
      </w:r>
      <w:r w:rsidR="06B1B736" w:rsidRPr="0CA07E42">
        <w:rPr>
          <w:sz w:val="26"/>
          <w:szCs w:val="26"/>
        </w:rPr>
        <w:t>,</w:t>
      </w:r>
      <w:r w:rsidR="0033432F" w:rsidRPr="0CA07E42">
        <w:rPr>
          <w:sz w:val="26"/>
          <w:szCs w:val="26"/>
        </w:rPr>
        <w:t>”</w:t>
      </w:r>
      <w:r w:rsidR="00DC6F80">
        <w:rPr>
          <w:sz w:val="26"/>
          <w:szCs w:val="26"/>
        </w:rPr>
        <w:t xml:space="preserve"> </w:t>
      </w:r>
      <w:r w:rsidR="0033432F">
        <w:rPr>
          <w:sz w:val="26"/>
          <w:szCs w:val="26"/>
        </w:rPr>
        <w:t>“</w:t>
      </w:r>
      <w:r w:rsidR="00DC6F80">
        <w:rPr>
          <w:sz w:val="26"/>
          <w:szCs w:val="26"/>
        </w:rPr>
        <w:t>person with disabilities</w:t>
      </w:r>
      <w:r w:rsidR="34234651" w:rsidRPr="0CA07E42">
        <w:rPr>
          <w:sz w:val="26"/>
          <w:szCs w:val="26"/>
        </w:rPr>
        <w:t>,</w:t>
      </w:r>
      <w:r w:rsidR="0033432F" w:rsidRPr="0CA07E42">
        <w:rPr>
          <w:sz w:val="26"/>
          <w:szCs w:val="26"/>
        </w:rPr>
        <w:t>”</w:t>
      </w:r>
      <w:r w:rsidR="00DC6F80" w:rsidRPr="0CA07E42">
        <w:rPr>
          <w:sz w:val="26"/>
          <w:szCs w:val="26"/>
        </w:rPr>
        <w:t>,</w:t>
      </w:r>
      <w:r w:rsidR="00DC6F80">
        <w:rPr>
          <w:sz w:val="26"/>
          <w:szCs w:val="26"/>
        </w:rPr>
        <w:t xml:space="preserve"> </w:t>
      </w:r>
      <w:r w:rsidR="0033432F">
        <w:rPr>
          <w:sz w:val="26"/>
          <w:szCs w:val="26"/>
        </w:rPr>
        <w:t>“</w:t>
      </w:r>
      <w:r w:rsidR="00DC6F80">
        <w:rPr>
          <w:sz w:val="26"/>
          <w:szCs w:val="26"/>
        </w:rPr>
        <w:t>subcontract</w:t>
      </w:r>
      <w:r w:rsidR="7B5DDF66" w:rsidRPr="0CA07E42">
        <w:rPr>
          <w:sz w:val="26"/>
          <w:szCs w:val="26"/>
        </w:rPr>
        <w:t>,</w:t>
      </w:r>
      <w:r w:rsidR="0033432F" w:rsidRPr="0CA07E42">
        <w:rPr>
          <w:sz w:val="26"/>
          <w:szCs w:val="26"/>
        </w:rPr>
        <w:t>”</w:t>
      </w:r>
      <w:r w:rsidR="00DC6F80">
        <w:rPr>
          <w:sz w:val="26"/>
          <w:szCs w:val="26"/>
        </w:rPr>
        <w:t xml:space="preserve"> </w:t>
      </w:r>
      <w:r w:rsidR="0033432F">
        <w:rPr>
          <w:sz w:val="26"/>
          <w:szCs w:val="26"/>
        </w:rPr>
        <w:t>“</w:t>
      </w:r>
      <w:r w:rsidR="00DC6F80">
        <w:rPr>
          <w:sz w:val="26"/>
          <w:szCs w:val="26"/>
        </w:rPr>
        <w:t>veteran</w:t>
      </w:r>
      <w:r w:rsidR="3303A51F" w:rsidRPr="0CA07E42">
        <w:rPr>
          <w:sz w:val="26"/>
          <w:szCs w:val="26"/>
        </w:rPr>
        <w:t>,</w:t>
      </w:r>
      <w:r w:rsidR="0033432F" w:rsidRPr="0CA07E42">
        <w:rPr>
          <w:sz w:val="26"/>
          <w:szCs w:val="26"/>
        </w:rPr>
        <w:t>”</w:t>
      </w:r>
      <w:r w:rsidR="00DC6F80">
        <w:rPr>
          <w:sz w:val="26"/>
          <w:szCs w:val="26"/>
        </w:rPr>
        <w:t xml:space="preserve"> and </w:t>
      </w:r>
      <w:r w:rsidR="0033432F">
        <w:rPr>
          <w:sz w:val="26"/>
          <w:szCs w:val="26"/>
        </w:rPr>
        <w:t>“</w:t>
      </w:r>
      <w:r w:rsidR="00DC6F80">
        <w:rPr>
          <w:sz w:val="26"/>
          <w:szCs w:val="26"/>
        </w:rPr>
        <w:t>women owned business enterprise</w:t>
      </w:r>
      <w:r w:rsidR="31F7C2DC" w:rsidRPr="0CA07E42">
        <w:rPr>
          <w:sz w:val="26"/>
          <w:szCs w:val="26"/>
        </w:rPr>
        <w:t>.</w:t>
      </w:r>
      <w:r w:rsidR="0033432F" w:rsidRPr="0CA07E42">
        <w:rPr>
          <w:sz w:val="26"/>
          <w:szCs w:val="26"/>
        </w:rPr>
        <w:t>”</w:t>
      </w:r>
      <w:r w:rsidR="00297F23">
        <w:rPr>
          <w:sz w:val="26"/>
          <w:szCs w:val="26"/>
        </w:rPr>
        <w:t xml:space="preserve"> </w:t>
      </w:r>
      <w:r w:rsidR="00722F7C">
        <w:rPr>
          <w:sz w:val="26"/>
          <w:szCs w:val="26"/>
        </w:rPr>
        <w:t xml:space="preserve"> The Commission adopts the racial terms from the FAR </w:t>
      </w:r>
      <w:r w:rsidR="005A0A81">
        <w:rPr>
          <w:sz w:val="26"/>
          <w:szCs w:val="26"/>
        </w:rPr>
        <w:t xml:space="preserve">and uses the racial terms therein to </w:t>
      </w:r>
      <w:r w:rsidR="00F24704">
        <w:rPr>
          <w:sz w:val="26"/>
          <w:szCs w:val="26"/>
        </w:rPr>
        <w:t xml:space="preserve">define “minority-owned business enterprise” because </w:t>
      </w:r>
      <w:r w:rsidR="00957266">
        <w:rPr>
          <w:sz w:val="26"/>
          <w:szCs w:val="26"/>
        </w:rPr>
        <w:t xml:space="preserve">this term applies to </w:t>
      </w:r>
      <w:r w:rsidR="007D1C4E">
        <w:rPr>
          <w:sz w:val="26"/>
          <w:szCs w:val="26"/>
        </w:rPr>
        <w:t xml:space="preserve">major jurisdictional </w:t>
      </w:r>
      <w:r w:rsidR="00957266">
        <w:rPr>
          <w:sz w:val="26"/>
          <w:szCs w:val="26"/>
        </w:rPr>
        <w:t xml:space="preserve">utility </w:t>
      </w:r>
      <w:r w:rsidR="007D1C4E">
        <w:rPr>
          <w:sz w:val="26"/>
          <w:szCs w:val="26"/>
        </w:rPr>
        <w:t xml:space="preserve">company </w:t>
      </w:r>
      <w:r w:rsidR="00957266">
        <w:rPr>
          <w:sz w:val="26"/>
          <w:szCs w:val="26"/>
        </w:rPr>
        <w:t xml:space="preserve">vendors. </w:t>
      </w:r>
      <w:r w:rsidR="00297F23">
        <w:rPr>
          <w:sz w:val="26"/>
          <w:szCs w:val="26"/>
        </w:rPr>
        <w:t xml:space="preserve"> While </w:t>
      </w:r>
      <w:r w:rsidR="00271F2C">
        <w:rPr>
          <w:sz w:val="26"/>
          <w:szCs w:val="26"/>
        </w:rPr>
        <w:t>“</w:t>
      </w:r>
      <w:r w:rsidR="00297F23">
        <w:rPr>
          <w:sz w:val="26"/>
          <w:szCs w:val="26"/>
        </w:rPr>
        <w:t>LGBTQ</w:t>
      </w:r>
      <w:r w:rsidR="2C5FE0AE" w:rsidRPr="0CA07E42">
        <w:rPr>
          <w:sz w:val="26"/>
          <w:szCs w:val="26"/>
        </w:rPr>
        <w:t>,</w:t>
      </w:r>
      <w:r w:rsidR="00271F2C" w:rsidRPr="0CA07E42">
        <w:rPr>
          <w:sz w:val="26"/>
          <w:szCs w:val="26"/>
        </w:rPr>
        <w:t>”</w:t>
      </w:r>
      <w:r w:rsidR="00297F23">
        <w:rPr>
          <w:sz w:val="26"/>
          <w:szCs w:val="26"/>
        </w:rPr>
        <w:t xml:space="preserve"> </w:t>
      </w:r>
      <w:r w:rsidR="00271F2C">
        <w:rPr>
          <w:sz w:val="26"/>
          <w:szCs w:val="26"/>
        </w:rPr>
        <w:t>“</w:t>
      </w:r>
      <w:r w:rsidR="00297F23">
        <w:rPr>
          <w:sz w:val="26"/>
          <w:szCs w:val="26"/>
        </w:rPr>
        <w:t>person with disabilities</w:t>
      </w:r>
      <w:r w:rsidR="00271F2C">
        <w:rPr>
          <w:sz w:val="26"/>
          <w:szCs w:val="26"/>
        </w:rPr>
        <w:t>”</w:t>
      </w:r>
      <w:r w:rsidR="00297F23">
        <w:rPr>
          <w:sz w:val="26"/>
          <w:szCs w:val="26"/>
        </w:rPr>
        <w:t xml:space="preserve"> and </w:t>
      </w:r>
      <w:r w:rsidR="00271F2C">
        <w:rPr>
          <w:sz w:val="26"/>
          <w:szCs w:val="26"/>
        </w:rPr>
        <w:t>“</w:t>
      </w:r>
      <w:r w:rsidR="00297F23">
        <w:rPr>
          <w:sz w:val="26"/>
          <w:szCs w:val="26"/>
        </w:rPr>
        <w:t>veteran</w:t>
      </w:r>
      <w:r w:rsidR="00271F2C">
        <w:rPr>
          <w:sz w:val="26"/>
          <w:szCs w:val="26"/>
        </w:rPr>
        <w:t>”</w:t>
      </w:r>
      <w:r w:rsidR="00297F23">
        <w:rPr>
          <w:sz w:val="26"/>
          <w:szCs w:val="26"/>
        </w:rPr>
        <w:t xml:space="preserve"> are defined in Section 69.802, </w:t>
      </w:r>
      <w:r w:rsidR="00B9790D">
        <w:rPr>
          <w:sz w:val="26"/>
          <w:szCs w:val="26"/>
        </w:rPr>
        <w:t xml:space="preserve">now relating to definitions of </w:t>
      </w:r>
      <w:r w:rsidR="00961BDB">
        <w:rPr>
          <w:sz w:val="26"/>
          <w:szCs w:val="26"/>
        </w:rPr>
        <w:t>major jurisdictional utility company</w:t>
      </w:r>
      <w:r w:rsidR="00B9790D">
        <w:rPr>
          <w:sz w:val="26"/>
          <w:szCs w:val="26"/>
        </w:rPr>
        <w:t xml:space="preserve"> employees</w:t>
      </w:r>
      <w:r w:rsidR="00C73A0E">
        <w:rPr>
          <w:sz w:val="26"/>
          <w:szCs w:val="26"/>
        </w:rPr>
        <w:t xml:space="preserve"> rather than definitions in general</w:t>
      </w:r>
      <w:r w:rsidR="00B9790D">
        <w:rPr>
          <w:sz w:val="26"/>
          <w:szCs w:val="26"/>
        </w:rPr>
        <w:t xml:space="preserve">, </w:t>
      </w:r>
      <w:r w:rsidR="00297F23">
        <w:rPr>
          <w:sz w:val="26"/>
          <w:szCs w:val="26"/>
        </w:rPr>
        <w:t xml:space="preserve">it is necessary to also define these terms </w:t>
      </w:r>
      <w:r w:rsidR="000A4197">
        <w:rPr>
          <w:sz w:val="26"/>
          <w:szCs w:val="26"/>
        </w:rPr>
        <w:t>in Section</w:t>
      </w:r>
      <w:r w:rsidR="00ED1788">
        <w:rPr>
          <w:sz w:val="26"/>
          <w:szCs w:val="26"/>
        </w:rPr>
        <w:t> </w:t>
      </w:r>
      <w:r w:rsidR="000A4197">
        <w:rPr>
          <w:sz w:val="26"/>
          <w:szCs w:val="26"/>
        </w:rPr>
        <w:t>69.</w:t>
      </w:r>
      <w:r w:rsidR="000A4197" w:rsidDel="00697C08">
        <w:rPr>
          <w:sz w:val="26"/>
          <w:szCs w:val="26"/>
        </w:rPr>
        <w:t>802</w:t>
      </w:r>
      <w:r w:rsidR="009B4CC1" w:rsidDel="00697C08">
        <w:rPr>
          <w:sz w:val="26"/>
          <w:szCs w:val="26"/>
        </w:rPr>
        <w:t>a</w:t>
      </w:r>
      <w:r w:rsidR="000A4197">
        <w:rPr>
          <w:sz w:val="26"/>
          <w:szCs w:val="26"/>
        </w:rPr>
        <w:t xml:space="preserve"> because they are also applicable </w:t>
      </w:r>
      <w:r w:rsidR="0093286F">
        <w:rPr>
          <w:sz w:val="26"/>
          <w:szCs w:val="26"/>
        </w:rPr>
        <w:t>to</w:t>
      </w:r>
      <w:r w:rsidR="000A4197">
        <w:rPr>
          <w:sz w:val="26"/>
          <w:szCs w:val="26"/>
        </w:rPr>
        <w:t xml:space="preserve"> </w:t>
      </w:r>
      <w:r w:rsidR="00961BDB">
        <w:rPr>
          <w:sz w:val="26"/>
          <w:szCs w:val="26"/>
        </w:rPr>
        <w:t>major jurisdictional utility company</w:t>
      </w:r>
      <w:r w:rsidR="000A4197">
        <w:rPr>
          <w:sz w:val="26"/>
          <w:szCs w:val="26"/>
        </w:rPr>
        <w:t xml:space="preserve"> vendor</w:t>
      </w:r>
      <w:r w:rsidR="0093286F">
        <w:rPr>
          <w:sz w:val="26"/>
          <w:szCs w:val="26"/>
        </w:rPr>
        <w:t>s.</w:t>
      </w:r>
    </w:p>
    <w:p w14:paraId="576D9DCA" w14:textId="0B4EAE0A" w:rsidR="004D0D6F" w:rsidRPr="004D0D6F" w:rsidRDefault="004D0D6F" w:rsidP="00A00202">
      <w:pPr>
        <w:spacing w:line="360" w:lineRule="auto"/>
        <w:ind w:firstLine="720"/>
        <w:rPr>
          <w:sz w:val="26"/>
          <w:szCs w:val="26"/>
        </w:rPr>
      </w:pPr>
      <w:r>
        <w:rPr>
          <w:b/>
          <w:bCs/>
          <w:sz w:val="26"/>
          <w:szCs w:val="26"/>
        </w:rPr>
        <w:t>Resolution:</w:t>
      </w:r>
      <w:r>
        <w:rPr>
          <w:sz w:val="26"/>
          <w:szCs w:val="26"/>
        </w:rPr>
        <w:t xml:space="preserve"> </w:t>
      </w:r>
      <w:r w:rsidR="00173EEE">
        <w:rPr>
          <w:sz w:val="26"/>
          <w:szCs w:val="26"/>
        </w:rPr>
        <w:t>Amend Section 69.</w:t>
      </w:r>
      <w:r w:rsidR="009072D3">
        <w:rPr>
          <w:sz w:val="26"/>
          <w:szCs w:val="26"/>
        </w:rPr>
        <w:t xml:space="preserve">802 </w:t>
      </w:r>
      <w:r w:rsidR="006A10CD">
        <w:rPr>
          <w:sz w:val="26"/>
          <w:szCs w:val="26"/>
        </w:rPr>
        <w:t xml:space="preserve">and add Section </w:t>
      </w:r>
      <w:r w:rsidR="00B0580A">
        <w:rPr>
          <w:sz w:val="26"/>
          <w:szCs w:val="26"/>
        </w:rPr>
        <w:t>69.</w:t>
      </w:r>
      <w:r w:rsidR="00B0580A" w:rsidDel="00697C08">
        <w:rPr>
          <w:sz w:val="26"/>
          <w:szCs w:val="26"/>
        </w:rPr>
        <w:t>802a</w:t>
      </w:r>
      <w:r w:rsidR="00B0580A">
        <w:rPr>
          <w:sz w:val="26"/>
          <w:szCs w:val="26"/>
        </w:rPr>
        <w:t xml:space="preserve"> to split the definitions applicable to major jurisdictional utility </w:t>
      </w:r>
      <w:r w:rsidR="0070148A">
        <w:rPr>
          <w:sz w:val="26"/>
          <w:szCs w:val="26"/>
        </w:rPr>
        <w:t xml:space="preserve">company </w:t>
      </w:r>
      <w:r w:rsidR="00B0580A">
        <w:rPr>
          <w:sz w:val="26"/>
          <w:szCs w:val="26"/>
        </w:rPr>
        <w:t xml:space="preserve">employees and </w:t>
      </w:r>
      <w:r w:rsidR="006603EB">
        <w:rPr>
          <w:sz w:val="26"/>
          <w:szCs w:val="26"/>
        </w:rPr>
        <w:t xml:space="preserve">to </w:t>
      </w:r>
      <w:r w:rsidR="00A43BA9">
        <w:rPr>
          <w:sz w:val="26"/>
          <w:szCs w:val="26"/>
        </w:rPr>
        <w:t xml:space="preserve">their </w:t>
      </w:r>
      <w:r w:rsidR="00B0580A">
        <w:rPr>
          <w:sz w:val="26"/>
          <w:szCs w:val="26"/>
        </w:rPr>
        <w:t xml:space="preserve">vendors into two separate lists.  </w:t>
      </w:r>
      <w:r w:rsidR="002F554E">
        <w:rPr>
          <w:sz w:val="26"/>
          <w:szCs w:val="26"/>
        </w:rPr>
        <w:t>A</w:t>
      </w:r>
      <w:r w:rsidR="00DC04D8">
        <w:rPr>
          <w:sz w:val="26"/>
          <w:szCs w:val="26"/>
        </w:rPr>
        <w:t xml:space="preserve">dd </w:t>
      </w:r>
      <w:r w:rsidR="00775461">
        <w:rPr>
          <w:sz w:val="26"/>
          <w:szCs w:val="26"/>
        </w:rPr>
        <w:t xml:space="preserve">new and revised existing </w:t>
      </w:r>
      <w:r w:rsidR="00DC04D8">
        <w:rPr>
          <w:sz w:val="26"/>
          <w:szCs w:val="26"/>
        </w:rPr>
        <w:t xml:space="preserve">definitions to </w:t>
      </w:r>
      <w:proofErr w:type="gramStart"/>
      <w:r w:rsidR="00775461">
        <w:rPr>
          <w:sz w:val="26"/>
          <w:szCs w:val="26"/>
        </w:rPr>
        <w:t>more specifically reflect the diversity</w:t>
      </w:r>
      <w:proofErr w:type="gramEnd"/>
      <w:r w:rsidR="00775461">
        <w:rPr>
          <w:sz w:val="26"/>
          <w:szCs w:val="26"/>
        </w:rPr>
        <w:t xml:space="preserve"> in the Commonwealth and to align terms with those used by the EEOC and the DOL.</w:t>
      </w:r>
    </w:p>
    <w:p w14:paraId="68A7DEC4" w14:textId="77777777" w:rsidR="00404C3E" w:rsidRPr="004D0D6F" w:rsidRDefault="00404C3E" w:rsidP="00A00202">
      <w:pPr>
        <w:spacing w:line="360" w:lineRule="auto"/>
        <w:ind w:firstLine="720"/>
        <w:rPr>
          <w:sz w:val="26"/>
          <w:szCs w:val="26"/>
        </w:rPr>
      </w:pPr>
    </w:p>
    <w:p w14:paraId="3B79B9B1" w14:textId="3A026696" w:rsidR="00D07E6E" w:rsidRDefault="007F570D" w:rsidP="00E0310B">
      <w:pPr>
        <w:keepNext/>
        <w:spacing w:line="360" w:lineRule="auto"/>
        <w:ind w:firstLine="720"/>
        <w:rPr>
          <w:b/>
          <w:bCs/>
          <w:sz w:val="26"/>
          <w:szCs w:val="26"/>
        </w:rPr>
      </w:pPr>
      <w:r>
        <w:rPr>
          <w:b/>
          <w:bCs/>
          <w:sz w:val="26"/>
          <w:szCs w:val="26"/>
        </w:rPr>
        <w:t>Defi</w:t>
      </w:r>
      <w:r w:rsidR="00F9613D">
        <w:rPr>
          <w:b/>
          <w:bCs/>
          <w:sz w:val="26"/>
          <w:szCs w:val="26"/>
        </w:rPr>
        <w:t>ni</w:t>
      </w:r>
      <w:r>
        <w:rPr>
          <w:b/>
          <w:bCs/>
          <w:sz w:val="26"/>
          <w:szCs w:val="26"/>
        </w:rPr>
        <w:t xml:space="preserve">tion of </w:t>
      </w:r>
      <w:r w:rsidR="000852ED">
        <w:rPr>
          <w:b/>
          <w:bCs/>
          <w:sz w:val="26"/>
          <w:szCs w:val="26"/>
        </w:rPr>
        <w:t>LGBTQ</w:t>
      </w:r>
    </w:p>
    <w:p w14:paraId="1F172441" w14:textId="58DE5ECD" w:rsidR="000852ED" w:rsidRDefault="000852ED" w:rsidP="00A00202">
      <w:pPr>
        <w:spacing w:line="360" w:lineRule="auto"/>
        <w:ind w:firstLine="720"/>
        <w:rPr>
          <w:sz w:val="26"/>
          <w:szCs w:val="26"/>
        </w:rPr>
      </w:pPr>
      <w:r>
        <w:rPr>
          <w:sz w:val="26"/>
          <w:szCs w:val="26"/>
        </w:rPr>
        <w:t xml:space="preserve">Duquesne Light </w:t>
      </w:r>
      <w:r w:rsidR="007B334B">
        <w:rPr>
          <w:sz w:val="26"/>
          <w:szCs w:val="26"/>
        </w:rPr>
        <w:t>suggests that the Commission expand its definition of LGBTQ to also include “gender non-conforming individual.”</w:t>
      </w:r>
      <w:r w:rsidR="009B4CC1">
        <w:rPr>
          <w:sz w:val="26"/>
          <w:szCs w:val="26"/>
        </w:rPr>
        <w:t xml:space="preserve">  Duquesne Light Comments at </w:t>
      </w:r>
      <w:r w:rsidR="00CF70D4">
        <w:rPr>
          <w:sz w:val="26"/>
          <w:szCs w:val="26"/>
        </w:rPr>
        <w:t>3-4</w:t>
      </w:r>
      <w:r w:rsidR="0043467E">
        <w:rPr>
          <w:sz w:val="26"/>
          <w:szCs w:val="26"/>
        </w:rPr>
        <w:t>.</w:t>
      </w:r>
      <w:r w:rsidR="007B334B">
        <w:rPr>
          <w:sz w:val="26"/>
          <w:szCs w:val="26"/>
        </w:rPr>
        <w:t xml:space="preserve">  Duquesne Light believes that </w:t>
      </w:r>
      <w:r w:rsidR="009720FF">
        <w:rPr>
          <w:sz w:val="26"/>
          <w:szCs w:val="26"/>
        </w:rPr>
        <w:t xml:space="preserve">expanding this definition to include gender non-conforming individual will </w:t>
      </w:r>
      <w:r w:rsidR="007A79F6">
        <w:rPr>
          <w:sz w:val="26"/>
          <w:szCs w:val="26"/>
        </w:rPr>
        <w:t>make the definition of LGBTQ more inclusive.</w:t>
      </w:r>
      <w:r w:rsidR="0043467E">
        <w:rPr>
          <w:sz w:val="26"/>
          <w:szCs w:val="26"/>
        </w:rPr>
        <w:t xml:space="preserve">  </w:t>
      </w:r>
      <w:r w:rsidR="00136C34" w:rsidRPr="00136C34">
        <w:rPr>
          <w:i/>
          <w:sz w:val="26"/>
          <w:szCs w:val="26"/>
        </w:rPr>
        <w:t>Id.</w:t>
      </w:r>
      <w:r w:rsidR="00323195">
        <w:rPr>
          <w:sz w:val="26"/>
          <w:szCs w:val="26"/>
        </w:rPr>
        <w:t xml:space="preserve">  The Commission agrees and </w:t>
      </w:r>
      <w:r w:rsidR="00925579">
        <w:rPr>
          <w:sz w:val="26"/>
          <w:szCs w:val="26"/>
        </w:rPr>
        <w:t xml:space="preserve">adds to the definition of “LGBTQ” language indicating that </w:t>
      </w:r>
      <w:r w:rsidR="00B5232E">
        <w:rPr>
          <w:sz w:val="26"/>
          <w:szCs w:val="26"/>
        </w:rPr>
        <w:t>the term “LGBTQ” also includes “gender non-conforming individual.”</w:t>
      </w:r>
    </w:p>
    <w:p w14:paraId="65E7B2D7" w14:textId="77777777" w:rsidR="001009DC" w:rsidRDefault="001009DC" w:rsidP="00A00202">
      <w:pPr>
        <w:spacing w:line="360" w:lineRule="auto"/>
        <w:ind w:firstLine="720"/>
        <w:rPr>
          <w:sz w:val="26"/>
          <w:szCs w:val="26"/>
        </w:rPr>
      </w:pPr>
    </w:p>
    <w:p w14:paraId="0B295C53" w14:textId="04C4D02E" w:rsidR="005845A2" w:rsidRDefault="00DB39E2" w:rsidP="00530C79">
      <w:pPr>
        <w:spacing w:line="360" w:lineRule="auto"/>
        <w:ind w:firstLine="720"/>
        <w:rPr>
          <w:sz w:val="26"/>
          <w:szCs w:val="26"/>
        </w:rPr>
      </w:pPr>
      <w:r>
        <w:rPr>
          <w:sz w:val="26"/>
          <w:szCs w:val="26"/>
        </w:rPr>
        <w:t>EAP</w:t>
      </w:r>
      <w:r w:rsidR="000E7856">
        <w:rPr>
          <w:sz w:val="26"/>
          <w:szCs w:val="26"/>
        </w:rPr>
        <w:t xml:space="preserve"> </w:t>
      </w:r>
      <w:r w:rsidR="00F81CD7">
        <w:rPr>
          <w:sz w:val="26"/>
          <w:szCs w:val="26"/>
        </w:rPr>
        <w:t>recommended</w:t>
      </w:r>
      <w:r w:rsidR="000E7856">
        <w:rPr>
          <w:sz w:val="26"/>
          <w:szCs w:val="26"/>
        </w:rPr>
        <w:t>,</w:t>
      </w:r>
      <w:r>
        <w:rPr>
          <w:sz w:val="26"/>
          <w:szCs w:val="26"/>
        </w:rPr>
        <w:t xml:space="preserve"> </w:t>
      </w:r>
      <w:r w:rsidR="000E7856">
        <w:rPr>
          <w:sz w:val="26"/>
          <w:szCs w:val="26"/>
        </w:rPr>
        <w:t>which First Energy and PECO join</w:t>
      </w:r>
      <w:r w:rsidR="00C628C1">
        <w:rPr>
          <w:sz w:val="26"/>
          <w:szCs w:val="26"/>
        </w:rPr>
        <w:t>ed</w:t>
      </w:r>
      <w:r w:rsidR="000E7856">
        <w:rPr>
          <w:sz w:val="26"/>
          <w:szCs w:val="26"/>
        </w:rPr>
        <w:t xml:space="preserve">, that the reporting </w:t>
      </w:r>
      <w:r w:rsidR="0062252C">
        <w:rPr>
          <w:sz w:val="26"/>
          <w:szCs w:val="26"/>
        </w:rPr>
        <w:t xml:space="preserve">of LGBTQ employees should only be done on a voluntary basis. </w:t>
      </w:r>
      <w:r w:rsidR="00B46018">
        <w:rPr>
          <w:sz w:val="26"/>
          <w:szCs w:val="26"/>
        </w:rPr>
        <w:t xml:space="preserve"> EAP Comments at </w:t>
      </w:r>
      <w:r w:rsidR="00930BA3">
        <w:rPr>
          <w:sz w:val="26"/>
          <w:szCs w:val="26"/>
        </w:rPr>
        <w:t>8</w:t>
      </w:r>
      <w:r w:rsidR="0082073C">
        <w:rPr>
          <w:sz w:val="26"/>
          <w:szCs w:val="26"/>
        </w:rPr>
        <w:t>, First Energy Comments at 1 and PECO Comments at 1</w:t>
      </w:r>
      <w:r w:rsidR="00930BA3">
        <w:rPr>
          <w:sz w:val="26"/>
          <w:szCs w:val="26"/>
        </w:rPr>
        <w:t xml:space="preserve">. </w:t>
      </w:r>
      <w:r w:rsidR="0062252C">
        <w:rPr>
          <w:sz w:val="26"/>
          <w:szCs w:val="26"/>
        </w:rPr>
        <w:t xml:space="preserve"> </w:t>
      </w:r>
      <w:r w:rsidR="008A23EA">
        <w:rPr>
          <w:sz w:val="26"/>
          <w:szCs w:val="26"/>
        </w:rPr>
        <w:t>It notes however, that starting with the 2021 EE</w:t>
      </w:r>
      <w:r w:rsidR="001C4B47">
        <w:rPr>
          <w:sz w:val="26"/>
          <w:szCs w:val="26"/>
        </w:rPr>
        <w:t>O</w:t>
      </w:r>
      <w:r w:rsidR="008A23EA">
        <w:rPr>
          <w:sz w:val="26"/>
          <w:szCs w:val="26"/>
        </w:rPr>
        <w:t xml:space="preserve">-1 </w:t>
      </w:r>
      <w:r w:rsidR="00463C1B">
        <w:rPr>
          <w:sz w:val="26"/>
          <w:szCs w:val="26"/>
        </w:rPr>
        <w:t>Report</w:t>
      </w:r>
      <w:r w:rsidR="008A23EA">
        <w:rPr>
          <w:sz w:val="26"/>
          <w:szCs w:val="26"/>
        </w:rPr>
        <w:t>, there will be an opportunity for employers to provide other aggregate information in a comment area and, with respect to gen</w:t>
      </w:r>
      <w:r w:rsidR="006B132B">
        <w:rPr>
          <w:sz w:val="26"/>
          <w:szCs w:val="26"/>
        </w:rPr>
        <w:t>d</w:t>
      </w:r>
      <w:r w:rsidR="008A23EA">
        <w:rPr>
          <w:sz w:val="26"/>
          <w:szCs w:val="26"/>
        </w:rPr>
        <w:t xml:space="preserve">er, </w:t>
      </w:r>
      <w:r w:rsidR="00D330F5">
        <w:rPr>
          <w:sz w:val="26"/>
          <w:szCs w:val="26"/>
        </w:rPr>
        <w:t xml:space="preserve">this could include information provided by employees who self-identify as </w:t>
      </w:r>
      <w:r w:rsidR="00D330F5" w:rsidRPr="0041777C">
        <w:rPr>
          <w:sz w:val="26"/>
          <w:szCs w:val="26"/>
        </w:rPr>
        <w:t>LGBTQ or who do not make an affirmative selection for gender.</w:t>
      </w:r>
      <w:r w:rsidR="007453B9">
        <w:rPr>
          <w:sz w:val="26"/>
          <w:szCs w:val="26"/>
        </w:rPr>
        <w:t xml:space="preserve"> </w:t>
      </w:r>
      <w:r w:rsidR="00930BA3">
        <w:rPr>
          <w:sz w:val="26"/>
          <w:szCs w:val="26"/>
        </w:rPr>
        <w:t xml:space="preserve"> </w:t>
      </w:r>
      <w:r w:rsidR="00896D1F">
        <w:rPr>
          <w:i/>
          <w:iCs/>
          <w:sz w:val="26"/>
          <w:szCs w:val="26"/>
        </w:rPr>
        <w:t>Id</w:t>
      </w:r>
      <w:r w:rsidR="00896D1F">
        <w:rPr>
          <w:sz w:val="26"/>
          <w:szCs w:val="26"/>
        </w:rPr>
        <w:t>.</w:t>
      </w:r>
      <w:r w:rsidR="00C24B6A">
        <w:rPr>
          <w:sz w:val="26"/>
          <w:szCs w:val="26"/>
        </w:rPr>
        <w:t xml:space="preserve"> at n. 6.</w:t>
      </w:r>
    </w:p>
    <w:p w14:paraId="62019960" w14:textId="2C2F4597" w:rsidR="00530C79" w:rsidRPr="00530C79" w:rsidRDefault="007976AC" w:rsidP="00530C79">
      <w:pPr>
        <w:spacing w:line="360" w:lineRule="auto"/>
        <w:ind w:firstLine="720"/>
        <w:rPr>
          <w:sz w:val="26"/>
          <w:szCs w:val="26"/>
        </w:rPr>
      </w:pPr>
      <w:r>
        <w:rPr>
          <w:sz w:val="26"/>
          <w:szCs w:val="26"/>
        </w:rPr>
        <w:lastRenderedPageBreak/>
        <w:t xml:space="preserve">The Commission </w:t>
      </w:r>
      <w:r w:rsidR="00D86DD4">
        <w:rPr>
          <w:sz w:val="26"/>
          <w:szCs w:val="26"/>
        </w:rPr>
        <w:t xml:space="preserve">understands the privacy issues surrounding the reporting </w:t>
      </w:r>
      <w:r w:rsidR="004D3C2C">
        <w:rPr>
          <w:sz w:val="26"/>
          <w:szCs w:val="26"/>
        </w:rPr>
        <w:t>of LGBTQ emplo</w:t>
      </w:r>
      <w:r w:rsidR="00B54CAE">
        <w:rPr>
          <w:sz w:val="26"/>
          <w:szCs w:val="26"/>
        </w:rPr>
        <w:t xml:space="preserve">yees but also </w:t>
      </w:r>
      <w:r w:rsidR="00CB6B41">
        <w:rPr>
          <w:sz w:val="26"/>
          <w:szCs w:val="26"/>
        </w:rPr>
        <w:t xml:space="preserve">wants to provide the </w:t>
      </w:r>
      <w:r w:rsidR="00E47B0E">
        <w:rPr>
          <w:sz w:val="26"/>
          <w:szCs w:val="26"/>
        </w:rPr>
        <w:t>opportunity</w:t>
      </w:r>
      <w:r w:rsidR="00CB6B41">
        <w:rPr>
          <w:sz w:val="26"/>
          <w:szCs w:val="26"/>
        </w:rPr>
        <w:t xml:space="preserve"> for </w:t>
      </w:r>
      <w:r w:rsidR="00003167">
        <w:rPr>
          <w:sz w:val="26"/>
          <w:szCs w:val="26"/>
        </w:rPr>
        <w:t xml:space="preserve">a </w:t>
      </w:r>
      <w:r w:rsidR="00CB6B41">
        <w:rPr>
          <w:sz w:val="26"/>
          <w:szCs w:val="26"/>
        </w:rPr>
        <w:t>major jurisdictional utility compan</w:t>
      </w:r>
      <w:r w:rsidR="00003167">
        <w:rPr>
          <w:sz w:val="26"/>
          <w:szCs w:val="26"/>
        </w:rPr>
        <w:t>y</w:t>
      </w:r>
      <w:r w:rsidR="00CB6B41">
        <w:rPr>
          <w:sz w:val="26"/>
          <w:szCs w:val="26"/>
        </w:rPr>
        <w:t xml:space="preserve"> to report</w:t>
      </w:r>
      <w:r w:rsidR="00E47B0E">
        <w:rPr>
          <w:sz w:val="26"/>
          <w:szCs w:val="26"/>
        </w:rPr>
        <w:t xml:space="preserve"> </w:t>
      </w:r>
      <w:r w:rsidR="002B416C">
        <w:rPr>
          <w:sz w:val="26"/>
          <w:szCs w:val="26"/>
        </w:rPr>
        <w:t xml:space="preserve">its LGBTQ composition.  As such, the Commission </w:t>
      </w:r>
      <w:r w:rsidR="00A25425">
        <w:rPr>
          <w:sz w:val="26"/>
          <w:szCs w:val="26"/>
        </w:rPr>
        <w:t xml:space="preserve">amends the </w:t>
      </w:r>
      <w:r w:rsidR="006546B0" w:rsidRPr="006546B0">
        <w:rPr>
          <w:sz w:val="26"/>
          <w:szCs w:val="26"/>
        </w:rPr>
        <w:t>Demographic Composition of Workforce of Major Jurisdictional Utility Companies</w:t>
      </w:r>
      <w:r w:rsidR="00B25687">
        <w:rPr>
          <w:sz w:val="26"/>
          <w:szCs w:val="26"/>
        </w:rPr>
        <w:t xml:space="preserve"> form to include the number of LGBTQ employees </w:t>
      </w:r>
      <w:r w:rsidR="003D1118">
        <w:rPr>
          <w:sz w:val="26"/>
          <w:szCs w:val="26"/>
        </w:rPr>
        <w:t>a major jurisdictional utility company employs with the caveat that only</w:t>
      </w:r>
      <w:r w:rsidR="00217DAD">
        <w:rPr>
          <w:sz w:val="26"/>
          <w:szCs w:val="26"/>
        </w:rPr>
        <w:t xml:space="preserve"> </w:t>
      </w:r>
      <w:r w:rsidR="00A243B4">
        <w:rPr>
          <w:sz w:val="26"/>
          <w:szCs w:val="26"/>
        </w:rPr>
        <w:t xml:space="preserve">employees that agree to be </w:t>
      </w:r>
      <w:r w:rsidR="00F426F0">
        <w:rPr>
          <w:sz w:val="26"/>
          <w:szCs w:val="26"/>
        </w:rPr>
        <w:t xml:space="preserve">included </w:t>
      </w:r>
      <w:r w:rsidR="002848A0">
        <w:rPr>
          <w:sz w:val="26"/>
          <w:szCs w:val="26"/>
        </w:rPr>
        <w:t>in</w:t>
      </w:r>
      <w:r w:rsidR="00217DAD">
        <w:rPr>
          <w:sz w:val="26"/>
          <w:szCs w:val="26"/>
        </w:rPr>
        <w:t xml:space="preserve"> LGBTQ</w:t>
      </w:r>
      <w:r w:rsidR="002848A0">
        <w:rPr>
          <w:sz w:val="26"/>
          <w:szCs w:val="26"/>
        </w:rPr>
        <w:t xml:space="preserve"> diversity report</w:t>
      </w:r>
      <w:r w:rsidR="0046321C">
        <w:rPr>
          <w:sz w:val="26"/>
          <w:szCs w:val="26"/>
        </w:rPr>
        <w:t>ing</w:t>
      </w:r>
      <w:r w:rsidR="002848A0">
        <w:rPr>
          <w:sz w:val="26"/>
          <w:szCs w:val="26"/>
        </w:rPr>
        <w:t xml:space="preserve"> </w:t>
      </w:r>
      <w:r w:rsidR="0046321C">
        <w:rPr>
          <w:sz w:val="26"/>
          <w:szCs w:val="26"/>
        </w:rPr>
        <w:t xml:space="preserve">may be included </w:t>
      </w:r>
      <w:r w:rsidR="000B68FF">
        <w:rPr>
          <w:sz w:val="26"/>
          <w:szCs w:val="26"/>
        </w:rPr>
        <w:t>in the report.</w:t>
      </w:r>
    </w:p>
    <w:p w14:paraId="21496089" w14:textId="7F86B6F4" w:rsidR="00F9613D" w:rsidRPr="00F9613D" w:rsidRDefault="00F9613D" w:rsidP="00A00202">
      <w:pPr>
        <w:spacing w:line="360" w:lineRule="auto"/>
        <w:ind w:firstLine="720"/>
        <w:rPr>
          <w:sz w:val="26"/>
          <w:szCs w:val="26"/>
        </w:rPr>
      </w:pPr>
      <w:r>
        <w:rPr>
          <w:b/>
          <w:bCs/>
          <w:sz w:val="26"/>
          <w:szCs w:val="26"/>
        </w:rPr>
        <w:t>Resolution:</w:t>
      </w:r>
      <w:r>
        <w:rPr>
          <w:sz w:val="26"/>
          <w:szCs w:val="26"/>
        </w:rPr>
        <w:t xml:space="preserve"> </w:t>
      </w:r>
      <w:r w:rsidR="00BF323A">
        <w:rPr>
          <w:sz w:val="26"/>
          <w:szCs w:val="26"/>
        </w:rPr>
        <w:t xml:space="preserve">Add “LGBTQ” </w:t>
      </w:r>
      <w:r w:rsidR="00CE24BF">
        <w:rPr>
          <w:sz w:val="26"/>
          <w:szCs w:val="26"/>
        </w:rPr>
        <w:t>throughout the Policy Statement.</w:t>
      </w:r>
    </w:p>
    <w:p w14:paraId="7DF2939C" w14:textId="77777777" w:rsidR="00404C3E" w:rsidRPr="00F9613D" w:rsidRDefault="00404C3E" w:rsidP="00A00202">
      <w:pPr>
        <w:spacing w:line="360" w:lineRule="auto"/>
        <w:ind w:firstLine="720"/>
        <w:rPr>
          <w:sz w:val="26"/>
          <w:szCs w:val="26"/>
        </w:rPr>
      </w:pPr>
    </w:p>
    <w:p w14:paraId="61B5DFC8" w14:textId="7DA9BF6B" w:rsidR="00176427" w:rsidRDefault="00974025" w:rsidP="00A00202">
      <w:pPr>
        <w:spacing w:line="360" w:lineRule="auto"/>
        <w:ind w:firstLine="720"/>
        <w:rPr>
          <w:b/>
          <w:bCs/>
          <w:sz w:val="26"/>
          <w:szCs w:val="26"/>
        </w:rPr>
      </w:pPr>
      <w:r>
        <w:rPr>
          <w:b/>
          <w:bCs/>
          <w:sz w:val="26"/>
          <w:szCs w:val="26"/>
        </w:rPr>
        <w:t>Definition of Person with Disability</w:t>
      </w:r>
    </w:p>
    <w:p w14:paraId="1DFB13E6" w14:textId="14DF765D" w:rsidR="00862B19" w:rsidRDefault="00974025" w:rsidP="00A00202">
      <w:pPr>
        <w:spacing w:line="360" w:lineRule="auto"/>
        <w:ind w:firstLine="720"/>
        <w:rPr>
          <w:sz w:val="26"/>
          <w:szCs w:val="26"/>
        </w:rPr>
      </w:pPr>
      <w:r>
        <w:rPr>
          <w:sz w:val="26"/>
          <w:szCs w:val="26"/>
        </w:rPr>
        <w:t>EAP recommended, which First Energy and PECO join</w:t>
      </w:r>
      <w:r w:rsidR="00C628C1">
        <w:rPr>
          <w:sz w:val="26"/>
          <w:szCs w:val="26"/>
        </w:rPr>
        <w:t>ed</w:t>
      </w:r>
      <w:r>
        <w:rPr>
          <w:sz w:val="26"/>
          <w:szCs w:val="26"/>
        </w:rPr>
        <w:t xml:space="preserve">, that </w:t>
      </w:r>
      <w:r w:rsidR="008A3928">
        <w:rPr>
          <w:sz w:val="26"/>
          <w:szCs w:val="26"/>
        </w:rPr>
        <w:t xml:space="preserve">it is supportive of the Commission’s proposed definition of a person with disabilities.  However, EAP suggests that </w:t>
      </w:r>
      <w:r w:rsidR="0066673C">
        <w:rPr>
          <w:sz w:val="26"/>
          <w:szCs w:val="26"/>
        </w:rPr>
        <w:t>the Commission’s definition clarify that reported information be based upon employee self-identification as disabled, not on employee short/long term accommodation requests.</w:t>
      </w:r>
      <w:r w:rsidR="008849AD">
        <w:rPr>
          <w:sz w:val="26"/>
          <w:szCs w:val="26"/>
        </w:rPr>
        <w:t xml:space="preserve">  </w:t>
      </w:r>
      <w:r w:rsidR="00F01D89">
        <w:rPr>
          <w:sz w:val="26"/>
          <w:szCs w:val="26"/>
        </w:rPr>
        <w:t>EAP Comments at 10</w:t>
      </w:r>
      <w:r w:rsidR="005A0D57">
        <w:rPr>
          <w:sz w:val="26"/>
          <w:szCs w:val="26"/>
        </w:rPr>
        <w:t>, First Energy Comments at 1</w:t>
      </w:r>
      <w:r w:rsidR="00E0310B">
        <w:rPr>
          <w:sz w:val="26"/>
          <w:szCs w:val="26"/>
        </w:rPr>
        <w:t>,</w:t>
      </w:r>
      <w:r w:rsidR="005A0D57">
        <w:rPr>
          <w:sz w:val="26"/>
          <w:szCs w:val="26"/>
        </w:rPr>
        <w:t xml:space="preserve"> and PECO Comments at 1.</w:t>
      </w:r>
    </w:p>
    <w:p w14:paraId="5BCC8E12" w14:textId="77777777" w:rsidR="001009DC" w:rsidRDefault="001009DC" w:rsidP="00A00202">
      <w:pPr>
        <w:spacing w:line="360" w:lineRule="auto"/>
        <w:ind w:firstLine="720"/>
        <w:rPr>
          <w:sz w:val="26"/>
          <w:szCs w:val="26"/>
        </w:rPr>
      </w:pPr>
    </w:p>
    <w:p w14:paraId="74216E9E" w14:textId="533E7428" w:rsidR="00974025" w:rsidRPr="00974025" w:rsidRDefault="008849AD" w:rsidP="00A00202">
      <w:pPr>
        <w:spacing w:line="360" w:lineRule="auto"/>
        <w:ind w:firstLine="720"/>
        <w:rPr>
          <w:sz w:val="26"/>
          <w:szCs w:val="26"/>
        </w:rPr>
      </w:pPr>
      <w:r>
        <w:rPr>
          <w:sz w:val="26"/>
          <w:szCs w:val="26"/>
        </w:rPr>
        <w:t xml:space="preserve">The Commission agrees and adds a sentence after </w:t>
      </w:r>
      <w:r w:rsidR="0004373B">
        <w:rPr>
          <w:sz w:val="26"/>
          <w:szCs w:val="26"/>
        </w:rPr>
        <w:t xml:space="preserve">the definition of “Person with disabilities” indicating that for reporting purposes, an employer should report its number of </w:t>
      </w:r>
      <w:r w:rsidR="00A050AD">
        <w:rPr>
          <w:sz w:val="26"/>
          <w:szCs w:val="26"/>
        </w:rPr>
        <w:t xml:space="preserve">employees that have disabilities based upon </w:t>
      </w:r>
      <w:r w:rsidR="009C09BC">
        <w:rPr>
          <w:sz w:val="26"/>
          <w:szCs w:val="26"/>
        </w:rPr>
        <w:t xml:space="preserve">its </w:t>
      </w:r>
      <w:r w:rsidR="00A050AD">
        <w:rPr>
          <w:sz w:val="26"/>
          <w:szCs w:val="26"/>
        </w:rPr>
        <w:t xml:space="preserve">employees’ </w:t>
      </w:r>
      <w:r w:rsidR="00301878">
        <w:rPr>
          <w:sz w:val="26"/>
          <w:szCs w:val="26"/>
        </w:rPr>
        <w:t>self-identification.</w:t>
      </w:r>
    </w:p>
    <w:p w14:paraId="40E21D62" w14:textId="054270BF" w:rsidR="003E08B3" w:rsidRPr="00974025" w:rsidRDefault="003E08B3" w:rsidP="00A00202">
      <w:pPr>
        <w:spacing w:line="360" w:lineRule="auto"/>
        <w:ind w:firstLine="720"/>
        <w:rPr>
          <w:sz w:val="26"/>
          <w:szCs w:val="26"/>
        </w:rPr>
      </w:pPr>
      <w:r>
        <w:rPr>
          <w:b/>
          <w:bCs/>
          <w:sz w:val="26"/>
          <w:szCs w:val="26"/>
        </w:rPr>
        <w:t>Resolution:</w:t>
      </w:r>
      <w:r>
        <w:rPr>
          <w:sz w:val="26"/>
          <w:szCs w:val="26"/>
        </w:rPr>
        <w:t xml:space="preserve"> Add “</w:t>
      </w:r>
      <w:r w:rsidR="00264879">
        <w:rPr>
          <w:sz w:val="26"/>
          <w:szCs w:val="26"/>
        </w:rPr>
        <w:t>person with disability</w:t>
      </w:r>
      <w:r>
        <w:rPr>
          <w:sz w:val="26"/>
          <w:szCs w:val="26"/>
        </w:rPr>
        <w:t>” throughout the Policy Statement</w:t>
      </w:r>
      <w:r w:rsidR="00264879">
        <w:rPr>
          <w:sz w:val="26"/>
          <w:szCs w:val="26"/>
        </w:rPr>
        <w:t>.</w:t>
      </w:r>
    </w:p>
    <w:p w14:paraId="182EB766" w14:textId="77777777" w:rsidR="00862B19" w:rsidRPr="00974025" w:rsidRDefault="00862B19" w:rsidP="00A00202">
      <w:pPr>
        <w:spacing w:line="360" w:lineRule="auto"/>
        <w:ind w:firstLine="720"/>
        <w:rPr>
          <w:sz w:val="26"/>
          <w:szCs w:val="26"/>
        </w:rPr>
      </w:pPr>
    </w:p>
    <w:p w14:paraId="6F5D27A1" w14:textId="3006B81A" w:rsidR="009F1CA6" w:rsidRPr="002B11E2" w:rsidRDefault="002B11E2" w:rsidP="005C0F61">
      <w:pPr>
        <w:keepNext/>
        <w:spacing w:line="360" w:lineRule="auto"/>
        <w:ind w:firstLine="720"/>
        <w:rPr>
          <w:b/>
          <w:bCs/>
          <w:sz w:val="26"/>
          <w:szCs w:val="26"/>
        </w:rPr>
      </w:pPr>
      <w:r w:rsidRPr="002B11E2">
        <w:rPr>
          <w:b/>
          <w:bCs/>
          <w:sz w:val="26"/>
          <w:szCs w:val="26"/>
        </w:rPr>
        <w:t>Definition of Veteran</w:t>
      </w:r>
    </w:p>
    <w:p w14:paraId="53AD3E99" w14:textId="517342E5" w:rsidR="00C9490A" w:rsidRDefault="00260CA5" w:rsidP="00A00202">
      <w:pPr>
        <w:spacing w:line="360" w:lineRule="auto"/>
        <w:ind w:firstLine="720"/>
        <w:rPr>
          <w:sz w:val="26"/>
          <w:szCs w:val="26"/>
        </w:rPr>
      </w:pPr>
      <w:r>
        <w:rPr>
          <w:sz w:val="26"/>
          <w:szCs w:val="26"/>
        </w:rPr>
        <w:t xml:space="preserve">The Commission received several comments on its proposed definition of </w:t>
      </w:r>
      <w:r w:rsidR="00665688">
        <w:rPr>
          <w:sz w:val="26"/>
          <w:szCs w:val="26"/>
        </w:rPr>
        <w:t>“</w:t>
      </w:r>
      <w:r>
        <w:rPr>
          <w:sz w:val="26"/>
          <w:szCs w:val="26"/>
        </w:rPr>
        <w:t>veteran.</w:t>
      </w:r>
      <w:r w:rsidR="00665688">
        <w:rPr>
          <w:sz w:val="26"/>
          <w:szCs w:val="26"/>
        </w:rPr>
        <w:t>”</w:t>
      </w:r>
      <w:r>
        <w:rPr>
          <w:sz w:val="26"/>
          <w:szCs w:val="26"/>
        </w:rPr>
        <w:t xml:space="preserve">  </w:t>
      </w:r>
      <w:r w:rsidR="00B662F5">
        <w:rPr>
          <w:sz w:val="26"/>
          <w:szCs w:val="26"/>
        </w:rPr>
        <w:t>EAP recommends</w:t>
      </w:r>
      <w:r w:rsidR="00D76E1E">
        <w:rPr>
          <w:sz w:val="26"/>
          <w:szCs w:val="26"/>
        </w:rPr>
        <w:t xml:space="preserve"> that </w:t>
      </w:r>
      <w:r w:rsidR="001F69A7">
        <w:rPr>
          <w:sz w:val="26"/>
          <w:szCs w:val="26"/>
        </w:rPr>
        <w:t xml:space="preserve">the Commission adopt the definition of veteran as it is used </w:t>
      </w:r>
      <w:r w:rsidR="23BF29A6" w:rsidRPr="0CA07E42">
        <w:rPr>
          <w:sz w:val="26"/>
          <w:szCs w:val="26"/>
        </w:rPr>
        <w:t>and</w:t>
      </w:r>
      <w:r w:rsidR="001F69A7">
        <w:rPr>
          <w:sz w:val="26"/>
          <w:szCs w:val="26"/>
        </w:rPr>
        <w:t xml:space="preserve"> </w:t>
      </w:r>
      <w:r w:rsidR="00EA67AF">
        <w:rPr>
          <w:sz w:val="26"/>
          <w:szCs w:val="26"/>
        </w:rPr>
        <w:t>reported to the Department of Labor</w:t>
      </w:r>
      <w:r w:rsidR="001F69A7">
        <w:rPr>
          <w:sz w:val="26"/>
          <w:szCs w:val="26"/>
        </w:rPr>
        <w:t xml:space="preserve"> </w:t>
      </w:r>
      <w:r w:rsidR="002B0DA5">
        <w:rPr>
          <w:sz w:val="26"/>
          <w:szCs w:val="26"/>
        </w:rPr>
        <w:t xml:space="preserve">(DOL) </w:t>
      </w:r>
      <w:r w:rsidR="001F69A7">
        <w:rPr>
          <w:sz w:val="26"/>
          <w:szCs w:val="26"/>
        </w:rPr>
        <w:t xml:space="preserve">on the VETS-4212 </w:t>
      </w:r>
      <w:r w:rsidR="000B7D68">
        <w:rPr>
          <w:sz w:val="26"/>
          <w:szCs w:val="26"/>
        </w:rPr>
        <w:t>report</w:t>
      </w:r>
      <w:r w:rsidR="001F69A7">
        <w:rPr>
          <w:sz w:val="26"/>
          <w:szCs w:val="26"/>
        </w:rPr>
        <w:t xml:space="preserve"> </w:t>
      </w:r>
      <w:r w:rsidR="0013119A">
        <w:rPr>
          <w:sz w:val="26"/>
          <w:szCs w:val="26"/>
        </w:rPr>
        <w:t xml:space="preserve">that major </w:t>
      </w:r>
      <w:r w:rsidR="008754BD">
        <w:rPr>
          <w:sz w:val="26"/>
          <w:szCs w:val="26"/>
        </w:rPr>
        <w:t xml:space="preserve">jurisdictional utility companies report to the </w:t>
      </w:r>
      <w:r w:rsidR="002B0DA5">
        <w:rPr>
          <w:sz w:val="26"/>
          <w:szCs w:val="26"/>
        </w:rPr>
        <w:t>DOL</w:t>
      </w:r>
      <w:r w:rsidR="00C90068">
        <w:rPr>
          <w:sz w:val="26"/>
          <w:szCs w:val="26"/>
        </w:rPr>
        <w:t>.</w:t>
      </w:r>
      <w:r w:rsidR="005A0D57">
        <w:rPr>
          <w:sz w:val="26"/>
          <w:szCs w:val="26"/>
        </w:rPr>
        <w:t xml:space="preserve">  </w:t>
      </w:r>
      <w:r w:rsidR="004D70EB">
        <w:rPr>
          <w:sz w:val="26"/>
          <w:szCs w:val="26"/>
        </w:rPr>
        <w:t>EAP Comments at 11</w:t>
      </w:r>
      <w:r w:rsidR="00186CE1">
        <w:rPr>
          <w:sz w:val="26"/>
          <w:szCs w:val="26"/>
        </w:rPr>
        <w:t>.</w:t>
      </w:r>
      <w:r w:rsidR="00C90068">
        <w:rPr>
          <w:sz w:val="26"/>
          <w:szCs w:val="26"/>
        </w:rPr>
        <w:t xml:space="preserve">  </w:t>
      </w:r>
      <w:r w:rsidR="00385FB0">
        <w:rPr>
          <w:sz w:val="26"/>
          <w:szCs w:val="26"/>
        </w:rPr>
        <w:t xml:space="preserve">EAP </w:t>
      </w:r>
      <w:r w:rsidR="001C6147">
        <w:rPr>
          <w:sz w:val="26"/>
          <w:szCs w:val="26"/>
        </w:rPr>
        <w:t xml:space="preserve">opines that the Commission’s proposed definition of veteran </w:t>
      </w:r>
      <w:r w:rsidR="0086709B">
        <w:rPr>
          <w:sz w:val="26"/>
          <w:szCs w:val="26"/>
        </w:rPr>
        <w:t>would</w:t>
      </w:r>
      <w:r w:rsidR="00E92FE6">
        <w:rPr>
          <w:sz w:val="26"/>
          <w:szCs w:val="26"/>
        </w:rPr>
        <w:t xml:space="preserve"> not capture the total number of veterans that major jurisdictional utility companies </w:t>
      </w:r>
      <w:r w:rsidR="001623C7">
        <w:rPr>
          <w:sz w:val="26"/>
          <w:szCs w:val="26"/>
        </w:rPr>
        <w:t xml:space="preserve">report on the VETS-4212 </w:t>
      </w:r>
      <w:r w:rsidR="000B7D68">
        <w:rPr>
          <w:sz w:val="26"/>
          <w:szCs w:val="26"/>
        </w:rPr>
        <w:lastRenderedPageBreak/>
        <w:t>report</w:t>
      </w:r>
      <w:r w:rsidR="001623C7">
        <w:rPr>
          <w:sz w:val="26"/>
          <w:szCs w:val="26"/>
        </w:rPr>
        <w:t xml:space="preserve"> and that the Commission should adopt the definition </w:t>
      </w:r>
      <w:r w:rsidR="000B7D68">
        <w:rPr>
          <w:sz w:val="26"/>
          <w:szCs w:val="26"/>
        </w:rPr>
        <w:t>of veteran as it is defined in the VETS-4212 report</w:t>
      </w:r>
      <w:r w:rsidR="008D2FEA">
        <w:rPr>
          <w:sz w:val="26"/>
          <w:szCs w:val="26"/>
        </w:rPr>
        <w:t xml:space="preserve"> to capture the total number of protected categories of veterans.</w:t>
      </w:r>
      <w:r w:rsidR="005A6427">
        <w:rPr>
          <w:sz w:val="26"/>
          <w:szCs w:val="26"/>
        </w:rPr>
        <w:t xml:space="preserve">  </w:t>
      </w:r>
      <w:r w:rsidR="00136C34" w:rsidRPr="00136C34">
        <w:rPr>
          <w:i/>
          <w:sz w:val="26"/>
          <w:szCs w:val="26"/>
        </w:rPr>
        <w:t>Id.</w:t>
      </w:r>
      <w:r w:rsidR="00186CE1">
        <w:rPr>
          <w:sz w:val="26"/>
          <w:szCs w:val="26"/>
        </w:rPr>
        <w:t xml:space="preserve">  </w:t>
      </w:r>
      <w:r w:rsidR="005A6427">
        <w:rPr>
          <w:sz w:val="26"/>
          <w:szCs w:val="26"/>
        </w:rPr>
        <w:t>The protected categories of veterans on the VETS-4212 report are as follows:</w:t>
      </w:r>
    </w:p>
    <w:p w14:paraId="4DDA3CC8" w14:textId="77777777" w:rsidR="001009DC" w:rsidRDefault="001009DC" w:rsidP="001009DC">
      <w:pPr>
        <w:ind w:firstLine="720"/>
        <w:rPr>
          <w:sz w:val="26"/>
          <w:szCs w:val="26"/>
        </w:rPr>
      </w:pPr>
    </w:p>
    <w:p w14:paraId="65BC8F21" w14:textId="5325EFB3" w:rsidR="00C9490A" w:rsidRDefault="006F6FC6" w:rsidP="00E26719">
      <w:pPr>
        <w:spacing w:line="360" w:lineRule="auto"/>
        <w:ind w:firstLine="720"/>
        <w:rPr>
          <w:sz w:val="26"/>
          <w:szCs w:val="26"/>
        </w:rPr>
      </w:pPr>
      <w:r>
        <w:rPr>
          <w:sz w:val="26"/>
          <w:szCs w:val="26"/>
        </w:rPr>
        <w:t>A</w:t>
      </w:r>
      <w:r w:rsidR="005A6427">
        <w:rPr>
          <w:sz w:val="26"/>
          <w:szCs w:val="26"/>
        </w:rPr>
        <w:t xml:space="preserve">ctive duty wartime or campaign badge </w:t>
      </w:r>
      <w:proofErr w:type="gramStart"/>
      <w:r w:rsidR="005A6427">
        <w:rPr>
          <w:sz w:val="26"/>
          <w:szCs w:val="26"/>
        </w:rPr>
        <w:t>veteran;</w:t>
      </w:r>
      <w:proofErr w:type="gramEnd"/>
    </w:p>
    <w:p w14:paraId="16536E90" w14:textId="760AE873" w:rsidR="00C9490A" w:rsidRDefault="006F6FC6" w:rsidP="00E26719">
      <w:pPr>
        <w:spacing w:line="360" w:lineRule="auto"/>
        <w:ind w:firstLine="720"/>
        <w:rPr>
          <w:sz w:val="26"/>
          <w:szCs w:val="26"/>
        </w:rPr>
      </w:pPr>
      <w:r>
        <w:rPr>
          <w:sz w:val="26"/>
          <w:szCs w:val="26"/>
        </w:rPr>
        <w:t>A</w:t>
      </w:r>
      <w:r w:rsidR="005A6427">
        <w:rPr>
          <w:sz w:val="26"/>
          <w:szCs w:val="26"/>
        </w:rPr>
        <w:t xml:space="preserve">rmed forces service medal </w:t>
      </w:r>
      <w:proofErr w:type="gramStart"/>
      <w:r w:rsidR="005A6427">
        <w:rPr>
          <w:sz w:val="26"/>
          <w:szCs w:val="26"/>
        </w:rPr>
        <w:t>veteran;</w:t>
      </w:r>
      <w:proofErr w:type="gramEnd"/>
    </w:p>
    <w:p w14:paraId="3A3E6B85" w14:textId="433E6328" w:rsidR="00C9490A" w:rsidRDefault="006F6FC6" w:rsidP="00E26719">
      <w:pPr>
        <w:spacing w:line="360" w:lineRule="auto"/>
        <w:ind w:firstLine="720"/>
        <w:rPr>
          <w:sz w:val="26"/>
          <w:szCs w:val="26"/>
        </w:rPr>
      </w:pPr>
      <w:r>
        <w:rPr>
          <w:sz w:val="26"/>
          <w:szCs w:val="26"/>
        </w:rPr>
        <w:t>D</w:t>
      </w:r>
      <w:r w:rsidR="005A6427">
        <w:rPr>
          <w:sz w:val="26"/>
          <w:szCs w:val="26"/>
        </w:rPr>
        <w:t xml:space="preserve">isabled veteran; </w:t>
      </w:r>
      <w:r w:rsidR="005874EE">
        <w:rPr>
          <w:sz w:val="26"/>
          <w:szCs w:val="26"/>
        </w:rPr>
        <w:t>and</w:t>
      </w:r>
    </w:p>
    <w:p w14:paraId="750C6172" w14:textId="7D92F6C0" w:rsidR="00C9490A" w:rsidRDefault="006F6FC6" w:rsidP="00E26719">
      <w:pPr>
        <w:spacing w:line="360" w:lineRule="auto"/>
        <w:ind w:firstLine="720"/>
        <w:rPr>
          <w:sz w:val="26"/>
          <w:szCs w:val="26"/>
        </w:rPr>
      </w:pPr>
      <w:r>
        <w:rPr>
          <w:sz w:val="26"/>
          <w:szCs w:val="26"/>
        </w:rPr>
        <w:t>R</w:t>
      </w:r>
      <w:r w:rsidR="005A6427">
        <w:rPr>
          <w:sz w:val="26"/>
          <w:szCs w:val="26"/>
        </w:rPr>
        <w:t>ecently separated vetera</w:t>
      </w:r>
      <w:r w:rsidR="005874EE">
        <w:rPr>
          <w:sz w:val="26"/>
          <w:szCs w:val="26"/>
        </w:rPr>
        <w:t>n</w:t>
      </w:r>
      <w:r w:rsidR="005A6427">
        <w:rPr>
          <w:sz w:val="26"/>
          <w:szCs w:val="26"/>
        </w:rPr>
        <w:t>.</w:t>
      </w:r>
    </w:p>
    <w:p w14:paraId="0A1116FE" w14:textId="77777777" w:rsidR="001009DC" w:rsidRDefault="001009DC" w:rsidP="00E26719">
      <w:pPr>
        <w:spacing w:line="360" w:lineRule="auto"/>
        <w:ind w:firstLine="720"/>
        <w:rPr>
          <w:sz w:val="26"/>
          <w:szCs w:val="26"/>
        </w:rPr>
      </w:pPr>
    </w:p>
    <w:p w14:paraId="34C66708" w14:textId="4CABCFD6" w:rsidR="002B11E2" w:rsidRDefault="00194F9B" w:rsidP="00A00202">
      <w:pPr>
        <w:spacing w:line="360" w:lineRule="auto"/>
        <w:ind w:firstLine="720"/>
        <w:rPr>
          <w:sz w:val="26"/>
          <w:szCs w:val="26"/>
        </w:rPr>
      </w:pPr>
      <w:r>
        <w:rPr>
          <w:sz w:val="26"/>
          <w:szCs w:val="26"/>
        </w:rPr>
        <w:t>Duquesne Light further comment</w:t>
      </w:r>
      <w:r w:rsidR="00502AFC">
        <w:rPr>
          <w:sz w:val="26"/>
          <w:szCs w:val="26"/>
        </w:rPr>
        <w:t>s</w:t>
      </w:r>
      <w:r>
        <w:rPr>
          <w:sz w:val="26"/>
          <w:szCs w:val="26"/>
        </w:rPr>
        <w:t xml:space="preserve"> that the Commission should remove the language </w:t>
      </w:r>
      <w:r w:rsidR="00BA1270">
        <w:rPr>
          <w:sz w:val="26"/>
          <w:szCs w:val="26"/>
        </w:rPr>
        <w:t xml:space="preserve">“discharged or released from service under conditions other than dishonorable” and instead replace it with </w:t>
      </w:r>
      <w:r w:rsidR="00406921">
        <w:rPr>
          <w:sz w:val="26"/>
          <w:szCs w:val="26"/>
        </w:rPr>
        <w:t xml:space="preserve">“an individual who served in the United States Armed Forces, including a reserve component </w:t>
      </w:r>
      <w:r w:rsidR="00820C21">
        <w:rPr>
          <w:sz w:val="26"/>
          <w:szCs w:val="26"/>
        </w:rPr>
        <w:t>o</w:t>
      </w:r>
      <w:r w:rsidR="00406921">
        <w:rPr>
          <w:sz w:val="26"/>
          <w:szCs w:val="26"/>
        </w:rPr>
        <w:t xml:space="preserve">r the National Guard, and who </w:t>
      </w:r>
      <w:r w:rsidR="00EE0208">
        <w:rPr>
          <w:sz w:val="26"/>
          <w:szCs w:val="26"/>
        </w:rPr>
        <w:t xml:space="preserve">self-identifies as having Veteran status.”  Duquesne Light suggests that this definition </w:t>
      </w:r>
      <w:r w:rsidR="00B53CF6">
        <w:rPr>
          <w:sz w:val="26"/>
          <w:szCs w:val="26"/>
        </w:rPr>
        <w:t>would be more inclusive</w:t>
      </w:r>
      <w:r w:rsidR="00470DEE">
        <w:rPr>
          <w:sz w:val="26"/>
          <w:szCs w:val="26"/>
        </w:rPr>
        <w:t>.</w:t>
      </w:r>
      <w:r w:rsidR="00D15EDB">
        <w:rPr>
          <w:sz w:val="26"/>
          <w:szCs w:val="26"/>
        </w:rPr>
        <w:t xml:space="preserve">  Duquesne Light Comments at </w:t>
      </w:r>
      <w:r w:rsidR="00D11D33">
        <w:rPr>
          <w:sz w:val="26"/>
          <w:szCs w:val="26"/>
        </w:rPr>
        <w:t>6.</w:t>
      </w:r>
    </w:p>
    <w:p w14:paraId="76511C1B" w14:textId="77777777" w:rsidR="001009DC" w:rsidRDefault="001009DC" w:rsidP="00A00202">
      <w:pPr>
        <w:spacing w:line="360" w:lineRule="auto"/>
        <w:ind w:firstLine="720"/>
        <w:rPr>
          <w:sz w:val="26"/>
          <w:szCs w:val="26"/>
        </w:rPr>
      </w:pPr>
    </w:p>
    <w:p w14:paraId="6DA59D4B" w14:textId="496A2A2E" w:rsidR="00820C21" w:rsidRDefault="002E30D1" w:rsidP="00A00202">
      <w:pPr>
        <w:spacing w:line="360" w:lineRule="auto"/>
        <w:ind w:firstLine="720"/>
        <w:rPr>
          <w:sz w:val="26"/>
          <w:szCs w:val="26"/>
        </w:rPr>
      </w:pPr>
      <w:r>
        <w:rPr>
          <w:sz w:val="26"/>
          <w:szCs w:val="26"/>
        </w:rPr>
        <w:t xml:space="preserve">The Commission agrees with EAP’s comment that the definition of “Veteran” </w:t>
      </w:r>
      <w:r w:rsidR="00F809A4">
        <w:rPr>
          <w:sz w:val="26"/>
          <w:szCs w:val="26"/>
        </w:rPr>
        <w:t xml:space="preserve">should align with the </w:t>
      </w:r>
      <w:r w:rsidR="00050E61">
        <w:rPr>
          <w:sz w:val="26"/>
          <w:szCs w:val="26"/>
        </w:rPr>
        <w:t>categories of veterans as defined in the FAR.</w:t>
      </w:r>
      <w:r w:rsidR="00EF7875">
        <w:rPr>
          <w:sz w:val="26"/>
          <w:szCs w:val="26"/>
        </w:rPr>
        <w:t xml:space="preserve">  42 C.F.R. </w:t>
      </w:r>
      <w:r w:rsidR="00DE3542">
        <w:rPr>
          <w:sz w:val="26"/>
          <w:szCs w:val="26"/>
        </w:rPr>
        <w:t>§ 61-300.2.</w:t>
      </w:r>
      <w:r w:rsidR="00050E61">
        <w:rPr>
          <w:sz w:val="26"/>
          <w:szCs w:val="26"/>
        </w:rPr>
        <w:t xml:space="preserve">  Accordingly, the Commission </w:t>
      </w:r>
      <w:r w:rsidR="00B57726">
        <w:rPr>
          <w:sz w:val="26"/>
          <w:szCs w:val="26"/>
        </w:rPr>
        <w:t>amends the definition of “</w:t>
      </w:r>
      <w:r w:rsidR="00B02880">
        <w:rPr>
          <w:sz w:val="26"/>
          <w:szCs w:val="26"/>
        </w:rPr>
        <w:t>v</w:t>
      </w:r>
      <w:r w:rsidR="00B57726">
        <w:rPr>
          <w:sz w:val="26"/>
          <w:szCs w:val="26"/>
        </w:rPr>
        <w:t xml:space="preserve">eteran” </w:t>
      </w:r>
      <w:r w:rsidR="009C31FE">
        <w:rPr>
          <w:sz w:val="26"/>
          <w:szCs w:val="26"/>
        </w:rPr>
        <w:t xml:space="preserve">to expressly refer to </w:t>
      </w:r>
      <w:r w:rsidR="00B84D7B">
        <w:rPr>
          <w:sz w:val="26"/>
          <w:szCs w:val="26"/>
        </w:rPr>
        <w:t xml:space="preserve">the FAR </w:t>
      </w:r>
      <w:r w:rsidR="00090664">
        <w:rPr>
          <w:sz w:val="26"/>
          <w:szCs w:val="26"/>
        </w:rPr>
        <w:t xml:space="preserve">which includes all of the categories of veterans that major jurisdictional </w:t>
      </w:r>
      <w:r w:rsidR="007427FF">
        <w:rPr>
          <w:sz w:val="26"/>
          <w:szCs w:val="26"/>
        </w:rPr>
        <w:t xml:space="preserve">utility companies report to </w:t>
      </w:r>
      <w:r w:rsidR="009E2899">
        <w:rPr>
          <w:sz w:val="26"/>
          <w:szCs w:val="26"/>
        </w:rPr>
        <w:t xml:space="preserve">the </w:t>
      </w:r>
      <w:r w:rsidR="002B0DA5">
        <w:rPr>
          <w:sz w:val="26"/>
          <w:szCs w:val="26"/>
        </w:rPr>
        <w:t>DOL</w:t>
      </w:r>
      <w:r w:rsidR="009E2899">
        <w:rPr>
          <w:sz w:val="26"/>
          <w:szCs w:val="26"/>
        </w:rPr>
        <w:t xml:space="preserve">.  </w:t>
      </w:r>
      <w:r w:rsidR="002655F5">
        <w:rPr>
          <w:sz w:val="26"/>
          <w:szCs w:val="26"/>
        </w:rPr>
        <w:t>S</w:t>
      </w:r>
      <w:r w:rsidR="00FD3166">
        <w:rPr>
          <w:sz w:val="26"/>
          <w:szCs w:val="26"/>
        </w:rPr>
        <w:t xml:space="preserve">elf-identification as a veteran is </w:t>
      </w:r>
      <w:r w:rsidR="00702631">
        <w:rPr>
          <w:sz w:val="26"/>
          <w:szCs w:val="26"/>
        </w:rPr>
        <w:t xml:space="preserve">not </w:t>
      </w:r>
      <w:r w:rsidR="00FD3166">
        <w:rPr>
          <w:sz w:val="26"/>
          <w:szCs w:val="26"/>
        </w:rPr>
        <w:t xml:space="preserve">necessary </w:t>
      </w:r>
      <w:r w:rsidR="004815C7">
        <w:rPr>
          <w:sz w:val="26"/>
          <w:szCs w:val="26"/>
        </w:rPr>
        <w:t xml:space="preserve">for accurate reporting </w:t>
      </w:r>
      <w:r w:rsidR="00E541ED">
        <w:rPr>
          <w:sz w:val="26"/>
          <w:szCs w:val="26"/>
        </w:rPr>
        <w:t xml:space="preserve">since all of the </w:t>
      </w:r>
      <w:r w:rsidR="00F14C47">
        <w:rPr>
          <w:sz w:val="26"/>
          <w:szCs w:val="26"/>
        </w:rPr>
        <w:t xml:space="preserve">recognized </w:t>
      </w:r>
      <w:r w:rsidR="00E541ED">
        <w:rPr>
          <w:sz w:val="26"/>
          <w:szCs w:val="26"/>
        </w:rPr>
        <w:t>categories of veteran</w:t>
      </w:r>
      <w:r w:rsidR="00F14C47">
        <w:rPr>
          <w:sz w:val="26"/>
          <w:szCs w:val="26"/>
        </w:rPr>
        <w:t xml:space="preserve"> are enumerated </w:t>
      </w:r>
      <w:r w:rsidR="001B4DEB">
        <w:rPr>
          <w:sz w:val="26"/>
          <w:szCs w:val="26"/>
        </w:rPr>
        <w:t>at 42</w:t>
      </w:r>
      <w:r w:rsidR="00C527C0">
        <w:rPr>
          <w:sz w:val="26"/>
          <w:szCs w:val="26"/>
        </w:rPr>
        <w:t> </w:t>
      </w:r>
      <w:r w:rsidR="001B4DEB">
        <w:rPr>
          <w:sz w:val="26"/>
          <w:szCs w:val="26"/>
        </w:rPr>
        <w:t>C.F.R. § 61-300.2</w:t>
      </w:r>
      <w:r w:rsidR="00F14C47">
        <w:rPr>
          <w:sz w:val="26"/>
          <w:szCs w:val="26"/>
        </w:rPr>
        <w:t>.</w:t>
      </w:r>
      <w:r w:rsidR="00330339">
        <w:rPr>
          <w:sz w:val="26"/>
          <w:szCs w:val="26"/>
        </w:rPr>
        <w:t xml:space="preserve">  </w:t>
      </w:r>
      <w:r w:rsidR="00573040">
        <w:rPr>
          <w:sz w:val="26"/>
          <w:szCs w:val="26"/>
        </w:rPr>
        <w:t>Accordingly,</w:t>
      </w:r>
      <w:r w:rsidR="00330339">
        <w:rPr>
          <w:sz w:val="26"/>
          <w:szCs w:val="26"/>
        </w:rPr>
        <w:t xml:space="preserve"> self-identification </w:t>
      </w:r>
      <w:r w:rsidR="0010728A">
        <w:rPr>
          <w:sz w:val="26"/>
          <w:szCs w:val="26"/>
        </w:rPr>
        <w:t xml:space="preserve">as </w:t>
      </w:r>
      <w:r w:rsidR="00330339">
        <w:rPr>
          <w:sz w:val="26"/>
          <w:szCs w:val="26"/>
        </w:rPr>
        <w:t>a veteran will not be included in the definition.</w:t>
      </w:r>
      <w:r w:rsidR="0064351D">
        <w:rPr>
          <w:sz w:val="26"/>
          <w:szCs w:val="26"/>
        </w:rPr>
        <w:t xml:space="preserve"> </w:t>
      </w:r>
    </w:p>
    <w:p w14:paraId="54A70DDF" w14:textId="0D7E1032" w:rsidR="00264879" w:rsidRPr="00974025" w:rsidRDefault="00264879" w:rsidP="00264879">
      <w:pPr>
        <w:spacing w:line="360" w:lineRule="auto"/>
        <w:ind w:firstLine="720"/>
        <w:rPr>
          <w:sz w:val="26"/>
          <w:szCs w:val="26"/>
        </w:rPr>
      </w:pPr>
      <w:r>
        <w:rPr>
          <w:b/>
          <w:bCs/>
          <w:sz w:val="26"/>
          <w:szCs w:val="26"/>
        </w:rPr>
        <w:t>Resolution:</w:t>
      </w:r>
      <w:r>
        <w:rPr>
          <w:sz w:val="26"/>
          <w:szCs w:val="26"/>
        </w:rPr>
        <w:t xml:space="preserve"> Add “veteran” throughout the Policy Statement.</w:t>
      </w:r>
    </w:p>
    <w:p w14:paraId="383FF44E" w14:textId="77777777" w:rsidR="00E0310B" w:rsidRDefault="00E0310B" w:rsidP="00264879">
      <w:pPr>
        <w:spacing w:line="360" w:lineRule="auto"/>
        <w:ind w:firstLine="720"/>
        <w:rPr>
          <w:sz w:val="26"/>
          <w:szCs w:val="26"/>
        </w:rPr>
      </w:pPr>
    </w:p>
    <w:p w14:paraId="482566F2" w14:textId="7A8BF152" w:rsidR="00EF06CB" w:rsidRPr="008D74B1" w:rsidRDefault="009C27C2" w:rsidP="00A00202">
      <w:pPr>
        <w:spacing w:line="360" w:lineRule="auto"/>
        <w:ind w:firstLine="720"/>
        <w:rPr>
          <w:b/>
          <w:bCs/>
          <w:sz w:val="26"/>
          <w:szCs w:val="26"/>
        </w:rPr>
      </w:pPr>
      <w:r w:rsidRPr="008D74B1">
        <w:rPr>
          <w:b/>
          <w:bCs/>
          <w:sz w:val="26"/>
          <w:szCs w:val="26"/>
        </w:rPr>
        <w:t xml:space="preserve">Reporting the Number of </w:t>
      </w:r>
      <w:r w:rsidR="008D74B1" w:rsidRPr="008D74B1">
        <w:rPr>
          <w:b/>
          <w:bCs/>
          <w:sz w:val="26"/>
          <w:szCs w:val="26"/>
        </w:rPr>
        <w:t>Diverse Employees</w:t>
      </w:r>
    </w:p>
    <w:p w14:paraId="4A97B653" w14:textId="20B03012" w:rsidR="00176792" w:rsidRDefault="00A82C06" w:rsidP="00A00202">
      <w:pPr>
        <w:spacing w:line="360" w:lineRule="auto"/>
        <w:ind w:firstLine="720"/>
        <w:rPr>
          <w:i/>
          <w:sz w:val="26"/>
          <w:szCs w:val="26"/>
        </w:rPr>
      </w:pPr>
      <w:r>
        <w:rPr>
          <w:sz w:val="26"/>
          <w:szCs w:val="26"/>
        </w:rPr>
        <w:t xml:space="preserve">In Duquesne Light’s comments, it suggests that the Commission amend </w:t>
      </w:r>
      <w:r w:rsidR="008E1652">
        <w:rPr>
          <w:sz w:val="26"/>
          <w:szCs w:val="26"/>
        </w:rPr>
        <w:t xml:space="preserve">the diversity reporting form request the percentage of </w:t>
      </w:r>
      <w:r w:rsidR="002A2E31">
        <w:rPr>
          <w:sz w:val="26"/>
          <w:szCs w:val="26"/>
        </w:rPr>
        <w:t xml:space="preserve">major jurisdictional utility company’s </w:t>
      </w:r>
      <w:r w:rsidR="002A2E31">
        <w:rPr>
          <w:sz w:val="26"/>
          <w:szCs w:val="26"/>
        </w:rPr>
        <w:lastRenderedPageBreak/>
        <w:t xml:space="preserve">workforce demographics instead of </w:t>
      </w:r>
      <w:r w:rsidR="00F31161">
        <w:rPr>
          <w:sz w:val="26"/>
          <w:szCs w:val="26"/>
        </w:rPr>
        <w:t xml:space="preserve">the actual quantity of each demographic. </w:t>
      </w:r>
      <w:r w:rsidR="006C3CD7">
        <w:rPr>
          <w:sz w:val="26"/>
          <w:szCs w:val="26"/>
        </w:rPr>
        <w:t xml:space="preserve"> Duquesne Light Comments at 2-3. </w:t>
      </w:r>
      <w:r w:rsidR="00F31161">
        <w:rPr>
          <w:sz w:val="26"/>
          <w:szCs w:val="26"/>
        </w:rPr>
        <w:t xml:space="preserve"> </w:t>
      </w:r>
      <w:r w:rsidR="00F43764">
        <w:rPr>
          <w:sz w:val="26"/>
          <w:szCs w:val="26"/>
        </w:rPr>
        <w:t xml:space="preserve">Duquesne Light opines that requesting a percentage instead of the actual quantity of each demographic </w:t>
      </w:r>
      <w:r w:rsidR="00857630">
        <w:rPr>
          <w:sz w:val="26"/>
          <w:szCs w:val="26"/>
        </w:rPr>
        <w:t xml:space="preserve">would give better perspective on the progress being made in </w:t>
      </w:r>
      <w:r w:rsidR="009F1CA6">
        <w:rPr>
          <w:sz w:val="26"/>
          <w:szCs w:val="26"/>
        </w:rPr>
        <w:t>the goal of having a diverse workforce.</w:t>
      </w:r>
      <w:r w:rsidR="00DC7772">
        <w:rPr>
          <w:sz w:val="26"/>
          <w:szCs w:val="26"/>
        </w:rPr>
        <w:t xml:space="preserve">  </w:t>
      </w:r>
      <w:r w:rsidR="00136C34" w:rsidRPr="00136C34">
        <w:rPr>
          <w:i/>
          <w:sz w:val="26"/>
          <w:szCs w:val="26"/>
        </w:rPr>
        <w:t>Id.</w:t>
      </w:r>
    </w:p>
    <w:p w14:paraId="2230EA8C" w14:textId="77777777" w:rsidR="001009DC" w:rsidRDefault="001009DC" w:rsidP="00A00202">
      <w:pPr>
        <w:spacing w:line="360" w:lineRule="auto"/>
        <w:ind w:firstLine="720"/>
        <w:rPr>
          <w:sz w:val="26"/>
          <w:szCs w:val="26"/>
        </w:rPr>
      </w:pPr>
    </w:p>
    <w:p w14:paraId="65B5C3CF" w14:textId="39C5D402" w:rsidR="008D74B1" w:rsidRDefault="00457776" w:rsidP="00A00202">
      <w:pPr>
        <w:spacing w:line="360" w:lineRule="auto"/>
        <w:ind w:firstLine="720"/>
        <w:rPr>
          <w:sz w:val="26"/>
          <w:szCs w:val="26"/>
        </w:rPr>
      </w:pPr>
      <w:r>
        <w:rPr>
          <w:sz w:val="26"/>
          <w:szCs w:val="26"/>
        </w:rPr>
        <w:t>R</w:t>
      </w:r>
      <w:r w:rsidR="005D2AB9">
        <w:rPr>
          <w:sz w:val="26"/>
          <w:szCs w:val="26"/>
        </w:rPr>
        <w:t xml:space="preserve">equesting </w:t>
      </w:r>
      <w:r w:rsidR="00C65CD0">
        <w:rPr>
          <w:sz w:val="26"/>
          <w:szCs w:val="26"/>
        </w:rPr>
        <w:t xml:space="preserve">the actual number of employees in each enumerated demographic is the most accurate way to request reporting.  </w:t>
      </w:r>
      <w:r w:rsidR="000F3BFC">
        <w:rPr>
          <w:sz w:val="26"/>
          <w:szCs w:val="26"/>
        </w:rPr>
        <w:t xml:space="preserve">From the actual employees counted in each demographic, </w:t>
      </w:r>
      <w:r w:rsidR="00427DDE">
        <w:rPr>
          <w:sz w:val="26"/>
          <w:szCs w:val="26"/>
        </w:rPr>
        <w:t xml:space="preserve">the Commission </w:t>
      </w:r>
      <w:r w:rsidR="006E09F9">
        <w:rPr>
          <w:sz w:val="26"/>
          <w:szCs w:val="26"/>
        </w:rPr>
        <w:t xml:space="preserve">should </w:t>
      </w:r>
      <w:r w:rsidR="00427DDE">
        <w:rPr>
          <w:sz w:val="26"/>
          <w:szCs w:val="26"/>
        </w:rPr>
        <w:t>have the data necessary to compute</w:t>
      </w:r>
      <w:r w:rsidR="00236772">
        <w:rPr>
          <w:sz w:val="26"/>
          <w:szCs w:val="26"/>
        </w:rPr>
        <w:t xml:space="preserve"> each</w:t>
      </w:r>
      <w:r w:rsidR="00427DDE">
        <w:rPr>
          <w:sz w:val="26"/>
          <w:szCs w:val="26"/>
        </w:rPr>
        <w:t xml:space="preserve"> individual major jurisdictional utility compan</w:t>
      </w:r>
      <w:r w:rsidR="0073672D">
        <w:rPr>
          <w:sz w:val="26"/>
          <w:szCs w:val="26"/>
        </w:rPr>
        <w:t>y</w:t>
      </w:r>
      <w:r w:rsidR="00427DDE">
        <w:rPr>
          <w:sz w:val="26"/>
          <w:szCs w:val="26"/>
        </w:rPr>
        <w:t>’</w:t>
      </w:r>
      <w:r w:rsidR="0073672D">
        <w:rPr>
          <w:sz w:val="26"/>
          <w:szCs w:val="26"/>
        </w:rPr>
        <w:t>s</w:t>
      </w:r>
      <w:r w:rsidR="00427DDE">
        <w:rPr>
          <w:sz w:val="26"/>
          <w:szCs w:val="26"/>
        </w:rPr>
        <w:t xml:space="preserve"> </w:t>
      </w:r>
      <w:r w:rsidR="00236772">
        <w:rPr>
          <w:sz w:val="26"/>
          <w:szCs w:val="26"/>
        </w:rPr>
        <w:t>progress in maintaining a diverse workforce.</w:t>
      </w:r>
    </w:p>
    <w:p w14:paraId="6541E0FA" w14:textId="0AF4B3F8" w:rsidR="00803FF3" w:rsidRPr="00CA30D4" w:rsidRDefault="00803FF3" w:rsidP="00A00202">
      <w:pPr>
        <w:spacing w:line="360" w:lineRule="auto"/>
        <w:ind w:firstLine="720"/>
        <w:rPr>
          <w:sz w:val="26"/>
          <w:szCs w:val="26"/>
        </w:rPr>
      </w:pPr>
      <w:r>
        <w:rPr>
          <w:b/>
          <w:bCs/>
          <w:sz w:val="26"/>
          <w:szCs w:val="26"/>
        </w:rPr>
        <w:t>Resolution:</w:t>
      </w:r>
      <w:r w:rsidR="00CA30D4">
        <w:rPr>
          <w:sz w:val="26"/>
          <w:szCs w:val="26"/>
        </w:rPr>
        <w:t xml:space="preserve"> Amend Section </w:t>
      </w:r>
      <w:r w:rsidR="003F35F8">
        <w:rPr>
          <w:sz w:val="26"/>
          <w:szCs w:val="26"/>
        </w:rPr>
        <w:t>69</w:t>
      </w:r>
      <w:r w:rsidR="00671AE1">
        <w:rPr>
          <w:sz w:val="26"/>
          <w:szCs w:val="26"/>
        </w:rPr>
        <w:t>.80</w:t>
      </w:r>
      <w:r w:rsidR="008772E7">
        <w:rPr>
          <w:sz w:val="26"/>
          <w:szCs w:val="26"/>
        </w:rPr>
        <w:t>9 to recommend reporting of numbers of employees rather than percentages of the workforce.</w:t>
      </w:r>
    </w:p>
    <w:p w14:paraId="02B1D3AB" w14:textId="77777777" w:rsidR="007644F7" w:rsidRPr="00CA30D4" w:rsidRDefault="007644F7" w:rsidP="00A00202">
      <w:pPr>
        <w:spacing w:line="360" w:lineRule="auto"/>
        <w:ind w:firstLine="720"/>
        <w:rPr>
          <w:sz w:val="26"/>
          <w:szCs w:val="26"/>
        </w:rPr>
      </w:pPr>
    </w:p>
    <w:p w14:paraId="70C494D5" w14:textId="71345A3E" w:rsidR="009F1CA6" w:rsidRDefault="004B75CC" w:rsidP="0060169D">
      <w:pPr>
        <w:keepNext/>
        <w:spacing w:line="360" w:lineRule="auto"/>
        <w:ind w:firstLine="720"/>
        <w:rPr>
          <w:sz w:val="26"/>
          <w:szCs w:val="26"/>
        </w:rPr>
      </w:pPr>
      <w:r w:rsidRPr="002336E1">
        <w:rPr>
          <w:b/>
          <w:bCs/>
          <w:sz w:val="26"/>
          <w:szCs w:val="26"/>
        </w:rPr>
        <w:t>Subcontracting Reporting</w:t>
      </w:r>
    </w:p>
    <w:p w14:paraId="40B7B2C3" w14:textId="49A2C5B0" w:rsidR="000B1149" w:rsidRDefault="00587022" w:rsidP="00A00202">
      <w:pPr>
        <w:spacing w:line="360" w:lineRule="auto"/>
        <w:ind w:firstLine="720"/>
        <w:rPr>
          <w:i/>
          <w:sz w:val="26"/>
          <w:szCs w:val="26"/>
        </w:rPr>
      </w:pPr>
      <w:r>
        <w:rPr>
          <w:sz w:val="26"/>
          <w:szCs w:val="26"/>
        </w:rPr>
        <w:t xml:space="preserve">Duquesne Light recommends that the Commission </w:t>
      </w:r>
      <w:r w:rsidR="00CF31C6">
        <w:rPr>
          <w:sz w:val="26"/>
          <w:szCs w:val="26"/>
        </w:rPr>
        <w:t xml:space="preserve">remove or reduce the dollar amount currently included in the </w:t>
      </w:r>
      <w:r w:rsidR="00925E41">
        <w:rPr>
          <w:sz w:val="26"/>
          <w:szCs w:val="26"/>
        </w:rPr>
        <w:t>proposed policy statement</w:t>
      </w:r>
      <w:r w:rsidR="00FB2A81">
        <w:rPr>
          <w:sz w:val="26"/>
          <w:szCs w:val="26"/>
        </w:rPr>
        <w:t xml:space="preserve"> on subcontracts</w:t>
      </w:r>
      <w:r w:rsidR="00925E41">
        <w:rPr>
          <w:sz w:val="26"/>
          <w:szCs w:val="26"/>
        </w:rPr>
        <w:t xml:space="preserve">. </w:t>
      </w:r>
      <w:r w:rsidR="00540EF2">
        <w:rPr>
          <w:sz w:val="26"/>
          <w:szCs w:val="26"/>
        </w:rPr>
        <w:t xml:space="preserve"> Duquesne Light Comments at </w:t>
      </w:r>
      <w:r w:rsidR="00773B4C">
        <w:rPr>
          <w:sz w:val="26"/>
          <w:szCs w:val="26"/>
        </w:rPr>
        <w:t xml:space="preserve">7. </w:t>
      </w:r>
      <w:r w:rsidR="00925E41">
        <w:rPr>
          <w:sz w:val="26"/>
          <w:szCs w:val="26"/>
        </w:rPr>
        <w:t xml:space="preserve"> Duquesne Light believes </w:t>
      </w:r>
      <w:r w:rsidR="00972FBE">
        <w:rPr>
          <w:sz w:val="26"/>
          <w:szCs w:val="26"/>
        </w:rPr>
        <w:t>relationships</w:t>
      </w:r>
      <w:r w:rsidR="00925E41">
        <w:rPr>
          <w:sz w:val="26"/>
          <w:szCs w:val="26"/>
        </w:rPr>
        <w:t xml:space="preserve"> can be forged with diverse businesses even through smaller contracts, which can serve as a gateway for a business to expand and provide more services to the utility industry.</w:t>
      </w:r>
      <w:r w:rsidR="007201C8">
        <w:rPr>
          <w:sz w:val="26"/>
          <w:szCs w:val="26"/>
        </w:rPr>
        <w:t xml:space="preserve">  </w:t>
      </w:r>
      <w:r w:rsidR="00136C34" w:rsidRPr="00136C34">
        <w:rPr>
          <w:i/>
          <w:sz w:val="26"/>
          <w:szCs w:val="26"/>
        </w:rPr>
        <w:t>Id.</w:t>
      </w:r>
    </w:p>
    <w:p w14:paraId="0486E00F" w14:textId="77777777" w:rsidR="001009DC" w:rsidRDefault="001009DC" w:rsidP="00A00202">
      <w:pPr>
        <w:spacing w:line="360" w:lineRule="auto"/>
        <w:ind w:firstLine="720"/>
        <w:rPr>
          <w:sz w:val="26"/>
          <w:szCs w:val="26"/>
        </w:rPr>
      </w:pPr>
    </w:p>
    <w:p w14:paraId="0076EB0C" w14:textId="45EA186C" w:rsidR="004B75CC" w:rsidRDefault="007201C8" w:rsidP="00A00202">
      <w:pPr>
        <w:spacing w:line="360" w:lineRule="auto"/>
        <w:ind w:firstLine="720"/>
        <w:rPr>
          <w:sz w:val="26"/>
          <w:szCs w:val="26"/>
        </w:rPr>
      </w:pPr>
      <w:r>
        <w:rPr>
          <w:sz w:val="26"/>
          <w:szCs w:val="26"/>
        </w:rPr>
        <w:t xml:space="preserve">While the Commission appreciates </w:t>
      </w:r>
      <w:r w:rsidR="000D0BA2">
        <w:rPr>
          <w:sz w:val="26"/>
          <w:szCs w:val="26"/>
        </w:rPr>
        <w:t xml:space="preserve">the </w:t>
      </w:r>
      <w:r w:rsidR="006F2D61">
        <w:rPr>
          <w:sz w:val="26"/>
          <w:szCs w:val="26"/>
        </w:rPr>
        <w:t>intent</w:t>
      </w:r>
      <w:r w:rsidR="00553F3A">
        <w:rPr>
          <w:sz w:val="26"/>
          <w:szCs w:val="26"/>
        </w:rPr>
        <w:t xml:space="preserve"> to be more inclusive of smaller subcontracts, </w:t>
      </w:r>
      <w:r w:rsidR="00553F3A" w:rsidDel="00E126CE">
        <w:rPr>
          <w:sz w:val="26"/>
          <w:szCs w:val="26"/>
        </w:rPr>
        <w:t xml:space="preserve">the </w:t>
      </w:r>
      <w:r w:rsidR="008D22EB">
        <w:rPr>
          <w:sz w:val="26"/>
          <w:szCs w:val="26"/>
        </w:rPr>
        <w:t xml:space="preserve">current threshold amount for reporting </w:t>
      </w:r>
      <w:r w:rsidR="00C871B7">
        <w:rPr>
          <w:sz w:val="26"/>
          <w:szCs w:val="26"/>
        </w:rPr>
        <w:t xml:space="preserve">pursuant to the policy statement </w:t>
      </w:r>
      <w:r w:rsidR="00816CA0">
        <w:rPr>
          <w:sz w:val="26"/>
          <w:szCs w:val="26"/>
        </w:rPr>
        <w:t xml:space="preserve">should </w:t>
      </w:r>
      <w:r w:rsidR="008D22EB">
        <w:rPr>
          <w:sz w:val="26"/>
          <w:szCs w:val="26"/>
        </w:rPr>
        <w:t xml:space="preserve">provide </w:t>
      </w:r>
      <w:r w:rsidR="00816CA0">
        <w:rPr>
          <w:sz w:val="26"/>
          <w:szCs w:val="26"/>
        </w:rPr>
        <w:t xml:space="preserve">sufficient </w:t>
      </w:r>
      <w:r w:rsidR="00290C7D">
        <w:rPr>
          <w:sz w:val="26"/>
          <w:szCs w:val="26"/>
        </w:rPr>
        <w:t>insight to the progress being made</w:t>
      </w:r>
      <w:r w:rsidR="007230BA">
        <w:rPr>
          <w:sz w:val="26"/>
          <w:szCs w:val="26"/>
        </w:rPr>
        <w:t xml:space="preserve"> by</w:t>
      </w:r>
      <w:r w:rsidR="00290C7D">
        <w:rPr>
          <w:sz w:val="26"/>
          <w:szCs w:val="26"/>
        </w:rPr>
        <w:t xml:space="preserve"> </w:t>
      </w:r>
      <w:r w:rsidR="007230BA">
        <w:rPr>
          <w:sz w:val="26"/>
          <w:szCs w:val="26"/>
        </w:rPr>
        <w:t>major jurisdictional utility companies’ use of min</w:t>
      </w:r>
      <w:r w:rsidR="002336E1">
        <w:rPr>
          <w:sz w:val="26"/>
          <w:szCs w:val="26"/>
        </w:rPr>
        <w:t>ority-owned businesses.</w:t>
      </w:r>
      <w:r w:rsidR="00F9266B">
        <w:rPr>
          <w:sz w:val="26"/>
          <w:szCs w:val="26"/>
        </w:rPr>
        <w:t xml:space="preserve">  </w:t>
      </w:r>
      <w:r w:rsidR="000E0C46">
        <w:rPr>
          <w:sz w:val="26"/>
          <w:szCs w:val="26"/>
        </w:rPr>
        <w:t>The parties are free</w:t>
      </w:r>
      <w:r w:rsidR="00C94048">
        <w:rPr>
          <w:sz w:val="26"/>
          <w:szCs w:val="26"/>
        </w:rPr>
        <w:t xml:space="preserve"> to </w:t>
      </w:r>
      <w:r w:rsidR="000E0C46">
        <w:rPr>
          <w:sz w:val="26"/>
          <w:szCs w:val="26"/>
        </w:rPr>
        <w:t>raise this issue again</w:t>
      </w:r>
      <w:r w:rsidR="004B56E3">
        <w:rPr>
          <w:sz w:val="26"/>
          <w:szCs w:val="26"/>
        </w:rPr>
        <w:t xml:space="preserve"> in the future rulemaking regarding diversity reporting.</w:t>
      </w:r>
    </w:p>
    <w:p w14:paraId="244004F9" w14:textId="31786070" w:rsidR="007D2DFA" w:rsidRPr="007D2DFA" w:rsidRDefault="007D2DFA" w:rsidP="00A00202">
      <w:pPr>
        <w:spacing w:line="360" w:lineRule="auto"/>
        <w:ind w:firstLine="720"/>
        <w:rPr>
          <w:sz w:val="26"/>
          <w:szCs w:val="26"/>
        </w:rPr>
      </w:pPr>
      <w:r>
        <w:rPr>
          <w:b/>
          <w:bCs/>
          <w:sz w:val="26"/>
          <w:szCs w:val="26"/>
        </w:rPr>
        <w:t xml:space="preserve">Resolution: </w:t>
      </w:r>
      <w:r w:rsidRPr="007D2DFA">
        <w:rPr>
          <w:sz w:val="26"/>
          <w:szCs w:val="26"/>
        </w:rPr>
        <w:t>Made no changes.</w:t>
      </w:r>
    </w:p>
    <w:p w14:paraId="4344C380" w14:textId="77777777" w:rsidR="00954A96" w:rsidRDefault="00954A96" w:rsidP="00A00202">
      <w:pPr>
        <w:spacing w:line="360" w:lineRule="auto"/>
        <w:ind w:firstLine="720"/>
        <w:rPr>
          <w:b/>
          <w:bCs/>
          <w:sz w:val="26"/>
          <w:szCs w:val="26"/>
        </w:rPr>
      </w:pPr>
    </w:p>
    <w:p w14:paraId="70DB45FF" w14:textId="10A273E5" w:rsidR="00FE0DB3" w:rsidRDefault="00FE0DB3" w:rsidP="00960E41">
      <w:pPr>
        <w:keepNext/>
        <w:spacing w:line="360" w:lineRule="auto"/>
        <w:ind w:firstLine="720"/>
        <w:rPr>
          <w:sz w:val="26"/>
          <w:szCs w:val="26"/>
        </w:rPr>
      </w:pPr>
      <w:r w:rsidRPr="006414E3">
        <w:rPr>
          <w:b/>
          <w:bCs/>
          <w:sz w:val="26"/>
          <w:szCs w:val="26"/>
        </w:rPr>
        <w:t>Good faith Efforts</w:t>
      </w:r>
      <w:r w:rsidR="00E51499" w:rsidRPr="006414E3">
        <w:rPr>
          <w:b/>
          <w:bCs/>
          <w:sz w:val="26"/>
          <w:szCs w:val="26"/>
        </w:rPr>
        <w:t xml:space="preserve"> Reporting</w:t>
      </w:r>
    </w:p>
    <w:p w14:paraId="1B26A8D0" w14:textId="454E613C" w:rsidR="00D02854" w:rsidRDefault="005B2266" w:rsidP="00A00202">
      <w:pPr>
        <w:spacing w:line="360" w:lineRule="auto"/>
        <w:ind w:firstLine="720"/>
        <w:rPr>
          <w:sz w:val="26"/>
          <w:szCs w:val="26"/>
        </w:rPr>
      </w:pPr>
      <w:r>
        <w:rPr>
          <w:sz w:val="26"/>
          <w:szCs w:val="26"/>
        </w:rPr>
        <w:t xml:space="preserve">Duquesne Light suggests that the Commission include a provision in the policy statement to encourage </w:t>
      </w:r>
      <w:r w:rsidR="00E50CA2">
        <w:rPr>
          <w:sz w:val="26"/>
          <w:szCs w:val="26"/>
        </w:rPr>
        <w:t xml:space="preserve">reporting </w:t>
      </w:r>
      <w:r w:rsidR="00C436CB">
        <w:rPr>
          <w:sz w:val="26"/>
          <w:szCs w:val="26"/>
        </w:rPr>
        <w:t xml:space="preserve">good faith efforts major jurisdictional utility companies </w:t>
      </w:r>
      <w:r w:rsidR="00C436CB">
        <w:rPr>
          <w:sz w:val="26"/>
          <w:szCs w:val="26"/>
        </w:rPr>
        <w:lastRenderedPageBreak/>
        <w:t>make to increase diversity among their workforce and through their vendors.</w:t>
      </w:r>
      <w:r w:rsidR="002336E1">
        <w:rPr>
          <w:sz w:val="26"/>
          <w:szCs w:val="26"/>
        </w:rPr>
        <w:t xml:space="preserve"> </w:t>
      </w:r>
      <w:r w:rsidR="002753B0">
        <w:rPr>
          <w:sz w:val="26"/>
          <w:szCs w:val="26"/>
        </w:rPr>
        <w:t xml:space="preserve"> Duquesne Light Comments at </w:t>
      </w:r>
      <w:r w:rsidR="002A339D">
        <w:rPr>
          <w:sz w:val="26"/>
          <w:szCs w:val="26"/>
        </w:rPr>
        <w:t>7-8.</w:t>
      </w:r>
      <w:r w:rsidR="002336E1">
        <w:rPr>
          <w:sz w:val="26"/>
          <w:szCs w:val="26"/>
        </w:rPr>
        <w:t xml:space="preserve"> </w:t>
      </w:r>
    </w:p>
    <w:p w14:paraId="6AF52711" w14:textId="77777777" w:rsidR="001009DC" w:rsidRDefault="001009DC" w:rsidP="00A00202">
      <w:pPr>
        <w:spacing w:line="360" w:lineRule="auto"/>
        <w:ind w:firstLine="720"/>
        <w:rPr>
          <w:sz w:val="26"/>
          <w:szCs w:val="26"/>
        </w:rPr>
      </w:pPr>
    </w:p>
    <w:p w14:paraId="0488AC64" w14:textId="4C9EDB51" w:rsidR="00F85AC3" w:rsidRPr="0084603B" w:rsidRDefault="002336E1" w:rsidP="00A00202">
      <w:pPr>
        <w:spacing w:line="360" w:lineRule="auto"/>
        <w:ind w:firstLine="720"/>
        <w:rPr>
          <w:sz w:val="26"/>
          <w:szCs w:val="26"/>
        </w:rPr>
      </w:pPr>
      <w:r>
        <w:rPr>
          <w:sz w:val="26"/>
          <w:szCs w:val="26"/>
        </w:rPr>
        <w:t xml:space="preserve">The Commission appreciates </w:t>
      </w:r>
      <w:r w:rsidR="00483901">
        <w:rPr>
          <w:sz w:val="26"/>
          <w:szCs w:val="26"/>
        </w:rPr>
        <w:t xml:space="preserve">the recommendation for major </w:t>
      </w:r>
      <w:r w:rsidR="000F0A5E">
        <w:rPr>
          <w:sz w:val="26"/>
          <w:szCs w:val="26"/>
        </w:rPr>
        <w:t xml:space="preserve">jurisdictional </w:t>
      </w:r>
      <w:r w:rsidR="00483901">
        <w:rPr>
          <w:sz w:val="26"/>
          <w:szCs w:val="26"/>
        </w:rPr>
        <w:t xml:space="preserve">utility </w:t>
      </w:r>
      <w:r w:rsidR="000F0A5E">
        <w:rPr>
          <w:sz w:val="26"/>
          <w:szCs w:val="26"/>
        </w:rPr>
        <w:t>companies to report good faith efforts</w:t>
      </w:r>
      <w:r w:rsidR="00A44B5C">
        <w:rPr>
          <w:sz w:val="26"/>
          <w:szCs w:val="26"/>
        </w:rPr>
        <w:t xml:space="preserve">.  </w:t>
      </w:r>
      <w:r w:rsidR="009044C0" w:rsidRPr="0084603B">
        <w:rPr>
          <w:sz w:val="26"/>
          <w:szCs w:val="26"/>
        </w:rPr>
        <w:t xml:space="preserve">The Commission rejected </w:t>
      </w:r>
      <w:r w:rsidR="00004816" w:rsidRPr="0084603B">
        <w:rPr>
          <w:sz w:val="26"/>
          <w:szCs w:val="26"/>
        </w:rPr>
        <w:t xml:space="preserve">Duquesne Light’s </w:t>
      </w:r>
      <w:r w:rsidR="009044C0" w:rsidRPr="0084603B">
        <w:rPr>
          <w:sz w:val="26"/>
          <w:szCs w:val="26"/>
        </w:rPr>
        <w:t>recommendation because one of the goals of the revisions to the policy statement, with the addition of the recommendation to use the new reporting form, is to encourage a more uniform process for diversity reporting.  Further, there is no penalty for diversity reporting that does not reflect the recommendations in the policy statement</w:t>
      </w:r>
      <w:r w:rsidR="00157281" w:rsidRPr="0084603B">
        <w:rPr>
          <w:sz w:val="26"/>
          <w:szCs w:val="26"/>
        </w:rPr>
        <w:t>.</w:t>
      </w:r>
    </w:p>
    <w:p w14:paraId="792B2B1B" w14:textId="7790C444" w:rsidR="007D2DFA" w:rsidRPr="0084603B" w:rsidRDefault="007D2DFA" w:rsidP="00A00202">
      <w:pPr>
        <w:spacing w:line="360" w:lineRule="auto"/>
        <w:ind w:firstLine="720"/>
        <w:rPr>
          <w:sz w:val="26"/>
          <w:szCs w:val="26"/>
        </w:rPr>
      </w:pPr>
      <w:r>
        <w:rPr>
          <w:b/>
          <w:bCs/>
          <w:sz w:val="26"/>
          <w:szCs w:val="26"/>
        </w:rPr>
        <w:t xml:space="preserve">Resolution: </w:t>
      </w:r>
      <w:r w:rsidRPr="007D2DFA">
        <w:rPr>
          <w:sz w:val="26"/>
          <w:szCs w:val="26"/>
        </w:rPr>
        <w:t>Made no changes.</w:t>
      </w:r>
    </w:p>
    <w:p w14:paraId="1FA0B08E" w14:textId="77777777" w:rsidR="00F817E2" w:rsidRDefault="00F817E2" w:rsidP="0038518F">
      <w:pPr>
        <w:spacing w:line="360" w:lineRule="auto"/>
        <w:ind w:firstLine="720"/>
        <w:rPr>
          <w:b/>
          <w:bCs/>
          <w:sz w:val="26"/>
          <w:szCs w:val="26"/>
        </w:rPr>
      </w:pPr>
    </w:p>
    <w:p w14:paraId="53292442" w14:textId="75E9A660" w:rsidR="0038518F" w:rsidRDefault="0038518F" w:rsidP="002F1430">
      <w:pPr>
        <w:keepNext/>
        <w:spacing w:line="360" w:lineRule="auto"/>
        <w:ind w:firstLine="720"/>
        <w:rPr>
          <w:b/>
          <w:bCs/>
          <w:sz w:val="26"/>
          <w:szCs w:val="26"/>
        </w:rPr>
      </w:pPr>
      <w:r>
        <w:rPr>
          <w:b/>
          <w:bCs/>
          <w:sz w:val="26"/>
          <w:szCs w:val="26"/>
        </w:rPr>
        <w:t>Reincorporation of Acronyms</w:t>
      </w:r>
    </w:p>
    <w:p w14:paraId="1CEF7074" w14:textId="77777777" w:rsidR="0039618B" w:rsidRDefault="000B5312" w:rsidP="0038518F">
      <w:pPr>
        <w:spacing w:line="360" w:lineRule="auto"/>
        <w:ind w:firstLine="720"/>
        <w:rPr>
          <w:sz w:val="26"/>
          <w:szCs w:val="26"/>
        </w:rPr>
      </w:pPr>
      <w:r>
        <w:rPr>
          <w:sz w:val="26"/>
          <w:szCs w:val="26"/>
        </w:rPr>
        <w:t>Th</w:t>
      </w:r>
      <w:r w:rsidR="0039618B">
        <w:rPr>
          <w:sz w:val="26"/>
          <w:szCs w:val="26"/>
        </w:rPr>
        <w:t>e use of the acronyms was not addressed in the comments.</w:t>
      </w:r>
    </w:p>
    <w:p w14:paraId="6C60DAE1" w14:textId="67C6B7EB" w:rsidR="0038518F" w:rsidRPr="003F5AE8" w:rsidRDefault="0025480B" w:rsidP="0038518F">
      <w:pPr>
        <w:spacing w:line="360" w:lineRule="auto"/>
        <w:ind w:firstLine="720"/>
        <w:rPr>
          <w:sz w:val="26"/>
          <w:szCs w:val="26"/>
        </w:rPr>
      </w:pPr>
      <w:r>
        <w:rPr>
          <w:sz w:val="26"/>
          <w:szCs w:val="26"/>
        </w:rPr>
        <w:t>T</w:t>
      </w:r>
      <w:r w:rsidR="0038518F">
        <w:rPr>
          <w:sz w:val="26"/>
          <w:szCs w:val="26"/>
        </w:rPr>
        <w:t xml:space="preserve">he Commission reviewed </w:t>
      </w:r>
      <w:r w:rsidR="0039618B">
        <w:rPr>
          <w:sz w:val="26"/>
          <w:szCs w:val="26"/>
        </w:rPr>
        <w:t>its</w:t>
      </w:r>
      <w:r w:rsidR="0038518F">
        <w:rPr>
          <w:sz w:val="26"/>
          <w:szCs w:val="26"/>
        </w:rPr>
        <w:t xml:space="preserve"> proposed changes </w:t>
      </w:r>
      <w:r w:rsidR="00E0310B">
        <w:rPr>
          <w:sz w:val="26"/>
          <w:szCs w:val="26"/>
        </w:rPr>
        <w:t xml:space="preserve">to delete the “MBE” and “WBE” acronyms </w:t>
      </w:r>
      <w:r w:rsidR="0038518F">
        <w:rPr>
          <w:sz w:val="26"/>
          <w:szCs w:val="26"/>
        </w:rPr>
        <w:t>and unilaterally determined that the acronyms “MBE” and “WBE” should be re</w:t>
      </w:r>
      <w:r w:rsidR="00E0310B">
        <w:rPr>
          <w:sz w:val="26"/>
          <w:szCs w:val="26"/>
        </w:rPr>
        <w:t>tained</w:t>
      </w:r>
      <w:r w:rsidR="0038518F">
        <w:rPr>
          <w:sz w:val="26"/>
          <w:szCs w:val="26"/>
        </w:rPr>
        <w:t xml:space="preserve"> in the definitions of “Minority-Owned Business Enterprise” and “Women-Owned Business Enterprise,” respectively, because these acronyms are used through-out federal regulations and are part of common parlance.  Accordingly, we reincorporate the acronyms “MBE” and “WBE” with their respective definitions in the final policy statement.</w:t>
      </w:r>
    </w:p>
    <w:p w14:paraId="2714457F" w14:textId="27822AA6" w:rsidR="00E92CBF" w:rsidRPr="007D2DFA" w:rsidRDefault="00E92CBF" w:rsidP="00E92CBF">
      <w:pPr>
        <w:spacing w:line="360" w:lineRule="auto"/>
        <w:ind w:firstLine="720"/>
        <w:rPr>
          <w:sz w:val="26"/>
          <w:szCs w:val="26"/>
        </w:rPr>
      </w:pPr>
      <w:r>
        <w:rPr>
          <w:b/>
          <w:bCs/>
          <w:sz w:val="26"/>
          <w:szCs w:val="26"/>
        </w:rPr>
        <w:t xml:space="preserve">Resolution: </w:t>
      </w:r>
      <w:r>
        <w:rPr>
          <w:sz w:val="26"/>
          <w:szCs w:val="26"/>
        </w:rPr>
        <w:t>Retain the ac</w:t>
      </w:r>
      <w:r w:rsidR="0056272A">
        <w:rPr>
          <w:sz w:val="26"/>
          <w:szCs w:val="26"/>
        </w:rPr>
        <w:t xml:space="preserve">ronyms </w:t>
      </w:r>
      <w:r w:rsidR="00A44570">
        <w:rPr>
          <w:sz w:val="26"/>
          <w:szCs w:val="26"/>
        </w:rPr>
        <w:t xml:space="preserve">“MBE” and “WBE” </w:t>
      </w:r>
      <w:r w:rsidR="0056272A">
        <w:rPr>
          <w:sz w:val="26"/>
          <w:szCs w:val="26"/>
        </w:rPr>
        <w:t xml:space="preserve">in Section </w:t>
      </w:r>
      <w:r w:rsidR="00675964">
        <w:rPr>
          <w:sz w:val="26"/>
          <w:szCs w:val="26"/>
        </w:rPr>
        <w:t>60.</w:t>
      </w:r>
      <w:r w:rsidR="00675964" w:rsidDel="00697C08">
        <w:rPr>
          <w:sz w:val="26"/>
          <w:szCs w:val="26"/>
        </w:rPr>
        <w:t>802a</w:t>
      </w:r>
      <w:r w:rsidR="00675964">
        <w:rPr>
          <w:sz w:val="26"/>
          <w:szCs w:val="26"/>
        </w:rPr>
        <w:t xml:space="preserve"> that were </w:t>
      </w:r>
      <w:r w:rsidR="00A44570">
        <w:rPr>
          <w:sz w:val="26"/>
          <w:szCs w:val="26"/>
        </w:rPr>
        <w:t xml:space="preserve">originally in Section 69.802. </w:t>
      </w:r>
    </w:p>
    <w:p w14:paraId="0C240857" w14:textId="77777777" w:rsidR="00177A4F" w:rsidRPr="007D2DFA" w:rsidRDefault="00177A4F" w:rsidP="00E92CBF">
      <w:pPr>
        <w:spacing w:line="360" w:lineRule="auto"/>
        <w:ind w:firstLine="720"/>
        <w:rPr>
          <w:sz w:val="26"/>
          <w:szCs w:val="26"/>
        </w:rPr>
      </w:pPr>
    </w:p>
    <w:p w14:paraId="7698AE5C" w14:textId="1BF2DBFC" w:rsidR="0077345B" w:rsidRDefault="00307B8D" w:rsidP="0077345B">
      <w:pPr>
        <w:keepNext/>
        <w:spacing w:line="360" w:lineRule="auto"/>
        <w:ind w:firstLine="720"/>
        <w:rPr>
          <w:b/>
          <w:bCs/>
          <w:sz w:val="26"/>
          <w:szCs w:val="26"/>
        </w:rPr>
      </w:pPr>
      <w:r>
        <w:rPr>
          <w:b/>
          <w:bCs/>
          <w:sz w:val="26"/>
          <w:szCs w:val="26"/>
        </w:rPr>
        <w:t>Remov</w:t>
      </w:r>
      <w:r w:rsidR="00FF3124">
        <w:rPr>
          <w:b/>
          <w:bCs/>
          <w:sz w:val="26"/>
          <w:szCs w:val="26"/>
        </w:rPr>
        <w:t xml:space="preserve">al of </w:t>
      </w:r>
      <w:r w:rsidR="005E011D">
        <w:rPr>
          <w:b/>
          <w:bCs/>
          <w:sz w:val="26"/>
          <w:szCs w:val="26"/>
        </w:rPr>
        <w:t>Outdated Language</w:t>
      </w:r>
    </w:p>
    <w:p w14:paraId="5A65F3EF" w14:textId="09210990" w:rsidR="0077345B" w:rsidRDefault="0077345B" w:rsidP="0077345B">
      <w:pPr>
        <w:spacing w:line="360" w:lineRule="auto"/>
        <w:ind w:firstLine="720"/>
        <w:rPr>
          <w:sz w:val="26"/>
          <w:szCs w:val="26"/>
        </w:rPr>
      </w:pPr>
      <w:r>
        <w:rPr>
          <w:sz w:val="26"/>
          <w:szCs w:val="26"/>
        </w:rPr>
        <w:t xml:space="preserve">The </w:t>
      </w:r>
      <w:r w:rsidR="005E011D">
        <w:rPr>
          <w:sz w:val="26"/>
          <w:szCs w:val="26"/>
        </w:rPr>
        <w:t xml:space="preserve">proposed removal of outdated language was not </w:t>
      </w:r>
      <w:r>
        <w:rPr>
          <w:sz w:val="26"/>
          <w:szCs w:val="26"/>
        </w:rPr>
        <w:t>addressed in the comments.</w:t>
      </w:r>
    </w:p>
    <w:p w14:paraId="144C030D" w14:textId="6FE74F25" w:rsidR="0077345B" w:rsidRDefault="0077345B" w:rsidP="0077345B">
      <w:pPr>
        <w:spacing w:line="360" w:lineRule="auto"/>
        <w:ind w:firstLine="720"/>
        <w:rPr>
          <w:sz w:val="26"/>
          <w:szCs w:val="26"/>
        </w:rPr>
      </w:pPr>
      <w:r>
        <w:rPr>
          <w:sz w:val="26"/>
          <w:szCs w:val="26"/>
        </w:rPr>
        <w:t xml:space="preserve">The Commission </w:t>
      </w:r>
      <w:r w:rsidR="00FF3124">
        <w:rPr>
          <w:sz w:val="26"/>
          <w:szCs w:val="26"/>
        </w:rPr>
        <w:t>no longer has a Bureau of Public Liai</w:t>
      </w:r>
      <w:r w:rsidR="00A13176">
        <w:rPr>
          <w:sz w:val="26"/>
          <w:szCs w:val="26"/>
        </w:rPr>
        <w:t xml:space="preserve">son </w:t>
      </w:r>
      <w:r w:rsidR="003A4BEC">
        <w:rPr>
          <w:sz w:val="26"/>
          <w:szCs w:val="26"/>
        </w:rPr>
        <w:t xml:space="preserve">and an initial reporting year is no longer relevant.  </w:t>
      </w:r>
    </w:p>
    <w:p w14:paraId="7732E56E" w14:textId="36FDF148" w:rsidR="0077345B" w:rsidRDefault="0077345B" w:rsidP="0077345B">
      <w:pPr>
        <w:spacing w:line="360" w:lineRule="auto"/>
        <w:ind w:firstLine="720"/>
        <w:rPr>
          <w:sz w:val="26"/>
          <w:szCs w:val="26"/>
        </w:rPr>
      </w:pPr>
      <w:r>
        <w:rPr>
          <w:b/>
          <w:bCs/>
          <w:sz w:val="26"/>
          <w:szCs w:val="26"/>
        </w:rPr>
        <w:t>Resolution:</w:t>
      </w:r>
      <w:r w:rsidR="001879DC">
        <w:rPr>
          <w:b/>
          <w:bCs/>
          <w:sz w:val="26"/>
          <w:szCs w:val="26"/>
        </w:rPr>
        <w:t xml:space="preserve"> </w:t>
      </w:r>
      <w:r w:rsidR="00FF7E2E">
        <w:rPr>
          <w:sz w:val="26"/>
          <w:szCs w:val="26"/>
        </w:rPr>
        <w:t>Amend</w:t>
      </w:r>
      <w:r w:rsidR="001879DC">
        <w:rPr>
          <w:sz w:val="26"/>
          <w:szCs w:val="26"/>
        </w:rPr>
        <w:t xml:space="preserve"> Section 69.809 to remove references to </w:t>
      </w:r>
      <w:r w:rsidR="0053757E">
        <w:rPr>
          <w:sz w:val="26"/>
          <w:szCs w:val="26"/>
        </w:rPr>
        <w:t xml:space="preserve">the Bureau of Public Liaison and to an initial reporting year. </w:t>
      </w:r>
    </w:p>
    <w:p w14:paraId="3FE599D6" w14:textId="43E51DD6" w:rsidR="004B100B" w:rsidRDefault="004B100B" w:rsidP="00427173">
      <w:pPr>
        <w:keepNext/>
        <w:spacing w:line="360" w:lineRule="auto"/>
        <w:ind w:firstLine="720"/>
        <w:rPr>
          <w:sz w:val="26"/>
          <w:szCs w:val="26"/>
        </w:rPr>
      </w:pPr>
      <w:r w:rsidRPr="00E42319">
        <w:rPr>
          <w:b/>
          <w:bCs/>
          <w:sz w:val="26"/>
          <w:szCs w:val="26"/>
        </w:rPr>
        <w:lastRenderedPageBreak/>
        <w:t>Housekeeping</w:t>
      </w:r>
    </w:p>
    <w:p w14:paraId="47B67063" w14:textId="18934B8F" w:rsidR="00E42319" w:rsidRDefault="00323EB0" w:rsidP="00E42319">
      <w:pPr>
        <w:keepNext/>
        <w:keepLines/>
        <w:spacing w:line="360" w:lineRule="auto"/>
        <w:ind w:firstLine="720"/>
        <w:contextualSpacing/>
        <w:rPr>
          <w:sz w:val="26"/>
          <w:szCs w:val="26"/>
        </w:rPr>
      </w:pPr>
      <w:r>
        <w:rPr>
          <w:sz w:val="26"/>
          <w:szCs w:val="26"/>
        </w:rPr>
        <w:t xml:space="preserve">While we did not address these matters in the Proposed Policy Statement Order, </w:t>
      </w:r>
      <w:r w:rsidR="00737101">
        <w:rPr>
          <w:sz w:val="26"/>
          <w:szCs w:val="26"/>
        </w:rPr>
        <w:t>w</w:t>
      </w:r>
      <w:r w:rsidR="00E42319" w:rsidRPr="00C80D3A">
        <w:rPr>
          <w:sz w:val="26"/>
          <w:szCs w:val="26"/>
        </w:rPr>
        <w:t xml:space="preserve">e are also making several </w:t>
      </w:r>
      <w:r w:rsidR="00A41934">
        <w:rPr>
          <w:sz w:val="26"/>
          <w:szCs w:val="26"/>
        </w:rPr>
        <w:t xml:space="preserve">non-substantive </w:t>
      </w:r>
      <w:r w:rsidR="00E42319" w:rsidRPr="00C80D3A">
        <w:rPr>
          <w:sz w:val="26"/>
          <w:szCs w:val="26"/>
        </w:rPr>
        <w:t xml:space="preserve">housekeeping revisions to the Policy Statement </w:t>
      </w:r>
      <w:r w:rsidR="00737101">
        <w:rPr>
          <w:sz w:val="26"/>
          <w:szCs w:val="26"/>
        </w:rPr>
        <w:t xml:space="preserve">in this Order </w:t>
      </w:r>
      <w:r w:rsidR="00E42319" w:rsidRPr="00C80D3A">
        <w:rPr>
          <w:sz w:val="26"/>
          <w:szCs w:val="26"/>
        </w:rPr>
        <w:t>including:</w:t>
      </w:r>
    </w:p>
    <w:p w14:paraId="65C66332" w14:textId="77777777" w:rsidR="00460698" w:rsidRPr="00C80D3A" w:rsidRDefault="00460698" w:rsidP="00460698">
      <w:pPr>
        <w:keepNext/>
        <w:keepLines/>
        <w:ind w:firstLine="720"/>
        <w:contextualSpacing/>
        <w:rPr>
          <w:sz w:val="26"/>
          <w:szCs w:val="26"/>
        </w:rPr>
      </w:pPr>
    </w:p>
    <w:p w14:paraId="25E1ED5E" w14:textId="698E58F5" w:rsidR="004B100B" w:rsidRDefault="00E42319" w:rsidP="00E42319">
      <w:pPr>
        <w:spacing w:line="360" w:lineRule="auto"/>
        <w:ind w:firstLine="720"/>
        <w:rPr>
          <w:sz w:val="26"/>
          <w:szCs w:val="26"/>
        </w:rPr>
      </w:pPr>
      <w:r w:rsidRPr="00C80D3A">
        <w:rPr>
          <w:sz w:val="26"/>
          <w:szCs w:val="26"/>
        </w:rPr>
        <w:t>Clarify</w:t>
      </w:r>
      <w:r w:rsidR="00A62C99">
        <w:rPr>
          <w:sz w:val="26"/>
          <w:szCs w:val="26"/>
        </w:rPr>
        <w:t xml:space="preserve"> </w:t>
      </w:r>
      <w:r w:rsidR="005A1BD8">
        <w:rPr>
          <w:sz w:val="26"/>
          <w:szCs w:val="26"/>
        </w:rPr>
        <w:t xml:space="preserve">Section 69.801 to describe </w:t>
      </w:r>
      <w:r w:rsidR="00C732BC">
        <w:rPr>
          <w:sz w:val="26"/>
          <w:szCs w:val="26"/>
        </w:rPr>
        <w:t>the basis for the Policy Statement.</w:t>
      </w:r>
    </w:p>
    <w:p w14:paraId="233791A7" w14:textId="0D2305EC" w:rsidR="00E42319" w:rsidRDefault="00E42319" w:rsidP="00E42319">
      <w:pPr>
        <w:spacing w:line="360" w:lineRule="auto"/>
        <w:ind w:firstLine="720"/>
        <w:rPr>
          <w:sz w:val="26"/>
          <w:szCs w:val="26"/>
        </w:rPr>
      </w:pPr>
      <w:r>
        <w:rPr>
          <w:sz w:val="26"/>
          <w:szCs w:val="26"/>
        </w:rPr>
        <w:t>Re</w:t>
      </w:r>
      <w:r w:rsidR="002F1366">
        <w:rPr>
          <w:sz w:val="26"/>
          <w:szCs w:val="26"/>
        </w:rPr>
        <w:t>mov</w:t>
      </w:r>
      <w:r w:rsidR="00591224">
        <w:rPr>
          <w:sz w:val="26"/>
          <w:szCs w:val="26"/>
        </w:rPr>
        <w:t>e</w:t>
      </w:r>
      <w:r w:rsidR="002F1366">
        <w:rPr>
          <w:sz w:val="26"/>
          <w:szCs w:val="26"/>
        </w:rPr>
        <w:t xml:space="preserve"> various extraneous spacing throughout the Policy Statem</w:t>
      </w:r>
      <w:r w:rsidR="00424951">
        <w:rPr>
          <w:sz w:val="26"/>
          <w:szCs w:val="26"/>
        </w:rPr>
        <w:t>e</w:t>
      </w:r>
      <w:r w:rsidR="002F1366">
        <w:rPr>
          <w:sz w:val="26"/>
          <w:szCs w:val="26"/>
        </w:rPr>
        <w:t>nt.</w:t>
      </w:r>
    </w:p>
    <w:p w14:paraId="13A6F2D9" w14:textId="4CFE9946" w:rsidR="00E051DF" w:rsidRDefault="00E051DF" w:rsidP="00E42319">
      <w:pPr>
        <w:spacing w:line="360" w:lineRule="auto"/>
        <w:ind w:firstLine="720"/>
        <w:rPr>
          <w:sz w:val="26"/>
          <w:szCs w:val="26"/>
        </w:rPr>
      </w:pPr>
      <w:r>
        <w:rPr>
          <w:sz w:val="26"/>
          <w:szCs w:val="26"/>
        </w:rPr>
        <w:t>Correct various punctuation errors.</w:t>
      </w:r>
    </w:p>
    <w:p w14:paraId="4C7FB1AC" w14:textId="74A98D72" w:rsidR="00697C08" w:rsidRDefault="00255D4C" w:rsidP="00460698">
      <w:pPr>
        <w:spacing w:line="360" w:lineRule="auto"/>
        <w:ind w:left="720"/>
        <w:rPr>
          <w:sz w:val="26"/>
          <w:szCs w:val="26"/>
        </w:rPr>
      </w:pPr>
      <w:r>
        <w:rPr>
          <w:sz w:val="26"/>
          <w:szCs w:val="26"/>
        </w:rPr>
        <w:t>Maintain c</w:t>
      </w:r>
      <w:r w:rsidR="00697C08">
        <w:rPr>
          <w:sz w:val="26"/>
          <w:szCs w:val="26"/>
        </w:rPr>
        <w:t>onsistent use of the term “major jurisdictional utility company” throughout the policy statement.</w:t>
      </w:r>
    </w:p>
    <w:p w14:paraId="4577B3BC" w14:textId="49F74A8C" w:rsidR="00E42319" w:rsidRDefault="00591224" w:rsidP="00460698">
      <w:pPr>
        <w:spacing w:line="360" w:lineRule="auto"/>
        <w:ind w:left="720"/>
        <w:rPr>
          <w:sz w:val="26"/>
          <w:szCs w:val="26"/>
        </w:rPr>
      </w:pPr>
      <w:r>
        <w:rPr>
          <w:sz w:val="26"/>
          <w:szCs w:val="26"/>
        </w:rPr>
        <w:t xml:space="preserve">Renumber Section </w:t>
      </w:r>
      <w:r w:rsidR="00AC3341">
        <w:rPr>
          <w:sz w:val="26"/>
          <w:szCs w:val="26"/>
        </w:rPr>
        <w:t>69.</w:t>
      </w:r>
      <w:r w:rsidR="002940AF">
        <w:rPr>
          <w:sz w:val="26"/>
          <w:szCs w:val="26"/>
        </w:rPr>
        <w:t>809</w:t>
      </w:r>
      <w:r w:rsidR="00706DC1">
        <w:rPr>
          <w:sz w:val="26"/>
          <w:szCs w:val="26"/>
        </w:rPr>
        <w:t xml:space="preserve">(c) </w:t>
      </w:r>
      <w:r w:rsidR="002940AF">
        <w:rPr>
          <w:sz w:val="26"/>
          <w:szCs w:val="26"/>
        </w:rPr>
        <w:t>a</w:t>
      </w:r>
      <w:r w:rsidR="00706DC1">
        <w:rPr>
          <w:sz w:val="26"/>
          <w:szCs w:val="26"/>
        </w:rPr>
        <w:t>s</w:t>
      </w:r>
      <w:r w:rsidR="002940AF">
        <w:rPr>
          <w:sz w:val="26"/>
          <w:szCs w:val="26"/>
        </w:rPr>
        <w:t xml:space="preserve"> </w:t>
      </w:r>
      <w:r w:rsidR="00AC3341">
        <w:rPr>
          <w:sz w:val="26"/>
          <w:szCs w:val="26"/>
        </w:rPr>
        <w:t>Section 69.</w:t>
      </w:r>
      <w:r w:rsidR="002940AF">
        <w:rPr>
          <w:sz w:val="26"/>
          <w:szCs w:val="26"/>
        </w:rPr>
        <w:t>809</w:t>
      </w:r>
      <w:r w:rsidR="00706DC1">
        <w:rPr>
          <w:sz w:val="26"/>
          <w:szCs w:val="26"/>
        </w:rPr>
        <w:t xml:space="preserve">(b) since there is no </w:t>
      </w:r>
      <w:r w:rsidR="00870501">
        <w:rPr>
          <w:sz w:val="26"/>
          <w:szCs w:val="26"/>
        </w:rPr>
        <w:t>Section</w:t>
      </w:r>
      <w:r w:rsidR="009800DA">
        <w:rPr>
          <w:sz w:val="26"/>
          <w:szCs w:val="26"/>
        </w:rPr>
        <w:t> </w:t>
      </w:r>
      <w:r w:rsidR="00AC3341">
        <w:rPr>
          <w:sz w:val="26"/>
          <w:szCs w:val="26"/>
        </w:rPr>
        <w:t>69.89(b)</w:t>
      </w:r>
      <w:r w:rsidR="00706DC1">
        <w:rPr>
          <w:sz w:val="26"/>
          <w:szCs w:val="26"/>
        </w:rPr>
        <w:t xml:space="preserve">.  </w:t>
      </w:r>
    </w:p>
    <w:p w14:paraId="1069A35A" w14:textId="77777777" w:rsidR="007644F7" w:rsidRDefault="007644F7" w:rsidP="00E42319">
      <w:pPr>
        <w:spacing w:line="360" w:lineRule="auto"/>
        <w:ind w:firstLine="720"/>
        <w:rPr>
          <w:sz w:val="26"/>
          <w:szCs w:val="26"/>
        </w:rPr>
      </w:pPr>
    </w:p>
    <w:p w14:paraId="1779CEA1" w14:textId="238FA271" w:rsidR="009470B0" w:rsidRDefault="007C684C" w:rsidP="00A00202">
      <w:pPr>
        <w:spacing w:line="360" w:lineRule="auto"/>
        <w:ind w:firstLine="720"/>
        <w:rPr>
          <w:b/>
          <w:bCs/>
          <w:sz w:val="26"/>
          <w:szCs w:val="26"/>
        </w:rPr>
      </w:pPr>
      <w:r>
        <w:rPr>
          <w:b/>
          <w:bCs/>
          <w:sz w:val="26"/>
          <w:szCs w:val="26"/>
        </w:rPr>
        <w:t>Tim</w:t>
      </w:r>
      <w:r w:rsidR="0038518F">
        <w:rPr>
          <w:b/>
          <w:bCs/>
          <w:sz w:val="26"/>
          <w:szCs w:val="26"/>
        </w:rPr>
        <w:t>ing</w:t>
      </w:r>
      <w:r>
        <w:rPr>
          <w:b/>
          <w:bCs/>
          <w:sz w:val="26"/>
          <w:szCs w:val="26"/>
        </w:rPr>
        <w:t xml:space="preserve"> of</w:t>
      </w:r>
      <w:r w:rsidRPr="00232F38">
        <w:rPr>
          <w:b/>
          <w:bCs/>
          <w:sz w:val="26"/>
          <w:szCs w:val="26"/>
        </w:rPr>
        <w:t xml:space="preserve"> </w:t>
      </w:r>
      <w:r w:rsidR="00232F38" w:rsidRPr="00232F38">
        <w:rPr>
          <w:b/>
          <w:bCs/>
          <w:sz w:val="26"/>
          <w:szCs w:val="26"/>
        </w:rPr>
        <w:t>Subsequent Rul</w:t>
      </w:r>
      <w:r w:rsidR="00232F38">
        <w:rPr>
          <w:b/>
          <w:bCs/>
          <w:sz w:val="26"/>
          <w:szCs w:val="26"/>
        </w:rPr>
        <w:t>e</w:t>
      </w:r>
      <w:r w:rsidR="00232F38" w:rsidRPr="00232F38">
        <w:rPr>
          <w:b/>
          <w:bCs/>
          <w:sz w:val="26"/>
          <w:szCs w:val="26"/>
        </w:rPr>
        <w:t>making</w:t>
      </w:r>
    </w:p>
    <w:p w14:paraId="096BEC20" w14:textId="286B22A7" w:rsidR="00E83815" w:rsidRDefault="00232F38" w:rsidP="00A00202">
      <w:pPr>
        <w:spacing w:line="360" w:lineRule="auto"/>
        <w:ind w:firstLine="720"/>
        <w:rPr>
          <w:sz w:val="26"/>
          <w:szCs w:val="26"/>
        </w:rPr>
      </w:pPr>
      <w:r>
        <w:rPr>
          <w:sz w:val="26"/>
          <w:szCs w:val="26"/>
        </w:rPr>
        <w:t xml:space="preserve">EAP </w:t>
      </w:r>
      <w:r w:rsidR="004F5146">
        <w:rPr>
          <w:sz w:val="26"/>
          <w:szCs w:val="26"/>
        </w:rPr>
        <w:t>suggested in its comments</w:t>
      </w:r>
      <w:r w:rsidR="00264A3E">
        <w:rPr>
          <w:sz w:val="26"/>
          <w:szCs w:val="26"/>
        </w:rPr>
        <w:t xml:space="preserve">, which First Energy </w:t>
      </w:r>
      <w:r w:rsidR="00AD7048">
        <w:rPr>
          <w:sz w:val="26"/>
          <w:szCs w:val="26"/>
        </w:rPr>
        <w:t xml:space="preserve">and PECO </w:t>
      </w:r>
      <w:r w:rsidR="00891895">
        <w:rPr>
          <w:sz w:val="26"/>
          <w:szCs w:val="26"/>
        </w:rPr>
        <w:t>joined</w:t>
      </w:r>
      <w:r w:rsidR="00AD7048">
        <w:rPr>
          <w:sz w:val="26"/>
          <w:szCs w:val="26"/>
        </w:rPr>
        <w:t>,</w:t>
      </w:r>
      <w:r w:rsidR="004F5146">
        <w:rPr>
          <w:sz w:val="26"/>
          <w:szCs w:val="26"/>
        </w:rPr>
        <w:t xml:space="preserve"> that the Commission should delay entering into a rulemaking </w:t>
      </w:r>
      <w:r w:rsidR="000B5D2D">
        <w:rPr>
          <w:sz w:val="26"/>
          <w:szCs w:val="26"/>
        </w:rPr>
        <w:t xml:space="preserve">for the mandatory diversity reporting </w:t>
      </w:r>
      <w:r w:rsidR="005E575B">
        <w:rPr>
          <w:sz w:val="26"/>
          <w:szCs w:val="26"/>
        </w:rPr>
        <w:t>among major jurisdictional utility companies</w:t>
      </w:r>
      <w:r w:rsidR="006264DB">
        <w:rPr>
          <w:sz w:val="26"/>
          <w:szCs w:val="26"/>
        </w:rPr>
        <w:t xml:space="preserve"> until after the</w:t>
      </w:r>
      <w:r w:rsidR="00720F62">
        <w:rPr>
          <w:sz w:val="26"/>
          <w:szCs w:val="26"/>
        </w:rPr>
        <w:t xml:space="preserve"> Diversity Policy Statement </w:t>
      </w:r>
      <w:r w:rsidR="00A41330">
        <w:rPr>
          <w:sz w:val="26"/>
          <w:szCs w:val="26"/>
        </w:rPr>
        <w:t>a</w:t>
      </w:r>
      <w:r w:rsidR="00720F62" w:rsidRPr="0CA07E42">
        <w:rPr>
          <w:sz w:val="26"/>
          <w:szCs w:val="26"/>
        </w:rPr>
        <w:t>mendment</w:t>
      </w:r>
      <w:r w:rsidR="4AEEB688" w:rsidRPr="0CA07E42">
        <w:rPr>
          <w:sz w:val="26"/>
          <w:szCs w:val="26"/>
        </w:rPr>
        <w:t>s</w:t>
      </w:r>
      <w:r w:rsidR="00720F62">
        <w:rPr>
          <w:sz w:val="26"/>
          <w:szCs w:val="26"/>
        </w:rPr>
        <w:t xml:space="preserve"> are finalized and allow for a period of updated reporting and review before initiating a rulemaking proceeding.</w:t>
      </w:r>
      <w:r w:rsidR="0023058D">
        <w:rPr>
          <w:sz w:val="26"/>
          <w:szCs w:val="26"/>
        </w:rPr>
        <w:t xml:space="preserve">  </w:t>
      </w:r>
    </w:p>
    <w:p w14:paraId="311D3A5C" w14:textId="77777777" w:rsidR="00460698" w:rsidRDefault="00460698" w:rsidP="00A00202">
      <w:pPr>
        <w:spacing w:line="360" w:lineRule="auto"/>
        <w:ind w:firstLine="720"/>
        <w:rPr>
          <w:sz w:val="26"/>
          <w:szCs w:val="26"/>
        </w:rPr>
      </w:pPr>
    </w:p>
    <w:p w14:paraId="79D5968E" w14:textId="2F748AC7" w:rsidR="00232F38" w:rsidRDefault="009213D9" w:rsidP="00A00202">
      <w:pPr>
        <w:spacing w:line="360" w:lineRule="auto"/>
        <w:ind w:firstLine="720"/>
        <w:rPr>
          <w:sz w:val="26"/>
          <w:szCs w:val="26"/>
        </w:rPr>
      </w:pPr>
      <w:r>
        <w:rPr>
          <w:sz w:val="26"/>
          <w:szCs w:val="26"/>
        </w:rPr>
        <w:t>D</w:t>
      </w:r>
      <w:r w:rsidR="0023058D">
        <w:rPr>
          <w:sz w:val="26"/>
          <w:szCs w:val="26"/>
        </w:rPr>
        <w:t xml:space="preserve">elaying </w:t>
      </w:r>
      <w:r w:rsidR="00D15D2E">
        <w:rPr>
          <w:sz w:val="26"/>
          <w:szCs w:val="26"/>
        </w:rPr>
        <w:t xml:space="preserve">the </w:t>
      </w:r>
      <w:r w:rsidR="003874FC">
        <w:rPr>
          <w:sz w:val="26"/>
          <w:szCs w:val="26"/>
        </w:rPr>
        <w:t>anticipated r</w:t>
      </w:r>
      <w:r w:rsidR="00D15D2E">
        <w:rPr>
          <w:sz w:val="26"/>
          <w:szCs w:val="26"/>
        </w:rPr>
        <w:t xml:space="preserve">ulemaking </w:t>
      </w:r>
      <w:r w:rsidR="00AB380A">
        <w:rPr>
          <w:sz w:val="26"/>
          <w:szCs w:val="26"/>
        </w:rPr>
        <w:t>until there has been a period of</w:t>
      </w:r>
      <w:r w:rsidR="00D15D2E">
        <w:rPr>
          <w:sz w:val="26"/>
          <w:szCs w:val="26"/>
        </w:rPr>
        <w:t xml:space="preserve"> voluntary reporting </w:t>
      </w:r>
      <w:r w:rsidR="0096648B">
        <w:rPr>
          <w:sz w:val="26"/>
          <w:szCs w:val="26"/>
        </w:rPr>
        <w:t>under</w:t>
      </w:r>
      <w:r w:rsidR="00A37978" w:rsidDel="0096648B">
        <w:rPr>
          <w:sz w:val="26"/>
          <w:szCs w:val="26"/>
        </w:rPr>
        <w:t xml:space="preserve"> </w:t>
      </w:r>
      <w:r w:rsidR="00A37978">
        <w:rPr>
          <w:sz w:val="26"/>
          <w:szCs w:val="26"/>
        </w:rPr>
        <w:t xml:space="preserve">the final revised policy statement in effect </w:t>
      </w:r>
      <w:r w:rsidR="00984AF9">
        <w:rPr>
          <w:sz w:val="26"/>
          <w:szCs w:val="26"/>
        </w:rPr>
        <w:t xml:space="preserve">is not necessary and </w:t>
      </w:r>
      <w:r w:rsidR="00A37978">
        <w:rPr>
          <w:sz w:val="26"/>
          <w:szCs w:val="26"/>
        </w:rPr>
        <w:t>will</w:t>
      </w:r>
      <w:r w:rsidR="00984AF9">
        <w:rPr>
          <w:sz w:val="26"/>
          <w:szCs w:val="26"/>
        </w:rPr>
        <w:t xml:space="preserve"> not</w:t>
      </w:r>
      <w:r w:rsidR="00A37978">
        <w:rPr>
          <w:sz w:val="26"/>
          <w:szCs w:val="26"/>
        </w:rPr>
        <w:t xml:space="preserve"> serve </w:t>
      </w:r>
      <w:r w:rsidR="00286F1C">
        <w:rPr>
          <w:sz w:val="26"/>
          <w:szCs w:val="26"/>
        </w:rPr>
        <w:t xml:space="preserve">any benefit.  The revisions the Commission has made to the enumerated demographics and their respective definitions </w:t>
      </w:r>
      <w:r w:rsidR="00FC7C89">
        <w:rPr>
          <w:sz w:val="26"/>
          <w:szCs w:val="26"/>
        </w:rPr>
        <w:t xml:space="preserve">align with the </w:t>
      </w:r>
      <w:r w:rsidR="0010728A">
        <w:rPr>
          <w:sz w:val="26"/>
          <w:szCs w:val="26"/>
        </w:rPr>
        <w:t xml:space="preserve">EEO-1 Report’s </w:t>
      </w:r>
      <w:r w:rsidR="00FC7C89">
        <w:rPr>
          <w:sz w:val="26"/>
          <w:szCs w:val="26"/>
        </w:rPr>
        <w:t xml:space="preserve">and DOL’s demographics and definitions which major jurisdictional utility companies </w:t>
      </w:r>
      <w:r w:rsidR="0025578F">
        <w:rPr>
          <w:sz w:val="26"/>
          <w:szCs w:val="26"/>
        </w:rPr>
        <w:t xml:space="preserve">already use to report their diverse employment data.  As such, the Commission does not see a need to delay </w:t>
      </w:r>
      <w:r w:rsidR="00D75DC2">
        <w:rPr>
          <w:sz w:val="26"/>
          <w:szCs w:val="26"/>
        </w:rPr>
        <w:t xml:space="preserve">commencing </w:t>
      </w:r>
      <w:r w:rsidR="0025578F">
        <w:rPr>
          <w:sz w:val="26"/>
          <w:szCs w:val="26"/>
        </w:rPr>
        <w:t>a rulemaking t</w:t>
      </w:r>
      <w:r w:rsidR="005672B3">
        <w:rPr>
          <w:sz w:val="26"/>
          <w:szCs w:val="26"/>
        </w:rPr>
        <w:t xml:space="preserve">his year </w:t>
      </w:r>
      <w:r w:rsidR="00D75DC2">
        <w:rPr>
          <w:sz w:val="26"/>
          <w:szCs w:val="26"/>
        </w:rPr>
        <w:t xml:space="preserve">to </w:t>
      </w:r>
      <w:r w:rsidR="00AA42C2">
        <w:rPr>
          <w:sz w:val="26"/>
          <w:szCs w:val="26"/>
        </w:rPr>
        <w:t>requir</w:t>
      </w:r>
      <w:r w:rsidR="00D75DC2">
        <w:rPr>
          <w:sz w:val="26"/>
          <w:szCs w:val="26"/>
        </w:rPr>
        <w:t>e</w:t>
      </w:r>
      <w:r w:rsidR="005672B3">
        <w:rPr>
          <w:sz w:val="26"/>
          <w:szCs w:val="26"/>
        </w:rPr>
        <w:t xml:space="preserve"> diversity reporting</w:t>
      </w:r>
      <w:r w:rsidR="00AA42C2">
        <w:rPr>
          <w:sz w:val="26"/>
          <w:szCs w:val="26"/>
        </w:rPr>
        <w:t xml:space="preserve"> based upon the </w:t>
      </w:r>
      <w:r w:rsidR="00BF3C8F">
        <w:rPr>
          <w:sz w:val="26"/>
          <w:szCs w:val="26"/>
        </w:rPr>
        <w:t xml:space="preserve">recommended </w:t>
      </w:r>
      <w:r w:rsidR="00AA42C2">
        <w:rPr>
          <w:sz w:val="26"/>
          <w:szCs w:val="26"/>
        </w:rPr>
        <w:t xml:space="preserve">terms and demographics </w:t>
      </w:r>
      <w:r w:rsidR="003E1835">
        <w:rPr>
          <w:sz w:val="26"/>
          <w:szCs w:val="26"/>
        </w:rPr>
        <w:t xml:space="preserve">revised in this </w:t>
      </w:r>
      <w:r w:rsidR="33AED866" w:rsidRPr="0CA07E42">
        <w:rPr>
          <w:sz w:val="26"/>
          <w:szCs w:val="26"/>
        </w:rPr>
        <w:t>F</w:t>
      </w:r>
      <w:r w:rsidR="003E1835" w:rsidRPr="0CA07E42">
        <w:rPr>
          <w:sz w:val="26"/>
          <w:szCs w:val="26"/>
        </w:rPr>
        <w:t xml:space="preserve">inal </w:t>
      </w:r>
      <w:r w:rsidR="71E9565C" w:rsidRPr="0CA07E42">
        <w:rPr>
          <w:sz w:val="26"/>
          <w:szCs w:val="26"/>
        </w:rPr>
        <w:t>P</w:t>
      </w:r>
      <w:r w:rsidR="003E1835" w:rsidRPr="0CA07E42">
        <w:rPr>
          <w:sz w:val="26"/>
          <w:szCs w:val="26"/>
        </w:rPr>
        <w:t xml:space="preserve">olicy </w:t>
      </w:r>
      <w:r w:rsidR="64397186" w:rsidRPr="0CA07E42">
        <w:rPr>
          <w:sz w:val="26"/>
          <w:szCs w:val="26"/>
        </w:rPr>
        <w:t>S</w:t>
      </w:r>
      <w:r w:rsidR="003E1835" w:rsidRPr="0CA07E42">
        <w:rPr>
          <w:sz w:val="26"/>
          <w:szCs w:val="26"/>
        </w:rPr>
        <w:t>tatement</w:t>
      </w:r>
      <w:r w:rsidR="2F7BD1B4" w:rsidRPr="0CA07E42">
        <w:rPr>
          <w:sz w:val="26"/>
          <w:szCs w:val="26"/>
        </w:rPr>
        <w:t xml:space="preserve"> Order</w:t>
      </w:r>
      <w:r w:rsidR="003E1835" w:rsidRPr="0CA07E42">
        <w:rPr>
          <w:sz w:val="26"/>
          <w:szCs w:val="26"/>
        </w:rPr>
        <w:t>.</w:t>
      </w:r>
      <w:r w:rsidR="00D45653">
        <w:rPr>
          <w:sz w:val="26"/>
          <w:szCs w:val="26"/>
        </w:rPr>
        <w:t xml:space="preserve">  The Commission notes that </w:t>
      </w:r>
      <w:r w:rsidR="003D2196">
        <w:rPr>
          <w:sz w:val="26"/>
          <w:szCs w:val="26"/>
        </w:rPr>
        <w:t xml:space="preserve">major jurisdictional utility companies have been reporting their </w:t>
      </w:r>
      <w:r w:rsidR="003D2196">
        <w:rPr>
          <w:sz w:val="26"/>
          <w:szCs w:val="26"/>
        </w:rPr>
        <w:lastRenderedPageBreak/>
        <w:t>diver</w:t>
      </w:r>
      <w:r w:rsidR="006410C8">
        <w:rPr>
          <w:sz w:val="26"/>
          <w:szCs w:val="26"/>
        </w:rPr>
        <w:t>sity demographics since 1995.  The</w:t>
      </w:r>
      <w:r w:rsidR="00E8482D">
        <w:rPr>
          <w:sz w:val="26"/>
          <w:szCs w:val="26"/>
        </w:rPr>
        <w:t xml:space="preserve">refore, </w:t>
      </w:r>
      <w:r w:rsidR="00007E48">
        <w:rPr>
          <w:sz w:val="26"/>
          <w:szCs w:val="26"/>
        </w:rPr>
        <w:t xml:space="preserve">the </w:t>
      </w:r>
      <w:r w:rsidR="002414CD">
        <w:rPr>
          <w:sz w:val="26"/>
          <w:szCs w:val="26"/>
        </w:rPr>
        <w:t>recommended use of more explicit definitions</w:t>
      </w:r>
      <w:r w:rsidR="00256CE7">
        <w:rPr>
          <w:sz w:val="26"/>
          <w:szCs w:val="26"/>
        </w:rPr>
        <w:t xml:space="preserve"> should not </w:t>
      </w:r>
      <w:r w:rsidR="005E1AE8">
        <w:rPr>
          <w:sz w:val="26"/>
          <w:szCs w:val="26"/>
        </w:rPr>
        <w:t xml:space="preserve">impose any </w:t>
      </w:r>
      <w:r w:rsidR="002414CD">
        <w:rPr>
          <w:sz w:val="26"/>
          <w:szCs w:val="26"/>
        </w:rPr>
        <w:t xml:space="preserve">significant </w:t>
      </w:r>
      <w:r w:rsidR="001E1444">
        <w:rPr>
          <w:sz w:val="26"/>
          <w:szCs w:val="26"/>
        </w:rPr>
        <w:t>burden</w:t>
      </w:r>
      <w:r w:rsidR="00D45517">
        <w:rPr>
          <w:sz w:val="26"/>
          <w:szCs w:val="26"/>
        </w:rPr>
        <w:t>.</w:t>
      </w:r>
    </w:p>
    <w:p w14:paraId="4C5A6AFB" w14:textId="77777777" w:rsidR="00B35B31" w:rsidRDefault="00B35B31" w:rsidP="00A00202">
      <w:pPr>
        <w:spacing w:line="360" w:lineRule="auto"/>
        <w:ind w:firstLine="720"/>
        <w:rPr>
          <w:sz w:val="26"/>
          <w:szCs w:val="26"/>
        </w:rPr>
      </w:pPr>
    </w:p>
    <w:p w14:paraId="745E590A" w14:textId="4E6AA32A" w:rsidR="00496B37" w:rsidRPr="0023297A" w:rsidRDefault="00460698" w:rsidP="00CE7A8A">
      <w:pPr>
        <w:keepNext/>
        <w:spacing w:line="360" w:lineRule="auto"/>
        <w:jc w:val="center"/>
        <w:rPr>
          <w:b/>
          <w:sz w:val="26"/>
          <w:szCs w:val="26"/>
        </w:rPr>
      </w:pPr>
      <w:r w:rsidRPr="0023297A">
        <w:rPr>
          <w:b/>
          <w:sz w:val="26"/>
          <w:szCs w:val="26"/>
        </w:rPr>
        <w:t>CONCLUSION</w:t>
      </w:r>
    </w:p>
    <w:p w14:paraId="3E9ABE81" w14:textId="77777777" w:rsidR="00460698" w:rsidRDefault="00B40E48" w:rsidP="00A00202">
      <w:pPr>
        <w:spacing w:line="360" w:lineRule="auto"/>
        <w:ind w:firstLine="720"/>
        <w:rPr>
          <w:sz w:val="26"/>
          <w:szCs w:val="26"/>
        </w:rPr>
      </w:pPr>
      <w:r>
        <w:rPr>
          <w:sz w:val="26"/>
          <w:szCs w:val="26"/>
        </w:rPr>
        <w:t>Accordingly, pursuant to 66 Pa. C.S. §§ 501, 505, 506, and 512, we will adopt as final, the revisions to Section</w:t>
      </w:r>
      <w:r w:rsidR="003E1835">
        <w:rPr>
          <w:sz w:val="26"/>
          <w:szCs w:val="26"/>
        </w:rPr>
        <w:t>s 69.801-69.809</w:t>
      </w:r>
      <w:r>
        <w:rPr>
          <w:sz w:val="26"/>
          <w:szCs w:val="26"/>
        </w:rPr>
        <w:t xml:space="preserve"> as set forth in Annex A, attached hereto</w:t>
      </w:r>
      <w:r w:rsidR="00476713">
        <w:rPr>
          <w:sz w:val="26"/>
          <w:szCs w:val="26"/>
        </w:rPr>
        <w:t>.  W</w:t>
      </w:r>
      <w:r w:rsidR="000C23F4">
        <w:rPr>
          <w:sz w:val="26"/>
          <w:szCs w:val="26"/>
        </w:rPr>
        <w:t>e</w:t>
      </w:r>
      <w:r w:rsidR="00476713" w:rsidRPr="00C80D3A">
        <w:rPr>
          <w:sz w:val="26"/>
          <w:szCs w:val="26"/>
        </w:rPr>
        <w:t xml:space="preserve"> note that any issue, comment, or reply comment requesting a further change to </w:t>
      </w:r>
      <w:r w:rsidR="000C23F4">
        <w:rPr>
          <w:sz w:val="26"/>
          <w:szCs w:val="26"/>
        </w:rPr>
        <w:t>Policy Statement</w:t>
      </w:r>
      <w:r w:rsidR="00476713" w:rsidRPr="00C80D3A">
        <w:rPr>
          <w:sz w:val="26"/>
          <w:szCs w:val="26"/>
        </w:rPr>
        <w:t xml:space="preserve"> or objecting to a possible change, but which we may not have specifically delineated herein, shall be deemed to have been duly considered and denied at this time without further discussion.  The Commission is not required to consider expressly or at length each contention or argument raised by the parties.  </w:t>
      </w:r>
      <w:r w:rsidR="00476713" w:rsidRPr="00C80D3A">
        <w:rPr>
          <w:i/>
          <w:sz w:val="26"/>
          <w:szCs w:val="26"/>
        </w:rPr>
        <w:t>Consolidated Rail Corp. v. Pa. PUC</w:t>
      </w:r>
      <w:r w:rsidR="00476713" w:rsidRPr="00C80D3A">
        <w:rPr>
          <w:sz w:val="26"/>
          <w:szCs w:val="26"/>
        </w:rPr>
        <w:t xml:space="preserve">, 625 A.2d 741 (Pa. Cmwlth. 1993); </w:t>
      </w:r>
      <w:r w:rsidR="00476713" w:rsidRPr="00C80D3A">
        <w:rPr>
          <w:i/>
          <w:sz w:val="26"/>
          <w:szCs w:val="26"/>
        </w:rPr>
        <w:t>see also</w:t>
      </w:r>
      <w:r w:rsidR="00476713" w:rsidRPr="00C80D3A">
        <w:rPr>
          <w:sz w:val="26"/>
          <w:szCs w:val="26"/>
        </w:rPr>
        <w:t xml:space="preserve">, </w:t>
      </w:r>
      <w:r w:rsidR="00476713" w:rsidRPr="00C80D3A">
        <w:rPr>
          <w:i/>
          <w:sz w:val="26"/>
          <w:szCs w:val="26"/>
        </w:rPr>
        <w:t>generally</w:t>
      </w:r>
      <w:r w:rsidR="00476713" w:rsidRPr="00C80D3A">
        <w:rPr>
          <w:sz w:val="26"/>
          <w:szCs w:val="26"/>
        </w:rPr>
        <w:t xml:space="preserve">, </w:t>
      </w:r>
      <w:r w:rsidR="00476713" w:rsidRPr="00C80D3A">
        <w:rPr>
          <w:i/>
          <w:sz w:val="26"/>
          <w:szCs w:val="26"/>
        </w:rPr>
        <w:t>U. of PA v. Pa. PUC</w:t>
      </w:r>
      <w:r w:rsidR="00476713" w:rsidRPr="00C80D3A">
        <w:rPr>
          <w:sz w:val="26"/>
          <w:szCs w:val="26"/>
        </w:rPr>
        <w:t>, 485</w:t>
      </w:r>
      <w:r w:rsidR="00476713">
        <w:rPr>
          <w:sz w:val="26"/>
          <w:szCs w:val="26"/>
        </w:rPr>
        <w:t> </w:t>
      </w:r>
      <w:r w:rsidR="00476713" w:rsidRPr="00C80D3A">
        <w:rPr>
          <w:sz w:val="26"/>
          <w:szCs w:val="26"/>
        </w:rPr>
        <w:t>A.2d 1217 (Pa. Cmwlth. 1984)</w:t>
      </w:r>
      <w:r w:rsidR="00460698">
        <w:rPr>
          <w:sz w:val="26"/>
          <w:szCs w:val="26"/>
        </w:rPr>
        <w:t>.</w:t>
      </w:r>
    </w:p>
    <w:p w14:paraId="66D08396" w14:textId="518B281E" w:rsidR="000E1912" w:rsidRPr="00160E8F" w:rsidRDefault="000900C9" w:rsidP="00460698">
      <w:pPr>
        <w:spacing w:line="360" w:lineRule="auto"/>
        <w:rPr>
          <w:sz w:val="26"/>
          <w:szCs w:val="26"/>
        </w:rPr>
      </w:pPr>
      <w:r w:rsidRPr="00160E8F">
        <w:rPr>
          <w:b/>
          <w:sz w:val="26"/>
          <w:szCs w:val="26"/>
          <w:lang w:bidi="en-US"/>
        </w:rPr>
        <w:t>THEREFORE</w:t>
      </w:r>
      <w:r w:rsidRPr="00160E8F">
        <w:rPr>
          <w:sz w:val="26"/>
          <w:szCs w:val="26"/>
          <w:lang w:bidi="en-US"/>
        </w:rPr>
        <w:t>,</w:t>
      </w:r>
    </w:p>
    <w:p w14:paraId="6854F54B" w14:textId="77777777" w:rsidR="00A00202" w:rsidRPr="00160E8F" w:rsidRDefault="00A00202" w:rsidP="000900C9">
      <w:pPr>
        <w:spacing w:line="360" w:lineRule="auto"/>
        <w:rPr>
          <w:sz w:val="26"/>
          <w:szCs w:val="26"/>
        </w:rPr>
      </w:pPr>
    </w:p>
    <w:p w14:paraId="1E533C5A" w14:textId="77777777" w:rsidR="002B32BD" w:rsidRPr="00160E8F" w:rsidRDefault="007E1866" w:rsidP="000E1912">
      <w:pPr>
        <w:spacing w:line="360" w:lineRule="auto"/>
        <w:ind w:firstLine="720"/>
        <w:rPr>
          <w:b/>
          <w:sz w:val="26"/>
          <w:szCs w:val="26"/>
        </w:rPr>
      </w:pPr>
      <w:r w:rsidRPr="00160E8F">
        <w:rPr>
          <w:b/>
          <w:sz w:val="26"/>
          <w:szCs w:val="26"/>
        </w:rPr>
        <w:t>IT IS ORDERED:</w:t>
      </w:r>
    </w:p>
    <w:p w14:paraId="7A3F1711" w14:textId="77777777" w:rsidR="000E1912" w:rsidRPr="00160E8F" w:rsidRDefault="000E1912" w:rsidP="000E1912">
      <w:pPr>
        <w:spacing w:line="360" w:lineRule="auto"/>
        <w:ind w:firstLine="720"/>
        <w:rPr>
          <w:b/>
          <w:sz w:val="26"/>
          <w:szCs w:val="26"/>
        </w:rPr>
      </w:pPr>
    </w:p>
    <w:p w14:paraId="6164E73A" w14:textId="7DD97CAC" w:rsidR="002B32BD" w:rsidRDefault="002B32BD" w:rsidP="000E1912">
      <w:pPr>
        <w:spacing w:line="360" w:lineRule="auto"/>
        <w:ind w:firstLine="720"/>
        <w:rPr>
          <w:sz w:val="26"/>
          <w:szCs w:val="26"/>
        </w:rPr>
      </w:pPr>
      <w:r w:rsidRPr="00160E8F">
        <w:rPr>
          <w:sz w:val="26"/>
          <w:szCs w:val="26"/>
        </w:rPr>
        <w:t>1.</w:t>
      </w:r>
      <w:r w:rsidRPr="00160E8F">
        <w:rPr>
          <w:sz w:val="26"/>
          <w:szCs w:val="26"/>
        </w:rPr>
        <w:tab/>
      </w:r>
      <w:r w:rsidR="00A018E5" w:rsidRPr="00160E8F">
        <w:rPr>
          <w:sz w:val="26"/>
          <w:szCs w:val="26"/>
        </w:rPr>
        <w:t xml:space="preserve">That the Commission adopt the </w:t>
      </w:r>
      <w:r w:rsidR="4FEF867C" w:rsidRPr="00160E8F">
        <w:rPr>
          <w:sz w:val="26"/>
          <w:szCs w:val="26"/>
        </w:rPr>
        <w:t>F</w:t>
      </w:r>
      <w:r w:rsidR="00A018E5" w:rsidRPr="00160E8F">
        <w:rPr>
          <w:sz w:val="26"/>
          <w:szCs w:val="26"/>
        </w:rPr>
        <w:t xml:space="preserve">inal </w:t>
      </w:r>
      <w:r w:rsidR="66301CAA" w:rsidRPr="00160E8F">
        <w:rPr>
          <w:sz w:val="26"/>
          <w:szCs w:val="26"/>
        </w:rPr>
        <w:t>P</w:t>
      </w:r>
      <w:r w:rsidR="00A018E5" w:rsidRPr="00160E8F">
        <w:rPr>
          <w:sz w:val="26"/>
          <w:szCs w:val="26"/>
        </w:rPr>
        <w:t xml:space="preserve">olicy </w:t>
      </w:r>
      <w:r w:rsidR="41F1E28F" w:rsidRPr="00160E8F">
        <w:rPr>
          <w:sz w:val="26"/>
          <w:szCs w:val="26"/>
        </w:rPr>
        <w:t>S</w:t>
      </w:r>
      <w:r w:rsidR="00160E8F" w:rsidRPr="00160E8F">
        <w:rPr>
          <w:sz w:val="26"/>
          <w:szCs w:val="26"/>
        </w:rPr>
        <w:t>tatement as set forth in Annex </w:t>
      </w:r>
      <w:r w:rsidR="00A018E5" w:rsidRPr="00160E8F">
        <w:rPr>
          <w:sz w:val="26"/>
          <w:szCs w:val="26"/>
        </w:rPr>
        <w:t>A</w:t>
      </w:r>
      <w:r w:rsidR="00446A09">
        <w:rPr>
          <w:sz w:val="26"/>
          <w:szCs w:val="26"/>
        </w:rPr>
        <w:t xml:space="preserve"> to this Orde</w:t>
      </w:r>
      <w:r w:rsidR="00D072BA">
        <w:rPr>
          <w:sz w:val="26"/>
          <w:szCs w:val="26"/>
        </w:rPr>
        <w:t>r</w:t>
      </w:r>
      <w:r w:rsidR="00A018E5" w:rsidRPr="00160E8F">
        <w:rPr>
          <w:sz w:val="26"/>
          <w:szCs w:val="26"/>
        </w:rPr>
        <w:t>.</w:t>
      </w:r>
    </w:p>
    <w:p w14:paraId="7707863E" w14:textId="77777777" w:rsidR="005802AD" w:rsidRPr="00160E8F" w:rsidRDefault="005802AD" w:rsidP="000E1912">
      <w:pPr>
        <w:spacing w:line="360" w:lineRule="auto"/>
        <w:ind w:firstLine="720"/>
        <w:rPr>
          <w:sz w:val="26"/>
          <w:szCs w:val="26"/>
        </w:rPr>
      </w:pPr>
    </w:p>
    <w:p w14:paraId="6777DD6D" w14:textId="1B90D217" w:rsidR="00320094" w:rsidRPr="00160E8F" w:rsidRDefault="00E61968" w:rsidP="000E1912">
      <w:pPr>
        <w:spacing w:line="360" w:lineRule="auto"/>
        <w:ind w:firstLine="720"/>
        <w:rPr>
          <w:sz w:val="26"/>
          <w:szCs w:val="26"/>
        </w:rPr>
      </w:pPr>
      <w:r w:rsidRPr="00160E8F">
        <w:rPr>
          <w:sz w:val="26"/>
          <w:szCs w:val="26"/>
        </w:rPr>
        <w:t>2.</w:t>
      </w:r>
      <w:r w:rsidRPr="00160E8F">
        <w:rPr>
          <w:sz w:val="26"/>
          <w:szCs w:val="26"/>
        </w:rPr>
        <w:tab/>
      </w:r>
      <w:r w:rsidR="00A018E5" w:rsidRPr="00160E8F">
        <w:rPr>
          <w:sz w:val="26"/>
          <w:szCs w:val="26"/>
        </w:rPr>
        <w:t xml:space="preserve">That the </w:t>
      </w:r>
      <w:r w:rsidR="00B40E48">
        <w:rPr>
          <w:sz w:val="26"/>
          <w:szCs w:val="26"/>
        </w:rPr>
        <w:t>Law Bureau</w:t>
      </w:r>
      <w:r w:rsidR="00A018E5" w:rsidRPr="00160E8F">
        <w:rPr>
          <w:sz w:val="26"/>
          <w:szCs w:val="26"/>
        </w:rPr>
        <w:t xml:space="preserve"> shall </w:t>
      </w:r>
      <w:r w:rsidR="00347AE7">
        <w:rPr>
          <w:sz w:val="26"/>
          <w:szCs w:val="26"/>
        </w:rPr>
        <w:t>deposit</w:t>
      </w:r>
      <w:r w:rsidR="00A018E5" w:rsidRPr="00160E8F">
        <w:rPr>
          <w:sz w:val="26"/>
          <w:szCs w:val="26"/>
        </w:rPr>
        <w:t xml:space="preserve"> this </w:t>
      </w:r>
      <w:r w:rsidR="42EAF862" w:rsidRPr="00160E8F">
        <w:rPr>
          <w:sz w:val="26"/>
          <w:szCs w:val="26"/>
        </w:rPr>
        <w:t>O</w:t>
      </w:r>
      <w:r w:rsidR="00A018E5" w:rsidRPr="00160E8F">
        <w:rPr>
          <w:sz w:val="26"/>
          <w:szCs w:val="26"/>
        </w:rPr>
        <w:t xml:space="preserve">rder and Annex A with the Legislative Reference Bureau for publication in the </w:t>
      </w:r>
      <w:r w:rsidR="00A018E5" w:rsidRPr="00160E8F">
        <w:rPr>
          <w:i/>
          <w:sz w:val="26"/>
          <w:szCs w:val="26"/>
        </w:rPr>
        <w:t>Pennsylvania Bulletin</w:t>
      </w:r>
      <w:r w:rsidR="00A018E5" w:rsidRPr="00160E8F">
        <w:rPr>
          <w:sz w:val="26"/>
          <w:szCs w:val="26"/>
        </w:rPr>
        <w:t>.</w:t>
      </w:r>
    </w:p>
    <w:p w14:paraId="7C76973B" w14:textId="77777777" w:rsidR="000E1912" w:rsidRPr="00160E8F" w:rsidRDefault="000E1912" w:rsidP="000E1912">
      <w:pPr>
        <w:spacing w:line="360" w:lineRule="auto"/>
        <w:ind w:firstLine="720"/>
        <w:rPr>
          <w:sz w:val="26"/>
          <w:szCs w:val="26"/>
        </w:rPr>
      </w:pPr>
    </w:p>
    <w:p w14:paraId="6C949D34" w14:textId="3F8EC14E" w:rsidR="00D44CF1" w:rsidRDefault="00F65343" w:rsidP="000E1912">
      <w:pPr>
        <w:spacing w:line="360" w:lineRule="auto"/>
        <w:ind w:firstLine="720"/>
        <w:rPr>
          <w:sz w:val="26"/>
          <w:szCs w:val="26"/>
        </w:rPr>
      </w:pPr>
      <w:r>
        <w:rPr>
          <w:sz w:val="26"/>
          <w:szCs w:val="26"/>
        </w:rPr>
        <w:t>3</w:t>
      </w:r>
      <w:r w:rsidR="00E61968" w:rsidRPr="00160E8F">
        <w:rPr>
          <w:sz w:val="26"/>
          <w:szCs w:val="26"/>
        </w:rPr>
        <w:t>.</w:t>
      </w:r>
      <w:r w:rsidR="002B32BD" w:rsidRPr="00160E8F">
        <w:rPr>
          <w:sz w:val="26"/>
          <w:szCs w:val="26"/>
        </w:rPr>
        <w:tab/>
      </w:r>
      <w:r w:rsidR="00A018E5" w:rsidRPr="00160E8F">
        <w:rPr>
          <w:sz w:val="26"/>
          <w:szCs w:val="26"/>
        </w:rPr>
        <w:t xml:space="preserve">That this </w:t>
      </w:r>
      <w:r w:rsidR="00F31636">
        <w:rPr>
          <w:sz w:val="26"/>
          <w:szCs w:val="26"/>
        </w:rPr>
        <w:t>P</w:t>
      </w:r>
      <w:r w:rsidR="00A018E5" w:rsidRPr="00160E8F">
        <w:rPr>
          <w:sz w:val="26"/>
          <w:szCs w:val="26"/>
        </w:rPr>
        <w:t xml:space="preserve">olicy </w:t>
      </w:r>
      <w:r w:rsidR="00E010A7">
        <w:rPr>
          <w:sz w:val="26"/>
          <w:szCs w:val="26"/>
        </w:rPr>
        <w:t>S</w:t>
      </w:r>
      <w:r w:rsidR="00A018E5" w:rsidRPr="00160E8F">
        <w:rPr>
          <w:sz w:val="26"/>
          <w:szCs w:val="26"/>
        </w:rPr>
        <w:t xml:space="preserve">tatement shall become effective upon publication in the </w:t>
      </w:r>
      <w:r w:rsidR="00A018E5" w:rsidRPr="00160E8F">
        <w:rPr>
          <w:i/>
          <w:sz w:val="26"/>
          <w:szCs w:val="26"/>
        </w:rPr>
        <w:t>Pennsylvania Bulletin</w:t>
      </w:r>
      <w:r w:rsidR="00A018E5" w:rsidRPr="00160E8F">
        <w:rPr>
          <w:sz w:val="26"/>
          <w:szCs w:val="26"/>
        </w:rPr>
        <w:t>.</w:t>
      </w:r>
    </w:p>
    <w:p w14:paraId="1C5FCDF4" w14:textId="77777777" w:rsidR="00BD0564" w:rsidRPr="00160E8F" w:rsidRDefault="00BD0564" w:rsidP="000E1912">
      <w:pPr>
        <w:spacing w:line="360" w:lineRule="auto"/>
        <w:ind w:firstLine="720"/>
        <w:rPr>
          <w:sz w:val="26"/>
          <w:szCs w:val="26"/>
        </w:rPr>
      </w:pPr>
    </w:p>
    <w:p w14:paraId="226CB913" w14:textId="0FD206A9" w:rsidR="000A2553" w:rsidRDefault="00F65343" w:rsidP="000E1912">
      <w:pPr>
        <w:spacing w:line="360" w:lineRule="auto"/>
        <w:ind w:firstLine="720"/>
        <w:rPr>
          <w:sz w:val="26"/>
          <w:szCs w:val="26"/>
        </w:rPr>
      </w:pPr>
      <w:r>
        <w:rPr>
          <w:sz w:val="26"/>
          <w:szCs w:val="26"/>
        </w:rPr>
        <w:t>4</w:t>
      </w:r>
      <w:r w:rsidR="00284D14" w:rsidRPr="00160E8F">
        <w:rPr>
          <w:sz w:val="26"/>
          <w:szCs w:val="26"/>
        </w:rPr>
        <w:t>.</w:t>
      </w:r>
      <w:r w:rsidR="00284D14" w:rsidRPr="00160E8F">
        <w:rPr>
          <w:sz w:val="26"/>
          <w:szCs w:val="26"/>
        </w:rPr>
        <w:tab/>
      </w:r>
      <w:r w:rsidR="00A018E5" w:rsidRPr="00160E8F">
        <w:rPr>
          <w:sz w:val="26"/>
          <w:szCs w:val="26"/>
        </w:rPr>
        <w:t>That this Final Order and Annex A be posted on the Commission’s website.</w:t>
      </w:r>
    </w:p>
    <w:p w14:paraId="4004C08E" w14:textId="77777777" w:rsidR="00E77C74" w:rsidRPr="00160E8F" w:rsidRDefault="00E77C74" w:rsidP="000E1912">
      <w:pPr>
        <w:spacing w:line="360" w:lineRule="auto"/>
        <w:ind w:firstLine="720"/>
        <w:rPr>
          <w:sz w:val="26"/>
          <w:szCs w:val="26"/>
        </w:rPr>
      </w:pPr>
    </w:p>
    <w:p w14:paraId="09433B64" w14:textId="36A6CCBA" w:rsidR="008F72FB" w:rsidRDefault="008F72FB" w:rsidP="008F72FB">
      <w:pPr>
        <w:spacing w:line="360" w:lineRule="auto"/>
        <w:ind w:right="288" w:firstLine="720"/>
        <w:rPr>
          <w:sz w:val="26"/>
          <w:szCs w:val="26"/>
        </w:rPr>
      </w:pPr>
      <w:r>
        <w:rPr>
          <w:sz w:val="26"/>
          <w:szCs w:val="26"/>
        </w:rPr>
        <w:lastRenderedPageBreak/>
        <w:t>5</w:t>
      </w:r>
      <w:r w:rsidR="006D1CF4" w:rsidRPr="00160E8F">
        <w:rPr>
          <w:sz w:val="26"/>
          <w:szCs w:val="26"/>
        </w:rPr>
        <w:t>.</w:t>
      </w:r>
      <w:r w:rsidR="000A2553" w:rsidRPr="00160E8F">
        <w:rPr>
          <w:sz w:val="26"/>
          <w:szCs w:val="26"/>
        </w:rPr>
        <w:tab/>
        <w:t>That the contact person</w:t>
      </w:r>
      <w:r w:rsidR="008347AD">
        <w:rPr>
          <w:sz w:val="26"/>
          <w:szCs w:val="26"/>
        </w:rPr>
        <w:t>s</w:t>
      </w:r>
      <w:r w:rsidR="008B3592" w:rsidRPr="00160E8F">
        <w:rPr>
          <w:sz w:val="26"/>
          <w:szCs w:val="26"/>
        </w:rPr>
        <w:t xml:space="preserve"> </w:t>
      </w:r>
      <w:r w:rsidR="00570A0C">
        <w:rPr>
          <w:sz w:val="26"/>
          <w:szCs w:val="26"/>
        </w:rPr>
        <w:t>for this matter are</w:t>
      </w:r>
      <w:r w:rsidR="000A2553" w:rsidRPr="00160E8F">
        <w:rPr>
          <w:sz w:val="26"/>
          <w:szCs w:val="26"/>
        </w:rPr>
        <w:t xml:space="preserve"> </w:t>
      </w:r>
      <w:r w:rsidR="008347AD" w:rsidRPr="00A460CD">
        <w:rPr>
          <w:sz w:val="26"/>
          <w:szCs w:val="26"/>
        </w:rPr>
        <w:t>Joseph P. Cardinale, Jr., Assistant Counsel, Law Bureau</w:t>
      </w:r>
      <w:r w:rsidR="00560827">
        <w:rPr>
          <w:sz w:val="26"/>
          <w:szCs w:val="26"/>
        </w:rPr>
        <w:t>,</w:t>
      </w:r>
      <w:r w:rsidR="008347AD" w:rsidRPr="00A460CD">
        <w:rPr>
          <w:sz w:val="26"/>
          <w:szCs w:val="26"/>
        </w:rPr>
        <w:t xml:space="preserve"> 717</w:t>
      </w:r>
      <w:r w:rsidR="00F56072">
        <w:rPr>
          <w:sz w:val="26"/>
          <w:szCs w:val="26"/>
        </w:rPr>
        <w:t>-</w:t>
      </w:r>
      <w:r w:rsidR="008347AD" w:rsidRPr="00A460CD">
        <w:rPr>
          <w:sz w:val="26"/>
          <w:szCs w:val="26"/>
        </w:rPr>
        <w:t>787-5558, jcardinale@pa.gov</w:t>
      </w:r>
      <w:r w:rsidR="00CD4EE4">
        <w:rPr>
          <w:sz w:val="26"/>
          <w:szCs w:val="26"/>
        </w:rPr>
        <w:t>,</w:t>
      </w:r>
      <w:r w:rsidR="008347AD">
        <w:rPr>
          <w:sz w:val="26"/>
          <w:szCs w:val="26"/>
        </w:rPr>
        <w:t xml:space="preserve"> </w:t>
      </w:r>
      <w:r w:rsidR="00564447">
        <w:rPr>
          <w:sz w:val="26"/>
          <w:szCs w:val="26"/>
        </w:rPr>
        <w:t xml:space="preserve">and </w:t>
      </w:r>
      <w:r w:rsidR="00A123CB" w:rsidRPr="00A460CD">
        <w:rPr>
          <w:sz w:val="26"/>
          <w:szCs w:val="26"/>
        </w:rPr>
        <w:t>Rhonda L. Daviston, Assistant Counsel, Law Bureau, 717</w:t>
      </w:r>
      <w:r w:rsidR="00F56072">
        <w:rPr>
          <w:sz w:val="26"/>
          <w:szCs w:val="26"/>
        </w:rPr>
        <w:t>-</w:t>
      </w:r>
      <w:r w:rsidR="00A123CB" w:rsidRPr="00A460CD">
        <w:rPr>
          <w:sz w:val="26"/>
          <w:szCs w:val="26"/>
        </w:rPr>
        <w:t>787-6166, rdaviston@pa.gov</w:t>
      </w:r>
      <w:r w:rsidR="00F60C39" w:rsidRPr="00160E8F">
        <w:rPr>
          <w:sz w:val="26"/>
          <w:szCs w:val="26"/>
        </w:rPr>
        <w:t>.</w:t>
      </w:r>
      <w:r w:rsidR="000A2553" w:rsidRPr="00160E8F">
        <w:rPr>
          <w:sz w:val="26"/>
          <w:szCs w:val="26"/>
        </w:rPr>
        <w:t xml:space="preserve">  </w:t>
      </w:r>
      <w:bookmarkStart w:id="0" w:name="_Hlk18499034"/>
      <w:r w:rsidRPr="00BA1619">
        <w:rPr>
          <w:sz w:val="26"/>
          <w:szCs w:val="26"/>
        </w:rPr>
        <w:t xml:space="preserve">Alternate formats of this document are available to persons with disabilities and may be obtained by contacting </w:t>
      </w:r>
      <w:r w:rsidR="00E940CC">
        <w:rPr>
          <w:sz w:val="26"/>
          <w:szCs w:val="26"/>
        </w:rPr>
        <w:t>the Commission’s</w:t>
      </w:r>
      <w:r w:rsidRPr="00BA1619">
        <w:rPr>
          <w:sz w:val="26"/>
          <w:szCs w:val="26"/>
        </w:rPr>
        <w:t xml:space="preserve"> Law Bureau</w:t>
      </w:r>
      <w:bookmarkEnd w:id="0"/>
      <w:r w:rsidR="627326A4" w:rsidRPr="00BA1619">
        <w:rPr>
          <w:sz w:val="26"/>
          <w:szCs w:val="26"/>
        </w:rPr>
        <w:t>,</w:t>
      </w:r>
      <w:r w:rsidR="0BA28A53" w:rsidRPr="00BA1619">
        <w:rPr>
          <w:sz w:val="26"/>
          <w:szCs w:val="26"/>
        </w:rPr>
        <w:t xml:space="preserve"> </w:t>
      </w:r>
      <w:r w:rsidRPr="0CA07E42" w:rsidDel="008F72FB">
        <w:rPr>
          <w:sz w:val="26"/>
          <w:szCs w:val="26"/>
        </w:rPr>
        <w:t>717</w:t>
      </w:r>
      <w:r w:rsidR="00F56072">
        <w:rPr>
          <w:sz w:val="26"/>
          <w:szCs w:val="26"/>
        </w:rPr>
        <w:t>-</w:t>
      </w:r>
      <w:r w:rsidR="0BA28A53" w:rsidRPr="00BA1619">
        <w:rPr>
          <w:sz w:val="26"/>
          <w:szCs w:val="26"/>
        </w:rPr>
        <w:t>787-5000</w:t>
      </w:r>
      <w:r w:rsidR="627326A4" w:rsidRPr="00BA1619">
        <w:rPr>
          <w:sz w:val="26"/>
          <w:szCs w:val="26"/>
        </w:rPr>
        <w:t>.</w:t>
      </w:r>
    </w:p>
    <w:p w14:paraId="0BAD723D" w14:textId="734A1BBB" w:rsidR="000E1912" w:rsidRPr="00160E8F" w:rsidRDefault="000E1912" w:rsidP="008F72FB">
      <w:pPr>
        <w:spacing w:line="360" w:lineRule="auto"/>
        <w:ind w:firstLine="720"/>
        <w:rPr>
          <w:b/>
          <w:sz w:val="26"/>
          <w:szCs w:val="26"/>
        </w:rPr>
      </w:pPr>
    </w:p>
    <w:p w14:paraId="18045844" w14:textId="77D72EE4" w:rsidR="007E1866" w:rsidRPr="00160E8F" w:rsidRDefault="007E558F" w:rsidP="005802AD">
      <w:pPr>
        <w:ind w:left="5040"/>
        <w:rPr>
          <w:sz w:val="26"/>
          <w:szCs w:val="26"/>
        </w:rPr>
      </w:pPr>
      <w:r w:rsidRPr="009F01BA">
        <w:rPr>
          <w:b/>
          <w:noProof/>
          <w:sz w:val="20"/>
          <w:szCs w:val="20"/>
        </w:rPr>
        <w:drawing>
          <wp:anchor distT="0" distB="0" distL="114300" distR="114300" simplePos="0" relativeHeight="251659264" behindDoc="1" locked="0" layoutInCell="1" allowOverlap="1" wp14:anchorId="5A5D8EC3" wp14:editId="73E095B4">
            <wp:simplePos x="0" y="0"/>
            <wp:positionH relativeFrom="column">
              <wp:posOffset>2962275</wp:posOffset>
            </wp:positionH>
            <wp:positionV relativeFrom="paragraph">
              <wp:posOffset>74930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E1866" w:rsidRPr="00160E8F">
        <w:rPr>
          <w:b/>
          <w:sz w:val="26"/>
          <w:szCs w:val="26"/>
        </w:rPr>
        <w:t>BY THE COMMISSION</w:t>
      </w:r>
      <w:r w:rsidR="007E1866" w:rsidRPr="00160E8F">
        <w:rPr>
          <w:sz w:val="26"/>
          <w:szCs w:val="26"/>
        </w:rPr>
        <w:t>,</w:t>
      </w:r>
    </w:p>
    <w:p w14:paraId="79BAF4D4" w14:textId="3BF66D98" w:rsidR="007E1866" w:rsidRPr="00160E8F" w:rsidRDefault="007E1866" w:rsidP="005802AD">
      <w:pPr>
        <w:jc w:val="center"/>
        <w:rPr>
          <w:sz w:val="26"/>
          <w:szCs w:val="26"/>
        </w:rPr>
      </w:pPr>
    </w:p>
    <w:p w14:paraId="144F57D6" w14:textId="77777777" w:rsidR="007E1866" w:rsidRDefault="007E1866" w:rsidP="005802AD">
      <w:pPr>
        <w:jc w:val="center"/>
        <w:rPr>
          <w:sz w:val="26"/>
          <w:szCs w:val="26"/>
        </w:rPr>
      </w:pPr>
    </w:p>
    <w:p w14:paraId="42E97918" w14:textId="77777777" w:rsidR="005802AD" w:rsidRPr="00160E8F" w:rsidRDefault="005802AD" w:rsidP="005802AD">
      <w:pPr>
        <w:jc w:val="center"/>
        <w:rPr>
          <w:sz w:val="26"/>
          <w:szCs w:val="26"/>
        </w:rPr>
      </w:pPr>
    </w:p>
    <w:p w14:paraId="11D76B15" w14:textId="7E5854EA" w:rsidR="007E1866" w:rsidRPr="00160E8F" w:rsidRDefault="005566CE" w:rsidP="00F87127">
      <w:pPr>
        <w:ind w:left="5040"/>
        <w:rPr>
          <w:sz w:val="26"/>
          <w:szCs w:val="26"/>
        </w:rPr>
      </w:pPr>
      <w:r w:rsidRPr="00160E8F">
        <w:rPr>
          <w:sz w:val="26"/>
          <w:szCs w:val="26"/>
        </w:rPr>
        <w:t>Rosemary Chiavetta</w:t>
      </w:r>
      <w:r w:rsidR="007E1866" w:rsidRPr="00160E8F">
        <w:rPr>
          <w:sz w:val="26"/>
          <w:szCs w:val="26"/>
        </w:rPr>
        <w:t>,</w:t>
      </w:r>
    </w:p>
    <w:p w14:paraId="1033C48C" w14:textId="50C1F647" w:rsidR="0018219E" w:rsidRPr="00160E8F" w:rsidRDefault="007E1866" w:rsidP="00F87127">
      <w:pPr>
        <w:ind w:left="5040"/>
        <w:rPr>
          <w:sz w:val="26"/>
          <w:szCs w:val="26"/>
        </w:rPr>
      </w:pPr>
      <w:r w:rsidRPr="00160E8F">
        <w:rPr>
          <w:sz w:val="26"/>
          <w:szCs w:val="26"/>
        </w:rPr>
        <w:t>Secretary</w:t>
      </w:r>
    </w:p>
    <w:p w14:paraId="2D07E004" w14:textId="77777777" w:rsidR="007E2E41" w:rsidRPr="00160E8F" w:rsidRDefault="007E2E41" w:rsidP="005802AD">
      <w:pPr>
        <w:rPr>
          <w:sz w:val="26"/>
          <w:szCs w:val="26"/>
        </w:rPr>
      </w:pPr>
    </w:p>
    <w:p w14:paraId="2229B2ED" w14:textId="77777777" w:rsidR="005802AD" w:rsidRDefault="005802AD" w:rsidP="005802AD">
      <w:pPr>
        <w:rPr>
          <w:sz w:val="26"/>
          <w:szCs w:val="26"/>
        </w:rPr>
      </w:pPr>
    </w:p>
    <w:p w14:paraId="34C1EDCA" w14:textId="77777777" w:rsidR="00B71F65" w:rsidRDefault="00217763" w:rsidP="005802AD">
      <w:pPr>
        <w:rPr>
          <w:sz w:val="26"/>
          <w:szCs w:val="26"/>
        </w:rPr>
      </w:pPr>
      <w:r w:rsidRPr="00160E8F">
        <w:rPr>
          <w:sz w:val="26"/>
          <w:szCs w:val="26"/>
        </w:rPr>
        <w:t>(SEAL)</w:t>
      </w:r>
    </w:p>
    <w:p w14:paraId="0ECC20FF" w14:textId="77777777" w:rsidR="005802AD" w:rsidRPr="00160E8F" w:rsidRDefault="005802AD" w:rsidP="005802AD">
      <w:pPr>
        <w:rPr>
          <w:sz w:val="26"/>
          <w:szCs w:val="26"/>
        </w:rPr>
      </w:pPr>
    </w:p>
    <w:p w14:paraId="481A9C78" w14:textId="77D634B6" w:rsidR="007E1866" w:rsidRDefault="007E1866" w:rsidP="005802AD">
      <w:pPr>
        <w:rPr>
          <w:sz w:val="26"/>
          <w:szCs w:val="26"/>
        </w:rPr>
      </w:pPr>
      <w:r w:rsidRPr="00160E8F">
        <w:rPr>
          <w:sz w:val="26"/>
          <w:szCs w:val="26"/>
        </w:rPr>
        <w:t>ORDER ADOPTED:</w:t>
      </w:r>
      <w:r w:rsidR="00182F8A" w:rsidRPr="00160E8F">
        <w:rPr>
          <w:sz w:val="26"/>
          <w:szCs w:val="26"/>
        </w:rPr>
        <w:t xml:space="preserve">  </w:t>
      </w:r>
      <w:r w:rsidR="004D1BCC">
        <w:rPr>
          <w:sz w:val="26"/>
          <w:szCs w:val="26"/>
        </w:rPr>
        <w:t>December 3, 2020</w:t>
      </w:r>
    </w:p>
    <w:p w14:paraId="3FF18C86" w14:textId="77777777" w:rsidR="005802AD" w:rsidRPr="00160E8F" w:rsidRDefault="005802AD" w:rsidP="005802AD">
      <w:pPr>
        <w:rPr>
          <w:sz w:val="26"/>
          <w:szCs w:val="26"/>
        </w:rPr>
      </w:pPr>
    </w:p>
    <w:p w14:paraId="20D70065" w14:textId="1F9EC8D5" w:rsidR="00205862" w:rsidRDefault="007E1866" w:rsidP="005802AD">
      <w:pPr>
        <w:rPr>
          <w:sz w:val="26"/>
          <w:szCs w:val="26"/>
        </w:rPr>
        <w:sectPr w:rsidR="00205862" w:rsidSect="000D472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r w:rsidRPr="00160E8F">
        <w:rPr>
          <w:sz w:val="26"/>
          <w:szCs w:val="26"/>
        </w:rPr>
        <w:t>ORDER ENTERED:</w:t>
      </w:r>
      <w:r w:rsidR="005F5E73" w:rsidRPr="00160E8F">
        <w:rPr>
          <w:sz w:val="26"/>
          <w:szCs w:val="26"/>
        </w:rPr>
        <w:t xml:space="preserve"> </w:t>
      </w:r>
      <w:r w:rsidR="006A16FB" w:rsidRPr="00160E8F">
        <w:rPr>
          <w:sz w:val="26"/>
          <w:szCs w:val="26"/>
        </w:rPr>
        <w:t xml:space="preserve"> </w:t>
      </w:r>
      <w:r w:rsidR="007E558F">
        <w:rPr>
          <w:sz w:val="26"/>
          <w:szCs w:val="26"/>
        </w:rPr>
        <w:t>December 3, 2020</w:t>
      </w:r>
    </w:p>
    <w:p w14:paraId="1E4C4008" w14:textId="77777777" w:rsidR="00BE4802" w:rsidRDefault="00BE4802" w:rsidP="005802AD">
      <w:pPr>
        <w:rPr>
          <w:sz w:val="26"/>
          <w:szCs w:val="26"/>
        </w:rPr>
      </w:pPr>
    </w:p>
    <w:p w14:paraId="014C02CC" w14:textId="77777777" w:rsidR="00764B0F" w:rsidRDefault="00764B0F" w:rsidP="005802AD">
      <w:pPr>
        <w:rPr>
          <w:sz w:val="26"/>
          <w:szCs w:val="26"/>
        </w:rPr>
      </w:pPr>
    </w:p>
    <w:p w14:paraId="088874EA" w14:textId="77777777" w:rsidR="00764B0F" w:rsidRDefault="00764B0F" w:rsidP="005802AD">
      <w:pPr>
        <w:rPr>
          <w:sz w:val="26"/>
          <w:szCs w:val="26"/>
        </w:rPr>
      </w:pPr>
    </w:p>
    <w:p w14:paraId="1AF96FE2" w14:textId="77777777" w:rsidR="00764B0F" w:rsidRPr="00460698" w:rsidRDefault="00764B0F" w:rsidP="00764B0F">
      <w:pPr>
        <w:jc w:val="center"/>
        <w:rPr>
          <w:b/>
          <w:bCs/>
          <w:sz w:val="40"/>
          <w:szCs w:val="40"/>
        </w:rPr>
      </w:pPr>
      <w:r w:rsidRPr="00460698">
        <w:rPr>
          <w:b/>
          <w:bCs/>
          <w:sz w:val="40"/>
          <w:szCs w:val="40"/>
        </w:rPr>
        <w:t>Appendix A</w:t>
      </w:r>
    </w:p>
    <w:p w14:paraId="6E45FF40" w14:textId="77777777" w:rsidR="00764B0F" w:rsidRDefault="00764B0F" w:rsidP="00764B0F">
      <w:pPr>
        <w:jc w:val="center"/>
        <w:rPr>
          <w:rFonts w:asciiTheme="minorHAnsi" w:hAnsiTheme="minorHAnsi" w:cstheme="minorBidi"/>
        </w:rPr>
      </w:pPr>
    </w:p>
    <w:p w14:paraId="0E5E2567" w14:textId="77777777" w:rsidR="00764B0F" w:rsidRDefault="00764B0F" w:rsidP="00764B0F">
      <w:pPr>
        <w:jc w:val="center"/>
        <w:rPr>
          <w:b/>
          <w:sz w:val="36"/>
          <w:szCs w:val="36"/>
          <w:u w:val="single"/>
        </w:rPr>
      </w:pPr>
      <w:r w:rsidRPr="002A3D24">
        <w:rPr>
          <w:b/>
          <w:sz w:val="36"/>
          <w:szCs w:val="36"/>
          <w:u w:val="single"/>
        </w:rPr>
        <w:t xml:space="preserve">Demographic Composition of Workforce of </w:t>
      </w:r>
    </w:p>
    <w:p w14:paraId="4CCD8A4D" w14:textId="77777777" w:rsidR="00764B0F" w:rsidRPr="002A3D24" w:rsidRDefault="00764B0F" w:rsidP="00764B0F">
      <w:pPr>
        <w:jc w:val="center"/>
        <w:rPr>
          <w:b/>
          <w:sz w:val="36"/>
          <w:szCs w:val="36"/>
          <w:u w:val="single"/>
        </w:rPr>
      </w:pPr>
      <w:r w:rsidRPr="002A3D24">
        <w:rPr>
          <w:b/>
          <w:sz w:val="36"/>
          <w:szCs w:val="36"/>
          <w:u w:val="single"/>
        </w:rPr>
        <w:t>Major Jurisdictional Utility Companies</w:t>
      </w:r>
    </w:p>
    <w:p w14:paraId="0065C911" w14:textId="77777777" w:rsidR="00764B0F" w:rsidRDefault="00764B0F" w:rsidP="005802AD">
      <w:pPr>
        <w:rPr>
          <w:sz w:val="26"/>
          <w:szCs w:val="26"/>
        </w:rPr>
      </w:pPr>
    </w:p>
    <w:p w14:paraId="53906843" w14:textId="77777777" w:rsidR="00764B0F" w:rsidRDefault="00764B0F" w:rsidP="005802AD">
      <w:pPr>
        <w:rPr>
          <w:sz w:val="26"/>
          <w:szCs w:val="26"/>
        </w:rPr>
      </w:pPr>
    </w:p>
    <w:p w14:paraId="7E3CF2F1" w14:textId="0CC097E8" w:rsidR="00BE4802" w:rsidRPr="00160E8F" w:rsidRDefault="00BE4802" w:rsidP="005802AD">
      <w:pPr>
        <w:rPr>
          <w:sz w:val="26"/>
          <w:szCs w:val="26"/>
        </w:rPr>
        <w:sectPr w:rsidR="00BE4802" w:rsidRPr="00160E8F" w:rsidSect="000D4728">
          <w:pgSz w:w="12240" w:h="15840" w:code="1"/>
          <w:pgMar w:top="1440" w:right="1440" w:bottom="1440" w:left="1440" w:header="720" w:footer="720" w:gutter="0"/>
          <w:pgNumType w:start="1"/>
          <w:cols w:space="720"/>
          <w:titlePg/>
          <w:docGrid w:linePitch="360"/>
        </w:sectPr>
      </w:pPr>
    </w:p>
    <w:tbl>
      <w:tblPr>
        <w:tblStyle w:val="TableGrid"/>
        <w:tblpPr w:leftFromText="187" w:rightFromText="187" w:vertAnchor="page" w:horzAnchor="margin" w:tblpXSpec="center" w:tblpY="1441"/>
        <w:tblW w:w="14485" w:type="dxa"/>
        <w:tblLook w:val="04A0" w:firstRow="1" w:lastRow="0" w:firstColumn="1" w:lastColumn="0" w:noHBand="0" w:noVBand="1"/>
      </w:tblPr>
      <w:tblGrid>
        <w:gridCol w:w="1812"/>
        <w:gridCol w:w="719"/>
        <w:gridCol w:w="881"/>
        <w:gridCol w:w="1058"/>
        <w:gridCol w:w="969"/>
        <w:gridCol w:w="1170"/>
        <w:gridCol w:w="888"/>
        <w:gridCol w:w="1170"/>
        <w:gridCol w:w="1168"/>
        <w:gridCol w:w="849"/>
        <w:gridCol w:w="1463"/>
        <w:gridCol w:w="1322"/>
        <w:gridCol w:w="1016"/>
      </w:tblGrid>
      <w:tr w:rsidR="00BE3256" w:rsidRPr="006B20F1" w14:paraId="34D12F24" w14:textId="77777777" w:rsidTr="00A27BE4">
        <w:trPr>
          <w:trHeight w:val="276"/>
        </w:trPr>
        <w:tc>
          <w:tcPr>
            <w:tcW w:w="14485" w:type="dxa"/>
            <w:gridSpan w:val="13"/>
            <w:shd w:val="clear" w:color="auto" w:fill="FFFFFF" w:themeFill="background1"/>
          </w:tcPr>
          <w:p w14:paraId="6C452CB6" w14:textId="77777777" w:rsidR="00BE3256" w:rsidRPr="006B20F1" w:rsidRDefault="00BE3256" w:rsidP="00A27BE4">
            <w:pPr>
              <w:widowControl w:val="0"/>
              <w:rPr>
                <w:rFonts w:asciiTheme="minorHAnsi" w:hAnsiTheme="minorHAnsi" w:cstheme="minorHAnsi"/>
                <w:b/>
                <w:bCs/>
                <w:sz w:val="22"/>
                <w:szCs w:val="22"/>
                <w:u w:val="single"/>
              </w:rPr>
            </w:pPr>
            <w:r w:rsidRPr="006B20F1">
              <w:rPr>
                <w:rFonts w:asciiTheme="minorHAnsi" w:hAnsiTheme="minorHAnsi" w:cstheme="minorHAnsi"/>
                <w:b/>
                <w:bCs/>
                <w:sz w:val="22"/>
                <w:szCs w:val="22"/>
                <w:u w:val="single"/>
              </w:rPr>
              <w:lastRenderedPageBreak/>
              <w:t>Total Number of Employees:  __________________</w:t>
            </w:r>
          </w:p>
        </w:tc>
      </w:tr>
      <w:tr w:rsidR="00BE3256" w:rsidRPr="006B20F1" w14:paraId="1ADF251F" w14:textId="77777777" w:rsidTr="00A27BE4">
        <w:trPr>
          <w:trHeight w:val="276"/>
        </w:trPr>
        <w:tc>
          <w:tcPr>
            <w:tcW w:w="14485" w:type="dxa"/>
            <w:gridSpan w:val="13"/>
            <w:shd w:val="clear" w:color="auto" w:fill="DDD9C3" w:themeFill="background2" w:themeFillShade="E6"/>
          </w:tcPr>
          <w:p w14:paraId="580A36A4" w14:textId="77777777" w:rsidR="00BE3256" w:rsidRPr="00E0310B" w:rsidRDefault="00BE3256" w:rsidP="00A27BE4">
            <w:pPr>
              <w:widowControl w:val="0"/>
              <w:jc w:val="center"/>
              <w:rPr>
                <w:rFonts w:asciiTheme="minorHAnsi" w:hAnsiTheme="minorHAnsi" w:cstheme="minorHAnsi"/>
                <w:b/>
                <w:bCs/>
                <w:u w:val="single"/>
              </w:rPr>
            </w:pPr>
            <w:r w:rsidRPr="00E0310B">
              <w:rPr>
                <w:rFonts w:asciiTheme="minorHAnsi" w:hAnsiTheme="minorHAnsi" w:cstheme="minorHAnsi"/>
                <w:b/>
                <w:bCs/>
                <w:u w:val="single"/>
              </w:rPr>
              <w:t>Demographics of Utility Workforce</w:t>
            </w:r>
          </w:p>
        </w:tc>
      </w:tr>
      <w:tr w:rsidR="00BE3256" w:rsidRPr="006B20F1" w14:paraId="53BA550B" w14:textId="77777777" w:rsidTr="00A27BE4">
        <w:trPr>
          <w:trHeight w:val="276"/>
        </w:trPr>
        <w:tc>
          <w:tcPr>
            <w:tcW w:w="1822" w:type="dxa"/>
            <w:vMerge w:val="restart"/>
            <w:vAlign w:val="center"/>
          </w:tcPr>
          <w:p w14:paraId="7D9FCD2E" w14:textId="77777777" w:rsidR="00BE3256" w:rsidRPr="00E0310B" w:rsidRDefault="00BE3256" w:rsidP="00A27BE4">
            <w:pPr>
              <w:widowControl w:val="0"/>
              <w:jc w:val="center"/>
              <w:rPr>
                <w:rFonts w:asciiTheme="minorHAnsi" w:hAnsiTheme="minorHAnsi" w:cstheme="minorHAnsi"/>
                <w:b/>
                <w:bCs/>
                <w:u w:val="single"/>
              </w:rPr>
            </w:pPr>
            <w:r w:rsidRPr="00E0310B">
              <w:rPr>
                <w:rFonts w:asciiTheme="minorHAnsi" w:hAnsiTheme="minorHAnsi" w:cstheme="minorHAnsi"/>
                <w:b/>
                <w:bCs/>
                <w:u w:val="single"/>
              </w:rPr>
              <w:t>Job Categories</w:t>
            </w:r>
          </w:p>
        </w:tc>
        <w:tc>
          <w:tcPr>
            <w:tcW w:w="1604" w:type="dxa"/>
            <w:gridSpan w:val="2"/>
            <w:vMerge w:val="restart"/>
            <w:vAlign w:val="center"/>
          </w:tcPr>
          <w:p w14:paraId="768F6361" w14:textId="77777777" w:rsidR="00BE3256" w:rsidRPr="00E0310B" w:rsidRDefault="00BE3256" w:rsidP="00A27BE4">
            <w:pPr>
              <w:widowControl w:val="0"/>
              <w:jc w:val="center"/>
              <w:rPr>
                <w:rFonts w:asciiTheme="minorHAnsi" w:hAnsiTheme="minorHAnsi" w:cstheme="minorHAnsi"/>
                <w:b/>
                <w:bCs/>
                <w:u w:val="single"/>
              </w:rPr>
            </w:pPr>
            <w:r w:rsidRPr="00E0310B">
              <w:rPr>
                <w:rFonts w:asciiTheme="minorHAnsi" w:hAnsiTheme="minorHAnsi" w:cstheme="minorHAnsi"/>
                <w:b/>
                <w:bCs/>
                <w:u w:val="single"/>
              </w:rPr>
              <w:t>Gender</w:t>
            </w:r>
          </w:p>
        </w:tc>
        <w:tc>
          <w:tcPr>
            <w:tcW w:w="7239" w:type="dxa"/>
            <w:gridSpan w:val="7"/>
          </w:tcPr>
          <w:p w14:paraId="75E4823C" w14:textId="77777777" w:rsidR="00BE3256" w:rsidRPr="00E0310B" w:rsidRDefault="00BE3256" w:rsidP="00A27BE4">
            <w:pPr>
              <w:widowControl w:val="0"/>
              <w:jc w:val="center"/>
              <w:rPr>
                <w:rFonts w:asciiTheme="minorHAnsi" w:hAnsiTheme="minorHAnsi" w:cstheme="minorHAnsi"/>
                <w:b/>
                <w:bCs/>
                <w:u w:val="single"/>
              </w:rPr>
            </w:pPr>
            <w:r w:rsidRPr="00E0310B">
              <w:rPr>
                <w:rFonts w:asciiTheme="minorHAnsi" w:hAnsiTheme="minorHAnsi" w:cstheme="minorHAnsi"/>
                <w:b/>
                <w:bCs/>
                <w:u w:val="single"/>
              </w:rPr>
              <w:t>Race and Ethnicity</w:t>
            </w:r>
          </w:p>
        </w:tc>
        <w:tc>
          <w:tcPr>
            <w:tcW w:w="1480" w:type="dxa"/>
            <w:vMerge w:val="restart"/>
          </w:tcPr>
          <w:p w14:paraId="5A653DB1" w14:textId="77777777" w:rsidR="00BE3256" w:rsidRPr="006B20F1" w:rsidRDefault="00BE3256" w:rsidP="00A27BE4">
            <w:pPr>
              <w:widowControl w:val="0"/>
              <w:jc w:val="center"/>
              <w:rPr>
                <w:rFonts w:asciiTheme="minorHAnsi" w:hAnsiTheme="minorHAnsi" w:cstheme="minorHAnsi"/>
                <w:b/>
                <w:bCs/>
                <w:u w:val="single"/>
              </w:rPr>
            </w:pPr>
            <w:r w:rsidRPr="006B20F1">
              <w:rPr>
                <w:rFonts w:asciiTheme="minorHAnsi" w:hAnsiTheme="minorHAnsi" w:cstheme="minorHAnsi"/>
                <w:b/>
                <w:bCs/>
                <w:u w:val="single"/>
              </w:rPr>
              <w:t>Person with Disabilities</w:t>
            </w:r>
          </w:p>
          <w:p w14:paraId="78FC9FEA" w14:textId="77777777" w:rsidR="00BE3256" w:rsidRPr="006B20F1" w:rsidRDefault="00BE3256" w:rsidP="00A27BE4">
            <w:pPr>
              <w:widowControl w:val="0"/>
              <w:jc w:val="center"/>
              <w:rPr>
                <w:rFonts w:asciiTheme="minorHAnsi" w:hAnsiTheme="minorHAnsi" w:cstheme="minorHAnsi"/>
                <w:b/>
                <w:bCs/>
              </w:rPr>
            </w:pPr>
            <w:r w:rsidRPr="006B20F1">
              <w:rPr>
                <w:rFonts w:asciiTheme="minorHAnsi" w:hAnsiTheme="minorHAnsi" w:cstheme="minorHAnsi"/>
                <w:b/>
                <w:bCs/>
                <w:u w:val="single"/>
              </w:rPr>
              <w:t>(Only employees who agreed to be reported)</w:t>
            </w:r>
          </w:p>
        </w:tc>
        <w:tc>
          <w:tcPr>
            <w:tcW w:w="1324" w:type="dxa"/>
            <w:vMerge w:val="restart"/>
          </w:tcPr>
          <w:p w14:paraId="0E8FD470" w14:textId="77777777" w:rsidR="00BE3256" w:rsidRPr="006B20F1" w:rsidRDefault="00BE3256" w:rsidP="00A27BE4">
            <w:pPr>
              <w:widowControl w:val="0"/>
              <w:jc w:val="center"/>
              <w:rPr>
                <w:rFonts w:asciiTheme="minorHAnsi" w:hAnsiTheme="minorHAnsi" w:cstheme="minorHAnsi"/>
                <w:b/>
                <w:bCs/>
                <w:u w:val="single"/>
              </w:rPr>
            </w:pPr>
            <w:r w:rsidRPr="006B20F1">
              <w:rPr>
                <w:rFonts w:asciiTheme="minorHAnsi" w:hAnsiTheme="minorHAnsi" w:cstheme="minorHAnsi"/>
                <w:b/>
                <w:bCs/>
                <w:u w:val="single"/>
              </w:rPr>
              <w:t>LGBTQ</w:t>
            </w:r>
          </w:p>
          <w:p w14:paraId="3ED58D0D" w14:textId="77777777" w:rsidR="00BE3256" w:rsidRPr="006B20F1" w:rsidRDefault="00BE3256" w:rsidP="00A27BE4">
            <w:pPr>
              <w:widowControl w:val="0"/>
              <w:jc w:val="center"/>
              <w:rPr>
                <w:rFonts w:asciiTheme="minorHAnsi" w:hAnsiTheme="minorHAnsi" w:cstheme="minorHAnsi"/>
                <w:b/>
                <w:bCs/>
                <w:u w:val="single"/>
              </w:rPr>
            </w:pPr>
            <w:r w:rsidRPr="006B20F1">
              <w:rPr>
                <w:rFonts w:asciiTheme="minorHAnsi" w:hAnsiTheme="minorHAnsi" w:cstheme="minorHAnsi"/>
                <w:b/>
                <w:bCs/>
                <w:u w:val="single"/>
              </w:rPr>
              <w:t>(Only employees who agreed to be reported)</w:t>
            </w:r>
          </w:p>
        </w:tc>
        <w:tc>
          <w:tcPr>
            <w:tcW w:w="1016" w:type="dxa"/>
            <w:vMerge w:val="restart"/>
            <w:vAlign w:val="center"/>
          </w:tcPr>
          <w:p w14:paraId="219106B0" w14:textId="77777777" w:rsidR="00BE3256" w:rsidRPr="006B20F1" w:rsidRDefault="00BE3256" w:rsidP="00A27BE4">
            <w:pPr>
              <w:widowControl w:val="0"/>
              <w:jc w:val="center"/>
              <w:rPr>
                <w:rFonts w:asciiTheme="minorHAnsi" w:hAnsiTheme="minorHAnsi" w:cstheme="minorHAnsi"/>
                <w:b/>
                <w:bCs/>
              </w:rPr>
            </w:pPr>
            <w:r w:rsidRPr="006B20F1">
              <w:rPr>
                <w:rFonts w:asciiTheme="minorHAnsi" w:hAnsiTheme="minorHAnsi" w:cstheme="minorHAnsi"/>
                <w:b/>
                <w:bCs/>
                <w:u w:val="single"/>
              </w:rPr>
              <w:t>Veteran</w:t>
            </w:r>
          </w:p>
        </w:tc>
      </w:tr>
      <w:tr w:rsidR="00BE3256" w:rsidRPr="006B20F1" w14:paraId="404C871F" w14:textId="77777777" w:rsidTr="00A27BE4">
        <w:trPr>
          <w:trHeight w:val="289"/>
        </w:trPr>
        <w:tc>
          <w:tcPr>
            <w:tcW w:w="1822" w:type="dxa"/>
            <w:vMerge/>
            <w:vAlign w:val="center"/>
          </w:tcPr>
          <w:p w14:paraId="2E5D6F4C" w14:textId="77777777" w:rsidR="00BE3256" w:rsidRPr="006B20F1" w:rsidRDefault="00BE3256" w:rsidP="00A27BE4">
            <w:pPr>
              <w:widowControl w:val="0"/>
              <w:jc w:val="center"/>
              <w:rPr>
                <w:rFonts w:asciiTheme="minorHAnsi" w:hAnsiTheme="minorHAnsi" w:cstheme="minorHAnsi"/>
                <w:b/>
                <w:bCs/>
                <w:sz w:val="22"/>
                <w:szCs w:val="22"/>
              </w:rPr>
            </w:pPr>
          </w:p>
        </w:tc>
        <w:tc>
          <w:tcPr>
            <w:tcW w:w="1604" w:type="dxa"/>
            <w:gridSpan w:val="2"/>
            <w:vMerge/>
            <w:vAlign w:val="center"/>
          </w:tcPr>
          <w:p w14:paraId="51838A74" w14:textId="77777777" w:rsidR="00BE3256" w:rsidRPr="006B20F1" w:rsidRDefault="00BE3256" w:rsidP="00A27BE4">
            <w:pPr>
              <w:widowControl w:val="0"/>
              <w:jc w:val="center"/>
              <w:rPr>
                <w:rFonts w:asciiTheme="minorHAnsi" w:hAnsiTheme="minorHAnsi" w:cstheme="minorHAnsi"/>
                <w:b/>
                <w:bCs/>
                <w:sz w:val="22"/>
                <w:szCs w:val="22"/>
              </w:rPr>
            </w:pPr>
          </w:p>
        </w:tc>
        <w:tc>
          <w:tcPr>
            <w:tcW w:w="982" w:type="dxa"/>
            <w:vAlign w:val="center"/>
          </w:tcPr>
          <w:p w14:paraId="3E6367CC" w14:textId="77777777" w:rsidR="00BE3256" w:rsidRPr="00E0310B" w:rsidRDefault="00BE3256" w:rsidP="00A27BE4">
            <w:pPr>
              <w:widowControl w:val="0"/>
              <w:jc w:val="center"/>
              <w:rPr>
                <w:rFonts w:asciiTheme="minorHAnsi" w:hAnsiTheme="minorHAnsi" w:cstheme="minorHAnsi"/>
                <w:b/>
                <w:bCs/>
              </w:rPr>
            </w:pPr>
            <w:r w:rsidRPr="00E0310B">
              <w:rPr>
                <w:rFonts w:asciiTheme="minorHAnsi" w:hAnsiTheme="minorHAnsi" w:cstheme="minorHAnsi"/>
                <w:b/>
                <w:bCs/>
              </w:rPr>
              <w:t>Hispanic or Latino</w:t>
            </w:r>
          </w:p>
        </w:tc>
        <w:tc>
          <w:tcPr>
            <w:tcW w:w="6257" w:type="dxa"/>
            <w:gridSpan w:val="6"/>
            <w:vAlign w:val="center"/>
          </w:tcPr>
          <w:p w14:paraId="0691C6EB" w14:textId="77777777" w:rsidR="00BE3256" w:rsidRPr="006B20F1" w:rsidRDefault="00BE3256" w:rsidP="00A27BE4">
            <w:pPr>
              <w:widowControl w:val="0"/>
              <w:jc w:val="center"/>
              <w:rPr>
                <w:rFonts w:asciiTheme="minorHAnsi" w:hAnsiTheme="minorHAnsi" w:cstheme="minorHAnsi"/>
                <w:b/>
                <w:bCs/>
              </w:rPr>
            </w:pPr>
            <w:r w:rsidRPr="006B20F1">
              <w:rPr>
                <w:rFonts w:asciiTheme="minorHAnsi" w:hAnsiTheme="minorHAnsi" w:cstheme="minorHAnsi"/>
                <w:b/>
                <w:bCs/>
              </w:rPr>
              <w:t>Not Hispanic or Latino</w:t>
            </w:r>
          </w:p>
        </w:tc>
        <w:tc>
          <w:tcPr>
            <w:tcW w:w="1480" w:type="dxa"/>
            <w:vMerge/>
          </w:tcPr>
          <w:p w14:paraId="2188D5A1" w14:textId="77777777" w:rsidR="00BE3256" w:rsidRPr="006B20F1" w:rsidRDefault="00BE3256" w:rsidP="00A27BE4">
            <w:pPr>
              <w:widowControl w:val="0"/>
              <w:jc w:val="center"/>
              <w:rPr>
                <w:rFonts w:asciiTheme="minorHAnsi" w:hAnsiTheme="minorHAnsi" w:cstheme="minorHAnsi"/>
                <w:b/>
                <w:bCs/>
              </w:rPr>
            </w:pPr>
          </w:p>
        </w:tc>
        <w:tc>
          <w:tcPr>
            <w:tcW w:w="1324" w:type="dxa"/>
            <w:vMerge/>
          </w:tcPr>
          <w:p w14:paraId="19783411" w14:textId="77777777" w:rsidR="00BE3256" w:rsidRPr="006B20F1" w:rsidRDefault="00BE3256" w:rsidP="00A27BE4">
            <w:pPr>
              <w:widowControl w:val="0"/>
              <w:jc w:val="center"/>
              <w:rPr>
                <w:rFonts w:asciiTheme="minorHAnsi" w:hAnsiTheme="minorHAnsi" w:cstheme="minorHAnsi"/>
                <w:b/>
                <w:bCs/>
              </w:rPr>
            </w:pPr>
          </w:p>
        </w:tc>
        <w:tc>
          <w:tcPr>
            <w:tcW w:w="1016" w:type="dxa"/>
            <w:vMerge/>
          </w:tcPr>
          <w:p w14:paraId="33723AF5" w14:textId="77777777" w:rsidR="00BE3256" w:rsidRPr="006B20F1" w:rsidRDefault="00BE3256" w:rsidP="00A27BE4">
            <w:pPr>
              <w:widowControl w:val="0"/>
              <w:jc w:val="center"/>
              <w:rPr>
                <w:rFonts w:asciiTheme="minorHAnsi" w:hAnsiTheme="minorHAnsi" w:cstheme="minorHAnsi"/>
                <w:b/>
                <w:bCs/>
              </w:rPr>
            </w:pPr>
          </w:p>
        </w:tc>
      </w:tr>
      <w:tr w:rsidR="00BE3256" w:rsidRPr="006B20F1" w14:paraId="0734E172" w14:textId="77777777" w:rsidTr="00A27BE4">
        <w:trPr>
          <w:cantSplit/>
          <w:trHeight w:val="1258"/>
        </w:trPr>
        <w:tc>
          <w:tcPr>
            <w:tcW w:w="1822" w:type="dxa"/>
            <w:vMerge/>
            <w:vAlign w:val="center"/>
          </w:tcPr>
          <w:p w14:paraId="52E879FE" w14:textId="77777777" w:rsidR="00BE3256" w:rsidRPr="006B20F1" w:rsidRDefault="00BE3256" w:rsidP="00A27BE4">
            <w:pPr>
              <w:widowControl w:val="0"/>
              <w:jc w:val="center"/>
              <w:rPr>
                <w:rFonts w:asciiTheme="minorHAnsi" w:hAnsiTheme="minorHAnsi" w:cstheme="minorHAnsi"/>
                <w:b/>
                <w:bCs/>
                <w:sz w:val="22"/>
                <w:szCs w:val="22"/>
              </w:rPr>
            </w:pPr>
          </w:p>
        </w:tc>
        <w:tc>
          <w:tcPr>
            <w:tcW w:w="723" w:type="dxa"/>
            <w:vAlign w:val="center"/>
          </w:tcPr>
          <w:p w14:paraId="3B9CD4EC" w14:textId="77777777" w:rsidR="00BE3256" w:rsidRPr="006B20F1" w:rsidRDefault="00BE3256" w:rsidP="00A27BE4">
            <w:pPr>
              <w:widowControl w:val="0"/>
              <w:jc w:val="center"/>
              <w:rPr>
                <w:rFonts w:asciiTheme="minorHAnsi" w:hAnsiTheme="minorHAnsi" w:cstheme="minorHAnsi"/>
                <w:b/>
                <w:bCs/>
                <w:sz w:val="22"/>
                <w:szCs w:val="22"/>
              </w:rPr>
            </w:pPr>
            <w:r w:rsidRPr="006B20F1">
              <w:rPr>
                <w:rFonts w:asciiTheme="minorHAnsi" w:hAnsiTheme="minorHAnsi" w:cstheme="minorHAnsi"/>
                <w:b/>
                <w:bCs/>
                <w:sz w:val="22"/>
                <w:szCs w:val="22"/>
              </w:rPr>
              <w:t>Male</w:t>
            </w:r>
          </w:p>
        </w:tc>
        <w:tc>
          <w:tcPr>
            <w:tcW w:w="881" w:type="dxa"/>
            <w:vAlign w:val="center"/>
          </w:tcPr>
          <w:p w14:paraId="0AA13ECD" w14:textId="77777777" w:rsidR="00BE3256" w:rsidRPr="006B20F1" w:rsidRDefault="00BE3256" w:rsidP="00A27BE4">
            <w:pPr>
              <w:widowControl w:val="0"/>
              <w:jc w:val="center"/>
              <w:rPr>
                <w:rFonts w:asciiTheme="minorHAnsi" w:hAnsiTheme="minorHAnsi" w:cstheme="minorHAnsi"/>
                <w:b/>
                <w:bCs/>
                <w:sz w:val="22"/>
                <w:szCs w:val="22"/>
              </w:rPr>
            </w:pPr>
            <w:r w:rsidRPr="006B20F1">
              <w:rPr>
                <w:rFonts w:asciiTheme="minorHAnsi" w:hAnsiTheme="minorHAnsi" w:cstheme="minorHAnsi"/>
                <w:b/>
                <w:bCs/>
                <w:sz w:val="22"/>
                <w:szCs w:val="22"/>
              </w:rPr>
              <w:t>Female</w:t>
            </w:r>
          </w:p>
        </w:tc>
        <w:tc>
          <w:tcPr>
            <w:tcW w:w="982" w:type="dxa"/>
            <w:vAlign w:val="center"/>
          </w:tcPr>
          <w:p w14:paraId="66F2E283" w14:textId="77777777" w:rsidR="00BE3256" w:rsidRPr="006B20F1" w:rsidRDefault="00BE3256" w:rsidP="00A27BE4">
            <w:pPr>
              <w:widowControl w:val="0"/>
              <w:jc w:val="center"/>
              <w:rPr>
                <w:rFonts w:asciiTheme="minorHAnsi" w:hAnsiTheme="minorHAnsi" w:cstheme="minorHAnsi"/>
                <w:b/>
                <w:bCs/>
              </w:rPr>
            </w:pPr>
          </w:p>
        </w:tc>
        <w:tc>
          <w:tcPr>
            <w:tcW w:w="985" w:type="dxa"/>
            <w:vAlign w:val="center"/>
          </w:tcPr>
          <w:p w14:paraId="0EE8A398" w14:textId="77777777" w:rsidR="00BE3256" w:rsidRPr="006B20F1" w:rsidRDefault="00BE3256" w:rsidP="00A27BE4">
            <w:pPr>
              <w:widowControl w:val="0"/>
              <w:jc w:val="center"/>
              <w:rPr>
                <w:rFonts w:asciiTheme="minorHAnsi" w:hAnsiTheme="minorHAnsi" w:cstheme="minorHAnsi"/>
                <w:b/>
                <w:bCs/>
              </w:rPr>
            </w:pPr>
            <w:r w:rsidRPr="006B20F1">
              <w:rPr>
                <w:rFonts w:asciiTheme="minorHAnsi" w:hAnsiTheme="minorHAnsi" w:cstheme="minorHAnsi"/>
                <w:b/>
                <w:bCs/>
              </w:rPr>
              <w:t>White</w:t>
            </w:r>
          </w:p>
        </w:tc>
        <w:tc>
          <w:tcPr>
            <w:tcW w:w="1170" w:type="dxa"/>
            <w:vAlign w:val="center"/>
          </w:tcPr>
          <w:p w14:paraId="0DD8B632" w14:textId="77777777" w:rsidR="00BE3256" w:rsidRPr="006B20F1" w:rsidRDefault="00BE3256" w:rsidP="00A27BE4">
            <w:pPr>
              <w:widowControl w:val="0"/>
              <w:jc w:val="center"/>
              <w:rPr>
                <w:rFonts w:asciiTheme="minorHAnsi" w:hAnsiTheme="minorHAnsi" w:cstheme="minorHAnsi"/>
                <w:b/>
                <w:bCs/>
              </w:rPr>
            </w:pPr>
            <w:r w:rsidRPr="006B20F1">
              <w:rPr>
                <w:rFonts w:asciiTheme="minorHAnsi" w:hAnsiTheme="minorHAnsi" w:cstheme="minorHAnsi"/>
                <w:b/>
                <w:bCs/>
              </w:rPr>
              <w:t>Black or African-American</w:t>
            </w:r>
          </w:p>
        </w:tc>
        <w:tc>
          <w:tcPr>
            <w:tcW w:w="902" w:type="dxa"/>
            <w:vAlign w:val="center"/>
          </w:tcPr>
          <w:p w14:paraId="4DD24393" w14:textId="77777777" w:rsidR="00BE3256" w:rsidRPr="006B20F1" w:rsidRDefault="00BE3256" w:rsidP="00A27BE4">
            <w:pPr>
              <w:widowControl w:val="0"/>
              <w:jc w:val="center"/>
              <w:rPr>
                <w:rFonts w:asciiTheme="minorHAnsi" w:hAnsiTheme="minorHAnsi" w:cstheme="minorHAnsi"/>
                <w:b/>
                <w:bCs/>
              </w:rPr>
            </w:pPr>
            <w:r w:rsidRPr="006B20F1">
              <w:rPr>
                <w:rFonts w:asciiTheme="minorHAnsi" w:hAnsiTheme="minorHAnsi" w:cstheme="minorHAnsi"/>
                <w:b/>
                <w:bCs/>
              </w:rPr>
              <w:t>Asian</w:t>
            </w:r>
          </w:p>
        </w:tc>
        <w:tc>
          <w:tcPr>
            <w:tcW w:w="1170" w:type="dxa"/>
            <w:vAlign w:val="center"/>
          </w:tcPr>
          <w:p w14:paraId="16774D13" w14:textId="77777777" w:rsidR="00BE3256" w:rsidRPr="006B20F1" w:rsidRDefault="00BE3256" w:rsidP="00A27BE4">
            <w:pPr>
              <w:widowControl w:val="0"/>
              <w:jc w:val="center"/>
              <w:rPr>
                <w:rFonts w:asciiTheme="minorHAnsi" w:hAnsiTheme="minorHAnsi" w:cstheme="minorHAnsi"/>
                <w:b/>
                <w:bCs/>
              </w:rPr>
            </w:pPr>
            <w:r w:rsidRPr="006B20F1">
              <w:rPr>
                <w:rFonts w:asciiTheme="minorHAnsi" w:hAnsiTheme="minorHAnsi" w:cstheme="minorHAnsi"/>
                <w:b/>
                <w:bCs/>
              </w:rPr>
              <w:t>Native American or Alaska Native</w:t>
            </w:r>
          </w:p>
        </w:tc>
        <w:tc>
          <w:tcPr>
            <w:tcW w:w="1170" w:type="dxa"/>
            <w:vAlign w:val="center"/>
          </w:tcPr>
          <w:p w14:paraId="79D4903D" w14:textId="77777777" w:rsidR="00BE3256" w:rsidRPr="006B20F1" w:rsidRDefault="00BE3256" w:rsidP="00A27BE4">
            <w:pPr>
              <w:widowControl w:val="0"/>
              <w:jc w:val="center"/>
              <w:rPr>
                <w:rFonts w:asciiTheme="minorHAnsi" w:hAnsiTheme="minorHAnsi" w:cstheme="minorHAnsi"/>
                <w:b/>
                <w:bCs/>
              </w:rPr>
            </w:pPr>
            <w:r w:rsidRPr="006B20F1">
              <w:rPr>
                <w:rFonts w:asciiTheme="minorHAnsi" w:hAnsiTheme="minorHAnsi" w:cstheme="minorHAnsi"/>
                <w:b/>
                <w:bCs/>
              </w:rPr>
              <w:t>Native Hawaiian or Pacific Islander</w:t>
            </w:r>
          </w:p>
        </w:tc>
        <w:tc>
          <w:tcPr>
            <w:tcW w:w="860" w:type="dxa"/>
            <w:vAlign w:val="center"/>
          </w:tcPr>
          <w:p w14:paraId="6AAE7928" w14:textId="77777777" w:rsidR="00BE3256" w:rsidRPr="006B20F1" w:rsidRDefault="00BE3256" w:rsidP="00A27BE4">
            <w:pPr>
              <w:widowControl w:val="0"/>
              <w:jc w:val="center"/>
              <w:rPr>
                <w:rFonts w:asciiTheme="minorHAnsi" w:hAnsiTheme="minorHAnsi" w:cstheme="minorHAnsi"/>
                <w:b/>
                <w:bCs/>
              </w:rPr>
            </w:pPr>
            <w:r w:rsidRPr="006B20F1">
              <w:rPr>
                <w:rFonts w:asciiTheme="minorHAnsi" w:hAnsiTheme="minorHAnsi" w:cstheme="minorHAnsi"/>
                <w:b/>
                <w:bCs/>
              </w:rPr>
              <w:t>Two or more races</w:t>
            </w:r>
          </w:p>
        </w:tc>
        <w:tc>
          <w:tcPr>
            <w:tcW w:w="1480" w:type="dxa"/>
          </w:tcPr>
          <w:p w14:paraId="426ADD41" w14:textId="77777777" w:rsidR="00BE3256" w:rsidRPr="006B20F1" w:rsidRDefault="00BE3256" w:rsidP="00A27BE4">
            <w:pPr>
              <w:widowControl w:val="0"/>
              <w:jc w:val="center"/>
              <w:rPr>
                <w:rFonts w:asciiTheme="minorHAnsi" w:hAnsiTheme="minorHAnsi" w:cstheme="minorHAnsi"/>
                <w:b/>
                <w:bCs/>
              </w:rPr>
            </w:pPr>
          </w:p>
        </w:tc>
        <w:tc>
          <w:tcPr>
            <w:tcW w:w="1324" w:type="dxa"/>
          </w:tcPr>
          <w:p w14:paraId="18B6EBC5" w14:textId="77777777" w:rsidR="00BE3256" w:rsidRPr="006B20F1" w:rsidRDefault="00BE3256" w:rsidP="00A27BE4">
            <w:pPr>
              <w:widowControl w:val="0"/>
              <w:jc w:val="center"/>
              <w:rPr>
                <w:rFonts w:asciiTheme="minorHAnsi" w:hAnsiTheme="minorHAnsi" w:cstheme="minorHAnsi"/>
                <w:b/>
                <w:bCs/>
              </w:rPr>
            </w:pPr>
          </w:p>
        </w:tc>
        <w:tc>
          <w:tcPr>
            <w:tcW w:w="1016" w:type="dxa"/>
          </w:tcPr>
          <w:p w14:paraId="3C7FA049" w14:textId="77777777" w:rsidR="00BE3256" w:rsidRPr="006B20F1" w:rsidRDefault="00BE3256" w:rsidP="00A27BE4">
            <w:pPr>
              <w:widowControl w:val="0"/>
              <w:jc w:val="center"/>
              <w:rPr>
                <w:rFonts w:asciiTheme="minorHAnsi" w:hAnsiTheme="minorHAnsi" w:cstheme="minorHAnsi"/>
                <w:b/>
                <w:bCs/>
              </w:rPr>
            </w:pPr>
          </w:p>
        </w:tc>
      </w:tr>
      <w:tr w:rsidR="00BE3256" w:rsidRPr="006B20F1" w14:paraId="7C89E19A" w14:textId="77777777" w:rsidTr="00A27BE4">
        <w:trPr>
          <w:trHeight w:val="845"/>
        </w:trPr>
        <w:tc>
          <w:tcPr>
            <w:tcW w:w="1822" w:type="dxa"/>
            <w:vAlign w:val="center"/>
          </w:tcPr>
          <w:p w14:paraId="12B98C7D" w14:textId="6192F937" w:rsidR="00BE3256" w:rsidRPr="006B20F1" w:rsidRDefault="00BE3256" w:rsidP="00A27BE4">
            <w:pPr>
              <w:widowControl w:val="0"/>
              <w:jc w:val="center"/>
              <w:rPr>
                <w:rFonts w:asciiTheme="minorHAnsi" w:hAnsiTheme="minorHAnsi" w:cstheme="minorHAnsi"/>
                <w:sz w:val="22"/>
                <w:szCs w:val="22"/>
              </w:rPr>
            </w:pPr>
            <w:r w:rsidRPr="006B20F1">
              <w:rPr>
                <w:rFonts w:asciiTheme="minorHAnsi" w:hAnsiTheme="minorHAnsi" w:cstheme="minorHAnsi"/>
                <w:sz w:val="22"/>
                <w:szCs w:val="22"/>
              </w:rPr>
              <w:t xml:space="preserve">Executive/Senior Level Officials </w:t>
            </w:r>
            <w:r w:rsidR="00F662E6">
              <w:rPr>
                <w:rFonts w:asciiTheme="minorHAnsi" w:hAnsiTheme="minorHAnsi" w:cstheme="minorHAnsi"/>
                <w:sz w:val="22"/>
                <w:szCs w:val="22"/>
              </w:rPr>
              <w:t xml:space="preserve">&amp; </w:t>
            </w:r>
            <w:r w:rsidRPr="006B20F1">
              <w:rPr>
                <w:rFonts w:asciiTheme="minorHAnsi" w:hAnsiTheme="minorHAnsi" w:cstheme="minorHAnsi"/>
                <w:sz w:val="22"/>
                <w:szCs w:val="22"/>
              </w:rPr>
              <w:t>Managers</w:t>
            </w:r>
          </w:p>
        </w:tc>
        <w:tc>
          <w:tcPr>
            <w:tcW w:w="723" w:type="dxa"/>
            <w:vAlign w:val="center"/>
          </w:tcPr>
          <w:p w14:paraId="734F421E" w14:textId="77777777" w:rsidR="00BE3256" w:rsidRPr="006B20F1" w:rsidRDefault="00BE3256" w:rsidP="00A27BE4">
            <w:pPr>
              <w:widowControl w:val="0"/>
              <w:jc w:val="center"/>
              <w:rPr>
                <w:rFonts w:asciiTheme="minorHAnsi" w:hAnsiTheme="minorHAnsi" w:cstheme="minorHAnsi"/>
                <w:sz w:val="22"/>
                <w:szCs w:val="22"/>
              </w:rPr>
            </w:pPr>
          </w:p>
        </w:tc>
        <w:tc>
          <w:tcPr>
            <w:tcW w:w="881" w:type="dxa"/>
            <w:vAlign w:val="center"/>
          </w:tcPr>
          <w:p w14:paraId="42A86745" w14:textId="77777777" w:rsidR="00BE3256" w:rsidRPr="006B20F1" w:rsidRDefault="00BE3256" w:rsidP="00A27BE4">
            <w:pPr>
              <w:widowControl w:val="0"/>
              <w:jc w:val="center"/>
              <w:rPr>
                <w:rFonts w:asciiTheme="minorHAnsi" w:hAnsiTheme="minorHAnsi" w:cstheme="minorHAnsi"/>
                <w:sz w:val="22"/>
                <w:szCs w:val="22"/>
              </w:rPr>
            </w:pPr>
          </w:p>
        </w:tc>
        <w:tc>
          <w:tcPr>
            <w:tcW w:w="982" w:type="dxa"/>
            <w:vAlign w:val="center"/>
          </w:tcPr>
          <w:p w14:paraId="518E8AF9" w14:textId="77777777" w:rsidR="00BE3256" w:rsidRPr="006B20F1" w:rsidRDefault="00BE3256" w:rsidP="00A27BE4">
            <w:pPr>
              <w:widowControl w:val="0"/>
              <w:jc w:val="center"/>
              <w:rPr>
                <w:rFonts w:asciiTheme="minorHAnsi" w:hAnsiTheme="minorHAnsi" w:cstheme="minorHAnsi"/>
              </w:rPr>
            </w:pPr>
          </w:p>
        </w:tc>
        <w:tc>
          <w:tcPr>
            <w:tcW w:w="985" w:type="dxa"/>
            <w:vAlign w:val="center"/>
          </w:tcPr>
          <w:p w14:paraId="6476422E"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27D5C2BE" w14:textId="77777777" w:rsidR="00BE3256" w:rsidRPr="006B20F1" w:rsidRDefault="00BE3256" w:rsidP="00A27BE4">
            <w:pPr>
              <w:widowControl w:val="0"/>
              <w:jc w:val="center"/>
              <w:rPr>
                <w:rFonts w:asciiTheme="minorHAnsi" w:hAnsiTheme="minorHAnsi" w:cstheme="minorHAnsi"/>
              </w:rPr>
            </w:pPr>
          </w:p>
        </w:tc>
        <w:tc>
          <w:tcPr>
            <w:tcW w:w="902" w:type="dxa"/>
            <w:vAlign w:val="center"/>
          </w:tcPr>
          <w:p w14:paraId="4E9CB94E"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6D7DCDB5"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0E4999EF" w14:textId="77777777" w:rsidR="00BE3256" w:rsidRPr="006B20F1" w:rsidRDefault="00BE3256" w:rsidP="00A27BE4">
            <w:pPr>
              <w:widowControl w:val="0"/>
              <w:jc w:val="center"/>
              <w:rPr>
                <w:rFonts w:asciiTheme="minorHAnsi" w:hAnsiTheme="minorHAnsi" w:cstheme="minorHAnsi"/>
              </w:rPr>
            </w:pPr>
          </w:p>
        </w:tc>
        <w:tc>
          <w:tcPr>
            <w:tcW w:w="860" w:type="dxa"/>
            <w:vAlign w:val="center"/>
          </w:tcPr>
          <w:p w14:paraId="38A31EFF" w14:textId="77777777" w:rsidR="00BE3256" w:rsidRPr="006B20F1" w:rsidRDefault="00BE3256" w:rsidP="00A27BE4">
            <w:pPr>
              <w:widowControl w:val="0"/>
              <w:jc w:val="center"/>
              <w:rPr>
                <w:rFonts w:asciiTheme="minorHAnsi" w:hAnsiTheme="minorHAnsi" w:cstheme="minorHAnsi"/>
              </w:rPr>
            </w:pPr>
          </w:p>
        </w:tc>
        <w:tc>
          <w:tcPr>
            <w:tcW w:w="1480" w:type="dxa"/>
          </w:tcPr>
          <w:p w14:paraId="64E8E6D0" w14:textId="77777777" w:rsidR="00BE3256" w:rsidRPr="006B20F1" w:rsidRDefault="00BE3256" w:rsidP="00A27BE4">
            <w:pPr>
              <w:widowControl w:val="0"/>
              <w:jc w:val="center"/>
              <w:rPr>
                <w:rFonts w:asciiTheme="minorHAnsi" w:hAnsiTheme="minorHAnsi" w:cstheme="minorHAnsi"/>
              </w:rPr>
            </w:pPr>
          </w:p>
        </w:tc>
        <w:tc>
          <w:tcPr>
            <w:tcW w:w="1324" w:type="dxa"/>
          </w:tcPr>
          <w:p w14:paraId="55EBB305" w14:textId="77777777" w:rsidR="00BE3256" w:rsidRPr="006B20F1" w:rsidRDefault="00BE3256" w:rsidP="00A27BE4">
            <w:pPr>
              <w:widowControl w:val="0"/>
              <w:jc w:val="center"/>
              <w:rPr>
                <w:rFonts w:asciiTheme="minorHAnsi" w:hAnsiTheme="minorHAnsi" w:cstheme="minorHAnsi"/>
              </w:rPr>
            </w:pPr>
          </w:p>
        </w:tc>
        <w:tc>
          <w:tcPr>
            <w:tcW w:w="1016" w:type="dxa"/>
          </w:tcPr>
          <w:p w14:paraId="4E3FB184" w14:textId="77777777" w:rsidR="00BE3256" w:rsidRPr="006B20F1" w:rsidRDefault="00BE3256" w:rsidP="00A27BE4">
            <w:pPr>
              <w:widowControl w:val="0"/>
              <w:jc w:val="center"/>
              <w:rPr>
                <w:rFonts w:asciiTheme="minorHAnsi" w:hAnsiTheme="minorHAnsi" w:cstheme="minorHAnsi"/>
              </w:rPr>
            </w:pPr>
          </w:p>
        </w:tc>
      </w:tr>
      <w:tr w:rsidR="00BE3256" w:rsidRPr="006B20F1" w14:paraId="63D185C9" w14:textId="77777777" w:rsidTr="00A27BE4">
        <w:trPr>
          <w:trHeight w:val="845"/>
        </w:trPr>
        <w:tc>
          <w:tcPr>
            <w:tcW w:w="1822" w:type="dxa"/>
            <w:vAlign w:val="center"/>
          </w:tcPr>
          <w:p w14:paraId="50A0CA2E" w14:textId="7AFF6E04" w:rsidR="00BE3256" w:rsidRPr="006B20F1" w:rsidRDefault="00BE3256" w:rsidP="00A27BE4">
            <w:pPr>
              <w:widowControl w:val="0"/>
              <w:jc w:val="center"/>
              <w:rPr>
                <w:rFonts w:asciiTheme="minorHAnsi" w:hAnsiTheme="minorHAnsi" w:cstheme="minorHAnsi"/>
                <w:sz w:val="22"/>
                <w:szCs w:val="22"/>
              </w:rPr>
            </w:pPr>
            <w:r w:rsidRPr="006B20F1">
              <w:rPr>
                <w:rFonts w:asciiTheme="minorHAnsi" w:hAnsiTheme="minorHAnsi" w:cstheme="minorHAnsi"/>
                <w:sz w:val="22"/>
                <w:szCs w:val="22"/>
              </w:rPr>
              <w:t xml:space="preserve">First/Mid-Level Officials </w:t>
            </w:r>
            <w:r w:rsidR="00574C22">
              <w:rPr>
                <w:rFonts w:asciiTheme="minorHAnsi" w:hAnsiTheme="minorHAnsi" w:cstheme="minorHAnsi"/>
                <w:sz w:val="22"/>
                <w:szCs w:val="22"/>
              </w:rPr>
              <w:t>&amp;</w:t>
            </w:r>
            <w:r w:rsidRPr="006B20F1">
              <w:rPr>
                <w:rFonts w:asciiTheme="minorHAnsi" w:hAnsiTheme="minorHAnsi" w:cstheme="minorHAnsi"/>
                <w:sz w:val="22"/>
                <w:szCs w:val="22"/>
              </w:rPr>
              <w:t xml:space="preserve"> Managers</w:t>
            </w:r>
          </w:p>
        </w:tc>
        <w:tc>
          <w:tcPr>
            <w:tcW w:w="723" w:type="dxa"/>
            <w:vAlign w:val="center"/>
          </w:tcPr>
          <w:p w14:paraId="43791CA7" w14:textId="77777777" w:rsidR="00BE3256" w:rsidRPr="006B20F1" w:rsidRDefault="00BE3256" w:rsidP="00A27BE4">
            <w:pPr>
              <w:widowControl w:val="0"/>
              <w:jc w:val="center"/>
              <w:rPr>
                <w:rFonts w:asciiTheme="minorHAnsi" w:hAnsiTheme="minorHAnsi" w:cstheme="minorHAnsi"/>
                <w:sz w:val="22"/>
                <w:szCs w:val="22"/>
              </w:rPr>
            </w:pPr>
          </w:p>
        </w:tc>
        <w:tc>
          <w:tcPr>
            <w:tcW w:w="881" w:type="dxa"/>
            <w:vAlign w:val="center"/>
          </w:tcPr>
          <w:p w14:paraId="184D199F" w14:textId="77777777" w:rsidR="00BE3256" w:rsidRPr="006B20F1" w:rsidRDefault="00BE3256" w:rsidP="00A27BE4">
            <w:pPr>
              <w:widowControl w:val="0"/>
              <w:jc w:val="center"/>
              <w:rPr>
                <w:rFonts w:asciiTheme="minorHAnsi" w:hAnsiTheme="minorHAnsi" w:cstheme="minorHAnsi"/>
                <w:sz w:val="22"/>
                <w:szCs w:val="22"/>
              </w:rPr>
            </w:pPr>
          </w:p>
        </w:tc>
        <w:tc>
          <w:tcPr>
            <w:tcW w:w="982" w:type="dxa"/>
            <w:vAlign w:val="center"/>
          </w:tcPr>
          <w:p w14:paraId="60DCB244" w14:textId="77777777" w:rsidR="00BE3256" w:rsidRPr="006B20F1" w:rsidRDefault="00BE3256" w:rsidP="00A27BE4">
            <w:pPr>
              <w:widowControl w:val="0"/>
              <w:jc w:val="center"/>
              <w:rPr>
                <w:rFonts w:asciiTheme="minorHAnsi" w:hAnsiTheme="minorHAnsi" w:cstheme="minorHAnsi"/>
              </w:rPr>
            </w:pPr>
          </w:p>
        </w:tc>
        <w:tc>
          <w:tcPr>
            <w:tcW w:w="985" w:type="dxa"/>
            <w:vAlign w:val="center"/>
          </w:tcPr>
          <w:p w14:paraId="0DAFBBD0"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29C4DDA0" w14:textId="77777777" w:rsidR="00BE3256" w:rsidRPr="006B20F1" w:rsidRDefault="00BE3256" w:rsidP="00A27BE4">
            <w:pPr>
              <w:widowControl w:val="0"/>
              <w:jc w:val="center"/>
              <w:rPr>
                <w:rFonts w:asciiTheme="minorHAnsi" w:hAnsiTheme="minorHAnsi" w:cstheme="minorHAnsi"/>
              </w:rPr>
            </w:pPr>
          </w:p>
        </w:tc>
        <w:tc>
          <w:tcPr>
            <w:tcW w:w="902" w:type="dxa"/>
            <w:vAlign w:val="center"/>
          </w:tcPr>
          <w:p w14:paraId="00770C69"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7223BDFB"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603C3BF8" w14:textId="77777777" w:rsidR="00BE3256" w:rsidRPr="006B20F1" w:rsidRDefault="00BE3256" w:rsidP="00A27BE4">
            <w:pPr>
              <w:widowControl w:val="0"/>
              <w:jc w:val="center"/>
              <w:rPr>
                <w:rFonts w:asciiTheme="minorHAnsi" w:hAnsiTheme="minorHAnsi" w:cstheme="minorHAnsi"/>
              </w:rPr>
            </w:pPr>
          </w:p>
        </w:tc>
        <w:tc>
          <w:tcPr>
            <w:tcW w:w="860" w:type="dxa"/>
            <w:vAlign w:val="center"/>
          </w:tcPr>
          <w:p w14:paraId="01D59328" w14:textId="77777777" w:rsidR="00BE3256" w:rsidRPr="006B20F1" w:rsidRDefault="00BE3256" w:rsidP="00A27BE4">
            <w:pPr>
              <w:widowControl w:val="0"/>
              <w:jc w:val="center"/>
              <w:rPr>
                <w:rFonts w:asciiTheme="minorHAnsi" w:hAnsiTheme="minorHAnsi" w:cstheme="minorHAnsi"/>
              </w:rPr>
            </w:pPr>
          </w:p>
        </w:tc>
        <w:tc>
          <w:tcPr>
            <w:tcW w:w="1480" w:type="dxa"/>
            <w:vAlign w:val="center"/>
          </w:tcPr>
          <w:p w14:paraId="797B14E2" w14:textId="77777777" w:rsidR="00BE3256" w:rsidRPr="006B20F1" w:rsidRDefault="00BE3256" w:rsidP="00A27BE4">
            <w:pPr>
              <w:widowControl w:val="0"/>
              <w:jc w:val="center"/>
              <w:rPr>
                <w:rFonts w:asciiTheme="minorHAnsi" w:hAnsiTheme="minorHAnsi" w:cstheme="minorHAnsi"/>
              </w:rPr>
            </w:pPr>
          </w:p>
        </w:tc>
        <w:tc>
          <w:tcPr>
            <w:tcW w:w="1324" w:type="dxa"/>
            <w:vAlign w:val="center"/>
          </w:tcPr>
          <w:p w14:paraId="01DD1A85" w14:textId="77777777" w:rsidR="00BE3256" w:rsidRPr="006B20F1" w:rsidRDefault="00BE3256" w:rsidP="00A27BE4">
            <w:pPr>
              <w:widowControl w:val="0"/>
              <w:jc w:val="center"/>
              <w:rPr>
                <w:rFonts w:asciiTheme="minorHAnsi" w:hAnsiTheme="minorHAnsi" w:cstheme="minorHAnsi"/>
              </w:rPr>
            </w:pPr>
          </w:p>
        </w:tc>
        <w:tc>
          <w:tcPr>
            <w:tcW w:w="1016" w:type="dxa"/>
            <w:vAlign w:val="center"/>
          </w:tcPr>
          <w:p w14:paraId="1A4F0077" w14:textId="77777777" w:rsidR="00BE3256" w:rsidRPr="006B20F1" w:rsidRDefault="00BE3256" w:rsidP="00A27BE4">
            <w:pPr>
              <w:widowControl w:val="0"/>
              <w:jc w:val="center"/>
              <w:rPr>
                <w:rFonts w:asciiTheme="minorHAnsi" w:hAnsiTheme="minorHAnsi" w:cstheme="minorHAnsi"/>
              </w:rPr>
            </w:pPr>
          </w:p>
        </w:tc>
      </w:tr>
      <w:tr w:rsidR="00BE3256" w:rsidRPr="006B20F1" w14:paraId="72DAE5B3" w14:textId="77777777" w:rsidTr="00A27BE4">
        <w:trPr>
          <w:trHeight w:val="407"/>
        </w:trPr>
        <w:tc>
          <w:tcPr>
            <w:tcW w:w="1822" w:type="dxa"/>
            <w:vAlign w:val="center"/>
          </w:tcPr>
          <w:p w14:paraId="78065578" w14:textId="77777777" w:rsidR="00BE3256" w:rsidRPr="006B20F1" w:rsidRDefault="00BE3256" w:rsidP="00A27BE4">
            <w:pPr>
              <w:widowControl w:val="0"/>
              <w:jc w:val="center"/>
              <w:rPr>
                <w:rFonts w:asciiTheme="minorHAnsi" w:hAnsiTheme="minorHAnsi" w:cstheme="minorHAnsi"/>
                <w:sz w:val="22"/>
                <w:szCs w:val="22"/>
              </w:rPr>
            </w:pPr>
            <w:r w:rsidRPr="006B20F1">
              <w:rPr>
                <w:rFonts w:asciiTheme="minorHAnsi" w:hAnsiTheme="minorHAnsi" w:cstheme="minorHAnsi"/>
                <w:sz w:val="22"/>
                <w:szCs w:val="22"/>
              </w:rPr>
              <w:t>Professionals</w:t>
            </w:r>
          </w:p>
        </w:tc>
        <w:tc>
          <w:tcPr>
            <w:tcW w:w="723" w:type="dxa"/>
            <w:vAlign w:val="center"/>
          </w:tcPr>
          <w:p w14:paraId="2609DA8D" w14:textId="77777777" w:rsidR="00BE3256" w:rsidRPr="006B20F1" w:rsidRDefault="00BE3256" w:rsidP="00A27BE4">
            <w:pPr>
              <w:widowControl w:val="0"/>
              <w:jc w:val="center"/>
              <w:rPr>
                <w:rFonts w:asciiTheme="minorHAnsi" w:hAnsiTheme="minorHAnsi" w:cstheme="minorHAnsi"/>
                <w:sz w:val="22"/>
                <w:szCs w:val="22"/>
              </w:rPr>
            </w:pPr>
          </w:p>
        </w:tc>
        <w:tc>
          <w:tcPr>
            <w:tcW w:w="881" w:type="dxa"/>
            <w:vAlign w:val="center"/>
          </w:tcPr>
          <w:p w14:paraId="631213BC" w14:textId="77777777" w:rsidR="00BE3256" w:rsidRPr="006B20F1" w:rsidRDefault="00BE3256" w:rsidP="00A27BE4">
            <w:pPr>
              <w:widowControl w:val="0"/>
              <w:jc w:val="center"/>
              <w:rPr>
                <w:rFonts w:asciiTheme="minorHAnsi" w:hAnsiTheme="minorHAnsi" w:cstheme="minorHAnsi"/>
                <w:sz w:val="22"/>
                <w:szCs w:val="22"/>
              </w:rPr>
            </w:pPr>
          </w:p>
        </w:tc>
        <w:tc>
          <w:tcPr>
            <w:tcW w:w="982" w:type="dxa"/>
            <w:vAlign w:val="center"/>
          </w:tcPr>
          <w:p w14:paraId="478BFC32" w14:textId="77777777" w:rsidR="00BE3256" w:rsidRPr="006B20F1" w:rsidRDefault="00BE3256" w:rsidP="00A27BE4">
            <w:pPr>
              <w:widowControl w:val="0"/>
              <w:jc w:val="center"/>
              <w:rPr>
                <w:rFonts w:asciiTheme="minorHAnsi" w:hAnsiTheme="minorHAnsi" w:cstheme="minorHAnsi"/>
              </w:rPr>
            </w:pPr>
          </w:p>
        </w:tc>
        <w:tc>
          <w:tcPr>
            <w:tcW w:w="985" w:type="dxa"/>
            <w:vAlign w:val="center"/>
          </w:tcPr>
          <w:p w14:paraId="6056EF64"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022AB862" w14:textId="77777777" w:rsidR="00BE3256" w:rsidRPr="006B20F1" w:rsidRDefault="00BE3256" w:rsidP="00A27BE4">
            <w:pPr>
              <w:widowControl w:val="0"/>
              <w:jc w:val="center"/>
              <w:rPr>
                <w:rFonts w:asciiTheme="minorHAnsi" w:hAnsiTheme="minorHAnsi" w:cstheme="minorHAnsi"/>
              </w:rPr>
            </w:pPr>
          </w:p>
        </w:tc>
        <w:tc>
          <w:tcPr>
            <w:tcW w:w="902" w:type="dxa"/>
            <w:vAlign w:val="center"/>
          </w:tcPr>
          <w:p w14:paraId="3BF02E0A"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08231672"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4520D19B" w14:textId="77777777" w:rsidR="00BE3256" w:rsidRPr="006B20F1" w:rsidRDefault="00BE3256" w:rsidP="00A27BE4">
            <w:pPr>
              <w:widowControl w:val="0"/>
              <w:jc w:val="center"/>
              <w:rPr>
                <w:rFonts w:asciiTheme="minorHAnsi" w:hAnsiTheme="minorHAnsi" w:cstheme="minorHAnsi"/>
              </w:rPr>
            </w:pPr>
          </w:p>
        </w:tc>
        <w:tc>
          <w:tcPr>
            <w:tcW w:w="860" w:type="dxa"/>
            <w:vAlign w:val="center"/>
          </w:tcPr>
          <w:p w14:paraId="1715F802" w14:textId="77777777" w:rsidR="00BE3256" w:rsidRPr="006B20F1" w:rsidRDefault="00BE3256" w:rsidP="00A27BE4">
            <w:pPr>
              <w:widowControl w:val="0"/>
              <w:jc w:val="center"/>
              <w:rPr>
                <w:rFonts w:asciiTheme="minorHAnsi" w:hAnsiTheme="minorHAnsi" w:cstheme="minorHAnsi"/>
              </w:rPr>
            </w:pPr>
          </w:p>
        </w:tc>
        <w:tc>
          <w:tcPr>
            <w:tcW w:w="1480" w:type="dxa"/>
            <w:vAlign w:val="center"/>
          </w:tcPr>
          <w:p w14:paraId="40D83041" w14:textId="77777777" w:rsidR="00BE3256" w:rsidRPr="006B20F1" w:rsidRDefault="00BE3256" w:rsidP="00A27BE4">
            <w:pPr>
              <w:widowControl w:val="0"/>
              <w:jc w:val="center"/>
              <w:rPr>
                <w:rFonts w:asciiTheme="minorHAnsi" w:hAnsiTheme="minorHAnsi" w:cstheme="minorHAnsi"/>
              </w:rPr>
            </w:pPr>
          </w:p>
        </w:tc>
        <w:tc>
          <w:tcPr>
            <w:tcW w:w="1324" w:type="dxa"/>
            <w:vAlign w:val="center"/>
          </w:tcPr>
          <w:p w14:paraId="40C00B0D" w14:textId="77777777" w:rsidR="00BE3256" w:rsidRPr="006B20F1" w:rsidRDefault="00BE3256" w:rsidP="00A27BE4">
            <w:pPr>
              <w:widowControl w:val="0"/>
              <w:jc w:val="center"/>
              <w:rPr>
                <w:rFonts w:asciiTheme="minorHAnsi" w:hAnsiTheme="minorHAnsi" w:cstheme="minorHAnsi"/>
              </w:rPr>
            </w:pPr>
          </w:p>
        </w:tc>
        <w:tc>
          <w:tcPr>
            <w:tcW w:w="1016" w:type="dxa"/>
            <w:vAlign w:val="center"/>
          </w:tcPr>
          <w:p w14:paraId="2274B89B" w14:textId="77777777" w:rsidR="00BE3256" w:rsidRPr="006B20F1" w:rsidRDefault="00BE3256" w:rsidP="00A27BE4">
            <w:pPr>
              <w:widowControl w:val="0"/>
              <w:jc w:val="center"/>
              <w:rPr>
                <w:rFonts w:asciiTheme="minorHAnsi" w:hAnsiTheme="minorHAnsi" w:cstheme="minorHAnsi"/>
              </w:rPr>
            </w:pPr>
          </w:p>
        </w:tc>
      </w:tr>
      <w:tr w:rsidR="00BE3256" w:rsidRPr="006B20F1" w14:paraId="37F3E98B" w14:textId="77777777" w:rsidTr="00A27BE4">
        <w:trPr>
          <w:trHeight w:val="452"/>
        </w:trPr>
        <w:tc>
          <w:tcPr>
            <w:tcW w:w="1822" w:type="dxa"/>
            <w:vAlign w:val="center"/>
          </w:tcPr>
          <w:p w14:paraId="52AB0A99" w14:textId="77777777" w:rsidR="00BE3256" w:rsidRPr="006B20F1" w:rsidRDefault="00BE3256" w:rsidP="00A27BE4">
            <w:pPr>
              <w:widowControl w:val="0"/>
              <w:jc w:val="center"/>
              <w:rPr>
                <w:rFonts w:asciiTheme="minorHAnsi" w:hAnsiTheme="minorHAnsi" w:cstheme="minorHAnsi"/>
                <w:sz w:val="22"/>
                <w:szCs w:val="22"/>
              </w:rPr>
            </w:pPr>
            <w:r w:rsidRPr="006B20F1">
              <w:rPr>
                <w:rFonts w:asciiTheme="minorHAnsi" w:hAnsiTheme="minorHAnsi" w:cstheme="minorHAnsi"/>
                <w:sz w:val="22"/>
                <w:szCs w:val="22"/>
              </w:rPr>
              <w:t>Technicians</w:t>
            </w:r>
          </w:p>
        </w:tc>
        <w:tc>
          <w:tcPr>
            <w:tcW w:w="723" w:type="dxa"/>
            <w:vAlign w:val="center"/>
          </w:tcPr>
          <w:p w14:paraId="06C2721E" w14:textId="77777777" w:rsidR="00BE3256" w:rsidRPr="006B20F1" w:rsidRDefault="00BE3256" w:rsidP="00A27BE4">
            <w:pPr>
              <w:widowControl w:val="0"/>
              <w:jc w:val="center"/>
              <w:rPr>
                <w:rFonts w:asciiTheme="minorHAnsi" w:hAnsiTheme="minorHAnsi" w:cstheme="minorHAnsi"/>
                <w:sz w:val="22"/>
                <w:szCs w:val="22"/>
              </w:rPr>
            </w:pPr>
          </w:p>
        </w:tc>
        <w:tc>
          <w:tcPr>
            <w:tcW w:w="881" w:type="dxa"/>
            <w:vAlign w:val="center"/>
          </w:tcPr>
          <w:p w14:paraId="6CA096E7" w14:textId="77777777" w:rsidR="00BE3256" w:rsidRPr="006B20F1" w:rsidRDefault="00BE3256" w:rsidP="00A27BE4">
            <w:pPr>
              <w:widowControl w:val="0"/>
              <w:jc w:val="center"/>
              <w:rPr>
                <w:rFonts w:asciiTheme="minorHAnsi" w:hAnsiTheme="minorHAnsi" w:cstheme="minorHAnsi"/>
                <w:sz w:val="22"/>
                <w:szCs w:val="22"/>
              </w:rPr>
            </w:pPr>
          </w:p>
        </w:tc>
        <w:tc>
          <w:tcPr>
            <w:tcW w:w="982" w:type="dxa"/>
            <w:vAlign w:val="center"/>
          </w:tcPr>
          <w:p w14:paraId="67CA09FC" w14:textId="77777777" w:rsidR="00BE3256" w:rsidRPr="006B20F1" w:rsidRDefault="00BE3256" w:rsidP="00A27BE4">
            <w:pPr>
              <w:widowControl w:val="0"/>
              <w:jc w:val="center"/>
              <w:rPr>
                <w:rFonts w:asciiTheme="minorHAnsi" w:hAnsiTheme="minorHAnsi" w:cstheme="minorHAnsi"/>
              </w:rPr>
            </w:pPr>
          </w:p>
        </w:tc>
        <w:tc>
          <w:tcPr>
            <w:tcW w:w="985" w:type="dxa"/>
            <w:vAlign w:val="center"/>
          </w:tcPr>
          <w:p w14:paraId="4CEE024E"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61DB4A8B" w14:textId="77777777" w:rsidR="00BE3256" w:rsidRPr="006B20F1" w:rsidRDefault="00BE3256" w:rsidP="00A27BE4">
            <w:pPr>
              <w:widowControl w:val="0"/>
              <w:jc w:val="center"/>
              <w:rPr>
                <w:rFonts w:asciiTheme="minorHAnsi" w:hAnsiTheme="minorHAnsi" w:cstheme="minorHAnsi"/>
              </w:rPr>
            </w:pPr>
          </w:p>
        </w:tc>
        <w:tc>
          <w:tcPr>
            <w:tcW w:w="902" w:type="dxa"/>
            <w:vAlign w:val="center"/>
          </w:tcPr>
          <w:p w14:paraId="34C79907"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684675E9"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722659B6" w14:textId="77777777" w:rsidR="00BE3256" w:rsidRPr="006B20F1" w:rsidRDefault="00BE3256" w:rsidP="00A27BE4">
            <w:pPr>
              <w:widowControl w:val="0"/>
              <w:jc w:val="center"/>
              <w:rPr>
                <w:rFonts w:asciiTheme="minorHAnsi" w:hAnsiTheme="minorHAnsi" w:cstheme="minorHAnsi"/>
              </w:rPr>
            </w:pPr>
          </w:p>
        </w:tc>
        <w:tc>
          <w:tcPr>
            <w:tcW w:w="860" w:type="dxa"/>
            <w:vAlign w:val="center"/>
          </w:tcPr>
          <w:p w14:paraId="444C94CD" w14:textId="77777777" w:rsidR="00BE3256" w:rsidRPr="006B20F1" w:rsidRDefault="00BE3256" w:rsidP="00A27BE4">
            <w:pPr>
              <w:widowControl w:val="0"/>
              <w:jc w:val="center"/>
              <w:rPr>
                <w:rFonts w:asciiTheme="minorHAnsi" w:hAnsiTheme="minorHAnsi" w:cstheme="minorHAnsi"/>
              </w:rPr>
            </w:pPr>
          </w:p>
        </w:tc>
        <w:tc>
          <w:tcPr>
            <w:tcW w:w="1480" w:type="dxa"/>
            <w:vAlign w:val="center"/>
          </w:tcPr>
          <w:p w14:paraId="48F555B6" w14:textId="77777777" w:rsidR="00BE3256" w:rsidRPr="006B20F1" w:rsidRDefault="00BE3256" w:rsidP="00A27BE4">
            <w:pPr>
              <w:widowControl w:val="0"/>
              <w:jc w:val="center"/>
              <w:rPr>
                <w:rFonts w:asciiTheme="minorHAnsi" w:hAnsiTheme="minorHAnsi" w:cstheme="minorHAnsi"/>
              </w:rPr>
            </w:pPr>
          </w:p>
        </w:tc>
        <w:tc>
          <w:tcPr>
            <w:tcW w:w="1324" w:type="dxa"/>
            <w:vAlign w:val="center"/>
          </w:tcPr>
          <w:p w14:paraId="06E60DC6" w14:textId="77777777" w:rsidR="00BE3256" w:rsidRPr="006B20F1" w:rsidRDefault="00BE3256" w:rsidP="00A27BE4">
            <w:pPr>
              <w:widowControl w:val="0"/>
              <w:jc w:val="center"/>
              <w:rPr>
                <w:rFonts w:asciiTheme="minorHAnsi" w:hAnsiTheme="minorHAnsi" w:cstheme="minorHAnsi"/>
              </w:rPr>
            </w:pPr>
          </w:p>
        </w:tc>
        <w:tc>
          <w:tcPr>
            <w:tcW w:w="1016" w:type="dxa"/>
            <w:vAlign w:val="center"/>
          </w:tcPr>
          <w:p w14:paraId="42AB1290" w14:textId="77777777" w:rsidR="00BE3256" w:rsidRPr="006B20F1" w:rsidRDefault="00BE3256" w:rsidP="00A27BE4">
            <w:pPr>
              <w:widowControl w:val="0"/>
              <w:jc w:val="center"/>
              <w:rPr>
                <w:rFonts w:asciiTheme="minorHAnsi" w:hAnsiTheme="minorHAnsi" w:cstheme="minorHAnsi"/>
              </w:rPr>
            </w:pPr>
          </w:p>
        </w:tc>
      </w:tr>
      <w:tr w:rsidR="00BE3256" w:rsidRPr="006B20F1" w14:paraId="45214552" w14:textId="77777777" w:rsidTr="00A27BE4">
        <w:trPr>
          <w:trHeight w:val="524"/>
        </w:trPr>
        <w:tc>
          <w:tcPr>
            <w:tcW w:w="1822" w:type="dxa"/>
            <w:vAlign w:val="center"/>
          </w:tcPr>
          <w:p w14:paraId="23533B0F" w14:textId="77777777" w:rsidR="00BE3256" w:rsidRPr="006B20F1" w:rsidRDefault="00BE3256" w:rsidP="00A27BE4">
            <w:pPr>
              <w:widowControl w:val="0"/>
              <w:jc w:val="center"/>
              <w:rPr>
                <w:rFonts w:asciiTheme="minorHAnsi" w:hAnsiTheme="minorHAnsi" w:cstheme="minorHAnsi"/>
                <w:sz w:val="22"/>
                <w:szCs w:val="22"/>
              </w:rPr>
            </w:pPr>
            <w:r w:rsidRPr="006B20F1">
              <w:rPr>
                <w:rFonts w:asciiTheme="minorHAnsi" w:hAnsiTheme="minorHAnsi" w:cstheme="minorHAnsi"/>
                <w:sz w:val="22"/>
                <w:szCs w:val="22"/>
              </w:rPr>
              <w:t>Administrative Support Workers</w:t>
            </w:r>
          </w:p>
        </w:tc>
        <w:tc>
          <w:tcPr>
            <w:tcW w:w="723" w:type="dxa"/>
            <w:vAlign w:val="center"/>
          </w:tcPr>
          <w:p w14:paraId="4B0D85D1" w14:textId="77777777" w:rsidR="00BE3256" w:rsidRPr="006B20F1" w:rsidRDefault="00BE3256" w:rsidP="00A27BE4">
            <w:pPr>
              <w:widowControl w:val="0"/>
              <w:jc w:val="center"/>
              <w:rPr>
                <w:rFonts w:asciiTheme="minorHAnsi" w:hAnsiTheme="minorHAnsi" w:cstheme="minorHAnsi"/>
                <w:sz w:val="22"/>
                <w:szCs w:val="22"/>
              </w:rPr>
            </w:pPr>
          </w:p>
        </w:tc>
        <w:tc>
          <w:tcPr>
            <w:tcW w:w="881" w:type="dxa"/>
            <w:vAlign w:val="center"/>
          </w:tcPr>
          <w:p w14:paraId="60D374D2" w14:textId="77777777" w:rsidR="00BE3256" w:rsidRPr="006B20F1" w:rsidRDefault="00BE3256" w:rsidP="00A27BE4">
            <w:pPr>
              <w:widowControl w:val="0"/>
              <w:jc w:val="center"/>
              <w:rPr>
                <w:rFonts w:asciiTheme="minorHAnsi" w:hAnsiTheme="minorHAnsi" w:cstheme="minorHAnsi"/>
                <w:sz w:val="22"/>
                <w:szCs w:val="22"/>
              </w:rPr>
            </w:pPr>
          </w:p>
        </w:tc>
        <w:tc>
          <w:tcPr>
            <w:tcW w:w="982" w:type="dxa"/>
            <w:vAlign w:val="center"/>
          </w:tcPr>
          <w:p w14:paraId="2B358A96" w14:textId="77777777" w:rsidR="00BE3256" w:rsidRPr="006B20F1" w:rsidRDefault="00BE3256" w:rsidP="00A27BE4">
            <w:pPr>
              <w:widowControl w:val="0"/>
              <w:jc w:val="center"/>
              <w:rPr>
                <w:rFonts w:asciiTheme="minorHAnsi" w:hAnsiTheme="minorHAnsi" w:cstheme="minorHAnsi"/>
              </w:rPr>
            </w:pPr>
          </w:p>
        </w:tc>
        <w:tc>
          <w:tcPr>
            <w:tcW w:w="985" w:type="dxa"/>
            <w:vAlign w:val="center"/>
          </w:tcPr>
          <w:p w14:paraId="40125E5B"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1BBA95F0" w14:textId="77777777" w:rsidR="00BE3256" w:rsidRPr="006B20F1" w:rsidRDefault="00BE3256" w:rsidP="00A27BE4">
            <w:pPr>
              <w:widowControl w:val="0"/>
              <w:jc w:val="center"/>
              <w:rPr>
                <w:rFonts w:asciiTheme="minorHAnsi" w:hAnsiTheme="minorHAnsi" w:cstheme="minorHAnsi"/>
              </w:rPr>
            </w:pPr>
          </w:p>
        </w:tc>
        <w:tc>
          <w:tcPr>
            <w:tcW w:w="902" w:type="dxa"/>
            <w:vAlign w:val="center"/>
          </w:tcPr>
          <w:p w14:paraId="6016D999"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67A6B25F"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0115E705" w14:textId="77777777" w:rsidR="00BE3256" w:rsidRPr="006B20F1" w:rsidRDefault="00BE3256" w:rsidP="00A27BE4">
            <w:pPr>
              <w:widowControl w:val="0"/>
              <w:jc w:val="center"/>
              <w:rPr>
                <w:rFonts w:asciiTheme="minorHAnsi" w:hAnsiTheme="minorHAnsi" w:cstheme="minorHAnsi"/>
              </w:rPr>
            </w:pPr>
          </w:p>
        </w:tc>
        <w:tc>
          <w:tcPr>
            <w:tcW w:w="860" w:type="dxa"/>
            <w:vAlign w:val="center"/>
          </w:tcPr>
          <w:p w14:paraId="404C4BA3" w14:textId="77777777" w:rsidR="00BE3256" w:rsidRPr="006B20F1" w:rsidRDefault="00BE3256" w:rsidP="00A27BE4">
            <w:pPr>
              <w:widowControl w:val="0"/>
              <w:jc w:val="center"/>
              <w:rPr>
                <w:rFonts w:asciiTheme="minorHAnsi" w:hAnsiTheme="minorHAnsi" w:cstheme="minorHAnsi"/>
              </w:rPr>
            </w:pPr>
          </w:p>
        </w:tc>
        <w:tc>
          <w:tcPr>
            <w:tcW w:w="1480" w:type="dxa"/>
            <w:vAlign w:val="center"/>
          </w:tcPr>
          <w:p w14:paraId="49FE751F" w14:textId="77777777" w:rsidR="00BE3256" w:rsidRPr="006B20F1" w:rsidRDefault="00BE3256" w:rsidP="00A27BE4">
            <w:pPr>
              <w:widowControl w:val="0"/>
              <w:jc w:val="center"/>
              <w:rPr>
                <w:rFonts w:asciiTheme="minorHAnsi" w:hAnsiTheme="minorHAnsi" w:cstheme="minorHAnsi"/>
              </w:rPr>
            </w:pPr>
          </w:p>
        </w:tc>
        <w:tc>
          <w:tcPr>
            <w:tcW w:w="1324" w:type="dxa"/>
            <w:vAlign w:val="center"/>
          </w:tcPr>
          <w:p w14:paraId="41E00173" w14:textId="77777777" w:rsidR="00BE3256" w:rsidRPr="006B20F1" w:rsidRDefault="00BE3256" w:rsidP="00A27BE4">
            <w:pPr>
              <w:widowControl w:val="0"/>
              <w:jc w:val="center"/>
              <w:rPr>
                <w:rFonts w:asciiTheme="minorHAnsi" w:hAnsiTheme="minorHAnsi" w:cstheme="minorHAnsi"/>
              </w:rPr>
            </w:pPr>
          </w:p>
        </w:tc>
        <w:tc>
          <w:tcPr>
            <w:tcW w:w="1016" w:type="dxa"/>
            <w:vAlign w:val="center"/>
          </w:tcPr>
          <w:p w14:paraId="49A474CA" w14:textId="77777777" w:rsidR="00BE3256" w:rsidRPr="006B20F1" w:rsidRDefault="00BE3256" w:rsidP="00A27BE4">
            <w:pPr>
              <w:widowControl w:val="0"/>
              <w:jc w:val="center"/>
              <w:rPr>
                <w:rFonts w:asciiTheme="minorHAnsi" w:hAnsiTheme="minorHAnsi" w:cstheme="minorHAnsi"/>
              </w:rPr>
            </w:pPr>
          </w:p>
        </w:tc>
      </w:tr>
      <w:tr w:rsidR="00BE3256" w:rsidRPr="006B20F1" w14:paraId="3EB0508A" w14:textId="77777777" w:rsidTr="00A27BE4">
        <w:trPr>
          <w:trHeight w:val="461"/>
        </w:trPr>
        <w:tc>
          <w:tcPr>
            <w:tcW w:w="1822" w:type="dxa"/>
            <w:vAlign w:val="center"/>
          </w:tcPr>
          <w:p w14:paraId="286D2FC2" w14:textId="77777777" w:rsidR="00BE3256" w:rsidRPr="006B20F1" w:rsidRDefault="00BE3256" w:rsidP="00A27BE4">
            <w:pPr>
              <w:widowControl w:val="0"/>
              <w:jc w:val="center"/>
              <w:rPr>
                <w:rFonts w:asciiTheme="minorHAnsi" w:hAnsiTheme="minorHAnsi" w:cstheme="minorHAnsi"/>
                <w:sz w:val="22"/>
                <w:szCs w:val="22"/>
              </w:rPr>
            </w:pPr>
            <w:r w:rsidRPr="006B20F1">
              <w:rPr>
                <w:rFonts w:asciiTheme="minorHAnsi" w:hAnsiTheme="minorHAnsi" w:cstheme="minorHAnsi"/>
                <w:sz w:val="22"/>
                <w:szCs w:val="22"/>
              </w:rPr>
              <w:t>All others</w:t>
            </w:r>
          </w:p>
        </w:tc>
        <w:tc>
          <w:tcPr>
            <w:tcW w:w="723" w:type="dxa"/>
            <w:vAlign w:val="center"/>
          </w:tcPr>
          <w:p w14:paraId="7FCDFE90" w14:textId="77777777" w:rsidR="00BE3256" w:rsidRPr="006B20F1" w:rsidRDefault="00BE3256" w:rsidP="00A27BE4">
            <w:pPr>
              <w:widowControl w:val="0"/>
              <w:jc w:val="center"/>
              <w:rPr>
                <w:rFonts w:asciiTheme="minorHAnsi" w:hAnsiTheme="minorHAnsi" w:cstheme="minorHAnsi"/>
                <w:sz w:val="22"/>
                <w:szCs w:val="22"/>
              </w:rPr>
            </w:pPr>
          </w:p>
        </w:tc>
        <w:tc>
          <w:tcPr>
            <w:tcW w:w="881" w:type="dxa"/>
            <w:vAlign w:val="center"/>
          </w:tcPr>
          <w:p w14:paraId="1CABD965" w14:textId="77777777" w:rsidR="00BE3256" w:rsidRPr="006B20F1" w:rsidRDefault="00BE3256" w:rsidP="00A27BE4">
            <w:pPr>
              <w:widowControl w:val="0"/>
              <w:jc w:val="center"/>
              <w:rPr>
                <w:rFonts w:asciiTheme="minorHAnsi" w:hAnsiTheme="minorHAnsi" w:cstheme="minorHAnsi"/>
                <w:sz w:val="22"/>
                <w:szCs w:val="22"/>
              </w:rPr>
            </w:pPr>
          </w:p>
        </w:tc>
        <w:tc>
          <w:tcPr>
            <w:tcW w:w="982" w:type="dxa"/>
            <w:vAlign w:val="center"/>
          </w:tcPr>
          <w:p w14:paraId="07BFAD92" w14:textId="77777777" w:rsidR="00BE3256" w:rsidRPr="006B20F1" w:rsidRDefault="00BE3256" w:rsidP="00A27BE4">
            <w:pPr>
              <w:widowControl w:val="0"/>
              <w:jc w:val="center"/>
              <w:rPr>
                <w:rFonts w:asciiTheme="minorHAnsi" w:hAnsiTheme="minorHAnsi" w:cstheme="minorHAnsi"/>
              </w:rPr>
            </w:pPr>
          </w:p>
        </w:tc>
        <w:tc>
          <w:tcPr>
            <w:tcW w:w="985" w:type="dxa"/>
            <w:vAlign w:val="center"/>
          </w:tcPr>
          <w:p w14:paraId="5F725E27"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4192ED23" w14:textId="77777777" w:rsidR="00BE3256" w:rsidRPr="006B20F1" w:rsidRDefault="00BE3256" w:rsidP="00A27BE4">
            <w:pPr>
              <w:widowControl w:val="0"/>
              <w:jc w:val="center"/>
              <w:rPr>
                <w:rFonts w:asciiTheme="minorHAnsi" w:hAnsiTheme="minorHAnsi" w:cstheme="minorHAnsi"/>
              </w:rPr>
            </w:pPr>
          </w:p>
        </w:tc>
        <w:tc>
          <w:tcPr>
            <w:tcW w:w="902" w:type="dxa"/>
            <w:vAlign w:val="center"/>
          </w:tcPr>
          <w:p w14:paraId="3CA031EE"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68A8459C" w14:textId="77777777" w:rsidR="00BE3256" w:rsidRPr="006B20F1" w:rsidRDefault="00BE3256" w:rsidP="00A27BE4">
            <w:pPr>
              <w:widowControl w:val="0"/>
              <w:jc w:val="center"/>
              <w:rPr>
                <w:rFonts w:asciiTheme="minorHAnsi" w:hAnsiTheme="minorHAnsi" w:cstheme="minorHAnsi"/>
              </w:rPr>
            </w:pPr>
          </w:p>
        </w:tc>
        <w:tc>
          <w:tcPr>
            <w:tcW w:w="1170" w:type="dxa"/>
            <w:vAlign w:val="center"/>
          </w:tcPr>
          <w:p w14:paraId="1A835CD2" w14:textId="77777777" w:rsidR="00BE3256" w:rsidRPr="006B20F1" w:rsidRDefault="00BE3256" w:rsidP="00A27BE4">
            <w:pPr>
              <w:widowControl w:val="0"/>
              <w:jc w:val="center"/>
              <w:rPr>
                <w:rFonts w:asciiTheme="minorHAnsi" w:hAnsiTheme="minorHAnsi" w:cstheme="minorHAnsi"/>
              </w:rPr>
            </w:pPr>
          </w:p>
        </w:tc>
        <w:tc>
          <w:tcPr>
            <w:tcW w:w="860" w:type="dxa"/>
            <w:vAlign w:val="center"/>
          </w:tcPr>
          <w:p w14:paraId="3C8CB463" w14:textId="77777777" w:rsidR="00BE3256" w:rsidRPr="006B20F1" w:rsidRDefault="00BE3256" w:rsidP="00A27BE4">
            <w:pPr>
              <w:widowControl w:val="0"/>
              <w:jc w:val="center"/>
              <w:rPr>
                <w:rFonts w:asciiTheme="minorHAnsi" w:hAnsiTheme="minorHAnsi" w:cstheme="minorHAnsi"/>
              </w:rPr>
            </w:pPr>
          </w:p>
        </w:tc>
        <w:tc>
          <w:tcPr>
            <w:tcW w:w="1480" w:type="dxa"/>
            <w:vAlign w:val="center"/>
          </w:tcPr>
          <w:p w14:paraId="7CF11A78" w14:textId="77777777" w:rsidR="00BE3256" w:rsidRPr="006B20F1" w:rsidRDefault="00BE3256" w:rsidP="00A27BE4">
            <w:pPr>
              <w:widowControl w:val="0"/>
              <w:jc w:val="center"/>
              <w:rPr>
                <w:rFonts w:asciiTheme="minorHAnsi" w:hAnsiTheme="minorHAnsi" w:cstheme="minorHAnsi"/>
              </w:rPr>
            </w:pPr>
          </w:p>
        </w:tc>
        <w:tc>
          <w:tcPr>
            <w:tcW w:w="1324" w:type="dxa"/>
            <w:vAlign w:val="center"/>
          </w:tcPr>
          <w:p w14:paraId="48916BFF" w14:textId="77777777" w:rsidR="00BE3256" w:rsidRPr="006B20F1" w:rsidRDefault="00BE3256" w:rsidP="00A27BE4">
            <w:pPr>
              <w:widowControl w:val="0"/>
              <w:jc w:val="center"/>
              <w:rPr>
                <w:rFonts w:asciiTheme="minorHAnsi" w:hAnsiTheme="minorHAnsi" w:cstheme="minorHAnsi"/>
              </w:rPr>
            </w:pPr>
          </w:p>
        </w:tc>
        <w:tc>
          <w:tcPr>
            <w:tcW w:w="1016" w:type="dxa"/>
            <w:vAlign w:val="center"/>
          </w:tcPr>
          <w:p w14:paraId="0DE8FFF7" w14:textId="77777777" w:rsidR="00BE3256" w:rsidRPr="006B20F1" w:rsidRDefault="00BE3256" w:rsidP="00A27BE4">
            <w:pPr>
              <w:widowControl w:val="0"/>
              <w:jc w:val="center"/>
              <w:rPr>
                <w:rFonts w:asciiTheme="minorHAnsi" w:hAnsiTheme="minorHAnsi" w:cstheme="minorHAnsi"/>
              </w:rPr>
            </w:pPr>
          </w:p>
        </w:tc>
      </w:tr>
      <w:tr w:rsidR="002C321C" w:rsidRPr="006B20F1" w14:paraId="1B920537" w14:textId="77777777" w:rsidTr="00A27BE4">
        <w:trPr>
          <w:trHeight w:val="461"/>
        </w:trPr>
        <w:tc>
          <w:tcPr>
            <w:tcW w:w="1822" w:type="dxa"/>
            <w:vAlign w:val="center"/>
          </w:tcPr>
          <w:p w14:paraId="26C230F5" w14:textId="10CF7DDB" w:rsidR="002C321C" w:rsidRPr="006B20F1" w:rsidRDefault="002C321C" w:rsidP="00A27BE4">
            <w:pPr>
              <w:widowControl w:val="0"/>
              <w:jc w:val="center"/>
              <w:rPr>
                <w:rFonts w:asciiTheme="minorHAnsi" w:hAnsiTheme="minorHAnsi" w:cstheme="minorHAnsi"/>
                <w:sz w:val="22"/>
                <w:szCs w:val="22"/>
              </w:rPr>
            </w:pPr>
            <w:r>
              <w:rPr>
                <w:rFonts w:asciiTheme="minorHAnsi" w:hAnsiTheme="minorHAnsi" w:cstheme="minorHAnsi"/>
                <w:sz w:val="22"/>
                <w:szCs w:val="22"/>
              </w:rPr>
              <w:t>Totals</w:t>
            </w:r>
          </w:p>
        </w:tc>
        <w:tc>
          <w:tcPr>
            <w:tcW w:w="723" w:type="dxa"/>
            <w:vAlign w:val="center"/>
          </w:tcPr>
          <w:p w14:paraId="02DCF60F" w14:textId="77777777" w:rsidR="002C321C" w:rsidRPr="006B20F1" w:rsidRDefault="002C321C" w:rsidP="00A27BE4">
            <w:pPr>
              <w:widowControl w:val="0"/>
              <w:jc w:val="center"/>
              <w:rPr>
                <w:rFonts w:asciiTheme="minorHAnsi" w:hAnsiTheme="minorHAnsi" w:cstheme="minorHAnsi"/>
                <w:sz w:val="22"/>
                <w:szCs w:val="22"/>
              </w:rPr>
            </w:pPr>
          </w:p>
        </w:tc>
        <w:tc>
          <w:tcPr>
            <w:tcW w:w="881" w:type="dxa"/>
            <w:vAlign w:val="center"/>
          </w:tcPr>
          <w:p w14:paraId="71D842C3" w14:textId="77777777" w:rsidR="002C321C" w:rsidRPr="006B20F1" w:rsidRDefault="002C321C" w:rsidP="00A27BE4">
            <w:pPr>
              <w:widowControl w:val="0"/>
              <w:jc w:val="center"/>
              <w:rPr>
                <w:rFonts w:asciiTheme="minorHAnsi" w:hAnsiTheme="minorHAnsi" w:cstheme="minorHAnsi"/>
                <w:sz w:val="22"/>
                <w:szCs w:val="22"/>
              </w:rPr>
            </w:pPr>
          </w:p>
        </w:tc>
        <w:tc>
          <w:tcPr>
            <w:tcW w:w="982" w:type="dxa"/>
            <w:vAlign w:val="center"/>
          </w:tcPr>
          <w:p w14:paraId="10861E38" w14:textId="77777777" w:rsidR="002C321C" w:rsidRPr="006B20F1" w:rsidRDefault="002C321C" w:rsidP="00A27BE4">
            <w:pPr>
              <w:widowControl w:val="0"/>
              <w:jc w:val="center"/>
              <w:rPr>
                <w:rFonts w:asciiTheme="minorHAnsi" w:hAnsiTheme="minorHAnsi" w:cstheme="minorHAnsi"/>
              </w:rPr>
            </w:pPr>
          </w:p>
        </w:tc>
        <w:tc>
          <w:tcPr>
            <w:tcW w:w="985" w:type="dxa"/>
            <w:vAlign w:val="center"/>
          </w:tcPr>
          <w:p w14:paraId="0441F9A1" w14:textId="77777777" w:rsidR="002C321C" w:rsidRPr="006B20F1" w:rsidRDefault="002C321C" w:rsidP="00A27BE4">
            <w:pPr>
              <w:widowControl w:val="0"/>
              <w:jc w:val="center"/>
              <w:rPr>
                <w:rFonts w:asciiTheme="minorHAnsi" w:hAnsiTheme="minorHAnsi" w:cstheme="minorHAnsi"/>
              </w:rPr>
            </w:pPr>
          </w:p>
        </w:tc>
        <w:tc>
          <w:tcPr>
            <w:tcW w:w="1170" w:type="dxa"/>
            <w:vAlign w:val="center"/>
          </w:tcPr>
          <w:p w14:paraId="72123A33" w14:textId="77777777" w:rsidR="002C321C" w:rsidRPr="006B20F1" w:rsidRDefault="002C321C" w:rsidP="00A27BE4">
            <w:pPr>
              <w:widowControl w:val="0"/>
              <w:jc w:val="center"/>
              <w:rPr>
                <w:rFonts w:asciiTheme="minorHAnsi" w:hAnsiTheme="minorHAnsi" w:cstheme="minorHAnsi"/>
              </w:rPr>
            </w:pPr>
          </w:p>
        </w:tc>
        <w:tc>
          <w:tcPr>
            <w:tcW w:w="902" w:type="dxa"/>
            <w:vAlign w:val="center"/>
          </w:tcPr>
          <w:p w14:paraId="404FB6E1" w14:textId="77777777" w:rsidR="002C321C" w:rsidRPr="006B20F1" w:rsidRDefault="002C321C" w:rsidP="00A27BE4">
            <w:pPr>
              <w:widowControl w:val="0"/>
              <w:jc w:val="center"/>
              <w:rPr>
                <w:rFonts w:asciiTheme="minorHAnsi" w:hAnsiTheme="minorHAnsi" w:cstheme="minorHAnsi"/>
              </w:rPr>
            </w:pPr>
          </w:p>
        </w:tc>
        <w:tc>
          <w:tcPr>
            <w:tcW w:w="1170" w:type="dxa"/>
            <w:vAlign w:val="center"/>
          </w:tcPr>
          <w:p w14:paraId="4D27B56C" w14:textId="77777777" w:rsidR="002C321C" w:rsidRPr="006B20F1" w:rsidRDefault="002C321C" w:rsidP="00A27BE4">
            <w:pPr>
              <w:widowControl w:val="0"/>
              <w:jc w:val="center"/>
              <w:rPr>
                <w:rFonts w:asciiTheme="minorHAnsi" w:hAnsiTheme="minorHAnsi" w:cstheme="minorHAnsi"/>
              </w:rPr>
            </w:pPr>
          </w:p>
        </w:tc>
        <w:tc>
          <w:tcPr>
            <w:tcW w:w="1170" w:type="dxa"/>
            <w:vAlign w:val="center"/>
          </w:tcPr>
          <w:p w14:paraId="0767C85B" w14:textId="77777777" w:rsidR="002C321C" w:rsidRPr="006B20F1" w:rsidRDefault="002C321C" w:rsidP="00A27BE4">
            <w:pPr>
              <w:widowControl w:val="0"/>
              <w:jc w:val="center"/>
              <w:rPr>
                <w:rFonts w:asciiTheme="minorHAnsi" w:hAnsiTheme="minorHAnsi" w:cstheme="minorHAnsi"/>
              </w:rPr>
            </w:pPr>
          </w:p>
        </w:tc>
        <w:tc>
          <w:tcPr>
            <w:tcW w:w="860" w:type="dxa"/>
            <w:vAlign w:val="center"/>
          </w:tcPr>
          <w:p w14:paraId="337DEF8D" w14:textId="77777777" w:rsidR="002C321C" w:rsidRPr="006B20F1" w:rsidRDefault="002C321C" w:rsidP="00A27BE4">
            <w:pPr>
              <w:widowControl w:val="0"/>
              <w:jc w:val="center"/>
              <w:rPr>
                <w:rFonts w:asciiTheme="minorHAnsi" w:hAnsiTheme="minorHAnsi" w:cstheme="minorHAnsi"/>
              </w:rPr>
            </w:pPr>
          </w:p>
        </w:tc>
        <w:tc>
          <w:tcPr>
            <w:tcW w:w="1480" w:type="dxa"/>
            <w:vAlign w:val="center"/>
          </w:tcPr>
          <w:p w14:paraId="015BB950" w14:textId="77777777" w:rsidR="002C321C" w:rsidRPr="006B20F1" w:rsidRDefault="002C321C" w:rsidP="00A27BE4">
            <w:pPr>
              <w:widowControl w:val="0"/>
              <w:jc w:val="center"/>
              <w:rPr>
                <w:rFonts w:asciiTheme="minorHAnsi" w:hAnsiTheme="minorHAnsi" w:cstheme="minorHAnsi"/>
              </w:rPr>
            </w:pPr>
          </w:p>
        </w:tc>
        <w:tc>
          <w:tcPr>
            <w:tcW w:w="1324" w:type="dxa"/>
            <w:vAlign w:val="center"/>
          </w:tcPr>
          <w:p w14:paraId="36E0D14F" w14:textId="77777777" w:rsidR="002C321C" w:rsidRPr="006B20F1" w:rsidRDefault="002C321C" w:rsidP="00A27BE4">
            <w:pPr>
              <w:widowControl w:val="0"/>
              <w:jc w:val="center"/>
              <w:rPr>
                <w:rFonts w:asciiTheme="minorHAnsi" w:hAnsiTheme="minorHAnsi" w:cstheme="minorHAnsi"/>
              </w:rPr>
            </w:pPr>
          </w:p>
        </w:tc>
        <w:tc>
          <w:tcPr>
            <w:tcW w:w="1016" w:type="dxa"/>
            <w:vAlign w:val="center"/>
          </w:tcPr>
          <w:p w14:paraId="69CA93B9" w14:textId="77777777" w:rsidR="002C321C" w:rsidRPr="006B20F1" w:rsidRDefault="002C321C" w:rsidP="00A27BE4">
            <w:pPr>
              <w:widowControl w:val="0"/>
              <w:jc w:val="center"/>
              <w:rPr>
                <w:rFonts w:asciiTheme="minorHAnsi" w:hAnsiTheme="minorHAnsi" w:cstheme="minorHAnsi"/>
              </w:rPr>
            </w:pPr>
          </w:p>
        </w:tc>
      </w:tr>
    </w:tbl>
    <w:p w14:paraId="7D7356E7" w14:textId="5BADF3D9" w:rsidR="00881C55" w:rsidRDefault="00881C55">
      <w:pPr>
        <w:rPr>
          <w:b/>
          <w:sz w:val="26"/>
          <w:szCs w:val="26"/>
        </w:rPr>
        <w:sectPr w:rsidR="00881C55" w:rsidSect="0098503A">
          <w:headerReference w:type="default" r:id="rId18"/>
          <w:footerReference w:type="default" r:id="rId19"/>
          <w:pgSz w:w="15840" w:h="12240" w:orient="landscape"/>
          <w:pgMar w:top="720" w:right="864" w:bottom="720" w:left="864" w:header="720" w:footer="720" w:gutter="0"/>
          <w:pgNumType w:start="1"/>
          <w:cols w:space="720"/>
          <w:docGrid w:linePitch="360"/>
        </w:sectPr>
      </w:pPr>
    </w:p>
    <w:p w14:paraId="15A4DB06" w14:textId="5F8A3363" w:rsidR="00E60F1B" w:rsidRPr="00160E8F" w:rsidRDefault="00E60F1B" w:rsidP="00E60F1B">
      <w:pPr>
        <w:pStyle w:val="NoSpacing"/>
        <w:jc w:val="center"/>
        <w:rPr>
          <w:b/>
          <w:sz w:val="26"/>
          <w:szCs w:val="26"/>
        </w:rPr>
      </w:pPr>
      <w:r w:rsidRPr="00160E8F">
        <w:rPr>
          <w:b/>
          <w:sz w:val="26"/>
          <w:szCs w:val="26"/>
        </w:rPr>
        <w:lastRenderedPageBreak/>
        <w:t>ANNEX</w:t>
      </w:r>
      <w:r>
        <w:rPr>
          <w:b/>
          <w:sz w:val="26"/>
          <w:szCs w:val="26"/>
        </w:rPr>
        <w:t xml:space="preserve"> A</w:t>
      </w:r>
    </w:p>
    <w:p w14:paraId="707325CE" w14:textId="77777777" w:rsidR="00E60F1B" w:rsidRPr="00BC77DA" w:rsidRDefault="00E60F1B" w:rsidP="00E60F1B">
      <w:pPr>
        <w:jc w:val="center"/>
        <w:outlineLvl w:val="3"/>
        <w:rPr>
          <w:b/>
          <w:bCs/>
          <w:color w:val="333333"/>
          <w:kern w:val="36"/>
          <w:sz w:val="26"/>
          <w:szCs w:val="26"/>
        </w:rPr>
      </w:pPr>
      <w:r w:rsidRPr="00BC77DA">
        <w:rPr>
          <w:b/>
          <w:bCs/>
          <w:color w:val="333333"/>
          <w:kern w:val="36"/>
          <w:sz w:val="26"/>
          <w:szCs w:val="26"/>
        </w:rPr>
        <w:t xml:space="preserve">TITLE 52. </w:t>
      </w:r>
      <w:r>
        <w:rPr>
          <w:b/>
          <w:bCs/>
          <w:color w:val="333333"/>
          <w:kern w:val="36"/>
          <w:sz w:val="26"/>
          <w:szCs w:val="26"/>
        </w:rPr>
        <w:t xml:space="preserve"> </w:t>
      </w:r>
      <w:r w:rsidRPr="00BC77DA">
        <w:rPr>
          <w:b/>
          <w:bCs/>
          <w:color w:val="333333"/>
          <w:kern w:val="36"/>
          <w:sz w:val="26"/>
          <w:szCs w:val="26"/>
        </w:rPr>
        <w:t>PUBLIC UTILITIES</w:t>
      </w:r>
    </w:p>
    <w:p w14:paraId="0C7E4B9F" w14:textId="77777777" w:rsidR="00E60F1B" w:rsidRPr="00BC77DA" w:rsidRDefault="00E60F1B" w:rsidP="00E60F1B">
      <w:pPr>
        <w:jc w:val="center"/>
        <w:outlineLvl w:val="3"/>
        <w:rPr>
          <w:b/>
          <w:bCs/>
          <w:color w:val="333333"/>
          <w:kern w:val="36"/>
          <w:sz w:val="26"/>
          <w:szCs w:val="26"/>
        </w:rPr>
      </w:pPr>
      <w:r w:rsidRPr="00BC77DA">
        <w:rPr>
          <w:b/>
          <w:bCs/>
          <w:color w:val="333333"/>
          <w:kern w:val="36"/>
          <w:sz w:val="26"/>
          <w:szCs w:val="26"/>
        </w:rPr>
        <w:t xml:space="preserve">PART I. </w:t>
      </w:r>
      <w:r>
        <w:rPr>
          <w:b/>
          <w:bCs/>
          <w:color w:val="333333"/>
          <w:kern w:val="36"/>
          <w:sz w:val="26"/>
          <w:szCs w:val="26"/>
        </w:rPr>
        <w:t xml:space="preserve"> </w:t>
      </w:r>
      <w:r w:rsidRPr="00BC77DA">
        <w:rPr>
          <w:b/>
          <w:bCs/>
          <w:color w:val="333333"/>
          <w:kern w:val="36"/>
          <w:sz w:val="26"/>
          <w:szCs w:val="26"/>
        </w:rPr>
        <w:t>PUBLIC UTILITY COMMISSION</w:t>
      </w:r>
    </w:p>
    <w:p w14:paraId="6427C8EF" w14:textId="77777777" w:rsidR="00E60F1B" w:rsidRPr="00BC77DA" w:rsidRDefault="00E60F1B" w:rsidP="00E60F1B">
      <w:pPr>
        <w:jc w:val="center"/>
        <w:outlineLvl w:val="3"/>
        <w:rPr>
          <w:b/>
          <w:bCs/>
          <w:color w:val="333333"/>
          <w:kern w:val="36"/>
          <w:sz w:val="26"/>
          <w:szCs w:val="26"/>
        </w:rPr>
      </w:pPr>
      <w:r w:rsidRPr="00BC77DA">
        <w:rPr>
          <w:b/>
          <w:bCs/>
          <w:color w:val="333333"/>
          <w:kern w:val="36"/>
          <w:sz w:val="26"/>
          <w:szCs w:val="26"/>
        </w:rPr>
        <w:t xml:space="preserve">Subpart C. </w:t>
      </w:r>
      <w:r>
        <w:rPr>
          <w:b/>
          <w:bCs/>
          <w:color w:val="333333"/>
          <w:kern w:val="36"/>
          <w:sz w:val="26"/>
          <w:szCs w:val="26"/>
        </w:rPr>
        <w:t xml:space="preserve"> </w:t>
      </w:r>
      <w:r w:rsidRPr="00BC77DA">
        <w:rPr>
          <w:b/>
          <w:bCs/>
          <w:color w:val="333333"/>
          <w:kern w:val="36"/>
          <w:sz w:val="26"/>
          <w:szCs w:val="26"/>
        </w:rPr>
        <w:t>FIXED SERVICE UTILITIES</w:t>
      </w:r>
    </w:p>
    <w:p w14:paraId="65545F2D" w14:textId="77777777" w:rsidR="00E60F1B" w:rsidRDefault="00E60F1B" w:rsidP="00E60F1B">
      <w:pPr>
        <w:jc w:val="center"/>
        <w:outlineLvl w:val="3"/>
        <w:rPr>
          <w:b/>
          <w:bCs/>
          <w:color w:val="333333"/>
          <w:kern w:val="36"/>
          <w:sz w:val="26"/>
          <w:szCs w:val="26"/>
        </w:rPr>
      </w:pPr>
      <w:r w:rsidRPr="00BC77DA">
        <w:rPr>
          <w:b/>
          <w:bCs/>
          <w:color w:val="333333"/>
          <w:kern w:val="36"/>
          <w:sz w:val="26"/>
          <w:szCs w:val="26"/>
        </w:rPr>
        <w:t>CHAPTER 69. </w:t>
      </w:r>
      <w:r>
        <w:rPr>
          <w:b/>
          <w:bCs/>
          <w:color w:val="333333"/>
          <w:kern w:val="36"/>
          <w:sz w:val="26"/>
          <w:szCs w:val="26"/>
        </w:rPr>
        <w:t xml:space="preserve"> </w:t>
      </w:r>
      <w:r w:rsidRPr="00BC77DA">
        <w:rPr>
          <w:b/>
          <w:bCs/>
          <w:color w:val="333333"/>
          <w:kern w:val="36"/>
          <w:sz w:val="26"/>
          <w:szCs w:val="26"/>
        </w:rPr>
        <w:t>GENERAL ORDERS, POLICY STATEMENTS AND GUIDELINES ON FIXED UTILITIES</w:t>
      </w:r>
    </w:p>
    <w:p w14:paraId="70D41FD4" w14:textId="77777777" w:rsidR="00E60F1B" w:rsidRPr="00BC77DA" w:rsidRDefault="00E60F1B" w:rsidP="00E60F1B">
      <w:pPr>
        <w:jc w:val="center"/>
        <w:outlineLvl w:val="3"/>
        <w:rPr>
          <w:b/>
          <w:bCs/>
          <w:color w:val="333333"/>
          <w:sz w:val="26"/>
          <w:szCs w:val="26"/>
        </w:rPr>
      </w:pPr>
    </w:p>
    <w:p w14:paraId="14D60A18" w14:textId="77777777" w:rsidR="00E60F1B" w:rsidRPr="00647C21" w:rsidRDefault="00E60F1B" w:rsidP="00E60F1B">
      <w:pPr>
        <w:jc w:val="center"/>
        <w:outlineLvl w:val="3"/>
        <w:rPr>
          <w:b/>
          <w:bCs/>
          <w:color w:val="333333"/>
          <w:sz w:val="26"/>
          <w:szCs w:val="26"/>
        </w:rPr>
      </w:pPr>
      <w:r w:rsidRPr="00647C21">
        <w:rPr>
          <w:b/>
          <w:bCs/>
          <w:color w:val="333333"/>
          <w:sz w:val="26"/>
          <w:szCs w:val="26"/>
        </w:rPr>
        <w:t>DIVERSITY AT MAJOR JURISDICTIONAL UTILITY</w:t>
      </w:r>
      <w:r w:rsidRPr="00647C21">
        <w:rPr>
          <w:b/>
          <w:bCs/>
          <w:color w:val="333333"/>
          <w:sz w:val="26"/>
          <w:szCs w:val="26"/>
        </w:rPr>
        <w:br/>
        <w:t>COMPANIES—STATEMENT OF POLICY</w:t>
      </w:r>
    </w:p>
    <w:p w14:paraId="724DFAC8" w14:textId="77777777" w:rsidR="00E60F1B" w:rsidRDefault="00E60F1B" w:rsidP="00E60F1B">
      <w:pPr>
        <w:pStyle w:val="NoSpacing"/>
        <w:rPr>
          <w:sz w:val="26"/>
          <w:szCs w:val="26"/>
        </w:rPr>
      </w:pPr>
    </w:p>
    <w:p w14:paraId="349AB01C" w14:textId="77777777" w:rsidR="00E60F1B" w:rsidRPr="00047DE2" w:rsidRDefault="00E60F1B" w:rsidP="00E60F1B">
      <w:pPr>
        <w:pStyle w:val="NoSpacing"/>
        <w:rPr>
          <w:b/>
          <w:bCs/>
          <w:sz w:val="26"/>
          <w:szCs w:val="26"/>
        </w:rPr>
      </w:pPr>
      <w:r w:rsidRPr="00047DE2">
        <w:rPr>
          <w:b/>
          <w:bCs/>
          <w:sz w:val="26"/>
          <w:szCs w:val="26"/>
        </w:rPr>
        <w:t>§ 69.801</w:t>
      </w:r>
      <w:r>
        <w:rPr>
          <w:b/>
          <w:bCs/>
          <w:sz w:val="26"/>
          <w:szCs w:val="26"/>
        </w:rPr>
        <w:t>.</w:t>
      </w:r>
      <w:r w:rsidRPr="00047DE2">
        <w:rPr>
          <w:b/>
          <w:bCs/>
          <w:sz w:val="26"/>
          <w:szCs w:val="26"/>
        </w:rPr>
        <w:t xml:space="preserve"> General</w:t>
      </w:r>
      <w:r>
        <w:rPr>
          <w:b/>
          <w:bCs/>
          <w:sz w:val="26"/>
          <w:szCs w:val="26"/>
        </w:rPr>
        <w:t>.</w:t>
      </w:r>
    </w:p>
    <w:p w14:paraId="2D62F9EA" w14:textId="1D9ABA54" w:rsidR="00E60F1B" w:rsidRPr="00160E8F" w:rsidRDefault="00E60F1B" w:rsidP="00E60F1B">
      <w:pPr>
        <w:pStyle w:val="NoSpacing"/>
        <w:rPr>
          <w:sz w:val="26"/>
          <w:szCs w:val="26"/>
        </w:rPr>
      </w:pPr>
    </w:p>
    <w:p w14:paraId="491A5462" w14:textId="418AA76C" w:rsidR="00E60F1B" w:rsidRPr="00047DE2" w:rsidRDefault="00E60F1B" w:rsidP="00E60F1B">
      <w:pPr>
        <w:widowControl w:val="0"/>
        <w:autoSpaceDE w:val="0"/>
        <w:autoSpaceDN w:val="0"/>
        <w:adjustRightInd w:val="0"/>
        <w:rPr>
          <w:color w:val="000000"/>
          <w:sz w:val="26"/>
          <w:szCs w:val="26"/>
        </w:rPr>
      </w:pPr>
      <w:r w:rsidRPr="0CA07E42">
        <w:rPr>
          <w:color w:val="000000" w:themeColor="text1"/>
          <w:sz w:val="26"/>
          <w:szCs w:val="26"/>
        </w:rPr>
        <w:t xml:space="preserve"> From a business perspective, diversity should be associated with a company’s business objectives and strategies. </w:t>
      </w:r>
      <w:r w:rsidRPr="00DB0F75">
        <w:rPr>
          <w:strike/>
          <w:color w:val="000000" w:themeColor="text1"/>
          <w:sz w:val="26"/>
          <w:szCs w:val="26"/>
        </w:rPr>
        <w:t xml:space="preserve">The Commission strongly believes that </w:t>
      </w:r>
      <w:proofErr w:type="spellStart"/>
      <w:r w:rsidRPr="00DB0F75">
        <w:rPr>
          <w:strike/>
          <w:color w:val="000000" w:themeColor="text1"/>
          <w:sz w:val="26"/>
          <w:szCs w:val="26"/>
        </w:rPr>
        <w:t>d</w:t>
      </w:r>
      <w:r w:rsidR="00043AF5">
        <w:rPr>
          <w:color w:val="000000" w:themeColor="text1"/>
          <w:sz w:val="26"/>
          <w:szCs w:val="26"/>
        </w:rPr>
        <w:t>D</w:t>
      </w:r>
      <w:r w:rsidRPr="0CA07E42">
        <w:rPr>
          <w:color w:val="000000" w:themeColor="text1"/>
          <w:sz w:val="26"/>
          <w:szCs w:val="26"/>
        </w:rPr>
        <w:t>iversity</w:t>
      </w:r>
      <w:proofErr w:type="spellEnd"/>
      <w:r w:rsidRPr="0CA07E42">
        <w:rPr>
          <w:color w:val="000000" w:themeColor="text1"/>
          <w:sz w:val="26"/>
          <w:szCs w:val="26"/>
        </w:rPr>
        <w:t xml:space="preserve"> is an economic reality that corporate entities </w:t>
      </w:r>
      <w:r w:rsidR="00B92520">
        <w:rPr>
          <w:color w:val="000000" w:themeColor="text1"/>
          <w:sz w:val="26"/>
          <w:szCs w:val="26"/>
        </w:rPr>
        <w:t xml:space="preserve">SHOULD </w:t>
      </w:r>
      <w:r w:rsidRPr="00DB0F75">
        <w:rPr>
          <w:strike/>
          <w:color w:val="000000" w:themeColor="text1"/>
          <w:sz w:val="26"/>
          <w:szCs w:val="26"/>
        </w:rPr>
        <w:t xml:space="preserve">must </w:t>
      </w:r>
      <w:r w:rsidRPr="0CA07E42">
        <w:rPr>
          <w:color w:val="000000" w:themeColor="text1"/>
          <w:sz w:val="26"/>
          <w:szCs w:val="26"/>
        </w:rPr>
        <w:t>include in their corporate strategies now and in the future. The Commission intends to take the next step by encouraging major jurisdictional utility companies operating in this Commonwealth to incorporate diversity in their business strategy in connection with the procurement of goods and services.</w:t>
      </w:r>
    </w:p>
    <w:p w14:paraId="12240D4B" w14:textId="77777777" w:rsidR="00E60F1B" w:rsidRPr="00160E8F" w:rsidRDefault="00E60F1B" w:rsidP="00E60F1B">
      <w:pPr>
        <w:pStyle w:val="NoSpacing"/>
        <w:rPr>
          <w:b/>
          <w:sz w:val="26"/>
          <w:szCs w:val="26"/>
        </w:rPr>
      </w:pPr>
    </w:p>
    <w:p w14:paraId="0C1EB9FC" w14:textId="77777777" w:rsidR="00E60F1B" w:rsidRDefault="00E60F1B" w:rsidP="00E60F1B">
      <w:pPr>
        <w:pStyle w:val="NoSpacing"/>
        <w:rPr>
          <w:b/>
          <w:sz w:val="26"/>
          <w:szCs w:val="26"/>
        </w:rPr>
      </w:pPr>
    </w:p>
    <w:p w14:paraId="11D1B3D1" w14:textId="591657F1" w:rsidR="00E60F1B" w:rsidRPr="00160E8F" w:rsidRDefault="00E60F1B" w:rsidP="00E60F1B">
      <w:pPr>
        <w:pStyle w:val="NoSpacing"/>
        <w:rPr>
          <w:b/>
          <w:sz w:val="26"/>
          <w:szCs w:val="26"/>
        </w:rPr>
      </w:pPr>
      <w:r w:rsidRPr="00160E8F">
        <w:rPr>
          <w:b/>
          <w:sz w:val="26"/>
          <w:szCs w:val="26"/>
        </w:rPr>
        <w:t xml:space="preserve">§ </w:t>
      </w:r>
      <w:r>
        <w:rPr>
          <w:b/>
          <w:sz w:val="26"/>
          <w:szCs w:val="26"/>
        </w:rPr>
        <w:t>69.802. Definitions</w:t>
      </w:r>
      <w:r w:rsidR="004C7532">
        <w:rPr>
          <w:b/>
          <w:sz w:val="26"/>
          <w:szCs w:val="26"/>
        </w:rPr>
        <w:t xml:space="preserve"> FOR </w:t>
      </w:r>
      <w:r w:rsidR="00F54530">
        <w:rPr>
          <w:b/>
          <w:sz w:val="26"/>
          <w:szCs w:val="26"/>
        </w:rPr>
        <w:t xml:space="preserve">REPORTING </w:t>
      </w:r>
      <w:r w:rsidR="004C7532">
        <w:rPr>
          <w:b/>
          <w:sz w:val="26"/>
          <w:szCs w:val="26"/>
        </w:rPr>
        <w:t>EMPLOYE</w:t>
      </w:r>
      <w:r w:rsidR="005364E7">
        <w:rPr>
          <w:b/>
          <w:sz w:val="26"/>
          <w:szCs w:val="26"/>
        </w:rPr>
        <w:t>E</w:t>
      </w:r>
      <w:r w:rsidR="00F54530">
        <w:rPr>
          <w:b/>
          <w:sz w:val="26"/>
          <w:szCs w:val="26"/>
        </w:rPr>
        <w:t xml:space="preserve"> </w:t>
      </w:r>
      <w:r w:rsidR="005364E7">
        <w:rPr>
          <w:b/>
          <w:sz w:val="26"/>
          <w:szCs w:val="26"/>
        </w:rPr>
        <w:t>S</w:t>
      </w:r>
      <w:r w:rsidR="00F54530">
        <w:rPr>
          <w:b/>
          <w:sz w:val="26"/>
          <w:szCs w:val="26"/>
        </w:rPr>
        <w:t>TATISTICS</w:t>
      </w:r>
      <w:r>
        <w:rPr>
          <w:b/>
          <w:sz w:val="26"/>
          <w:szCs w:val="26"/>
        </w:rPr>
        <w:t>.</w:t>
      </w:r>
    </w:p>
    <w:p w14:paraId="34EC2667" w14:textId="77777777" w:rsidR="00E60F1B" w:rsidRPr="00160E8F" w:rsidRDefault="00E60F1B" w:rsidP="00E60F1B">
      <w:pPr>
        <w:pStyle w:val="NoSpacing"/>
        <w:rPr>
          <w:b/>
          <w:sz w:val="26"/>
          <w:szCs w:val="26"/>
        </w:rPr>
      </w:pPr>
    </w:p>
    <w:p w14:paraId="628A1036" w14:textId="74178BB7" w:rsidR="00E60F1B" w:rsidRPr="00B659C1" w:rsidRDefault="00E60F1B" w:rsidP="00E60F1B">
      <w:pPr>
        <w:widowControl w:val="0"/>
        <w:autoSpaceDE w:val="0"/>
        <w:autoSpaceDN w:val="0"/>
        <w:adjustRightInd w:val="0"/>
        <w:rPr>
          <w:color w:val="000000"/>
          <w:sz w:val="26"/>
          <w:szCs w:val="26"/>
        </w:rPr>
      </w:pPr>
      <w:r>
        <w:rPr>
          <w:color w:val="000000"/>
          <w:sz w:val="26"/>
          <w:szCs w:val="26"/>
        </w:rPr>
        <w:t> </w:t>
      </w:r>
      <w:r w:rsidRPr="00B659C1">
        <w:rPr>
          <w:color w:val="000000"/>
          <w:sz w:val="26"/>
          <w:szCs w:val="26"/>
        </w:rPr>
        <w:t xml:space="preserve">The following words and terms, when used in </w:t>
      </w:r>
      <w:r w:rsidRPr="00DE3ADA">
        <w:rPr>
          <w:color w:val="000000"/>
          <w:sz w:val="26"/>
          <w:szCs w:val="26"/>
        </w:rPr>
        <w:t>§§ 69.801 and 69.803—69.809</w:t>
      </w:r>
      <w:r w:rsidR="003A44E8">
        <w:rPr>
          <w:color w:val="000000"/>
          <w:sz w:val="26"/>
          <w:szCs w:val="26"/>
        </w:rPr>
        <w:t xml:space="preserve"> IN THE CONTEXT OF </w:t>
      </w:r>
      <w:r w:rsidR="00D12871">
        <w:rPr>
          <w:color w:val="000000"/>
          <w:sz w:val="26"/>
          <w:szCs w:val="26"/>
        </w:rPr>
        <w:t xml:space="preserve">MAJOR JURISDICTIONAL </w:t>
      </w:r>
      <w:r w:rsidR="00612765">
        <w:rPr>
          <w:color w:val="000000"/>
          <w:sz w:val="26"/>
          <w:szCs w:val="26"/>
        </w:rPr>
        <w:t xml:space="preserve">UTILITY </w:t>
      </w:r>
      <w:r w:rsidR="00D12871">
        <w:rPr>
          <w:color w:val="000000"/>
          <w:sz w:val="26"/>
          <w:szCs w:val="26"/>
        </w:rPr>
        <w:t xml:space="preserve">COMPANY </w:t>
      </w:r>
      <w:r w:rsidR="00612765">
        <w:rPr>
          <w:color w:val="000000"/>
          <w:sz w:val="26"/>
          <w:szCs w:val="26"/>
        </w:rPr>
        <w:t>EMPLOYEES</w:t>
      </w:r>
      <w:r w:rsidRPr="00B659C1">
        <w:rPr>
          <w:color w:val="000000"/>
          <w:sz w:val="26"/>
          <w:szCs w:val="26"/>
        </w:rPr>
        <w:t>, have the following meanings</w:t>
      </w:r>
      <w:r w:rsidRPr="00751147">
        <w:rPr>
          <w:strike/>
          <w:color w:val="000000"/>
          <w:sz w:val="26"/>
          <w:szCs w:val="26"/>
        </w:rPr>
        <w:t>, unless the context clearly indicates otherwise</w:t>
      </w:r>
      <w:r w:rsidRPr="00B659C1">
        <w:rPr>
          <w:color w:val="000000"/>
          <w:sz w:val="26"/>
          <w:szCs w:val="26"/>
        </w:rPr>
        <w:t>:</w:t>
      </w:r>
    </w:p>
    <w:p w14:paraId="659CDCCE" w14:textId="77777777" w:rsidR="00E60F1B" w:rsidRPr="00B659C1" w:rsidRDefault="00E60F1B" w:rsidP="00E60F1B">
      <w:pPr>
        <w:widowControl w:val="0"/>
        <w:autoSpaceDE w:val="0"/>
        <w:autoSpaceDN w:val="0"/>
        <w:adjustRightInd w:val="0"/>
        <w:rPr>
          <w:color w:val="000000"/>
          <w:sz w:val="26"/>
          <w:szCs w:val="26"/>
        </w:rPr>
      </w:pPr>
      <w:bookmarkStart w:id="1" w:name="co_anchor_I3339A3F28C8811DEAEC4E00399601"/>
      <w:bookmarkEnd w:id="1"/>
    </w:p>
    <w:p w14:paraId="4DCFA7F9" w14:textId="0F1942FC" w:rsidR="00E60F1B" w:rsidRPr="00B659C1" w:rsidRDefault="00E60F1B" w:rsidP="00E60F1B">
      <w:pPr>
        <w:widowControl w:val="0"/>
        <w:autoSpaceDE w:val="0"/>
        <w:autoSpaceDN w:val="0"/>
        <w:adjustRightInd w:val="0"/>
        <w:rPr>
          <w:color w:val="000000"/>
          <w:sz w:val="26"/>
          <w:szCs w:val="26"/>
        </w:rPr>
      </w:pPr>
      <w:r>
        <w:rPr>
          <w:i/>
          <w:iCs/>
          <w:color w:val="000000"/>
          <w:sz w:val="26"/>
          <w:szCs w:val="26"/>
        </w:rPr>
        <w:t>   </w:t>
      </w:r>
      <w:r w:rsidR="00AE74B0">
        <w:rPr>
          <w:i/>
          <w:iCs/>
          <w:color w:val="000000"/>
          <w:sz w:val="26"/>
          <w:szCs w:val="26"/>
        </w:rPr>
        <w:t xml:space="preserve">BLACK OR </w:t>
      </w:r>
      <w:r w:rsidRPr="00B659C1">
        <w:rPr>
          <w:i/>
          <w:iCs/>
          <w:color w:val="000000"/>
          <w:sz w:val="26"/>
          <w:szCs w:val="26"/>
        </w:rPr>
        <w:t>African-American</w:t>
      </w:r>
      <w:r w:rsidRPr="00AE74B0">
        <w:rPr>
          <w:i/>
          <w:iCs/>
          <w:strike/>
          <w:color w:val="000000"/>
          <w:sz w:val="26"/>
          <w:szCs w:val="26"/>
        </w:rPr>
        <w:t>s</w:t>
      </w:r>
      <w:r>
        <w:rPr>
          <w:color w:val="000000"/>
          <w:sz w:val="26"/>
          <w:szCs w:val="26"/>
        </w:rPr>
        <w:t>—</w:t>
      </w:r>
      <w:r w:rsidRPr="00566A71">
        <w:rPr>
          <w:strike/>
          <w:color w:val="000000"/>
          <w:sz w:val="26"/>
          <w:szCs w:val="26"/>
        </w:rPr>
        <w:t>United States citizens or legal aliens with permanent residence status in the United States</w:t>
      </w:r>
      <w:r w:rsidRPr="00B659C1">
        <w:rPr>
          <w:color w:val="000000"/>
          <w:sz w:val="26"/>
          <w:szCs w:val="26"/>
        </w:rPr>
        <w:t xml:space="preserve"> </w:t>
      </w:r>
      <w:r w:rsidR="00566A71">
        <w:rPr>
          <w:color w:val="000000"/>
          <w:sz w:val="26"/>
          <w:szCs w:val="26"/>
        </w:rPr>
        <w:t xml:space="preserve">A PERSON </w:t>
      </w:r>
      <w:r w:rsidRPr="00C17C6D">
        <w:rPr>
          <w:strike/>
          <w:color w:val="000000"/>
          <w:sz w:val="26"/>
          <w:szCs w:val="26"/>
        </w:rPr>
        <w:t>who</w:t>
      </w:r>
      <w:r w:rsidRPr="00B659C1">
        <w:rPr>
          <w:color w:val="000000"/>
          <w:sz w:val="26"/>
          <w:szCs w:val="26"/>
        </w:rPr>
        <w:t xml:space="preserve"> </w:t>
      </w:r>
      <w:r w:rsidRPr="00C17C6D">
        <w:rPr>
          <w:strike/>
          <w:color w:val="000000"/>
          <w:sz w:val="26"/>
          <w:szCs w:val="26"/>
        </w:rPr>
        <w:t>have</w:t>
      </w:r>
      <w:r w:rsidR="00C17C6D">
        <w:rPr>
          <w:color w:val="000000"/>
          <w:sz w:val="26"/>
          <w:szCs w:val="26"/>
        </w:rPr>
        <w:t xml:space="preserve"> HAVING</w:t>
      </w:r>
      <w:r w:rsidRPr="00B659C1">
        <w:rPr>
          <w:color w:val="000000"/>
          <w:sz w:val="26"/>
          <w:szCs w:val="26"/>
        </w:rPr>
        <w:t xml:space="preserve"> origins in any </w:t>
      </w:r>
      <w:r w:rsidR="00C17C6D">
        <w:rPr>
          <w:color w:val="000000"/>
          <w:sz w:val="26"/>
          <w:szCs w:val="26"/>
        </w:rPr>
        <w:t xml:space="preserve">OF THE BLACK </w:t>
      </w:r>
      <w:r w:rsidRPr="00B659C1">
        <w:rPr>
          <w:color w:val="000000"/>
          <w:sz w:val="26"/>
          <w:szCs w:val="26"/>
        </w:rPr>
        <w:t>racial groups of Africa.</w:t>
      </w:r>
    </w:p>
    <w:p w14:paraId="326BCCD5" w14:textId="77777777" w:rsidR="00E60F1B" w:rsidRPr="00B659C1" w:rsidRDefault="00E60F1B" w:rsidP="00E60F1B">
      <w:pPr>
        <w:widowControl w:val="0"/>
        <w:autoSpaceDE w:val="0"/>
        <w:autoSpaceDN w:val="0"/>
        <w:adjustRightInd w:val="0"/>
        <w:rPr>
          <w:color w:val="000000"/>
          <w:sz w:val="26"/>
          <w:szCs w:val="26"/>
        </w:rPr>
      </w:pPr>
      <w:bookmarkStart w:id="2" w:name="co_anchor_I3339A3F38C8811DEAEC4E00399601"/>
      <w:bookmarkEnd w:id="2"/>
    </w:p>
    <w:p w14:paraId="6C9DC4E5" w14:textId="6D035EEB" w:rsidR="00E60F1B" w:rsidRDefault="00E60F1B" w:rsidP="00E60F1B">
      <w:pPr>
        <w:widowControl w:val="0"/>
        <w:autoSpaceDE w:val="0"/>
        <w:autoSpaceDN w:val="0"/>
        <w:adjustRightInd w:val="0"/>
        <w:rPr>
          <w:strike/>
          <w:color w:val="000000"/>
          <w:sz w:val="26"/>
          <w:szCs w:val="26"/>
        </w:rPr>
      </w:pPr>
      <w:r>
        <w:rPr>
          <w:i/>
          <w:iCs/>
          <w:color w:val="000000"/>
          <w:sz w:val="26"/>
          <w:szCs w:val="26"/>
        </w:rPr>
        <w:t>   </w:t>
      </w:r>
      <w:r w:rsidRPr="006058D0">
        <w:rPr>
          <w:i/>
          <w:iCs/>
          <w:strike/>
          <w:color w:val="000000"/>
          <w:sz w:val="26"/>
          <w:szCs w:val="26"/>
        </w:rPr>
        <w:t>Asian Pacific-Americans</w:t>
      </w:r>
      <w:r w:rsidRPr="006058D0">
        <w:rPr>
          <w:strike/>
          <w:color w:val="000000"/>
          <w:sz w:val="26"/>
          <w:szCs w:val="26"/>
        </w:rPr>
        <w:t>—United States citizens or legal aliens with permanent residence status in the United States who have origins in Asia, including persons from Japan, China, the Philippines, Vietnam, Korea, Samoa, Guam, the United States Trust Territory of the Pacific Islands (Republic of Palau), the Northern Mariana Islands, Laos, Kampuchea (Cambodia), Taiwan, Burma, Thailand, Malaysia, Indonesia, Singapore, Brunei, Republic of the Marshall Islands and the Federated States of Micronesia.</w:t>
      </w:r>
    </w:p>
    <w:p w14:paraId="355D50C3" w14:textId="57F01830" w:rsidR="006058D0" w:rsidRDefault="006058D0" w:rsidP="00E60F1B">
      <w:pPr>
        <w:widowControl w:val="0"/>
        <w:autoSpaceDE w:val="0"/>
        <w:autoSpaceDN w:val="0"/>
        <w:adjustRightInd w:val="0"/>
        <w:rPr>
          <w:strike/>
          <w:color w:val="000000"/>
          <w:sz w:val="26"/>
          <w:szCs w:val="26"/>
        </w:rPr>
      </w:pPr>
    </w:p>
    <w:p w14:paraId="30DCD0FD" w14:textId="39555471" w:rsidR="006058D0" w:rsidRPr="006058D0" w:rsidRDefault="00116E56" w:rsidP="00E60F1B">
      <w:pPr>
        <w:widowControl w:val="0"/>
        <w:autoSpaceDE w:val="0"/>
        <w:autoSpaceDN w:val="0"/>
        <w:adjustRightInd w:val="0"/>
        <w:rPr>
          <w:color w:val="000000"/>
          <w:sz w:val="26"/>
          <w:szCs w:val="26"/>
        </w:rPr>
      </w:pPr>
      <w:r>
        <w:rPr>
          <w:i/>
          <w:iCs/>
          <w:color w:val="000000"/>
          <w:sz w:val="26"/>
          <w:szCs w:val="26"/>
        </w:rPr>
        <w:t>   </w:t>
      </w:r>
      <w:r w:rsidR="006058D0" w:rsidRPr="00C07313">
        <w:rPr>
          <w:i/>
          <w:iCs/>
          <w:color w:val="000000"/>
          <w:sz w:val="26"/>
          <w:szCs w:val="26"/>
        </w:rPr>
        <w:t>ASIAN (NOT HISPANIC OR LATINO)</w:t>
      </w:r>
      <w:r w:rsidR="00F72DD5">
        <w:rPr>
          <w:color w:val="000000"/>
          <w:sz w:val="26"/>
          <w:szCs w:val="26"/>
        </w:rPr>
        <w:t xml:space="preserve">—A PERSON HAVING ORIGINS IN ANY OF THE ORIGINAL PEOPLES OF THE FAR EAST, SOUTHEAST ASIA, OR THE INDIAN SUBCONTINENT, INCLUDING, FOR EXAMPLE, CAMBODIA, </w:t>
      </w:r>
      <w:r w:rsidR="00EB2C2B">
        <w:rPr>
          <w:color w:val="000000"/>
          <w:sz w:val="26"/>
          <w:szCs w:val="26"/>
        </w:rPr>
        <w:t>CHINA</w:t>
      </w:r>
      <w:r w:rsidR="00F72DD5">
        <w:rPr>
          <w:color w:val="000000"/>
          <w:sz w:val="26"/>
          <w:szCs w:val="26"/>
        </w:rPr>
        <w:t>, INDIA, JAPAN, KOREA, MALAYSIA, PAKISTAN, THE PHILIPPINE ISLANDS, THAILAND, AND VIETNAM</w:t>
      </w:r>
      <w:r w:rsidR="00415681">
        <w:rPr>
          <w:color w:val="000000"/>
          <w:sz w:val="26"/>
          <w:szCs w:val="26"/>
        </w:rPr>
        <w:t>.</w:t>
      </w:r>
    </w:p>
    <w:p w14:paraId="7B9763E6" w14:textId="77777777" w:rsidR="00E60F1B" w:rsidRPr="00B659C1" w:rsidRDefault="00E60F1B" w:rsidP="00E60F1B">
      <w:pPr>
        <w:widowControl w:val="0"/>
        <w:autoSpaceDE w:val="0"/>
        <w:autoSpaceDN w:val="0"/>
        <w:adjustRightInd w:val="0"/>
        <w:rPr>
          <w:color w:val="000000"/>
          <w:sz w:val="26"/>
          <w:szCs w:val="26"/>
        </w:rPr>
      </w:pPr>
      <w:bookmarkStart w:id="3" w:name="co_anchor_I3339A3F48C8811DEAEC4E00399601"/>
      <w:bookmarkEnd w:id="3"/>
    </w:p>
    <w:p w14:paraId="79E05F2B" w14:textId="77777777" w:rsidR="00E60F1B" w:rsidRPr="005D2ABF" w:rsidRDefault="00E60F1B" w:rsidP="00E60F1B">
      <w:pPr>
        <w:widowControl w:val="0"/>
        <w:autoSpaceDE w:val="0"/>
        <w:autoSpaceDN w:val="0"/>
        <w:adjustRightInd w:val="0"/>
        <w:rPr>
          <w:strike/>
          <w:color w:val="000000"/>
          <w:sz w:val="26"/>
          <w:szCs w:val="26"/>
        </w:rPr>
      </w:pPr>
      <w:r w:rsidRPr="005D2ABF">
        <w:rPr>
          <w:i/>
          <w:iCs/>
          <w:strike/>
          <w:color w:val="000000"/>
          <w:sz w:val="26"/>
          <w:szCs w:val="26"/>
        </w:rPr>
        <w:t>   Control</w:t>
      </w:r>
      <w:r w:rsidRPr="005D2ABF">
        <w:rPr>
          <w:strike/>
          <w:color w:val="000000"/>
          <w:sz w:val="26"/>
          <w:szCs w:val="26"/>
        </w:rPr>
        <w:t>—The exercise of the power to make policy decisions.</w:t>
      </w:r>
    </w:p>
    <w:p w14:paraId="2FAFF520" w14:textId="77777777" w:rsidR="00E60F1B" w:rsidRPr="0007456A" w:rsidRDefault="00E60F1B" w:rsidP="00E60F1B">
      <w:pPr>
        <w:pStyle w:val="NoSpacing"/>
        <w:rPr>
          <w:bCs/>
          <w:sz w:val="26"/>
          <w:szCs w:val="26"/>
        </w:rPr>
      </w:pPr>
    </w:p>
    <w:p w14:paraId="0C5B93E3" w14:textId="77777777" w:rsidR="00E60F1B" w:rsidRPr="00D9228D" w:rsidRDefault="00E60F1B" w:rsidP="00E60F1B">
      <w:pPr>
        <w:pStyle w:val="NoSpacing"/>
        <w:rPr>
          <w:b/>
          <w:sz w:val="26"/>
          <w:szCs w:val="26"/>
        </w:rPr>
      </w:pPr>
      <w:r>
        <w:rPr>
          <w:i/>
          <w:iCs/>
          <w:color w:val="000000"/>
          <w:sz w:val="26"/>
          <w:szCs w:val="26"/>
        </w:rPr>
        <w:t>   </w:t>
      </w:r>
      <w:r w:rsidRPr="00D9228D">
        <w:rPr>
          <w:i/>
          <w:iCs/>
          <w:color w:val="000000"/>
          <w:sz w:val="26"/>
          <w:szCs w:val="26"/>
        </w:rPr>
        <w:t>Diversity</w:t>
      </w:r>
      <w:r>
        <w:rPr>
          <w:color w:val="000000"/>
          <w:sz w:val="26"/>
          <w:szCs w:val="26"/>
        </w:rPr>
        <w:t>—</w:t>
      </w:r>
      <w:r w:rsidRPr="00D9228D">
        <w:rPr>
          <w:color w:val="000000"/>
          <w:sz w:val="26"/>
          <w:szCs w:val="26"/>
        </w:rPr>
        <w:t xml:space="preserve">The attainment of organizational objectives by maximizing the contributions of individuals from every segment of the population </w:t>
      </w:r>
      <w:r w:rsidRPr="00800ED8">
        <w:rPr>
          <w:color w:val="000000"/>
          <w:sz w:val="26"/>
          <w:szCs w:val="26"/>
          <w:u w:val="single"/>
        </w:rPr>
        <w:t xml:space="preserve">including minorities, women, </w:t>
      </w:r>
      <w:r>
        <w:rPr>
          <w:color w:val="000000"/>
          <w:sz w:val="26"/>
          <w:szCs w:val="26"/>
          <w:u w:val="single"/>
        </w:rPr>
        <w:t>persons</w:t>
      </w:r>
      <w:r w:rsidRPr="00800ED8">
        <w:rPr>
          <w:color w:val="000000"/>
          <w:sz w:val="26"/>
          <w:szCs w:val="26"/>
          <w:u w:val="single"/>
        </w:rPr>
        <w:t xml:space="preserve"> with disabilities, </w:t>
      </w:r>
      <w:proofErr w:type="gramStart"/>
      <w:r w:rsidRPr="00800ED8">
        <w:rPr>
          <w:color w:val="000000"/>
          <w:sz w:val="26"/>
          <w:szCs w:val="26"/>
          <w:u w:val="single"/>
        </w:rPr>
        <w:t>LGBT</w:t>
      </w:r>
      <w:r>
        <w:rPr>
          <w:color w:val="000000"/>
          <w:sz w:val="26"/>
          <w:szCs w:val="26"/>
          <w:u w:val="single"/>
        </w:rPr>
        <w:t>Q</w:t>
      </w:r>
      <w:proofErr w:type="gramEnd"/>
      <w:r w:rsidRPr="00800ED8">
        <w:rPr>
          <w:color w:val="000000"/>
          <w:sz w:val="26"/>
          <w:szCs w:val="26"/>
          <w:u w:val="single"/>
        </w:rPr>
        <w:t xml:space="preserve"> and veterans.</w:t>
      </w:r>
    </w:p>
    <w:p w14:paraId="304514FA" w14:textId="77777777" w:rsidR="00E60F1B" w:rsidRPr="0007456A" w:rsidRDefault="00E60F1B" w:rsidP="00E60F1B">
      <w:pPr>
        <w:pStyle w:val="NoSpacing"/>
        <w:rPr>
          <w:bCs/>
          <w:sz w:val="26"/>
          <w:szCs w:val="26"/>
        </w:rPr>
      </w:pPr>
    </w:p>
    <w:p w14:paraId="6542866C" w14:textId="77777777" w:rsidR="00E60F1B" w:rsidRPr="00247446" w:rsidRDefault="00E60F1B" w:rsidP="00E60F1B">
      <w:pPr>
        <w:widowControl w:val="0"/>
        <w:autoSpaceDE w:val="0"/>
        <w:autoSpaceDN w:val="0"/>
        <w:adjustRightInd w:val="0"/>
        <w:rPr>
          <w:strike/>
          <w:color w:val="000000"/>
          <w:sz w:val="26"/>
          <w:szCs w:val="26"/>
        </w:rPr>
      </w:pPr>
      <w:bookmarkStart w:id="4" w:name="co_anchor_I3339CB058C8811DEAEC4E00399601"/>
      <w:bookmarkEnd w:id="4"/>
      <w:r w:rsidRPr="00247446">
        <w:rPr>
          <w:i/>
          <w:iCs/>
          <w:strike/>
          <w:color w:val="000000"/>
          <w:sz w:val="26"/>
          <w:szCs w:val="26"/>
        </w:rPr>
        <w:t>   Exempt procurement</w:t>
      </w:r>
      <w:r w:rsidRPr="00247446">
        <w:rPr>
          <w:strike/>
          <w:color w:val="000000"/>
          <w:sz w:val="26"/>
          <w:szCs w:val="26"/>
        </w:rPr>
        <w:t>—A product or service which may be removed from the dollar base used to establish minimum improvement levels, because of the demonstrated unavailability of a minority/women/people with disabilities</w:t>
      </w:r>
      <w:r w:rsidRPr="00247446">
        <w:rPr>
          <w:strike/>
          <w:color w:val="000000"/>
          <w:sz w:val="26"/>
          <w:szCs w:val="26"/>
          <w:u w:val="single"/>
        </w:rPr>
        <w:t>/LGBTQ/veteran</w:t>
      </w:r>
      <w:r w:rsidRPr="00247446">
        <w:rPr>
          <w:strike/>
          <w:color w:val="000000"/>
          <w:sz w:val="26"/>
          <w:szCs w:val="26"/>
        </w:rPr>
        <w:t>-owned business currently capable of supplying a product or service. The term may also include one or more of the following situations:</w:t>
      </w:r>
    </w:p>
    <w:p w14:paraId="442BC1A3" w14:textId="77777777" w:rsidR="00E60F1B" w:rsidRPr="00247446" w:rsidRDefault="00E60F1B" w:rsidP="00E60F1B">
      <w:pPr>
        <w:widowControl w:val="0"/>
        <w:autoSpaceDE w:val="0"/>
        <w:autoSpaceDN w:val="0"/>
        <w:adjustRightInd w:val="0"/>
        <w:rPr>
          <w:strike/>
          <w:color w:val="000000"/>
          <w:sz w:val="26"/>
          <w:szCs w:val="26"/>
        </w:rPr>
      </w:pPr>
      <w:bookmarkStart w:id="5" w:name="co_anchor_I3339CB018C8811DEAEC4E00399601"/>
      <w:bookmarkStart w:id="6" w:name="co_pp_17a3000024864_1"/>
      <w:bookmarkEnd w:id="5"/>
      <w:bookmarkEnd w:id="6"/>
    </w:p>
    <w:p w14:paraId="5DB07356" w14:textId="77777777" w:rsidR="00E60F1B" w:rsidRPr="00247446" w:rsidRDefault="00E60F1B" w:rsidP="00E60F1B">
      <w:pPr>
        <w:widowControl w:val="0"/>
        <w:autoSpaceDE w:val="0"/>
        <w:autoSpaceDN w:val="0"/>
        <w:adjustRightInd w:val="0"/>
        <w:rPr>
          <w:strike/>
          <w:color w:val="000000"/>
          <w:sz w:val="26"/>
          <w:szCs w:val="26"/>
        </w:rPr>
      </w:pPr>
      <w:r w:rsidRPr="00247446">
        <w:rPr>
          <w:strike/>
          <w:color w:val="000000"/>
          <w:sz w:val="26"/>
          <w:szCs w:val="26"/>
        </w:rPr>
        <w:t>     (</w:t>
      </w:r>
      <w:proofErr w:type="spellStart"/>
      <w:r w:rsidRPr="00247446">
        <w:rPr>
          <w:strike/>
          <w:color w:val="000000"/>
          <w:sz w:val="26"/>
          <w:szCs w:val="26"/>
        </w:rPr>
        <w:t>i</w:t>
      </w:r>
      <w:proofErr w:type="spellEnd"/>
      <w:r w:rsidRPr="00247446">
        <w:rPr>
          <w:strike/>
          <w:color w:val="000000"/>
          <w:sz w:val="26"/>
          <w:szCs w:val="26"/>
        </w:rPr>
        <w:t>) The vendor is the original equipment manufacturer.</w:t>
      </w:r>
    </w:p>
    <w:p w14:paraId="5545A460" w14:textId="77777777" w:rsidR="00E60F1B" w:rsidRPr="00247446" w:rsidRDefault="00E60F1B" w:rsidP="00E60F1B">
      <w:pPr>
        <w:widowControl w:val="0"/>
        <w:autoSpaceDE w:val="0"/>
        <w:autoSpaceDN w:val="0"/>
        <w:adjustRightInd w:val="0"/>
        <w:rPr>
          <w:strike/>
          <w:color w:val="000000"/>
          <w:sz w:val="26"/>
          <w:szCs w:val="26"/>
        </w:rPr>
      </w:pPr>
      <w:bookmarkStart w:id="7" w:name="co_anchor_I3339CB028C8811DEAEC4E00399601"/>
      <w:bookmarkEnd w:id="7"/>
    </w:p>
    <w:p w14:paraId="6BBFD38F" w14:textId="77777777" w:rsidR="00E60F1B" w:rsidRPr="00247446" w:rsidRDefault="00E60F1B" w:rsidP="00E60F1B">
      <w:pPr>
        <w:widowControl w:val="0"/>
        <w:autoSpaceDE w:val="0"/>
        <w:autoSpaceDN w:val="0"/>
        <w:adjustRightInd w:val="0"/>
        <w:rPr>
          <w:strike/>
          <w:color w:val="000000"/>
          <w:sz w:val="26"/>
          <w:szCs w:val="26"/>
        </w:rPr>
      </w:pPr>
      <w:bookmarkStart w:id="8" w:name="co_pp_8d080000c5814_1"/>
      <w:bookmarkEnd w:id="8"/>
      <w:r w:rsidRPr="00247446">
        <w:rPr>
          <w:strike/>
          <w:color w:val="000000"/>
          <w:sz w:val="26"/>
          <w:szCs w:val="26"/>
        </w:rPr>
        <w:t>     (ii) The vendor is the only known source of the product or service.</w:t>
      </w:r>
    </w:p>
    <w:p w14:paraId="3924093D" w14:textId="77777777" w:rsidR="00E60F1B" w:rsidRPr="00247446" w:rsidRDefault="00E60F1B" w:rsidP="00E60F1B">
      <w:pPr>
        <w:widowControl w:val="0"/>
        <w:autoSpaceDE w:val="0"/>
        <w:autoSpaceDN w:val="0"/>
        <w:adjustRightInd w:val="0"/>
        <w:rPr>
          <w:strike/>
          <w:color w:val="000000"/>
          <w:sz w:val="26"/>
          <w:szCs w:val="26"/>
        </w:rPr>
      </w:pPr>
      <w:bookmarkStart w:id="9" w:name="co_anchor_I3339CB038C8811DEAEC4E00399601"/>
      <w:bookmarkEnd w:id="9"/>
    </w:p>
    <w:p w14:paraId="36833F67" w14:textId="77777777" w:rsidR="00E60F1B" w:rsidRPr="00247446" w:rsidRDefault="00E60F1B" w:rsidP="00E60F1B">
      <w:pPr>
        <w:widowControl w:val="0"/>
        <w:autoSpaceDE w:val="0"/>
        <w:autoSpaceDN w:val="0"/>
        <w:adjustRightInd w:val="0"/>
        <w:rPr>
          <w:strike/>
          <w:color w:val="000000"/>
          <w:sz w:val="26"/>
          <w:szCs w:val="26"/>
        </w:rPr>
      </w:pPr>
      <w:bookmarkStart w:id="10" w:name="co_pp_6865000085854_1"/>
      <w:bookmarkEnd w:id="10"/>
      <w:r w:rsidRPr="00247446">
        <w:rPr>
          <w:strike/>
          <w:color w:val="000000"/>
          <w:sz w:val="26"/>
          <w:szCs w:val="26"/>
        </w:rPr>
        <w:t>     (iii) A plant emergency situation dictates use of a specific vendor.</w:t>
      </w:r>
    </w:p>
    <w:p w14:paraId="64242EE1" w14:textId="77777777" w:rsidR="00E60F1B" w:rsidRPr="00247446" w:rsidRDefault="00E60F1B" w:rsidP="00E60F1B">
      <w:pPr>
        <w:widowControl w:val="0"/>
        <w:autoSpaceDE w:val="0"/>
        <w:autoSpaceDN w:val="0"/>
        <w:adjustRightInd w:val="0"/>
        <w:rPr>
          <w:strike/>
          <w:color w:val="000000"/>
          <w:sz w:val="26"/>
          <w:szCs w:val="26"/>
        </w:rPr>
      </w:pPr>
      <w:bookmarkStart w:id="11" w:name="co_anchor_I3339CB048C8811DEAEC4E00399601"/>
      <w:bookmarkEnd w:id="11"/>
    </w:p>
    <w:p w14:paraId="5B274D1F" w14:textId="77777777" w:rsidR="00E60F1B" w:rsidRPr="00247446" w:rsidRDefault="00E60F1B" w:rsidP="00E60F1B">
      <w:pPr>
        <w:widowControl w:val="0"/>
        <w:autoSpaceDE w:val="0"/>
        <w:autoSpaceDN w:val="0"/>
        <w:adjustRightInd w:val="0"/>
        <w:rPr>
          <w:strike/>
          <w:color w:val="000000"/>
          <w:sz w:val="26"/>
          <w:szCs w:val="26"/>
        </w:rPr>
      </w:pPr>
      <w:bookmarkStart w:id="12" w:name="co_pp_98d600008a6e3_1"/>
      <w:bookmarkEnd w:id="12"/>
      <w:r w:rsidRPr="00247446">
        <w:rPr>
          <w:strike/>
          <w:color w:val="000000"/>
          <w:sz w:val="26"/>
          <w:szCs w:val="26"/>
        </w:rPr>
        <w:t xml:space="preserve">     (iv) Purchases from affiliates, corporate </w:t>
      </w:r>
      <w:proofErr w:type="gramStart"/>
      <w:r w:rsidRPr="00247446">
        <w:rPr>
          <w:strike/>
          <w:color w:val="000000"/>
          <w:sz w:val="26"/>
          <w:szCs w:val="26"/>
        </w:rPr>
        <w:t>parents</w:t>
      </w:r>
      <w:proofErr w:type="gramEnd"/>
      <w:r w:rsidRPr="00247446">
        <w:rPr>
          <w:strike/>
          <w:color w:val="000000"/>
          <w:sz w:val="26"/>
          <w:szCs w:val="26"/>
        </w:rPr>
        <w:t xml:space="preserve"> and their subsidiaries.</w:t>
      </w:r>
    </w:p>
    <w:p w14:paraId="0DC680DF" w14:textId="77777777" w:rsidR="00E60F1B" w:rsidRPr="00455063" w:rsidRDefault="00E60F1B" w:rsidP="00E60F1B">
      <w:pPr>
        <w:widowControl w:val="0"/>
        <w:autoSpaceDE w:val="0"/>
        <w:autoSpaceDN w:val="0"/>
        <w:adjustRightInd w:val="0"/>
        <w:rPr>
          <w:color w:val="000000"/>
          <w:sz w:val="26"/>
          <w:szCs w:val="26"/>
        </w:rPr>
      </w:pPr>
    </w:p>
    <w:p w14:paraId="134A9FFD" w14:textId="5B80F519" w:rsidR="00E60F1B" w:rsidRPr="00076BC0" w:rsidRDefault="00E60F1B" w:rsidP="00E60F1B">
      <w:pPr>
        <w:widowControl w:val="0"/>
        <w:autoSpaceDE w:val="0"/>
        <w:autoSpaceDN w:val="0"/>
        <w:adjustRightInd w:val="0"/>
        <w:rPr>
          <w:color w:val="000000"/>
          <w:sz w:val="26"/>
          <w:szCs w:val="26"/>
        </w:rPr>
      </w:pPr>
      <w:r>
        <w:rPr>
          <w:i/>
          <w:iCs/>
          <w:color w:val="000000"/>
          <w:sz w:val="26"/>
          <w:szCs w:val="26"/>
        </w:rPr>
        <w:t>   </w:t>
      </w:r>
      <w:r w:rsidRPr="00455063">
        <w:rPr>
          <w:i/>
          <w:iCs/>
          <w:color w:val="000000"/>
          <w:sz w:val="26"/>
          <w:szCs w:val="26"/>
        </w:rPr>
        <w:t>Hispanic</w:t>
      </w:r>
      <w:r w:rsidRPr="00415681">
        <w:rPr>
          <w:i/>
          <w:iCs/>
          <w:strike/>
          <w:color w:val="000000"/>
          <w:sz w:val="26"/>
          <w:szCs w:val="26"/>
        </w:rPr>
        <w:t>-Americans</w:t>
      </w:r>
      <w:r w:rsidR="00415681">
        <w:rPr>
          <w:color w:val="000000"/>
          <w:sz w:val="26"/>
          <w:szCs w:val="26"/>
        </w:rPr>
        <w:t xml:space="preserve"> </w:t>
      </w:r>
      <w:r w:rsidR="00415681" w:rsidRPr="00C07313">
        <w:rPr>
          <w:i/>
          <w:iCs/>
          <w:color w:val="000000"/>
          <w:sz w:val="26"/>
          <w:szCs w:val="26"/>
        </w:rPr>
        <w:t>OR LATINO</w:t>
      </w:r>
      <w:r>
        <w:rPr>
          <w:color w:val="000000"/>
          <w:sz w:val="26"/>
          <w:szCs w:val="26"/>
        </w:rPr>
        <w:t>—</w:t>
      </w:r>
      <w:r w:rsidRPr="00076BC0">
        <w:rPr>
          <w:strike/>
          <w:color w:val="000000"/>
          <w:sz w:val="26"/>
          <w:szCs w:val="26"/>
        </w:rPr>
        <w:t xml:space="preserve">United States citizens or legal aliens with permanent residence status in the United States who have origins in Mexico, Puerto Rico, Cuba, South America, Central </w:t>
      </w:r>
      <w:proofErr w:type="gramStart"/>
      <w:r w:rsidRPr="00076BC0">
        <w:rPr>
          <w:strike/>
          <w:color w:val="000000"/>
          <w:sz w:val="26"/>
          <w:szCs w:val="26"/>
        </w:rPr>
        <w:t>America</w:t>
      </w:r>
      <w:proofErr w:type="gramEnd"/>
      <w:r w:rsidRPr="00076BC0">
        <w:rPr>
          <w:strike/>
          <w:color w:val="000000"/>
          <w:sz w:val="26"/>
          <w:szCs w:val="26"/>
        </w:rPr>
        <w:t xml:space="preserve"> and the Caribbean.</w:t>
      </w:r>
      <w:r w:rsidR="00076BC0">
        <w:rPr>
          <w:color w:val="000000"/>
          <w:sz w:val="26"/>
          <w:szCs w:val="26"/>
        </w:rPr>
        <w:t xml:space="preserve"> A PERSON OF CUBAN, MEXICAN, PUERTO RICAN, SOUTH OR CENTRAL AMERICAN, OR OTHER SPANISH CULTURE OR ORIGIN REGARDLESS OF RACE.</w:t>
      </w:r>
    </w:p>
    <w:p w14:paraId="30E8707F" w14:textId="77777777" w:rsidR="00E60F1B" w:rsidRDefault="00E60F1B" w:rsidP="00E60F1B">
      <w:pPr>
        <w:pStyle w:val="NoSpacing"/>
        <w:rPr>
          <w:b/>
          <w:sz w:val="26"/>
          <w:szCs w:val="26"/>
        </w:rPr>
      </w:pPr>
    </w:p>
    <w:p w14:paraId="60308BD4" w14:textId="2605C3EB" w:rsidR="00E60F1B" w:rsidRDefault="00E60F1B" w:rsidP="00E60F1B">
      <w:pPr>
        <w:widowControl w:val="0"/>
        <w:autoSpaceDE w:val="0"/>
        <w:autoSpaceDN w:val="0"/>
        <w:adjustRightInd w:val="0"/>
        <w:rPr>
          <w:color w:val="000000"/>
          <w:sz w:val="26"/>
          <w:szCs w:val="26"/>
        </w:rPr>
      </w:pPr>
      <w:r w:rsidRPr="00F42307">
        <w:rPr>
          <w:i/>
          <w:iCs/>
          <w:color w:val="000000"/>
          <w:sz w:val="26"/>
          <w:szCs w:val="26"/>
        </w:rPr>
        <w:t>   </w:t>
      </w:r>
      <w:r w:rsidRPr="0038048C">
        <w:rPr>
          <w:i/>
          <w:iCs/>
          <w:color w:val="000000"/>
          <w:sz w:val="26"/>
          <w:szCs w:val="26"/>
          <w:u w:val="single"/>
        </w:rPr>
        <w:t>LGBTQ</w:t>
      </w:r>
      <w:r w:rsidRPr="0038048C">
        <w:rPr>
          <w:color w:val="000000"/>
          <w:sz w:val="26"/>
          <w:szCs w:val="26"/>
          <w:u w:val="single"/>
        </w:rPr>
        <w:t>—</w:t>
      </w:r>
      <w:r w:rsidRPr="00181D5C">
        <w:rPr>
          <w:color w:val="000000"/>
          <w:sz w:val="26"/>
          <w:szCs w:val="26"/>
          <w:u w:val="single"/>
        </w:rPr>
        <w:t>Lesbian, gay, bisexual, transgender, queer, and questioning.</w:t>
      </w:r>
      <w:r w:rsidR="00F57B25">
        <w:rPr>
          <w:color w:val="000000"/>
          <w:sz w:val="26"/>
          <w:szCs w:val="26"/>
          <w:u w:val="single"/>
        </w:rPr>
        <w:t xml:space="preserve">  THIS TERM ALSO INCLUDES</w:t>
      </w:r>
      <w:r w:rsidR="00E81CF8">
        <w:rPr>
          <w:color w:val="000000"/>
          <w:sz w:val="26"/>
          <w:szCs w:val="26"/>
          <w:u w:val="single"/>
        </w:rPr>
        <w:t xml:space="preserve"> GENDER NON-CONFORMING INDIVIDUAL</w:t>
      </w:r>
      <w:r w:rsidR="007453B9">
        <w:rPr>
          <w:color w:val="000000"/>
          <w:sz w:val="26"/>
          <w:szCs w:val="26"/>
          <w:u w:val="single"/>
        </w:rPr>
        <w:t>S</w:t>
      </w:r>
      <w:r w:rsidR="00E81CF8">
        <w:rPr>
          <w:color w:val="000000"/>
          <w:sz w:val="26"/>
          <w:szCs w:val="26"/>
          <w:u w:val="single"/>
        </w:rPr>
        <w:t>.</w:t>
      </w:r>
    </w:p>
    <w:p w14:paraId="41714019" w14:textId="77777777" w:rsidR="00E60F1B" w:rsidRDefault="00E60F1B" w:rsidP="00E60F1B">
      <w:pPr>
        <w:widowControl w:val="0"/>
        <w:autoSpaceDE w:val="0"/>
        <w:autoSpaceDN w:val="0"/>
        <w:adjustRightInd w:val="0"/>
        <w:rPr>
          <w:color w:val="000000"/>
          <w:sz w:val="26"/>
          <w:szCs w:val="26"/>
        </w:rPr>
      </w:pPr>
    </w:p>
    <w:p w14:paraId="30B4D121" w14:textId="77777777" w:rsidR="00E60F1B" w:rsidRPr="0085193B" w:rsidRDefault="00E60F1B" w:rsidP="00E60F1B">
      <w:pPr>
        <w:widowControl w:val="0"/>
        <w:autoSpaceDE w:val="0"/>
        <w:autoSpaceDN w:val="0"/>
        <w:adjustRightInd w:val="0"/>
        <w:rPr>
          <w:color w:val="000000"/>
          <w:sz w:val="26"/>
          <w:szCs w:val="26"/>
        </w:rPr>
      </w:pPr>
      <w:r>
        <w:rPr>
          <w:i/>
          <w:iCs/>
          <w:color w:val="000000"/>
          <w:sz w:val="26"/>
          <w:szCs w:val="26"/>
        </w:rPr>
        <w:t>   </w:t>
      </w:r>
      <w:r w:rsidRPr="0085193B">
        <w:rPr>
          <w:i/>
          <w:iCs/>
          <w:color w:val="000000"/>
          <w:sz w:val="26"/>
          <w:szCs w:val="26"/>
        </w:rPr>
        <w:t>Long-term plan</w:t>
      </w:r>
      <w:r>
        <w:rPr>
          <w:color w:val="000000"/>
          <w:sz w:val="26"/>
          <w:szCs w:val="26"/>
        </w:rPr>
        <w:t>—</w:t>
      </w:r>
      <w:r w:rsidRPr="0085193B">
        <w:rPr>
          <w:color w:val="000000"/>
          <w:sz w:val="26"/>
          <w:szCs w:val="26"/>
        </w:rPr>
        <w:t>A plan applicable to a period of 5 years.</w:t>
      </w:r>
    </w:p>
    <w:p w14:paraId="23C7B4DC" w14:textId="77777777" w:rsidR="00E60F1B" w:rsidRPr="0085193B" w:rsidRDefault="00E60F1B" w:rsidP="00E60F1B">
      <w:pPr>
        <w:widowControl w:val="0"/>
        <w:autoSpaceDE w:val="0"/>
        <w:autoSpaceDN w:val="0"/>
        <w:adjustRightInd w:val="0"/>
        <w:rPr>
          <w:color w:val="000000"/>
          <w:sz w:val="26"/>
          <w:szCs w:val="26"/>
        </w:rPr>
      </w:pPr>
    </w:p>
    <w:p w14:paraId="3F72158B" w14:textId="77777777" w:rsidR="00E60F1B" w:rsidRPr="0085193B" w:rsidRDefault="00E60F1B" w:rsidP="00E60F1B">
      <w:pPr>
        <w:widowControl w:val="0"/>
        <w:autoSpaceDE w:val="0"/>
        <w:autoSpaceDN w:val="0"/>
        <w:adjustRightInd w:val="0"/>
        <w:rPr>
          <w:color w:val="000000"/>
          <w:sz w:val="26"/>
          <w:szCs w:val="26"/>
        </w:rPr>
      </w:pPr>
      <w:bookmarkStart w:id="13" w:name="co_anchor_I3339CB078C8811DEAEC4E00399601"/>
      <w:bookmarkEnd w:id="13"/>
      <w:r>
        <w:rPr>
          <w:color w:val="000000"/>
          <w:sz w:val="26"/>
          <w:szCs w:val="26"/>
        </w:rPr>
        <w:t>   [</w:t>
      </w:r>
      <w:r w:rsidRPr="0085193B">
        <w:rPr>
          <w:i/>
          <w:iCs/>
          <w:color w:val="000000"/>
          <w:sz w:val="26"/>
          <w:szCs w:val="26"/>
        </w:rPr>
        <w:t>MBE</w:t>
      </w:r>
      <w:r>
        <w:rPr>
          <w:color w:val="000000"/>
          <w:sz w:val="26"/>
          <w:szCs w:val="26"/>
        </w:rPr>
        <w:t>—]</w:t>
      </w:r>
      <w:r w:rsidRPr="003A42FF">
        <w:rPr>
          <w:i/>
          <w:iCs/>
          <w:strike/>
          <w:color w:val="000000"/>
          <w:sz w:val="26"/>
          <w:szCs w:val="26"/>
        </w:rPr>
        <w:t>Minority-Owned Business Enterprise</w:t>
      </w:r>
      <w:r w:rsidRPr="003A42FF">
        <w:rPr>
          <w:strike/>
          <w:color w:val="000000"/>
          <w:sz w:val="26"/>
          <w:szCs w:val="26"/>
        </w:rPr>
        <w:t>—A business enterprise that is at least 51% owned by a minority individual or group or individuals; or a publicly-owned business that has at least 51% of its stock owned by one or more minority individuals, and whose management and daily business operations are controlled by these individuals. “Minority” may include African-Americans, Hispanic-Americans, Native Americans</w:t>
      </w:r>
      <w:r w:rsidRPr="003A42FF">
        <w:rPr>
          <w:strike/>
          <w:color w:val="000000"/>
          <w:sz w:val="26"/>
          <w:szCs w:val="26"/>
          <w:u w:val="single"/>
        </w:rPr>
        <w:t>, Subcontinent Asian-</w:t>
      </w:r>
      <w:proofErr w:type="gramStart"/>
      <w:r w:rsidRPr="003A42FF">
        <w:rPr>
          <w:strike/>
          <w:color w:val="000000"/>
          <w:sz w:val="26"/>
          <w:szCs w:val="26"/>
          <w:u w:val="single"/>
        </w:rPr>
        <w:t>Americans</w:t>
      </w:r>
      <w:proofErr w:type="gramEnd"/>
      <w:r w:rsidRPr="003A42FF">
        <w:rPr>
          <w:strike/>
          <w:color w:val="000000"/>
          <w:sz w:val="26"/>
          <w:szCs w:val="26"/>
        </w:rPr>
        <w:t xml:space="preserve"> and Asian</w:t>
      </w:r>
      <w:r w:rsidRPr="003A42FF">
        <w:rPr>
          <w:strike/>
          <w:color w:val="000000"/>
          <w:sz w:val="26"/>
          <w:szCs w:val="26"/>
          <w:u w:val="single"/>
        </w:rPr>
        <w:t xml:space="preserve"> Pacific-</w:t>
      </w:r>
      <w:r w:rsidRPr="003A42FF">
        <w:rPr>
          <w:strike/>
          <w:color w:val="000000"/>
          <w:sz w:val="26"/>
          <w:szCs w:val="26"/>
        </w:rPr>
        <w:t>Americans, as well as other groups found to be disadvantaged under section 8(a) of the Small Business Act (</w:t>
      </w:r>
      <w:r w:rsidRPr="003A42FF">
        <w:rPr>
          <w:strike/>
          <w:sz w:val="26"/>
          <w:szCs w:val="26"/>
        </w:rPr>
        <w:t>15 U.S.C.A. § 637(d)</w:t>
      </w:r>
      <w:r w:rsidRPr="003A42FF">
        <w:rPr>
          <w:strike/>
          <w:color w:val="000000"/>
          <w:sz w:val="26"/>
          <w:szCs w:val="26"/>
        </w:rPr>
        <w:t>).</w:t>
      </w:r>
    </w:p>
    <w:p w14:paraId="16B14320" w14:textId="783E4791" w:rsidR="00E60F1B" w:rsidRPr="0085193B" w:rsidRDefault="00E60F1B" w:rsidP="00E60F1B">
      <w:pPr>
        <w:widowControl w:val="0"/>
        <w:autoSpaceDE w:val="0"/>
        <w:autoSpaceDN w:val="0"/>
        <w:adjustRightInd w:val="0"/>
        <w:rPr>
          <w:color w:val="000000"/>
          <w:sz w:val="26"/>
          <w:szCs w:val="26"/>
        </w:rPr>
      </w:pPr>
    </w:p>
    <w:p w14:paraId="2968DCFF" w14:textId="2F3D51C5" w:rsidR="00E60F1B" w:rsidRPr="0085193B" w:rsidRDefault="00E60F1B" w:rsidP="00E60F1B">
      <w:pPr>
        <w:widowControl w:val="0"/>
        <w:autoSpaceDE w:val="0"/>
        <w:autoSpaceDN w:val="0"/>
        <w:adjustRightInd w:val="0"/>
        <w:rPr>
          <w:color w:val="000000"/>
          <w:sz w:val="26"/>
          <w:szCs w:val="26"/>
        </w:rPr>
      </w:pPr>
      <w:bookmarkStart w:id="14" w:name="co_anchor_I3339F2108C8811DEAEC4E00399601"/>
      <w:bookmarkEnd w:id="14"/>
      <w:r>
        <w:rPr>
          <w:i/>
          <w:iCs/>
          <w:color w:val="000000"/>
          <w:sz w:val="26"/>
          <w:szCs w:val="26"/>
        </w:rPr>
        <w:t>   </w:t>
      </w:r>
      <w:r w:rsidRPr="0085193B">
        <w:rPr>
          <w:i/>
          <w:iCs/>
          <w:color w:val="000000"/>
          <w:sz w:val="26"/>
          <w:szCs w:val="26"/>
        </w:rPr>
        <w:t>MIL</w:t>
      </w:r>
      <w:r>
        <w:rPr>
          <w:color w:val="000000"/>
          <w:sz w:val="26"/>
          <w:szCs w:val="26"/>
        </w:rPr>
        <w:t>—</w:t>
      </w:r>
      <w:r w:rsidRPr="0085193B">
        <w:rPr>
          <w:i/>
          <w:iCs/>
          <w:color w:val="000000"/>
          <w:sz w:val="26"/>
          <w:szCs w:val="26"/>
        </w:rPr>
        <w:t>Minimum Improvement Level</w:t>
      </w:r>
      <w:r>
        <w:rPr>
          <w:color w:val="000000"/>
          <w:sz w:val="26"/>
          <w:szCs w:val="26"/>
        </w:rPr>
        <w:t>—</w:t>
      </w:r>
      <w:r w:rsidRPr="0085193B">
        <w:rPr>
          <w:color w:val="000000"/>
          <w:sz w:val="26"/>
          <w:szCs w:val="26"/>
        </w:rPr>
        <w:t xml:space="preserve">A level or goal which, when achieved, indicates progress in a preferred direction. </w:t>
      </w:r>
      <w:r w:rsidR="002E33F6">
        <w:rPr>
          <w:color w:val="000000"/>
          <w:sz w:val="26"/>
          <w:szCs w:val="26"/>
        </w:rPr>
        <w:t xml:space="preserve"> </w:t>
      </w:r>
      <w:r w:rsidRPr="0085193B">
        <w:rPr>
          <w:color w:val="000000"/>
          <w:sz w:val="26"/>
          <w:szCs w:val="26"/>
        </w:rPr>
        <w:t xml:space="preserve">An MIL is neither a requirement nor a quota, and no </w:t>
      </w:r>
      <w:r w:rsidRPr="0085193B">
        <w:rPr>
          <w:color w:val="000000"/>
          <w:sz w:val="26"/>
          <w:szCs w:val="26"/>
        </w:rPr>
        <w:lastRenderedPageBreak/>
        <w:t>specific participation levels are intended.</w:t>
      </w:r>
    </w:p>
    <w:p w14:paraId="36F2E938" w14:textId="7C1FE3AB" w:rsidR="00E60F1B" w:rsidRPr="0085193B" w:rsidRDefault="00E60F1B" w:rsidP="00E60F1B">
      <w:pPr>
        <w:widowControl w:val="0"/>
        <w:autoSpaceDE w:val="0"/>
        <w:autoSpaceDN w:val="0"/>
        <w:adjustRightInd w:val="0"/>
        <w:rPr>
          <w:color w:val="000000"/>
          <w:sz w:val="26"/>
          <w:szCs w:val="26"/>
        </w:rPr>
      </w:pPr>
    </w:p>
    <w:p w14:paraId="1FE9E73B" w14:textId="77777777" w:rsidR="00E60F1B" w:rsidRPr="0085193B" w:rsidRDefault="00E60F1B" w:rsidP="00E60F1B">
      <w:pPr>
        <w:widowControl w:val="0"/>
        <w:autoSpaceDE w:val="0"/>
        <w:autoSpaceDN w:val="0"/>
        <w:adjustRightInd w:val="0"/>
        <w:rPr>
          <w:color w:val="000000"/>
          <w:sz w:val="26"/>
          <w:szCs w:val="26"/>
        </w:rPr>
      </w:pPr>
      <w:bookmarkStart w:id="15" w:name="co_anchor_I3339F2118C8811DEAEC4E00399601"/>
      <w:bookmarkEnd w:id="15"/>
      <w:r>
        <w:rPr>
          <w:i/>
          <w:iCs/>
          <w:color w:val="000000"/>
          <w:sz w:val="26"/>
          <w:szCs w:val="26"/>
        </w:rPr>
        <w:t>   </w:t>
      </w:r>
      <w:r w:rsidRPr="0085193B">
        <w:rPr>
          <w:i/>
          <w:iCs/>
          <w:color w:val="000000"/>
          <w:sz w:val="26"/>
          <w:szCs w:val="26"/>
        </w:rPr>
        <w:t>Major jurisdictional utility company</w:t>
      </w:r>
      <w:r>
        <w:rPr>
          <w:color w:val="000000"/>
          <w:sz w:val="26"/>
          <w:szCs w:val="26"/>
        </w:rPr>
        <w:t>—</w:t>
      </w:r>
      <w:r w:rsidRPr="0085193B">
        <w:rPr>
          <w:color w:val="000000"/>
          <w:sz w:val="26"/>
          <w:szCs w:val="26"/>
        </w:rPr>
        <w:t xml:space="preserve">Electric, gas, </w:t>
      </w:r>
      <w:proofErr w:type="gramStart"/>
      <w:r w:rsidRPr="0085193B">
        <w:rPr>
          <w:color w:val="000000"/>
          <w:sz w:val="26"/>
          <w:szCs w:val="26"/>
        </w:rPr>
        <w:t>water</w:t>
      </w:r>
      <w:proofErr w:type="gramEnd"/>
      <w:r w:rsidRPr="0085193B">
        <w:rPr>
          <w:color w:val="000000"/>
          <w:sz w:val="26"/>
          <w:szCs w:val="26"/>
        </w:rPr>
        <w:t xml:space="preserve"> and telephone utilities whose net plant in service is valued at $10 million or more. The term includes major telephone companies, defined as companies exceeding 50,000 access lines.</w:t>
      </w:r>
    </w:p>
    <w:p w14:paraId="6B588CC3" w14:textId="6B3B8418" w:rsidR="00E60F1B" w:rsidRPr="0085193B" w:rsidRDefault="00E60F1B" w:rsidP="00E60F1B">
      <w:pPr>
        <w:widowControl w:val="0"/>
        <w:autoSpaceDE w:val="0"/>
        <w:autoSpaceDN w:val="0"/>
        <w:adjustRightInd w:val="0"/>
        <w:rPr>
          <w:color w:val="000000"/>
          <w:sz w:val="26"/>
          <w:szCs w:val="26"/>
        </w:rPr>
      </w:pPr>
    </w:p>
    <w:p w14:paraId="3F1CF5DF" w14:textId="77777777" w:rsidR="00E60F1B" w:rsidRPr="0085193B" w:rsidRDefault="00E60F1B" w:rsidP="00E60F1B">
      <w:pPr>
        <w:widowControl w:val="0"/>
        <w:autoSpaceDE w:val="0"/>
        <w:autoSpaceDN w:val="0"/>
        <w:adjustRightInd w:val="0"/>
        <w:rPr>
          <w:color w:val="000000"/>
          <w:sz w:val="26"/>
          <w:szCs w:val="26"/>
        </w:rPr>
      </w:pPr>
      <w:bookmarkStart w:id="16" w:name="co_anchor_I3339F2128C8811DEAEC4E00399601"/>
      <w:bookmarkEnd w:id="16"/>
      <w:r>
        <w:rPr>
          <w:i/>
          <w:iCs/>
          <w:color w:val="000000"/>
          <w:sz w:val="26"/>
          <w:szCs w:val="26"/>
        </w:rPr>
        <w:t>   </w:t>
      </w:r>
      <w:r w:rsidRPr="0085193B">
        <w:rPr>
          <w:i/>
          <w:iCs/>
          <w:color w:val="000000"/>
          <w:sz w:val="26"/>
          <w:szCs w:val="26"/>
        </w:rPr>
        <w:t>Midterm plan</w:t>
      </w:r>
      <w:r>
        <w:rPr>
          <w:color w:val="000000"/>
          <w:sz w:val="26"/>
          <w:szCs w:val="26"/>
        </w:rPr>
        <w:t>—</w:t>
      </w:r>
      <w:r w:rsidRPr="0085193B">
        <w:rPr>
          <w:color w:val="000000"/>
          <w:sz w:val="26"/>
          <w:szCs w:val="26"/>
        </w:rPr>
        <w:t>A plan applicable to a period of 3 years.</w:t>
      </w:r>
    </w:p>
    <w:p w14:paraId="55114E8B" w14:textId="77777777" w:rsidR="00E60F1B" w:rsidRPr="0085193B" w:rsidRDefault="00E60F1B" w:rsidP="00E60F1B">
      <w:pPr>
        <w:widowControl w:val="0"/>
        <w:autoSpaceDE w:val="0"/>
        <w:autoSpaceDN w:val="0"/>
        <w:adjustRightInd w:val="0"/>
        <w:rPr>
          <w:color w:val="000000"/>
          <w:sz w:val="26"/>
          <w:szCs w:val="26"/>
        </w:rPr>
      </w:pPr>
    </w:p>
    <w:p w14:paraId="13FEFEDE" w14:textId="58F5C8B5" w:rsidR="00E60F1B" w:rsidRDefault="00E60F1B" w:rsidP="00E60F1B">
      <w:pPr>
        <w:widowControl w:val="0"/>
        <w:autoSpaceDE w:val="0"/>
        <w:autoSpaceDN w:val="0"/>
        <w:adjustRightInd w:val="0"/>
        <w:rPr>
          <w:strike/>
          <w:color w:val="000000"/>
          <w:sz w:val="26"/>
          <w:szCs w:val="26"/>
        </w:rPr>
      </w:pPr>
      <w:bookmarkStart w:id="17" w:name="co_anchor_I3339F2138C8811DEAEC4E00399601"/>
      <w:bookmarkEnd w:id="17"/>
      <w:r>
        <w:rPr>
          <w:i/>
          <w:iCs/>
          <w:color w:val="000000"/>
          <w:sz w:val="26"/>
          <w:szCs w:val="26"/>
        </w:rPr>
        <w:t>   </w:t>
      </w:r>
      <w:r w:rsidRPr="0062250B">
        <w:rPr>
          <w:i/>
          <w:iCs/>
          <w:strike/>
          <w:color w:val="000000"/>
          <w:sz w:val="26"/>
          <w:szCs w:val="26"/>
        </w:rPr>
        <w:t>Native-Americans</w:t>
      </w:r>
      <w:r w:rsidRPr="0062250B">
        <w:rPr>
          <w:strike/>
          <w:color w:val="000000"/>
          <w:sz w:val="26"/>
          <w:szCs w:val="26"/>
        </w:rPr>
        <w:t xml:space="preserve">—United States citizens or legal aliens with permanent residence status in the United States who have origins in any of the original peoples of North America or Hawaiian Islands, in particular, American Indians, Eskimos, </w:t>
      </w:r>
      <w:proofErr w:type="spellStart"/>
      <w:r w:rsidRPr="0062250B">
        <w:rPr>
          <w:strike/>
          <w:color w:val="000000"/>
          <w:sz w:val="26"/>
          <w:szCs w:val="26"/>
        </w:rPr>
        <w:t>Aleutes</w:t>
      </w:r>
      <w:proofErr w:type="spellEnd"/>
      <w:r w:rsidRPr="0062250B">
        <w:rPr>
          <w:strike/>
          <w:color w:val="000000"/>
          <w:sz w:val="26"/>
          <w:szCs w:val="26"/>
        </w:rPr>
        <w:t xml:space="preserve"> and Native Hawaiians.</w:t>
      </w:r>
    </w:p>
    <w:p w14:paraId="6821B5D2" w14:textId="704932F8" w:rsidR="0062250B" w:rsidRDefault="0062250B" w:rsidP="00E60F1B">
      <w:pPr>
        <w:widowControl w:val="0"/>
        <w:autoSpaceDE w:val="0"/>
        <w:autoSpaceDN w:val="0"/>
        <w:adjustRightInd w:val="0"/>
        <w:rPr>
          <w:strike/>
          <w:color w:val="000000"/>
          <w:sz w:val="26"/>
          <w:szCs w:val="26"/>
        </w:rPr>
      </w:pPr>
    </w:p>
    <w:p w14:paraId="433553B2" w14:textId="1A493BCC" w:rsidR="0062250B" w:rsidRDefault="00E072BD" w:rsidP="00E60F1B">
      <w:pPr>
        <w:widowControl w:val="0"/>
        <w:autoSpaceDE w:val="0"/>
        <w:autoSpaceDN w:val="0"/>
        <w:adjustRightInd w:val="0"/>
        <w:rPr>
          <w:color w:val="000000"/>
          <w:sz w:val="26"/>
          <w:szCs w:val="26"/>
        </w:rPr>
      </w:pPr>
      <w:r>
        <w:rPr>
          <w:i/>
          <w:iCs/>
          <w:color w:val="000000"/>
          <w:sz w:val="26"/>
          <w:szCs w:val="26"/>
        </w:rPr>
        <w:t>   </w:t>
      </w:r>
      <w:r w:rsidR="0062250B" w:rsidRPr="00C07313">
        <w:rPr>
          <w:i/>
          <w:iCs/>
          <w:color w:val="000000"/>
          <w:sz w:val="26"/>
          <w:szCs w:val="26"/>
        </w:rPr>
        <w:t>NATIVE AMERICAN OR ALASKA NATIVE (NOT HISPANIC OR LATINO)</w:t>
      </w:r>
      <w:r w:rsidR="0062250B">
        <w:rPr>
          <w:color w:val="000000"/>
          <w:sz w:val="26"/>
          <w:szCs w:val="26"/>
        </w:rPr>
        <w:t xml:space="preserve">—A PERSON HAVING ORIGINS IN ANY OF THE ORIGINAL PEOPLES OF NORTH </w:t>
      </w:r>
      <w:r w:rsidR="00742799">
        <w:rPr>
          <w:color w:val="000000"/>
          <w:sz w:val="26"/>
          <w:szCs w:val="26"/>
        </w:rPr>
        <w:t>AND SOUTH AMERICA (INCLUDING CENTRAL AMERICA), AND WHO MAINTAIN TRIBAL AFFILIATION OR COMMUNITY ATTACHMENT.</w:t>
      </w:r>
    </w:p>
    <w:p w14:paraId="28B36C65" w14:textId="065228F3" w:rsidR="00742799" w:rsidRDefault="00742799" w:rsidP="00E60F1B">
      <w:pPr>
        <w:widowControl w:val="0"/>
        <w:autoSpaceDE w:val="0"/>
        <w:autoSpaceDN w:val="0"/>
        <w:adjustRightInd w:val="0"/>
        <w:rPr>
          <w:color w:val="000000"/>
          <w:sz w:val="26"/>
          <w:szCs w:val="26"/>
        </w:rPr>
      </w:pPr>
    </w:p>
    <w:p w14:paraId="18F9A5FB" w14:textId="0687B27E" w:rsidR="00742799" w:rsidRPr="0062250B" w:rsidRDefault="00E072BD" w:rsidP="00E60F1B">
      <w:pPr>
        <w:widowControl w:val="0"/>
        <w:autoSpaceDE w:val="0"/>
        <w:autoSpaceDN w:val="0"/>
        <w:adjustRightInd w:val="0"/>
        <w:rPr>
          <w:color w:val="000000"/>
          <w:sz w:val="26"/>
          <w:szCs w:val="26"/>
        </w:rPr>
      </w:pPr>
      <w:r>
        <w:rPr>
          <w:i/>
          <w:iCs/>
          <w:color w:val="000000"/>
          <w:sz w:val="26"/>
          <w:szCs w:val="26"/>
        </w:rPr>
        <w:t>   </w:t>
      </w:r>
      <w:r w:rsidR="00742799" w:rsidRPr="00C07313">
        <w:rPr>
          <w:i/>
          <w:iCs/>
          <w:color w:val="000000"/>
          <w:sz w:val="26"/>
          <w:szCs w:val="26"/>
        </w:rPr>
        <w:t>NATIVE HAWAIIAN OR PACIFIC ISLANDER (NOT HISPANIC OR LATINO)</w:t>
      </w:r>
      <w:r w:rsidR="00742799">
        <w:rPr>
          <w:color w:val="000000"/>
          <w:sz w:val="26"/>
          <w:szCs w:val="26"/>
        </w:rPr>
        <w:t xml:space="preserve">—A PERSON HAVING ORIGINS IN ANY OF THE PEOPLES OF HAWAII, GUAM, </w:t>
      </w:r>
      <w:r w:rsidR="00E01B9A">
        <w:rPr>
          <w:color w:val="000000"/>
          <w:sz w:val="26"/>
          <w:szCs w:val="26"/>
        </w:rPr>
        <w:t>SAMOA</w:t>
      </w:r>
      <w:r w:rsidR="00742799">
        <w:rPr>
          <w:color w:val="000000"/>
          <w:sz w:val="26"/>
          <w:szCs w:val="26"/>
        </w:rPr>
        <w:t>, OR OTHER PACIFIC ISLANDS</w:t>
      </w:r>
      <w:r w:rsidR="00E01B9A">
        <w:rPr>
          <w:color w:val="000000"/>
          <w:sz w:val="26"/>
          <w:szCs w:val="26"/>
        </w:rPr>
        <w:t>.</w:t>
      </w:r>
    </w:p>
    <w:p w14:paraId="3884525B" w14:textId="77777777" w:rsidR="00E60F1B" w:rsidRPr="0085193B" w:rsidRDefault="00E60F1B" w:rsidP="00E60F1B">
      <w:pPr>
        <w:widowControl w:val="0"/>
        <w:autoSpaceDE w:val="0"/>
        <w:autoSpaceDN w:val="0"/>
        <w:adjustRightInd w:val="0"/>
        <w:rPr>
          <w:color w:val="000000"/>
          <w:sz w:val="26"/>
          <w:szCs w:val="26"/>
        </w:rPr>
      </w:pPr>
    </w:p>
    <w:p w14:paraId="47584061" w14:textId="77777777" w:rsidR="00E60F1B" w:rsidRPr="003C5AB4" w:rsidRDefault="00E60F1B" w:rsidP="00E60F1B">
      <w:pPr>
        <w:widowControl w:val="0"/>
        <w:autoSpaceDE w:val="0"/>
        <w:autoSpaceDN w:val="0"/>
        <w:adjustRightInd w:val="0"/>
        <w:rPr>
          <w:strike/>
          <w:color w:val="000000"/>
          <w:sz w:val="26"/>
          <w:szCs w:val="26"/>
        </w:rPr>
      </w:pPr>
      <w:bookmarkStart w:id="18" w:name="co_anchor_I3339F2148C8811DEAEC4E00399601"/>
      <w:bookmarkEnd w:id="18"/>
      <w:r w:rsidRPr="003C5AB4">
        <w:rPr>
          <w:i/>
          <w:iCs/>
          <w:strike/>
          <w:color w:val="000000"/>
          <w:sz w:val="26"/>
          <w:szCs w:val="26"/>
        </w:rPr>
        <w:t>   Operate</w:t>
      </w:r>
      <w:r w:rsidRPr="003C5AB4">
        <w:rPr>
          <w:strike/>
          <w:color w:val="000000"/>
          <w:sz w:val="26"/>
          <w:szCs w:val="26"/>
        </w:rPr>
        <w:t>—Active involvement in the day-to-day management. The term involves more than acting as officers or directors.</w:t>
      </w:r>
    </w:p>
    <w:p w14:paraId="1FAAA27B" w14:textId="77777777" w:rsidR="00E60F1B" w:rsidRDefault="00E60F1B" w:rsidP="00E60F1B">
      <w:pPr>
        <w:widowControl w:val="0"/>
        <w:autoSpaceDE w:val="0"/>
        <w:autoSpaceDN w:val="0"/>
        <w:adjustRightInd w:val="0"/>
        <w:rPr>
          <w:color w:val="000000"/>
          <w:sz w:val="26"/>
          <w:szCs w:val="26"/>
        </w:rPr>
      </w:pPr>
    </w:p>
    <w:p w14:paraId="702808F8" w14:textId="2EF88FF2" w:rsidR="00E60F1B" w:rsidRPr="00B52008" w:rsidRDefault="00E60F1B" w:rsidP="00E60F1B">
      <w:pPr>
        <w:widowControl w:val="0"/>
        <w:autoSpaceDE w:val="0"/>
        <w:autoSpaceDN w:val="0"/>
        <w:adjustRightInd w:val="0"/>
        <w:rPr>
          <w:color w:val="000000"/>
          <w:sz w:val="26"/>
          <w:szCs w:val="26"/>
          <w:u w:val="single"/>
        </w:rPr>
      </w:pPr>
      <w:r w:rsidRPr="00F42307">
        <w:rPr>
          <w:i/>
          <w:iCs/>
          <w:color w:val="000000"/>
          <w:sz w:val="26"/>
          <w:szCs w:val="26"/>
        </w:rPr>
        <w:t>   </w:t>
      </w:r>
      <w:r>
        <w:rPr>
          <w:i/>
          <w:iCs/>
          <w:color w:val="000000"/>
          <w:sz w:val="26"/>
          <w:szCs w:val="26"/>
          <w:u w:val="single"/>
        </w:rPr>
        <w:t>Person with disabilities</w:t>
      </w:r>
      <w:r w:rsidRPr="00B52008">
        <w:rPr>
          <w:color w:val="000000"/>
          <w:sz w:val="26"/>
          <w:szCs w:val="26"/>
          <w:u w:val="single"/>
        </w:rPr>
        <w:t>—</w:t>
      </w:r>
      <w:r w:rsidRPr="00E31D7B">
        <w:rPr>
          <w:strike/>
          <w:color w:val="000000"/>
          <w:sz w:val="26"/>
          <w:szCs w:val="26"/>
          <w:u w:val="single"/>
        </w:rPr>
        <w:t>An individual</w:t>
      </w:r>
      <w:r w:rsidRPr="00B52008">
        <w:rPr>
          <w:color w:val="000000"/>
          <w:sz w:val="26"/>
          <w:szCs w:val="26"/>
          <w:u w:val="single"/>
        </w:rPr>
        <w:t xml:space="preserve"> </w:t>
      </w:r>
      <w:r w:rsidR="00D5529E">
        <w:rPr>
          <w:color w:val="000000"/>
          <w:sz w:val="26"/>
          <w:szCs w:val="26"/>
          <w:u w:val="single"/>
        </w:rPr>
        <w:t xml:space="preserve">A PERSON </w:t>
      </w:r>
      <w:r w:rsidRPr="00B52008">
        <w:rPr>
          <w:color w:val="000000"/>
          <w:sz w:val="26"/>
          <w:szCs w:val="26"/>
          <w:u w:val="single"/>
        </w:rPr>
        <w:t>who ha</w:t>
      </w:r>
      <w:r>
        <w:rPr>
          <w:color w:val="000000"/>
          <w:sz w:val="26"/>
          <w:szCs w:val="26"/>
          <w:u w:val="single"/>
        </w:rPr>
        <w:t>s</w:t>
      </w:r>
      <w:r w:rsidRPr="00B52008">
        <w:rPr>
          <w:color w:val="000000"/>
          <w:sz w:val="26"/>
          <w:szCs w:val="26"/>
          <w:u w:val="single"/>
        </w:rPr>
        <w:t xml:space="preserve"> a disability as defined in the Americans with Disabilities Act (ADA), 42 U.S.C.A. § 12102.</w:t>
      </w:r>
      <w:r w:rsidR="00C602F8">
        <w:rPr>
          <w:color w:val="000000"/>
          <w:sz w:val="26"/>
          <w:szCs w:val="26"/>
          <w:u w:val="single"/>
        </w:rPr>
        <w:t xml:space="preserve">  EMPLOYER REPORTING ON PERSON WITH DISABILITIES SHOULD BE BASED ON EMPLOYEE SELF IDENTIFICATION</w:t>
      </w:r>
      <w:r w:rsidR="00C602F8" w:rsidRPr="00B52008">
        <w:rPr>
          <w:color w:val="000000"/>
          <w:sz w:val="26"/>
          <w:szCs w:val="26"/>
          <w:u w:val="single"/>
        </w:rPr>
        <w:t>.</w:t>
      </w:r>
    </w:p>
    <w:p w14:paraId="4AED0C74" w14:textId="77777777" w:rsidR="00E60F1B" w:rsidRPr="0085193B" w:rsidRDefault="00E60F1B" w:rsidP="00E60F1B">
      <w:pPr>
        <w:widowControl w:val="0"/>
        <w:autoSpaceDE w:val="0"/>
        <w:autoSpaceDN w:val="0"/>
        <w:adjustRightInd w:val="0"/>
        <w:rPr>
          <w:color w:val="000000"/>
          <w:sz w:val="26"/>
          <w:szCs w:val="26"/>
        </w:rPr>
      </w:pPr>
    </w:p>
    <w:p w14:paraId="03038973" w14:textId="494B2265" w:rsidR="00E60F1B" w:rsidRPr="0085193B" w:rsidRDefault="00E60F1B" w:rsidP="00E60F1B">
      <w:pPr>
        <w:widowControl w:val="0"/>
        <w:autoSpaceDE w:val="0"/>
        <w:autoSpaceDN w:val="0"/>
        <w:adjustRightInd w:val="0"/>
        <w:rPr>
          <w:color w:val="000000"/>
          <w:sz w:val="26"/>
          <w:szCs w:val="26"/>
        </w:rPr>
      </w:pPr>
      <w:bookmarkStart w:id="19" w:name="co_anchor_I3339F2158C8811DEAEC4E00399601"/>
      <w:bookmarkEnd w:id="19"/>
      <w:r>
        <w:rPr>
          <w:i/>
          <w:iCs/>
          <w:color w:val="000000"/>
          <w:sz w:val="26"/>
          <w:szCs w:val="26"/>
        </w:rPr>
        <w:t>   </w:t>
      </w:r>
      <w:r w:rsidRPr="0085193B">
        <w:rPr>
          <w:i/>
          <w:iCs/>
          <w:color w:val="000000"/>
          <w:sz w:val="26"/>
          <w:szCs w:val="26"/>
        </w:rPr>
        <w:t>Short-term plan</w:t>
      </w:r>
      <w:r w:rsidRPr="00667A08">
        <w:rPr>
          <w:color w:val="000000"/>
          <w:sz w:val="26"/>
          <w:szCs w:val="26"/>
        </w:rPr>
        <w:t>—</w:t>
      </w:r>
      <w:r w:rsidRPr="0085193B">
        <w:rPr>
          <w:color w:val="000000"/>
          <w:sz w:val="26"/>
          <w:szCs w:val="26"/>
        </w:rPr>
        <w:t>A plan applicable to a period of 1 year.</w:t>
      </w:r>
    </w:p>
    <w:p w14:paraId="39BCA2F2" w14:textId="77777777" w:rsidR="00E60F1B" w:rsidRPr="0085193B" w:rsidRDefault="00E60F1B" w:rsidP="00E60F1B">
      <w:pPr>
        <w:widowControl w:val="0"/>
        <w:autoSpaceDE w:val="0"/>
        <w:autoSpaceDN w:val="0"/>
        <w:adjustRightInd w:val="0"/>
        <w:rPr>
          <w:color w:val="000000"/>
          <w:sz w:val="26"/>
          <w:szCs w:val="26"/>
        </w:rPr>
      </w:pPr>
    </w:p>
    <w:p w14:paraId="14C3F12A" w14:textId="77777777" w:rsidR="00E60F1B" w:rsidRPr="00E01B9A" w:rsidRDefault="00E60F1B" w:rsidP="00E60F1B">
      <w:pPr>
        <w:widowControl w:val="0"/>
        <w:autoSpaceDE w:val="0"/>
        <w:autoSpaceDN w:val="0"/>
        <w:adjustRightInd w:val="0"/>
        <w:rPr>
          <w:strike/>
          <w:color w:val="000000"/>
          <w:sz w:val="26"/>
          <w:szCs w:val="26"/>
        </w:rPr>
      </w:pPr>
      <w:bookmarkStart w:id="20" w:name="co_anchor_I333A19208C8811DEAEC4E00399601"/>
      <w:bookmarkEnd w:id="20"/>
      <w:r w:rsidRPr="00E01B9A">
        <w:rPr>
          <w:i/>
          <w:iCs/>
          <w:strike/>
          <w:color w:val="000000"/>
          <w:sz w:val="26"/>
          <w:szCs w:val="26"/>
        </w:rPr>
        <w:t>   Subcontinent Asian-Americans</w:t>
      </w:r>
      <w:r w:rsidRPr="00E01B9A">
        <w:rPr>
          <w:strike/>
          <w:color w:val="000000"/>
          <w:sz w:val="26"/>
          <w:szCs w:val="26"/>
        </w:rPr>
        <w:t xml:space="preserve">—United States citizens or legal aliens with permanent residence status in the United States who have origins in India, Pakistan, Bangladesh, Sri Lanka, </w:t>
      </w:r>
      <w:proofErr w:type="gramStart"/>
      <w:r w:rsidRPr="00E01B9A">
        <w:rPr>
          <w:strike/>
          <w:color w:val="000000"/>
          <w:sz w:val="26"/>
          <w:szCs w:val="26"/>
        </w:rPr>
        <w:t>Bhutan</w:t>
      </w:r>
      <w:proofErr w:type="gramEnd"/>
      <w:r w:rsidRPr="00E01B9A">
        <w:rPr>
          <w:strike/>
          <w:color w:val="000000"/>
          <w:sz w:val="26"/>
          <w:szCs w:val="26"/>
        </w:rPr>
        <w:t xml:space="preserve"> or Nepal.</w:t>
      </w:r>
    </w:p>
    <w:p w14:paraId="3C079B2B" w14:textId="77777777" w:rsidR="00E60F1B" w:rsidRPr="0085193B" w:rsidRDefault="00E60F1B" w:rsidP="00E60F1B">
      <w:pPr>
        <w:widowControl w:val="0"/>
        <w:autoSpaceDE w:val="0"/>
        <w:autoSpaceDN w:val="0"/>
        <w:adjustRightInd w:val="0"/>
        <w:rPr>
          <w:color w:val="000000"/>
          <w:sz w:val="26"/>
          <w:szCs w:val="26"/>
        </w:rPr>
      </w:pPr>
      <w:bookmarkStart w:id="21" w:name="co_anchor_I333A19218C8811DEAEC4E00399601"/>
      <w:bookmarkEnd w:id="21"/>
    </w:p>
    <w:p w14:paraId="0AD8A255" w14:textId="77777777" w:rsidR="00E60F1B" w:rsidRPr="000E36D0" w:rsidRDefault="00E60F1B" w:rsidP="00E60F1B">
      <w:pPr>
        <w:widowControl w:val="0"/>
        <w:autoSpaceDE w:val="0"/>
        <w:autoSpaceDN w:val="0"/>
        <w:adjustRightInd w:val="0"/>
        <w:rPr>
          <w:strike/>
          <w:color w:val="000000"/>
          <w:sz w:val="26"/>
          <w:szCs w:val="26"/>
        </w:rPr>
      </w:pPr>
      <w:r w:rsidRPr="000E36D0">
        <w:rPr>
          <w:i/>
          <w:iCs/>
          <w:strike/>
          <w:color w:val="000000"/>
          <w:sz w:val="26"/>
          <w:szCs w:val="26"/>
        </w:rPr>
        <w:t>   Subcontract</w:t>
      </w:r>
      <w:r w:rsidRPr="000E36D0">
        <w:rPr>
          <w:strike/>
          <w:color w:val="000000"/>
          <w:sz w:val="26"/>
          <w:szCs w:val="26"/>
        </w:rPr>
        <w:t xml:space="preserve">—An agreement or arrangement between a contractor and a party or person--in which the parties do not stand in the relationship of an employer and an </w:t>
      </w:r>
      <w:proofErr w:type="spellStart"/>
      <w:r w:rsidRPr="000E36D0">
        <w:rPr>
          <w:strike/>
          <w:color w:val="000000"/>
          <w:sz w:val="26"/>
          <w:szCs w:val="26"/>
        </w:rPr>
        <w:t>employe</w:t>
      </w:r>
      <w:proofErr w:type="spellEnd"/>
      <w:r w:rsidRPr="000E36D0">
        <w:rPr>
          <w:strike/>
          <w:color w:val="000000"/>
          <w:sz w:val="26"/>
          <w:szCs w:val="26"/>
        </w:rPr>
        <w:t>—for the furnishing of supplies or services for the use of real or personal property, including lease arrangements, which in whole or in part, is necessary to the performance of any one or more contracts.</w:t>
      </w:r>
    </w:p>
    <w:p w14:paraId="33D844F6" w14:textId="77777777" w:rsidR="00E60F1B" w:rsidRPr="0085193B" w:rsidRDefault="00E60F1B" w:rsidP="00E60F1B">
      <w:pPr>
        <w:widowControl w:val="0"/>
        <w:autoSpaceDE w:val="0"/>
        <w:autoSpaceDN w:val="0"/>
        <w:adjustRightInd w:val="0"/>
        <w:rPr>
          <w:color w:val="000000"/>
          <w:sz w:val="26"/>
          <w:szCs w:val="26"/>
        </w:rPr>
      </w:pPr>
      <w:bookmarkStart w:id="22" w:name="co_anchor_I333A19228C8811DEAEC4E00399601"/>
      <w:bookmarkEnd w:id="22"/>
    </w:p>
    <w:p w14:paraId="0ADA600C" w14:textId="774C0725" w:rsidR="00E60F1B" w:rsidRDefault="00E60F1B" w:rsidP="00E60F1B">
      <w:pPr>
        <w:widowControl w:val="0"/>
        <w:autoSpaceDE w:val="0"/>
        <w:autoSpaceDN w:val="0"/>
        <w:adjustRightInd w:val="0"/>
        <w:rPr>
          <w:color w:val="000000"/>
          <w:sz w:val="26"/>
          <w:szCs w:val="26"/>
        </w:rPr>
      </w:pPr>
      <w:r>
        <w:rPr>
          <w:i/>
          <w:iCs/>
          <w:color w:val="000000"/>
          <w:sz w:val="26"/>
          <w:szCs w:val="26"/>
        </w:rPr>
        <w:t>   </w:t>
      </w:r>
      <w:r w:rsidRPr="0085193B">
        <w:rPr>
          <w:i/>
          <w:iCs/>
          <w:color w:val="000000"/>
          <w:sz w:val="26"/>
          <w:szCs w:val="26"/>
        </w:rPr>
        <w:t>Substantial objectives</w:t>
      </w:r>
      <w:r>
        <w:rPr>
          <w:color w:val="000000"/>
          <w:sz w:val="26"/>
          <w:szCs w:val="26"/>
        </w:rPr>
        <w:t>—</w:t>
      </w:r>
      <w:r w:rsidRPr="0085193B">
        <w:rPr>
          <w:color w:val="000000"/>
          <w:sz w:val="26"/>
          <w:szCs w:val="26"/>
        </w:rPr>
        <w:t xml:space="preserve">Objectives which are realistic and clearly demonstrate a </w:t>
      </w:r>
      <w:r w:rsidR="00961BDB">
        <w:rPr>
          <w:color w:val="000000"/>
          <w:sz w:val="26"/>
          <w:szCs w:val="26"/>
        </w:rPr>
        <w:lastRenderedPageBreak/>
        <w:t xml:space="preserve">MAJOR JURISDICTIONAL UTILITY </w:t>
      </w:r>
      <w:proofErr w:type="spellStart"/>
      <w:r w:rsidR="00961BDB">
        <w:rPr>
          <w:color w:val="000000"/>
          <w:sz w:val="26"/>
          <w:szCs w:val="26"/>
        </w:rPr>
        <w:t>COMPANY’S</w:t>
      </w:r>
      <w:r w:rsidRPr="00E0310B">
        <w:rPr>
          <w:strike/>
          <w:color w:val="000000"/>
          <w:sz w:val="26"/>
          <w:szCs w:val="26"/>
        </w:rPr>
        <w:t>utility’s</w:t>
      </w:r>
      <w:proofErr w:type="spellEnd"/>
      <w:r w:rsidRPr="0085193B">
        <w:rPr>
          <w:color w:val="000000"/>
          <w:sz w:val="26"/>
          <w:szCs w:val="26"/>
        </w:rPr>
        <w:t xml:space="preserve"> commitment to increase minority/women/persons with disabilities</w:t>
      </w:r>
      <w:r w:rsidRPr="00DA19A4">
        <w:rPr>
          <w:color w:val="000000"/>
          <w:sz w:val="26"/>
          <w:szCs w:val="26"/>
          <w:u w:val="single"/>
        </w:rPr>
        <w:t>/LGBTQ/veteran</w:t>
      </w:r>
      <w:r w:rsidRPr="0085193B">
        <w:rPr>
          <w:color w:val="000000"/>
          <w:sz w:val="26"/>
          <w:szCs w:val="26"/>
        </w:rPr>
        <w:t>-owned business share of the utility’s purchases and contracts.</w:t>
      </w:r>
    </w:p>
    <w:p w14:paraId="7A00355F" w14:textId="750C73D2" w:rsidR="008A25EA" w:rsidRDefault="008A25EA" w:rsidP="00E60F1B">
      <w:pPr>
        <w:widowControl w:val="0"/>
        <w:autoSpaceDE w:val="0"/>
        <w:autoSpaceDN w:val="0"/>
        <w:adjustRightInd w:val="0"/>
        <w:rPr>
          <w:color w:val="000000"/>
          <w:sz w:val="26"/>
          <w:szCs w:val="26"/>
        </w:rPr>
      </w:pPr>
    </w:p>
    <w:p w14:paraId="79C4384C" w14:textId="13469A31" w:rsidR="008A25EA" w:rsidRDefault="00E072BD" w:rsidP="00E60F1B">
      <w:pPr>
        <w:widowControl w:val="0"/>
        <w:autoSpaceDE w:val="0"/>
        <w:autoSpaceDN w:val="0"/>
        <w:adjustRightInd w:val="0"/>
        <w:rPr>
          <w:color w:val="000000"/>
          <w:sz w:val="26"/>
          <w:szCs w:val="26"/>
        </w:rPr>
      </w:pPr>
      <w:r>
        <w:rPr>
          <w:i/>
          <w:iCs/>
          <w:color w:val="000000"/>
          <w:sz w:val="26"/>
          <w:szCs w:val="26"/>
        </w:rPr>
        <w:t>   </w:t>
      </w:r>
      <w:r w:rsidR="008A25EA">
        <w:rPr>
          <w:color w:val="000000"/>
          <w:sz w:val="26"/>
          <w:szCs w:val="26"/>
        </w:rPr>
        <w:t>TWO OR MORE RACES (NOT HISPANIC OR LATINO)</w:t>
      </w:r>
      <w:r w:rsidR="009616B0">
        <w:rPr>
          <w:color w:val="000000"/>
          <w:sz w:val="26"/>
          <w:szCs w:val="26"/>
        </w:rPr>
        <w:t>—</w:t>
      </w:r>
      <w:r w:rsidR="00077F38">
        <w:rPr>
          <w:color w:val="000000"/>
          <w:sz w:val="26"/>
          <w:szCs w:val="26"/>
        </w:rPr>
        <w:t>A PERSON</w:t>
      </w:r>
      <w:r w:rsidR="009616B0">
        <w:rPr>
          <w:color w:val="000000"/>
          <w:sz w:val="26"/>
          <w:szCs w:val="26"/>
        </w:rPr>
        <w:t xml:space="preserve"> WHO </w:t>
      </w:r>
      <w:r w:rsidR="00077F38">
        <w:rPr>
          <w:color w:val="000000"/>
          <w:sz w:val="26"/>
          <w:szCs w:val="26"/>
        </w:rPr>
        <w:t xml:space="preserve">IDENTIFIES </w:t>
      </w:r>
      <w:r w:rsidR="009616B0">
        <w:rPr>
          <w:color w:val="000000"/>
          <w:sz w:val="26"/>
          <w:szCs w:val="26"/>
        </w:rPr>
        <w:t>WITH MORE THAN ONE OF THE</w:t>
      </w:r>
      <w:r w:rsidR="00B42786">
        <w:rPr>
          <w:color w:val="000000"/>
          <w:sz w:val="26"/>
          <w:szCs w:val="26"/>
        </w:rPr>
        <w:t xml:space="preserve"> FIVE RACES IDENTIFIED IN THIS SECTION.</w:t>
      </w:r>
    </w:p>
    <w:p w14:paraId="1D668B65" w14:textId="01FE710B" w:rsidR="002D14FB" w:rsidRDefault="002D14FB" w:rsidP="00E60F1B">
      <w:pPr>
        <w:widowControl w:val="0"/>
        <w:autoSpaceDE w:val="0"/>
        <w:autoSpaceDN w:val="0"/>
        <w:adjustRightInd w:val="0"/>
        <w:rPr>
          <w:color w:val="000000"/>
          <w:sz w:val="26"/>
          <w:szCs w:val="26"/>
        </w:rPr>
      </w:pPr>
    </w:p>
    <w:p w14:paraId="19437430" w14:textId="40EA7FB5" w:rsidR="002D14FB" w:rsidRPr="0085193B" w:rsidRDefault="00E072BD" w:rsidP="00E60F1B">
      <w:pPr>
        <w:widowControl w:val="0"/>
        <w:autoSpaceDE w:val="0"/>
        <w:autoSpaceDN w:val="0"/>
        <w:adjustRightInd w:val="0"/>
        <w:rPr>
          <w:color w:val="000000"/>
          <w:sz w:val="26"/>
          <w:szCs w:val="26"/>
        </w:rPr>
      </w:pPr>
      <w:r>
        <w:rPr>
          <w:i/>
          <w:iCs/>
          <w:color w:val="000000"/>
          <w:sz w:val="26"/>
          <w:szCs w:val="26"/>
        </w:rPr>
        <w:t>   </w:t>
      </w:r>
      <w:r w:rsidR="002D14FB">
        <w:rPr>
          <w:color w:val="000000"/>
          <w:sz w:val="26"/>
          <w:szCs w:val="26"/>
        </w:rPr>
        <w:t>WHITE (NOT HISPANIC OR LATINO)—A PERSON HAVING ORIGINS IN ANY OF THE ORIGINAL PEOPLES OF EUROPE, THE MIDDLE EAST, OR NORTH AFRICA.</w:t>
      </w:r>
    </w:p>
    <w:p w14:paraId="76A35531" w14:textId="77777777" w:rsidR="00E60F1B" w:rsidRPr="00E20245" w:rsidRDefault="00E60F1B" w:rsidP="00E60F1B">
      <w:pPr>
        <w:widowControl w:val="0"/>
        <w:autoSpaceDE w:val="0"/>
        <w:autoSpaceDN w:val="0"/>
        <w:adjustRightInd w:val="0"/>
        <w:rPr>
          <w:color w:val="000000"/>
          <w:sz w:val="26"/>
          <w:szCs w:val="26"/>
        </w:rPr>
      </w:pPr>
    </w:p>
    <w:p w14:paraId="730838C7" w14:textId="320632EB" w:rsidR="00E60F1B" w:rsidRPr="00BE115E" w:rsidRDefault="00E60F1B" w:rsidP="00E60F1B">
      <w:pPr>
        <w:pStyle w:val="NoSpacing"/>
        <w:rPr>
          <w:color w:val="000000"/>
          <w:sz w:val="26"/>
          <w:szCs w:val="26"/>
        </w:rPr>
      </w:pPr>
      <w:r w:rsidRPr="00F42307">
        <w:rPr>
          <w:i/>
          <w:iCs/>
          <w:color w:val="000000"/>
          <w:sz w:val="26"/>
          <w:szCs w:val="26"/>
        </w:rPr>
        <w:t>   </w:t>
      </w:r>
      <w:r w:rsidRPr="00E20245">
        <w:rPr>
          <w:i/>
          <w:iCs/>
          <w:color w:val="000000"/>
          <w:sz w:val="26"/>
          <w:szCs w:val="26"/>
          <w:u w:val="single"/>
        </w:rPr>
        <w:t>Veteran</w:t>
      </w:r>
      <w:r w:rsidRPr="0072192E">
        <w:rPr>
          <w:color w:val="000000"/>
          <w:sz w:val="26"/>
          <w:szCs w:val="26"/>
          <w:u w:val="single"/>
        </w:rPr>
        <w:t>—</w:t>
      </w:r>
      <w:r w:rsidRPr="00814955">
        <w:rPr>
          <w:strike/>
          <w:color w:val="000000"/>
          <w:sz w:val="26"/>
          <w:szCs w:val="26"/>
          <w:u w:val="single"/>
        </w:rPr>
        <w:t>An individual who served in the United States Armed Forces, including a reserve component or the National Guard, and who was discharged or released from service under conditions other than dishonorable.</w:t>
      </w:r>
      <w:r w:rsidR="00BE115E">
        <w:rPr>
          <w:color w:val="000000"/>
          <w:sz w:val="26"/>
          <w:szCs w:val="26"/>
        </w:rPr>
        <w:t xml:space="preserve"> A PERSON WHO MEETS </w:t>
      </w:r>
      <w:r w:rsidR="005A3F44">
        <w:rPr>
          <w:color w:val="000000"/>
          <w:sz w:val="26"/>
          <w:szCs w:val="26"/>
        </w:rPr>
        <w:t xml:space="preserve">ANY </w:t>
      </w:r>
      <w:r w:rsidR="00DB4A97">
        <w:rPr>
          <w:color w:val="000000"/>
          <w:sz w:val="26"/>
          <w:szCs w:val="26"/>
        </w:rPr>
        <w:t>VETERAN CATEGOR</w:t>
      </w:r>
      <w:r w:rsidR="00B81E38">
        <w:rPr>
          <w:color w:val="000000"/>
          <w:sz w:val="26"/>
          <w:szCs w:val="26"/>
        </w:rPr>
        <w:t>Y</w:t>
      </w:r>
      <w:r w:rsidR="00DB4A97">
        <w:rPr>
          <w:color w:val="000000"/>
          <w:sz w:val="26"/>
          <w:szCs w:val="26"/>
        </w:rPr>
        <w:t xml:space="preserve"> DEFINED</w:t>
      </w:r>
      <w:r w:rsidR="005A3F44">
        <w:rPr>
          <w:color w:val="000000"/>
          <w:sz w:val="26"/>
          <w:szCs w:val="26"/>
        </w:rPr>
        <w:t xml:space="preserve"> IN </w:t>
      </w:r>
      <w:r w:rsidR="00283BA5">
        <w:rPr>
          <w:color w:val="000000"/>
          <w:sz w:val="26"/>
          <w:szCs w:val="26"/>
        </w:rPr>
        <w:t>42 C.F.R. § 61-300.2.</w:t>
      </w:r>
    </w:p>
    <w:p w14:paraId="1D770D6D" w14:textId="77777777" w:rsidR="00E60F1B" w:rsidRDefault="00E60F1B" w:rsidP="00E60F1B">
      <w:pPr>
        <w:pStyle w:val="NoSpacing"/>
        <w:rPr>
          <w:sz w:val="26"/>
          <w:szCs w:val="26"/>
        </w:rPr>
      </w:pPr>
    </w:p>
    <w:p w14:paraId="7B4ACE0F" w14:textId="77777777" w:rsidR="00E60F1B" w:rsidRPr="002D0485" w:rsidRDefault="00E60F1B" w:rsidP="00E60F1B">
      <w:pPr>
        <w:widowControl w:val="0"/>
        <w:autoSpaceDE w:val="0"/>
        <w:autoSpaceDN w:val="0"/>
        <w:adjustRightInd w:val="0"/>
        <w:rPr>
          <w:strike/>
          <w:color w:val="000000"/>
          <w:sz w:val="26"/>
          <w:szCs w:val="26"/>
        </w:rPr>
      </w:pPr>
      <w:r>
        <w:rPr>
          <w:color w:val="000000"/>
          <w:sz w:val="26"/>
          <w:szCs w:val="26"/>
        </w:rPr>
        <w:t>   [</w:t>
      </w:r>
      <w:r w:rsidRPr="00A24B9B">
        <w:rPr>
          <w:i/>
          <w:iCs/>
          <w:color w:val="000000"/>
          <w:sz w:val="26"/>
          <w:szCs w:val="26"/>
        </w:rPr>
        <w:t>WBE</w:t>
      </w:r>
      <w:r>
        <w:rPr>
          <w:color w:val="000000"/>
          <w:sz w:val="26"/>
          <w:szCs w:val="26"/>
        </w:rPr>
        <w:t>—]</w:t>
      </w:r>
      <w:r w:rsidRPr="002D0485">
        <w:rPr>
          <w:i/>
          <w:iCs/>
          <w:strike/>
          <w:color w:val="000000"/>
          <w:sz w:val="26"/>
          <w:szCs w:val="26"/>
        </w:rPr>
        <w:t>Women-Owned Business Enterprise</w:t>
      </w:r>
      <w:r w:rsidRPr="002D0485">
        <w:rPr>
          <w:strike/>
          <w:color w:val="000000"/>
          <w:sz w:val="26"/>
          <w:szCs w:val="26"/>
        </w:rPr>
        <w:t>—A business enterprise that is at least 51% owned by a woman or women who are United States citizens or legal aliens with permanent residence status in the United States; or a publicly owned business that has at least 51% of its stock owned by one or more women, and whose management and daily business operations are controlled by one or more women who are United States citizens or legal aliens with permanent residence status in the United States.</w:t>
      </w:r>
    </w:p>
    <w:p w14:paraId="7FD00FE1" w14:textId="77777777" w:rsidR="00E60F1B" w:rsidRPr="00A24B9B" w:rsidRDefault="00E60F1B" w:rsidP="00E60F1B">
      <w:pPr>
        <w:widowControl w:val="0"/>
        <w:autoSpaceDE w:val="0"/>
        <w:autoSpaceDN w:val="0"/>
        <w:adjustRightInd w:val="0"/>
        <w:rPr>
          <w:color w:val="000000"/>
          <w:sz w:val="26"/>
          <w:szCs w:val="26"/>
        </w:rPr>
      </w:pPr>
    </w:p>
    <w:p w14:paraId="6BFE2372" w14:textId="77777777" w:rsidR="00E60F1B" w:rsidRPr="00A24B9B" w:rsidRDefault="00E60F1B" w:rsidP="00E60F1B">
      <w:pPr>
        <w:widowControl w:val="0"/>
        <w:autoSpaceDE w:val="0"/>
        <w:autoSpaceDN w:val="0"/>
        <w:adjustRightInd w:val="0"/>
        <w:rPr>
          <w:color w:val="000000"/>
          <w:sz w:val="26"/>
          <w:szCs w:val="26"/>
        </w:rPr>
      </w:pPr>
      <w:bookmarkStart w:id="23" w:name="co_anchor_I333A19248C8811DEAEC4E00399601"/>
      <w:bookmarkEnd w:id="23"/>
      <w:r>
        <w:rPr>
          <w:color w:val="000000"/>
          <w:sz w:val="26"/>
          <w:szCs w:val="26"/>
        </w:rPr>
        <w:t>   [</w:t>
      </w:r>
      <w:r w:rsidRPr="00A24B9B">
        <w:rPr>
          <w:i/>
          <w:iCs/>
          <w:color w:val="000000"/>
          <w:sz w:val="26"/>
          <w:szCs w:val="26"/>
        </w:rPr>
        <w:t>W/MBE</w:t>
      </w:r>
      <w:r>
        <w:rPr>
          <w:color w:val="000000"/>
          <w:sz w:val="26"/>
          <w:szCs w:val="26"/>
        </w:rPr>
        <w:t>—</w:t>
      </w:r>
      <w:r w:rsidRPr="00A24B9B">
        <w:rPr>
          <w:color w:val="000000"/>
          <w:sz w:val="26"/>
          <w:szCs w:val="26"/>
        </w:rPr>
        <w:t>A WBE or an MBE.</w:t>
      </w:r>
      <w:r>
        <w:rPr>
          <w:color w:val="000000"/>
          <w:sz w:val="26"/>
          <w:szCs w:val="26"/>
        </w:rPr>
        <w:t>]</w:t>
      </w:r>
    </w:p>
    <w:p w14:paraId="0FA2BE3C" w14:textId="77777777" w:rsidR="00E60F1B" w:rsidRDefault="00E60F1B" w:rsidP="00E60F1B">
      <w:pPr>
        <w:rPr>
          <w:b/>
          <w:sz w:val="26"/>
          <w:szCs w:val="26"/>
        </w:rPr>
      </w:pPr>
    </w:p>
    <w:p w14:paraId="08400FD5" w14:textId="772E6E2F" w:rsidR="001B7D4A" w:rsidRDefault="001B7D4A" w:rsidP="00E60F1B">
      <w:pPr>
        <w:rPr>
          <w:b/>
          <w:sz w:val="26"/>
          <w:szCs w:val="26"/>
        </w:rPr>
      </w:pPr>
      <w:r>
        <w:rPr>
          <w:b/>
          <w:sz w:val="26"/>
          <w:szCs w:val="26"/>
        </w:rPr>
        <w:t>§ 69.802</w:t>
      </w:r>
      <w:r w:rsidR="00CE2991">
        <w:rPr>
          <w:b/>
          <w:sz w:val="26"/>
          <w:szCs w:val="26"/>
        </w:rPr>
        <w:t>A</w:t>
      </w:r>
      <w:r>
        <w:rPr>
          <w:b/>
          <w:sz w:val="26"/>
          <w:szCs w:val="26"/>
        </w:rPr>
        <w:t xml:space="preserve">. DEFINITIONS FOR </w:t>
      </w:r>
      <w:r w:rsidR="00E56D06">
        <w:rPr>
          <w:b/>
          <w:sz w:val="26"/>
          <w:szCs w:val="26"/>
        </w:rPr>
        <w:t xml:space="preserve">REPORTING </w:t>
      </w:r>
      <w:r>
        <w:rPr>
          <w:b/>
          <w:sz w:val="26"/>
          <w:szCs w:val="26"/>
        </w:rPr>
        <w:t>VENDOR</w:t>
      </w:r>
      <w:r w:rsidR="00E56D06">
        <w:rPr>
          <w:b/>
          <w:sz w:val="26"/>
          <w:szCs w:val="26"/>
        </w:rPr>
        <w:t xml:space="preserve"> </w:t>
      </w:r>
      <w:r>
        <w:rPr>
          <w:b/>
          <w:sz w:val="26"/>
          <w:szCs w:val="26"/>
        </w:rPr>
        <w:t>S</w:t>
      </w:r>
      <w:r w:rsidR="00E56D06">
        <w:rPr>
          <w:b/>
          <w:sz w:val="26"/>
          <w:szCs w:val="26"/>
        </w:rPr>
        <w:t>TATISTICS</w:t>
      </w:r>
    </w:p>
    <w:p w14:paraId="115B030B" w14:textId="7360A6C9" w:rsidR="001B7D4A" w:rsidRDefault="001B7D4A" w:rsidP="00E60F1B">
      <w:pPr>
        <w:rPr>
          <w:b/>
          <w:sz w:val="26"/>
          <w:szCs w:val="26"/>
        </w:rPr>
      </w:pPr>
    </w:p>
    <w:p w14:paraId="5DEB638E" w14:textId="6D87C436" w:rsidR="00E92AAF" w:rsidRDefault="00956BA3" w:rsidP="00E60F1B">
      <w:pPr>
        <w:rPr>
          <w:color w:val="000000"/>
          <w:sz w:val="26"/>
          <w:szCs w:val="26"/>
        </w:rPr>
      </w:pPr>
      <w:r w:rsidRPr="00B659C1">
        <w:rPr>
          <w:color w:val="000000"/>
          <w:sz w:val="26"/>
          <w:szCs w:val="26"/>
        </w:rPr>
        <w:t xml:space="preserve">THE FOLLOWING WORDS AND TERMS, WHEN USED IN </w:t>
      </w:r>
      <w:r w:rsidRPr="00254F28">
        <w:rPr>
          <w:color w:val="000000"/>
          <w:sz w:val="26"/>
          <w:szCs w:val="26"/>
        </w:rPr>
        <w:t>§§ 69.801 AND 69.803—69.809</w:t>
      </w:r>
      <w:r>
        <w:rPr>
          <w:color w:val="000000"/>
          <w:sz w:val="26"/>
          <w:szCs w:val="26"/>
        </w:rPr>
        <w:t xml:space="preserve"> IN THE CONTEXT OF </w:t>
      </w:r>
      <w:r w:rsidR="00D12871">
        <w:rPr>
          <w:color w:val="000000"/>
          <w:sz w:val="26"/>
          <w:szCs w:val="26"/>
        </w:rPr>
        <w:t xml:space="preserve">MAJOR JURISDICTIONAL </w:t>
      </w:r>
      <w:r>
        <w:rPr>
          <w:color w:val="000000"/>
          <w:sz w:val="26"/>
          <w:szCs w:val="26"/>
        </w:rPr>
        <w:t xml:space="preserve">UTILITY </w:t>
      </w:r>
      <w:r w:rsidR="00D12871">
        <w:rPr>
          <w:color w:val="000000"/>
          <w:sz w:val="26"/>
          <w:szCs w:val="26"/>
        </w:rPr>
        <w:t xml:space="preserve">COMPANY </w:t>
      </w:r>
      <w:r>
        <w:rPr>
          <w:color w:val="000000"/>
          <w:sz w:val="26"/>
          <w:szCs w:val="26"/>
        </w:rPr>
        <w:t>VENDORS</w:t>
      </w:r>
      <w:r w:rsidRPr="00B659C1">
        <w:rPr>
          <w:color w:val="000000"/>
          <w:sz w:val="26"/>
          <w:szCs w:val="26"/>
        </w:rPr>
        <w:t>, HAVE THE FOLLOWING MEANINGS, UNLESS THE CONTEXT CLEARLY INDICATES OTHERWISE</w:t>
      </w:r>
      <w:r w:rsidR="00791CDB" w:rsidRPr="00B659C1">
        <w:rPr>
          <w:color w:val="000000"/>
          <w:sz w:val="26"/>
          <w:szCs w:val="26"/>
        </w:rPr>
        <w:t>:</w:t>
      </w:r>
    </w:p>
    <w:p w14:paraId="0FAB413C" w14:textId="6DB4E015" w:rsidR="0051021A" w:rsidRDefault="0051021A" w:rsidP="00E60F1B">
      <w:pPr>
        <w:rPr>
          <w:color w:val="000000"/>
          <w:sz w:val="26"/>
          <w:szCs w:val="26"/>
        </w:rPr>
      </w:pPr>
    </w:p>
    <w:p w14:paraId="53D0847B" w14:textId="0195F333" w:rsidR="000E3B55" w:rsidRPr="00B659C1" w:rsidRDefault="000E3B55" w:rsidP="000E3B55">
      <w:pPr>
        <w:widowControl w:val="0"/>
        <w:autoSpaceDE w:val="0"/>
        <w:autoSpaceDN w:val="0"/>
        <w:adjustRightInd w:val="0"/>
        <w:rPr>
          <w:color w:val="000000"/>
          <w:sz w:val="26"/>
          <w:szCs w:val="26"/>
        </w:rPr>
      </w:pPr>
      <w:r>
        <w:rPr>
          <w:i/>
          <w:iCs/>
          <w:color w:val="000000"/>
          <w:sz w:val="26"/>
          <w:szCs w:val="26"/>
        </w:rPr>
        <w:t>   </w:t>
      </w:r>
      <w:r w:rsidRPr="00B659C1">
        <w:rPr>
          <w:i/>
          <w:iCs/>
          <w:color w:val="000000"/>
          <w:sz w:val="26"/>
          <w:szCs w:val="26"/>
        </w:rPr>
        <w:t>CONTROL</w:t>
      </w:r>
      <w:r>
        <w:rPr>
          <w:color w:val="000000"/>
          <w:sz w:val="26"/>
          <w:szCs w:val="26"/>
        </w:rPr>
        <w:t>—</w:t>
      </w:r>
      <w:r w:rsidRPr="00B659C1">
        <w:rPr>
          <w:color w:val="000000"/>
          <w:sz w:val="26"/>
          <w:szCs w:val="26"/>
        </w:rPr>
        <w:t>THE EXERCISE OF THE POWER TO MAKE POLICY DECISIONS.</w:t>
      </w:r>
    </w:p>
    <w:p w14:paraId="43133B23" w14:textId="77777777" w:rsidR="000E3B55" w:rsidRDefault="000E3B55" w:rsidP="00E60F1B">
      <w:pPr>
        <w:rPr>
          <w:color w:val="000000"/>
          <w:sz w:val="26"/>
          <w:szCs w:val="26"/>
        </w:rPr>
      </w:pPr>
    </w:p>
    <w:p w14:paraId="4C7E7D52" w14:textId="3D7C6A36" w:rsidR="00D0242F" w:rsidRPr="00455063" w:rsidRDefault="00D0242F" w:rsidP="00D0242F">
      <w:pPr>
        <w:widowControl w:val="0"/>
        <w:autoSpaceDE w:val="0"/>
        <w:autoSpaceDN w:val="0"/>
        <w:adjustRightInd w:val="0"/>
        <w:rPr>
          <w:color w:val="000000"/>
          <w:sz w:val="26"/>
          <w:szCs w:val="26"/>
        </w:rPr>
      </w:pPr>
      <w:r>
        <w:rPr>
          <w:i/>
          <w:iCs/>
          <w:color w:val="000000"/>
          <w:sz w:val="26"/>
          <w:szCs w:val="26"/>
        </w:rPr>
        <w:t>   </w:t>
      </w:r>
      <w:r w:rsidRPr="00455063">
        <w:rPr>
          <w:i/>
          <w:iCs/>
          <w:color w:val="000000"/>
          <w:sz w:val="26"/>
          <w:szCs w:val="26"/>
        </w:rPr>
        <w:t>EXEMPT PROCUREMENT</w:t>
      </w:r>
      <w:r>
        <w:rPr>
          <w:color w:val="000000"/>
          <w:sz w:val="26"/>
          <w:szCs w:val="26"/>
        </w:rPr>
        <w:t>—</w:t>
      </w:r>
      <w:r w:rsidRPr="00455063">
        <w:rPr>
          <w:color w:val="000000"/>
          <w:sz w:val="26"/>
          <w:szCs w:val="26"/>
        </w:rPr>
        <w:t>A PRODUCT OR SERVICE WHICH MAY BE REMOVED FROM THE DOLLAR BASE USED TO ESTABLISH MINIMUM IMPROVEMENT LEVELS, BECAUSE OF THE DEMONSTRATED UNAVAILABILITY OF A MINORITY/WOMEN/PEOPLE WITH DISABILITIES</w:t>
      </w:r>
      <w:r w:rsidRPr="00F726B5">
        <w:rPr>
          <w:color w:val="000000"/>
          <w:sz w:val="26"/>
          <w:szCs w:val="26"/>
          <w:u w:val="single"/>
        </w:rPr>
        <w:t>/</w:t>
      </w:r>
      <w:r w:rsidRPr="00286954">
        <w:rPr>
          <w:color w:val="000000"/>
          <w:sz w:val="26"/>
          <w:szCs w:val="26"/>
        </w:rPr>
        <w:t>LGBTQ/VETERAN</w:t>
      </w:r>
      <w:r w:rsidRPr="00455063">
        <w:rPr>
          <w:color w:val="000000"/>
          <w:sz w:val="26"/>
          <w:szCs w:val="26"/>
        </w:rPr>
        <w:t>-OWNED BUSINESS CURRENTLY CAPABLE OF SUPPLYING A PRODUCT OR SERVICE. THE TERM MAY ALSO INCLUDE ONE OR MORE OF THE FOLLOWING SITUATIONS:</w:t>
      </w:r>
    </w:p>
    <w:p w14:paraId="2B9A928D" w14:textId="77777777" w:rsidR="00D0242F" w:rsidRPr="00455063" w:rsidRDefault="00D0242F" w:rsidP="00D0242F">
      <w:pPr>
        <w:widowControl w:val="0"/>
        <w:autoSpaceDE w:val="0"/>
        <w:autoSpaceDN w:val="0"/>
        <w:adjustRightInd w:val="0"/>
        <w:rPr>
          <w:color w:val="000000"/>
          <w:sz w:val="26"/>
          <w:szCs w:val="26"/>
        </w:rPr>
      </w:pPr>
    </w:p>
    <w:p w14:paraId="63F4E3F1" w14:textId="3F03F3E6" w:rsidR="00D0242F" w:rsidRPr="00455063" w:rsidRDefault="00D0242F" w:rsidP="00D0242F">
      <w:pPr>
        <w:widowControl w:val="0"/>
        <w:autoSpaceDE w:val="0"/>
        <w:autoSpaceDN w:val="0"/>
        <w:adjustRightInd w:val="0"/>
        <w:rPr>
          <w:color w:val="000000"/>
          <w:sz w:val="26"/>
          <w:szCs w:val="26"/>
        </w:rPr>
      </w:pPr>
      <w:r>
        <w:rPr>
          <w:color w:val="000000"/>
          <w:sz w:val="26"/>
          <w:szCs w:val="26"/>
        </w:rPr>
        <w:lastRenderedPageBreak/>
        <w:t>     </w:t>
      </w:r>
      <w:r w:rsidRPr="00455063">
        <w:rPr>
          <w:color w:val="000000"/>
          <w:sz w:val="26"/>
          <w:szCs w:val="26"/>
        </w:rPr>
        <w:t>(I) THE VENDOR IS THE ORIGINAL EQUIPMENT MANUFACTURER.</w:t>
      </w:r>
    </w:p>
    <w:p w14:paraId="44D981A5" w14:textId="77777777" w:rsidR="00D0242F" w:rsidRPr="00455063" w:rsidRDefault="00D0242F" w:rsidP="00D0242F">
      <w:pPr>
        <w:widowControl w:val="0"/>
        <w:autoSpaceDE w:val="0"/>
        <w:autoSpaceDN w:val="0"/>
        <w:adjustRightInd w:val="0"/>
        <w:rPr>
          <w:color w:val="000000"/>
          <w:sz w:val="26"/>
          <w:szCs w:val="26"/>
        </w:rPr>
      </w:pPr>
    </w:p>
    <w:p w14:paraId="674F82C3" w14:textId="3354E815" w:rsidR="00D0242F" w:rsidRPr="00455063" w:rsidRDefault="00D0242F" w:rsidP="00D0242F">
      <w:pPr>
        <w:widowControl w:val="0"/>
        <w:autoSpaceDE w:val="0"/>
        <w:autoSpaceDN w:val="0"/>
        <w:adjustRightInd w:val="0"/>
        <w:rPr>
          <w:color w:val="000000"/>
          <w:sz w:val="26"/>
          <w:szCs w:val="26"/>
        </w:rPr>
      </w:pPr>
      <w:r>
        <w:rPr>
          <w:color w:val="000000"/>
          <w:sz w:val="26"/>
          <w:szCs w:val="26"/>
        </w:rPr>
        <w:t>     </w:t>
      </w:r>
      <w:r w:rsidRPr="00455063">
        <w:rPr>
          <w:color w:val="000000"/>
          <w:sz w:val="26"/>
          <w:szCs w:val="26"/>
        </w:rPr>
        <w:t>(II) THE VENDOR IS THE ONLY KNOWN SOURCE OF THE PRODUCT OR SERVICE.</w:t>
      </w:r>
    </w:p>
    <w:p w14:paraId="70585B4A" w14:textId="77777777" w:rsidR="00D0242F" w:rsidRPr="00455063" w:rsidRDefault="00D0242F" w:rsidP="00D0242F">
      <w:pPr>
        <w:widowControl w:val="0"/>
        <w:autoSpaceDE w:val="0"/>
        <w:autoSpaceDN w:val="0"/>
        <w:adjustRightInd w:val="0"/>
        <w:rPr>
          <w:color w:val="000000"/>
          <w:sz w:val="26"/>
          <w:szCs w:val="26"/>
        </w:rPr>
      </w:pPr>
    </w:p>
    <w:p w14:paraId="08B307AB" w14:textId="1BEECB6B" w:rsidR="00D0242F" w:rsidRPr="00455063" w:rsidRDefault="00D0242F" w:rsidP="00D0242F">
      <w:pPr>
        <w:widowControl w:val="0"/>
        <w:autoSpaceDE w:val="0"/>
        <w:autoSpaceDN w:val="0"/>
        <w:adjustRightInd w:val="0"/>
        <w:rPr>
          <w:color w:val="000000"/>
          <w:sz w:val="26"/>
          <w:szCs w:val="26"/>
        </w:rPr>
      </w:pPr>
      <w:r>
        <w:rPr>
          <w:color w:val="000000"/>
          <w:sz w:val="26"/>
          <w:szCs w:val="26"/>
        </w:rPr>
        <w:t>     </w:t>
      </w:r>
      <w:r w:rsidRPr="00455063">
        <w:rPr>
          <w:color w:val="000000"/>
          <w:sz w:val="26"/>
          <w:szCs w:val="26"/>
        </w:rPr>
        <w:t>(III) A PLANT EMERGENCY SITUATION DICTATES USE OF A SPECIFIC VENDOR.</w:t>
      </w:r>
    </w:p>
    <w:p w14:paraId="5739E03F" w14:textId="77777777" w:rsidR="00D0242F" w:rsidRPr="00455063" w:rsidRDefault="00D0242F" w:rsidP="00D0242F">
      <w:pPr>
        <w:widowControl w:val="0"/>
        <w:autoSpaceDE w:val="0"/>
        <w:autoSpaceDN w:val="0"/>
        <w:adjustRightInd w:val="0"/>
        <w:rPr>
          <w:color w:val="000000"/>
          <w:sz w:val="26"/>
          <w:szCs w:val="26"/>
        </w:rPr>
      </w:pPr>
    </w:p>
    <w:p w14:paraId="625CA268" w14:textId="04577479" w:rsidR="00D0242F" w:rsidRPr="00455063" w:rsidRDefault="00D0242F" w:rsidP="00D0242F">
      <w:pPr>
        <w:widowControl w:val="0"/>
        <w:autoSpaceDE w:val="0"/>
        <w:autoSpaceDN w:val="0"/>
        <w:adjustRightInd w:val="0"/>
        <w:rPr>
          <w:color w:val="000000"/>
          <w:sz w:val="26"/>
          <w:szCs w:val="26"/>
        </w:rPr>
      </w:pPr>
      <w:r>
        <w:rPr>
          <w:color w:val="000000"/>
          <w:sz w:val="26"/>
          <w:szCs w:val="26"/>
        </w:rPr>
        <w:t>     </w:t>
      </w:r>
      <w:r w:rsidRPr="00455063">
        <w:rPr>
          <w:color w:val="000000"/>
          <w:sz w:val="26"/>
          <w:szCs w:val="26"/>
        </w:rPr>
        <w:t>(IV) PURCHASES FROM AFFILIATES, CORPORATE PARENTS AND THEIR SUBSIDIARIES.</w:t>
      </w:r>
    </w:p>
    <w:p w14:paraId="04133F03" w14:textId="030F08DD" w:rsidR="00D0242F" w:rsidRDefault="00D0242F" w:rsidP="00E60F1B">
      <w:pPr>
        <w:rPr>
          <w:i/>
          <w:iCs/>
          <w:color w:val="000000"/>
          <w:sz w:val="26"/>
          <w:szCs w:val="26"/>
        </w:rPr>
      </w:pPr>
    </w:p>
    <w:p w14:paraId="4161AA4E" w14:textId="7869751B" w:rsidR="004F4F26" w:rsidRPr="004F4F26" w:rsidRDefault="001E4846" w:rsidP="004F4F26">
      <w:pPr>
        <w:widowControl w:val="0"/>
        <w:autoSpaceDE w:val="0"/>
        <w:autoSpaceDN w:val="0"/>
        <w:adjustRightInd w:val="0"/>
        <w:rPr>
          <w:color w:val="000000"/>
          <w:sz w:val="26"/>
          <w:szCs w:val="26"/>
        </w:rPr>
      </w:pPr>
      <w:r>
        <w:rPr>
          <w:i/>
          <w:iCs/>
          <w:color w:val="000000"/>
          <w:sz w:val="26"/>
          <w:szCs w:val="26"/>
        </w:rPr>
        <w:t>   </w:t>
      </w:r>
      <w:r w:rsidR="004F4F26" w:rsidRPr="004F4F26">
        <w:rPr>
          <w:i/>
          <w:iCs/>
          <w:color w:val="000000"/>
          <w:sz w:val="26"/>
          <w:szCs w:val="26"/>
        </w:rPr>
        <w:t>LGBTQ</w:t>
      </w:r>
      <w:r w:rsidR="004F4F26" w:rsidRPr="004F4F26">
        <w:rPr>
          <w:color w:val="000000"/>
          <w:sz w:val="26"/>
          <w:szCs w:val="26"/>
        </w:rPr>
        <w:t>—Lesbian, gay, bisexual, transgender, queer, and questioning.</w:t>
      </w:r>
    </w:p>
    <w:p w14:paraId="72D3C60C" w14:textId="77777777" w:rsidR="004F4F26" w:rsidRDefault="004F4F26" w:rsidP="00E60F1B">
      <w:pPr>
        <w:rPr>
          <w:i/>
          <w:iCs/>
          <w:color w:val="000000"/>
          <w:sz w:val="26"/>
          <w:szCs w:val="26"/>
        </w:rPr>
      </w:pPr>
    </w:p>
    <w:p w14:paraId="6510AC58" w14:textId="50B65E45" w:rsidR="0051021A" w:rsidRDefault="001E4846" w:rsidP="00E60F1B">
      <w:pPr>
        <w:rPr>
          <w:color w:val="000000"/>
          <w:sz w:val="26"/>
          <w:szCs w:val="26"/>
        </w:rPr>
      </w:pPr>
      <w:r>
        <w:rPr>
          <w:i/>
          <w:iCs/>
          <w:color w:val="000000"/>
          <w:sz w:val="26"/>
          <w:szCs w:val="26"/>
        </w:rPr>
        <w:t>   </w:t>
      </w:r>
      <w:r w:rsidR="003F5AE8">
        <w:rPr>
          <w:i/>
          <w:iCs/>
          <w:color w:val="000000"/>
          <w:sz w:val="26"/>
          <w:szCs w:val="26"/>
        </w:rPr>
        <w:t>MBE--</w:t>
      </w:r>
      <w:r w:rsidR="00D0242F" w:rsidRPr="0051021A">
        <w:rPr>
          <w:i/>
          <w:iCs/>
          <w:color w:val="000000"/>
          <w:sz w:val="26"/>
          <w:szCs w:val="26"/>
        </w:rPr>
        <w:t>MINORITY-OWNED BUSINESS ENTERPRISE</w:t>
      </w:r>
      <w:r w:rsidR="00D0242F" w:rsidRPr="0051021A">
        <w:rPr>
          <w:color w:val="000000"/>
          <w:sz w:val="26"/>
          <w:szCs w:val="26"/>
        </w:rPr>
        <w:t xml:space="preserve">—A BUSINESS ENTERPRISE THAT IS AT LEAST 51% OWNED BY A MINORITY INDIVIDUAL OR GROUP OR INDIVIDUALS; OR A PUBLICLY-OWNED BUSINESS THAT HAS AT LEAST 51% OF ITS STOCK OWNED BY ONE OR MORE MINORITY INDIVIDUALS, AND WHOSE MANAGEMENT AND DAILY BUSINESS OPERATIONS ARE CONTROLLED BY THESE INDIVIDUALS. “MINORITY” MAY INCLUDE </w:t>
      </w:r>
      <w:r w:rsidR="00D0242F">
        <w:rPr>
          <w:color w:val="000000"/>
          <w:sz w:val="26"/>
          <w:szCs w:val="26"/>
        </w:rPr>
        <w:t>BLACK AMERICANS</w:t>
      </w:r>
      <w:r w:rsidR="00D0242F" w:rsidRPr="0051021A">
        <w:rPr>
          <w:color w:val="000000"/>
          <w:sz w:val="26"/>
          <w:szCs w:val="26"/>
        </w:rPr>
        <w:t>, HISPANIC-AMERICAN</w:t>
      </w:r>
      <w:r w:rsidR="00D0242F">
        <w:rPr>
          <w:color w:val="000000"/>
          <w:sz w:val="26"/>
          <w:szCs w:val="26"/>
        </w:rPr>
        <w:t>S</w:t>
      </w:r>
      <w:r w:rsidR="00D0242F" w:rsidRPr="0051021A">
        <w:rPr>
          <w:color w:val="000000"/>
          <w:sz w:val="26"/>
          <w:szCs w:val="26"/>
        </w:rPr>
        <w:t>, NATIVE AMERICAN</w:t>
      </w:r>
      <w:r w:rsidR="00D0242F">
        <w:rPr>
          <w:color w:val="000000"/>
          <w:sz w:val="26"/>
          <w:szCs w:val="26"/>
        </w:rPr>
        <w:t xml:space="preserve">S, ASIAN-PACIFIC </w:t>
      </w:r>
      <w:proofErr w:type="gramStart"/>
      <w:r w:rsidR="00D0242F">
        <w:rPr>
          <w:color w:val="000000"/>
          <w:sz w:val="26"/>
          <w:szCs w:val="26"/>
        </w:rPr>
        <w:t>AMERICANS</w:t>
      </w:r>
      <w:proofErr w:type="gramEnd"/>
      <w:r w:rsidR="00D0242F">
        <w:rPr>
          <w:color w:val="000000"/>
          <w:sz w:val="26"/>
          <w:szCs w:val="26"/>
        </w:rPr>
        <w:t xml:space="preserve"> </w:t>
      </w:r>
      <w:r w:rsidR="002D1659">
        <w:rPr>
          <w:color w:val="000000"/>
          <w:sz w:val="26"/>
          <w:szCs w:val="26"/>
        </w:rPr>
        <w:t xml:space="preserve">OR ANY OTHER </w:t>
      </w:r>
      <w:r w:rsidR="005E24F9">
        <w:rPr>
          <w:color w:val="000000"/>
          <w:sz w:val="26"/>
          <w:szCs w:val="26"/>
        </w:rPr>
        <w:t>SOCIALLY DISADVANTAGE</w:t>
      </w:r>
      <w:r w:rsidR="0006539A">
        <w:rPr>
          <w:color w:val="000000"/>
          <w:sz w:val="26"/>
          <w:szCs w:val="26"/>
        </w:rPr>
        <w:t>D</w:t>
      </w:r>
      <w:r w:rsidR="005E24F9">
        <w:rPr>
          <w:color w:val="000000"/>
          <w:sz w:val="26"/>
          <w:szCs w:val="26"/>
        </w:rPr>
        <w:t xml:space="preserve"> INDIVIDUALS AS DEFINED IN 13 C.F.R. § 124.103</w:t>
      </w:r>
      <w:r w:rsidR="005B1CA2">
        <w:rPr>
          <w:color w:val="000000"/>
          <w:sz w:val="26"/>
          <w:szCs w:val="26"/>
        </w:rPr>
        <w:t>.</w:t>
      </w:r>
    </w:p>
    <w:p w14:paraId="53B847DF" w14:textId="0F9B5F28" w:rsidR="0073186B" w:rsidRDefault="0073186B" w:rsidP="00E60F1B">
      <w:pPr>
        <w:rPr>
          <w:color w:val="000000"/>
          <w:sz w:val="26"/>
          <w:szCs w:val="26"/>
        </w:rPr>
      </w:pPr>
    </w:p>
    <w:p w14:paraId="0AEF2E94" w14:textId="4AFD06C2" w:rsidR="00CC03AD" w:rsidRDefault="00CC03AD" w:rsidP="00CC03AD">
      <w:pPr>
        <w:widowControl w:val="0"/>
        <w:autoSpaceDE w:val="0"/>
        <w:autoSpaceDN w:val="0"/>
        <w:adjustRightInd w:val="0"/>
        <w:rPr>
          <w:color w:val="000000"/>
          <w:sz w:val="26"/>
          <w:szCs w:val="26"/>
        </w:rPr>
      </w:pPr>
      <w:r w:rsidRPr="003C5AB4">
        <w:rPr>
          <w:i/>
          <w:iCs/>
          <w:color w:val="000000"/>
          <w:sz w:val="26"/>
          <w:szCs w:val="26"/>
        </w:rPr>
        <w:t>   OPERATE</w:t>
      </w:r>
      <w:r w:rsidRPr="003C5AB4">
        <w:rPr>
          <w:color w:val="000000"/>
          <w:sz w:val="26"/>
          <w:szCs w:val="26"/>
        </w:rPr>
        <w:t>—ACTIVE INVOLVEMENT IN THE DAY-TO-DAY MANAGEMENT. THE TERM INVOLVES MORE THAN ACTING AS OFFICERS OR DIRECTORS.</w:t>
      </w:r>
    </w:p>
    <w:p w14:paraId="67F927CD" w14:textId="5C78CFD1" w:rsidR="00527ECE" w:rsidRDefault="00527ECE" w:rsidP="00CC03AD">
      <w:pPr>
        <w:widowControl w:val="0"/>
        <w:autoSpaceDE w:val="0"/>
        <w:autoSpaceDN w:val="0"/>
        <w:adjustRightInd w:val="0"/>
        <w:rPr>
          <w:color w:val="000000"/>
          <w:sz w:val="26"/>
          <w:szCs w:val="26"/>
        </w:rPr>
      </w:pPr>
    </w:p>
    <w:p w14:paraId="49056BAE" w14:textId="76588767" w:rsidR="00527ECE" w:rsidRPr="0044143E" w:rsidRDefault="001E4846" w:rsidP="00527ECE">
      <w:pPr>
        <w:widowControl w:val="0"/>
        <w:autoSpaceDE w:val="0"/>
        <w:autoSpaceDN w:val="0"/>
        <w:adjustRightInd w:val="0"/>
        <w:rPr>
          <w:color w:val="000000"/>
          <w:sz w:val="26"/>
          <w:szCs w:val="26"/>
        </w:rPr>
      </w:pPr>
      <w:r>
        <w:rPr>
          <w:i/>
          <w:iCs/>
          <w:color w:val="000000"/>
          <w:sz w:val="26"/>
          <w:szCs w:val="26"/>
        </w:rPr>
        <w:t>   </w:t>
      </w:r>
      <w:r w:rsidR="004071BF" w:rsidRPr="0044143E">
        <w:rPr>
          <w:i/>
          <w:iCs/>
          <w:color w:val="000000"/>
          <w:sz w:val="26"/>
          <w:szCs w:val="26"/>
        </w:rPr>
        <w:t>PERSON WITH DISABILITIES</w:t>
      </w:r>
      <w:r w:rsidR="004071BF" w:rsidRPr="0044143E">
        <w:rPr>
          <w:color w:val="000000"/>
          <w:sz w:val="26"/>
          <w:szCs w:val="26"/>
        </w:rPr>
        <w:t>—</w:t>
      </w:r>
      <w:r w:rsidR="00D5529E">
        <w:rPr>
          <w:color w:val="000000"/>
          <w:sz w:val="26"/>
          <w:szCs w:val="26"/>
        </w:rPr>
        <w:t>A PERSON</w:t>
      </w:r>
      <w:r w:rsidR="004071BF" w:rsidRPr="0044143E">
        <w:rPr>
          <w:color w:val="000000"/>
          <w:sz w:val="26"/>
          <w:szCs w:val="26"/>
        </w:rPr>
        <w:t xml:space="preserve"> WHO HAS A DISABILITY AS DEFINED IN THE AMERICANS WITH DISABILITIES ACT (ADA), 42 U.S.C.A. § 12102.</w:t>
      </w:r>
      <w:r w:rsidR="0044143E" w:rsidRPr="0044143E">
        <w:rPr>
          <w:color w:val="000000"/>
          <w:sz w:val="26"/>
          <w:szCs w:val="26"/>
        </w:rPr>
        <w:t xml:space="preserve">  EMPLOYER REPORTING ON PERSON WITH DISABILITIES SHOULD BE BASED ON EMPLOYEE SELF IDENTIFICATION.</w:t>
      </w:r>
    </w:p>
    <w:p w14:paraId="21C977CB" w14:textId="77777777" w:rsidR="00527ECE" w:rsidRPr="0044143E" w:rsidRDefault="00527ECE" w:rsidP="00CC03AD">
      <w:pPr>
        <w:widowControl w:val="0"/>
        <w:autoSpaceDE w:val="0"/>
        <w:autoSpaceDN w:val="0"/>
        <w:adjustRightInd w:val="0"/>
        <w:rPr>
          <w:color w:val="000000"/>
          <w:sz w:val="26"/>
          <w:szCs w:val="26"/>
        </w:rPr>
      </w:pPr>
    </w:p>
    <w:p w14:paraId="039E039D" w14:textId="2284FA36" w:rsidR="0073186B" w:rsidRDefault="0073186B" w:rsidP="0073186B">
      <w:pPr>
        <w:widowControl w:val="0"/>
        <w:autoSpaceDE w:val="0"/>
        <w:autoSpaceDN w:val="0"/>
        <w:adjustRightInd w:val="0"/>
        <w:rPr>
          <w:color w:val="000000"/>
          <w:sz w:val="26"/>
          <w:szCs w:val="26"/>
        </w:rPr>
      </w:pPr>
      <w:r>
        <w:rPr>
          <w:i/>
          <w:iCs/>
          <w:color w:val="000000"/>
          <w:sz w:val="26"/>
          <w:szCs w:val="26"/>
        </w:rPr>
        <w:t>   </w:t>
      </w:r>
      <w:r w:rsidRPr="0085193B">
        <w:rPr>
          <w:i/>
          <w:iCs/>
          <w:color w:val="000000"/>
          <w:sz w:val="26"/>
          <w:szCs w:val="26"/>
        </w:rPr>
        <w:t>SUBCONTRACT</w:t>
      </w:r>
      <w:r>
        <w:rPr>
          <w:color w:val="000000"/>
          <w:sz w:val="26"/>
          <w:szCs w:val="26"/>
        </w:rPr>
        <w:t>—</w:t>
      </w:r>
      <w:r w:rsidRPr="0085193B">
        <w:rPr>
          <w:color w:val="000000"/>
          <w:sz w:val="26"/>
          <w:szCs w:val="26"/>
        </w:rPr>
        <w:t>AN AGREEMENT OR ARRANGEMENT BETWEEN A CONTRACTOR AND A PARTY OR PERSON--IN WHICH THE PARTIES DO NOT STAND IN THE RELATIONSHIP OF AN EMPLOYER AND AN EMPLOYE</w:t>
      </w:r>
      <w:r>
        <w:rPr>
          <w:color w:val="000000"/>
          <w:sz w:val="26"/>
          <w:szCs w:val="26"/>
        </w:rPr>
        <w:t>—</w:t>
      </w:r>
      <w:r w:rsidRPr="0085193B">
        <w:rPr>
          <w:color w:val="000000"/>
          <w:sz w:val="26"/>
          <w:szCs w:val="26"/>
        </w:rPr>
        <w:t>FOR THE FURNISHING OF SUPPLIES OR SERVICES FOR THE USE OF REAL OR PERSONAL PROPERTY, INCLUDING LEASE ARRANGEMENTS, WHICH IN WHOLE OR IN PART, IS NECESSARY TO THE PERFORMANCE OF ANY ONE OR MORE CONTRACTS.</w:t>
      </w:r>
    </w:p>
    <w:p w14:paraId="627FB179" w14:textId="57C85036" w:rsidR="00823170" w:rsidRDefault="00823170" w:rsidP="0073186B">
      <w:pPr>
        <w:widowControl w:val="0"/>
        <w:autoSpaceDE w:val="0"/>
        <w:autoSpaceDN w:val="0"/>
        <w:adjustRightInd w:val="0"/>
        <w:rPr>
          <w:color w:val="000000"/>
          <w:sz w:val="26"/>
          <w:szCs w:val="26"/>
        </w:rPr>
      </w:pPr>
    </w:p>
    <w:p w14:paraId="11434439" w14:textId="25704C95" w:rsidR="00823170" w:rsidRPr="00823170" w:rsidRDefault="00823170" w:rsidP="00823170">
      <w:pPr>
        <w:pStyle w:val="NoSpacing"/>
        <w:rPr>
          <w:color w:val="000000"/>
          <w:sz w:val="26"/>
          <w:szCs w:val="26"/>
        </w:rPr>
      </w:pPr>
      <w:r w:rsidRPr="00823170">
        <w:rPr>
          <w:i/>
          <w:iCs/>
          <w:color w:val="000000"/>
          <w:sz w:val="26"/>
          <w:szCs w:val="26"/>
        </w:rPr>
        <w:t>   VETERAN</w:t>
      </w:r>
      <w:r w:rsidRPr="00823170">
        <w:rPr>
          <w:color w:val="000000"/>
          <w:sz w:val="26"/>
          <w:szCs w:val="26"/>
        </w:rPr>
        <w:t>—A PERSON WHO MEETS ANY VETERAN CATEGORY DEFINED IN 42 C.F.R. § 61-300.2.</w:t>
      </w:r>
    </w:p>
    <w:p w14:paraId="3ABA1EFB" w14:textId="77777777" w:rsidR="00823170" w:rsidRPr="0085193B" w:rsidRDefault="00823170" w:rsidP="0073186B">
      <w:pPr>
        <w:widowControl w:val="0"/>
        <w:autoSpaceDE w:val="0"/>
        <w:autoSpaceDN w:val="0"/>
        <w:adjustRightInd w:val="0"/>
        <w:rPr>
          <w:color w:val="000000"/>
          <w:sz w:val="26"/>
          <w:szCs w:val="26"/>
        </w:rPr>
      </w:pPr>
    </w:p>
    <w:p w14:paraId="313C1F16" w14:textId="129D1186" w:rsidR="007A6F1C" w:rsidRDefault="001E4846" w:rsidP="00515ACA">
      <w:pPr>
        <w:widowControl w:val="0"/>
        <w:autoSpaceDE w:val="0"/>
        <w:autoSpaceDN w:val="0"/>
        <w:adjustRightInd w:val="0"/>
        <w:rPr>
          <w:bCs/>
          <w:sz w:val="26"/>
          <w:szCs w:val="26"/>
        </w:rPr>
      </w:pPr>
      <w:r>
        <w:rPr>
          <w:i/>
          <w:iCs/>
          <w:color w:val="000000"/>
          <w:sz w:val="26"/>
          <w:szCs w:val="26"/>
        </w:rPr>
        <w:t>   </w:t>
      </w:r>
      <w:r w:rsidR="0010728A" w:rsidRPr="00A24B9B">
        <w:rPr>
          <w:color w:val="000000"/>
          <w:sz w:val="26"/>
          <w:szCs w:val="26"/>
        </w:rPr>
        <w:t>WBE</w:t>
      </w:r>
      <w:r w:rsidR="00F02B72">
        <w:rPr>
          <w:color w:val="000000"/>
          <w:sz w:val="26"/>
          <w:szCs w:val="26"/>
        </w:rPr>
        <w:t>–</w:t>
      </w:r>
      <w:r w:rsidR="002D0485" w:rsidRPr="002D0485">
        <w:rPr>
          <w:i/>
          <w:iCs/>
          <w:color w:val="000000"/>
          <w:sz w:val="26"/>
          <w:szCs w:val="26"/>
        </w:rPr>
        <w:t>WOMEN-OWNED BUSINESS ENTERPRISE</w:t>
      </w:r>
      <w:r w:rsidR="002D0485" w:rsidRPr="002D0485">
        <w:rPr>
          <w:color w:val="000000"/>
          <w:sz w:val="26"/>
          <w:szCs w:val="26"/>
        </w:rPr>
        <w:t xml:space="preserve">—A BUSINESS ENTERPRISE </w:t>
      </w:r>
      <w:r w:rsidR="002D0485" w:rsidRPr="002D0485">
        <w:rPr>
          <w:color w:val="000000"/>
          <w:sz w:val="26"/>
          <w:szCs w:val="26"/>
        </w:rPr>
        <w:lastRenderedPageBreak/>
        <w:t>THAT IS AT LEAST 51% OWNED BY A WOMAN OR WOMEN; OR A PUBLICLY OWNED BUSINESS THAT HAS AT LEAST 51% OF ITS STOCK OWNED BY ONE OR MORE WOMEN, AND WHOSE MANAGEMENT AND DAILY BUSINESS OPERATIONS ARE CONTROLLED BY ONE OR MORE WOMEN</w:t>
      </w:r>
      <w:r w:rsidR="00515ACA">
        <w:rPr>
          <w:color w:val="000000"/>
          <w:sz w:val="26"/>
          <w:szCs w:val="26"/>
        </w:rPr>
        <w:t>.</w:t>
      </w:r>
      <w:r w:rsidR="002D0485" w:rsidRPr="002D0485">
        <w:rPr>
          <w:color w:val="000000"/>
          <w:sz w:val="26"/>
          <w:szCs w:val="26"/>
        </w:rPr>
        <w:t xml:space="preserve"> </w:t>
      </w:r>
    </w:p>
    <w:p w14:paraId="54853B87" w14:textId="77777777" w:rsidR="00C9455D" w:rsidRPr="00C9455D" w:rsidRDefault="00C9455D" w:rsidP="00E60F1B">
      <w:pPr>
        <w:rPr>
          <w:bCs/>
          <w:sz w:val="26"/>
          <w:szCs w:val="26"/>
        </w:rPr>
      </w:pPr>
    </w:p>
    <w:p w14:paraId="577AEDCB" w14:textId="77777777" w:rsidR="00E60F1B" w:rsidRDefault="00E60F1B" w:rsidP="00230A97">
      <w:pPr>
        <w:pStyle w:val="NoSpacing"/>
        <w:keepNext/>
        <w:rPr>
          <w:b/>
          <w:sz w:val="26"/>
          <w:szCs w:val="26"/>
        </w:rPr>
      </w:pPr>
      <w:r>
        <w:rPr>
          <w:b/>
          <w:sz w:val="26"/>
          <w:szCs w:val="26"/>
        </w:rPr>
        <w:t>§ 69.803. Guidelines for diversity development.</w:t>
      </w:r>
    </w:p>
    <w:p w14:paraId="220176CA" w14:textId="77777777" w:rsidR="00E60F1B" w:rsidRDefault="00E60F1B" w:rsidP="00230A97">
      <w:pPr>
        <w:pStyle w:val="NoSpacing"/>
        <w:keepNext/>
        <w:rPr>
          <w:b/>
          <w:sz w:val="26"/>
          <w:szCs w:val="26"/>
        </w:rPr>
      </w:pPr>
    </w:p>
    <w:p w14:paraId="2D36E865" w14:textId="77777777" w:rsidR="00E60F1B" w:rsidRPr="00124514" w:rsidRDefault="00E60F1B" w:rsidP="00E60F1B">
      <w:pPr>
        <w:widowControl w:val="0"/>
        <w:autoSpaceDE w:val="0"/>
        <w:autoSpaceDN w:val="0"/>
        <w:adjustRightInd w:val="0"/>
        <w:jc w:val="both"/>
        <w:rPr>
          <w:color w:val="000000"/>
          <w:sz w:val="26"/>
          <w:szCs w:val="26"/>
        </w:rPr>
      </w:pPr>
      <w:r>
        <w:rPr>
          <w:color w:val="000000"/>
          <w:sz w:val="26"/>
          <w:szCs w:val="26"/>
        </w:rPr>
        <w:t> </w:t>
      </w:r>
      <w:r w:rsidRPr="00124514">
        <w:rPr>
          <w:color w:val="000000"/>
          <w:sz w:val="26"/>
          <w:szCs w:val="26"/>
        </w:rPr>
        <w:t>The Commission encourages major jurisdictional utility companies to implement diversity programs. This effort may include the following:</w:t>
      </w:r>
    </w:p>
    <w:p w14:paraId="2E7E2955" w14:textId="77777777" w:rsidR="00E60F1B" w:rsidRPr="00124514" w:rsidRDefault="00E60F1B" w:rsidP="00E60F1B">
      <w:pPr>
        <w:widowControl w:val="0"/>
        <w:autoSpaceDE w:val="0"/>
        <w:autoSpaceDN w:val="0"/>
        <w:adjustRightInd w:val="0"/>
        <w:jc w:val="both"/>
        <w:rPr>
          <w:color w:val="000000"/>
          <w:sz w:val="26"/>
          <w:szCs w:val="26"/>
        </w:rPr>
      </w:pPr>
    </w:p>
    <w:p w14:paraId="39047606" w14:textId="45604E18" w:rsidR="00E60F1B" w:rsidRPr="00124514" w:rsidRDefault="00E60F1B" w:rsidP="00A54ABE">
      <w:pPr>
        <w:widowControl w:val="0"/>
        <w:autoSpaceDE w:val="0"/>
        <w:autoSpaceDN w:val="0"/>
        <w:adjustRightInd w:val="0"/>
        <w:rPr>
          <w:color w:val="000000"/>
          <w:sz w:val="26"/>
          <w:szCs w:val="26"/>
        </w:rPr>
      </w:pPr>
      <w:bookmarkStart w:id="24" w:name="co_anchor_I334F4ED28C8811DEAEC4E00399601"/>
      <w:bookmarkStart w:id="25" w:name="co_pp_f1c50000821b0_12"/>
      <w:bookmarkEnd w:id="24"/>
      <w:bookmarkEnd w:id="25"/>
      <w:r>
        <w:rPr>
          <w:color w:val="000000"/>
          <w:sz w:val="26"/>
          <w:szCs w:val="26"/>
        </w:rPr>
        <w:t>   </w:t>
      </w:r>
      <w:r w:rsidRPr="00124514">
        <w:rPr>
          <w:color w:val="000000"/>
          <w:sz w:val="26"/>
          <w:szCs w:val="26"/>
        </w:rPr>
        <w:t xml:space="preserve">(1) The articulation of a corporate policy by the senior executives of the major jurisdictional utility company committing </w:t>
      </w:r>
      <w:proofErr w:type="spellStart"/>
      <w:r w:rsidR="00961BDB">
        <w:rPr>
          <w:color w:val="000000"/>
          <w:sz w:val="26"/>
          <w:szCs w:val="26"/>
        </w:rPr>
        <w:t>IT</w:t>
      </w:r>
      <w:r w:rsidRPr="00E0310B">
        <w:rPr>
          <w:strike/>
          <w:color w:val="000000"/>
          <w:sz w:val="26"/>
          <w:szCs w:val="26"/>
        </w:rPr>
        <w:t>the</w:t>
      </w:r>
      <w:proofErr w:type="spellEnd"/>
      <w:r w:rsidRPr="00E0310B">
        <w:rPr>
          <w:strike/>
          <w:color w:val="000000"/>
          <w:sz w:val="26"/>
          <w:szCs w:val="26"/>
        </w:rPr>
        <w:t xml:space="preserve"> utility</w:t>
      </w:r>
      <w:r w:rsidRPr="00124514">
        <w:rPr>
          <w:color w:val="000000"/>
          <w:sz w:val="26"/>
          <w:szCs w:val="26"/>
        </w:rPr>
        <w:t xml:space="preserve"> to improving its level of diversity in the workplace and within its procurement process.</w:t>
      </w:r>
    </w:p>
    <w:p w14:paraId="7B309D57" w14:textId="77777777" w:rsidR="00E60F1B" w:rsidRPr="00124514" w:rsidRDefault="00E60F1B" w:rsidP="00E60F1B">
      <w:pPr>
        <w:widowControl w:val="0"/>
        <w:autoSpaceDE w:val="0"/>
        <w:autoSpaceDN w:val="0"/>
        <w:adjustRightInd w:val="0"/>
        <w:jc w:val="both"/>
        <w:rPr>
          <w:color w:val="000000"/>
          <w:sz w:val="26"/>
          <w:szCs w:val="26"/>
        </w:rPr>
      </w:pPr>
    </w:p>
    <w:p w14:paraId="131118A8" w14:textId="77777777" w:rsidR="00E60F1B" w:rsidRPr="00124514" w:rsidRDefault="00E60F1B" w:rsidP="00E60F1B">
      <w:pPr>
        <w:widowControl w:val="0"/>
        <w:autoSpaceDE w:val="0"/>
        <w:autoSpaceDN w:val="0"/>
        <w:adjustRightInd w:val="0"/>
        <w:jc w:val="both"/>
        <w:rPr>
          <w:color w:val="000000"/>
          <w:sz w:val="26"/>
          <w:szCs w:val="26"/>
        </w:rPr>
      </w:pPr>
      <w:bookmarkStart w:id="26" w:name="co_anchor_I334F4ED38C8811DEAEC4E00399601"/>
      <w:bookmarkStart w:id="27" w:name="co_pp_58730000872b1_12"/>
      <w:bookmarkEnd w:id="26"/>
      <w:bookmarkEnd w:id="27"/>
      <w:r>
        <w:rPr>
          <w:color w:val="000000"/>
          <w:sz w:val="26"/>
          <w:szCs w:val="26"/>
        </w:rPr>
        <w:t>   </w:t>
      </w:r>
      <w:r w:rsidRPr="00124514">
        <w:rPr>
          <w:color w:val="000000"/>
          <w:sz w:val="26"/>
          <w:szCs w:val="26"/>
        </w:rPr>
        <w:t>(2) The development and implementation of a corporate-wide diversity program with specified goals and objectives for each year.</w:t>
      </w:r>
    </w:p>
    <w:p w14:paraId="11EB96DD" w14:textId="77777777" w:rsidR="00E60F1B" w:rsidRPr="00124514" w:rsidRDefault="00E60F1B" w:rsidP="00E60F1B">
      <w:pPr>
        <w:widowControl w:val="0"/>
        <w:autoSpaceDE w:val="0"/>
        <w:autoSpaceDN w:val="0"/>
        <w:adjustRightInd w:val="0"/>
        <w:jc w:val="both"/>
        <w:rPr>
          <w:color w:val="000000"/>
          <w:sz w:val="26"/>
          <w:szCs w:val="26"/>
        </w:rPr>
      </w:pPr>
    </w:p>
    <w:p w14:paraId="160747BF" w14:textId="77777777" w:rsidR="00E60F1B" w:rsidRPr="00124514" w:rsidRDefault="00E60F1B" w:rsidP="00E60F1B">
      <w:pPr>
        <w:widowControl w:val="0"/>
        <w:autoSpaceDE w:val="0"/>
        <w:autoSpaceDN w:val="0"/>
        <w:adjustRightInd w:val="0"/>
        <w:jc w:val="both"/>
        <w:rPr>
          <w:color w:val="000000"/>
          <w:sz w:val="26"/>
          <w:szCs w:val="26"/>
        </w:rPr>
      </w:pPr>
      <w:bookmarkStart w:id="28" w:name="co_anchor_I334F4ED48C8811DEAEC4E00399601"/>
      <w:bookmarkStart w:id="29" w:name="co_pp_d08f0000f5f67_12"/>
      <w:bookmarkEnd w:id="28"/>
      <w:bookmarkEnd w:id="29"/>
      <w:r>
        <w:rPr>
          <w:color w:val="000000"/>
          <w:sz w:val="26"/>
          <w:szCs w:val="26"/>
        </w:rPr>
        <w:t>   </w:t>
      </w:r>
      <w:r w:rsidRPr="00124514">
        <w:rPr>
          <w:color w:val="000000"/>
          <w:sz w:val="26"/>
          <w:szCs w:val="26"/>
        </w:rPr>
        <w:t>(3) The appointment of utility managers to be responsible for the success of the program.</w:t>
      </w:r>
    </w:p>
    <w:p w14:paraId="30582B5A" w14:textId="77777777" w:rsidR="00E60F1B" w:rsidRPr="00124514" w:rsidRDefault="00E60F1B" w:rsidP="00E60F1B">
      <w:pPr>
        <w:widowControl w:val="0"/>
        <w:autoSpaceDE w:val="0"/>
        <w:autoSpaceDN w:val="0"/>
        <w:adjustRightInd w:val="0"/>
        <w:jc w:val="both"/>
        <w:rPr>
          <w:color w:val="000000"/>
          <w:sz w:val="26"/>
          <w:szCs w:val="26"/>
        </w:rPr>
      </w:pPr>
    </w:p>
    <w:p w14:paraId="4183E1AE" w14:textId="77777777" w:rsidR="00E60F1B" w:rsidRPr="00124514" w:rsidRDefault="00E60F1B" w:rsidP="00E60F1B">
      <w:pPr>
        <w:widowControl w:val="0"/>
        <w:autoSpaceDE w:val="0"/>
        <w:autoSpaceDN w:val="0"/>
        <w:adjustRightInd w:val="0"/>
        <w:jc w:val="both"/>
        <w:rPr>
          <w:color w:val="000000"/>
          <w:sz w:val="26"/>
          <w:szCs w:val="26"/>
        </w:rPr>
      </w:pPr>
      <w:bookmarkStart w:id="30" w:name="co_anchor_I334F4ED58C8811DEAEC4E00399601"/>
      <w:bookmarkStart w:id="31" w:name="co_pp_0bd500007a412_12"/>
      <w:bookmarkEnd w:id="30"/>
      <w:bookmarkEnd w:id="31"/>
      <w:r>
        <w:rPr>
          <w:color w:val="000000"/>
          <w:sz w:val="26"/>
          <w:szCs w:val="26"/>
        </w:rPr>
        <w:t>   </w:t>
      </w:r>
      <w:r w:rsidRPr="00124514">
        <w:rPr>
          <w:color w:val="000000"/>
          <w:sz w:val="26"/>
          <w:szCs w:val="26"/>
        </w:rPr>
        <w:t>(4) The training of managers regarding implementing diversity initiatives in the areas of employment and contracting for goods and services.</w:t>
      </w:r>
    </w:p>
    <w:p w14:paraId="7B759CB6" w14:textId="77777777" w:rsidR="00E60F1B" w:rsidRDefault="00E60F1B" w:rsidP="00E60F1B">
      <w:pPr>
        <w:pStyle w:val="NoSpacing"/>
        <w:rPr>
          <w:b/>
          <w:sz w:val="26"/>
          <w:szCs w:val="26"/>
        </w:rPr>
      </w:pPr>
    </w:p>
    <w:p w14:paraId="6A09DD6A" w14:textId="3C12A6F2" w:rsidR="00E60F1B" w:rsidRPr="006D4CA1" w:rsidRDefault="00E60F1B" w:rsidP="00C9455D">
      <w:pPr>
        <w:widowControl w:val="0"/>
        <w:autoSpaceDE w:val="0"/>
        <w:autoSpaceDN w:val="0"/>
        <w:adjustRightInd w:val="0"/>
        <w:rPr>
          <w:color w:val="000000"/>
          <w:sz w:val="26"/>
          <w:szCs w:val="26"/>
        </w:rPr>
      </w:pPr>
      <w:r>
        <w:rPr>
          <w:color w:val="000000"/>
          <w:sz w:val="26"/>
          <w:szCs w:val="26"/>
        </w:rPr>
        <w:t>   </w:t>
      </w:r>
      <w:r w:rsidRPr="006D4CA1">
        <w:rPr>
          <w:color w:val="000000"/>
          <w:sz w:val="26"/>
          <w:szCs w:val="26"/>
        </w:rPr>
        <w:t>(5) The location of qualified minority/women/</w:t>
      </w:r>
      <w:r w:rsidRPr="00A7140A">
        <w:rPr>
          <w:strike/>
          <w:color w:val="000000"/>
          <w:sz w:val="26"/>
          <w:szCs w:val="26"/>
        </w:rPr>
        <w:t xml:space="preserve"> </w:t>
      </w:r>
      <w:r w:rsidRPr="006D4CA1">
        <w:rPr>
          <w:color w:val="000000"/>
          <w:sz w:val="26"/>
          <w:szCs w:val="26"/>
        </w:rPr>
        <w:t>persons with disabilities</w:t>
      </w:r>
      <w:r w:rsidRPr="006D4CA1">
        <w:rPr>
          <w:color w:val="000000"/>
          <w:sz w:val="26"/>
          <w:szCs w:val="26"/>
          <w:u w:val="single"/>
        </w:rPr>
        <w:t>/LGBTQ/veteran</w:t>
      </w:r>
      <w:r w:rsidRPr="006D4CA1">
        <w:rPr>
          <w:color w:val="000000"/>
          <w:sz w:val="26"/>
          <w:szCs w:val="26"/>
        </w:rPr>
        <w:t xml:space="preserve">-owned business contractors and mentoring, </w:t>
      </w:r>
      <w:proofErr w:type="gramStart"/>
      <w:r w:rsidRPr="006D4CA1">
        <w:rPr>
          <w:color w:val="000000"/>
          <w:sz w:val="26"/>
          <w:szCs w:val="26"/>
        </w:rPr>
        <w:t>partnering</w:t>
      </w:r>
      <w:proofErr w:type="gramEnd"/>
      <w:r w:rsidRPr="006D4CA1">
        <w:rPr>
          <w:color w:val="000000"/>
          <w:sz w:val="26"/>
          <w:szCs w:val="26"/>
        </w:rPr>
        <w:t xml:space="preserve"> and training qualified women/minority/persons with disabilities</w:t>
      </w:r>
      <w:r w:rsidRPr="006D4CA1">
        <w:rPr>
          <w:color w:val="000000"/>
          <w:sz w:val="26"/>
          <w:szCs w:val="26"/>
          <w:u w:val="single"/>
        </w:rPr>
        <w:t>/LGBTQ/veteran</w:t>
      </w:r>
      <w:r w:rsidRPr="006D4CA1">
        <w:rPr>
          <w:color w:val="000000"/>
          <w:sz w:val="26"/>
          <w:szCs w:val="26"/>
        </w:rPr>
        <w:t xml:space="preserve">-owned businesses contractors to serve the needs of the major </w:t>
      </w:r>
      <w:proofErr w:type="spellStart"/>
      <w:r w:rsidRPr="006D4CA1">
        <w:rPr>
          <w:color w:val="000000"/>
          <w:sz w:val="26"/>
          <w:szCs w:val="26"/>
        </w:rPr>
        <w:t>jurisdiction</w:t>
      </w:r>
      <w:r w:rsidR="00961BDB">
        <w:rPr>
          <w:color w:val="000000"/>
          <w:sz w:val="26"/>
          <w:szCs w:val="26"/>
        </w:rPr>
        <w:t>AL</w:t>
      </w:r>
      <w:proofErr w:type="spellEnd"/>
      <w:r w:rsidRPr="006D4CA1">
        <w:rPr>
          <w:color w:val="000000"/>
          <w:sz w:val="26"/>
          <w:szCs w:val="26"/>
        </w:rPr>
        <w:t xml:space="preserve"> utility company.</w:t>
      </w:r>
    </w:p>
    <w:p w14:paraId="1780098C" w14:textId="77777777" w:rsidR="00E60F1B" w:rsidRDefault="00E60F1B" w:rsidP="00E60F1B">
      <w:pPr>
        <w:rPr>
          <w:b/>
          <w:sz w:val="26"/>
          <w:szCs w:val="26"/>
        </w:rPr>
      </w:pPr>
    </w:p>
    <w:p w14:paraId="25FAF1C3" w14:textId="77777777" w:rsidR="00E60F1B" w:rsidRDefault="00E60F1B" w:rsidP="00E60F1B">
      <w:pPr>
        <w:rPr>
          <w:b/>
          <w:sz w:val="26"/>
          <w:szCs w:val="26"/>
        </w:rPr>
      </w:pPr>
    </w:p>
    <w:p w14:paraId="27199EA2" w14:textId="77777777" w:rsidR="00E60F1B" w:rsidRDefault="00E60F1B" w:rsidP="00E60F1B">
      <w:pPr>
        <w:pStyle w:val="NoSpacing"/>
        <w:rPr>
          <w:b/>
          <w:sz w:val="26"/>
          <w:szCs w:val="26"/>
        </w:rPr>
      </w:pPr>
      <w:r>
        <w:rPr>
          <w:b/>
          <w:sz w:val="26"/>
          <w:szCs w:val="26"/>
        </w:rPr>
        <w:t>§ 69.804. Contracting recommendations.</w:t>
      </w:r>
    </w:p>
    <w:p w14:paraId="1CE769B2" w14:textId="77777777" w:rsidR="00E60F1B" w:rsidRDefault="00E60F1B" w:rsidP="00E60F1B">
      <w:pPr>
        <w:pStyle w:val="NoSpacing"/>
        <w:ind w:left="270"/>
        <w:rPr>
          <w:b/>
          <w:sz w:val="26"/>
          <w:szCs w:val="26"/>
        </w:rPr>
      </w:pPr>
    </w:p>
    <w:p w14:paraId="74CE9805" w14:textId="2BB635CF" w:rsidR="00E60F1B" w:rsidRPr="004854CA" w:rsidRDefault="00E60F1B" w:rsidP="00E60F1B">
      <w:pPr>
        <w:widowControl w:val="0"/>
        <w:autoSpaceDE w:val="0"/>
        <w:autoSpaceDN w:val="0"/>
        <w:adjustRightInd w:val="0"/>
        <w:rPr>
          <w:color w:val="000000"/>
          <w:sz w:val="26"/>
          <w:szCs w:val="26"/>
        </w:rPr>
      </w:pPr>
      <w:r>
        <w:rPr>
          <w:color w:val="000000"/>
          <w:sz w:val="26"/>
          <w:szCs w:val="26"/>
        </w:rPr>
        <w:t> </w:t>
      </w:r>
      <w:r w:rsidRPr="004854CA">
        <w:rPr>
          <w:color w:val="000000"/>
          <w:sz w:val="26"/>
          <w:szCs w:val="26"/>
        </w:rPr>
        <w:t>The Commission recommends that major jurisdictional utility companies strive to take maximum efforts to provide that minority/women/persons with disabilities</w:t>
      </w:r>
      <w:r w:rsidRPr="004854CA">
        <w:rPr>
          <w:color w:val="000000"/>
          <w:sz w:val="26"/>
          <w:szCs w:val="26"/>
          <w:u w:val="single"/>
        </w:rPr>
        <w:t>/LGBTQ/veteran</w:t>
      </w:r>
      <w:r w:rsidRPr="004854CA">
        <w:rPr>
          <w:color w:val="000000"/>
          <w:sz w:val="26"/>
          <w:szCs w:val="26"/>
        </w:rPr>
        <w:t>-owned businesses have an equal opportunity to compete for the purchase of equipment, supplies, services, fuels, materials, construction, professional services</w:t>
      </w:r>
      <w:r w:rsidR="00004EA7" w:rsidRPr="004D1BCC">
        <w:rPr>
          <w:b/>
          <w:bCs/>
          <w:color w:val="000000"/>
          <w:sz w:val="26"/>
          <w:szCs w:val="26"/>
          <w:u w:val="single"/>
        </w:rPr>
        <w:t>,</w:t>
      </w:r>
      <w:r w:rsidRPr="004854CA">
        <w:rPr>
          <w:color w:val="000000"/>
          <w:sz w:val="26"/>
          <w:szCs w:val="26"/>
        </w:rPr>
        <w:t xml:space="preserve"> advertising and the like. The Commission encourages major jurisdictional utility companies to develop a diversity program which is designed to provide that a fair proportion of products and services contracts are offered to minority/women/persons with disabilities</w:t>
      </w:r>
      <w:r w:rsidRPr="004854CA">
        <w:rPr>
          <w:color w:val="000000"/>
          <w:sz w:val="26"/>
          <w:szCs w:val="26"/>
          <w:u w:val="single"/>
        </w:rPr>
        <w:t>/LGBTQ/veteran</w:t>
      </w:r>
      <w:r w:rsidRPr="004854CA">
        <w:rPr>
          <w:color w:val="000000"/>
          <w:sz w:val="26"/>
          <w:szCs w:val="26"/>
        </w:rPr>
        <w:t>-owned businesses. It is recommended that the major jurisdictional utility companies adopt the general guidelines in §§ 69.805</w:t>
      </w:r>
      <w:r>
        <w:rPr>
          <w:color w:val="000000"/>
          <w:sz w:val="26"/>
          <w:szCs w:val="26"/>
        </w:rPr>
        <w:t>—</w:t>
      </w:r>
      <w:r w:rsidRPr="004854CA">
        <w:rPr>
          <w:color w:val="000000"/>
          <w:sz w:val="26"/>
          <w:szCs w:val="26"/>
        </w:rPr>
        <w:t>69.808 in the development or enhancement of their diversity program relative to contracting for goods and services.</w:t>
      </w:r>
    </w:p>
    <w:p w14:paraId="34AAE729" w14:textId="77777777" w:rsidR="00E60F1B" w:rsidRDefault="00E60F1B" w:rsidP="00E60F1B">
      <w:pPr>
        <w:pStyle w:val="NoSpacing"/>
        <w:rPr>
          <w:b/>
          <w:sz w:val="26"/>
          <w:szCs w:val="26"/>
        </w:rPr>
      </w:pPr>
    </w:p>
    <w:p w14:paraId="1B72E6BD" w14:textId="77777777" w:rsidR="00E60F1B" w:rsidRDefault="00E60F1B" w:rsidP="00E60F1B">
      <w:pPr>
        <w:rPr>
          <w:b/>
          <w:sz w:val="26"/>
          <w:szCs w:val="26"/>
        </w:rPr>
      </w:pPr>
    </w:p>
    <w:p w14:paraId="220AA825" w14:textId="77777777" w:rsidR="00E60F1B" w:rsidRDefault="00E60F1B" w:rsidP="00E60F1B">
      <w:pPr>
        <w:pStyle w:val="NoSpacing"/>
        <w:rPr>
          <w:bCs/>
          <w:sz w:val="26"/>
          <w:szCs w:val="26"/>
        </w:rPr>
      </w:pPr>
      <w:r>
        <w:rPr>
          <w:b/>
          <w:sz w:val="26"/>
          <w:szCs w:val="26"/>
        </w:rPr>
        <w:lastRenderedPageBreak/>
        <w:t>§ 69.805. Program development.</w:t>
      </w:r>
    </w:p>
    <w:p w14:paraId="0DE151DC" w14:textId="77777777" w:rsidR="00E60F1B" w:rsidRDefault="00E60F1B" w:rsidP="00E60F1B">
      <w:pPr>
        <w:pStyle w:val="NoSpacing"/>
        <w:ind w:left="270"/>
        <w:rPr>
          <w:bCs/>
          <w:sz w:val="26"/>
          <w:szCs w:val="26"/>
        </w:rPr>
      </w:pPr>
    </w:p>
    <w:p w14:paraId="180E242A" w14:textId="5FA5271F" w:rsidR="00E60F1B" w:rsidRDefault="00E60F1B" w:rsidP="00E60F1B">
      <w:pPr>
        <w:widowControl w:val="0"/>
        <w:autoSpaceDE w:val="0"/>
        <w:autoSpaceDN w:val="0"/>
        <w:adjustRightInd w:val="0"/>
        <w:rPr>
          <w:color w:val="000000"/>
          <w:sz w:val="26"/>
          <w:szCs w:val="26"/>
        </w:rPr>
      </w:pPr>
      <w:r>
        <w:rPr>
          <w:color w:val="000000"/>
          <w:sz w:val="26"/>
          <w:szCs w:val="26"/>
        </w:rPr>
        <w:t> </w:t>
      </w:r>
      <w:r w:rsidRPr="00B62EBF">
        <w:rPr>
          <w:color w:val="000000"/>
          <w:sz w:val="26"/>
          <w:szCs w:val="26"/>
        </w:rPr>
        <w:t>The major jurisdictional utility companies are encouraged to have an appropriate executive accountable for providing overall direction and guidance to the minority/women/persons with disabilities</w:t>
      </w:r>
      <w:r w:rsidRPr="00B62EBF">
        <w:rPr>
          <w:color w:val="000000"/>
          <w:sz w:val="26"/>
          <w:szCs w:val="26"/>
          <w:u w:val="single"/>
        </w:rPr>
        <w:t>/LGBTQ/veteran</w:t>
      </w:r>
      <w:r w:rsidRPr="00B62EBF">
        <w:rPr>
          <w:color w:val="000000"/>
          <w:sz w:val="26"/>
          <w:szCs w:val="26"/>
        </w:rPr>
        <w:t>-owned business program. Each major jurisdictional utility company is invited to maintain a staff to implement program requirements concerning the women/minority/</w:t>
      </w:r>
      <w:r w:rsidRPr="00E051DF">
        <w:rPr>
          <w:strike/>
          <w:color w:val="000000"/>
          <w:sz w:val="26"/>
          <w:szCs w:val="26"/>
        </w:rPr>
        <w:t xml:space="preserve"> </w:t>
      </w:r>
      <w:r w:rsidRPr="00B62EBF">
        <w:rPr>
          <w:color w:val="000000"/>
          <w:sz w:val="26"/>
          <w:szCs w:val="26"/>
        </w:rPr>
        <w:t>persons with disabilities</w:t>
      </w:r>
      <w:r w:rsidRPr="00B62EBF">
        <w:rPr>
          <w:color w:val="000000"/>
          <w:sz w:val="26"/>
          <w:szCs w:val="26"/>
          <w:u w:val="single"/>
        </w:rPr>
        <w:t>/LGBTQ/veteran</w:t>
      </w:r>
      <w:r w:rsidRPr="00B62EBF">
        <w:rPr>
          <w:color w:val="000000"/>
          <w:sz w:val="26"/>
          <w:szCs w:val="26"/>
        </w:rPr>
        <w:t>-owned businesses. It may not be necessary for the major jurisdictional utility company to increase its staff or to reassign existing staff to minority</w:t>
      </w:r>
      <w:r w:rsidRPr="00697C08">
        <w:rPr>
          <w:color w:val="000000"/>
          <w:sz w:val="26"/>
          <w:szCs w:val="26"/>
        </w:rPr>
        <w:t>/</w:t>
      </w:r>
      <w:r w:rsidRPr="001956C5">
        <w:rPr>
          <w:strike/>
          <w:color w:val="000000"/>
          <w:sz w:val="26"/>
          <w:szCs w:val="26"/>
        </w:rPr>
        <w:t xml:space="preserve"> </w:t>
      </w:r>
      <w:r w:rsidRPr="00B62EBF">
        <w:rPr>
          <w:color w:val="000000"/>
          <w:sz w:val="26"/>
          <w:szCs w:val="26"/>
        </w:rPr>
        <w:t>women/persons with disabilities</w:t>
      </w:r>
      <w:r w:rsidRPr="00B62EBF">
        <w:rPr>
          <w:color w:val="000000"/>
          <w:sz w:val="26"/>
          <w:szCs w:val="26"/>
          <w:u w:val="single"/>
        </w:rPr>
        <w:t>/LGBTQ/veteran</w:t>
      </w:r>
      <w:r w:rsidRPr="00B62EBF">
        <w:rPr>
          <w:color w:val="000000"/>
          <w:sz w:val="26"/>
          <w:szCs w:val="26"/>
        </w:rPr>
        <w:t>-owned business program responsibilities if the major jurisdictional utility company can implement its program effectively through its current resource commitment and management structure.</w:t>
      </w:r>
    </w:p>
    <w:p w14:paraId="718E1E6B" w14:textId="77777777" w:rsidR="00E60F1B" w:rsidRDefault="00E60F1B" w:rsidP="00E60F1B">
      <w:pPr>
        <w:widowControl w:val="0"/>
        <w:autoSpaceDE w:val="0"/>
        <w:autoSpaceDN w:val="0"/>
        <w:adjustRightInd w:val="0"/>
        <w:rPr>
          <w:color w:val="000000"/>
          <w:sz w:val="26"/>
          <w:szCs w:val="26"/>
        </w:rPr>
      </w:pPr>
    </w:p>
    <w:p w14:paraId="7431F3CB" w14:textId="77777777" w:rsidR="00E60F1B" w:rsidRDefault="00E60F1B" w:rsidP="00E60F1B">
      <w:pPr>
        <w:rPr>
          <w:b/>
          <w:sz w:val="26"/>
          <w:szCs w:val="26"/>
        </w:rPr>
      </w:pPr>
    </w:p>
    <w:p w14:paraId="3B629594" w14:textId="77777777" w:rsidR="00E60F1B" w:rsidRDefault="00E60F1B" w:rsidP="00E60F1B">
      <w:pPr>
        <w:pStyle w:val="NoSpacing"/>
        <w:rPr>
          <w:bCs/>
          <w:sz w:val="26"/>
          <w:szCs w:val="26"/>
        </w:rPr>
      </w:pPr>
      <w:r>
        <w:rPr>
          <w:b/>
          <w:sz w:val="26"/>
          <w:szCs w:val="26"/>
        </w:rPr>
        <w:t>§ 69.806. Minimum improvement levels.</w:t>
      </w:r>
    </w:p>
    <w:p w14:paraId="501118B8" w14:textId="77777777" w:rsidR="00E60F1B" w:rsidRDefault="00E60F1B" w:rsidP="00E60F1B">
      <w:pPr>
        <w:pStyle w:val="NoSpacing"/>
        <w:ind w:left="270"/>
        <w:rPr>
          <w:bCs/>
          <w:sz w:val="26"/>
          <w:szCs w:val="26"/>
        </w:rPr>
      </w:pPr>
    </w:p>
    <w:p w14:paraId="3AEE2F66" w14:textId="77777777" w:rsidR="00E60F1B" w:rsidRPr="004D61FF" w:rsidRDefault="00E60F1B" w:rsidP="00E60F1B">
      <w:pPr>
        <w:widowControl w:val="0"/>
        <w:autoSpaceDE w:val="0"/>
        <w:autoSpaceDN w:val="0"/>
        <w:adjustRightInd w:val="0"/>
        <w:rPr>
          <w:color w:val="000000"/>
          <w:sz w:val="26"/>
          <w:szCs w:val="26"/>
        </w:rPr>
      </w:pPr>
      <w:r>
        <w:rPr>
          <w:color w:val="000000"/>
          <w:sz w:val="26"/>
          <w:szCs w:val="26"/>
        </w:rPr>
        <w:t> </w:t>
      </w:r>
      <w:r w:rsidRPr="004D61FF">
        <w:rPr>
          <w:color w:val="000000"/>
          <w:sz w:val="26"/>
          <w:szCs w:val="26"/>
        </w:rPr>
        <w:t>By March 1 of each year, each major jurisdictional utility company is encouraged to annually set substantial and verifiable short-term, midterm and long-term plans for the utilization of minority/women/persons with disabilities</w:t>
      </w:r>
      <w:r w:rsidRPr="004D61FF">
        <w:rPr>
          <w:color w:val="000000"/>
          <w:sz w:val="26"/>
          <w:szCs w:val="26"/>
          <w:u w:val="single"/>
        </w:rPr>
        <w:t>/LGBTQ/veteran</w:t>
      </w:r>
      <w:r w:rsidRPr="004D61FF">
        <w:rPr>
          <w:color w:val="000000"/>
          <w:sz w:val="26"/>
          <w:szCs w:val="26"/>
        </w:rPr>
        <w:t>-owned businesses. Minimum improvement levels should be set annually for each major product and services category which provides opportunities for procurement.</w:t>
      </w:r>
    </w:p>
    <w:p w14:paraId="5E9D2CC0" w14:textId="77777777" w:rsidR="00E60F1B" w:rsidRPr="004D61FF" w:rsidRDefault="00E60F1B" w:rsidP="00E60F1B">
      <w:pPr>
        <w:widowControl w:val="0"/>
        <w:autoSpaceDE w:val="0"/>
        <w:autoSpaceDN w:val="0"/>
        <w:adjustRightInd w:val="0"/>
        <w:rPr>
          <w:color w:val="000000"/>
          <w:sz w:val="26"/>
          <w:szCs w:val="26"/>
        </w:rPr>
      </w:pPr>
    </w:p>
    <w:p w14:paraId="4ECAB3A4" w14:textId="77777777" w:rsidR="00E60F1B" w:rsidRPr="004D61FF" w:rsidRDefault="00E60F1B" w:rsidP="00E60F1B">
      <w:pPr>
        <w:widowControl w:val="0"/>
        <w:autoSpaceDE w:val="0"/>
        <w:autoSpaceDN w:val="0"/>
        <w:adjustRightInd w:val="0"/>
        <w:rPr>
          <w:color w:val="000000"/>
          <w:sz w:val="26"/>
          <w:szCs w:val="26"/>
        </w:rPr>
      </w:pPr>
      <w:bookmarkStart w:id="32" w:name="co_anchor_I3360DB008C8811DEAEC4E00399601"/>
      <w:bookmarkStart w:id="33" w:name="co_pp_f1c50000821b0_15"/>
      <w:bookmarkEnd w:id="32"/>
      <w:bookmarkEnd w:id="33"/>
      <w:r>
        <w:rPr>
          <w:color w:val="000000"/>
          <w:sz w:val="26"/>
          <w:szCs w:val="26"/>
        </w:rPr>
        <w:t>   </w:t>
      </w:r>
      <w:r w:rsidRPr="004D61FF">
        <w:rPr>
          <w:color w:val="000000"/>
          <w:sz w:val="26"/>
          <w:szCs w:val="26"/>
        </w:rPr>
        <w:t>(1) The major jurisdictional utility companies may consider the following factors in setting their minimum improvement levels:</w:t>
      </w:r>
    </w:p>
    <w:p w14:paraId="515A7803" w14:textId="77777777" w:rsidR="00E60F1B" w:rsidRPr="004D61FF" w:rsidRDefault="00E60F1B" w:rsidP="00E60F1B">
      <w:pPr>
        <w:widowControl w:val="0"/>
        <w:autoSpaceDE w:val="0"/>
        <w:autoSpaceDN w:val="0"/>
        <w:adjustRightInd w:val="0"/>
        <w:rPr>
          <w:color w:val="000000"/>
          <w:sz w:val="26"/>
          <w:szCs w:val="26"/>
        </w:rPr>
      </w:pPr>
    </w:p>
    <w:p w14:paraId="16BAF857" w14:textId="22D603FD" w:rsidR="00E60F1B" w:rsidRPr="004D61FF" w:rsidRDefault="00E60F1B" w:rsidP="00E60F1B">
      <w:pPr>
        <w:widowControl w:val="0"/>
        <w:autoSpaceDE w:val="0"/>
        <w:autoSpaceDN w:val="0"/>
        <w:adjustRightInd w:val="0"/>
        <w:rPr>
          <w:color w:val="000000"/>
          <w:sz w:val="26"/>
          <w:szCs w:val="26"/>
        </w:rPr>
      </w:pPr>
      <w:bookmarkStart w:id="34" w:name="co_anchor_I3360DB018C8811DEAEC4E00399601"/>
      <w:bookmarkStart w:id="35" w:name="co_pp_36dc0000f1000_15"/>
      <w:bookmarkEnd w:id="34"/>
      <w:bookmarkEnd w:id="35"/>
      <w:r>
        <w:rPr>
          <w:color w:val="000000"/>
          <w:sz w:val="26"/>
          <w:szCs w:val="26"/>
        </w:rPr>
        <w:t>     </w:t>
      </w:r>
      <w:r w:rsidRPr="004D61FF">
        <w:rPr>
          <w:color w:val="000000"/>
          <w:sz w:val="26"/>
          <w:szCs w:val="26"/>
        </w:rPr>
        <w:t>(</w:t>
      </w:r>
      <w:proofErr w:type="spellStart"/>
      <w:r w:rsidRPr="004D61FF">
        <w:rPr>
          <w:color w:val="000000"/>
          <w:sz w:val="26"/>
          <w:szCs w:val="26"/>
        </w:rPr>
        <w:t>i</w:t>
      </w:r>
      <w:proofErr w:type="spellEnd"/>
      <w:r w:rsidRPr="004D61FF">
        <w:rPr>
          <w:color w:val="000000"/>
          <w:sz w:val="26"/>
          <w:szCs w:val="26"/>
        </w:rPr>
        <w:t xml:space="preserve">) The total </w:t>
      </w:r>
      <w:r w:rsidR="00697C08" w:rsidRPr="00E051DF">
        <w:rPr>
          <w:strike/>
          <w:color w:val="000000"/>
          <w:sz w:val="26"/>
          <w:szCs w:val="26"/>
        </w:rPr>
        <w:t>UTILITY</w:t>
      </w:r>
      <w:r w:rsidR="00697C08">
        <w:rPr>
          <w:color w:val="000000"/>
          <w:sz w:val="26"/>
          <w:szCs w:val="26"/>
        </w:rPr>
        <w:t>MAJOR JURISDICTIONAL UTILITY COMPANY</w:t>
      </w:r>
      <w:r w:rsidR="00697C08" w:rsidRPr="004D61FF">
        <w:rPr>
          <w:color w:val="000000"/>
          <w:sz w:val="26"/>
          <w:szCs w:val="26"/>
        </w:rPr>
        <w:t xml:space="preserve"> </w:t>
      </w:r>
      <w:r w:rsidRPr="004D61FF">
        <w:rPr>
          <w:color w:val="000000"/>
          <w:sz w:val="26"/>
          <w:szCs w:val="26"/>
        </w:rPr>
        <w:t>purchasing or contracting projections, or both, including fees to financial (for example, financial institutions and the like), advertising, legal and professional services.</w:t>
      </w:r>
    </w:p>
    <w:p w14:paraId="1DD5CEA4" w14:textId="77777777" w:rsidR="00E60F1B" w:rsidRPr="00F42307" w:rsidRDefault="00E60F1B" w:rsidP="00E60F1B">
      <w:pPr>
        <w:widowControl w:val="0"/>
        <w:autoSpaceDE w:val="0"/>
        <w:autoSpaceDN w:val="0"/>
        <w:adjustRightInd w:val="0"/>
        <w:rPr>
          <w:color w:val="000000"/>
          <w:sz w:val="26"/>
          <w:szCs w:val="26"/>
        </w:rPr>
      </w:pPr>
    </w:p>
    <w:p w14:paraId="2E65236D" w14:textId="77777777" w:rsidR="00E60F1B" w:rsidRPr="001A270F" w:rsidRDefault="00E60F1B" w:rsidP="00E60F1B">
      <w:pPr>
        <w:widowControl w:val="0"/>
        <w:autoSpaceDE w:val="0"/>
        <w:autoSpaceDN w:val="0"/>
        <w:adjustRightInd w:val="0"/>
        <w:rPr>
          <w:color w:val="000000"/>
          <w:sz w:val="26"/>
          <w:szCs w:val="26"/>
        </w:rPr>
      </w:pPr>
      <w:r>
        <w:rPr>
          <w:color w:val="000000"/>
          <w:sz w:val="26"/>
          <w:szCs w:val="26"/>
        </w:rPr>
        <w:t>     </w:t>
      </w:r>
      <w:r w:rsidRPr="001A270F">
        <w:rPr>
          <w:color w:val="000000"/>
          <w:sz w:val="26"/>
          <w:szCs w:val="26"/>
        </w:rPr>
        <w:t>(ii) Availability of minority/women/persons with disabilities</w:t>
      </w:r>
      <w:r w:rsidRPr="00D27877">
        <w:rPr>
          <w:color w:val="000000"/>
          <w:sz w:val="26"/>
          <w:szCs w:val="26"/>
          <w:u w:val="single"/>
        </w:rPr>
        <w:t>/LGBTQ/veteran</w:t>
      </w:r>
      <w:r w:rsidRPr="001A270F">
        <w:rPr>
          <w:color w:val="000000"/>
          <w:sz w:val="26"/>
          <w:szCs w:val="26"/>
        </w:rPr>
        <w:t>-owned businesses in the major jurisdictional utility company’s service area and surrounding communities.</w:t>
      </w:r>
    </w:p>
    <w:p w14:paraId="790CC8C3" w14:textId="77777777" w:rsidR="00E60F1B" w:rsidRPr="001A270F" w:rsidRDefault="00E60F1B" w:rsidP="00E60F1B">
      <w:pPr>
        <w:widowControl w:val="0"/>
        <w:autoSpaceDE w:val="0"/>
        <w:autoSpaceDN w:val="0"/>
        <w:adjustRightInd w:val="0"/>
        <w:rPr>
          <w:color w:val="000000"/>
          <w:sz w:val="26"/>
          <w:szCs w:val="26"/>
        </w:rPr>
      </w:pPr>
      <w:bookmarkStart w:id="36" w:name="co_anchor_I3360DB038C8811DEAEC4E00399601"/>
      <w:bookmarkEnd w:id="36"/>
    </w:p>
    <w:p w14:paraId="7A7EDB92" w14:textId="77777777" w:rsidR="00E60F1B" w:rsidRDefault="00E60F1B" w:rsidP="00E60F1B">
      <w:pPr>
        <w:widowControl w:val="0"/>
        <w:autoSpaceDE w:val="0"/>
        <w:autoSpaceDN w:val="0"/>
        <w:adjustRightInd w:val="0"/>
        <w:rPr>
          <w:color w:val="000000"/>
          <w:sz w:val="26"/>
          <w:szCs w:val="26"/>
        </w:rPr>
      </w:pPr>
      <w:bookmarkStart w:id="37" w:name="co_pp_7e110000cf3f1_15"/>
      <w:bookmarkEnd w:id="37"/>
      <w:r>
        <w:rPr>
          <w:color w:val="000000"/>
          <w:sz w:val="26"/>
          <w:szCs w:val="26"/>
        </w:rPr>
        <w:t>     </w:t>
      </w:r>
      <w:r w:rsidRPr="001A270F">
        <w:rPr>
          <w:color w:val="000000"/>
          <w:sz w:val="26"/>
          <w:szCs w:val="26"/>
        </w:rPr>
        <w:t>(iii) Market dynamics based on historical data and trends.</w:t>
      </w:r>
    </w:p>
    <w:p w14:paraId="6FBA5E42" w14:textId="77777777" w:rsidR="00E60F1B" w:rsidRDefault="00E60F1B" w:rsidP="00E60F1B">
      <w:pPr>
        <w:widowControl w:val="0"/>
        <w:autoSpaceDE w:val="0"/>
        <w:autoSpaceDN w:val="0"/>
        <w:adjustRightInd w:val="0"/>
        <w:rPr>
          <w:color w:val="000000"/>
          <w:sz w:val="26"/>
          <w:szCs w:val="26"/>
        </w:rPr>
      </w:pPr>
    </w:p>
    <w:p w14:paraId="5BBEEB4F" w14:textId="60CE2668" w:rsidR="00E60F1B" w:rsidRPr="002B5D82" w:rsidRDefault="00E60F1B" w:rsidP="00E60F1B">
      <w:pPr>
        <w:widowControl w:val="0"/>
        <w:autoSpaceDE w:val="0"/>
        <w:autoSpaceDN w:val="0"/>
        <w:adjustRightInd w:val="0"/>
        <w:rPr>
          <w:color w:val="000000"/>
          <w:sz w:val="26"/>
          <w:szCs w:val="26"/>
        </w:rPr>
      </w:pPr>
      <w:r>
        <w:rPr>
          <w:color w:val="000000"/>
          <w:sz w:val="26"/>
          <w:szCs w:val="26"/>
        </w:rPr>
        <w:t>     </w:t>
      </w:r>
      <w:r w:rsidRPr="002B5D82">
        <w:rPr>
          <w:color w:val="000000"/>
          <w:sz w:val="26"/>
          <w:szCs w:val="26"/>
        </w:rPr>
        <w:t>(iv) Other appropriate factors which would increase the minority/women/persons with disabilities</w:t>
      </w:r>
      <w:r w:rsidRPr="002B5D82">
        <w:rPr>
          <w:color w:val="000000"/>
          <w:sz w:val="26"/>
          <w:szCs w:val="26"/>
          <w:u w:val="single"/>
        </w:rPr>
        <w:t>/LGBTQ/veteran</w:t>
      </w:r>
      <w:r w:rsidRPr="002B5D82">
        <w:rPr>
          <w:color w:val="000000"/>
          <w:sz w:val="26"/>
          <w:szCs w:val="26"/>
        </w:rPr>
        <w:t>-owned businesses share of utility business.</w:t>
      </w:r>
    </w:p>
    <w:p w14:paraId="46560DBD" w14:textId="77777777" w:rsidR="00E60F1B" w:rsidRPr="002B5D82" w:rsidRDefault="00E60F1B" w:rsidP="00E60F1B">
      <w:pPr>
        <w:widowControl w:val="0"/>
        <w:autoSpaceDE w:val="0"/>
        <w:autoSpaceDN w:val="0"/>
        <w:adjustRightInd w:val="0"/>
        <w:rPr>
          <w:color w:val="000000"/>
          <w:sz w:val="26"/>
          <w:szCs w:val="26"/>
        </w:rPr>
      </w:pPr>
      <w:bookmarkStart w:id="38" w:name="co_anchor_I3360DB058C8811DEAEC4E00399601"/>
      <w:bookmarkEnd w:id="38"/>
    </w:p>
    <w:p w14:paraId="6E59F5E8" w14:textId="77777777" w:rsidR="00E60F1B" w:rsidRDefault="00E60F1B" w:rsidP="00E60F1B">
      <w:pPr>
        <w:widowControl w:val="0"/>
        <w:autoSpaceDE w:val="0"/>
        <w:autoSpaceDN w:val="0"/>
        <w:adjustRightInd w:val="0"/>
        <w:rPr>
          <w:color w:val="000000"/>
          <w:sz w:val="26"/>
          <w:szCs w:val="26"/>
        </w:rPr>
      </w:pPr>
      <w:bookmarkStart w:id="39" w:name="co_pp_58730000872b1_15"/>
      <w:bookmarkEnd w:id="39"/>
      <w:r>
        <w:rPr>
          <w:color w:val="000000"/>
          <w:sz w:val="26"/>
          <w:szCs w:val="26"/>
        </w:rPr>
        <w:t>   </w:t>
      </w:r>
      <w:r w:rsidRPr="002B5D82">
        <w:rPr>
          <w:color w:val="000000"/>
          <w:sz w:val="26"/>
          <w:szCs w:val="26"/>
        </w:rPr>
        <w:t>(2) Program objectives should be established for both minority-owned, non-minority women-owned</w:t>
      </w:r>
      <w:r>
        <w:rPr>
          <w:color w:val="000000"/>
          <w:sz w:val="26"/>
          <w:szCs w:val="26"/>
        </w:rPr>
        <w:t>,</w:t>
      </w:r>
      <w:r w:rsidRPr="002B5D82">
        <w:rPr>
          <w:color w:val="000000"/>
          <w:sz w:val="26"/>
          <w:szCs w:val="26"/>
        </w:rPr>
        <w:t xml:space="preserve"> </w:t>
      </w:r>
      <w:r>
        <w:rPr>
          <w:color w:val="000000"/>
          <w:sz w:val="26"/>
          <w:szCs w:val="26"/>
        </w:rPr>
        <w:t>[</w:t>
      </w:r>
      <w:r w:rsidRPr="002B5D82">
        <w:rPr>
          <w:color w:val="000000"/>
          <w:sz w:val="26"/>
          <w:szCs w:val="26"/>
        </w:rPr>
        <w:t>and</w:t>
      </w:r>
      <w:r>
        <w:rPr>
          <w:color w:val="000000"/>
          <w:sz w:val="26"/>
          <w:szCs w:val="26"/>
        </w:rPr>
        <w:t>]</w:t>
      </w:r>
      <w:r w:rsidRPr="002B5D82">
        <w:rPr>
          <w:color w:val="000000"/>
          <w:sz w:val="26"/>
          <w:szCs w:val="26"/>
        </w:rPr>
        <w:t xml:space="preserve"> persons with disabilities</w:t>
      </w:r>
      <w:r>
        <w:rPr>
          <w:color w:val="000000"/>
          <w:sz w:val="26"/>
          <w:szCs w:val="26"/>
          <w:u w:val="single"/>
        </w:rPr>
        <w:t>-owned, LGBTQ-</w:t>
      </w:r>
      <w:proofErr w:type="gramStart"/>
      <w:r>
        <w:rPr>
          <w:color w:val="000000"/>
          <w:sz w:val="26"/>
          <w:szCs w:val="26"/>
          <w:u w:val="single"/>
        </w:rPr>
        <w:t>owned</w:t>
      </w:r>
      <w:proofErr w:type="gramEnd"/>
      <w:r>
        <w:rPr>
          <w:color w:val="000000"/>
          <w:sz w:val="26"/>
          <w:szCs w:val="26"/>
          <w:u w:val="single"/>
        </w:rPr>
        <w:t xml:space="preserve"> and </w:t>
      </w:r>
      <w:r w:rsidRPr="002B5D82">
        <w:rPr>
          <w:color w:val="000000"/>
          <w:sz w:val="26"/>
          <w:szCs w:val="26"/>
          <w:u w:val="single"/>
        </w:rPr>
        <w:t>veteran</w:t>
      </w:r>
      <w:r w:rsidRPr="002B5D82">
        <w:rPr>
          <w:color w:val="000000"/>
          <w:sz w:val="26"/>
          <w:szCs w:val="26"/>
        </w:rPr>
        <w:t>-owned business enterprises.</w:t>
      </w:r>
    </w:p>
    <w:p w14:paraId="0C3BB4DA" w14:textId="77777777" w:rsidR="00E60F1B" w:rsidRDefault="00E60F1B" w:rsidP="00E60F1B">
      <w:pPr>
        <w:widowControl w:val="0"/>
        <w:autoSpaceDE w:val="0"/>
        <w:autoSpaceDN w:val="0"/>
        <w:adjustRightInd w:val="0"/>
        <w:rPr>
          <w:color w:val="000000"/>
          <w:sz w:val="26"/>
          <w:szCs w:val="26"/>
        </w:rPr>
      </w:pPr>
    </w:p>
    <w:p w14:paraId="6995D480" w14:textId="2478F035" w:rsidR="00E60F1B" w:rsidRPr="00CF2764" w:rsidRDefault="00E60F1B" w:rsidP="00E60F1B">
      <w:pPr>
        <w:widowControl w:val="0"/>
        <w:autoSpaceDE w:val="0"/>
        <w:autoSpaceDN w:val="0"/>
        <w:adjustRightInd w:val="0"/>
        <w:rPr>
          <w:color w:val="000000"/>
          <w:sz w:val="26"/>
          <w:szCs w:val="26"/>
        </w:rPr>
      </w:pPr>
      <w:r>
        <w:rPr>
          <w:color w:val="000000"/>
          <w:sz w:val="26"/>
          <w:szCs w:val="26"/>
        </w:rPr>
        <w:t>   </w:t>
      </w:r>
      <w:r w:rsidRPr="00CF2764">
        <w:rPr>
          <w:color w:val="000000"/>
          <w:sz w:val="26"/>
          <w:szCs w:val="26"/>
        </w:rPr>
        <w:t xml:space="preserve">(3) A major jurisdictional utility company may exclude a specific product or service </w:t>
      </w:r>
      <w:r w:rsidRPr="00CF2764">
        <w:rPr>
          <w:color w:val="000000"/>
          <w:sz w:val="26"/>
          <w:szCs w:val="26"/>
        </w:rPr>
        <w:lastRenderedPageBreak/>
        <w:t>when it is clearly evident the minority/women/</w:t>
      </w:r>
      <w:r w:rsidRPr="00E051DF">
        <w:rPr>
          <w:strike/>
          <w:color w:val="000000"/>
          <w:sz w:val="26"/>
          <w:szCs w:val="26"/>
        </w:rPr>
        <w:t xml:space="preserve"> </w:t>
      </w:r>
      <w:r w:rsidRPr="00CF2764">
        <w:rPr>
          <w:color w:val="000000"/>
          <w:sz w:val="26"/>
          <w:szCs w:val="26"/>
        </w:rPr>
        <w:t>persons with disabilities</w:t>
      </w:r>
      <w:r w:rsidRPr="00CF2764">
        <w:rPr>
          <w:color w:val="000000"/>
          <w:sz w:val="26"/>
          <w:szCs w:val="26"/>
          <w:u w:val="single"/>
        </w:rPr>
        <w:t>/LGBTQ/veteran</w:t>
      </w:r>
      <w:r w:rsidRPr="00CF2764">
        <w:rPr>
          <w:color w:val="000000"/>
          <w:sz w:val="26"/>
          <w:szCs w:val="26"/>
        </w:rPr>
        <w:t xml:space="preserve">-owned businesses do not provide a specific product or service, or that exempt procurement is the only available procurement method for obtaining that specific product or service. Each </w:t>
      </w:r>
      <w:r w:rsidR="00E80B49">
        <w:rPr>
          <w:color w:val="000000"/>
          <w:sz w:val="26"/>
          <w:szCs w:val="26"/>
        </w:rPr>
        <w:t xml:space="preserve">MAJOR JURISDICTIONAL </w:t>
      </w:r>
      <w:r w:rsidRPr="00CF2764">
        <w:rPr>
          <w:color w:val="000000"/>
          <w:sz w:val="26"/>
          <w:szCs w:val="26"/>
        </w:rPr>
        <w:t>utility</w:t>
      </w:r>
      <w:r w:rsidR="00E80B49">
        <w:rPr>
          <w:color w:val="000000"/>
          <w:sz w:val="26"/>
          <w:szCs w:val="26"/>
        </w:rPr>
        <w:t xml:space="preserve"> COMPANY</w:t>
      </w:r>
      <w:r w:rsidRPr="00CF2764">
        <w:rPr>
          <w:color w:val="000000"/>
          <w:sz w:val="26"/>
          <w:szCs w:val="26"/>
        </w:rPr>
        <w:t xml:space="preserve"> should demonstrate the unavailability of minority/women/</w:t>
      </w:r>
      <w:r w:rsidRPr="00E051DF">
        <w:rPr>
          <w:strike/>
          <w:color w:val="000000"/>
          <w:sz w:val="26"/>
          <w:szCs w:val="26"/>
        </w:rPr>
        <w:t xml:space="preserve"> </w:t>
      </w:r>
      <w:r w:rsidRPr="00CF2764">
        <w:rPr>
          <w:color w:val="000000"/>
          <w:sz w:val="26"/>
          <w:szCs w:val="26"/>
        </w:rPr>
        <w:t>persons with disabilities</w:t>
      </w:r>
      <w:r w:rsidRPr="00CF2764">
        <w:rPr>
          <w:color w:val="000000"/>
          <w:sz w:val="26"/>
          <w:szCs w:val="26"/>
          <w:u w:val="single"/>
        </w:rPr>
        <w:t>/LGBTQ/veteran</w:t>
      </w:r>
      <w:r w:rsidRPr="00CF2764">
        <w:rPr>
          <w:color w:val="000000"/>
          <w:sz w:val="26"/>
          <w:szCs w:val="26"/>
        </w:rPr>
        <w:t>-owned businesses capable of supplying these products and services on a case by case basis. Because there may in the future be minority/women/persons with disabilities</w:t>
      </w:r>
      <w:r w:rsidRPr="00CF2764">
        <w:rPr>
          <w:color w:val="000000"/>
          <w:sz w:val="26"/>
          <w:szCs w:val="26"/>
          <w:u w:val="single"/>
        </w:rPr>
        <w:t>/LGBTQ/veteran</w:t>
      </w:r>
      <w:r w:rsidRPr="00CF2764">
        <w:rPr>
          <w:color w:val="000000"/>
          <w:sz w:val="26"/>
          <w:szCs w:val="26"/>
        </w:rPr>
        <w:t>-owned businesses capable of supplying products or services currently being supplied by an exempt procurement provider, the major jurisdictional utility company should explain in its annual report the continued use of any exempt procurement provider.</w:t>
      </w:r>
    </w:p>
    <w:p w14:paraId="34063361" w14:textId="77777777" w:rsidR="00E60F1B" w:rsidRPr="002B5D82" w:rsidRDefault="00E60F1B" w:rsidP="00E60F1B">
      <w:pPr>
        <w:widowControl w:val="0"/>
        <w:autoSpaceDE w:val="0"/>
        <w:autoSpaceDN w:val="0"/>
        <w:adjustRightInd w:val="0"/>
        <w:rPr>
          <w:color w:val="000000"/>
          <w:sz w:val="26"/>
          <w:szCs w:val="26"/>
        </w:rPr>
      </w:pPr>
    </w:p>
    <w:p w14:paraId="6CEDD3E5" w14:textId="77777777" w:rsidR="00E60F1B" w:rsidRPr="00A14EE9" w:rsidRDefault="00E60F1B" w:rsidP="00E60F1B">
      <w:pPr>
        <w:widowControl w:val="0"/>
        <w:autoSpaceDE w:val="0"/>
        <w:autoSpaceDN w:val="0"/>
        <w:adjustRightInd w:val="0"/>
        <w:rPr>
          <w:color w:val="000000"/>
          <w:sz w:val="26"/>
          <w:szCs w:val="26"/>
        </w:rPr>
      </w:pPr>
      <w:r>
        <w:rPr>
          <w:color w:val="000000"/>
          <w:sz w:val="26"/>
          <w:szCs w:val="26"/>
        </w:rPr>
        <w:t>  </w:t>
      </w:r>
      <w:r w:rsidRPr="00F74A62">
        <w:rPr>
          <w:color w:val="000000"/>
          <w:sz w:val="26"/>
          <w:szCs w:val="26"/>
        </w:rPr>
        <w:t> (4) A major jurisdictional utility company which is presently purchasing products or services from affiliates may subtract the dollars paid to affiliates for these products or services from the total dollars used as the basis for establishing minimum improvement levels for purchases from minority/women/persons with disabilities</w:t>
      </w:r>
      <w:r w:rsidRPr="00F74A62">
        <w:rPr>
          <w:color w:val="000000"/>
          <w:sz w:val="26"/>
          <w:szCs w:val="26"/>
          <w:u w:val="single"/>
        </w:rPr>
        <w:t>/LGBTQ/veteran</w:t>
      </w:r>
      <w:r w:rsidRPr="00F74A62">
        <w:rPr>
          <w:color w:val="000000"/>
          <w:sz w:val="26"/>
          <w:szCs w:val="26"/>
        </w:rPr>
        <w:t>-owned businesses if the major jurisdiction utility company requires the affiliate to establish an appropriate subcontracting program for minority/women/persons with disabilities</w:t>
      </w:r>
      <w:r w:rsidRPr="00F74A62">
        <w:rPr>
          <w:color w:val="000000"/>
          <w:sz w:val="26"/>
          <w:szCs w:val="26"/>
          <w:u w:val="single"/>
        </w:rPr>
        <w:t>/LGBTQ/veteran</w:t>
      </w:r>
      <w:r w:rsidRPr="00F74A62">
        <w:rPr>
          <w:color w:val="000000"/>
          <w:sz w:val="26"/>
          <w:szCs w:val="26"/>
        </w:rPr>
        <w:t xml:space="preserve">-owned businesses where the affiliates employ subcontractors. </w:t>
      </w:r>
      <w:r>
        <w:rPr>
          <w:color w:val="000000"/>
          <w:sz w:val="26"/>
          <w:szCs w:val="26"/>
        </w:rPr>
        <w:t xml:space="preserve"> </w:t>
      </w:r>
      <w:r w:rsidRPr="00A14EE9">
        <w:rPr>
          <w:color w:val="000000"/>
          <w:sz w:val="26"/>
          <w:szCs w:val="26"/>
        </w:rPr>
        <w:t>A major jurisdictional utility company which takes advantage of this section should report to the Commission, in its annual report, whether the affiliates have established a subcontracting program and describe the results of the program.</w:t>
      </w:r>
    </w:p>
    <w:p w14:paraId="7AE6F937" w14:textId="77777777" w:rsidR="00E60F1B" w:rsidRPr="00F42307" w:rsidRDefault="00E60F1B" w:rsidP="00E60F1B">
      <w:pPr>
        <w:widowControl w:val="0"/>
        <w:autoSpaceDE w:val="0"/>
        <w:autoSpaceDN w:val="0"/>
        <w:adjustRightInd w:val="0"/>
        <w:rPr>
          <w:color w:val="000000"/>
          <w:sz w:val="26"/>
          <w:szCs w:val="26"/>
        </w:rPr>
      </w:pPr>
    </w:p>
    <w:p w14:paraId="09F3AB18" w14:textId="77777777" w:rsidR="00E60F1B" w:rsidRPr="00215C92" w:rsidRDefault="00E60F1B" w:rsidP="00E60F1B">
      <w:pPr>
        <w:widowControl w:val="0"/>
        <w:autoSpaceDE w:val="0"/>
        <w:autoSpaceDN w:val="0"/>
        <w:adjustRightInd w:val="0"/>
        <w:rPr>
          <w:color w:val="000000"/>
          <w:sz w:val="26"/>
          <w:szCs w:val="26"/>
        </w:rPr>
      </w:pPr>
      <w:r>
        <w:rPr>
          <w:color w:val="000000"/>
          <w:sz w:val="26"/>
          <w:szCs w:val="26"/>
        </w:rPr>
        <w:t>   </w:t>
      </w:r>
      <w:r w:rsidRPr="00BD1FA1">
        <w:rPr>
          <w:color w:val="000000"/>
          <w:sz w:val="26"/>
          <w:szCs w:val="26"/>
        </w:rPr>
        <w:t>(5) Overall program levels should be expressed as a percentage of total dollars awarded to outside suppliers and contractors other than products and services which fall within an exempt procurement category established by the major jurisdictional utility company.</w:t>
      </w:r>
    </w:p>
    <w:p w14:paraId="63F771C9" w14:textId="77777777" w:rsidR="00E60F1B" w:rsidRPr="00215C92" w:rsidRDefault="00E60F1B" w:rsidP="00E60F1B">
      <w:pPr>
        <w:widowControl w:val="0"/>
        <w:autoSpaceDE w:val="0"/>
        <w:autoSpaceDN w:val="0"/>
        <w:adjustRightInd w:val="0"/>
        <w:rPr>
          <w:color w:val="000000"/>
          <w:sz w:val="26"/>
          <w:szCs w:val="26"/>
        </w:rPr>
      </w:pPr>
    </w:p>
    <w:p w14:paraId="26D52375" w14:textId="77777777" w:rsidR="00E60F1B" w:rsidRPr="00215C92" w:rsidRDefault="00E60F1B" w:rsidP="00E60F1B">
      <w:pPr>
        <w:widowControl w:val="0"/>
        <w:autoSpaceDE w:val="0"/>
        <w:autoSpaceDN w:val="0"/>
        <w:adjustRightInd w:val="0"/>
        <w:rPr>
          <w:color w:val="000000"/>
          <w:sz w:val="26"/>
          <w:szCs w:val="26"/>
        </w:rPr>
      </w:pPr>
      <w:bookmarkStart w:id="40" w:name="co_anchor_I336102128C8811DEAEC4E00399601"/>
      <w:bookmarkStart w:id="41" w:name="co_pp_1e9a0000fd6a3_15"/>
      <w:bookmarkEnd w:id="40"/>
      <w:bookmarkEnd w:id="41"/>
      <w:r>
        <w:rPr>
          <w:color w:val="000000"/>
          <w:sz w:val="26"/>
          <w:szCs w:val="26"/>
        </w:rPr>
        <w:t>   </w:t>
      </w:r>
      <w:r w:rsidRPr="00215C92">
        <w:rPr>
          <w:color w:val="000000"/>
          <w:sz w:val="26"/>
          <w:szCs w:val="26"/>
        </w:rPr>
        <w:t>(6) Payments for fuel, purchased power and franchise tax fees need not be included in the procurement dollar base used to establish minimum improvement levels.</w:t>
      </w:r>
    </w:p>
    <w:p w14:paraId="59BE0782" w14:textId="77777777" w:rsidR="00E60F1B" w:rsidRPr="00F42307" w:rsidRDefault="00E60F1B" w:rsidP="00E60F1B">
      <w:pPr>
        <w:widowControl w:val="0"/>
        <w:autoSpaceDE w:val="0"/>
        <w:autoSpaceDN w:val="0"/>
        <w:adjustRightInd w:val="0"/>
        <w:rPr>
          <w:color w:val="000000"/>
          <w:sz w:val="26"/>
          <w:szCs w:val="26"/>
        </w:rPr>
      </w:pPr>
    </w:p>
    <w:p w14:paraId="6A32F56B" w14:textId="77777777" w:rsidR="00E60F1B" w:rsidRDefault="00E60F1B" w:rsidP="00E60F1B">
      <w:pPr>
        <w:widowControl w:val="0"/>
        <w:autoSpaceDE w:val="0"/>
        <w:autoSpaceDN w:val="0"/>
        <w:adjustRightInd w:val="0"/>
        <w:rPr>
          <w:color w:val="000000"/>
          <w:sz w:val="26"/>
          <w:szCs w:val="26"/>
        </w:rPr>
      </w:pPr>
      <w:r>
        <w:rPr>
          <w:color w:val="000000"/>
          <w:sz w:val="26"/>
          <w:szCs w:val="26"/>
        </w:rPr>
        <w:t>   </w:t>
      </w:r>
      <w:r w:rsidRPr="00507496">
        <w:rPr>
          <w:color w:val="000000"/>
          <w:sz w:val="26"/>
          <w:szCs w:val="26"/>
        </w:rPr>
        <w:t>(7) Each major jurisdictional utility company is encouraged to make special efforts to increase utilization of minority/women/persons with disabilities</w:t>
      </w:r>
      <w:r w:rsidRPr="00507496">
        <w:rPr>
          <w:color w:val="000000"/>
          <w:sz w:val="26"/>
          <w:szCs w:val="26"/>
          <w:u w:val="single"/>
        </w:rPr>
        <w:t>/LGBTQ/veteran</w:t>
      </w:r>
      <w:r w:rsidRPr="00507496">
        <w:rPr>
          <w:color w:val="000000"/>
          <w:sz w:val="26"/>
          <w:szCs w:val="26"/>
        </w:rPr>
        <w:t>-owned businesses, in conjunction with its established minimum improvement levels, in areas that are considered to be technical in nature, and where there has been low utilization, such as consultants, legal and financial services.</w:t>
      </w:r>
    </w:p>
    <w:p w14:paraId="3FFDF8FD" w14:textId="77777777" w:rsidR="00E60F1B" w:rsidRDefault="00E60F1B" w:rsidP="00E60F1B">
      <w:pPr>
        <w:widowControl w:val="0"/>
        <w:autoSpaceDE w:val="0"/>
        <w:autoSpaceDN w:val="0"/>
        <w:adjustRightInd w:val="0"/>
        <w:rPr>
          <w:color w:val="000000"/>
          <w:sz w:val="26"/>
          <w:szCs w:val="26"/>
        </w:rPr>
      </w:pPr>
    </w:p>
    <w:p w14:paraId="0D45EA10" w14:textId="77777777" w:rsidR="00E60F1B" w:rsidRDefault="00E60F1B" w:rsidP="00E60F1B">
      <w:pPr>
        <w:widowControl w:val="0"/>
        <w:autoSpaceDE w:val="0"/>
        <w:autoSpaceDN w:val="0"/>
        <w:adjustRightInd w:val="0"/>
        <w:rPr>
          <w:color w:val="000000"/>
          <w:sz w:val="26"/>
          <w:szCs w:val="26"/>
        </w:rPr>
      </w:pPr>
      <w:r>
        <w:rPr>
          <w:color w:val="000000"/>
          <w:sz w:val="26"/>
          <w:szCs w:val="26"/>
        </w:rPr>
        <w:t>   </w:t>
      </w:r>
      <w:r w:rsidRPr="00DB4D58">
        <w:rPr>
          <w:color w:val="000000"/>
          <w:sz w:val="26"/>
          <w:szCs w:val="26"/>
        </w:rPr>
        <w:t>(8) Each major jurisdictional utility company is invited to consider the utilization of minority/women/persons with disabilities</w:t>
      </w:r>
      <w:r w:rsidRPr="00DB4D58">
        <w:rPr>
          <w:color w:val="000000"/>
          <w:sz w:val="26"/>
          <w:szCs w:val="26"/>
          <w:u w:val="single"/>
        </w:rPr>
        <w:t>/LGBTQ/veteran</w:t>
      </w:r>
      <w:r w:rsidRPr="00DB4D58">
        <w:rPr>
          <w:color w:val="000000"/>
          <w:sz w:val="26"/>
          <w:szCs w:val="26"/>
        </w:rPr>
        <w:t>-owned businesses when outsourcing noncore business functions</w:t>
      </w:r>
      <w:r>
        <w:rPr>
          <w:color w:val="000000"/>
          <w:sz w:val="26"/>
          <w:szCs w:val="26"/>
        </w:rPr>
        <w:t xml:space="preserve"> </w:t>
      </w:r>
      <w:r w:rsidRPr="00FD3635">
        <w:rPr>
          <w:color w:val="000000"/>
          <w:sz w:val="26"/>
          <w:szCs w:val="26"/>
        </w:rPr>
        <w:t>and report these contracts as part of the annual report</w:t>
      </w:r>
      <w:r>
        <w:rPr>
          <w:color w:val="000000"/>
          <w:sz w:val="26"/>
          <w:szCs w:val="26"/>
        </w:rPr>
        <w:t>.</w:t>
      </w:r>
    </w:p>
    <w:p w14:paraId="31AA70DA" w14:textId="77777777" w:rsidR="00E60F1B" w:rsidRDefault="00E60F1B" w:rsidP="00E60F1B">
      <w:pPr>
        <w:widowControl w:val="0"/>
        <w:autoSpaceDE w:val="0"/>
        <w:autoSpaceDN w:val="0"/>
        <w:adjustRightInd w:val="0"/>
        <w:rPr>
          <w:color w:val="000000"/>
          <w:sz w:val="26"/>
          <w:szCs w:val="26"/>
        </w:rPr>
      </w:pPr>
    </w:p>
    <w:p w14:paraId="1D5668C9" w14:textId="77777777" w:rsidR="00E60F1B" w:rsidRDefault="00E60F1B" w:rsidP="00E60F1B">
      <w:pPr>
        <w:widowControl w:val="0"/>
        <w:autoSpaceDE w:val="0"/>
        <w:autoSpaceDN w:val="0"/>
        <w:adjustRightInd w:val="0"/>
        <w:rPr>
          <w:color w:val="000000"/>
          <w:sz w:val="26"/>
          <w:szCs w:val="26"/>
        </w:rPr>
      </w:pPr>
    </w:p>
    <w:p w14:paraId="5BC7A5ED" w14:textId="77777777" w:rsidR="00E60F1B" w:rsidRDefault="00E60F1B" w:rsidP="004752E2">
      <w:pPr>
        <w:keepNext/>
        <w:rPr>
          <w:color w:val="000000"/>
          <w:sz w:val="26"/>
          <w:szCs w:val="26"/>
        </w:rPr>
      </w:pPr>
      <w:r>
        <w:rPr>
          <w:b/>
          <w:bCs/>
          <w:color w:val="000000"/>
          <w:sz w:val="26"/>
          <w:szCs w:val="26"/>
        </w:rPr>
        <w:lastRenderedPageBreak/>
        <w:t>§ 69.807. Subcontracting program.</w:t>
      </w:r>
    </w:p>
    <w:p w14:paraId="153550E3" w14:textId="77777777" w:rsidR="00E60F1B" w:rsidRDefault="00E60F1B" w:rsidP="004752E2">
      <w:pPr>
        <w:keepNext/>
        <w:widowControl w:val="0"/>
        <w:autoSpaceDE w:val="0"/>
        <w:autoSpaceDN w:val="0"/>
        <w:adjustRightInd w:val="0"/>
        <w:rPr>
          <w:color w:val="000000"/>
          <w:sz w:val="26"/>
          <w:szCs w:val="26"/>
        </w:rPr>
      </w:pPr>
    </w:p>
    <w:p w14:paraId="396CDB7F" w14:textId="05E0CCBB" w:rsidR="00E60F1B" w:rsidRPr="003552AC" w:rsidRDefault="00E60F1B" w:rsidP="00E60F1B">
      <w:pPr>
        <w:widowControl w:val="0"/>
        <w:autoSpaceDE w:val="0"/>
        <w:autoSpaceDN w:val="0"/>
        <w:adjustRightInd w:val="0"/>
        <w:rPr>
          <w:color w:val="000000"/>
          <w:sz w:val="26"/>
          <w:szCs w:val="26"/>
        </w:rPr>
      </w:pPr>
      <w:r>
        <w:rPr>
          <w:color w:val="000000"/>
          <w:sz w:val="26"/>
          <w:szCs w:val="26"/>
        </w:rPr>
        <w:t> </w:t>
      </w:r>
      <w:r w:rsidRPr="003552AC">
        <w:rPr>
          <w:color w:val="000000"/>
          <w:sz w:val="26"/>
          <w:szCs w:val="26"/>
        </w:rPr>
        <w:t>Each major jurisdictional utility company is encouraged to establish and maintain a subcontracting program for its prime contractors to utilize minority/women/persons with disabilities</w:t>
      </w:r>
      <w:r w:rsidRPr="003552AC">
        <w:rPr>
          <w:color w:val="000000"/>
          <w:sz w:val="26"/>
          <w:szCs w:val="26"/>
          <w:u w:val="single"/>
        </w:rPr>
        <w:t>/LGBTQ/veteran</w:t>
      </w:r>
      <w:r w:rsidRPr="003552AC">
        <w:rPr>
          <w:color w:val="000000"/>
          <w:sz w:val="26"/>
          <w:szCs w:val="26"/>
        </w:rPr>
        <w:t xml:space="preserve">-owned business subcontractors. The subcontracting program will serve as an enhancement to and not a replacement for the </w:t>
      </w:r>
      <w:r w:rsidRPr="00E051DF">
        <w:rPr>
          <w:strike/>
          <w:color w:val="000000"/>
          <w:sz w:val="26"/>
          <w:szCs w:val="26"/>
        </w:rPr>
        <w:t>utility’s</w:t>
      </w:r>
      <w:r w:rsidRPr="003552AC">
        <w:rPr>
          <w:color w:val="000000"/>
          <w:sz w:val="26"/>
          <w:szCs w:val="26"/>
        </w:rPr>
        <w:t xml:space="preserve"> </w:t>
      </w:r>
      <w:r w:rsidR="00961BDB">
        <w:rPr>
          <w:color w:val="000000"/>
          <w:sz w:val="26"/>
          <w:szCs w:val="26"/>
        </w:rPr>
        <w:t xml:space="preserve">MAJOR JURISDICTIONAL UTILITY COMPANY’S </w:t>
      </w:r>
      <w:r w:rsidRPr="003552AC">
        <w:rPr>
          <w:color w:val="000000"/>
          <w:sz w:val="26"/>
          <w:szCs w:val="26"/>
        </w:rPr>
        <w:t>minority/women/persons with disabilities</w:t>
      </w:r>
      <w:r w:rsidRPr="003552AC">
        <w:rPr>
          <w:color w:val="000000"/>
          <w:sz w:val="26"/>
          <w:szCs w:val="26"/>
          <w:u w:val="single"/>
        </w:rPr>
        <w:t>/LGBTQ/veteran</w:t>
      </w:r>
      <w:r w:rsidRPr="003552AC">
        <w:rPr>
          <w:color w:val="000000"/>
          <w:sz w:val="26"/>
          <w:szCs w:val="26"/>
        </w:rPr>
        <w:t>-owned business program.</w:t>
      </w:r>
    </w:p>
    <w:p w14:paraId="202D7879" w14:textId="77777777" w:rsidR="00E60F1B" w:rsidRDefault="00E60F1B" w:rsidP="00E60F1B">
      <w:pPr>
        <w:widowControl w:val="0"/>
        <w:autoSpaceDE w:val="0"/>
        <w:autoSpaceDN w:val="0"/>
        <w:adjustRightInd w:val="0"/>
        <w:rPr>
          <w:color w:val="000000"/>
          <w:sz w:val="26"/>
          <w:szCs w:val="26"/>
        </w:rPr>
      </w:pPr>
    </w:p>
    <w:p w14:paraId="0B736B90" w14:textId="77777777" w:rsidR="00E60F1B" w:rsidRPr="00606449" w:rsidRDefault="00E60F1B" w:rsidP="00E60F1B">
      <w:pPr>
        <w:widowControl w:val="0"/>
        <w:autoSpaceDE w:val="0"/>
        <w:autoSpaceDN w:val="0"/>
        <w:adjustRightInd w:val="0"/>
        <w:rPr>
          <w:color w:val="000000"/>
          <w:sz w:val="26"/>
          <w:szCs w:val="26"/>
        </w:rPr>
      </w:pPr>
      <w:r>
        <w:rPr>
          <w:color w:val="000000"/>
          <w:sz w:val="26"/>
          <w:szCs w:val="26"/>
        </w:rPr>
        <w:t>   </w:t>
      </w:r>
      <w:r w:rsidRPr="00606449">
        <w:rPr>
          <w:color w:val="000000"/>
          <w:sz w:val="26"/>
          <w:szCs w:val="26"/>
        </w:rPr>
        <w:t>(1) The major jurisdictional utility company should incorporate in purchase orders, requests for bid proposals and other appropriate procurement documents related to procurement efforts subject to its subcontracting program, a statement such as follows:</w:t>
      </w:r>
    </w:p>
    <w:p w14:paraId="65F2303A" w14:textId="77777777" w:rsidR="00E60F1B" w:rsidRPr="00606449" w:rsidRDefault="00E60F1B" w:rsidP="00E60F1B">
      <w:pPr>
        <w:widowControl w:val="0"/>
        <w:autoSpaceDE w:val="0"/>
        <w:autoSpaceDN w:val="0"/>
        <w:adjustRightInd w:val="0"/>
        <w:rPr>
          <w:color w:val="000000"/>
          <w:sz w:val="26"/>
          <w:szCs w:val="26"/>
        </w:rPr>
      </w:pPr>
      <w:bookmarkStart w:id="42" w:name="co_anchor_I336DAC438C8811DEAEC4E00399601"/>
      <w:bookmarkEnd w:id="42"/>
    </w:p>
    <w:p w14:paraId="173114C3" w14:textId="77777777" w:rsidR="00E60F1B" w:rsidRPr="00606449" w:rsidRDefault="00E60F1B" w:rsidP="00E60F1B">
      <w:pPr>
        <w:widowControl w:val="0"/>
        <w:autoSpaceDE w:val="0"/>
        <w:autoSpaceDN w:val="0"/>
        <w:adjustRightInd w:val="0"/>
        <w:ind w:left="360"/>
        <w:rPr>
          <w:color w:val="000000"/>
          <w:sz w:val="26"/>
          <w:szCs w:val="26"/>
        </w:rPr>
      </w:pPr>
      <w:r w:rsidRPr="00606449">
        <w:rPr>
          <w:color w:val="000000"/>
          <w:sz w:val="26"/>
          <w:szCs w:val="26"/>
        </w:rPr>
        <w:t xml:space="preserve">“It is the policy of this utility that businesses owned by minorities, women, </w:t>
      </w:r>
      <w:r>
        <w:rPr>
          <w:color w:val="000000"/>
          <w:sz w:val="26"/>
          <w:szCs w:val="26"/>
        </w:rPr>
        <w:t xml:space="preserve">[and] </w:t>
      </w:r>
      <w:r w:rsidRPr="00606449">
        <w:rPr>
          <w:color w:val="000000"/>
          <w:sz w:val="26"/>
          <w:szCs w:val="26"/>
        </w:rPr>
        <w:t>persons with disabilities</w:t>
      </w:r>
      <w:r w:rsidRPr="00C5585C">
        <w:rPr>
          <w:color w:val="000000"/>
          <w:sz w:val="26"/>
          <w:szCs w:val="26"/>
          <w:u w:val="single"/>
        </w:rPr>
        <w:t>, LGBTQ and veterans</w:t>
      </w:r>
      <w:r w:rsidRPr="00606449">
        <w:rPr>
          <w:color w:val="000000"/>
          <w:sz w:val="26"/>
          <w:szCs w:val="26"/>
        </w:rPr>
        <w:t xml:space="preserve"> should have an equal opportunity to compete for subcontracts. The contractor agrees to use its best efforts to carry out this policy to the fullest extent consistent with the efficient performance of this contract.”</w:t>
      </w:r>
    </w:p>
    <w:p w14:paraId="50F641B3" w14:textId="77777777" w:rsidR="00E60F1B" w:rsidRDefault="00E60F1B" w:rsidP="00E60F1B">
      <w:pPr>
        <w:widowControl w:val="0"/>
        <w:autoSpaceDE w:val="0"/>
        <w:autoSpaceDN w:val="0"/>
        <w:adjustRightInd w:val="0"/>
        <w:rPr>
          <w:color w:val="000000"/>
          <w:sz w:val="26"/>
          <w:szCs w:val="26"/>
        </w:rPr>
      </w:pPr>
    </w:p>
    <w:p w14:paraId="12434719" w14:textId="3FE3739F" w:rsidR="00E60F1B" w:rsidRPr="00D572BC" w:rsidRDefault="00E60F1B" w:rsidP="00E60F1B">
      <w:pPr>
        <w:widowControl w:val="0"/>
        <w:autoSpaceDE w:val="0"/>
        <w:autoSpaceDN w:val="0"/>
        <w:adjustRightInd w:val="0"/>
        <w:rPr>
          <w:color w:val="000000"/>
          <w:sz w:val="26"/>
          <w:szCs w:val="26"/>
        </w:rPr>
      </w:pPr>
      <w:r>
        <w:rPr>
          <w:color w:val="000000"/>
          <w:sz w:val="26"/>
          <w:szCs w:val="26"/>
        </w:rPr>
        <w:t>   </w:t>
      </w:r>
      <w:r w:rsidRPr="00D572BC">
        <w:rPr>
          <w:color w:val="000000"/>
          <w:sz w:val="26"/>
          <w:szCs w:val="26"/>
        </w:rPr>
        <w:t>(2) The major jurisdictional utility company is encouraged to assist its prime contractors in developing plans to increase the opportunities for participation by minority/women/persons with disabilities</w:t>
      </w:r>
      <w:r w:rsidRPr="00D572BC">
        <w:rPr>
          <w:color w:val="000000"/>
          <w:sz w:val="26"/>
          <w:szCs w:val="26"/>
          <w:u w:val="single"/>
        </w:rPr>
        <w:t>/LGBTQ/veteran</w:t>
      </w:r>
      <w:r w:rsidRPr="00D572BC">
        <w:rPr>
          <w:color w:val="000000"/>
          <w:sz w:val="26"/>
          <w:szCs w:val="26"/>
        </w:rPr>
        <w:t xml:space="preserve">-owned business subcontractors. Prime contractors will be encouraged to submit these plans and the results to the </w:t>
      </w:r>
      <w:proofErr w:type="spellStart"/>
      <w:r w:rsidRPr="00E051DF">
        <w:rPr>
          <w:strike/>
          <w:color w:val="000000"/>
          <w:sz w:val="26"/>
          <w:szCs w:val="26"/>
        </w:rPr>
        <w:t>utility</w:t>
      </w:r>
      <w:r w:rsidR="00961BDB">
        <w:rPr>
          <w:color w:val="000000"/>
          <w:sz w:val="26"/>
          <w:szCs w:val="26"/>
        </w:rPr>
        <w:t>MAJOR</w:t>
      </w:r>
      <w:proofErr w:type="spellEnd"/>
      <w:r w:rsidR="00961BDB">
        <w:rPr>
          <w:color w:val="000000"/>
          <w:sz w:val="26"/>
          <w:szCs w:val="26"/>
        </w:rPr>
        <w:t xml:space="preserve"> JURISDICTIONAL UTILITY COMPANY</w:t>
      </w:r>
      <w:r w:rsidRPr="00D572BC">
        <w:rPr>
          <w:color w:val="000000"/>
          <w:sz w:val="26"/>
          <w:szCs w:val="26"/>
        </w:rPr>
        <w:t>.</w:t>
      </w:r>
    </w:p>
    <w:p w14:paraId="3A0B401B" w14:textId="77777777" w:rsidR="00E60F1B" w:rsidRPr="00F42307" w:rsidRDefault="00E60F1B" w:rsidP="00E60F1B">
      <w:pPr>
        <w:widowControl w:val="0"/>
        <w:autoSpaceDE w:val="0"/>
        <w:autoSpaceDN w:val="0"/>
        <w:adjustRightInd w:val="0"/>
        <w:rPr>
          <w:color w:val="000000"/>
          <w:sz w:val="26"/>
          <w:szCs w:val="26"/>
        </w:rPr>
      </w:pPr>
    </w:p>
    <w:p w14:paraId="5CA72439" w14:textId="77777777" w:rsidR="00E60F1B" w:rsidRDefault="00E60F1B" w:rsidP="00E60F1B">
      <w:pPr>
        <w:widowControl w:val="0"/>
        <w:autoSpaceDE w:val="0"/>
        <w:autoSpaceDN w:val="0"/>
        <w:adjustRightInd w:val="0"/>
        <w:rPr>
          <w:color w:val="000000"/>
          <w:sz w:val="26"/>
          <w:szCs w:val="26"/>
        </w:rPr>
      </w:pPr>
      <w:r>
        <w:rPr>
          <w:color w:val="000000"/>
          <w:sz w:val="26"/>
          <w:szCs w:val="26"/>
        </w:rPr>
        <w:t>   </w:t>
      </w:r>
      <w:r w:rsidRPr="00B239B9">
        <w:rPr>
          <w:color w:val="000000"/>
          <w:sz w:val="26"/>
          <w:szCs w:val="26"/>
        </w:rPr>
        <w:t>(3) The subcontracting program should apply to purchases/contracts exceeding $500,000 for products and services, and for construction contracts over $1 million. The subcontracting program need not be applied to the procurement of products and services in excluded categories.</w:t>
      </w:r>
    </w:p>
    <w:p w14:paraId="13258570" w14:textId="77777777" w:rsidR="00E60F1B" w:rsidRDefault="00E60F1B" w:rsidP="00E60F1B">
      <w:pPr>
        <w:widowControl w:val="0"/>
        <w:autoSpaceDE w:val="0"/>
        <w:autoSpaceDN w:val="0"/>
        <w:adjustRightInd w:val="0"/>
        <w:rPr>
          <w:color w:val="000000"/>
          <w:sz w:val="26"/>
          <w:szCs w:val="26"/>
        </w:rPr>
      </w:pPr>
    </w:p>
    <w:p w14:paraId="217CCE4A" w14:textId="77777777" w:rsidR="00E60F1B" w:rsidRPr="00D7692D" w:rsidRDefault="00E60F1B" w:rsidP="00E60F1B">
      <w:pPr>
        <w:widowControl w:val="0"/>
        <w:autoSpaceDE w:val="0"/>
        <w:autoSpaceDN w:val="0"/>
        <w:adjustRightInd w:val="0"/>
        <w:rPr>
          <w:color w:val="000000"/>
          <w:sz w:val="26"/>
          <w:szCs w:val="26"/>
        </w:rPr>
      </w:pPr>
      <w:r>
        <w:rPr>
          <w:color w:val="000000"/>
          <w:sz w:val="26"/>
          <w:szCs w:val="26"/>
        </w:rPr>
        <w:t>   </w:t>
      </w:r>
      <w:r w:rsidRPr="00D7692D">
        <w:rPr>
          <w:color w:val="000000"/>
          <w:sz w:val="26"/>
          <w:szCs w:val="26"/>
        </w:rPr>
        <w:t>(4) Each major jurisdictional utility company is encouraged to inform suppliers of products and services that subcontracting with businesses owned by minority/women/persons with disabilities</w:t>
      </w:r>
      <w:r w:rsidRPr="00D7692D">
        <w:rPr>
          <w:color w:val="000000"/>
          <w:sz w:val="26"/>
          <w:szCs w:val="26"/>
          <w:u w:val="single"/>
        </w:rPr>
        <w:t>/LGBTQ/veteran</w:t>
      </w:r>
      <w:r>
        <w:rPr>
          <w:color w:val="000000"/>
          <w:sz w:val="26"/>
          <w:szCs w:val="26"/>
          <w:u w:val="single"/>
        </w:rPr>
        <w:t>s</w:t>
      </w:r>
      <w:r w:rsidRPr="00D7692D">
        <w:rPr>
          <w:color w:val="000000"/>
          <w:sz w:val="26"/>
          <w:szCs w:val="26"/>
        </w:rPr>
        <w:t xml:space="preserve"> is a factor that may be considered in the bid evaluation process.</w:t>
      </w:r>
    </w:p>
    <w:p w14:paraId="4C02B3FD" w14:textId="77777777" w:rsidR="00E60F1B" w:rsidRPr="00B63251" w:rsidRDefault="00E60F1B" w:rsidP="00E60F1B">
      <w:pPr>
        <w:widowControl w:val="0"/>
        <w:autoSpaceDE w:val="0"/>
        <w:autoSpaceDN w:val="0"/>
        <w:adjustRightInd w:val="0"/>
        <w:rPr>
          <w:color w:val="000000"/>
          <w:sz w:val="26"/>
          <w:szCs w:val="26"/>
        </w:rPr>
      </w:pPr>
    </w:p>
    <w:p w14:paraId="1EBFD936" w14:textId="77777777" w:rsidR="00E60F1B" w:rsidRDefault="00E60F1B" w:rsidP="00E60F1B">
      <w:pPr>
        <w:widowControl w:val="0"/>
        <w:autoSpaceDE w:val="0"/>
        <w:autoSpaceDN w:val="0"/>
        <w:adjustRightInd w:val="0"/>
        <w:rPr>
          <w:color w:val="000000"/>
          <w:sz w:val="26"/>
          <w:szCs w:val="26"/>
        </w:rPr>
      </w:pPr>
      <w:r>
        <w:rPr>
          <w:color w:val="000000"/>
          <w:sz w:val="26"/>
          <w:szCs w:val="26"/>
        </w:rPr>
        <w:t>   </w:t>
      </w:r>
      <w:r w:rsidRPr="00B63251">
        <w:rPr>
          <w:color w:val="000000"/>
          <w:sz w:val="26"/>
          <w:szCs w:val="26"/>
        </w:rPr>
        <w:t>(5) Each major jurisdictional utility company should include awards to verified minority/women/persons with disabilities</w:t>
      </w:r>
      <w:r>
        <w:rPr>
          <w:color w:val="000000"/>
          <w:sz w:val="26"/>
          <w:szCs w:val="26"/>
          <w:u w:val="single"/>
        </w:rPr>
        <w:t>/LGBTQ/veteran</w:t>
      </w:r>
      <w:r w:rsidRPr="00B63251">
        <w:rPr>
          <w:color w:val="000000"/>
          <w:sz w:val="26"/>
          <w:szCs w:val="26"/>
        </w:rPr>
        <w:t>-owned business subcontractors in each report to the Commission.</w:t>
      </w:r>
    </w:p>
    <w:p w14:paraId="40FCC076" w14:textId="77777777" w:rsidR="00E60F1B" w:rsidRDefault="00E60F1B" w:rsidP="00E60F1B">
      <w:pPr>
        <w:widowControl w:val="0"/>
        <w:autoSpaceDE w:val="0"/>
        <w:autoSpaceDN w:val="0"/>
        <w:adjustRightInd w:val="0"/>
        <w:rPr>
          <w:color w:val="000000"/>
          <w:sz w:val="26"/>
          <w:szCs w:val="26"/>
        </w:rPr>
      </w:pPr>
    </w:p>
    <w:p w14:paraId="3B705286" w14:textId="77777777" w:rsidR="00E60F1B" w:rsidRPr="00B63251" w:rsidRDefault="00E60F1B" w:rsidP="00E60F1B">
      <w:pPr>
        <w:widowControl w:val="0"/>
        <w:autoSpaceDE w:val="0"/>
        <w:autoSpaceDN w:val="0"/>
        <w:adjustRightInd w:val="0"/>
        <w:rPr>
          <w:color w:val="000000"/>
          <w:sz w:val="26"/>
          <w:szCs w:val="26"/>
        </w:rPr>
      </w:pPr>
    </w:p>
    <w:p w14:paraId="1CBE73AB" w14:textId="77777777" w:rsidR="00E60F1B" w:rsidRDefault="00E60F1B" w:rsidP="00D57F8A">
      <w:pPr>
        <w:keepNext/>
        <w:widowControl w:val="0"/>
        <w:autoSpaceDE w:val="0"/>
        <w:autoSpaceDN w:val="0"/>
        <w:adjustRightInd w:val="0"/>
        <w:rPr>
          <w:color w:val="000000"/>
          <w:sz w:val="26"/>
          <w:szCs w:val="26"/>
        </w:rPr>
      </w:pPr>
      <w:r>
        <w:rPr>
          <w:b/>
          <w:bCs/>
          <w:color w:val="000000"/>
          <w:sz w:val="26"/>
          <w:szCs w:val="26"/>
        </w:rPr>
        <w:t>§ 69.808. External outreach.</w:t>
      </w:r>
    </w:p>
    <w:p w14:paraId="516819B2" w14:textId="77777777" w:rsidR="00E60F1B" w:rsidRDefault="00E60F1B" w:rsidP="00D57F8A">
      <w:pPr>
        <w:keepNext/>
        <w:widowControl w:val="0"/>
        <w:autoSpaceDE w:val="0"/>
        <w:autoSpaceDN w:val="0"/>
        <w:adjustRightInd w:val="0"/>
        <w:rPr>
          <w:color w:val="000000"/>
          <w:sz w:val="26"/>
          <w:szCs w:val="26"/>
        </w:rPr>
      </w:pPr>
    </w:p>
    <w:p w14:paraId="21AEB2CF" w14:textId="2A5F052C" w:rsidR="00E60F1B" w:rsidRPr="00074BC3" w:rsidRDefault="00E60F1B" w:rsidP="00E60F1B">
      <w:pPr>
        <w:widowControl w:val="0"/>
        <w:autoSpaceDE w:val="0"/>
        <w:autoSpaceDN w:val="0"/>
        <w:adjustRightInd w:val="0"/>
        <w:rPr>
          <w:color w:val="000000"/>
          <w:sz w:val="26"/>
          <w:szCs w:val="26"/>
        </w:rPr>
      </w:pPr>
      <w:r>
        <w:rPr>
          <w:color w:val="000000"/>
          <w:sz w:val="26"/>
          <w:szCs w:val="26"/>
        </w:rPr>
        <w:t> </w:t>
      </w:r>
      <w:r w:rsidRPr="00074BC3">
        <w:rPr>
          <w:color w:val="000000"/>
          <w:sz w:val="26"/>
          <w:szCs w:val="26"/>
        </w:rPr>
        <w:t xml:space="preserve">Each major jurisdictional utility company should implement an outreach program to inform, to recruit and to expand procurement activities to qualified and qualifiable </w:t>
      </w:r>
      <w:r w:rsidRPr="00074BC3">
        <w:rPr>
          <w:color w:val="000000"/>
          <w:sz w:val="26"/>
          <w:szCs w:val="26"/>
        </w:rPr>
        <w:lastRenderedPageBreak/>
        <w:t>businesses owned by minority/women/persons with disabilities</w:t>
      </w:r>
      <w:r w:rsidRPr="00074BC3">
        <w:rPr>
          <w:color w:val="000000"/>
          <w:sz w:val="26"/>
          <w:szCs w:val="26"/>
          <w:u w:val="single"/>
        </w:rPr>
        <w:t>/LGBTQ/veteran</w:t>
      </w:r>
      <w:r>
        <w:rPr>
          <w:color w:val="000000"/>
          <w:sz w:val="26"/>
          <w:szCs w:val="26"/>
          <w:u w:val="single"/>
        </w:rPr>
        <w:t>s</w:t>
      </w:r>
      <w:r w:rsidRPr="00074BC3">
        <w:rPr>
          <w:color w:val="000000"/>
          <w:sz w:val="26"/>
          <w:szCs w:val="26"/>
        </w:rPr>
        <w:t xml:space="preserve">. Outreach activities may vary for each </w:t>
      </w:r>
      <w:proofErr w:type="spellStart"/>
      <w:r w:rsidRPr="00E051DF">
        <w:rPr>
          <w:strike/>
          <w:color w:val="000000"/>
          <w:sz w:val="26"/>
          <w:szCs w:val="26"/>
        </w:rPr>
        <w:t>utility</w:t>
      </w:r>
      <w:r w:rsidR="00961BDB">
        <w:rPr>
          <w:color w:val="000000"/>
          <w:sz w:val="26"/>
          <w:szCs w:val="26"/>
        </w:rPr>
        <w:t>MAJOR</w:t>
      </w:r>
      <w:proofErr w:type="spellEnd"/>
      <w:r w:rsidR="00961BDB">
        <w:rPr>
          <w:color w:val="000000"/>
          <w:sz w:val="26"/>
          <w:szCs w:val="26"/>
        </w:rPr>
        <w:t xml:space="preserve"> JURISDICTIONAL UTILITY COMPANY</w:t>
      </w:r>
      <w:r w:rsidR="00961BDB" w:rsidRPr="00074BC3">
        <w:rPr>
          <w:color w:val="000000"/>
          <w:sz w:val="26"/>
          <w:szCs w:val="26"/>
        </w:rPr>
        <w:t xml:space="preserve"> </w:t>
      </w:r>
      <w:r w:rsidRPr="00074BC3">
        <w:rPr>
          <w:color w:val="000000"/>
          <w:sz w:val="26"/>
          <w:szCs w:val="26"/>
        </w:rPr>
        <w:t>depending on its size, service territory and specific lines of business. Each major jurisdictional utility company should, at a minimum, consider implementation of the following:</w:t>
      </w:r>
    </w:p>
    <w:p w14:paraId="460E6D51" w14:textId="77777777" w:rsidR="00E60F1B" w:rsidRDefault="00E60F1B" w:rsidP="00E60F1B">
      <w:pPr>
        <w:widowControl w:val="0"/>
        <w:autoSpaceDE w:val="0"/>
        <w:autoSpaceDN w:val="0"/>
        <w:adjustRightInd w:val="0"/>
        <w:rPr>
          <w:color w:val="000000"/>
          <w:sz w:val="26"/>
          <w:szCs w:val="26"/>
        </w:rPr>
      </w:pPr>
    </w:p>
    <w:p w14:paraId="32848628" w14:textId="77777777" w:rsidR="00E60F1B" w:rsidRPr="008C33EB" w:rsidRDefault="00E60F1B" w:rsidP="00E60F1B">
      <w:pPr>
        <w:widowControl w:val="0"/>
        <w:autoSpaceDE w:val="0"/>
        <w:autoSpaceDN w:val="0"/>
        <w:adjustRightInd w:val="0"/>
        <w:rPr>
          <w:color w:val="000000"/>
          <w:sz w:val="26"/>
          <w:szCs w:val="26"/>
        </w:rPr>
      </w:pPr>
      <w:r>
        <w:rPr>
          <w:color w:val="000000"/>
          <w:sz w:val="26"/>
          <w:szCs w:val="26"/>
        </w:rPr>
        <w:t>   </w:t>
      </w:r>
      <w:r w:rsidRPr="008C33EB">
        <w:rPr>
          <w:color w:val="000000"/>
          <w:sz w:val="26"/>
          <w:szCs w:val="26"/>
        </w:rPr>
        <w:t>(1</w:t>
      </w:r>
      <w:r>
        <w:rPr>
          <w:color w:val="000000"/>
          <w:sz w:val="26"/>
          <w:szCs w:val="26"/>
        </w:rPr>
        <w:t xml:space="preserve">) </w:t>
      </w:r>
      <w:r w:rsidRPr="008C33EB">
        <w:rPr>
          <w:color w:val="000000"/>
          <w:sz w:val="26"/>
          <w:szCs w:val="26"/>
        </w:rPr>
        <w:t>Actively seek out opportunities to identify business contractors and suppliers that are owned by minority/women/persons with disabilities</w:t>
      </w:r>
      <w:r w:rsidRPr="008C33EB">
        <w:rPr>
          <w:color w:val="000000"/>
          <w:sz w:val="26"/>
          <w:szCs w:val="26"/>
          <w:u w:val="single"/>
        </w:rPr>
        <w:t>/LGBTQ/veterans</w:t>
      </w:r>
      <w:r w:rsidRPr="008C33EB">
        <w:rPr>
          <w:color w:val="000000"/>
          <w:sz w:val="26"/>
          <w:szCs w:val="26"/>
        </w:rPr>
        <w:t xml:space="preserve"> and to expand source pools.</w:t>
      </w:r>
    </w:p>
    <w:p w14:paraId="211B7C2F" w14:textId="77777777" w:rsidR="00E60F1B" w:rsidRPr="008C33EB" w:rsidRDefault="00E60F1B" w:rsidP="00E60F1B"/>
    <w:p w14:paraId="3677CDC6" w14:textId="77777777" w:rsidR="00E60F1B" w:rsidRPr="00C74E44" w:rsidRDefault="00E60F1B" w:rsidP="00E60F1B">
      <w:pPr>
        <w:widowControl w:val="0"/>
        <w:autoSpaceDE w:val="0"/>
        <w:autoSpaceDN w:val="0"/>
        <w:adjustRightInd w:val="0"/>
        <w:rPr>
          <w:color w:val="000000"/>
          <w:sz w:val="26"/>
          <w:szCs w:val="26"/>
        </w:rPr>
      </w:pPr>
      <w:r>
        <w:rPr>
          <w:color w:val="000000"/>
          <w:sz w:val="26"/>
          <w:szCs w:val="26"/>
        </w:rPr>
        <w:t>   </w:t>
      </w:r>
      <w:r w:rsidRPr="00C74E44">
        <w:rPr>
          <w:color w:val="000000"/>
          <w:sz w:val="26"/>
          <w:szCs w:val="26"/>
        </w:rPr>
        <w:t>(2) Actively support the efforts of organizations experienced in promoting the interest of minority/women/persons with disabilities</w:t>
      </w:r>
      <w:r w:rsidRPr="00C74E44">
        <w:rPr>
          <w:color w:val="000000"/>
          <w:sz w:val="26"/>
          <w:szCs w:val="26"/>
          <w:u w:val="single"/>
        </w:rPr>
        <w:t>/LGBTQ/veteran</w:t>
      </w:r>
      <w:r w:rsidRPr="00C74E44">
        <w:rPr>
          <w:color w:val="000000"/>
          <w:sz w:val="26"/>
          <w:szCs w:val="26"/>
        </w:rPr>
        <w:t>-owned businesses.</w:t>
      </w:r>
    </w:p>
    <w:p w14:paraId="2D1DEF56" w14:textId="77777777" w:rsidR="00E60F1B" w:rsidRPr="007A65F5" w:rsidRDefault="00E60F1B" w:rsidP="00E60F1B">
      <w:pPr>
        <w:widowControl w:val="0"/>
        <w:autoSpaceDE w:val="0"/>
        <w:autoSpaceDN w:val="0"/>
        <w:adjustRightInd w:val="0"/>
        <w:rPr>
          <w:color w:val="000000"/>
          <w:sz w:val="26"/>
          <w:szCs w:val="26"/>
        </w:rPr>
      </w:pPr>
    </w:p>
    <w:p w14:paraId="707377E0" w14:textId="77777777" w:rsidR="00E60F1B" w:rsidRPr="0011494F" w:rsidRDefault="00E60F1B" w:rsidP="00E60F1B">
      <w:pPr>
        <w:widowControl w:val="0"/>
        <w:autoSpaceDE w:val="0"/>
        <w:autoSpaceDN w:val="0"/>
        <w:adjustRightInd w:val="0"/>
        <w:rPr>
          <w:color w:val="000000"/>
          <w:sz w:val="26"/>
          <w:szCs w:val="26"/>
        </w:rPr>
      </w:pPr>
      <w:r>
        <w:rPr>
          <w:color w:val="000000"/>
          <w:sz w:val="26"/>
          <w:szCs w:val="26"/>
        </w:rPr>
        <w:t>   </w:t>
      </w:r>
      <w:r w:rsidRPr="0011494F">
        <w:rPr>
          <w:color w:val="000000"/>
          <w:sz w:val="26"/>
          <w:szCs w:val="26"/>
        </w:rPr>
        <w:t>(3) Initiate business development partnerships (long-term), joint ventures or venture capital projects with minority/women/persons with disabilities</w:t>
      </w:r>
      <w:r w:rsidRPr="0011494F">
        <w:rPr>
          <w:color w:val="000000"/>
          <w:sz w:val="26"/>
          <w:szCs w:val="26"/>
          <w:u w:val="single"/>
        </w:rPr>
        <w:t>/LGBTQ/veteran</w:t>
      </w:r>
      <w:r w:rsidRPr="0011494F">
        <w:rPr>
          <w:color w:val="000000"/>
          <w:sz w:val="26"/>
          <w:szCs w:val="26"/>
        </w:rPr>
        <w:t>-owned businesses such as outsourcing agreements of noncore utility business functions when applicable to allow business expansion within the minority/women/persons with disabilities</w:t>
      </w:r>
      <w:r w:rsidRPr="008A39E4">
        <w:rPr>
          <w:color w:val="000000"/>
          <w:sz w:val="26"/>
          <w:szCs w:val="26"/>
          <w:u w:val="single"/>
        </w:rPr>
        <w:t>/LGBTQ/veteran</w:t>
      </w:r>
      <w:r w:rsidRPr="0011494F">
        <w:rPr>
          <w:color w:val="000000"/>
          <w:sz w:val="26"/>
          <w:szCs w:val="26"/>
        </w:rPr>
        <w:t>-owned business community. Provide technical/management support (short-term) to ensure the success of this initiative.</w:t>
      </w:r>
    </w:p>
    <w:p w14:paraId="18CAD113" w14:textId="77777777" w:rsidR="00E60F1B" w:rsidRDefault="00E60F1B" w:rsidP="00E60F1B">
      <w:pPr>
        <w:widowControl w:val="0"/>
        <w:autoSpaceDE w:val="0"/>
        <w:autoSpaceDN w:val="0"/>
        <w:adjustRightInd w:val="0"/>
        <w:rPr>
          <w:color w:val="000000"/>
          <w:sz w:val="26"/>
          <w:szCs w:val="26"/>
        </w:rPr>
      </w:pPr>
    </w:p>
    <w:p w14:paraId="37C393C1" w14:textId="77777777" w:rsidR="00E60F1B" w:rsidRPr="00BC75C8" w:rsidRDefault="00E60F1B" w:rsidP="00E60F1B">
      <w:pPr>
        <w:widowControl w:val="0"/>
        <w:autoSpaceDE w:val="0"/>
        <w:autoSpaceDN w:val="0"/>
        <w:adjustRightInd w:val="0"/>
        <w:rPr>
          <w:color w:val="000000"/>
          <w:sz w:val="26"/>
          <w:szCs w:val="26"/>
        </w:rPr>
      </w:pPr>
      <w:r>
        <w:rPr>
          <w:color w:val="000000"/>
          <w:sz w:val="26"/>
          <w:szCs w:val="26"/>
        </w:rPr>
        <w:t>   </w:t>
      </w:r>
      <w:r w:rsidRPr="00BC75C8">
        <w:rPr>
          <w:color w:val="000000"/>
          <w:sz w:val="26"/>
          <w:szCs w:val="26"/>
        </w:rPr>
        <w:t>(4) Work with minority/women/persons with disabilities</w:t>
      </w:r>
      <w:r w:rsidRPr="00BC75C8">
        <w:rPr>
          <w:color w:val="000000"/>
          <w:sz w:val="26"/>
          <w:szCs w:val="26"/>
          <w:u w:val="single"/>
        </w:rPr>
        <w:t>/LGBTQ/veteran</w:t>
      </w:r>
      <w:r w:rsidRPr="00BC75C8">
        <w:rPr>
          <w:color w:val="000000"/>
          <w:sz w:val="26"/>
          <w:szCs w:val="26"/>
        </w:rPr>
        <w:t xml:space="preserve">-owned business contractors to facilitate contracting relationships by explaining utility qualification requirements, </w:t>
      </w:r>
      <w:proofErr w:type="gramStart"/>
      <w:r w:rsidRPr="00BC75C8">
        <w:rPr>
          <w:color w:val="000000"/>
          <w:sz w:val="26"/>
          <w:szCs w:val="26"/>
        </w:rPr>
        <w:t>bidding</w:t>
      </w:r>
      <w:proofErr w:type="gramEnd"/>
      <w:r w:rsidRPr="00BC75C8">
        <w:rPr>
          <w:color w:val="000000"/>
          <w:sz w:val="26"/>
          <w:szCs w:val="26"/>
        </w:rPr>
        <w:t xml:space="preserve"> and contracting procedures, materials requirements, invoicing and payment schedules and other procurement practices and procedures.</w:t>
      </w:r>
    </w:p>
    <w:p w14:paraId="65082263" w14:textId="77777777" w:rsidR="00E60F1B" w:rsidRDefault="00E60F1B" w:rsidP="00E60F1B">
      <w:pPr>
        <w:rPr>
          <w:color w:val="000000"/>
          <w:sz w:val="26"/>
          <w:szCs w:val="26"/>
        </w:rPr>
      </w:pPr>
    </w:p>
    <w:p w14:paraId="041C108D" w14:textId="77777777" w:rsidR="00E60F1B" w:rsidRDefault="00E60F1B" w:rsidP="00E60F1B">
      <w:pPr>
        <w:widowControl w:val="0"/>
        <w:autoSpaceDE w:val="0"/>
        <w:autoSpaceDN w:val="0"/>
        <w:adjustRightInd w:val="0"/>
        <w:rPr>
          <w:b/>
          <w:bCs/>
          <w:color w:val="000000"/>
          <w:sz w:val="26"/>
          <w:szCs w:val="26"/>
        </w:rPr>
      </w:pPr>
      <w:r w:rsidRPr="00204B60">
        <w:rPr>
          <w:b/>
          <w:bCs/>
          <w:color w:val="000000"/>
          <w:sz w:val="26"/>
          <w:szCs w:val="26"/>
        </w:rPr>
        <w:t>§</w:t>
      </w:r>
      <w:r>
        <w:rPr>
          <w:b/>
          <w:bCs/>
          <w:color w:val="000000"/>
          <w:sz w:val="26"/>
          <w:szCs w:val="26"/>
        </w:rPr>
        <w:t xml:space="preserve"> </w:t>
      </w:r>
      <w:r w:rsidRPr="00204B60">
        <w:rPr>
          <w:b/>
          <w:bCs/>
          <w:color w:val="000000"/>
          <w:sz w:val="26"/>
          <w:szCs w:val="26"/>
        </w:rPr>
        <w:t>69.809</w:t>
      </w:r>
      <w:r>
        <w:rPr>
          <w:b/>
          <w:bCs/>
          <w:color w:val="000000"/>
          <w:sz w:val="26"/>
          <w:szCs w:val="26"/>
        </w:rPr>
        <w:t>.</w:t>
      </w:r>
      <w:r w:rsidRPr="00204B60">
        <w:rPr>
          <w:b/>
          <w:bCs/>
          <w:color w:val="000000"/>
          <w:sz w:val="26"/>
          <w:szCs w:val="26"/>
        </w:rPr>
        <w:t xml:space="preserve"> Filings</w:t>
      </w:r>
      <w:r>
        <w:rPr>
          <w:b/>
          <w:bCs/>
          <w:color w:val="000000"/>
          <w:sz w:val="26"/>
          <w:szCs w:val="26"/>
        </w:rPr>
        <w:t>.</w:t>
      </w:r>
    </w:p>
    <w:p w14:paraId="43B3A9DE" w14:textId="77777777" w:rsidR="00E60F1B" w:rsidRDefault="00E60F1B" w:rsidP="00E60F1B">
      <w:pPr>
        <w:widowControl w:val="0"/>
        <w:autoSpaceDE w:val="0"/>
        <w:autoSpaceDN w:val="0"/>
        <w:adjustRightInd w:val="0"/>
        <w:rPr>
          <w:b/>
          <w:bCs/>
          <w:color w:val="000000"/>
          <w:sz w:val="26"/>
          <w:szCs w:val="26"/>
        </w:rPr>
      </w:pPr>
    </w:p>
    <w:p w14:paraId="5E888FC6" w14:textId="77777777" w:rsidR="00E60F1B" w:rsidRPr="00B635FB" w:rsidRDefault="00E60F1B" w:rsidP="00E60F1B">
      <w:pPr>
        <w:widowControl w:val="0"/>
        <w:autoSpaceDE w:val="0"/>
        <w:autoSpaceDN w:val="0"/>
        <w:adjustRightInd w:val="0"/>
        <w:rPr>
          <w:color w:val="000000"/>
          <w:sz w:val="26"/>
          <w:szCs w:val="26"/>
        </w:rPr>
      </w:pPr>
      <w:r>
        <w:rPr>
          <w:color w:val="000000"/>
          <w:sz w:val="26"/>
          <w:szCs w:val="26"/>
        </w:rPr>
        <w:t> </w:t>
      </w:r>
      <w:r w:rsidRPr="00B635FB">
        <w:rPr>
          <w:color w:val="000000"/>
          <w:sz w:val="26"/>
          <w:szCs w:val="26"/>
        </w:rPr>
        <w:t xml:space="preserve">(a) The major jurisdictional utility companies are encouraged to file with the Secretary of the Commission </w:t>
      </w:r>
      <w:r>
        <w:rPr>
          <w:color w:val="000000"/>
          <w:sz w:val="26"/>
          <w:szCs w:val="26"/>
        </w:rPr>
        <w:t>[</w:t>
      </w:r>
      <w:r w:rsidRPr="00B635FB">
        <w:rPr>
          <w:color w:val="000000"/>
          <w:sz w:val="26"/>
          <w:szCs w:val="26"/>
        </w:rPr>
        <w:t>and the Bureau of Public Liaison</w:t>
      </w:r>
      <w:r>
        <w:rPr>
          <w:color w:val="000000"/>
          <w:sz w:val="26"/>
          <w:szCs w:val="26"/>
        </w:rPr>
        <w:t>]</w:t>
      </w:r>
      <w:r w:rsidRPr="00B635FB">
        <w:rPr>
          <w:color w:val="000000"/>
          <w:sz w:val="26"/>
          <w:szCs w:val="26"/>
        </w:rPr>
        <w:t xml:space="preserve"> by March 1 of each year</w:t>
      </w:r>
      <w:r w:rsidRPr="00935507">
        <w:rPr>
          <w:color w:val="000000"/>
          <w:sz w:val="26"/>
          <w:szCs w:val="26"/>
        </w:rPr>
        <w:t>[</w:t>
      </w:r>
      <w:r w:rsidRPr="00B635FB">
        <w:rPr>
          <w:color w:val="000000"/>
          <w:sz w:val="26"/>
          <w:szCs w:val="26"/>
        </w:rPr>
        <w:t>, beginning in 1995,</w:t>
      </w:r>
      <w:r w:rsidRPr="00935507">
        <w:rPr>
          <w:color w:val="000000"/>
          <w:sz w:val="26"/>
          <w:szCs w:val="26"/>
        </w:rPr>
        <w:t>]</w:t>
      </w:r>
      <w:r w:rsidRPr="00B635FB">
        <w:rPr>
          <w:color w:val="000000"/>
          <w:sz w:val="26"/>
          <w:szCs w:val="26"/>
        </w:rPr>
        <w:t xml:space="preserve"> an annual report describing their diversity program activity for the prior year. The annual report should</w:t>
      </w:r>
      <w:r>
        <w:rPr>
          <w:color w:val="000000"/>
          <w:sz w:val="26"/>
          <w:szCs w:val="26"/>
        </w:rPr>
        <w:t xml:space="preserve"> </w:t>
      </w:r>
      <w:r w:rsidRPr="00B635FB">
        <w:rPr>
          <w:color w:val="000000"/>
          <w:sz w:val="26"/>
          <w:szCs w:val="26"/>
        </w:rPr>
        <w:t xml:space="preserve">contain </w:t>
      </w:r>
      <w:r>
        <w:rPr>
          <w:color w:val="000000"/>
          <w:sz w:val="26"/>
          <w:szCs w:val="26"/>
        </w:rPr>
        <w:t>[</w:t>
      </w:r>
      <w:r w:rsidRPr="00B635FB">
        <w:rPr>
          <w:color w:val="000000"/>
          <w:sz w:val="26"/>
          <w:szCs w:val="26"/>
        </w:rPr>
        <w:t>at least</w:t>
      </w:r>
      <w:r>
        <w:rPr>
          <w:color w:val="000000"/>
          <w:sz w:val="26"/>
          <w:szCs w:val="26"/>
        </w:rPr>
        <w:t>]</w:t>
      </w:r>
      <w:r w:rsidRPr="00B635FB">
        <w:rPr>
          <w:color w:val="000000"/>
          <w:sz w:val="26"/>
          <w:szCs w:val="26"/>
        </w:rPr>
        <w:t xml:space="preserve"> the following elements:</w:t>
      </w:r>
    </w:p>
    <w:p w14:paraId="38008EE0" w14:textId="77777777" w:rsidR="00E60F1B" w:rsidRPr="00B635FB" w:rsidRDefault="00E60F1B" w:rsidP="00E60F1B">
      <w:pPr>
        <w:widowControl w:val="0"/>
        <w:autoSpaceDE w:val="0"/>
        <w:autoSpaceDN w:val="0"/>
        <w:adjustRightInd w:val="0"/>
        <w:rPr>
          <w:color w:val="000000"/>
          <w:sz w:val="26"/>
          <w:szCs w:val="26"/>
        </w:rPr>
      </w:pPr>
      <w:bookmarkStart w:id="43" w:name="co_anchor_I337DD8E28C8811DEAEC4E00399601"/>
      <w:bookmarkEnd w:id="43"/>
    </w:p>
    <w:p w14:paraId="0875E917" w14:textId="77777777" w:rsidR="00E60F1B" w:rsidRPr="00935507" w:rsidRDefault="00E60F1B" w:rsidP="00E60F1B">
      <w:pPr>
        <w:widowControl w:val="0"/>
        <w:autoSpaceDE w:val="0"/>
        <w:autoSpaceDN w:val="0"/>
        <w:adjustRightInd w:val="0"/>
        <w:rPr>
          <w:color w:val="000000"/>
          <w:sz w:val="26"/>
          <w:szCs w:val="26"/>
          <w:u w:val="single"/>
        </w:rPr>
      </w:pPr>
      <w:bookmarkStart w:id="44" w:name="co_pp_7b9b000044381_1"/>
      <w:bookmarkEnd w:id="44"/>
      <w:r>
        <w:rPr>
          <w:color w:val="000000"/>
          <w:sz w:val="26"/>
          <w:szCs w:val="26"/>
        </w:rPr>
        <w:t>   </w:t>
      </w:r>
      <w:r w:rsidRPr="00B635FB">
        <w:rPr>
          <w:color w:val="000000"/>
          <w:sz w:val="26"/>
          <w:szCs w:val="26"/>
        </w:rPr>
        <w:t xml:space="preserve">(1) </w:t>
      </w:r>
      <w:r>
        <w:rPr>
          <w:color w:val="000000"/>
          <w:sz w:val="26"/>
          <w:szCs w:val="26"/>
        </w:rPr>
        <w:t>[</w:t>
      </w:r>
      <w:r w:rsidRPr="00B635FB">
        <w:rPr>
          <w:color w:val="000000"/>
          <w:sz w:val="26"/>
          <w:szCs w:val="26"/>
        </w:rPr>
        <w:t>A description of minority/women/persons with disabilities</w:t>
      </w:r>
      <w:r>
        <w:rPr>
          <w:color w:val="000000"/>
          <w:sz w:val="26"/>
          <w:szCs w:val="26"/>
          <w:u w:val="single"/>
        </w:rPr>
        <w:t>/LGBTQ/veteran</w:t>
      </w:r>
      <w:r w:rsidRPr="00B635FB">
        <w:rPr>
          <w:color w:val="000000"/>
          <w:sz w:val="26"/>
          <w:szCs w:val="26"/>
        </w:rPr>
        <w:t>-owned business program activities engaged in during the previous calendar year. This description includes both internal and external activities.</w:t>
      </w:r>
      <w:r>
        <w:rPr>
          <w:color w:val="000000"/>
          <w:sz w:val="26"/>
          <w:szCs w:val="26"/>
        </w:rPr>
        <w:t>]</w:t>
      </w:r>
      <w:r>
        <w:rPr>
          <w:color w:val="000000"/>
          <w:sz w:val="26"/>
          <w:szCs w:val="26"/>
          <w:u w:val="single"/>
        </w:rPr>
        <w:t xml:space="preserve"> A copy of any corporate policy committed to improving diversity in the workplace and in the procurement process.</w:t>
      </w:r>
    </w:p>
    <w:p w14:paraId="2E7BD64C" w14:textId="77777777" w:rsidR="00E60F1B" w:rsidRPr="00B635FB" w:rsidRDefault="00E60F1B" w:rsidP="00E60F1B">
      <w:pPr>
        <w:widowControl w:val="0"/>
        <w:autoSpaceDE w:val="0"/>
        <w:autoSpaceDN w:val="0"/>
        <w:adjustRightInd w:val="0"/>
        <w:rPr>
          <w:color w:val="000000"/>
          <w:sz w:val="26"/>
          <w:szCs w:val="26"/>
        </w:rPr>
      </w:pPr>
      <w:bookmarkStart w:id="45" w:name="co_anchor_I337DD8E38C8811DEAEC4E00399601"/>
      <w:bookmarkEnd w:id="45"/>
    </w:p>
    <w:p w14:paraId="5FD8EB43" w14:textId="77777777" w:rsidR="00E60F1B" w:rsidRPr="00935507" w:rsidRDefault="00E60F1B" w:rsidP="00E60F1B">
      <w:pPr>
        <w:widowControl w:val="0"/>
        <w:autoSpaceDE w:val="0"/>
        <w:autoSpaceDN w:val="0"/>
        <w:adjustRightInd w:val="0"/>
        <w:rPr>
          <w:color w:val="000000"/>
          <w:sz w:val="26"/>
          <w:szCs w:val="26"/>
          <w:u w:val="single"/>
        </w:rPr>
      </w:pPr>
      <w:bookmarkStart w:id="46" w:name="co_pp_d86d0000be040_1"/>
      <w:bookmarkEnd w:id="46"/>
      <w:r>
        <w:rPr>
          <w:color w:val="000000"/>
          <w:sz w:val="26"/>
          <w:szCs w:val="26"/>
        </w:rPr>
        <w:t>   </w:t>
      </w:r>
      <w:r w:rsidRPr="00B635FB">
        <w:rPr>
          <w:color w:val="000000"/>
          <w:sz w:val="26"/>
          <w:szCs w:val="26"/>
        </w:rPr>
        <w:t xml:space="preserve">(2) </w:t>
      </w:r>
      <w:r>
        <w:rPr>
          <w:color w:val="000000"/>
          <w:sz w:val="26"/>
          <w:szCs w:val="26"/>
        </w:rPr>
        <w:t>[</w:t>
      </w:r>
      <w:r w:rsidRPr="00B635FB">
        <w:rPr>
          <w:color w:val="000000"/>
          <w:sz w:val="26"/>
          <w:szCs w:val="26"/>
        </w:rPr>
        <w:t>A description of progress in meeting or exceeding the proposed levels and an explanation of circumstances that may have caused the utility to fall short of its established minimum improvement levels.</w:t>
      </w:r>
      <w:r>
        <w:rPr>
          <w:color w:val="000000"/>
          <w:sz w:val="26"/>
          <w:szCs w:val="26"/>
        </w:rPr>
        <w:t xml:space="preserve">] </w:t>
      </w:r>
      <w:r>
        <w:rPr>
          <w:color w:val="000000"/>
          <w:sz w:val="26"/>
          <w:szCs w:val="26"/>
          <w:u w:val="single"/>
        </w:rPr>
        <w:t>A description of any training implemented on diversity initiatives in employment and in the contract of goods and services.</w:t>
      </w:r>
    </w:p>
    <w:p w14:paraId="1FC65863" w14:textId="77777777" w:rsidR="00E60F1B" w:rsidRPr="00B635FB" w:rsidRDefault="00E60F1B" w:rsidP="00E60F1B">
      <w:pPr>
        <w:widowControl w:val="0"/>
        <w:autoSpaceDE w:val="0"/>
        <w:autoSpaceDN w:val="0"/>
        <w:adjustRightInd w:val="0"/>
        <w:rPr>
          <w:color w:val="000000"/>
          <w:sz w:val="26"/>
          <w:szCs w:val="26"/>
        </w:rPr>
      </w:pPr>
      <w:bookmarkStart w:id="47" w:name="co_anchor_I337DFFF08C8811DEAEC4E00399601"/>
      <w:bookmarkEnd w:id="47"/>
    </w:p>
    <w:p w14:paraId="173988C9" w14:textId="701C9F36" w:rsidR="00E60F1B" w:rsidRPr="00B635FB" w:rsidRDefault="00E60F1B" w:rsidP="004C6CFA">
      <w:pPr>
        <w:autoSpaceDE w:val="0"/>
        <w:autoSpaceDN w:val="0"/>
        <w:adjustRightInd w:val="0"/>
        <w:rPr>
          <w:color w:val="000000"/>
          <w:sz w:val="26"/>
          <w:szCs w:val="26"/>
        </w:rPr>
      </w:pPr>
      <w:bookmarkStart w:id="48" w:name="co_pp_28cc0000ccca6_1"/>
      <w:bookmarkEnd w:id="48"/>
      <w:r>
        <w:rPr>
          <w:color w:val="000000"/>
          <w:sz w:val="26"/>
          <w:szCs w:val="26"/>
        </w:rPr>
        <w:lastRenderedPageBreak/>
        <w:t>   </w:t>
      </w:r>
      <w:r w:rsidRPr="00B635FB">
        <w:rPr>
          <w:color w:val="000000"/>
          <w:sz w:val="26"/>
          <w:szCs w:val="26"/>
        </w:rPr>
        <w:t xml:space="preserve">(3) </w:t>
      </w:r>
      <w:r>
        <w:rPr>
          <w:color w:val="000000"/>
          <w:sz w:val="26"/>
          <w:szCs w:val="26"/>
        </w:rPr>
        <w:t>[</w:t>
      </w:r>
      <w:r w:rsidRPr="00B635FB">
        <w:rPr>
          <w:color w:val="000000"/>
          <w:sz w:val="26"/>
          <w:szCs w:val="26"/>
        </w:rPr>
        <w:t>A description of innovative approaches to encourage minority/</w:t>
      </w:r>
      <w:r w:rsidRPr="00E051DF">
        <w:rPr>
          <w:strike/>
          <w:color w:val="000000"/>
          <w:sz w:val="26"/>
          <w:szCs w:val="26"/>
        </w:rPr>
        <w:t xml:space="preserve"> </w:t>
      </w:r>
      <w:r w:rsidRPr="00B635FB">
        <w:rPr>
          <w:color w:val="000000"/>
          <w:sz w:val="26"/>
          <w:szCs w:val="26"/>
        </w:rPr>
        <w:t>women/persons with disabilities-owned business development, partnering, subcontracting, joint-</w:t>
      </w:r>
      <w:proofErr w:type="gramStart"/>
      <w:r w:rsidRPr="00B635FB">
        <w:rPr>
          <w:color w:val="000000"/>
          <w:sz w:val="26"/>
          <w:szCs w:val="26"/>
        </w:rPr>
        <w:t>venturing</w:t>
      </w:r>
      <w:proofErr w:type="gramEnd"/>
      <w:r w:rsidRPr="00B635FB">
        <w:rPr>
          <w:color w:val="000000"/>
          <w:sz w:val="26"/>
          <w:szCs w:val="26"/>
        </w:rPr>
        <w:t xml:space="preserve"> and venture capital projects.</w:t>
      </w:r>
      <w:r>
        <w:rPr>
          <w:color w:val="000000"/>
          <w:sz w:val="26"/>
          <w:szCs w:val="26"/>
        </w:rPr>
        <w:t xml:space="preserve">] </w:t>
      </w:r>
      <w:r w:rsidRPr="00935507">
        <w:rPr>
          <w:color w:val="000000"/>
          <w:sz w:val="26"/>
          <w:szCs w:val="26"/>
          <w:u w:val="single"/>
        </w:rPr>
        <w:t xml:space="preserve">The </w:t>
      </w:r>
      <w:r>
        <w:rPr>
          <w:color w:val="000000"/>
          <w:sz w:val="26"/>
          <w:szCs w:val="26"/>
          <w:u w:val="single"/>
        </w:rPr>
        <w:t>d</w:t>
      </w:r>
      <w:r w:rsidRPr="00C20290">
        <w:rPr>
          <w:color w:val="000000"/>
          <w:sz w:val="26"/>
          <w:szCs w:val="26"/>
          <w:u w:val="single"/>
        </w:rPr>
        <w:t xml:space="preserve">emographic </w:t>
      </w:r>
      <w:r>
        <w:rPr>
          <w:color w:val="000000"/>
          <w:sz w:val="26"/>
          <w:szCs w:val="26"/>
          <w:u w:val="single"/>
        </w:rPr>
        <w:t>c</w:t>
      </w:r>
      <w:r w:rsidRPr="00C20290">
        <w:rPr>
          <w:color w:val="000000"/>
          <w:sz w:val="26"/>
          <w:szCs w:val="26"/>
          <w:u w:val="single"/>
        </w:rPr>
        <w:t xml:space="preserve">omposition of </w:t>
      </w:r>
      <w:r>
        <w:rPr>
          <w:color w:val="000000"/>
          <w:sz w:val="26"/>
          <w:szCs w:val="26"/>
          <w:u w:val="single"/>
        </w:rPr>
        <w:t xml:space="preserve">the </w:t>
      </w:r>
      <w:r w:rsidRPr="002E5123">
        <w:rPr>
          <w:strike/>
          <w:color w:val="000000"/>
          <w:sz w:val="26"/>
          <w:szCs w:val="26"/>
          <w:u w:val="single"/>
        </w:rPr>
        <w:t>utility’s</w:t>
      </w:r>
      <w:r>
        <w:rPr>
          <w:color w:val="000000"/>
          <w:sz w:val="26"/>
          <w:szCs w:val="26"/>
          <w:u w:val="single"/>
        </w:rPr>
        <w:t xml:space="preserve"> </w:t>
      </w:r>
      <w:r w:rsidR="004E2D8C">
        <w:rPr>
          <w:color w:val="000000"/>
          <w:sz w:val="26"/>
          <w:szCs w:val="26"/>
          <w:u w:val="single"/>
        </w:rPr>
        <w:t>MAJOR JURISDICTIONAL UTILITY COMPANY</w:t>
      </w:r>
      <w:r w:rsidR="00880779">
        <w:rPr>
          <w:color w:val="000000"/>
          <w:sz w:val="26"/>
          <w:szCs w:val="26"/>
          <w:u w:val="single"/>
        </w:rPr>
        <w:t>’</w:t>
      </w:r>
      <w:r w:rsidR="004E2D8C">
        <w:rPr>
          <w:color w:val="000000"/>
          <w:sz w:val="26"/>
          <w:szCs w:val="26"/>
          <w:u w:val="single"/>
        </w:rPr>
        <w:t xml:space="preserve">S </w:t>
      </w:r>
      <w:r>
        <w:rPr>
          <w:color w:val="000000"/>
          <w:sz w:val="26"/>
          <w:szCs w:val="26"/>
          <w:u w:val="single"/>
        </w:rPr>
        <w:t>w</w:t>
      </w:r>
      <w:r w:rsidRPr="00C20290">
        <w:rPr>
          <w:color w:val="000000"/>
          <w:sz w:val="26"/>
          <w:szCs w:val="26"/>
          <w:u w:val="single"/>
        </w:rPr>
        <w:t>orkforce</w:t>
      </w:r>
      <w:r>
        <w:rPr>
          <w:color w:val="000000"/>
          <w:sz w:val="26"/>
          <w:szCs w:val="26"/>
          <w:u w:val="single"/>
        </w:rPr>
        <w:t>, reporting the number of employees by gender, race and ethnicity, persons with disabilities, and veterans on a form provided by the Commission.</w:t>
      </w:r>
    </w:p>
    <w:p w14:paraId="1541510D" w14:textId="77777777" w:rsidR="00E60F1B" w:rsidRPr="00B635FB" w:rsidRDefault="00E60F1B" w:rsidP="00E60F1B">
      <w:pPr>
        <w:widowControl w:val="0"/>
        <w:autoSpaceDE w:val="0"/>
        <w:autoSpaceDN w:val="0"/>
        <w:adjustRightInd w:val="0"/>
        <w:rPr>
          <w:color w:val="000000"/>
          <w:sz w:val="26"/>
          <w:szCs w:val="26"/>
        </w:rPr>
      </w:pPr>
      <w:bookmarkStart w:id="49" w:name="co_anchor_I337DFFF18C8811DEAEC4E00399601"/>
      <w:bookmarkEnd w:id="49"/>
    </w:p>
    <w:p w14:paraId="05CF24E3" w14:textId="37227EE8" w:rsidR="00E60F1B" w:rsidRPr="00B635FB" w:rsidRDefault="00E60F1B" w:rsidP="00E60F1B">
      <w:pPr>
        <w:widowControl w:val="0"/>
        <w:autoSpaceDE w:val="0"/>
        <w:autoSpaceDN w:val="0"/>
        <w:adjustRightInd w:val="0"/>
        <w:rPr>
          <w:color w:val="000000"/>
          <w:sz w:val="26"/>
          <w:szCs w:val="26"/>
        </w:rPr>
      </w:pPr>
      <w:bookmarkStart w:id="50" w:name="co_pp_d40e000072291_1"/>
      <w:bookmarkEnd w:id="50"/>
      <w:r>
        <w:rPr>
          <w:color w:val="000000"/>
          <w:sz w:val="26"/>
          <w:szCs w:val="26"/>
        </w:rPr>
        <w:t>   </w:t>
      </w:r>
      <w:r w:rsidRPr="00B635FB">
        <w:rPr>
          <w:color w:val="000000"/>
          <w:sz w:val="26"/>
          <w:szCs w:val="26"/>
        </w:rPr>
        <w:t xml:space="preserve">(4) </w:t>
      </w:r>
      <w:r>
        <w:rPr>
          <w:color w:val="000000"/>
          <w:sz w:val="26"/>
          <w:szCs w:val="26"/>
        </w:rPr>
        <w:t>[</w:t>
      </w:r>
      <w:r w:rsidRPr="00B635FB">
        <w:rPr>
          <w:color w:val="000000"/>
          <w:sz w:val="26"/>
          <w:szCs w:val="26"/>
        </w:rPr>
        <w:t xml:space="preserve">A summary of prime </w:t>
      </w:r>
      <w:r>
        <w:rPr>
          <w:color w:val="000000"/>
          <w:sz w:val="26"/>
          <w:szCs w:val="26"/>
        </w:rPr>
        <w:t>c</w:t>
      </w:r>
      <w:r w:rsidRPr="00B635FB">
        <w:rPr>
          <w:color w:val="000000"/>
          <w:sz w:val="26"/>
          <w:szCs w:val="26"/>
        </w:rPr>
        <w:t>ontractors which report utilization of minority/women/persons with disabilities-owned business subcontractors indicating the number of disability-owned business subcontractors and the associated dollars.</w:t>
      </w:r>
      <w:r>
        <w:rPr>
          <w:color w:val="000000"/>
          <w:sz w:val="26"/>
          <w:szCs w:val="26"/>
        </w:rPr>
        <w:t xml:space="preserve">] </w:t>
      </w:r>
      <w:r w:rsidRPr="00935507">
        <w:rPr>
          <w:color w:val="000000"/>
          <w:sz w:val="26"/>
          <w:szCs w:val="26"/>
          <w:u w:val="single"/>
        </w:rPr>
        <w:t>A description of any diversity recruiting strategies.</w:t>
      </w:r>
    </w:p>
    <w:p w14:paraId="76C6BEAD" w14:textId="77777777" w:rsidR="00E60F1B" w:rsidRPr="00B635FB" w:rsidRDefault="00E60F1B" w:rsidP="00E60F1B">
      <w:pPr>
        <w:widowControl w:val="0"/>
        <w:autoSpaceDE w:val="0"/>
        <w:autoSpaceDN w:val="0"/>
        <w:adjustRightInd w:val="0"/>
        <w:rPr>
          <w:color w:val="000000"/>
          <w:sz w:val="26"/>
          <w:szCs w:val="26"/>
        </w:rPr>
      </w:pPr>
      <w:bookmarkStart w:id="51" w:name="co_anchor_I337DFFF28C8811DEAEC4E00399601"/>
      <w:bookmarkEnd w:id="51"/>
    </w:p>
    <w:p w14:paraId="418DE51D" w14:textId="77777777" w:rsidR="00E60F1B" w:rsidRPr="00B635FB" w:rsidRDefault="00E60F1B" w:rsidP="00E60F1B">
      <w:pPr>
        <w:widowControl w:val="0"/>
        <w:autoSpaceDE w:val="0"/>
        <w:autoSpaceDN w:val="0"/>
        <w:adjustRightInd w:val="0"/>
        <w:rPr>
          <w:color w:val="000000"/>
          <w:sz w:val="26"/>
          <w:szCs w:val="26"/>
        </w:rPr>
      </w:pPr>
      <w:bookmarkStart w:id="52" w:name="co_pp_488b0000d05e2_1"/>
      <w:bookmarkEnd w:id="52"/>
      <w:r>
        <w:rPr>
          <w:color w:val="000000"/>
          <w:sz w:val="26"/>
          <w:szCs w:val="26"/>
        </w:rPr>
        <w:t>   </w:t>
      </w:r>
      <w:r w:rsidRPr="00B635FB">
        <w:rPr>
          <w:color w:val="000000"/>
          <w:sz w:val="26"/>
          <w:szCs w:val="26"/>
        </w:rPr>
        <w:t xml:space="preserve">(5) </w:t>
      </w:r>
      <w:r>
        <w:rPr>
          <w:color w:val="000000"/>
          <w:sz w:val="26"/>
          <w:szCs w:val="26"/>
        </w:rPr>
        <w:t>[</w:t>
      </w:r>
      <w:r w:rsidRPr="00B635FB">
        <w:rPr>
          <w:color w:val="000000"/>
          <w:sz w:val="26"/>
          <w:szCs w:val="26"/>
        </w:rPr>
        <w:t>An explanation for the continued classification of exempt procurement for products or services which have been used to set minimum levels of improvement because of the established unavailability of minority/women/persons with disabilities</w:t>
      </w:r>
      <w:r w:rsidDel="006A1696">
        <w:rPr>
          <w:color w:val="000000"/>
          <w:sz w:val="26"/>
          <w:szCs w:val="26"/>
          <w:u w:val="single"/>
        </w:rPr>
        <w:t xml:space="preserve"> </w:t>
      </w:r>
      <w:r w:rsidRPr="00B635FB">
        <w:rPr>
          <w:color w:val="000000"/>
          <w:sz w:val="26"/>
          <w:szCs w:val="26"/>
        </w:rPr>
        <w:t>-owned business suppliers.</w:t>
      </w:r>
      <w:r>
        <w:rPr>
          <w:color w:val="000000"/>
          <w:sz w:val="26"/>
          <w:szCs w:val="26"/>
        </w:rPr>
        <w:t xml:space="preserve">] </w:t>
      </w:r>
      <w:r w:rsidRPr="00935507">
        <w:rPr>
          <w:color w:val="000000"/>
          <w:sz w:val="26"/>
          <w:szCs w:val="26"/>
          <w:u w:val="single"/>
        </w:rPr>
        <w:t>A description of any diversity promotion efforts.</w:t>
      </w:r>
    </w:p>
    <w:p w14:paraId="7B9B6385" w14:textId="77777777" w:rsidR="00E60F1B" w:rsidRPr="00B635FB" w:rsidRDefault="00E60F1B" w:rsidP="00E60F1B">
      <w:pPr>
        <w:widowControl w:val="0"/>
        <w:autoSpaceDE w:val="0"/>
        <w:autoSpaceDN w:val="0"/>
        <w:adjustRightInd w:val="0"/>
        <w:rPr>
          <w:color w:val="000000"/>
          <w:sz w:val="26"/>
          <w:szCs w:val="26"/>
        </w:rPr>
      </w:pPr>
      <w:bookmarkStart w:id="53" w:name="co_anchor_I337DFFF38C8811DEAEC4E00399601"/>
      <w:bookmarkEnd w:id="53"/>
    </w:p>
    <w:p w14:paraId="1345EB4B" w14:textId="77777777" w:rsidR="00E60F1B" w:rsidRDefault="00E60F1B" w:rsidP="00E60F1B">
      <w:pPr>
        <w:widowControl w:val="0"/>
        <w:autoSpaceDE w:val="0"/>
        <w:autoSpaceDN w:val="0"/>
        <w:adjustRightInd w:val="0"/>
        <w:rPr>
          <w:color w:val="000000"/>
          <w:sz w:val="26"/>
          <w:szCs w:val="26"/>
        </w:rPr>
      </w:pPr>
      <w:bookmarkStart w:id="54" w:name="co_pp_1496000051ed7_1"/>
      <w:bookmarkEnd w:id="54"/>
      <w:r>
        <w:rPr>
          <w:color w:val="000000"/>
          <w:sz w:val="26"/>
          <w:szCs w:val="26"/>
        </w:rPr>
        <w:t>   </w:t>
      </w:r>
      <w:r w:rsidRPr="00B635FB">
        <w:rPr>
          <w:color w:val="000000"/>
          <w:sz w:val="26"/>
          <w:szCs w:val="26"/>
        </w:rPr>
        <w:t xml:space="preserve">(6) </w:t>
      </w:r>
      <w:r>
        <w:rPr>
          <w:color w:val="000000"/>
          <w:sz w:val="26"/>
          <w:szCs w:val="26"/>
        </w:rPr>
        <w:t>[</w:t>
      </w:r>
      <w:r w:rsidRPr="00B635FB">
        <w:rPr>
          <w:color w:val="000000"/>
          <w:sz w:val="26"/>
          <w:szCs w:val="26"/>
        </w:rPr>
        <w:t>Sections 69.801</w:t>
      </w:r>
      <w:r>
        <w:rPr>
          <w:color w:val="000000"/>
          <w:sz w:val="26"/>
          <w:szCs w:val="26"/>
        </w:rPr>
        <w:t>—</w:t>
      </w:r>
      <w:r w:rsidRPr="00B635FB">
        <w:rPr>
          <w:color w:val="000000"/>
          <w:sz w:val="26"/>
          <w:szCs w:val="26"/>
        </w:rPr>
        <w:t>69.808 and this section permit utilities to break specific categories down further than presently suggested</w:t>
      </w:r>
      <w:r>
        <w:rPr>
          <w:color w:val="000000"/>
          <w:sz w:val="26"/>
          <w:szCs w:val="26"/>
        </w:rPr>
        <w:t>—</w:t>
      </w:r>
      <w:r w:rsidRPr="00B635FB">
        <w:rPr>
          <w:color w:val="000000"/>
          <w:sz w:val="26"/>
          <w:szCs w:val="26"/>
        </w:rPr>
        <w:t>for example, reporting contracts awarded to Filipino Americans separately from those awarded to Asian Pacific-Americans, or reporting male and female results within minority</w:t>
      </w:r>
      <w:r>
        <w:rPr>
          <w:color w:val="000000"/>
          <w:sz w:val="26"/>
          <w:szCs w:val="26"/>
        </w:rPr>
        <w:t xml:space="preserve"> </w:t>
      </w:r>
      <w:r w:rsidRPr="00B635FB">
        <w:rPr>
          <w:color w:val="000000"/>
          <w:sz w:val="26"/>
          <w:szCs w:val="26"/>
        </w:rPr>
        <w:t>owned classifications. Data reported for nonminority women, may be reported separately from data reported for minority business enterprises.</w:t>
      </w:r>
      <w:r>
        <w:rPr>
          <w:color w:val="000000"/>
          <w:sz w:val="26"/>
          <w:szCs w:val="26"/>
        </w:rPr>
        <w:t xml:space="preserve">] </w:t>
      </w:r>
      <w:r w:rsidRPr="00935507">
        <w:rPr>
          <w:color w:val="000000"/>
          <w:sz w:val="26"/>
          <w:szCs w:val="26"/>
          <w:u w:val="single"/>
        </w:rPr>
        <w:t>A description of any diversity retention efforts.</w:t>
      </w:r>
    </w:p>
    <w:p w14:paraId="7C604707" w14:textId="77777777" w:rsidR="00E60F1B" w:rsidRDefault="00E60F1B" w:rsidP="00E60F1B">
      <w:pPr>
        <w:widowControl w:val="0"/>
        <w:autoSpaceDE w:val="0"/>
        <w:autoSpaceDN w:val="0"/>
        <w:adjustRightInd w:val="0"/>
        <w:rPr>
          <w:color w:val="000000"/>
          <w:sz w:val="26"/>
          <w:szCs w:val="26"/>
        </w:rPr>
      </w:pPr>
    </w:p>
    <w:p w14:paraId="1491CCE2" w14:textId="77777777" w:rsidR="00E60F1B" w:rsidRPr="00935507" w:rsidRDefault="00E60F1B" w:rsidP="00E60F1B">
      <w:pPr>
        <w:widowControl w:val="0"/>
        <w:autoSpaceDE w:val="0"/>
        <w:autoSpaceDN w:val="0"/>
        <w:adjustRightInd w:val="0"/>
        <w:rPr>
          <w:color w:val="000000"/>
          <w:sz w:val="26"/>
          <w:szCs w:val="26"/>
          <w:u w:val="single"/>
        </w:rPr>
      </w:pPr>
      <w:r w:rsidRPr="00935507">
        <w:rPr>
          <w:color w:val="000000"/>
          <w:sz w:val="26"/>
          <w:szCs w:val="26"/>
        </w:rPr>
        <w:t>   </w:t>
      </w:r>
      <w:r w:rsidRPr="00935507">
        <w:rPr>
          <w:color w:val="000000"/>
          <w:sz w:val="26"/>
          <w:szCs w:val="26"/>
          <w:u w:val="single"/>
        </w:rPr>
        <w:t>(7) A brief description of any involvement with organizations promoting diversity.</w:t>
      </w:r>
    </w:p>
    <w:p w14:paraId="386DBEF6" w14:textId="77777777" w:rsidR="00E60F1B" w:rsidRDefault="00E60F1B" w:rsidP="00E60F1B">
      <w:pPr>
        <w:widowControl w:val="0"/>
        <w:autoSpaceDE w:val="0"/>
        <w:autoSpaceDN w:val="0"/>
        <w:adjustRightInd w:val="0"/>
        <w:rPr>
          <w:color w:val="000000"/>
          <w:sz w:val="26"/>
          <w:szCs w:val="26"/>
        </w:rPr>
      </w:pPr>
    </w:p>
    <w:p w14:paraId="6543BA6F" w14:textId="77777777" w:rsidR="00E60F1B" w:rsidRPr="00935507" w:rsidRDefault="00E60F1B" w:rsidP="00E60F1B">
      <w:pPr>
        <w:widowControl w:val="0"/>
        <w:autoSpaceDE w:val="0"/>
        <w:autoSpaceDN w:val="0"/>
        <w:adjustRightInd w:val="0"/>
        <w:rPr>
          <w:color w:val="000000"/>
          <w:sz w:val="26"/>
          <w:szCs w:val="26"/>
          <w:u w:val="single"/>
        </w:rPr>
      </w:pPr>
      <w:r w:rsidRPr="00935507">
        <w:rPr>
          <w:color w:val="000000"/>
          <w:sz w:val="26"/>
          <w:szCs w:val="26"/>
        </w:rPr>
        <w:t>   </w:t>
      </w:r>
      <w:r>
        <w:rPr>
          <w:color w:val="000000"/>
          <w:sz w:val="26"/>
          <w:szCs w:val="26"/>
          <w:u w:val="single"/>
        </w:rPr>
        <w:t>(8) A brief summary of diverse-owned businesses the company contracts with for goods and services.  Include percentage of dollars spent with diverse-owned businesses versus non-diverse businesses.</w:t>
      </w:r>
    </w:p>
    <w:p w14:paraId="725410B5" w14:textId="77777777" w:rsidR="00E60F1B" w:rsidRPr="00B635FB" w:rsidRDefault="00E60F1B" w:rsidP="00E60F1B">
      <w:pPr>
        <w:widowControl w:val="0"/>
        <w:autoSpaceDE w:val="0"/>
        <w:autoSpaceDN w:val="0"/>
        <w:adjustRightInd w:val="0"/>
        <w:rPr>
          <w:color w:val="000000"/>
          <w:sz w:val="26"/>
          <w:szCs w:val="26"/>
        </w:rPr>
      </w:pPr>
      <w:bookmarkStart w:id="55" w:name="co_anchor_I337DFFF48C8811DEAEC4E00399601"/>
      <w:bookmarkEnd w:id="55"/>
    </w:p>
    <w:p w14:paraId="1E11EE89" w14:textId="1ED73746" w:rsidR="00E60F1B" w:rsidRPr="00B635FB" w:rsidRDefault="00E60F1B" w:rsidP="00E60F1B">
      <w:pPr>
        <w:widowControl w:val="0"/>
        <w:autoSpaceDE w:val="0"/>
        <w:autoSpaceDN w:val="0"/>
        <w:adjustRightInd w:val="0"/>
        <w:rPr>
          <w:color w:val="000000"/>
          <w:sz w:val="26"/>
          <w:szCs w:val="26"/>
        </w:rPr>
      </w:pPr>
      <w:bookmarkStart w:id="56" w:name="co_pp_4b24000003ba5_1"/>
      <w:bookmarkEnd w:id="56"/>
      <w:r>
        <w:rPr>
          <w:color w:val="000000"/>
          <w:sz w:val="26"/>
          <w:szCs w:val="26"/>
        </w:rPr>
        <w:t> [</w:t>
      </w:r>
      <w:r w:rsidRPr="00B635FB">
        <w:rPr>
          <w:color w:val="000000"/>
          <w:sz w:val="26"/>
          <w:szCs w:val="26"/>
        </w:rPr>
        <w:t>(c)</w:t>
      </w:r>
      <w:r>
        <w:rPr>
          <w:color w:val="000000"/>
          <w:sz w:val="26"/>
          <w:szCs w:val="26"/>
        </w:rPr>
        <w:t xml:space="preserve">] </w:t>
      </w:r>
      <w:r>
        <w:rPr>
          <w:color w:val="000000"/>
          <w:sz w:val="26"/>
          <w:szCs w:val="26"/>
          <w:u w:val="single"/>
        </w:rPr>
        <w:t>(b)</w:t>
      </w:r>
      <w:r w:rsidRPr="00B635FB">
        <w:rPr>
          <w:color w:val="000000"/>
          <w:sz w:val="26"/>
          <w:szCs w:val="26"/>
        </w:rPr>
        <w:t xml:space="preserve"> Information that is otherwise unobtainable to the major jurisdictional utility company, for example, prime contractor utilization of minority/women/persons with disabilities</w:t>
      </w:r>
      <w:r>
        <w:rPr>
          <w:color w:val="000000"/>
          <w:sz w:val="26"/>
          <w:szCs w:val="26"/>
          <w:u w:val="single"/>
        </w:rPr>
        <w:t>/LGBTQ/veteran</w:t>
      </w:r>
      <w:r w:rsidRPr="00B635FB">
        <w:rPr>
          <w:color w:val="000000"/>
          <w:sz w:val="26"/>
          <w:szCs w:val="26"/>
        </w:rPr>
        <w:t>-owned businesses as subcontractors, should be reported in the annual filings.</w:t>
      </w:r>
    </w:p>
    <w:p w14:paraId="30F8BE22" w14:textId="77777777" w:rsidR="00E60F1B" w:rsidRPr="00204B60" w:rsidRDefault="00E60F1B" w:rsidP="00E60F1B">
      <w:pPr>
        <w:widowControl w:val="0"/>
        <w:autoSpaceDE w:val="0"/>
        <w:autoSpaceDN w:val="0"/>
        <w:adjustRightInd w:val="0"/>
        <w:jc w:val="both"/>
        <w:rPr>
          <w:b/>
          <w:bCs/>
          <w:color w:val="000000"/>
          <w:sz w:val="26"/>
          <w:szCs w:val="26"/>
        </w:rPr>
      </w:pPr>
    </w:p>
    <w:p w14:paraId="0A3DC6F1" w14:textId="3CB4BC0C" w:rsidR="000B11FB" w:rsidRPr="00160E8F" w:rsidRDefault="000B11FB" w:rsidP="00E60F1B">
      <w:pPr>
        <w:pStyle w:val="NoSpacing"/>
        <w:jc w:val="center"/>
        <w:rPr>
          <w:sz w:val="26"/>
          <w:szCs w:val="26"/>
          <w:u w:val="single"/>
        </w:rPr>
      </w:pPr>
    </w:p>
    <w:sectPr w:rsidR="000B11FB" w:rsidRPr="00160E8F" w:rsidSect="00D56B75">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BE01" w14:textId="77777777" w:rsidR="0039405E" w:rsidRDefault="0039405E">
      <w:r>
        <w:separator/>
      </w:r>
    </w:p>
  </w:endnote>
  <w:endnote w:type="continuationSeparator" w:id="0">
    <w:p w14:paraId="5A17650F" w14:textId="77777777" w:rsidR="0039405E" w:rsidRDefault="0039405E">
      <w:r>
        <w:continuationSeparator/>
      </w:r>
    </w:p>
  </w:endnote>
  <w:endnote w:type="continuationNotice" w:id="1">
    <w:p w14:paraId="0947D56C" w14:textId="77777777" w:rsidR="0039405E" w:rsidRDefault="00394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57D8" w14:textId="77777777" w:rsidR="00B6485F" w:rsidRDefault="00B6485F" w:rsidP="00A97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9ED8C8" w14:textId="77777777" w:rsidR="00B6485F" w:rsidRDefault="00B64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FAEB" w14:textId="77777777" w:rsidR="00B6485F" w:rsidRPr="000E1912" w:rsidRDefault="00B6485F" w:rsidP="000E1912">
    <w:pPr>
      <w:pStyle w:val="Footer"/>
      <w:jc w:val="center"/>
      <w:rPr>
        <w:sz w:val="22"/>
        <w:szCs w:val="22"/>
      </w:rPr>
    </w:pPr>
    <w:r w:rsidRPr="000E1912">
      <w:rPr>
        <w:sz w:val="22"/>
        <w:szCs w:val="22"/>
      </w:rPr>
      <w:fldChar w:fldCharType="begin"/>
    </w:r>
    <w:r w:rsidRPr="000E1912">
      <w:rPr>
        <w:sz w:val="22"/>
        <w:szCs w:val="22"/>
      </w:rPr>
      <w:instrText xml:space="preserve"> PAGE   \* MERGEFORMAT </w:instrText>
    </w:r>
    <w:r w:rsidRPr="000E1912">
      <w:rPr>
        <w:sz w:val="22"/>
        <w:szCs w:val="22"/>
      </w:rPr>
      <w:fldChar w:fldCharType="separate"/>
    </w:r>
    <w:r w:rsidR="000471F6">
      <w:rPr>
        <w:noProof/>
        <w:sz w:val="22"/>
        <w:szCs w:val="22"/>
      </w:rPr>
      <w:t>3</w:t>
    </w:r>
    <w:r w:rsidRPr="000E1912">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195F3" w14:textId="77777777" w:rsidR="00D56B75" w:rsidRDefault="00D56B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763760"/>
      <w:docPartObj>
        <w:docPartGallery w:val="Page Numbers (Bottom of Page)"/>
        <w:docPartUnique/>
      </w:docPartObj>
    </w:sdtPr>
    <w:sdtEndPr>
      <w:rPr>
        <w:noProof/>
      </w:rPr>
    </w:sdtEndPr>
    <w:sdtContent>
      <w:p w14:paraId="57B4CCB5" w14:textId="77777777" w:rsidR="00F0501E" w:rsidRDefault="009E6D4F">
        <w:pPr>
          <w:pStyle w:val="Footer"/>
          <w:jc w:val="center"/>
        </w:pPr>
        <w:r w:rsidRPr="004D6614">
          <w:rPr>
            <w:sz w:val="26"/>
            <w:szCs w:val="26"/>
          </w:rPr>
          <w:fldChar w:fldCharType="begin"/>
        </w:r>
        <w:r w:rsidRPr="004D6614">
          <w:rPr>
            <w:sz w:val="26"/>
            <w:szCs w:val="26"/>
          </w:rPr>
          <w:instrText xml:space="preserve"> PAGE   \* MERGEFORMAT </w:instrText>
        </w:r>
        <w:r w:rsidRPr="004D6614">
          <w:rPr>
            <w:sz w:val="26"/>
            <w:szCs w:val="26"/>
          </w:rPr>
          <w:fldChar w:fldCharType="separate"/>
        </w:r>
        <w:r w:rsidRPr="004D6614">
          <w:rPr>
            <w:noProof/>
            <w:sz w:val="26"/>
            <w:szCs w:val="26"/>
          </w:rPr>
          <w:t>2</w:t>
        </w:r>
        <w:r w:rsidRPr="004D6614">
          <w:rPr>
            <w:noProof/>
            <w:sz w:val="26"/>
            <w:szCs w:val="26"/>
          </w:rPr>
          <w:fldChar w:fldCharType="end"/>
        </w:r>
      </w:p>
    </w:sdtContent>
  </w:sdt>
  <w:p w14:paraId="4E1E0F99" w14:textId="77777777" w:rsidR="00F0501E" w:rsidRPr="00CB4770" w:rsidRDefault="00F0501E" w:rsidP="00F050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009561"/>
      <w:docPartObj>
        <w:docPartGallery w:val="Page Numbers (Bottom of Page)"/>
        <w:docPartUnique/>
      </w:docPartObj>
    </w:sdtPr>
    <w:sdtEndPr>
      <w:rPr>
        <w:noProof/>
      </w:rPr>
    </w:sdtEndPr>
    <w:sdtContent>
      <w:p w14:paraId="64929ECC" w14:textId="77777777" w:rsidR="00D56B75" w:rsidRDefault="00D56B75">
        <w:pPr>
          <w:pStyle w:val="Footer"/>
          <w:jc w:val="center"/>
        </w:pPr>
        <w:r w:rsidRPr="004D6614">
          <w:rPr>
            <w:sz w:val="26"/>
            <w:szCs w:val="26"/>
          </w:rPr>
          <w:fldChar w:fldCharType="begin"/>
        </w:r>
        <w:r w:rsidRPr="004D6614">
          <w:rPr>
            <w:sz w:val="26"/>
            <w:szCs w:val="26"/>
          </w:rPr>
          <w:instrText xml:space="preserve"> PAGE   \* MERGEFORMAT </w:instrText>
        </w:r>
        <w:r w:rsidRPr="004D6614">
          <w:rPr>
            <w:sz w:val="26"/>
            <w:szCs w:val="26"/>
          </w:rPr>
          <w:fldChar w:fldCharType="separate"/>
        </w:r>
        <w:r w:rsidRPr="004D6614">
          <w:rPr>
            <w:noProof/>
            <w:sz w:val="26"/>
            <w:szCs w:val="26"/>
          </w:rPr>
          <w:t>2</w:t>
        </w:r>
        <w:r w:rsidRPr="004D6614">
          <w:rPr>
            <w:noProof/>
            <w:sz w:val="26"/>
            <w:szCs w:val="26"/>
          </w:rPr>
          <w:fldChar w:fldCharType="end"/>
        </w:r>
      </w:p>
    </w:sdtContent>
  </w:sdt>
  <w:p w14:paraId="67E2D817" w14:textId="77777777" w:rsidR="00D56B75" w:rsidRPr="00CB4770" w:rsidRDefault="00D56B75" w:rsidP="00F0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F98E6" w14:textId="77777777" w:rsidR="0039405E" w:rsidRDefault="0039405E">
      <w:r>
        <w:separator/>
      </w:r>
    </w:p>
  </w:footnote>
  <w:footnote w:type="continuationSeparator" w:id="0">
    <w:p w14:paraId="53C88FC1" w14:textId="77777777" w:rsidR="0039405E" w:rsidRDefault="0039405E">
      <w:r>
        <w:continuationSeparator/>
      </w:r>
    </w:p>
  </w:footnote>
  <w:footnote w:type="continuationNotice" w:id="1">
    <w:p w14:paraId="36318B20" w14:textId="77777777" w:rsidR="0039405E" w:rsidRDefault="0039405E"/>
  </w:footnote>
  <w:footnote w:id="2">
    <w:p w14:paraId="40801EC7" w14:textId="53468E9F" w:rsidR="001C18CF" w:rsidRPr="00DD56CD" w:rsidRDefault="001C18CF">
      <w:pPr>
        <w:pStyle w:val="FootnoteText"/>
        <w:rPr>
          <w:sz w:val="22"/>
          <w:szCs w:val="22"/>
        </w:rPr>
      </w:pPr>
      <w:r w:rsidRPr="00DD56CD">
        <w:rPr>
          <w:rStyle w:val="FootnoteReference"/>
          <w:sz w:val="22"/>
          <w:szCs w:val="22"/>
        </w:rPr>
        <w:footnoteRef/>
      </w:r>
      <w:r w:rsidR="001E664F" w:rsidRPr="00DD56CD">
        <w:rPr>
          <w:sz w:val="22"/>
          <w:szCs w:val="22"/>
        </w:rPr>
        <w:t xml:space="preserve">  The </w:t>
      </w:r>
      <w:r w:rsidR="00AA0CD3" w:rsidRPr="00DD56CD">
        <w:rPr>
          <w:sz w:val="22"/>
          <w:szCs w:val="22"/>
        </w:rPr>
        <w:t xml:space="preserve">Commission </w:t>
      </w:r>
      <w:r w:rsidR="00E514D6" w:rsidRPr="00DD56CD">
        <w:rPr>
          <w:sz w:val="22"/>
          <w:szCs w:val="22"/>
        </w:rPr>
        <w:t xml:space="preserve">modeled </w:t>
      </w:r>
      <w:r w:rsidR="00402133" w:rsidRPr="00DD56CD">
        <w:rPr>
          <w:sz w:val="22"/>
          <w:szCs w:val="22"/>
        </w:rPr>
        <w:t xml:space="preserve">the </w:t>
      </w:r>
      <w:r w:rsidR="002B051D" w:rsidRPr="00DD56CD">
        <w:rPr>
          <w:sz w:val="22"/>
          <w:szCs w:val="22"/>
        </w:rPr>
        <w:t xml:space="preserve">Demographic Composition of Workforce of Major Jurisdictional Utility Companies Form after the </w:t>
      </w:r>
      <w:r w:rsidR="001404A5" w:rsidRPr="00DD56CD">
        <w:rPr>
          <w:sz w:val="22"/>
          <w:szCs w:val="22"/>
        </w:rPr>
        <w:t xml:space="preserve">SEC’s </w:t>
      </w:r>
      <w:r w:rsidR="0012565B" w:rsidRPr="00DD56CD">
        <w:rPr>
          <w:sz w:val="22"/>
          <w:szCs w:val="22"/>
        </w:rPr>
        <w:t>Diversity Assessment Report for Entities Regulated by the SEC</w:t>
      </w:r>
      <w:r w:rsidR="00334FFA" w:rsidRPr="00DD56CD">
        <w:rPr>
          <w:sz w:val="22"/>
          <w:szCs w:val="22"/>
        </w:rPr>
        <w:t>.  Accessed at</w:t>
      </w:r>
      <w:r w:rsidRPr="00DD56CD">
        <w:rPr>
          <w:sz w:val="22"/>
          <w:szCs w:val="22"/>
        </w:rPr>
        <w:t xml:space="preserve"> </w:t>
      </w:r>
      <w:r w:rsidR="005D1AA8" w:rsidRPr="00E8615C">
        <w:rPr>
          <w:sz w:val="22"/>
          <w:szCs w:val="22"/>
        </w:rPr>
        <w:t>https://www.sec.gov/files/OMWI-DAR-FORM.pdf on November 10</w:t>
      </w:r>
      <w:r w:rsidR="005D1AA8">
        <w:rPr>
          <w:sz w:val="22"/>
          <w:szCs w:val="22"/>
        </w:rPr>
        <w:t xml:space="preserve">, </w:t>
      </w:r>
      <w:r w:rsidR="00355F07" w:rsidRPr="00DD56CD">
        <w:rPr>
          <w:sz w:val="22"/>
          <w:szCs w:val="22"/>
        </w:rPr>
        <w:t>20</w:t>
      </w:r>
      <w:r w:rsidR="00F85818" w:rsidRPr="00DD56CD">
        <w:rPr>
          <w:sz w:val="22"/>
          <w:szCs w:val="22"/>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7A6F" w14:textId="77777777" w:rsidR="00D56B75" w:rsidRDefault="00D56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27BF" w14:textId="77777777" w:rsidR="00D56B75" w:rsidRDefault="00D56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A1C6" w14:textId="77777777" w:rsidR="00D56B75" w:rsidRDefault="00D56B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F950" w14:textId="53C81A3C" w:rsidR="00F0501E" w:rsidRDefault="00F05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349"/>
    <w:multiLevelType w:val="hybridMultilevel"/>
    <w:tmpl w:val="854C3D08"/>
    <w:lvl w:ilvl="0" w:tplc="C1E025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66D7"/>
    <w:multiLevelType w:val="hybridMultilevel"/>
    <w:tmpl w:val="D11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28B5"/>
    <w:multiLevelType w:val="hybridMultilevel"/>
    <w:tmpl w:val="E6422DFA"/>
    <w:lvl w:ilvl="0" w:tplc="E17E5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53578"/>
    <w:multiLevelType w:val="hybridMultilevel"/>
    <w:tmpl w:val="AFCED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CE4D50"/>
    <w:multiLevelType w:val="hybridMultilevel"/>
    <w:tmpl w:val="65F022F6"/>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D3700"/>
    <w:multiLevelType w:val="hybridMultilevel"/>
    <w:tmpl w:val="24BE0770"/>
    <w:lvl w:ilvl="0" w:tplc="A2A8A57C">
      <w:start w:val="5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3D28F5"/>
    <w:multiLevelType w:val="hybridMultilevel"/>
    <w:tmpl w:val="920E9358"/>
    <w:lvl w:ilvl="0" w:tplc="C9DCA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73AE7"/>
    <w:multiLevelType w:val="hybridMultilevel"/>
    <w:tmpl w:val="657CDB1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927E7"/>
    <w:multiLevelType w:val="hybridMultilevel"/>
    <w:tmpl w:val="8BAE0050"/>
    <w:lvl w:ilvl="0" w:tplc="44980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17DA4"/>
    <w:multiLevelType w:val="hybridMultilevel"/>
    <w:tmpl w:val="8E5AA458"/>
    <w:lvl w:ilvl="0" w:tplc="37CE5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ED9761C"/>
    <w:multiLevelType w:val="hybridMultilevel"/>
    <w:tmpl w:val="1728A470"/>
    <w:lvl w:ilvl="0" w:tplc="C2A601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E20C3"/>
    <w:multiLevelType w:val="hybridMultilevel"/>
    <w:tmpl w:val="2AB26C18"/>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4482C"/>
    <w:multiLevelType w:val="hybridMultilevel"/>
    <w:tmpl w:val="B1F0E0C6"/>
    <w:lvl w:ilvl="0" w:tplc="113EC1E2">
      <w:start w:val="9"/>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7"/>
  </w:num>
  <w:num w:numId="6">
    <w:abstractNumId w:val="5"/>
  </w:num>
  <w:num w:numId="7">
    <w:abstractNumId w:val="3"/>
  </w:num>
  <w:num w:numId="8">
    <w:abstractNumId w:val="2"/>
  </w:num>
  <w:num w:numId="9">
    <w:abstractNumId w:val="0"/>
  </w:num>
  <w:num w:numId="10">
    <w:abstractNumId w:val="11"/>
  </w:num>
  <w:num w:numId="11">
    <w:abstractNumId w:val="8"/>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12"/>
    <w:rsid w:val="000000DF"/>
    <w:rsid w:val="00000419"/>
    <w:rsid w:val="00000ACD"/>
    <w:rsid w:val="00001B75"/>
    <w:rsid w:val="00001F7E"/>
    <w:rsid w:val="00002125"/>
    <w:rsid w:val="000021A5"/>
    <w:rsid w:val="00003167"/>
    <w:rsid w:val="00003719"/>
    <w:rsid w:val="00003965"/>
    <w:rsid w:val="00003EF6"/>
    <w:rsid w:val="00004816"/>
    <w:rsid w:val="00004EA7"/>
    <w:rsid w:val="0000599D"/>
    <w:rsid w:val="00005A74"/>
    <w:rsid w:val="00005A92"/>
    <w:rsid w:val="00005CE2"/>
    <w:rsid w:val="00006417"/>
    <w:rsid w:val="00006502"/>
    <w:rsid w:val="00007E48"/>
    <w:rsid w:val="000101D2"/>
    <w:rsid w:val="000103DE"/>
    <w:rsid w:val="00010F92"/>
    <w:rsid w:val="00010FB3"/>
    <w:rsid w:val="00012437"/>
    <w:rsid w:val="00013452"/>
    <w:rsid w:val="00013699"/>
    <w:rsid w:val="00016242"/>
    <w:rsid w:val="00016542"/>
    <w:rsid w:val="0001674E"/>
    <w:rsid w:val="00016AE7"/>
    <w:rsid w:val="00017698"/>
    <w:rsid w:val="00020C6D"/>
    <w:rsid w:val="000211E0"/>
    <w:rsid w:val="00021D7C"/>
    <w:rsid w:val="000236F8"/>
    <w:rsid w:val="00026A75"/>
    <w:rsid w:val="00026B31"/>
    <w:rsid w:val="00027AE7"/>
    <w:rsid w:val="00030264"/>
    <w:rsid w:val="00030C16"/>
    <w:rsid w:val="00030C4C"/>
    <w:rsid w:val="000311E5"/>
    <w:rsid w:val="00031908"/>
    <w:rsid w:val="00031D14"/>
    <w:rsid w:val="00033725"/>
    <w:rsid w:val="000346FA"/>
    <w:rsid w:val="00035B18"/>
    <w:rsid w:val="00035F25"/>
    <w:rsid w:val="0003633D"/>
    <w:rsid w:val="00036BD0"/>
    <w:rsid w:val="00036CF5"/>
    <w:rsid w:val="00037817"/>
    <w:rsid w:val="000378FB"/>
    <w:rsid w:val="0004206C"/>
    <w:rsid w:val="000428E6"/>
    <w:rsid w:val="000432C6"/>
    <w:rsid w:val="0004373B"/>
    <w:rsid w:val="00043AF5"/>
    <w:rsid w:val="000441A4"/>
    <w:rsid w:val="000455D8"/>
    <w:rsid w:val="000465C9"/>
    <w:rsid w:val="00046D86"/>
    <w:rsid w:val="000471F6"/>
    <w:rsid w:val="00047880"/>
    <w:rsid w:val="000502BB"/>
    <w:rsid w:val="00050DDA"/>
    <w:rsid w:val="00050E61"/>
    <w:rsid w:val="000511FD"/>
    <w:rsid w:val="000518AA"/>
    <w:rsid w:val="00051E19"/>
    <w:rsid w:val="000526D8"/>
    <w:rsid w:val="00052D8C"/>
    <w:rsid w:val="000545D5"/>
    <w:rsid w:val="00055010"/>
    <w:rsid w:val="0005612C"/>
    <w:rsid w:val="0005781C"/>
    <w:rsid w:val="000602FA"/>
    <w:rsid w:val="00060C17"/>
    <w:rsid w:val="00060D60"/>
    <w:rsid w:val="00060FE3"/>
    <w:rsid w:val="0006115F"/>
    <w:rsid w:val="00061915"/>
    <w:rsid w:val="00061C4B"/>
    <w:rsid w:val="000620EC"/>
    <w:rsid w:val="00062248"/>
    <w:rsid w:val="00063BD0"/>
    <w:rsid w:val="00064118"/>
    <w:rsid w:val="000642E1"/>
    <w:rsid w:val="0006532C"/>
    <w:rsid w:val="0006539A"/>
    <w:rsid w:val="00065904"/>
    <w:rsid w:val="00065CDF"/>
    <w:rsid w:val="00066405"/>
    <w:rsid w:val="00066FA3"/>
    <w:rsid w:val="000674AA"/>
    <w:rsid w:val="00067BD5"/>
    <w:rsid w:val="00071577"/>
    <w:rsid w:val="000724F1"/>
    <w:rsid w:val="000731F3"/>
    <w:rsid w:val="00073351"/>
    <w:rsid w:val="00073B12"/>
    <w:rsid w:val="00073E7F"/>
    <w:rsid w:val="000755D4"/>
    <w:rsid w:val="0007647B"/>
    <w:rsid w:val="00076BC0"/>
    <w:rsid w:val="000774AA"/>
    <w:rsid w:val="00077F38"/>
    <w:rsid w:val="00080EFD"/>
    <w:rsid w:val="00081665"/>
    <w:rsid w:val="000820C3"/>
    <w:rsid w:val="00082103"/>
    <w:rsid w:val="0008214E"/>
    <w:rsid w:val="000842B1"/>
    <w:rsid w:val="000852ED"/>
    <w:rsid w:val="00085FC4"/>
    <w:rsid w:val="00086097"/>
    <w:rsid w:val="000860EA"/>
    <w:rsid w:val="00086C6E"/>
    <w:rsid w:val="00086CC8"/>
    <w:rsid w:val="00086DA2"/>
    <w:rsid w:val="00086E77"/>
    <w:rsid w:val="0008710D"/>
    <w:rsid w:val="00087579"/>
    <w:rsid w:val="00087D36"/>
    <w:rsid w:val="000900C9"/>
    <w:rsid w:val="00090664"/>
    <w:rsid w:val="000908F4"/>
    <w:rsid w:val="0009131A"/>
    <w:rsid w:val="0009166D"/>
    <w:rsid w:val="00091BD0"/>
    <w:rsid w:val="00092103"/>
    <w:rsid w:val="00092610"/>
    <w:rsid w:val="000929AB"/>
    <w:rsid w:val="00092FE2"/>
    <w:rsid w:val="00094591"/>
    <w:rsid w:val="000949EE"/>
    <w:rsid w:val="00094D3B"/>
    <w:rsid w:val="000958EE"/>
    <w:rsid w:val="00095C7B"/>
    <w:rsid w:val="00095F7F"/>
    <w:rsid w:val="00095FCE"/>
    <w:rsid w:val="000965F6"/>
    <w:rsid w:val="000A0062"/>
    <w:rsid w:val="000A0318"/>
    <w:rsid w:val="000A0998"/>
    <w:rsid w:val="000A10F7"/>
    <w:rsid w:val="000A2553"/>
    <w:rsid w:val="000A26FB"/>
    <w:rsid w:val="000A4197"/>
    <w:rsid w:val="000A458B"/>
    <w:rsid w:val="000A4FA7"/>
    <w:rsid w:val="000A5F5D"/>
    <w:rsid w:val="000A63BF"/>
    <w:rsid w:val="000A714A"/>
    <w:rsid w:val="000A7531"/>
    <w:rsid w:val="000A758F"/>
    <w:rsid w:val="000B0EF3"/>
    <w:rsid w:val="000B1149"/>
    <w:rsid w:val="000B114D"/>
    <w:rsid w:val="000B11FB"/>
    <w:rsid w:val="000B16FC"/>
    <w:rsid w:val="000B2C7F"/>
    <w:rsid w:val="000B40E7"/>
    <w:rsid w:val="000B4B87"/>
    <w:rsid w:val="000B52DA"/>
    <w:rsid w:val="000B5312"/>
    <w:rsid w:val="000B5D2D"/>
    <w:rsid w:val="000B5D76"/>
    <w:rsid w:val="000B68FF"/>
    <w:rsid w:val="000B6987"/>
    <w:rsid w:val="000B7621"/>
    <w:rsid w:val="000B7D68"/>
    <w:rsid w:val="000C0163"/>
    <w:rsid w:val="000C074C"/>
    <w:rsid w:val="000C09F6"/>
    <w:rsid w:val="000C1657"/>
    <w:rsid w:val="000C1C04"/>
    <w:rsid w:val="000C23F4"/>
    <w:rsid w:val="000C2BC1"/>
    <w:rsid w:val="000C2E24"/>
    <w:rsid w:val="000C2EE8"/>
    <w:rsid w:val="000C3290"/>
    <w:rsid w:val="000C3837"/>
    <w:rsid w:val="000C41FE"/>
    <w:rsid w:val="000C4C29"/>
    <w:rsid w:val="000C4F31"/>
    <w:rsid w:val="000C5348"/>
    <w:rsid w:val="000C548A"/>
    <w:rsid w:val="000C5816"/>
    <w:rsid w:val="000C5825"/>
    <w:rsid w:val="000C590E"/>
    <w:rsid w:val="000C5C66"/>
    <w:rsid w:val="000C6111"/>
    <w:rsid w:val="000C701D"/>
    <w:rsid w:val="000C7794"/>
    <w:rsid w:val="000D0453"/>
    <w:rsid w:val="000D05A3"/>
    <w:rsid w:val="000D071F"/>
    <w:rsid w:val="000D0738"/>
    <w:rsid w:val="000D09EE"/>
    <w:rsid w:val="000D0BA2"/>
    <w:rsid w:val="000D2136"/>
    <w:rsid w:val="000D3BCD"/>
    <w:rsid w:val="000D3FD1"/>
    <w:rsid w:val="000D4728"/>
    <w:rsid w:val="000D4FE5"/>
    <w:rsid w:val="000D642D"/>
    <w:rsid w:val="000D798B"/>
    <w:rsid w:val="000E02CD"/>
    <w:rsid w:val="000E03B5"/>
    <w:rsid w:val="000E0B04"/>
    <w:rsid w:val="000E0BB2"/>
    <w:rsid w:val="000E0C1E"/>
    <w:rsid w:val="000E0C46"/>
    <w:rsid w:val="000E0D31"/>
    <w:rsid w:val="000E0FE9"/>
    <w:rsid w:val="000E1037"/>
    <w:rsid w:val="000E190A"/>
    <w:rsid w:val="000E1912"/>
    <w:rsid w:val="000E1F92"/>
    <w:rsid w:val="000E2EB5"/>
    <w:rsid w:val="000E3275"/>
    <w:rsid w:val="000E36D0"/>
    <w:rsid w:val="000E3B55"/>
    <w:rsid w:val="000E3F84"/>
    <w:rsid w:val="000E43F7"/>
    <w:rsid w:val="000E61E0"/>
    <w:rsid w:val="000E6262"/>
    <w:rsid w:val="000E6CA5"/>
    <w:rsid w:val="000E7256"/>
    <w:rsid w:val="000E7856"/>
    <w:rsid w:val="000F087B"/>
    <w:rsid w:val="000F09D3"/>
    <w:rsid w:val="000F0A5E"/>
    <w:rsid w:val="000F16E7"/>
    <w:rsid w:val="000F18FD"/>
    <w:rsid w:val="000F1E39"/>
    <w:rsid w:val="000F2A72"/>
    <w:rsid w:val="000F30EC"/>
    <w:rsid w:val="000F3BFC"/>
    <w:rsid w:val="000F3CCB"/>
    <w:rsid w:val="000F445A"/>
    <w:rsid w:val="000F48D7"/>
    <w:rsid w:val="000F4996"/>
    <w:rsid w:val="000F5BCD"/>
    <w:rsid w:val="000F5CC4"/>
    <w:rsid w:val="000F6ECC"/>
    <w:rsid w:val="0010034A"/>
    <w:rsid w:val="00100838"/>
    <w:rsid w:val="001009DC"/>
    <w:rsid w:val="00100D69"/>
    <w:rsid w:val="00100E4B"/>
    <w:rsid w:val="00100F15"/>
    <w:rsid w:val="001011AF"/>
    <w:rsid w:val="001014CF"/>
    <w:rsid w:val="00101A28"/>
    <w:rsid w:val="00101DF4"/>
    <w:rsid w:val="00102163"/>
    <w:rsid w:val="00102404"/>
    <w:rsid w:val="00102B7F"/>
    <w:rsid w:val="00103757"/>
    <w:rsid w:val="00103E05"/>
    <w:rsid w:val="0010514E"/>
    <w:rsid w:val="001052E5"/>
    <w:rsid w:val="00105C64"/>
    <w:rsid w:val="00105E56"/>
    <w:rsid w:val="001065D4"/>
    <w:rsid w:val="001066F7"/>
    <w:rsid w:val="00106708"/>
    <w:rsid w:val="00107001"/>
    <w:rsid w:val="0010728A"/>
    <w:rsid w:val="00107540"/>
    <w:rsid w:val="00107BA6"/>
    <w:rsid w:val="0011029D"/>
    <w:rsid w:val="00110659"/>
    <w:rsid w:val="00110BB5"/>
    <w:rsid w:val="00110F63"/>
    <w:rsid w:val="00113A36"/>
    <w:rsid w:val="00113FE9"/>
    <w:rsid w:val="00114544"/>
    <w:rsid w:val="00114D16"/>
    <w:rsid w:val="00114E22"/>
    <w:rsid w:val="001152D9"/>
    <w:rsid w:val="00116543"/>
    <w:rsid w:val="00116E56"/>
    <w:rsid w:val="0011765A"/>
    <w:rsid w:val="00120598"/>
    <w:rsid w:val="00121843"/>
    <w:rsid w:val="00121E01"/>
    <w:rsid w:val="00121E37"/>
    <w:rsid w:val="0012275E"/>
    <w:rsid w:val="00123163"/>
    <w:rsid w:val="00123D9B"/>
    <w:rsid w:val="0012415A"/>
    <w:rsid w:val="0012443E"/>
    <w:rsid w:val="00125296"/>
    <w:rsid w:val="0012565B"/>
    <w:rsid w:val="00125759"/>
    <w:rsid w:val="00125D50"/>
    <w:rsid w:val="00126F5E"/>
    <w:rsid w:val="0013052C"/>
    <w:rsid w:val="0013119A"/>
    <w:rsid w:val="00131668"/>
    <w:rsid w:val="0013292D"/>
    <w:rsid w:val="00132B19"/>
    <w:rsid w:val="0013349A"/>
    <w:rsid w:val="0013393A"/>
    <w:rsid w:val="00133F64"/>
    <w:rsid w:val="00133F75"/>
    <w:rsid w:val="00134FF3"/>
    <w:rsid w:val="00135698"/>
    <w:rsid w:val="00135E2A"/>
    <w:rsid w:val="00136C34"/>
    <w:rsid w:val="001371D5"/>
    <w:rsid w:val="00137AF0"/>
    <w:rsid w:val="00137D10"/>
    <w:rsid w:val="00137FC1"/>
    <w:rsid w:val="00140273"/>
    <w:rsid w:val="00140480"/>
    <w:rsid w:val="001404A5"/>
    <w:rsid w:val="00140A2A"/>
    <w:rsid w:val="00140A75"/>
    <w:rsid w:val="00140F1C"/>
    <w:rsid w:val="00140F53"/>
    <w:rsid w:val="00141C9D"/>
    <w:rsid w:val="00143D21"/>
    <w:rsid w:val="00144C25"/>
    <w:rsid w:val="001450CF"/>
    <w:rsid w:val="00145405"/>
    <w:rsid w:val="0014657B"/>
    <w:rsid w:val="001465E5"/>
    <w:rsid w:val="00147561"/>
    <w:rsid w:val="0014770F"/>
    <w:rsid w:val="0014795E"/>
    <w:rsid w:val="00147F68"/>
    <w:rsid w:val="0015022C"/>
    <w:rsid w:val="00150478"/>
    <w:rsid w:val="0015071C"/>
    <w:rsid w:val="001516A1"/>
    <w:rsid w:val="001519AA"/>
    <w:rsid w:val="00152337"/>
    <w:rsid w:val="001535BF"/>
    <w:rsid w:val="001539B0"/>
    <w:rsid w:val="00154432"/>
    <w:rsid w:val="001549C8"/>
    <w:rsid w:val="001553FD"/>
    <w:rsid w:val="00155596"/>
    <w:rsid w:val="0015580D"/>
    <w:rsid w:val="001558E1"/>
    <w:rsid w:val="001559A1"/>
    <w:rsid w:val="00155E59"/>
    <w:rsid w:val="00156FDA"/>
    <w:rsid w:val="00157281"/>
    <w:rsid w:val="0015752B"/>
    <w:rsid w:val="001576E1"/>
    <w:rsid w:val="0016089B"/>
    <w:rsid w:val="00160AB8"/>
    <w:rsid w:val="00160E8F"/>
    <w:rsid w:val="001613FE"/>
    <w:rsid w:val="0016161C"/>
    <w:rsid w:val="00161D45"/>
    <w:rsid w:val="001623C7"/>
    <w:rsid w:val="001629C3"/>
    <w:rsid w:val="00163551"/>
    <w:rsid w:val="001638B5"/>
    <w:rsid w:val="00164717"/>
    <w:rsid w:val="00164AF4"/>
    <w:rsid w:val="00165123"/>
    <w:rsid w:val="00167A65"/>
    <w:rsid w:val="00167D4F"/>
    <w:rsid w:val="001701D8"/>
    <w:rsid w:val="0017033B"/>
    <w:rsid w:val="001728CF"/>
    <w:rsid w:val="00172C04"/>
    <w:rsid w:val="00172E0D"/>
    <w:rsid w:val="00172FC4"/>
    <w:rsid w:val="00173738"/>
    <w:rsid w:val="00173DDD"/>
    <w:rsid w:val="00173EEE"/>
    <w:rsid w:val="00174D9D"/>
    <w:rsid w:val="001759BB"/>
    <w:rsid w:val="00176045"/>
    <w:rsid w:val="0017641D"/>
    <w:rsid w:val="00176427"/>
    <w:rsid w:val="001766B0"/>
    <w:rsid w:val="00176792"/>
    <w:rsid w:val="00176993"/>
    <w:rsid w:val="00177677"/>
    <w:rsid w:val="00177A4F"/>
    <w:rsid w:val="00177DD1"/>
    <w:rsid w:val="001802A3"/>
    <w:rsid w:val="00180F89"/>
    <w:rsid w:val="0018219E"/>
    <w:rsid w:val="00182456"/>
    <w:rsid w:val="001829E0"/>
    <w:rsid w:val="00182F8A"/>
    <w:rsid w:val="0018374D"/>
    <w:rsid w:val="00185082"/>
    <w:rsid w:val="00185CED"/>
    <w:rsid w:val="00185DBD"/>
    <w:rsid w:val="00186B93"/>
    <w:rsid w:val="00186C38"/>
    <w:rsid w:val="00186CE1"/>
    <w:rsid w:val="00187827"/>
    <w:rsid w:val="001879DC"/>
    <w:rsid w:val="00187B70"/>
    <w:rsid w:val="00187CCF"/>
    <w:rsid w:val="00187DC8"/>
    <w:rsid w:val="00190E08"/>
    <w:rsid w:val="0019145C"/>
    <w:rsid w:val="001914F4"/>
    <w:rsid w:val="0019217C"/>
    <w:rsid w:val="0019248E"/>
    <w:rsid w:val="0019293B"/>
    <w:rsid w:val="001931CC"/>
    <w:rsid w:val="001948BF"/>
    <w:rsid w:val="00194F9B"/>
    <w:rsid w:val="001956C5"/>
    <w:rsid w:val="001958C2"/>
    <w:rsid w:val="00195A8F"/>
    <w:rsid w:val="001966BD"/>
    <w:rsid w:val="00196E9F"/>
    <w:rsid w:val="001A0A20"/>
    <w:rsid w:val="001A279A"/>
    <w:rsid w:val="001A2946"/>
    <w:rsid w:val="001A41D8"/>
    <w:rsid w:val="001A4E79"/>
    <w:rsid w:val="001A5985"/>
    <w:rsid w:val="001A6F45"/>
    <w:rsid w:val="001A7698"/>
    <w:rsid w:val="001A7EC4"/>
    <w:rsid w:val="001B03A1"/>
    <w:rsid w:val="001B205E"/>
    <w:rsid w:val="001B2E8E"/>
    <w:rsid w:val="001B317F"/>
    <w:rsid w:val="001B4B65"/>
    <w:rsid w:val="001B4CA2"/>
    <w:rsid w:val="001B4DEB"/>
    <w:rsid w:val="001B5CDA"/>
    <w:rsid w:val="001B5E45"/>
    <w:rsid w:val="001B68BB"/>
    <w:rsid w:val="001B6A81"/>
    <w:rsid w:val="001B6AB9"/>
    <w:rsid w:val="001B6B9C"/>
    <w:rsid w:val="001B71EE"/>
    <w:rsid w:val="001B7D4A"/>
    <w:rsid w:val="001C08D7"/>
    <w:rsid w:val="001C0918"/>
    <w:rsid w:val="001C0BDC"/>
    <w:rsid w:val="001C18CF"/>
    <w:rsid w:val="001C1C8D"/>
    <w:rsid w:val="001C207A"/>
    <w:rsid w:val="001C219B"/>
    <w:rsid w:val="001C2398"/>
    <w:rsid w:val="001C23B7"/>
    <w:rsid w:val="001C3830"/>
    <w:rsid w:val="001C42F0"/>
    <w:rsid w:val="001C45F2"/>
    <w:rsid w:val="001C46D2"/>
    <w:rsid w:val="001C4B47"/>
    <w:rsid w:val="001C548F"/>
    <w:rsid w:val="001C6147"/>
    <w:rsid w:val="001C623D"/>
    <w:rsid w:val="001C6953"/>
    <w:rsid w:val="001C704F"/>
    <w:rsid w:val="001C72A1"/>
    <w:rsid w:val="001C74DB"/>
    <w:rsid w:val="001C77C4"/>
    <w:rsid w:val="001D0A77"/>
    <w:rsid w:val="001D0DA3"/>
    <w:rsid w:val="001D1098"/>
    <w:rsid w:val="001D16B5"/>
    <w:rsid w:val="001D183B"/>
    <w:rsid w:val="001D1BB5"/>
    <w:rsid w:val="001D1CB1"/>
    <w:rsid w:val="001D1DD0"/>
    <w:rsid w:val="001D3AD1"/>
    <w:rsid w:val="001D3D42"/>
    <w:rsid w:val="001D4729"/>
    <w:rsid w:val="001D5B19"/>
    <w:rsid w:val="001D6E83"/>
    <w:rsid w:val="001D702D"/>
    <w:rsid w:val="001D7921"/>
    <w:rsid w:val="001E0C2B"/>
    <w:rsid w:val="001E0D01"/>
    <w:rsid w:val="001E1444"/>
    <w:rsid w:val="001E1DC9"/>
    <w:rsid w:val="001E2931"/>
    <w:rsid w:val="001E2A71"/>
    <w:rsid w:val="001E3310"/>
    <w:rsid w:val="001E3BC8"/>
    <w:rsid w:val="001E482B"/>
    <w:rsid w:val="001E4846"/>
    <w:rsid w:val="001E4D23"/>
    <w:rsid w:val="001E4F40"/>
    <w:rsid w:val="001E54F5"/>
    <w:rsid w:val="001E608C"/>
    <w:rsid w:val="001E664F"/>
    <w:rsid w:val="001E6B5E"/>
    <w:rsid w:val="001E7DC3"/>
    <w:rsid w:val="001F0115"/>
    <w:rsid w:val="001F035A"/>
    <w:rsid w:val="001F0B67"/>
    <w:rsid w:val="001F0CC4"/>
    <w:rsid w:val="001F0CC9"/>
    <w:rsid w:val="001F0F62"/>
    <w:rsid w:val="001F2308"/>
    <w:rsid w:val="001F24BB"/>
    <w:rsid w:val="001F29CA"/>
    <w:rsid w:val="001F43B6"/>
    <w:rsid w:val="001F4C4B"/>
    <w:rsid w:val="001F57DE"/>
    <w:rsid w:val="001F6158"/>
    <w:rsid w:val="001F6501"/>
    <w:rsid w:val="001F677A"/>
    <w:rsid w:val="001F69A7"/>
    <w:rsid w:val="001F757D"/>
    <w:rsid w:val="001F7675"/>
    <w:rsid w:val="001F7974"/>
    <w:rsid w:val="001F798E"/>
    <w:rsid w:val="00200ACD"/>
    <w:rsid w:val="00200F8B"/>
    <w:rsid w:val="002018EF"/>
    <w:rsid w:val="00201EB0"/>
    <w:rsid w:val="002022F9"/>
    <w:rsid w:val="00202436"/>
    <w:rsid w:val="002024CF"/>
    <w:rsid w:val="00203422"/>
    <w:rsid w:val="0020370F"/>
    <w:rsid w:val="002038BE"/>
    <w:rsid w:val="00203C21"/>
    <w:rsid w:val="002040DC"/>
    <w:rsid w:val="00205831"/>
    <w:rsid w:val="00205862"/>
    <w:rsid w:val="00206304"/>
    <w:rsid w:val="00206E15"/>
    <w:rsid w:val="002109BE"/>
    <w:rsid w:val="002112EC"/>
    <w:rsid w:val="002126C1"/>
    <w:rsid w:val="0021348D"/>
    <w:rsid w:val="002137CF"/>
    <w:rsid w:val="00213C4A"/>
    <w:rsid w:val="0021437B"/>
    <w:rsid w:val="00214629"/>
    <w:rsid w:val="00214963"/>
    <w:rsid w:val="00214BA0"/>
    <w:rsid w:val="00216500"/>
    <w:rsid w:val="00216C0B"/>
    <w:rsid w:val="002174B4"/>
    <w:rsid w:val="00217658"/>
    <w:rsid w:val="00217693"/>
    <w:rsid w:val="00217763"/>
    <w:rsid w:val="00217886"/>
    <w:rsid w:val="00217DAD"/>
    <w:rsid w:val="002216BE"/>
    <w:rsid w:val="002218AE"/>
    <w:rsid w:val="00221FAC"/>
    <w:rsid w:val="002221A7"/>
    <w:rsid w:val="00222BAD"/>
    <w:rsid w:val="0022453A"/>
    <w:rsid w:val="0022459D"/>
    <w:rsid w:val="00224E0E"/>
    <w:rsid w:val="00225208"/>
    <w:rsid w:val="0022550E"/>
    <w:rsid w:val="00225642"/>
    <w:rsid w:val="00227086"/>
    <w:rsid w:val="00227FA6"/>
    <w:rsid w:val="0023058D"/>
    <w:rsid w:val="00230A97"/>
    <w:rsid w:val="00231D75"/>
    <w:rsid w:val="0023297A"/>
    <w:rsid w:val="00232B05"/>
    <w:rsid w:val="00232F38"/>
    <w:rsid w:val="002336E1"/>
    <w:rsid w:val="0023375A"/>
    <w:rsid w:val="00233BA8"/>
    <w:rsid w:val="00233BB2"/>
    <w:rsid w:val="00234A7C"/>
    <w:rsid w:val="002366EE"/>
    <w:rsid w:val="00236772"/>
    <w:rsid w:val="00237E36"/>
    <w:rsid w:val="00240E0D"/>
    <w:rsid w:val="0024140B"/>
    <w:rsid w:val="002414CD"/>
    <w:rsid w:val="0024165A"/>
    <w:rsid w:val="00241A56"/>
    <w:rsid w:val="002423FE"/>
    <w:rsid w:val="00244AEE"/>
    <w:rsid w:val="002451DC"/>
    <w:rsid w:val="002458B7"/>
    <w:rsid w:val="002469E4"/>
    <w:rsid w:val="00246FB9"/>
    <w:rsid w:val="00247446"/>
    <w:rsid w:val="0025073F"/>
    <w:rsid w:val="00251445"/>
    <w:rsid w:val="00251A38"/>
    <w:rsid w:val="0025320A"/>
    <w:rsid w:val="00253737"/>
    <w:rsid w:val="00253C79"/>
    <w:rsid w:val="0025480B"/>
    <w:rsid w:val="00254F28"/>
    <w:rsid w:val="00254FB3"/>
    <w:rsid w:val="00255421"/>
    <w:rsid w:val="0025578F"/>
    <w:rsid w:val="0025598F"/>
    <w:rsid w:val="00255D4C"/>
    <w:rsid w:val="00256169"/>
    <w:rsid w:val="002562FC"/>
    <w:rsid w:val="002563DD"/>
    <w:rsid w:val="0025663B"/>
    <w:rsid w:val="00256CE7"/>
    <w:rsid w:val="00256EA9"/>
    <w:rsid w:val="00257F98"/>
    <w:rsid w:val="00257FC0"/>
    <w:rsid w:val="00260CA5"/>
    <w:rsid w:val="00261A75"/>
    <w:rsid w:val="00261E36"/>
    <w:rsid w:val="00262FD4"/>
    <w:rsid w:val="002641D0"/>
    <w:rsid w:val="002642E7"/>
    <w:rsid w:val="00264879"/>
    <w:rsid w:val="002648E2"/>
    <w:rsid w:val="00264A3E"/>
    <w:rsid w:val="00264F5B"/>
    <w:rsid w:val="002655F5"/>
    <w:rsid w:val="0026708B"/>
    <w:rsid w:val="00270CB9"/>
    <w:rsid w:val="00271BE9"/>
    <w:rsid w:val="00271F2C"/>
    <w:rsid w:val="00272E75"/>
    <w:rsid w:val="00273087"/>
    <w:rsid w:val="00274057"/>
    <w:rsid w:val="002746A7"/>
    <w:rsid w:val="002753B0"/>
    <w:rsid w:val="00275A0C"/>
    <w:rsid w:val="00275EEA"/>
    <w:rsid w:val="0027637F"/>
    <w:rsid w:val="00276CD3"/>
    <w:rsid w:val="00276E38"/>
    <w:rsid w:val="0027716C"/>
    <w:rsid w:val="002816FD"/>
    <w:rsid w:val="00281A92"/>
    <w:rsid w:val="00282FAA"/>
    <w:rsid w:val="0028312D"/>
    <w:rsid w:val="00283BA5"/>
    <w:rsid w:val="00283E4B"/>
    <w:rsid w:val="0028447A"/>
    <w:rsid w:val="002848A0"/>
    <w:rsid w:val="00284BC9"/>
    <w:rsid w:val="00284D14"/>
    <w:rsid w:val="00285016"/>
    <w:rsid w:val="002856D5"/>
    <w:rsid w:val="00286215"/>
    <w:rsid w:val="00286954"/>
    <w:rsid w:val="00286A6C"/>
    <w:rsid w:val="00286F1C"/>
    <w:rsid w:val="002872E8"/>
    <w:rsid w:val="00290C7D"/>
    <w:rsid w:val="00290D58"/>
    <w:rsid w:val="00290E8C"/>
    <w:rsid w:val="00290F1C"/>
    <w:rsid w:val="002920AE"/>
    <w:rsid w:val="002923EA"/>
    <w:rsid w:val="002940AF"/>
    <w:rsid w:val="002950CA"/>
    <w:rsid w:val="00295A4C"/>
    <w:rsid w:val="00295C19"/>
    <w:rsid w:val="00296564"/>
    <w:rsid w:val="002966BC"/>
    <w:rsid w:val="002972E8"/>
    <w:rsid w:val="00297F23"/>
    <w:rsid w:val="002A0624"/>
    <w:rsid w:val="002A131E"/>
    <w:rsid w:val="002A17A1"/>
    <w:rsid w:val="002A2073"/>
    <w:rsid w:val="002A2178"/>
    <w:rsid w:val="002A25B7"/>
    <w:rsid w:val="002A27FC"/>
    <w:rsid w:val="002A2A87"/>
    <w:rsid w:val="002A2E31"/>
    <w:rsid w:val="002A339D"/>
    <w:rsid w:val="002A438C"/>
    <w:rsid w:val="002A4822"/>
    <w:rsid w:val="002A4DDC"/>
    <w:rsid w:val="002A5AF0"/>
    <w:rsid w:val="002A6545"/>
    <w:rsid w:val="002A6E41"/>
    <w:rsid w:val="002A7DDB"/>
    <w:rsid w:val="002B01C3"/>
    <w:rsid w:val="002B02F6"/>
    <w:rsid w:val="002B051D"/>
    <w:rsid w:val="002B0DA5"/>
    <w:rsid w:val="002B11E2"/>
    <w:rsid w:val="002B12A2"/>
    <w:rsid w:val="002B1547"/>
    <w:rsid w:val="002B32BD"/>
    <w:rsid w:val="002B3343"/>
    <w:rsid w:val="002B364E"/>
    <w:rsid w:val="002B394A"/>
    <w:rsid w:val="002B416C"/>
    <w:rsid w:val="002B4182"/>
    <w:rsid w:val="002B448C"/>
    <w:rsid w:val="002B5541"/>
    <w:rsid w:val="002B5615"/>
    <w:rsid w:val="002B5E81"/>
    <w:rsid w:val="002B6357"/>
    <w:rsid w:val="002B69D2"/>
    <w:rsid w:val="002B6C44"/>
    <w:rsid w:val="002B7035"/>
    <w:rsid w:val="002C0263"/>
    <w:rsid w:val="002C080E"/>
    <w:rsid w:val="002C0B6D"/>
    <w:rsid w:val="002C0E42"/>
    <w:rsid w:val="002C1ABA"/>
    <w:rsid w:val="002C2172"/>
    <w:rsid w:val="002C2C76"/>
    <w:rsid w:val="002C321C"/>
    <w:rsid w:val="002C36FE"/>
    <w:rsid w:val="002C3A6E"/>
    <w:rsid w:val="002C3FBE"/>
    <w:rsid w:val="002C404D"/>
    <w:rsid w:val="002C4C75"/>
    <w:rsid w:val="002C4FE7"/>
    <w:rsid w:val="002C5BBE"/>
    <w:rsid w:val="002C5FC8"/>
    <w:rsid w:val="002C5FF0"/>
    <w:rsid w:val="002C635B"/>
    <w:rsid w:val="002C6CF9"/>
    <w:rsid w:val="002C7515"/>
    <w:rsid w:val="002D0063"/>
    <w:rsid w:val="002D041A"/>
    <w:rsid w:val="002D0485"/>
    <w:rsid w:val="002D1306"/>
    <w:rsid w:val="002D14FB"/>
    <w:rsid w:val="002D1659"/>
    <w:rsid w:val="002D1A15"/>
    <w:rsid w:val="002D38D4"/>
    <w:rsid w:val="002D3978"/>
    <w:rsid w:val="002D3B49"/>
    <w:rsid w:val="002D3BC1"/>
    <w:rsid w:val="002D43A4"/>
    <w:rsid w:val="002D59DB"/>
    <w:rsid w:val="002D61FD"/>
    <w:rsid w:val="002D6677"/>
    <w:rsid w:val="002D6EA4"/>
    <w:rsid w:val="002E0422"/>
    <w:rsid w:val="002E1B08"/>
    <w:rsid w:val="002E2101"/>
    <w:rsid w:val="002E3027"/>
    <w:rsid w:val="002E30D1"/>
    <w:rsid w:val="002E33F6"/>
    <w:rsid w:val="002E4B4B"/>
    <w:rsid w:val="002E4D45"/>
    <w:rsid w:val="002E5123"/>
    <w:rsid w:val="002E5440"/>
    <w:rsid w:val="002E594C"/>
    <w:rsid w:val="002E74DF"/>
    <w:rsid w:val="002E766A"/>
    <w:rsid w:val="002E7680"/>
    <w:rsid w:val="002E7989"/>
    <w:rsid w:val="002F0304"/>
    <w:rsid w:val="002F1366"/>
    <w:rsid w:val="002F1430"/>
    <w:rsid w:val="002F2A41"/>
    <w:rsid w:val="002F348D"/>
    <w:rsid w:val="002F355F"/>
    <w:rsid w:val="002F3931"/>
    <w:rsid w:val="002F3FEA"/>
    <w:rsid w:val="002F42B7"/>
    <w:rsid w:val="002F485B"/>
    <w:rsid w:val="002F4CB8"/>
    <w:rsid w:val="002F4D54"/>
    <w:rsid w:val="002F4E0B"/>
    <w:rsid w:val="002F554E"/>
    <w:rsid w:val="002F5B7D"/>
    <w:rsid w:val="002F5E6F"/>
    <w:rsid w:val="002F7401"/>
    <w:rsid w:val="002F7495"/>
    <w:rsid w:val="002F77EF"/>
    <w:rsid w:val="00301878"/>
    <w:rsid w:val="0030280B"/>
    <w:rsid w:val="00303417"/>
    <w:rsid w:val="003064F9"/>
    <w:rsid w:val="00306AC6"/>
    <w:rsid w:val="00307153"/>
    <w:rsid w:val="00307406"/>
    <w:rsid w:val="00307B8D"/>
    <w:rsid w:val="003102D0"/>
    <w:rsid w:val="003120F0"/>
    <w:rsid w:val="003121FA"/>
    <w:rsid w:val="00312E78"/>
    <w:rsid w:val="0031371B"/>
    <w:rsid w:val="003146D1"/>
    <w:rsid w:val="00314999"/>
    <w:rsid w:val="00315200"/>
    <w:rsid w:val="00315315"/>
    <w:rsid w:val="00315320"/>
    <w:rsid w:val="00315C77"/>
    <w:rsid w:val="003167BE"/>
    <w:rsid w:val="003172B7"/>
    <w:rsid w:val="00320094"/>
    <w:rsid w:val="003203BF"/>
    <w:rsid w:val="003209C2"/>
    <w:rsid w:val="00320E86"/>
    <w:rsid w:val="00321744"/>
    <w:rsid w:val="00322172"/>
    <w:rsid w:val="003226FC"/>
    <w:rsid w:val="00322CEE"/>
    <w:rsid w:val="00323184"/>
    <w:rsid w:val="00323195"/>
    <w:rsid w:val="00323EB0"/>
    <w:rsid w:val="00324056"/>
    <w:rsid w:val="00324115"/>
    <w:rsid w:val="00324809"/>
    <w:rsid w:val="00324936"/>
    <w:rsid w:val="003250E0"/>
    <w:rsid w:val="00325629"/>
    <w:rsid w:val="00325755"/>
    <w:rsid w:val="00325D55"/>
    <w:rsid w:val="00325DD4"/>
    <w:rsid w:val="003265DD"/>
    <w:rsid w:val="003266C7"/>
    <w:rsid w:val="003269E9"/>
    <w:rsid w:val="00327B79"/>
    <w:rsid w:val="00327D25"/>
    <w:rsid w:val="00330058"/>
    <w:rsid w:val="003302E3"/>
    <w:rsid w:val="00330339"/>
    <w:rsid w:val="00331837"/>
    <w:rsid w:val="00333A95"/>
    <w:rsid w:val="0033432F"/>
    <w:rsid w:val="00334F9E"/>
    <w:rsid w:val="00334FFA"/>
    <w:rsid w:val="0033541F"/>
    <w:rsid w:val="00335AE3"/>
    <w:rsid w:val="00335D98"/>
    <w:rsid w:val="0033676B"/>
    <w:rsid w:val="00336D82"/>
    <w:rsid w:val="00336F93"/>
    <w:rsid w:val="00337D3E"/>
    <w:rsid w:val="003401CB"/>
    <w:rsid w:val="003403CF"/>
    <w:rsid w:val="00341242"/>
    <w:rsid w:val="003412CA"/>
    <w:rsid w:val="0034151E"/>
    <w:rsid w:val="00341B51"/>
    <w:rsid w:val="003439DD"/>
    <w:rsid w:val="00343B9C"/>
    <w:rsid w:val="00344F52"/>
    <w:rsid w:val="00345324"/>
    <w:rsid w:val="00346080"/>
    <w:rsid w:val="00346B5D"/>
    <w:rsid w:val="00346D23"/>
    <w:rsid w:val="003471D4"/>
    <w:rsid w:val="00347AE7"/>
    <w:rsid w:val="003510B3"/>
    <w:rsid w:val="0035136C"/>
    <w:rsid w:val="0035176A"/>
    <w:rsid w:val="00351771"/>
    <w:rsid w:val="00351EAC"/>
    <w:rsid w:val="003523E1"/>
    <w:rsid w:val="00353135"/>
    <w:rsid w:val="003539A1"/>
    <w:rsid w:val="00354B02"/>
    <w:rsid w:val="00355388"/>
    <w:rsid w:val="00355F07"/>
    <w:rsid w:val="00356827"/>
    <w:rsid w:val="00360352"/>
    <w:rsid w:val="003606C4"/>
    <w:rsid w:val="0036194B"/>
    <w:rsid w:val="00361DEB"/>
    <w:rsid w:val="00362C73"/>
    <w:rsid w:val="00362D1F"/>
    <w:rsid w:val="00362FDE"/>
    <w:rsid w:val="0036391A"/>
    <w:rsid w:val="00363EBA"/>
    <w:rsid w:val="0036442B"/>
    <w:rsid w:val="00364540"/>
    <w:rsid w:val="003648C8"/>
    <w:rsid w:val="00365CFE"/>
    <w:rsid w:val="0036612F"/>
    <w:rsid w:val="0036640E"/>
    <w:rsid w:val="003669F5"/>
    <w:rsid w:val="0036758A"/>
    <w:rsid w:val="003708FB"/>
    <w:rsid w:val="00371497"/>
    <w:rsid w:val="003718C3"/>
    <w:rsid w:val="00371D78"/>
    <w:rsid w:val="00371ECC"/>
    <w:rsid w:val="00372F07"/>
    <w:rsid w:val="00373225"/>
    <w:rsid w:val="003737FE"/>
    <w:rsid w:val="00373B1D"/>
    <w:rsid w:val="0037433D"/>
    <w:rsid w:val="00374892"/>
    <w:rsid w:val="00374F65"/>
    <w:rsid w:val="00375D57"/>
    <w:rsid w:val="003765C7"/>
    <w:rsid w:val="00376676"/>
    <w:rsid w:val="00377568"/>
    <w:rsid w:val="00377640"/>
    <w:rsid w:val="00377D88"/>
    <w:rsid w:val="003806B3"/>
    <w:rsid w:val="003812E4"/>
    <w:rsid w:val="00381A8A"/>
    <w:rsid w:val="00381FC7"/>
    <w:rsid w:val="003822C2"/>
    <w:rsid w:val="00383363"/>
    <w:rsid w:val="003835C0"/>
    <w:rsid w:val="0038406A"/>
    <w:rsid w:val="003843B9"/>
    <w:rsid w:val="00385036"/>
    <w:rsid w:val="0038518F"/>
    <w:rsid w:val="00385620"/>
    <w:rsid w:val="00385FB0"/>
    <w:rsid w:val="003871A1"/>
    <w:rsid w:val="00387258"/>
    <w:rsid w:val="003874FC"/>
    <w:rsid w:val="003878EE"/>
    <w:rsid w:val="00391A0E"/>
    <w:rsid w:val="00391B36"/>
    <w:rsid w:val="00391D4A"/>
    <w:rsid w:val="00392695"/>
    <w:rsid w:val="00392E74"/>
    <w:rsid w:val="0039405E"/>
    <w:rsid w:val="003953F2"/>
    <w:rsid w:val="00395E30"/>
    <w:rsid w:val="0039618B"/>
    <w:rsid w:val="00396F17"/>
    <w:rsid w:val="00397234"/>
    <w:rsid w:val="00397DBE"/>
    <w:rsid w:val="003A061B"/>
    <w:rsid w:val="003A3597"/>
    <w:rsid w:val="003A42FF"/>
    <w:rsid w:val="003A44E8"/>
    <w:rsid w:val="003A4BEC"/>
    <w:rsid w:val="003A53F2"/>
    <w:rsid w:val="003B0682"/>
    <w:rsid w:val="003B08C5"/>
    <w:rsid w:val="003B155D"/>
    <w:rsid w:val="003B40A1"/>
    <w:rsid w:val="003B486F"/>
    <w:rsid w:val="003B5779"/>
    <w:rsid w:val="003B58EE"/>
    <w:rsid w:val="003B5C31"/>
    <w:rsid w:val="003B5D94"/>
    <w:rsid w:val="003B612E"/>
    <w:rsid w:val="003B61D1"/>
    <w:rsid w:val="003B634B"/>
    <w:rsid w:val="003B69DA"/>
    <w:rsid w:val="003B747F"/>
    <w:rsid w:val="003B78D4"/>
    <w:rsid w:val="003B7A76"/>
    <w:rsid w:val="003B7DA6"/>
    <w:rsid w:val="003C0146"/>
    <w:rsid w:val="003C053A"/>
    <w:rsid w:val="003C0C6C"/>
    <w:rsid w:val="003C0F45"/>
    <w:rsid w:val="003C13BF"/>
    <w:rsid w:val="003C1B88"/>
    <w:rsid w:val="003C235F"/>
    <w:rsid w:val="003C28DE"/>
    <w:rsid w:val="003C5481"/>
    <w:rsid w:val="003C5AB4"/>
    <w:rsid w:val="003C5BFB"/>
    <w:rsid w:val="003C5FEB"/>
    <w:rsid w:val="003C6402"/>
    <w:rsid w:val="003C74A2"/>
    <w:rsid w:val="003C7822"/>
    <w:rsid w:val="003C7A7F"/>
    <w:rsid w:val="003D036E"/>
    <w:rsid w:val="003D0D05"/>
    <w:rsid w:val="003D1118"/>
    <w:rsid w:val="003D1616"/>
    <w:rsid w:val="003D1728"/>
    <w:rsid w:val="003D2196"/>
    <w:rsid w:val="003D356F"/>
    <w:rsid w:val="003D3DBE"/>
    <w:rsid w:val="003D459E"/>
    <w:rsid w:val="003D62EB"/>
    <w:rsid w:val="003E08B3"/>
    <w:rsid w:val="003E0A4C"/>
    <w:rsid w:val="003E1835"/>
    <w:rsid w:val="003E19CC"/>
    <w:rsid w:val="003E216A"/>
    <w:rsid w:val="003E313C"/>
    <w:rsid w:val="003E4564"/>
    <w:rsid w:val="003E4F52"/>
    <w:rsid w:val="003E5586"/>
    <w:rsid w:val="003E58BA"/>
    <w:rsid w:val="003E5E8E"/>
    <w:rsid w:val="003E6488"/>
    <w:rsid w:val="003F01FF"/>
    <w:rsid w:val="003F0B27"/>
    <w:rsid w:val="003F1741"/>
    <w:rsid w:val="003F28A3"/>
    <w:rsid w:val="003F2D0E"/>
    <w:rsid w:val="003F2E8E"/>
    <w:rsid w:val="003F3035"/>
    <w:rsid w:val="003F32D5"/>
    <w:rsid w:val="003F35F8"/>
    <w:rsid w:val="003F4DF3"/>
    <w:rsid w:val="003F5047"/>
    <w:rsid w:val="003F5AE8"/>
    <w:rsid w:val="003F60DD"/>
    <w:rsid w:val="003F76B8"/>
    <w:rsid w:val="003F79BA"/>
    <w:rsid w:val="00401336"/>
    <w:rsid w:val="00401413"/>
    <w:rsid w:val="00401C4C"/>
    <w:rsid w:val="00401C57"/>
    <w:rsid w:val="00402133"/>
    <w:rsid w:val="00402B16"/>
    <w:rsid w:val="00402EFD"/>
    <w:rsid w:val="004034BF"/>
    <w:rsid w:val="00403ABD"/>
    <w:rsid w:val="00404215"/>
    <w:rsid w:val="00404331"/>
    <w:rsid w:val="00404332"/>
    <w:rsid w:val="00404847"/>
    <w:rsid w:val="00404C3E"/>
    <w:rsid w:val="004056F8"/>
    <w:rsid w:val="0040582B"/>
    <w:rsid w:val="004058FA"/>
    <w:rsid w:val="00405A5C"/>
    <w:rsid w:val="00405CC2"/>
    <w:rsid w:val="00405CC3"/>
    <w:rsid w:val="004062D6"/>
    <w:rsid w:val="00406577"/>
    <w:rsid w:val="00406903"/>
    <w:rsid w:val="00406921"/>
    <w:rsid w:val="004071BF"/>
    <w:rsid w:val="004071FD"/>
    <w:rsid w:val="004078C9"/>
    <w:rsid w:val="00407BAE"/>
    <w:rsid w:val="00407CB5"/>
    <w:rsid w:val="00407DAF"/>
    <w:rsid w:val="00411AEF"/>
    <w:rsid w:val="004122A2"/>
    <w:rsid w:val="004131CA"/>
    <w:rsid w:val="004140E1"/>
    <w:rsid w:val="004144DE"/>
    <w:rsid w:val="00415322"/>
    <w:rsid w:val="00415681"/>
    <w:rsid w:val="00415F3F"/>
    <w:rsid w:val="00416112"/>
    <w:rsid w:val="004161B5"/>
    <w:rsid w:val="0041777C"/>
    <w:rsid w:val="00417794"/>
    <w:rsid w:val="00417A98"/>
    <w:rsid w:val="00417CA6"/>
    <w:rsid w:val="00420D52"/>
    <w:rsid w:val="00421159"/>
    <w:rsid w:val="004217D4"/>
    <w:rsid w:val="00421D0E"/>
    <w:rsid w:val="0042231A"/>
    <w:rsid w:val="00422460"/>
    <w:rsid w:val="00423A9B"/>
    <w:rsid w:val="00423DC3"/>
    <w:rsid w:val="00424951"/>
    <w:rsid w:val="00424B57"/>
    <w:rsid w:val="0042511E"/>
    <w:rsid w:val="00427173"/>
    <w:rsid w:val="00427485"/>
    <w:rsid w:val="00427863"/>
    <w:rsid w:val="00427DDE"/>
    <w:rsid w:val="00430367"/>
    <w:rsid w:val="0043140A"/>
    <w:rsid w:val="00432142"/>
    <w:rsid w:val="00433135"/>
    <w:rsid w:val="00433353"/>
    <w:rsid w:val="00433881"/>
    <w:rsid w:val="0043447B"/>
    <w:rsid w:val="0043467E"/>
    <w:rsid w:val="00434AC7"/>
    <w:rsid w:val="00435219"/>
    <w:rsid w:val="00436842"/>
    <w:rsid w:val="00437627"/>
    <w:rsid w:val="004407D5"/>
    <w:rsid w:val="0044143E"/>
    <w:rsid w:val="00441CE2"/>
    <w:rsid w:val="0044361A"/>
    <w:rsid w:val="004440E5"/>
    <w:rsid w:val="00444443"/>
    <w:rsid w:val="0044458A"/>
    <w:rsid w:val="0044498D"/>
    <w:rsid w:val="00444D19"/>
    <w:rsid w:val="0044620B"/>
    <w:rsid w:val="0044674F"/>
    <w:rsid w:val="0044698D"/>
    <w:rsid w:val="00446A09"/>
    <w:rsid w:val="00446B9C"/>
    <w:rsid w:val="0044742D"/>
    <w:rsid w:val="004475CC"/>
    <w:rsid w:val="00447669"/>
    <w:rsid w:val="00447862"/>
    <w:rsid w:val="004478CA"/>
    <w:rsid w:val="00447BC5"/>
    <w:rsid w:val="00447C5C"/>
    <w:rsid w:val="00447D55"/>
    <w:rsid w:val="00447FB9"/>
    <w:rsid w:val="00450FA9"/>
    <w:rsid w:val="0045287A"/>
    <w:rsid w:val="0045297E"/>
    <w:rsid w:val="00452C6E"/>
    <w:rsid w:val="004537D7"/>
    <w:rsid w:val="00453D52"/>
    <w:rsid w:val="004546E2"/>
    <w:rsid w:val="00454A23"/>
    <w:rsid w:val="0045525A"/>
    <w:rsid w:val="0045614C"/>
    <w:rsid w:val="00456845"/>
    <w:rsid w:val="00456D44"/>
    <w:rsid w:val="00457776"/>
    <w:rsid w:val="004578C8"/>
    <w:rsid w:val="00457C7A"/>
    <w:rsid w:val="00460698"/>
    <w:rsid w:val="00460F06"/>
    <w:rsid w:val="004610E0"/>
    <w:rsid w:val="00461B21"/>
    <w:rsid w:val="00461EB4"/>
    <w:rsid w:val="00462830"/>
    <w:rsid w:val="00462B49"/>
    <w:rsid w:val="004630FA"/>
    <w:rsid w:val="0046321C"/>
    <w:rsid w:val="00463A0C"/>
    <w:rsid w:val="00463C1B"/>
    <w:rsid w:val="00464544"/>
    <w:rsid w:val="0046479C"/>
    <w:rsid w:val="00465287"/>
    <w:rsid w:val="00465329"/>
    <w:rsid w:val="00466CDB"/>
    <w:rsid w:val="00466E13"/>
    <w:rsid w:val="004672DA"/>
    <w:rsid w:val="00467AC3"/>
    <w:rsid w:val="00470CA3"/>
    <w:rsid w:val="00470DEE"/>
    <w:rsid w:val="00470F6B"/>
    <w:rsid w:val="00470FEA"/>
    <w:rsid w:val="00471087"/>
    <w:rsid w:val="004723BE"/>
    <w:rsid w:val="0047266B"/>
    <w:rsid w:val="00473166"/>
    <w:rsid w:val="004735E3"/>
    <w:rsid w:val="00474120"/>
    <w:rsid w:val="004752E2"/>
    <w:rsid w:val="0047539D"/>
    <w:rsid w:val="00476130"/>
    <w:rsid w:val="00476713"/>
    <w:rsid w:val="0048025E"/>
    <w:rsid w:val="00481472"/>
    <w:rsid w:val="00481544"/>
    <w:rsid w:val="0048159E"/>
    <w:rsid w:val="004815C7"/>
    <w:rsid w:val="0048172E"/>
    <w:rsid w:val="00482201"/>
    <w:rsid w:val="00482A1C"/>
    <w:rsid w:val="00483901"/>
    <w:rsid w:val="00483B55"/>
    <w:rsid w:val="00484A6F"/>
    <w:rsid w:val="00484B7E"/>
    <w:rsid w:val="00484D1E"/>
    <w:rsid w:val="00484E64"/>
    <w:rsid w:val="004852D1"/>
    <w:rsid w:val="00485332"/>
    <w:rsid w:val="0048649D"/>
    <w:rsid w:val="00486E83"/>
    <w:rsid w:val="0048713D"/>
    <w:rsid w:val="004915DE"/>
    <w:rsid w:val="00491631"/>
    <w:rsid w:val="00492E59"/>
    <w:rsid w:val="004945D6"/>
    <w:rsid w:val="00494832"/>
    <w:rsid w:val="004955E1"/>
    <w:rsid w:val="00495B11"/>
    <w:rsid w:val="00496298"/>
    <w:rsid w:val="0049670D"/>
    <w:rsid w:val="00496B37"/>
    <w:rsid w:val="00496DD5"/>
    <w:rsid w:val="004979EE"/>
    <w:rsid w:val="00497AAD"/>
    <w:rsid w:val="00497CC8"/>
    <w:rsid w:val="004A06B0"/>
    <w:rsid w:val="004A2218"/>
    <w:rsid w:val="004A2F26"/>
    <w:rsid w:val="004A3371"/>
    <w:rsid w:val="004A34BE"/>
    <w:rsid w:val="004A3E83"/>
    <w:rsid w:val="004A4234"/>
    <w:rsid w:val="004A49C1"/>
    <w:rsid w:val="004A4C77"/>
    <w:rsid w:val="004A4CB4"/>
    <w:rsid w:val="004A4EBB"/>
    <w:rsid w:val="004A5E74"/>
    <w:rsid w:val="004A61A7"/>
    <w:rsid w:val="004A6A5F"/>
    <w:rsid w:val="004B00BF"/>
    <w:rsid w:val="004B0877"/>
    <w:rsid w:val="004B100B"/>
    <w:rsid w:val="004B1D71"/>
    <w:rsid w:val="004B264B"/>
    <w:rsid w:val="004B301E"/>
    <w:rsid w:val="004B47A3"/>
    <w:rsid w:val="004B5015"/>
    <w:rsid w:val="004B518C"/>
    <w:rsid w:val="004B5657"/>
    <w:rsid w:val="004B56E3"/>
    <w:rsid w:val="004B5C9D"/>
    <w:rsid w:val="004B63F6"/>
    <w:rsid w:val="004B75CC"/>
    <w:rsid w:val="004B772B"/>
    <w:rsid w:val="004B78A1"/>
    <w:rsid w:val="004B78FA"/>
    <w:rsid w:val="004C0786"/>
    <w:rsid w:val="004C09AB"/>
    <w:rsid w:val="004C1DA7"/>
    <w:rsid w:val="004C2A50"/>
    <w:rsid w:val="004C38A6"/>
    <w:rsid w:val="004C3D5A"/>
    <w:rsid w:val="004C3D87"/>
    <w:rsid w:val="004C3F38"/>
    <w:rsid w:val="004C521D"/>
    <w:rsid w:val="004C55A3"/>
    <w:rsid w:val="004C55DD"/>
    <w:rsid w:val="004C5B2B"/>
    <w:rsid w:val="004C5D9A"/>
    <w:rsid w:val="004C605E"/>
    <w:rsid w:val="004C63FC"/>
    <w:rsid w:val="004C675B"/>
    <w:rsid w:val="004C6881"/>
    <w:rsid w:val="004C6A19"/>
    <w:rsid w:val="004C6AEC"/>
    <w:rsid w:val="004C6CFA"/>
    <w:rsid w:val="004C6F3D"/>
    <w:rsid w:val="004C711D"/>
    <w:rsid w:val="004C74AB"/>
    <w:rsid w:val="004C7532"/>
    <w:rsid w:val="004C7858"/>
    <w:rsid w:val="004D0709"/>
    <w:rsid w:val="004D0D6F"/>
    <w:rsid w:val="004D1BCC"/>
    <w:rsid w:val="004D1FEA"/>
    <w:rsid w:val="004D25C0"/>
    <w:rsid w:val="004D3776"/>
    <w:rsid w:val="004D38B1"/>
    <w:rsid w:val="004D3B44"/>
    <w:rsid w:val="004D3C2C"/>
    <w:rsid w:val="004D4742"/>
    <w:rsid w:val="004D4F06"/>
    <w:rsid w:val="004D51D1"/>
    <w:rsid w:val="004D5C59"/>
    <w:rsid w:val="004D70EB"/>
    <w:rsid w:val="004D754D"/>
    <w:rsid w:val="004E0383"/>
    <w:rsid w:val="004E0B63"/>
    <w:rsid w:val="004E2AEC"/>
    <w:rsid w:val="004E2C57"/>
    <w:rsid w:val="004E2D8C"/>
    <w:rsid w:val="004E301C"/>
    <w:rsid w:val="004E33F3"/>
    <w:rsid w:val="004E3B9C"/>
    <w:rsid w:val="004E4338"/>
    <w:rsid w:val="004E4A4E"/>
    <w:rsid w:val="004E6451"/>
    <w:rsid w:val="004E65B5"/>
    <w:rsid w:val="004E6814"/>
    <w:rsid w:val="004E69F1"/>
    <w:rsid w:val="004E6F8C"/>
    <w:rsid w:val="004E7A64"/>
    <w:rsid w:val="004F0EE8"/>
    <w:rsid w:val="004F153B"/>
    <w:rsid w:val="004F1B3B"/>
    <w:rsid w:val="004F2C4A"/>
    <w:rsid w:val="004F2D45"/>
    <w:rsid w:val="004F3646"/>
    <w:rsid w:val="004F36CD"/>
    <w:rsid w:val="004F3C03"/>
    <w:rsid w:val="004F3C18"/>
    <w:rsid w:val="004F48AE"/>
    <w:rsid w:val="004F4CB4"/>
    <w:rsid w:val="004F4F26"/>
    <w:rsid w:val="004F50B8"/>
    <w:rsid w:val="004F5146"/>
    <w:rsid w:val="004F70F2"/>
    <w:rsid w:val="004F737F"/>
    <w:rsid w:val="004F7CC4"/>
    <w:rsid w:val="005015A7"/>
    <w:rsid w:val="00501AC6"/>
    <w:rsid w:val="00501B81"/>
    <w:rsid w:val="00501B88"/>
    <w:rsid w:val="00501D31"/>
    <w:rsid w:val="00502AFC"/>
    <w:rsid w:val="005037F1"/>
    <w:rsid w:val="0050491D"/>
    <w:rsid w:val="00504A5E"/>
    <w:rsid w:val="00504B61"/>
    <w:rsid w:val="00505733"/>
    <w:rsid w:val="00505C8F"/>
    <w:rsid w:val="005073CD"/>
    <w:rsid w:val="00507C5B"/>
    <w:rsid w:val="0051021A"/>
    <w:rsid w:val="00510A2F"/>
    <w:rsid w:val="0051137A"/>
    <w:rsid w:val="005118B4"/>
    <w:rsid w:val="00511B33"/>
    <w:rsid w:val="00511C65"/>
    <w:rsid w:val="00512645"/>
    <w:rsid w:val="00512717"/>
    <w:rsid w:val="00512A77"/>
    <w:rsid w:val="00512B8C"/>
    <w:rsid w:val="0051538E"/>
    <w:rsid w:val="00515ACA"/>
    <w:rsid w:val="00515B77"/>
    <w:rsid w:val="00515E0C"/>
    <w:rsid w:val="00516EBA"/>
    <w:rsid w:val="00517BCE"/>
    <w:rsid w:val="00517EC7"/>
    <w:rsid w:val="005213E6"/>
    <w:rsid w:val="00522168"/>
    <w:rsid w:val="00522953"/>
    <w:rsid w:val="00523DEA"/>
    <w:rsid w:val="00525112"/>
    <w:rsid w:val="005251E7"/>
    <w:rsid w:val="00525B5B"/>
    <w:rsid w:val="00525C3F"/>
    <w:rsid w:val="00525E28"/>
    <w:rsid w:val="00525F22"/>
    <w:rsid w:val="00525FD9"/>
    <w:rsid w:val="00526C4B"/>
    <w:rsid w:val="0052704A"/>
    <w:rsid w:val="00527ECE"/>
    <w:rsid w:val="005307AE"/>
    <w:rsid w:val="00530BD6"/>
    <w:rsid w:val="00530C79"/>
    <w:rsid w:val="00530EFA"/>
    <w:rsid w:val="00531FDA"/>
    <w:rsid w:val="005320F5"/>
    <w:rsid w:val="00532412"/>
    <w:rsid w:val="00533071"/>
    <w:rsid w:val="0053379B"/>
    <w:rsid w:val="00533DB4"/>
    <w:rsid w:val="00533DD3"/>
    <w:rsid w:val="00533E5C"/>
    <w:rsid w:val="0053456D"/>
    <w:rsid w:val="00534687"/>
    <w:rsid w:val="00534A1D"/>
    <w:rsid w:val="005364E7"/>
    <w:rsid w:val="005366B3"/>
    <w:rsid w:val="0053757E"/>
    <w:rsid w:val="00540BD3"/>
    <w:rsid w:val="00540EF2"/>
    <w:rsid w:val="0054168A"/>
    <w:rsid w:val="00541F5D"/>
    <w:rsid w:val="0054246F"/>
    <w:rsid w:val="00543369"/>
    <w:rsid w:val="00543A94"/>
    <w:rsid w:val="00544B60"/>
    <w:rsid w:val="00544E0D"/>
    <w:rsid w:val="005465A8"/>
    <w:rsid w:val="00546744"/>
    <w:rsid w:val="00546D74"/>
    <w:rsid w:val="00547076"/>
    <w:rsid w:val="005470E6"/>
    <w:rsid w:val="005472BB"/>
    <w:rsid w:val="005479B5"/>
    <w:rsid w:val="0055015E"/>
    <w:rsid w:val="00550FB6"/>
    <w:rsid w:val="00551C27"/>
    <w:rsid w:val="00553F3A"/>
    <w:rsid w:val="00553FA1"/>
    <w:rsid w:val="00555443"/>
    <w:rsid w:val="00555D98"/>
    <w:rsid w:val="005566CE"/>
    <w:rsid w:val="005572AC"/>
    <w:rsid w:val="005576B5"/>
    <w:rsid w:val="00560827"/>
    <w:rsid w:val="005610FE"/>
    <w:rsid w:val="005621FB"/>
    <w:rsid w:val="0056272A"/>
    <w:rsid w:val="0056298C"/>
    <w:rsid w:val="00563205"/>
    <w:rsid w:val="00563564"/>
    <w:rsid w:val="00563AE6"/>
    <w:rsid w:val="00564447"/>
    <w:rsid w:val="00564768"/>
    <w:rsid w:val="0056477D"/>
    <w:rsid w:val="00565125"/>
    <w:rsid w:val="00565316"/>
    <w:rsid w:val="00565862"/>
    <w:rsid w:val="00566735"/>
    <w:rsid w:val="00566A71"/>
    <w:rsid w:val="00566B77"/>
    <w:rsid w:val="005672B3"/>
    <w:rsid w:val="00570A0C"/>
    <w:rsid w:val="00570F42"/>
    <w:rsid w:val="0057239C"/>
    <w:rsid w:val="00572972"/>
    <w:rsid w:val="00572FDA"/>
    <w:rsid w:val="00573040"/>
    <w:rsid w:val="00573089"/>
    <w:rsid w:val="00573608"/>
    <w:rsid w:val="005742A4"/>
    <w:rsid w:val="00574657"/>
    <w:rsid w:val="00574C22"/>
    <w:rsid w:val="00575CB2"/>
    <w:rsid w:val="00575E2B"/>
    <w:rsid w:val="00576390"/>
    <w:rsid w:val="00576AB0"/>
    <w:rsid w:val="0057733D"/>
    <w:rsid w:val="0057786C"/>
    <w:rsid w:val="00577A0F"/>
    <w:rsid w:val="00577C27"/>
    <w:rsid w:val="005802AD"/>
    <w:rsid w:val="00580678"/>
    <w:rsid w:val="00582043"/>
    <w:rsid w:val="005826B8"/>
    <w:rsid w:val="00583131"/>
    <w:rsid w:val="005844C1"/>
    <w:rsid w:val="005845A2"/>
    <w:rsid w:val="0058557D"/>
    <w:rsid w:val="00585B12"/>
    <w:rsid w:val="00586690"/>
    <w:rsid w:val="00586B5E"/>
    <w:rsid w:val="00587022"/>
    <w:rsid w:val="005874EE"/>
    <w:rsid w:val="00587681"/>
    <w:rsid w:val="005902A9"/>
    <w:rsid w:val="00590766"/>
    <w:rsid w:val="00590830"/>
    <w:rsid w:val="00590CF9"/>
    <w:rsid w:val="00590F15"/>
    <w:rsid w:val="00591224"/>
    <w:rsid w:val="005913E2"/>
    <w:rsid w:val="00591C87"/>
    <w:rsid w:val="00591EB2"/>
    <w:rsid w:val="00592469"/>
    <w:rsid w:val="0059289B"/>
    <w:rsid w:val="005932ED"/>
    <w:rsid w:val="0059374F"/>
    <w:rsid w:val="00593BEE"/>
    <w:rsid w:val="00593D8B"/>
    <w:rsid w:val="005940A1"/>
    <w:rsid w:val="00595F0D"/>
    <w:rsid w:val="0059685D"/>
    <w:rsid w:val="005969B5"/>
    <w:rsid w:val="005A02C7"/>
    <w:rsid w:val="005A03A7"/>
    <w:rsid w:val="005A0405"/>
    <w:rsid w:val="005A0A81"/>
    <w:rsid w:val="005A0D57"/>
    <w:rsid w:val="005A13CE"/>
    <w:rsid w:val="005A1720"/>
    <w:rsid w:val="005A185C"/>
    <w:rsid w:val="005A1BD8"/>
    <w:rsid w:val="005A1CD9"/>
    <w:rsid w:val="005A2821"/>
    <w:rsid w:val="005A34DA"/>
    <w:rsid w:val="005A356A"/>
    <w:rsid w:val="005A3BC7"/>
    <w:rsid w:val="005A3F44"/>
    <w:rsid w:val="005A43F7"/>
    <w:rsid w:val="005A54A0"/>
    <w:rsid w:val="005A570E"/>
    <w:rsid w:val="005A5BB8"/>
    <w:rsid w:val="005A6079"/>
    <w:rsid w:val="005A6427"/>
    <w:rsid w:val="005A65DE"/>
    <w:rsid w:val="005A66C9"/>
    <w:rsid w:val="005A7203"/>
    <w:rsid w:val="005A796A"/>
    <w:rsid w:val="005A7F22"/>
    <w:rsid w:val="005B0E33"/>
    <w:rsid w:val="005B12BD"/>
    <w:rsid w:val="005B1CA2"/>
    <w:rsid w:val="005B2266"/>
    <w:rsid w:val="005B4EF3"/>
    <w:rsid w:val="005B5282"/>
    <w:rsid w:val="005B52DA"/>
    <w:rsid w:val="005B5340"/>
    <w:rsid w:val="005B5B41"/>
    <w:rsid w:val="005B5B5A"/>
    <w:rsid w:val="005B6E96"/>
    <w:rsid w:val="005C0F61"/>
    <w:rsid w:val="005C20F1"/>
    <w:rsid w:val="005C21D7"/>
    <w:rsid w:val="005C2567"/>
    <w:rsid w:val="005C2666"/>
    <w:rsid w:val="005C29DF"/>
    <w:rsid w:val="005C2E25"/>
    <w:rsid w:val="005C3CA0"/>
    <w:rsid w:val="005C3D4E"/>
    <w:rsid w:val="005C557F"/>
    <w:rsid w:val="005C5B1C"/>
    <w:rsid w:val="005C5D48"/>
    <w:rsid w:val="005C5ED5"/>
    <w:rsid w:val="005D0472"/>
    <w:rsid w:val="005D116C"/>
    <w:rsid w:val="005D182F"/>
    <w:rsid w:val="005D1AA8"/>
    <w:rsid w:val="005D22BB"/>
    <w:rsid w:val="005D2AB9"/>
    <w:rsid w:val="005D2ABF"/>
    <w:rsid w:val="005D2B0F"/>
    <w:rsid w:val="005D2C12"/>
    <w:rsid w:val="005D39E6"/>
    <w:rsid w:val="005D4465"/>
    <w:rsid w:val="005D4690"/>
    <w:rsid w:val="005D53CE"/>
    <w:rsid w:val="005D59D6"/>
    <w:rsid w:val="005D5BF6"/>
    <w:rsid w:val="005D620A"/>
    <w:rsid w:val="005D6B4A"/>
    <w:rsid w:val="005D6BAF"/>
    <w:rsid w:val="005E006F"/>
    <w:rsid w:val="005E011D"/>
    <w:rsid w:val="005E04ED"/>
    <w:rsid w:val="005E0677"/>
    <w:rsid w:val="005E19ED"/>
    <w:rsid w:val="005E1AE8"/>
    <w:rsid w:val="005E1FE1"/>
    <w:rsid w:val="005E24F9"/>
    <w:rsid w:val="005E2C9F"/>
    <w:rsid w:val="005E2CE2"/>
    <w:rsid w:val="005E37F7"/>
    <w:rsid w:val="005E3F17"/>
    <w:rsid w:val="005E47CD"/>
    <w:rsid w:val="005E4903"/>
    <w:rsid w:val="005E5145"/>
    <w:rsid w:val="005E565F"/>
    <w:rsid w:val="005E575B"/>
    <w:rsid w:val="005E5E3C"/>
    <w:rsid w:val="005E615B"/>
    <w:rsid w:val="005E6503"/>
    <w:rsid w:val="005E6A37"/>
    <w:rsid w:val="005E70BD"/>
    <w:rsid w:val="005E7394"/>
    <w:rsid w:val="005F1D00"/>
    <w:rsid w:val="005F1F3D"/>
    <w:rsid w:val="005F1FA4"/>
    <w:rsid w:val="005F215F"/>
    <w:rsid w:val="005F21D7"/>
    <w:rsid w:val="005F2573"/>
    <w:rsid w:val="005F28C4"/>
    <w:rsid w:val="005F313D"/>
    <w:rsid w:val="005F38F3"/>
    <w:rsid w:val="005F3919"/>
    <w:rsid w:val="005F4A2F"/>
    <w:rsid w:val="005F4EED"/>
    <w:rsid w:val="005F5302"/>
    <w:rsid w:val="005F56E3"/>
    <w:rsid w:val="005F5E73"/>
    <w:rsid w:val="005F64B6"/>
    <w:rsid w:val="005F6625"/>
    <w:rsid w:val="005F7362"/>
    <w:rsid w:val="005F7979"/>
    <w:rsid w:val="00600CD7"/>
    <w:rsid w:val="00601074"/>
    <w:rsid w:val="0060169D"/>
    <w:rsid w:val="006017A5"/>
    <w:rsid w:val="00601F4B"/>
    <w:rsid w:val="00603148"/>
    <w:rsid w:val="006032BB"/>
    <w:rsid w:val="00603FE5"/>
    <w:rsid w:val="00604B33"/>
    <w:rsid w:val="006058D0"/>
    <w:rsid w:val="0060652D"/>
    <w:rsid w:val="00606584"/>
    <w:rsid w:val="006069FB"/>
    <w:rsid w:val="00607464"/>
    <w:rsid w:val="0060749E"/>
    <w:rsid w:val="00607E81"/>
    <w:rsid w:val="00607E9E"/>
    <w:rsid w:val="00607F83"/>
    <w:rsid w:val="00610328"/>
    <w:rsid w:val="00610CF9"/>
    <w:rsid w:val="00611041"/>
    <w:rsid w:val="00611644"/>
    <w:rsid w:val="00611DBB"/>
    <w:rsid w:val="00612765"/>
    <w:rsid w:val="00612ECB"/>
    <w:rsid w:val="0061328C"/>
    <w:rsid w:val="00615AF7"/>
    <w:rsid w:val="00615B9D"/>
    <w:rsid w:val="006161D6"/>
    <w:rsid w:val="00616F59"/>
    <w:rsid w:val="0061718F"/>
    <w:rsid w:val="00617736"/>
    <w:rsid w:val="0061780F"/>
    <w:rsid w:val="006221E1"/>
    <w:rsid w:val="0062250B"/>
    <w:rsid w:val="0062252C"/>
    <w:rsid w:val="00622F13"/>
    <w:rsid w:val="00623A91"/>
    <w:rsid w:val="00623BAF"/>
    <w:rsid w:val="00623FBD"/>
    <w:rsid w:val="006244CF"/>
    <w:rsid w:val="00626173"/>
    <w:rsid w:val="006264DB"/>
    <w:rsid w:val="00626B7D"/>
    <w:rsid w:val="006272D6"/>
    <w:rsid w:val="0063046A"/>
    <w:rsid w:val="0063055A"/>
    <w:rsid w:val="00631D0F"/>
    <w:rsid w:val="0063320A"/>
    <w:rsid w:val="006335D0"/>
    <w:rsid w:val="0063368D"/>
    <w:rsid w:val="00633906"/>
    <w:rsid w:val="00633E31"/>
    <w:rsid w:val="00633FDF"/>
    <w:rsid w:val="0063460F"/>
    <w:rsid w:val="00634B73"/>
    <w:rsid w:val="00635DA6"/>
    <w:rsid w:val="006373F9"/>
    <w:rsid w:val="006375F0"/>
    <w:rsid w:val="00637EAF"/>
    <w:rsid w:val="00637EDD"/>
    <w:rsid w:val="006401C2"/>
    <w:rsid w:val="006407D8"/>
    <w:rsid w:val="006410C8"/>
    <w:rsid w:val="006414E3"/>
    <w:rsid w:val="006417CB"/>
    <w:rsid w:val="00641BB5"/>
    <w:rsid w:val="00641CFF"/>
    <w:rsid w:val="00641EE0"/>
    <w:rsid w:val="0064351D"/>
    <w:rsid w:val="00643F5E"/>
    <w:rsid w:val="00644F51"/>
    <w:rsid w:val="00645D88"/>
    <w:rsid w:val="0064618B"/>
    <w:rsid w:val="00647699"/>
    <w:rsid w:val="00647734"/>
    <w:rsid w:val="0064790D"/>
    <w:rsid w:val="00647988"/>
    <w:rsid w:val="0065023F"/>
    <w:rsid w:val="006503B7"/>
    <w:rsid w:val="00651145"/>
    <w:rsid w:val="006514FC"/>
    <w:rsid w:val="00651A6D"/>
    <w:rsid w:val="006524D7"/>
    <w:rsid w:val="006527C2"/>
    <w:rsid w:val="00653129"/>
    <w:rsid w:val="006532FF"/>
    <w:rsid w:val="00653453"/>
    <w:rsid w:val="00653A8E"/>
    <w:rsid w:val="00653B30"/>
    <w:rsid w:val="00653B4A"/>
    <w:rsid w:val="00653B56"/>
    <w:rsid w:val="00653C73"/>
    <w:rsid w:val="006546B0"/>
    <w:rsid w:val="006551B1"/>
    <w:rsid w:val="0065588B"/>
    <w:rsid w:val="00655A80"/>
    <w:rsid w:val="00655CB1"/>
    <w:rsid w:val="006603EB"/>
    <w:rsid w:val="00660639"/>
    <w:rsid w:val="00661C29"/>
    <w:rsid w:val="00661C68"/>
    <w:rsid w:val="00663232"/>
    <w:rsid w:val="0066334F"/>
    <w:rsid w:val="006635C2"/>
    <w:rsid w:val="00663C19"/>
    <w:rsid w:val="00663C92"/>
    <w:rsid w:val="0066444C"/>
    <w:rsid w:val="006644CD"/>
    <w:rsid w:val="00665688"/>
    <w:rsid w:val="00665AAD"/>
    <w:rsid w:val="0066673C"/>
    <w:rsid w:val="00667755"/>
    <w:rsid w:val="00667DA2"/>
    <w:rsid w:val="00670469"/>
    <w:rsid w:val="0067059E"/>
    <w:rsid w:val="0067080E"/>
    <w:rsid w:val="00670924"/>
    <w:rsid w:val="00671433"/>
    <w:rsid w:val="00671AE1"/>
    <w:rsid w:val="00671D52"/>
    <w:rsid w:val="00672B90"/>
    <w:rsid w:val="00672D47"/>
    <w:rsid w:val="00672F41"/>
    <w:rsid w:val="00674AA7"/>
    <w:rsid w:val="006753CC"/>
    <w:rsid w:val="00675964"/>
    <w:rsid w:val="00676102"/>
    <w:rsid w:val="0067667C"/>
    <w:rsid w:val="006770A6"/>
    <w:rsid w:val="0067723A"/>
    <w:rsid w:val="00677967"/>
    <w:rsid w:val="00680731"/>
    <w:rsid w:val="006809C8"/>
    <w:rsid w:val="00680DBC"/>
    <w:rsid w:val="00681286"/>
    <w:rsid w:val="0068180B"/>
    <w:rsid w:val="00681E80"/>
    <w:rsid w:val="006820CE"/>
    <w:rsid w:val="006820D6"/>
    <w:rsid w:val="0068221B"/>
    <w:rsid w:val="006831DB"/>
    <w:rsid w:val="00683813"/>
    <w:rsid w:val="00685121"/>
    <w:rsid w:val="0068583A"/>
    <w:rsid w:val="006858E5"/>
    <w:rsid w:val="00685A55"/>
    <w:rsid w:val="00685FF8"/>
    <w:rsid w:val="0068627D"/>
    <w:rsid w:val="00686D54"/>
    <w:rsid w:val="00686D9A"/>
    <w:rsid w:val="00687276"/>
    <w:rsid w:val="00687496"/>
    <w:rsid w:val="006875B5"/>
    <w:rsid w:val="00687D7B"/>
    <w:rsid w:val="00690FB9"/>
    <w:rsid w:val="006916E0"/>
    <w:rsid w:val="00691943"/>
    <w:rsid w:val="00691A6D"/>
    <w:rsid w:val="00691DCC"/>
    <w:rsid w:val="0069207C"/>
    <w:rsid w:val="0069243D"/>
    <w:rsid w:val="00693C89"/>
    <w:rsid w:val="00693FB2"/>
    <w:rsid w:val="00693FD3"/>
    <w:rsid w:val="00694035"/>
    <w:rsid w:val="00694BCF"/>
    <w:rsid w:val="006951ED"/>
    <w:rsid w:val="006953A1"/>
    <w:rsid w:val="006961E9"/>
    <w:rsid w:val="006965E6"/>
    <w:rsid w:val="00696BB2"/>
    <w:rsid w:val="00696DC4"/>
    <w:rsid w:val="006979CE"/>
    <w:rsid w:val="00697C08"/>
    <w:rsid w:val="006A0838"/>
    <w:rsid w:val="006A0DE3"/>
    <w:rsid w:val="006A10CD"/>
    <w:rsid w:val="006A139B"/>
    <w:rsid w:val="006A16FB"/>
    <w:rsid w:val="006A1BAF"/>
    <w:rsid w:val="006A1BD0"/>
    <w:rsid w:val="006A1BEA"/>
    <w:rsid w:val="006A35FC"/>
    <w:rsid w:val="006A409D"/>
    <w:rsid w:val="006A7E95"/>
    <w:rsid w:val="006B063D"/>
    <w:rsid w:val="006B0ED5"/>
    <w:rsid w:val="006B132B"/>
    <w:rsid w:val="006B1727"/>
    <w:rsid w:val="006B1E17"/>
    <w:rsid w:val="006B2811"/>
    <w:rsid w:val="006B29DF"/>
    <w:rsid w:val="006B6642"/>
    <w:rsid w:val="006B6838"/>
    <w:rsid w:val="006B717D"/>
    <w:rsid w:val="006B761C"/>
    <w:rsid w:val="006C13F6"/>
    <w:rsid w:val="006C1883"/>
    <w:rsid w:val="006C2E26"/>
    <w:rsid w:val="006C32CD"/>
    <w:rsid w:val="006C3CD7"/>
    <w:rsid w:val="006C419F"/>
    <w:rsid w:val="006C61F3"/>
    <w:rsid w:val="006C6935"/>
    <w:rsid w:val="006C729E"/>
    <w:rsid w:val="006D11EF"/>
    <w:rsid w:val="006D1CF4"/>
    <w:rsid w:val="006D29B3"/>
    <w:rsid w:val="006D3632"/>
    <w:rsid w:val="006D4341"/>
    <w:rsid w:val="006D4451"/>
    <w:rsid w:val="006D4591"/>
    <w:rsid w:val="006D5C3D"/>
    <w:rsid w:val="006D6722"/>
    <w:rsid w:val="006D6B57"/>
    <w:rsid w:val="006D725C"/>
    <w:rsid w:val="006D76F0"/>
    <w:rsid w:val="006E070A"/>
    <w:rsid w:val="006E09F9"/>
    <w:rsid w:val="006E10AB"/>
    <w:rsid w:val="006E15FE"/>
    <w:rsid w:val="006E1ADF"/>
    <w:rsid w:val="006E23EB"/>
    <w:rsid w:val="006E2A45"/>
    <w:rsid w:val="006E2AD6"/>
    <w:rsid w:val="006E2BAC"/>
    <w:rsid w:val="006E3B3F"/>
    <w:rsid w:val="006E5108"/>
    <w:rsid w:val="006E5650"/>
    <w:rsid w:val="006E63D1"/>
    <w:rsid w:val="006E64A0"/>
    <w:rsid w:val="006E71D3"/>
    <w:rsid w:val="006E73FE"/>
    <w:rsid w:val="006F041B"/>
    <w:rsid w:val="006F0816"/>
    <w:rsid w:val="006F1069"/>
    <w:rsid w:val="006F1997"/>
    <w:rsid w:val="006F1B91"/>
    <w:rsid w:val="006F2D61"/>
    <w:rsid w:val="006F352B"/>
    <w:rsid w:val="006F547C"/>
    <w:rsid w:val="006F66CE"/>
    <w:rsid w:val="006F66E9"/>
    <w:rsid w:val="006F6FC6"/>
    <w:rsid w:val="006F738D"/>
    <w:rsid w:val="006F794A"/>
    <w:rsid w:val="006F7A87"/>
    <w:rsid w:val="007000CD"/>
    <w:rsid w:val="00700366"/>
    <w:rsid w:val="007011AC"/>
    <w:rsid w:val="007012EF"/>
    <w:rsid w:val="0070148A"/>
    <w:rsid w:val="00701518"/>
    <w:rsid w:val="007019A6"/>
    <w:rsid w:val="00701BA3"/>
    <w:rsid w:val="00701C3F"/>
    <w:rsid w:val="00702063"/>
    <w:rsid w:val="00702631"/>
    <w:rsid w:val="0070385E"/>
    <w:rsid w:val="00704903"/>
    <w:rsid w:val="00705777"/>
    <w:rsid w:val="00706D52"/>
    <w:rsid w:val="00706DC1"/>
    <w:rsid w:val="00707013"/>
    <w:rsid w:val="007106B7"/>
    <w:rsid w:val="00711535"/>
    <w:rsid w:val="007124F2"/>
    <w:rsid w:val="0071320F"/>
    <w:rsid w:val="00713378"/>
    <w:rsid w:val="007135AF"/>
    <w:rsid w:val="00713616"/>
    <w:rsid w:val="00713E3B"/>
    <w:rsid w:val="00713F73"/>
    <w:rsid w:val="00714BF5"/>
    <w:rsid w:val="0071596B"/>
    <w:rsid w:val="00715C1F"/>
    <w:rsid w:val="007161F9"/>
    <w:rsid w:val="00716396"/>
    <w:rsid w:val="00716AC3"/>
    <w:rsid w:val="007200C0"/>
    <w:rsid w:val="007201C8"/>
    <w:rsid w:val="00720C89"/>
    <w:rsid w:val="00720F62"/>
    <w:rsid w:val="00721649"/>
    <w:rsid w:val="0072197B"/>
    <w:rsid w:val="00722F7C"/>
    <w:rsid w:val="007230BA"/>
    <w:rsid w:val="0072359C"/>
    <w:rsid w:val="0072409A"/>
    <w:rsid w:val="007241F8"/>
    <w:rsid w:val="007244E1"/>
    <w:rsid w:val="007246BD"/>
    <w:rsid w:val="007246DA"/>
    <w:rsid w:val="007249AF"/>
    <w:rsid w:val="00724B62"/>
    <w:rsid w:val="00724FA0"/>
    <w:rsid w:val="007252E4"/>
    <w:rsid w:val="00725726"/>
    <w:rsid w:val="00725759"/>
    <w:rsid w:val="00727948"/>
    <w:rsid w:val="00727B51"/>
    <w:rsid w:val="00727C22"/>
    <w:rsid w:val="007300FE"/>
    <w:rsid w:val="00730640"/>
    <w:rsid w:val="007315AF"/>
    <w:rsid w:val="0073186B"/>
    <w:rsid w:val="00731F74"/>
    <w:rsid w:val="0073207C"/>
    <w:rsid w:val="00732DF4"/>
    <w:rsid w:val="00732EDC"/>
    <w:rsid w:val="00732F53"/>
    <w:rsid w:val="007334F9"/>
    <w:rsid w:val="00733DCD"/>
    <w:rsid w:val="007340A5"/>
    <w:rsid w:val="007341F8"/>
    <w:rsid w:val="007342C5"/>
    <w:rsid w:val="0073515E"/>
    <w:rsid w:val="007358A3"/>
    <w:rsid w:val="00735C92"/>
    <w:rsid w:val="0073672D"/>
    <w:rsid w:val="00737101"/>
    <w:rsid w:val="007404F3"/>
    <w:rsid w:val="0074125A"/>
    <w:rsid w:val="00742577"/>
    <w:rsid w:val="00742799"/>
    <w:rsid w:val="007427FF"/>
    <w:rsid w:val="00743D73"/>
    <w:rsid w:val="00744A49"/>
    <w:rsid w:val="007453B9"/>
    <w:rsid w:val="007460E6"/>
    <w:rsid w:val="0074653B"/>
    <w:rsid w:val="00746A41"/>
    <w:rsid w:val="00747C80"/>
    <w:rsid w:val="00750211"/>
    <w:rsid w:val="00751147"/>
    <w:rsid w:val="00751878"/>
    <w:rsid w:val="00752A32"/>
    <w:rsid w:val="00752C50"/>
    <w:rsid w:val="00752CE0"/>
    <w:rsid w:val="00753C44"/>
    <w:rsid w:val="00754635"/>
    <w:rsid w:val="007564A2"/>
    <w:rsid w:val="00756BAC"/>
    <w:rsid w:val="00760AE8"/>
    <w:rsid w:val="00761E7D"/>
    <w:rsid w:val="00761F32"/>
    <w:rsid w:val="0076238B"/>
    <w:rsid w:val="0076274A"/>
    <w:rsid w:val="007628E9"/>
    <w:rsid w:val="00762F55"/>
    <w:rsid w:val="007640D7"/>
    <w:rsid w:val="00764471"/>
    <w:rsid w:val="007644F7"/>
    <w:rsid w:val="0076464E"/>
    <w:rsid w:val="0076490B"/>
    <w:rsid w:val="00764911"/>
    <w:rsid w:val="00764B0F"/>
    <w:rsid w:val="007653FE"/>
    <w:rsid w:val="007665EB"/>
    <w:rsid w:val="00766976"/>
    <w:rsid w:val="00766C51"/>
    <w:rsid w:val="00767635"/>
    <w:rsid w:val="007706D3"/>
    <w:rsid w:val="00770917"/>
    <w:rsid w:val="00770CCC"/>
    <w:rsid w:val="00772919"/>
    <w:rsid w:val="00772BAB"/>
    <w:rsid w:val="00773043"/>
    <w:rsid w:val="0077345B"/>
    <w:rsid w:val="00773B4C"/>
    <w:rsid w:val="00774371"/>
    <w:rsid w:val="00774BFE"/>
    <w:rsid w:val="00775461"/>
    <w:rsid w:val="0077558F"/>
    <w:rsid w:val="007768AF"/>
    <w:rsid w:val="00777028"/>
    <w:rsid w:val="007773A2"/>
    <w:rsid w:val="00777449"/>
    <w:rsid w:val="00777DE6"/>
    <w:rsid w:val="00780923"/>
    <w:rsid w:val="00781259"/>
    <w:rsid w:val="007817C3"/>
    <w:rsid w:val="00781AB2"/>
    <w:rsid w:val="00781E1E"/>
    <w:rsid w:val="00781E55"/>
    <w:rsid w:val="007830FC"/>
    <w:rsid w:val="007835B7"/>
    <w:rsid w:val="00783CD3"/>
    <w:rsid w:val="007843F3"/>
    <w:rsid w:val="00784D53"/>
    <w:rsid w:val="00785AC2"/>
    <w:rsid w:val="0078617B"/>
    <w:rsid w:val="0078775E"/>
    <w:rsid w:val="00787BD2"/>
    <w:rsid w:val="00790211"/>
    <w:rsid w:val="00790304"/>
    <w:rsid w:val="00790528"/>
    <w:rsid w:val="007910CF"/>
    <w:rsid w:val="00791CDB"/>
    <w:rsid w:val="00792AF8"/>
    <w:rsid w:val="00796005"/>
    <w:rsid w:val="00796210"/>
    <w:rsid w:val="00796FC1"/>
    <w:rsid w:val="007976AC"/>
    <w:rsid w:val="007A1C92"/>
    <w:rsid w:val="007A1FA8"/>
    <w:rsid w:val="007A37AF"/>
    <w:rsid w:val="007A3B68"/>
    <w:rsid w:val="007A4007"/>
    <w:rsid w:val="007A4144"/>
    <w:rsid w:val="007A4BCE"/>
    <w:rsid w:val="007A54CA"/>
    <w:rsid w:val="007A5746"/>
    <w:rsid w:val="007A58B3"/>
    <w:rsid w:val="007A6456"/>
    <w:rsid w:val="007A6F1C"/>
    <w:rsid w:val="007A6FB5"/>
    <w:rsid w:val="007A708B"/>
    <w:rsid w:val="007A79F6"/>
    <w:rsid w:val="007B0730"/>
    <w:rsid w:val="007B07FA"/>
    <w:rsid w:val="007B1865"/>
    <w:rsid w:val="007B2D4C"/>
    <w:rsid w:val="007B334B"/>
    <w:rsid w:val="007B3D44"/>
    <w:rsid w:val="007B483E"/>
    <w:rsid w:val="007B5B02"/>
    <w:rsid w:val="007B6812"/>
    <w:rsid w:val="007B685E"/>
    <w:rsid w:val="007B6A27"/>
    <w:rsid w:val="007B6E8C"/>
    <w:rsid w:val="007B74D6"/>
    <w:rsid w:val="007B7C27"/>
    <w:rsid w:val="007C0703"/>
    <w:rsid w:val="007C0783"/>
    <w:rsid w:val="007C0F47"/>
    <w:rsid w:val="007C0F83"/>
    <w:rsid w:val="007C1121"/>
    <w:rsid w:val="007C17F0"/>
    <w:rsid w:val="007C2E37"/>
    <w:rsid w:val="007C3DF1"/>
    <w:rsid w:val="007C41D0"/>
    <w:rsid w:val="007C47E8"/>
    <w:rsid w:val="007C54EC"/>
    <w:rsid w:val="007C684C"/>
    <w:rsid w:val="007C6BE4"/>
    <w:rsid w:val="007C6D36"/>
    <w:rsid w:val="007C7A41"/>
    <w:rsid w:val="007C7F29"/>
    <w:rsid w:val="007D05ED"/>
    <w:rsid w:val="007D0F27"/>
    <w:rsid w:val="007D0F98"/>
    <w:rsid w:val="007D159E"/>
    <w:rsid w:val="007D1C4E"/>
    <w:rsid w:val="007D2041"/>
    <w:rsid w:val="007D21FF"/>
    <w:rsid w:val="007D23C3"/>
    <w:rsid w:val="007D2DAF"/>
    <w:rsid w:val="007D2DFA"/>
    <w:rsid w:val="007D31B1"/>
    <w:rsid w:val="007D3F97"/>
    <w:rsid w:val="007D4A1F"/>
    <w:rsid w:val="007D4D02"/>
    <w:rsid w:val="007D55F7"/>
    <w:rsid w:val="007D5F92"/>
    <w:rsid w:val="007D6EDF"/>
    <w:rsid w:val="007E1866"/>
    <w:rsid w:val="007E199A"/>
    <w:rsid w:val="007E1F2A"/>
    <w:rsid w:val="007E2786"/>
    <w:rsid w:val="007E2895"/>
    <w:rsid w:val="007E29B6"/>
    <w:rsid w:val="007E2E41"/>
    <w:rsid w:val="007E3CDA"/>
    <w:rsid w:val="007E490C"/>
    <w:rsid w:val="007E558F"/>
    <w:rsid w:val="007E6029"/>
    <w:rsid w:val="007E60A2"/>
    <w:rsid w:val="007F152A"/>
    <w:rsid w:val="007F1806"/>
    <w:rsid w:val="007F1B15"/>
    <w:rsid w:val="007F1FB4"/>
    <w:rsid w:val="007F2153"/>
    <w:rsid w:val="007F22F1"/>
    <w:rsid w:val="007F242D"/>
    <w:rsid w:val="007F32B0"/>
    <w:rsid w:val="007F570D"/>
    <w:rsid w:val="007F698B"/>
    <w:rsid w:val="007F6CF0"/>
    <w:rsid w:val="007F7483"/>
    <w:rsid w:val="00801124"/>
    <w:rsid w:val="00802392"/>
    <w:rsid w:val="00802E05"/>
    <w:rsid w:val="00803103"/>
    <w:rsid w:val="0080361D"/>
    <w:rsid w:val="00803A47"/>
    <w:rsid w:val="00803FF3"/>
    <w:rsid w:val="008040D2"/>
    <w:rsid w:val="00804C8B"/>
    <w:rsid w:val="00804F0A"/>
    <w:rsid w:val="00805171"/>
    <w:rsid w:val="00807AA4"/>
    <w:rsid w:val="00810C3A"/>
    <w:rsid w:val="00813BA7"/>
    <w:rsid w:val="0081415C"/>
    <w:rsid w:val="00814341"/>
    <w:rsid w:val="008147ED"/>
    <w:rsid w:val="00814955"/>
    <w:rsid w:val="00814C4A"/>
    <w:rsid w:val="008160D3"/>
    <w:rsid w:val="00816CA0"/>
    <w:rsid w:val="00817AC0"/>
    <w:rsid w:val="0082073C"/>
    <w:rsid w:val="00820C21"/>
    <w:rsid w:val="00820CA9"/>
    <w:rsid w:val="00821D85"/>
    <w:rsid w:val="00822F4C"/>
    <w:rsid w:val="00823170"/>
    <w:rsid w:val="0082356A"/>
    <w:rsid w:val="0082493E"/>
    <w:rsid w:val="00824DBD"/>
    <w:rsid w:val="00825BFD"/>
    <w:rsid w:val="00826798"/>
    <w:rsid w:val="00826A04"/>
    <w:rsid w:val="00826ACF"/>
    <w:rsid w:val="00826F90"/>
    <w:rsid w:val="00827D4E"/>
    <w:rsid w:val="00827F97"/>
    <w:rsid w:val="008304E6"/>
    <w:rsid w:val="008307CB"/>
    <w:rsid w:val="00830F7A"/>
    <w:rsid w:val="00831144"/>
    <w:rsid w:val="00831EB2"/>
    <w:rsid w:val="008321AC"/>
    <w:rsid w:val="00833A00"/>
    <w:rsid w:val="00833EB6"/>
    <w:rsid w:val="008347AD"/>
    <w:rsid w:val="00836E24"/>
    <w:rsid w:val="00837468"/>
    <w:rsid w:val="008379F4"/>
    <w:rsid w:val="008411BF"/>
    <w:rsid w:val="0084195A"/>
    <w:rsid w:val="0084265F"/>
    <w:rsid w:val="00842943"/>
    <w:rsid w:val="0084476D"/>
    <w:rsid w:val="00845754"/>
    <w:rsid w:val="0084603B"/>
    <w:rsid w:val="00851BF6"/>
    <w:rsid w:val="00852C28"/>
    <w:rsid w:val="00853EC1"/>
    <w:rsid w:val="00854295"/>
    <w:rsid w:val="00855CA4"/>
    <w:rsid w:val="00857630"/>
    <w:rsid w:val="00857C47"/>
    <w:rsid w:val="00857DD9"/>
    <w:rsid w:val="00860315"/>
    <w:rsid w:val="00861388"/>
    <w:rsid w:val="00862045"/>
    <w:rsid w:val="00862310"/>
    <w:rsid w:val="00862B0A"/>
    <w:rsid w:val="00862B19"/>
    <w:rsid w:val="00862B9E"/>
    <w:rsid w:val="00863C32"/>
    <w:rsid w:val="00863CF9"/>
    <w:rsid w:val="00864967"/>
    <w:rsid w:val="00864B4F"/>
    <w:rsid w:val="008666BD"/>
    <w:rsid w:val="0086709B"/>
    <w:rsid w:val="00867283"/>
    <w:rsid w:val="008676F4"/>
    <w:rsid w:val="0086784F"/>
    <w:rsid w:val="00867A03"/>
    <w:rsid w:val="00867B39"/>
    <w:rsid w:val="0087020C"/>
    <w:rsid w:val="00870501"/>
    <w:rsid w:val="00870685"/>
    <w:rsid w:val="00870920"/>
    <w:rsid w:val="008710C1"/>
    <w:rsid w:val="008719CF"/>
    <w:rsid w:val="00871D20"/>
    <w:rsid w:val="0087231E"/>
    <w:rsid w:val="008730C6"/>
    <w:rsid w:val="00874044"/>
    <w:rsid w:val="0087417C"/>
    <w:rsid w:val="008743C0"/>
    <w:rsid w:val="00875167"/>
    <w:rsid w:val="008754BD"/>
    <w:rsid w:val="00875796"/>
    <w:rsid w:val="008764E8"/>
    <w:rsid w:val="008767A2"/>
    <w:rsid w:val="008767FA"/>
    <w:rsid w:val="008772E7"/>
    <w:rsid w:val="00877353"/>
    <w:rsid w:val="008778B4"/>
    <w:rsid w:val="0088055E"/>
    <w:rsid w:val="0088067F"/>
    <w:rsid w:val="00880779"/>
    <w:rsid w:val="008812E7"/>
    <w:rsid w:val="00881C55"/>
    <w:rsid w:val="00881DEB"/>
    <w:rsid w:val="008840DA"/>
    <w:rsid w:val="00884738"/>
    <w:rsid w:val="008849AD"/>
    <w:rsid w:val="00884BC8"/>
    <w:rsid w:val="00884DB7"/>
    <w:rsid w:val="00885708"/>
    <w:rsid w:val="00885730"/>
    <w:rsid w:val="00886087"/>
    <w:rsid w:val="008865C2"/>
    <w:rsid w:val="00886D8D"/>
    <w:rsid w:val="00886E71"/>
    <w:rsid w:val="00887162"/>
    <w:rsid w:val="00887273"/>
    <w:rsid w:val="0088774D"/>
    <w:rsid w:val="00887DE4"/>
    <w:rsid w:val="00890CDD"/>
    <w:rsid w:val="00891770"/>
    <w:rsid w:val="00891866"/>
    <w:rsid w:val="00891895"/>
    <w:rsid w:val="008919F8"/>
    <w:rsid w:val="008922DC"/>
    <w:rsid w:val="00893D72"/>
    <w:rsid w:val="00895069"/>
    <w:rsid w:val="0089582A"/>
    <w:rsid w:val="00895961"/>
    <w:rsid w:val="008960E5"/>
    <w:rsid w:val="00896D1F"/>
    <w:rsid w:val="00897126"/>
    <w:rsid w:val="00897240"/>
    <w:rsid w:val="00897926"/>
    <w:rsid w:val="00897E5B"/>
    <w:rsid w:val="008A04FE"/>
    <w:rsid w:val="008A0B60"/>
    <w:rsid w:val="008A0C95"/>
    <w:rsid w:val="008A15F8"/>
    <w:rsid w:val="008A23EA"/>
    <w:rsid w:val="008A25EA"/>
    <w:rsid w:val="008A3025"/>
    <w:rsid w:val="008A3125"/>
    <w:rsid w:val="008A3275"/>
    <w:rsid w:val="008A362D"/>
    <w:rsid w:val="008A3831"/>
    <w:rsid w:val="008A3928"/>
    <w:rsid w:val="008A3938"/>
    <w:rsid w:val="008A48F8"/>
    <w:rsid w:val="008A4B3B"/>
    <w:rsid w:val="008A4C78"/>
    <w:rsid w:val="008A4F0A"/>
    <w:rsid w:val="008A54E8"/>
    <w:rsid w:val="008A7149"/>
    <w:rsid w:val="008B008B"/>
    <w:rsid w:val="008B0923"/>
    <w:rsid w:val="008B19B8"/>
    <w:rsid w:val="008B2423"/>
    <w:rsid w:val="008B337E"/>
    <w:rsid w:val="008B3592"/>
    <w:rsid w:val="008B4CC2"/>
    <w:rsid w:val="008B4F32"/>
    <w:rsid w:val="008B51E7"/>
    <w:rsid w:val="008B5C98"/>
    <w:rsid w:val="008B6547"/>
    <w:rsid w:val="008B6DB0"/>
    <w:rsid w:val="008B79C0"/>
    <w:rsid w:val="008C0F11"/>
    <w:rsid w:val="008C10BF"/>
    <w:rsid w:val="008C1109"/>
    <w:rsid w:val="008C1F2F"/>
    <w:rsid w:val="008C2E52"/>
    <w:rsid w:val="008C3872"/>
    <w:rsid w:val="008C4074"/>
    <w:rsid w:val="008C481F"/>
    <w:rsid w:val="008C5297"/>
    <w:rsid w:val="008C5BBB"/>
    <w:rsid w:val="008C6527"/>
    <w:rsid w:val="008C6A64"/>
    <w:rsid w:val="008C6B08"/>
    <w:rsid w:val="008C700A"/>
    <w:rsid w:val="008C74B4"/>
    <w:rsid w:val="008C757C"/>
    <w:rsid w:val="008C78B3"/>
    <w:rsid w:val="008C7DF5"/>
    <w:rsid w:val="008D07AA"/>
    <w:rsid w:val="008D0868"/>
    <w:rsid w:val="008D0C79"/>
    <w:rsid w:val="008D13B3"/>
    <w:rsid w:val="008D1564"/>
    <w:rsid w:val="008D1C93"/>
    <w:rsid w:val="008D1C9B"/>
    <w:rsid w:val="008D22EB"/>
    <w:rsid w:val="008D2355"/>
    <w:rsid w:val="008D245A"/>
    <w:rsid w:val="008D2FEA"/>
    <w:rsid w:val="008D3CCC"/>
    <w:rsid w:val="008D3DF5"/>
    <w:rsid w:val="008D4A1B"/>
    <w:rsid w:val="008D74B1"/>
    <w:rsid w:val="008E070C"/>
    <w:rsid w:val="008E1652"/>
    <w:rsid w:val="008E1686"/>
    <w:rsid w:val="008E23CF"/>
    <w:rsid w:val="008E23F0"/>
    <w:rsid w:val="008E28BE"/>
    <w:rsid w:val="008E51A1"/>
    <w:rsid w:val="008E6199"/>
    <w:rsid w:val="008E6C81"/>
    <w:rsid w:val="008E7B23"/>
    <w:rsid w:val="008F0E13"/>
    <w:rsid w:val="008F1E70"/>
    <w:rsid w:val="008F332B"/>
    <w:rsid w:val="008F3C51"/>
    <w:rsid w:val="008F3C96"/>
    <w:rsid w:val="008F411E"/>
    <w:rsid w:val="008F4229"/>
    <w:rsid w:val="008F43E5"/>
    <w:rsid w:val="008F48B9"/>
    <w:rsid w:val="008F542E"/>
    <w:rsid w:val="008F5D44"/>
    <w:rsid w:val="008F5EAD"/>
    <w:rsid w:val="008F6308"/>
    <w:rsid w:val="008F6EB9"/>
    <w:rsid w:val="008F70ED"/>
    <w:rsid w:val="008F72FB"/>
    <w:rsid w:val="008F739B"/>
    <w:rsid w:val="008F7C8B"/>
    <w:rsid w:val="00900E67"/>
    <w:rsid w:val="00903044"/>
    <w:rsid w:val="009038FD"/>
    <w:rsid w:val="00903964"/>
    <w:rsid w:val="0090418C"/>
    <w:rsid w:val="009044C0"/>
    <w:rsid w:val="0090507F"/>
    <w:rsid w:val="009055D9"/>
    <w:rsid w:val="00906560"/>
    <w:rsid w:val="00906694"/>
    <w:rsid w:val="00906ED8"/>
    <w:rsid w:val="009072D3"/>
    <w:rsid w:val="00907370"/>
    <w:rsid w:val="00907402"/>
    <w:rsid w:val="00907566"/>
    <w:rsid w:val="009102EB"/>
    <w:rsid w:val="00910496"/>
    <w:rsid w:val="009110E2"/>
    <w:rsid w:val="009125C8"/>
    <w:rsid w:val="00912D57"/>
    <w:rsid w:val="0091312C"/>
    <w:rsid w:val="009144FE"/>
    <w:rsid w:val="00914811"/>
    <w:rsid w:val="00915F78"/>
    <w:rsid w:val="009177E3"/>
    <w:rsid w:val="0091793E"/>
    <w:rsid w:val="0091797C"/>
    <w:rsid w:val="00921246"/>
    <w:rsid w:val="009213D9"/>
    <w:rsid w:val="00921426"/>
    <w:rsid w:val="009222A6"/>
    <w:rsid w:val="00922C50"/>
    <w:rsid w:val="009242EA"/>
    <w:rsid w:val="00924A44"/>
    <w:rsid w:val="0092542C"/>
    <w:rsid w:val="00925579"/>
    <w:rsid w:val="00925B03"/>
    <w:rsid w:val="00925E41"/>
    <w:rsid w:val="0092618B"/>
    <w:rsid w:val="0092655C"/>
    <w:rsid w:val="00926F2F"/>
    <w:rsid w:val="00927406"/>
    <w:rsid w:val="009302F9"/>
    <w:rsid w:val="0093091B"/>
    <w:rsid w:val="00930BA3"/>
    <w:rsid w:val="009315FA"/>
    <w:rsid w:val="00931A79"/>
    <w:rsid w:val="0093286F"/>
    <w:rsid w:val="00932A21"/>
    <w:rsid w:val="00932C2E"/>
    <w:rsid w:val="0093386A"/>
    <w:rsid w:val="00933C1A"/>
    <w:rsid w:val="00933C50"/>
    <w:rsid w:val="00934D1D"/>
    <w:rsid w:val="00934D4E"/>
    <w:rsid w:val="00935A94"/>
    <w:rsid w:val="00935D74"/>
    <w:rsid w:val="009368AA"/>
    <w:rsid w:val="00937070"/>
    <w:rsid w:val="00937A03"/>
    <w:rsid w:val="00937BB7"/>
    <w:rsid w:val="00937FBB"/>
    <w:rsid w:val="00940951"/>
    <w:rsid w:val="0094099B"/>
    <w:rsid w:val="00941878"/>
    <w:rsid w:val="00941934"/>
    <w:rsid w:val="009422B1"/>
    <w:rsid w:val="00942551"/>
    <w:rsid w:val="00942FAD"/>
    <w:rsid w:val="00943163"/>
    <w:rsid w:val="00943334"/>
    <w:rsid w:val="009436AC"/>
    <w:rsid w:val="00946184"/>
    <w:rsid w:val="00946280"/>
    <w:rsid w:val="00946DAE"/>
    <w:rsid w:val="00946E16"/>
    <w:rsid w:val="00946E59"/>
    <w:rsid w:val="009470B0"/>
    <w:rsid w:val="00947347"/>
    <w:rsid w:val="00950742"/>
    <w:rsid w:val="00950953"/>
    <w:rsid w:val="00950DD2"/>
    <w:rsid w:val="009510B8"/>
    <w:rsid w:val="0095183C"/>
    <w:rsid w:val="00951870"/>
    <w:rsid w:val="00952340"/>
    <w:rsid w:val="00952E58"/>
    <w:rsid w:val="009530DB"/>
    <w:rsid w:val="0095364E"/>
    <w:rsid w:val="00953985"/>
    <w:rsid w:val="0095427F"/>
    <w:rsid w:val="00954327"/>
    <w:rsid w:val="009543DF"/>
    <w:rsid w:val="00954A96"/>
    <w:rsid w:val="00955176"/>
    <w:rsid w:val="009551AB"/>
    <w:rsid w:val="00955AC0"/>
    <w:rsid w:val="0095646C"/>
    <w:rsid w:val="00956719"/>
    <w:rsid w:val="00956BA3"/>
    <w:rsid w:val="00957266"/>
    <w:rsid w:val="00957A1B"/>
    <w:rsid w:val="00957B0C"/>
    <w:rsid w:val="009608D0"/>
    <w:rsid w:val="00960E41"/>
    <w:rsid w:val="00961649"/>
    <w:rsid w:val="009616B0"/>
    <w:rsid w:val="0096177C"/>
    <w:rsid w:val="00961BDB"/>
    <w:rsid w:val="00961CE9"/>
    <w:rsid w:val="009621C4"/>
    <w:rsid w:val="009626E3"/>
    <w:rsid w:val="00962871"/>
    <w:rsid w:val="00962EE6"/>
    <w:rsid w:val="0096422B"/>
    <w:rsid w:val="00965033"/>
    <w:rsid w:val="009655C3"/>
    <w:rsid w:val="0096648B"/>
    <w:rsid w:val="00966CE2"/>
    <w:rsid w:val="00966D38"/>
    <w:rsid w:val="009713BC"/>
    <w:rsid w:val="009720F7"/>
    <w:rsid w:val="009720FF"/>
    <w:rsid w:val="00972FBE"/>
    <w:rsid w:val="009735DB"/>
    <w:rsid w:val="00974025"/>
    <w:rsid w:val="009743B6"/>
    <w:rsid w:val="00974BEC"/>
    <w:rsid w:val="00974D68"/>
    <w:rsid w:val="00975B03"/>
    <w:rsid w:val="009761EF"/>
    <w:rsid w:val="00976A7F"/>
    <w:rsid w:val="00976BBC"/>
    <w:rsid w:val="009773CA"/>
    <w:rsid w:val="0097771B"/>
    <w:rsid w:val="009800DA"/>
    <w:rsid w:val="009810C7"/>
    <w:rsid w:val="009823AD"/>
    <w:rsid w:val="0098257C"/>
    <w:rsid w:val="00982B06"/>
    <w:rsid w:val="00984297"/>
    <w:rsid w:val="0098446F"/>
    <w:rsid w:val="00984AF9"/>
    <w:rsid w:val="0098503A"/>
    <w:rsid w:val="0098750C"/>
    <w:rsid w:val="00987E83"/>
    <w:rsid w:val="0099039A"/>
    <w:rsid w:val="00990533"/>
    <w:rsid w:val="0099099C"/>
    <w:rsid w:val="00991324"/>
    <w:rsid w:val="00991B8D"/>
    <w:rsid w:val="00991D4F"/>
    <w:rsid w:val="00991D63"/>
    <w:rsid w:val="00992777"/>
    <w:rsid w:val="009929C1"/>
    <w:rsid w:val="00992FF6"/>
    <w:rsid w:val="00993759"/>
    <w:rsid w:val="00993E6A"/>
    <w:rsid w:val="00994619"/>
    <w:rsid w:val="00995A12"/>
    <w:rsid w:val="00995B0B"/>
    <w:rsid w:val="009961E7"/>
    <w:rsid w:val="00996963"/>
    <w:rsid w:val="00996D98"/>
    <w:rsid w:val="009974BA"/>
    <w:rsid w:val="00997EEB"/>
    <w:rsid w:val="009A0036"/>
    <w:rsid w:val="009A0639"/>
    <w:rsid w:val="009A0E44"/>
    <w:rsid w:val="009A128E"/>
    <w:rsid w:val="009A1F09"/>
    <w:rsid w:val="009A297B"/>
    <w:rsid w:val="009A38ED"/>
    <w:rsid w:val="009A4CEF"/>
    <w:rsid w:val="009A5B90"/>
    <w:rsid w:val="009A6101"/>
    <w:rsid w:val="009B2135"/>
    <w:rsid w:val="009B3417"/>
    <w:rsid w:val="009B37D8"/>
    <w:rsid w:val="009B3B06"/>
    <w:rsid w:val="009B43D6"/>
    <w:rsid w:val="009B45DF"/>
    <w:rsid w:val="009B4CC1"/>
    <w:rsid w:val="009B50D3"/>
    <w:rsid w:val="009B55A3"/>
    <w:rsid w:val="009B5A4E"/>
    <w:rsid w:val="009B5F37"/>
    <w:rsid w:val="009B77C4"/>
    <w:rsid w:val="009B78E3"/>
    <w:rsid w:val="009C00D0"/>
    <w:rsid w:val="009C09BC"/>
    <w:rsid w:val="009C0A87"/>
    <w:rsid w:val="009C1DA7"/>
    <w:rsid w:val="009C20FA"/>
    <w:rsid w:val="009C246B"/>
    <w:rsid w:val="009C27C2"/>
    <w:rsid w:val="009C31FE"/>
    <w:rsid w:val="009C3EE5"/>
    <w:rsid w:val="009C4087"/>
    <w:rsid w:val="009C41BE"/>
    <w:rsid w:val="009C57D8"/>
    <w:rsid w:val="009C5BE0"/>
    <w:rsid w:val="009C6BF6"/>
    <w:rsid w:val="009C75EE"/>
    <w:rsid w:val="009C79E3"/>
    <w:rsid w:val="009C7C26"/>
    <w:rsid w:val="009D0236"/>
    <w:rsid w:val="009D07DD"/>
    <w:rsid w:val="009D178B"/>
    <w:rsid w:val="009D19DC"/>
    <w:rsid w:val="009D1CE1"/>
    <w:rsid w:val="009D1D3C"/>
    <w:rsid w:val="009D2084"/>
    <w:rsid w:val="009D21CB"/>
    <w:rsid w:val="009D28CB"/>
    <w:rsid w:val="009D390A"/>
    <w:rsid w:val="009D485F"/>
    <w:rsid w:val="009D4A31"/>
    <w:rsid w:val="009D4BDB"/>
    <w:rsid w:val="009D5787"/>
    <w:rsid w:val="009D6032"/>
    <w:rsid w:val="009D7CAB"/>
    <w:rsid w:val="009E0187"/>
    <w:rsid w:val="009E0856"/>
    <w:rsid w:val="009E0DC2"/>
    <w:rsid w:val="009E1025"/>
    <w:rsid w:val="009E1AAE"/>
    <w:rsid w:val="009E1F5A"/>
    <w:rsid w:val="009E23DE"/>
    <w:rsid w:val="009E2899"/>
    <w:rsid w:val="009E2A65"/>
    <w:rsid w:val="009E34D7"/>
    <w:rsid w:val="009E3F09"/>
    <w:rsid w:val="009E3F64"/>
    <w:rsid w:val="009E41C4"/>
    <w:rsid w:val="009E4584"/>
    <w:rsid w:val="009E45FF"/>
    <w:rsid w:val="009E56A7"/>
    <w:rsid w:val="009E5A45"/>
    <w:rsid w:val="009E5B3F"/>
    <w:rsid w:val="009E69F7"/>
    <w:rsid w:val="009E6D4F"/>
    <w:rsid w:val="009E7986"/>
    <w:rsid w:val="009E79B6"/>
    <w:rsid w:val="009F0901"/>
    <w:rsid w:val="009F094A"/>
    <w:rsid w:val="009F0C48"/>
    <w:rsid w:val="009F1157"/>
    <w:rsid w:val="009F1B58"/>
    <w:rsid w:val="009F1CA6"/>
    <w:rsid w:val="009F3492"/>
    <w:rsid w:val="009F43E0"/>
    <w:rsid w:val="009F46A6"/>
    <w:rsid w:val="009F5252"/>
    <w:rsid w:val="009F52E9"/>
    <w:rsid w:val="009F5680"/>
    <w:rsid w:val="009F5ED1"/>
    <w:rsid w:val="009F6C8B"/>
    <w:rsid w:val="009F6F44"/>
    <w:rsid w:val="00A00202"/>
    <w:rsid w:val="00A004F4"/>
    <w:rsid w:val="00A00817"/>
    <w:rsid w:val="00A018E5"/>
    <w:rsid w:val="00A02943"/>
    <w:rsid w:val="00A033F8"/>
    <w:rsid w:val="00A03973"/>
    <w:rsid w:val="00A03F2F"/>
    <w:rsid w:val="00A03FF5"/>
    <w:rsid w:val="00A0401F"/>
    <w:rsid w:val="00A04D16"/>
    <w:rsid w:val="00A050AD"/>
    <w:rsid w:val="00A066C6"/>
    <w:rsid w:val="00A06E17"/>
    <w:rsid w:val="00A06ED5"/>
    <w:rsid w:val="00A073F4"/>
    <w:rsid w:val="00A07621"/>
    <w:rsid w:val="00A07AE4"/>
    <w:rsid w:val="00A104D9"/>
    <w:rsid w:val="00A105B9"/>
    <w:rsid w:val="00A10AC9"/>
    <w:rsid w:val="00A117AE"/>
    <w:rsid w:val="00A11F4C"/>
    <w:rsid w:val="00A122E2"/>
    <w:rsid w:val="00A123CB"/>
    <w:rsid w:val="00A12883"/>
    <w:rsid w:val="00A12C24"/>
    <w:rsid w:val="00A13176"/>
    <w:rsid w:val="00A132A7"/>
    <w:rsid w:val="00A13812"/>
    <w:rsid w:val="00A13B2C"/>
    <w:rsid w:val="00A13E55"/>
    <w:rsid w:val="00A149D2"/>
    <w:rsid w:val="00A149E5"/>
    <w:rsid w:val="00A14CF7"/>
    <w:rsid w:val="00A14ED6"/>
    <w:rsid w:val="00A15853"/>
    <w:rsid w:val="00A15BC0"/>
    <w:rsid w:val="00A15D70"/>
    <w:rsid w:val="00A20079"/>
    <w:rsid w:val="00A21ADC"/>
    <w:rsid w:val="00A21D46"/>
    <w:rsid w:val="00A21FF7"/>
    <w:rsid w:val="00A22993"/>
    <w:rsid w:val="00A22A02"/>
    <w:rsid w:val="00A23289"/>
    <w:rsid w:val="00A23D5B"/>
    <w:rsid w:val="00A243B4"/>
    <w:rsid w:val="00A25425"/>
    <w:rsid w:val="00A255BC"/>
    <w:rsid w:val="00A25A06"/>
    <w:rsid w:val="00A25C4F"/>
    <w:rsid w:val="00A262E7"/>
    <w:rsid w:val="00A27894"/>
    <w:rsid w:val="00A27BE4"/>
    <w:rsid w:val="00A304B4"/>
    <w:rsid w:val="00A3084A"/>
    <w:rsid w:val="00A31028"/>
    <w:rsid w:val="00A310A8"/>
    <w:rsid w:val="00A324CB"/>
    <w:rsid w:val="00A32F7F"/>
    <w:rsid w:val="00A34010"/>
    <w:rsid w:val="00A34AB2"/>
    <w:rsid w:val="00A34E70"/>
    <w:rsid w:val="00A351FE"/>
    <w:rsid w:val="00A36148"/>
    <w:rsid w:val="00A3622B"/>
    <w:rsid w:val="00A3736D"/>
    <w:rsid w:val="00A37978"/>
    <w:rsid w:val="00A379C3"/>
    <w:rsid w:val="00A37F36"/>
    <w:rsid w:val="00A40070"/>
    <w:rsid w:val="00A40BE4"/>
    <w:rsid w:val="00A41330"/>
    <w:rsid w:val="00A4190C"/>
    <w:rsid w:val="00A41934"/>
    <w:rsid w:val="00A41DBF"/>
    <w:rsid w:val="00A4243B"/>
    <w:rsid w:val="00A42951"/>
    <w:rsid w:val="00A43216"/>
    <w:rsid w:val="00A435BF"/>
    <w:rsid w:val="00A43BA9"/>
    <w:rsid w:val="00A444C7"/>
    <w:rsid w:val="00A44570"/>
    <w:rsid w:val="00A44B5C"/>
    <w:rsid w:val="00A459C4"/>
    <w:rsid w:val="00A46496"/>
    <w:rsid w:val="00A467F1"/>
    <w:rsid w:val="00A46AC5"/>
    <w:rsid w:val="00A46F35"/>
    <w:rsid w:val="00A47501"/>
    <w:rsid w:val="00A478DC"/>
    <w:rsid w:val="00A47E7E"/>
    <w:rsid w:val="00A50389"/>
    <w:rsid w:val="00A50F13"/>
    <w:rsid w:val="00A51242"/>
    <w:rsid w:val="00A519BE"/>
    <w:rsid w:val="00A51EF4"/>
    <w:rsid w:val="00A52AB7"/>
    <w:rsid w:val="00A53D57"/>
    <w:rsid w:val="00A542D6"/>
    <w:rsid w:val="00A54ABE"/>
    <w:rsid w:val="00A54EE0"/>
    <w:rsid w:val="00A54FC4"/>
    <w:rsid w:val="00A55470"/>
    <w:rsid w:val="00A5562B"/>
    <w:rsid w:val="00A556D9"/>
    <w:rsid w:val="00A55E81"/>
    <w:rsid w:val="00A56180"/>
    <w:rsid w:val="00A566D4"/>
    <w:rsid w:val="00A56A4F"/>
    <w:rsid w:val="00A56C33"/>
    <w:rsid w:val="00A56C90"/>
    <w:rsid w:val="00A56C9C"/>
    <w:rsid w:val="00A57173"/>
    <w:rsid w:val="00A57533"/>
    <w:rsid w:val="00A57799"/>
    <w:rsid w:val="00A60006"/>
    <w:rsid w:val="00A60AA4"/>
    <w:rsid w:val="00A60D31"/>
    <w:rsid w:val="00A62C99"/>
    <w:rsid w:val="00A64036"/>
    <w:rsid w:val="00A657FE"/>
    <w:rsid w:val="00A65B6E"/>
    <w:rsid w:val="00A65DAC"/>
    <w:rsid w:val="00A66270"/>
    <w:rsid w:val="00A6653C"/>
    <w:rsid w:val="00A675AD"/>
    <w:rsid w:val="00A67DE2"/>
    <w:rsid w:val="00A70F6D"/>
    <w:rsid w:val="00A71164"/>
    <w:rsid w:val="00A7140A"/>
    <w:rsid w:val="00A7150C"/>
    <w:rsid w:val="00A71680"/>
    <w:rsid w:val="00A716F4"/>
    <w:rsid w:val="00A71BB5"/>
    <w:rsid w:val="00A721AC"/>
    <w:rsid w:val="00A723F5"/>
    <w:rsid w:val="00A737F6"/>
    <w:rsid w:val="00A73D4D"/>
    <w:rsid w:val="00A74A35"/>
    <w:rsid w:val="00A7572C"/>
    <w:rsid w:val="00A75F71"/>
    <w:rsid w:val="00A76687"/>
    <w:rsid w:val="00A76B4E"/>
    <w:rsid w:val="00A770B3"/>
    <w:rsid w:val="00A779E4"/>
    <w:rsid w:val="00A8069F"/>
    <w:rsid w:val="00A807EB"/>
    <w:rsid w:val="00A82A65"/>
    <w:rsid w:val="00A82C06"/>
    <w:rsid w:val="00A82E36"/>
    <w:rsid w:val="00A83621"/>
    <w:rsid w:val="00A85285"/>
    <w:rsid w:val="00A85509"/>
    <w:rsid w:val="00A86075"/>
    <w:rsid w:val="00A86942"/>
    <w:rsid w:val="00A86D64"/>
    <w:rsid w:val="00A87A60"/>
    <w:rsid w:val="00A87F71"/>
    <w:rsid w:val="00A90323"/>
    <w:rsid w:val="00A9050E"/>
    <w:rsid w:val="00A910EC"/>
    <w:rsid w:val="00A919D4"/>
    <w:rsid w:val="00A92A73"/>
    <w:rsid w:val="00A93CCF"/>
    <w:rsid w:val="00A93D0A"/>
    <w:rsid w:val="00A95CB5"/>
    <w:rsid w:val="00A9668D"/>
    <w:rsid w:val="00A96CF6"/>
    <w:rsid w:val="00A976C1"/>
    <w:rsid w:val="00A978CA"/>
    <w:rsid w:val="00A97C37"/>
    <w:rsid w:val="00AA0509"/>
    <w:rsid w:val="00AA095F"/>
    <w:rsid w:val="00AA0CD3"/>
    <w:rsid w:val="00AA10D3"/>
    <w:rsid w:val="00AA1E55"/>
    <w:rsid w:val="00AA241D"/>
    <w:rsid w:val="00AA3E10"/>
    <w:rsid w:val="00AA42C2"/>
    <w:rsid w:val="00AA46AA"/>
    <w:rsid w:val="00AA47A8"/>
    <w:rsid w:val="00AA48FB"/>
    <w:rsid w:val="00AA4E68"/>
    <w:rsid w:val="00AA5A67"/>
    <w:rsid w:val="00AA5C9C"/>
    <w:rsid w:val="00AA6272"/>
    <w:rsid w:val="00AA6A1B"/>
    <w:rsid w:val="00AA7529"/>
    <w:rsid w:val="00AB0283"/>
    <w:rsid w:val="00AB0BA2"/>
    <w:rsid w:val="00AB0DD3"/>
    <w:rsid w:val="00AB19A7"/>
    <w:rsid w:val="00AB27EB"/>
    <w:rsid w:val="00AB28C0"/>
    <w:rsid w:val="00AB380A"/>
    <w:rsid w:val="00AB4F22"/>
    <w:rsid w:val="00AB5AA5"/>
    <w:rsid w:val="00AB6BFE"/>
    <w:rsid w:val="00AB7EAC"/>
    <w:rsid w:val="00AC0542"/>
    <w:rsid w:val="00AC1E47"/>
    <w:rsid w:val="00AC281A"/>
    <w:rsid w:val="00AC2D36"/>
    <w:rsid w:val="00AC2E5D"/>
    <w:rsid w:val="00AC3341"/>
    <w:rsid w:val="00AC3E09"/>
    <w:rsid w:val="00AC433C"/>
    <w:rsid w:val="00AC4EBC"/>
    <w:rsid w:val="00AC5181"/>
    <w:rsid w:val="00AC5B56"/>
    <w:rsid w:val="00AC6222"/>
    <w:rsid w:val="00AC645A"/>
    <w:rsid w:val="00AC7779"/>
    <w:rsid w:val="00AC7942"/>
    <w:rsid w:val="00AD0943"/>
    <w:rsid w:val="00AD094F"/>
    <w:rsid w:val="00AD2C73"/>
    <w:rsid w:val="00AD384D"/>
    <w:rsid w:val="00AD3BDB"/>
    <w:rsid w:val="00AD46DE"/>
    <w:rsid w:val="00AD64B8"/>
    <w:rsid w:val="00AD6634"/>
    <w:rsid w:val="00AD7048"/>
    <w:rsid w:val="00AD76C2"/>
    <w:rsid w:val="00AD77F1"/>
    <w:rsid w:val="00AD7DCC"/>
    <w:rsid w:val="00AD7DCD"/>
    <w:rsid w:val="00AE05D4"/>
    <w:rsid w:val="00AE1129"/>
    <w:rsid w:val="00AE202A"/>
    <w:rsid w:val="00AE2135"/>
    <w:rsid w:val="00AE268E"/>
    <w:rsid w:val="00AE41C5"/>
    <w:rsid w:val="00AE4398"/>
    <w:rsid w:val="00AE4892"/>
    <w:rsid w:val="00AE56DC"/>
    <w:rsid w:val="00AE5A2F"/>
    <w:rsid w:val="00AE74B0"/>
    <w:rsid w:val="00AF05FF"/>
    <w:rsid w:val="00AF0911"/>
    <w:rsid w:val="00AF11A9"/>
    <w:rsid w:val="00AF21B4"/>
    <w:rsid w:val="00AF2729"/>
    <w:rsid w:val="00AF28F2"/>
    <w:rsid w:val="00AF3AB6"/>
    <w:rsid w:val="00AF3B13"/>
    <w:rsid w:val="00AF4036"/>
    <w:rsid w:val="00AF538F"/>
    <w:rsid w:val="00AF74EA"/>
    <w:rsid w:val="00B00123"/>
    <w:rsid w:val="00B01433"/>
    <w:rsid w:val="00B0193D"/>
    <w:rsid w:val="00B019C5"/>
    <w:rsid w:val="00B020AC"/>
    <w:rsid w:val="00B02140"/>
    <w:rsid w:val="00B02259"/>
    <w:rsid w:val="00B0279C"/>
    <w:rsid w:val="00B02880"/>
    <w:rsid w:val="00B032E7"/>
    <w:rsid w:val="00B033E0"/>
    <w:rsid w:val="00B03A43"/>
    <w:rsid w:val="00B0407C"/>
    <w:rsid w:val="00B04187"/>
    <w:rsid w:val="00B04930"/>
    <w:rsid w:val="00B04F97"/>
    <w:rsid w:val="00B0527A"/>
    <w:rsid w:val="00B05431"/>
    <w:rsid w:val="00B057CF"/>
    <w:rsid w:val="00B0580A"/>
    <w:rsid w:val="00B05E3A"/>
    <w:rsid w:val="00B061A0"/>
    <w:rsid w:val="00B06969"/>
    <w:rsid w:val="00B072AE"/>
    <w:rsid w:val="00B075D9"/>
    <w:rsid w:val="00B07D51"/>
    <w:rsid w:val="00B10439"/>
    <w:rsid w:val="00B10648"/>
    <w:rsid w:val="00B10DC7"/>
    <w:rsid w:val="00B11098"/>
    <w:rsid w:val="00B11776"/>
    <w:rsid w:val="00B12736"/>
    <w:rsid w:val="00B12B91"/>
    <w:rsid w:val="00B12EF6"/>
    <w:rsid w:val="00B133D5"/>
    <w:rsid w:val="00B137FD"/>
    <w:rsid w:val="00B13CF4"/>
    <w:rsid w:val="00B15415"/>
    <w:rsid w:val="00B15CF7"/>
    <w:rsid w:val="00B17EC4"/>
    <w:rsid w:val="00B20817"/>
    <w:rsid w:val="00B20C4C"/>
    <w:rsid w:val="00B20C80"/>
    <w:rsid w:val="00B20E86"/>
    <w:rsid w:val="00B20EDE"/>
    <w:rsid w:val="00B2107A"/>
    <w:rsid w:val="00B21585"/>
    <w:rsid w:val="00B217FA"/>
    <w:rsid w:val="00B21BF1"/>
    <w:rsid w:val="00B2316A"/>
    <w:rsid w:val="00B233DA"/>
    <w:rsid w:val="00B23438"/>
    <w:rsid w:val="00B23AE5"/>
    <w:rsid w:val="00B240CE"/>
    <w:rsid w:val="00B24931"/>
    <w:rsid w:val="00B25687"/>
    <w:rsid w:val="00B25BF5"/>
    <w:rsid w:val="00B25EE3"/>
    <w:rsid w:val="00B263B6"/>
    <w:rsid w:val="00B26868"/>
    <w:rsid w:val="00B271C4"/>
    <w:rsid w:val="00B30187"/>
    <w:rsid w:val="00B30AFA"/>
    <w:rsid w:val="00B31B61"/>
    <w:rsid w:val="00B31F20"/>
    <w:rsid w:val="00B32976"/>
    <w:rsid w:val="00B32F81"/>
    <w:rsid w:val="00B32FA6"/>
    <w:rsid w:val="00B33EE6"/>
    <w:rsid w:val="00B34E8A"/>
    <w:rsid w:val="00B35582"/>
    <w:rsid w:val="00B35A4A"/>
    <w:rsid w:val="00B35B31"/>
    <w:rsid w:val="00B35E21"/>
    <w:rsid w:val="00B3713B"/>
    <w:rsid w:val="00B371A2"/>
    <w:rsid w:val="00B40081"/>
    <w:rsid w:val="00B4068A"/>
    <w:rsid w:val="00B40E48"/>
    <w:rsid w:val="00B419D5"/>
    <w:rsid w:val="00B42786"/>
    <w:rsid w:val="00B42E45"/>
    <w:rsid w:val="00B42F09"/>
    <w:rsid w:val="00B43386"/>
    <w:rsid w:val="00B43546"/>
    <w:rsid w:val="00B435C3"/>
    <w:rsid w:val="00B43C98"/>
    <w:rsid w:val="00B443B3"/>
    <w:rsid w:val="00B4457E"/>
    <w:rsid w:val="00B45168"/>
    <w:rsid w:val="00B45392"/>
    <w:rsid w:val="00B46018"/>
    <w:rsid w:val="00B4621E"/>
    <w:rsid w:val="00B46349"/>
    <w:rsid w:val="00B469FD"/>
    <w:rsid w:val="00B46EFB"/>
    <w:rsid w:val="00B478EE"/>
    <w:rsid w:val="00B47E15"/>
    <w:rsid w:val="00B5033C"/>
    <w:rsid w:val="00B5060D"/>
    <w:rsid w:val="00B50CF2"/>
    <w:rsid w:val="00B5232E"/>
    <w:rsid w:val="00B5369E"/>
    <w:rsid w:val="00B53CF6"/>
    <w:rsid w:val="00B53EDA"/>
    <w:rsid w:val="00B543BC"/>
    <w:rsid w:val="00B54CAE"/>
    <w:rsid w:val="00B554BD"/>
    <w:rsid w:val="00B5728E"/>
    <w:rsid w:val="00B57726"/>
    <w:rsid w:val="00B57B33"/>
    <w:rsid w:val="00B57FCF"/>
    <w:rsid w:val="00B600BD"/>
    <w:rsid w:val="00B6088A"/>
    <w:rsid w:val="00B6152E"/>
    <w:rsid w:val="00B615C8"/>
    <w:rsid w:val="00B624AB"/>
    <w:rsid w:val="00B62BBB"/>
    <w:rsid w:val="00B62E71"/>
    <w:rsid w:val="00B633F2"/>
    <w:rsid w:val="00B63B41"/>
    <w:rsid w:val="00B64484"/>
    <w:rsid w:val="00B6485F"/>
    <w:rsid w:val="00B651EF"/>
    <w:rsid w:val="00B652EB"/>
    <w:rsid w:val="00B65517"/>
    <w:rsid w:val="00B65A23"/>
    <w:rsid w:val="00B65C50"/>
    <w:rsid w:val="00B662F5"/>
    <w:rsid w:val="00B66B7A"/>
    <w:rsid w:val="00B67263"/>
    <w:rsid w:val="00B676B0"/>
    <w:rsid w:val="00B67E13"/>
    <w:rsid w:val="00B70A6B"/>
    <w:rsid w:val="00B70F40"/>
    <w:rsid w:val="00B710A1"/>
    <w:rsid w:val="00B71F65"/>
    <w:rsid w:val="00B72924"/>
    <w:rsid w:val="00B73465"/>
    <w:rsid w:val="00B738C1"/>
    <w:rsid w:val="00B74AA6"/>
    <w:rsid w:val="00B7558A"/>
    <w:rsid w:val="00B76956"/>
    <w:rsid w:val="00B77C69"/>
    <w:rsid w:val="00B8158E"/>
    <w:rsid w:val="00B81E38"/>
    <w:rsid w:val="00B829D4"/>
    <w:rsid w:val="00B82E4B"/>
    <w:rsid w:val="00B842DA"/>
    <w:rsid w:val="00B848ED"/>
    <w:rsid w:val="00B84D7B"/>
    <w:rsid w:val="00B856C3"/>
    <w:rsid w:val="00B85C05"/>
    <w:rsid w:val="00B85F29"/>
    <w:rsid w:val="00B86A38"/>
    <w:rsid w:val="00B86C59"/>
    <w:rsid w:val="00B86D2E"/>
    <w:rsid w:val="00B8798D"/>
    <w:rsid w:val="00B87A2F"/>
    <w:rsid w:val="00B911B3"/>
    <w:rsid w:val="00B92520"/>
    <w:rsid w:val="00B92D7F"/>
    <w:rsid w:val="00B93959"/>
    <w:rsid w:val="00B93C8E"/>
    <w:rsid w:val="00B946FB"/>
    <w:rsid w:val="00B946FF"/>
    <w:rsid w:val="00B95AF0"/>
    <w:rsid w:val="00B9675A"/>
    <w:rsid w:val="00B9684B"/>
    <w:rsid w:val="00B970CA"/>
    <w:rsid w:val="00B9790D"/>
    <w:rsid w:val="00B97F4A"/>
    <w:rsid w:val="00BA10FC"/>
    <w:rsid w:val="00BA1270"/>
    <w:rsid w:val="00BA16A2"/>
    <w:rsid w:val="00BA1A6E"/>
    <w:rsid w:val="00BA297A"/>
    <w:rsid w:val="00BA30E4"/>
    <w:rsid w:val="00BA3288"/>
    <w:rsid w:val="00BA4909"/>
    <w:rsid w:val="00BA51BC"/>
    <w:rsid w:val="00BB196B"/>
    <w:rsid w:val="00BB30AC"/>
    <w:rsid w:val="00BB37C2"/>
    <w:rsid w:val="00BB4C0C"/>
    <w:rsid w:val="00BB4C82"/>
    <w:rsid w:val="00BB5B3B"/>
    <w:rsid w:val="00BB5CC6"/>
    <w:rsid w:val="00BB6A9D"/>
    <w:rsid w:val="00BC06A3"/>
    <w:rsid w:val="00BC0F51"/>
    <w:rsid w:val="00BC1123"/>
    <w:rsid w:val="00BC1975"/>
    <w:rsid w:val="00BC339B"/>
    <w:rsid w:val="00BC3D35"/>
    <w:rsid w:val="00BC411E"/>
    <w:rsid w:val="00BC468E"/>
    <w:rsid w:val="00BC5625"/>
    <w:rsid w:val="00BC6593"/>
    <w:rsid w:val="00BC71E8"/>
    <w:rsid w:val="00BC7416"/>
    <w:rsid w:val="00BC7674"/>
    <w:rsid w:val="00BC7F8C"/>
    <w:rsid w:val="00BD0047"/>
    <w:rsid w:val="00BD011D"/>
    <w:rsid w:val="00BD02A7"/>
    <w:rsid w:val="00BD0564"/>
    <w:rsid w:val="00BD05B0"/>
    <w:rsid w:val="00BD05F0"/>
    <w:rsid w:val="00BD0C9E"/>
    <w:rsid w:val="00BD1538"/>
    <w:rsid w:val="00BD1B3D"/>
    <w:rsid w:val="00BD2CDA"/>
    <w:rsid w:val="00BD3F31"/>
    <w:rsid w:val="00BD4036"/>
    <w:rsid w:val="00BD5171"/>
    <w:rsid w:val="00BD5F10"/>
    <w:rsid w:val="00BD67E3"/>
    <w:rsid w:val="00BD6DCB"/>
    <w:rsid w:val="00BD737A"/>
    <w:rsid w:val="00BD7A5E"/>
    <w:rsid w:val="00BD7BD0"/>
    <w:rsid w:val="00BE115E"/>
    <w:rsid w:val="00BE12FB"/>
    <w:rsid w:val="00BE15CF"/>
    <w:rsid w:val="00BE2700"/>
    <w:rsid w:val="00BE2D9F"/>
    <w:rsid w:val="00BE3256"/>
    <w:rsid w:val="00BE3470"/>
    <w:rsid w:val="00BE40F0"/>
    <w:rsid w:val="00BE4802"/>
    <w:rsid w:val="00BE52DA"/>
    <w:rsid w:val="00BE5BB0"/>
    <w:rsid w:val="00BE66BC"/>
    <w:rsid w:val="00BE714F"/>
    <w:rsid w:val="00BE7236"/>
    <w:rsid w:val="00BE7753"/>
    <w:rsid w:val="00BF139D"/>
    <w:rsid w:val="00BF2341"/>
    <w:rsid w:val="00BF2AD0"/>
    <w:rsid w:val="00BF323A"/>
    <w:rsid w:val="00BF373B"/>
    <w:rsid w:val="00BF3C8F"/>
    <w:rsid w:val="00BF46F8"/>
    <w:rsid w:val="00BF4917"/>
    <w:rsid w:val="00BF4A24"/>
    <w:rsid w:val="00BF4AA5"/>
    <w:rsid w:val="00BF54C4"/>
    <w:rsid w:val="00BF60AD"/>
    <w:rsid w:val="00BF6D15"/>
    <w:rsid w:val="00BF6F22"/>
    <w:rsid w:val="00BF7991"/>
    <w:rsid w:val="00C002C1"/>
    <w:rsid w:val="00C007F3"/>
    <w:rsid w:val="00C0086D"/>
    <w:rsid w:val="00C01004"/>
    <w:rsid w:val="00C01601"/>
    <w:rsid w:val="00C01FD8"/>
    <w:rsid w:val="00C0328F"/>
    <w:rsid w:val="00C03465"/>
    <w:rsid w:val="00C045FA"/>
    <w:rsid w:val="00C04E9D"/>
    <w:rsid w:val="00C066C1"/>
    <w:rsid w:val="00C06C4A"/>
    <w:rsid w:val="00C0713D"/>
    <w:rsid w:val="00C07313"/>
    <w:rsid w:val="00C07576"/>
    <w:rsid w:val="00C10075"/>
    <w:rsid w:val="00C103E0"/>
    <w:rsid w:val="00C109E6"/>
    <w:rsid w:val="00C1106C"/>
    <w:rsid w:val="00C11376"/>
    <w:rsid w:val="00C12FF4"/>
    <w:rsid w:val="00C13143"/>
    <w:rsid w:val="00C13560"/>
    <w:rsid w:val="00C1376C"/>
    <w:rsid w:val="00C13A18"/>
    <w:rsid w:val="00C13C82"/>
    <w:rsid w:val="00C15165"/>
    <w:rsid w:val="00C15659"/>
    <w:rsid w:val="00C1657A"/>
    <w:rsid w:val="00C17C13"/>
    <w:rsid w:val="00C17C6D"/>
    <w:rsid w:val="00C2003B"/>
    <w:rsid w:val="00C20618"/>
    <w:rsid w:val="00C2169E"/>
    <w:rsid w:val="00C21785"/>
    <w:rsid w:val="00C22FF9"/>
    <w:rsid w:val="00C24257"/>
    <w:rsid w:val="00C24269"/>
    <w:rsid w:val="00C244F6"/>
    <w:rsid w:val="00C24803"/>
    <w:rsid w:val="00C24B6A"/>
    <w:rsid w:val="00C253BE"/>
    <w:rsid w:val="00C255F8"/>
    <w:rsid w:val="00C2580E"/>
    <w:rsid w:val="00C259EB"/>
    <w:rsid w:val="00C26C75"/>
    <w:rsid w:val="00C27BFD"/>
    <w:rsid w:val="00C31D6D"/>
    <w:rsid w:val="00C32985"/>
    <w:rsid w:val="00C32CC5"/>
    <w:rsid w:val="00C32ED3"/>
    <w:rsid w:val="00C33092"/>
    <w:rsid w:val="00C3397C"/>
    <w:rsid w:val="00C346B1"/>
    <w:rsid w:val="00C34AAD"/>
    <w:rsid w:val="00C34D63"/>
    <w:rsid w:val="00C34F26"/>
    <w:rsid w:val="00C35241"/>
    <w:rsid w:val="00C35972"/>
    <w:rsid w:val="00C362F9"/>
    <w:rsid w:val="00C3676A"/>
    <w:rsid w:val="00C3724A"/>
    <w:rsid w:val="00C40631"/>
    <w:rsid w:val="00C40E7B"/>
    <w:rsid w:val="00C41258"/>
    <w:rsid w:val="00C415F4"/>
    <w:rsid w:val="00C436CB"/>
    <w:rsid w:val="00C43FC3"/>
    <w:rsid w:val="00C449EA"/>
    <w:rsid w:val="00C44D97"/>
    <w:rsid w:val="00C44FC0"/>
    <w:rsid w:val="00C45FCE"/>
    <w:rsid w:val="00C46229"/>
    <w:rsid w:val="00C47212"/>
    <w:rsid w:val="00C4728A"/>
    <w:rsid w:val="00C50456"/>
    <w:rsid w:val="00C5085A"/>
    <w:rsid w:val="00C50996"/>
    <w:rsid w:val="00C513ED"/>
    <w:rsid w:val="00C51674"/>
    <w:rsid w:val="00C518A4"/>
    <w:rsid w:val="00C51A43"/>
    <w:rsid w:val="00C51C63"/>
    <w:rsid w:val="00C523CC"/>
    <w:rsid w:val="00C527C0"/>
    <w:rsid w:val="00C52B5D"/>
    <w:rsid w:val="00C53A09"/>
    <w:rsid w:val="00C54411"/>
    <w:rsid w:val="00C5591A"/>
    <w:rsid w:val="00C5601C"/>
    <w:rsid w:val="00C564E0"/>
    <w:rsid w:val="00C57D03"/>
    <w:rsid w:val="00C57FF4"/>
    <w:rsid w:val="00C602F8"/>
    <w:rsid w:val="00C606D5"/>
    <w:rsid w:val="00C60B3C"/>
    <w:rsid w:val="00C60FA1"/>
    <w:rsid w:val="00C61BF7"/>
    <w:rsid w:val="00C61C35"/>
    <w:rsid w:val="00C6249A"/>
    <w:rsid w:val="00C628C1"/>
    <w:rsid w:val="00C62C38"/>
    <w:rsid w:val="00C62E19"/>
    <w:rsid w:val="00C636C9"/>
    <w:rsid w:val="00C6379A"/>
    <w:rsid w:val="00C6381C"/>
    <w:rsid w:val="00C6429C"/>
    <w:rsid w:val="00C644D5"/>
    <w:rsid w:val="00C652E6"/>
    <w:rsid w:val="00C652F4"/>
    <w:rsid w:val="00C65CD0"/>
    <w:rsid w:val="00C66272"/>
    <w:rsid w:val="00C6781D"/>
    <w:rsid w:val="00C67DBC"/>
    <w:rsid w:val="00C67E02"/>
    <w:rsid w:val="00C701B6"/>
    <w:rsid w:val="00C717EB"/>
    <w:rsid w:val="00C718CE"/>
    <w:rsid w:val="00C71D9F"/>
    <w:rsid w:val="00C71DF6"/>
    <w:rsid w:val="00C728A5"/>
    <w:rsid w:val="00C732BC"/>
    <w:rsid w:val="00C73A0E"/>
    <w:rsid w:val="00C748B8"/>
    <w:rsid w:val="00C74A2B"/>
    <w:rsid w:val="00C753DE"/>
    <w:rsid w:val="00C7715B"/>
    <w:rsid w:val="00C77FFA"/>
    <w:rsid w:val="00C8157F"/>
    <w:rsid w:val="00C82121"/>
    <w:rsid w:val="00C8284C"/>
    <w:rsid w:val="00C83A51"/>
    <w:rsid w:val="00C84340"/>
    <w:rsid w:val="00C84C01"/>
    <w:rsid w:val="00C856FC"/>
    <w:rsid w:val="00C8570B"/>
    <w:rsid w:val="00C85B85"/>
    <w:rsid w:val="00C85B9E"/>
    <w:rsid w:val="00C86B96"/>
    <w:rsid w:val="00C87085"/>
    <w:rsid w:val="00C871B7"/>
    <w:rsid w:val="00C87461"/>
    <w:rsid w:val="00C87559"/>
    <w:rsid w:val="00C90068"/>
    <w:rsid w:val="00C90234"/>
    <w:rsid w:val="00C910C6"/>
    <w:rsid w:val="00C91A25"/>
    <w:rsid w:val="00C91B89"/>
    <w:rsid w:val="00C92113"/>
    <w:rsid w:val="00C92AA0"/>
    <w:rsid w:val="00C9337D"/>
    <w:rsid w:val="00C93581"/>
    <w:rsid w:val="00C94048"/>
    <w:rsid w:val="00C9455D"/>
    <w:rsid w:val="00C947D2"/>
    <w:rsid w:val="00C9490A"/>
    <w:rsid w:val="00C9542C"/>
    <w:rsid w:val="00C9618D"/>
    <w:rsid w:val="00C96BF9"/>
    <w:rsid w:val="00C975C9"/>
    <w:rsid w:val="00CA0664"/>
    <w:rsid w:val="00CA0B93"/>
    <w:rsid w:val="00CA2A8D"/>
    <w:rsid w:val="00CA30D4"/>
    <w:rsid w:val="00CA34E2"/>
    <w:rsid w:val="00CA4661"/>
    <w:rsid w:val="00CA49DE"/>
    <w:rsid w:val="00CA56DD"/>
    <w:rsid w:val="00CA617D"/>
    <w:rsid w:val="00CA6D1E"/>
    <w:rsid w:val="00CA7DC4"/>
    <w:rsid w:val="00CB0091"/>
    <w:rsid w:val="00CB0C49"/>
    <w:rsid w:val="00CB0EC4"/>
    <w:rsid w:val="00CB13C0"/>
    <w:rsid w:val="00CB1F80"/>
    <w:rsid w:val="00CB2039"/>
    <w:rsid w:val="00CB2399"/>
    <w:rsid w:val="00CB28B8"/>
    <w:rsid w:val="00CB4E40"/>
    <w:rsid w:val="00CB50BD"/>
    <w:rsid w:val="00CB5564"/>
    <w:rsid w:val="00CB6003"/>
    <w:rsid w:val="00CB662A"/>
    <w:rsid w:val="00CB6B41"/>
    <w:rsid w:val="00CB7028"/>
    <w:rsid w:val="00CB71C6"/>
    <w:rsid w:val="00CB78C0"/>
    <w:rsid w:val="00CC0386"/>
    <w:rsid w:val="00CC03AD"/>
    <w:rsid w:val="00CC2DE2"/>
    <w:rsid w:val="00CC328C"/>
    <w:rsid w:val="00CC336A"/>
    <w:rsid w:val="00CC3A19"/>
    <w:rsid w:val="00CC3F1B"/>
    <w:rsid w:val="00CC4DF0"/>
    <w:rsid w:val="00CC5BD8"/>
    <w:rsid w:val="00CC60EE"/>
    <w:rsid w:val="00CC627D"/>
    <w:rsid w:val="00CC7594"/>
    <w:rsid w:val="00CC7741"/>
    <w:rsid w:val="00CC7BC3"/>
    <w:rsid w:val="00CD2E02"/>
    <w:rsid w:val="00CD2F6D"/>
    <w:rsid w:val="00CD3EE8"/>
    <w:rsid w:val="00CD48F7"/>
    <w:rsid w:val="00CD4EE4"/>
    <w:rsid w:val="00CD5D1F"/>
    <w:rsid w:val="00CD5DAF"/>
    <w:rsid w:val="00CD65DA"/>
    <w:rsid w:val="00CD77B4"/>
    <w:rsid w:val="00CD79F0"/>
    <w:rsid w:val="00CD7DB9"/>
    <w:rsid w:val="00CE0CC4"/>
    <w:rsid w:val="00CE16BA"/>
    <w:rsid w:val="00CE24BF"/>
    <w:rsid w:val="00CE279F"/>
    <w:rsid w:val="00CE2991"/>
    <w:rsid w:val="00CE2D2F"/>
    <w:rsid w:val="00CE2DC4"/>
    <w:rsid w:val="00CE30EA"/>
    <w:rsid w:val="00CE3993"/>
    <w:rsid w:val="00CE4D29"/>
    <w:rsid w:val="00CE62D8"/>
    <w:rsid w:val="00CE6BA5"/>
    <w:rsid w:val="00CE7282"/>
    <w:rsid w:val="00CE7A8A"/>
    <w:rsid w:val="00CE7C99"/>
    <w:rsid w:val="00CF0503"/>
    <w:rsid w:val="00CF063B"/>
    <w:rsid w:val="00CF0A7F"/>
    <w:rsid w:val="00CF0B5A"/>
    <w:rsid w:val="00CF1359"/>
    <w:rsid w:val="00CF1A91"/>
    <w:rsid w:val="00CF2C35"/>
    <w:rsid w:val="00CF31C6"/>
    <w:rsid w:val="00CF370C"/>
    <w:rsid w:val="00CF39C2"/>
    <w:rsid w:val="00CF3DA6"/>
    <w:rsid w:val="00CF3F10"/>
    <w:rsid w:val="00CF422C"/>
    <w:rsid w:val="00CF525F"/>
    <w:rsid w:val="00CF61BC"/>
    <w:rsid w:val="00CF68B2"/>
    <w:rsid w:val="00CF70D4"/>
    <w:rsid w:val="00CF7122"/>
    <w:rsid w:val="00CF73A0"/>
    <w:rsid w:val="00CF7520"/>
    <w:rsid w:val="00D00CE7"/>
    <w:rsid w:val="00D01370"/>
    <w:rsid w:val="00D01457"/>
    <w:rsid w:val="00D0242F"/>
    <w:rsid w:val="00D02854"/>
    <w:rsid w:val="00D028AE"/>
    <w:rsid w:val="00D02A01"/>
    <w:rsid w:val="00D03DDA"/>
    <w:rsid w:val="00D0478D"/>
    <w:rsid w:val="00D05219"/>
    <w:rsid w:val="00D05229"/>
    <w:rsid w:val="00D062CD"/>
    <w:rsid w:val="00D06F57"/>
    <w:rsid w:val="00D072BA"/>
    <w:rsid w:val="00D0781F"/>
    <w:rsid w:val="00D07CBA"/>
    <w:rsid w:val="00D07E6E"/>
    <w:rsid w:val="00D101C7"/>
    <w:rsid w:val="00D10715"/>
    <w:rsid w:val="00D10C04"/>
    <w:rsid w:val="00D10C80"/>
    <w:rsid w:val="00D11315"/>
    <w:rsid w:val="00D11D33"/>
    <w:rsid w:val="00D123B1"/>
    <w:rsid w:val="00D12871"/>
    <w:rsid w:val="00D128E4"/>
    <w:rsid w:val="00D1377B"/>
    <w:rsid w:val="00D1419C"/>
    <w:rsid w:val="00D14C69"/>
    <w:rsid w:val="00D15267"/>
    <w:rsid w:val="00D15CF5"/>
    <w:rsid w:val="00D15D2E"/>
    <w:rsid w:val="00D15EDB"/>
    <w:rsid w:val="00D16799"/>
    <w:rsid w:val="00D1762B"/>
    <w:rsid w:val="00D2027A"/>
    <w:rsid w:val="00D2054D"/>
    <w:rsid w:val="00D20C78"/>
    <w:rsid w:val="00D2119E"/>
    <w:rsid w:val="00D2122A"/>
    <w:rsid w:val="00D23B41"/>
    <w:rsid w:val="00D23D21"/>
    <w:rsid w:val="00D23E9F"/>
    <w:rsid w:val="00D24520"/>
    <w:rsid w:val="00D24662"/>
    <w:rsid w:val="00D24F08"/>
    <w:rsid w:val="00D26D3E"/>
    <w:rsid w:val="00D27178"/>
    <w:rsid w:val="00D3147D"/>
    <w:rsid w:val="00D31D17"/>
    <w:rsid w:val="00D32278"/>
    <w:rsid w:val="00D330F5"/>
    <w:rsid w:val="00D337BF"/>
    <w:rsid w:val="00D34629"/>
    <w:rsid w:val="00D349BD"/>
    <w:rsid w:val="00D3731E"/>
    <w:rsid w:val="00D37D35"/>
    <w:rsid w:val="00D41BFD"/>
    <w:rsid w:val="00D42273"/>
    <w:rsid w:val="00D423C0"/>
    <w:rsid w:val="00D427A5"/>
    <w:rsid w:val="00D42A3C"/>
    <w:rsid w:val="00D4341B"/>
    <w:rsid w:val="00D4376D"/>
    <w:rsid w:val="00D44249"/>
    <w:rsid w:val="00D44797"/>
    <w:rsid w:val="00D44B9C"/>
    <w:rsid w:val="00D44CF1"/>
    <w:rsid w:val="00D44EE7"/>
    <w:rsid w:val="00D45517"/>
    <w:rsid w:val="00D45653"/>
    <w:rsid w:val="00D45D5F"/>
    <w:rsid w:val="00D45E60"/>
    <w:rsid w:val="00D4658B"/>
    <w:rsid w:val="00D46C21"/>
    <w:rsid w:val="00D47477"/>
    <w:rsid w:val="00D47F13"/>
    <w:rsid w:val="00D503AE"/>
    <w:rsid w:val="00D50E5A"/>
    <w:rsid w:val="00D510C9"/>
    <w:rsid w:val="00D520FA"/>
    <w:rsid w:val="00D52CC6"/>
    <w:rsid w:val="00D52CE0"/>
    <w:rsid w:val="00D52F35"/>
    <w:rsid w:val="00D53E62"/>
    <w:rsid w:val="00D54D1B"/>
    <w:rsid w:val="00D5529E"/>
    <w:rsid w:val="00D55564"/>
    <w:rsid w:val="00D55F88"/>
    <w:rsid w:val="00D56AC8"/>
    <w:rsid w:val="00D56B75"/>
    <w:rsid w:val="00D570F0"/>
    <w:rsid w:val="00D572D5"/>
    <w:rsid w:val="00D57F8A"/>
    <w:rsid w:val="00D60146"/>
    <w:rsid w:val="00D60E15"/>
    <w:rsid w:val="00D60EC5"/>
    <w:rsid w:val="00D60F31"/>
    <w:rsid w:val="00D6146E"/>
    <w:rsid w:val="00D618FB"/>
    <w:rsid w:val="00D61F46"/>
    <w:rsid w:val="00D62D93"/>
    <w:rsid w:val="00D6302D"/>
    <w:rsid w:val="00D630C4"/>
    <w:rsid w:val="00D63473"/>
    <w:rsid w:val="00D63722"/>
    <w:rsid w:val="00D64AE5"/>
    <w:rsid w:val="00D65083"/>
    <w:rsid w:val="00D65DD0"/>
    <w:rsid w:val="00D664F3"/>
    <w:rsid w:val="00D66AD5"/>
    <w:rsid w:val="00D6751A"/>
    <w:rsid w:val="00D675A3"/>
    <w:rsid w:val="00D676CD"/>
    <w:rsid w:val="00D67DC2"/>
    <w:rsid w:val="00D703F2"/>
    <w:rsid w:val="00D71245"/>
    <w:rsid w:val="00D7277B"/>
    <w:rsid w:val="00D732BD"/>
    <w:rsid w:val="00D7343C"/>
    <w:rsid w:val="00D7372C"/>
    <w:rsid w:val="00D737D1"/>
    <w:rsid w:val="00D743AC"/>
    <w:rsid w:val="00D74D12"/>
    <w:rsid w:val="00D75215"/>
    <w:rsid w:val="00D75515"/>
    <w:rsid w:val="00D755EB"/>
    <w:rsid w:val="00D75665"/>
    <w:rsid w:val="00D75DC2"/>
    <w:rsid w:val="00D76540"/>
    <w:rsid w:val="00D76CB6"/>
    <w:rsid w:val="00D76CF2"/>
    <w:rsid w:val="00D76E1E"/>
    <w:rsid w:val="00D77280"/>
    <w:rsid w:val="00D81E17"/>
    <w:rsid w:val="00D83854"/>
    <w:rsid w:val="00D83EAE"/>
    <w:rsid w:val="00D84A27"/>
    <w:rsid w:val="00D864C7"/>
    <w:rsid w:val="00D86795"/>
    <w:rsid w:val="00D86C8D"/>
    <w:rsid w:val="00D86DD4"/>
    <w:rsid w:val="00D8733E"/>
    <w:rsid w:val="00D87C4D"/>
    <w:rsid w:val="00D92661"/>
    <w:rsid w:val="00D928A3"/>
    <w:rsid w:val="00D929DA"/>
    <w:rsid w:val="00D92B71"/>
    <w:rsid w:val="00D93B9D"/>
    <w:rsid w:val="00D96EEE"/>
    <w:rsid w:val="00D97B9E"/>
    <w:rsid w:val="00DA0C70"/>
    <w:rsid w:val="00DA1727"/>
    <w:rsid w:val="00DA1936"/>
    <w:rsid w:val="00DA1D58"/>
    <w:rsid w:val="00DA22D8"/>
    <w:rsid w:val="00DA2359"/>
    <w:rsid w:val="00DA2CE6"/>
    <w:rsid w:val="00DA3D64"/>
    <w:rsid w:val="00DA4185"/>
    <w:rsid w:val="00DA47DC"/>
    <w:rsid w:val="00DA56AA"/>
    <w:rsid w:val="00DA5B0C"/>
    <w:rsid w:val="00DA5BBF"/>
    <w:rsid w:val="00DA5D43"/>
    <w:rsid w:val="00DA6D92"/>
    <w:rsid w:val="00DA770D"/>
    <w:rsid w:val="00DB0647"/>
    <w:rsid w:val="00DB06B3"/>
    <w:rsid w:val="00DB0A52"/>
    <w:rsid w:val="00DB0C39"/>
    <w:rsid w:val="00DB0F75"/>
    <w:rsid w:val="00DB1085"/>
    <w:rsid w:val="00DB1208"/>
    <w:rsid w:val="00DB1B22"/>
    <w:rsid w:val="00DB2FD7"/>
    <w:rsid w:val="00DB368A"/>
    <w:rsid w:val="00DB39E2"/>
    <w:rsid w:val="00DB4933"/>
    <w:rsid w:val="00DB4A78"/>
    <w:rsid w:val="00DB4A97"/>
    <w:rsid w:val="00DB7C4C"/>
    <w:rsid w:val="00DB7E2F"/>
    <w:rsid w:val="00DC04D8"/>
    <w:rsid w:val="00DC07ED"/>
    <w:rsid w:val="00DC098F"/>
    <w:rsid w:val="00DC0F7C"/>
    <w:rsid w:val="00DC14B9"/>
    <w:rsid w:val="00DC20F3"/>
    <w:rsid w:val="00DC2256"/>
    <w:rsid w:val="00DC2B0C"/>
    <w:rsid w:val="00DC2F81"/>
    <w:rsid w:val="00DC31F2"/>
    <w:rsid w:val="00DC38E2"/>
    <w:rsid w:val="00DC392B"/>
    <w:rsid w:val="00DC4CAD"/>
    <w:rsid w:val="00DC5611"/>
    <w:rsid w:val="00DC561F"/>
    <w:rsid w:val="00DC6469"/>
    <w:rsid w:val="00DC6BD3"/>
    <w:rsid w:val="00DC6F80"/>
    <w:rsid w:val="00DC7772"/>
    <w:rsid w:val="00DD2E93"/>
    <w:rsid w:val="00DD3EF3"/>
    <w:rsid w:val="00DD41A9"/>
    <w:rsid w:val="00DD41F0"/>
    <w:rsid w:val="00DD4A21"/>
    <w:rsid w:val="00DD56CD"/>
    <w:rsid w:val="00DD5B66"/>
    <w:rsid w:val="00DD5D1F"/>
    <w:rsid w:val="00DD5DFD"/>
    <w:rsid w:val="00DD63F5"/>
    <w:rsid w:val="00DD696B"/>
    <w:rsid w:val="00DD69DE"/>
    <w:rsid w:val="00DD69EC"/>
    <w:rsid w:val="00DE025C"/>
    <w:rsid w:val="00DE0278"/>
    <w:rsid w:val="00DE0769"/>
    <w:rsid w:val="00DE168D"/>
    <w:rsid w:val="00DE2B5B"/>
    <w:rsid w:val="00DE3542"/>
    <w:rsid w:val="00DE3ADA"/>
    <w:rsid w:val="00DE3DD1"/>
    <w:rsid w:val="00DE4A67"/>
    <w:rsid w:val="00DE60D4"/>
    <w:rsid w:val="00DE7A7B"/>
    <w:rsid w:val="00DF0555"/>
    <w:rsid w:val="00DF1121"/>
    <w:rsid w:val="00DF154B"/>
    <w:rsid w:val="00DF44F7"/>
    <w:rsid w:val="00DF4A5B"/>
    <w:rsid w:val="00DF5620"/>
    <w:rsid w:val="00DF5758"/>
    <w:rsid w:val="00DF5AE2"/>
    <w:rsid w:val="00DF6AA6"/>
    <w:rsid w:val="00E010A7"/>
    <w:rsid w:val="00E01B9A"/>
    <w:rsid w:val="00E0285D"/>
    <w:rsid w:val="00E0303D"/>
    <w:rsid w:val="00E0310B"/>
    <w:rsid w:val="00E03250"/>
    <w:rsid w:val="00E03549"/>
    <w:rsid w:val="00E035EE"/>
    <w:rsid w:val="00E0360A"/>
    <w:rsid w:val="00E0518B"/>
    <w:rsid w:val="00E051DF"/>
    <w:rsid w:val="00E0542F"/>
    <w:rsid w:val="00E0616E"/>
    <w:rsid w:val="00E06374"/>
    <w:rsid w:val="00E06BAE"/>
    <w:rsid w:val="00E072BD"/>
    <w:rsid w:val="00E075C1"/>
    <w:rsid w:val="00E0762A"/>
    <w:rsid w:val="00E10D0E"/>
    <w:rsid w:val="00E1101F"/>
    <w:rsid w:val="00E117CE"/>
    <w:rsid w:val="00E11C91"/>
    <w:rsid w:val="00E122A9"/>
    <w:rsid w:val="00E126CE"/>
    <w:rsid w:val="00E12A1C"/>
    <w:rsid w:val="00E13089"/>
    <w:rsid w:val="00E139D6"/>
    <w:rsid w:val="00E13D56"/>
    <w:rsid w:val="00E14AE6"/>
    <w:rsid w:val="00E1545C"/>
    <w:rsid w:val="00E1558C"/>
    <w:rsid w:val="00E16322"/>
    <w:rsid w:val="00E16548"/>
    <w:rsid w:val="00E17046"/>
    <w:rsid w:val="00E17BFA"/>
    <w:rsid w:val="00E20351"/>
    <w:rsid w:val="00E20F52"/>
    <w:rsid w:val="00E22F26"/>
    <w:rsid w:val="00E2412B"/>
    <w:rsid w:val="00E24E7F"/>
    <w:rsid w:val="00E2513D"/>
    <w:rsid w:val="00E25E73"/>
    <w:rsid w:val="00E26719"/>
    <w:rsid w:val="00E30083"/>
    <w:rsid w:val="00E31110"/>
    <w:rsid w:val="00E31D77"/>
    <w:rsid w:val="00E31D7B"/>
    <w:rsid w:val="00E32B20"/>
    <w:rsid w:val="00E32D5C"/>
    <w:rsid w:val="00E32FAF"/>
    <w:rsid w:val="00E33099"/>
    <w:rsid w:val="00E33257"/>
    <w:rsid w:val="00E33E15"/>
    <w:rsid w:val="00E348ED"/>
    <w:rsid w:val="00E34B68"/>
    <w:rsid w:val="00E353E6"/>
    <w:rsid w:val="00E355A3"/>
    <w:rsid w:val="00E35A40"/>
    <w:rsid w:val="00E368D3"/>
    <w:rsid w:val="00E37904"/>
    <w:rsid w:val="00E37AF1"/>
    <w:rsid w:val="00E4050E"/>
    <w:rsid w:val="00E40D27"/>
    <w:rsid w:val="00E40FB5"/>
    <w:rsid w:val="00E413D0"/>
    <w:rsid w:val="00E4152F"/>
    <w:rsid w:val="00E42062"/>
    <w:rsid w:val="00E42319"/>
    <w:rsid w:val="00E426F8"/>
    <w:rsid w:val="00E42C1A"/>
    <w:rsid w:val="00E43798"/>
    <w:rsid w:val="00E438E8"/>
    <w:rsid w:val="00E43BFE"/>
    <w:rsid w:val="00E43EDE"/>
    <w:rsid w:val="00E4574D"/>
    <w:rsid w:val="00E4578F"/>
    <w:rsid w:val="00E461E2"/>
    <w:rsid w:val="00E47B0E"/>
    <w:rsid w:val="00E47B48"/>
    <w:rsid w:val="00E508C2"/>
    <w:rsid w:val="00E508F3"/>
    <w:rsid w:val="00E50AA6"/>
    <w:rsid w:val="00E50CA2"/>
    <w:rsid w:val="00E51262"/>
    <w:rsid w:val="00E51499"/>
    <w:rsid w:val="00E514D6"/>
    <w:rsid w:val="00E51640"/>
    <w:rsid w:val="00E51C20"/>
    <w:rsid w:val="00E52551"/>
    <w:rsid w:val="00E526A7"/>
    <w:rsid w:val="00E52C80"/>
    <w:rsid w:val="00E53489"/>
    <w:rsid w:val="00E53844"/>
    <w:rsid w:val="00E541ED"/>
    <w:rsid w:val="00E545F1"/>
    <w:rsid w:val="00E55F5C"/>
    <w:rsid w:val="00E56244"/>
    <w:rsid w:val="00E569E3"/>
    <w:rsid w:val="00E56D06"/>
    <w:rsid w:val="00E57367"/>
    <w:rsid w:val="00E5793D"/>
    <w:rsid w:val="00E60556"/>
    <w:rsid w:val="00E60F1B"/>
    <w:rsid w:val="00E61968"/>
    <w:rsid w:val="00E61D2F"/>
    <w:rsid w:val="00E6216E"/>
    <w:rsid w:val="00E62491"/>
    <w:rsid w:val="00E62E0B"/>
    <w:rsid w:val="00E631BC"/>
    <w:rsid w:val="00E636B7"/>
    <w:rsid w:val="00E646DA"/>
    <w:rsid w:val="00E64880"/>
    <w:rsid w:val="00E64DC8"/>
    <w:rsid w:val="00E655F8"/>
    <w:rsid w:val="00E65850"/>
    <w:rsid w:val="00E65F8B"/>
    <w:rsid w:val="00E663A3"/>
    <w:rsid w:val="00E6663B"/>
    <w:rsid w:val="00E668B4"/>
    <w:rsid w:val="00E66E82"/>
    <w:rsid w:val="00E67193"/>
    <w:rsid w:val="00E67298"/>
    <w:rsid w:val="00E673EE"/>
    <w:rsid w:val="00E70C83"/>
    <w:rsid w:val="00E71256"/>
    <w:rsid w:val="00E72037"/>
    <w:rsid w:val="00E724D0"/>
    <w:rsid w:val="00E72DF5"/>
    <w:rsid w:val="00E73705"/>
    <w:rsid w:val="00E741CB"/>
    <w:rsid w:val="00E74AA1"/>
    <w:rsid w:val="00E75B23"/>
    <w:rsid w:val="00E76217"/>
    <w:rsid w:val="00E76715"/>
    <w:rsid w:val="00E76B6A"/>
    <w:rsid w:val="00E77124"/>
    <w:rsid w:val="00E77A6D"/>
    <w:rsid w:val="00E77C74"/>
    <w:rsid w:val="00E80B49"/>
    <w:rsid w:val="00E81135"/>
    <w:rsid w:val="00E81213"/>
    <w:rsid w:val="00E81699"/>
    <w:rsid w:val="00E81CF8"/>
    <w:rsid w:val="00E81D1F"/>
    <w:rsid w:val="00E8294E"/>
    <w:rsid w:val="00E82BAB"/>
    <w:rsid w:val="00E83815"/>
    <w:rsid w:val="00E84206"/>
    <w:rsid w:val="00E8482D"/>
    <w:rsid w:val="00E849E7"/>
    <w:rsid w:val="00E84AD1"/>
    <w:rsid w:val="00E85840"/>
    <w:rsid w:val="00E8615C"/>
    <w:rsid w:val="00E861E1"/>
    <w:rsid w:val="00E9045F"/>
    <w:rsid w:val="00E911E7"/>
    <w:rsid w:val="00E91ABE"/>
    <w:rsid w:val="00E921BE"/>
    <w:rsid w:val="00E925E2"/>
    <w:rsid w:val="00E92AAF"/>
    <w:rsid w:val="00E92CBF"/>
    <w:rsid w:val="00E92FE6"/>
    <w:rsid w:val="00E940CC"/>
    <w:rsid w:val="00E94579"/>
    <w:rsid w:val="00E95034"/>
    <w:rsid w:val="00E95BD3"/>
    <w:rsid w:val="00E97404"/>
    <w:rsid w:val="00E97AC4"/>
    <w:rsid w:val="00E97B22"/>
    <w:rsid w:val="00E97CA6"/>
    <w:rsid w:val="00E97FFC"/>
    <w:rsid w:val="00EA028E"/>
    <w:rsid w:val="00EA02CF"/>
    <w:rsid w:val="00EA0AD5"/>
    <w:rsid w:val="00EA0FCC"/>
    <w:rsid w:val="00EA122D"/>
    <w:rsid w:val="00EA1660"/>
    <w:rsid w:val="00EA1726"/>
    <w:rsid w:val="00EA2364"/>
    <w:rsid w:val="00EA2538"/>
    <w:rsid w:val="00EA2781"/>
    <w:rsid w:val="00EA27C5"/>
    <w:rsid w:val="00EA2EB4"/>
    <w:rsid w:val="00EA4117"/>
    <w:rsid w:val="00EA41A1"/>
    <w:rsid w:val="00EA55FE"/>
    <w:rsid w:val="00EA67AF"/>
    <w:rsid w:val="00EA686F"/>
    <w:rsid w:val="00EA6A78"/>
    <w:rsid w:val="00EA78B3"/>
    <w:rsid w:val="00EB0A51"/>
    <w:rsid w:val="00EB1CDD"/>
    <w:rsid w:val="00EB2C2B"/>
    <w:rsid w:val="00EB373E"/>
    <w:rsid w:val="00EB416E"/>
    <w:rsid w:val="00EB4618"/>
    <w:rsid w:val="00EB4C21"/>
    <w:rsid w:val="00EB7166"/>
    <w:rsid w:val="00EB7665"/>
    <w:rsid w:val="00EB7B52"/>
    <w:rsid w:val="00EC068B"/>
    <w:rsid w:val="00EC0B19"/>
    <w:rsid w:val="00EC3160"/>
    <w:rsid w:val="00EC47CB"/>
    <w:rsid w:val="00EC58F7"/>
    <w:rsid w:val="00EC6AE9"/>
    <w:rsid w:val="00EC7DCE"/>
    <w:rsid w:val="00EC7F47"/>
    <w:rsid w:val="00ED086C"/>
    <w:rsid w:val="00ED0E7F"/>
    <w:rsid w:val="00ED1042"/>
    <w:rsid w:val="00ED11B5"/>
    <w:rsid w:val="00ED1788"/>
    <w:rsid w:val="00ED19F1"/>
    <w:rsid w:val="00ED21D0"/>
    <w:rsid w:val="00ED248B"/>
    <w:rsid w:val="00ED2601"/>
    <w:rsid w:val="00ED3029"/>
    <w:rsid w:val="00ED502A"/>
    <w:rsid w:val="00ED5792"/>
    <w:rsid w:val="00ED5D4B"/>
    <w:rsid w:val="00ED63F8"/>
    <w:rsid w:val="00ED7BB1"/>
    <w:rsid w:val="00EE0208"/>
    <w:rsid w:val="00EE203B"/>
    <w:rsid w:val="00EE2542"/>
    <w:rsid w:val="00EE3802"/>
    <w:rsid w:val="00EE47A1"/>
    <w:rsid w:val="00EE47A2"/>
    <w:rsid w:val="00EE4E70"/>
    <w:rsid w:val="00EE662A"/>
    <w:rsid w:val="00EE6E45"/>
    <w:rsid w:val="00EE6ECD"/>
    <w:rsid w:val="00EE770C"/>
    <w:rsid w:val="00EF008A"/>
    <w:rsid w:val="00EF06CB"/>
    <w:rsid w:val="00EF1DDD"/>
    <w:rsid w:val="00EF296B"/>
    <w:rsid w:val="00EF32C5"/>
    <w:rsid w:val="00EF4889"/>
    <w:rsid w:val="00EF4AC0"/>
    <w:rsid w:val="00EF53B4"/>
    <w:rsid w:val="00EF5520"/>
    <w:rsid w:val="00EF5607"/>
    <w:rsid w:val="00EF60B5"/>
    <w:rsid w:val="00EF63CB"/>
    <w:rsid w:val="00EF7875"/>
    <w:rsid w:val="00EF7C54"/>
    <w:rsid w:val="00F0016A"/>
    <w:rsid w:val="00F017B2"/>
    <w:rsid w:val="00F01D89"/>
    <w:rsid w:val="00F0219A"/>
    <w:rsid w:val="00F02417"/>
    <w:rsid w:val="00F0248C"/>
    <w:rsid w:val="00F02779"/>
    <w:rsid w:val="00F02B72"/>
    <w:rsid w:val="00F036CC"/>
    <w:rsid w:val="00F03910"/>
    <w:rsid w:val="00F03AB7"/>
    <w:rsid w:val="00F03C27"/>
    <w:rsid w:val="00F03EEE"/>
    <w:rsid w:val="00F049BE"/>
    <w:rsid w:val="00F0501E"/>
    <w:rsid w:val="00F06416"/>
    <w:rsid w:val="00F06789"/>
    <w:rsid w:val="00F06BF1"/>
    <w:rsid w:val="00F06E1A"/>
    <w:rsid w:val="00F10453"/>
    <w:rsid w:val="00F10719"/>
    <w:rsid w:val="00F113B9"/>
    <w:rsid w:val="00F115B3"/>
    <w:rsid w:val="00F11601"/>
    <w:rsid w:val="00F13EBA"/>
    <w:rsid w:val="00F14325"/>
    <w:rsid w:val="00F149A7"/>
    <w:rsid w:val="00F14BBB"/>
    <w:rsid w:val="00F14C3E"/>
    <w:rsid w:val="00F14C47"/>
    <w:rsid w:val="00F14D6F"/>
    <w:rsid w:val="00F15253"/>
    <w:rsid w:val="00F15409"/>
    <w:rsid w:val="00F15C6A"/>
    <w:rsid w:val="00F16061"/>
    <w:rsid w:val="00F167C3"/>
    <w:rsid w:val="00F1717F"/>
    <w:rsid w:val="00F17783"/>
    <w:rsid w:val="00F20352"/>
    <w:rsid w:val="00F21B07"/>
    <w:rsid w:val="00F22903"/>
    <w:rsid w:val="00F22DD1"/>
    <w:rsid w:val="00F22F3C"/>
    <w:rsid w:val="00F23234"/>
    <w:rsid w:val="00F243F4"/>
    <w:rsid w:val="00F24704"/>
    <w:rsid w:val="00F24EEE"/>
    <w:rsid w:val="00F25CB4"/>
    <w:rsid w:val="00F266D5"/>
    <w:rsid w:val="00F277FA"/>
    <w:rsid w:val="00F30C47"/>
    <w:rsid w:val="00F31161"/>
    <w:rsid w:val="00F31636"/>
    <w:rsid w:val="00F3250A"/>
    <w:rsid w:val="00F32F86"/>
    <w:rsid w:val="00F32FB6"/>
    <w:rsid w:val="00F33102"/>
    <w:rsid w:val="00F33121"/>
    <w:rsid w:val="00F334D1"/>
    <w:rsid w:val="00F33CCB"/>
    <w:rsid w:val="00F34C7D"/>
    <w:rsid w:val="00F34F1D"/>
    <w:rsid w:val="00F35384"/>
    <w:rsid w:val="00F35887"/>
    <w:rsid w:val="00F36143"/>
    <w:rsid w:val="00F36C1E"/>
    <w:rsid w:val="00F40FA3"/>
    <w:rsid w:val="00F41BEE"/>
    <w:rsid w:val="00F426F0"/>
    <w:rsid w:val="00F43311"/>
    <w:rsid w:val="00F43764"/>
    <w:rsid w:val="00F43848"/>
    <w:rsid w:val="00F44263"/>
    <w:rsid w:val="00F44760"/>
    <w:rsid w:val="00F44A14"/>
    <w:rsid w:val="00F45B98"/>
    <w:rsid w:val="00F5071A"/>
    <w:rsid w:val="00F508F4"/>
    <w:rsid w:val="00F50B8D"/>
    <w:rsid w:val="00F513D5"/>
    <w:rsid w:val="00F51997"/>
    <w:rsid w:val="00F51E3F"/>
    <w:rsid w:val="00F54530"/>
    <w:rsid w:val="00F54B93"/>
    <w:rsid w:val="00F55235"/>
    <w:rsid w:val="00F5527B"/>
    <w:rsid w:val="00F56072"/>
    <w:rsid w:val="00F572D5"/>
    <w:rsid w:val="00F57B25"/>
    <w:rsid w:val="00F601EB"/>
    <w:rsid w:val="00F606D5"/>
    <w:rsid w:val="00F60C39"/>
    <w:rsid w:val="00F60C96"/>
    <w:rsid w:val="00F61449"/>
    <w:rsid w:val="00F615FA"/>
    <w:rsid w:val="00F61E9F"/>
    <w:rsid w:val="00F62284"/>
    <w:rsid w:val="00F6447C"/>
    <w:rsid w:val="00F64A4C"/>
    <w:rsid w:val="00F65057"/>
    <w:rsid w:val="00F65343"/>
    <w:rsid w:val="00F65B8C"/>
    <w:rsid w:val="00F65F8E"/>
    <w:rsid w:val="00F662E6"/>
    <w:rsid w:val="00F667BB"/>
    <w:rsid w:val="00F67A83"/>
    <w:rsid w:val="00F67C8D"/>
    <w:rsid w:val="00F67DD2"/>
    <w:rsid w:val="00F67DE9"/>
    <w:rsid w:val="00F70090"/>
    <w:rsid w:val="00F72DD5"/>
    <w:rsid w:val="00F72F80"/>
    <w:rsid w:val="00F73495"/>
    <w:rsid w:val="00F74184"/>
    <w:rsid w:val="00F74530"/>
    <w:rsid w:val="00F752BD"/>
    <w:rsid w:val="00F75F16"/>
    <w:rsid w:val="00F769E1"/>
    <w:rsid w:val="00F76F8F"/>
    <w:rsid w:val="00F772DE"/>
    <w:rsid w:val="00F77D64"/>
    <w:rsid w:val="00F77EFB"/>
    <w:rsid w:val="00F809A4"/>
    <w:rsid w:val="00F8158E"/>
    <w:rsid w:val="00F817E2"/>
    <w:rsid w:val="00F81CD7"/>
    <w:rsid w:val="00F81E74"/>
    <w:rsid w:val="00F843C2"/>
    <w:rsid w:val="00F8473A"/>
    <w:rsid w:val="00F8476B"/>
    <w:rsid w:val="00F85178"/>
    <w:rsid w:val="00F8532B"/>
    <w:rsid w:val="00F85818"/>
    <w:rsid w:val="00F85AC3"/>
    <w:rsid w:val="00F85F13"/>
    <w:rsid w:val="00F8669F"/>
    <w:rsid w:val="00F87127"/>
    <w:rsid w:val="00F90136"/>
    <w:rsid w:val="00F90A0C"/>
    <w:rsid w:val="00F90ECD"/>
    <w:rsid w:val="00F91301"/>
    <w:rsid w:val="00F918E6"/>
    <w:rsid w:val="00F91C1A"/>
    <w:rsid w:val="00F9266B"/>
    <w:rsid w:val="00F926B2"/>
    <w:rsid w:val="00F92FC0"/>
    <w:rsid w:val="00F931FA"/>
    <w:rsid w:val="00F95CDB"/>
    <w:rsid w:val="00F9613D"/>
    <w:rsid w:val="00F96C42"/>
    <w:rsid w:val="00F972BB"/>
    <w:rsid w:val="00F975B7"/>
    <w:rsid w:val="00FA10AD"/>
    <w:rsid w:val="00FA24E4"/>
    <w:rsid w:val="00FA2618"/>
    <w:rsid w:val="00FA4777"/>
    <w:rsid w:val="00FA5648"/>
    <w:rsid w:val="00FA596F"/>
    <w:rsid w:val="00FA6101"/>
    <w:rsid w:val="00FA6B2B"/>
    <w:rsid w:val="00FA6C54"/>
    <w:rsid w:val="00FA7147"/>
    <w:rsid w:val="00FB0076"/>
    <w:rsid w:val="00FB0531"/>
    <w:rsid w:val="00FB10F1"/>
    <w:rsid w:val="00FB11CE"/>
    <w:rsid w:val="00FB141B"/>
    <w:rsid w:val="00FB2A81"/>
    <w:rsid w:val="00FB36EF"/>
    <w:rsid w:val="00FB4004"/>
    <w:rsid w:val="00FB54E1"/>
    <w:rsid w:val="00FB5F83"/>
    <w:rsid w:val="00FB64C6"/>
    <w:rsid w:val="00FB66AD"/>
    <w:rsid w:val="00FB78FB"/>
    <w:rsid w:val="00FB7D8A"/>
    <w:rsid w:val="00FC0007"/>
    <w:rsid w:val="00FC0A1A"/>
    <w:rsid w:val="00FC121F"/>
    <w:rsid w:val="00FC16D3"/>
    <w:rsid w:val="00FC25B6"/>
    <w:rsid w:val="00FC4AC6"/>
    <w:rsid w:val="00FC559E"/>
    <w:rsid w:val="00FC6010"/>
    <w:rsid w:val="00FC6992"/>
    <w:rsid w:val="00FC79AB"/>
    <w:rsid w:val="00FC7C89"/>
    <w:rsid w:val="00FC7E53"/>
    <w:rsid w:val="00FD0947"/>
    <w:rsid w:val="00FD1153"/>
    <w:rsid w:val="00FD1B36"/>
    <w:rsid w:val="00FD28F5"/>
    <w:rsid w:val="00FD3166"/>
    <w:rsid w:val="00FD3306"/>
    <w:rsid w:val="00FD3AA5"/>
    <w:rsid w:val="00FD4E64"/>
    <w:rsid w:val="00FE0DB3"/>
    <w:rsid w:val="00FE1209"/>
    <w:rsid w:val="00FE14F0"/>
    <w:rsid w:val="00FE1CAF"/>
    <w:rsid w:val="00FE21CD"/>
    <w:rsid w:val="00FE2E84"/>
    <w:rsid w:val="00FE538A"/>
    <w:rsid w:val="00FE628D"/>
    <w:rsid w:val="00FE6973"/>
    <w:rsid w:val="00FE73F6"/>
    <w:rsid w:val="00FF0CEF"/>
    <w:rsid w:val="00FF1228"/>
    <w:rsid w:val="00FF17D2"/>
    <w:rsid w:val="00FF21BB"/>
    <w:rsid w:val="00FF248C"/>
    <w:rsid w:val="00FF2ABB"/>
    <w:rsid w:val="00FF2BD3"/>
    <w:rsid w:val="00FF3124"/>
    <w:rsid w:val="00FF3AC7"/>
    <w:rsid w:val="00FF3C5E"/>
    <w:rsid w:val="00FF4B31"/>
    <w:rsid w:val="00FF577C"/>
    <w:rsid w:val="00FF6921"/>
    <w:rsid w:val="00FF7E2E"/>
    <w:rsid w:val="06A04391"/>
    <w:rsid w:val="06B1B736"/>
    <w:rsid w:val="09A21892"/>
    <w:rsid w:val="0A523603"/>
    <w:rsid w:val="0BA28A53"/>
    <w:rsid w:val="0CA07E42"/>
    <w:rsid w:val="16A8D36B"/>
    <w:rsid w:val="1705FC05"/>
    <w:rsid w:val="18F4656F"/>
    <w:rsid w:val="1940AFF5"/>
    <w:rsid w:val="1A2BB0DD"/>
    <w:rsid w:val="1C95248A"/>
    <w:rsid w:val="20475CC5"/>
    <w:rsid w:val="23BF29A6"/>
    <w:rsid w:val="24AF7908"/>
    <w:rsid w:val="26698158"/>
    <w:rsid w:val="2C5FE0AE"/>
    <w:rsid w:val="2CCF4610"/>
    <w:rsid w:val="2F7BD1B4"/>
    <w:rsid w:val="2FAD8BC6"/>
    <w:rsid w:val="30B27320"/>
    <w:rsid w:val="31F7C2DC"/>
    <w:rsid w:val="3303A51F"/>
    <w:rsid w:val="33AED866"/>
    <w:rsid w:val="34234651"/>
    <w:rsid w:val="35983750"/>
    <w:rsid w:val="41F1E28F"/>
    <w:rsid w:val="42EAF862"/>
    <w:rsid w:val="46C8BF48"/>
    <w:rsid w:val="47225E51"/>
    <w:rsid w:val="4AEEB688"/>
    <w:rsid w:val="4CF536C3"/>
    <w:rsid w:val="4FEF867C"/>
    <w:rsid w:val="52B2CAFE"/>
    <w:rsid w:val="5332EFEB"/>
    <w:rsid w:val="5865686D"/>
    <w:rsid w:val="5E508E47"/>
    <w:rsid w:val="5E9CDE6B"/>
    <w:rsid w:val="5EAE662C"/>
    <w:rsid w:val="614602E5"/>
    <w:rsid w:val="627326A4"/>
    <w:rsid w:val="64397186"/>
    <w:rsid w:val="66301CAA"/>
    <w:rsid w:val="687B5B62"/>
    <w:rsid w:val="6A6DDF04"/>
    <w:rsid w:val="6E0F2CEE"/>
    <w:rsid w:val="71E9565C"/>
    <w:rsid w:val="72DDA9BC"/>
    <w:rsid w:val="73183D8D"/>
    <w:rsid w:val="776792B1"/>
    <w:rsid w:val="7B5DDF66"/>
    <w:rsid w:val="7BCFC41E"/>
    <w:rsid w:val="7C482BBE"/>
    <w:rsid w:val="7DFEF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B162C"/>
  <w15:docId w15:val="{2DB05082-9D79-4FD7-867D-77DB2622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6379A"/>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D06F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73F4"/>
    <w:rPr>
      <w:rFonts w:ascii="Courier" w:hAnsi="Courier"/>
      <w:szCs w:val="20"/>
    </w:rPr>
  </w:style>
  <w:style w:type="paragraph" w:styleId="Footer">
    <w:name w:val="footer"/>
    <w:basedOn w:val="Normal"/>
    <w:link w:val="FooterChar"/>
    <w:uiPriority w:val="99"/>
    <w:rsid w:val="00BD67E3"/>
    <w:pPr>
      <w:tabs>
        <w:tab w:val="center" w:pos="4320"/>
        <w:tab w:val="right" w:pos="8640"/>
      </w:tabs>
    </w:pPr>
  </w:style>
  <w:style w:type="character" w:styleId="PageNumber">
    <w:name w:val="page number"/>
    <w:basedOn w:val="DefaultParagraphFont"/>
    <w:rsid w:val="00BD67E3"/>
  </w:style>
  <w:style w:type="paragraph" w:styleId="FootnoteText">
    <w:name w:val="footnote text"/>
    <w:aliases w:val="Footnote Text Char1,Footnote Text Char Char1,Footnote Text Char1 Char Char,Footnote Text Char Char1 Char Char,Footnote Text Char2 Char Char1 Char Char,Footnote Text Char1 Char Char Char Char Char1,Footnote Text Char"/>
    <w:basedOn w:val="Normal"/>
    <w:rsid w:val="00A76B4E"/>
    <w:rPr>
      <w:sz w:val="20"/>
      <w:szCs w:val="20"/>
    </w:rPr>
  </w:style>
  <w:style w:type="character" w:styleId="FootnoteReference">
    <w:name w:val="footnote reference"/>
    <w:rsid w:val="00A76B4E"/>
    <w:rPr>
      <w:vertAlign w:val="superscript"/>
    </w:rPr>
  </w:style>
  <w:style w:type="paragraph" w:styleId="Header">
    <w:name w:val="header"/>
    <w:basedOn w:val="Normal"/>
    <w:link w:val="HeaderChar"/>
    <w:uiPriority w:val="99"/>
    <w:rsid w:val="0064618B"/>
    <w:pPr>
      <w:tabs>
        <w:tab w:val="center" w:pos="4320"/>
        <w:tab w:val="right" w:pos="8640"/>
      </w:tabs>
    </w:pPr>
  </w:style>
  <w:style w:type="paragraph" w:styleId="BalloonText">
    <w:name w:val="Balloon Text"/>
    <w:basedOn w:val="Normal"/>
    <w:semiHidden/>
    <w:rsid w:val="003F01FF"/>
    <w:rPr>
      <w:rFonts w:ascii="Tahoma" w:hAnsi="Tahoma" w:cs="Tahoma"/>
      <w:sz w:val="16"/>
      <w:szCs w:val="16"/>
    </w:rPr>
  </w:style>
  <w:style w:type="character" w:customStyle="1" w:styleId="term1">
    <w:name w:val="term1"/>
    <w:rsid w:val="00C6379A"/>
    <w:rPr>
      <w:rFonts w:ascii="Verdana" w:hAnsi="Verdana" w:hint="default"/>
      <w:b/>
      <w:bCs/>
      <w:sz w:val="20"/>
      <w:szCs w:val="20"/>
    </w:rPr>
  </w:style>
  <w:style w:type="character" w:styleId="Hyperlink">
    <w:name w:val="Hyperlink"/>
    <w:rsid w:val="0051137A"/>
    <w:rPr>
      <w:color w:val="0000FF"/>
      <w:u w:val="single"/>
    </w:rPr>
  </w:style>
  <w:style w:type="character" w:customStyle="1" w:styleId="documentbody1">
    <w:name w:val="documentbody1"/>
    <w:rsid w:val="006F738D"/>
    <w:rPr>
      <w:rFonts w:ascii="Verdana" w:hAnsi="Verdana" w:hint="default"/>
      <w:sz w:val="19"/>
      <w:szCs w:val="19"/>
    </w:rPr>
  </w:style>
  <w:style w:type="table" w:styleId="TableGrid">
    <w:name w:val="Table Grid"/>
    <w:aliases w:val="none"/>
    <w:basedOn w:val="TableNormal"/>
    <w:rsid w:val="00D6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64AE5"/>
  </w:style>
  <w:style w:type="paragraph" w:styleId="NormalWeb">
    <w:name w:val="Normal (Web)"/>
    <w:basedOn w:val="Normal"/>
    <w:uiPriority w:val="99"/>
    <w:rsid w:val="002B394A"/>
    <w:pPr>
      <w:spacing w:before="100" w:beforeAutospacing="1" w:after="100" w:afterAutospacing="1"/>
    </w:pPr>
  </w:style>
  <w:style w:type="paragraph" w:styleId="ListParagraph">
    <w:name w:val="List Paragraph"/>
    <w:basedOn w:val="Normal"/>
    <w:uiPriority w:val="34"/>
    <w:qFormat/>
    <w:rsid w:val="00590CF9"/>
    <w:pPr>
      <w:ind w:left="720"/>
    </w:pPr>
    <w:rPr>
      <w:rFonts w:ascii="Calibri" w:hAnsi="Calibri"/>
      <w:sz w:val="22"/>
      <w:szCs w:val="22"/>
    </w:rPr>
  </w:style>
  <w:style w:type="character" w:customStyle="1" w:styleId="Heading4Char">
    <w:name w:val="Heading 4 Char"/>
    <w:link w:val="Heading4"/>
    <w:semiHidden/>
    <w:rsid w:val="00D06F57"/>
    <w:rPr>
      <w:rFonts w:ascii="Calibri" w:eastAsia="Times New Roman" w:hAnsi="Calibri" w:cs="Times New Roman"/>
      <w:b/>
      <w:bCs/>
      <w:sz w:val="28"/>
      <w:szCs w:val="28"/>
    </w:rPr>
  </w:style>
  <w:style w:type="character" w:styleId="CommentReference">
    <w:name w:val="annotation reference"/>
    <w:uiPriority w:val="99"/>
    <w:rsid w:val="00172C04"/>
    <w:rPr>
      <w:sz w:val="16"/>
      <w:szCs w:val="16"/>
    </w:rPr>
  </w:style>
  <w:style w:type="paragraph" w:styleId="CommentText">
    <w:name w:val="annotation text"/>
    <w:basedOn w:val="Normal"/>
    <w:link w:val="CommentTextChar"/>
    <w:uiPriority w:val="99"/>
    <w:rsid w:val="00172C04"/>
    <w:rPr>
      <w:sz w:val="20"/>
      <w:szCs w:val="20"/>
    </w:rPr>
  </w:style>
  <w:style w:type="character" w:customStyle="1" w:styleId="CommentTextChar">
    <w:name w:val="Comment Text Char"/>
    <w:basedOn w:val="DefaultParagraphFont"/>
    <w:link w:val="CommentText"/>
    <w:uiPriority w:val="99"/>
    <w:rsid w:val="00172C04"/>
  </w:style>
  <w:style w:type="paragraph" w:styleId="CommentSubject">
    <w:name w:val="annotation subject"/>
    <w:basedOn w:val="CommentText"/>
    <w:next w:val="CommentText"/>
    <w:link w:val="CommentSubjectChar"/>
    <w:rsid w:val="00172C04"/>
    <w:rPr>
      <w:b/>
      <w:bCs/>
    </w:rPr>
  </w:style>
  <w:style w:type="character" w:customStyle="1" w:styleId="CommentSubjectChar">
    <w:name w:val="Comment Subject Char"/>
    <w:link w:val="CommentSubject"/>
    <w:rsid w:val="00172C04"/>
    <w:rPr>
      <w:b/>
      <w:bCs/>
    </w:rPr>
  </w:style>
  <w:style w:type="paragraph" w:styleId="PlainText">
    <w:name w:val="Plain Text"/>
    <w:basedOn w:val="Normal"/>
    <w:link w:val="PlainTextChar"/>
    <w:uiPriority w:val="99"/>
    <w:unhideWhenUsed/>
    <w:rsid w:val="00976BBC"/>
    <w:rPr>
      <w:rFonts w:ascii="Calibri" w:eastAsia="Calibri" w:hAnsi="Calibri"/>
      <w:sz w:val="22"/>
      <w:szCs w:val="21"/>
    </w:rPr>
  </w:style>
  <w:style w:type="character" w:customStyle="1" w:styleId="PlainTextChar">
    <w:name w:val="Plain Text Char"/>
    <w:link w:val="PlainText"/>
    <w:uiPriority w:val="99"/>
    <w:rsid w:val="00976BBC"/>
    <w:rPr>
      <w:rFonts w:ascii="Calibri" w:eastAsia="Calibri" w:hAnsi="Calibri"/>
      <w:sz w:val="22"/>
      <w:szCs w:val="21"/>
    </w:rPr>
  </w:style>
  <w:style w:type="paragraph" w:customStyle="1" w:styleId="Default">
    <w:name w:val="Default"/>
    <w:rsid w:val="004122A2"/>
    <w:pPr>
      <w:autoSpaceDE w:val="0"/>
      <w:autoSpaceDN w:val="0"/>
      <w:adjustRightInd w:val="0"/>
    </w:pPr>
    <w:rPr>
      <w:color w:val="000000"/>
      <w:sz w:val="24"/>
      <w:szCs w:val="24"/>
    </w:rPr>
  </w:style>
  <w:style w:type="character" w:styleId="EndnoteReference">
    <w:name w:val="endnote reference"/>
    <w:rsid w:val="005465A8"/>
    <w:rPr>
      <w:vertAlign w:val="superscript"/>
    </w:rPr>
  </w:style>
  <w:style w:type="character" w:customStyle="1" w:styleId="FooterChar">
    <w:name w:val="Footer Char"/>
    <w:link w:val="Footer"/>
    <w:uiPriority w:val="99"/>
    <w:rsid w:val="00481472"/>
    <w:rPr>
      <w:sz w:val="24"/>
      <w:szCs w:val="24"/>
    </w:rPr>
  </w:style>
  <w:style w:type="paragraph" w:styleId="NoSpacing">
    <w:name w:val="No Spacing"/>
    <w:uiPriority w:val="1"/>
    <w:qFormat/>
    <w:rsid w:val="00B6485F"/>
    <w:rPr>
      <w:sz w:val="24"/>
      <w:szCs w:val="24"/>
    </w:rPr>
  </w:style>
  <w:style w:type="character" w:customStyle="1" w:styleId="HeaderChar">
    <w:name w:val="Header Char"/>
    <w:link w:val="Header"/>
    <w:uiPriority w:val="99"/>
    <w:rsid w:val="00B6485F"/>
    <w:rPr>
      <w:sz w:val="24"/>
      <w:szCs w:val="24"/>
    </w:rPr>
  </w:style>
  <w:style w:type="character" w:styleId="FollowedHyperlink">
    <w:name w:val="FollowedHyperlink"/>
    <w:rsid w:val="00187B70"/>
    <w:rPr>
      <w:color w:val="800080"/>
      <w:u w:val="single"/>
    </w:rPr>
  </w:style>
  <w:style w:type="character" w:styleId="UnresolvedMention">
    <w:name w:val="Unresolved Mention"/>
    <w:basedOn w:val="DefaultParagraphFont"/>
    <w:uiPriority w:val="99"/>
    <w:semiHidden/>
    <w:unhideWhenUsed/>
    <w:rsid w:val="00D7372C"/>
    <w:rPr>
      <w:color w:val="605E5C"/>
      <w:shd w:val="clear" w:color="auto" w:fill="E1DFDD"/>
    </w:rPr>
  </w:style>
  <w:style w:type="paragraph" w:styleId="Revision">
    <w:name w:val="Revision"/>
    <w:hidden/>
    <w:uiPriority w:val="99"/>
    <w:semiHidden/>
    <w:rsid w:val="00504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2592">
      <w:bodyDiv w:val="1"/>
      <w:marLeft w:val="0"/>
      <w:marRight w:val="0"/>
      <w:marTop w:val="0"/>
      <w:marBottom w:val="0"/>
      <w:divBdr>
        <w:top w:val="none" w:sz="0" w:space="0" w:color="auto"/>
        <w:left w:val="none" w:sz="0" w:space="0" w:color="auto"/>
        <w:bottom w:val="none" w:sz="0" w:space="0" w:color="auto"/>
        <w:right w:val="none" w:sz="0" w:space="0" w:color="auto"/>
      </w:divBdr>
      <w:divsChild>
        <w:div w:id="349337612">
          <w:marLeft w:val="0"/>
          <w:marRight w:val="0"/>
          <w:marTop w:val="0"/>
          <w:marBottom w:val="0"/>
          <w:divBdr>
            <w:top w:val="none" w:sz="0" w:space="0" w:color="auto"/>
            <w:left w:val="none" w:sz="0" w:space="0" w:color="auto"/>
            <w:bottom w:val="none" w:sz="0" w:space="0" w:color="auto"/>
            <w:right w:val="none" w:sz="0" w:space="0" w:color="auto"/>
          </w:divBdr>
          <w:divsChild>
            <w:div w:id="937326564">
              <w:marLeft w:val="0"/>
              <w:marRight w:val="0"/>
              <w:marTop w:val="0"/>
              <w:marBottom w:val="0"/>
              <w:divBdr>
                <w:top w:val="none" w:sz="0" w:space="0" w:color="auto"/>
                <w:left w:val="none" w:sz="0" w:space="0" w:color="auto"/>
                <w:bottom w:val="none" w:sz="0" w:space="0" w:color="auto"/>
                <w:right w:val="none" w:sz="0" w:space="0" w:color="auto"/>
              </w:divBdr>
              <w:divsChild>
                <w:div w:id="660160764">
                  <w:marLeft w:val="0"/>
                  <w:marRight w:val="0"/>
                  <w:marTop w:val="0"/>
                  <w:marBottom w:val="0"/>
                  <w:divBdr>
                    <w:top w:val="none" w:sz="0" w:space="0" w:color="auto"/>
                    <w:left w:val="none" w:sz="0" w:space="0" w:color="auto"/>
                    <w:bottom w:val="none" w:sz="0" w:space="0" w:color="auto"/>
                    <w:right w:val="none" w:sz="0" w:space="0" w:color="auto"/>
                  </w:divBdr>
                  <w:divsChild>
                    <w:div w:id="1111898821">
                      <w:marLeft w:val="0"/>
                      <w:marRight w:val="0"/>
                      <w:marTop w:val="0"/>
                      <w:marBottom w:val="0"/>
                      <w:divBdr>
                        <w:top w:val="none" w:sz="0" w:space="0" w:color="auto"/>
                        <w:left w:val="none" w:sz="0" w:space="0" w:color="auto"/>
                        <w:bottom w:val="none" w:sz="0" w:space="0" w:color="auto"/>
                        <w:right w:val="none" w:sz="0" w:space="0" w:color="auto"/>
                      </w:divBdr>
                      <w:divsChild>
                        <w:div w:id="8778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4171">
                  <w:marLeft w:val="0"/>
                  <w:marRight w:val="0"/>
                  <w:marTop w:val="0"/>
                  <w:marBottom w:val="0"/>
                  <w:divBdr>
                    <w:top w:val="none" w:sz="0" w:space="0" w:color="auto"/>
                    <w:left w:val="none" w:sz="0" w:space="0" w:color="auto"/>
                    <w:bottom w:val="none" w:sz="0" w:space="0" w:color="auto"/>
                    <w:right w:val="none" w:sz="0" w:space="0" w:color="auto"/>
                  </w:divBdr>
                </w:div>
                <w:div w:id="1459646430">
                  <w:marLeft w:val="0"/>
                  <w:marRight w:val="0"/>
                  <w:marTop w:val="0"/>
                  <w:marBottom w:val="0"/>
                  <w:divBdr>
                    <w:top w:val="none" w:sz="0" w:space="0" w:color="auto"/>
                    <w:left w:val="none" w:sz="0" w:space="0" w:color="auto"/>
                    <w:bottom w:val="none" w:sz="0" w:space="0" w:color="auto"/>
                    <w:right w:val="none" w:sz="0" w:space="0" w:color="auto"/>
                  </w:divBdr>
                  <w:divsChild>
                    <w:div w:id="240022825">
                      <w:marLeft w:val="0"/>
                      <w:marRight w:val="0"/>
                      <w:marTop w:val="0"/>
                      <w:marBottom w:val="0"/>
                      <w:divBdr>
                        <w:top w:val="none" w:sz="0" w:space="0" w:color="auto"/>
                        <w:left w:val="none" w:sz="0" w:space="0" w:color="auto"/>
                        <w:bottom w:val="none" w:sz="0" w:space="0" w:color="auto"/>
                        <w:right w:val="none" w:sz="0" w:space="0" w:color="auto"/>
                      </w:divBdr>
                      <w:divsChild>
                        <w:div w:id="14443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4750">
                  <w:marLeft w:val="0"/>
                  <w:marRight w:val="0"/>
                  <w:marTop w:val="0"/>
                  <w:marBottom w:val="0"/>
                  <w:divBdr>
                    <w:top w:val="none" w:sz="0" w:space="0" w:color="auto"/>
                    <w:left w:val="none" w:sz="0" w:space="0" w:color="auto"/>
                    <w:bottom w:val="none" w:sz="0" w:space="0" w:color="auto"/>
                    <w:right w:val="none" w:sz="0" w:space="0" w:color="auto"/>
                  </w:divBdr>
                  <w:divsChild>
                    <w:div w:id="180169386">
                      <w:marLeft w:val="0"/>
                      <w:marRight w:val="0"/>
                      <w:marTop w:val="0"/>
                      <w:marBottom w:val="0"/>
                      <w:divBdr>
                        <w:top w:val="none" w:sz="0" w:space="0" w:color="auto"/>
                        <w:left w:val="none" w:sz="0" w:space="0" w:color="auto"/>
                        <w:bottom w:val="none" w:sz="0" w:space="0" w:color="auto"/>
                        <w:right w:val="none" w:sz="0" w:space="0" w:color="auto"/>
                      </w:divBdr>
                      <w:divsChild>
                        <w:div w:id="18751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2387">
                  <w:marLeft w:val="0"/>
                  <w:marRight w:val="0"/>
                  <w:marTop w:val="0"/>
                  <w:marBottom w:val="0"/>
                  <w:divBdr>
                    <w:top w:val="none" w:sz="0" w:space="0" w:color="auto"/>
                    <w:left w:val="none" w:sz="0" w:space="0" w:color="auto"/>
                    <w:bottom w:val="none" w:sz="0" w:space="0" w:color="auto"/>
                    <w:right w:val="none" w:sz="0" w:space="0" w:color="auto"/>
                  </w:divBdr>
                  <w:divsChild>
                    <w:div w:id="1012026302">
                      <w:marLeft w:val="0"/>
                      <w:marRight w:val="0"/>
                      <w:marTop w:val="0"/>
                      <w:marBottom w:val="0"/>
                      <w:divBdr>
                        <w:top w:val="none" w:sz="0" w:space="0" w:color="auto"/>
                        <w:left w:val="none" w:sz="0" w:space="0" w:color="auto"/>
                        <w:bottom w:val="none" w:sz="0" w:space="0" w:color="auto"/>
                        <w:right w:val="none" w:sz="0" w:space="0" w:color="auto"/>
                      </w:divBdr>
                      <w:divsChild>
                        <w:div w:id="4088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3031">
                  <w:marLeft w:val="0"/>
                  <w:marRight w:val="0"/>
                  <w:marTop w:val="0"/>
                  <w:marBottom w:val="0"/>
                  <w:divBdr>
                    <w:top w:val="none" w:sz="0" w:space="0" w:color="auto"/>
                    <w:left w:val="none" w:sz="0" w:space="0" w:color="auto"/>
                    <w:bottom w:val="none" w:sz="0" w:space="0" w:color="auto"/>
                    <w:right w:val="none" w:sz="0" w:space="0" w:color="auto"/>
                  </w:divBdr>
                  <w:divsChild>
                    <w:div w:id="1412316934">
                      <w:marLeft w:val="0"/>
                      <w:marRight w:val="0"/>
                      <w:marTop w:val="0"/>
                      <w:marBottom w:val="0"/>
                      <w:divBdr>
                        <w:top w:val="none" w:sz="0" w:space="0" w:color="auto"/>
                        <w:left w:val="none" w:sz="0" w:space="0" w:color="auto"/>
                        <w:bottom w:val="none" w:sz="0" w:space="0" w:color="auto"/>
                        <w:right w:val="none" w:sz="0" w:space="0" w:color="auto"/>
                      </w:divBdr>
                      <w:divsChild>
                        <w:div w:id="342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3062">
      <w:bodyDiv w:val="1"/>
      <w:marLeft w:val="30"/>
      <w:marRight w:val="30"/>
      <w:marTop w:val="30"/>
      <w:marBottom w:val="30"/>
      <w:divBdr>
        <w:top w:val="none" w:sz="0" w:space="0" w:color="auto"/>
        <w:left w:val="none" w:sz="0" w:space="0" w:color="auto"/>
        <w:bottom w:val="none" w:sz="0" w:space="0" w:color="auto"/>
        <w:right w:val="none" w:sz="0" w:space="0" w:color="auto"/>
      </w:divBdr>
      <w:divsChild>
        <w:div w:id="340284776">
          <w:marLeft w:val="0"/>
          <w:marRight w:val="0"/>
          <w:marTop w:val="0"/>
          <w:marBottom w:val="0"/>
          <w:divBdr>
            <w:top w:val="none" w:sz="0" w:space="0" w:color="auto"/>
            <w:left w:val="none" w:sz="0" w:space="0" w:color="auto"/>
            <w:bottom w:val="none" w:sz="0" w:space="0" w:color="auto"/>
            <w:right w:val="none" w:sz="0" w:space="0" w:color="auto"/>
          </w:divBdr>
          <w:divsChild>
            <w:div w:id="1466583786">
              <w:marLeft w:val="45"/>
              <w:marRight w:val="45"/>
              <w:marTop w:val="45"/>
              <w:marBottom w:val="45"/>
              <w:divBdr>
                <w:top w:val="none" w:sz="0" w:space="0" w:color="auto"/>
                <w:left w:val="none" w:sz="0" w:space="0" w:color="auto"/>
                <w:bottom w:val="none" w:sz="0" w:space="0" w:color="auto"/>
                <w:right w:val="none" w:sz="0" w:space="0" w:color="auto"/>
              </w:divBdr>
              <w:divsChild>
                <w:div w:id="51081156">
                  <w:marLeft w:val="720"/>
                  <w:marRight w:val="0"/>
                  <w:marTop w:val="0"/>
                  <w:marBottom w:val="0"/>
                  <w:divBdr>
                    <w:top w:val="none" w:sz="0" w:space="0" w:color="auto"/>
                    <w:left w:val="none" w:sz="0" w:space="0" w:color="auto"/>
                    <w:bottom w:val="none" w:sz="0" w:space="0" w:color="auto"/>
                    <w:right w:val="none" w:sz="0" w:space="0" w:color="auto"/>
                  </w:divBdr>
                </w:div>
                <w:div w:id="889195616">
                  <w:marLeft w:val="360"/>
                  <w:marRight w:val="0"/>
                  <w:marTop w:val="0"/>
                  <w:marBottom w:val="0"/>
                  <w:divBdr>
                    <w:top w:val="none" w:sz="0" w:space="0" w:color="auto"/>
                    <w:left w:val="none" w:sz="0" w:space="0" w:color="auto"/>
                    <w:bottom w:val="none" w:sz="0" w:space="0" w:color="auto"/>
                    <w:right w:val="none" w:sz="0" w:space="0" w:color="auto"/>
                  </w:divBdr>
                </w:div>
                <w:div w:id="1089153232">
                  <w:marLeft w:val="360"/>
                  <w:marRight w:val="0"/>
                  <w:marTop w:val="0"/>
                  <w:marBottom w:val="0"/>
                  <w:divBdr>
                    <w:top w:val="none" w:sz="0" w:space="0" w:color="auto"/>
                    <w:left w:val="none" w:sz="0" w:space="0" w:color="auto"/>
                    <w:bottom w:val="none" w:sz="0" w:space="0" w:color="auto"/>
                    <w:right w:val="none" w:sz="0" w:space="0" w:color="auto"/>
                  </w:divBdr>
                </w:div>
                <w:div w:id="1120220934">
                  <w:marLeft w:val="720"/>
                  <w:marRight w:val="0"/>
                  <w:marTop w:val="0"/>
                  <w:marBottom w:val="0"/>
                  <w:divBdr>
                    <w:top w:val="none" w:sz="0" w:space="0" w:color="auto"/>
                    <w:left w:val="none" w:sz="0" w:space="0" w:color="auto"/>
                    <w:bottom w:val="none" w:sz="0" w:space="0" w:color="auto"/>
                    <w:right w:val="none" w:sz="0" w:space="0" w:color="auto"/>
                  </w:divBdr>
                </w:div>
                <w:div w:id="18011482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69720">
      <w:bodyDiv w:val="1"/>
      <w:marLeft w:val="26"/>
      <w:marRight w:val="26"/>
      <w:marTop w:val="26"/>
      <w:marBottom w:val="26"/>
      <w:divBdr>
        <w:top w:val="none" w:sz="0" w:space="0" w:color="auto"/>
        <w:left w:val="none" w:sz="0" w:space="0" w:color="auto"/>
        <w:bottom w:val="none" w:sz="0" w:space="0" w:color="auto"/>
        <w:right w:val="none" w:sz="0" w:space="0" w:color="auto"/>
      </w:divBdr>
      <w:divsChild>
        <w:div w:id="94986444">
          <w:marLeft w:val="0"/>
          <w:marRight w:val="0"/>
          <w:marTop w:val="0"/>
          <w:marBottom w:val="0"/>
          <w:divBdr>
            <w:top w:val="none" w:sz="0" w:space="0" w:color="auto"/>
            <w:left w:val="none" w:sz="0" w:space="0" w:color="auto"/>
            <w:bottom w:val="none" w:sz="0" w:space="0" w:color="auto"/>
            <w:right w:val="none" w:sz="0" w:space="0" w:color="auto"/>
          </w:divBdr>
          <w:divsChild>
            <w:div w:id="1596086045">
              <w:marLeft w:val="40"/>
              <w:marRight w:val="40"/>
              <w:marTop w:val="40"/>
              <w:marBottom w:val="40"/>
              <w:divBdr>
                <w:top w:val="none" w:sz="0" w:space="0" w:color="auto"/>
                <w:left w:val="none" w:sz="0" w:space="0" w:color="auto"/>
                <w:bottom w:val="none" w:sz="0" w:space="0" w:color="auto"/>
                <w:right w:val="none" w:sz="0" w:space="0" w:color="auto"/>
              </w:divBdr>
              <w:divsChild>
                <w:div w:id="1127547463">
                  <w:marLeft w:val="0"/>
                  <w:marRight w:val="0"/>
                  <w:marTop w:val="0"/>
                  <w:marBottom w:val="0"/>
                  <w:divBdr>
                    <w:top w:val="none" w:sz="0" w:space="0" w:color="auto"/>
                    <w:left w:val="none" w:sz="0" w:space="0" w:color="auto"/>
                    <w:bottom w:val="none" w:sz="0" w:space="0" w:color="auto"/>
                    <w:right w:val="none" w:sz="0" w:space="0" w:color="auto"/>
                  </w:divBdr>
                  <w:divsChild>
                    <w:div w:id="120415992">
                      <w:marLeft w:val="0"/>
                      <w:marRight w:val="0"/>
                      <w:marTop w:val="0"/>
                      <w:marBottom w:val="0"/>
                      <w:divBdr>
                        <w:top w:val="none" w:sz="0" w:space="0" w:color="auto"/>
                        <w:left w:val="none" w:sz="0" w:space="0" w:color="auto"/>
                        <w:bottom w:val="none" w:sz="0" w:space="0" w:color="auto"/>
                        <w:right w:val="none" w:sz="0" w:space="0" w:color="auto"/>
                      </w:divBdr>
                    </w:div>
                    <w:div w:id="529999334">
                      <w:marLeft w:val="0"/>
                      <w:marRight w:val="0"/>
                      <w:marTop w:val="0"/>
                      <w:marBottom w:val="0"/>
                      <w:divBdr>
                        <w:top w:val="none" w:sz="0" w:space="0" w:color="auto"/>
                        <w:left w:val="none" w:sz="0" w:space="0" w:color="auto"/>
                        <w:bottom w:val="none" w:sz="0" w:space="0" w:color="auto"/>
                        <w:right w:val="none" w:sz="0" w:space="0" w:color="auto"/>
                      </w:divBdr>
                    </w:div>
                    <w:div w:id="1389915025">
                      <w:marLeft w:val="0"/>
                      <w:marRight w:val="0"/>
                      <w:marTop w:val="0"/>
                      <w:marBottom w:val="0"/>
                      <w:divBdr>
                        <w:top w:val="none" w:sz="0" w:space="0" w:color="auto"/>
                        <w:left w:val="none" w:sz="0" w:space="0" w:color="auto"/>
                        <w:bottom w:val="none" w:sz="0" w:space="0" w:color="auto"/>
                        <w:right w:val="none" w:sz="0" w:space="0" w:color="auto"/>
                      </w:divBdr>
                    </w:div>
                    <w:div w:id="1435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281">
      <w:bodyDiv w:val="1"/>
      <w:marLeft w:val="0"/>
      <w:marRight w:val="0"/>
      <w:marTop w:val="0"/>
      <w:marBottom w:val="0"/>
      <w:divBdr>
        <w:top w:val="none" w:sz="0" w:space="0" w:color="auto"/>
        <w:left w:val="none" w:sz="0" w:space="0" w:color="auto"/>
        <w:bottom w:val="none" w:sz="0" w:space="0" w:color="auto"/>
        <w:right w:val="none" w:sz="0" w:space="0" w:color="auto"/>
      </w:divBdr>
    </w:div>
    <w:div w:id="815418790">
      <w:bodyDiv w:val="1"/>
      <w:marLeft w:val="0"/>
      <w:marRight w:val="0"/>
      <w:marTop w:val="0"/>
      <w:marBottom w:val="0"/>
      <w:divBdr>
        <w:top w:val="none" w:sz="0" w:space="0" w:color="auto"/>
        <w:left w:val="none" w:sz="0" w:space="0" w:color="auto"/>
        <w:bottom w:val="none" w:sz="0" w:space="0" w:color="auto"/>
        <w:right w:val="none" w:sz="0" w:space="0" w:color="auto"/>
      </w:divBdr>
      <w:divsChild>
        <w:div w:id="4738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54286">
      <w:bodyDiv w:val="1"/>
      <w:marLeft w:val="0"/>
      <w:marRight w:val="0"/>
      <w:marTop w:val="0"/>
      <w:marBottom w:val="0"/>
      <w:divBdr>
        <w:top w:val="none" w:sz="0" w:space="0" w:color="auto"/>
        <w:left w:val="none" w:sz="0" w:space="0" w:color="auto"/>
        <w:bottom w:val="none" w:sz="0" w:space="0" w:color="auto"/>
        <w:right w:val="none" w:sz="0" w:space="0" w:color="auto"/>
      </w:divBdr>
    </w:div>
    <w:div w:id="969242609">
      <w:bodyDiv w:val="1"/>
      <w:marLeft w:val="0"/>
      <w:marRight w:val="0"/>
      <w:marTop w:val="0"/>
      <w:marBottom w:val="0"/>
      <w:divBdr>
        <w:top w:val="none" w:sz="0" w:space="0" w:color="auto"/>
        <w:left w:val="none" w:sz="0" w:space="0" w:color="auto"/>
        <w:bottom w:val="none" w:sz="0" w:space="0" w:color="auto"/>
        <w:right w:val="none" w:sz="0" w:space="0" w:color="auto"/>
      </w:divBdr>
      <w:divsChild>
        <w:div w:id="1940022093">
          <w:marLeft w:val="0"/>
          <w:marRight w:val="0"/>
          <w:marTop w:val="0"/>
          <w:marBottom w:val="0"/>
          <w:divBdr>
            <w:top w:val="none" w:sz="0" w:space="0" w:color="auto"/>
            <w:left w:val="none" w:sz="0" w:space="0" w:color="auto"/>
            <w:bottom w:val="none" w:sz="0" w:space="0" w:color="auto"/>
            <w:right w:val="none" w:sz="0" w:space="0" w:color="auto"/>
          </w:divBdr>
          <w:divsChild>
            <w:div w:id="341052550">
              <w:marLeft w:val="0"/>
              <w:marRight w:val="0"/>
              <w:marTop w:val="0"/>
              <w:marBottom w:val="0"/>
              <w:divBdr>
                <w:top w:val="none" w:sz="0" w:space="0" w:color="auto"/>
                <w:left w:val="none" w:sz="0" w:space="0" w:color="auto"/>
                <w:bottom w:val="none" w:sz="0" w:space="0" w:color="auto"/>
                <w:right w:val="none" w:sz="0" w:space="0" w:color="auto"/>
              </w:divBdr>
              <w:divsChild>
                <w:div w:id="253368047">
                  <w:marLeft w:val="0"/>
                  <w:marRight w:val="0"/>
                  <w:marTop w:val="0"/>
                  <w:marBottom w:val="0"/>
                  <w:divBdr>
                    <w:top w:val="none" w:sz="0" w:space="0" w:color="auto"/>
                    <w:left w:val="none" w:sz="0" w:space="0" w:color="auto"/>
                    <w:bottom w:val="none" w:sz="0" w:space="0" w:color="auto"/>
                    <w:right w:val="none" w:sz="0" w:space="0" w:color="auto"/>
                  </w:divBdr>
                  <w:divsChild>
                    <w:div w:id="310208963">
                      <w:marLeft w:val="0"/>
                      <w:marRight w:val="0"/>
                      <w:marTop w:val="0"/>
                      <w:marBottom w:val="0"/>
                      <w:divBdr>
                        <w:top w:val="none" w:sz="0" w:space="0" w:color="auto"/>
                        <w:left w:val="none" w:sz="0" w:space="0" w:color="auto"/>
                        <w:bottom w:val="none" w:sz="0" w:space="0" w:color="auto"/>
                        <w:right w:val="none" w:sz="0" w:space="0" w:color="auto"/>
                      </w:divBdr>
                      <w:divsChild>
                        <w:div w:id="1580169482">
                          <w:marLeft w:val="0"/>
                          <w:marRight w:val="0"/>
                          <w:marTop w:val="0"/>
                          <w:marBottom w:val="0"/>
                          <w:divBdr>
                            <w:top w:val="none" w:sz="0" w:space="0" w:color="auto"/>
                            <w:left w:val="none" w:sz="0" w:space="0" w:color="auto"/>
                            <w:bottom w:val="none" w:sz="0" w:space="0" w:color="auto"/>
                            <w:right w:val="none" w:sz="0" w:space="0" w:color="auto"/>
                          </w:divBdr>
                          <w:divsChild>
                            <w:div w:id="746654336">
                              <w:marLeft w:val="0"/>
                              <w:marRight w:val="0"/>
                              <w:marTop w:val="0"/>
                              <w:marBottom w:val="0"/>
                              <w:divBdr>
                                <w:top w:val="none" w:sz="0" w:space="0" w:color="auto"/>
                                <w:left w:val="none" w:sz="0" w:space="0" w:color="auto"/>
                                <w:bottom w:val="none" w:sz="0" w:space="0" w:color="auto"/>
                                <w:right w:val="none" w:sz="0" w:space="0" w:color="auto"/>
                              </w:divBdr>
                              <w:divsChild>
                                <w:div w:id="11428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147">
                      <w:marLeft w:val="0"/>
                      <w:marRight w:val="0"/>
                      <w:marTop w:val="0"/>
                      <w:marBottom w:val="0"/>
                      <w:divBdr>
                        <w:top w:val="none" w:sz="0" w:space="0" w:color="auto"/>
                        <w:left w:val="none" w:sz="0" w:space="0" w:color="auto"/>
                        <w:bottom w:val="none" w:sz="0" w:space="0" w:color="auto"/>
                        <w:right w:val="none" w:sz="0" w:space="0" w:color="auto"/>
                      </w:divBdr>
                      <w:divsChild>
                        <w:div w:id="1335835179">
                          <w:marLeft w:val="0"/>
                          <w:marRight w:val="0"/>
                          <w:marTop w:val="0"/>
                          <w:marBottom w:val="0"/>
                          <w:divBdr>
                            <w:top w:val="none" w:sz="0" w:space="0" w:color="auto"/>
                            <w:left w:val="none" w:sz="0" w:space="0" w:color="auto"/>
                            <w:bottom w:val="none" w:sz="0" w:space="0" w:color="auto"/>
                            <w:right w:val="none" w:sz="0" w:space="0" w:color="auto"/>
                          </w:divBdr>
                          <w:divsChild>
                            <w:div w:id="1102798550">
                              <w:marLeft w:val="0"/>
                              <w:marRight w:val="0"/>
                              <w:marTop w:val="0"/>
                              <w:marBottom w:val="0"/>
                              <w:divBdr>
                                <w:top w:val="none" w:sz="0" w:space="0" w:color="auto"/>
                                <w:left w:val="none" w:sz="0" w:space="0" w:color="auto"/>
                                <w:bottom w:val="none" w:sz="0" w:space="0" w:color="auto"/>
                                <w:right w:val="none" w:sz="0" w:space="0" w:color="auto"/>
                              </w:divBdr>
                              <w:divsChild>
                                <w:div w:id="3985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5716">
                      <w:marLeft w:val="0"/>
                      <w:marRight w:val="0"/>
                      <w:marTop w:val="0"/>
                      <w:marBottom w:val="0"/>
                      <w:divBdr>
                        <w:top w:val="none" w:sz="0" w:space="0" w:color="auto"/>
                        <w:left w:val="none" w:sz="0" w:space="0" w:color="auto"/>
                        <w:bottom w:val="none" w:sz="0" w:space="0" w:color="auto"/>
                        <w:right w:val="none" w:sz="0" w:space="0" w:color="auto"/>
                      </w:divBdr>
                      <w:divsChild>
                        <w:div w:id="1525510396">
                          <w:marLeft w:val="0"/>
                          <w:marRight w:val="0"/>
                          <w:marTop w:val="0"/>
                          <w:marBottom w:val="0"/>
                          <w:divBdr>
                            <w:top w:val="none" w:sz="0" w:space="0" w:color="auto"/>
                            <w:left w:val="none" w:sz="0" w:space="0" w:color="auto"/>
                            <w:bottom w:val="none" w:sz="0" w:space="0" w:color="auto"/>
                            <w:right w:val="none" w:sz="0" w:space="0" w:color="auto"/>
                          </w:divBdr>
                          <w:divsChild>
                            <w:div w:id="266547439">
                              <w:marLeft w:val="0"/>
                              <w:marRight w:val="0"/>
                              <w:marTop w:val="0"/>
                              <w:marBottom w:val="0"/>
                              <w:divBdr>
                                <w:top w:val="none" w:sz="0" w:space="0" w:color="auto"/>
                                <w:left w:val="none" w:sz="0" w:space="0" w:color="auto"/>
                                <w:bottom w:val="none" w:sz="0" w:space="0" w:color="auto"/>
                                <w:right w:val="none" w:sz="0" w:space="0" w:color="auto"/>
                              </w:divBdr>
                              <w:divsChild>
                                <w:div w:id="403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0936">
                      <w:marLeft w:val="0"/>
                      <w:marRight w:val="0"/>
                      <w:marTop w:val="0"/>
                      <w:marBottom w:val="0"/>
                      <w:divBdr>
                        <w:top w:val="none" w:sz="0" w:space="0" w:color="auto"/>
                        <w:left w:val="none" w:sz="0" w:space="0" w:color="auto"/>
                        <w:bottom w:val="none" w:sz="0" w:space="0" w:color="auto"/>
                        <w:right w:val="none" w:sz="0" w:space="0" w:color="auto"/>
                      </w:divBdr>
                      <w:divsChild>
                        <w:div w:id="206770202">
                          <w:marLeft w:val="0"/>
                          <w:marRight w:val="0"/>
                          <w:marTop w:val="0"/>
                          <w:marBottom w:val="0"/>
                          <w:divBdr>
                            <w:top w:val="none" w:sz="0" w:space="0" w:color="auto"/>
                            <w:left w:val="none" w:sz="0" w:space="0" w:color="auto"/>
                            <w:bottom w:val="none" w:sz="0" w:space="0" w:color="auto"/>
                            <w:right w:val="none" w:sz="0" w:space="0" w:color="auto"/>
                          </w:divBdr>
                          <w:divsChild>
                            <w:div w:id="64770090">
                              <w:marLeft w:val="0"/>
                              <w:marRight w:val="0"/>
                              <w:marTop w:val="0"/>
                              <w:marBottom w:val="0"/>
                              <w:divBdr>
                                <w:top w:val="none" w:sz="0" w:space="0" w:color="auto"/>
                                <w:left w:val="none" w:sz="0" w:space="0" w:color="auto"/>
                                <w:bottom w:val="none" w:sz="0" w:space="0" w:color="auto"/>
                                <w:right w:val="none" w:sz="0" w:space="0" w:color="auto"/>
                              </w:divBdr>
                              <w:divsChild>
                                <w:div w:id="17154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457">
                      <w:marLeft w:val="0"/>
                      <w:marRight w:val="0"/>
                      <w:marTop w:val="0"/>
                      <w:marBottom w:val="0"/>
                      <w:divBdr>
                        <w:top w:val="none" w:sz="0" w:space="0" w:color="auto"/>
                        <w:left w:val="none" w:sz="0" w:space="0" w:color="auto"/>
                        <w:bottom w:val="none" w:sz="0" w:space="0" w:color="auto"/>
                        <w:right w:val="none" w:sz="0" w:space="0" w:color="auto"/>
                      </w:divBdr>
                      <w:divsChild>
                        <w:div w:id="1995061437">
                          <w:marLeft w:val="0"/>
                          <w:marRight w:val="0"/>
                          <w:marTop w:val="0"/>
                          <w:marBottom w:val="0"/>
                          <w:divBdr>
                            <w:top w:val="none" w:sz="0" w:space="0" w:color="auto"/>
                            <w:left w:val="none" w:sz="0" w:space="0" w:color="auto"/>
                            <w:bottom w:val="none" w:sz="0" w:space="0" w:color="auto"/>
                            <w:right w:val="none" w:sz="0" w:space="0" w:color="auto"/>
                          </w:divBdr>
                        </w:div>
                      </w:divsChild>
                    </w:div>
                    <w:div w:id="1376924824">
                      <w:marLeft w:val="0"/>
                      <w:marRight w:val="0"/>
                      <w:marTop w:val="0"/>
                      <w:marBottom w:val="0"/>
                      <w:divBdr>
                        <w:top w:val="none" w:sz="0" w:space="0" w:color="auto"/>
                        <w:left w:val="none" w:sz="0" w:space="0" w:color="auto"/>
                        <w:bottom w:val="none" w:sz="0" w:space="0" w:color="auto"/>
                        <w:right w:val="none" w:sz="0" w:space="0" w:color="auto"/>
                      </w:divBdr>
                      <w:divsChild>
                        <w:div w:id="1672679327">
                          <w:marLeft w:val="0"/>
                          <w:marRight w:val="0"/>
                          <w:marTop w:val="0"/>
                          <w:marBottom w:val="0"/>
                          <w:divBdr>
                            <w:top w:val="none" w:sz="0" w:space="0" w:color="auto"/>
                            <w:left w:val="none" w:sz="0" w:space="0" w:color="auto"/>
                            <w:bottom w:val="none" w:sz="0" w:space="0" w:color="auto"/>
                            <w:right w:val="none" w:sz="0" w:space="0" w:color="auto"/>
                          </w:divBdr>
                          <w:divsChild>
                            <w:div w:id="1647470251">
                              <w:marLeft w:val="0"/>
                              <w:marRight w:val="0"/>
                              <w:marTop w:val="0"/>
                              <w:marBottom w:val="0"/>
                              <w:divBdr>
                                <w:top w:val="none" w:sz="0" w:space="0" w:color="auto"/>
                                <w:left w:val="none" w:sz="0" w:space="0" w:color="auto"/>
                                <w:bottom w:val="none" w:sz="0" w:space="0" w:color="auto"/>
                                <w:right w:val="none" w:sz="0" w:space="0" w:color="auto"/>
                              </w:divBdr>
                              <w:divsChild>
                                <w:div w:id="17464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01713">
                      <w:marLeft w:val="0"/>
                      <w:marRight w:val="0"/>
                      <w:marTop w:val="0"/>
                      <w:marBottom w:val="0"/>
                      <w:divBdr>
                        <w:top w:val="none" w:sz="0" w:space="0" w:color="auto"/>
                        <w:left w:val="none" w:sz="0" w:space="0" w:color="auto"/>
                        <w:bottom w:val="none" w:sz="0" w:space="0" w:color="auto"/>
                        <w:right w:val="none" w:sz="0" w:space="0" w:color="auto"/>
                      </w:divBdr>
                      <w:divsChild>
                        <w:div w:id="1663193440">
                          <w:marLeft w:val="0"/>
                          <w:marRight w:val="0"/>
                          <w:marTop w:val="0"/>
                          <w:marBottom w:val="0"/>
                          <w:divBdr>
                            <w:top w:val="none" w:sz="0" w:space="0" w:color="auto"/>
                            <w:left w:val="none" w:sz="0" w:space="0" w:color="auto"/>
                            <w:bottom w:val="none" w:sz="0" w:space="0" w:color="auto"/>
                            <w:right w:val="none" w:sz="0" w:space="0" w:color="auto"/>
                          </w:divBdr>
                          <w:divsChild>
                            <w:div w:id="857963097">
                              <w:marLeft w:val="0"/>
                              <w:marRight w:val="0"/>
                              <w:marTop w:val="0"/>
                              <w:marBottom w:val="0"/>
                              <w:divBdr>
                                <w:top w:val="none" w:sz="0" w:space="0" w:color="auto"/>
                                <w:left w:val="none" w:sz="0" w:space="0" w:color="auto"/>
                                <w:bottom w:val="none" w:sz="0" w:space="0" w:color="auto"/>
                                <w:right w:val="none" w:sz="0" w:space="0" w:color="auto"/>
                              </w:divBdr>
                              <w:divsChild>
                                <w:div w:id="13353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61498">
                  <w:marLeft w:val="0"/>
                  <w:marRight w:val="0"/>
                  <w:marTop w:val="0"/>
                  <w:marBottom w:val="0"/>
                  <w:divBdr>
                    <w:top w:val="none" w:sz="0" w:space="0" w:color="auto"/>
                    <w:left w:val="none" w:sz="0" w:space="0" w:color="auto"/>
                    <w:bottom w:val="none" w:sz="0" w:space="0" w:color="auto"/>
                    <w:right w:val="none" w:sz="0" w:space="0" w:color="auto"/>
                  </w:divBdr>
                </w:div>
                <w:div w:id="1052844961">
                  <w:marLeft w:val="0"/>
                  <w:marRight w:val="0"/>
                  <w:marTop w:val="0"/>
                  <w:marBottom w:val="0"/>
                  <w:divBdr>
                    <w:top w:val="none" w:sz="0" w:space="0" w:color="auto"/>
                    <w:left w:val="none" w:sz="0" w:space="0" w:color="auto"/>
                    <w:bottom w:val="none" w:sz="0" w:space="0" w:color="auto"/>
                    <w:right w:val="none" w:sz="0" w:space="0" w:color="auto"/>
                  </w:divBdr>
                  <w:divsChild>
                    <w:div w:id="736132837">
                      <w:marLeft w:val="0"/>
                      <w:marRight w:val="0"/>
                      <w:marTop w:val="0"/>
                      <w:marBottom w:val="0"/>
                      <w:divBdr>
                        <w:top w:val="none" w:sz="0" w:space="0" w:color="auto"/>
                        <w:left w:val="none" w:sz="0" w:space="0" w:color="auto"/>
                        <w:bottom w:val="none" w:sz="0" w:space="0" w:color="auto"/>
                        <w:right w:val="none" w:sz="0" w:space="0" w:color="auto"/>
                      </w:divBdr>
                      <w:divsChild>
                        <w:div w:id="8122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5405">
                  <w:marLeft w:val="0"/>
                  <w:marRight w:val="0"/>
                  <w:marTop w:val="0"/>
                  <w:marBottom w:val="0"/>
                  <w:divBdr>
                    <w:top w:val="none" w:sz="0" w:space="0" w:color="auto"/>
                    <w:left w:val="none" w:sz="0" w:space="0" w:color="auto"/>
                    <w:bottom w:val="none" w:sz="0" w:space="0" w:color="auto"/>
                    <w:right w:val="none" w:sz="0" w:space="0" w:color="auto"/>
                  </w:divBdr>
                  <w:divsChild>
                    <w:div w:id="406147503">
                      <w:marLeft w:val="0"/>
                      <w:marRight w:val="0"/>
                      <w:marTop w:val="0"/>
                      <w:marBottom w:val="0"/>
                      <w:divBdr>
                        <w:top w:val="none" w:sz="0" w:space="0" w:color="auto"/>
                        <w:left w:val="none" w:sz="0" w:space="0" w:color="auto"/>
                        <w:bottom w:val="none" w:sz="0" w:space="0" w:color="auto"/>
                        <w:right w:val="none" w:sz="0" w:space="0" w:color="auto"/>
                      </w:divBdr>
                      <w:divsChild>
                        <w:div w:id="14522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7489">
                  <w:marLeft w:val="0"/>
                  <w:marRight w:val="0"/>
                  <w:marTop w:val="0"/>
                  <w:marBottom w:val="0"/>
                  <w:divBdr>
                    <w:top w:val="none" w:sz="0" w:space="0" w:color="auto"/>
                    <w:left w:val="none" w:sz="0" w:space="0" w:color="auto"/>
                    <w:bottom w:val="none" w:sz="0" w:space="0" w:color="auto"/>
                    <w:right w:val="none" w:sz="0" w:space="0" w:color="auto"/>
                  </w:divBdr>
                  <w:divsChild>
                    <w:div w:id="1668943489">
                      <w:marLeft w:val="0"/>
                      <w:marRight w:val="0"/>
                      <w:marTop w:val="0"/>
                      <w:marBottom w:val="0"/>
                      <w:divBdr>
                        <w:top w:val="none" w:sz="0" w:space="0" w:color="auto"/>
                        <w:left w:val="none" w:sz="0" w:space="0" w:color="auto"/>
                        <w:bottom w:val="none" w:sz="0" w:space="0" w:color="auto"/>
                        <w:right w:val="none" w:sz="0" w:space="0" w:color="auto"/>
                      </w:divBdr>
                      <w:divsChild>
                        <w:div w:id="1307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630168">
      <w:bodyDiv w:val="1"/>
      <w:marLeft w:val="0"/>
      <w:marRight w:val="0"/>
      <w:marTop w:val="0"/>
      <w:marBottom w:val="0"/>
      <w:divBdr>
        <w:top w:val="none" w:sz="0" w:space="0" w:color="auto"/>
        <w:left w:val="none" w:sz="0" w:space="0" w:color="auto"/>
        <w:bottom w:val="none" w:sz="0" w:space="0" w:color="auto"/>
        <w:right w:val="none" w:sz="0" w:space="0" w:color="auto"/>
      </w:divBdr>
      <w:divsChild>
        <w:div w:id="1394965558">
          <w:marLeft w:val="0"/>
          <w:marRight w:val="0"/>
          <w:marTop w:val="0"/>
          <w:marBottom w:val="0"/>
          <w:divBdr>
            <w:top w:val="none" w:sz="0" w:space="0" w:color="auto"/>
            <w:left w:val="none" w:sz="0" w:space="0" w:color="auto"/>
            <w:bottom w:val="none" w:sz="0" w:space="0" w:color="auto"/>
            <w:right w:val="none" w:sz="0" w:space="0" w:color="auto"/>
          </w:divBdr>
          <w:divsChild>
            <w:div w:id="2054503590">
              <w:marLeft w:val="0"/>
              <w:marRight w:val="0"/>
              <w:marTop w:val="0"/>
              <w:marBottom w:val="0"/>
              <w:divBdr>
                <w:top w:val="none" w:sz="0" w:space="0" w:color="auto"/>
                <w:left w:val="none" w:sz="0" w:space="0" w:color="auto"/>
                <w:bottom w:val="none" w:sz="0" w:space="0" w:color="auto"/>
                <w:right w:val="none" w:sz="0" w:space="0" w:color="auto"/>
              </w:divBdr>
              <w:divsChild>
                <w:div w:id="117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61116">
      <w:bodyDiv w:val="1"/>
      <w:marLeft w:val="0"/>
      <w:marRight w:val="0"/>
      <w:marTop w:val="0"/>
      <w:marBottom w:val="0"/>
      <w:divBdr>
        <w:top w:val="none" w:sz="0" w:space="0" w:color="auto"/>
        <w:left w:val="none" w:sz="0" w:space="0" w:color="auto"/>
        <w:bottom w:val="none" w:sz="0" w:space="0" w:color="auto"/>
        <w:right w:val="none" w:sz="0" w:space="0" w:color="auto"/>
      </w:divBdr>
      <w:divsChild>
        <w:div w:id="674963076">
          <w:marLeft w:val="0"/>
          <w:marRight w:val="0"/>
          <w:marTop w:val="0"/>
          <w:marBottom w:val="0"/>
          <w:divBdr>
            <w:top w:val="none" w:sz="0" w:space="0" w:color="auto"/>
            <w:left w:val="none" w:sz="0" w:space="0" w:color="auto"/>
            <w:bottom w:val="none" w:sz="0" w:space="0" w:color="auto"/>
            <w:right w:val="none" w:sz="0" w:space="0" w:color="auto"/>
          </w:divBdr>
          <w:divsChild>
            <w:div w:id="1850875724">
              <w:marLeft w:val="0"/>
              <w:marRight w:val="0"/>
              <w:marTop w:val="0"/>
              <w:marBottom w:val="0"/>
              <w:divBdr>
                <w:top w:val="none" w:sz="0" w:space="0" w:color="auto"/>
                <w:left w:val="none" w:sz="0" w:space="0" w:color="auto"/>
                <w:bottom w:val="none" w:sz="0" w:space="0" w:color="auto"/>
                <w:right w:val="none" w:sz="0" w:space="0" w:color="auto"/>
              </w:divBdr>
              <w:divsChild>
                <w:div w:id="371855237">
                  <w:marLeft w:val="0"/>
                  <w:marRight w:val="0"/>
                  <w:marTop w:val="0"/>
                  <w:marBottom w:val="0"/>
                  <w:divBdr>
                    <w:top w:val="none" w:sz="0" w:space="0" w:color="auto"/>
                    <w:left w:val="none" w:sz="0" w:space="0" w:color="auto"/>
                    <w:bottom w:val="none" w:sz="0" w:space="0" w:color="auto"/>
                    <w:right w:val="none" w:sz="0" w:space="0" w:color="auto"/>
                  </w:divBdr>
                </w:div>
                <w:div w:id="551965625">
                  <w:marLeft w:val="0"/>
                  <w:marRight w:val="0"/>
                  <w:marTop w:val="0"/>
                  <w:marBottom w:val="0"/>
                  <w:divBdr>
                    <w:top w:val="none" w:sz="0" w:space="0" w:color="auto"/>
                    <w:left w:val="none" w:sz="0" w:space="0" w:color="auto"/>
                    <w:bottom w:val="none" w:sz="0" w:space="0" w:color="auto"/>
                    <w:right w:val="none" w:sz="0" w:space="0" w:color="auto"/>
                  </w:divBdr>
                  <w:divsChild>
                    <w:div w:id="2079553979">
                      <w:marLeft w:val="0"/>
                      <w:marRight w:val="0"/>
                      <w:marTop w:val="0"/>
                      <w:marBottom w:val="0"/>
                      <w:divBdr>
                        <w:top w:val="none" w:sz="0" w:space="0" w:color="auto"/>
                        <w:left w:val="none" w:sz="0" w:space="0" w:color="auto"/>
                        <w:bottom w:val="none" w:sz="0" w:space="0" w:color="auto"/>
                        <w:right w:val="none" w:sz="0" w:space="0" w:color="auto"/>
                      </w:divBdr>
                      <w:divsChild>
                        <w:div w:id="1751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841">
                  <w:marLeft w:val="0"/>
                  <w:marRight w:val="0"/>
                  <w:marTop w:val="0"/>
                  <w:marBottom w:val="0"/>
                  <w:divBdr>
                    <w:top w:val="none" w:sz="0" w:space="0" w:color="auto"/>
                    <w:left w:val="none" w:sz="0" w:space="0" w:color="auto"/>
                    <w:bottom w:val="none" w:sz="0" w:space="0" w:color="auto"/>
                    <w:right w:val="none" w:sz="0" w:space="0" w:color="auto"/>
                  </w:divBdr>
                  <w:divsChild>
                    <w:div w:id="655181707">
                      <w:marLeft w:val="0"/>
                      <w:marRight w:val="0"/>
                      <w:marTop w:val="0"/>
                      <w:marBottom w:val="0"/>
                      <w:divBdr>
                        <w:top w:val="none" w:sz="0" w:space="0" w:color="auto"/>
                        <w:left w:val="none" w:sz="0" w:space="0" w:color="auto"/>
                        <w:bottom w:val="none" w:sz="0" w:space="0" w:color="auto"/>
                        <w:right w:val="none" w:sz="0" w:space="0" w:color="auto"/>
                      </w:divBdr>
                      <w:divsChild>
                        <w:div w:id="1575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020">
                  <w:marLeft w:val="0"/>
                  <w:marRight w:val="0"/>
                  <w:marTop w:val="0"/>
                  <w:marBottom w:val="0"/>
                  <w:divBdr>
                    <w:top w:val="none" w:sz="0" w:space="0" w:color="auto"/>
                    <w:left w:val="none" w:sz="0" w:space="0" w:color="auto"/>
                    <w:bottom w:val="none" w:sz="0" w:space="0" w:color="auto"/>
                    <w:right w:val="none" w:sz="0" w:space="0" w:color="auto"/>
                  </w:divBdr>
                  <w:divsChild>
                    <w:div w:id="2099671691">
                      <w:marLeft w:val="0"/>
                      <w:marRight w:val="0"/>
                      <w:marTop w:val="0"/>
                      <w:marBottom w:val="0"/>
                      <w:divBdr>
                        <w:top w:val="none" w:sz="0" w:space="0" w:color="auto"/>
                        <w:left w:val="none" w:sz="0" w:space="0" w:color="auto"/>
                        <w:bottom w:val="none" w:sz="0" w:space="0" w:color="auto"/>
                        <w:right w:val="none" w:sz="0" w:space="0" w:color="auto"/>
                      </w:divBdr>
                      <w:divsChild>
                        <w:div w:id="7346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864">
                  <w:marLeft w:val="0"/>
                  <w:marRight w:val="0"/>
                  <w:marTop w:val="0"/>
                  <w:marBottom w:val="0"/>
                  <w:divBdr>
                    <w:top w:val="none" w:sz="0" w:space="0" w:color="auto"/>
                    <w:left w:val="none" w:sz="0" w:space="0" w:color="auto"/>
                    <w:bottom w:val="none" w:sz="0" w:space="0" w:color="auto"/>
                    <w:right w:val="none" w:sz="0" w:space="0" w:color="auto"/>
                  </w:divBdr>
                  <w:divsChild>
                    <w:div w:id="534581992">
                      <w:marLeft w:val="0"/>
                      <w:marRight w:val="0"/>
                      <w:marTop w:val="0"/>
                      <w:marBottom w:val="0"/>
                      <w:divBdr>
                        <w:top w:val="none" w:sz="0" w:space="0" w:color="auto"/>
                        <w:left w:val="none" w:sz="0" w:space="0" w:color="auto"/>
                        <w:bottom w:val="none" w:sz="0" w:space="0" w:color="auto"/>
                        <w:right w:val="none" w:sz="0" w:space="0" w:color="auto"/>
                      </w:divBdr>
                      <w:divsChild>
                        <w:div w:id="1673216789">
                          <w:marLeft w:val="0"/>
                          <w:marRight w:val="0"/>
                          <w:marTop w:val="0"/>
                          <w:marBottom w:val="0"/>
                          <w:divBdr>
                            <w:top w:val="none" w:sz="0" w:space="0" w:color="auto"/>
                            <w:left w:val="none" w:sz="0" w:space="0" w:color="auto"/>
                            <w:bottom w:val="none" w:sz="0" w:space="0" w:color="auto"/>
                            <w:right w:val="none" w:sz="0" w:space="0" w:color="auto"/>
                          </w:divBdr>
                          <w:divsChild>
                            <w:div w:id="1027020797">
                              <w:marLeft w:val="0"/>
                              <w:marRight w:val="0"/>
                              <w:marTop w:val="0"/>
                              <w:marBottom w:val="0"/>
                              <w:divBdr>
                                <w:top w:val="none" w:sz="0" w:space="0" w:color="auto"/>
                                <w:left w:val="none" w:sz="0" w:space="0" w:color="auto"/>
                                <w:bottom w:val="none" w:sz="0" w:space="0" w:color="auto"/>
                                <w:right w:val="none" w:sz="0" w:space="0" w:color="auto"/>
                              </w:divBdr>
                              <w:divsChild>
                                <w:div w:id="2969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00412">
                      <w:marLeft w:val="0"/>
                      <w:marRight w:val="0"/>
                      <w:marTop w:val="0"/>
                      <w:marBottom w:val="0"/>
                      <w:divBdr>
                        <w:top w:val="none" w:sz="0" w:space="0" w:color="auto"/>
                        <w:left w:val="none" w:sz="0" w:space="0" w:color="auto"/>
                        <w:bottom w:val="none" w:sz="0" w:space="0" w:color="auto"/>
                        <w:right w:val="none" w:sz="0" w:space="0" w:color="auto"/>
                      </w:divBdr>
                      <w:divsChild>
                        <w:div w:id="1995909618">
                          <w:marLeft w:val="0"/>
                          <w:marRight w:val="0"/>
                          <w:marTop w:val="0"/>
                          <w:marBottom w:val="0"/>
                          <w:divBdr>
                            <w:top w:val="none" w:sz="0" w:space="0" w:color="auto"/>
                            <w:left w:val="none" w:sz="0" w:space="0" w:color="auto"/>
                            <w:bottom w:val="none" w:sz="0" w:space="0" w:color="auto"/>
                            <w:right w:val="none" w:sz="0" w:space="0" w:color="auto"/>
                          </w:divBdr>
                          <w:divsChild>
                            <w:div w:id="1594974611">
                              <w:marLeft w:val="0"/>
                              <w:marRight w:val="0"/>
                              <w:marTop w:val="0"/>
                              <w:marBottom w:val="0"/>
                              <w:divBdr>
                                <w:top w:val="none" w:sz="0" w:space="0" w:color="auto"/>
                                <w:left w:val="none" w:sz="0" w:space="0" w:color="auto"/>
                                <w:bottom w:val="none" w:sz="0" w:space="0" w:color="auto"/>
                                <w:right w:val="none" w:sz="0" w:space="0" w:color="auto"/>
                              </w:divBdr>
                              <w:divsChild>
                                <w:div w:id="896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5152">
                      <w:marLeft w:val="0"/>
                      <w:marRight w:val="0"/>
                      <w:marTop w:val="0"/>
                      <w:marBottom w:val="0"/>
                      <w:divBdr>
                        <w:top w:val="none" w:sz="0" w:space="0" w:color="auto"/>
                        <w:left w:val="none" w:sz="0" w:space="0" w:color="auto"/>
                        <w:bottom w:val="none" w:sz="0" w:space="0" w:color="auto"/>
                        <w:right w:val="none" w:sz="0" w:space="0" w:color="auto"/>
                      </w:divBdr>
                      <w:divsChild>
                        <w:div w:id="657078578">
                          <w:marLeft w:val="0"/>
                          <w:marRight w:val="0"/>
                          <w:marTop w:val="0"/>
                          <w:marBottom w:val="0"/>
                          <w:divBdr>
                            <w:top w:val="none" w:sz="0" w:space="0" w:color="auto"/>
                            <w:left w:val="none" w:sz="0" w:space="0" w:color="auto"/>
                            <w:bottom w:val="none" w:sz="0" w:space="0" w:color="auto"/>
                            <w:right w:val="none" w:sz="0" w:space="0" w:color="auto"/>
                          </w:divBdr>
                          <w:divsChild>
                            <w:div w:id="1192255993">
                              <w:marLeft w:val="0"/>
                              <w:marRight w:val="0"/>
                              <w:marTop w:val="0"/>
                              <w:marBottom w:val="0"/>
                              <w:divBdr>
                                <w:top w:val="none" w:sz="0" w:space="0" w:color="auto"/>
                                <w:left w:val="none" w:sz="0" w:space="0" w:color="auto"/>
                                <w:bottom w:val="none" w:sz="0" w:space="0" w:color="auto"/>
                                <w:right w:val="none" w:sz="0" w:space="0" w:color="auto"/>
                              </w:divBdr>
                              <w:divsChild>
                                <w:div w:id="10242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106">
                      <w:marLeft w:val="0"/>
                      <w:marRight w:val="0"/>
                      <w:marTop w:val="0"/>
                      <w:marBottom w:val="0"/>
                      <w:divBdr>
                        <w:top w:val="none" w:sz="0" w:space="0" w:color="auto"/>
                        <w:left w:val="none" w:sz="0" w:space="0" w:color="auto"/>
                        <w:bottom w:val="none" w:sz="0" w:space="0" w:color="auto"/>
                        <w:right w:val="none" w:sz="0" w:space="0" w:color="auto"/>
                      </w:divBdr>
                      <w:divsChild>
                        <w:div w:id="450900090">
                          <w:marLeft w:val="0"/>
                          <w:marRight w:val="0"/>
                          <w:marTop w:val="0"/>
                          <w:marBottom w:val="0"/>
                          <w:divBdr>
                            <w:top w:val="none" w:sz="0" w:space="0" w:color="auto"/>
                            <w:left w:val="none" w:sz="0" w:space="0" w:color="auto"/>
                            <w:bottom w:val="none" w:sz="0" w:space="0" w:color="auto"/>
                            <w:right w:val="none" w:sz="0" w:space="0" w:color="auto"/>
                          </w:divBdr>
                          <w:divsChild>
                            <w:div w:id="935796115">
                              <w:marLeft w:val="0"/>
                              <w:marRight w:val="0"/>
                              <w:marTop w:val="0"/>
                              <w:marBottom w:val="0"/>
                              <w:divBdr>
                                <w:top w:val="none" w:sz="0" w:space="0" w:color="auto"/>
                                <w:left w:val="none" w:sz="0" w:space="0" w:color="auto"/>
                                <w:bottom w:val="none" w:sz="0" w:space="0" w:color="auto"/>
                                <w:right w:val="none" w:sz="0" w:space="0" w:color="auto"/>
                              </w:divBdr>
                              <w:divsChild>
                                <w:div w:id="11571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7943">
                      <w:marLeft w:val="0"/>
                      <w:marRight w:val="0"/>
                      <w:marTop w:val="0"/>
                      <w:marBottom w:val="0"/>
                      <w:divBdr>
                        <w:top w:val="none" w:sz="0" w:space="0" w:color="auto"/>
                        <w:left w:val="none" w:sz="0" w:space="0" w:color="auto"/>
                        <w:bottom w:val="none" w:sz="0" w:space="0" w:color="auto"/>
                        <w:right w:val="none" w:sz="0" w:space="0" w:color="auto"/>
                      </w:divBdr>
                      <w:divsChild>
                        <w:div w:id="489060169">
                          <w:marLeft w:val="0"/>
                          <w:marRight w:val="0"/>
                          <w:marTop w:val="0"/>
                          <w:marBottom w:val="0"/>
                          <w:divBdr>
                            <w:top w:val="none" w:sz="0" w:space="0" w:color="auto"/>
                            <w:left w:val="none" w:sz="0" w:space="0" w:color="auto"/>
                            <w:bottom w:val="none" w:sz="0" w:space="0" w:color="auto"/>
                            <w:right w:val="none" w:sz="0" w:space="0" w:color="auto"/>
                          </w:divBdr>
                          <w:divsChild>
                            <w:div w:id="975991523">
                              <w:marLeft w:val="0"/>
                              <w:marRight w:val="0"/>
                              <w:marTop w:val="0"/>
                              <w:marBottom w:val="0"/>
                              <w:divBdr>
                                <w:top w:val="none" w:sz="0" w:space="0" w:color="auto"/>
                                <w:left w:val="none" w:sz="0" w:space="0" w:color="auto"/>
                                <w:bottom w:val="none" w:sz="0" w:space="0" w:color="auto"/>
                                <w:right w:val="none" w:sz="0" w:space="0" w:color="auto"/>
                              </w:divBdr>
                              <w:divsChild>
                                <w:div w:id="1261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5830">
                      <w:marLeft w:val="0"/>
                      <w:marRight w:val="0"/>
                      <w:marTop w:val="0"/>
                      <w:marBottom w:val="0"/>
                      <w:divBdr>
                        <w:top w:val="none" w:sz="0" w:space="0" w:color="auto"/>
                        <w:left w:val="none" w:sz="0" w:space="0" w:color="auto"/>
                        <w:bottom w:val="none" w:sz="0" w:space="0" w:color="auto"/>
                        <w:right w:val="none" w:sz="0" w:space="0" w:color="auto"/>
                      </w:divBdr>
                      <w:divsChild>
                        <w:div w:id="1869834583">
                          <w:marLeft w:val="0"/>
                          <w:marRight w:val="0"/>
                          <w:marTop w:val="0"/>
                          <w:marBottom w:val="0"/>
                          <w:divBdr>
                            <w:top w:val="none" w:sz="0" w:space="0" w:color="auto"/>
                            <w:left w:val="none" w:sz="0" w:space="0" w:color="auto"/>
                            <w:bottom w:val="none" w:sz="0" w:space="0" w:color="auto"/>
                            <w:right w:val="none" w:sz="0" w:space="0" w:color="auto"/>
                          </w:divBdr>
                        </w:div>
                      </w:divsChild>
                    </w:div>
                    <w:div w:id="1640919597">
                      <w:marLeft w:val="0"/>
                      <w:marRight w:val="0"/>
                      <w:marTop w:val="0"/>
                      <w:marBottom w:val="0"/>
                      <w:divBdr>
                        <w:top w:val="none" w:sz="0" w:space="0" w:color="auto"/>
                        <w:left w:val="none" w:sz="0" w:space="0" w:color="auto"/>
                        <w:bottom w:val="none" w:sz="0" w:space="0" w:color="auto"/>
                        <w:right w:val="none" w:sz="0" w:space="0" w:color="auto"/>
                      </w:divBdr>
                      <w:divsChild>
                        <w:div w:id="1493252279">
                          <w:marLeft w:val="0"/>
                          <w:marRight w:val="0"/>
                          <w:marTop w:val="0"/>
                          <w:marBottom w:val="0"/>
                          <w:divBdr>
                            <w:top w:val="none" w:sz="0" w:space="0" w:color="auto"/>
                            <w:left w:val="none" w:sz="0" w:space="0" w:color="auto"/>
                            <w:bottom w:val="none" w:sz="0" w:space="0" w:color="auto"/>
                            <w:right w:val="none" w:sz="0" w:space="0" w:color="auto"/>
                          </w:divBdr>
                          <w:divsChild>
                            <w:div w:id="1217623367">
                              <w:marLeft w:val="0"/>
                              <w:marRight w:val="0"/>
                              <w:marTop w:val="0"/>
                              <w:marBottom w:val="0"/>
                              <w:divBdr>
                                <w:top w:val="none" w:sz="0" w:space="0" w:color="auto"/>
                                <w:left w:val="none" w:sz="0" w:space="0" w:color="auto"/>
                                <w:bottom w:val="none" w:sz="0" w:space="0" w:color="auto"/>
                                <w:right w:val="none" w:sz="0" w:space="0" w:color="auto"/>
                              </w:divBdr>
                              <w:divsChild>
                                <w:div w:id="14532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292878">
      <w:bodyDiv w:val="1"/>
      <w:marLeft w:val="0"/>
      <w:marRight w:val="0"/>
      <w:marTop w:val="0"/>
      <w:marBottom w:val="0"/>
      <w:divBdr>
        <w:top w:val="none" w:sz="0" w:space="0" w:color="auto"/>
        <w:left w:val="none" w:sz="0" w:space="0" w:color="auto"/>
        <w:bottom w:val="none" w:sz="0" w:space="0" w:color="auto"/>
        <w:right w:val="none" w:sz="0" w:space="0" w:color="auto"/>
      </w:divBdr>
      <w:divsChild>
        <w:div w:id="661352668">
          <w:marLeft w:val="0"/>
          <w:marRight w:val="0"/>
          <w:marTop w:val="0"/>
          <w:marBottom w:val="0"/>
          <w:divBdr>
            <w:top w:val="none" w:sz="0" w:space="0" w:color="auto"/>
            <w:left w:val="none" w:sz="0" w:space="0" w:color="auto"/>
            <w:bottom w:val="none" w:sz="0" w:space="0" w:color="auto"/>
            <w:right w:val="none" w:sz="0" w:space="0" w:color="auto"/>
          </w:divBdr>
          <w:divsChild>
            <w:div w:id="1263418360">
              <w:marLeft w:val="0"/>
              <w:marRight w:val="0"/>
              <w:marTop w:val="0"/>
              <w:marBottom w:val="0"/>
              <w:divBdr>
                <w:top w:val="none" w:sz="0" w:space="0" w:color="auto"/>
                <w:left w:val="none" w:sz="0" w:space="0" w:color="auto"/>
                <w:bottom w:val="none" w:sz="0" w:space="0" w:color="auto"/>
                <w:right w:val="none" w:sz="0" w:space="0" w:color="auto"/>
              </w:divBdr>
              <w:divsChild>
                <w:div w:id="237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9273">
      <w:bodyDiv w:val="1"/>
      <w:marLeft w:val="0"/>
      <w:marRight w:val="0"/>
      <w:marTop w:val="0"/>
      <w:marBottom w:val="0"/>
      <w:divBdr>
        <w:top w:val="none" w:sz="0" w:space="0" w:color="auto"/>
        <w:left w:val="none" w:sz="0" w:space="0" w:color="auto"/>
        <w:bottom w:val="none" w:sz="0" w:space="0" w:color="auto"/>
        <w:right w:val="none" w:sz="0" w:space="0" w:color="auto"/>
      </w:divBdr>
    </w:div>
    <w:div w:id="1425957923">
      <w:bodyDiv w:val="1"/>
      <w:marLeft w:val="0"/>
      <w:marRight w:val="0"/>
      <w:marTop w:val="0"/>
      <w:marBottom w:val="0"/>
      <w:divBdr>
        <w:top w:val="none" w:sz="0" w:space="0" w:color="auto"/>
        <w:left w:val="none" w:sz="0" w:space="0" w:color="auto"/>
        <w:bottom w:val="none" w:sz="0" w:space="0" w:color="auto"/>
        <w:right w:val="none" w:sz="0" w:space="0" w:color="auto"/>
      </w:divBdr>
      <w:divsChild>
        <w:div w:id="1248229970">
          <w:marLeft w:val="0"/>
          <w:marRight w:val="0"/>
          <w:marTop w:val="0"/>
          <w:marBottom w:val="0"/>
          <w:divBdr>
            <w:top w:val="none" w:sz="0" w:space="0" w:color="auto"/>
            <w:left w:val="none" w:sz="0" w:space="0" w:color="auto"/>
            <w:bottom w:val="none" w:sz="0" w:space="0" w:color="auto"/>
            <w:right w:val="none" w:sz="0" w:space="0" w:color="auto"/>
          </w:divBdr>
          <w:divsChild>
            <w:div w:id="173308365">
              <w:marLeft w:val="0"/>
              <w:marRight w:val="0"/>
              <w:marTop w:val="0"/>
              <w:marBottom w:val="0"/>
              <w:divBdr>
                <w:top w:val="none" w:sz="0" w:space="0" w:color="auto"/>
                <w:left w:val="none" w:sz="0" w:space="0" w:color="auto"/>
                <w:bottom w:val="none" w:sz="0" w:space="0" w:color="auto"/>
                <w:right w:val="none" w:sz="0" w:space="0" w:color="auto"/>
              </w:divBdr>
              <w:divsChild>
                <w:div w:id="713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42572">
      <w:bodyDiv w:val="1"/>
      <w:marLeft w:val="0"/>
      <w:marRight w:val="0"/>
      <w:marTop w:val="0"/>
      <w:marBottom w:val="0"/>
      <w:divBdr>
        <w:top w:val="none" w:sz="0" w:space="0" w:color="auto"/>
        <w:left w:val="none" w:sz="0" w:space="0" w:color="auto"/>
        <w:bottom w:val="none" w:sz="0" w:space="0" w:color="auto"/>
        <w:right w:val="none" w:sz="0" w:space="0" w:color="auto"/>
      </w:divBdr>
    </w:div>
    <w:div w:id="1592811953">
      <w:bodyDiv w:val="1"/>
      <w:marLeft w:val="0"/>
      <w:marRight w:val="0"/>
      <w:marTop w:val="0"/>
      <w:marBottom w:val="0"/>
      <w:divBdr>
        <w:top w:val="none" w:sz="0" w:space="0" w:color="auto"/>
        <w:left w:val="none" w:sz="0" w:space="0" w:color="auto"/>
        <w:bottom w:val="none" w:sz="0" w:space="0" w:color="auto"/>
        <w:right w:val="none" w:sz="0" w:space="0" w:color="auto"/>
      </w:divBdr>
      <w:divsChild>
        <w:div w:id="119014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201047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426277">
      <w:bodyDiv w:val="1"/>
      <w:marLeft w:val="0"/>
      <w:marRight w:val="0"/>
      <w:marTop w:val="0"/>
      <w:marBottom w:val="0"/>
      <w:divBdr>
        <w:top w:val="none" w:sz="0" w:space="0" w:color="auto"/>
        <w:left w:val="none" w:sz="0" w:space="0" w:color="auto"/>
        <w:bottom w:val="none" w:sz="0" w:space="0" w:color="auto"/>
        <w:right w:val="none" w:sz="0" w:space="0" w:color="auto"/>
      </w:divBdr>
    </w:div>
    <w:div w:id="1832134266">
      <w:bodyDiv w:val="1"/>
      <w:marLeft w:val="0"/>
      <w:marRight w:val="0"/>
      <w:marTop w:val="0"/>
      <w:marBottom w:val="0"/>
      <w:divBdr>
        <w:top w:val="none" w:sz="0" w:space="0" w:color="auto"/>
        <w:left w:val="none" w:sz="0" w:space="0" w:color="auto"/>
        <w:bottom w:val="none" w:sz="0" w:space="0" w:color="auto"/>
        <w:right w:val="none" w:sz="0" w:space="0" w:color="auto"/>
      </w:divBdr>
    </w:div>
    <w:div w:id="1915629909">
      <w:bodyDiv w:val="1"/>
      <w:marLeft w:val="0"/>
      <w:marRight w:val="0"/>
      <w:marTop w:val="0"/>
      <w:marBottom w:val="0"/>
      <w:divBdr>
        <w:top w:val="none" w:sz="0" w:space="0" w:color="auto"/>
        <w:left w:val="none" w:sz="0" w:space="0" w:color="auto"/>
        <w:bottom w:val="none" w:sz="0" w:space="0" w:color="auto"/>
        <w:right w:val="none" w:sz="0" w:space="0" w:color="auto"/>
      </w:divBdr>
    </w:div>
    <w:div w:id="1936939628">
      <w:bodyDiv w:val="1"/>
      <w:marLeft w:val="0"/>
      <w:marRight w:val="0"/>
      <w:marTop w:val="0"/>
      <w:marBottom w:val="0"/>
      <w:divBdr>
        <w:top w:val="none" w:sz="0" w:space="0" w:color="auto"/>
        <w:left w:val="none" w:sz="0" w:space="0" w:color="auto"/>
        <w:bottom w:val="none" w:sz="0" w:space="0" w:color="auto"/>
        <w:right w:val="none" w:sz="0" w:space="0" w:color="auto"/>
      </w:divBdr>
      <w:divsChild>
        <w:div w:id="318972189">
          <w:marLeft w:val="0"/>
          <w:marRight w:val="0"/>
          <w:marTop w:val="0"/>
          <w:marBottom w:val="0"/>
          <w:divBdr>
            <w:top w:val="none" w:sz="0" w:space="0" w:color="auto"/>
            <w:left w:val="none" w:sz="0" w:space="0" w:color="auto"/>
            <w:bottom w:val="none" w:sz="0" w:space="0" w:color="auto"/>
            <w:right w:val="none" w:sz="0" w:space="0" w:color="auto"/>
          </w:divBdr>
          <w:divsChild>
            <w:div w:id="85467506">
              <w:marLeft w:val="0"/>
              <w:marRight w:val="0"/>
              <w:marTop w:val="0"/>
              <w:marBottom w:val="0"/>
              <w:divBdr>
                <w:top w:val="none" w:sz="0" w:space="0" w:color="auto"/>
                <w:left w:val="none" w:sz="0" w:space="0" w:color="auto"/>
                <w:bottom w:val="none" w:sz="0" w:space="0" w:color="auto"/>
                <w:right w:val="none" w:sz="0" w:space="0" w:color="auto"/>
              </w:divBdr>
              <w:divsChild>
                <w:div w:id="5732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eaeece6f62ecf244fbe507b8a1c5af39">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2b5e8d1613d6f788375b71b3b8c97f97"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5BE6D-613D-4659-B56C-9F23C80F0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4DD4E-64E0-4829-94DD-82025A1757ED}">
  <ds:schemaRefs>
    <ds:schemaRef ds:uri="http://schemas.openxmlformats.org/officeDocument/2006/bibliography"/>
  </ds:schemaRefs>
</ds:datastoreItem>
</file>

<file path=customXml/itemProps3.xml><?xml version="1.0" encoding="utf-8"?>
<ds:datastoreItem xmlns:ds="http://schemas.openxmlformats.org/officeDocument/2006/customXml" ds:itemID="{7515BD93-C67A-45DC-9672-3C567415C9E6}">
  <ds:schemaRefs>
    <ds:schemaRef ds:uri="http://schemas.microsoft.com/sharepoint/v3/contenttype/forms"/>
  </ds:schemaRefs>
</ds:datastoreItem>
</file>

<file path=customXml/itemProps4.xml><?xml version="1.0" encoding="utf-8"?>
<ds:datastoreItem xmlns:ds="http://schemas.openxmlformats.org/officeDocument/2006/customXml" ds:itemID="{522B2E4B-4FAE-4483-933B-E35700821A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29</Pages>
  <Words>7899</Words>
  <Characters>45025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ROONEY</dc:creator>
  <cp:keywords/>
  <cp:lastModifiedBy>Sheffer, Ryan</cp:lastModifiedBy>
  <cp:revision>1159</cp:revision>
  <cp:lastPrinted>2017-11-09T02:23:00Z</cp:lastPrinted>
  <dcterms:created xsi:type="dcterms:W3CDTF">2020-09-16T01:35:00Z</dcterms:created>
  <dcterms:modified xsi:type="dcterms:W3CDTF">2020-12-03T16:58:00Z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