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9A1DD" w14:textId="77777777" w:rsidR="00416112" w:rsidRPr="00160E8F" w:rsidRDefault="008040D2" w:rsidP="00D23B41">
      <w:pPr>
        <w:tabs>
          <w:tab w:val="left" w:pos="-1440"/>
          <w:tab w:val="left" w:pos="-720"/>
          <w:tab w:val="left" w:pos="0"/>
          <w:tab w:val="left" w:pos="432"/>
          <w:tab w:val="left" w:pos="576"/>
          <w:tab w:val="left" w:pos="1440"/>
          <w:tab w:val="left" w:pos="2086"/>
          <w:tab w:val="left" w:pos="2880"/>
        </w:tabs>
        <w:suppressAutoHyphens/>
        <w:jc w:val="center"/>
        <w:rPr>
          <w:b/>
          <w:sz w:val="26"/>
          <w:szCs w:val="26"/>
        </w:rPr>
      </w:pPr>
      <w:r w:rsidRPr="00160E8F">
        <w:rPr>
          <w:b/>
          <w:sz w:val="26"/>
          <w:szCs w:val="26"/>
        </w:rPr>
        <w:t>PENNSYLVANIA</w:t>
      </w:r>
    </w:p>
    <w:p w14:paraId="40E35BBA" w14:textId="77777777" w:rsidR="008040D2" w:rsidRPr="00160E8F" w:rsidRDefault="008040D2" w:rsidP="00246FB9">
      <w:pPr>
        <w:jc w:val="center"/>
        <w:rPr>
          <w:b/>
          <w:sz w:val="26"/>
          <w:szCs w:val="26"/>
        </w:rPr>
      </w:pPr>
      <w:r w:rsidRPr="00160E8F">
        <w:rPr>
          <w:b/>
          <w:sz w:val="26"/>
          <w:szCs w:val="26"/>
        </w:rPr>
        <w:t>PUBLIC UTILITY COMMISSION</w:t>
      </w:r>
    </w:p>
    <w:p w14:paraId="6D42B7EC" w14:textId="77777777" w:rsidR="008040D2" w:rsidRPr="00160E8F" w:rsidRDefault="002C4C75" w:rsidP="00246FB9">
      <w:pPr>
        <w:jc w:val="center"/>
        <w:rPr>
          <w:b/>
          <w:sz w:val="26"/>
          <w:szCs w:val="26"/>
        </w:rPr>
      </w:pPr>
      <w:r w:rsidRPr="00160E8F">
        <w:rPr>
          <w:b/>
          <w:sz w:val="26"/>
          <w:szCs w:val="26"/>
        </w:rPr>
        <w:t>Harrisburg, PA</w:t>
      </w:r>
      <w:r w:rsidR="008040D2" w:rsidRPr="00160E8F">
        <w:rPr>
          <w:b/>
          <w:sz w:val="26"/>
          <w:szCs w:val="26"/>
        </w:rPr>
        <w:t xml:space="preserve"> 17105-3265</w:t>
      </w:r>
    </w:p>
    <w:p w14:paraId="3396D245" w14:textId="77777777" w:rsidR="008040D2" w:rsidRPr="00160E8F" w:rsidRDefault="008040D2" w:rsidP="00246FB9">
      <w:pPr>
        <w:rPr>
          <w:sz w:val="26"/>
          <w:szCs w:val="26"/>
        </w:rPr>
      </w:pPr>
    </w:p>
    <w:p w14:paraId="3C0D6C85" w14:textId="722F75DC" w:rsidR="008040D2" w:rsidRPr="00160E8F" w:rsidRDefault="004C2A50" w:rsidP="00B40E48">
      <w:pPr>
        <w:jc w:val="right"/>
        <w:rPr>
          <w:sz w:val="26"/>
          <w:szCs w:val="26"/>
        </w:rPr>
      </w:pPr>
      <w:r w:rsidRPr="00160E8F">
        <w:rPr>
          <w:sz w:val="26"/>
          <w:szCs w:val="26"/>
        </w:rPr>
        <w:t>Public Meeting held</w:t>
      </w:r>
      <w:r w:rsidR="007F6CF0" w:rsidRPr="00160E8F">
        <w:rPr>
          <w:sz w:val="26"/>
          <w:szCs w:val="26"/>
        </w:rPr>
        <w:t xml:space="preserve"> </w:t>
      </w:r>
      <w:r w:rsidR="004B50D9">
        <w:rPr>
          <w:sz w:val="26"/>
          <w:szCs w:val="26"/>
        </w:rPr>
        <w:t>December 17, 2020</w:t>
      </w:r>
    </w:p>
    <w:p w14:paraId="6A0900C8" w14:textId="77777777" w:rsidR="008040D2" w:rsidRPr="00160E8F" w:rsidRDefault="008040D2" w:rsidP="00246FB9">
      <w:pPr>
        <w:rPr>
          <w:sz w:val="26"/>
          <w:szCs w:val="26"/>
        </w:rPr>
      </w:pPr>
    </w:p>
    <w:tbl>
      <w:tblPr>
        <w:tblW w:w="10296" w:type="dxa"/>
        <w:tblLayout w:type="fixed"/>
        <w:tblLook w:val="04A0" w:firstRow="1" w:lastRow="0" w:firstColumn="1" w:lastColumn="0" w:noHBand="0" w:noVBand="1"/>
      </w:tblPr>
      <w:tblGrid>
        <w:gridCol w:w="5148"/>
        <w:gridCol w:w="5148"/>
      </w:tblGrid>
      <w:tr w:rsidR="001B4B65" w:rsidRPr="00160E8F" w14:paraId="2C277742" w14:textId="77777777" w:rsidTr="001B4B65">
        <w:tc>
          <w:tcPr>
            <w:tcW w:w="5148" w:type="dxa"/>
            <w:hideMark/>
          </w:tcPr>
          <w:p w14:paraId="766FEA05" w14:textId="77777777" w:rsidR="001B4B65" w:rsidRPr="00160E8F" w:rsidRDefault="001B4B65" w:rsidP="00320094">
            <w:pPr>
              <w:rPr>
                <w:sz w:val="26"/>
                <w:szCs w:val="26"/>
              </w:rPr>
            </w:pPr>
            <w:r w:rsidRPr="00160E8F">
              <w:rPr>
                <w:sz w:val="26"/>
                <w:szCs w:val="26"/>
              </w:rPr>
              <w:t>Commissioners Present:</w:t>
            </w:r>
          </w:p>
        </w:tc>
        <w:tc>
          <w:tcPr>
            <w:tcW w:w="5148" w:type="dxa"/>
          </w:tcPr>
          <w:p w14:paraId="3E71BB33" w14:textId="77777777" w:rsidR="001B4B65" w:rsidRPr="00160E8F" w:rsidRDefault="001B4B65" w:rsidP="00320094">
            <w:pPr>
              <w:rPr>
                <w:sz w:val="26"/>
                <w:szCs w:val="26"/>
              </w:rPr>
            </w:pPr>
          </w:p>
        </w:tc>
      </w:tr>
    </w:tbl>
    <w:p w14:paraId="0116EFC1" w14:textId="77777777" w:rsidR="00320094" w:rsidRPr="00160E8F" w:rsidRDefault="00320094" w:rsidP="00320094">
      <w:pPr>
        <w:rPr>
          <w:sz w:val="26"/>
          <w:szCs w:val="26"/>
        </w:rPr>
      </w:pPr>
    </w:p>
    <w:tbl>
      <w:tblPr>
        <w:tblW w:w="10290" w:type="dxa"/>
        <w:tblLayout w:type="fixed"/>
        <w:tblLook w:val="04A0" w:firstRow="1" w:lastRow="0" w:firstColumn="1" w:lastColumn="0" w:noHBand="0" w:noVBand="1"/>
      </w:tblPr>
      <w:tblGrid>
        <w:gridCol w:w="5954"/>
        <w:gridCol w:w="3946"/>
        <w:gridCol w:w="390"/>
      </w:tblGrid>
      <w:tr w:rsidR="00F45B98" w:rsidRPr="00160E8F" w14:paraId="1F34829D" w14:textId="77777777" w:rsidTr="001B4B65">
        <w:trPr>
          <w:trHeight w:val="243"/>
        </w:trPr>
        <w:tc>
          <w:tcPr>
            <w:tcW w:w="9900" w:type="dxa"/>
            <w:gridSpan w:val="2"/>
            <w:hideMark/>
          </w:tcPr>
          <w:p w14:paraId="67F86B3E" w14:textId="68152715" w:rsidR="00F45B98" w:rsidRPr="00160E8F" w:rsidRDefault="00F45B98" w:rsidP="00F45B98">
            <w:pPr>
              <w:ind w:left="612"/>
              <w:rPr>
                <w:sz w:val="26"/>
                <w:szCs w:val="26"/>
              </w:rPr>
            </w:pPr>
            <w:r>
              <w:rPr>
                <w:sz w:val="26"/>
                <w:szCs w:val="26"/>
              </w:rPr>
              <w:tab/>
              <w:t xml:space="preserve">Gladys Brown </w:t>
            </w:r>
            <w:r w:rsidRPr="007D2A0F">
              <w:rPr>
                <w:sz w:val="26"/>
                <w:szCs w:val="26"/>
              </w:rPr>
              <w:t>Dutrieuille</w:t>
            </w:r>
            <w:r>
              <w:rPr>
                <w:sz w:val="26"/>
                <w:szCs w:val="26"/>
              </w:rPr>
              <w:t>, Chairman</w:t>
            </w:r>
          </w:p>
        </w:tc>
        <w:tc>
          <w:tcPr>
            <w:tcW w:w="390" w:type="dxa"/>
          </w:tcPr>
          <w:p w14:paraId="40372934" w14:textId="77777777" w:rsidR="00F45B98" w:rsidRPr="00160E8F" w:rsidRDefault="00F45B98" w:rsidP="00F45B98">
            <w:pPr>
              <w:rPr>
                <w:sz w:val="26"/>
                <w:szCs w:val="26"/>
              </w:rPr>
            </w:pPr>
          </w:p>
        </w:tc>
      </w:tr>
      <w:tr w:rsidR="00F45B98" w:rsidRPr="00160E8F" w14:paraId="0D9D40FE" w14:textId="77777777" w:rsidTr="001B4B65">
        <w:tc>
          <w:tcPr>
            <w:tcW w:w="9900" w:type="dxa"/>
            <w:gridSpan w:val="2"/>
            <w:hideMark/>
          </w:tcPr>
          <w:p w14:paraId="3C8388E4" w14:textId="43C99A3E" w:rsidR="00F45B98" w:rsidRPr="00160E8F" w:rsidRDefault="00F45B98" w:rsidP="00F45B98">
            <w:pPr>
              <w:ind w:left="612"/>
              <w:rPr>
                <w:sz w:val="26"/>
                <w:szCs w:val="26"/>
              </w:rPr>
            </w:pPr>
            <w:r>
              <w:rPr>
                <w:sz w:val="26"/>
                <w:szCs w:val="26"/>
              </w:rPr>
              <w:tab/>
            </w:r>
            <w:r w:rsidRPr="00A13935">
              <w:rPr>
                <w:sz w:val="26"/>
                <w:szCs w:val="26"/>
              </w:rPr>
              <w:t>David W. Sweet</w:t>
            </w:r>
            <w:r>
              <w:rPr>
                <w:sz w:val="26"/>
                <w:szCs w:val="26"/>
              </w:rPr>
              <w:t xml:space="preserve">, </w:t>
            </w:r>
            <w:r w:rsidRPr="00C0451E">
              <w:rPr>
                <w:sz w:val="26"/>
                <w:szCs w:val="26"/>
              </w:rPr>
              <w:t>Vice Chairman</w:t>
            </w:r>
          </w:p>
        </w:tc>
        <w:tc>
          <w:tcPr>
            <w:tcW w:w="390" w:type="dxa"/>
          </w:tcPr>
          <w:p w14:paraId="1D277416" w14:textId="77777777" w:rsidR="00F45B98" w:rsidRPr="00160E8F" w:rsidRDefault="00F45B98" w:rsidP="00F45B98">
            <w:pPr>
              <w:rPr>
                <w:sz w:val="26"/>
                <w:szCs w:val="26"/>
              </w:rPr>
            </w:pPr>
          </w:p>
        </w:tc>
      </w:tr>
      <w:tr w:rsidR="00F45B98" w:rsidRPr="00160E8F" w14:paraId="4D501CD5" w14:textId="77777777" w:rsidTr="001B4B65">
        <w:tc>
          <w:tcPr>
            <w:tcW w:w="9900" w:type="dxa"/>
            <w:gridSpan w:val="2"/>
            <w:hideMark/>
          </w:tcPr>
          <w:p w14:paraId="64D3114F" w14:textId="31294314" w:rsidR="00F45B98" w:rsidRPr="00160E8F" w:rsidRDefault="00F45B98" w:rsidP="00F45B98">
            <w:pPr>
              <w:ind w:left="612"/>
              <w:rPr>
                <w:sz w:val="26"/>
                <w:szCs w:val="26"/>
              </w:rPr>
            </w:pPr>
            <w:r>
              <w:rPr>
                <w:sz w:val="26"/>
                <w:szCs w:val="26"/>
              </w:rPr>
              <w:tab/>
              <w:t>John F. Coleman</w:t>
            </w:r>
            <w:r w:rsidRPr="00C0451E">
              <w:rPr>
                <w:sz w:val="26"/>
                <w:szCs w:val="26"/>
              </w:rPr>
              <w:t xml:space="preserve">, </w:t>
            </w:r>
            <w:r>
              <w:rPr>
                <w:sz w:val="26"/>
                <w:szCs w:val="26"/>
              </w:rPr>
              <w:t>Jr.</w:t>
            </w:r>
          </w:p>
        </w:tc>
        <w:tc>
          <w:tcPr>
            <w:tcW w:w="390" w:type="dxa"/>
          </w:tcPr>
          <w:p w14:paraId="104BF704" w14:textId="77777777" w:rsidR="00F45B98" w:rsidRPr="00160E8F" w:rsidRDefault="00F45B98" w:rsidP="00F45B98">
            <w:pPr>
              <w:rPr>
                <w:sz w:val="26"/>
                <w:szCs w:val="26"/>
              </w:rPr>
            </w:pPr>
          </w:p>
        </w:tc>
      </w:tr>
      <w:tr w:rsidR="00F45B98" w:rsidRPr="00160E8F" w14:paraId="2844BBD2" w14:textId="77777777" w:rsidTr="001B4B65">
        <w:tc>
          <w:tcPr>
            <w:tcW w:w="9900" w:type="dxa"/>
            <w:gridSpan w:val="2"/>
          </w:tcPr>
          <w:p w14:paraId="156F030E" w14:textId="56DF8DBD" w:rsidR="00F45B98" w:rsidRPr="00160E8F" w:rsidRDefault="00F45B98" w:rsidP="00F45B98">
            <w:pPr>
              <w:ind w:left="612"/>
              <w:rPr>
                <w:sz w:val="26"/>
                <w:szCs w:val="26"/>
              </w:rPr>
            </w:pPr>
            <w:r>
              <w:rPr>
                <w:sz w:val="26"/>
                <w:szCs w:val="26"/>
              </w:rPr>
              <w:tab/>
              <w:t>Ralph V. Yanora</w:t>
            </w:r>
          </w:p>
        </w:tc>
        <w:tc>
          <w:tcPr>
            <w:tcW w:w="390" w:type="dxa"/>
          </w:tcPr>
          <w:p w14:paraId="5ED4E43C" w14:textId="77777777" w:rsidR="00F45B98" w:rsidRPr="00160E8F" w:rsidRDefault="00F45B98" w:rsidP="00F45B98">
            <w:pPr>
              <w:rPr>
                <w:sz w:val="26"/>
                <w:szCs w:val="26"/>
              </w:rPr>
            </w:pPr>
          </w:p>
        </w:tc>
      </w:tr>
      <w:tr w:rsidR="00B6485F" w:rsidRPr="00160E8F" w14:paraId="295899A8" w14:textId="77777777" w:rsidTr="001B4B65">
        <w:trPr>
          <w:gridAfter w:val="1"/>
          <w:wAfter w:w="390" w:type="dxa"/>
        </w:trPr>
        <w:tc>
          <w:tcPr>
            <w:tcW w:w="5954" w:type="dxa"/>
          </w:tcPr>
          <w:p w14:paraId="6FE641F3" w14:textId="77777777" w:rsidR="00B6485F" w:rsidRPr="00160E8F" w:rsidRDefault="00B6485F" w:rsidP="00320094">
            <w:pPr>
              <w:ind w:left="720"/>
              <w:rPr>
                <w:sz w:val="26"/>
                <w:szCs w:val="26"/>
              </w:rPr>
            </w:pPr>
          </w:p>
        </w:tc>
        <w:tc>
          <w:tcPr>
            <w:tcW w:w="3946" w:type="dxa"/>
          </w:tcPr>
          <w:p w14:paraId="6F7CFF3C" w14:textId="77777777" w:rsidR="00B6485F" w:rsidRPr="00160E8F" w:rsidRDefault="00B6485F" w:rsidP="00320094">
            <w:pPr>
              <w:rPr>
                <w:sz w:val="26"/>
                <w:szCs w:val="26"/>
              </w:rPr>
            </w:pPr>
          </w:p>
        </w:tc>
      </w:tr>
      <w:tr w:rsidR="005802AD" w:rsidRPr="00160E8F" w14:paraId="40C0169F" w14:textId="77777777" w:rsidTr="001B4B65">
        <w:trPr>
          <w:gridAfter w:val="1"/>
          <w:wAfter w:w="390" w:type="dxa"/>
        </w:trPr>
        <w:tc>
          <w:tcPr>
            <w:tcW w:w="5954" w:type="dxa"/>
          </w:tcPr>
          <w:p w14:paraId="470B9B6C" w14:textId="3C8F5D70" w:rsidR="005802AD" w:rsidRPr="00160E8F" w:rsidRDefault="00322964" w:rsidP="005802AD">
            <w:pPr>
              <w:rPr>
                <w:sz w:val="26"/>
                <w:szCs w:val="26"/>
              </w:rPr>
            </w:pPr>
            <w:r>
              <w:rPr>
                <w:sz w:val="26"/>
                <w:szCs w:val="26"/>
              </w:rPr>
              <w:t>Proposed Rulemaking for Diversity Reporting of</w:t>
            </w:r>
            <w:r w:rsidR="00177DD1" w:rsidRPr="00C00370">
              <w:rPr>
                <w:sz w:val="26"/>
                <w:szCs w:val="26"/>
              </w:rPr>
              <w:t xml:space="preserve"> </w:t>
            </w:r>
            <w:r>
              <w:rPr>
                <w:sz w:val="26"/>
                <w:szCs w:val="26"/>
              </w:rPr>
              <w:t xml:space="preserve">Major </w:t>
            </w:r>
            <w:r w:rsidR="00177DD1" w:rsidRPr="00C00370">
              <w:rPr>
                <w:sz w:val="26"/>
                <w:szCs w:val="26"/>
              </w:rPr>
              <w:t xml:space="preserve">Jurisdictional </w:t>
            </w:r>
            <w:r>
              <w:rPr>
                <w:sz w:val="26"/>
                <w:szCs w:val="26"/>
              </w:rPr>
              <w:t>Utilit</w:t>
            </w:r>
            <w:r w:rsidR="00867520">
              <w:rPr>
                <w:sz w:val="26"/>
                <w:szCs w:val="26"/>
              </w:rPr>
              <w:t>ies</w:t>
            </w:r>
          </w:p>
        </w:tc>
        <w:tc>
          <w:tcPr>
            <w:tcW w:w="3946" w:type="dxa"/>
          </w:tcPr>
          <w:p w14:paraId="23564C76" w14:textId="4B660B33" w:rsidR="005802AD" w:rsidRPr="00160E8F" w:rsidRDefault="00322964" w:rsidP="001B4B65">
            <w:pPr>
              <w:jc w:val="center"/>
              <w:rPr>
                <w:sz w:val="26"/>
                <w:szCs w:val="26"/>
              </w:rPr>
            </w:pPr>
            <w:r w:rsidRPr="00A01AFD">
              <w:rPr>
                <w:sz w:val="26"/>
                <w:szCs w:val="26"/>
              </w:rPr>
              <w:t>L-2020-3017284</w:t>
            </w:r>
          </w:p>
        </w:tc>
      </w:tr>
    </w:tbl>
    <w:p w14:paraId="24309DBE" w14:textId="17E8E23A" w:rsidR="0046479C" w:rsidRDefault="0046479C" w:rsidP="00B842DA">
      <w:pPr>
        <w:ind w:left="90"/>
        <w:rPr>
          <w:sz w:val="26"/>
          <w:szCs w:val="26"/>
        </w:rPr>
      </w:pPr>
    </w:p>
    <w:p w14:paraId="17567607" w14:textId="77777777" w:rsidR="00B842DA" w:rsidRPr="00160E8F" w:rsidRDefault="00B842DA" w:rsidP="00B842DA">
      <w:pPr>
        <w:ind w:left="90"/>
        <w:rPr>
          <w:sz w:val="26"/>
          <w:szCs w:val="26"/>
        </w:rPr>
      </w:pPr>
    </w:p>
    <w:p w14:paraId="78203C8A" w14:textId="63006754" w:rsidR="008040D2" w:rsidRPr="00160E8F" w:rsidRDefault="00827758" w:rsidP="000E1912">
      <w:pPr>
        <w:jc w:val="center"/>
        <w:rPr>
          <w:b/>
          <w:sz w:val="26"/>
          <w:szCs w:val="26"/>
        </w:rPr>
      </w:pPr>
      <w:r>
        <w:rPr>
          <w:b/>
          <w:sz w:val="26"/>
          <w:szCs w:val="26"/>
        </w:rPr>
        <w:t xml:space="preserve">NOTICE </w:t>
      </w:r>
      <w:r w:rsidR="008A4D09">
        <w:rPr>
          <w:b/>
          <w:sz w:val="26"/>
          <w:szCs w:val="26"/>
        </w:rPr>
        <w:t xml:space="preserve">OF </w:t>
      </w:r>
      <w:r w:rsidR="008D17CD">
        <w:rPr>
          <w:b/>
          <w:sz w:val="26"/>
          <w:szCs w:val="26"/>
        </w:rPr>
        <w:t>PROPOSED RULEMAKING</w:t>
      </w:r>
    </w:p>
    <w:p w14:paraId="07BF7505" w14:textId="77777777" w:rsidR="0046479C" w:rsidRPr="00160E8F" w:rsidRDefault="0046479C" w:rsidP="000E1912">
      <w:pPr>
        <w:jc w:val="center"/>
        <w:rPr>
          <w:b/>
          <w:sz w:val="26"/>
          <w:szCs w:val="26"/>
        </w:rPr>
      </w:pPr>
    </w:p>
    <w:p w14:paraId="56F8F018" w14:textId="23873461" w:rsidR="004C6F3D" w:rsidRPr="00160E8F" w:rsidRDefault="004C6F3D" w:rsidP="000E1912">
      <w:pPr>
        <w:jc w:val="center"/>
        <w:rPr>
          <w:b/>
          <w:sz w:val="26"/>
          <w:szCs w:val="26"/>
        </w:rPr>
      </w:pPr>
    </w:p>
    <w:p w14:paraId="271FBA29" w14:textId="77777777" w:rsidR="000C2E24" w:rsidRPr="00160E8F" w:rsidRDefault="008040D2" w:rsidP="000E1912">
      <w:pPr>
        <w:spacing w:line="360" w:lineRule="auto"/>
        <w:rPr>
          <w:b/>
          <w:sz w:val="26"/>
          <w:szCs w:val="26"/>
        </w:rPr>
      </w:pPr>
      <w:r w:rsidRPr="00160E8F">
        <w:rPr>
          <w:b/>
          <w:sz w:val="26"/>
          <w:szCs w:val="26"/>
        </w:rPr>
        <w:t>BY THE COMMISSION:</w:t>
      </w:r>
    </w:p>
    <w:p w14:paraId="32F2F68D" w14:textId="756EEF56" w:rsidR="009A5D3F" w:rsidRDefault="00517EC7" w:rsidP="000E1912">
      <w:pPr>
        <w:spacing w:line="360" w:lineRule="auto"/>
        <w:rPr>
          <w:sz w:val="26"/>
          <w:szCs w:val="26"/>
        </w:rPr>
      </w:pPr>
      <w:r w:rsidRPr="00160E8F">
        <w:rPr>
          <w:b/>
          <w:sz w:val="26"/>
          <w:szCs w:val="26"/>
        </w:rPr>
        <w:tab/>
      </w:r>
      <w:r w:rsidR="00CC6D72">
        <w:rPr>
          <w:sz w:val="26"/>
          <w:szCs w:val="26"/>
        </w:rPr>
        <w:t>The Commission</w:t>
      </w:r>
      <w:r w:rsidR="007E6F9E">
        <w:rPr>
          <w:sz w:val="26"/>
          <w:szCs w:val="26"/>
        </w:rPr>
        <w:t xml:space="preserve">’s </w:t>
      </w:r>
      <w:r w:rsidR="00CC6D72">
        <w:rPr>
          <w:sz w:val="26"/>
          <w:szCs w:val="26"/>
        </w:rPr>
        <w:t>Policy Statement</w:t>
      </w:r>
      <w:r w:rsidR="0071480A">
        <w:rPr>
          <w:sz w:val="26"/>
          <w:szCs w:val="26"/>
        </w:rPr>
        <w:t xml:space="preserve"> on Diversity at Major Jurisdictional Utility Companies, 52 Pa. Code §§ 69.801-69.809</w:t>
      </w:r>
      <w:r w:rsidR="00C7647D">
        <w:rPr>
          <w:sz w:val="26"/>
          <w:szCs w:val="26"/>
        </w:rPr>
        <w:t>,</w:t>
      </w:r>
      <w:r w:rsidR="0071480A">
        <w:rPr>
          <w:sz w:val="26"/>
          <w:szCs w:val="26"/>
        </w:rPr>
        <w:t xml:space="preserve"> (Policy Statement</w:t>
      </w:r>
      <w:r w:rsidR="001F7D37">
        <w:rPr>
          <w:sz w:val="26"/>
          <w:szCs w:val="26"/>
        </w:rPr>
        <w:t>)</w:t>
      </w:r>
      <w:r w:rsidR="00E436DD">
        <w:rPr>
          <w:sz w:val="26"/>
          <w:szCs w:val="26"/>
        </w:rPr>
        <w:t>,</w:t>
      </w:r>
      <w:r w:rsidR="00CC6D72">
        <w:rPr>
          <w:sz w:val="26"/>
          <w:szCs w:val="26"/>
        </w:rPr>
        <w:t xml:space="preserve"> encourages major jurisdictional utilit</w:t>
      </w:r>
      <w:r w:rsidR="00E436DD">
        <w:rPr>
          <w:sz w:val="26"/>
          <w:szCs w:val="26"/>
        </w:rPr>
        <w:t xml:space="preserve">ies </w:t>
      </w:r>
      <w:r w:rsidR="00CC6D72">
        <w:rPr>
          <w:sz w:val="26"/>
          <w:szCs w:val="26"/>
        </w:rPr>
        <w:t>to file diversity reports annually with the Commission and provides guidelines identifying the information</w:t>
      </w:r>
      <w:r w:rsidR="00F43547">
        <w:rPr>
          <w:sz w:val="26"/>
          <w:szCs w:val="26"/>
        </w:rPr>
        <w:t xml:space="preserve"> that the</w:t>
      </w:r>
      <w:r w:rsidR="00CC6D72">
        <w:rPr>
          <w:sz w:val="26"/>
          <w:szCs w:val="26"/>
        </w:rPr>
        <w:t xml:space="preserve"> major jurisdictional utilit</w:t>
      </w:r>
      <w:r w:rsidR="00F43547">
        <w:rPr>
          <w:sz w:val="26"/>
          <w:szCs w:val="26"/>
        </w:rPr>
        <w:t xml:space="preserve">ies </w:t>
      </w:r>
      <w:r w:rsidR="00536531">
        <w:rPr>
          <w:sz w:val="26"/>
          <w:szCs w:val="26"/>
        </w:rPr>
        <w:t xml:space="preserve">have been </w:t>
      </w:r>
      <w:r w:rsidR="006B7028">
        <w:rPr>
          <w:sz w:val="26"/>
          <w:szCs w:val="26"/>
        </w:rPr>
        <w:t xml:space="preserve">requested to </w:t>
      </w:r>
      <w:r w:rsidR="00CC6D72">
        <w:rPr>
          <w:sz w:val="26"/>
          <w:szCs w:val="26"/>
        </w:rPr>
        <w:t>report to describe their efforts to employ</w:t>
      </w:r>
      <w:r w:rsidR="006B7028">
        <w:rPr>
          <w:sz w:val="26"/>
          <w:szCs w:val="26"/>
        </w:rPr>
        <w:t>,</w:t>
      </w:r>
      <w:r w:rsidR="00CC6D72">
        <w:rPr>
          <w:sz w:val="26"/>
          <w:szCs w:val="26"/>
        </w:rPr>
        <w:t xml:space="preserve"> and </w:t>
      </w:r>
      <w:r w:rsidR="006B7028">
        <w:rPr>
          <w:sz w:val="26"/>
          <w:szCs w:val="26"/>
        </w:rPr>
        <w:t xml:space="preserve">to </w:t>
      </w:r>
      <w:r w:rsidR="00CC6D72">
        <w:rPr>
          <w:sz w:val="26"/>
          <w:szCs w:val="26"/>
        </w:rPr>
        <w:t>contract with</w:t>
      </w:r>
      <w:r w:rsidR="006B7028">
        <w:rPr>
          <w:sz w:val="26"/>
          <w:szCs w:val="26"/>
        </w:rPr>
        <w:t>,</w:t>
      </w:r>
      <w:r w:rsidR="00CC6D72">
        <w:rPr>
          <w:sz w:val="26"/>
          <w:szCs w:val="26"/>
        </w:rPr>
        <w:t xml:space="preserve"> members of diverse groups.  </w:t>
      </w:r>
      <w:r w:rsidR="00781E1E" w:rsidRPr="00160E8F">
        <w:rPr>
          <w:sz w:val="26"/>
          <w:szCs w:val="26"/>
        </w:rPr>
        <w:t xml:space="preserve">On </w:t>
      </w:r>
      <w:r w:rsidR="5B8344DD" w:rsidRPr="00160E8F">
        <w:rPr>
          <w:sz w:val="26"/>
          <w:szCs w:val="26"/>
        </w:rPr>
        <w:t xml:space="preserve">December 3, </w:t>
      </w:r>
      <w:r w:rsidR="009D4A31">
        <w:rPr>
          <w:sz w:val="26"/>
          <w:szCs w:val="26"/>
        </w:rPr>
        <w:t>2020</w:t>
      </w:r>
      <w:r w:rsidR="00B97F4A" w:rsidRPr="00160E8F">
        <w:rPr>
          <w:sz w:val="26"/>
          <w:szCs w:val="26"/>
        </w:rPr>
        <w:t xml:space="preserve">, the Commission entered </w:t>
      </w:r>
      <w:r w:rsidR="002F4CB8" w:rsidRPr="00160E8F">
        <w:rPr>
          <w:sz w:val="26"/>
          <w:szCs w:val="26"/>
        </w:rPr>
        <w:t>a</w:t>
      </w:r>
      <w:r w:rsidR="00781E1E" w:rsidRPr="00160E8F">
        <w:rPr>
          <w:sz w:val="26"/>
          <w:szCs w:val="26"/>
        </w:rPr>
        <w:t xml:space="preserve"> </w:t>
      </w:r>
      <w:r w:rsidR="00806530">
        <w:rPr>
          <w:sz w:val="26"/>
          <w:szCs w:val="26"/>
        </w:rPr>
        <w:t xml:space="preserve">Final </w:t>
      </w:r>
      <w:r w:rsidR="009D4A31">
        <w:rPr>
          <w:sz w:val="26"/>
          <w:szCs w:val="26"/>
        </w:rPr>
        <w:t xml:space="preserve">Policy Statement </w:t>
      </w:r>
      <w:r w:rsidR="003B50B3">
        <w:rPr>
          <w:sz w:val="26"/>
          <w:szCs w:val="26"/>
        </w:rPr>
        <w:t>at Docket No. M-2020-301</w:t>
      </w:r>
      <w:r w:rsidR="000C1876">
        <w:rPr>
          <w:sz w:val="26"/>
          <w:szCs w:val="26"/>
        </w:rPr>
        <w:t xml:space="preserve">8089 </w:t>
      </w:r>
      <w:r w:rsidR="00F43547">
        <w:rPr>
          <w:sz w:val="26"/>
          <w:szCs w:val="26"/>
        </w:rPr>
        <w:t xml:space="preserve">updating the </w:t>
      </w:r>
      <w:r w:rsidR="000A49EF">
        <w:rPr>
          <w:sz w:val="26"/>
          <w:szCs w:val="26"/>
        </w:rPr>
        <w:t xml:space="preserve">Diversity Reporting </w:t>
      </w:r>
      <w:r w:rsidR="005D0472">
        <w:rPr>
          <w:sz w:val="26"/>
          <w:szCs w:val="26"/>
        </w:rPr>
        <w:t>Policy Statement</w:t>
      </w:r>
      <w:r w:rsidR="00C24269">
        <w:rPr>
          <w:sz w:val="26"/>
          <w:szCs w:val="26"/>
        </w:rPr>
        <w:t xml:space="preserve">.  </w:t>
      </w:r>
      <w:r w:rsidR="009C15F0">
        <w:rPr>
          <w:sz w:val="26"/>
          <w:szCs w:val="26"/>
        </w:rPr>
        <w:t>The update</w:t>
      </w:r>
      <w:r w:rsidR="00CA45F8">
        <w:rPr>
          <w:sz w:val="26"/>
          <w:szCs w:val="26"/>
        </w:rPr>
        <w:t>s</w:t>
      </w:r>
      <w:r w:rsidR="009C15F0">
        <w:rPr>
          <w:sz w:val="26"/>
          <w:szCs w:val="26"/>
        </w:rPr>
        <w:t xml:space="preserve"> </w:t>
      </w:r>
      <w:r w:rsidR="006C2CFB">
        <w:rPr>
          <w:sz w:val="26"/>
          <w:szCs w:val="26"/>
        </w:rPr>
        <w:t xml:space="preserve">bring </w:t>
      </w:r>
      <w:r w:rsidR="009C15F0">
        <w:rPr>
          <w:sz w:val="26"/>
          <w:szCs w:val="26"/>
        </w:rPr>
        <w:t xml:space="preserve">the demographic </w:t>
      </w:r>
      <w:r w:rsidR="00DC59F5">
        <w:rPr>
          <w:sz w:val="26"/>
          <w:szCs w:val="26"/>
        </w:rPr>
        <w:t xml:space="preserve">terms </w:t>
      </w:r>
      <w:r w:rsidR="006C2CFB">
        <w:rPr>
          <w:sz w:val="26"/>
          <w:szCs w:val="26"/>
        </w:rPr>
        <w:t xml:space="preserve">in closer alignment </w:t>
      </w:r>
      <w:r w:rsidR="00DC59F5">
        <w:rPr>
          <w:sz w:val="26"/>
          <w:szCs w:val="26"/>
        </w:rPr>
        <w:t>with the Commonwealth</w:t>
      </w:r>
      <w:r w:rsidR="009673A7">
        <w:rPr>
          <w:sz w:val="26"/>
          <w:szCs w:val="26"/>
        </w:rPr>
        <w:t>’s diverse citizenship</w:t>
      </w:r>
      <w:r w:rsidR="00A31EC9">
        <w:rPr>
          <w:sz w:val="26"/>
          <w:szCs w:val="26"/>
        </w:rPr>
        <w:t xml:space="preserve"> and with </w:t>
      </w:r>
      <w:r w:rsidR="00496C45">
        <w:rPr>
          <w:sz w:val="26"/>
          <w:szCs w:val="26"/>
        </w:rPr>
        <w:t>terms used in diversity reporting to federal agencies</w:t>
      </w:r>
      <w:r w:rsidR="009673A7">
        <w:rPr>
          <w:sz w:val="26"/>
          <w:szCs w:val="26"/>
        </w:rPr>
        <w:t xml:space="preserve">.  </w:t>
      </w:r>
      <w:r w:rsidR="00795BD8">
        <w:rPr>
          <w:sz w:val="26"/>
          <w:szCs w:val="26"/>
        </w:rPr>
        <w:t xml:space="preserve">The </w:t>
      </w:r>
      <w:r w:rsidR="004B50D9">
        <w:rPr>
          <w:sz w:val="26"/>
          <w:szCs w:val="26"/>
        </w:rPr>
        <w:t xml:space="preserve">Diversity Policy </w:t>
      </w:r>
      <w:r w:rsidR="00CA2BF7">
        <w:rPr>
          <w:sz w:val="26"/>
          <w:szCs w:val="26"/>
        </w:rPr>
        <w:t xml:space="preserve">Statement </w:t>
      </w:r>
      <w:r w:rsidR="00742A0C">
        <w:rPr>
          <w:sz w:val="26"/>
          <w:szCs w:val="26"/>
        </w:rPr>
        <w:t xml:space="preserve">updates </w:t>
      </w:r>
      <w:r w:rsidR="00795BD8">
        <w:rPr>
          <w:sz w:val="26"/>
          <w:szCs w:val="26"/>
        </w:rPr>
        <w:t xml:space="preserve">will become effective on publication in the </w:t>
      </w:r>
      <w:r w:rsidR="00795BD8" w:rsidRPr="00B2744E">
        <w:rPr>
          <w:i/>
          <w:iCs/>
          <w:sz w:val="26"/>
          <w:szCs w:val="26"/>
        </w:rPr>
        <w:t>Pennsylvania Bulletin</w:t>
      </w:r>
      <w:r w:rsidR="00795BD8">
        <w:rPr>
          <w:sz w:val="26"/>
          <w:szCs w:val="26"/>
        </w:rPr>
        <w:t xml:space="preserve">.  </w:t>
      </w:r>
    </w:p>
    <w:p w14:paraId="081DCAA0" w14:textId="77777777" w:rsidR="009A5D3F" w:rsidRDefault="009A5D3F" w:rsidP="000E1912">
      <w:pPr>
        <w:spacing w:line="360" w:lineRule="auto"/>
        <w:rPr>
          <w:sz w:val="26"/>
          <w:szCs w:val="26"/>
        </w:rPr>
      </w:pPr>
    </w:p>
    <w:p w14:paraId="2D040DB6" w14:textId="4AB2C192" w:rsidR="00BD0564" w:rsidRDefault="002400C9" w:rsidP="003F2344">
      <w:pPr>
        <w:spacing w:line="360" w:lineRule="auto"/>
        <w:ind w:firstLine="720"/>
        <w:rPr>
          <w:sz w:val="26"/>
          <w:szCs w:val="26"/>
        </w:rPr>
      </w:pPr>
      <w:r>
        <w:rPr>
          <w:sz w:val="26"/>
          <w:szCs w:val="26"/>
        </w:rPr>
        <w:t xml:space="preserve">Having finalized the </w:t>
      </w:r>
      <w:r w:rsidR="00CB778E">
        <w:rPr>
          <w:sz w:val="26"/>
          <w:szCs w:val="26"/>
        </w:rPr>
        <w:t xml:space="preserve">updates </w:t>
      </w:r>
      <w:r>
        <w:rPr>
          <w:sz w:val="26"/>
          <w:szCs w:val="26"/>
        </w:rPr>
        <w:t xml:space="preserve">to the Diversity </w:t>
      </w:r>
      <w:r w:rsidR="009673A7">
        <w:rPr>
          <w:sz w:val="26"/>
          <w:szCs w:val="26"/>
        </w:rPr>
        <w:t>Policy Statement</w:t>
      </w:r>
      <w:r>
        <w:rPr>
          <w:sz w:val="26"/>
          <w:szCs w:val="26"/>
        </w:rPr>
        <w:t xml:space="preserve">, </w:t>
      </w:r>
      <w:r w:rsidR="003F6279">
        <w:rPr>
          <w:sz w:val="26"/>
          <w:szCs w:val="26"/>
        </w:rPr>
        <w:t>t</w:t>
      </w:r>
      <w:r w:rsidR="00281E7F">
        <w:rPr>
          <w:sz w:val="26"/>
          <w:szCs w:val="26"/>
        </w:rPr>
        <w:t xml:space="preserve">he Commission </w:t>
      </w:r>
      <w:r w:rsidR="003F6279">
        <w:rPr>
          <w:sz w:val="26"/>
          <w:szCs w:val="26"/>
        </w:rPr>
        <w:t xml:space="preserve">now </w:t>
      </w:r>
      <w:r>
        <w:rPr>
          <w:sz w:val="26"/>
          <w:szCs w:val="26"/>
        </w:rPr>
        <w:t>proposes</w:t>
      </w:r>
      <w:r w:rsidR="00281E7F">
        <w:rPr>
          <w:sz w:val="26"/>
          <w:szCs w:val="26"/>
        </w:rPr>
        <w:t xml:space="preserve"> that the diversity reporting </w:t>
      </w:r>
      <w:r w:rsidR="00763BF1">
        <w:rPr>
          <w:sz w:val="26"/>
          <w:szCs w:val="26"/>
        </w:rPr>
        <w:t xml:space="preserve">recommendations </w:t>
      </w:r>
      <w:r w:rsidR="00281E7F">
        <w:rPr>
          <w:sz w:val="26"/>
          <w:szCs w:val="26"/>
        </w:rPr>
        <w:t xml:space="preserve">in the </w:t>
      </w:r>
      <w:r w:rsidR="00862E45">
        <w:rPr>
          <w:sz w:val="26"/>
          <w:szCs w:val="26"/>
        </w:rPr>
        <w:t xml:space="preserve">Diversity </w:t>
      </w:r>
      <w:r w:rsidR="003F6279" w:rsidDel="00D9383C">
        <w:rPr>
          <w:sz w:val="26"/>
          <w:szCs w:val="26"/>
        </w:rPr>
        <w:t>P</w:t>
      </w:r>
      <w:r w:rsidR="003F6279">
        <w:rPr>
          <w:sz w:val="26"/>
          <w:szCs w:val="26"/>
        </w:rPr>
        <w:t xml:space="preserve">olicy </w:t>
      </w:r>
      <w:r w:rsidR="003F6279">
        <w:rPr>
          <w:sz w:val="26"/>
          <w:szCs w:val="26"/>
        </w:rPr>
        <w:lastRenderedPageBreak/>
        <w:t>Statement</w:t>
      </w:r>
      <w:r w:rsidR="00271C2A">
        <w:rPr>
          <w:sz w:val="26"/>
          <w:szCs w:val="26"/>
        </w:rPr>
        <w:t xml:space="preserve"> </w:t>
      </w:r>
      <w:r w:rsidR="00147D15">
        <w:rPr>
          <w:sz w:val="26"/>
          <w:szCs w:val="26"/>
        </w:rPr>
        <w:t xml:space="preserve">become </w:t>
      </w:r>
      <w:r w:rsidR="00452247">
        <w:rPr>
          <w:sz w:val="26"/>
          <w:szCs w:val="26"/>
        </w:rPr>
        <w:t xml:space="preserve">a </w:t>
      </w:r>
      <w:r w:rsidR="003F4527">
        <w:rPr>
          <w:sz w:val="26"/>
          <w:szCs w:val="26"/>
        </w:rPr>
        <w:t>regulat</w:t>
      </w:r>
      <w:r w:rsidR="00D70227">
        <w:rPr>
          <w:sz w:val="26"/>
          <w:szCs w:val="26"/>
        </w:rPr>
        <w:t xml:space="preserve">ory obligation </w:t>
      </w:r>
      <w:r w:rsidR="00452247">
        <w:rPr>
          <w:sz w:val="26"/>
          <w:szCs w:val="26"/>
        </w:rPr>
        <w:t xml:space="preserve">to be codified </w:t>
      </w:r>
      <w:r w:rsidR="00FB77DE">
        <w:rPr>
          <w:sz w:val="26"/>
          <w:szCs w:val="26"/>
        </w:rPr>
        <w:t xml:space="preserve">in </w:t>
      </w:r>
      <w:r w:rsidR="008A659A">
        <w:rPr>
          <w:sz w:val="26"/>
          <w:szCs w:val="26"/>
        </w:rPr>
        <w:t xml:space="preserve">52 Pa. Code </w:t>
      </w:r>
      <w:r w:rsidR="00452247">
        <w:rPr>
          <w:sz w:val="26"/>
          <w:szCs w:val="26"/>
        </w:rPr>
        <w:t xml:space="preserve">Chapter 51 </w:t>
      </w:r>
      <w:r w:rsidR="00367B10">
        <w:rPr>
          <w:sz w:val="26"/>
          <w:szCs w:val="26"/>
        </w:rPr>
        <w:t>for major jurisdictional utilit</w:t>
      </w:r>
      <w:r w:rsidR="00BE65EB">
        <w:rPr>
          <w:sz w:val="26"/>
          <w:szCs w:val="26"/>
        </w:rPr>
        <w:t>ies</w:t>
      </w:r>
      <w:r w:rsidR="000A1D1C">
        <w:rPr>
          <w:sz w:val="26"/>
          <w:szCs w:val="26"/>
        </w:rPr>
        <w:t xml:space="preserve"> providing electric, natural gas, water, wastewater</w:t>
      </w:r>
      <w:r w:rsidR="008A659A">
        <w:rPr>
          <w:sz w:val="26"/>
          <w:szCs w:val="26"/>
        </w:rPr>
        <w:t>, and telecommunications services</w:t>
      </w:r>
      <w:r w:rsidR="003F6279">
        <w:rPr>
          <w:sz w:val="26"/>
          <w:szCs w:val="26"/>
        </w:rPr>
        <w:t>.</w:t>
      </w:r>
    </w:p>
    <w:p w14:paraId="330CCAEC" w14:textId="77777777" w:rsidR="00BD0564" w:rsidRDefault="00BD0564" w:rsidP="001E48FB">
      <w:pPr>
        <w:spacing w:line="360" w:lineRule="auto"/>
        <w:rPr>
          <w:sz w:val="26"/>
          <w:szCs w:val="26"/>
        </w:rPr>
      </w:pPr>
    </w:p>
    <w:p w14:paraId="18B6F9EF" w14:textId="5D226B7F" w:rsidR="00C65403" w:rsidRPr="00C65403" w:rsidRDefault="00C65403" w:rsidP="001E48FB">
      <w:pPr>
        <w:spacing w:line="360" w:lineRule="auto"/>
        <w:jc w:val="center"/>
        <w:rPr>
          <w:b/>
          <w:bCs/>
          <w:sz w:val="26"/>
          <w:szCs w:val="26"/>
        </w:rPr>
      </w:pPr>
      <w:r w:rsidRPr="00C65403">
        <w:rPr>
          <w:b/>
          <w:bCs/>
          <w:sz w:val="26"/>
          <w:szCs w:val="26"/>
        </w:rPr>
        <w:t>BACKGROUND</w:t>
      </w:r>
    </w:p>
    <w:p w14:paraId="239EFF0B" w14:textId="05DA2DD6" w:rsidR="006D4154" w:rsidRDefault="006D4154" w:rsidP="008128C5">
      <w:pPr>
        <w:pStyle w:val="NormalWeb"/>
        <w:spacing w:before="0" w:beforeAutospacing="0" w:after="0" w:afterAutospacing="0" w:line="360" w:lineRule="auto"/>
        <w:ind w:firstLine="720"/>
        <w:rPr>
          <w:color w:val="000000"/>
          <w:sz w:val="26"/>
          <w:szCs w:val="26"/>
        </w:rPr>
      </w:pPr>
      <w:r w:rsidRPr="006B0763">
        <w:rPr>
          <w:color w:val="000000"/>
          <w:sz w:val="26"/>
          <w:szCs w:val="26"/>
        </w:rPr>
        <w:t xml:space="preserve">Every January, leaders of Commonwealth agencies including the Commission pledge to support hiring, compensating, training </w:t>
      </w:r>
      <w:r w:rsidR="00D9793C">
        <w:rPr>
          <w:color w:val="000000"/>
          <w:sz w:val="26"/>
          <w:szCs w:val="26"/>
        </w:rPr>
        <w:t>and</w:t>
      </w:r>
      <w:r w:rsidRPr="006B0763">
        <w:rPr>
          <w:color w:val="000000"/>
          <w:sz w:val="26"/>
          <w:szCs w:val="26"/>
        </w:rPr>
        <w:t xml:space="preserve"> advancing individuals based on merit regardless of their diverse identities while promoting affirmative action steps to eliminate barriers for protected groups.  </w:t>
      </w:r>
      <w:r w:rsidRPr="006B0763">
        <w:rPr>
          <w:i/>
          <w:iCs/>
          <w:sz w:val="26"/>
          <w:szCs w:val="26"/>
        </w:rPr>
        <w:t xml:space="preserve">See </w:t>
      </w:r>
      <w:r w:rsidRPr="006B0763">
        <w:rPr>
          <w:color w:val="000000"/>
          <w:sz w:val="26"/>
          <w:szCs w:val="26"/>
        </w:rPr>
        <w:t>Governor Wolf’s Executive Order on Equal Employment Opportunity, No. 2016</w:t>
      </w:r>
      <w:r w:rsidRPr="006B0763">
        <w:rPr>
          <w:color w:val="000000"/>
          <w:sz w:val="26"/>
          <w:szCs w:val="26"/>
        </w:rPr>
        <w:noBreakHyphen/>
        <w:t>04.</w:t>
      </w:r>
    </w:p>
    <w:p w14:paraId="33C22D54" w14:textId="77777777" w:rsidR="008128C5" w:rsidRPr="006B0763" w:rsidRDefault="008128C5" w:rsidP="008128C5">
      <w:pPr>
        <w:pStyle w:val="NormalWeb"/>
        <w:spacing w:before="0" w:beforeAutospacing="0" w:after="0" w:afterAutospacing="0" w:line="360" w:lineRule="auto"/>
        <w:ind w:firstLine="720"/>
        <w:rPr>
          <w:color w:val="000000"/>
          <w:sz w:val="26"/>
          <w:szCs w:val="26"/>
        </w:rPr>
      </w:pPr>
    </w:p>
    <w:p w14:paraId="25AB028B" w14:textId="77777777" w:rsidR="006D4154" w:rsidRDefault="006D4154" w:rsidP="008128C5">
      <w:pPr>
        <w:pStyle w:val="NormalWeb"/>
        <w:spacing w:before="0" w:beforeAutospacing="0" w:after="0" w:afterAutospacing="0" w:line="360" w:lineRule="auto"/>
        <w:ind w:firstLine="720"/>
        <w:rPr>
          <w:color w:val="000000"/>
          <w:sz w:val="26"/>
          <w:szCs w:val="26"/>
        </w:rPr>
      </w:pPr>
      <w:r w:rsidRPr="006B0763">
        <w:rPr>
          <w:color w:val="000000"/>
          <w:sz w:val="26"/>
          <w:szCs w:val="26"/>
        </w:rPr>
        <w:t xml:space="preserve">On March 24, 1995, the Commission adopted its </w:t>
      </w:r>
      <w:r>
        <w:rPr>
          <w:color w:val="000000"/>
          <w:sz w:val="26"/>
          <w:szCs w:val="26"/>
        </w:rPr>
        <w:t xml:space="preserve">Diversity </w:t>
      </w:r>
      <w:r w:rsidRPr="006B0763">
        <w:rPr>
          <w:color w:val="000000"/>
          <w:sz w:val="26"/>
          <w:szCs w:val="26"/>
        </w:rPr>
        <w:t xml:space="preserve">Statement of Policy at Docket No. M-00940557.  When proposed by then-Commissioner Lisa Crutchfield, these guidelines were groundbreaking and progressive for that time.  However, 25 years later brings us into a new century and </w:t>
      </w:r>
      <w:r>
        <w:rPr>
          <w:color w:val="000000"/>
          <w:sz w:val="26"/>
          <w:szCs w:val="26"/>
        </w:rPr>
        <w:t xml:space="preserve">gives us </w:t>
      </w:r>
      <w:r w:rsidRPr="006B0763">
        <w:rPr>
          <w:color w:val="000000"/>
          <w:sz w:val="26"/>
          <w:szCs w:val="26"/>
        </w:rPr>
        <w:t>a timely opportunity to reinvigorate the Commission’s efforts to promote and implement effective diversity programs at our major jurisdictional utilities.</w:t>
      </w:r>
    </w:p>
    <w:p w14:paraId="4AAC64FB" w14:textId="77777777" w:rsidR="008128C5" w:rsidRPr="006B0763" w:rsidRDefault="008128C5" w:rsidP="008128C5">
      <w:pPr>
        <w:pStyle w:val="NormalWeb"/>
        <w:spacing w:before="0" w:beforeAutospacing="0" w:after="0" w:afterAutospacing="0" w:line="360" w:lineRule="auto"/>
        <w:ind w:firstLine="720"/>
        <w:rPr>
          <w:color w:val="000000"/>
          <w:sz w:val="26"/>
          <w:szCs w:val="26"/>
        </w:rPr>
      </w:pPr>
    </w:p>
    <w:p w14:paraId="2C8D5528" w14:textId="14F8E82B" w:rsidR="006D4154" w:rsidRDefault="006D4154" w:rsidP="008128C5">
      <w:pPr>
        <w:pStyle w:val="NormalWeb"/>
        <w:spacing w:before="0" w:beforeAutospacing="0" w:after="0" w:afterAutospacing="0" w:line="360" w:lineRule="auto"/>
        <w:ind w:firstLine="720"/>
        <w:rPr>
          <w:color w:val="000000"/>
          <w:sz w:val="26"/>
          <w:szCs w:val="26"/>
        </w:rPr>
      </w:pPr>
      <w:r w:rsidRPr="006B0763">
        <w:rPr>
          <w:color w:val="000000"/>
          <w:sz w:val="26"/>
          <w:szCs w:val="26"/>
        </w:rPr>
        <w:t xml:space="preserve">Pennsylvania is a diverse state when it comes to energy production, natural resources, manufacturing, agriculture </w:t>
      </w:r>
      <w:r w:rsidR="00D9793C">
        <w:rPr>
          <w:color w:val="000000"/>
          <w:sz w:val="26"/>
          <w:szCs w:val="26"/>
        </w:rPr>
        <w:t>and</w:t>
      </w:r>
      <w:r w:rsidRPr="006B0763">
        <w:rPr>
          <w:color w:val="000000"/>
          <w:sz w:val="26"/>
          <w:szCs w:val="26"/>
        </w:rPr>
        <w:t xml:space="preserve"> the</w:t>
      </w:r>
      <w:r w:rsidR="008D7397">
        <w:rPr>
          <w:color w:val="000000"/>
          <w:sz w:val="26"/>
          <w:szCs w:val="26"/>
        </w:rPr>
        <w:t xml:space="preserve"> residents</w:t>
      </w:r>
      <w:r w:rsidRPr="006B0763">
        <w:rPr>
          <w:color w:val="000000"/>
          <w:sz w:val="26"/>
          <w:szCs w:val="26"/>
        </w:rPr>
        <w:t xml:space="preserve"> of the Commonwealth.  Our jurisdictional public utilities should draw on the strengths provided by the divers</w:t>
      </w:r>
      <w:r w:rsidR="00507346">
        <w:rPr>
          <w:color w:val="000000"/>
          <w:sz w:val="26"/>
          <w:szCs w:val="26"/>
        </w:rPr>
        <w:t>ity within</w:t>
      </w:r>
      <w:r w:rsidRPr="006B0763">
        <w:rPr>
          <w:color w:val="000000"/>
          <w:sz w:val="26"/>
          <w:szCs w:val="26"/>
        </w:rPr>
        <w:t xml:space="preserve"> this </w:t>
      </w:r>
      <w:r>
        <w:rPr>
          <w:color w:val="000000"/>
          <w:sz w:val="26"/>
          <w:szCs w:val="26"/>
        </w:rPr>
        <w:t>Commonwealth,</w:t>
      </w:r>
      <w:r w:rsidRPr="006B0763">
        <w:rPr>
          <w:color w:val="000000"/>
          <w:sz w:val="26"/>
          <w:szCs w:val="26"/>
        </w:rPr>
        <w:t xml:space="preserve"> many of whom are also customers of jurisdictional utilities.  As such, the Commission finds that jurisdictional utilities should continue to develop and implement utility-wide diversity programs for employment and contracting of goods and services.  Such programs should focus on how to maintain or increase the numbers of minority, women, disabled, </w:t>
      </w:r>
      <w:r w:rsidR="00A53283">
        <w:rPr>
          <w:color w:val="000000"/>
          <w:sz w:val="26"/>
          <w:szCs w:val="26"/>
        </w:rPr>
        <w:t>Lesbian</w:t>
      </w:r>
      <w:r w:rsidR="00902DB5">
        <w:rPr>
          <w:color w:val="000000"/>
          <w:sz w:val="26"/>
          <w:szCs w:val="26"/>
        </w:rPr>
        <w:t>/Gay/</w:t>
      </w:r>
      <w:r w:rsidR="00D86313">
        <w:rPr>
          <w:color w:val="000000"/>
          <w:sz w:val="26"/>
          <w:szCs w:val="26"/>
        </w:rPr>
        <w:t>Bisexual/</w:t>
      </w:r>
      <w:r w:rsidR="00902DB5">
        <w:rPr>
          <w:color w:val="000000"/>
          <w:sz w:val="26"/>
          <w:szCs w:val="26"/>
        </w:rPr>
        <w:t>Transgender/Questioning (LGBTQ)</w:t>
      </w:r>
      <w:r w:rsidRPr="006B0763">
        <w:rPr>
          <w:color w:val="000000"/>
          <w:sz w:val="26"/>
          <w:szCs w:val="26"/>
        </w:rPr>
        <w:t xml:space="preserve"> </w:t>
      </w:r>
      <w:r w:rsidR="00D9793C">
        <w:rPr>
          <w:color w:val="000000"/>
          <w:sz w:val="26"/>
          <w:szCs w:val="26"/>
        </w:rPr>
        <w:t>and</w:t>
      </w:r>
      <w:r w:rsidRPr="006B0763">
        <w:rPr>
          <w:color w:val="000000"/>
          <w:sz w:val="26"/>
          <w:szCs w:val="26"/>
        </w:rPr>
        <w:t xml:space="preserve"> veteran employees</w:t>
      </w:r>
      <w:r w:rsidR="00F552D4">
        <w:rPr>
          <w:color w:val="000000"/>
          <w:sz w:val="26"/>
          <w:szCs w:val="26"/>
        </w:rPr>
        <w:t xml:space="preserve"> and </w:t>
      </w:r>
      <w:r w:rsidRPr="006B0763">
        <w:rPr>
          <w:color w:val="000000"/>
          <w:sz w:val="26"/>
          <w:szCs w:val="26"/>
        </w:rPr>
        <w:t xml:space="preserve">vendors.  </w:t>
      </w:r>
    </w:p>
    <w:p w14:paraId="7F2700BC" w14:textId="77777777" w:rsidR="008128C5" w:rsidRPr="006B0763" w:rsidRDefault="008128C5" w:rsidP="008128C5">
      <w:pPr>
        <w:pStyle w:val="NormalWeb"/>
        <w:spacing w:before="0" w:beforeAutospacing="0" w:after="0" w:afterAutospacing="0" w:line="360" w:lineRule="auto"/>
        <w:ind w:firstLine="720"/>
        <w:rPr>
          <w:color w:val="000000"/>
          <w:sz w:val="26"/>
          <w:szCs w:val="26"/>
        </w:rPr>
      </w:pPr>
    </w:p>
    <w:p w14:paraId="45089E05" w14:textId="173F72B7" w:rsidR="006D4154" w:rsidRDefault="006D4154" w:rsidP="008128C5">
      <w:pPr>
        <w:pStyle w:val="NormalWeb"/>
        <w:spacing w:before="0" w:beforeAutospacing="0" w:after="0" w:afterAutospacing="0" w:line="360" w:lineRule="auto"/>
        <w:ind w:firstLine="720"/>
        <w:rPr>
          <w:color w:val="000000"/>
          <w:sz w:val="26"/>
          <w:szCs w:val="26"/>
        </w:rPr>
      </w:pPr>
      <w:r w:rsidRPr="006B0763">
        <w:rPr>
          <w:color w:val="000000"/>
          <w:sz w:val="26"/>
          <w:szCs w:val="26"/>
        </w:rPr>
        <w:lastRenderedPageBreak/>
        <w:t>Properly structured, diversity programs can successfully leverage untapped talent pools to help fill these critical jobs.  Furthermore, as regulated monopolies, the Commonwealth’s jurisdictional utilities have unique beneficial community relationships which diversity programs have the power to strengthen.</w:t>
      </w:r>
      <w:r w:rsidR="00B92C0D" w:rsidRPr="00B92C0D">
        <w:rPr>
          <w:color w:val="000000"/>
          <w:sz w:val="26"/>
          <w:szCs w:val="26"/>
        </w:rPr>
        <w:t xml:space="preserve"> </w:t>
      </w:r>
      <w:r w:rsidR="00B92C0D">
        <w:rPr>
          <w:color w:val="000000"/>
          <w:sz w:val="26"/>
          <w:szCs w:val="26"/>
        </w:rPr>
        <w:t xml:space="preserve"> </w:t>
      </w:r>
      <w:r w:rsidR="00B92C0D" w:rsidRPr="006B0763">
        <w:rPr>
          <w:color w:val="000000"/>
          <w:sz w:val="26"/>
          <w:szCs w:val="26"/>
        </w:rPr>
        <w:t xml:space="preserve">The Commission launched a utility careers campaign in the Fall of 2017 to address the looming problem of increased utility workforce retirements.  </w:t>
      </w:r>
      <w:r w:rsidR="00B92C0D">
        <w:rPr>
          <w:i/>
          <w:iCs/>
          <w:color w:val="000000"/>
          <w:sz w:val="26"/>
          <w:szCs w:val="26"/>
        </w:rPr>
        <w:t>See</w:t>
      </w:r>
      <w:r w:rsidR="00B92C0D">
        <w:rPr>
          <w:color w:val="000000"/>
          <w:sz w:val="26"/>
          <w:szCs w:val="26"/>
        </w:rPr>
        <w:t xml:space="preserve"> </w:t>
      </w:r>
      <w:hyperlink r:id="rId11" w:history="1">
        <w:r w:rsidR="00B92C0D" w:rsidRPr="00B12AE7">
          <w:rPr>
            <w:rStyle w:val="Hyperlink"/>
            <w:sz w:val="26"/>
            <w:szCs w:val="26"/>
          </w:rPr>
          <w:t>https://pautilitycareers.com/1-Press-Release</w:t>
        </w:r>
      </w:hyperlink>
      <w:r w:rsidR="00B92C0D">
        <w:rPr>
          <w:color w:val="000000"/>
          <w:sz w:val="26"/>
          <w:szCs w:val="26"/>
        </w:rPr>
        <w:t xml:space="preserve"> (accessed December 4, 2020).</w:t>
      </w:r>
    </w:p>
    <w:p w14:paraId="340B7564" w14:textId="77777777" w:rsidR="008128C5" w:rsidRPr="006B0763" w:rsidRDefault="008128C5" w:rsidP="008128C5">
      <w:pPr>
        <w:pStyle w:val="NormalWeb"/>
        <w:spacing w:before="0" w:beforeAutospacing="0" w:after="0" w:afterAutospacing="0" w:line="360" w:lineRule="auto"/>
        <w:ind w:firstLine="720"/>
        <w:rPr>
          <w:color w:val="000000"/>
          <w:sz w:val="26"/>
          <w:szCs w:val="26"/>
        </w:rPr>
      </w:pPr>
    </w:p>
    <w:p w14:paraId="76A31262" w14:textId="77777777" w:rsidR="006D4154" w:rsidRDefault="006D4154" w:rsidP="008128C5">
      <w:pPr>
        <w:pStyle w:val="NormalWeb"/>
        <w:spacing w:before="0" w:beforeAutospacing="0" w:after="0" w:afterAutospacing="0" w:line="360" w:lineRule="auto"/>
        <w:ind w:firstLine="720"/>
        <w:rPr>
          <w:color w:val="000000"/>
          <w:sz w:val="26"/>
          <w:szCs w:val="26"/>
        </w:rPr>
      </w:pPr>
      <w:r w:rsidRPr="006B0763">
        <w:rPr>
          <w:color w:val="000000"/>
          <w:sz w:val="26"/>
          <w:szCs w:val="26"/>
        </w:rPr>
        <w:t xml:space="preserve">Currently, the Commission’s Diversity Policy Statement encourages utilities to file a diversity report with the Commission annually.  In reviewing the reports submitted, Commission staff has found that, in many instances, the major jurisdictional utilities are either including too much information, not enough information, or unnecessary information in the reports.  In an attempt to solicit the appropriate information, the Commission’s Final Policy Statement at Docket No. M-2020-3018089 will revise the reporting guidelines upon publication in the </w:t>
      </w:r>
      <w:r w:rsidRPr="006B0763">
        <w:rPr>
          <w:i/>
          <w:iCs/>
          <w:color w:val="000000"/>
          <w:sz w:val="26"/>
          <w:szCs w:val="26"/>
        </w:rPr>
        <w:t>Pennsylvania Bulletin</w:t>
      </w:r>
      <w:r w:rsidRPr="006B0763">
        <w:rPr>
          <w:color w:val="000000"/>
          <w:sz w:val="26"/>
          <w:szCs w:val="26"/>
        </w:rPr>
        <w:t xml:space="preserve">.  This will serve to refine the information that the major jurisdictional utilities are being requested to file and streamline the reporting and review processes. </w:t>
      </w:r>
    </w:p>
    <w:p w14:paraId="32F50290" w14:textId="77777777" w:rsidR="008128C5" w:rsidRDefault="008128C5" w:rsidP="008128C5">
      <w:pPr>
        <w:pStyle w:val="NormalWeb"/>
        <w:spacing w:before="0" w:beforeAutospacing="0" w:after="0" w:afterAutospacing="0" w:line="360" w:lineRule="auto"/>
        <w:ind w:firstLine="720"/>
        <w:rPr>
          <w:color w:val="000000"/>
          <w:sz w:val="26"/>
          <w:szCs w:val="26"/>
        </w:rPr>
      </w:pPr>
    </w:p>
    <w:p w14:paraId="6905415F" w14:textId="3F1E30AE" w:rsidR="006D4154" w:rsidRPr="006B0763" w:rsidRDefault="00B97C4F" w:rsidP="008128C5">
      <w:pPr>
        <w:pStyle w:val="NormalWeb"/>
        <w:spacing w:before="0" w:beforeAutospacing="0" w:after="0" w:afterAutospacing="0" w:line="360" w:lineRule="auto"/>
        <w:ind w:firstLine="720"/>
        <w:rPr>
          <w:color w:val="000000"/>
          <w:sz w:val="26"/>
          <w:szCs w:val="26"/>
        </w:rPr>
      </w:pPr>
      <w:r>
        <w:rPr>
          <w:color w:val="000000"/>
          <w:sz w:val="26"/>
          <w:szCs w:val="26"/>
        </w:rPr>
        <w:t>T</w:t>
      </w:r>
      <w:r w:rsidR="006D4154" w:rsidRPr="006B0763">
        <w:rPr>
          <w:color w:val="000000"/>
          <w:sz w:val="26"/>
          <w:szCs w:val="26"/>
        </w:rPr>
        <w:t xml:space="preserve">he reporting pursuant to the </w:t>
      </w:r>
      <w:r>
        <w:rPr>
          <w:color w:val="000000"/>
          <w:sz w:val="26"/>
          <w:szCs w:val="26"/>
        </w:rPr>
        <w:t xml:space="preserve">Commission’s </w:t>
      </w:r>
      <w:r w:rsidR="006D4154" w:rsidRPr="006B0763">
        <w:rPr>
          <w:color w:val="000000"/>
          <w:sz w:val="26"/>
          <w:szCs w:val="26"/>
        </w:rPr>
        <w:t>Diversity Policy Statement is not obligatory.  After 25 years of voluntary reporting, the Commission finds that it is appropriate to propose</w:t>
      </w:r>
      <w:r w:rsidR="006D4154">
        <w:rPr>
          <w:color w:val="000000"/>
          <w:sz w:val="26"/>
          <w:szCs w:val="26"/>
        </w:rPr>
        <w:t xml:space="preserve"> </w:t>
      </w:r>
      <w:r w:rsidR="007F0077">
        <w:rPr>
          <w:color w:val="000000"/>
          <w:sz w:val="26"/>
          <w:szCs w:val="26"/>
        </w:rPr>
        <w:t xml:space="preserve">a </w:t>
      </w:r>
      <w:r w:rsidR="00487A22">
        <w:rPr>
          <w:color w:val="000000"/>
          <w:sz w:val="26"/>
          <w:szCs w:val="26"/>
        </w:rPr>
        <w:t>Diversity Reporting</w:t>
      </w:r>
      <w:r w:rsidR="006D4154" w:rsidRPr="006B0763">
        <w:rPr>
          <w:color w:val="000000"/>
          <w:sz w:val="26"/>
          <w:szCs w:val="26"/>
        </w:rPr>
        <w:t xml:space="preserve"> regulation to make diversity reporting by major jurisdictional utilities obligatory</w:t>
      </w:r>
      <w:r w:rsidR="006F036E">
        <w:rPr>
          <w:color w:val="000000"/>
          <w:sz w:val="26"/>
          <w:szCs w:val="26"/>
        </w:rPr>
        <w:t>, streamlined</w:t>
      </w:r>
      <w:r w:rsidR="006D4154">
        <w:rPr>
          <w:color w:val="000000"/>
          <w:sz w:val="26"/>
          <w:szCs w:val="26"/>
        </w:rPr>
        <w:t xml:space="preserve"> and more</w:t>
      </w:r>
      <w:r w:rsidR="006D4154" w:rsidDel="00DF1A0E">
        <w:rPr>
          <w:color w:val="000000"/>
          <w:sz w:val="26"/>
          <w:szCs w:val="26"/>
        </w:rPr>
        <w:t xml:space="preserve"> </w:t>
      </w:r>
      <w:r w:rsidR="00DF1A0E">
        <w:rPr>
          <w:color w:val="000000"/>
          <w:sz w:val="26"/>
          <w:szCs w:val="26"/>
        </w:rPr>
        <w:t>purposeful</w:t>
      </w:r>
      <w:r w:rsidR="006D4154" w:rsidRPr="006B0763">
        <w:rPr>
          <w:color w:val="000000"/>
          <w:sz w:val="26"/>
          <w:szCs w:val="26"/>
        </w:rPr>
        <w:t xml:space="preserve">. </w:t>
      </w:r>
    </w:p>
    <w:p w14:paraId="784602CD" w14:textId="77777777" w:rsidR="00C65403" w:rsidRDefault="00C65403" w:rsidP="008128C5">
      <w:pPr>
        <w:spacing w:line="360" w:lineRule="auto"/>
        <w:rPr>
          <w:sz w:val="26"/>
          <w:szCs w:val="26"/>
        </w:rPr>
      </w:pPr>
    </w:p>
    <w:p w14:paraId="31659E1F" w14:textId="6C4239D4" w:rsidR="00E9045F" w:rsidRDefault="00B842DA" w:rsidP="00A919D4">
      <w:pPr>
        <w:keepNext/>
        <w:spacing w:line="360" w:lineRule="auto"/>
        <w:jc w:val="center"/>
        <w:rPr>
          <w:b/>
          <w:bCs/>
          <w:sz w:val="26"/>
          <w:szCs w:val="26"/>
        </w:rPr>
      </w:pPr>
      <w:r>
        <w:rPr>
          <w:b/>
          <w:bCs/>
          <w:sz w:val="26"/>
          <w:szCs w:val="26"/>
        </w:rPr>
        <w:t xml:space="preserve">SUMMARY OF THE PROPOSED </w:t>
      </w:r>
      <w:r w:rsidR="0015128D">
        <w:rPr>
          <w:b/>
          <w:bCs/>
          <w:sz w:val="26"/>
          <w:szCs w:val="26"/>
        </w:rPr>
        <w:t xml:space="preserve">DIVERSITY REPORTING </w:t>
      </w:r>
      <w:r w:rsidR="00D3638B">
        <w:rPr>
          <w:b/>
          <w:bCs/>
          <w:sz w:val="26"/>
          <w:szCs w:val="26"/>
        </w:rPr>
        <w:t>REGULATION</w:t>
      </w:r>
    </w:p>
    <w:p w14:paraId="496F0840" w14:textId="171F1EAE" w:rsidR="00EF55C1" w:rsidRPr="00645C6B" w:rsidRDefault="0066486D" w:rsidP="009C6201">
      <w:pPr>
        <w:spacing w:line="360" w:lineRule="auto"/>
        <w:ind w:firstLine="720"/>
        <w:rPr>
          <w:sz w:val="26"/>
          <w:szCs w:val="26"/>
        </w:rPr>
      </w:pPr>
      <w:r>
        <w:rPr>
          <w:sz w:val="26"/>
          <w:szCs w:val="26"/>
        </w:rPr>
        <w:t>T</w:t>
      </w:r>
      <w:r w:rsidR="00D61896">
        <w:rPr>
          <w:sz w:val="26"/>
          <w:szCs w:val="26"/>
        </w:rPr>
        <w:t xml:space="preserve">he </w:t>
      </w:r>
      <w:r w:rsidR="00BA7DAF">
        <w:rPr>
          <w:sz w:val="26"/>
          <w:szCs w:val="26"/>
        </w:rPr>
        <w:t xml:space="preserve">guidelines </w:t>
      </w:r>
      <w:r w:rsidR="00B63647">
        <w:rPr>
          <w:sz w:val="26"/>
          <w:szCs w:val="26"/>
        </w:rPr>
        <w:t>in the Commission</w:t>
      </w:r>
      <w:r w:rsidR="006974A2">
        <w:rPr>
          <w:sz w:val="26"/>
          <w:szCs w:val="26"/>
        </w:rPr>
        <w:t>’</w:t>
      </w:r>
      <w:r w:rsidR="00B63647">
        <w:rPr>
          <w:sz w:val="26"/>
          <w:szCs w:val="26"/>
        </w:rPr>
        <w:t xml:space="preserve">s policy statement </w:t>
      </w:r>
      <w:r w:rsidR="009E2D23">
        <w:rPr>
          <w:sz w:val="26"/>
          <w:szCs w:val="26"/>
        </w:rPr>
        <w:t>currently at 52 Pa. Code §§</w:t>
      </w:r>
      <w:r w:rsidR="00E80C99">
        <w:rPr>
          <w:sz w:val="26"/>
          <w:szCs w:val="26"/>
        </w:rPr>
        <w:t> </w:t>
      </w:r>
      <w:r w:rsidR="009E2D23">
        <w:rPr>
          <w:sz w:val="26"/>
          <w:szCs w:val="26"/>
        </w:rPr>
        <w:t>69.80</w:t>
      </w:r>
      <w:r w:rsidR="009E7539">
        <w:rPr>
          <w:sz w:val="26"/>
          <w:szCs w:val="26"/>
        </w:rPr>
        <w:t>1-80</w:t>
      </w:r>
      <w:r w:rsidR="009B29DE">
        <w:rPr>
          <w:sz w:val="26"/>
          <w:szCs w:val="26"/>
        </w:rPr>
        <w:t>9</w:t>
      </w:r>
      <w:r w:rsidR="00052586">
        <w:rPr>
          <w:sz w:val="26"/>
          <w:szCs w:val="26"/>
        </w:rPr>
        <w:t xml:space="preserve"> </w:t>
      </w:r>
      <w:r w:rsidR="00260887">
        <w:rPr>
          <w:sz w:val="26"/>
          <w:szCs w:val="26"/>
        </w:rPr>
        <w:t xml:space="preserve">set forth </w:t>
      </w:r>
      <w:r w:rsidR="007159A6">
        <w:rPr>
          <w:sz w:val="26"/>
          <w:szCs w:val="26"/>
        </w:rPr>
        <w:t xml:space="preserve">the </w:t>
      </w:r>
      <w:r w:rsidR="004C22B9">
        <w:rPr>
          <w:sz w:val="26"/>
          <w:szCs w:val="26"/>
        </w:rPr>
        <w:t>goal of maintaining a diverse workforce</w:t>
      </w:r>
      <w:r w:rsidR="0053611E">
        <w:rPr>
          <w:sz w:val="26"/>
          <w:szCs w:val="26"/>
        </w:rPr>
        <w:t xml:space="preserve"> and supply chain</w:t>
      </w:r>
      <w:r w:rsidR="001D5762">
        <w:rPr>
          <w:sz w:val="26"/>
          <w:szCs w:val="26"/>
        </w:rPr>
        <w:t xml:space="preserve"> and include recommendations for </w:t>
      </w:r>
      <w:r w:rsidR="00A75638">
        <w:rPr>
          <w:sz w:val="26"/>
          <w:szCs w:val="26"/>
        </w:rPr>
        <w:t xml:space="preserve">the </w:t>
      </w:r>
      <w:r w:rsidR="001D5762">
        <w:rPr>
          <w:sz w:val="26"/>
          <w:szCs w:val="26"/>
        </w:rPr>
        <w:t xml:space="preserve">voluntary </w:t>
      </w:r>
      <w:r w:rsidR="009B29DE">
        <w:rPr>
          <w:sz w:val="26"/>
          <w:szCs w:val="26"/>
        </w:rPr>
        <w:t>filing of diversity information by major jurisdictional utilities</w:t>
      </w:r>
      <w:r w:rsidR="00871769">
        <w:rPr>
          <w:sz w:val="26"/>
          <w:szCs w:val="26"/>
        </w:rPr>
        <w:t>.</w:t>
      </w:r>
      <w:r w:rsidR="000D739B" w:rsidRPr="00776C03">
        <w:rPr>
          <w:sz w:val="26"/>
          <w:szCs w:val="26"/>
        </w:rPr>
        <w:t xml:space="preserve">  </w:t>
      </w:r>
      <w:r w:rsidR="006F3122" w:rsidRPr="00645C6B">
        <w:rPr>
          <w:sz w:val="26"/>
          <w:szCs w:val="26"/>
        </w:rPr>
        <w:t>The</w:t>
      </w:r>
      <w:r w:rsidR="006F3122" w:rsidRPr="007E476E">
        <w:rPr>
          <w:sz w:val="26"/>
          <w:szCs w:val="26"/>
        </w:rPr>
        <w:t xml:space="preserve"> General Assembly has empowered the Commission </w:t>
      </w:r>
      <w:r w:rsidR="00EF55C1" w:rsidRPr="003F3B3D">
        <w:rPr>
          <w:sz w:val="26"/>
          <w:szCs w:val="26"/>
        </w:rPr>
        <w:t xml:space="preserve">to enact </w:t>
      </w:r>
      <w:r w:rsidR="00EF55C1" w:rsidRPr="003F3B3D">
        <w:rPr>
          <w:sz w:val="26"/>
          <w:szCs w:val="26"/>
        </w:rPr>
        <w:lastRenderedPageBreak/>
        <w:t>regulations governing public utilities.  Section 501 of the Public Utility Code</w:t>
      </w:r>
      <w:r w:rsidR="007E476E">
        <w:rPr>
          <w:sz w:val="26"/>
          <w:szCs w:val="26"/>
        </w:rPr>
        <w:t xml:space="preserve">, </w:t>
      </w:r>
      <w:r w:rsidR="007E476E" w:rsidRPr="00776C03">
        <w:rPr>
          <w:sz w:val="26"/>
          <w:szCs w:val="26"/>
        </w:rPr>
        <w:t>66 Pa.C.S. § 501(b)</w:t>
      </w:r>
      <w:r w:rsidR="003F3B3D">
        <w:rPr>
          <w:sz w:val="26"/>
          <w:szCs w:val="26"/>
        </w:rPr>
        <w:t>,</w:t>
      </w:r>
      <w:r w:rsidR="00EF55C1" w:rsidRPr="007E476E">
        <w:rPr>
          <w:sz w:val="26"/>
          <w:szCs w:val="26"/>
        </w:rPr>
        <w:t xml:space="preserve"> provides in relevant part</w:t>
      </w:r>
      <w:r w:rsidR="00645C6B">
        <w:rPr>
          <w:sz w:val="26"/>
          <w:szCs w:val="26"/>
        </w:rPr>
        <w:t xml:space="preserve"> that</w:t>
      </w:r>
      <w:r w:rsidR="00EF55C1" w:rsidRPr="00645C6B">
        <w:rPr>
          <w:sz w:val="26"/>
          <w:szCs w:val="26"/>
        </w:rPr>
        <w:t>:</w:t>
      </w:r>
    </w:p>
    <w:p w14:paraId="5DDE4758" w14:textId="7760C93A" w:rsidR="00EF3E0E" w:rsidRPr="00776C03" w:rsidRDefault="00EF3E0E" w:rsidP="00EB3C65">
      <w:pPr>
        <w:ind w:left="720" w:right="1350"/>
        <w:rPr>
          <w:sz w:val="26"/>
          <w:szCs w:val="26"/>
        </w:rPr>
      </w:pPr>
      <w:r w:rsidRPr="00776C03">
        <w:rPr>
          <w:color w:val="212121"/>
          <w:sz w:val="26"/>
          <w:szCs w:val="26"/>
        </w:rPr>
        <w:t>[T]</w:t>
      </w:r>
      <w:r w:rsidR="00EF55C1" w:rsidRPr="00776C03">
        <w:rPr>
          <w:color w:val="212121"/>
          <w:sz w:val="26"/>
          <w:szCs w:val="26"/>
        </w:rPr>
        <w:t xml:space="preserve">he commission shall have general administrative power and authority to supervise and regulate all public utilities doing business within this Commonwealth. </w:t>
      </w:r>
      <w:r w:rsidR="007C4245" w:rsidRPr="00776C03">
        <w:rPr>
          <w:color w:val="212121"/>
          <w:sz w:val="26"/>
          <w:szCs w:val="26"/>
        </w:rPr>
        <w:t xml:space="preserve"> </w:t>
      </w:r>
      <w:r w:rsidR="00EF55C1" w:rsidRPr="00776C03">
        <w:rPr>
          <w:color w:val="212121"/>
          <w:sz w:val="26"/>
          <w:szCs w:val="26"/>
        </w:rPr>
        <w:t>The commission may make such regulations, not inconsistent with law, as may be necessary or proper in the exercise of its powers or for the performance of its duties.</w:t>
      </w:r>
    </w:p>
    <w:p w14:paraId="28C62E8A" w14:textId="77777777" w:rsidR="00EF3E0E" w:rsidRDefault="00EF3E0E" w:rsidP="00EB3C65">
      <w:pPr>
        <w:ind w:left="720" w:right="720"/>
        <w:rPr>
          <w:sz w:val="26"/>
          <w:szCs w:val="26"/>
        </w:rPr>
      </w:pPr>
    </w:p>
    <w:p w14:paraId="6A903EFD" w14:textId="77777777" w:rsidR="007E476E" w:rsidRPr="00776C03" w:rsidRDefault="007E476E" w:rsidP="00EB3C65">
      <w:pPr>
        <w:ind w:left="720" w:right="720"/>
        <w:rPr>
          <w:sz w:val="26"/>
          <w:szCs w:val="26"/>
        </w:rPr>
      </w:pPr>
    </w:p>
    <w:p w14:paraId="7B9D59A8" w14:textId="40AC9C37" w:rsidR="009C6201" w:rsidRDefault="009C6201" w:rsidP="00776C03">
      <w:pPr>
        <w:spacing w:line="360" w:lineRule="auto"/>
        <w:ind w:firstLine="720"/>
        <w:rPr>
          <w:sz w:val="26"/>
          <w:szCs w:val="26"/>
        </w:rPr>
      </w:pPr>
      <w:r w:rsidRPr="00776C03">
        <w:rPr>
          <w:sz w:val="26"/>
          <w:szCs w:val="26"/>
        </w:rPr>
        <w:t>Section 504 of the Public</w:t>
      </w:r>
      <w:r>
        <w:rPr>
          <w:sz w:val="26"/>
          <w:szCs w:val="26"/>
        </w:rPr>
        <w:t xml:space="preserve"> Utility Code, 66 Pa.C.S. § 504, provides in </w:t>
      </w:r>
      <w:r w:rsidR="00776C03">
        <w:rPr>
          <w:sz w:val="26"/>
          <w:szCs w:val="26"/>
        </w:rPr>
        <w:t>releva</w:t>
      </w:r>
      <w:r w:rsidR="00F61497">
        <w:rPr>
          <w:sz w:val="26"/>
          <w:szCs w:val="26"/>
        </w:rPr>
        <w:t>nt</w:t>
      </w:r>
      <w:r w:rsidR="00776C03">
        <w:rPr>
          <w:sz w:val="26"/>
          <w:szCs w:val="26"/>
        </w:rPr>
        <w:t xml:space="preserve"> </w:t>
      </w:r>
      <w:r>
        <w:rPr>
          <w:sz w:val="26"/>
          <w:szCs w:val="26"/>
        </w:rPr>
        <w:t>pertinent part that the Commission:</w:t>
      </w:r>
    </w:p>
    <w:p w14:paraId="5E858754" w14:textId="77777777" w:rsidR="009C6201" w:rsidRPr="00F359E2" w:rsidRDefault="009C6201" w:rsidP="001F0038">
      <w:pPr>
        <w:ind w:left="720" w:right="1440"/>
        <w:rPr>
          <w:sz w:val="26"/>
          <w:szCs w:val="26"/>
        </w:rPr>
      </w:pPr>
      <w:r>
        <w:rPr>
          <w:color w:val="000000"/>
          <w:sz w:val="26"/>
          <w:szCs w:val="26"/>
        </w:rPr>
        <w:t>[M]</w:t>
      </w:r>
      <w:r w:rsidRPr="00F359E2">
        <w:rPr>
          <w:color w:val="000000"/>
          <w:sz w:val="26"/>
          <w:szCs w:val="26"/>
        </w:rPr>
        <w:t>ay require any public utility to file periodical reports, at such times, and in such form, and of such content, as the commission may prescribe, and special reports concerning any matter whatsoever about which the commission is authorized to inquire, or to keep itself informed, or which it is required to enforce.</w:t>
      </w:r>
    </w:p>
    <w:p w14:paraId="43A580C0" w14:textId="77777777" w:rsidR="009C6201" w:rsidRDefault="009C6201" w:rsidP="00873366">
      <w:pPr>
        <w:ind w:firstLine="720"/>
        <w:rPr>
          <w:sz w:val="26"/>
          <w:szCs w:val="26"/>
        </w:rPr>
      </w:pPr>
    </w:p>
    <w:p w14:paraId="18602FDF" w14:textId="77777777" w:rsidR="00873366" w:rsidRDefault="00873366" w:rsidP="00225999">
      <w:pPr>
        <w:ind w:firstLine="720"/>
        <w:rPr>
          <w:sz w:val="26"/>
          <w:szCs w:val="26"/>
        </w:rPr>
      </w:pPr>
    </w:p>
    <w:p w14:paraId="3379CBA1" w14:textId="1343D5D0" w:rsidR="00C54F27" w:rsidRDefault="009F10CE" w:rsidP="005E2CE2">
      <w:pPr>
        <w:spacing w:line="360" w:lineRule="auto"/>
        <w:ind w:firstLine="720"/>
        <w:rPr>
          <w:sz w:val="26"/>
          <w:szCs w:val="26"/>
        </w:rPr>
      </w:pPr>
      <w:r>
        <w:rPr>
          <w:sz w:val="26"/>
          <w:szCs w:val="26"/>
        </w:rPr>
        <w:t>The Commission is now proposing that diversity reporting be mandatory for major jurisdictional utilities</w:t>
      </w:r>
      <w:r w:rsidR="004C6AAD">
        <w:rPr>
          <w:sz w:val="26"/>
          <w:szCs w:val="26"/>
        </w:rPr>
        <w:t xml:space="preserve"> providing electric, natural gas, water, wastewater, and telecommunications services</w:t>
      </w:r>
      <w:r w:rsidRPr="00776C03">
        <w:rPr>
          <w:sz w:val="26"/>
          <w:szCs w:val="26"/>
        </w:rPr>
        <w:t>.</w:t>
      </w:r>
      <w:r>
        <w:rPr>
          <w:sz w:val="26"/>
          <w:szCs w:val="26"/>
        </w:rPr>
        <w:t xml:space="preserve">  </w:t>
      </w:r>
      <w:r w:rsidR="006908F4">
        <w:rPr>
          <w:sz w:val="26"/>
          <w:szCs w:val="26"/>
        </w:rPr>
        <w:t>This w</w:t>
      </w:r>
      <w:r w:rsidR="00F13C1B">
        <w:rPr>
          <w:sz w:val="26"/>
          <w:szCs w:val="26"/>
        </w:rPr>
        <w:t>ould</w:t>
      </w:r>
      <w:r w:rsidR="006908F4">
        <w:rPr>
          <w:sz w:val="26"/>
          <w:szCs w:val="26"/>
        </w:rPr>
        <w:t xml:space="preserve"> </w:t>
      </w:r>
      <w:r w:rsidR="004B24A3">
        <w:rPr>
          <w:sz w:val="26"/>
          <w:szCs w:val="26"/>
        </w:rPr>
        <w:t xml:space="preserve">also </w:t>
      </w:r>
      <w:r w:rsidR="006908F4">
        <w:rPr>
          <w:sz w:val="26"/>
          <w:szCs w:val="26"/>
        </w:rPr>
        <w:t xml:space="preserve">entail promulgating </w:t>
      </w:r>
      <w:r w:rsidR="00F13C1B">
        <w:rPr>
          <w:sz w:val="26"/>
          <w:szCs w:val="26"/>
        </w:rPr>
        <w:t xml:space="preserve">within the </w:t>
      </w:r>
      <w:r w:rsidR="00881BAD">
        <w:rPr>
          <w:sz w:val="26"/>
          <w:szCs w:val="26"/>
        </w:rPr>
        <w:t>Diversity Reporting r</w:t>
      </w:r>
      <w:r w:rsidR="00F13C1B">
        <w:rPr>
          <w:sz w:val="26"/>
          <w:szCs w:val="26"/>
        </w:rPr>
        <w:t xml:space="preserve">egulation </w:t>
      </w:r>
      <w:r w:rsidR="006908F4">
        <w:rPr>
          <w:sz w:val="26"/>
          <w:szCs w:val="26"/>
        </w:rPr>
        <w:t xml:space="preserve">the definitions </w:t>
      </w:r>
      <w:r w:rsidR="00881BAD">
        <w:rPr>
          <w:sz w:val="26"/>
          <w:szCs w:val="26"/>
        </w:rPr>
        <w:t xml:space="preserve">that have been </w:t>
      </w:r>
      <w:r w:rsidR="00DA3D75">
        <w:rPr>
          <w:sz w:val="26"/>
          <w:szCs w:val="26"/>
        </w:rPr>
        <w:t xml:space="preserve">recently </w:t>
      </w:r>
      <w:r w:rsidR="00700C1A">
        <w:rPr>
          <w:sz w:val="26"/>
          <w:szCs w:val="26"/>
        </w:rPr>
        <w:t xml:space="preserve">modified </w:t>
      </w:r>
      <w:r w:rsidR="006908F4">
        <w:rPr>
          <w:sz w:val="26"/>
          <w:szCs w:val="26"/>
        </w:rPr>
        <w:t>in Sections 69.802 and 69.802</w:t>
      </w:r>
      <w:r w:rsidR="00AB1B1A">
        <w:rPr>
          <w:sz w:val="26"/>
          <w:szCs w:val="26"/>
        </w:rPr>
        <w:t>a</w:t>
      </w:r>
      <w:r w:rsidR="006908F4">
        <w:rPr>
          <w:sz w:val="26"/>
          <w:szCs w:val="26"/>
        </w:rPr>
        <w:t xml:space="preserve"> and the </w:t>
      </w:r>
      <w:r w:rsidR="00700C1A">
        <w:rPr>
          <w:sz w:val="26"/>
          <w:szCs w:val="26"/>
        </w:rPr>
        <w:t xml:space="preserve">filing recommendations recently modified </w:t>
      </w:r>
      <w:r w:rsidR="006908F4">
        <w:rPr>
          <w:sz w:val="26"/>
          <w:szCs w:val="26"/>
        </w:rPr>
        <w:t xml:space="preserve">in Section 69.809.  </w:t>
      </w:r>
      <w:r w:rsidR="00DF1A0E">
        <w:rPr>
          <w:sz w:val="26"/>
          <w:szCs w:val="26"/>
        </w:rPr>
        <w:t xml:space="preserve">52 Pa. Code §§ 69.802, 69.809.  </w:t>
      </w:r>
      <w:r w:rsidR="0009739E">
        <w:rPr>
          <w:sz w:val="26"/>
          <w:szCs w:val="26"/>
        </w:rPr>
        <w:t>It w</w:t>
      </w:r>
      <w:r w:rsidR="00703F8F">
        <w:rPr>
          <w:sz w:val="26"/>
          <w:szCs w:val="26"/>
        </w:rPr>
        <w:t xml:space="preserve">ould </w:t>
      </w:r>
      <w:r w:rsidR="0009739E">
        <w:rPr>
          <w:sz w:val="26"/>
          <w:szCs w:val="26"/>
        </w:rPr>
        <w:t>also require ma</w:t>
      </w:r>
      <w:r w:rsidR="00456FF8">
        <w:rPr>
          <w:sz w:val="26"/>
          <w:szCs w:val="26"/>
        </w:rPr>
        <w:t xml:space="preserve">ndating the use of </w:t>
      </w:r>
      <w:r w:rsidR="00041E99">
        <w:rPr>
          <w:sz w:val="26"/>
          <w:szCs w:val="26"/>
        </w:rPr>
        <w:t xml:space="preserve">a specific </w:t>
      </w:r>
      <w:r w:rsidR="00C3472D">
        <w:rPr>
          <w:sz w:val="26"/>
          <w:szCs w:val="26"/>
        </w:rPr>
        <w:t>form for reporting</w:t>
      </w:r>
      <w:r w:rsidR="00174303">
        <w:rPr>
          <w:sz w:val="26"/>
          <w:szCs w:val="26"/>
        </w:rPr>
        <w:t xml:space="preserve"> </w:t>
      </w:r>
      <w:r w:rsidR="00AC48B5">
        <w:rPr>
          <w:sz w:val="26"/>
          <w:szCs w:val="26"/>
        </w:rPr>
        <w:t xml:space="preserve">workforce diversity </w:t>
      </w:r>
      <w:r w:rsidR="00174303">
        <w:rPr>
          <w:sz w:val="26"/>
          <w:szCs w:val="26"/>
        </w:rPr>
        <w:t>as set forth in the Final Policy Statement Order</w:t>
      </w:r>
      <w:r w:rsidR="00C3472D">
        <w:rPr>
          <w:sz w:val="26"/>
          <w:szCs w:val="26"/>
        </w:rPr>
        <w:t xml:space="preserve">.  </w:t>
      </w:r>
    </w:p>
    <w:p w14:paraId="1E440F9A" w14:textId="77777777" w:rsidR="009C6201" w:rsidRDefault="009C6201" w:rsidP="005E2CE2">
      <w:pPr>
        <w:spacing w:line="360" w:lineRule="auto"/>
        <w:ind w:firstLine="720"/>
        <w:rPr>
          <w:sz w:val="26"/>
          <w:szCs w:val="26"/>
        </w:rPr>
      </w:pPr>
    </w:p>
    <w:p w14:paraId="1DF66BF4" w14:textId="024884E3" w:rsidR="00E06924" w:rsidRPr="003F2344" w:rsidRDefault="00E06924" w:rsidP="0015128D">
      <w:pPr>
        <w:keepNext/>
        <w:spacing w:line="360" w:lineRule="auto"/>
        <w:ind w:firstLine="720"/>
        <w:rPr>
          <w:b/>
          <w:bCs/>
          <w:sz w:val="26"/>
          <w:szCs w:val="26"/>
        </w:rPr>
      </w:pPr>
      <w:r w:rsidRPr="003F2344">
        <w:rPr>
          <w:b/>
          <w:bCs/>
          <w:sz w:val="26"/>
          <w:szCs w:val="26"/>
        </w:rPr>
        <w:t xml:space="preserve">§ </w:t>
      </w:r>
      <w:r w:rsidR="00BA3E2A">
        <w:rPr>
          <w:b/>
          <w:bCs/>
          <w:sz w:val="26"/>
          <w:szCs w:val="26"/>
        </w:rPr>
        <w:t>51</w:t>
      </w:r>
      <w:r w:rsidR="00E51F8D" w:rsidRPr="003F2344">
        <w:rPr>
          <w:b/>
          <w:bCs/>
          <w:sz w:val="26"/>
          <w:szCs w:val="26"/>
        </w:rPr>
        <w:t>.</w:t>
      </w:r>
      <w:r w:rsidR="00B84A26">
        <w:rPr>
          <w:b/>
          <w:bCs/>
          <w:sz w:val="26"/>
          <w:szCs w:val="26"/>
        </w:rPr>
        <w:t>1</w:t>
      </w:r>
      <w:r w:rsidR="00313011">
        <w:rPr>
          <w:b/>
          <w:bCs/>
          <w:sz w:val="26"/>
          <w:szCs w:val="26"/>
        </w:rPr>
        <w:t>1</w:t>
      </w:r>
      <w:r w:rsidR="000E1F18" w:rsidRPr="003F2344">
        <w:rPr>
          <w:b/>
          <w:bCs/>
          <w:sz w:val="26"/>
          <w:szCs w:val="26"/>
        </w:rPr>
        <w:t xml:space="preserve"> -- </w:t>
      </w:r>
      <w:r w:rsidR="005A157F">
        <w:rPr>
          <w:b/>
          <w:bCs/>
          <w:sz w:val="26"/>
          <w:szCs w:val="26"/>
        </w:rPr>
        <w:t>General</w:t>
      </w:r>
    </w:p>
    <w:p w14:paraId="3B573A71" w14:textId="149CB7C6" w:rsidR="00E06924" w:rsidRDefault="00E51F8D" w:rsidP="005E2CE2">
      <w:pPr>
        <w:spacing w:line="360" w:lineRule="auto"/>
        <w:ind w:firstLine="720"/>
        <w:rPr>
          <w:sz w:val="26"/>
          <w:szCs w:val="26"/>
        </w:rPr>
      </w:pPr>
      <w:r>
        <w:rPr>
          <w:sz w:val="26"/>
          <w:szCs w:val="26"/>
        </w:rPr>
        <w:t xml:space="preserve">This section sets out the purpose of the </w:t>
      </w:r>
      <w:r w:rsidR="00C721FE">
        <w:rPr>
          <w:sz w:val="26"/>
          <w:szCs w:val="26"/>
        </w:rPr>
        <w:t xml:space="preserve">proposed </w:t>
      </w:r>
      <w:r w:rsidR="00487A22">
        <w:rPr>
          <w:sz w:val="26"/>
          <w:szCs w:val="26"/>
        </w:rPr>
        <w:t>Diversity Reporting</w:t>
      </w:r>
      <w:r>
        <w:rPr>
          <w:sz w:val="26"/>
          <w:szCs w:val="26"/>
        </w:rPr>
        <w:t xml:space="preserve"> regulation</w:t>
      </w:r>
      <w:r w:rsidR="000D365C">
        <w:rPr>
          <w:sz w:val="26"/>
          <w:szCs w:val="26"/>
        </w:rPr>
        <w:t xml:space="preserve"> as set forth in Annex A</w:t>
      </w:r>
      <w:r>
        <w:rPr>
          <w:sz w:val="26"/>
          <w:szCs w:val="26"/>
        </w:rPr>
        <w:t>.</w:t>
      </w:r>
    </w:p>
    <w:p w14:paraId="373CBD60" w14:textId="77777777" w:rsidR="00E51F8D" w:rsidRDefault="00E51F8D" w:rsidP="005E2CE2">
      <w:pPr>
        <w:spacing w:line="360" w:lineRule="auto"/>
        <w:ind w:firstLine="720"/>
        <w:rPr>
          <w:sz w:val="26"/>
          <w:szCs w:val="26"/>
        </w:rPr>
      </w:pPr>
    </w:p>
    <w:p w14:paraId="4BDA1E0F" w14:textId="2F0A3634" w:rsidR="00047DF3" w:rsidRDefault="002E6550" w:rsidP="005F7AFC">
      <w:pPr>
        <w:spacing w:line="360" w:lineRule="auto"/>
        <w:ind w:firstLine="720"/>
        <w:rPr>
          <w:sz w:val="26"/>
          <w:szCs w:val="26"/>
        </w:rPr>
      </w:pPr>
      <w:r w:rsidRPr="003F2344">
        <w:rPr>
          <w:b/>
          <w:bCs/>
          <w:sz w:val="26"/>
          <w:szCs w:val="26"/>
        </w:rPr>
        <w:t xml:space="preserve">§ </w:t>
      </w:r>
      <w:r w:rsidR="00B84A26">
        <w:rPr>
          <w:b/>
          <w:bCs/>
          <w:sz w:val="26"/>
          <w:szCs w:val="26"/>
        </w:rPr>
        <w:t>51.</w:t>
      </w:r>
      <w:r w:rsidR="00AA32F0">
        <w:rPr>
          <w:b/>
          <w:bCs/>
          <w:sz w:val="26"/>
          <w:szCs w:val="26"/>
        </w:rPr>
        <w:t>1</w:t>
      </w:r>
      <w:r w:rsidR="00C36B22">
        <w:rPr>
          <w:b/>
          <w:bCs/>
          <w:sz w:val="26"/>
          <w:szCs w:val="26"/>
        </w:rPr>
        <w:t>2</w:t>
      </w:r>
      <w:r w:rsidRPr="003F2344">
        <w:rPr>
          <w:b/>
          <w:bCs/>
          <w:sz w:val="26"/>
          <w:szCs w:val="26"/>
        </w:rPr>
        <w:t xml:space="preserve"> – Definitions </w:t>
      </w:r>
      <w:r w:rsidR="00F054AA">
        <w:rPr>
          <w:b/>
          <w:bCs/>
          <w:sz w:val="26"/>
          <w:szCs w:val="26"/>
        </w:rPr>
        <w:t xml:space="preserve">Applicable to </w:t>
      </w:r>
      <w:r w:rsidR="007C322F">
        <w:rPr>
          <w:b/>
          <w:bCs/>
          <w:sz w:val="26"/>
          <w:szCs w:val="26"/>
        </w:rPr>
        <w:t>Employee and Vendor Diversity</w:t>
      </w:r>
    </w:p>
    <w:p w14:paraId="1B379C68" w14:textId="35CE3E29" w:rsidR="007C3657" w:rsidRDefault="00C54F27" w:rsidP="005F7AFC">
      <w:pPr>
        <w:spacing w:line="360" w:lineRule="auto"/>
        <w:ind w:left="720"/>
        <w:rPr>
          <w:b/>
          <w:bCs/>
          <w:sz w:val="26"/>
          <w:szCs w:val="26"/>
        </w:rPr>
      </w:pPr>
      <w:r w:rsidRPr="003F2344">
        <w:rPr>
          <w:b/>
          <w:bCs/>
          <w:sz w:val="26"/>
          <w:szCs w:val="26"/>
        </w:rPr>
        <w:t>§</w:t>
      </w:r>
      <w:r w:rsidR="00AC7C88" w:rsidRPr="003F2344">
        <w:rPr>
          <w:b/>
          <w:bCs/>
          <w:sz w:val="26"/>
          <w:szCs w:val="26"/>
        </w:rPr>
        <w:t xml:space="preserve"> </w:t>
      </w:r>
      <w:r w:rsidR="00256CDB">
        <w:rPr>
          <w:b/>
          <w:bCs/>
          <w:sz w:val="26"/>
          <w:szCs w:val="26"/>
        </w:rPr>
        <w:t>51.1</w:t>
      </w:r>
      <w:r w:rsidR="00D829F9">
        <w:rPr>
          <w:b/>
          <w:bCs/>
          <w:sz w:val="26"/>
          <w:szCs w:val="26"/>
        </w:rPr>
        <w:t>3</w:t>
      </w:r>
      <w:r w:rsidR="00AC7C88" w:rsidRPr="003F2344">
        <w:rPr>
          <w:b/>
          <w:bCs/>
          <w:sz w:val="26"/>
          <w:szCs w:val="26"/>
        </w:rPr>
        <w:t xml:space="preserve"> </w:t>
      </w:r>
      <w:r w:rsidR="00E51F8D" w:rsidRPr="003F2344">
        <w:rPr>
          <w:b/>
          <w:bCs/>
          <w:sz w:val="26"/>
          <w:szCs w:val="26"/>
        </w:rPr>
        <w:t xml:space="preserve">– </w:t>
      </w:r>
      <w:r w:rsidR="00F0598A" w:rsidRPr="003F2344">
        <w:rPr>
          <w:b/>
          <w:bCs/>
          <w:sz w:val="26"/>
          <w:szCs w:val="26"/>
        </w:rPr>
        <w:t xml:space="preserve">Definitions for Reporting </w:t>
      </w:r>
      <w:r w:rsidR="00E51F8D" w:rsidRPr="003F2344">
        <w:rPr>
          <w:b/>
          <w:bCs/>
          <w:sz w:val="26"/>
          <w:szCs w:val="26"/>
        </w:rPr>
        <w:t xml:space="preserve">Employee </w:t>
      </w:r>
      <w:r w:rsidR="002C7CEF" w:rsidRPr="003F2344">
        <w:rPr>
          <w:b/>
          <w:bCs/>
          <w:sz w:val="26"/>
          <w:szCs w:val="26"/>
        </w:rPr>
        <w:t>Statistics</w:t>
      </w:r>
    </w:p>
    <w:p w14:paraId="5014E0AE" w14:textId="68F59C37" w:rsidR="00C54F27" w:rsidRDefault="0089781D" w:rsidP="005F7AFC">
      <w:pPr>
        <w:spacing w:line="360" w:lineRule="auto"/>
        <w:ind w:left="720"/>
        <w:rPr>
          <w:b/>
          <w:bCs/>
          <w:sz w:val="26"/>
          <w:szCs w:val="26"/>
        </w:rPr>
      </w:pPr>
      <w:r w:rsidRPr="003F2344">
        <w:rPr>
          <w:b/>
          <w:bCs/>
          <w:sz w:val="26"/>
          <w:szCs w:val="26"/>
        </w:rPr>
        <w:t>§ </w:t>
      </w:r>
      <w:r w:rsidR="00256CDB">
        <w:rPr>
          <w:b/>
          <w:bCs/>
          <w:sz w:val="26"/>
          <w:szCs w:val="26"/>
        </w:rPr>
        <w:t>51.</w:t>
      </w:r>
      <w:r w:rsidR="00E7261F">
        <w:rPr>
          <w:b/>
          <w:bCs/>
          <w:sz w:val="26"/>
          <w:szCs w:val="26"/>
        </w:rPr>
        <w:t>1</w:t>
      </w:r>
      <w:r w:rsidR="00D829F9">
        <w:rPr>
          <w:b/>
          <w:bCs/>
          <w:sz w:val="26"/>
          <w:szCs w:val="26"/>
        </w:rPr>
        <w:t xml:space="preserve">4 </w:t>
      </w:r>
      <w:r w:rsidR="00BA68EB">
        <w:rPr>
          <w:b/>
          <w:bCs/>
          <w:sz w:val="26"/>
          <w:szCs w:val="26"/>
        </w:rPr>
        <w:t>--</w:t>
      </w:r>
      <w:r w:rsidR="002C7CEF" w:rsidRPr="003F2344">
        <w:rPr>
          <w:b/>
          <w:bCs/>
          <w:sz w:val="26"/>
          <w:szCs w:val="26"/>
        </w:rPr>
        <w:t xml:space="preserve">Definitions for </w:t>
      </w:r>
      <w:r w:rsidR="00E51F8D" w:rsidRPr="003F2344">
        <w:rPr>
          <w:b/>
          <w:bCs/>
          <w:sz w:val="26"/>
          <w:szCs w:val="26"/>
        </w:rPr>
        <w:t xml:space="preserve">Reporting </w:t>
      </w:r>
      <w:r w:rsidR="002C7CEF" w:rsidRPr="003F2344">
        <w:rPr>
          <w:b/>
          <w:bCs/>
          <w:sz w:val="26"/>
          <w:szCs w:val="26"/>
        </w:rPr>
        <w:t>Vendor Statistics</w:t>
      </w:r>
    </w:p>
    <w:p w14:paraId="45E6CF60" w14:textId="2552C48F" w:rsidR="0066486D" w:rsidRDefault="00F37E9F" w:rsidP="005E2CE2">
      <w:pPr>
        <w:spacing w:line="360" w:lineRule="auto"/>
        <w:ind w:firstLine="720"/>
        <w:rPr>
          <w:sz w:val="26"/>
          <w:szCs w:val="26"/>
        </w:rPr>
      </w:pPr>
      <w:r>
        <w:rPr>
          <w:sz w:val="26"/>
          <w:szCs w:val="26"/>
        </w:rPr>
        <w:lastRenderedPageBreak/>
        <w:t>T</w:t>
      </w:r>
      <w:r w:rsidR="00E115A5">
        <w:rPr>
          <w:sz w:val="26"/>
          <w:szCs w:val="26"/>
        </w:rPr>
        <w:t xml:space="preserve">he Commission is </w:t>
      </w:r>
      <w:r w:rsidR="00E653CA">
        <w:rPr>
          <w:sz w:val="26"/>
          <w:szCs w:val="26"/>
        </w:rPr>
        <w:t>pro</w:t>
      </w:r>
      <w:r w:rsidR="00E621E7">
        <w:rPr>
          <w:sz w:val="26"/>
          <w:szCs w:val="26"/>
        </w:rPr>
        <w:t xml:space="preserve">posing to adopt </w:t>
      </w:r>
      <w:r w:rsidR="00EA6D2A">
        <w:rPr>
          <w:sz w:val="26"/>
          <w:szCs w:val="26"/>
        </w:rPr>
        <w:t xml:space="preserve">as part of the </w:t>
      </w:r>
      <w:r w:rsidR="00487A22">
        <w:rPr>
          <w:sz w:val="26"/>
          <w:szCs w:val="26"/>
        </w:rPr>
        <w:t>Diversity Reporting</w:t>
      </w:r>
      <w:r w:rsidR="00EA6D2A">
        <w:rPr>
          <w:sz w:val="26"/>
          <w:szCs w:val="26"/>
        </w:rPr>
        <w:t xml:space="preserve"> regulation the </w:t>
      </w:r>
      <w:r w:rsidR="00F521E8">
        <w:rPr>
          <w:sz w:val="26"/>
          <w:szCs w:val="26"/>
        </w:rPr>
        <w:t xml:space="preserve">general definitions and the specific </w:t>
      </w:r>
      <w:r w:rsidR="003B3400">
        <w:rPr>
          <w:sz w:val="26"/>
          <w:szCs w:val="26"/>
        </w:rPr>
        <w:t>employee</w:t>
      </w:r>
      <w:r w:rsidR="003851CA">
        <w:rPr>
          <w:sz w:val="26"/>
          <w:szCs w:val="26"/>
        </w:rPr>
        <w:t>-</w:t>
      </w:r>
      <w:r w:rsidR="003B3400">
        <w:rPr>
          <w:sz w:val="26"/>
          <w:szCs w:val="26"/>
        </w:rPr>
        <w:t xml:space="preserve">reporting and </w:t>
      </w:r>
      <w:r w:rsidR="00F521E8">
        <w:rPr>
          <w:sz w:val="26"/>
          <w:szCs w:val="26"/>
        </w:rPr>
        <w:t xml:space="preserve">specific </w:t>
      </w:r>
      <w:r w:rsidR="003B3400">
        <w:rPr>
          <w:sz w:val="26"/>
          <w:szCs w:val="26"/>
        </w:rPr>
        <w:t>vendor</w:t>
      </w:r>
      <w:r w:rsidR="003851CA">
        <w:rPr>
          <w:sz w:val="26"/>
          <w:szCs w:val="26"/>
        </w:rPr>
        <w:t>-</w:t>
      </w:r>
      <w:r w:rsidR="003B3400">
        <w:rPr>
          <w:sz w:val="26"/>
          <w:szCs w:val="26"/>
        </w:rPr>
        <w:t xml:space="preserve">reporting </w:t>
      </w:r>
      <w:r w:rsidR="00490129">
        <w:rPr>
          <w:sz w:val="26"/>
          <w:szCs w:val="26"/>
        </w:rPr>
        <w:t xml:space="preserve">definitions </w:t>
      </w:r>
      <w:r w:rsidR="00B54B52">
        <w:rPr>
          <w:sz w:val="26"/>
          <w:szCs w:val="26"/>
        </w:rPr>
        <w:t xml:space="preserve">currently </w:t>
      </w:r>
      <w:r w:rsidR="00490129">
        <w:rPr>
          <w:sz w:val="26"/>
          <w:szCs w:val="26"/>
        </w:rPr>
        <w:t xml:space="preserve">in </w:t>
      </w:r>
      <w:r w:rsidR="002868E6">
        <w:rPr>
          <w:sz w:val="26"/>
          <w:szCs w:val="26"/>
        </w:rPr>
        <w:t>Section</w:t>
      </w:r>
      <w:r w:rsidR="00E115A5">
        <w:rPr>
          <w:sz w:val="26"/>
          <w:szCs w:val="26"/>
        </w:rPr>
        <w:t>s</w:t>
      </w:r>
      <w:r w:rsidR="00B54B52">
        <w:rPr>
          <w:sz w:val="26"/>
          <w:szCs w:val="26"/>
        </w:rPr>
        <w:t> </w:t>
      </w:r>
      <w:r w:rsidR="002868E6">
        <w:rPr>
          <w:sz w:val="26"/>
          <w:szCs w:val="26"/>
        </w:rPr>
        <w:t>69.80</w:t>
      </w:r>
      <w:r>
        <w:rPr>
          <w:sz w:val="26"/>
          <w:szCs w:val="26"/>
        </w:rPr>
        <w:t>2 and 69.</w:t>
      </w:r>
      <w:r w:rsidR="002868E6">
        <w:rPr>
          <w:sz w:val="26"/>
          <w:szCs w:val="26"/>
        </w:rPr>
        <w:t>80</w:t>
      </w:r>
      <w:r w:rsidR="008203DB">
        <w:rPr>
          <w:sz w:val="26"/>
          <w:szCs w:val="26"/>
        </w:rPr>
        <w:t>2</w:t>
      </w:r>
      <w:r w:rsidR="00103C03">
        <w:rPr>
          <w:sz w:val="26"/>
          <w:szCs w:val="26"/>
        </w:rPr>
        <w:t>a</w:t>
      </w:r>
      <w:r w:rsidR="008C35FC">
        <w:rPr>
          <w:sz w:val="26"/>
          <w:szCs w:val="26"/>
        </w:rPr>
        <w:t xml:space="preserve"> </w:t>
      </w:r>
      <w:r w:rsidR="00346BD5">
        <w:rPr>
          <w:sz w:val="26"/>
          <w:szCs w:val="26"/>
        </w:rPr>
        <w:t xml:space="preserve">without </w:t>
      </w:r>
      <w:r w:rsidR="005B13B9">
        <w:rPr>
          <w:sz w:val="26"/>
          <w:szCs w:val="26"/>
        </w:rPr>
        <w:t xml:space="preserve">substantive changes </w:t>
      </w:r>
      <w:r w:rsidR="00CD0F33">
        <w:rPr>
          <w:sz w:val="26"/>
          <w:szCs w:val="26"/>
        </w:rPr>
        <w:t>as set forth in Annex A</w:t>
      </w:r>
      <w:r w:rsidR="00E06924">
        <w:rPr>
          <w:sz w:val="26"/>
          <w:szCs w:val="26"/>
        </w:rPr>
        <w:t xml:space="preserve">.  </w:t>
      </w:r>
      <w:r w:rsidR="00DF1A0E">
        <w:rPr>
          <w:sz w:val="26"/>
          <w:szCs w:val="26"/>
        </w:rPr>
        <w:t xml:space="preserve">52 Pa. Code 69.802.  </w:t>
      </w:r>
      <w:r w:rsidR="00526E07">
        <w:rPr>
          <w:sz w:val="26"/>
          <w:szCs w:val="26"/>
        </w:rPr>
        <w:t xml:space="preserve">We note that we have </w:t>
      </w:r>
      <w:r w:rsidR="008C79E5">
        <w:rPr>
          <w:sz w:val="26"/>
          <w:szCs w:val="26"/>
        </w:rPr>
        <w:t xml:space="preserve">used the phrase “major jurisdictional utility” </w:t>
      </w:r>
      <w:r w:rsidR="007575B1">
        <w:rPr>
          <w:sz w:val="26"/>
          <w:szCs w:val="26"/>
        </w:rPr>
        <w:t xml:space="preserve">in the proposed </w:t>
      </w:r>
      <w:r w:rsidR="00487A22">
        <w:rPr>
          <w:sz w:val="26"/>
          <w:szCs w:val="26"/>
        </w:rPr>
        <w:t>Diversity Reporting</w:t>
      </w:r>
      <w:r w:rsidR="007575B1">
        <w:rPr>
          <w:sz w:val="26"/>
          <w:szCs w:val="26"/>
        </w:rPr>
        <w:t xml:space="preserve"> regulation </w:t>
      </w:r>
      <w:r w:rsidR="008C79E5">
        <w:rPr>
          <w:sz w:val="26"/>
          <w:szCs w:val="26"/>
        </w:rPr>
        <w:t>rather than “major jurisdictional utility company</w:t>
      </w:r>
      <w:r w:rsidR="007C0932">
        <w:rPr>
          <w:sz w:val="26"/>
          <w:szCs w:val="26"/>
        </w:rPr>
        <w:t xml:space="preserve">” as the use of “company” did not add any clarity to the </w:t>
      </w:r>
      <w:r w:rsidR="00487A22">
        <w:rPr>
          <w:sz w:val="26"/>
          <w:szCs w:val="26"/>
        </w:rPr>
        <w:t>Diversity Reporting</w:t>
      </w:r>
      <w:r w:rsidR="00413820">
        <w:rPr>
          <w:sz w:val="26"/>
          <w:szCs w:val="26"/>
        </w:rPr>
        <w:t xml:space="preserve"> </w:t>
      </w:r>
      <w:r w:rsidR="007C0932">
        <w:rPr>
          <w:sz w:val="26"/>
          <w:szCs w:val="26"/>
        </w:rPr>
        <w:t>regulation.</w:t>
      </w:r>
      <w:r w:rsidR="00526E07">
        <w:rPr>
          <w:sz w:val="26"/>
          <w:szCs w:val="26"/>
        </w:rPr>
        <w:t xml:space="preserve"> </w:t>
      </w:r>
    </w:p>
    <w:p w14:paraId="50D80802" w14:textId="77777777" w:rsidR="00421BCC" w:rsidRDefault="00421BCC" w:rsidP="005E2CE2">
      <w:pPr>
        <w:spacing w:line="360" w:lineRule="auto"/>
        <w:ind w:firstLine="720"/>
        <w:rPr>
          <w:sz w:val="26"/>
          <w:szCs w:val="26"/>
        </w:rPr>
      </w:pPr>
    </w:p>
    <w:p w14:paraId="4F4E6667" w14:textId="4FB8317F" w:rsidR="00A62455" w:rsidRDefault="00A62455" w:rsidP="005E2CE2">
      <w:pPr>
        <w:spacing w:line="360" w:lineRule="auto"/>
        <w:ind w:firstLine="720"/>
        <w:rPr>
          <w:sz w:val="26"/>
          <w:szCs w:val="26"/>
        </w:rPr>
      </w:pPr>
      <w:r>
        <w:rPr>
          <w:sz w:val="26"/>
          <w:szCs w:val="26"/>
        </w:rPr>
        <w:t xml:space="preserve">Because the definitions in the proposed regulation </w:t>
      </w:r>
      <w:r w:rsidR="00684C53">
        <w:rPr>
          <w:sz w:val="26"/>
          <w:szCs w:val="26"/>
        </w:rPr>
        <w:t xml:space="preserve">would also be </w:t>
      </w:r>
      <w:r>
        <w:rPr>
          <w:sz w:val="26"/>
          <w:szCs w:val="26"/>
        </w:rPr>
        <w:t xml:space="preserve">applicable to </w:t>
      </w:r>
      <w:r w:rsidR="00684C53">
        <w:rPr>
          <w:sz w:val="26"/>
          <w:szCs w:val="26"/>
        </w:rPr>
        <w:t xml:space="preserve">the </w:t>
      </w:r>
      <w:r>
        <w:rPr>
          <w:sz w:val="26"/>
          <w:szCs w:val="26"/>
        </w:rPr>
        <w:t>Diversity Policy Statement</w:t>
      </w:r>
      <w:r w:rsidR="001D2381">
        <w:rPr>
          <w:sz w:val="26"/>
          <w:szCs w:val="26"/>
        </w:rPr>
        <w:t xml:space="preserve">, </w:t>
      </w:r>
      <w:r w:rsidR="0083765A">
        <w:rPr>
          <w:sz w:val="26"/>
          <w:szCs w:val="26"/>
        </w:rPr>
        <w:t xml:space="preserve">and because the </w:t>
      </w:r>
      <w:r w:rsidR="00143E97">
        <w:rPr>
          <w:sz w:val="26"/>
          <w:szCs w:val="26"/>
        </w:rPr>
        <w:t xml:space="preserve">Diversity Policy Statement would be the predicate </w:t>
      </w:r>
      <w:r w:rsidR="00FF6938">
        <w:rPr>
          <w:sz w:val="26"/>
          <w:szCs w:val="26"/>
        </w:rPr>
        <w:t xml:space="preserve">recommendations </w:t>
      </w:r>
      <w:r w:rsidR="00143E97">
        <w:rPr>
          <w:sz w:val="26"/>
          <w:szCs w:val="26"/>
        </w:rPr>
        <w:t xml:space="preserve">for the </w:t>
      </w:r>
      <w:r w:rsidR="00FF6938">
        <w:rPr>
          <w:sz w:val="26"/>
          <w:szCs w:val="26"/>
        </w:rPr>
        <w:t xml:space="preserve">contents being reported, </w:t>
      </w:r>
      <w:r w:rsidR="001D2381">
        <w:rPr>
          <w:sz w:val="26"/>
          <w:szCs w:val="26"/>
        </w:rPr>
        <w:t>there are definition</w:t>
      </w:r>
      <w:r w:rsidR="00DF1A0E">
        <w:rPr>
          <w:sz w:val="26"/>
          <w:szCs w:val="26"/>
        </w:rPr>
        <w:t>s</w:t>
      </w:r>
      <w:r w:rsidR="001D2381">
        <w:rPr>
          <w:sz w:val="26"/>
          <w:szCs w:val="26"/>
        </w:rPr>
        <w:t xml:space="preserve"> proposed for inclusion in the regulation that </w:t>
      </w:r>
      <w:r w:rsidR="0083765A">
        <w:rPr>
          <w:sz w:val="26"/>
          <w:szCs w:val="26"/>
        </w:rPr>
        <w:t>would not be otherwise used in the regulation</w:t>
      </w:r>
      <w:r w:rsidR="0014246B">
        <w:rPr>
          <w:sz w:val="26"/>
          <w:szCs w:val="26"/>
        </w:rPr>
        <w:t>.</w:t>
      </w:r>
      <w:r w:rsidR="00E7261F">
        <w:rPr>
          <w:sz w:val="26"/>
          <w:szCs w:val="26"/>
        </w:rPr>
        <w:t xml:space="preserve">  Defining terms for </w:t>
      </w:r>
      <w:r w:rsidR="00EB03D6">
        <w:rPr>
          <w:sz w:val="26"/>
          <w:szCs w:val="26"/>
        </w:rPr>
        <w:t>both the proposed regulation and the remaining policy provisions in one location and as a regulation serves several purposes.  I</w:t>
      </w:r>
      <w:r w:rsidR="007E5DE5">
        <w:rPr>
          <w:sz w:val="26"/>
          <w:szCs w:val="26"/>
        </w:rPr>
        <w:t xml:space="preserve">t establishes uniform terms for adherence to the regulation and </w:t>
      </w:r>
      <w:r w:rsidR="00483236">
        <w:rPr>
          <w:sz w:val="26"/>
          <w:szCs w:val="26"/>
        </w:rPr>
        <w:t xml:space="preserve">for </w:t>
      </w:r>
      <w:r w:rsidR="007E5DE5">
        <w:rPr>
          <w:sz w:val="26"/>
          <w:szCs w:val="26"/>
        </w:rPr>
        <w:t xml:space="preserve">understanding the policy.  It avoids </w:t>
      </w:r>
      <w:r w:rsidR="00265752">
        <w:rPr>
          <w:sz w:val="26"/>
          <w:szCs w:val="26"/>
        </w:rPr>
        <w:t xml:space="preserve">the potential for </w:t>
      </w:r>
      <w:r w:rsidR="007E5DE5">
        <w:rPr>
          <w:sz w:val="26"/>
          <w:szCs w:val="26"/>
        </w:rPr>
        <w:t>disjunction between one set of definitions for the regulation and a separate set for the policy.</w:t>
      </w:r>
      <w:r w:rsidR="00265752">
        <w:rPr>
          <w:sz w:val="26"/>
          <w:szCs w:val="26"/>
        </w:rPr>
        <w:t xml:space="preserve">  </w:t>
      </w:r>
    </w:p>
    <w:p w14:paraId="4E0B4B1F" w14:textId="77777777" w:rsidR="002C4BF4" w:rsidRDefault="002C4BF4" w:rsidP="005E2CE2">
      <w:pPr>
        <w:spacing w:line="360" w:lineRule="auto"/>
        <w:ind w:firstLine="720"/>
        <w:rPr>
          <w:sz w:val="26"/>
          <w:szCs w:val="26"/>
        </w:rPr>
      </w:pPr>
    </w:p>
    <w:p w14:paraId="1B7D4845" w14:textId="46CFDAD0" w:rsidR="007830FC" w:rsidRPr="00CD0F33" w:rsidRDefault="003B0717" w:rsidP="00CD0F33">
      <w:pPr>
        <w:keepNext/>
        <w:spacing w:line="360" w:lineRule="auto"/>
        <w:ind w:firstLine="720"/>
        <w:rPr>
          <w:b/>
          <w:bCs/>
          <w:sz w:val="26"/>
          <w:szCs w:val="26"/>
        </w:rPr>
      </w:pPr>
      <w:r w:rsidRPr="00CD0F33">
        <w:rPr>
          <w:b/>
          <w:bCs/>
          <w:sz w:val="26"/>
          <w:szCs w:val="26"/>
        </w:rPr>
        <w:t xml:space="preserve">§ </w:t>
      </w:r>
      <w:r w:rsidR="00E7261F">
        <w:rPr>
          <w:b/>
          <w:bCs/>
          <w:sz w:val="26"/>
          <w:szCs w:val="26"/>
        </w:rPr>
        <w:t>51.1</w:t>
      </w:r>
      <w:r w:rsidR="00B84193">
        <w:rPr>
          <w:b/>
          <w:bCs/>
          <w:sz w:val="26"/>
          <w:szCs w:val="26"/>
        </w:rPr>
        <w:t>5</w:t>
      </w:r>
      <w:r w:rsidRPr="00CD0F33">
        <w:rPr>
          <w:b/>
          <w:bCs/>
          <w:sz w:val="26"/>
          <w:szCs w:val="26"/>
        </w:rPr>
        <w:t xml:space="preserve"> </w:t>
      </w:r>
      <w:r w:rsidR="000E1F18" w:rsidRPr="00CD0F33">
        <w:rPr>
          <w:b/>
          <w:bCs/>
          <w:sz w:val="26"/>
          <w:szCs w:val="26"/>
        </w:rPr>
        <w:t xml:space="preserve">– </w:t>
      </w:r>
      <w:r w:rsidR="002654ED" w:rsidRPr="00CD0F33">
        <w:rPr>
          <w:b/>
          <w:bCs/>
          <w:sz w:val="26"/>
          <w:szCs w:val="26"/>
        </w:rPr>
        <w:t>Diversity Reporting Requirement</w:t>
      </w:r>
    </w:p>
    <w:p w14:paraId="0746EC97" w14:textId="6DDE3CDE" w:rsidR="000256B8" w:rsidRDefault="009106C6" w:rsidP="005E2CE2">
      <w:pPr>
        <w:spacing w:line="360" w:lineRule="auto"/>
        <w:ind w:firstLine="720"/>
        <w:rPr>
          <w:sz w:val="26"/>
          <w:szCs w:val="26"/>
        </w:rPr>
      </w:pPr>
      <w:r>
        <w:rPr>
          <w:sz w:val="26"/>
          <w:szCs w:val="26"/>
        </w:rPr>
        <w:t>Since 1995, the Commission has encouraged major jurisdictional utilit</w:t>
      </w:r>
      <w:r w:rsidR="00E93700">
        <w:rPr>
          <w:sz w:val="26"/>
          <w:szCs w:val="26"/>
        </w:rPr>
        <w:t xml:space="preserve">ies </w:t>
      </w:r>
      <w:r>
        <w:rPr>
          <w:sz w:val="26"/>
          <w:szCs w:val="26"/>
        </w:rPr>
        <w:t xml:space="preserve">to </w:t>
      </w:r>
      <w:r w:rsidR="003F5073">
        <w:rPr>
          <w:sz w:val="26"/>
          <w:szCs w:val="26"/>
        </w:rPr>
        <w:t>file diversity reports with the Commission’s Secretary by March 1 of each year</w:t>
      </w:r>
      <w:r w:rsidR="00631EE9">
        <w:rPr>
          <w:sz w:val="26"/>
          <w:szCs w:val="26"/>
        </w:rPr>
        <w:t xml:space="preserve"> pursuant</w:t>
      </w:r>
      <w:r w:rsidR="007B03D7">
        <w:rPr>
          <w:sz w:val="26"/>
          <w:szCs w:val="26"/>
        </w:rPr>
        <w:t xml:space="preserve"> to </w:t>
      </w:r>
      <w:r w:rsidR="00631EE9">
        <w:rPr>
          <w:sz w:val="26"/>
          <w:szCs w:val="26"/>
        </w:rPr>
        <w:t>its</w:t>
      </w:r>
      <w:r w:rsidR="00C4250E">
        <w:rPr>
          <w:sz w:val="26"/>
          <w:szCs w:val="26"/>
        </w:rPr>
        <w:t xml:space="preserve"> </w:t>
      </w:r>
      <w:r w:rsidR="00487A22">
        <w:rPr>
          <w:sz w:val="26"/>
          <w:szCs w:val="26"/>
        </w:rPr>
        <w:t>D</w:t>
      </w:r>
      <w:r w:rsidR="008F6E9E">
        <w:rPr>
          <w:sz w:val="26"/>
          <w:szCs w:val="26"/>
        </w:rPr>
        <w:t xml:space="preserve">iversity </w:t>
      </w:r>
      <w:r w:rsidR="00487A22">
        <w:rPr>
          <w:sz w:val="26"/>
          <w:szCs w:val="26"/>
        </w:rPr>
        <w:t>P</w:t>
      </w:r>
      <w:r w:rsidR="00C4250E">
        <w:rPr>
          <w:sz w:val="26"/>
          <w:szCs w:val="26"/>
        </w:rPr>
        <w:t xml:space="preserve">olicy </w:t>
      </w:r>
      <w:r w:rsidR="00487A22">
        <w:rPr>
          <w:sz w:val="26"/>
          <w:szCs w:val="26"/>
        </w:rPr>
        <w:t>S</w:t>
      </w:r>
      <w:r w:rsidR="00C4250E">
        <w:rPr>
          <w:sz w:val="26"/>
          <w:szCs w:val="26"/>
        </w:rPr>
        <w:t>tatement at 52 Pa. Code §</w:t>
      </w:r>
      <w:r w:rsidR="00753583">
        <w:rPr>
          <w:sz w:val="26"/>
          <w:szCs w:val="26"/>
        </w:rPr>
        <w:t xml:space="preserve"> </w:t>
      </w:r>
      <w:r w:rsidR="00E93700">
        <w:rPr>
          <w:sz w:val="26"/>
          <w:szCs w:val="26"/>
        </w:rPr>
        <w:t>69.</w:t>
      </w:r>
      <w:r w:rsidR="00C4250E">
        <w:rPr>
          <w:sz w:val="26"/>
          <w:szCs w:val="26"/>
        </w:rPr>
        <w:t>809</w:t>
      </w:r>
      <w:r w:rsidR="00E93700">
        <w:rPr>
          <w:sz w:val="26"/>
          <w:szCs w:val="26"/>
        </w:rPr>
        <w:t xml:space="preserve"> (</w:t>
      </w:r>
      <w:r w:rsidR="00B1771A">
        <w:rPr>
          <w:sz w:val="26"/>
          <w:szCs w:val="26"/>
        </w:rPr>
        <w:t>1995</w:t>
      </w:r>
      <w:r w:rsidR="00E93700">
        <w:rPr>
          <w:sz w:val="26"/>
          <w:szCs w:val="26"/>
        </w:rPr>
        <w:t>)</w:t>
      </w:r>
      <w:r w:rsidR="00C4250E">
        <w:rPr>
          <w:sz w:val="26"/>
          <w:szCs w:val="26"/>
        </w:rPr>
        <w:t>.  The Commission</w:t>
      </w:r>
      <w:r w:rsidR="00C81870">
        <w:rPr>
          <w:sz w:val="26"/>
          <w:szCs w:val="26"/>
        </w:rPr>
        <w:t xml:space="preserve"> is now proposing </w:t>
      </w:r>
      <w:r w:rsidR="007F0233">
        <w:rPr>
          <w:sz w:val="26"/>
          <w:szCs w:val="26"/>
        </w:rPr>
        <w:t xml:space="preserve">that diversity reporting </w:t>
      </w:r>
      <w:r w:rsidR="003B527E">
        <w:rPr>
          <w:sz w:val="26"/>
          <w:szCs w:val="26"/>
        </w:rPr>
        <w:t xml:space="preserve">by </w:t>
      </w:r>
      <w:r w:rsidR="007F0233">
        <w:rPr>
          <w:sz w:val="26"/>
          <w:szCs w:val="26"/>
        </w:rPr>
        <w:t xml:space="preserve">major jurisdictional </w:t>
      </w:r>
      <w:r w:rsidR="003B527E">
        <w:rPr>
          <w:sz w:val="26"/>
          <w:szCs w:val="26"/>
        </w:rPr>
        <w:t xml:space="preserve">utilities </w:t>
      </w:r>
      <w:r w:rsidR="00741FCA">
        <w:rPr>
          <w:sz w:val="26"/>
          <w:szCs w:val="26"/>
        </w:rPr>
        <w:t>providing electric, natural gas, water, wastewater, and telecommunications services</w:t>
      </w:r>
      <w:r w:rsidR="003B527E">
        <w:rPr>
          <w:sz w:val="26"/>
          <w:szCs w:val="26"/>
        </w:rPr>
        <w:t xml:space="preserve"> </w:t>
      </w:r>
      <w:r w:rsidR="005246E8">
        <w:rPr>
          <w:sz w:val="26"/>
          <w:szCs w:val="26"/>
        </w:rPr>
        <w:t xml:space="preserve">should be mandatory.  </w:t>
      </w:r>
      <w:r w:rsidR="004C5098">
        <w:rPr>
          <w:sz w:val="26"/>
          <w:szCs w:val="26"/>
        </w:rPr>
        <w:t xml:space="preserve">Mandatory </w:t>
      </w:r>
      <w:r w:rsidR="00094D59">
        <w:rPr>
          <w:sz w:val="26"/>
          <w:szCs w:val="26"/>
        </w:rPr>
        <w:t>reporting</w:t>
      </w:r>
      <w:r w:rsidR="00D23884">
        <w:rPr>
          <w:sz w:val="26"/>
          <w:szCs w:val="26"/>
        </w:rPr>
        <w:t xml:space="preserve"> in general</w:t>
      </w:r>
      <w:r w:rsidR="00CE3A4A">
        <w:rPr>
          <w:sz w:val="26"/>
          <w:szCs w:val="26"/>
        </w:rPr>
        <w:t>,</w:t>
      </w:r>
      <w:r w:rsidR="00094D59">
        <w:rPr>
          <w:sz w:val="26"/>
          <w:szCs w:val="26"/>
        </w:rPr>
        <w:t xml:space="preserve"> and the use of a specific form for reporting employee demographi</w:t>
      </w:r>
      <w:r w:rsidR="00240B0D">
        <w:rPr>
          <w:sz w:val="26"/>
          <w:szCs w:val="26"/>
        </w:rPr>
        <w:t>cs</w:t>
      </w:r>
      <w:r w:rsidR="00D23884">
        <w:rPr>
          <w:sz w:val="26"/>
          <w:szCs w:val="26"/>
        </w:rPr>
        <w:t xml:space="preserve"> in particular</w:t>
      </w:r>
      <w:r w:rsidR="00CE3A4A">
        <w:rPr>
          <w:sz w:val="26"/>
          <w:szCs w:val="26"/>
        </w:rPr>
        <w:t>,</w:t>
      </w:r>
      <w:r w:rsidR="00240B0D">
        <w:rPr>
          <w:sz w:val="26"/>
          <w:szCs w:val="26"/>
        </w:rPr>
        <w:t xml:space="preserve"> would </w:t>
      </w:r>
      <w:r w:rsidR="00E77AF2">
        <w:rPr>
          <w:sz w:val="26"/>
          <w:szCs w:val="26"/>
        </w:rPr>
        <w:t xml:space="preserve">establish consistency among the major jurisdictional utilities in terms of the information being </w:t>
      </w:r>
      <w:r w:rsidR="002B2608">
        <w:rPr>
          <w:sz w:val="26"/>
          <w:szCs w:val="26"/>
        </w:rPr>
        <w:t xml:space="preserve">tracked and reported.  It would also </w:t>
      </w:r>
      <w:r w:rsidR="00E77AF2">
        <w:rPr>
          <w:sz w:val="26"/>
          <w:szCs w:val="26"/>
        </w:rPr>
        <w:t>streamline the reporting and review process</w:t>
      </w:r>
      <w:r w:rsidR="00140A05">
        <w:rPr>
          <w:sz w:val="26"/>
          <w:szCs w:val="26"/>
        </w:rPr>
        <w:t xml:space="preserve"> relative to diversity in employment and </w:t>
      </w:r>
      <w:r w:rsidR="006764CE">
        <w:rPr>
          <w:sz w:val="26"/>
          <w:szCs w:val="26"/>
        </w:rPr>
        <w:t xml:space="preserve">supply chain </w:t>
      </w:r>
      <w:r w:rsidR="00A1037F">
        <w:rPr>
          <w:sz w:val="26"/>
          <w:szCs w:val="26"/>
        </w:rPr>
        <w:t>activities</w:t>
      </w:r>
      <w:r w:rsidR="00E05ED6">
        <w:rPr>
          <w:sz w:val="26"/>
          <w:szCs w:val="26"/>
        </w:rPr>
        <w:t>.</w:t>
      </w:r>
    </w:p>
    <w:p w14:paraId="01C046C8" w14:textId="662D270E" w:rsidR="002654ED" w:rsidRDefault="00F479C1" w:rsidP="005E2CE2">
      <w:pPr>
        <w:spacing w:line="360" w:lineRule="auto"/>
        <w:ind w:firstLine="720"/>
        <w:rPr>
          <w:sz w:val="26"/>
          <w:szCs w:val="26"/>
        </w:rPr>
      </w:pPr>
      <w:r>
        <w:rPr>
          <w:sz w:val="26"/>
          <w:szCs w:val="26"/>
        </w:rPr>
        <w:lastRenderedPageBreak/>
        <w:t xml:space="preserve">The Commission </w:t>
      </w:r>
      <w:r w:rsidR="005D31ED">
        <w:rPr>
          <w:sz w:val="26"/>
          <w:szCs w:val="26"/>
        </w:rPr>
        <w:t xml:space="preserve">proposed to </w:t>
      </w:r>
      <w:r>
        <w:rPr>
          <w:sz w:val="26"/>
          <w:szCs w:val="26"/>
        </w:rPr>
        <w:t>take the language from Section 69.809</w:t>
      </w:r>
      <w:r w:rsidR="001E1E57">
        <w:rPr>
          <w:sz w:val="26"/>
          <w:szCs w:val="26"/>
        </w:rPr>
        <w:t xml:space="preserve"> and </w:t>
      </w:r>
      <w:r w:rsidR="0044304B">
        <w:rPr>
          <w:sz w:val="26"/>
          <w:szCs w:val="26"/>
        </w:rPr>
        <w:t xml:space="preserve">revise it </w:t>
      </w:r>
      <w:r w:rsidR="001E1E57">
        <w:rPr>
          <w:sz w:val="26"/>
          <w:szCs w:val="26"/>
        </w:rPr>
        <w:t>to indicate that major jurisdictional utilit</w:t>
      </w:r>
      <w:r w:rsidR="008215DB">
        <w:rPr>
          <w:sz w:val="26"/>
          <w:szCs w:val="26"/>
        </w:rPr>
        <w:t>ies</w:t>
      </w:r>
      <w:r w:rsidR="001E1E57">
        <w:rPr>
          <w:sz w:val="26"/>
          <w:szCs w:val="26"/>
        </w:rPr>
        <w:t xml:space="preserve"> </w:t>
      </w:r>
      <w:r w:rsidR="00F21EAC">
        <w:rPr>
          <w:sz w:val="26"/>
          <w:szCs w:val="26"/>
        </w:rPr>
        <w:t xml:space="preserve">would </w:t>
      </w:r>
      <w:r w:rsidR="001E1E57">
        <w:rPr>
          <w:sz w:val="26"/>
          <w:szCs w:val="26"/>
        </w:rPr>
        <w:t xml:space="preserve">now </w:t>
      </w:r>
      <w:r w:rsidR="00DB756F">
        <w:rPr>
          <w:sz w:val="26"/>
          <w:szCs w:val="26"/>
        </w:rPr>
        <w:t xml:space="preserve">be </w:t>
      </w:r>
      <w:r w:rsidR="001E1E57">
        <w:rPr>
          <w:sz w:val="26"/>
          <w:szCs w:val="26"/>
        </w:rPr>
        <w:t>required to file annual diversity reports with the Commission</w:t>
      </w:r>
      <w:r w:rsidR="00ED0D4C">
        <w:rPr>
          <w:sz w:val="26"/>
          <w:szCs w:val="26"/>
        </w:rPr>
        <w:t>’</w:t>
      </w:r>
      <w:r w:rsidR="001E1E57">
        <w:rPr>
          <w:sz w:val="26"/>
          <w:szCs w:val="26"/>
        </w:rPr>
        <w:t xml:space="preserve">s Secretary by March 1 of each year.  </w:t>
      </w:r>
      <w:r w:rsidR="006A77DB">
        <w:rPr>
          <w:sz w:val="26"/>
          <w:szCs w:val="26"/>
        </w:rPr>
        <w:t xml:space="preserve">The language “are encouraged to file” </w:t>
      </w:r>
      <w:r w:rsidR="00B56572">
        <w:rPr>
          <w:sz w:val="26"/>
          <w:szCs w:val="26"/>
        </w:rPr>
        <w:t xml:space="preserve">would </w:t>
      </w:r>
      <w:r w:rsidR="006A77DB">
        <w:rPr>
          <w:sz w:val="26"/>
          <w:szCs w:val="26"/>
        </w:rPr>
        <w:t>be replaced with “</w:t>
      </w:r>
      <w:r w:rsidR="008942B4">
        <w:rPr>
          <w:sz w:val="26"/>
          <w:szCs w:val="26"/>
        </w:rPr>
        <w:t xml:space="preserve">shall file” to indicate that diversity reporting </w:t>
      </w:r>
      <w:r w:rsidR="00EC2E15">
        <w:rPr>
          <w:sz w:val="26"/>
          <w:szCs w:val="26"/>
        </w:rPr>
        <w:t>would be</w:t>
      </w:r>
      <w:r w:rsidR="008942B4">
        <w:rPr>
          <w:sz w:val="26"/>
          <w:szCs w:val="26"/>
        </w:rPr>
        <w:t xml:space="preserve"> a mandatory requirement.</w:t>
      </w:r>
      <w:r w:rsidR="00876833">
        <w:rPr>
          <w:sz w:val="26"/>
          <w:szCs w:val="26"/>
        </w:rPr>
        <w:t xml:space="preserve">  </w:t>
      </w:r>
      <w:r w:rsidR="00D4190E">
        <w:rPr>
          <w:sz w:val="26"/>
          <w:szCs w:val="26"/>
        </w:rPr>
        <w:t xml:space="preserve">52 Pa. Code 69.809.  </w:t>
      </w:r>
      <w:r w:rsidR="00876833">
        <w:rPr>
          <w:sz w:val="26"/>
          <w:szCs w:val="26"/>
        </w:rPr>
        <w:t xml:space="preserve">Additionally, the phrase “annual report should contain” </w:t>
      </w:r>
      <w:r w:rsidR="00EC2E15">
        <w:rPr>
          <w:sz w:val="26"/>
          <w:szCs w:val="26"/>
        </w:rPr>
        <w:t>would be revised</w:t>
      </w:r>
      <w:r w:rsidR="00876833" w:rsidDel="00EC2E15">
        <w:rPr>
          <w:sz w:val="26"/>
          <w:szCs w:val="26"/>
        </w:rPr>
        <w:t xml:space="preserve"> </w:t>
      </w:r>
      <w:r w:rsidR="00876833">
        <w:rPr>
          <w:sz w:val="26"/>
          <w:szCs w:val="26"/>
        </w:rPr>
        <w:t>to read as “the annual report shall contain</w:t>
      </w:r>
      <w:r w:rsidR="00C642F7">
        <w:rPr>
          <w:sz w:val="26"/>
          <w:szCs w:val="26"/>
        </w:rPr>
        <w:t xml:space="preserve">” to indicate that the following reporting requirements </w:t>
      </w:r>
      <w:r w:rsidR="00F44E06">
        <w:rPr>
          <w:sz w:val="26"/>
          <w:szCs w:val="26"/>
        </w:rPr>
        <w:t xml:space="preserve">would be </w:t>
      </w:r>
      <w:r w:rsidR="00C642F7">
        <w:rPr>
          <w:sz w:val="26"/>
          <w:szCs w:val="26"/>
        </w:rPr>
        <w:t>mandatory</w:t>
      </w:r>
      <w:r w:rsidR="00760553">
        <w:rPr>
          <w:sz w:val="26"/>
          <w:szCs w:val="26"/>
        </w:rPr>
        <w:t xml:space="preserve"> as set forth in Annex A</w:t>
      </w:r>
      <w:r w:rsidR="00C642F7">
        <w:rPr>
          <w:sz w:val="26"/>
          <w:szCs w:val="26"/>
        </w:rPr>
        <w:t>.</w:t>
      </w:r>
      <w:r w:rsidR="00A36102">
        <w:rPr>
          <w:sz w:val="26"/>
          <w:szCs w:val="26"/>
        </w:rPr>
        <w:t xml:space="preserve"> </w:t>
      </w:r>
    </w:p>
    <w:p w14:paraId="717318E6" w14:textId="77777777" w:rsidR="004A78CB" w:rsidRDefault="004A78CB" w:rsidP="005E2CE2">
      <w:pPr>
        <w:spacing w:line="360" w:lineRule="auto"/>
        <w:ind w:firstLine="720"/>
        <w:rPr>
          <w:sz w:val="26"/>
          <w:szCs w:val="26"/>
        </w:rPr>
      </w:pPr>
    </w:p>
    <w:p w14:paraId="789A3A5B" w14:textId="140090BD" w:rsidR="00C427E6" w:rsidRDefault="00C427E6" w:rsidP="005E2CE2">
      <w:pPr>
        <w:spacing w:line="360" w:lineRule="auto"/>
        <w:ind w:firstLine="720"/>
        <w:rPr>
          <w:sz w:val="26"/>
          <w:szCs w:val="26"/>
        </w:rPr>
      </w:pPr>
      <w:r>
        <w:rPr>
          <w:sz w:val="26"/>
          <w:szCs w:val="26"/>
        </w:rPr>
        <w:t xml:space="preserve">The provision in the Diversity Policy Statement at Section 69.809(b), relative to reporting information that is “otherwise unobtainable,” is not part of the proposed </w:t>
      </w:r>
      <w:r w:rsidR="00487A22">
        <w:rPr>
          <w:sz w:val="26"/>
          <w:szCs w:val="26"/>
        </w:rPr>
        <w:t>Diversity Reporting</w:t>
      </w:r>
      <w:r>
        <w:rPr>
          <w:sz w:val="26"/>
          <w:szCs w:val="26"/>
        </w:rPr>
        <w:t xml:space="preserve"> regulation.  </w:t>
      </w:r>
      <w:r w:rsidR="00D4190E">
        <w:rPr>
          <w:sz w:val="26"/>
          <w:szCs w:val="26"/>
        </w:rPr>
        <w:t xml:space="preserve">52 Pa. Code 69.809(b).  </w:t>
      </w:r>
      <w:r>
        <w:rPr>
          <w:sz w:val="26"/>
          <w:szCs w:val="26"/>
        </w:rPr>
        <w:t xml:space="preserve">The proposed </w:t>
      </w:r>
      <w:r w:rsidR="00487A22">
        <w:rPr>
          <w:sz w:val="26"/>
          <w:szCs w:val="26"/>
        </w:rPr>
        <w:t>Diversity Reporting</w:t>
      </w:r>
      <w:r>
        <w:rPr>
          <w:sz w:val="26"/>
          <w:szCs w:val="26"/>
        </w:rPr>
        <w:t xml:space="preserve"> regulation would instead specify what is to be reported.</w:t>
      </w:r>
    </w:p>
    <w:p w14:paraId="74A22849" w14:textId="77777777" w:rsidR="009D761C" w:rsidRDefault="009D761C" w:rsidP="005E2CE2">
      <w:pPr>
        <w:spacing w:line="360" w:lineRule="auto"/>
        <w:ind w:firstLine="720"/>
        <w:rPr>
          <w:sz w:val="26"/>
          <w:szCs w:val="26"/>
        </w:rPr>
      </w:pPr>
    </w:p>
    <w:p w14:paraId="20C1E0A6" w14:textId="47DF3E46" w:rsidR="009D761C" w:rsidRDefault="009D761C" w:rsidP="005E2CE2">
      <w:pPr>
        <w:spacing w:line="360" w:lineRule="auto"/>
        <w:ind w:firstLine="720"/>
        <w:rPr>
          <w:sz w:val="26"/>
          <w:szCs w:val="26"/>
        </w:rPr>
      </w:pPr>
      <w:r>
        <w:rPr>
          <w:sz w:val="26"/>
          <w:szCs w:val="26"/>
        </w:rPr>
        <w:t xml:space="preserve">The proposed Diversity Reporting regulation would indicate </w:t>
      </w:r>
      <w:r w:rsidR="000B7E2F">
        <w:rPr>
          <w:sz w:val="26"/>
          <w:szCs w:val="26"/>
        </w:rPr>
        <w:t xml:space="preserve">the docket in which </w:t>
      </w:r>
      <w:r>
        <w:rPr>
          <w:sz w:val="26"/>
          <w:szCs w:val="26"/>
        </w:rPr>
        <w:t xml:space="preserve">a major jurisdictional utility is to file its annual report and </w:t>
      </w:r>
      <w:r w:rsidR="003A7F59">
        <w:rPr>
          <w:sz w:val="26"/>
          <w:szCs w:val="26"/>
        </w:rPr>
        <w:t xml:space="preserve">that </w:t>
      </w:r>
      <w:r w:rsidR="004A2ED9">
        <w:rPr>
          <w:sz w:val="26"/>
          <w:szCs w:val="26"/>
        </w:rPr>
        <w:t>there would be consequences for the failure to file the report.</w:t>
      </w:r>
    </w:p>
    <w:p w14:paraId="4F2176CB" w14:textId="77777777" w:rsidR="00C427E6" w:rsidRDefault="00C427E6" w:rsidP="005E2CE2">
      <w:pPr>
        <w:spacing w:line="360" w:lineRule="auto"/>
        <w:ind w:firstLine="720"/>
        <w:rPr>
          <w:sz w:val="26"/>
          <w:szCs w:val="26"/>
        </w:rPr>
      </w:pPr>
    </w:p>
    <w:p w14:paraId="5830FB48" w14:textId="1C1AF71E" w:rsidR="00A15442" w:rsidRDefault="00A15442" w:rsidP="00E05ED6">
      <w:pPr>
        <w:keepNext/>
        <w:spacing w:line="360" w:lineRule="auto"/>
        <w:jc w:val="center"/>
        <w:rPr>
          <w:sz w:val="26"/>
          <w:szCs w:val="26"/>
        </w:rPr>
      </w:pPr>
      <w:r>
        <w:rPr>
          <w:b/>
          <w:bCs/>
          <w:sz w:val="26"/>
          <w:szCs w:val="26"/>
        </w:rPr>
        <w:t>US</w:t>
      </w:r>
      <w:r w:rsidRPr="00A15442">
        <w:rPr>
          <w:b/>
          <w:bCs/>
          <w:sz w:val="26"/>
          <w:szCs w:val="26"/>
        </w:rPr>
        <w:t>E OF FORM TO REPORT WORKFORCE DEMOGRAPHICS</w:t>
      </w:r>
    </w:p>
    <w:p w14:paraId="75A440EE" w14:textId="77777777" w:rsidR="00784641" w:rsidRDefault="004A78CB" w:rsidP="005E2CE2">
      <w:pPr>
        <w:spacing w:line="360" w:lineRule="auto"/>
        <w:ind w:firstLine="720"/>
        <w:rPr>
          <w:sz w:val="26"/>
          <w:szCs w:val="26"/>
        </w:rPr>
      </w:pPr>
      <w:r>
        <w:rPr>
          <w:sz w:val="26"/>
          <w:szCs w:val="26"/>
        </w:rPr>
        <w:t xml:space="preserve">Further, use of the Commission form for </w:t>
      </w:r>
      <w:r w:rsidR="00BD1032">
        <w:rPr>
          <w:sz w:val="26"/>
          <w:szCs w:val="26"/>
        </w:rPr>
        <w:t xml:space="preserve">reporting </w:t>
      </w:r>
      <w:r>
        <w:rPr>
          <w:sz w:val="26"/>
          <w:szCs w:val="26"/>
        </w:rPr>
        <w:t xml:space="preserve">diversity </w:t>
      </w:r>
      <w:r w:rsidR="00BD1032">
        <w:rPr>
          <w:sz w:val="26"/>
          <w:szCs w:val="26"/>
        </w:rPr>
        <w:t xml:space="preserve">in </w:t>
      </w:r>
      <w:r w:rsidR="00E24BCE">
        <w:rPr>
          <w:sz w:val="26"/>
          <w:szCs w:val="26"/>
        </w:rPr>
        <w:t xml:space="preserve">a major </w:t>
      </w:r>
      <w:r w:rsidR="009272C4">
        <w:rPr>
          <w:sz w:val="26"/>
          <w:szCs w:val="26"/>
        </w:rPr>
        <w:t xml:space="preserve">jurisdictional </w:t>
      </w:r>
      <w:r w:rsidR="00C12F06">
        <w:rPr>
          <w:sz w:val="26"/>
          <w:szCs w:val="26"/>
        </w:rPr>
        <w:t xml:space="preserve">utility’s </w:t>
      </w:r>
      <w:r w:rsidR="00BD1032">
        <w:rPr>
          <w:sz w:val="26"/>
          <w:szCs w:val="26"/>
        </w:rPr>
        <w:t xml:space="preserve">workforce </w:t>
      </w:r>
      <w:r>
        <w:rPr>
          <w:sz w:val="26"/>
          <w:szCs w:val="26"/>
        </w:rPr>
        <w:t>would be required as set forth in Appendix A.</w:t>
      </w:r>
      <w:r w:rsidR="00707CFF">
        <w:rPr>
          <w:sz w:val="26"/>
          <w:szCs w:val="26"/>
        </w:rPr>
        <w:t xml:space="preserve">  The regulation would list the information required in the form</w:t>
      </w:r>
      <w:r w:rsidR="008B7F47">
        <w:rPr>
          <w:sz w:val="26"/>
          <w:szCs w:val="26"/>
        </w:rPr>
        <w:t xml:space="preserve"> and </w:t>
      </w:r>
      <w:r w:rsidR="009269AB">
        <w:rPr>
          <w:sz w:val="26"/>
          <w:szCs w:val="26"/>
        </w:rPr>
        <w:t>i</w:t>
      </w:r>
      <w:r w:rsidR="009F519E">
        <w:rPr>
          <w:sz w:val="26"/>
          <w:szCs w:val="26"/>
        </w:rPr>
        <w:t>dentify the form by name</w:t>
      </w:r>
      <w:r w:rsidR="00691F67">
        <w:rPr>
          <w:sz w:val="26"/>
          <w:szCs w:val="26"/>
        </w:rPr>
        <w:t xml:space="preserve">. </w:t>
      </w:r>
      <w:r w:rsidR="009F519E">
        <w:rPr>
          <w:sz w:val="26"/>
          <w:szCs w:val="26"/>
        </w:rPr>
        <w:t xml:space="preserve"> </w:t>
      </w:r>
      <w:r w:rsidR="00691F67">
        <w:rPr>
          <w:sz w:val="26"/>
          <w:szCs w:val="26"/>
        </w:rPr>
        <w:t xml:space="preserve">The </w:t>
      </w:r>
      <w:r w:rsidR="005F72B3">
        <w:rPr>
          <w:sz w:val="26"/>
          <w:szCs w:val="26"/>
        </w:rPr>
        <w:t xml:space="preserve">Commission would make the form </w:t>
      </w:r>
      <w:r w:rsidR="00755868">
        <w:rPr>
          <w:sz w:val="26"/>
          <w:szCs w:val="26"/>
        </w:rPr>
        <w:t>a</w:t>
      </w:r>
      <w:r w:rsidR="005F72B3">
        <w:rPr>
          <w:sz w:val="26"/>
          <w:szCs w:val="26"/>
        </w:rPr>
        <w:t>vailable to the major jurisdictional utilities</w:t>
      </w:r>
      <w:r w:rsidR="00B7778D">
        <w:rPr>
          <w:sz w:val="26"/>
          <w:szCs w:val="26"/>
        </w:rPr>
        <w:t>, but the form itself would not be codified</w:t>
      </w:r>
      <w:r w:rsidR="005F72B3">
        <w:rPr>
          <w:sz w:val="26"/>
          <w:szCs w:val="26"/>
        </w:rPr>
        <w:t>.</w:t>
      </w:r>
    </w:p>
    <w:p w14:paraId="159CB510" w14:textId="77777777" w:rsidR="00784641" w:rsidRDefault="00784641" w:rsidP="005E2CE2">
      <w:pPr>
        <w:spacing w:line="360" w:lineRule="auto"/>
        <w:ind w:firstLine="720"/>
        <w:rPr>
          <w:sz w:val="26"/>
          <w:szCs w:val="26"/>
        </w:rPr>
      </w:pPr>
    </w:p>
    <w:p w14:paraId="31A5F8D9" w14:textId="77777777" w:rsidR="00820EFF" w:rsidRDefault="00B53930" w:rsidP="00784641">
      <w:pPr>
        <w:spacing w:line="360" w:lineRule="auto"/>
        <w:ind w:firstLine="720"/>
        <w:rPr>
          <w:sz w:val="26"/>
          <w:szCs w:val="26"/>
        </w:rPr>
      </w:pPr>
      <w:r>
        <w:rPr>
          <w:sz w:val="26"/>
          <w:szCs w:val="26"/>
        </w:rPr>
        <w:t>As discussed in greater detail in the Final Policy Statement</w:t>
      </w:r>
      <w:r w:rsidR="004F5E90">
        <w:rPr>
          <w:sz w:val="26"/>
          <w:szCs w:val="26"/>
        </w:rPr>
        <w:t xml:space="preserve">, we </w:t>
      </w:r>
      <w:r w:rsidR="00D276CD">
        <w:rPr>
          <w:sz w:val="26"/>
          <w:szCs w:val="26"/>
        </w:rPr>
        <w:t xml:space="preserve">modeled </w:t>
      </w:r>
      <w:r w:rsidR="00B6382E">
        <w:rPr>
          <w:sz w:val="26"/>
          <w:szCs w:val="26"/>
        </w:rPr>
        <w:t xml:space="preserve">our </w:t>
      </w:r>
      <w:r w:rsidR="00D276CD">
        <w:rPr>
          <w:sz w:val="26"/>
          <w:szCs w:val="26"/>
        </w:rPr>
        <w:t xml:space="preserve">recommended </w:t>
      </w:r>
      <w:r w:rsidR="00B6382E">
        <w:rPr>
          <w:sz w:val="26"/>
          <w:szCs w:val="26"/>
        </w:rPr>
        <w:t xml:space="preserve">reporting form in large measure on </w:t>
      </w:r>
      <w:r w:rsidR="00D57C85">
        <w:rPr>
          <w:sz w:val="26"/>
          <w:szCs w:val="26"/>
        </w:rPr>
        <w:t xml:space="preserve">the </w:t>
      </w:r>
      <w:r w:rsidR="00F379CF">
        <w:rPr>
          <w:sz w:val="26"/>
          <w:szCs w:val="26"/>
        </w:rPr>
        <w:t xml:space="preserve">federal EEO-1 form used by the </w:t>
      </w:r>
      <w:r w:rsidR="004210FA">
        <w:rPr>
          <w:sz w:val="26"/>
          <w:szCs w:val="26"/>
        </w:rPr>
        <w:t>Equal Employment Opportunity Commission</w:t>
      </w:r>
      <w:r w:rsidR="00AB15EC">
        <w:rPr>
          <w:sz w:val="26"/>
          <w:szCs w:val="26"/>
        </w:rPr>
        <w:t xml:space="preserve"> (EEOC).  </w:t>
      </w:r>
      <w:r w:rsidR="00E5365A">
        <w:rPr>
          <w:sz w:val="26"/>
          <w:szCs w:val="26"/>
        </w:rPr>
        <w:t>St</w:t>
      </w:r>
      <w:r w:rsidR="00784641">
        <w:rPr>
          <w:sz w:val="26"/>
          <w:szCs w:val="26"/>
        </w:rPr>
        <w:t>arting with the 2021 federal EEO-1 filing</w:t>
      </w:r>
      <w:r w:rsidR="00AF7C89">
        <w:rPr>
          <w:sz w:val="26"/>
          <w:szCs w:val="26"/>
        </w:rPr>
        <w:t xml:space="preserve">, </w:t>
      </w:r>
      <w:r w:rsidR="00784641">
        <w:rPr>
          <w:sz w:val="26"/>
          <w:szCs w:val="26"/>
        </w:rPr>
        <w:t xml:space="preserve">employers </w:t>
      </w:r>
      <w:r w:rsidR="00937CA7">
        <w:rPr>
          <w:sz w:val="26"/>
          <w:szCs w:val="26"/>
        </w:rPr>
        <w:t xml:space="preserve">will have the opportunity to </w:t>
      </w:r>
      <w:r w:rsidR="00784641">
        <w:rPr>
          <w:sz w:val="26"/>
          <w:szCs w:val="26"/>
        </w:rPr>
        <w:t xml:space="preserve">provide aggregate information in a </w:t>
      </w:r>
      <w:r w:rsidR="00784641">
        <w:rPr>
          <w:sz w:val="26"/>
          <w:szCs w:val="26"/>
        </w:rPr>
        <w:lastRenderedPageBreak/>
        <w:t>comment area</w:t>
      </w:r>
      <w:r w:rsidR="00D37B1D">
        <w:rPr>
          <w:sz w:val="26"/>
          <w:szCs w:val="26"/>
        </w:rPr>
        <w:t xml:space="preserve">. </w:t>
      </w:r>
      <w:r w:rsidR="00784641">
        <w:rPr>
          <w:sz w:val="26"/>
          <w:szCs w:val="26"/>
        </w:rPr>
        <w:t xml:space="preserve"> </w:t>
      </w:r>
      <w:r w:rsidR="00D37B1D">
        <w:rPr>
          <w:sz w:val="26"/>
          <w:szCs w:val="26"/>
        </w:rPr>
        <w:t xml:space="preserve">With </w:t>
      </w:r>
      <w:r w:rsidR="00784641">
        <w:rPr>
          <w:sz w:val="26"/>
          <w:szCs w:val="26"/>
        </w:rPr>
        <w:t xml:space="preserve">respect to gender, this could include information provided by employees who self-identify as </w:t>
      </w:r>
      <w:r w:rsidR="00784641" w:rsidRPr="0041777C">
        <w:rPr>
          <w:sz w:val="26"/>
          <w:szCs w:val="26"/>
        </w:rPr>
        <w:t>LGBTQ or who do not make an affirmative selection for gender</w:t>
      </w:r>
      <w:r w:rsidR="00784641">
        <w:rPr>
          <w:sz w:val="26"/>
          <w:szCs w:val="26"/>
        </w:rPr>
        <w:t xml:space="preserve">.  </w:t>
      </w:r>
      <w:r w:rsidR="00820EFF">
        <w:rPr>
          <w:sz w:val="26"/>
          <w:szCs w:val="26"/>
        </w:rPr>
        <w:t xml:space="preserve">Final Policy Statement at 9. </w:t>
      </w:r>
    </w:p>
    <w:p w14:paraId="430BAA00" w14:textId="77777777" w:rsidR="00820EFF" w:rsidRDefault="00820EFF" w:rsidP="00784641">
      <w:pPr>
        <w:spacing w:line="360" w:lineRule="auto"/>
        <w:ind w:firstLine="720"/>
        <w:rPr>
          <w:sz w:val="26"/>
          <w:szCs w:val="26"/>
        </w:rPr>
      </w:pPr>
    </w:p>
    <w:p w14:paraId="35F96659" w14:textId="6F88E62D" w:rsidR="00281645" w:rsidRDefault="00784641" w:rsidP="00784641">
      <w:pPr>
        <w:spacing w:line="360" w:lineRule="auto"/>
        <w:ind w:firstLine="720"/>
        <w:rPr>
          <w:sz w:val="26"/>
          <w:szCs w:val="26"/>
        </w:rPr>
      </w:pPr>
      <w:r>
        <w:rPr>
          <w:sz w:val="26"/>
          <w:szCs w:val="26"/>
        </w:rPr>
        <w:t xml:space="preserve">The Commission understands the privacy issues surrounding the reporting </w:t>
      </w:r>
      <w:r w:rsidR="005178FC">
        <w:rPr>
          <w:sz w:val="26"/>
          <w:szCs w:val="26"/>
        </w:rPr>
        <w:t xml:space="preserve">of </w:t>
      </w:r>
      <w:r w:rsidR="00D37B1D">
        <w:rPr>
          <w:sz w:val="26"/>
          <w:szCs w:val="26"/>
        </w:rPr>
        <w:t xml:space="preserve">the number </w:t>
      </w:r>
      <w:r>
        <w:rPr>
          <w:sz w:val="26"/>
          <w:szCs w:val="26"/>
        </w:rPr>
        <w:t>of LGBTQ employees but also wants to provide the opportunity for a major jurisdictional utility to report its LGBTQ composition</w:t>
      </w:r>
      <w:r w:rsidR="008C14DC">
        <w:rPr>
          <w:sz w:val="26"/>
          <w:szCs w:val="26"/>
        </w:rPr>
        <w:t xml:space="preserve"> to the extent known</w:t>
      </w:r>
      <w:r w:rsidR="00483529">
        <w:rPr>
          <w:sz w:val="26"/>
          <w:szCs w:val="26"/>
        </w:rPr>
        <w:t xml:space="preserve"> but without violating the privacy of its employees</w:t>
      </w:r>
      <w:r>
        <w:rPr>
          <w:sz w:val="26"/>
          <w:szCs w:val="26"/>
        </w:rPr>
        <w:t xml:space="preserve">.  As such, the Commission proposes to use the </w:t>
      </w:r>
      <w:r w:rsidRPr="006546B0">
        <w:rPr>
          <w:sz w:val="26"/>
          <w:szCs w:val="26"/>
        </w:rPr>
        <w:t xml:space="preserve">Demographic Composition of Workforce </w:t>
      </w:r>
      <w:r>
        <w:rPr>
          <w:sz w:val="26"/>
          <w:szCs w:val="26"/>
        </w:rPr>
        <w:t>form recently adopted in conjunction with the revisions to the Diversity Policy Statement</w:t>
      </w:r>
      <w:r w:rsidR="00281645">
        <w:rPr>
          <w:sz w:val="26"/>
          <w:szCs w:val="26"/>
        </w:rPr>
        <w:t xml:space="preserve">.  The form would </w:t>
      </w:r>
      <w:r>
        <w:rPr>
          <w:sz w:val="26"/>
          <w:szCs w:val="26"/>
        </w:rPr>
        <w:t xml:space="preserve">include the number of LGBTQ employees that a major jurisdictional utility employs with the caveat that only employees who agree to be counted in LGBTQ diversity reporting may be included in the report.  </w:t>
      </w:r>
    </w:p>
    <w:p w14:paraId="72DE63C1" w14:textId="77777777" w:rsidR="00281645" w:rsidRDefault="00281645" w:rsidP="00784641">
      <w:pPr>
        <w:spacing w:line="360" w:lineRule="auto"/>
        <w:ind w:firstLine="720"/>
        <w:rPr>
          <w:sz w:val="26"/>
          <w:szCs w:val="26"/>
        </w:rPr>
      </w:pPr>
    </w:p>
    <w:p w14:paraId="411CEE7E" w14:textId="335C01F1" w:rsidR="004A78CB" w:rsidRPr="005E2CE2" w:rsidRDefault="00281645" w:rsidP="005E2CE2">
      <w:pPr>
        <w:spacing w:line="360" w:lineRule="auto"/>
        <w:ind w:firstLine="720"/>
        <w:rPr>
          <w:sz w:val="26"/>
          <w:szCs w:val="26"/>
        </w:rPr>
      </w:pPr>
      <w:r>
        <w:rPr>
          <w:sz w:val="26"/>
          <w:szCs w:val="26"/>
        </w:rPr>
        <w:t>There w</w:t>
      </w:r>
      <w:r w:rsidR="00A2286C">
        <w:rPr>
          <w:sz w:val="26"/>
          <w:szCs w:val="26"/>
        </w:rPr>
        <w:t>ould</w:t>
      </w:r>
      <w:r>
        <w:rPr>
          <w:sz w:val="26"/>
          <w:szCs w:val="26"/>
        </w:rPr>
        <w:t xml:space="preserve"> be nothing in the form or the reporting that identifies any specific employees</w:t>
      </w:r>
      <w:r w:rsidR="00A2286C">
        <w:rPr>
          <w:sz w:val="26"/>
          <w:szCs w:val="26"/>
        </w:rPr>
        <w:t xml:space="preserve"> relative to any of the categories reported.</w:t>
      </w:r>
    </w:p>
    <w:p w14:paraId="745E590A" w14:textId="77777777" w:rsidR="00496B37" w:rsidRDefault="00496B37" w:rsidP="00A00202">
      <w:pPr>
        <w:spacing w:line="360" w:lineRule="auto"/>
        <w:ind w:firstLine="720"/>
        <w:rPr>
          <w:sz w:val="26"/>
          <w:szCs w:val="26"/>
        </w:rPr>
      </w:pPr>
    </w:p>
    <w:p w14:paraId="7BB10951" w14:textId="2666BEDF" w:rsidR="005422D4" w:rsidRPr="008512AA" w:rsidRDefault="00DF66A6" w:rsidP="008047BE">
      <w:pPr>
        <w:keepNext/>
        <w:spacing w:line="360" w:lineRule="auto"/>
        <w:jc w:val="center"/>
        <w:rPr>
          <w:b/>
          <w:bCs/>
          <w:sz w:val="26"/>
          <w:szCs w:val="26"/>
        </w:rPr>
      </w:pPr>
      <w:r w:rsidRPr="008512AA">
        <w:rPr>
          <w:b/>
          <w:bCs/>
          <w:sz w:val="26"/>
          <w:szCs w:val="26"/>
        </w:rPr>
        <w:t xml:space="preserve">IMPACT OF THE PROPOSED </w:t>
      </w:r>
      <w:r w:rsidR="000E4A19" w:rsidRPr="008512AA">
        <w:rPr>
          <w:b/>
          <w:bCs/>
          <w:sz w:val="26"/>
          <w:szCs w:val="26"/>
        </w:rPr>
        <w:t>DIVERSITY</w:t>
      </w:r>
      <w:r w:rsidRPr="008512AA">
        <w:rPr>
          <w:b/>
          <w:bCs/>
          <w:sz w:val="26"/>
          <w:szCs w:val="26"/>
        </w:rPr>
        <w:t xml:space="preserve"> REPORTING REGULATION ON THE </w:t>
      </w:r>
      <w:r w:rsidR="008512AA" w:rsidRPr="008512AA">
        <w:rPr>
          <w:b/>
          <w:bCs/>
          <w:sz w:val="26"/>
          <w:szCs w:val="26"/>
        </w:rPr>
        <w:t>DIVERSITY POLICY STATEMENT</w:t>
      </w:r>
    </w:p>
    <w:p w14:paraId="587B370B" w14:textId="21A7E772" w:rsidR="005422D4" w:rsidRDefault="00DF66A6" w:rsidP="00A00202">
      <w:pPr>
        <w:spacing w:line="360" w:lineRule="auto"/>
        <w:ind w:firstLine="720"/>
        <w:rPr>
          <w:sz w:val="26"/>
          <w:szCs w:val="26"/>
        </w:rPr>
      </w:pPr>
      <w:r>
        <w:rPr>
          <w:sz w:val="26"/>
          <w:szCs w:val="26"/>
        </w:rPr>
        <w:t xml:space="preserve">The Commission </w:t>
      </w:r>
      <w:r w:rsidR="008512AA">
        <w:rPr>
          <w:sz w:val="26"/>
          <w:szCs w:val="26"/>
        </w:rPr>
        <w:t xml:space="preserve">intends to </w:t>
      </w:r>
      <w:r>
        <w:rPr>
          <w:sz w:val="26"/>
          <w:szCs w:val="26"/>
        </w:rPr>
        <w:t xml:space="preserve">retain its </w:t>
      </w:r>
      <w:r w:rsidR="008445C4">
        <w:rPr>
          <w:sz w:val="26"/>
          <w:szCs w:val="26"/>
        </w:rPr>
        <w:t xml:space="preserve">policy statement on </w:t>
      </w:r>
      <w:r>
        <w:rPr>
          <w:sz w:val="26"/>
          <w:szCs w:val="26"/>
        </w:rPr>
        <w:t>diversity</w:t>
      </w:r>
      <w:r w:rsidR="00541ACF">
        <w:rPr>
          <w:sz w:val="26"/>
          <w:szCs w:val="26"/>
        </w:rPr>
        <w:t xml:space="preserve"> at Sections 69.801 through Section 69.808,</w:t>
      </w:r>
      <w:r>
        <w:rPr>
          <w:sz w:val="26"/>
          <w:szCs w:val="26"/>
        </w:rPr>
        <w:t xml:space="preserve"> </w:t>
      </w:r>
      <w:r w:rsidR="00541ACF">
        <w:rPr>
          <w:sz w:val="26"/>
          <w:szCs w:val="26"/>
        </w:rPr>
        <w:t xml:space="preserve">including </w:t>
      </w:r>
      <w:r>
        <w:rPr>
          <w:sz w:val="26"/>
          <w:szCs w:val="26"/>
        </w:rPr>
        <w:t xml:space="preserve">the </w:t>
      </w:r>
      <w:r w:rsidR="00325743">
        <w:rPr>
          <w:sz w:val="26"/>
          <w:szCs w:val="26"/>
        </w:rPr>
        <w:t xml:space="preserve">existing policy </w:t>
      </w:r>
      <w:r>
        <w:rPr>
          <w:sz w:val="26"/>
          <w:szCs w:val="26"/>
        </w:rPr>
        <w:t xml:space="preserve">recommendations regarding encouraging diversity, guidelines for diversity development, contracting recommendations, program development, minimum improvement levels, subcontracting program </w:t>
      </w:r>
      <w:r w:rsidR="00D9793C">
        <w:rPr>
          <w:sz w:val="26"/>
          <w:szCs w:val="26"/>
        </w:rPr>
        <w:t>and</w:t>
      </w:r>
      <w:r>
        <w:rPr>
          <w:sz w:val="26"/>
          <w:szCs w:val="26"/>
        </w:rPr>
        <w:t xml:space="preserve"> external outreach.  52 Pa. Code §§</w:t>
      </w:r>
      <w:r w:rsidR="00F979D6">
        <w:rPr>
          <w:sz w:val="26"/>
          <w:szCs w:val="26"/>
        </w:rPr>
        <w:t> </w:t>
      </w:r>
      <w:r>
        <w:rPr>
          <w:sz w:val="26"/>
          <w:szCs w:val="26"/>
        </w:rPr>
        <w:t xml:space="preserve">69.801 and 69.803-808. </w:t>
      </w:r>
      <w:r w:rsidR="003E0942">
        <w:rPr>
          <w:sz w:val="26"/>
          <w:szCs w:val="26"/>
        </w:rPr>
        <w:t xml:space="preserve"> </w:t>
      </w:r>
      <w:r w:rsidR="00360B19">
        <w:rPr>
          <w:sz w:val="26"/>
          <w:szCs w:val="26"/>
        </w:rPr>
        <w:t xml:space="preserve">Filing </w:t>
      </w:r>
      <w:r w:rsidR="00820291">
        <w:rPr>
          <w:sz w:val="26"/>
          <w:szCs w:val="26"/>
        </w:rPr>
        <w:t>w</w:t>
      </w:r>
      <w:r w:rsidR="00FB386F">
        <w:rPr>
          <w:sz w:val="26"/>
          <w:szCs w:val="26"/>
        </w:rPr>
        <w:t xml:space="preserve">ould </w:t>
      </w:r>
      <w:r w:rsidR="00820291">
        <w:rPr>
          <w:sz w:val="26"/>
          <w:szCs w:val="26"/>
        </w:rPr>
        <w:t>no longer be optional</w:t>
      </w:r>
      <w:r w:rsidR="00FB386F">
        <w:rPr>
          <w:sz w:val="26"/>
          <w:szCs w:val="26"/>
        </w:rPr>
        <w:t xml:space="preserve">; thus, there would no longer be </w:t>
      </w:r>
      <w:r w:rsidR="00A72981">
        <w:rPr>
          <w:sz w:val="26"/>
          <w:szCs w:val="26"/>
        </w:rPr>
        <w:t xml:space="preserve">a need for Section </w:t>
      </w:r>
      <w:r w:rsidR="005E5FA3">
        <w:rPr>
          <w:sz w:val="26"/>
          <w:szCs w:val="26"/>
        </w:rPr>
        <w:t>69</w:t>
      </w:r>
      <w:r w:rsidR="00541ACF">
        <w:rPr>
          <w:sz w:val="26"/>
          <w:szCs w:val="26"/>
        </w:rPr>
        <w:t>.</w:t>
      </w:r>
      <w:r w:rsidR="005E5FA3">
        <w:rPr>
          <w:sz w:val="26"/>
          <w:szCs w:val="26"/>
        </w:rPr>
        <w:t xml:space="preserve">809. </w:t>
      </w:r>
      <w:r w:rsidR="00FB386F">
        <w:rPr>
          <w:sz w:val="26"/>
          <w:szCs w:val="26"/>
        </w:rPr>
        <w:t xml:space="preserve"> </w:t>
      </w:r>
      <w:r w:rsidR="00541ACF">
        <w:rPr>
          <w:sz w:val="26"/>
          <w:szCs w:val="26"/>
        </w:rPr>
        <w:t xml:space="preserve">52 Pa. Code § 69.809.  </w:t>
      </w:r>
      <w:r w:rsidR="003E0942">
        <w:rPr>
          <w:sz w:val="26"/>
          <w:szCs w:val="26"/>
        </w:rPr>
        <w:t xml:space="preserve">The </w:t>
      </w:r>
      <w:r w:rsidR="003A3BC2">
        <w:rPr>
          <w:sz w:val="26"/>
          <w:szCs w:val="26"/>
        </w:rPr>
        <w:t xml:space="preserve">Commission intends </w:t>
      </w:r>
      <w:r w:rsidR="003A3BC2" w:rsidDel="006D61E0">
        <w:rPr>
          <w:sz w:val="26"/>
          <w:szCs w:val="26"/>
        </w:rPr>
        <w:t xml:space="preserve">to </w:t>
      </w:r>
      <w:r w:rsidR="003F0C87">
        <w:rPr>
          <w:sz w:val="26"/>
          <w:szCs w:val="26"/>
        </w:rPr>
        <w:t>use one set of</w:t>
      </w:r>
      <w:r w:rsidR="002909E6">
        <w:rPr>
          <w:sz w:val="26"/>
          <w:szCs w:val="26"/>
        </w:rPr>
        <w:t xml:space="preserve"> </w:t>
      </w:r>
      <w:r w:rsidR="003A3BC2">
        <w:rPr>
          <w:sz w:val="26"/>
          <w:szCs w:val="26"/>
        </w:rPr>
        <w:t>definitions</w:t>
      </w:r>
      <w:r w:rsidR="003F0C87">
        <w:rPr>
          <w:sz w:val="26"/>
          <w:szCs w:val="26"/>
        </w:rPr>
        <w:t>,</w:t>
      </w:r>
      <w:r w:rsidR="003A3BC2">
        <w:rPr>
          <w:sz w:val="26"/>
          <w:szCs w:val="26"/>
        </w:rPr>
        <w:t xml:space="preserve"> as proposed </w:t>
      </w:r>
      <w:r w:rsidR="003F0C87">
        <w:rPr>
          <w:sz w:val="26"/>
          <w:szCs w:val="26"/>
        </w:rPr>
        <w:t>in Annex A</w:t>
      </w:r>
      <w:r w:rsidR="00D225C7">
        <w:rPr>
          <w:sz w:val="26"/>
          <w:szCs w:val="26"/>
        </w:rPr>
        <w:t xml:space="preserve"> </w:t>
      </w:r>
      <w:r w:rsidR="003A3BC2">
        <w:rPr>
          <w:sz w:val="26"/>
          <w:szCs w:val="26"/>
        </w:rPr>
        <w:t xml:space="preserve">for the </w:t>
      </w:r>
      <w:r w:rsidR="00487A22">
        <w:rPr>
          <w:sz w:val="26"/>
          <w:szCs w:val="26"/>
        </w:rPr>
        <w:t>Diversity Reporting</w:t>
      </w:r>
      <w:r w:rsidR="003A3BC2">
        <w:rPr>
          <w:sz w:val="26"/>
          <w:szCs w:val="26"/>
        </w:rPr>
        <w:t xml:space="preserve"> regulation</w:t>
      </w:r>
      <w:r w:rsidR="00D225C7">
        <w:rPr>
          <w:sz w:val="26"/>
          <w:szCs w:val="26"/>
        </w:rPr>
        <w:t>,</w:t>
      </w:r>
      <w:r w:rsidR="003A3BC2" w:rsidDel="00F51330">
        <w:rPr>
          <w:sz w:val="26"/>
          <w:szCs w:val="26"/>
        </w:rPr>
        <w:t xml:space="preserve"> </w:t>
      </w:r>
      <w:r w:rsidR="003A3BC2">
        <w:rPr>
          <w:sz w:val="26"/>
          <w:szCs w:val="26"/>
        </w:rPr>
        <w:t xml:space="preserve">applicable to both the </w:t>
      </w:r>
      <w:r w:rsidR="00C6338F">
        <w:rPr>
          <w:sz w:val="26"/>
          <w:szCs w:val="26"/>
        </w:rPr>
        <w:t>regulation and the policy statement.</w:t>
      </w:r>
      <w:r w:rsidR="00036E1C">
        <w:rPr>
          <w:sz w:val="26"/>
          <w:szCs w:val="26"/>
        </w:rPr>
        <w:t xml:space="preserve">  These anticipated changes to the Diversity Policy Statement will be </w:t>
      </w:r>
      <w:r w:rsidR="00345320">
        <w:rPr>
          <w:sz w:val="26"/>
          <w:szCs w:val="26"/>
        </w:rPr>
        <w:t xml:space="preserve">undertaken after the </w:t>
      </w:r>
      <w:r w:rsidR="00B232D6">
        <w:rPr>
          <w:sz w:val="26"/>
          <w:szCs w:val="26"/>
        </w:rPr>
        <w:t>Diversity Reporting regulation become</w:t>
      </w:r>
      <w:r w:rsidR="006C5F8D">
        <w:rPr>
          <w:sz w:val="26"/>
          <w:szCs w:val="26"/>
        </w:rPr>
        <w:t>s</w:t>
      </w:r>
      <w:r w:rsidR="00B232D6">
        <w:rPr>
          <w:sz w:val="26"/>
          <w:szCs w:val="26"/>
        </w:rPr>
        <w:t xml:space="preserve"> effective.</w:t>
      </w:r>
    </w:p>
    <w:p w14:paraId="6CBECEFF" w14:textId="77777777" w:rsidR="00160FCF" w:rsidRPr="004A054C" w:rsidRDefault="00160FCF" w:rsidP="008047BE">
      <w:pPr>
        <w:keepNext/>
        <w:spacing w:line="360" w:lineRule="auto"/>
        <w:jc w:val="center"/>
        <w:rPr>
          <w:b/>
          <w:bCs/>
          <w:sz w:val="26"/>
          <w:szCs w:val="26"/>
        </w:rPr>
      </w:pPr>
      <w:r w:rsidRPr="004A054C">
        <w:rPr>
          <w:b/>
          <w:bCs/>
          <w:sz w:val="26"/>
          <w:szCs w:val="26"/>
        </w:rPr>
        <w:lastRenderedPageBreak/>
        <w:t>CONCLUSION</w:t>
      </w:r>
    </w:p>
    <w:p w14:paraId="05085004" w14:textId="29481D8A" w:rsidR="00160FCF" w:rsidRPr="004218D4" w:rsidRDefault="00160FCF" w:rsidP="008047BE">
      <w:pPr>
        <w:spacing w:line="360" w:lineRule="auto"/>
        <w:ind w:firstLine="720"/>
        <w:rPr>
          <w:sz w:val="26"/>
          <w:szCs w:val="26"/>
        </w:rPr>
      </w:pPr>
      <w:r>
        <w:rPr>
          <w:sz w:val="26"/>
          <w:szCs w:val="26"/>
        </w:rPr>
        <w:t>Th</w:t>
      </w:r>
      <w:r w:rsidR="006C5F8D">
        <w:rPr>
          <w:sz w:val="26"/>
          <w:szCs w:val="26"/>
        </w:rPr>
        <w:t xml:space="preserve">is </w:t>
      </w:r>
      <w:r>
        <w:rPr>
          <w:sz w:val="26"/>
          <w:szCs w:val="26"/>
        </w:rPr>
        <w:t>proposed regulation build</w:t>
      </w:r>
      <w:r w:rsidR="00FA38F0">
        <w:rPr>
          <w:sz w:val="26"/>
          <w:szCs w:val="26"/>
        </w:rPr>
        <w:t>s</w:t>
      </w:r>
      <w:r>
        <w:rPr>
          <w:sz w:val="26"/>
          <w:szCs w:val="26"/>
        </w:rPr>
        <w:t xml:space="preserve"> on the Commission’s </w:t>
      </w:r>
      <w:r w:rsidR="0056566C">
        <w:rPr>
          <w:sz w:val="26"/>
          <w:szCs w:val="26"/>
        </w:rPr>
        <w:t xml:space="preserve">recently amended </w:t>
      </w:r>
      <w:r w:rsidR="00B66C34">
        <w:rPr>
          <w:sz w:val="26"/>
          <w:szCs w:val="26"/>
        </w:rPr>
        <w:t>Diversity P</w:t>
      </w:r>
      <w:r>
        <w:rPr>
          <w:sz w:val="26"/>
          <w:szCs w:val="26"/>
        </w:rPr>
        <w:t xml:space="preserve">olicy Statement </w:t>
      </w:r>
      <w:r w:rsidR="0056566C">
        <w:rPr>
          <w:sz w:val="26"/>
          <w:szCs w:val="26"/>
        </w:rPr>
        <w:t xml:space="preserve">which will become final upon publication in the </w:t>
      </w:r>
      <w:r w:rsidR="0056566C" w:rsidRPr="0056566C">
        <w:rPr>
          <w:i/>
          <w:iCs/>
          <w:sz w:val="26"/>
          <w:szCs w:val="26"/>
        </w:rPr>
        <w:t>Pennsylvania Bulletin</w:t>
      </w:r>
      <w:r w:rsidR="00396217">
        <w:rPr>
          <w:sz w:val="26"/>
          <w:szCs w:val="26"/>
        </w:rPr>
        <w:t xml:space="preserve">.  </w:t>
      </w:r>
      <w:r w:rsidR="00843427">
        <w:rPr>
          <w:sz w:val="26"/>
          <w:szCs w:val="26"/>
        </w:rPr>
        <w:t xml:space="preserve">The proposed regulation would </w:t>
      </w:r>
      <w:r w:rsidR="00F136CA">
        <w:rPr>
          <w:sz w:val="26"/>
          <w:szCs w:val="26"/>
        </w:rPr>
        <w:t xml:space="preserve">make the reporting requirement mandatory for major jurisdictional utilities.  </w:t>
      </w:r>
      <w:r w:rsidR="00EB66FD">
        <w:rPr>
          <w:sz w:val="26"/>
          <w:szCs w:val="26"/>
        </w:rPr>
        <w:t>The proposed regulation</w:t>
      </w:r>
      <w:r w:rsidR="005F7069">
        <w:rPr>
          <w:sz w:val="26"/>
          <w:szCs w:val="26"/>
        </w:rPr>
        <w:t xml:space="preserve"> would incorporate the defin</w:t>
      </w:r>
      <w:r w:rsidR="00783483">
        <w:rPr>
          <w:sz w:val="26"/>
          <w:szCs w:val="26"/>
        </w:rPr>
        <w:t xml:space="preserve">itions </w:t>
      </w:r>
      <w:r w:rsidR="009B6F82">
        <w:rPr>
          <w:sz w:val="26"/>
          <w:szCs w:val="26"/>
        </w:rPr>
        <w:t>and the requirement to use the Commiss</w:t>
      </w:r>
      <w:r w:rsidR="00396217">
        <w:rPr>
          <w:sz w:val="26"/>
          <w:szCs w:val="26"/>
        </w:rPr>
        <w:t>i</w:t>
      </w:r>
      <w:r w:rsidR="009B6F82">
        <w:rPr>
          <w:sz w:val="26"/>
          <w:szCs w:val="26"/>
        </w:rPr>
        <w:t>on</w:t>
      </w:r>
      <w:r w:rsidR="00396217">
        <w:rPr>
          <w:sz w:val="26"/>
          <w:szCs w:val="26"/>
        </w:rPr>
        <w:t>’</w:t>
      </w:r>
      <w:r w:rsidR="009B6F82">
        <w:rPr>
          <w:sz w:val="26"/>
          <w:szCs w:val="26"/>
        </w:rPr>
        <w:t xml:space="preserve">s </w:t>
      </w:r>
      <w:r w:rsidR="00396217">
        <w:rPr>
          <w:sz w:val="26"/>
          <w:szCs w:val="26"/>
        </w:rPr>
        <w:t xml:space="preserve">form </w:t>
      </w:r>
      <w:r w:rsidR="002B5A12">
        <w:rPr>
          <w:sz w:val="26"/>
          <w:szCs w:val="26"/>
        </w:rPr>
        <w:t xml:space="preserve">for </w:t>
      </w:r>
      <w:r w:rsidR="009B6F82">
        <w:rPr>
          <w:sz w:val="26"/>
          <w:szCs w:val="26"/>
        </w:rPr>
        <w:t xml:space="preserve">reporting </w:t>
      </w:r>
      <w:r w:rsidR="00783483">
        <w:rPr>
          <w:sz w:val="26"/>
          <w:szCs w:val="26"/>
        </w:rPr>
        <w:t>from the Diversity Policy Statemen</w:t>
      </w:r>
      <w:r w:rsidR="00943719">
        <w:rPr>
          <w:sz w:val="26"/>
          <w:szCs w:val="26"/>
        </w:rPr>
        <w:t>t</w:t>
      </w:r>
      <w:r w:rsidR="00783483">
        <w:rPr>
          <w:sz w:val="26"/>
          <w:szCs w:val="26"/>
        </w:rPr>
        <w:t xml:space="preserve"> as part of the </w:t>
      </w:r>
      <w:r w:rsidR="00FA38F0">
        <w:rPr>
          <w:sz w:val="26"/>
          <w:szCs w:val="26"/>
        </w:rPr>
        <w:t xml:space="preserve">proposed </w:t>
      </w:r>
      <w:r w:rsidR="00783483">
        <w:rPr>
          <w:sz w:val="26"/>
          <w:szCs w:val="26"/>
        </w:rPr>
        <w:t>regulation.</w:t>
      </w:r>
      <w:r w:rsidR="0039674B">
        <w:rPr>
          <w:sz w:val="26"/>
          <w:szCs w:val="26"/>
        </w:rPr>
        <w:t xml:space="preserve">  </w:t>
      </w:r>
      <w:r w:rsidR="0039674B">
        <w:rPr>
          <w:bCs/>
          <w:sz w:val="26"/>
          <w:szCs w:val="26"/>
        </w:rPr>
        <w:t xml:space="preserve">Amendment of the Diversity Reporting Policy Statement </w:t>
      </w:r>
      <w:r w:rsidR="0021234F">
        <w:rPr>
          <w:bCs/>
          <w:sz w:val="26"/>
          <w:szCs w:val="26"/>
        </w:rPr>
        <w:t xml:space="preserve">to reflect </w:t>
      </w:r>
      <w:r w:rsidR="0021234F" w:rsidRPr="00943719">
        <w:rPr>
          <w:bCs/>
          <w:sz w:val="26"/>
          <w:szCs w:val="26"/>
        </w:rPr>
        <w:t xml:space="preserve">adoption of </w:t>
      </w:r>
      <w:r w:rsidR="001B0823" w:rsidRPr="00943719">
        <w:rPr>
          <w:bCs/>
          <w:sz w:val="26"/>
          <w:szCs w:val="26"/>
        </w:rPr>
        <w:t xml:space="preserve">the </w:t>
      </w:r>
      <w:r w:rsidR="00487A22">
        <w:rPr>
          <w:bCs/>
          <w:sz w:val="26"/>
          <w:szCs w:val="26"/>
        </w:rPr>
        <w:t>Diversity Reporting</w:t>
      </w:r>
      <w:r w:rsidR="0021234F" w:rsidRPr="00943719">
        <w:rPr>
          <w:bCs/>
          <w:sz w:val="26"/>
          <w:szCs w:val="26"/>
        </w:rPr>
        <w:t xml:space="preserve"> regulation </w:t>
      </w:r>
      <w:r w:rsidR="0039674B" w:rsidRPr="00943719">
        <w:rPr>
          <w:bCs/>
          <w:sz w:val="26"/>
          <w:szCs w:val="26"/>
        </w:rPr>
        <w:t>w</w:t>
      </w:r>
      <w:r w:rsidR="001B0823" w:rsidRPr="00943719">
        <w:rPr>
          <w:bCs/>
          <w:sz w:val="26"/>
          <w:szCs w:val="26"/>
        </w:rPr>
        <w:t xml:space="preserve">ould </w:t>
      </w:r>
      <w:r w:rsidR="0039674B" w:rsidRPr="00943719">
        <w:rPr>
          <w:bCs/>
          <w:sz w:val="26"/>
          <w:szCs w:val="26"/>
        </w:rPr>
        <w:t>be addressed</w:t>
      </w:r>
      <w:r w:rsidR="0039674B">
        <w:rPr>
          <w:bCs/>
          <w:sz w:val="26"/>
          <w:szCs w:val="26"/>
        </w:rPr>
        <w:t xml:space="preserve"> after proposed </w:t>
      </w:r>
      <w:r w:rsidR="00487A22">
        <w:rPr>
          <w:bCs/>
          <w:sz w:val="26"/>
          <w:szCs w:val="26"/>
        </w:rPr>
        <w:t>Diversity Reporting</w:t>
      </w:r>
      <w:r w:rsidR="0039674B">
        <w:rPr>
          <w:bCs/>
          <w:sz w:val="26"/>
          <w:szCs w:val="26"/>
        </w:rPr>
        <w:t xml:space="preserve"> regulation become</w:t>
      </w:r>
      <w:r w:rsidR="00F15480">
        <w:rPr>
          <w:bCs/>
          <w:sz w:val="26"/>
          <w:szCs w:val="26"/>
        </w:rPr>
        <w:t>s</w:t>
      </w:r>
      <w:r w:rsidR="0039674B">
        <w:rPr>
          <w:bCs/>
          <w:sz w:val="26"/>
          <w:szCs w:val="26"/>
        </w:rPr>
        <w:t xml:space="preserve"> final</w:t>
      </w:r>
      <w:r w:rsidR="0021234F">
        <w:rPr>
          <w:bCs/>
          <w:sz w:val="26"/>
          <w:szCs w:val="26"/>
        </w:rPr>
        <w:t>.</w:t>
      </w:r>
    </w:p>
    <w:p w14:paraId="2AF26446" w14:textId="77777777" w:rsidR="00160FCF" w:rsidRDefault="00160FCF" w:rsidP="00160FCF">
      <w:pPr>
        <w:spacing w:line="360" w:lineRule="auto"/>
        <w:ind w:firstLine="720"/>
        <w:rPr>
          <w:sz w:val="26"/>
          <w:szCs w:val="26"/>
        </w:rPr>
      </w:pPr>
    </w:p>
    <w:p w14:paraId="07E40680" w14:textId="77777777" w:rsidR="005F7AFC" w:rsidRDefault="00160FCF" w:rsidP="00A00202">
      <w:pPr>
        <w:spacing w:line="360" w:lineRule="auto"/>
        <w:ind w:firstLine="720"/>
        <w:rPr>
          <w:bCs/>
          <w:sz w:val="26"/>
          <w:szCs w:val="26"/>
        </w:rPr>
      </w:pPr>
      <w:r w:rsidRPr="00804E93">
        <w:rPr>
          <w:sz w:val="26"/>
          <w:szCs w:val="26"/>
        </w:rPr>
        <w:t xml:space="preserve">Accordingly, under </w:t>
      </w:r>
      <w:r w:rsidR="00350815">
        <w:rPr>
          <w:sz w:val="26"/>
          <w:szCs w:val="26"/>
        </w:rPr>
        <w:t>S</w:t>
      </w:r>
      <w:r w:rsidRPr="00804E93">
        <w:rPr>
          <w:sz w:val="26"/>
          <w:szCs w:val="26"/>
        </w:rPr>
        <w:t xml:space="preserve">ections </w:t>
      </w:r>
      <w:r>
        <w:rPr>
          <w:sz w:val="26"/>
          <w:szCs w:val="26"/>
        </w:rPr>
        <w:t xml:space="preserve">501 </w:t>
      </w:r>
      <w:r w:rsidR="00BA4EBE">
        <w:rPr>
          <w:sz w:val="26"/>
          <w:szCs w:val="26"/>
        </w:rPr>
        <w:t>and</w:t>
      </w:r>
      <w:r>
        <w:rPr>
          <w:sz w:val="26"/>
          <w:szCs w:val="26"/>
        </w:rPr>
        <w:t xml:space="preserve"> </w:t>
      </w:r>
      <w:r w:rsidR="00FA0BA5">
        <w:rPr>
          <w:sz w:val="26"/>
          <w:szCs w:val="26"/>
        </w:rPr>
        <w:t>504</w:t>
      </w:r>
      <w:r w:rsidRPr="00804E93">
        <w:rPr>
          <w:sz w:val="26"/>
          <w:szCs w:val="26"/>
        </w:rPr>
        <w:t xml:space="preserve"> of the Public Utility Code, 66</w:t>
      </w:r>
      <w:r>
        <w:rPr>
          <w:sz w:val="26"/>
          <w:szCs w:val="26"/>
        </w:rPr>
        <w:t> </w:t>
      </w:r>
      <w:r w:rsidRPr="00804E93">
        <w:rPr>
          <w:sz w:val="26"/>
          <w:szCs w:val="26"/>
        </w:rPr>
        <w:t>Pa.C.S. §§</w:t>
      </w:r>
      <w:r>
        <w:rPr>
          <w:sz w:val="26"/>
          <w:szCs w:val="26"/>
        </w:rPr>
        <w:t> </w:t>
      </w:r>
      <w:r w:rsidRPr="007474EE">
        <w:rPr>
          <w:sz w:val="26"/>
          <w:szCs w:val="26"/>
        </w:rPr>
        <w:t>501</w:t>
      </w:r>
      <w:r w:rsidR="00C21D58">
        <w:rPr>
          <w:sz w:val="26"/>
          <w:szCs w:val="26"/>
        </w:rPr>
        <w:t xml:space="preserve"> and 504</w:t>
      </w:r>
      <w:r w:rsidR="00A6378D">
        <w:rPr>
          <w:sz w:val="26"/>
          <w:szCs w:val="26"/>
        </w:rPr>
        <w:t>;</w:t>
      </w:r>
      <w:r w:rsidRPr="00804E93">
        <w:rPr>
          <w:sz w:val="26"/>
          <w:szCs w:val="26"/>
        </w:rPr>
        <w:t xml:space="preserve"> </w:t>
      </w:r>
      <w:bookmarkStart w:id="0" w:name="_Hlk18498756"/>
      <w:r w:rsidR="00350815">
        <w:rPr>
          <w:sz w:val="26"/>
          <w:szCs w:val="26"/>
        </w:rPr>
        <w:t>S</w:t>
      </w:r>
      <w:r w:rsidRPr="003227D6">
        <w:rPr>
          <w:sz w:val="26"/>
          <w:szCs w:val="26"/>
        </w:rPr>
        <w:t xml:space="preserve">ection 201 of the </w:t>
      </w:r>
      <w:r w:rsidR="00723DBF">
        <w:rPr>
          <w:sz w:val="26"/>
          <w:szCs w:val="26"/>
        </w:rPr>
        <w:t>A</w:t>
      </w:r>
      <w:r w:rsidRPr="003227D6">
        <w:rPr>
          <w:sz w:val="26"/>
          <w:szCs w:val="26"/>
        </w:rPr>
        <w:t>ct of July 31, 1968 (P.L. 769, No. 240)</w:t>
      </w:r>
      <w:r>
        <w:rPr>
          <w:sz w:val="26"/>
          <w:szCs w:val="26"/>
        </w:rPr>
        <w:t>,</w:t>
      </w:r>
      <w:r w:rsidRPr="003227D6">
        <w:rPr>
          <w:sz w:val="26"/>
          <w:szCs w:val="26"/>
        </w:rPr>
        <w:t xml:space="preserve"> </w:t>
      </w:r>
      <w:r>
        <w:rPr>
          <w:sz w:val="26"/>
          <w:szCs w:val="26"/>
        </w:rPr>
        <w:t xml:space="preserve">known as the Commonwealth Documents Law </w:t>
      </w:r>
      <w:r w:rsidRPr="003227D6">
        <w:rPr>
          <w:sz w:val="26"/>
          <w:szCs w:val="26"/>
        </w:rPr>
        <w:t>(45</w:t>
      </w:r>
      <w:r>
        <w:rPr>
          <w:sz w:val="26"/>
          <w:szCs w:val="26"/>
        </w:rPr>
        <w:t> </w:t>
      </w:r>
      <w:r w:rsidRPr="003227D6">
        <w:rPr>
          <w:sz w:val="26"/>
          <w:szCs w:val="26"/>
        </w:rPr>
        <w:t>P.S. §</w:t>
      </w:r>
      <w:r>
        <w:rPr>
          <w:sz w:val="26"/>
          <w:szCs w:val="26"/>
        </w:rPr>
        <w:t> </w:t>
      </w:r>
      <w:r w:rsidRPr="003227D6">
        <w:rPr>
          <w:sz w:val="26"/>
          <w:szCs w:val="26"/>
        </w:rPr>
        <w:t>1201)</w:t>
      </w:r>
      <w:r w:rsidR="00854AC4">
        <w:rPr>
          <w:sz w:val="26"/>
          <w:szCs w:val="26"/>
        </w:rPr>
        <w:t>,</w:t>
      </w:r>
      <w:r w:rsidRPr="003227D6">
        <w:rPr>
          <w:sz w:val="26"/>
          <w:szCs w:val="26"/>
        </w:rPr>
        <w:t xml:space="preserve"> </w:t>
      </w:r>
      <w:r w:rsidR="00D9793C">
        <w:rPr>
          <w:sz w:val="26"/>
          <w:szCs w:val="26"/>
        </w:rPr>
        <w:t>and</w:t>
      </w:r>
      <w:r w:rsidRPr="003227D6">
        <w:rPr>
          <w:sz w:val="26"/>
          <w:szCs w:val="26"/>
        </w:rPr>
        <w:t xml:space="preserve"> the regulations promulgated thereunder at 1</w:t>
      </w:r>
      <w:r>
        <w:rPr>
          <w:sz w:val="26"/>
          <w:szCs w:val="26"/>
        </w:rPr>
        <w:t> </w:t>
      </w:r>
      <w:r w:rsidRPr="003227D6">
        <w:rPr>
          <w:sz w:val="26"/>
          <w:szCs w:val="26"/>
        </w:rPr>
        <w:t>Pa. Code §§</w:t>
      </w:r>
      <w:r>
        <w:rPr>
          <w:sz w:val="26"/>
          <w:szCs w:val="26"/>
        </w:rPr>
        <w:t> </w:t>
      </w:r>
      <w:r w:rsidRPr="003227D6">
        <w:rPr>
          <w:sz w:val="26"/>
          <w:szCs w:val="26"/>
        </w:rPr>
        <w:t>7.1, 7.2 and</w:t>
      </w:r>
      <w:r>
        <w:rPr>
          <w:sz w:val="26"/>
          <w:szCs w:val="26"/>
        </w:rPr>
        <w:t> </w:t>
      </w:r>
      <w:r w:rsidRPr="003227D6">
        <w:rPr>
          <w:sz w:val="26"/>
          <w:szCs w:val="26"/>
        </w:rPr>
        <w:t xml:space="preserve">7.5; </w:t>
      </w:r>
      <w:r w:rsidR="00350815">
        <w:rPr>
          <w:sz w:val="26"/>
          <w:szCs w:val="26"/>
        </w:rPr>
        <w:t>S</w:t>
      </w:r>
      <w:r w:rsidRPr="003227D6">
        <w:rPr>
          <w:sz w:val="26"/>
          <w:szCs w:val="26"/>
        </w:rPr>
        <w:t>ection 204(b) of the Commonwealth Attorneys Act (71</w:t>
      </w:r>
      <w:r>
        <w:rPr>
          <w:sz w:val="26"/>
          <w:szCs w:val="26"/>
        </w:rPr>
        <w:t> </w:t>
      </w:r>
      <w:r w:rsidRPr="003227D6">
        <w:rPr>
          <w:sz w:val="26"/>
          <w:szCs w:val="26"/>
        </w:rPr>
        <w:t>P.S.</w:t>
      </w:r>
      <w:r>
        <w:rPr>
          <w:sz w:val="26"/>
          <w:szCs w:val="26"/>
        </w:rPr>
        <w:t xml:space="preserve"> </w:t>
      </w:r>
      <w:r w:rsidRPr="003227D6">
        <w:rPr>
          <w:sz w:val="26"/>
          <w:szCs w:val="26"/>
        </w:rPr>
        <w:t>§</w:t>
      </w:r>
      <w:r>
        <w:rPr>
          <w:sz w:val="26"/>
          <w:szCs w:val="26"/>
        </w:rPr>
        <w:t> </w:t>
      </w:r>
      <w:r w:rsidRPr="003227D6">
        <w:rPr>
          <w:sz w:val="26"/>
          <w:szCs w:val="26"/>
        </w:rPr>
        <w:t>732</w:t>
      </w:r>
      <w:r>
        <w:rPr>
          <w:sz w:val="26"/>
          <w:szCs w:val="26"/>
        </w:rPr>
        <w:noBreakHyphen/>
      </w:r>
      <w:r w:rsidRPr="003227D6">
        <w:rPr>
          <w:sz w:val="26"/>
          <w:szCs w:val="26"/>
        </w:rPr>
        <w:t xml:space="preserve">204(b)); </w:t>
      </w:r>
      <w:r w:rsidR="00350815">
        <w:rPr>
          <w:sz w:val="26"/>
          <w:szCs w:val="26"/>
        </w:rPr>
        <w:t>S</w:t>
      </w:r>
      <w:r w:rsidRPr="003227D6">
        <w:rPr>
          <w:sz w:val="26"/>
          <w:szCs w:val="26"/>
        </w:rPr>
        <w:t>ection 5 of the Regulatory Review Act (71</w:t>
      </w:r>
      <w:r>
        <w:rPr>
          <w:sz w:val="26"/>
          <w:szCs w:val="26"/>
        </w:rPr>
        <w:t> </w:t>
      </w:r>
      <w:r w:rsidRPr="003227D6">
        <w:rPr>
          <w:sz w:val="26"/>
          <w:szCs w:val="26"/>
        </w:rPr>
        <w:t>P.S. §</w:t>
      </w:r>
      <w:r>
        <w:rPr>
          <w:sz w:val="26"/>
          <w:szCs w:val="26"/>
        </w:rPr>
        <w:t> </w:t>
      </w:r>
      <w:r w:rsidRPr="003227D6">
        <w:rPr>
          <w:sz w:val="26"/>
          <w:szCs w:val="26"/>
        </w:rPr>
        <w:t xml:space="preserve">745.5); and </w:t>
      </w:r>
      <w:r w:rsidR="00350815">
        <w:rPr>
          <w:sz w:val="26"/>
          <w:szCs w:val="26"/>
        </w:rPr>
        <w:t>S</w:t>
      </w:r>
      <w:r w:rsidRPr="003227D6">
        <w:rPr>
          <w:sz w:val="26"/>
          <w:szCs w:val="26"/>
        </w:rPr>
        <w:t>ection 612 of The Administrative Code of 1929 (71</w:t>
      </w:r>
      <w:r>
        <w:rPr>
          <w:sz w:val="26"/>
          <w:szCs w:val="26"/>
        </w:rPr>
        <w:t> </w:t>
      </w:r>
      <w:r w:rsidRPr="003227D6">
        <w:rPr>
          <w:sz w:val="26"/>
          <w:szCs w:val="26"/>
        </w:rPr>
        <w:t>P.S. §</w:t>
      </w:r>
      <w:r>
        <w:rPr>
          <w:sz w:val="26"/>
          <w:szCs w:val="26"/>
        </w:rPr>
        <w:t> </w:t>
      </w:r>
      <w:r w:rsidRPr="003227D6">
        <w:rPr>
          <w:sz w:val="26"/>
          <w:szCs w:val="26"/>
        </w:rPr>
        <w:t>232)</w:t>
      </w:r>
      <w:r w:rsidR="00854AC4">
        <w:rPr>
          <w:sz w:val="26"/>
          <w:szCs w:val="26"/>
        </w:rPr>
        <w:t>,</w:t>
      </w:r>
      <w:r w:rsidRPr="003227D6">
        <w:rPr>
          <w:sz w:val="26"/>
          <w:szCs w:val="26"/>
        </w:rPr>
        <w:t xml:space="preserve"> </w:t>
      </w:r>
      <w:r w:rsidR="00D9793C">
        <w:rPr>
          <w:sz w:val="26"/>
          <w:szCs w:val="26"/>
        </w:rPr>
        <w:t>and</w:t>
      </w:r>
      <w:r w:rsidRPr="003227D6">
        <w:rPr>
          <w:sz w:val="26"/>
          <w:szCs w:val="26"/>
        </w:rPr>
        <w:t xml:space="preserve"> the regulations promulgated thereunder at 4</w:t>
      </w:r>
      <w:r>
        <w:rPr>
          <w:sz w:val="26"/>
          <w:szCs w:val="26"/>
        </w:rPr>
        <w:t> </w:t>
      </w:r>
      <w:r w:rsidRPr="003227D6">
        <w:rPr>
          <w:sz w:val="26"/>
          <w:szCs w:val="26"/>
        </w:rPr>
        <w:t>Pa. Code §§</w:t>
      </w:r>
      <w:r>
        <w:rPr>
          <w:sz w:val="26"/>
          <w:szCs w:val="26"/>
        </w:rPr>
        <w:t> </w:t>
      </w:r>
      <w:r w:rsidRPr="003227D6">
        <w:rPr>
          <w:sz w:val="26"/>
          <w:szCs w:val="26"/>
        </w:rPr>
        <w:t>7.231</w:t>
      </w:r>
      <w:r w:rsidR="00784AB8">
        <w:rPr>
          <w:sz w:val="26"/>
          <w:szCs w:val="26"/>
        </w:rPr>
        <w:noBreakHyphen/>
      </w:r>
      <w:r w:rsidRPr="003227D6">
        <w:rPr>
          <w:sz w:val="26"/>
          <w:szCs w:val="26"/>
        </w:rPr>
        <w:t>7.234,</w:t>
      </w:r>
      <w:r w:rsidRPr="003227D6">
        <w:rPr>
          <w:bCs/>
          <w:sz w:val="26"/>
          <w:szCs w:val="26"/>
        </w:rPr>
        <w:t xml:space="preserve"> </w:t>
      </w:r>
      <w:bookmarkEnd w:id="0"/>
      <w:r w:rsidRPr="003227D6">
        <w:rPr>
          <w:bCs/>
          <w:sz w:val="26"/>
          <w:szCs w:val="26"/>
        </w:rPr>
        <w:t xml:space="preserve">the Commission proposes </w:t>
      </w:r>
      <w:r w:rsidR="00006199">
        <w:rPr>
          <w:bCs/>
          <w:sz w:val="26"/>
          <w:szCs w:val="26"/>
        </w:rPr>
        <w:t xml:space="preserve">a </w:t>
      </w:r>
      <w:r>
        <w:rPr>
          <w:bCs/>
          <w:sz w:val="26"/>
          <w:szCs w:val="26"/>
        </w:rPr>
        <w:t xml:space="preserve">new </w:t>
      </w:r>
      <w:r w:rsidR="008A14C9">
        <w:rPr>
          <w:bCs/>
          <w:sz w:val="26"/>
          <w:szCs w:val="26"/>
        </w:rPr>
        <w:t>D</w:t>
      </w:r>
      <w:r w:rsidR="00234B8E">
        <w:rPr>
          <w:bCs/>
          <w:sz w:val="26"/>
          <w:szCs w:val="26"/>
        </w:rPr>
        <w:t xml:space="preserve">iversity </w:t>
      </w:r>
      <w:r w:rsidR="008A14C9">
        <w:rPr>
          <w:bCs/>
          <w:sz w:val="26"/>
          <w:szCs w:val="26"/>
        </w:rPr>
        <w:t>R</w:t>
      </w:r>
      <w:r w:rsidR="00234B8E">
        <w:rPr>
          <w:bCs/>
          <w:sz w:val="26"/>
          <w:szCs w:val="26"/>
        </w:rPr>
        <w:t xml:space="preserve">eporting </w:t>
      </w:r>
      <w:r>
        <w:rPr>
          <w:bCs/>
          <w:sz w:val="26"/>
          <w:szCs w:val="26"/>
        </w:rPr>
        <w:t xml:space="preserve">regulation at 52 Pa. Code </w:t>
      </w:r>
      <w:r w:rsidR="006A3540" w:rsidRPr="003227D6">
        <w:rPr>
          <w:sz w:val="26"/>
          <w:szCs w:val="26"/>
        </w:rPr>
        <w:t>§§</w:t>
      </w:r>
      <w:r w:rsidR="006A3540">
        <w:rPr>
          <w:sz w:val="26"/>
          <w:szCs w:val="26"/>
        </w:rPr>
        <w:t> </w:t>
      </w:r>
      <w:r w:rsidR="00EB66FD">
        <w:rPr>
          <w:sz w:val="26"/>
          <w:szCs w:val="26"/>
        </w:rPr>
        <w:t>51.1</w:t>
      </w:r>
      <w:r w:rsidR="00295DB0">
        <w:rPr>
          <w:sz w:val="26"/>
          <w:szCs w:val="26"/>
        </w:rPr>
        <w:t>1-</w:t>
      </w:r>
      <w:r w:rsidR="00077FB5">
        <w:rPr>
          <w:sz w:val="26"/>
          <w:szCs w:val="26"/>
        </w:rPr>
        <w:t>51.1</w:t>
      </w:r>
      <w:r w:rsidR="00CB2DE5">
        <w:rPr>
          <w:sz w:val="26"/>
          <w:szCs w:val="26"/>
        </w:rPr>
        <w:t>5</w:t>
      </w:r>
      <w:r w:rsidRPr="00DC186B">
        <w:rPr>
          <w:bCs/>
          <w:sz w:val="26"/>
          <w:szCs w:val="26"/>
        </w:rPr>
        <w:t xml:space="preserve"> </w:t>
      </w:r>
      <w:r w:rsidRPr="00804E93">
        <w:rPr>
          <w:bCs/>
          <w:sz w:val="26"/>
          <w:szCs w:val="26"/>
        </w:rPr>
        <w:t>as set forth in Annex A</w:t>
      </w:r>
      <w:r w:rsidR="005F7AFC">
        <w:rPr>
          <w:bCs/>
          <w:sz w:val="26"/>
          <w:szCs w:val="26"/>
        </w:rPr>
        <w:t>.</w:t>
      </w:r>
    </w:p>
    <w:p w14:paraId="66D08396" w14:textId="51DA0CFA" w:rsidR="000E1912" w:rsidRPr="00160E8F" w:rsidRDefault="000900C9" w:rsidP="005F7AFC">
      <w:pPr>
        <w:spacing w:line="360" w:lineRule="auto"/>
        <w:rPr>
          <w:sz w:val="26"/>
          <w:szCs w:val="26"/>
        </w:rPr>
      </w:pPr>
      <w:r w:rsidRPr="00160E8F">
        <w:rPr>
          <w:b/>
          <w:sz w:val="26"/>
          <w:szCs w:val="26"/>
          <w:lang w:bidi="en-US"/>
        </w:rPr>
        <w:t>THEREFORE</w:t>
      </w:r>
      <w:r w:rsidRPr="00160E8F">
        <w:rPr>
          <w:sz w:val="26"/>
          <w:szCs w:val="26"/>
          <w:lang w:bidi="en-US"/>
        </w:rPr>
        <w:t>,</w:t>
      </w:r>
    </w:p>
    <w:p w14:paraId="6854F54B" w14:textId="77777777" w:rsidR="00A00202" w:rsidRPr="00160E8F" w:rsidRDefault="00A00202" w:rsidP="000900C9">
      <w:pPr>
        <w:spacing w:line="360" w:lineRule="auto"/>
        <w:rPr>
          <w:sz w:val="26"/>
          <w:szCs w:val="26"/>
        </w:rPr>
      </w:pPr>
    </w:p>
    <w:p w14:paraId="1E533C5A" w14:textId="77777777" w:rsidR="002B32BD" w:rsidRPr="00160E8F" w:rsidRDefault="007E1866" w:rsidP="000E1912">
      <w:pPr>
        <w:spacing w:line="360" w:lineRule="auto"/>
        <w:ind w:firstLine="720"/>
        <w:rPr>
          <w:b/>
          <w:sz w:val="26"/>
          <w:szCs w:val="26"/>
        </w:rPr>
      </w:pPr>
      <w:r w:rsidRPr="00160E8F">
        <w:rPr>
          <w:b/>
          <w:sz w:val="26"/>
          <w:szCs w:val="26"/>
        </w:rPr>
        <w:t>IT IS ORDERED:</w:t>
      </w:r>
    </w:p>
    <w:p w14:paraId="7A3F1711" w14:textId="77777777" w:rsidR="000E1912" w:rsidRPr="00160E8F" w:rsidRDefault="000E1912" w:rsidP="000E1912">
      <w:pPr>
        <w:spacing w:line="360" w:lineRule="auto"/>
        <w:ind w:firstLine="720"/>
        <w:rPr>
          <w:b/>
          <w:sz w:val="26"/>
          <w:szCs w:val="26"/>
        </w:rPr>
      </w:pPr>
    </w:p>
    <w:p w14:paraId="6164E73A" w14:textId="5FEDBB18" w:rsidR="002B32BD" w:rsidRDefault="002B32BD" w:rsidP="000E1912">
      <w:pPr>
        <w:spacing w:line="360" w:lineRule="auto"/>
        <w:ind w:firstLine="720"/>
        <w:rPr>
          <w:sz w:val="26"/>
          <w:szCs w:val="26"/>
        </w:rPr>
      </w:pPr>
      <w:r w:rsidRPr="00160E8F">
        <w:rPr>
          <w:sz w:val="26"/>
          <w:szCs w:val="26"/>
        </w:rPr>
        <w:t>1.</w:t>
      </w:r>
      <w:r w:rsidRPr="00160E8F">
        <w:rPr>
          <w:sz w:val="26"/>
          <w:szCs w:val="26"/>
        </w:rPr>
        <w:tab/>
      </w:r>
      <w:r w:rsidR="00A018E5" w:rsidRPr="00160E8F">
        <w:rPr>
          <w:sz w:val="26"/>
          <w:szCs w:val="26"/>
        </w:rPr>
        <w:t xml:space="preserve">That </w:t>
      </w:r>
      <w:r w:rsidR="002E2C04">
        <w:rPr>
          <w:sz w:val="26"/>
          <w:szCs w:val="26"/>
        </w:rPr>
        <w:t xml:space="preserve">a proposed rulemaking be opened to consider the </w:t>
      </w:r>
      <w:r w:rsidR="00734B7B">
        <w:rPr>
          <w:sz w:val="26"/>
          <w:szCs w:val="26"/>
        </w:rPr>
        <w:t>p</w:t>
      </w:r>
      <w:r w:rsidR="000D74A3">
        <w:rPr>
          <w:sz w:val="26"/>
          <w:szCs w:val="26"/>
        </w:rPr>
        <w:t>roposed</w:t>
      </w:r>
      <w:r w:rsidR="00D83341">
        <w:rPr>
          <w:sz w:val="26"/>
          <w:szCs w:val="26"/>
        </w:rPr>
        <w:t xml:space="preserve"> </w:t>
      </w:r>
      <w:r w:rsidR="00F15480">
        <w:rPr>
          <w:sz w:val="26"/>
          <w:szCs w:val="26"/>
        </w:rPr>
        <w:t xml:space="preserve">Diversity Reporting </w:t>
      </w:r>
      <w:r w:rsidR="00D83341">
        <w:rPr>
          <w:sz w:val="26"/>
          <w:szCs w:val="26"/>
        </w:rPr>
        <w:t xml:space="preserve">regulation </w:t>
      </w:r>
      <w:r w:rsidR="000D74A3">
        <w:rPr>
          <w:sz w:val="26"/>
          <w:szCs w:val="26"/>
        </w:rPr>
        <w:t>set forth in Annex</w:t>
      </w:r>
      <w:r w:rsidR="0090435A">
        <w:rPr>
          <w:sz w:val="26"/>
          <w:szCs w:val="26"/>
        </w:rPr>
        <w:t xml:space="preserve"> A</w:t>
      </w:r>
      <w:r w:rsidR="000D74A3">
        <w:rPr>
          <w:sz w:val="26"/>
          <w:szCs w:val="26"/>
        </w:rPr>
        <w:t>.</w:t>
      </w:r>
    </w:p>
    <w:p w14:paraId="7707863E" w14:textId="77777777" w:rsidR="005802AD" w:rsidRPr="00160E8F" w:rsidRDefault="005802AD" w:rsidP="000E1912">
      <w:pPr>
        <w:spacing w:line="360" w:lineRule="auto"/>
        <w:ind w:firstLine="720"/>
        <w:rPr>
          <w:sz w:val="26"/>
          <w:szCs w:val="26"/>
        </w:rPr>
      </w:pPr>
    </w:p>
    <w:p w14:paraId="6777DD6D" w14:textId="7DEA77DE" w:rsidR="00320094" w:rsidRPr="00160E8F" w:rsidRDefault="00E61968" w:rsidP="000E1912">
      <w:pPr>
        <w:spacing w:line="360" w:lineRule="auto"/>
        <w:ind w:firstLine="720"/>
        <w:rPr>
          <w:sz w:val="26"/>
          <w:szCs w:val="26"/>
        </w:rPr>
      </w:pPr>
      <w:r w:rsidRPr="00160E8F">
        <w:rPr>
          <w:sz w:val="26"/>
          <w:szCs w:val="26"/>
        </w:rPr>
        <w:t>2.</w:t>
      </w:r>
      <w:r w:rsidRPr="00160E8F">
        <w:rPr>
          <w:sz w:val="26"/>
          <w:szCs w:val="26"/>
        </w:rPr>
        <w:tab/>
      </w:r>
      <w:r w:rsidR="00F20794">
        <w:rPr>
          <w:sz w:val="26"/>
          <w:szCs w:val="26"/>
        </w:rPr>
        <w:t xml:space="preserve">That the Law Bureau shall submit this Order and Annex A to the </w:t>
      </w:r>
      <w:r w:rsidR="00BB5A55">
        <w:rPr>
          <w:sz w:val="26"/>
          <w:szCs w:val="26"/>
        </w:rPr>
        <w:t xml:space="preserve">Office of the Attorney General for review as to form and legality and to the </w:t>
      </w:r>
      <w:r w:rsidR="00F20794">
        <w:rPr>
          <w:sz w:val="26"/>
          <w:szCs w:val="26"/>
        </w:rPr>
        <w:t>Governor’s Budget Officed for review for fiscal impact.</w:t>
      </w:r>
    </w:p>
    <w:p w14:paraId="337F0401" w14:textId="11AE60BB" w:rsidR="00D2644B" w:rsidRDefault="00D2644B" w:rsidP="00D2644B">
      <w:pPr>
        <w:spacing w:line="360" w:lineRule="auto"/>
        <w:ind w:firstLine="720"/>
        <w:rPr>
          <w:rStyle w:val="normaltextrun"/>
          <w:sz w:val="26"/>
          <w:szCs w:val="26"/>
        </w:rPr>
      </w:pPr>
      <w:r>
        <w:rPr>
          <w:rStyle w:val="normaltextrun"/>
          <w:sz w:val="26"/>
          <w:szCs w:val="26"/>
        </w:rPr>
        <w:lastRenderedPageBreak/>
        <w:t>3.</w:t>
      </w:r>
      <w:r>
        <w:rPr>
          <w:rStyle w:val="normaltextrun"/>
          <w:sz w:val="26"/>
          <w:szCs w:val="26"/>
        </w:rPr>
        <w:tab/>
        <w:t>That the Law Bureau shall submit this Order and Annex A for review and comment to the Independent Regulatory Review Commission and the Legislative Standing Committees.</w:t>
      </w:r>
    </w:p>
    <w:p w14:paraId="363438EC" w14:textId="77777777" w:rsidR="00394ED2" w:rsidRDefault="00394ED2" w:rsidP="0021234F">
      <w:pPr>
        <w:spacing w:line="360" w:lineRule="auto"/>
        <w:ind w:firstLine="720"/>
        <w:rPr>
          <w:sz w:val="26"/>
          <w:szCs w:val="26"/>
        </w:rPr>
      </w:pPr>
    </w:p>
    <w:p w14:paraId="6C949D34" w14:textId="4668DE0A" w:rsidR="00D44CF1" w:rsidRDefault="00006AFE" w:rsidP="000E1912">
      <w:pPr>
        <w:spacing w:line="360" w:lineRule="auto"/>
        <w:ind w:firstLine="720"/>
        <w:rPr>
          <w:sz w:val="26"/>
          <w:szCs w:val="26"/>
        </w:rPr>
      </w:pPr>
      <w:r>
        <w:rPr>
          <w:sz w:val="26"/>
          <w:szCs w:val="26"/>
        </w:rPr>
        <w:t>4</w:t>
      </w:r>
      <w:r w:rsidR="00E61968" w:rsidRPr="00160E8F">
        <w:rPr>
          <w:sz w:val="26"/>
          <w:szCs w:val="26"/>
        </w:rPr>
        <w:t>.</w:t>
      </w:r>
      <w:r w:rsidR="002B32BD" w:rsidRPr="00160E8F">
        <w:rPr>
          <w:sz w:val="26"/>
          <w:szCs w:val="26"/>
        </w:rPr>
        <w:tab/>
      </w:r>
      <w:r w:rsidR="00F20794">
        <w:rPr>
          <w:sz w:val="26"/>
          <w:szCs w:val="26"/>
        </w:rPr>
        <w:t xml:space="preserve">That the Law Bureau shall deposit this Order and Annex A with the Legislative Reference Bureau to be published in the </w:t>
      </w:r>
      <w:r w:rsidR="00F20794">
        <w:rPr>
          <w:i/>
          <w:iCs/>
          <w:sz w:val="26"/>
          <w:szCs w:val="26"/>
        </w:rPr>
        <w:t>Pennsylvania Bulletin</w:t>
      </w:r>
      <w:r w:rsidR="00F20794">
        <w:rPr>
          <w:sz w:val="26"/>
          <w:szCs w:val="26"/>
        </w:rPr>
        <w:t>.</w:t>
      </w:r>
    </w:p>
    <w:p w14:paraId="1C5FCDF4" w14:textId="77777777" w:rsidR="00BD0564" w:rsidRPr="00160E8F" w:rsidRDefault="00BD0564" w:rsidP="000E1912">
      <w:pPr>
        <w:spacing w:line="360" w:lineRule="auto"/>
        <w:ind w:firstLine="720"/>
        <w:rPr>
          <w:sz w:val="26"/>
          <w:szCs w:val="26"/>
        </w:rPr>
      </w:pPr>
    </w:p>
    <w:p w14:paraId="4004C08E" w14:textId="4DF4828E" w:rsidR="00E77C74" w:rsidRPr="00541ACF" w:rsidRDefault="006A3245" w:rsidP="000E1912">
      <w:pPr>
        <w:spacing w:line="360" w:lineRule="auto"/>
        <w:ind w:firstLine="720"/>
        <w:rPr>
          <w:sz w:val="26"/>
          <w:szCs w:val="26"/>
        </w:rPr>
      </w:pPr>
      <w:r w:rsidRPr="00541ACF">
        <w:rPr>
          <w:sz w:val="26"/>
          <w:szCs w:val="26"/>
        </w:rPr>
        <w:t>5</w:t>
      </w:r>
      <w:r w:rsidR="00284D14" w:rsidRPr="007226D8">
        <w:rPr>
          <w:sz w:val="26"/>
          <w:szCs w:val="26"/>
        </w:rPr>
        <w:t>.</w:t>
      </w:r>
      <w:r w:rsidR="00284D14" w:rsidRPr="007226D8">
        <w:rPr>
          <w:sz w:val="26"/>
          <w:szCs w:val="26"/>
        </w:rPr>
        <w:tab/>
      </w:r>
      <w:r w:rsidR="00A018E5" w:rsidRPr="00541ACF">
        <w:rPr>
          <w:sz w:val="26"/>
          <w:szCs w:val="26"/>
        </w:rPr>
        <w:t xml:space="preserve">That </w:t>
      </w:r>
      <w:r w:rsidR="00466535" w:rsidRPr="00541ACF">
        <w:rPr>
          <w:sz w:val="26"/>
          <w:szCs w:val="26"/>
        </w:rPr>
        <w:t xml:space="preserve">interested </w:t>
      </w:r>
      <w:r w:rsidR="00322964" w:rsidRPr="00541ACF">
        <w:rPr>
          <w:sz w:val="26"/>
          <w:szCs w:val="26"/>
        </w:rPr>
        <w:t>parties</w:t>
      </w:r>
      <w:r w:rsidR="00466535" w:rsidRPr="00541ACF">
        <w:rPr>
          <w:sz w:val="26"/>
          <w:szCs w:val="26"/>
        </w:rPr>
        <w:t xml:space="preserve"> may submit written comments referencing Docket </w:t>
      </w:r>
      <w:r w:rsidR="00BB018A" w:rsidRPr="00541ACF">
        <w:rPr>
          <w:sz w:val="26"/>
          <w:szCs w:val="26"/>
        </w:rPr>
        <w:t xml:space="preserve">No. </w:t>
      </w:r>
      <w:r w:rsidR="00A01AFD" w:rsidRPr="00541ACF">
        <w:rPr>
          <w:sz w:val="26"/>
          <w:szCs w:val="26"/>
        </w:rPr>
        <w:t>L</w:t>
      </w:r>
      <w:r w:rsidR="00BB018A" w:rsidRPr="00541ACF">
        <w:rPr>
          <w:sz w:val="26"/>
          <w:szCs w:val="26"/>
        </w:rPr>
        <w:noBreakHyphen/>
      </w:r>
      <w:r w:rsidR="00A01AFD" w:rsidRPr="00541ACF">
        <w:rPr>
          <w:sz w:val="26"/>
          <w:szCs w:val="26"/>
        </w:rPr>
        <w:t>2020</w:t>
      </w:r>
      <w:r w:rsidR="00EA24CD" w:rsidRPr="00541ACF">
        <w:rPr>
          <w:sz w:val="26"/>
          <w:szCs w:val="26"/>
        </w:rPr>
        <w:noBreakHyphen/>
      </w:r>
      <w:r w:rsidR="00A01AFD" w:rsidRPr="00541ACF">
        <w:rPr>
          <w:sz w:val="26"/>
          <w:szCs w:val="26"/>
        </w:rPr>
        <w:t>3017284</w:t>
      </w:r>
      <w:r w:rsidR="002B0395" w:rsidRPr="00541ACF">
        <w:rPr>
          <w:sz w:val="26"/>
          <w:szCs w:val="26"/>
        </w:rPr>
        <w:t xml:space="preserve"> within 45 days of </w:t>
      </w:r>
      <w:r w:rsidR="00F54987" w:rsidRPr="00541ACF">
        <w:rPr>
          <w:sz w:val="26"/>
          <w:szCs w:val="26"/>
        </w:rPr>
        <w:t>publication</w:t>
      </w:r>
      <w:r w:rsidR="002B0395" w:rsidRPr="00541ACF">
        <w:rPr>
          <w:sz w:val="26"/>
          <w:szCs w:val="26"/>
        </w:rPr>
        <w:t xml:space="preserve"> in the </w:t>
      </w:r>
      <w:r w:rsidR="002B0395" w:rsidRPr="00541ACF">
        <w:rPr>
          <w:i/>
          <w:sz w:val="26"/>
          <w:szCs w:val="26"/>
        </w:rPr>
        <w:t>Pennsylvania Bulletin</w:t>
      </w:r>
      <w:r w:rsidR="007F17E4" w:rsidRPr="00541ACF">
        <w:rPr>
          <w:sz w:val="26"/>
          <w:szCs w:val="26"/>
        </w:rPr>
        <w:t xml:space="preserve">.  </w:t>
      </w:r>
      <w:r w:rsidR="00CA7C4E" w:rsidRPr="00541ACF">
        <w:rPr>
          <w:sz w:val="26"/>
          <w:szCs w:val="26"/>
        </w:rPr>
        <w:t xml:space="preserve">Comments </w:t>
      </w:r>
      <w:r w:rsidR="00CA7C4E" w:rsidRPr="00C369EF">
        <w:rPr>
          <w:color w:val="000000"/>
          <w:sz w:val="26"/>
          <w:szCs w:val="26"/>
        </w:rPr>
        <w:t>should be eFiled through the Commission’s eFiling System per the Commission’s Emergency Order dated March 20, 2020, at Docket No. M</w:t>
      </w:r>
      <w:r w:rsidR="006837C3" w:rsidRPr="00C369EF">
        <w:rPr>
          <w:color w:val="000000"/>
          <w:sz w:val="26"/>
          <w:szCs w:val="26"/>
        </w:rPr>
        <w:noBreakHyphen/>
      </w:r>
      <w:r w:rsidR="00CA7C4E" w:rsidRPr="00C369EF">
        <w:rPr>
          <w:color w:val="000000"/>
          <w:sz w:val="26"/>
          <w:szCs w:val="26"/>
        </w:rPr>
        <w:t>2020</w:t>
      </w:r>
      <w:r w:rsidR="006837C3" w:rsidRPr="00C369EF">
        <w:rPr>
          <w:color w:val="000000"/>
          <w:sz w:val="26"/>
          <w:szCs w:val="26"/>
        </w:rPr>
        <w:noBreakHyphen/>
      </w:r>
      <w:r w:rsidR="00CA7C4E" w:rsidRPr="00C369EF">
        <w:rPr>
          <w:color w:val="000000"/>
          <w:sz w:val="26"/>
          <w:szCs w:val="26"/>
        </w:rPr>
        <w:t xml:space="preserve">3019262. </w:t>
      </w:r>
      <w:r w:rsidR="006837C3" w:rsidRPr="00C369EF">
        <w:rPr>
          <w:color w:val="000000"/>
          <w:sz w:val="26"/>
          <w:szCs w:val="26"/>
        </w:rPr>
        <w:t xml:space="preserve"> </w:t>
      </w:r>
      <w:r w:rsidR="00CA7C4E" w:rsidRPr="00C369EF">
        <w:rPr>
          <w:color w:val="000000"/>
          <w:sz w:val="26"/>
          <w:szCs w:val="26"/>
        </w:rPr>
        <w:t>You may set up a free eFiling account with the Commission at https://efiling.puc.pa.gov/ if you do not have one</w:t>
      </w:r>
      <w:r w:rsidR="00804200" w:rsidRPr="00C369EF">
        <w:rPr>
          <w:color w:val="000000"/>
          <w:sz w:val="26"/>
          <w:szCs w:val="26"/>
        </w:rPr>
        <w:t xml:space="preserve">.  </w:t>
      </w:r>
      <w:r w:rsidR="002B0395" w:rsidRPr="00541ACF">
        <w:rPr>
          <w:sz w:val="26"/>
          <w:szCs w:val="26"/>
        </w:rPr>
        <w:t>Filing instructions may be found on the Commission’s website at</w:t>
      </w:r>
      <w:r w:rsidR="00E4704E" w:rsidRPr="00541ACF">
        <w:rPr>
          <w:sz w:val="26"/>
          <w:szCs w:val="26"/>
        </w:rPr>
        <w:t xml:space="preserve"> </w:t>
      </w:r>
      <w:hyperlink r:id="rId12" w:history="1">
        <w:r w:rsidR="00D96F39" w:rsidRPr="00541ACF">
          <w:rPr>
            <w:rStyle w:val="Hyperlink"/>
            <w:sz w:val="26"/>
            <w:szCs w:val="26"/>
          </w:rPr>
          <w:t>http://www.puc.pa.gov/filing_resources.aspx</w:t>
        </w:r>
      </w:hyperlink>
      <w:r w:rsidR="00D96F39" w:rsidRPr="00541ACF">
        <w:rPr>
          <w:sz w:val="26"/>
          <w:szCs w:val="26"/>
        </w:rPr>
        <w:t>.</w:t>
      </w:r>
      <w:r w:rsidR="00E4704E" w:rsidRPr="00541ACF">
        <w:rPr>
          <w:sz w:val="26"/>
          <w:szCs w:val="26"/>
        </w:rPr>
        <w:t xml:space="preserve">  </w:t>
      </w:r>
      <w:r w:rsidR="00E4704E" w:rsidRPr="00C369EF">
        <w:rPr>
          <w:color w:val="000000"/>
          <w:sz w:val="26"/>
          <w:szCs w:val="26"/>
        </w:rPr>
        <w:t xml:space="preserve">Comments containing confidential information should be emailed to Commission Secretary Rosemary Chiavetta at </w:t>
      </w:r>
      <w:hyperlink r:id="rId13" w:history="1">
        <w:r w:rsidR="008938A4" w:rsidRPr="00C369EF">
          <w:rPr>
            <w:rStyle w:val="Hyperlink"/>
            <w:sz w:val="26"/>
            <w:szCs w:val="26"/>
          </w:rPr>
          <w:t>rchiavetta@pa.gov</w:t>
        </w:r>
      </w:hyperlink>
      <w:r w:rsidR="008938A4" w:rsidRPr="00C369EF">
        <w:rPr>
          <w:color w:val="000000"/>
          <w:sz w:val="26"/>
          <w:szCs w:val="26"/>
        </w:rPr>
        <w:t xml:space="preserve"> </w:t>
      </w:r>
      <w:r w:rsidR="00DB3D6F" w:rsidRPr="00C369EF">
        <w:rPr>
          <w:color w:val="000000"/>
          <w:sz w:val="26"/>
          <w:szCs w:val="26"/>
        </w:rPr>
        <w:t>rather than eFiled</w:t>
      </w:r>
      <w:r w:rsidR="00E4704E" w:rsidRPr="00C369EF">
        <w:rPr>
          <w:color w:val="000000"/>
          <w:sz w:val="26"/>
          <w:szCs w:val="26"/>
        </w:rPr>
        <w:t xml:space="preserve">.  </w:t>
      </w:r>
    </w:p>
    <w:p w14:paraId="59DACC61" w14:textId="77777777" w:rsidR="00BB018A" w:rsidRPr="00160E8F" w:rsidRDefault="00BB018A" w:rsidP="000E1912">
      <w:pPr>
        <w:spacing w:line="360" w:lineRule="auto"/>
        <w:ind w:firstLine="720"/>
        <w:rPr>
          <w:sz w:val="26"/>
          <w:szCs w:val="26"/>
        </w:rPr>
      </w:pPr>
    </w:p>
    <w:p w14:paraId="09433B64" w14:textId="2A5C1E8A" w:rsidR="00EB73DE" w:rsidRPr="00EB73DE" w:rsidRDefault="005F7AFC" w:rsidP="00EB73DE">
      <w:pPr>
        <w:spacing w:line="360" w:lineRule="auto"/>
        <w:ind w:right="288" w:firstLine="720"/>
        <w:rPr>
          <w:sz w:val="26"/>
          <w:szCs w:val="26"/>
        </w:rPr>
      </w:pPr>
      <w:r>
        <w:rPr>
          <w:sz w:val="26"/>
          <w:szCs w:val="26"/>
        </w:rPr>
        <w:t>6</w:t>
      </w:r>
      <w:r w:rsidR="006D1CF4" w:rsidRPr="00160E8F">
        <w:rPr>
          <w:sz w:val="26"/>
          <w:szCs w:val="26"/>
        </w:rPr>
        <w:t>.</w:t>
      </w:r>
      <w:r w:rsidR="000A2553" w:rsidRPr="00160E8F">
        <w:rPr>
          <w:sz w:val="26"/>
          <w:szCs w:val="26"/>
        </w:rPr>
        <w:tab/>
      </w:r>
      <w:r w:rsidR="00350C0E">
        <w:rPr>
          <w:sz w:val="26"/>
          <w:szCs w:val="26"/>
        </w:rPr>
        <w:t xml:space="preserve">That the Secretary shall post and make available electronically the Order and Annex A on the Commission’s website.  A copy may also be obtained by calling the Secretary’s Bureau at </w:t>
      </w:r>
      <w:r w:rsidR="00BB4301">
        <w:rPr>
          <w:sz w:val="26"/>
          <w:szCs w:val="26"/>
        </w:rPr>
        <w:t>717-</w:t>
      </w:r>
      <w:r w:rsidR="00350C0E">
        <w:rPr>
          <w:sz w:val="26"/>
          <w:szCs w:val="26"/>
        </w:rPr>
        <w:t xml:space="preserve">772-7777 or the Law Bureau at </w:t>
      </w:r>
      <w:r w:rsidR="00BB4301">
        <w:rPr>
          <w:sz w:val="26"/>
          <w:szCs w:val="26"/>
        </w:rPr>
        <w:t>717-</w:t>
      </w:r>
      <w:r w:rsidR="00350C0E">
        <w:rPr>
          <w:sz w:val="26"/>
          <w:szCs w:val="26"/>
        </w:rPr>
        <w:t>787-5000</w:t>
      </w:r>
      <w:r w:rsidR="00571F06">
        <w:rPr>
          <w:sz w:val="26"/>
          <w:szCs w:val="26"/>
        </w:rPr>
        <w:t>.</w:t>
      </w:r>
    </w:p>
    <w:p w14:paraId="0A28E28C" w14:textId="77777777" w:rsidR="00F90A88" w:rsidRDefault="00F90A88" w:rsidP="008F72FB">
      <w:pPr>
        <w:spacing w:line="360" w:lineRule="auto"/>
        <w:ind w:right="288" w:firstLine="720"/>
        <w:rPr>
          <w:sz w:val="26"/>
          <w:szCs w:val="26"/>
        </w:rPr>
      </w:pPr>
    </w:p>
    <w:p w14:paraId="3DAA3694" w14:textId="12E7490B" w:rsidR="00F90A88" w:rsidRDefault="005F7AFC" w:rsidP="008F72FB">
      <w:pPr>
        <w:spacing w:line="360" w:lineRule="auto"/>
        <w:ind w:right="288" w:firstLine="720"/>
        <w:rPr>
          <w:sz w:val="26"/>
          <w:szCs w:val="26"/>
        </w:rPr>
      </w:pPr>
      <w:r>
        <w:rPr>
          <w:sz w:val="26"/>
          <w:szCs w:val="26"/>
        </w:rPr>
        <w:t>7</w:t>
      </w:r>
      <w:r w:rsidR="00F90A88">
        <w:rPr>
          <w:sz w:val="26"/>
          <w:szCs w:val="26"/>
        </w:rPr>
        <w:t>.</w:t>
      </w:r>
      <w:r w:rsidR="00F90A88">
        <w:rPr>
          <w:sz w:val="26"/>
          <w:szCs w:val="26"/>
        </w:rPr>
        <w:tab/>
        <w:t xml:space="preserve">That the Secretary shall serve </w:t>
      </w:r>
      <w:r w:rsidR="0092231C">
        <w:rPr>
          <w:sz w:val="26"/>
          <w:szCs w:val="26"/>
        </w:rPr>
        <w:t xml:space="preserve">an electronic copy of </w:t>
      </w:r>
      <w:r w:rsidR="00954F5E">
        <w:rPr>
          <w:sz w:val="26"/>
          <w:szCs w:val="26"/>
        </w:rPr>
        <w:t xml:space="preserve">the </w:t>
      </w:r>
      <w:r w:rsidR="006D1F97">
        <w:rPr>
          <w:sz w:val="26"/>
          <w:szCs w:val="26"/>
        </w:rPr>
        <w:t>Order and Annex</w:t>
      </w:r>
      <w:r w:rsidR="00473645">
        <w:rPr>
          <w:sz w:val="26"/>
          <w:szCs w:val="26"/>
        </w:rPr>
        <w:t> </w:t>
      </w:r>
      <w:r w:rsidR="006D1F97">
        <w:rPr>
          <w:sz w:val="26"/>
          <w:szCs w:val="26"/>
        </w:rPr>
        <w:t xml:space="preserve">A on </w:t>
      </w:r>
      <w:r w:rsidR="00E01D8D">
        <w:rPr>
          <w:sz w:val="26"/>
          <w:szCs w:val="26"/>
        </w:rPr>
        <w:t xml:space="preserve">all major jurisdictional utilities </w:t>
      </w:r>
      <w:r w:rsidR="0017291A">
        <w:rPr>
          <w:sz w:val="26"/>
          <w:szCs w:val="26"/>
        </w:rPr>
        <w:t>in the Commonwealth</w:t>
      </w:r>
      <w:r w:rsidR="00D73E05">
        <w:rPr>
          <w:sz w:val="26"/>
          <w:szCs w:val="26"/>
        </w:rPr>
        <w:t xml:space="preserve"> as well as the parties </w:t>
      </w:r>
      <w:r w:rsidR="00E51665">
        <w:rPr>
          <w:sz w:val="26"/>
          <w:szCs w:val="26"/>
        </w:rPr>
        <w:t xml:space="preserve">served </w:t>
      </w:r>
      <w:r w:rsidR="00FF6657">
        <w:rPr>
          <w:sz w:val="26"/>
          <w:szCs w:val="26"/>
        </w:rPr>
        <w:t>at</w:t>
      </w:r>
      <w:r w:rsidR="00D73E05">
        <w:rPr>
          <w:sz w:val="26"/>
          <w:szCs w:val="26"/>
        </w:rPr>
        <w:t xml:space="preserve"> </w:t>
      </w:r>
      <w:r w:rsidR="00DA2E87">
        <w:rPr>
          <w:sz w:val="26"/>
          <w:szCs w:val="26"/>
        </w:rPr>
        <w:t xml:space="preserve">the </w:t>
      </w:r>
      <w:r w:rsidR="00A83575" w:rsidRPr="00D07120">
        <w:rPr>
          <w:i/>
          <w:sz w:val="26"/>
          <w:szCs w:val="26"/>
        </w:rPr>
        <w:t>Amended Policy Statement on Diversity at Major Jurisdictional Utility Companies</w:t>
      </w:r>
      <w:r w:rsidR="008676C7">
        <w:rPr>
          <w:sz w:val="26"/>
          <w:szCs w:val="26"/>
        </w:rPr>
        <w:t>, Docket No</w:t>
      </w:r>
      <w:r w:rsidR="00D07120">
        <w:rPr>
          <w:sz w:val="26"/>
          <w:szCs w:val="26"/>
        </w:rPr>
        <w:t>.</w:t>
      </w:r>
      <w:r w:rsidR="008676C7">
        <w:rPr>
          <w:sz w:val="26"/>
          <w:szCs w:val="26"/>
        </w:rPr>
        <w:t xml:space="preserve"> </w:t>
      </w:r>
      <w:r w:rsidR="00622C4C">
        <w:rPr>
          <w:sz w:val="26"/>
          <w:szCs w:val="26"/>
        </w:rPr>
        <w:t>M-20</w:t>
      </w:r>
      <w:r w:rsidR="006960D4">
        <w:rPr>
          <w:sz w:val="26"/>
          <w:szCs w:val="26"/>
        </w:rPr>
        <w:t>20-301</w:t>
      </w:r>
      <w:r w:rsidR="007C0505">
        <w:rPr>
          <w:sz w:val="26"/>
          <w:szCs w:val="26"/>
        </w:rPr>
        <w:t>8089</w:t>
      </w:r>
      <w:r w:rsidR="00A529E4">
        <w:rPr>
          <w:sz w:val="26"/>
          <w:szCs w:val="26"/>
        </w:rPr>
        <w:t xml:space="preserve"> (Dec. 3, 2020)</w:t>
      </w:r>
      <w:r w:rsidR="0017291A">
        <w:rPr>
          <w:sz w:val="26"/>
          <w:szCs w:val="26"/>
        </w:rPr>
        <w:t>.</w:t>
      </w:r>
    </w:p>
    <w:p w14:paraId="7478B129" w14:textId="553175FE" w:rsidR="003D3B0C" w:rsidRDefault="003D3B0C" w:rsidP="008F72FB">
      <w:pPr>
        <w:spacing w:line="360" w:lineRule="auto"/>
        <w:ind w:right="288" w:firstLine="720"/>
        <w:rPr>
          <w:sz w:val="26"/>
          <w:szCs w:val="26"/>
        </w:rPr>
      </w:pPr>
    </w:p>
    <w:p w14:paraId="6B0FD8BC" w14:textId="77777777" w:rsidR="005F7AFC" w:rsidRDefault="005F7AFC" w:rsidP="0021234F">
      <w:pPr>
        <w:keepNext/>
        <w:spacing w:line="360" w:lineRule="auto"/>
        <w:ind w:right="288" w:firstLine="720"/>
        <w:rPr>
          <w:sz w:val="26"/>
          <w:szCs w:val="26"/>
        </w:rPr>
      </w:pPr>
      <w:r>
        <w:rPr>
          <w:sz w:val="26"/>
          <w:szCs w:val="26"/>
        </w:rPr>
        <w:lastRenderedPageBreak/>
        <w:t>8</w:t>
      </w:r>
      <w:r w:rsidR="003D3B0C">
        <w:rPr>
          <w:sz w:val="26"/>
          <w:szCs w:val="26"/>
        </w:rPr>
        <w:t>.</w:t>
      </w:r>
      <w:r w:rsidR="003D3B0C">
        <w:rPr>
          <w:sz w:val="26"/>
          <w:szCs w:val="26"/>
        </w:rPr>
        <w:tab/>
        <w:t xml:space="preserve">The contact persons for this matter are Joseph P. Cardinale, Jr., Assistant Counsel, Law Bureau </w:t>
      </w:r>
      <w:r w:rsidR="00BB4301">
        <w:rPr>
          <w:sz w:val="26"/>
          <w:szCs w:val="26"/>
        </w:rPr>
        <w:t>717-</w:t>
      </w:r>
      <w:r w:rsidR="003D3B0C">
        <w:rPr>
          <w:sz w:val="26"/>
          <w:szCs w:val="26"/>
        </w:rPr>
        <w:t xml:space="preserve">787-5558, </w:t>
      </w:r>
      <w:hyperlink r:id="rId14" w:history="1">
        <w:r w:rsidR="003D3B0C" w:rsidRPr="00103ED5">
          <w:rPr>
            <w:rStyle w:val="Hyperlink"/>
            <w:sz w:val="26"/>
            <w:szCs w:val="26"/>
          </w:rPr>
          <w:t>jcardinale@pa.gov</w:t>
        </w:r>
      </w:hyperlink>
      <w:r w:rsidR="003D3B0C">
        <w:rPr>
          <w:sz w:val="26"/>
          <w:szCs w:val="26"/>
        </w:rPr>
        <w:t xml:space="preserve">; and Rhonda L. </w:t>
      </w:r>
      <w:r w:rsidR="006169BE">
        <w:rPr>
          <w:sz w:val="26"/>
          <w:szCs w:val="26"/>
        </w:rPr>
        <w:t>D</w:t>
      </w:r>
      <w:r w:rsidR="003D3B0C">
        <w:rPr>
          <w:sz w:val="26"/>
          <w:szCs w:val="26"/>
        </w:rPr>
        <w:t xml:space="preserve">aviston, </w:t>
      </w:r>
    </w:p>
    <w:p w14:paraId="6588741A" w14:textId="284E9DFE" w:rsidR="003D3B0C" w:rsidRDefault="003D3B0C" w:rsidP="005F7AFC">
      <w:pPr>
        <w:keepNext/>
        <w:spacing w:line="360" w:lineRule="auto"/>
        <w:ind w:right="288"/>
        <w:rPr>
          <w:sz w:val="26"/>
          <w:szCs w:val="26"/>
        </w:rPr>
      </w:pPr>
      <w:r>
        <w:rPr>
          <w:sz w:val="26"/>
          <w:szCs w:val="26"/>
        </w:rPr>
        <w:t xml:space="preserve">Assistant Counsel, Law Bureau, </w:t>
      </w:r>
      <w:r w:rsidR="00BB4301">
        <w:rPr>
          <w:sz w:val="26"/>
          <w:szCs w:val="26"/>
        </w:rPr>
        <w:t>717-</w:t>
      </w:r>
      <w:r>
        <w:rPr>
          <w:sz w:val="26"/>
          <w:szCs w:val="26"/>
        </w:rPr>
        <w:t xml:space="preserve">787-6166, </w:t>
      </w:r>
      <w:hyperlink r:id="rId15" w:history="1">
        <w:r w:rsidRPr="00103ED5">
          <w:rPr>
            <w:rStyle w:val="Hyperlink"/>
            <w:sz w:val="26"/>
            <w:szCs w:val="26"/>
          </w:rPr>
          <w:t>rdaviston@pa.gov</w:t>
        </w:r>
      </w:hyperlink>
      <w:r>
        <w:rPr>
          <w:sz w:val="26"/>
          <w:szCs w:val="26"/>
        </w:rPr>
        <w:t>.  Alternate formats of this document are available to person</w:t>
      </w:r>
      <w:r w:rsidR="00F53AE5">
        <w:rPr>
          <w:sz w:val="26"/>
          <w:szCs w:val="26"/>
        </w:rPr>
        <w:t>s</w:t>
      </w:r>
      <w:r>
        <w:rPr>
          <w:sz w:val="26"/>
          <w:szCs w:val="26"/>
        </w:rPr>
        <w:t xml:space="preserve"> with disabilities and may be obtained by contacting </w:t>
      </w:r>
      <w:r w:rsidR="00B937A5">
        <w:rPr>
          <w:sz w:val="26"/>
          <w:szCs w:val="26"/>
        </w:rPr>
        <w:t xml:space="preserve">the Law Bureau at </w:t>
      </w:r>
      <w:r w:rsidR="00BB4301">
        <w:rPr>
          <w:sz w:val="26"/>
          <w:szCs w:val="26"/>
        </w:rPr>
        <w:t>717-</w:t>
      </w:r>
      <w:r w:rsidR="00F53AE5" w:rsidRPr="00F53AE5">
        <w:rPr>
          <w:sz w:val="26"/>
          <w:szCs w:val="26"/>
        </w:rPr>
        <w:t>787-</w:t>
      </w:r>
      <w:r w:rsidR="00B937A5">
        <w:rPr>
          <w:sz w:val="26"/>
          <w:szCs w:val="26"/>
        </w:rPr>
        <w:t>5000.</w:t>
      </w:r>
      <w:r w:rsidR="00BE63EE">
        <w:rPr>
          <w:sz w:val="26"/>
          <w:szCs w:val="26"/>
        </w:rPr>
        <w:t xml:space="preserve"> </w:t>
      </w:r>
    </w:p>
    <w:p w14:paraId="0BAD723D" w14:textId="0F648344" w:rsidR="000E1912" w:rsidRPr="00160E8F" w:rsidRDefault="000E1912" w:rsidP="0021234F">
      <w:pPr>
        <w:keepNext/>
        <w:spacing w:line="360" w:lineRule="auto"/>
        <w:ind w:firstLine="720"/>
        <w:rPr>
          <w:b/>
          <w:sz w:val="26"/>
          <w:szCs w:val="26"/>
        </w:rPr>
      </w:pPr>
    </w:p>
    <w:p w14:paraId="18045844" w14:textId="1E0C7D94" w:rsidR="007E1866" w:rsidRPr="00160E8F" w:rsidRDefault="00B61281" w:rsidP="0021234F">
      <w:pPr>
        <w:keepNext/>
        <w:ind w:left="5040"/>
        <w:rPr>
          <w:sz w:val="26"/>
          <w:szCs w:val="26"/>
        </w:rPr>
      </w:pPr>
      <w:r>
        <w:rPr>
          <w:noProof/>
        </w:rPr>
        <w:drawing>
          <wp:anchor distT="0" distB="0" distL="114300" distR="114300" simplePos="0" relativeHeight="251659264" behindDoc="1" locked="0" layoutInCell="1" allowOverlap="1" wp14:anchorId="508EB145" wp14:editId="0E7D6DE9">
            <wp:simplePos x="0" y="0"/>
            <wp:positionH relativeFrom="column">
              <wp:posOffset>3244132</wp:posOffset>
            </wp:positionH>
            <wp:positionV relativeFrom="paragraph">
              <wp:posOffset>104499</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1866" w:rsidRPr="00160E8F">
        <w:rPr>
          <w:b/>
          <w:sz w:val="26"/>
          <w:szCs w:val="26"/>
        </w:rPr>
        <w:t>BY THE COMMISSION</w:t>
      </w:r>
      <w:r w:rsidR="007E1866" w:rsidRPr="00160E8F">
        <w:rPr>
          <w:sz w:val="26"/>
          <w:szCs w:val="26"/>
        </w:rPr>
        <w:t>,</w:t>
      </w:r>
    </w:p>
    <w:p w14:paraId="79BAF4D4" w14:textId="77777777" w:rsidR="007E1866" w:rsidRPr="00160E8F" w:rsidRDefault="007E1866" w:rsidP="0021234F">
      <w:pPr>
        <w:keepNext/>
        <w:jc w:val="center"/>
        <w:rPr>
          <w:sz w:val="26"/>
          <w:szCs w:val="26"/>
        </w:rPr>
      </w:pPr>
    </w:p>
    <w:p w14:paraId="144F57D6" w14:textId="77777777" w:rsidR="007E1866" w:rsidRDefault="007E1866" w:rsidP="0021234F">
      <w:pPr>
        <w:keepNext/>
        <w:jc w:val="center"/>
        <w:rPr>
          <w:sz w:val="26"/>
          <w:szCs w:val="26"/>
        </w:rPr>
      </w:pPr>
    </w:p>
    <w:p w14:paraId="42E97918" w14:textId="77777777" w:rsidR="005802AD" w:rsidRPr="00160E8F" w:rsidRDefault="005802AD" w:rsidP="0021234F">
      <w:pPr>
        <w:keepNext/>
        <w:jc w:val="center"/>
        <w:rPr>
          <w:sz w:val="26"/>
          <w:szCs w:val="26"/>
        </w:rPr>
      </w:pPr>
    </w:p>
    <w:p w14:paraId="11D76B15" w14:textId="52F2B114" w:rsidR="007E1866" w:rsidRPr="00160E8F" w:rsidRDefault="005566CE" w:rsidP="0021234F">
      <w:pPr>
        <w:keepNext/>
        <w:ind w:left="5040"/>
        <w:rPr>
          <w:sz w:val="26"/>
          <w:szCs w:val="26"/>
        </w:rPr>
      </w:pPr>
      <w:r w:rsidRPr="00160E8F">
        <w:rPr>
          <w:sz w:val="26"/>
          <w:szCs w:val="26"/>
        </w:rPr>
        <w:t>Rosemary Chiavetta</w:t>
      </w:r>
      <w:r w:rsidR="007E1866" w:rsidRPr="00160E8F">
        <w:rPr>
          <w:sz w:val="26"/>
          <w:szCs w:val="26"/>
        </w:rPr>
        <w:t>,</w:t>
      </w:r>
    </w:p>
    <w:p w14:paraId="1033C48C" w14:textId="44C81F1B" w:rsidR="0018219E" w:rsidRPr="00160E8F" w:rsidRDefault="007E1866" w:rsidP="0021234F">
      <w:pPr>
        <w:keepNext/>
        <w:ind w:left="5040"/>
        <w:rPr>
          <w:sz w:val="26"/>
          <w:szCs w:val="26"/>
        </w:rPr>
      </w:pPr>
      <w:r w:rsidRPr="00160E8F">
        <w:rPr>
          <w:sz w:val="26"/>
          <w:szCs w:val="26"/>
        </w:rPr>
        <w:t>Secretary</w:t>
      </w:r>
    </w:p>
    <w:p w14:paraId="2D07E004" w14:textId="67D9A1AC" w:rsidR="007E2E41" w:rsidRPr="00160E8F" w:rsidRDefault="007E2E41" w:rsidP="0021234F">
      <w:pPr>
        <w:keepNext/>
        <w:rPr>
          <w:sz w:val="26"/>
          <w:szCs w:val="26"/>
        </w:rPr>
      </w:pPr>
    </w:p>
    <w:p w14:paraId="2229B2ED" w14:textId="77777777" w:rsidR="005802AD" w:rsidRDefault="005802AD" w:rsidP="0021234F">
      <w:pPr>
        <w:keepNext/>
        <w:rPr>
          <w:sz w:val="26"/>
          <w:szCs w:val="26"/>
        </w:rPr>
      </w:pPr>
    </w:p>
    <w:p w14:paraId="34C1EDCA" w14:textId="77777777" w:rsidR="00B71F65" w:rsidRDefault="00217763" w:rsidP="0021234F">
      <w:pPr>
        <w:keepNext/>
        <w:rPr>
          <w:sz w:val="26"/>
          <w:szCs w:val="26"/>
        </w:rPr>
      </w:pPr>
      <w:r w:rsidRPr="00160E8F">
        <w:rPr>
          <w:sz w:val="26"/>
          <w:szCs w:val="26"/>
        </w:rPr>
        <w:t>(SEAL)</w:t>
      </w:r>
    </w:p>
    <w:p w14:paraId="0ECC20FF" w14:textId="77777777" w:rsidR="005802AD" w:rsidRPr="00160E8F" w:rsidRDefault="005802AD" w:rsidP="0021234F">
      <w:pPr>
        <w:keepNext/>
        <w:rPr>
          <w:sz w:val="26"/>
          <w:szCs w:val="26"/>
        </w:rPr>
      </w:pPr>
    </w:p>
    <w:p w14:paraId="481A9C78" w14:textId="56FB634A" w:rsidR="007E1866" w:rsidRDefault="007E1866" w:rsidP="0021234F">
      <w:pPr>
        <w:keepNext/>
        <w:rPr>
          <w:sz w:val="26"/>
          <w:szCs w:val="26"/>
        </w:rPr>
      </w:pPr>
      <w:r w:rsidRPr="00160E8F">
        <w:rPr>
          <w:sz w:val="26"/>
          <w:szCs w:val="26"/>
        </w:rPr>
        <w:t>ORDER ADOPTED:</w:t>
      </w:r>
      <w:r w:rsidR="00182F8A" w:rsidRPr="00160E8F">
        <w:rPr>
          <w:sz w:val="26"/>
          <w:szCs w:val="26"/>
        </w:rPr>
        <w:t xml:space="preserve">  </w:t>
      </w:r>
      <w:r w:rsidR="004B50D9">
        <w:rPr>
          <w:sz w:val="26"/>
          <w:szCs w:val="26"/>
        </w:rPr>
        <w:t>December 17, 2020</w:t>
      </w:r>
    </w:p>
    <w:p w14:paraId="3FF18C86" w14:textId="77777777" w:rsidR="005802AD" w:rsidRPr="00160E8F" w:rsidRDefault="005802AD" w:rsidP="0021234F">
      <w:pPr>
        <w:keepNext/>
        <w:rPr>
          <w:sz w:val="26"/>
          <w:szCs w:val="26"/>
        </w:rPr>
      </w:pPr>
    </w:p>
    <w:p w14:paraId="7E3CF2F1" w14:textId="603A613E" w:rsidR="00BE4802" w:rsidRPr="00160E8F" w:rsidRDefault="007E1866" w:rsidP="005802AD">
      <w:pPr>
        <w:rPr>
          <w:sz w:val="26"/>
          <w:szCs w:val="26"/>
        </w:rPr>
        <w:sectPr w:rsidR="00BE4802" w:rsidRPr="00160E8F" w:rsidSect="000D4728">
          <w:footerReference w:type="even" r:id="rId17"/>
          <w:footerReference w:type="default" r:id="rId18"/>
          <w:pgSz w:w="12240" w:h="15840" w:code="1"/>
          <w:pgMar w:top="1440" w:right="1440" w:bottom="1440" w:left="1440" w:header="720" w:footer="720" w:gutter="0"/>
          <w:pgNumType w:start="1"/>
          <w:cols w:space="720"/>
          <w:titlePg/>
          <w:docGrid w:linePitch="360"/>
        </w:sectPr>
      </w:pPr>
      <w:r w:rsidRPr="00160E8F">
        <w:rPr>
          <w:sz w:val="26"/>
          <w:szCs w:val="26"/>
        </w:rPr>
        <w:t>ORDER ENTERED:</w:t>
      </w:r>
      <w:r w:rsidR="005F5E73" w:rsidRPr="00160E8F">
        <w:rPr>
          <w:sz w:val="26"/>
          <w:szCs w:val="26"/>
        </w:rPr>
        <w:t xml:space="preserve"> </w:t>
      </w:r>
      <w:r w:rsidR="006A16FB" w:rsidRPr="00160E8F">
        <w:rPr>
          <w:sz w:val="26"/>
          <w:szCs w:val="26"/>
        </w:rPr>
        <w:t xml:space="preserve"> </w:t>
      </w:r>
      <w:r w:rsidR="00B61281">
        <w:rPr>
          <w:sz w:val="26"/>
          <w:szCs w:val="26"/>
        </w:rPr>
        <w:t>December 17, 2020</w:t>
      </w:r>
    </w:p>
    <w:p w14:paraId="55D07AD7" w14:textId="239B3191" w:rsidR="00211745" w:rsidRDefault="00211745" w:rsidP="00211745">
      <w:pPr>
        <w:rPr>
          <w:sz w:val="26"/>
          <w:szCs w:val="26"/>
        </w:rPr>
      </w:pPr>
    </w:p>
    <w:p w14:paraId="3A056E96" w14:textId="77777777" w:rsidR="00211745" w:rsidRDefault="00211745" w:rsidP="00211745">
      <w:pPr>
        <w:rPr>
          <w:sz w:val="26"/>
          <w:szCs w:val="26"/>
        </w:rPr>
      </w:pPr>
    </w:p>
    <w:p w14:paraId="7D703A38" w14:textId="77777777" w:rsidR="00211745" w:rsidRDefault="00211745" w:rsidP="00211745">
      <w:pPr>
        <w:rPr>
          <w:sz w:val="26"/>
          <w:szCs w:val="26"/>
        </w:rPr>
      </w:pPr>
    </w:p>
    <w:p w14:paraId="55766C5B" w14:textId="77777777" w:rsidR="00211745" w:rsidRPr="002F0124" w:rsidRDefault="00211745" w:rsidP="00211745">
      <w:pPr>
        <w:jc w:val="center"/>
        <w:rPr>
          <w:b/>
          <w:bCs/>
          <w:sz w:val="28"/>
          <w:szCs w:val="28"/>
        </w:rPr>
      </w:pPr>
      <w:r w:rsidRPr="002F0124">
        <w:rPr>
          <w:b/>
          <w:bCs/>
          <w:sz w:val="28"/>
          <w:szCs w:val="28"/>
        </w:rPr>
        <w:t>Appendix A</w:t>
      </w:r>
    </w:p>
    <w:p w14:paraId="3B27BC32" w14:textId="77777777" w:rsidR="00211745" w:rsidRDefault="00211745" w:rsidP="00211745">
      <w:pPr>
        <w:jc w:val="center"/>
        <w:rPr>
          <w:rFonts w:asciiTheme="minorHAnsi" w:hAnsiTheme="minorHAnsi" w:cstheme="minorBidi"/>
        </w:rPr>
      </w:pPr>
    </w:p>
    <w:p w14:paraId="391DE8C1" w14:textId="06A9E48D" w:rsidR="00D633AA" w:rsidRDefault="00211745" w:rsidP="00211745">
      <w:pPr>
        <w:jc w:val="center"/>
        <w:rPr>
          <w:b/>
          <w:sz w:val="36"/>
          <w:szCs w:val="36"/>
          <w:u w:val="single"/>
        </w:rPr>
      </w:pPr>
      <w:r w:rsidRPr="002A3D24">
        <w:rPr>
          <w:b/>
          <w:sz w:val="36"/>
          <w:szCs w:val="36"/>
          <w:u w:val="single"/>
        </w:rPr>
        <w:t>Demographic Composition of Workforce</w:t>
      </w:r>
    </w:p>
    <w:p w14:paraId="194052E2" w14:textId="77777777" w:rsidR="0008354B" w:rsidRDefault="0008354B" w:rsidP="00211745">
      <w:pPr>
        <w:jc w:val="center"/>
        <w:rPr>
          <w:b/>
          <w:sz w:val="36"/>
          <w:szCs w:val="36"/>
          <w:u w:val="single"/>
        </w:rPr>
      </w:pPr>
    </w:p>
    <w:p w14:paraId="62C64CA0" w14:textId="77777777" w:rsidR="0008354B" w:rsidRDefault="0008354B" w:rsidP="00211745">
      <w:pPr>
        <w:jc w:val="center"/>
        <w:rPr>
          <w:b/>
          <w:sz w:val="36"/>
          <w:szCs w:val="36"/>
          <w:u w:val="single"/>
        </w:rPr>
      </w:pPr>
    </w:p>
    <w:p w14:paraId="7E6B9B88" w14:textId="4E086A52" w:rsidR="00211745" w:rsidRDefault="00D633AA" w:rsidP="00211745">
      <w:pPr>
        <w:jc w:val="center"/>
        <w:rPr>
          <w:b/>
          <w:sz w:val="36"/>
          <w:szCs w:val="36"/>
          <w:u w:val="single"/>
        </w:rPr>
      </w:pPr>
      <w:r>
        <w:rPr>
          <w:b/>
          <w:sz w:val="36"/>
          <w:szCs w:val="36"/>
          <w:u w:val="single"/>
        </w:rPr>
        <w:t>Form to be used by</w:t>
      </w:r>
      <w:r w:rsidR="00211745" w:rsidRPr="002A3D24">
        <w:rPr>
          <w:b/>
          <w:sz w:val="36"/>
          <w:szCs w:val="36"/>
          <w:u w:val="single"/>
        </w:rPr>
        <w:t xml:space="preserve"> </w:t>
      </w:r>
    </w:p>
    <w:p w14:paraId="013ABAA7" w14:textId="73FBFE76" w:rsidR="00211745" w:rsidRPr="002A3D24" w:rsidRDefault="00211745" w:rsidP="00211745">
      <w:pPr>
        <w:jc w:val="center"/>
        <w:rPr>
          <w:b/>
          <w:sz w:val="36"/>
          <w:szCs w:val="36"/>
          <w:u w:val="single"/>
        </w:rPr>
      </w:pPr>
      <w:r w:rsidRPr="002A3D24">
        <w:rPr>
          <w:b/>
          <w:sz w:val="36"/>
          <w:szCs w:val="36"/>
          <w:u w:val="single"/>
        </w:rPr>
        <w:t>Major Jurisdictional Utilities</w:t>
      </w:r>
    </w:p>
    <w:p w14:paraId="2ABF82BD" w14:textId="7E33B365" w:rsidR="009A301A" w:rsidRPr="002A3D24" w:rsidRDefault="009A301A" w:rsidP="00211745">
      <w:pPr>
        <w:jc w:val="center"/>
        <w:rPr>
          <w:b/>
          <w:sz w:val="36"/>
          <w:szCs w:val="36"/>
          <w:u w:val="single"/>
        </w:rPr>
      </w:pPr>
      <w:r>
        <w:rPr>
          <w:b/>
          <w:sz w:val="36"/>
          <w:szCs w:val="36"/>
          <w:u w:val="single"/>
        </w:rPr>
        <w:t>Providing Electric, Natural Gas, Water, Waste</w:t>
      </w:r>
      <w:r w:rsidR="0098417E">
        <w:rPr>
          <w:b/>
          <w:sz w:val="36"/>
          <w:szCs w:val="36"/>
          <w:u w:val="single"/>
        </w:rPr>
        <w:t>water, and Telecommunications Services</w:t>
      </w:r>
    </w:p>
    <w:p w14:paraId="45175117" w14:textId="77777777" w:rsidR="00211745" w:rsidRDefault="00211745" w:rsidP="00211745">
      <w:pPr>
        <w:rPr>
          <w:sz w:val="26"/>
          <w:szCs w:val="26"/>
        </w:rPr>
      </w:pPr>
    </w:p>
    <w:p w14:paraId="33C768D3" w14:textId="77777777" w:rsidR="00C13434" w:rsidRDefault="00C13434" w:rsidP="00211745">
      <w:pPr>
        <w:rPr>
          <w:sz w:val="26"/>
          <w:szCs w:val="26"/>
        </w:rPr>
      </w:pPr>
    </w:p>
    <w:p w14:paraId="08F4B008" w14:textId="77777777" w:rsidR="00C13434" w:rsidRDefault="00C13434" w:rsidP="00211745">
      <w:pPr>
        <w:rPr>
          <w:sz w:val="26"/>
          <w:szCs w:val="26"/>
        </w:rPr>
      </w:pPr>
    </w:p>
    <w:p w14:paraId="7BCAB13F" w14:textId="77777777" w:rsidR="00C13434" w:rsidRDefault="00C13434" w:rsidP="00211745">
      <w:pPr>
        <w:rPr>
          <w:sz w:val="26"/>
          <w:szCs w:val="26"/>
        </w:rPr>
      </w:pPr>
    </w:p>
    <w:p w14:paraId="555450F5" w14:textId="4C25FD78" w:rsidR="00F17900" w:rsidRDefault="001A4C16" w:rsidP="0082408F">
      <w:pPr>
        <w:spacing w:line="360" w:lineRule="auto"/>
        <w:jc w:val="center"/>
        <w:rPr>
          <w:sz w:val="26"/>
          <w:szCs w:val="26"/>
        </w:rPr>
      </w:pPr>
      <w:r>
        <w:rPr>
          <w:sz w:val="26"/>
          <w:szCs w:val="26"/>
        </w:rPr>
        <w:t>This form w</w:t>
      </w:r>
      <w:r w:rsidR="00C13434">
        <w:rPr>
          <w:sz w:val="26"/>
          <w:szCs w:val="26"/>
        </w:rPr>
        <w:t>ould</w:t>
      </w:r>
      <w:r>
        <w:rPr>
          <w:sz w:val="26"/>
          <w:szCs w:val="26"/>
        </w:rPr>
        <w:t xml:space="preserve"> not be codified but w</w:t>
      </w:r>
      <w:r w:rsidR="00C13434">
        <w:rPr>
          <w:sz w:val="26"/>
          <w:szCs w:val="26"/>
        </w:rPr>
        <w:t>ould</w:t>
      </w:r>
      <w:r>
        <w:rPr>
          <w:sz w:val="26"/>
          <w:szCs w:val="26"/>
        </w:rPr>
        <w:t xml:space="preserve"> be made available by the Commission to the major jurisdictional utilities.</w:t>
      </w:r>
    </w:p>
    <w:p w14:paraId="493E08B2" w14:textId="77777777" w:rsidR="00F17900" w:rsidRDefault="00F17900" w:rsidP="0082408F">
      <w:pPr>
        <w:spacing w:line="360" w:lineRule="auto"/>
        <w:jc w:val="center"/>
        <w:rPr>
          <w:sz w:val="26"/>
          <w:szCs w:val="26"/>
        </w:rPr>
      </w:pPr>
    </w:p>
    <w:p w14:paraId="2A8EB095" w14:textId="77777777" w:rsidR="00211745" w:rsidRDefault="00211745" w:rsidP="00211745">
      <w:pPr>
        <w:rPr>
          <w:sz w:val="26"/>
          <w:szCs w:val="26"/>
        </w:rPr>
      </w:pPr>
    </w:p>
    <w:p w14:paraId="3F18FF2C" w14:textId="77777777" w:rsidR="00211745" w:rsidRPr="00160E8F" w:rsidRDefault="00211745" w:rsidP="00211745">
      <w:pPr>
        <w:rPr>
          <w:sz w:val="26"/>
          <w:szCs w:val="26"/>
        </w:rPr>
        <w:sectPr w:rsidR="00211745" w:rsidRPr="00160E8F" w:rsidSect="000D4728">
          <w:pgSz w:w="12240" w:h="15840" w:code="1"/>
          <w:pgMar w:top="1440" w:right="1440" w:bottom="1440" w:left="1440" w:header="720" w:footer="720" w:gutter="0"/>
          <w:pgNumType w:start="1"/>
          <w:cols w:space="720"/>
          <w:titlePg/>
          <w:docGrid w:linePitch="360"/>
        </w:sectPr>
      </w:pPr>
    </w:p>
    <w:tbl>
      <w:tblPr>
        <w:tblStyle w:val="TableGrid"/>
        <w:tblpPr w:leftFromText="187" w:rightFromText="187" w:vertAnchor="page" w:horzAnchor="margin" w:tblpXSpec="center" w:tblpY="1441"/>
        <w:tblW w:w="14063" w:type="dxa"/>
        <w:tblLook w:val="04A0" w:firstRow="1" w:lastRow="0" w:firstColumn="1" w:lastColumn="0" w:noHBand="0" w:noVBand="1"/>
      </w:tblPr>
      <w:tblGrid>
        <w:gridCol w:w="1725"/>
        <w:gridCol w:w="682"/>
        <w:gridCol w:w="881"/>
        <w:gridCol w:w="1058"/>
        <w:gridCol w:w="585"/>
        <w:gridCol w:w="241"/>
        <w:gridCol w:w="1170"/>
        <w:gridCol w:w="764"/>
        <w:gridCol w:w="291"/>
        <w:gridCol w:w="879"/>
        <w:gridCol w:w="1149"/>
        <w:gridCol w:w="747"/>
        <w:gridCol w:w="1305"/>
        <w:gridCol w:w="1568"/>
        <w:gridCol w:w="1018"/>
      </w:tblGrid>
      <w:tr w:rsidR="00402180" w:rsidRPr="006B20F1" w14:paraId="14A92B88" w14:textId="77777777" w:rsidTr="0096245C">
        <w:trPr>
          <w:trHeight w:val="350"/>
        </w:trPr>
        <w:tc>
          <w:tcPr>
            <w:tcW w:w="7397" w:type="dxa"/>
            <w:gridSpan w:val="9"/>
            <w:shd w:val="clear" w:color="auto" w:fill="FFFFFF" w:themeFill="background1"/>
          </w:tcPr>
          <w:p w14:paraId="380BB86C" w14:textId="77777777" w:rsidR="00402180" w:rsidRPr="710402C8" w:rsidRDefault="00402180" w:rsidP="006520A4">
            <w:pPr>
              <w:widowControl w:val="0"/>
              <w:tabs>
                <w:tab w:val="left" w:pos="12012"/>
              </w:tabs>
              <w:jc w:val="center"/>
              <w:rPr>
                <w:rFonts w:asciiTheme="minorHAnsi" w:hAnsiTheme="minorHAnsi" w:cstheme="minorBidi"/>
                <w:b/>
                <w:u w:val="single"/>
              </w:rPr>
            </w:pPr>
            <w:r w:rsidRPr="710402C8">
              <w:rPr>
                <w:rFonts w:asciiTheme="minorHAnsi" w:hAnsiTheme="minorHAnsi" w:cstheme="minorBidi"/>
                <w:b/>
                <w:u w:val="single"/>
              </w:rPr>
              <w:lastRenderedPageBreak/>
              <w:t>Demographics of Utility Workforce</w:t>
            </w:r>
          </w:p>
        </w:tc>
        <w:tc>
          <w:tcPr>
            <w:tcW w:w="6666" w:type="dxa"/>
            <w:gridSpan w:val="6"/>
            <w:shd w:val="clear" w:color="auto" w:fill="FFFFFF" w:themeFill="background1"/>
          </w:tcPr>
          <w:p w14:paraId="3D0219EB" w14:textId="0EB5BD8F" w:rsidR="00402180" w:rsidRPr="006B20F1" w:rsidRDefault="00A657FF" w:rsidP="006520A4">
            <w:pPr>
              <w:widowControl w:val="0"/>
              <w:tabs>
                <w:tab w:val="left" w:pos="12012"/>
              </w:tabs>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52 Pa. Code</w:t>
            </w:r>
            <w:r w:rsidR="00A76FF0">
              <w:rPr>
                <w:rFonts w:asciiTheme="minorHAnsi" w:hAnsiTheme="minorHAnsi" w:cstheme="minorHAnsi"/>
                <w:b/>
                <w:bCs/>
                <w:sz w:val="22"/>
                <w:szCs w:val="22"/>
                <w:u w:val="single"/>
              </w:rPr>
              <w:t xml:space="preserve"> </w:t>
            </w:r>
            <w:r w:rsidR="00A76FF0" w:rsidRPr="00E16905">
              <w:rPr>
                <w:rFonts w:asciiTheme="minorHAnsi" w:hAnsiTheme="minorHAnsi" w:cstheme="minorHAnsi"/>
                <w:b/>
                <w:bCs/>
                <w:sz w:val="22"/>
                <w:szCs w:val="22"/>
              </w:rPr>
              <w:t>§§ </w:t>
            </w:r>
            <w:r w:rsidR="00ED041D">
              <w:rPr>
                <w:rFonts w:asciiTheme="minorHAnsi" w:hAnsiTheme="minorHAnsi" w:cstheme="minorHAnsi"/>
                <w:b/>
                <w:bCs/>
                <w:sz w:val="22"/>
                <w:szCs w:val="22"/>
              </w:rPr>
              <w:t>51.11-51.15</w:t>
            </w:r>
            <w:r>
              <w:rPr>
                <w:rFonts w:asciiTheme="minorHAnsi" w:hAnsiTheme="minorHAnsi" w:cstheme="minorHAnsi"/>
                <w:b/>
                <w:bCs/>
                <w:sz w:val="22"/>
                <w:szCs w:val="22"/>
                <w:u w:val="single"/>
              </w:rPr>
              <w:t xml:space="preserve"> </w:t>
            </w:r>
          </w:p>
        </w:tc>
      </w:tr>
      <w:tr w:rsidR="00211745" w:rsidRPr="006B20F1" w14:paraId="15AAC983" w14:textId="77777777" w:rsidTr="0096245C">
        <w:trPr>
          <w:trHeight w:val="276"/>
        </w:trPr>
        <w:tc>
          <w:tcPr>
            <w:tcW w:w="4931" w:type="dxa"/>
            <w:gridSpan w:val="5"/>
            <w:shd w:val="clear" w:color="auto" w:fill="DDD9C3" w:themeFill="background2" w:themeFillShade="E6"/>
            <w:vAlign w:val="center"/>
          </w:tcPr>
          <w:p w14:paraId="7B529ED3" w14:textId="4F6CEDE2" w:rsidR="00084E70" w:rsidRDefault="00084E70" w:rsidP="00C87A78">
            <w:pPr>
              <w:widowControl w:val="0"/>
              <w:rPr>
                <w:rFonts w:asciiTheme="minorHAnsi" w:hAnsiTheme="minorHAnsi" w:cstheme="minorBidi"/>
                <w:b/>
                <w:u w:val="single"/>
              </w:rPr>
            </w:pPr>
            <w:r>
              <w:rPr>
                <w:rFonts w:asciiTheme="minorHAnsi" w:hAnsiTheme="minorHAnsi" w:cstheme="minorBidi"/>
                <w:b/>
                <w:u w:val="single"/>
              </w:rPr>
              <w:t xml:space="preserve">Total Number of </w:t>
            </w:r>
            <w:r w:rsidR="005A51B6">
              <w:rPr>
                <w:rFonts w:asciiTheme="minorHAnsi" w:hAnsiTheme="minorHAnsi" w:cstheme="minorBidi"/>
                <w:b/>
                <w:u w:val="single"/>
              </w:rPr>
              <w:t>Employees</w:t>
            </w:r>
            <w:r w:rsidR="00ED4F31">
              <w:rPr>
                <w:rFonts w:asciiTheme="minorHAnsi" w:hAnsiTheme="minorHAnsi" w:cstheme="minorBidi"/>
                <w:b/>
                <w:u w:val="single"/>
              </w:rPr>
              <w:t>:_______________</w:t>
            </w:r>
          </w:p>
        </w:tc>
        <w:tc>
          <w:tcPr>
            <w:tcW w:w="6546" w:type="dxa"/>
            <w:gridSpan w:val="8"/>
            <w:shd w:val="clear" w:color="auto" w:fill="DDD9C3" w:themeFill="background2" w:themeFillShade="E6"/>
          </w:tcPr>
          <w:p w14:paraId="53428B42" w14:textId="77777777" w:rsidR="00ED4F31" w:rsidRDefault="00ED4F31" w:rsidP="005A7604">
            <w:pPr>
              <w:widowControl w:val="0"/>
              <w:rPr>
                <w:rFonts w:asciiTheme="minorHAnsi" w:hAnsiTheme="minorHAnsi" w:cstheme="minorBidi"/>
                <w:b/>
                <w:u w:val="single"/>
              </w:rPr>
            </w:pPr>
            <w:r>
              <w:rPr>
                <w:rFonts w:asciiTheme="minorHAnsi" w:hAnsiTheme="minorHAnsi" w:cstheme="minorBidi"/>
                <w:b/>
                <w:u w:val="single"/>
              </w:rPr>
              <w:t>Utility Name:_________________</w:t>
            </w:r>
          </w:p>
          <w:p w14:paraId="2BA4078E" w14:textId="500682DC" w:rsidR="00FC2B2A" w:rsidRDefault="00FC2B2A" w:rsidP="005A7604">
            <w:pPr>
              <w:widowControl w:val="0"/>
              <w:rPr>
                <w:rFonts w:asciiTheme="minorHAnsi" w:hAnsiTheme="minorHAnsi" w:cstheme="minorBidi"/>
                <w:b/>
                <w:u w:val="single"/>
              </w:rPr>
            </w:pPr>
            <w:r>
              <w:rPr>
                <w:rFonts w:asciiTheme="minorHAnsi" w:hAnsiTheme="minorHAnsi" w:cstheme="minorBidi"/>
                <w:b/>
                <w:u w:val="single"/>
              </w:rPr>
              <w:t>A-Docket Number: _____________</w:t>
            </w:r>
          </w:p>
        </w:tc>
        <w:tc>
          <w:tcPr>
            <w:tcW w:w="2586" w:type="dxa"/>
            <w:gridSpan w:val="2"/>
            <w:shd w:val="clear" w:color="auto" w:fill="DDD9C3" w:themeFill="background2" w:themeFillShade="E6"/>
            <w:vAlign w:val="center"/>
          </w:tcPr>
          <w:p w14:paraId="38F7CE1C" w14:textId="2380D14E" w:rsidR="00211745" w:rsidRPr="00E0310B" w:rsidRDefault="00ED4F31" w:rsidP="00B0574B">
            <w:pPr>
              <w:widowControl w:val="0"/>
              <w:rPr>
                <w:rFonts w:asciiTheme="minorHAnsi" w:hAnsiTheme="minorHAnsi" w:cstheme="minorBidi"/>
                <w:b/>
                <w:u w:val="single"/>
              </w:rPr>
            </w:pPr>
            <w:r>
              <w:rPr>
                <w:rFonts w:asciiTheme="minorHAnsi" w:hAnsiTheme="minorHAnsi" w:cstheme="minorBidi"/>
                <w:b/>
                <w:u w:val="single"/>
              </w:rPr>
              <w:t>Year Reported:_______</w:t>
            </w:r>
          </w:p>
        </w:tc>
      </w:tr>
      <w:tr w:rsidR="00211745" w:rsidRPr="006B20F1" w14:paraId="4E5F48AE" w14:textId="77777777" w:rsidTr="0096245C">
        <w:trPr>
          <w:trHeight w:val="276"/>
        </w:trPr>
        <w:tc>
          <w:tcPr>
            <w:tcW w:w="1725" w:type="dxa"/>
            <w:vMerge w:val="restart"/>
            <w:vAlign w:val="center"/>
          </w:tcPr>
          <w:p w14:paraId="5401690D" w14:textId="77777777" w:rsidR="00211745" w:rsidRPr="00E0310B" w:rsidRDefault="00211745" w:rsidP="004E726A">
            <w:pPr>
              <w:widowControl w:val="0"/>
              <w:jc w:val="center"/>
              <w:rPr>
                <w:rFonts w:asciiTheme="minorHAnsi" w:hAnsiTheme="minorHAnsi" w:cstheme="minorHAnsi"/>
                <w:b/>
                <w:bCs/>
                <w:u w:val="single"/>
              </w:rPr>
            </w:pPr>
            <w:r w:rsidRPr="00E0310B">
              <w:rPr>
                <w:rFonts w:asciiTheme="minorHAnsi" w:hAnsiTheme="minorHAnsi" w:cstheme="minorHAnsi"/>
                <w:b/>
                <w:bCs/>
                <w:u w:val="single"/>
              </w:rPr>
              <w:t>Job Categories</w:t>
            </w:r>
          </w:p>
        </w:tc>
        <w:tc>
          <w:tcPr>
            <w:tcW w:w="1563" w:type="dxa"/>
            <w:gridSpan w:val="2"/>
            <w:vMerge w:val="restart"/>
            <w:vAlign w:val="center"/>
          </w:tcPr>
          <w:p w14:paraId="5527F5FB" w14:textId="77777777" w:rsidR="00211745" w:rsidRPr="00E0310B" w:rsidRDefault="00211745" w:rsidP="004E726A">
            <w:pPr>
              <w:widowControl w:val="0"/>
              <w:jc w:val="center"/>
              <w:rPr>
                <w:rFonts w:asciiTheme="minorHAnsi" w:hAnsiTheme="minorHAnsi" w:cstheme="minorHAnsi"/>
                <w:b/>
                <w:bCs/>
                <w:u w:val="single"/>
              </w:rPr>
            </w:pPr>
            <w:r w:rsidRPr="00E0310B">
              <w:rPr>
                <w:rFonts w:asciiTheme="minorHAnsi" w:hAnsiTheme="minorHAnsi" w:cstheme="minorHAnsi"/>
                <w:b/>
                <w:bCs/>
                <w:u w:val="single"/>
              </w:rPr>
              <w:t>Gender</w:t>
            </w:r>
          </w:p>
        </w:tc>
        <w:tc>
          <w:tcPr>
            <w:tcW w:w="6884" w:type="dxa"/>
            <w:gridSpan w:val="9"/>
          </w:tcPr>
          <w:p w14:paraId="79148B5A" w14:textId="77777777" w:rsidR="00211745" w:rsidRPr="00E0310B" w:rsidRDefault="00211745" w:rsidP="004E726A">
            <w:pPr>
              <w:widowControl w:val="0"/>
              <w:jc w:val="center"/>
              <w:rPr>
                <w:rFonts w:asciiTheme="minorHAnsi" w:hAnsiTheme="minorHAnsi" w:cstheme="minorHAnsi"/>
                <w:b/>
                <w:bCs/>
                <w:u w:val="single"/>
              </w:rPr>
            </w:pPr>
            <w:r w:rsidRPr="00E0310B">
              <w:rPr>
                <w:rFonts w:asciiTheme="minorHAnsi" w:hAnsiTheme="minorHAnsi" w:cstheme="minorHAnsi"/>
                <w:b/>
                <w:bCs/>
                <w:u w:val="single"/>
              </w:rPr>
              <w:t>Race and Ethnicity</w:t>
            </w:r>
          </w:p>
        </w:tc>
        <w:tc>
          <w:tcPr>
            <w:tcW w:w="1305" w:type="dxa"/>
            <w:vMerge w:val="restart"/>
          </w:tcPr>
          <w:p w14:paraId="2432EE7D" w14:textId="77777777" w:rsidR="00211745" w:rsidRPr="006B20F1" w:rsidRDefault="00211745" w:rsidP="004E726A">
            <w:pPr>
              <w:widowControl w:val="0"/>
              <w:jc w:val="center"/>
              <w:rPr>
                <w:rFonts w:asciiTheme="minorHAnsi" w:hAnsiTheme="minorHAnsi" w:cstheme="minorHAnsi"/>
                <w:b/>
                <w:bCs/>
                <w:u w:val="single"/>
              </w:rPr>
            </w:pPr>
            <w:r w:rsidRPr="006B20F1">
              <w:rPr>
                <w:rFonts w:asciiTheme="minorHAnsi" w:hAnsiTheme="minorHAnsi" w:cstheme="minorHAnsi"/>
                <w:b/>
                <w:bCs/>
                <w:u w:val="single"/>
              </w:rPr>
              <w:t>Person with Disabilities</w:t>
            </w:r>
          </w:p>
          <w:p w14:paraId="50F3EF60" w14:textId="77777777" w:rsidR="00211745" w:rsidRPr="006B20F1" w:rsidRDefault="00211745" w:rsidP="004E726A">
            <w:pPr>
              <w:widowControl w:val="0"/>
              <w:jc w:val="center"/>
              <w:rPr>
                <w:rFonts w:asciiTheme="minorHAnsi" w:hAnsiTheme="minorHAnsi" w:cstheme="minorHAnsi"/>
                <w:b/>
                <w:bCs/>
              </w:rPr>
            </w:pPr>
            <w:r w:rsidRPr="006B20F1">
              <w:rPr>
                <w:rFonts w:asciiTheme="minorHAnsi" w:hAnsiTheme="minorHAnsi" w:cstheme="minorHAnsi"/>
                <w:b/>
                <w:bCs/>
                <w:u w:val="single"/>
              </w:rPr>
              <w:t>(Only employees who agreed to be reported)</w:t>
            </w:r>
          </w:p>
        </w:tc>
        <w:tc>
          <w:tcPr>
            <w:tcW w:w="1568" w:type="dxa"/>
            <w:vMerge w:val="restart"/>
            <w:vAlign w:val="center"/>
          </w:tcPr>
          <w:p w14:paraId="39331808" w14:textId="4DE386F2" w:rsidR="00211745" w:rsidRPr="006B20F1" w:rsidRDefault="00211745" w:rsidP="00B0574B">
            <w:pPr>
              <w:widowControl w:val="0"/>
              <w:jc w:val="center"/>
              <w:rPr>
                <w:rFonts w:asciiTheme="minorHAnsi" w:hAnsiTheme="minorHAnsi" w:cstheme="minorHAnsi"/>
                <w:b/>
                <w:bCs/>
                <w:u w:val="single"/>
              </w:rPr>
            </w:pPr>
            <w:r w:rsidRPr="006B20F1">
              <w:rPr>
                <w:rFonts w:asciiTheme="minorHAnsi" w:hAnsiTheme="minorHAnsi" w:cstheme="minorHAnsi"/>
                <w:b/>
                <w:bCs/>
                <w:u w:val="single"/>
              </w:rPr>
              <w:t>LGBTQ</w:t>
            </w:r>
          </w:p>
          <w:p w14:paraId="782DC2CB" w14:textId="77777777" w:rsidR="00211745" w:rsidRPr="006B20F1" w:rsidRDefault="00211745" w:rsidP="00B0574B">
            <w:pPr>
              <w:widowControl w:val="0"/>
              <w:jc w:val="center"/>
              <w:rPr>
                <w:rFonts w:asciiTheme="minorHAnsi" w:hAnsiTheme="minorHAnsi" w:cstheme="minorHAnsi"/>
                <w:b/>
                <w:bCs/>
                <w:u w:val="single"/>
              </w:rPr>
            </w:pPr>
            <w:r w:rsidRPr="006B20F1">
              <w:rPr>
                <w:rFonts w:asciiTheme="minorHAnsi" w:hAnsiTheme="minorHAnsi" w:cstheme="minorHAnsi"/>
                <w:b/>
                <w:bCs/>
                <w:u w:val="single"/>
              </w:rPr>
              <w:t>(Only employees who agreed to be reported)</w:t>
            </w:r>
          </w:p>
        </w:tc>
        <w:tc>
          <w:tcPr>
            <w:tcW w:w="1016" w:type="dxa"/>
            <w:vMerge w:val="restart"/>
            <w:vAlign w:val="center"/>
          </w:tcPr>
          <w:p w14:paraId="0E96E86D" w14:textId="77777777" w:rsidR="00211745" w:rsidRPr="006B20F1" w:rsidRDefault="00211745" w:rsidP="004E726A">
            <w:pPr>
              <w:widowControl w:val="0"/>
              <w:jc w:val="center"/>
              <w:rPr>
                <w:rFonts w:asciiTheme="minorHAnsi" w:hAnsiTheme="minorHAnsi" w:cstheme="minorHAnsi"/>
                <w:b/>
                <w:bCs/>
              </w:rPr>
            </w:pPr>
            <w:r w:rsidRPr="006B20F1">
              <w:rPr>
                <w:rFonts w:asciiTheme="minorHAnsi" w:hAnsiTheme="minorHAnsi" w:cstheme="minorHAnsi"/>
                <w:b/>
                <w:bCs/>
                <w:u w:val="single"/>
              </w:rPr>
              <w:t>Veteran</w:t>
            </w:r>
          </w:p>
        </w:tc>
      </w:tr>
      <w:tr w:rsidR="00211745" w:rsidRPr="006B20F1" w14:paraId="7BCDB84F" w14:textId="77777777" w:rsidTr="0096245C">
        <w:trPr>
          <w:trHeight w:val="289"/>
        </w:trPr>
        <w:tc>
          <w:tcPr>
            <w:tcW w:w="1725" w:type="dxa"/>
            <w:vMerge/>
            <w:vAlign w:val="center"/>
          </w:tcPr>
          <w:p w14:paraId="3874260F" w14:textId="77777777" w:rsidR="00211745" w:rsidRPr="006B20F1" w:rsidRDefault="00211745" w:rsidP="004E726A">
            <w:pPr>
              <w:widowControl w:val="0"/>
              <w:jc w:val="center"/>
              <w:rPr>
                <w:rFonts w:asciiTheme="minorHAnsi" w:hAnsiTheme="minorHAnsi" w:cstheme="minorHAnsi"/>
                <w:b/>
                <w:bCs/>
                <w:sz w:val="22"/>
                <w:szCs w:val="22"/>
              </w:rPr>
            </w:pPr>
          </w:p>
        </w:tc>
        <w:tc>
          <w:tcPr>
            <w:tcW w:w="1563" w:type="dxa"/>
            <w:gridSpan w:val="2"/>
            <w:vMerge/>
            <w:vAlign w:val="center"/>
          </w:tcPr>
          <w:p w14:paraId="5AE4E809" w14:textId="77777777" w:rsidR="00211745" w:rsidRPr="006B20F1" w:rsidRDefault="00211745" w:rsidP="004E726A">
            <w:pPr>
              <w:widowControl w:val="0"/>
              <w:jc w:val="center"/>
              <w:rPr>
                <w:rFonts w:asciiTheme="minorHAnsi" w:hAnsiTheme="minorHAnsi" w:cstheme="minorHAnsi"/>
                <w:b/>
                <w:bCs/>
                <w:sz w:val="22"/>
                <w:szCs w:val="22"/>
              </w:rPr>
            </w:pPr>
          </w:p>
        </w:tc>
        <w:tc>
          <w:tcPr>
            <w:tcW w:w="1058" w:type="dxa"/>
            <w:vAlign w:val="center"/>
          </w:tcPr>
          <w:p w14:paraId="1AA69244" w14:textId="77777777" w:rsidR="00211745" w:rsidRPr="00E0310B" w:rsidRDefault="00211745" w:rsidP="004E726A">
            <w:pPr>
              <w:widowControl w:val="0"/>
              <w:jc w:val="center"/>
              <w:rPr>
                <w:rFonts w:asciiTheme="minorHAnsi" w:hAnsiTheme="minorHAnsi" w:cstheme="minorHAnsi"/>
                <w:b/>
                <w:bCs/>
              </w:rPr>
            </w:pPr>
            <w:r w:rsidRPr="00E0310B">
              <w:rPr>
                <w:rFonts w:asciiTheme="minorHAnsi" w:hAnsiTheme="minorHAnsi" w:cstheme="minorHAnsi"/>
                <w:b/>
                <w:bCs/>
              </w:rPr>
              <w:t>Hispanic or Latino</w:t>
            </w:r>
          </w:p>
        </w:tc>
        <w:tc>
          <w:tcPr>
            <w:tcW w:w="5826" w:type="dxa"/>
            <w:gridSpan w:val="8"/>
            <w:vAlign w:val="center"/>
          </w:tcPr>
          <w:p w14:paraId="0345EAE3" w14:textId="77777777" w:rsidR="00211745" w:rsidRPr="006B20F1" w:rsidRDefault="00211745" w:rsidP="004E726A">
            <w:pPr>
              <w:widowControl w:val="0"/>
              <w:jc w:val="center"/>
              <w:rPr>
                <w:rFonts w:asciiTheme="minorHAnsi" w:hAnsiTheme="minorHAnsi" w:cstheme="minorHAnsi"/>
                <w:b/>
                <w:bCs/>
              </w:rPr>
            </w:pPr>
            <w:r w:rsidRPr="006B20F1">
              <w:rPr>
                <w:rFonts w:asciiTheme="minorHAnsi" w:hAnsiTheme="minorHAnsi" w:cstheme="minorHAnsi"/>
                <w:b/>
                <w:bCs/>
              </w:rPr>
              <w:t>Not Hispanic or Latino</w:t>
            </w:r>
          </w:p>
        </w:tc>
        <w:tc>
          <w:tcPr>
            <w:tcW w:w="1305" w:type="dxa"/>
            <w:vMerge/>
          </w:tcPr>
          <w:p w14:paraId="2C50B213" w14:textId="77777777" w:rsidR="00211745" w:rsidRPr="006B20F1" w:rsidRDefault="00211745" w:rsidP="004E726A">
            <w:pPr>
              <w:widowControl w:val="0"/>
              <w:jc w:val="center"/>
              <w:rPr>
                <w:rFonts w:asciiTheme="minorHAnsi" w:hAnsiTheme="minorHAnsi" w:cstheme="minorHAnsi"/>
                <w:b/>
                <w:bCs/>
              </w:rPr>
            </w:pPr>
          </w:p>
        </w:tc>
        <w:tc>
          <w:tcPr>
            <w:tcW w:w="1568" w:type="dxa"/>
            <w:vMerge/>
          </w:tcPr>
          <w:p w14:paraId="2ECC51CE" w14:textId="77777777" w:rsidR="00211745" w:rsidRPr="006B20F1" w:rsidRDefault="00211745" w:rsidP="004E726A">
            <w:pPr>
              <w:widowControl w:val="0"/>
              <w:jc w:val="center"/>
              <w:rPr>
                <w:rFonts w:asciiTheme="minorHAnsi" w:hAnsiTheme="minorHAnsi" w:cstheme="minorHAnsi"/>
                <w:b/>
                <w:bCs/>
              </w:rPr>
            </w:pPr>
          </w:p>
        </w:tc>
        <w:tc>
          <w:tcPr>
            <w:tcW w:w="1016" w:type="dxa"/>
            <w:vMerge/>
          </w:tcPr>
          <w:p w14:paraId="6F6B2094" w14:textId="77777777" w:rsidR="00211745" w:rsidRPr="006B20F1" w:rsidRDefault="00211745" w:rsidP="004E726A">
            <w:pPr>
              <w:widowControl w:val="0"/>
              <w:jc w:val="center"/>
              <w:rPr>
                <w:rFonts w:asciiTheme="minorHAnsi" w:hAnsiTheme="minorHAnsi" w:cstheme="minorHAnsi"/>
                <w:b/>
                <w:bCs/>
              </w:rPr>
            </w:pPr>
          </w:p>
        </w:tc>
      </w:tr>
      <w:tr w:rsidR="007A33C2" w:rsidRPr="006B20F1" w14:paraId="4364EF44" w14:textId="77777777" w:rsidTr="0096245C">
        <w:trPr>
          <w:cantSplit/>
          <w:trHeight w:val="1258"/>
        </w:trPr>
        <w:tc>
          <w:tcPr>
            <w:tcW w:w="1725" w:type="dxa"/>
            <w:vMerge/>
            <w:vAlign w:val="center"/>
          </w:tcPr>
          <w:p w14:paraId="1E24BA4B" w14:textId="77777777" w:rsidR="00211745" w:rsidRPr="006B20F1" w:rsidRDefault="00211745" w:rsidP="004E726A">
            <w:pPr>
              <w:widowControl w:val="0"/>
              <w:jc w:val="center"/>
              <w:rPr>
                <w:rFonts w:asciiTheme="minorHAnsi" w:hAnsiTheme="minorHAnsi" w:cstheme="minorHAnsi"/>
                <w:b/>
                <w:bCs/>
                <w:sz w:val="22"/>
                <w:szCs w:val="22"/>
              </w:rPr>
            </w:pPr>
          </w:p>
        </w:tc>
        <w:tc>
          <w:tcPr>
            <w:tcW w:w="682" w:type="dxa"/>
            <w:vAlign w:val="center"/>
          </w:tcPr>
          <w:p w14:paraId="020B9203" w14:textId="77777777" w:rsidR="00211745" w:rsidRPr="006B20F1" w:rsidRDefault="00211745" w:rsidP="004E726A">
            <w:pPr>
              <w:widowControl w:val="0"/>
              <w:jc w:val="center"/>
              <w:rPr>
                <w:rFonts w:asciiTheme="minorHAnsi" w:hAnsiTheme="minorHAnsi" w:cstheme="minorHAnsi"/>
                <w:b/>
                <w:bCs/>
                <w:sz w:val="22"/>
                <w:szCs w:val="22"/>
              </w:rPr>
            </w:pPr>
            <w:r w:rsidRPr="006B20F1">
              <w:rPr>
                <w:rFonts w:asciiTheme="minorHAnsi" w:hAnsiTheme="minorHAnsi" w:cstheme="minorHAnsi"/>
                <w:b/>
                <w:bCs/>
                <w:sz w:val="22"/>
                <w:szCs w:val="22"/>
              </w:rPr>
              <w:t>Male</w:t>
            </w:r>
          </w:p>
        </w:tc>
        <w:tc>
          <w:tcPr>
            <w:tcW w:w="881" w:type="dxa"/>
            <w:vAlign w:val="center"/>
          </w:tcPr>
          <w:p w14:paraId="10ED2A80" w14:textId="77777777" w:rsidR="00211745" w:rsidRPr="006B20F1" w:rsidRDefault="00211745" w:rsidP="004E726A">
            <w:pPr>
              <w:widowControl w:val="0"/>
              <w:jc w:val="center"/>
              <w:rPr>
                <w:rFonts w:asciiTheme="minorHAnsi" w:hAnsiTheme="minorHAnsi" w:cstheme="minorHAnsi"/>
                <w:b/>
                <w:bCs/>
                <w:sz w:val="22"/>
                <w:szCs w:val="22"/>
              </w:rPr>
            </w:pPr>
            <w:r w:rsidRPr="006B20F1">
              <w:rPr>
                <w:rFonts w:asciiTheme="minorHAnsi" w:hAnsiTheme="minorHAnsi" w:cstheme="minorHAnsi"/>
                <w:b/>
                <w:bCs/>
                <w:sz w:val="22"/>
                <w:szCs w:val="22"/>
              </w:rPr>
              <w:t>Female</w:t>
            </w:r>
          </w:p>
        </w:tc>
        <w:tc>
          <w:tcPr>
            <w:tcW w:w="1058" w:type="dxa"/>
            <w:vAlign w:val="center"/>
          </w:tcPr>
          <w:p w14:paraId="758426D3" w14:textId="77777777" w:rsidR="00211745" w:rsidRPr="006B20F1" w:rsidRDefault="00211745" w:rsidP="004E726A">
            <w:pPr>
              <w:widowControl w:val="0"/>
              <w:jc w:val="center"/>
              <w:rPr>
                <w:rFonts w:asciiTheme="minorHAnsi" w:hAnsiTheme="minorHAnsi" w:cstheme="minorHAnsi"/>
                <w:b/>
                <w:bCs/>
              </w:rPr>
            </w:pPr>
          </w:p>
        </w:tc>
        <w:tc>
          <w:tcPr>
            <w:tcW w:w="826" w:type="dxa"/>
            <w:gridSpan w:val="2"/>
            <w:vAlign w:val="center"/>
          </w:tcPr>
          <w:p w14:paraId="69D25194" w14:textId="77777777" w:rsidR="00211745" w:rsidRPr="006B20F1" w:rsidRDefault="00211745" w:rsidP="004E726A">
            <w:pPr>
              <w:widowControl w:val="0"/>
              <w:jc w:val="center"/>
              <w:rPr>
                <w:rFonts w:asciiTheme="minorHAnsi" w:hAnsiTheme="minorHAnsi" w:cstheme="minorHAnsi"/>
                <w:b/>
                <w:bCs/>
              </w:rPr>
            </w:pPr>
            <w:r w:rsidRPr="006B20F1">
              <w:rPr>
                <w:rFonts w:asciiTheme="minorHAnsi" w:hAnsiTheme="minorHAnsi" w:cstheme="minorHAnsi"/>
                <w:b/>
                <w:bCs/>
              </w:rPr>
              <w:t>White</w:t>
            </w:r>
          </w:p>
        </w:tc>
        <w:tc>
          <w:tcPr>
            <w:tcW w:w="1170" w:type="dxa"/>
            <w:vAlign w:val="center"/>
          </w:tcPr>
          <w:p w14:paraId="44908E61" w14:textId="77777777" w:rsidR="00211745" w:rsidRPr="006B20F1" w:rsidRDefault="00211745" w:rsidP="004E726A">
            <w:pPr>
              <w:widowControl w:val="0"/>
              <w:jc w:val="center"/>
              <w:rPr>
                <w:rFonts w:asciiTheme="minorHAnsi" w:hAnsiTheme="minorHAnsi" w:cstheme="minorHAnsi"/>
                <w:b/>
                <w:bCs/>
              </w:rPr>
            </w:pPr>
            <w:r w:rsidRPr="006B20F1">
              <w:rPr>
                <w:rFonts w:asciiTheme="minorHAnsi" w:hAnsiTheme="minorHAnsi" w:cstheme="minorHAnsi"/>
                <w:b/>
                <w:bCs/>
              </w:rPr>
              <w:t>Black or African-American</w:t>
            </w:r>
          </w:p>
        </w:tc>
        <w:tc>
          <w:tcPr>
            <w:tcW w:w="764" w:type="dxa"/>
            <w:vAlign w:val="center"/>
          </w:tcPr>
          <w:p w14:paraId="78B3037D" w14:textId="77777777" w:rsidR="00211745" w:rsidRPr="006B20F1" w:rsidRDefault="00211745" w:rsidP="004E726A">
            <w:pPr>
              <w:widowControl w:val="0"/>
              <w:jc w:val="center"/>
              <w:rPr>
                <w:rFonts w:asciiTheme="minorHAnsi" w:hAnsiTheme="minorHAnsi" w:cstheme="minorHAnsi"/>
                <w:b/>
                <w:bCs/>
              </w:rPr>
            </w:pPr>
            <w:r w:rsidRPr="006B20F1">
              <w:rPr>
                <w:rFonts w:asciiTheme="minorHAnsi" w:hAnsiTheme="minorHAnsi" w:cstheme="minorHAnsi"/>
                <w:b/>
                <w:bCs/>
              </w:rPr>
              <w:t>Asian</w:t>
            </w:r>
          </w:p>
        </w:tc>
        <w:tc>
          <w:tcPr>
            <w:tcW w:w="1170" w:type="dxa"/>
            <w:gridSpan w:val="2"/>
            <w:vAlign w:val="center"/>
          </w:tcPr>
          <w:p w14:paraId="0699D3F7" w14:textId="77777777" w:rsidR="00211745" w:rsidRPr="006B20F1" w:rsidRDefault="00211745" w:rsidP="004E726A">
            <w:pPr>
              <w:widowControl w:val="0"/>
              <w:jc w:val="center"/>
              <w:rPr>
                <w:rFonts w:asciiTheme="minorHAnsi" w:hAnsiTheme="minorHAnsi" w:cstheme="minorHAnsi"/>
                <w:b/>
                <w:bCs/>
              </w:rPr>
            </w:pPr>
            <w:r w:rsidRPr="006B20F1">
              <w:rPr>
                <w:rFonts w:asciiTheme="minorHAnsi" w:hAnsiTheme="minorHAnsi" w:cstheme="minorHAnsi"/>
                <w:b/>
                <w:bCs/>
              </w:rPr>
              <w:t>Native American or Alaska Native</w:t>
            </w:r>
          </w:p>
        </w:tc>
        <w:tc>
          <w:tcPr>
            <w:tcW w:w="1149" w:type="dxa"/>
            <w:vAlign w:val="center"/>
          </w:tcPr>
          <w:p w14:paraId="56656074" w14:textId="77777777" w:rsidR="00211745" w:rsidRPr="006B20F1" w:rsidRDefault="00211745" w:rsidP="004E726A">
            <w:pPr>
              <w:widowControl w:val="0"/>
              <w:jc w:val="center"/>
              <w:rPr>
                <w:rFonts w:asciiTheme="minorHAnsi" w:hAnsiTheme="minorHAnsi" w:cstheme="minorHAnsi"/>
                <w:b/>
                <w:bCs/>
              </w:rPr>
            </w:pPr>
            <w:r w:rsidRPr="006B20F1">
              <w:rPr>
                <w:rFonts w:asciiTheme="minorHAnsi" w:hAnsiTheme="minorHAnsi" w:cstheme="minorHAnsi"/>
                <w:b/>
                <w:bCs/>
              </w:rPr>
              <w:t>Native Hawaiian or Pacific Islander</w:t>
            </w:r>
          </w:p>
        </w:tc>
        <w:tc>
          <w:tcPr>
            <w:tcW w:w="747" w:type="dxa"/>
            <w:vAlign w:val="center"/>
          </w:tcPr>
          <w:p w14:paraId="0A32250D" w14:textId="77777777" w:rsidR="00211745" w:rsidRPr="006B20F1" w:rsidRDefault="00211745" w:rsidP="004E726A">
            <w:pPr>
              <w:widowControl w:val="0"/>
              <w:jc w:val="center"/>
              <w:rPr>
                <w:rFonts w:asciiTheme="minorHAnsi" w:hAnsiTheme="minorHAnsi" w:cstheme="minorHAnsi"/>
                <w:b/>
                <w:bCs/>
              </w:rPr>
            </w:pPr>
            <w:r w:rsidRPr="006B20F1">
              <w:rPr>
                <w:rFonts w:asciiTheme="minorHAnsi" w:hAnsiTheme="minorHAnsi" w:cstheme="minorHAnsi"/>
                <w:b/>
                <w:bCs/>
              </w:rPr>
              <w:t>Two or more races</w:t>
            </w:r>
          </w:p>
        </w:tc>
        <w:tc>
          <w:tcPr>
            <w:tcW w:w="1305" w:type="dxa"/>
          </w:tcPr>
          <w:p w14:paraId="40C40E35" w14:textId="77777777" w:rsidR="00211745" w:rsidRPr="006B20F1" w:rsidRDefault="00211745" w:rsidP="004E726A">
            <w:pPr>
              <w:widowControl w:val="0"/>
              <w:jc w:val="center"/>
              <w:rPr>
                <w:rFonts w:asciiTheme="minorHAnsi" w:hAnsiTheme="minorHAnsi" w:cstheme="minorHAnsi"/>
                <w:b/>
                <w:bCs/>
              </w:rPr>
            </w:pPr>
          </w:p>
        </w:tc>
        <w:tc>
          <w:tcPr>
            <w:tcW w:w="1568" w:type="dxa"/>
          </w:tcPr>
          <w:p w14:paraId="3C61E0B8" w14:textId="77777777" w:rsidR="00211745" w:rsidRPr="006B20F1" w:rsidRDefault="00211745" w:rsidP="004E726A">
            <w:pPr>
              <w:widowControl w:val="0"/>
              <w:jc w:val="center"/>
              <w:rPr>
                <w:rFonts w:asciiTheme="minorHAnsi" w:hAnsiTheme="minorHAnsi" w:cstheme="minorHAnsi"/>
                <w:b/>
                <w:bCs/>
              </w:rPr>
            </w:pPr>
          </w:p>
        </w:tc>
        <w:tc>
          <w:tcPr>
            <w:tcW w:w="1016" w:type="dxa"/>
          </w:tcPr>
          <w:p w14:paraId="11F6C80A" w14:textId="77777777" w:rsidR="00211745" w:rsidRPr="006B20F1" w:rsidRDefault="00211745" w:rsidP="004E726A">
            <w:pPr>
              <w:widowControl w:val="0"/>
              <w:jc w:val="center"/>
              <w:rPr>
                <w:rFonts w:asciiTheme="minorHAnsi" w:hAnsiTheme="minorHAnsi" w:cstheme="minorHAnsi"/>
                <w:b/>
                <w:bCs/>
              </w:rPr>
            </w:pPr>
          </w:p>
        </w:tc>
      </w:tr>
      <w:tr w:rsidR="007A33C2" w:rsidRPr="006B20F1" w14:paraId="1C39E543" w14:textId="77777777" w:rsidTr="0096245C">
        <w:trPr>
          <w:trHeight w:val="845"/>
        </w:trPr>
        <w:tc>
          <w:tcPr>
            <w:tcW w:w="1725" w:type="dxa"/>
            <w:vAlign w:val="center"/>
          </w:tcPr>
          <w:p w14:paraId="123BD00F" w14:textId="77777777" w:rsidR="00211745" w:rsidRPr="006B20F1" w:rsidRDefault="00211745" w:rsidP="004E726A">
            <w:pPr>
              <w:widowControl w:val="0"/>
              <w:jc w:val="center"/>
              <w:rPr>
                <w:rFonts w:asciiTheme="minorHAnsi" w:hAnsiTheme="minorHAnsi" w:cstheme="minorHAnsi"/>
                <w:sz w:val="22"/>
                <w:szCs w:val="22"/>
              </w:rPr>
            </w:pPr>
            <w:r w:rsidRPr="006B20F1">
              <w:rPr>
                <w:rFonts w:asciiTheme="minorHAnsi" w:hAnsiTheme="minorHAnsi" w:cstheme="minorHAnsi"/>
                <w:sz w:val="22"/>
                <w:szCs w:val="22"/>
              </w:rPr>
              <w:t xml:space="preserve">Executive/Senior Level Officials </w:t>
            </w:r>
            <w:r>
              <w:rPr>
                <w:rFonts w:asciiTheme="minorHAnsi" w:hAnsiTheme="minorHAnsi" w:cstheme="minorHAnsi"/>
                <w:sz w:val="22"/>
                <w:szCs w:val="22"/>
              </w:rPr>
              <w:t xml:space="preserve">&amp; </w:t>
            </w:r>
            <w:r w:rsidRPr="006B20F1">
              <w:rPr>
                <w:rFonts w:asciiTheme="minorHAnsi" w:hAnsiTheme="minorHAnsi" w:cstheme="minorHAnsi"/>
                <w:sz w:val="22"/>
                <w:szCs w:val="22"/>
              </w:rPr>
              <w:t>Managers</w:t>
            </w:r>
          </w:p>
        </w:tc>
        <w:tc>
          <w:tcPr>
            <w:tcW w:w="682" w:type="dxa"/>
            <w:vAlign w:val="center"/>
          </w:tcPr>
          <w:p w14:paraId="1BA98673" w14:textId="77777777" w:rsidR="00211745" w:rsidRPr="006B20F1" w:rsidRDefault="00211745" w:rsidP="004E726A">
            <w:pPr>
              <w:widowControl w:val="0"/>
              <w:jc w:val="center"/>
              <w:rPr>
                <w:rFonts w:asciiTheme="minorHAnsi" w:hAnsiTheme="minorHAnsi" w:cstheme="minorHAnsi"/>
                <w:sz w:val="22"/>
                <w:szCs w:val="22"/>
              </w:rPr>
            </w:pPr>
          </w:p>
        </w:tc>
        <w:tc>
          <w:tcPr>
            <w:tcW w:w="881" w:type="dxa"/>
            <w:vAlign w:val="center"/>
          </w:tcPr>
          <w:p w14:paraId="5197A9B1" w14:textId="77777777" w:rsidR="00211745" w:rsidRPr="006B20F1" w:rsidRDefault="00211745" w:rsidP="004E726A">
            <w:pPr>
              <w:widowControl w:val="0"/>
              <w:jc w:val="center"/>
              <w:rPr>
                <w:rFonts w:asciiTheme="minorHAnsi" w:hAnsiTheme="minorHAnsi" w:cstheme="minorHAnsi"/>
                <w:sz w:val="22"/>
                <w:szCs w:val="22"/>
              </w:rPr>
            </w:pPr>
          </w:p>
        </w:tc>
        <w:tc>
          <w:tcPr>
            <w:tcW w:w="1058" w:type="dxa"/>
            <w:vAlign w:val="center"/>
          </w:tcPr>
          <w:p w14:paraId="4255C2D1" w14:textId="77777777" w:rsidR="00211745" w:rsidRPr="006B20F1" w:rsidRDefault="00211745" w:rsidP="004E726A">
            <w:pPr>
              <w:widowControl w:val="0"/>
              <w:jc w:val="center"/>
              <w:rPr>
                <w:rFonts w:asciiTheme="minorHAnsi" w:hAnsiTheme="minorHAnsi" w:cstheme="minorHAnsi"/>
              </w:rPr>
            </w:pPr>
          </w:p>
        </w:tc>
        <w:tc>
          <w:tcPr>
            <w:tcW w:w="826" w:type="dxa"/>
            <w:gridSpan w:val="2"/>
            <w:vAlign w:val="center"/>
          </w:tcPr>
          <w:p w14:paraId="6F1FABC2" w14:textId="77777777" w:rsidR="00211745" w:rsidRPr="006B20F1" w:rsidRDefault="00211745" w:rsidP="004E726A">
            <w:pPr>
              <w:widowControl w:val="0"/>
              <w:jc w:val="center"/>
              <w:rPr>
                <w:rFonts w:asciiTheme="minorHAnsi" w:hAnsiTheme="minorHAnsi" w:cstheme="minorHAnsi"/>
              </w:rPr>
            </w:pPr>
          </w:p>
        </w:tc>
        <w:tc>
          <w:tcPr>
            <w:tcW w:w="1170" w:type="dxa"/>
            <w:vAlign w:val="center"/>
          </w:tcPr>
          <w:p w14:paraId="2D0D1788" w14:textId="77777777" w:rsidR="00211745" w:rsidRPr="006B20F1" w:rsidRDefault="00211745" w:rsidP="004E726A">
            <w:pPr>
              <w:widowControl w:val="0"/>
              <w:jc w:val="center"/>
              <w:rPr>
                <w:rFonts w:asciiTheme="minorHAnsi" w:hAnsiTheme="minorHAnsi" w:cstheme="minorHAnsi"/>
              </w:rPr>
            </w:pPr>
          </w:p>
        </w:tc>
        <w:tc>
          <w:tcPr>
            <w:tcW w:w="764" w:type="dxa"/>
            <w:vAlign w:val="center"/>
          </w:tcPr>
          <w:p w14:paraId="6A4C7F2A" w14:textId="77777777" w:rsidR="00211745" w:rsidRPr="006B20F1" w:rsidRDefault="00211745" w:rsidP="004E726A">
            <w:pPr>
              <w:widowControl w:val="0"/>
              <w:jc w:val="center"/>
              <w:rPr>
                <w:rFonts w:asciiTheme="minorHAnsi" w:hAnsiTheme="minorHAnsi" w:cstheme="minorHAnsi"/>
              </w:rPr>
            </w:pPr>
          </w:p>
        </w:tc>
        <w:tc>
          <w:tcPr>
            <w:tcW w:w="1170" w:type="dxa"/>
            <w:gridSpan w:val="2"/>
            <w:vAlign w:val="center"/>
          </w:tcPr>
          <w:p w14:paraId="13B76865" w14:textId="77777777" w:rsidR="00211745" w:rsidRPr="006B20F1" w:rsidRDefault="00211745" w:rsidP="004E726A">
            <w:pPr>
              <w:widowControl w:val="0"/>
              <w:jc w:val="center"/>
              <w:rPr>
                <w:rFonts w:asciiTheme="minorHAnsi" w:hAnsiTheme="minorHAnsi" w:cstheme="minorHAnsi"/>
              </w:rPr>
            </w:pPr>
          </w:p>
        </w:tc>
        <w:tc>
          <w:tcPr>
            <w:tcW w:w="1149" w:type="dxa"/>
            <w:vAlign w:val="center"/>
          </w:tcPr>
          <w:p w14:paraId="7E2CA103" w14:textId="77777777" w:rsidR="00211745" w:rsidRPr="006B20F1" w:rsidRDefault="00211745" w:rsidP="004E726A">
            <w:pPr>
              <w:widowControl w:val="0"/>
              <w:jc w:val="center"/>
              <w:rPr>
                <w:rFonts w:asciiTheme="minorHAnsi" w:hAnsiTheme="minorHAnsi" w:cstheme="minorHAnsi"/>
              </w:rPr>
            </w:pPr>
          </w:p>
        </w:tc>
        <w:tc>
          <w:tcPr>
            <w:tcW w:w="747" w:type="dxa"/>
            <w:vAlign w:val="center"/>
          </w:tcPr>
          <w:p w14:paraId="1129E462" w14:textId="77777777" w:rsidR="00211745" w:rsidRPr="006B20F1" w:rsidRDefault="00211745" w:rsidP="004E726A">
            <w:pPr>
              <w:widowControl w:val="0"/>
              <w:jc w:val="center"/>
              <w:rPr>
                <w:rFonts w:asciiTheme="minorHAnsi" w:hAnsiTheme="minorHAnsi" w:cstheme="minorHAnsi"/>
              </w:rPr>
            </w:pPr>
          </w:p>
        </w:tc>
        <w:tc>
          <w:tcPr>
            <w:tcW w:w="1305" w:type="dxa"/>
          </w:tcPr>
          <w:p w14:paraId="0F2B337C" w14:textId="77777777" w:rsidR="00211745" w:rsidRPr="006B20F1" w:rsidRDefault="00211745" w:rsidP="004E726A">
            <w:pPr>
              <w:widowControl w:val="0"/>
              <w:jc w:val="center"/>
              <w:rPr>
                <w:rFonts w:asciiTheme="minorHAnsi" w:hAnsiTheme="minorHAnsi" w:cstheme="minorHAnsi"/>
              </w:rPr>
            </w:pPr>
          </w:p>
        </w:tc>
        <w:tc>
          <w:tcPr>
            <w:tcW w:w="1568" w:type="dxa"/>
          </w:tcPr>
          <w:p w14:paraId="0762D226" w14:textId="77777777" w:rsidR="00211745" w:rsidRPr="006B20F1" w:rsidRDefault="00211745" w:rsidP="004E726A">
            <w:pPr>
              <w:widowControl w:val="0"/>
              <w:jc w:val="center"/>
              <w:rPr>
                <w:rFonts w:asciiTheme="minorHAnsi" w:hAnsiTheme="minorHAnsi" w:cstheme="minorHAnsi"/>
              </w:rPr>
            </w:pPr>
          </w:p>
        </w:tc>
        <w:tc>
          <w:tcPr>
            <w:tcW w:w="1016" w:type="dxa"/>
          </w:tcPr>
          <w:p w14:paraId="7524B4D2" w14:textId="77777777" w:rsidR="00211745" w:rsidRPr="006B20F1" w:rsidRDefault="00211745" w:rsidP="004E726A">
            <w:pPr>
              <w:widowControl w:val="0"/>
              <w:jc w:val="center"/>
              <w:rPr>
                <w:rFonts w:asciiTheme="minorHAnsi" w:hAnsiTheme="minorHAnsi" w:cstheme="minorHAnsi"/>
              </w:rPr>
            </w:pPr>
          </w:p>
        </w:tc>
      </w:tr>
      <w:tr w:rsidR="007A33C2" w:rsidRPr="006B20F1" w14:paraId="50A07971" w14:textId="77777777" w:rsidTr="0096245C">
        <w:trPr>
          <w:trHeight w:val="845"/>
        </w:trPr>
        <w:tc>
          <w:tcPr>
            <w:tcW w:w="1725" w:type="dxa"/>
            <w:vAlign w:val="center"/>
          </w:tcPr>
          <w:p w14:paraId="741CF050" w14:textId="77777777" w:rsidR="00211745" w:rsidRPr="006B20F1" w:rsidRDefault="00211745" w:rsidP="004E726A">
            <w:pPr>
              <w:widowControl w:val="0"/>
              <w:jc w:val="center"/>
              <w:rPr>
                <w:rFonts w:asciiTheme="minorHAnsi" w:hAnsiTheme="minorHAnsi" w:cstheme="minorHAnsi"/>
                <w:sz w:val="22"/>
                <w:szCs w:val="22"/>
              </w:rPr>
            </w:pPr>
            <w:r w:rsidRPr="006B20F1">
              <w:rPr>
                <w:rFonts w:asciiTheme="minorHAnsi" w:hAnsiTheme="minorHAnsi" w:cstheme="minorHAnsi"/>
                <w:sz w:val="22"/>
                <w:szCs w:val="22"/>
              </w:rPr>
              <w:t xml:space="preserve">First/Mid-Level Officials </w:t>
            </w:r>
            <w:r>
              <w:rPr>
                <w:rFonts w:asciiTheme="minorHAnsi" w:hAnsiTheme="minorHAnsi" w:cstheme="minorHAnsi"/>
                <w:sz w:val="22"/>
                <w:szCs w:val="22"/>
              </w:rPr>
              <w:t>&amp;</w:t>
            </w:r>
            <w:r w:rsidRPr="006B20F1">
              <w:rPr>
                <w:rFonts w:asciiTheme="minorHAnsi" w:hAnsiTheme="minorHAnsi" w:cstheme="minorHAnsi"/>
                <w:sz w:val="22"/>
                <w:szCs w:val="22"/>
              </w:rPr>
              <w:t xml:space="preserve"> Managers</w:t>
            </w:r>
          </w:p>
        </w:tc>
        <w:tc>
          <w:tcPr>
            <w:tcW w:w="682" w:type="dxa"/>
            <w:vAlign w:val="center"/>
          </w:tcPr>
          <w:p w14:paraId="153C1704" w14:textId="77777777" w:rsidR="00211745" w:rsidRPr="006B20F1" w:rsidRDefault="00211745" w:rsidP="004E726A">
            <w:pPr>
              <w:widowControl w:val="0"/>
              <w:jc w:val="center"/>
              <w:rPr>
                <w:rFonts w:asciiTheme="minorHAnsi" w:hAnsiTheme="minorHAnsi" w:cstheme="minorHAnsi"/>
                <w:sz w:val="22"/>
                <w:szCs w:val="22"/>
              </w:rPr>
            </w:pPr>
          </w:p>
        </w:tc>
        <w:tc>
          <w:tcPr>
            <w:tcW w:w="881" w:type="dxa"/>
            <w:vAlign w:val="center"/>
          </w:tcPr>
          <w:p w14:paraId="3D4BA1EF" w14:textId="77777777" w:rsidR="00211745" w:rsidRPr="006B20F1" w:rsidRDefault="00211745" w:rsidP="004E726A">
            <w:pPr>
              <w:widowControl w:val="0"/>
              <w:jc w:val="center"/>
              <w:rPr>
                <w:rFonts w:asciiTheme="minorHAnsi" w:hAnsiTheme="minorHAnsi" w:cstheme="minorHAnsi"/>
                <w:sz w:val="22"/>
                <w:szCs w:val="22"/>
              </w:rPr>
            </w:pPr>
          </w:p>
        </w:tc>
        <w:tc>
          <w:tcPr>
            <w:tcW w:w="1058" w:type="dxa"/>
            <w:vAlign w:val="center"/>
          </w:tcPr>
          <w:p w14:paraId="1990317B" w14:textId="77777777" w:rsidR="00211745" w:rsidRPr="006B20F1" w:rsidRDefault="00211745" w:rsidP="004E726A">
            <w:pPr>
              <w:widowControl w:val="0"/>
              <w:jc w:val="center"/>
              <w:rPr>
                <w:rFonts w:asciiTheme="minorHAnsi" w:hAnsiTheme="minorHAnsi" w:cstheme="minorHAnsi"/>
              </w:rPr>
            </w:pPr>
          </w:p>
        </w:tc>
        <w:tc>
          <w:tcPr>
            <w:tcW w:w="826" w:type="dxa"/>
            <w:gridSpan w:val="2"/>
            <w:vAlign w:val="center"/>
          </w:tcPr>
          <w:p w14:paraId="4BC7057D" w14:textId="77777777" w:rsidR="00211745" w:rsidRPr="006B20F1" w:rsidRDefault="00211745" w:rsidP="004E726A">
            <w:pPr>
              <w:widowControl w:val="0"/>
              <w:jc w:val="center"/>
              <w:rPr>
                <w:rFonts w:asciiTheme="minorHAnsi" w:hAnsiTheme="minorHAnsi" w:cstheme="minorHAnsi"/>
              </w:rPr>
            </w:pPr>
          </w:p>
        </w:tc>
        <w:tc>
          <w:tcPr>
            <w:tcW w:w="1170" w:type="dxa"/>
            <w:vAlign w:val="center"/>
          </w:tcPr>
          <w:p w14:paraId="2D2A6307" w14:textId="77777777" w:rsidR="00211745" w:rsidRPr="006B20F1" w:rsidRDefault="00211745" w:rsidP="004E726A">
            <w:pPr>
              <w:widowControl w:val="0"/>
              <w:jc w:val="center"/>
              <w:rPr>
                <w:rFonts w:asciiTheme="minorHAnsi" w:hAnsiTheme="minorHAnsi" w:cstheme="minorHAnsi"/>
              </w:rPr>
            </w:pPr>
          </w:p>
        </w:tc>
        <w:tc>
          <w:tcPr>
            <w:tcW w:w="764" w:type="dxa"/>
            <w:vAlign w:val="center"/>
          </w:tcPr>
          <w:p w14:paraId="4E25DC7B" w14:textId="77777777" w:rsidR="00211745" w:rsidRPr="006B20F1" w:rsidRDefault="00211745" w:rsidP="004E726A">
            <w:pPr>
              <w:widowControl w:val="0"/>
              <w:jc w:val="center"/>
              <w:rPr>
                <w:rFonts w:asciiTheme="minorHAnsi" w:hAnsiTheme="minorHAnsi" w:cstheme="minorHAnsi"/>
              </w:rPr>
            </w:pPr>
          </w:p>
        </w:tc>
        <w:tc>
          <w:tcPr>
            <w:tcW w:w="1170" w:type="dxa"/>
            <w:gridSpan w:val="2"/>
            <w:vAlign w:val="center"/>
          </w:tcPr>
          <w:p w14:paraId="1D884BD4" w14:textId="77777777" w:rsidR="00211745" w:rsidRPr="006B20F1" w:rsidRDefault="00211745" w:rsidP="004E726A">
            <w:pPr>
              <w:widowControl w:val="0"/>
              <w:jc w:val="center"/>
              <w:rPr>
                <w:rFonts w:asciiTheme="minorHAnsi" w:hAnsiTheme="minorHAnsi" w:cstheme="minorHAnsi"/>
              </w:rPr>
            </w:pPr>
          </w:p>
        </w:tc>
        <w:tc>
          <w:tcPr>
            <w:tcW w:w="1149" w:type="dxa"/>
            <w:vAlign w:val="center"/>
          </w:tcPr>
          <w:p w14:paraId="10D1C222" w14:textId="77777777" w:rsidR="00211745" w:rsidRPr="006B20F1" w:rsidRDefault="00211745" w:rsidP="004E726A">
            <w:pPr>
              <w:widowControl w:val="0"/>
              <w:jc w:val="center"/>
              <w:rPr>
                <w:rFonts w:asciiTheme="minorHAnsi" w:hAnsiTheme="minorHAnsi" w:cstheme="minorHAnsi"/>
              </w:rPr>
            </w:pPr>
          </w:p>
        </w:tc>
        <w:tc>
          <w:tcPr>
            <w:tcW w:w="747" w:type="dxa"/>
            <w:vAlign w:val="center"/>
          </w:tcPr>
          <w:p w14:paraId="5A115C14" w14:textId="77777777" w:rsidR="00211745" w:rsidRPr="006B20F1" w:rsidRDefault="00211745" w:rsidP="004E726A">
            <w:pPr>
              <w:widowControl w:val="0"/>
              <w:jc w:val="center"/>
              <w:rPr>
                <w:rFonts w:asciiTheme="minorHAnsi" w:hAnsiTheme="minorHAnsi" w:cstheme="minorHAnsi"/>
              </w:rPr>
            </w:pPr>
          </w:p>
        </w:tc>
        <w:tc>
          <w:tcPr>
            <w:tcW w:w="1305" w:type="dxa"/>
            <w:vAlign w:val="center"/>
          </w:tcPr>
          <w:p w14:paraId="67066147" w14:textId="77777777" w:rsidR="00211745" w:rsidRPr="006B20F1" w:rsidRDefault="00211745" w:rsidP="004E726A">
            <w:pPr>
              <w:widowControl w:val="0"/>
              <w:jc w:val="center"/>
              <w:rPr>
                <w:rFonts w:asciiTheme="minorHAnsi" w:hAnsiTheme="minorHAnsi" w:cstheme="minorHAnsi"/>
              </w:rPr>
            </w:pPr>
          </w:p>
        </w:tc>
        <w:tc>
          <w:tcPr>
            <w:tcW w:w="1568" w:type="dxa"/>
            <w:vAlign w:val="center"/>
          </w:tcPr>
          <w:p w14:paraId="7ACEBDDA" w14:textId="77777777" w:rsidR="00211745" w:rsidRPr="006B20F1" w:rsidRDefault="00211745" w:rsidP="004E726A">
            <w:pPr>
              <w:widowControl w:val="0"/>
              <w:jc w:val="center"/>
              <w:rPr>
                <w:rFonts w:asciiTheme="minorHAnsi" w:hAnsiTheme="minorHAnsi" w:cstheme="minorHAnsi"/>
              </w:rPr>
            </w:pPr>
          </w:p>
        </w:tc>
        <w:tc>
          <w:tcPr>
            <w:tcW w:w="1016" w:type="dxa"/>
            <w:vAlign w:val="center"/>
          </w:tcPr>
          <w:p w14:paraId="685644F6" w14:textId="77777777" w:rsidR="00211745" w:rsidRPr="006B20F1" w:rsidRDefault="00211745" w:rsidP="004E726A">
            <w:pPr>
              <w:widowControl w:val="0"/>
              <w:jc w:val="center"/>
              <w:rPr>
                <w:rFonts w:asciiTheme="minorHAnsi" w:hAnsiTheme="minorHAnsi" w:cstheme="minorHAnsi"/>
              </w:rPr>
            </w:pPr>
          </w:p>
        </w:tc>
      </w:tr>
      <w:tr w:rsidR="007A33C2" w:rsidRPr="006B20F1" w14:paraId="37078890" w14:textId="77777777" w:rsidTr="0096245C">
        <w:trPr>
          <w:trHeight w:val="407"/>
        </w:trPr>
        <w:tc>
          <w:tcPr>
            <w:tcW w:w="1725" w:type="dxa"/>
            <w:vAlign w:val="center"/>
          </w:tcPr>
          <w:p w14:paraId="375FC95B" w14:textId="77777777" w:rsidR="00211745" w:rsidRPr="006B20F1" w:rsidRDefault="00211745" w:rsidP="004E726A">
            <w:pPr>
              <w:widowControl w:val="0"/>
              <w:jc w:val="center"/>
              <w:rPr>
                <w:rFonts w:asciiTheme="minorHAnsi" w:hAnsiTheme="minorHAnsi" w:cstheme="minorHAnsi"/>
                <w:sz w:val="22"/>
                <w:szCs w:val="22"/>
              </w:rPr>
            </w:pPr>
            <w:r w:rsidRPr="006B20F1">
              <w:rPr>
                <w:rFonts w:asciiTheme="minorHAnsi" w:hAnsiTheme="minorHAnsi" w:cstheme="minorHAnsi"/>
                <w:sz w:val="22"/>
                <w:szCs w:val="22"/>
              </w:rPr>
              <w:t>Professionals</w:t>
            </w:r>
          </w:p>
        </w:tc>
        <w:tc>
          <w:tcPr>
            <w:tcW w:w="682" w:type="dxa"/>
            <w:vAlign w:val="center"/>
          </w:tcPr>
          <w:p w14:paraId="70BC71B6" w14:textId="77777777" w:rsidR="00211745" w:rsidRPr="006B20F1" w:rsidRDefault="00211745" w:rsidP="004E726A">
            <w:pPr>
              <w:widowControl w:val="0"/>
              <w:jc w:val="center"/>
              <w:rPr>
                <w:rFonts w:asciiTheme="minorHAnsi" w:hAnsiTheme="minorHAnsi" w:cstheme="minorHAnsi"/>
                <w:sz w:val="22"/>
                <w:szCs w:val="22"/>
              </w:rPr>
            </w:pPr>
          </w:p>
        </w:tc>
        <w:tc>
          <w:tcPr>
            <w:tcW w:w="881" w:type="dxa"/>
            <w:vAlign w:val="center"/>
          </w:tcPr>
          <w:p w14:paraId="0863422A" w14:textId="77777777" w:rsidR="00211745" w:rsidRPr="006B20F1" w:rsidRDefault="00211745" w:rsidP="004E726A">
            <w:pPr>
              <w:widowControl w:val="0"/>
              <w:jc w:val="center"/>
              <w:rPr>
                <w:rFonts w:asciiTheme="minorHAnsi" w:hAnsiTheme="minorHAnsi" w:cstheme="minorHAnsi"/>
                <w:sz w:val="22"/>
                <w:szCs w:val="22"/>
              </w:rPr>
            </w:pPr>
          </w:p>
        </w:tc>
        <w:tc>
          <w:tcPr>
            <w:tcW w:w="1058" w:type="dxa"/>
            <w:vAlign w:val="center"/>
          </w:tcPr>
          <w:p w14:paraId="62EE0039" w14:textId="77777777" w:rsidR="00211745" w:rsidRPr="006B20F1" w:rsidRDefault="00211745" w:rsidP="004E726A">
            <w:pPr>
              <w:widowControl w:val="0"/>
              <w:jc w:val="center"/>
              <w:rPr>
                <w:rFonts w:asciiTheme="minorHAnsi" w:hAnsiTheme="minorHAnsi" w:cstheme="minorHAnsi"/>
              </w:rPr>
            </w:pPr>
          </w:p>
        </w:tc>
        <w:tc>
          <w:tcPr>
            <w:tcW w:w="826" w:type="dxa"/>
            <w:gridSpan w:val="2"/>
            <w:vAlign w:val="center"/>
          </w:tcPr>
          <w:p w14:paraId="5F8B8909" w14:textId="77777777" w:rsidR="00211745" w:rsidRPr="006B20F1" w:rsidRDefault="00211745" w:rsidP="004E726A">
            <w:pPr>
              <w:widowControl w:val="0"/>
              <w:jc w:val="center"/>
              <w:rPr>
                <w:rFonts w:asciiTheme="minorHAnsi" w:hAnsiTheme="minorHAnsi" w:cstheme="minorHAnsi"/>
              </w:rPr>
            </w:pPr>
          </w:p>
        </w:tc>
        <w:tc>
          <w:tcPr>
            <w:tcW w:w="1170" w:type="dxa"/>
            <w:vAlign w:val="center"/>
          </w:tcPr>
          <w:p w14:paraId="0715018E" w14:textId="77777777" w:rsidR="00211745" w:rsidRPr="006B20F1" w:rsidRDefault="00211745" w:rsidP="004E726A">
            <w:pPr>
              <w:widowControl w:val="0"/>
              <w:jc w:val="center"/>
              <w:rPr>
                <w:rFonts w:asciiTheme="minorHAnsi" w:hAnsiTheme="minorHAnsi" w:cstheme="minorHAnsi"/>
              </w:rPr>
            </w:pPr>
          </w:p>
        </w:tc>
        <w:tc>
          <w:tcPr>
            <w:tcW w:w="764" w:type="dxa"/>
            <w:vAlign w:val="center"/>
          </w:tcPr>
          <w:p w14:paraId="4BE94B8C" w14:textId="77777777" w:rsidR="00211745" w:rsidRPr="006B20F1" w:rsidRDefault="00211745" w:rsidP="004E726A">
            <w:pPr>
              <w:widowControl w:val="0"/>
              <w:jc w:val="center"/>
              <w:rPr>
                <w:rFonts w:asciiTheme="minorHAnsi" w:hAnsiTheme="minorHAnsi" w:cstheme="minorHAnsi"/>
              </w:rPr>
            </w:pPr>
          </w:p>
        </w:tc>
        <w:tc>
          <w:tcPr>
            <w:tcW w:w="1170" w:type="dxa"/>
            <w:gridSpan w:val="2"/>
            <w:vAlign w:val="center"/>
          </w:tcPr>
          <w:p w14:paraId="50042515" w14:textId="77777777" w:rsidR="00211745" w:rsidRPr="006B20F1" w:rsidRDefault="00211745" w:rsidP="004E726A">
            <w:pPr>
              <w:widowControl w:val="0"/>
              <w:jc w:val="center"/>
              <w:rPr>
                <w:rFonts w:asciiTheme="minorHAnsi" w:hAnsiTheme="minorHAnsi" w:cstheme="minorHAnsi"/>
              </w:rPr>
            </w:pPr>
          </w:p>
        </w:tc>
        <w:tc>
          <w:tcPr>
            <w:tcW w:w="1149" w:type="dxa"/>
            <w:vAlign w:val="center"/>
          </w:tcPr>
          <w:p w14:paraId="4A0F6DB2" w14:textId="77777777" w:rsidR="00211745" w:rsidRPr="006B20F1" w:rsidRDefault="00211745" w:rsidP="004E726A">
            <w:pPr>
              <w:widowControl w:val="0"/>
              <w:jc w:val="center"/>
              <w:rPr>
                <w:rFonts w:asciiTheme="minorHAnsi" w:hAnsiTheme="minorHAnsi" w:cstheme="minorHAnsi"/>
              </w:rPr>
            </w:pPr>
          </w:p>
        </w:tc>
        <w:tc>
          <w:tcPr>
            <w:tcW w:w="747" w:type="dxa"/>
            <w:vAlign w:val="center"/>
          </w:tcPr>
          <w:p w14:paraId="4CF0220D" w14:textId="77777777" w:rsidR="00211745" w:rsidRPr="006B20F1" w:rsidRDefault="00211745" w:rsidP="004E726A">
            <w:pPr>
              <w:widowControl w:val="0"/>
              <w:jc w:val="center"/>
              <w:rPr>
                <w:rFonts w:asciiTheme="minorHAnsi" w:hAnsiTheme="minorHAnsi" w:cstheme="minorHAnsi"/>
              </w:rPr>
            </w:pPr>
          </w:p>
        </w:tc>
        <w:tc>
          <w:tcPr>
            <w:tcW w:w="1305" w:type="dxa"/>
            <w:vAlign w:val="center"/>
          </w:tcPr>
          <w:p w14:paraId="33572524" w14:textId="77777777" w:rsidR="00211745" w:rsidRPr="006B20F1" w:rsidRDefault="00211745" w:rsidP="004E726A">
            <w:pPr>
              <w:widowControl w:val="0"/>
              <w:jc w:val="center"/>
              <w:rPr>
                <w:rFonts w:asciiTheme="minorHAnsi" w:hAnsiTheme="minorHAnsi" w:cstheme="minorHAnsi"/>
              </w:rPr>
            </w:pPr>
          </w:p>
        </w:tc>
        <w:tc>
          <w:tcPr>
            <w:tcW w:w="1568" w:type="dxa"/>
            <w:vAlign w:val="center"/>
          </w:tcPr>
          <w:p w14:paraId="31389671" w14:textId="77777777" w:rsidR="00211745" w:rsidRPr="006B20F1" w:rsidRDefault="00211745" w:rsidP="004E726A">
            <w:pPr>
              <w:widowControl w:val="0"/>
              <w:jc w:val="center"/>
              <w:rPr>
                <w:rFonts w:asciiTheme="minorHAnsi" w:hAnsiTheme="minorHAnsi" w:cstheme="minorHAnsi"/>
              </w:rPr>
            </w:pPr>
          </w:p>
        </w:tc>
        <w:tc>
          <w:tcPr>
            <w:tcW w:w="1016" w:type="dxa"/>
            <w:vAlign w:val="center"/>
          </w:tcPr>
          <w:p w14:paraId="62F04803" w14:textId="77777777" w:rsidR="00211745" w:rsidRPr="006B20F1" w:rsidRDefault="00211745" w:rsidP="004E726A">
            <w:pPr>
              <w:widowControl w:val="0"/>
              <w:jc w:val="center"/>
              <w:rPr>
                <w:rFonts w:asciiTheme="minorHAnsi" w:hAnsiTheme="minorHAnsi" w:cstheme="minorHAnsi"/>
              </w:rPr>
            </w:pPr>
          </w:p>
        </w:tc>
      </w:tr>
      <w:tr w:rsidR="007A33C2" w:rsidRPr="006B20F1" w14:paraId="4EB4CCE4" w14:textId="77777777" w:rsidTr="0096245C">
        <w:trPr>
          <w:trHeight w:val="452"/>
        </w:trPr>
        <w:tc>
          <w:tcPr>
            <w:tcW w:w="1725" w:type="dxa"/>
            <w:vAlign w:val="center"/>
          </w:tcPr>
          <w:p w14:paraId="370EBE40" w14:textId="77777777" w:rsidR="00211745" w:rsidRPr="006B20F1" w:rsidRDefault="00211745" w:rsidP="004E726A">
            <w:pPr>
              <w:widowControl w:val="0"/>
              <w:jc w:val="center"/>
              <w:rPr>
                <w:rFonts w:asciiTheme="minorHAnsi" w:hAnsiTheme="minorHAnsi" w:cstheme="minorHAnsi"/>
                <w:sz w:val="22"/>
                <w:szCs w:val="22"/>
              </w:rPr>
            </w:pPr>
            <w:r w:rsidRPr="006B20F1">
              <w:rPr>
                <w:rFonts w:asciiTheme="minorHAnsi" w:hAnsiTheme="minorHAnsi" w:cstheme="minorHAnsi"/>
                <w:sz w:val="22"/>
                <w:szCs w:val="22"/>
              </w:rPr>
              <w:t>Technicians</w:t>
            </w:r>
          </w:p>
        </w:tc>
        <w:tc>
          <w:tcPr>
            <w:tcW w:w="682" w:type="dxa"/>
            <w:vAlign w:val="center"/>
          </w:tcPr>
          <w:p w14:paraId="4BA57118" w14:textId="77777777" w:rsidR="00211745" w:rsidRPr="006B20F1" w:rsidRDefault="00211745" w:rsidP="004E726A">
            <w:pPr>
              <w:widowControl w:val="0"/>
              <w:jc w:val="center"/>
              <w:rPr>
                <w:rFonts w:asciiTheme="minorHAnsi" w:hAnsiTheme="minorHAnsi" w:cstheme="minorHAnsi"/>
                <w:sz w:val="22"/>
                <w:szCs w:val="22"/>
              </w:rPr>
            </w:pPr>
          </w:p>
        </w:tc>
        <w:tc>
          <w:tcPr>
            <w:tcW w:w="881" w:type="dxa"/>
            <w:vAlign w:val="center"/>
          </w:tcPr>
          <w:p w14:paraId="24F08960" w14:textId="77777777" w:rsidR="00211745" w:rsidRPr="006B20F1" w:rsidRDefault="00211745" w:rsidP="004E726A">
            <w:pPr>
              <w:widowControl w:val="0"/>
              <w:jc w:val="center"/>
              <w:rPr>
                <w:rFonts w:asciiTheme="minorHAnsi" w:hAnsiTheme="minorHAnsi" w:cstheme="minorHAnsi"/>
                <w:sz w:val="22"/>
                <w:szCs w:val="22"/>
              </w:rPr>
            </w:pPr>
          </w:p>
        </w:tc>
        <w:tc>
          <w:tcPr>
            <w:tcW w:w="1058" w:type="dxa"/>
            <w:vAlign w:val="center"/>
          </w:tcPr>
          <w:p w14:paraId="3AD2F1AE" w14:textId="77777777" w:rsidR="00211745" w:rsidRPr="006B20F1" w:rsidRDefault="00211745" w:rsidP="004E726A">
            <w:pPr>
              <w:widowControl w:val="0"/>
              <w:jc w:val="center"/>
              <w:rPr>
                <w:rFonts w:asciiTheme="minorHAnsi" w:hAnsiTheme="minorHAnsi" w:cstheme="minorHAnsi"/>
              </w:rPr>
            </w:pPr>
          </w:p>
        </w:tc>
        <w:tc>
          <w:tcPr>
            <w:tcW w:w="826" w:type="dxa"/>
            <w:gridSpan w:val="2"/>
            <w:vAlign w:val="center"/>
          </w:tcPr>
          <w:p w14:paraId="498E76D4" w14:textId="77777777" w:rsidR="00211745" w:rsidRPr="006B20F1" w:rsidRDefault="00211745" w:rsidP="004E726A">
            <w:pPr>
              <w:widowControl w:val="0"/>
              <w:jc w:val="center"/>
              <w:rPr>
                <w:rFonts w:asciiTheme="minorHAnsi" w:hAnsiTheme="minorHAnsi" w:cstheme="minorHAnsi"/>
              </w:rPr>
            </w:pPr>
          </w:p>
        </w:tc>
        <w:tc>
          <w:tcPr>
            <w:tcW w:w="1170" w:type="dxa"/>
            <w:vAlign w:val="center"/>
          </w:tcPr>
          <w:p w14:paraId="79717BF4" w14:textId="77777777" w:rsidR="00211745" w:rsidRPr="006B20F1" w:rsidRDefault="00211745" w:rsidP="004E726A">
            <w:pPr>
              <w:widowControl w:val="0"/>
              <w:jc w:val="center"/>
              <w:rPr>
                <w:rFonts w:asciiTheme="minorHAnsi" w:hAnsiTheme="minorHAnsi" w:cstheme="minorHAnsi"/>
              </w:rPr>
            </w:pPr>
          </w:p>
        </w:tc>
        <w:tc>
          <w:tcPr>
            <w:tcW w:w="764" w:type="dxa"/>
            <w:vAlign w:val="center"/>
          </w:tcPr>
          <w:p w14:paraId="11AD30C9" w14:textId="77777777" w:rsidR="00211745" w:rsidRPr="006B20F1" w:rsidRDefault="00211745" w:rsidP="004E726A">
            <w:pPr>
              <w:widowControl w:val="0"/>
              <w:jc w:val="center"/>
              <w:rPr>
                <w:rFonts w:asciiTheme="minorHAnsi" w:hAnsiTheme="minorHAnsi" w:cstheme="minorHAnsi"/>
              </w:rPr>
            </w:pPr>
          </w:p>
        </w:tc>
        <w:tc>
          <w:tcPr>
            <w:tcW w:w="1170" w:type="dxa"/>
            <w:gridSpan w:val="2"/>
            <w:vAlign w:val="center"/>
          </w:tcPr>
          <w:p w14:paraId="3C354D49" w14:textId="77777777" w:rsidR="00211745" w:rsidRPr="006B20F1" w:rsidRDefault="00211745" w:rsidP="004E726A">
            <w:pPr>
              <w:widowControl w:val="0"/>
              <w:jc w:val="center"/>
              <w:rPr>
                <w:rFonts w:asciiTheme="minorHAnsi" w:hAnsiTheme="minorHAnsi" w:cstheme="minorHAnsi"/>
              </w:rPr>
            </w:pPr>
          </w:p>
        </w:tc>
        <w:tc>
          <w:tcPr>
            <w:tcW w:w="1149" w:type="dxa"/>
            <w:vAlign w:val="center"/>
          </w:tcPr>
          <w:p w14:paraId="63E2C12F" w14:textId="77777777" w:rsidR="00211745" w:rsidRPr="006B20F1" w:rsidRDefault="00211745" w:rsidP="004E726A">
            <w:pPr>
              <w:widowControl w:val="0"/>
              <w:jc w:val="center"/>
              <w:rPr>
                <w:rFonts w:asciiTheme="minorHAnsi" w:hAnsiTheme="minorHAnsi" w:cstheme="minorHAnsi"/>
              </w:rPr>
            </w:pPr>
          </w:p>
        </w:tc>
        <w:tc>
          <w:tcPr>
            <w:tcW w:w="747" w:type="dxa"/>
            <w:vAlign w:val="center"/>
          </w:tcPr>
          <w:p w14:paraId="0D1A15D9" w14:textId="77777777" w:rsidR="00211745" w:rsidRPr="006B20F1" w:rsidRDefault="00211745" w:rsidP="004E726A">
            <w:pPr>
              <w:widowControl w:val="0"/>
              <w:jc w:val="center"/>
              <w:rPr>
                <w:rFonts w:asciiTheme="minorHAnsi" w:hAnsiTheme="minorHAnsi" w:cstheme="minorHAnsi"/>
              </w:rPr>
            </w:pPr>
          </w:p>
        </w:tc>
        <w:tc>
          <w:tcPr>
            <w:tcW w:w="1305" w:type="dxa"/>
            <w:vAlign w:val="center"/>
          </w:tcPr>
          <w:p w14:paraId="3CC4DD48" w14:textId="77777777" w:rsidR="00211745" w:rsidRPr="006B20F1" w:rsidRDefault="00211745" w:rsidP="004E726A">
            <w:pPr>
              <w:widowControl w:val="0"/>
              <w:jc w:val="center"/>
              <w:rPr>
                <w:rFonts w:asciiTheme="minorHAnsi" w:hAnsiTheme="minorHAnsi" w:cstheme="minorHAnsi"/>
              </w:rPr>
            </w:pPr>
          </w:p>
        </w:tc>
        <w:tc>
          <w:tcPr>
            <w:tcW w:w="1568" w:type="dxa"/>
            <w:vAlign w:val="center"/>
          </w:tcPr>
          <w:p w14:paraId="6769D684" w14:textId="77777777" w:rsidR="00211745" w:rsidRPr="006B20F1" w:rsidRDefault="00211745" w:rsidP="004E726A">
            <w:pPr>
              <w:widowControl w:val="0"/>
              <w:jc w:val="center"/>
              <w:rPr>
                <w:rFonts w:asciiTheme="minorHAnsi" w:hAnsiTheme="minorHAnsi" w:cstheme="minorHAnsi"/>
              </w:rPr>
            </w:pPr>
          </w:p>
        </w:tc>
        <w:tc>
          <w:tcPr>
            <w:tcW w:w="1016" w:type="dxa"/>
            <w:vAlign w:val="center"/>
          </w:tcPr>
          <w:p w14:paraId="62576B1B" w14:textId="77777777" w:rsidR="00211745" w:rsidRPr="006B20F1" w:rsidRDefault="00211745" w:rsidP="004E726A">
            <w:pPr>
              <w:widowControl w:val="0"/>
              <w:jc w:val="center"/>
              <w:rPr>
                <w:rFonts w:asciiTheme="minorHAnsi" w:hAnsiTheme="minorHAnsi" w:cstheme="minorHAnsi"/>
              </w:rPr>
            </w:pPr>
          </w:p>
        </w:tc>
      </w:tr>
      <w:tr w:rsidR="007A33C2" w:rsidRPr="006B20F1" w14:paraId="71268BD6" w14:textId="77777777" w:rsidTr="0096245C">
        <w:trPr>
          <w:trHeight w:val="524"/>
        </w:trPr>
        <w:tc>
          <w:tcPr>
            <w:tcW w:w="1725" w:type="dxa"/>
            <w:vAlign w:val="center"/>
          </w:tcPr>
          <w:p w14:paraId="092517C1" w14:textId="77777777" w:rsidR="00211745" w:rsidRPr="006B20F1" w:rsidRDefault="00211745" w:rsidP="004E726A">
            <w:pPr>
              <w:widowControl w:val="0"/>
              <w:jc w:val="center"/>
              <w:rPr>
                <w:rFonts w:asciiTheme="minorHAnsi" w:hAnsiTheme="minorHAnsi" w:cstheme="minorHAnsi"/>
                <w:sz w:val="22"/>
                <w:szCs w:val="22"/>
              </w:rPr>
            </w:pPr>
            <w:r w:rsidRPr="006B20F1">
              <w:rPr>
                <w:rFonts w:asciiTheme="minorHAnsi" w:hAnsiTheme="minorHAnsi" w:cstheme="minorHAnsi"/>
                <w:sz w:val="22"/>
                <w:szCs w:val="22"/>
              </w:rPr>
              <w:t>Administrative Support Workers</w:t>
            </w:r>
          </w:p>
        </w:tc>
        <w:tc>
          <w:tcPr>
            <w:tcW w:w="682" w:type="dxa"/>
            <w:vAlign w:val="center"/>
          </w:tcPr>
          <w:p w14:paraId="6F0D012E" w14:textId="77777777" w:rsidR="00211745" w:rsidRPr="006B20F1" w:rsidRDefault="00211745" w:rsidP="004E726A">
            <w:pPr>
              <w:widowControl w:val="0"/>
              <w:jc w:val="center"/>
              <w:rPr>
                <w:rFonts w:asciiTheme="minorHAnsi" w:hAnsiTheme="minorHAnsi" w:cstheme="minorHAnsi"/>
                <w:sz w:val="22"/>
                <w:szCs w:val="22"/>
              </w:rPr>
            </w:pPr>
          </w:p>
        </w:tc>
        <w:tc>
          <w:tcPr>
            <w:tcW w:w="881" w:type="dxa"/>
            <w:vAlign w:val="center"/>
          </w:tcPr>
          <w:p w14:paraId="60F33925" w14:textId="77777777" w:rsidR="00211745" w:rsidRPr="006B20F1" w:rsidRDefault="00211745" w:rsidP="004E726A">
            <w:pPr>
              <w:widowControl w:val="0"/>
              <w:jc w:val="center"/>
              <w:rPr>
                <w:rFonts w:asciiTheme="minorHAnsi" w:hAnsiTheme="minorHAnsi" w:cstheme="minorHAnsi"/>
                <w:sz w:val="22"/>
                <w:szCs w:val="22"/>
              </w:rPr>
            </w:pPr>
          </w:p>
        </w:tc>
        <w:tc>
          <w:tcPr>
            <w:tcW w:w="1058" w:type="dxa"/>
            <w:vAlign w:val="center"/>
          </w:tcPr>
          <w:p w14:paraId="6DE42EF5" w14:textId="77777777" w:rsidR="00211745" w:rsidRPr="006B20F1" w:rsidRDefault="00211745" w:rsidP="004E726A">
            <w:pPr>
              <w:widowControl w:val="0"/>
              <w:jc w:val="center"/>
              <w:rPr>
                <w:rFonts w:asciiTheme="minorHAnsi" w:hAnsiTheme="minorHAnsi" w:cstheme="minorHAnsi"/>
              </w:rPr>
            </w:pPr>
          </w:p>
        </w:tc>
        <w:tc>
          <w:tcPr>
            <w:tcW w:w="826" w:type="dxa"/>
            <w:gridSpan w:val="2"/>
            <w:vAlign w:val="center"/>
          </w:tcPr>
          <w:p w14:paraId="65EA6A22" w14:textId="77777777" w:rsidR="00211745" w:rsidRPr="006B20F1" w:rsidRDefault="00211745" w:rsidP="004E726A">
            <w:pPr>
              <w:widowControl w:val="0"/>
              <w:jc w:val="center"/>
              <w:rPr>
                <w:rFonts w:asciiTheme="minorHAnsi" w:hAnsiTheme="minorHAnsi" w:cstheme="minorHAnsi"/>
              </w:rPr>
            </w:pPr>
          </w:p>
        </w:tc>
        <w:tc>
          <w:tcPr>
            <w:tcW w:w="1170" w:type="dxa"/>
            <w:vAlign w:val="center"/>
          </w:tcPr>
          <w:p w14:paraId="6CF68160" w14:textId="77777777" w:rsidR="00211745" w:rsidRPr="006B20F1" w:rsidRDefault="00211745" w:rsidP="004E726A">
            <w:pPr>
              <w:widowControl w:val="0"/>
              <w:jc w:val="center"/>
              <w:rPr>
                <w:rFonts w:asciiTheme="minorHAnsi" w:hAnsiTheme="minorHAnsi" w:cstheme="minorHAnsi"/>
              </w:rPr>
            </w:pPr>
          </w:p>
        </w:tc>
        <w:tc>
          <w:tcPr>
            <w:tcW w:w="764" w:type="dxa"/>
            <w:vAlign w:val="center"/>
          </w:tcPr>
          <w:p w14:paraId="47CE36B6" w14:textId="77777777" w:rsidR="00211745" w:rsidRPr="006B20F1" w:rsidRDefault="00211745" w:rsidP="004E726A">
            <w:pPr>
              <w:widowControl w:val="0"/>
              <w:jc w:val="center"/>
              <w:rPr>
                <w:rFonts w:asciiTheme="minorHAnsi" w:hAnsiTheme="minorHAnsi" w:cstheme="minorHAnsi"/>
              </w:rPr>
            </w:pPr>
          </w:p>
        </w:tc>
        <w:tc>
          <w:tcPr>
            <w:tcW w:w="1170" w:type="dxa"/>
            <w:gridSpan w:val="2"/>
            <w:vAlign w:val="center"/>
          </w:tcPr>
          <w:p w14:paraId="4D15C141" w14:textId="77777777" w:rsidR="00211745" w:rsidRPr="006B20F1" w:rsidRDefault="00211745" w:rsidP="004E726A">
            <w:pPr>
              <w:widowControl w:val="0"/>
              <w:jc w:val="center"/>
              <w:rPr>
                <w:rFonts w:asciiTheme="minorHAnsi" w:hAnsiTheme="minorHAnsi" w:cstheme="minorHAnsi"/>
              </w:rPr>
            </w:pPr>
          </w:p>
        </w:tc>
        <w:tc>
          <w:tcPr>
            <w:tcW w:w="1149" w:type="dxa"/>
            <w:vAlign w:val="center"/>
          </w:tcPr>
          <w:p w14:paraId="56A3ABFC" w14:textId="77777777" w:rsidR="00211745" w:rsidRPr="006B20F1" w:rsidRDefault="00211745" w:rsidP="004E726A">
            <w:pPr>
              <w:widowControl w:val="0"/>
              <w:jc w:val="center"/>
              <w:rPr>
                <w:rFonts w:asciiTheme="minorHAnsi" w:hAnsiTheme="minorHAnsi" w:cstheme="minorHAnsi"/>
              </w:rPr>
            </w:pPr>
          </w:p>
        </w:tc>
        <w:tc>
          <w:tcPr>
            <w:tcW w:w="747" w:type="dxa"/>
            <w:vAlign w:val="center"/>
          </w:tcPr>
          <w:p w14:paraId="6009C66D" w14:textId="77777777" w:rsidR="00211745" w:rsidRPr="006B20F1" w:rsidRDefault="00211745" w:rsidP="004E726A">
            <w:pPr>
              <w:widowControl w:val="0"/>
              <w:jc w:val="center"/>
              <w:rPr>
                <w:rFonts w:asciiTheme="minorHAnsi" w:hAnsiTheme="minorHAnsi" w:cstheme="minorHAnsi"/>
              </w:rPr>
            </w:pPr>
          </w:p>
        </w:tc>
        <w:tc>
          <w:tcPr>
            <w:tcW w:w="1305" w:type="dxa"/>
            <w:vAlign w:val="center"/>
          </w:tcPr>
          <w:p w14:paraId="720E224E" w14:textId="77777777" w:rsidR="00211745" w:rsidRPr="006B20F1" w:rsidRDefault="00211745" w:rsidP="004E726A">
            <w:pPr>
              <w:widowControl w:val="0"/>
              <w:jc w:val="center"/>
              <w:rPr>
                <w:rFonts w:asciiTheme="minorHAnsi" w:hAnsiTheme="minorHAnsi" w:cstheme="minorHAnsi"/>
              </w:rPr>
            </w:pPr>
          </w:p>
        </w:tc>
        <w:tc>
          <w:tcPr>
            <w:tcW w:w="1568" w:type="dxa"/>
            <w:vAlign w:val="center"/>
          </w:tcPr>
          <w:p w14:paraId="2346FAF5" w14:textId="77777777" w:rsidR="00211745" w:rsidRPr="006B20F1" w:rsidRDefault="00211745" w:rsidP="004E726A">
            <w:pPr>
              <w:widowControl w:val="0"/>
              <w:jc w:val="center"/>
              <w:rPr>
                <w:rFonts w:asciiTheme="minorHAnsi" w:hAnsiTheme="minorHAnsi" w:cstheme="minorHAnsi"/>
              </w:rPr>
            </w:pPr>
          </w:p>
        </w:tc>
        <w:tc>
          <w:tcPr>
            <w:tcW w:w="1016" w:type="dxa"/>
            <w:vAlign w:val="center"/>
          </w:tcPr>
          <w:p w14:paraId="75163CC7" w14:textId="77777777" w:rsidR="00211745" w:rsidRPr="006B20F1" w:rsidRDefault="00211745" w:rsidP="004E726A">
            <w:pPr>
              <w:widowControl w:val="0"/>
              <w:jc w:val="center"/>
              <w:rPr>
                <w:rFonts w:asciiTheme="minorHAnsi" w:hAnsiTheme="minorHAnsi" w:cstheme="minorHAnsi"/>
              </w:rPr>
            </w:pPr>
          </w:p>
        </w:tc>
      </w:tr>
      <w:tr w:rsidR="007A33C2" w:rsidRPr="006B20F1" w14:paraId="704E20CF" w14:textId="77777777" w:rsidTr="0096245C">
        <w:trPr>
          <w:trHeight w:val="461"/>
        </w:trPr>
        <w:tc>
          <w:tcPr>
            <w:tcW w:w="1725" w:type="dxa"/>
            <w:vAlign w:val="center"/>
          </w:tcPr>
          <w:p w14:paraId="6ECF8028" w14:textId="77777777" w:rsidR="00211745" w:rsidRPr="006B20F1" w:rsidRDefault="00211745" w:rsidP="004E726A">
            <w:pPr>
              <w:widowControl w:val="0"/>
              <w:jc w:val="center"/>
              <w:rPr>
                <w:rFonts w:asciiTheme="minorHAnsi" w:hAnsiTheme="minorHAnsi" w:cstheme="minorHAnsi"/>
                <w:sz w:val="22"/>
                <w:szCs w:val="22"/>
              </w:rPr>
            </w:pPr>
            <w:r w:rsidRPr="006B20F1">
              <w:rPr>
                <w:rFonts w:asciiTheme="minorHAnsi" w:hAnsiTheme="minorHAnsi" w:cstheme="minorHAnsi"/>
                <w:sz w:val="22"/>
                <w:szCs w:val="22"/>
              </w:rPr>
              <w:t>All others</w:t>
            </w:r>
          </w:p>
        </w:tc>
        <w:tc>
          <w:tcPr>
            <w:tcW w:w="682" w:type="dxa"/>
            <w:vAlign w:val="center"/>
          </w:tcPr>
          <w:p w14:paraId="297482A2" w14:textId="77777777" w:rsidR="00211745" w:rsidRPr="006B20F1" w:rsidRDefault="00211745" w:rsidP="004E726A">
            <w:pPr>
              <w:widowControl w:val="0"/>
              <w:jc w:val="center"/>
              <w:rPr>
                <w:rFonts w:asciiTheme="minorHAnsi" w:hAnsiTheme="minorHAnsi" w:cstheme="minorHAnsi"/>
                <w:sz w:val="22"/>
                <w:szCs w:val="22"/>
              </w:rPr>
            </w:pPr>
          </w:p>
        </w:tc>
        <w:tc>
          <w:tcPr>
            <w:tcW w:w="881" w:type="dxa"/>
            <w:vAlign w:val="center"/>
          </w:tcPr>
          <w:p w14:paraId="75C43D51" w14:textId="77777777" w:rsidR="00211745" w:rsidRPr="006B20F1" w:rsidRDefault="00211745" w:rsidP="004E726A">
            <w:pPr>
              <w:widowControl w:val="0"/>
              <w:jc w:val="center"/>
              <w:rPr>
                <w:rFonts w:asciiTheme="minorHAnsi" w:hAnsiTheme="minorHAnsi" w:cstheme="minorHAnsi"/>
                <w:sz w:val="22"/>
                <w:szCs w:val="22"/>
              </w:rPr>
            </w:pPr>
          </w:p>
        </w:tc>
        <w:tc>
          <w:tcPr>
            <w:tcW w:w="1058" w:type="dxa"/>
            <w:vAlign w:val="center"/>
          </w:tcPr>
          <w:p w14:paraId="04713CAC" w14:textId="77777777" w:rsidR="00211745" w:rsidRPr="006B20F1" w:rsidRDefault="00211745" w:rsidP="004E726A">
            <w:pPr>
              <w:widowControl w:val="0"/>
              <w:jc w:val="center"/>
              <w:rPr>
                <w:rFonts w:asciiTheme="minorHAnsi" w:hAnsiTheme="minorHAnsi" w:cstheme="minorHAnsi"/>
              </w:rPr>
            </w:pPr>
          </w:p>
        </w:tc>
        <w:tc>
          <w:tcPr>
            <w:tcW w:w="826" w:type="dxa"/>
            <w:gridSpan w:val="2"/>
            <w:vAlign w:val="center"/>
          </w:tcPr>
          <w:p w14:paraId="073149DC" w14:textId="77777777" w:rsidR="00211745" w:rsidRPr="006B20F1" w:rsidRDefault="00211745" w:rsidP="004E726A">
            <w:pPr>
              <w:widowControl w:val="0"/>
              <w:jc w:val="center"/>
              <w:rPr>
                <w:rFonts w:asciiTheme="minorHAnsi" w:hAnsiTheme="minorHAnsi" w:cstheme="minorHAnsi"/>
              </w:rPr>
            </w:pPr>
          </w:p>
        </w:tc>
        <w:tc>
          <w:tcPr>
            <w:tcW w:w="1170" w:type="dxa"/>
            <w:vAlign w:val="center"/>
          </w:tcPr>
          <w:p w14:paraId="08EB3951" w14:textId="77777777" w:rsidR="00211745" w:rsidRPr="006B20F1" w:rsidRDefault="00211745" w:rsidP="004E726A">
            <w:pPr>
              <w:widowControl w:val="0"/>
              <w:jc w:val="center"/>
              <w:rPr>
                <w:rFonts w:asciiTheme="minorHAnsi" w:hAnsiTheme="minorHAnsi" w:cstheme="minorHAnsi"/>
              </w:rPr>
            </w:pPr>
          </w:p>
        </w:tc>
        <w:tc>
          <w:tcPr>
            <w:tcW w:w="764" w:type="dxa"/>
            <w:vAlign w:val="center"/>
          </w:tcPr>
          <w:p w14:paraId="43029B56" w14:textId="77777777" w:rsidR="00211745" w:rsidRPr="006B20F1" w:rsidRDefault="00211745" w:rsidP="004E726A">
            <w:pPr>
              <w:widowControl w:val="0"/>
              <w:jc w:val="center"/>
              <w:rPr>
                <w:rFonts w:asciiTheme="minorHAnsi" w:hAnsiTheme="minorHAnsi" w:cstheme="minorHAnsi"/>
              </w:rPr>
            </w:pPr>
          </w:p>
        </w:tc>
        <w:tc>
          <w:tcPr>
            <w:tcW w:w="1170" w:type="dxa"/>
            <w:gridSpan w:val="2"/>
            <w:vAlign w:val="center"/>
          </w:tcPr>
          <w:p w14:paraId="560E13F3" w14:textId="77777777" w:rsidR="00211745" w:rsidRPr="006B20F1" w:rsidRDefault="00211745" w:rsidP="004E726A">
            <w:pPr>
              <w:widowControl w:val="0"/>
              <w:jc w:val="center"/>
              <w:rPr>
                <w:rFonts w:asciiTheme="minorHAnsi" w:hAnsiTheme="minorHAnsi" w:cstheme="minorHAnsi"/>
              </w:rPr>
            </w:pPr>
          </w:p>
        </w:tc>
        <w:tc>
          <w:tcPr>
            <w:tcW w:w="1149" w:type="dxa"/>
            <w:vAlign w:val="center"/>
          </w:tcPr>
          <w:p w14:paraId="752025B8" w14:textId="77777777" w:rsidR="00211745" w:rsidRPr="006B20F1" w:rsidRDefault="00211745" w:rsidP="004E726A">
            <w:pPr>
              <w:widowControl w:val="0"/>
              <w:jc w:val="center"/>
              <w:rPr>
                <w:rFonts w:asciiTheme="minorHAnsi" w:hAnsiTheme="minorHAnsi" w:cstheme="minorHAnsi"/>
              </w:rPr>
            </w:pPr>
          </w:p>
        </w:tc>
        <w:tc>
          <w:tcPr>
            <w:tcW w:w="747" w:type="dxa"/>
            <w:vAlign w:val="center"/>
          </w:tcPr>
          <w:p w14:paraId="6D53F8E1" w14:textId="77777777" w:rsidR="00211745" w:rsidRPr="006B20F1" w:rsidRDefault="00211745" w:rsidP="004E726A">
            <w:pPr>
              <w:widowControl w:val="0"/>
              <w:jc w:val="center"/>
              <w:rPr>
                <w:rFonts w:asciiTheme="minorHAnsi" w:hAnsiTheme="minorHAnsi" w:cstheme="minorHAnsi"/>
              </w:rPr>
            </w:pPr>
          </w:p>
        </w:tc>
        <w:tc>
          <w:tcPr>
            <w:tcW w:w="1305" w:type="dxa"/>
            <w:vAlign w:val="center"/>
          </w:tcPr>
          <w:p w14:paraId="497FC573" w14:textId="77777777" w:rsidR="00211745" w:rsidRPr="006B20F1" w:rsidRDefault="00211745" w:rsidP="004E726A">
            <w:pPr>
              <w:widowControl w:val="0"/>
              <w:jc w:val="center"/>
              <w:rPr>
                <w:rFonts w:asciiTheme="minorHAnsi" w:hAnsiTheme="minorHAnsi" w:cstheme="minorHAnsi"/>
              </w:rPr>
            </w:pPr>
          </w:p>
        </w:tc>
        <w:tc>
          <w:tcPr>
            <w:tcW w:w="1568" w:type="dxa"/>
            <w:vAlign w:val="center"/>
          </w:tcPr>
          <w:p w14:paraId="45C6B467" w14:textId="77777777" w:rsidR="00211745" w:rsidRPr="006B20F1" w:rsidRDefault="00211745" w:rsidP="004E726A">
            <w:pPr>
              <w:widowControl w:val="0"/>
              <w:jc w:val="center"/>
              <w:rPr>
                <w:rFonts w:asciiTheme="minorHAnsi" w:hAnsiTheme="minorHAnsi" w:cstheme="minorHAnsi"/>
              </w:rPr>
            </w:pPr>
          </w:p>
        </w:tc>
        <w:tc>
          <w:tcPr>
            <w:tcW w:w="1016" w:type="dxa"/>
            <w:vAlign w:val="center"/>
          </w:tcPr>
          <w:p w14:paraId="7303B546" w14:textId="77777777" w:rsidR="00211745" w:rsidRPr="006B20F1" w:rsidRDefault="00211745" w:rsidP="004E726A">
            <w:pPr>
              <w:widowControl w:val="0"/>
              <w:jc w:val="center"/>
              <w:rPr>
                <w:rFonts w:asciiTheme="minorHAnsi" w:hAnsiTheme="minorHAnsi" w:cstheme="minorHAnsi"/>
              </w:rPr>
            </w:pPr>
          </w:p>
        </w:tc>
      </w:tr>
      <w:tr w:rsidR="007A33C2" w:rsidRPr="006B20F1" w14:paraId="2847A38E" w14:textId="77777777" w:rsidTr="0096245C">
        <w:trPr>
          <w:trHeight w:val="461"/>
        </w:trPr>
        <w:tc>
          <w:tcPr>
            <w:tcW w:w="1725" w:type="dxa"/>
            <w:vAlign w:val="center"/>
          </w:tcPr>
          <w:p w14:paraId="004D9213" w14:textId="77777777" w:rsidR="00211745" w:rsidRPr="006B20F1" w:rsidRDefault="00211745" w:rsidP="004E726A">
            <w:pPr>
              <w:widowControl w:val="0"/>
              <w:jc w:val="center"/>
              <w:rPr>
                <w:rFonts w:asciiTheme="minorHAnsi" w:hAnsiTheme="minorHAnsi" w:cstheme="minorHAnsi"/>
                <w:sz w:val="22"/>
                <w:szCs w:val="22"/>
              </w:rPr>
            </w:pPr>
            <w:r>
              <w:rPr>
                <w:rFonts w:asciiTheme="minorHAnsi" w:hAnsiTheme="minorHAnsi" w:cstheme="minorHAnsi"/>
                <w:sz w:val="22"/>
                <w:szCs w:val="22"/>
              </w:rPr>
              <w:t>Totals</w:t>
            </w:r>
          </w:p>
        </w:tc>
        <w:tc>
          <w:tcPr>
            <w:tcW w:w="682" w:type="dxa"/>
            <w:vAlign w:val="center"/>
          </w:tcPr>
          <w:p w14:paraId="3AE99388" w14:textId="77777777" w:rsidR="00211745" w:rsidRPr="006B20F1" w:rsidRDefault="00211745" w:rsidP="004E726A">
            <w:pPr>
              <w:widowControl w:val="0"/>
              <w:jc w:val="center"/>
              <w:rPr>
                <w:rFonts w:asciiTheme="minorHAnsi" w:hAnsiTheme="minorHAnsi" w:cstheme="minorHAnsi"/>
                <w:sz w:val="22"/>
                <w:szCs w:val="22"/>
              </w:rPr>
            </w:pPr>
          </w:p>
        </w:tc>
        <w:tc>
          <w:tcPr>
            <w:tcW w:w="881" w:type="dxa"/>
            <w:vAlign w:val="center"/>
          </w:tcPr>
          <w:p w14:paraId="2DCD9DD4" w14:textId="77777777" w:rsidR="00211745" w:rsidRPr="006B20F1" w:rsidRDefault="00211745" w:rsidP="004E726A">
            <w:pPr>
              <w:widowControl w:val="0"/>
              <w:jc w:val="center"/>
              <w:rPr>
                <w:rFonts w:asciiTheme="minorHAnsi" w:hAnsiTheme="minorHAnsi" w:cstheme="minorHAnsi"/>
                <w:sz w:val="22"/>
                <w:szCs w:val="22"/>
              </w:rPr>
            </w:pPr>
          </w:p>
        </w:tc>
        <w:tc>
          <w:tcPr>
            <w:tcW w:w="1058" w:type="dxa"/>
            <w:vAlign w:val="center"/>
          </w:tcPr>
          <w:p w14:paraId="442C9293" w14:textId="77777777" w:rsidR="00211745" w:rsidRPr="006B20F1" w:rsidRDefault="00211745" w:rsidP="004E726A">
            <w:pPr>
              <w:widowControl w:val="0"/>
              <w:jc w:val="center"/>
              <w:rPr>
                <w:rFonts w:asciiTheme="minorHAnsi" w:hAnsiTheme="minorHAnsi" w:cstheme="minorHAnsi"/>
              </w:rPr>
            </w:pPr>
          </w:p>
        </w:tc>
        <w:tc>
          <w:tcPr>
            <w:tcW w:w="826" w:type="dxa"/>
            <w:gridSpan w:val="2"/>
            <w:vAlign w:val="center"/>
          </w:tcPr>
          <w:p w14:paraId="7CFFF2F5" w14:textId="77777777" w:rsidR="00211745" w:rsidRPr="006B20F1" w:rsidRDefault="00211745" w:rsidP="004E726A">
            <w:pPr>
              <w:widowControl w:val="0"/>
              <w:jc w:val="center"/>
              <w:rPr>
                <w:rFonts w:asciiTheme="minorHAnsi" w:hAnsiTheme="minorHAnsi" w:cstheme="minorHAnsi"/>
              </w:rPr>
            </w:pPr>
          </w:p>
        </w:tc>
        <w:tc>
          <w:tcPr>
            <w:tcW w:w="1170" w:type="dxa"/>
            <w:vAlign w:val="center"/>
          </w:tcPr>
          <w:p w14:paraId="02188DE1" w14:textId="77777777" w:rsidR="00211745" w:rsidRPr="006B20F1" w:rsidRDefault="00211745" w:rsidP="004E726A">
            <w:pPr>
              <w:widowControl w:val="0"/>
              <w:jc w:val="center"/>
              <w:rPr>
                <w:rFonts w:asciiTheme="minorHAnsi" w:hAnsiTheme="minorHAnsi" w:cstheme="minorHAnsi"/>
              </w:rPr>
            </w:pPr>
          </w:p>
        </w:tc>
        <w:tc>
          <w:tcPr>
            <w:tcW w:w="764" w:type="dxa"/>
            <w:vAlign w:val="center"/>
          </w:tcPr>
          <w:p w14:paraId="0307A15F" w14:textId="77777777" w:rsidR="00211745" w:rsidRPr="006B20F1" w:rsidRDefault="00211745" w:rsidP="004E726A">
            <w:pPr>
              <w:widowControl w:val="0"/>
              <w:jc w:val="center"/>
              <w:rPr>
                <w:rFonts w:asciiTheme="minorHAnsi" w:hAnsiTheme="minorHAnsi" w:cstheme="minorHAnsi"/>
              </w:rPr>
            </w:pPr>
          </w:p>
        </w:tc>
        <w:tc>
          <w:tcPr>
            <w:tcW w:w="1170" w:type="dxa"/>
            <w:gridSpan w:val="2"/>
            <w:vAlign w:val="center"/>
          </w:tcPr>
          <w:p w14:paraId="56C66891" w14:textId="77777777" w:rsidR="00211745" w:rsidRPr="006B20F1" w:rsidRDefault="00211745" w:rsidP="004E726A">
            <w:pPr>
              <w:widowControl w:val="0"/>
              <w:jc w:val="center"/>
              <w:rPr>
                <w:rFonts w:asciiTheme="minorHAnsi" w:hAnsiTheme="minorHAnsi" w:cstheme="minorHAnsi"/>
              </w:rPr>
            </w:pPr>
          </w:p>
        </w:tc>
        <w:tc>
          <w:tcPr>
            <w:tcW w:w="1149" w:type="dxa"/>
            <w:vAlign w:val="center"/>
          </w:tcPr>
          <w:p w14:paraId="14A67637" w14:textId="77777777" w:rsidR="00211745" w:rsidRPr="006B20F1" w:rsidRDefault="00211745" w:rsidP="004E726A">
            <w:pPr>
              <w:widowControl w:val="0"/>
              <w:jc w:val="center"/>
              <w:rPr>
                <w:rFonts w:asciiTheme="minorHAnsi" w:hAnsiTheme="minorHAnsi" w:cstheme="minorHAnsi"/>
              </w:rPr>
            </w:pPr>
          </w:p>
        </w:tc>
        <w:tc>
          <w:tcPr>
            <w:tcW w:w="747" w:type="dxa"/>
            <w:vAlign w:val="center"/>
          </w:tcPr>
          <w:p w14:paraId="5111CB42" w14:textId="77777777" w:rsidR="00211745" w:rsidRPr="006B20F1" w:rsidRDefault="00211745" w:rsidP="004E726A">
            <w:pPr>
              <w:widowControl w:val="0"/>
              <w:jc w:val="center"/>
              <w:rPr>
                <w:rFonts w:asciiTheme="minorHAnsi" w:hAnsiTheme="minorHAnsi" w:cstheme="minorHAnsi"/>
              </w:rPr>
            </w:pPr>
          </w:p>
        </w:tc>
        <w:tc>
          <w:tcPr>
            <w:tcW w:w="1305" w:type="dxa"/>
            <w:vAlign w:val="center"/>
          </w:tcPr>
          <w:p w14:paraId="32AF946B" w14:textId="77777777" w:rsidR="00211745" w:rsidRPr="006B20F1" w:rsidRDefault="00211745" w:rsidP="004E726A">
            <w:pPr>
              <w:widowControl w:val="0"/>
              <w:jc w:val="center"/>
              <w:rPr>
                <w:rFonts w:asciiTheme="minorHAnsi" w:hAnsiTheme="minorHAnsi" w:cstheme="minorHAnsi"/>
              </w:rPr>
            </w:pPr>
          </w:p>
        </w:tc>
        <w:tc>
          <w:tcPr>
            <w:tcW w:w="1568" w:type="dxa"/>
            <w:vAlign w:val="center"/>
          </w:tcPr>
          <w:p w14:paraId="14DDA6DD" w14:textId="77777777" w:rsidR="00211745" w:rsidRPr="006B20F1" w:rsidRDefault="00211745" w:rsidP="004E726A">
            <w:pPr>
              <w:widowControl w:val="0"/>
              <w:jc w:val="center"/>
              <w:rPr>
                <w:rFonts w:asciiTheme="minorHAnsi" w:hAnsiTheme="minorHAnsi" w:cstheme="minorHAnsi"/>
              </w:rPr>
            </w:pPr>
          </w:p>
        </w:tc>
        <w:tc>
          <w:tcPr>
            <w:tcW w:w="1016" w:type="dxa"/>
            <w:vAlign w:val="center"/>
          </w:tcPr>
          <w:p w14:paraId="16572589" w14:textId="77777777" w:rsidR="00211745" w:rsidRPr="006B20F1" w:rsidRDefault="00211745" w:rsidP="004E726A">
            <w:pPr>
              <w:widowControl w:val="0"/>
              <w:jc w:val="center"/>
              <w:rPr>
                <w:rFonts w:asciiTheme="minorHAnsi" w:hAnsiTheme="minorHAnsi" w:cstheme="minorHAnsi"/>
              </w:rPr>
            </w:pPr>
          </w:p>
        </w:tc>
      </w:tr>
    </w:tbl>
    <w:p w14:paraId="5F5A4D8F" w14:textId="77777777" w:rsidR="00211745" w:rsidRDefault="00211745" w:rsidP="00211745">
      <w:pPr>
        <w:rPr>
          <w:b/>
          <w:sz w:val="26"/>
          <w:szCs w:val="26"/>
        </w:rPr>
        <w:sectPr w:rsidR="00211745" w:rsidSect="004E726A">
          <w:headerReference w:type="default" r:id="rId19"/>
          <w:footerReference w:type="default" r:id="rId20"/>
          <w:pgSz w:w="15840" w:h="12240" w:orient="landscape"/>
          <w:pgMar w:top="720" w:right="864" w:bottom="720" w:left="864" w:header="720" w:footer="720" w:gutter="0"/>
          <w:pgNumType w:start="1"/>
          <w:cols w:space="720"/>
          <w:docGrid w:linePitch="360"/>
        </w:sectPr>
      </w:pPr>
    </w:p>
    <w:p w14:paraId="74F09876" w14:textId="77777777" w:rsidR="00181F88" w:rsidRPr="00717EAF" w:rsidRDefault="00181F88" w:rsidP="00181F88">
      <w:pPr>
        <w:pStyle w:val="NoSpacing"/>
        <w:jc w:val="center"/>
        <w:rPr>
          <w:b/>
          <w:sz w:val="26"/>
          <w:szCs w:val="26"/>
        </w:rPr>
      </w:pPr>
      <w:r w:rsidRPr="00717EAF">
        <w:rPr>
          <w:b/>
          <w:sz w:val="26"/>
          <w:szCs w:val="26"/>
        </w:rPr>
        <w:lastRenderedPageBreak/>
        <w:t>ANNEX A</w:t>
      </w:r>
    </w:p>
    <w:p w14:paraId="4D15EF03" w14:textId="77777777" w:rsidR="00181F88" w:rsidRPr="00717EAF" w:rsidRDefault="00181F88" w:rsidP="00181F88">
      <w:pPr>
        <w:jc w:val="center"/>
        <w:outlineLvl w:val="3"/>
        <w:rPr>
          <w:b/>
          <w:bCs/>
          <w:kern w:val="36"/>
          <w:sz w:val="26"/>
          <w:szCs w:val="26"/>
        </w:rPr>
      </w:pPr>
      <w:r w:rsidRPr="00717EAF">
        <w:rPr>
          <w:b/>
          <w:bCs/>
          <w:kern w:val="36"/>
          <w:sz w:val="26"/>
          <w:szCs w:val="26"/>
        </w:rPr>
        <w:t>TITLE 52.  PUBLIC UTILITIES</w:t>
      </w:r>
    </w:p>
    <w:p w14:paraId="5D7F2193" w14:textId="77777777" w:rsidR="00181F88" w:rsidRPr="00717EAF" w:rsidRDefault="00181F88" w:rsidP="00181F88">
      <w:pPr>
        <w:jc w:val="center"/>
        <w:outlineLvl w:val="3"/>
        <w:rPr>
          <w:b/>
          <w:bCs/>
          <w:kern w:val="36"/>
          <w:sz w:val="26"/>
          <w:szCs w:val="26"/>
        </w:rPr>
      </w:pPr>
      <w:r w:rsidRPr="00717EAF">
        <w:rPr>
          <w:b/>
          <w:bCs/>
          <w:kern w:val="36"/>
          <w:sz w:val="26"/>
          <w:szCs w:val="26"/>
        </w:rPr>
        <w:t>PART I.  PUBLIC UTILITY COMMISSION</w:t>
      </w:r>
    </w:p>
    <w:p w14:paraId="7137FC49" w14:textId="77777777" w:rsidR="00181F88" w:rsidRPr="00717EAF" w:rsidRDefault="00181F88" w:rsidP="00181F88">
      <w:pPr>
        <w:jc w:val="center"/>
        <w:outlineLvl w:val="3"/>
        <w:rPr>
          <w:b/>
          <w:bCs/>
          <w:kern w:val="36"/>
          <w:sz w:val="26"/>
          <w:szCs w:val="26"/>
        </w:rPr>
      </w:pPr>
      <w:r w:rsidRPr="00717EAF">
        <w:rPr>
          <w:b/>
          <w:bCs/>
          <w:kern w:val="36"/>
          <w:sz w:val="26"/>
          <w:szCs w:val="26"/>
        </w:rPr>
        <w:t>Subpart C.  FIXED SERVICE UTILITIES</w:t>
      </w:r>
    </w:p>
    <w:p w14:paraId="0BD66E57" w14:textId="09DA5277" w:rsidR="00181F88" w:rsidRPr="00C23F17" w:rsidRDefault="00181F88" w:rsidP="00181F88">
      <w:pPr>
        <w:jc w:val="center"/>
        <w:outlineLvl w:val="3"/>
        <w:rPr>
          <w:b/>
          <w:kern w:val="36"/>
          <w:sz w:val="26"/>
          <w:szCs w:val="26"/>
        </w:rPr>
      </w:pPr>
      <w:r w:rsidRPr="00C23F17">
        <w:rPr>
          <w:b/>
          <w:kern w:val="36"/>
          <w:sz w:val="26"/>
          <w:szCs w:val="26"/>
        </w:rPr>
        <w:t xml:space="preserve">CHAPTER </w:t>
      </w:r>
      <w:r w:rsidR="007F6AA4" w:rsidRPr="00C23F17">
        <w:rPr>
          <w:b/>
          <w:kern w:val="36"/>
          <w:sz w:val="26"/>
          <w:szCs w:val="26"/>
        </w:rPr>
        <w:t>51</w:t>
      </w:r>
      <w:r w:rsidRPr="00C23F17">
        <w:rPr>
          <w:b/>
          <w:kern w:val="36"/>
          <w:sz w:val="26"/>
          <w:szCs w:val="26"/>
        </w:rPr>
        <w:t xml:space="preserve">. </w:t>
      </w:r>
      <w:r w:rsidR="00C23F17">
        <w:rPr>
          <w:b/>
          <w:kern w:val="36"/>
          <w:sz w:val="26"/>
          <w:szCs w:val="26"/>
        </w:rPr>
        <w:t>GENERAL PROVISIONS</w:t>
      </w:r>
    </w:p>
    <w:p w14:paraId="3C53AFC9" w14:textId="77777777" w:rsidR="00181F88" w:rsidRPr="000C240C" w:rsidRDefault="00181F88" w:rsidP="00181F88">
      <w:pPr>
        <w:jc w:val="center"/>
        <w:outlineLvl w:val="3"/>
        <w:rPr>
          <w:b/>
          <w:sz w:val="26"/>
          <w:szCs w:val="26"/>
          <w:u w:val="single"/>
        </w:rPr>
      </w:pPr>
    </w:p>
    <w:p w14:paraId="197D17BC" w14:textId="4C1186FE" w:rsidR="00C23F17" w:rsidRPr="00A83C8F" w:rsidRDefault="00A83C8F" w:rsidP="00A83C8F">
      <w:pPr>
        <w:jc w:val="center"/>
        <w:outlineLvl w:val="3"/>
        <w:rPr>
          <w:b/>
          <w:sz w:val="26"/>
          <w:szCs w:val="26"/>
        </w:rPr>
      </w:pPr>
      <w:r w:rsidRPr="00A83C8F">
        <w:rPr>
          <w:b/>
          <w:sz w:val="26"/>
          <w:szCs w:val="26"/>
        </w:rPr>
        <w:t>* * * * *</w:t>
      </w:r>
    </w:p>
    <w:p w14:paraId="1243B91A" w14:textId="77777777" w:rsidR="00C23F17" w:rsidRPr="00A83C8F" w:rsidRDefault="00C23F17" w:rsidP="00181F88">
      <w:pPr>
        <w:jc w:val="center"/>
        <w:outlineLvl w:val="3"/>
        <w:rPr>
          <w:b/>
          <w:sz w:val="26"/>
          <w:szCs w:val="26"/>
        </w:rPr>
      </w:pPr>
    </w:p>
    <w:p w14:paraId="718B83FD" w14:textId="333ACE6C" w:rsidR="00181F88" w:rsidRPr="001461FA" w:rsidRDefault="00717EAF" w:rsidP="00181F88">
      <w:pPr>
        <w:jc w:val="center"/>
        <w:outlineLvl w:val="3"/>
        <w:rPr>
          <w:b/>
          <w:sz w:val="26"/>
          <w:szCs w:val="26"/>
          <w:u w:val="single"/>
        </w:rPr>
      </w:pPr>
      <w:r w:rsidRPr="001461FA">
        <w:rPr>
          <w:b/>
          <w:sz w:val="26"/>
          <w:szCs w:val="26"/>
          <w:u w:val="single"/>
        </w:rPr>
        <w:t>DIVERSITY</w:t>
      </w:r>
    </w:p>
    <w:p w14:paraId="65082263" w14:textId="77777777" w:rsidR="0071480A" w:rsidRPr="0071480A" w:rsidRDefault="0071480A" w:rsidP="0071480A">
      <w:pPr>
        <w:rPr>
          <w:sz w:val="26"/>
          <w:szCs w:val="26"/>
          <w:u w:val="single"/>
        </w:rPr>
      </w:pPr>
    </w:p>
    <w:p w14:paraId="00DA76A4" w14:textId="174E975B" w:rsidR="00752E54" w:rsidRPr="00E44E73" w:rsidRDefault="00670166" w:rsidP="00752E54">
      <w:pPr>
        <w:pStyle w:val="NoSpacing"/>
        <w:rPr>
          <w:b/>
          <w:sz w:val="26"/>
          <w:szCs w:val="26"/>
          <w:u w:val="single"/>
        </w:rPr>
      </w:pPr>
      <w:r w:rsidRPr="001F7D37">
        <w:rPr>
          <w:b/>
          <w:sz w:val="26"/>
          <w:szCs w:val="26"/>
          <w:u w:val="single"/>
        </w:rPr>
        <w:t xml:space="preserve">§ </w:t>
      </w:r>
      <w:r w:rsidR="0000411A">
        <w:rPr>
          <w:b/>
          <w:sz w:val="26"/>
          <w:szCs w:val="26"/>
          <w:u w:val="single"/>
        </w:rPr>
        <w:t>51.1</w:t>
      </w:r>
      <w:r w:rsidR="002D7C73">
        <w:rPr>
          <w:b/>
          <w:sz w:val="26"/>
          <w:szCs w:val="26"/>
          <w:u w:val="single"/>
        </w:rPr>
        <w:t>1</w:t>
      </w:r>
      <w:r w:rsidRPr="00E44E73">
        <w:rPr>
          <w:b/>
          <w:sz w:val="26"/>
          <w:szCs w:val="26"/>
          <w:u w:val="single"/>
        </w:rPr>
        <w:t xml:space="preserve">. </w:t>
      </w:r>
      <w:r w:rsidR="00752E54" w:rsidRPr="00E44E73">
        <w:rPr>
          <w:b/>
          <w:sz w:val="26"/>
          <w:szCs w:val="26"/>
          <w:u w:val="single"/>
        </w:rPr>
        <w:t>General.</w:t>
      </w:r>
    </w:p>
    <w:p w14:paraId="5806261A" w14:textId="77777777" w:rsidR="00752E54" w:rsidRPr="00E44E73" w:rsidRDefault="00752E54" w:rsidP="00752E54">
      <w:pPr>
        <w:pStyle w:val="NoSpacing"/>
        <w:rPr>
          <w:sz w:val="26"/>
          <w:szCs w:val="26"/>
          <w:u w:val="single"/>
        </w:rPr>
      </w:pPr>
    </w:p>
    <w:p w14:paraId="7EF099F2" w14:textId="6E94633B" w:rsidR="00752E54" w:rsidRPr="00E44E73" w:rsidRDefault="00752E54" w:rsidP="00752E54">
      <w:pPr>
        <w:widowControl w:val="0"/>
        <w:autoSpaceDE w:val="0"/>
        <w:autoSpaceDN w:val="0"/>
        <w:adjustRightInd w:val="0"/>
        <w:rPr>
          <w:color w:val="000000"/>
          <w:sz w:val="26"/>
          <w:szCs w:val="26"/>
          <w:u w:val="single"/>
        </w:rPr>
      </w:pPr>
      <w:r w:rsidRPr="00E44E73">
        <w:rPr>
          <w:color w:val="000000" w:themeColor="text1"/>
          <w:sz w:val="26"/>
          <w:szCs w:val="26"/>
          <w:u w:val="single"/>
        </w:rPr>
        <w:t xml:space="preserve">Diversity is an economic reality that </w:t>
      </w:r>
      <w:r w:rsidR="00516E89">
        <w:rPr>
          <w:color w:val="000000" w:themeColor="text1"/>
          <w:sz w:val="26"/>
          <w:szCs w:val="26"/>
          <w:u w:val="single"/>
        </w:rPr>
        <w:t xml:space="preserve">each </w:t>
      </w:r>
      <w:r w:rsidR="00AE75F2">
        <w:rPr>
          <w:color w:val="000000" w:themeColor="text1"/>
          <w:sz w:val="26"/>
          <w:szCs w:val="26"/>
          <w:u w:val="single"/>
        </w:rPr>
        <w:t xml:space="preserve">major jurisdictional utility </w:t>
      </w:r>
      <w:r w:rsidR="00516E89">
        <w:rPr>
          <w:color w:val="000000" w:themeColor="text1"/>
          <w:sz w:val="26"/>
          <w:szCs w:val="26"/>
          <w:u w:val="single"/>
        </w:rPr>
        <w:t xml:space="preserve">is expected to </w:t>
      </w:r>
      <w:r w:rsidR="00C33BD0">
        <w:rPr>
          <w:color w:val="000000" w:themeColor="text1"/>
          <w:sz w:val="26"/>
          <w:szCs w:val="26"/>
          <w:u w:val="single"/>
        </w:rPr>
        <w:t xml:space="preserve">recognize </w:t>
      </w:r>
      <w:r w:rsidRPr="00E44E73">
        <w:rPr>
          <w:color w:val="000000" w:themeColor="text1"/>
          <w:sz w:val="26"/>
          <w:szCs w:val="26"/>
          <w:u w:val="single"/>
        </w:rPr>
        <w:t xml:space="preserve">in </w:t>
      </w:r>
      <w:r w:rsidR="00C33BD0">
        <w:rPr>
          <w:color w:val="000000" w:themeColor="text1"/>
          <w:sz w:val="26"/>
          <w:szCs w:val="26"/>
          <w:u w:val="single"/>
        </w:rPr>
        <w:t xml:space="preserve">its </w:t>
      </w:r>
      <w:r w:rsidRPr="00E44E73">
        <w:rPr>
          <w:color w:val="000000" w:themeColor="text1"/>
          <w:sz w:val="26"/>
          <w:szCs w:val="26"/>
          <w:u w:val="single"/>
        </w:rPr>
        <w:t>corporate strateg</w:t>
      </w:r>
      <w:r w:rsidR="00A30D25">
        <w:rPr>
          <w:color w:val="000000" w:themeColor="text1"/>
          <w:sz w:val="26"/>
          <w:szCs w:val="26"/>
          <w:u w:val="single"/>
        </w:rPr>
        <w:t>y</w:t>
      </w:r>
      <w:r w:rsidRPr="00E44E73">
        <w:rPr>
          <w:color w:val="000000" w:themeColor="text1"/>
          <w:sz w:val="26"/>
          <w:szCs w:val="26"/>
          <w:u w:val="single"/>
        </w:rPr>
        <w:t xml:space="preserve"> now and in the future. </w:t>
      </w:r>
      <w:r w:rsidR="001E25AD">
        <w:rPr>
          <w:color w:val="000000" w:themeColor="text1"/>
          <w:sz w:val="26"/>
          <w:szCs w:val="26"/>
          <w:u w:val="single"/>
        </w:rPr>
        <w:t xml:space="preserve"> </w:t>
      </w:r>
      <w:r w:rsidR="00A53CF4">
        <w:rPr>
          <w:color w:val="000000" w:themeColor="text1"/>
          <w:sz w:val="26"/>
          <w:szCs w:val="26"/>
          <w:u w:val="single"/>
        </w:rPr>
        <w:t>T</w:t>
      </w:r>
      <w:r w:rsidR="00052F99">
        <w:rPr>
          <w:color w:val="000000" w:themeColor="text1"/>
          <w:sz w:val="26"/>
          <w:szCs w:val="26"/>
          <w:u w:val="single"/>
        </w:rPr>
        <w:t xml:space="preserve">he Commission’s Diversity Policy Statement at </w:t>
      </w:r>
      <w:r w:rsidR="00583D9C">
        <w:rPr>
          <w:color w:val="000000" w:themeColor="text1"/>
          <w:sz w:val="26"/>
          <w:szCs w:val="26"/>
          <w:u w:val="single"/>
        </w:rPr>
        <w:t xml:space="preserve">52 Pa. Code §§ 69.801-809 provides </w:t>
      </w:r>
      <w:r w:rsidR="00130FCB">
        <w:rPr>
          <w:color w:val="000000" w:themeColor="text1"/>
          <w:sz w:val="26"/>
          <w:szCs w:val="26"/>
          <w:u w:val="single"/>
        </w:rPr>
        <w:t xml:space="preserve">recommendations </w:t>
      </w:r>
      <w:r w:rsidR="00583D9C">
        <w:rPr>
          <w:color w:val="000000" w:themeColor="text1"/>
          <w:sz w:val="26"/>
          <w:szCs w:val="26"/>
          <w:u w:val="single"/>
        </w:rPr>
        <w:t xml:space="preserve">for </w:t>
      </w:r>
      <w:r w:rsidR="00A471EC">
        <w:rPr>
          <w:color w:val="000000" w:themeColor="text1"/>
          <w:sz w:val="26"/>
          <w:szCs w:val="26"/>
          <w:u w:val="single"/>
        </w:rPr>
        <w:t xml:space="preserve">addressing such diversity issues.  </w:t>
      </w:r>
      <w:r w:rsidR="00A53CF4">
        <w:rPr>
          <w:color w:val="000000" w:themeColor="text1"/>
          <w:sz w:val="26"/>
          <w:szCs w:val="26"/>
          <w:u w:val="single"/>
        </w:rPr>
        <w:t xml:space="preserve">While the means by which a major jurisdictional utility addresses diversity in its workforce and vendor supply chains should be utility-specific, the </w:t>
      </w:r>
      <w:r w:rsidR="00BE31A1">
        <w:rPr>
          <w:color w:val="000000" w:themeColor="text1"/>
          <w:sz w:val="26"/>
          <w:szCs w:val="26"/>
          <w:u w:val="single"/>
        </w:rPr>
        <w:t xml:space="preserve">results of such efforts shall be reported annually by </w:t>
      </w:r>
      <w:r w:rsidR="001D61DA">
        <w:rPr>
          <w:color w:val="000000" w:themeColor="text1"/>
          <w:sz w:val="26"/>
          <w:szCs w:val="26"/>
          <w:u w:val="single"/>
        </w:rPr>
        <w:t xml:space="preserve">each major jurisdictional utility. </w:t>
      </w:r>
    </w:p>
    <w:p w14:paraId="651A1CD9" w14:textId="77777777" w:rsidR="00752E54" w:rsidRPr="00E44E73" w:rsidRDefault="00752E54" w:rsidP="00E60F1B">
      <w:pPr>
        <w:rPr>
          <w:sz w:val="26"/>
          <w:szCs w:val="26"/>
          <w:u w:val="single"/>
        </w:rPr>
      </w:pPr>
    </w:p>
    <w:p w14:paraId="6452C572" w14:textId="06A45B84" w:rsidR="0041205A" w:rsidRDefault="00670166" w:rsidP="001461FA">
      <w:pPr>
        <w:keepNext/>
        <w:autoSpaceDE w:val="0"/>
        <w:autoSpaceDN w:val="0"/>
        <w:adjustRightInd w:val="0"/>
        <w:rPr>
          <w:b/>
          <w:sz w:val="26"/>
          <w:szCs w:val="26"/>
          <w:u w:val="single"/>
        </w:rPr>
      </w:pPr>
      <w:r w:rsidRPr="00E44E73">
        <w:rPr>
          <w:b/>
          <w:sz w:val="26"/>
          <w:szCs w:val="26"/>
          <w:u w:val="single"/>
        </w:rPr>
        <w:t xml:space="preserve">§ </w:t>
      </w:r>
      <w:r w:rsidR="0000411A">
        <w:rPr>
          <w:b/>
          <w:sz w:val="26"/>
          <w:szCs w:val="26"/>
          <w:u w:val="single"/>
        </w:rPr>
        <w:t>51.1</w:t>
      </w:r>
      <w:r w:rsidR="002D7C73">
        <w:rPr>
          <w:b/>
          <w:sz w:val="26"/>
          <w:szCs w:val="26"/>
          <w:u w:val="single"/>
        </w:rPr>
        <w:t>2</w:t>
      </w:r>
      <w:r w:rsidRPr="00E44E73">
        <w:rPr>
          <w:b/>
          <w:sz w:val="26"/>
          <w:szCs w:val="26"/>
          <w:u w:val="single"/>
        </w:rPr>
        <w:t xml:space="preserve">. </w:t>
      </w:r>
      <w:r w:rsidR="0041205A">
        <w:rPr>
          <w:b/>
          <w:sz w:val="26"/>
          <w:szCs w:val="26"/>
          <w:u w:val="single"/>
        </w:rPr>
        <w:t xml:space="preserve">Definitions </w:t>
      </w:r>
      <w:r w:rsidR="0041205A" w:rsidRPr="00024077">
        <w:rPr>
          <w:b/>
          <w:sz w:val="26"/>
          <w:szCs w:val="26"/>
          <w:u w:val="single"/>
        </w:rPr>
        <w:t xml:space="preserve">Applicable </w:t>
      </w:r>
      <w:r w:rsidR="0011201D" w:rsidRPr="00024077">
        <w:rPr>
          <w:b/>
          <w:bCs/>
          <w:sz w:val="26"/>
          <w:szCs w:val="26"/>
          <w:u w:val="single"/>
        </w:rPr>
        <w:t>to Employee and Vendor Diversity</w:t>
      </w:r>
    </w:p>
    <w:p w14:paraId="58783625" w14:textId="77777777" w:rsidR="00234B8E" w:rsidRDefault="00234B8E" w:rsidP="001461FA">
      <w:pPr>
        <w:keepNext/>
        <w:autoSpaceDE w:val="0"/>
        <w:autoSpaceDN w:val="0"/>
        <w:adjustRightInd w:val="0"/>
        <w:rPr>
          <w:b/>
          <w:sz w:val="26"/>
          <w:szCs w:val="26"/>
          <w:u w:val="single"/>
        </w:rPr>
      </w:pPr>
    </w:p>
    <w:p w14:paraId="4473318A" w14:textId="0CD75C2F" w:rsidR="0041205A" w:rsidRDefault="00234B8E" w:rsidP="00234B8E">
      <w:pPr>
        <w:autoSpaceDE w:val="0"/>
        <w:autoSpaceDN w:val="0"/>
        <w:adjustRightInd w:val="0"/>
        <w:rPr>
          <w:b/>
          <w:sz w:val="26"/>
          <w:szCs w:val="26"/>
          <w:u w:val="single"/>
        </w:rPr>
      </w:pPr>
      <w:r w:rsidRPr="00E44E73">
        <w:rPr>
          <w:color w:val="000000"/>
          <w:sz w:val="26"/>
          <w:szCs w:val="26"/>
          <w:u w:val="single"/>
        </w:rPr>
        <w:t xml:space="preserve">The following words and terms, when used in §§ </w:t>
      </w:r>
      <w:r w:rsidR="00A727C3">
        <w:rPr>
          <w:color w:val="000000"/>
          <w:sz w:val="26"/>
          <w:szCs w:val="26"/>
          <w:u w:val="single"/>
        </w:rPr>
        <w:t>51.1</w:t>
      </w:r>
      <w:r>
        <w:rPr>
          <w:color w:val="000000"/>
          <w:sz w:val="26"/>
          <w:szCs w:val="26"/>
          <w:u w:val="single"/>
        </w:rPr>
        <w:t>1</w:t>
      </w:r>
      <w:r w:rsidRPr="00E44E73">
        <w:rPr>
          <w:color w:val="000000"/>
          <w:sz w:val="26"/>
          <w:szCs w:val="26"/>
          <w:u w:val="single"/>
        </w:rPr>
        <w:t xml:space="preserve"> and </w:t>
      </w:r>
      <w:r w:rsidR="008602F5">
        <w:rPr>
          <w:color w:val="000000"/>
          <w:sz w:val="26"/>
          <w:szCs w:val="26"/>
          <w:u w:val="single"/>
        </w:rPr>
        <w:t>51.1</w:t>
      </w:r>
      <w:r>
        <w:rPr>
          <w:color w:val="000000"/>
          <w:sz w:val="26"/>
          <w:szCs w:val="26"/>
          <w:u w:val="single"/>
        </w:rPr>
        <w:t>5</w:t>
      </w:r>
      <w:r w:rsidRPr="00E44E73">
        <w:rPr>
          <w:color w:val="000000"/>
          <w:sz w:val="26"/>
          <w:szCs w:val="26"/>
          <w:u w:val="single"/>
        </w:rPr>
        <w:t xml:space="preserve"> </w:t>
      </w:r>
      <w:r>
        <w:rPr>
          <w:color w:val="000000"/>
          <w:sz w:val="26"/>
          <w:szCs w:val="26"/>
          <w:u w:val="single"/>
        </w:rPr>
        <w:t xml:space="preserve">and in the Commission’s Diversity Policy Statement at 52 Pa. Code §§ 69.801-69.809, </w:t>
      </w:r>
      <w:r w:rsidRPr="00E44E73">
        <w:rPr>
          <w:color w:val="000000"/>
          <w:sz w:val="26"/>
          <w:szCs w:val="26"/>
          <w:u w:val="single"/>
        </w:rPr>
        <w:t xml:space="preserve">in the context of </w:t>
      </w:r>
      <w:r w:rsidRPr="00E44E73" w:rsidDel="00DD0CDE">
        <w:rPr>
          <w:color w:val="000000"/>
          <w:sz w:val="26"/>
          <w:szCs w:val="26"/>
          <w:u w:val="single"/>
        </w:rPr>
        <w:t xml:space="preserve">major jurisdictional </w:t>
      </w:r>
      <w:r w:rsidRPr="00E44E73">
        <w:rPr>
          <w:color w:val="000000"/>
          <w:sz w:val="26"/>
          <w:szCs w:val="26"/>
          <w:u w:val="single"/>
        </w:rPr>
        <w:t xml:space="preserve">utility employees </w:t>
      </w:r>
      <w:r w:rsidR="0011201D">
        <w:rPr>
          <w:color w:val="000000"/>
          <w:sz w:val="26"/>
          <w:szCs w:val="26"/>
          <w:u w:val="single"/>
        </w:rPr>
        <w:t xml:space="preserve">and vendors </w:t>
      </w:r>
      <w:r w:rsidRPr="00E44E73">
        <w:rPr>
          <w:color w:val="000000"/>
          <w:sz w:val="26"/>
          <w:szCs w:val="26"/>
          <w:u w:val="single"/>
        </w:rPr>
        <w:t>have the following meanings:</w:t>
      </w:r>
    </w:p>
    <w:p w14:paraId="4AA69381" w14:textId="77777777" w:rsidR="0041205A" w:rsidRDefault="0041205A" w:rsidP="00234B8E">
      <w:pPr>
        <w:autoSpaceDE w:val="0"/>
        <w:autoSpaceDN w:val="0"/>
        <w:adjustRightInd w:val="0"/>
        <w:rPr>
          <w:b/>
          <w:sz w:val="26"/>
          <w:szCs w:val="26"/>
          <w:u w:val="single"/>
        </w:rPr>
      </w:pPr>
    </w:p>
    <w:p w14:paraId="41EE2641" w14:textId="1B21444F" w:rsidR="00234B8E" w:rsidRDefault="00234B8E" w:rsidP="00234B8E">
      <w:pPr>
        <w:pStyle w:val="NoSpacing"/>
        <w:rPr>
          <w:color w:val="000000"/>
          <w:sz w:val="26"/>
          <w:szCs w:val="26"/>
          <w:u w:val="single"/>
        </w:rPr>
      </w:pPr>
      <w:r w:rsidRPr="00E44E73">
        <w:rPr>
          <w:i/>
          <w:color w:val="000000"/>
          <w:sz w:val="26"/>
          <w:szCs w:val="26"/>
          <w:u w:val="single"/>
        </w:rPr>
        <w:t>Diversity</w:t>
      </w:r>
      <w:r w:rsidRPr="00E44E73">
        <w:rPr>
          <w:color w:val="000000"/>
          <w:sz w:val="26"/>
          <w:szCs w:val="26"/>
          <w:u w:val="single"/>
        </w:rPr>
        <w:t xml:space="preserve">—The attainment of organizational objectives by maximizing the contributions of individuals from every segment of the population including minorities, women, persons with disabilities, LGBTQ </w:t>
      </w:r>
      <w:r w:rsidR="00D9793C">
        <w:rPr>
          <w:color w:val="000000"/>
          <w:sz w:val="26"/>
          <w:szCs w:val="26"/>
          <w:u w:val="single"/>
        </w:rPr>
        <w:t>and</w:t>
      </w:r>
      <w:r w:rsidRPr="00E44E73">
        <w:rPr>
          <w:color w:val="000000"/>
          <w:sz w:val="26"/>
          <w:szCs w:val="26"/>
          <w:u w:val="single"/>
        </w:rPr>
        <w:t xml:space="preserve"> veterans.</w:t>
      </w:r>
    </w:p>
    <w:p w14:paraId="1BAE8F3C" w14:textId="77777777" w:rsidR="006C5182" w:rsidRPr="00E44E73" w:rsidRDefault="006C5182" w:rsidP="00234B8E">
      <w:pPr>
        <w:pStyle w:val="NoSpacing"/>
        <w:rPr>
          <w:color w:val="000000"/>
          <w:sz w:val="26"/>
          <w:szCs w:val="26"/>
          <w:u w:val="single"/>
        </w:rPr>
      </w:pPr>
    </w:p>
    <w:p w14:paraId="73E256EB" w14:textId="07092A76" w:rsidR="006C5182" w:rsidRPr="00E44E73" w:rsidRDefault="006C5182" w:rsidP="006C5182">
      <w:pPr>
        <w:widowControl w:val="0"/>
        <w:autoSpaceDE w:val="0"/>
        <w:autoSpaceDN w:val="0"/>
        <w:adjustRightInd w:val="0"/>
        <w:rPr>
          <w:color w:val="000000"/>
          <w:sz w:val="26"/>
          <w:szCs w:val="26"/>
          <w:u w:val="single"/>
        </w:rPr>
      </w:pPr>
      <w:r w:rsidRPr="00F17A53">
        <w:rPr>
          <w:i/>
          <w:color w:val="000000"/>
          <w:sz w:val="26"/>
          <w:szCs w:val="26"/>
          <w:u w:val="single"/>
        </w:rPr>
        <w:t>   </w:t>
      </w:r>
      <w:r w:rsidRPr="0038048C">
        <w:rPr>
          <w:i/>
          <w:iCs/>
          <w:color w:val="000000"/>
          <w:sz w:val="26"/>
          <w:szCs w:val="26"/>
          <w:u w:val="single"/>
        </w:rPr>
        <w:t>LGBTQ</w:t>
      </w:r>
      <w:r w:rsidRPr="00446661">
        <w:rPr>
          <w:color w:val="000000"/>
          <w:sz w:val="26"/>
          <w:szCs w:val="26"/>
          <w:u w:val="single"/>
        </w:rPr>
        <w:t>—</w:t>
      </w:r>
      <w:r w:rsidRPr="00E44E73">
        <w:rPr>
          <w:color w:val="000000"/>
          <w:sz w:val="26"/>
          <w:szCs w:val="26"/>
          <w:u w:val="single"/>
        </w:rPr>
        <w:t xml:space="preserve">Lesbian, gay, bisexual, transgender, queer </w:t>
      </w:r>
      <w:r>
        <w:rPr>
          <w:color w:val="000000"/>
          <w:sz w:val="26"/>
          <w:szCs w:val="26"/>
          <w:u w:val="single"/>
        </w:rPr>
        <w:t>and</w:t>
      </w:r>
      <w:r w:rsidRPr="00E44E73">
        <w:rPr>
          <w:color w:val="000000"/>
          <w:sz w:val="26"/>
          <w:szCs w:val="26"/>
          <w:u w:val="single"/>
        </w:rPr>
        <w:t xml:space="preserve"> questioning.  This term also includes gender non-conforming individuals.</w:t>
      </w:r>
      <w:r w:rsidR="00187387">
        <w:rPr>
          <w:color w:val="000000"/>
          <w:sz w:val="26"/>
          <w:szCs w:val="26"/>
          <w:u w:val="single"/>
        </w:rPr>
        <w:t xml:space="preserve">  </w:t>
      </w:r>
      <w:r w:rsidR="00187387" w:rsidRPr="00E44E73">
        <w:rPr>
          <w:color w:val="000000"/>
          <w:sz w:val="26"/>
          <w:szCs w:val="26"/>
          <w:u w:val="single"/>
        </w:rPr>
        <w:t xml:space="preserve">Employer reporting on </w:t>
      </w:r>
      <w:r w:rsidR="00152023">
        <w:rPr>
          <w:color w:val="000000"/>
          <w:sz w:val="26"/>
          <w:szCs w:val="26"/>
          <w:u w:val="single"/>
        </w:rPr>
        <w:t>LGBTQ</w:t>
      </w:r>
      <w:r w:rsidR="00187387" w:rsidRPr="00E44E73">
        <w:rPr>
          <w:color w:val="000000"/>
          <w:sz w:val="26"/>
          <w:szCs w:val="26"/>
          <w:u w:val="single"/>
        </w:rPr>
        <w:t xml:space="preserve"> </w:t>
      </w:r>
      <w:r w:rsidR="00187387">
        <w:rPr>
          <w:color w:val="000000"/>
          <w:sz w:val="26"/>
          <w:szCs w:val="26"/>
          <w:u w:val="single"/>
        </w:rPr>
        <w:t xml:space="preserve">shall </w:t>
      </w:r>
      <w:r w:rsidR="00187387" w:rsidRPr="00E44E73">
        <w:rPr>
          <w:color w:val="000000"/>
          <w:sz w:val="26"/>
          <w:szCs w:val="26"/>
          <w:u w:val="single"/>
        </w:rPr>
        <w:t>be based on employee self</w:t>
      </w:r>
      <w:r w:rsidR="00187387">
        <w:rPr>
          <w:color w:val="000000"/>
          <w:sz w:val="26"/>
          <w:szCs w:val="26"/>
          <w:u w:val="single"/>
        </w:rPr>
        <w:t>-</w:t>
      </w:r>
      <w:r w:rsidR="00187387" w:rsidRPr="00E44E73">
        <w:rPr>
          <w:color w:val="000000"/>
          <w:sz w:val="26"/>
          <w:szCs w:val="26"/>
          <w:u w:val="single"/>
        </w:rPr>
        <w:t>identification.</w:t>
      </w:r>
    </w:p>
    <w:p w14:paraId="683E57F7" w14:textId="77777777" w:rsidR="00234B8E" w:rsidRPr="00E44E73" w:rsidRDefault="00234B8E" w:rsidP="00234B8E">
      <w:pPr>
        <w:pStyle w:val="NoSpacing"/>
        <w:rPr>
          <w:color w:val="000000"/>
          <w:sz w:val="26"/>
          <w:szCs w:val="26"/>
          <w:u w:val="single"/>
        </w:rPr>
      </w:pPr>
    </w:p>
    <w:p w14:paraId="5ADBFE23" w14:textId="0DFD5924" w:rsidR="00234B8E" w:rsidRDefault="00234B8E" w:rsidP="00234B8E">
      <w:pPr>
        <w:widowControl w:val="0"/>
        <w:autoSpaceDE w:val="0"/>
        <w:autoSpaceDN w:val="0"/>
        <w:adjustRightInd w:val="0"/>
        <w:rPr>
          <w:color w:val="000000" w:themeColor="text1"/>
          <w:sz w:val="26"/>
          <w:szCs w:val="26"/>
          <w:u w:val="single"/>
        </w:rPr>
      </w:pPr>
      <w:r w:rsidRPr="3180D89F">
        <w:rPr>
          <w:i/>
          <w:color w:val="000000" w:themeColor="text1"/>
          <w:sz w:val="26"/>
          <w:szCs w:val="26"/>
          <w:u w:val="single"/>
        </w:rPr>
        <w:t>   Major jurisdictional utility</w:t>
      </w:r>
      <w:r w:rsidRPr="3180D89F">
        <w:rPr>
          <w:color w:val="000000" w:themeColor="text1"/>
          <w:sz w:val="26"/>
          <w:szCs w:val="26"/>
          <w:u w:val="single"/>
        </w:rPr>
        <w:t>—An electric, natural gas, water</w:t>
      </w:r>
      <w:r w:rsidRPr="3180D89F" w:rsidDel="002D4D5E">
        <w:rPr>
          <w:color w:val="000000" w:themeColor="text1"/>
          <w:sz w:val="26"/>
          <w:szCs w:val="26"/>
          <w:u w:val="single"/>
        </w:rPr>
        <w:t xml:space="preserve"> </w:t>
      </w:r>
      <w:r w:rsidR="007226D8">
        <w:rPr>
          <w:color w:val="000000" w:themeColor="text1"/>
          <w:sz w:val="26"/>
          <w:szCs w:val="26"/>
          <w:u w:val="single"/>
        </w:rPr>
        <w:t xml:space="preserve">or wastewater </w:t>
      </w:r>
      <w:r w:rsidRPr="3180D89F">
        <w:rPr>
          <w:color w:val="000000" w:themeColor="text1"/>
          <w:sz w:val="26"/>
          <w:szCs w:val="26"/>
          <w:u w:val="single"/>
        </w:rPr>
        <w:t>utility whose net plant in service is valued at $10 million or more.  The term includes major telecommunications utilities with 50,000 or more access lines.</w:t>
      </w:r>
    </w:p>
    <w:p w14:paraId="2FF2ABE2" w14:textId="77777777" w:rsidR="006C5182" w:rsidRPr="00E44E73" w:rsidRDefault="006C5182" w:rsidP="00234B8E">
      <w:pPr>
        <w:widowControl w:val="0"/>
        <w:autoSpaceDE w:val="0"/>
        <w:autoSpaceDN w:val="0"/>
        <w:adjustRightInd w:val="0"/>
        <w:rPr>
          <w:color w:val="000000"/>
          <w:sz w:val="26"/>
          <w:szCs w:val="26"/>
          <w:u w:val="single"/>
        </w:rPr>
      </w:pPr>
    </w:p>
    <w:p w14:paraId="42F8CFC0" w14:textId="77777777" w:rsidR="000E2A9F" w:rsidRPr="00E44E73" w:rsidRDefault="000E2A9F" w:rsidP="000E2A9F">
      <w:pPr>
        <w:widowControl w:val="0"/>
        <w:autoSpaceDE w:val="0"/>
        <w:autoSpaceDN w:val="0"/>
        <w:adjustRightInd w:val="0"/>
        <w:rPr>
          <w:color w:val="000000"/>
          <w:sz w:val="26"/>
          <w:szCs w:val="26"/>
          <w:u w:val="single"/>
        </w:rPr>
      </w:pPr>
      <w:r w:rsidRPr="00E44E73">
        <w:rPr>
          <w:i/>
          <w:color w:val="000000"/>
          <w:sz w:val="26"/>
          <w:szCs w:val="26"/>
          <w:u w:val="single"/>
        </w:rPr>
        <w:t>   Person with disabilities</w:t>
      </w:r>
      <w:r w:rsidRPr="00E44E73">
        <w:rPr>
          <w:color w:val="000000"/>
          <w:sz w:val="26"/>
          <w:szCs w:val="26"/>
          <w:u w:val="single"/>
        </w:rPr>
        <w:t xml:space="preserve">—A person who has a disability as defined in the Americans With Disabilities Act (ADA), 42 U.S.C.A. § 12102.  Employer reporting on person with disabilities </w:t>
      </w:r>
      <w:r>
        <w:rPr>
          <w:color w:val="000000"/>
          <w:sz w:val="26"/>
          <w:szCs w:val="26"/>
          <w:u w:val="single"/>
        </w:rPr>
        <w:t xml:space="preserve">shall </w:t>
      </w:r>
      <w:r w:rsidRPr="00E44E73">
        <w:rPr>
          <w:color w:val="000000"/>
          <w:sz w:val="26"/>
          <w:szCs w:val="26"/>
          <w:u w:val="single"/>
        </w:rPr>
        <w:t>be based on employee self</w:t>
      </w:r>
      <w:r>
        <w:rPr>
          <w:color w:val="000000"/>
          <w:sz w:val="26"/>
          <w:szCs w:val="26"/>
          <w:u w:val="single"/>
        </w:rPr>
        <w:t>-</w:t>
      </w:r>
      <w:r w:rsidRPr="00E44E73">
        <w:rPr>
          <w:color w:val="000000"/>
          <w:sz w:val="26"/>
          <w:szCs w:val="26"/>
          <w:u w:val="single"/>
        </w:rPr>
        <w:t>identification.</w:t>
      </w:r>
    </w:p>
    <w:p w14:paraId="5E46E22C" w14:textId="77777777" w:rsidR="000E2A9F" w:rsidRPr="00C033C1" w:rsidRDefault="000E2A9F" w:rsidP="000E2A9F">
      <w:pPr>
        <w:widowControl w:val="0"/>
        <w:autoSpaceDE w:val="0"/>
        <w:autoSpaceDN w:val="0"/>
        <w:adjustRightInd w:val="0"/>
        <w:rPr>
          <w:color w:val="000000"/>
          <w:sz w:val="26"/>
          <w:szCs w:val="26"/>
          <w:u w:val="single"/>
        </w:rPr>
      </w:pPr>
    </w:p>
    <w:p w14:paraId="666ACD15" w14:textId="77777777" w:rsidR="006C5182" w:rsidRPr="00E44E73" w:rsidRDefault="006C5182" w:rsidP="006C5182">
      <w:pPr>
        <w:pStyle w:val="NoSpacing"/>
        <w:rPr>
          <w:color w:val="000000"/>
          <w:sz w:val="26"/>
          <w:szCs w:val="26"/>
          <w:u w:val="single"/>
        </w:rPr>
      </w:pPr>
      <w:r w:rsidRPr="00E44E73">
        <w:rPr>
          <w:i/>
          <w:color w:val="000000"/>
          <w:sz w:val="26"/>
          <w:szCs w:val="26"/>
          <w:u w:val="single"/>
        </w:rPr>
        <w:t>   Veteran</w:t>
      </w:r>
      <w:r w:rsidRPr="00E44E73">
        <w:rPr>
          <w:color w:val="000000"/>
          <w:sz w:val="26"/>
          <w:szCs w:val="26"/>
          <w:u w:val="single"/>
        </w:rPr>
        <w:t>—A person who meets any veteran category defined in 42 C.F.R. § 61-300.2.</w:t>
      </w:r>
    </w:p>
    <w:p w14:paraId="03F989AA" w14:textId="77777777" w:rsidR="00234B8E" w:rsidRPr="00E44E73" w:rsidRDefault="00234B8E" w:rsidP="00234B8E">
      <w:pPr>
        <w:widowControl w:val="0"/>
        <w:autoSpaceDE w:val="0"/>
        <w:autoSpaceDN w:val="0"/>
        <w:adjustRightInd w:val="0"/>
        <w:rPr>
          <w:color w:val="000000"/>
          <w:sz w:val="26"/>
          <w:szCs w:val="26"/>
          <w:u w:val="single"/>
        </w:rPr>
      </w:pPr>
    </w:p>
    <w:p w14:paraId="2E1255CA" w14:textId="6F461D5B" w:rsidR="005A6DEC" w:rsidRPr="00E44E73" w:rsidRDefault="0041205A" w:rsidP="001461FA">
      <w:pPr>
        <w:keepNext/>
        <w:autoSpaceDE w:val="0"/>
        <w:autoSpaceDN w:val="0"/>
        <w:adjustRightInd w:val="0"/>
        <w:rPr>
          <w:b/>
          <w:sz w:val="26"/>
          <w:szCs w:val="26"/>
          <w:u w:val="single"/>
        </w:rPr>
      </w:pPr>
      <w:r w:rsidRPr="00E44E73">
        <w:rPr>
          <w:b/>
          <w:sz w:val="26"/>
          <w:szCs w:val="26"/>
          <w:u w:val="single"/>
        </w:rPr>
        <w:t xml:space="preserve">§ </w:t>
      </w:r>
      <w:r w:rsidR="0000411A">
        <w:rPr>
          <w:b/>
          <w:sz w:val="26"/>
          <w:szCs w:val="26"/>
          <w:u w:val="single"/>
        </w:rPr>
        <w:t>51.1</w:t>
      </w:r>
      <w:r>
        <w:rPr>
          <w:b/>
          <w:sz w:val="26"/>
          <w:szCs w:val="26"/>
          <w:u w:val="single"/>
        </w:rPr>
        <w:t>3</w:t>
      </w:r>
      <w:r w:rsidRPr="00E44E73">
        <w:rPr>
          <w:b/>
          <w:sz w:val="26"/>
          <w:szCs w:val="26"/>
          <w:u w:val="single"/>
        </w:rPr>
        <w:t xml:space="preserve">. </w:t>
      </w:r>
      <w:r w:rsidR="00654535" w:rsidRPr="00E44E73">
        <w:rPr>
          <w:b/>
          <w:sz w:val="26"/>
          <w:szCs w:val="26"/>
          <w:u w:val="single"/>
        </w:rPr>
        <w:t>Definitions</w:t>
      </w:r>
      <w:r w:rsidR="00A8610B" w:rsidRPr="00E44E73">
        <w:rPr>
          <w:b/>
          <w:sz w:val="26"/>
          <w:szCs w:val="26"/>
          <w:u w:val="single"/>
        </w:rPr>
        <w:t xml:space="preserve"> for Reporting Employee Statistics.</w:t>
      </w:r>
    </w:p>
    <w:p w14:paraId="2FEF8BA4" w14:textId="77777777" w:rsidR="008130A2" w:rsidRPr="00E44E73" w:rsidRDefault="008130A2" w:rsidP="001461FA">
      <w:pPr>
        <w:keepNext/>
        <w:autoSpaceDE w:val="0"/>
        <w:autoSpaceDN w:val="0"/>
        <w:adjustRightInd w:val="0"/>
        <w:rPr>
          <w:b/>
          <w:sz w:val="26"/>
          <w:szCs w:val="26"/>
          <w:u w:val="single"/>
        </w:rPr>
      </w:pPr>
    </w:p>
    <w:p w14:paraId="75A4BA94" w14:textId="08DFA407" w:rsidR="008F1168" w:rsidRPr="00E44E73" w:rsidRDefault="008F1168" w:rsidP="00234B8E">
      <w:pPr>
        <w:autoSpaceDE w:val="0"/>
        <w:autoSpaceDN w:val="0"/>
        <w:adjustRightInd w:val="0"/>
        <w:rPr>
          <w:color w:val="000000"/>
          <w:sz w:val="26"/>
          <w:szCs w:val="26"/>
          <w:u w:val="single"/>
        </w:rPr>
      </w:pPr>
      <w:r w:rsidRPr="00E44E73">
        <w:rPr>
          <w:color w:val="000000"/>
          <w:sz w:val="26"/>
          <w:szCs w:val="26"/>
          <w:u w:val="single"/>
        </w:rPr>
        <w:t xml:space="preserve">The following words and terms, when used in §§ </w:t>
      </w:r>
      <w:r w:rsidR="00C817A5">
        <w:rPr>
          <w:color w:val="000000"/>
          <w:sz w:val="26"/>
          <w:szCs w:val="26"/>
          <w:u w:val="single"/>
        </w:rPr>
        <w:t>51.</w:t>
      </w:r>
      <w:r w:rsidR="00D66150">
        <w:rPr>
          <w:color w:val="000000"/>
          <w:sz w:val="26"/>
          <w:szCs w:val="26"/>
          <w:u w:val="single"/>
        </w:rPr>
        <w:t>1</w:t>
      </w:r>
      <w:r w:rsidR="00EC75EC">
        <w:rPr>
          <w:color w:val="000000"/>
          <w:sz w:val="26"/>
          <w:szCs w:val="26"/>
          <w:u w:val="single"/>
        </w:rPr>
        <w:t>1</w:t>
      </w:r>
      <w:r w:rsidRPr="00E44E73">
        <w:rPr>
          <w:color w:val="000000"/>
          <w:sz w:val="26"/>
          <w:szCs w:val="26"/>
          <w:u w:val="single"/>
        </w:rPr>
        <w:t xml:space="preserve"> and </w:t>
      </w:r>
      <w:r w:rsidR="00C61468">
        <w:rPr>
          <w:color w:val="000000"/>
          <w:sz w:val="26"/>
          <w:szCs w:val="26"/>
          <w:u w:val="single"/>
        </w:rPr>
        <w:t>51.1</w:t>
      </w:r>
      <w:r w:rsidR="00F85E66">
        <w:rPr>
          <w:color w:val="000000"/>
          <w:sz w:val="26"/>
          <w:szCs w:val="26"/>
          <w:u w:val="single"/>
        </w:rPr>
        <w:t>5</w:t>
      </w:r>
      <w:r w:rsidRPr="00E44E73">
        <w:rPr>
          <w:color w:val="000000"/>
          <w:sz w:val="26"/>
          <w:szCs w:val="26"/>
          <w:u w:val="single"/>
        </w:rPr>
        <w:t xml:space="preserve"> </w:t>
      </w:r>
      <w:r w:rsidR="001170DC">
        <w:rPr>
          <w:color w:val="000000"/>
          <w:sz w:val="26"/>
          <w:szCs w:val="26"/>
          <w:u w:val="single"/>
        </w:rPr>
        <w:t xml:space="preserve">and in the Commission’s Diversity Policy Statement </w:t>
      </w:r>
      <w:r w:rsidR="00566332">
        <w:rPr>
          <w:color w:val="000000"/>
          <w:sz w:val="26"/>
          <w:szCs w:val="26"/>
          <w:u w:val="single"/>
        </w:rPr>
        <w:t>at 52 Pa. Code §§ 69.8</w:t>
      </w:r>
      <w:r w:rsidR="00E10349">
        <w:rPr>
          <w:color w:val="000000"/>
          <w:sz w:val="26"/>
          <w:szCs w:val="26"/>
          <w:u w:val="single"/>
        </w:rPr>
        <w:t>01-69.809</w:t>
      </w:r>
      <w:r w:rsidR="008A5A1F">
        <w:rPr>
          <w:color w:val="000000"/>
          <w:sz w:val="26"/>
          <w:szCs w:val="26"/>
          <w:u w:val="single"/>
        </w:rPr>
        <w:t>,</w:t>
      </w:r>
      <w:r w:rsidR="00E10349">
        <w:rPr>
          <w:color w:val="000000"/>
          <w:sz w:val="26"/>
          <w:szCs w:val="26"/>
          <w:u w:val="single"/>
        </w:rPr>
        <w:t xml:space="preserve"> </w:t>
      </w:r>
      <w:r w:rsidRPr="00E44E73">
        <w:rPr>
          <w:color w:val="000000"/>
          <w:sz w:val="26"/>
          <w:szCs w:val="26"/>
          <w:u w:val="single"/>
        </w:rPr>
        <w:t xml:space="preserve">in the context of </w:t>
      </w:r>
      <w:r w:rsidRPr="00E44E73" w:rsidDel="00DD0CDE">
        <w:rPr>
          <w:color w:val="000000"/>
          <w:sz w:val="26"/>
          <w:szCs w:val="26"/>
          <w:u w:val="single"/>
        </w:rPr>
        <w:t xml:space="preserve">major jurisdictional </w:t>
      </w:r>
      <w:r w:rsidRPr="00E44E73">
        <w:rPr>
          <w:color w:val="000000"/>
          <w:sz w:val="26"/>
          <w:szCs w:val="26"/>
          <w:u w:val="single"/>
        </w:rPr>
        <w:t>utility employees have the following meanings:</w:t>
      </w:r>
    </w:p>
    <w:p w14:paraId="3790D6CD" w14:textId="77777777" w:rsidR="008130A2" w:rsidRPr="00E44E73" w:rsidRDefault="008130A2" w:rsidP="00234B8E">
      <w:pPr>
        <w:autoSpaceDE w:val="0"/>
        <w:autoSpaceDN w:val="0"/>
        <w:adjustRightInd w:val="0"/>
        <w:rPr>
          <w:b/>
          <w:sz w:val="26"/>
          <w:szCs w:val="26"/>
          <w:u w:val="single"/>
        </w:rPr>
      </w:pPr>
    </w:p>
    <w:p w14:paraId="48F5CD9A" w14:textId="5BE6BD88" w:rsidR="005D14FE" w:rsidRPr="00F17A53" w:rsidRDefault="005D14FE" w:rsidP="006C5182">
      <w:pPr>
        <w:autoSpaceDE w:val="0"/>
        <w:autoSpaceDN w:val="0"/>
        <w:adjustRightInd w:val="0"/>
        <w:rPr>
          <w:color w:val="000000"/>
          <w:sz w:val="26"/>
          <w:szCs w:val="26"/>
          <w:u w:val="single"/>
        </w:rPr>
      </w:pPr>
      <w:r w:rsidRPr="00F17A53">
        <w:rPr>
          <w:i/>
          <w:color w:val="000000"/>
          <w:sz w:val="26"/>
          <w:szCs w:val="26"/>
          <w:u w:val="single"/>
        </w:rPr>
        <w:t>   Black or African-American</w:t>
      </w:r>
      <w:r w:rsidRPr="00F17A53">
        <w:rPr>
          <w:color w:val="000000"/>
          <w:sz w:val="26"/>
          <w:szCs w:val="26"/>
          <w:u w:val="single"/>
        </w:rPr>
        <w:t>—A person having origins in any of the black racial groups of Africa.</w:t>
      </w:r>
    </w:p>
    <w:p w14:paraId="39FD6418" w14:textId="77777777" w:rsidR="005D14FE" w:rsidRDefault="005D14FE" w:rsidP="00E60F1B">
      <w:pPr>
        <w:widowControl w:val="0"/>
        <w:autoSpaceDE w:val="0"/>
        <w:autoSpaceDN w:val="0"/>
        <w:adjustRightInd w:val="0"/>
        <w:rPr>
          <w:b/>
          <w:sz w:val="26"/>
          <w:szCs w:val="26"/>
          <w:u w:val="single"/>
        </w:rPr>
      </w:pPr>
    </w:p>
    <w:p w14:paraId="42CC42E5" w14:textId="0FD62526" w:rsidR="002659BC" w:rsidRPr="00E44E73" w:rsidRDefault="0061704D" w:rsidP="00761BE3">
      <w:pPr>
        <w:autoSpaceDE w:val="0"/>
        <w:autoSpaceDN w:val="0"/>
        <w:adjustRightInd w:val="0"/>
        <w:rPr>
          <w:color w:val="000000"/>
          <w:sz w:val="26"/>
          <w:szCs w:val="26"/>
          <w:u w:val="single"/>
        </w:rPr>
      </w:pPr>
      <w:r w:rsidRPr="00446661">
        <w:rPr>
          <w:i/>
          <w:color w:val="000000"/>
          <w:sz w:val="26"/>
          <w:szCs w:val="26"/>
          <w:u w:val="single"/>
        </w:rPr>
        <w:t>   </w:t>
      </w:r>
      <w:r w:rsidRPr="00E44E73">
        <w:rPr>
          <w:i/>
          <w:color w:val="000000"/>
          <w:sz w:val="26"/>
          <w:szCs w:val="26"/>
          <w:u w:val="single"/>
        </w:rPr>
        <w:t>Asian (Not Hispanic or Latino</w:t>
      </w:r>
      <w:r w:rsidR="002659BC" w:rsidRPr="00E44E73">
        <w:rPr>
          <w:i/>
          <w:color w:val="000000"/>
          <w:sz w:val="26"/>
          <w:szCs w:val="26"/>
          <w:u w:val="single"/>
        </w:rPr>
        <w:t>)</w:t>
      </w:r>
      <w:r w:rsidR="002659BC" w:rsidRPr="00E44E73">
        <w:rPr>
          <w:color w:val="000000"/>
          <w:sz w:val="26"/>
          <w:szCs w:val="26"/>
          <w:u w:val="single"/>
        </w:rPr>
        <w:t xml:space="preserve">—A </w:t>
      </w:r>
      <w:r w:rsidRPr="00E44E73">
        <w:rPr>
          <w:color w:val="000000"/>
          <w:sz w:val="26"/>
          <w:szCs w:val="26"/>
          <w:u w:val="single"/>
        </w:rPr>
        <w:t xml:space="preserve">person having origins in any of the original peoples of the </w:t>
      </w:r>
      <w:r w:rsidR="00304565" w:rsidRPr="00E44E73">
        <w:rPr>
          <w:color w:val="000000"/>
          <w:sz w:val="26"/>
          <w:szCs w:val="26"/>
          <w:u w:val="single"/>
        </w:rPr>
        <w:t>F</w:t>
      </w:r>
      <w:r w:rsidRPr="00E44E73">
        <w:rPr>
          <w:color w:val="000000"/>
          <w:sz w:val="26"/>
          <w:szCs w:val="26"/>
          <w:u w:val="single"/>
        </w:rPr>
        <w:t xml:space="preserve">ar </w:t>
      </w:r>
      <w:r w:rsidR="00304565" w:rsidRPr="00E44E73">
        <w:rPr>
          <w:color w:val="000000"/>
          <w:sz w:val="26"/>
          <w:szCs w:val="26"/>
          <w:u w:val="single"/>
        </w:rPr>
        <w:t>E</w:t>
      </w:r>
      <w:r w:rsidRPr="00E44E73">
        <w:rPr>
          <w:color w:val="000000"/>
          <w:sz w:val="26"/>
          <w:szCs w:val="26"/>
          <w:u w:val="single"/>
        </w:rPr>
        <w:t>ast</w:t>
      </w:r>
      <w:r w:rsidR="002659BC" w:rsidRPr="00E44E73">
        <w:rPr>
          <w:color w:val="000000"/>
          <w:sz w:val="26"/>
          <w:szCs w:val="26"/>
          <w:u w:val="single"/>
        </w:rPr>
        <w:t xml:space="preserve">, </w:t>
      </w:r>
      <w:r w:rsidRPr="00E44E73">
        <w:rPr>
          <w:color w:val="000000"/>
          <w:sz w:val="26"/>
          <w:szCs w:val="26"/>
          <w:u w:val="single"/>
        </w:rPr>
        <w:t xml:space="preserve">Southeast Asia, or the Indian subcontinent, including, for example, Cambodia, China, India, Japan, Korea, Malaysia, Pakistan, the Philippine Islands, Thailand </w:t>
      </w:r>
      <w:r w:rsidR="00D9793C">
        <w:rPr>
          <w:color w:val="000000"/>
          <w:sz w:val="26"/>
          <w:szCs w:val="26"/>
          <w:u w:val="single"/>
        </w:rPr>
        <w:t>and</w:t>
      </w:r>
      <w:r w:rsidRPr="00E44E73">
        <w:rPr>
          <w:color w:val="000000"/>
          <w:sz w:val="26"/>
          <w:szCs w:val="26"/>
          <w:u w:val="single"/>
        </w:rPr>
        <w:t xml:space="preserve"> Vietnam.</w:t>
      </w:r>
    </w:p>
    <w:p w14:paraId="74806704" w14:textId="77777777" w:rsidR="00F52C07" w:rsidRPr="00E44E73" w:rsidRDefault="00F52C07" w:rsidP="002659BC">
      <w:pPr>
        <w:widowControl w:val="0"/>
        <w:autoSpaceDE w:val="0"/>
        <w:autoSpaceDN w:val="0"/>
        <w:adjustRightInd w:val="0"/>
        <w:rPr>
          <w:color w:val="000000"/>
          <w:sz w:val="26"/>
          <w:szCs w:val="26"/>
          <w:u w:val="single"/>
        </w:rPr>
      </w:pPr>
    </w:p>
    <w:p w14:paraId="0C32849A" w14:textId="1F7B03D1" w:rsidR="00D575F3" w:rsidRPr="00E44E73" w:rsidRDefault="00D575F3" w:rsidP="00D575F3">
      <w:pPr>
        <w:widowControl w:val="0"/>
        <w:autoSpaceDE w:val="0"/>
        <w:autoSpaceDN w:val="0"/>
        <w:adjustRightInd w:val="0"/>
        <w:rPr>
          <w:color w:val="000000"/>
          <w:sz w:val="26"/>
          <w:szCs w:val="26"/>
          <w:u w:val="single"/>
        </w:rPr>
      </w:pPr>
      <w:r w:rsidRPr="00E44E73">
        <w:rPr>
          <w:i/>
          <w:color w:val="000000"/>
          <w:sz w:val="26"/>
          <w:szCs w:val="26"/>
          <w:u w:val="single"/>
        </w:rPr>
        <w:t>   Hispanic</w:t>
      </w:r>
      <w:r w:rsidRPr="00E44E73">
        <w:rPr>
          <w:color w:val="000000"/>
          <w:sz w:val="26"/>
          <w:szCs w:val="26"/>
          <w:u w:val="single"/>
        </w:rPr>
        <w:t xml:space="preserve"> </w:t>
      </w:r>
      <w:r w:rsidRPr="00E44E73">
        <w:rPr>
          <w:i/>
          <w:color w:val="000000"/>
          <w:sz w:val="26"/>
          <w:szCs w:val="26"/>
          <w:u w:val="single"/>
        </w:rPr>
        <w:t>or Latino</w:t>
      </w:r>
      <w:r w:rsidRPr="00E44E73">
        <w:rPr>
          <w:color w:val="000000"/>
          <w:sz w:val="26"/>
          <w:szCs w:val="26"/>
          <w:u w:val="single"/>
        </w:rPr>
        <w:t>—</w:t>
      </w:r>
      <w:r w:rsidR="00E77F69" w:rsidRPr="00E44E73">
        <w:rPr>
          <w:color w:val="000000"/>
          <w:sz w:val="26"/>
          <w:szCs w:val="26"/>
          <w:u w:val="single"/>
        </w:rPr>
        <w:t>A person of</w:t>
      </w:r>
      <w:r w:rsidRPr="00E44E73">
        <w:rPr>
          <w:color w:val="000000"/>
          <w:sz w:val="26"/>
          <w:szCs w:val="26"/>
          <w:u w:val="single"/>
        </w:rPr>
        <w:t xml:space="preserve"> </w:t>
      </w:r>
      <w:r w:rsidR="00E77F69" w:rsidRPr="00E44E73">
        <w:rPr>
          <w:color w:val="000000"/>
          <w:sz w:val="26"/>
          <w:szCs w:val="26"/>
          <w:u w:val="single"/>
        </w:rPr>
        <w:t>Cuban, Mexican, Puerto Rican, South or Central American, or other Spanish culture or origin regardless of race</w:t>
      </w:r>
      <w:r w:rsidRPr="00E44E73">
        <w:rPr>
          <w:color w:val="000000"/>
          <w:sz w:val="26"/>
          <w:szCs w:val="26"/>
          <w:u w:val="single"/>
        </w:rPr>
        <w:t>.</w:t>
      </w:r>
    </w:p>
    <w:p w14:paraId="5CDB0CF6" w14:textId="77777777" w:rsidR="00A7144B" w:rsidRPr="00E44E73" w:rsidRDefault="00A7144B" w:rsidP="00D575F3">
      <w:pPr>
        <w:widowControl w:val="0"/>
        <w:autoSpaceDE w:val="0"/>
        <w:autoSpaceDN w:val="0"/>
        <w:adjustRightInd w:val="0"/>
        <w:rPr>
          <w:color w:val="000000"/>
          <w:sz w:val="26"/>
          <w:szCs w:val="26"/>
          <w:u w:val="single"/>
        </w:rPr>
      </w:pPr>
    </w:p>
    <w:p w14:paraId="1D36C33D" w14:textId="77777777" w:rsidR="000E71A5" w:rsidRPr="00E44E73" w:rsidRDefault="000E71A5" w:rsidP="000E71A5">
      <w:pPr>
        <w:widowControl w:val="0"/>
        <w:autoSpaceDE w:val="0"/>
        <w:autoSpaceDN w:val="0"/>
        <w:adjustRightInd w:val="0"/>
        <w:rPr>
          <w:color w:val="000000"/>
          <w:sz w:val="26"/>
          <w:szCs w:val="26"/>
          <w:u w:val="single"/>
        </w:rPr>
      </w:pPr>
      <w:r w:rsidRPr="00E44E73">
        <w:rPr>
          <w:i/>
          <w:color w:val="000000"/>
          <w:sz w:val="26"/>
          <w:szCs w:val="26"/>
          <w:u w:val="single"/>
        </w:rPr>
        <w:t>   Long-term plan</w:t>
      </w:r>
      <w:r w:rsidRPr="00E44E73">
        <w:rPr>
          <w:color w:val="000000"/>
          <w:sz w:val="26"/>
          <w:szCs w:val="26"/>
          <w:u w:val="single"/>
        </w:rPr>
        <w:t>—A plan applicable to a period of 5 years.</w:t>
      </w:r>
    </w:p>
    <w:p w14:paraId="40FDB272" w14:textId="77777777" w:rsidR="00A42765" w:rsidRPr="00E44E73" w:rsidRDefault="00A42765" w:rsidP="000E71A5">
      <w:pPr>
        <w:widowControl w:val="0"/>
        <w:autoSpaceDE w:val="0"/>
        <w:autoSpaceDN w:val="0"/>
        <w:adjustRightInd w:val="0"/>
        <w:rPr>
          <w:color w:val="000000"/>
          <w:sz w:val="26"/>
          <w:szCs w:val="26"/>
          <w:u w:val="single"/>
        </w:rPr>
      </w:pPr>
    </w:p>
    <w:p w14:paraId="4C3FF809" w14:textId="547F7C22" w:rsidR="00A42765" w:rsidRPr="00E44E73" w:rsidRDefault="00A42765" w:rsidP="00A42765">
      <w:pPr>
        <w:widowControl w:val="0"/>
        <w:autoSpaceDE w:val="0"/>
        <w:autoSpaceDN w:val="0"/>
        <w:adjustRightInd w:val="0"/>
        <w:rPr>
          <w:color w:val="000000"/>
          <w:sz w:val="26"/>
          <w:szCs w:val="26"/>
          <w:u w:val="single"/>
        </w:rPr>
      </w:pPr>
      <w:r w:rsidRPr="00E44E73">
        <w:rPr>
          <w:i/>
          <w:color w:val="000000"/>
          <w:sz w:val="26"/>
          <w:szCs w:val="26"/>
          <w:u w:val="single"/>
        </w:rPr>
        <w:t>   MIL</w:t>
      </w:r>
      <w:r w:rsidRPr="00E44E73">
        <w:rPr>
          <w:color w:val="000000"/>
          <w:sz w:val="26"/>
          <w:szCs w:val="26"/>
          <w:u w:val="single"/>
        </w:rPr>
        <w:t>—</w:t>
      </w:r>
      <w:r w:rsidRPr="00E44E73">
        <w:rPr>
          <w:i/>
          <w:color w:val="000000"/>
          <w:sz w:val="26"/>
          <w:szCs w:val="26"/>
          <w:u w:val="single"/>
        </w:rPr>
        <w:t>Minimum Improvement Level</w:t>
      </w:r>
      <w:r w:rsidRPr="00E44E73">
        <w:rPr>
          <w:color w:val="000000"/>
          <w:sz w:val="26"/>
          <w:szCs w:val="26"/>
          <w:u w:val="single"/>
        </w:rPr>
        <w:t xml:space="preserve">—A level or goal which, when achieved, indicates progress in a preferred direction.  </w:t>
      </w:r>
    </w:p>
    <w:p w14:paraId="0EF4F305" w14:textId="77777777" w:rsidR="007B77C1" w:rsidRPr="00E44E73" w:rsidRDefault="007B77C1" w:rsidP="00A42765">
      <w:pPr>
        <w:widowControl w:val="0"/>
        <w:autoSpaceDE w:val="0"/>
        <w:autoSpaceDN w:val="0"/>
        <w:adjustRightInd w:val="0"/>
        <w:rPr>
          <w:color w:val="000000"/>
          <w:sz w:val="26"/>
          <w:szCs w:val="26"/>
          <w:u w:val="single"/>
        </w:rPr>
      </w:pPr>
    </w:p>
    <w:p w14:paraId="4511B728" w14:textId="77777777" w:rsidR="002C073C" w:rsidRPr="00E44E73" w:rsidRDefault="002C073C" w:rsidP="002C073C">
      <w:pPr>
        <w:widowControl w:val="0"/>
        <w:autoSpaceDE w:val="0"/>
        <w:autoSpaceDN w:val="0"/>
        <w:adjustRightInd w:val="0"/>
        <w:rPr>
          <w:color w:val="000000"/>
          <w:sz w:val="26"/>
          <w:szCs w:val="26"/>
          <w:u w:val="single"/>
        </w:rPr>
      </w:pPr>
      <w:r w:rsidRPr="00E44E73">
        <w:rPr>
          <w:i/>
          <w:color w:val="000000"/>
          <w:sz w:val="26"/>
          <w:szCs w:val="26"/>
          <w:u w:val="single"/>
        </w:rPr>
        <w:t>   Midterm plan</w:t>
      </w:r>
      <w:r w:rsidRPr="00E44E73">
        <w:rPr>
          <w:color w:val="000000"/>
          <w:sz w:val="26"/>
          <w:szCs w:val="26"/>
          <w:u w:val="single"/>
        </w:rPr>
        <w:t>—A plan applicable to a period of 3 years.</w:t>
      </w:r>
    </w:p>
    <w:p w14:paraId="7B6DBB0F" w14:textId="77777777" w:rsidR="00B61408" w:rsidRPr="000C240C" w:rsidRDefault="00B61408" w:rsidP="002C073C">
      <w:pPr>
        <w:widowControl w:val="0"/>
        <w:autoSpaceDE w:val="0"/>
        <w:autoSpaceDN w:val="0"/>
        <w:adjustRightInd w:val="0"/>
        <w:rPr>
          <w:color w:val="000000"/>
          <w:sz w:val="26"/>
          <w:szCs w:val="26"/>
          <w:u w:val="single"/>
        </w:rPr>
      </w:pPr>
    </w:p>
    <w:p w14:paraId="34A19EBC" w14:textId="644E81CD" w:rsidR="00B61408" w:rsidRPr="000C240C" w:rsidRDefault="00B61408" w:rsidP="00B61408">
      <w:pPr>
        <w:widowControl w:val="0"/>
        <w:autoSpaceDE w:val="0"/>
        <w:autoSpaceDN w:val="0"/>
        <w:adjustRightInd w:val="0"/>
        <w:rPr>
          <w:color w:val="000000"/>
          <w:sz w:val="26"/>
          <w:szCs w:val="26"/>
          <w:u w:val="single"/>
        </w:rPr>
      </w:pPr>
      <w:r w:rsidRPr="000C240C">
        <w:rPr>
          <w:i/>
          <w:color w:val="000000"/>
          <w:sz w:val="26"/>
          <w:szCs w:val="26"/>
          <w:u w:val="single"/>
        </w:rPr>
        <w:t>   Native American or Alaska Native (Not Hispanic or Latino)</w:t>
      </w:r>
      <w:r w:rsidRPr="000C240C">
        <w:rPr>
          <w:color w:val="000000"/>
          <w:sz w:val="26"/>
          <w:szCs w:val="26"/>
          <w:u w:val="single"/>
        </w:rPr>
        <w:t xml:space="preserve">—A person having origins in any of the original peoples of North and South America (Including Central America) </w:t>
      </w:r>
      <w:r w:rsidR="00D9793C">
        <w:rPr>
          <w:color w:val="000000"/>
          <w:sz w:val="26"/>
          <w:szCs w:val="26"/>
          <w:u w:val="single"/>
        </w:rPr>
        <w:t>and</w:t>
      </w:r>
      <w:r w:rsidRPr="000C240C">
        <w:rPr>
          <w:color w:val="000000"/>
          <w:sz w:val="26"/>
          <w:szCs w:val="26"/>
          <w:u w:val="single"/>
        </w:rPr>
        <w:t xml:space="preserve"> who maintain tribal affiliation or community attachment.</w:t>
      </w:r>
    </w:p>
    <w:p w14:paraId="00E31485" w14:textId="77777777" w:rsidR="005E19A1" w:rsidRPr="000C240C" w:rsidRDefault="005E19A1" w:rsidP="00B61408">
      <w:pPr>
        <w:widowControl w:val="0"/>
        <w:autoSpaceDE w:val="0"/>
        <w:autoSpaceDN w:val="0"/>
        <w:adjustRightInd w:val="0"/>
        <w:rPr>
          <w:color w:val="000000"/>
          <w:sz w:val="26"/>
          <w:szCs w:val="26"/>
          <w:u w:val="single"/>
        </w:rPr>
      </w:pPr>
    </w:p>
    <w:p w14:paraId="5B8EEAC9" w14:textId="1E1C529F" w:rsidR="005E19A1" w:rsidRPr="00E44E73" w:rsidRDefault="005E19A1" w:rsidP="005E19A1">
      <w:pPr>
        <w:widowControl w:val="0"/>
        <w:autoSpaceDE w:val="0"/>
        <w:autoSpaceDN w:val="0"/>
        <w:adjustRightInd w:val="0"/>
        <w:rPr>
          <w:color w:val="000000"/>
          <w:sz w:val="26"/>
          <w:szCs w:val="26"/>
          <w:u w:val="single"/>
        </w:rPr>
      </w:pPr>
      <w:r w:rsidRPr="001461FA">
        <w:rPr>
          <w:i/>
          <w:color w:val="000000"/>
          <w:sz w:val="26"/>
          <w:szCs w:val="26"/>
          <w:u w:val="single"/>
        </w:rPr>
        <w:t>   </w:t>
      </w:r>
      <w:r w:rsidRPr="00446661">
        <w:rPr>
          <w:i/>
          <w:color w:val="000000"/>
          <w:sz w:val="26"/>
          <w:szCs w:val="26"/>
          <w:u w:val="single"/>
        </w:rPr>
        <w:t xml:space="preserve">Native Hawaiian </w:t>
      </w:r>
      <w:r w:rsidRPr="00E44E73">
        <w:rPr>
          <w:i/>
          <w:color w:val="000000"/>
          <w:sz w:val="26"/>
          <w:szCs w:val="26"/>
          <w:u w:val="single"/>
        </w:rPr>
        <w:t>or Pacific Islander (Not Hispanic or Latino)</w:t>
      </w:r>
      <w:r w:rsidRPr="00E44E73">
        <w:rPr>
          <w:color w:val="000000"/>
          <w:sz w:val="26"/>
          <w:szCs w:val="26"/>
          <w:u w:val="single"/>
        </w:rPr>
        <w:t>—A person having origins in any of the peoples of Hawaii, Guam, Samoa or other Pacific Islands.</w:t>
      </w:r>
    </w:p>
    <w:p w14:paraId="1A753A3A" w14:textId="77777777" w:rsidR="005E19A1" w:rsidRPr="00E44E73" w:rsidRDefault="005E19A1" w:rsidP="005E19A1">
      <w:pPr>
        <w:widowControl w:val="0"/>
        <w:autoSpaceDE w:val="0"/>
        <w:autoSpaceDN w:val="0"/>
        <w:adjustRightInd w:val="0"/>
        <w:rPr>
          <w:color w:val="000000"/>
          <w:sz w:val="26"/>
          <w:szCs w:val="26"/>
          <w:u w:val="single"/>
        </w:rPr>
      </w:pPr>
    </w:p>
    <w:p w14:paraId="73C1575E" w14:textId="77777777" w:rsidR="006C31F0" w:rsidRPr="00E44E73" w:rsidRDefault="006C31F0" w:rsidP="006C31F0">
      <w:pPr>
        <w:widowControl w:val="0"/>
        <w:autoSpaceDE w:val="0"/>
        <w:autoSpaceDN w:val="0"/>
        <w:adjustRightInd w:val="0"/>
        <w:rPr>
          <w:color w:val="000000"/>
          <w:sz w:val="26"/>
          <w:szCs w:val="26"/>
          <w:u w:val="single"/>
        </w:rPr>
      </w:pPr>
      <w:r w:rsidRPr="00E44E73">
        <w:rPr>
          <w:i/>
          <w:color w:val="000000"/>
          <w:sz w:val="26"/>
          <w:szCs w:val="26"/>
          <w:u w:val="single"/>
        </w:rPr>
        <w:t>   Short-term plan</w:t>
      </w:r>
      <w:r w:rsidRPr="00E44E73">
        <w:rPr>
          <w:color w:val="000000"/>
          <w:sz w:val="26"/>
          <w:szCs w:val="26"/>
          <w:u w:val="single"/>
        </w:rPr>
        <w:t>—A plan applicable to a period of 1 year.</w:t>
      </w:r>
    </w:p>
    <w:p w14:paraId="7823CDC4" w14:textId="77777777" w:rsidR="006C31F0" w:rsidRPr="00E44E73" w:rsidRDefault="006C31F0" w:rsidP="006C31F0">
      <w:pPr>
        <w:widowControl w:val="0"/>
        <w:autoSpaceDE w:val="0"/>
        <w:autoSpaceDN w:val="0"/>
        <w:adjustRightInd w:val="0"/>
        <w:rPr>
          <w:color w:val="000000"/>
          <w:sz w:val="26"/>
          <w:szCs w:val="26"/>
          <w:u w:val="single"/>
        </w:rPr>
      </w:pPr>
    </w:p>
    <w:p w14:paraId="6E3F6EDA" w14:textId="52C9C689" w:rsidR="007A17A3" w:rsidRPr="000C240C" w:rsidRDefault="007A17A3" w:rsidP="007A17A3">
      <w:pPr>
        <w:widowControl w:val="0"/>
        <w:autoSpaceDE w:val="0"/>
        <w:autoSpaceDN w:val="0"/>
        <w:adjustRightInd w:val="0"/>
        <w:rPr>
          <w:color w:val="000000"/>
          <w:sz w:val="26"/>
          <w:szCs w:val="26"/>
          <w:u w:val="single"/>
        </w:rPr>
      </w:pPr>
      <w:r w:rsidRPr="000C240C">
        <w:rPr>
          <w:i/>
          <w:color w:val="000000"/>
          <w:sz w:val="26"/>
          <w:szCs w:val="26"/>
          <w:u w:val="single"/>
        </w:rPr>
        <w:t xml:space="preserve">   Two or more races (Not Hispanic or </w:t>
      </w:r>
      <w:r w:rsidR="00AF4BD7" w:rsidRPr="000C240C">
        <w:rPr>
          <w:i/>
          <w:color w:val="000000"/>
          <w:sz w:val="26"/>
          <w:szCs w:val="26"/>
          <w:u w:val="single"/>
        </w:rPr>
        <w:t>L</w:t>
      </w:r>
      <w:r w:rsidRPr="000C240C">
        <w:rPr>
          <w:i/>
          <w:color w:val="000000"/>
          <w:sz w:val="26"/>
          <w:szCs w:val="26"/>
          <w:u w:val="single"/>
        </w:rPr>
        <w:t>atino)</w:t>
      </w:r>
      <w:r w:rsidRPr="000C240C">
        <w:rPr>
          <w:color w:val="000000"/>
          <w:sz w:val="26"/>
          <w:szCs w:val="26"/>
          <w:u w:val="single"/>
        </w:rPr>
        <w:t>—</w:t>
      </w:r>
      <w:r w:rsidR="00AF4BD7" w:rsidRPr="000C240C">
        <w:rPr>
          <w:color w:val="000000"/>
          <w:sz w:val="26"/>
          <w:szCs w:val="26"/>
          <w:u w:val="single"/>
        </w:rPr>
        <w:t>A</w:t>
      </w:r>
      <w:r w:rsidRPr="000C240C">
        <w:rPr>
          <w:color w:val="000000"/>
          <w:sz w:val="26"/>
          <w:szCs w:val="26"/>
          <w:u w:val="single"/>
        </w:rPr>
        <w:t xml:space="preserve"> person who identifies with more than one of the five races identified in this section.</w:t>
      </w:r>
    </w:p>
    <w:p w14:paraId="128C84DA" w14:textId="77777777" w:rsidR="007A17A3" w:rsidRPr="000C240C" w:rsidRDefault="007A17A3" w:rsidP="007A17A3">
      <w:pPr>
        <w:widowControl w:val="0"/>
        <w:autoSpaceDE w:val="0"/>
        <w:autoSpaceDN w:val="0"/>
        <w:adjustRightInd w:val="0"/>
        <w:rPr>
          <w:color w:val="000000"/>
          <w:sz w:val="26"/>
          <w:szCs w:val="26"/>
          <w:u w:val="single"/>
        </w:rPr>
      </w:pPr>
    </w:p>
    <w:p w14:paraId="33D16927" w14:textId="6FE5E827" w:rsidR="007A17A3" w:rsidRPr="00E44E73" w:rsidRDefault="00E86212" w:rsidP="007A17A3">
      <w:pPr>
        <w:widowControl w:val="0"/>
        <w:autoSpaceDE w:val="0"/>
        <w:autoSpaceDN w:val="0"/>
        <w:adjustRightInd w:val="0"/>
        <w:rPr>
          <w:color w:val="000000"/>
          <w:sz w:val="26"/>
          <w:szCs w:val="26"/>
          <w:u w:val="single"/>
        </w:rPr>
      </w:pPr>
      <w:r w:rsidRPr="001461FA">
        <w:rPr>
          <w:i/>
          <w:color w:val="000000"/>
          <w:sz w:val="26"/>
          <w:szCs w:val="26"/>
          <w:u w:val="single"/>
        </w:rPr>
        <w:t>   </w:t>
      </w:r>
      <w:r w:rsidRPr="0075541B">
        <w:rPr>
          <w:i/>
          <w:color w:val="000000"/>
          <w:sz w:val="26"/>
          <w:szCs w:val="26"/>
          <w:u w:val="single"/>
        </w:rPr>
        <w:t>White (</w:t>
      </w:r>
      <w:r w:rsidR="0075541B" w:rsidRPr="0075541B">
        <w:rPr>
          <w:i/>
          <w:iCs/>
          <w:color w:val="000000"/>
          <w:sz w:val="26"/>
          <w:szCs w:val="26"/>
          <w:u w:val="single"/>
        </w:rPr>
        <w:t>N</w:t>
      </w:r>
      <w:r w:rsidRPr="0075541B">
        <w:rPr>
          <w:i/>
          <w:iCs/>
          <w:color w:val="000000"/>
          <w:sz w:val="26"/>
          <w:szCs w:val="26"/>
          <w:u w:val="single"/>
        </w:rPr>
        <w:t>ot</w:t>
      </w:r>
      <w:r w:rsidRPr="0075541B">
        <w:rPr>
          <w:i/>
          <w:color w:val="000000"/>
          <w:sz w:val="26"/>
          <w:szCs w:val="26"/>
          <w:u w:val="single"/>
        </w:rPr>
        <w:t xml:space="preserve"> Hispanic or Latino)</w:t>
      </w:r>
      <w:r w:rsidRPr="00E44E73">
        <w:rPr>
          <w:color w:val="000000"/>
          <w:sz w:val="26"/>
          <w:szCs w:val="26"/>
          <w:u w:val="single"/>
        </w:rPr>
        <w:t>—A person having origins in any of the original peoples of Europe, the Middle East, or North Africa.</w:t>
      </w:r>
    </w:p>
    <w:p w14:paraId="79B977F8" w14:textId="77777777" w:rsidR="006C31F0" w:rsidRPr="00E44E73" w:rsidRDefault="006C31F0" w:rsidP="006C31F0">
      <w:pPr>
        <w:widowControl w:val="0"/>
        <w:autoSpaceDE w:val="0"/>
        <w:autoSpaceDN w:val="0"/>
        <w:adjustRightInd w:val="0"/>
        <w:rPr>
          <w:color w:val="000000"/>
          <w:sz w:val="26"/>
          <w:szCs w:val="26"/>
          <w:u w:val="single"/>
        </w:rPr>
      </w:pPr>
    </w:p>
    <w:p w14:paraId="311A0032" w14:textId="2504A721" w:rsidR="00195C04" w:rsidRPr="00E44E73" w:rsidRDefault="00195C04" w:rsidP="001461FA">
      <w:pPr>
        <w:keepNext/>
        <w:rPr>
          <w:b/>
          <w:sz w:val="26"/>
          <w:szCs w:val="26"/>
          <w:u w:val="single"/>
        </w:rPr>
      </w:pPr>
      <w:r w:rsidRPr="001461FA">
        <w:rPr>
          <w:b/>
          <w:sz w:val="26"/>
          <w:szCs w:val="26"/>
          <w:u w:val="single"/>
        </w:rPr>
        <w:lastRenderedPageBreak/>
        <w:t xml:space="preserve">§ </w:t>
      </w:r>
      <w:r w:rsidR="00781C3E">
        <w:rPr>
          <w:b/>
          <w:sz w:val="26"/>
          <w:szCs w:val="26"/>
          <w:u w:val="single"/>
        </w:rPr>
        <w:t>51.1</w:t>
      </w:r>
      <w:r w:rsidR="0041205A">
        <w:rPr>
          <w:b/>
          <w:sz w:val="26"/>
          <w:szCs w:val="26"/>
          <w:u w:val="single"/>
        </w:rPr>
        <w:t>4</w:t>
      </w:r>
      <w:r w:rsidRPr="00E44E73">
        <w:rPr>
          <w:b/>
          <w:sz w:val="26"/>
          <w:szCs w:val="26"/>
          <w:u w:val="single"/>
        </w:rPr>
        <w:t xml:space="preserve">. </w:t>
      </w:r>
      <w:r w:rsidR="00841672" w:rsidRPr="00E44E73">
        <w:rPr>
          <w:b/>
          <w:sz w:val="26"/>
          <w:szCs w:val="26"/>
          <w:u w:val="single"/>
        </w:rPr>
        <w:t>Definitions For Reporting Vendor Statistics</w:t>
      </w:r>
    </w:p>
    <w:p w14:paraId="2201A848" w14:textId="77777777" w:rsidR="00B61408" w:rsidRPr="000C240C" w:rsidRDefault="00B61408" w:rsidP="001461FA">
      <w:pPr>
        <w:keepNext/>
        <w:widowControl w:val="0"/>
        <w:autoSpaceDE w:val="0"/>
        <w:autoSpaceDN w:val="0"/>
        <w:adjustRightInd w:val="0"/>
        <w:rPr>
          <w:color w:val="000000"/>
          <w:sz w:val="26"/>
          <w:szCs w:val="26"/>
          <w:u w:val="single"/>
        </w:rPr>
      </w:pPr>
    </w:p>
    <w:p w14:paraId="32FB3267" w14:textId="052B9355" w:rsidR="00BD76AD" w:rsidRPr="00E44E73" w:rsidRDefault="00BD76AD" w:rsidP="00BD76AD">
      <w:pPr>
        <w:rPr>
          <w:color w:val="000000"/>
          <w:sz w:val="26"/>
          <w:szCs w:val="26"/>
          <w:u w:val="single"/>
        </w:rPr>
      </w:pPr>
      <w:r w:rsidRPr="001461FA">
        <w:rPr>
          <w:color w:val="000000"/>
          <w:sz w:val="26"/>
          <w:szCs w:val="26"/>
          <w:u w:val="single"/>
        </w:rPr>
        <w:t xml:space="preserve">The following words and terms, when used in </w:t>
      </w:r>
      <w:r w:rsidRPr="00446661">
        <w:rPr>
          <w:color w:val="000000"/>
          <w:sz w:val="26"/>
          <w:szCs w:val="26"/>
          <w:u w:val="single"/>
        </w:rPr>
        <w:t xml:space="preserve">§§ </w:t>
      </w:r>
      <w:r w:rsidR="00032BC2">
        <w:rPr>
          <w:color w:val="000000"/>
          <w:sz w:val="26"/>
          <w:szCs w:val="26"/>
          <w:u w:val="single"/>
        </w:rPr>
        <w:t>51.1</w:t>
      </w:r>
      <w:r w:rsidR="00102F11">
        <w:rPr>
          <w:color w:val="000000"/>
          <w:sz w:val="26"/>
          <w:szCs w:val="26"/>
          <w:u w:val="single"/>
        </w:rPr>
        <w:t>1</w:t>
      </w:r>
      <w:r w:rsidRPr="00E44E73">
        <w:rPr>
          <w:color w:val="000000"/>
          <w:sz w:val="26"/>
          <w:szCs w:val="26"/>
          <w:u w:val="single"/>
        </w:rPr>
        <w:t xml:space="preserve"> and </w:t>
      </w:r>
      <w:r w:rsidR="00032BC2">
        <w:rPr>
          <w:color w:val="000000"/>
          <w:sz w:val="26"/>
          <w:szCs w:val="26"/>
          <w:u w:val="single"/>
        </w:rPr>
        <w:t>51.1</w:t>
      </w:r>
      <w:r w:rsidR="00FC2F81">
        <w:rPr>
          <w:color w:val="000000"/>
          <w:sz w:val="26"/>
          <w:szCs w:val="26"/>
          <w:u w:val="single"/>
        </w:rPr>
        <w:t>5</w:t>
      </w:r>
      <w:r w:rsidR="00102F11">
        <w:rPr>
          <w:color w:val="000000"/>
          <w:sz w:val="26"/>
          <w:szCs w:val="26"/>
          <w:u w:val="single"/>
        </w:rPr>
        <w:t xml:space="preserve"> </w:t>
      </w:r>
      <w:r w:rsidR="00E10349">
        <w:rPr>
          <w:color w:val="000000"/>
          <w:sz w:val="26"/>
          <w:szCs w:val="26"/>
          <w:u w:val="single"/>
        </w:rPr>
        <w:t>and in the Commission’s Diversity Policy Statement at 52 Pa. Code §§ 69.801-69.809</w:t>
      </w:r>
      <w:r w:rsidR="008C72EB">
        <w:rPr>
          <w:color w:val="000000"/>
          <w:sz w:val="26"/>
          <w:szCs w:val="26"/>
          <w:u w:val="single"/>
        </w:rPr>
        <w:t>,</w:t>
      </w:r>
      <w:r w:rsidR="00E10349">
        <w:rPr>
          <w:color w:val="000000"/>
          <w:sz w:val="26"/>
          <w:szCs w:val="26"/>
          <w:u w:val="single"/>
        </w:rPr>
        <w:t xml:space="preserve"> </w:t>
      </w:r>
      <w:r w:rsidRPr="00E44E73">
        <w:rPr>
          <w:color w:val="000000"/>
          <w:sz w:val="26"/>
          <w:szCs w:val="26"/>
          <w:u w:val="single"/>
        </w:rPr>
        <w:t xml:space="preserve">in the context of </w:t>
      </w:r>
      <w:r w:rsidR="006B7C7A">
        <w:rPr>
          <w:color w:val="000000"/>
          <w:sz w:val="26"/>
          <w:szCs w:val="26"/>
          <w:u w:val="single"/>
        </w:rPr>
        <w:t xml:space="preserve">a </w:t>
      </w:r>
      <w:r w:rsidRPr="00E44E73">
        <w:rPr>
          <w:color w:val="000000"/>
          <w:sz w:val="26"/>
          <w:szCs w:val="26"/>
          <w:u w:val="single"/>
        </w:rPr>
        <w:t>vendor</w:t>
      </w:r>
      <w:r w:rsidR="006B7C7A">
        <w:rPr>
          <w:color w:val="000000"/>
          <w:sz w:val="26"/>
          <w:szCs w:val="26"/>
          <w:u w:val="single"/>
        </w:rPr>
        <w:t xml:space="preserve"> with whom a </w:t>
      </w:r>
      <w:r w:rsidR="00DA3BA7">
        <w:rPr>
          <w:color w:val="000000"/>
          <w:sz w:val="26"/>
          <w:szCs w:val="26"/>
          <w:u w:val="single"/>
        </w:rPr>
        <w:t xml:space="preserve">major jurisdictional </w:t>
      </w:r>
      <w:r w:rsidR="006B7C7A">
        <w:rPr>
          <w:color w:val="000000"/>
          <w:sz w:val="26"/>
          <w:szCs w:val="26"/>
          <w:u w:val="single"/>
        </w:rPr>
        <w:t>utility does business</w:t>
      </w:r>
      <w:r w:rsidRPr="00E44E73">
        <w:rPr>
          <w:color w:val="000000"/>
          <w:sz w:val="26"/>
          <w:szCs w:val="26"/>
          <w:u w:val="single"/>
        </w:rPr>
        <w:t xml:space="preserve"> have the following meanings, unless the context clearly indicates otherwise:</w:t>
      </w:r>
    </w:p>
    <w:p w14:paraId="6340B94D" w14:textId="77777777" w:rsidR="002C073C" w:rsidRPr="00E44E73" w:rsidRDefault="002C073C" w:rsidP="001461FA">
      <w:pPr>
        <w:keepNext/>
        <w:widowControl w:val="0"/>
        <w:autoSpaceDE w:val="0"/>
        <w:autoSpaceDN w:val="0"/>
        <w:adjustRightInd w:val="0"/>
        <w:rPr>
          <w:color w:val="000000"/>
          <w:sz w:val="26"/>
          <w:szCs w:val="26"/>
          <w:u w:val="single"/>
        </w:rPr>
      </w:pPr>
    </w:p>
    <w:p w14:paraId="500BC953" w14:textId="7CA24AF2" w:rsidR="007B77C1" w:rsidRPr="00E44E73" w:rsidRDefault="00ED1608" w:rsidP="00A42765">
      <w:pPr>
        <w:widowControl w:val="0"/>
        <w:autoSpaceDE w:val="0"/>
        <w:autoSpaceDN w:val="0"/>
        <w:adjustRightInd w:val="0"/>
        <w:rPr>
          <w:color w:val="000000"/>
          <w:sz w:val="26"/>
          <w:szCs w:val="26"/>
          <w:u w:val="single"/>
        </w:rPr>
      </w:pPr>
      <w:r w:rsidRPr="00E44E73">
        <w:rPr>
          <w:i/>
          <w:color w:val="000000"/>
          <w:sz w:val="26"/>
          <w:szCs w:val="26"/>
          <w:u w:val="single"/>
        </w:rPr>
        <w:t>  </w:t>
      </w:r>
      <w:r w:rsidR="009E09F7" w:rsidRPr="00E44E73">
        <w:rPr>
          <w:i/>
          <w:color w:val="000000"/>
          <w:sz w:val="26"/>
          <w:szCs w:val="26"/>
          <w:u w:val="single"/>
        </w:rPr>
        <w:t>Control</w:t>
      </w:r>
      <w:r w:rsidRPr="00E44E73">
        <w:rPr>
          <w:color w:val="000000"/>
          <w:sz w:val="26"/>
          <w:szCs w:val="26"/>
          <w:u w:val="single"/>
        </w:rPr>
        <w:t>—</w:t>
      </w:r>
      <w:r w:rsidR="009E09F7" w:rsidRPr="00E44E73">
        <w:rPr>
          <w:color w:val="000000"/>
          <w:sz w:val="26"/>
          <w:szCs w:val="26"/>
          <w:u w:val="single"/>
        </w:rPr>
        <w:t>the exercise of the power to make policy decisions.</w:t>
      </w:r>
    </w:p>
    <w:p w14:paraId="686112D8" w14:textId="77777777" w:rsidR="00A42765" w:rsidRPr="00E44E73" w:rsidRDefault="00A42765" w:rsidP="000E71A5">
      <w:pPr>
        <w:widowControl w:val="0"/>
        <w:autoSpaceDE w:val="0"/>
        <w:autoSpaceDN w:val="0"/>
        <w:adjustRightInd w:val="0"/>
        <w:rPr>
          <w:color w:val="000000"/>
          <w:sz w:val="26"/>
          <w:szCs w:val="26"/>
          <w:u w:val="single"/>
        </w:rPr>
      </w:pPr>
    </w:p>
    <w:p w14:paraId="6F76CFA2" w14:textId="0741CB80" w:rsidR="00430570" w:rsidRPr="00E44E73" w:rsidRDefault="00430570" w:rsidP="00430570">
      <w:pPr>
        <w:widowControl w:val="0"/>
        <w:autoSpaceDE w:val="0"/>
        <w:autoSpaceDN w:val="0"/>
        <w:adjustRightInd w:val="0"/>
        <w:rPr>
          <w:color w:val="000000"/>
          <w:sz w:val="26"/>
          <w:szCs w:val="26"/>
          <w:u w:val="single"/>
        </w:rPr>
      </w:pPr>
      <w:r w:rsidRPr="000C240C">
        <w:rPr>
          <w:i/>
          <w:color w:val="000000"/>
          <w:sz w:val="26"/>
          <w:szCs w:val="26"/>
          <w:u w:val="single"/>
        </w:rPr>
        <w:t>   Exempt Procurement</w:t>
      </w:r>
      <w:r w:rsidRPr="000C240C">
        <w:rPr>
          <w:color w:val="000000"/>
          <w:sz w:val="26"/>
          <w:szCs w:val="26"/>
          <w:u w:val="single"/>
        </w:rPr>
        <w:t xml:space="preserve">—A product or service which may be removed from the dollar base used to establish minimum improvement levels, because of the demonstrated unavailability of a minority/women/people with disabilities/LGBTQ/veteran-owned </w:t>
      </w:r>
      <w:r w:rsidRPr="001461FA">
        <w:rPr>
          <w:color w:val="000000"/>
          <w:sz w:val="26"/>
          <w:szCs w:val="26"/>
          <w:u w:val="single"/>
        </w:rPr>
        <w:t xml:space="preserve">business currently capable of supplying a product or service. </w:t>
      </w:r>
      <w:r w:rsidR="003B2F66">
        <w:rPr>
          <w:color w:val="000000"/>
          <w:sz w:val="26"/>
          <w:szCs w:val="26"/>
          <w:u w:val="single"/>
        </w:rPr>
        <w:t xml:space="preserve"> </w:t>
      </w:r>
      <w:r w:rsidRPr="001461FA">
        <w:rPr>
          <w:color w:val="000000"/>
          <w:sz w:val="26"/>
          <w:szCs w:val="26"/>
          <w:u w:val="single"/>
        </w:rPr>
        <w:t>The term may</w:t>
      </w:r>
      <w:r w:rsidRPr="00446661">
        <w:rPr>
          <w:color w:val="000000"/>
          <w:sz w:val="26"/>
          <w:szCs w:val="26"/>
          <w:u w:val="single"/>
        </w:rPr>
        <w:t xml:space="preserve"> also include one or more of the following situations:</w:t>
      </w:r>
      <w:r w:rsidR="00D33090">
        <w:rPr>
          <w:color w:val="000000"/>
          <w:sz w:val="26"/>
          <w:szCs w:val="26"/>
          <w:u w:val="single"/>
        </w:rPr>
        <w:t xml:space="preserve"> </w:t>
      </w:r>
    </w:p>
    <w:p w14:paraId="3C087B1A" w14:textId="77777777" w:rsidR="00430570" w:rsidRPr="00E44E73" w:rsidRDefault="00430570" w:rsidP="00430570">
      <w:pPr>
        <w:widowControl w:val="0"/>
        <w:autoSpaceDE w:val="0"/>
        <w:autoSpaceDN w:val="0"/>
        <w:adjustRightInd w:val="0"/>
        <w:rPr>
          <w:color w:val="000000"/>
          <w:sz w:val="26"/>
          <w:szCs w:val="26"/>
          <w:u w:val="single"/>
        </w:rPr>
      </w:pPr>
    </w:p>
    <w:p w14:paraId="2C677B06" w14:textId="66C96EE4" w:rsidR="00430570" w:rsidRPr="00E44E73" w:rsidRDefault="00430570" w:rsidP="00430570">
      <w:pPr>
        <w:widowControl w:val="0"/>
        <w:autoSpaceDE w:val="0"/>
        <w:autoSpaceDN w:val="0"/>
        <w:adjustRightInd w:val="0"/>
        <w:rPr>
          <w:color w:val="000000"/>
          <w:sz w:val="26"/>
          <w:szCs w:val="26"/>
          <w:u w:val="single"/>
        </w:rPr>
      </w:pPr>
      <w:r w:rsidRPr="00E44E73">
        <w:rPr>
          <w:color w:val="000000"/>
          <w:sz w:val="26"/>
          <w:szCs w:val="26"/>
          <w:u w:val="single"/>
        </w:rPr>
        <w:t>     </w:t>
      </w:r>
      <w:r w:rsidR="00BF138F" w:rsidRPr="00E44E73">
        <w:rPr>
          <w:color w:val="000000"/>
          <w:sz w:val="26"/>
          <w:szCs w:val="26"/>
          <w:u w:val="single"/>
        </w:rPr>
        <w:t>(i) The vendor is the original equipment manufacturer.</w:t>
      </w:r>
    </w:p>
    <w:p w14:paraId="18E76235" w14:textId="77777777" w:rsidR="00430570" w:rsidRPr="00E44E73" w:rsidRDefault="00430570" w:rsidP="00430570">
      <w:pPr>
        <w:widowControl w:val="0"/>
        <w:autoSpaceDE w:val="0"/>
        <w:autoSpaceDN w:val="0"/>
        <w:adjustRightInd w:val="0"/>
        <w:rPr>
          <w:color w:val="000000"/>
          <w:sz w:val="26"/>
          <w:szCs w:val="26"/>
          <w:u w:val="single"/>
        </w:rPr>
      </w:pPr>
    </w:p>
    <w:p w14:paraId="7FAF5A99" w14:textId="75D679C2" w:rsidR="00430570" w:rsidRPr="00E44E73" w:rsidRDefault="00430570" w:rsidP="00430570">
      <w:pPr>
        <w:widowControl w:val="0"/>
        <w:autoSpaceDE w:val="0"/>
        <w:autoSpaceDN w:val="0"/>
        <w:adjustRightInd w:val="0"/>
        <w:rPr>
          <w:color w:val="000000"/>
          <w:sz w:val="26"/>
          <w:szCs w:val="26"/>
          <w:u w:val="single"/>
        </w:rPr>
      </w:pPr>
      <w:r w:rsidRPr="00E44E73">
        <w:rPr>
          <w:color w:val="000000"/>
          <w:sz w:val="26"/>
          <w:szCs w:val="26"/>
          <w:u w:val="single"/>
        </w:rPr>
        <w:t>     </w:t>
      </w:r>
      <w:r w:rsidR="00BF138F" w:rsidRPr="00E44E73">
        <w:rPr>
          <w:color w:val="000000"/>
          <w:sz w:val="26"/>
          <w:szCs w:val="26"/>
          <w:u w:val="single"/>
        </w:rPr>
        <w:t>(ii) The vendor is the only known source of the product or service.</w:t>
      </w:r>
    </w:p>
    <w:p w14:paraId="0533AD80" w14:textId="77777777" w:rsidR="00430570" w:rsidRPr="00E44E73" w:rsidRDefault="00430570" w:rsidP="00430570">
      <w:pPr>
        <w:widowControl w:val="0"/>
        <w:autoSpaceDE w:val="0"/>
        <w:autoSpaceDN w:val="0"/>
        <w:adjustRightInd w:val="0"/>
        <w:rPr>
          <w:color w:val="000000"/>
          <w:sz w:val="26"/>
          <w:szCs w:val="26"/>
          <w:u w:val="single"/>
        </w:rPr>
      </w:pPr>
    </w:p>
    <w:p w14:paraId="2A93BC2D" w14:textId="5C458AFD" w:rsidR="00430570" w:rsidRPr="00E44E73" w:rsidRDefault="00430570" w:rsidP="00430570">
      <w:pPr>
        <w:widowControl w:val="0"/>
        <w:autoSpaceDE w:val="0"/>
        <w:autoSpaceDN w:val="0"/>
        <w:adjustRightInd w:val="0"/>
        <w:rPr>
          <w:color w:val="000000"/>
          <w:sz w:val="26"/>
          <w:szCs w:val="26"/>
          <w:u w:val="single"/>
        </w:rPr>
      </w:pPr>
      <w:r w:rsidRPr="00E44E73">
        <w:rPr>
          <w:color w:val="000000"/>
          <w:sz w:val="26"/>
          <w:szCs w:val="26"/>
          <w:u w:val="single"/>
        </w:rPr>
        <w:t>     </w:t>
      </w:r>
      <w:r w:rsidR="00BF138F" w:rsidRPr="00E44E73">
        <w:rPr>
          <w:color w:val="000000"/>
          <w:sz w:val="26"/>
          <w:szCs w:val="26"/>
          <w:u w:val="single"/>
        </w:rPr>
        <w:t>(iii) A plant emergency situation dictates use of a specific vendor.</w:t>
      </w:r>
    </w:p>
    <w:p w14:paraId="00A6D86D" w14:textId="77777777" w:rsidR="00430570" w:rsidRPr="00E44E73" w:rsidRDefault="00430570" w:rsidP="00430570">
      <w:pPr>
        <w:widowControl w:val="0"/>
        <w:autoSpaceDE w:val="0"/>
        <w:autoSpaceDN w:val="0"/>
        <w:adjustRightInd w:val="0"/>
        <w:rPr>
          <w:color w:val="000000"/>
          <w:sz w:val="26"/>
          <w:szCs w:val="26"/>
          <w:u w:val="single"/>
        </w:rPr>
      </w:pPr>
    </w:p>
    <w:p w14:paraId="1BC98B6B" w14:textId="3D612C44" w:rsidR="00430570" w:rsidRPr="00E44E73" w:rsidRDefault="00430570" w:rsidP="00430570">
      <w:pPr>
        <w:widowControl w:val="0"/>
        <w:autoSpaceDE w:val="0"/>
        <w:autoSpaceDN w:val="0"/>
        <w:adjustRightInd w:val="0"/>
        <w:rPr>
          <w:color w:val="000000"/>
          <w:sz w:val="26"/>
          <w:szCs w:val="26"/>
          <w:u w:val="single"/>
        </w:rPr>
      </w:pPr>
      <w:r w:rsidRPr="00E44E73">
        <w:rPr>
          <w:color w:val="000000"/>
          <w:sz w:val="26"/>
          <w:szCs w:val="26"/>
          <w:u w:val="single"/>
        </w:rPr>
        <w:t>     </w:t>
      </w:r>
      <w:r w:rsidR="00BF138F" w:rsidRPr="00E44E73">
        <w:rPr>
          <w:color w:val="000000"/>
          <w:sz w:val="26"/>
          <w:szCs w:val="26"/>
          <w:u w:val="single"/>
        </w:rPr>
        <w:t xml:space="preserve">(iv) </w:t>
      </w:r>
      <w:r w:rsidR="009F5C07">
        <w:rPr>
          <w:color w:val="000000"/>
          <w:sz w:val="26"/>
          <w:szCs w:val="26"/>
          <w:u w:val="single"/>
        </w:rPr>
        <w:t>The p</w:t>
      </w:r>
      <w:r w:rsidR="00BF138F" w:rsidRPr="00E44E73">
        <w:rPr>
          <w:color w:val="000000"/>
          <w:sz w:val="26"/>
          <w:szCs w:val="26"/>
          <w:u w:val="single"/>
        </w:rPr>
        <w:t xml:space="preserve">urchase </w:t>
      </w:r>
      <w:r w:rsidR="009F5C07">
        <w:rPr>
          <w:color w:val="000000"/>
          <w:sz w:val="26"/>
          <w:szCs w:val="26"/>
          <w:u w:val="single"/>
        </w:rPr>
        <w:t xml:space="preserve">is </w:t>
      </w:r>
      <w:r w:rsidR="00BF138F" w:rsidRPr="00E44E73">
        <w:rPr>
          <w:color w:val="000000"/>
          <w:sz w:val="26"/>
          <w:szCs w:val="26"/>
          <w:u w:val="single"/>
        </w:rPr>
        <w:t xml:space="preserve">from </w:t>
      </w:r>
      <w:r w:rsidR="009F5C07">
        <w:rPr>
          <w:color w:val="000000"/>
          <w:sz w:val="26"/>
          <w:szCs w:val="26"/>
          <w:u w:val="single"/>
        </w:rPr>
        <w:t xml:space="preserve">an </w:t>
      </w:r>
      <w:r w:rsidR="00BF138F" w:rsidRPr="00E44E73">
        <w:rPr>
          <w:color w:val="000000"/>
          <w:sz w:val="26"/>
          <w:szCs w:val="26"/>
          <w:u w:val="single"/>
        </w:rPr>
        <w:t>affiliate, corporate parent</w:t>
      </w:r>
      <w:r w:rsidR="009F5C07">
        <w:rPr>
          <w:color w:val="000000"/>
          <w:sz w:val="26"/>
          <w:szCs w:val="26"/>
          <w:u w:val="single"/>
        </w:rPr>
        <w:t>, or</w:t>
      </w:r>
      <w:r w:rsidR="00BF138F" w:rsidRPr="00E44E73" w:rsidDel="009F5C07">
        <w:rPr>
          <w:color w:val="000000"/>
          <w:sz w:val="26"/>
          <w:szCs w:val="26"/>
          <w:u w:val="single"/>
        </w:rPr>
        <w:t xml:space="preserve"> </w:t>
      </w:r>
      <w:r w:rsidR="009F5C07">
        <w:rPr>
          <w:color w:val="000000"/>
          <w:sz w:val="26"/>
          <w:szCs w:val="26"/>
          <w:u w:val="single"/>
        </w:rPr>
        <w:t xml:space="preserve">a </w:t>
      </w:r>
      <w:r w:rsidR="00BF138F" w:rsidRPr="00E44E73">
        <w:rPr>
          <w:color w:val="000000"/>
          <w:sz w:val="26"/>
          <w:szCs w:val="26"/>
          <w:u w:val="single"/>
        </w:rPr>
        <w:t>subsidia</w:t>
      </w:r>
      <w:r w:rsidR="009F5C07">
        <w:rPr>
          <w:color w:val="000000"/>
          <w:sz w:val="26"/>
          <w:szCs w:val="26"/>
          <w:u w:val="single"/>
        </w:rPr>
        <w:t>ry.</w:t>
      </w:r>
    </w:p>
    <w:p w14:paraId="6759231E" w14:textId="77777777" w:rsidR="00A7144B" w:rsidRPr="00E44E73" w:rsidRDefault="00A7144B" w:rsidP="00A7144B">
      <w:pPr>
        <w:widowControl w:val="0"/>
        <w:autoSpaceDE w:val="0"/>
        <w:autoSpaceDN w:val="0"/>
        <w:adjustRightInd w:val="0"/>
        <w:rPr>
          <w:color w:val="000000"/>
          <w:sz w:val="26"/>
          <w:szCs w:val="26"/>
          <w:u w:val="single"/>
        </w:rPr>
      </w:pPr>
    </w:p>
    <w:p w14:paraId="0513B2FD" w14:textId="53EC1334" w:rsidR="00755FEE" w:rsidRDefault="00CD1B8E" w:rsidP="00CD1B8E">
      <w:pPr>
        <w:rPr>
          <w:color w:val="000000"/>
          <w:sz w:val="26"/>
          <w:szCs w:val="26"/>
          <w:u w:val="single"/>
        </w:rPr>
      </w:pPr>
      <w:r w:rsidRPr="00E44E73">
        <w:rPr>
          <w:i/>
          <w:color w:val="000000"/>
          <w:sz w:val="26"/>
          <w:szCs w:val="26"/>
          <w:u w:val="single"/>
        </w:rPr>
        <w:t>   MBE</w:t>
      </w:r>
      <w:r w:rsidR="009337BC">
        <w:rPr>
          <w:i/>
          <w:color w:val="000000"/>
          <w:sz w:val="26"/>
          <w:szCs w:val="26"/>
          <w:u w:val="single"/>
        </w:rPr>
        <w:t>—</w:t>
      </w:r>
      <w:r w:rsidRPr="00E44E73">
        <w:rPr>
          <w:i/>
          <w:color w:val="000000"/>
          <w:sz w:val="26"/>
          <w:szCs w:val="26"/>
          <w:u w:val="single"/>
        </w:rPr>
        <w:t>Minority-Owned Business Enterprise</w:t>
      </w:r>
      <w:r w:rsidRPr="00E44E73">
        <w:rPr>
          <w:color w:val="000000"/>
          <w:sz w:val="26"/>
          <w:szCs w:val="26"/>
          <w:u w:val="single"/>
        </w:rPr>
        <w:t xml:space="preserve">—A business enterprise that is at least 51% owned by a minority individual or group or individuals; or a publicly-owned business that has at least 51% of its stock owned by one or more minority individuals, and whose management and daily business operations are controlled by these individuals. </w:t>
      </w:r>
      <w:r w:rsidR="003E1651">
        <w:rPr>
          <w:color w:val="000000"/>
          <w:sz w:val="26"/>
          <w:szCs w:val="26"/>
          <w:u w:val="single"/>
        </w:rPr>
        <w:t xml:space="preserve"> </w:t>
      </w:r>
    </w:p>
    <w:p w14:paraId="7117B9BC" w14:textId="77777777" w:rsidR="00755FEE" w:rsidRDefault="00755FEE" w:rsidP="00CD1B8E">
      <w:pPr>
        <w:rPr>
          <w:color w:val="000000"/>
          <w:sz w:val="26"/>
          <w:szCs w:val="26"/>
          <w:u w:val="single"/>
        </w:rPr>
      </w:pPr>
    </w:p>
    <w:p w14:paraId="0F07F4D6" w14:textId="7CA81252" w:rsidR="00CD1B8E" w:rsidRPr="00E44E73" w:rsidRDefault="00816021" w:rsidP="00CD1B8E">
      <w:pPr>
        <w:rPr>
          <w:color w:val="000000"/>
          <w:sz w:val="26"/>
          <w:szCs w:val="26"/>
          <w:u w:val="single"/>
        </w:rPr>
      </w:pPr>
      <w:r>
        <w:rPr>
          <w:i/>
          <w:iCs/>
          <w:color w:val="000000"/>
          <w:sz w:val="26"/>
          <w:szCs w:val="26"/>
          <w:u w:val="single"/>
        </w:rPr>
        <w:t xml:space="preserve">   </w:t>
      </w:r>
      <w:r w:rsidR="003E1651" w:rsidRPr="002A788C">
        <w:rPr>
          <w:i/>
          <w:iCs/>
          <w:color w:val="000000"/>
          <w:sz w:val="26"/>
          <w:szCs w:val="26"/>
          <w:u w:val="single"/>
        </w:rPr>
        <w:t>M</w:t>
      </w:r>
      <w:r w:rsidR="00CD1B8E" w:rsidRPr="002A788C">
        <w:rPr>
          <w:i/>
          <w:iCs/>
          <w:color w:val="000000"/>
          <w:sz w:val="26"/>
          <w:szCs w:val="26"/>
          <w:u w:val="single"/>
        </w:rPr>
        <w:t>inority</w:t>
      </w:r>
      <w:r w:rsidR="009337BC">
        <w:rPr>
          <w:color w:val="000000"/>
          <w:sz w:val="26"/>
          <w:szCs w:val="26"/>
          <w:u w:val="single"/>
        </w:rPr>
        <w:t>—</w:t>
      </w:r>
      <w:r w:rsidR="00CD1B8E" w:rsidRPr="00E44E73">
        <w:rPr>
          <w:color w:val="000000"/>
          <w:sz w:val="26"/>
          <w:szCs w:val="26"/>
          <w:u w:val="single"/>
        </w:rPr>
        <w:t>Black American, Hispanic</w:t>
      </w:r>
      <w:r w:rsidR="00656AE4">
        <w:rPr>
          <w:color w:val="000000"/>
          <w:sz w:val="26"/>
          <w:szCs w:val="26"/>
          <w:u w:val="single"/>
        </w:rPr>
        <w:t xml:space="preserve"> </w:t>
      </w:r>
      <w:r w:rsidR="00CD1B8E" w:rsidRPr="00E44E73">
        <w:rPr>
          <w:color w:val="000000"/>
          <w:sz w:val="26"/>
          <w:szCs w:val="26"/>
          <w:u w:val="single"/>
        </w:rPr>
        <w:t>American, Native American, Asian-Pacific American</w:t>
      </w:r>
      <w:r w:rsidR="00864C19">
        <w:rPr>
          <w:color w:val="000000"/>
          <w:sz w:val="26"/>
          <w:szCs w:val="26"/>
          <w:u w:val="single"/>
        </w:rPr>
        <w:t>,</w:t>
      </w:r>
      <w:r w:rsidR="00CD1B8E" w:rsidRPr="00E44E73">
        <w:rPr>
          <w:color w:val="000000"/>
          <w:sz w:val="26"/>
          <w:szCs w:val="26"/>
          <w:u w:val="single"/>
        </w:rPr>
        <w:t xml:space="preserve"> or any other socially disadvantaged individual as defined in 13 C.F.R. §</w:t>
      </w:r>
      <w:r w:rsidR="00864C19">
        <w:rPr>
          <w:color w:val="000000"/>
          <w:sz w:val="26"/>
          <w:szCs w:val="26"/>
          <w:u w:val="single"/>
        </w:rPr>
        <w:t> </w:t>
      </w:r>
      <w:r w:rsidR="00CD1B8E" w:rsidRPr="00E44E73">
        <w:rPr>
          <w:color w:val="000000"/>
          <w:sz w:val="26"/>
          <w:szCs w:val="26"/>
          <w:u w:val="single"/>
        </w:rPr>
        <w:t>124.103.</w:t>
      </w:r>
    </w:p>
    <w:p w14:paraId="39DA8408" w14:textId="77777777" w:rsidR="00CD1B8E" w:rsidRPr="00E44E73" w:rsidRDefault="00CD1B8E" w:rsidP="003D19CF">
      <w:pPr>
        <w:widowControl w:val="0"/>
        <w:autoSpaceDE w:val="0"/>
        <w:autoSpaceDN w:val="0"/>
        <w:adjustRightInd w:val="0"/>
        <w:rPr>
          <w:color w:val="000000"/>
          <w:sz w:val="26"/>
          <w:szCs w:val="26"/>
          <w:u w:val="single"/>
        </w:rPr>
      </w:pPr>
    </w:p>
    <w:p w14:paraId="764AEDD5" w14:textId="71EFA3A3" w:rsidR="002807EE" w:rsidRPr="00E44E73" w:rsidRDefault="002807EE" w:rsidP="002807EE">
      <w:pPr>
        <w:widowControl w:val="0"/>
        <w:autoSpaceDE w:val="0"/>
        <w:autoSpaceDN w:val="0"/>
        <w:adjustRightInd w:val="0"/>
        <w:rPr>
          <w:color w:val="000000"/>
          <w:sz w:val="26"/>
          <w:szCs w:val="26"/>
          <w:u w:val="single"/>
        </w:rPr>
      </w:pPr>
      <w:r w:rsidRPr="00E44E73">
        <w:rPr>
          <w:i/>
          <w:color w:val="000000"/>
          <w:sz w:val="26"/>
          <w:szCs w:val="26"/>
          <w:u w:val="single"/>
        </w:rPr>
        <w:t>   Operate</w:t>
      </w:r>
      <w:r w:rsidRPr="00E44E73">
        <w:rPr>
          <w:color w:val="000000"/>
          <w:sz w:val="26"/>
          <w:szCs w:val="26"/>
          <w:u w:val="single"/>
        </w:rPr>
        <w:t xml:space="preserve">—Active involvement in the day-to-day management. </w:t>
      </w:r>
      <w:r w:rsidR="00462D40">
        <w:rPr>
          <w:color w:val="000000"/>
          <w:sz w:val="26"/>
          <w:szCs w:val="26"/>
          <w:u w:val="single"/>
        </w:rPr>
        <w:t xml:space="preserve"> </w:t>
      </w:r>
      <w:r w:rsidR="00F957CD">
        <w:rPr>
          <w:color w:val="000000"/>
          <w:sz w:val="26"/>
          <w:szCs w:val="26"/>
          <w:u w:val="single"/>
        </w:rPr>
        <w:t>T</w:t>
      </w:r>
      <w:r w:rsidRPr="00E44E73">
        <w:rPr>
          <w:color w:val="000000"/>
          <w:sz w:val="26"/>
          <w:szCs w:val="26"/>
          <w:u w:val="single"/>
        </w:rPr>
        <w:t xml:space="preserve">he term involves more than </w:t>
      </w:r>
      <w:r w:rsidR="00F020AA">
        <w:rPr>
          <w:color w:val="000000"/>
          <w:sz w:val="26"/>
          <w:szCs w:val="26"/>
          <w:u w:val="single"/>
        </w:rPr>
        <w:t xml:space="preserve">serving </w:t>
      </w:r>
      <w:r w:rsidRPr="00E44E73">
        <w:rPr>
          <w:color w:val="000000"/>
          <w:sz w:val="26"/>
          <w:szCs w:val="26"/>
          <w:u w:val="single"/>
        </w:rPr>
        <w:t xml:space="preserve">as </w:t>
      </w:r>
      <w:r w:rsidR="00F020AA">
        <w:rPr>
          <w:color w:val="000000"/>
          <w:sz w:val="26"/>
          <w:szCs w:val="26"/>
          <w:u w:val="single"/>
        </w:rPr>
        <w:t xml:space="preserve">an </w:t>
      </w:r>
      <w:r w:rsidRPr="00E44E73">
        <w:rPr>
          <w:color w:val="000000"/>
          <w:sz w:val="26"/>
          <w:szCs w:val="26"/>
          <w:u w:val="single"/>
        </w:rPr>
        <w:t>officer or director.</w:t>
      </w:r>
    </w:p>
    <w:p w14:paraId="34E44F69" w14:textId="77777777" w:rsidR="003D19CF" w:rsidRPr="00E44E73" w:rsidRDefault="003D19CF" w:rsidP="00A7144B">
      <w:pPr>
        <w:widowControl w:val="0"/>
        <w:autoSpaceDE w:val="0"/>
        <w:autoSpaceDN w:val="0"/>
        <w:adjustRightInd w:val="0"/>
        <w:rPr>
          <w:color w:val="000000"/>
          <w:sz w:val="26"/>
          <w:szCs w:val="26"/>
          <w:u w:val="single"/>
        </w:rPr>
      </w:pPr>
    </w:p>
    <w:p w14:paraId="224DD105" w14:textId="1DF61257" w:rsidR="00BC4D57" w:rsidRPr="00E44E73" w:rsidRDefault="00BC4D57" w:rsidP="00BC4D57">
      <w:pPr>
        <w:widowControl w:val="0"/>
        <w:autoSpaceDE w:val="0"/>
        <w:autoSpaceDN w:val="0"/>
        <w:adjustRightInd w:val="0"/>
        <w:rPr>
          <w:color w:val="000000"/>
          <w:sz w:val="26"/>
          <w:szCs w:val="26"/>
          <w:u w:val="single"/>
        </w:rPr>
      </w:pPr>
      <w:r w:rsidRPr="001461FA">
        <w:rPr>
          <w:i/>
          <w:color w:val="000000"/>
          <w:sz w:val="26"/>
          <w:szCs w:val="26"/>
          <w:u w:val="single"/>
        </w:rPr>
        <w:t>   </w:t>
      </w:r>
      <w:r w:rsidRPr="00446661">
        <w:rPr>
          <w:i/>
          <w:color w:val="000000"/>
          <w:sz w:val="26"/>
          <w:szCs w:val="26"/>
          <w:u w:val="single"/>
        </w:rPr>
        <w:t>Subcontract</w:t>
      </w:r>
      <w:r w:rsidRPr="00E44E73">
        <w:rPr>
          <w:color w:val="000000"/>
          <w:sz w:val="26"/>
          <w:szCs w:val="26"/>
          <w:u w:val="single"/>
        </w:rPr>
        <w:t>—An agreement or arrangement between a contractor and a party or person</w:t>
      </w:r>
      <w:r w:rsidR="00814CA2">
        <w:rPr>
          <w:color w:val="000000"/>
          <w:sz w:val="26"/>
          <w:szCs w:val="26"/>
          <w:u w:val="single"/>
        </w:rPr>
        <w:t>—</w:t>
      </w:r>
      <w:r w:rsidRPr="00E44E73">
        <w:rPr>
          <w:color w:val="000000"/>
          <w:sz w:val="26"/>
          <w:szCs w:val="26"/>
          <w:u w:val="single"/>
        </w:rPr>
        <w:t xml:space="preserve">in which the </w:t>
      </w:r>
      <w:r w:rsidR="00D241FB">
        <w:rPr>
          <w:color w:val="000000"/>
          <w:sz w:val="26"/>
          <w:szCs w:val="26"/>
          <w:u w:val="single"/>
        </w:rPr>
        <w:t xml:space="preserve">entities </w:t>
      </w:r>
      <w:r w:rsidRPr="00E44E73">
        <w:rPr>
          <w:color w:val="000000"/>
          <w:sz w:val="26"/>
          <w:szCs w:val="26"/>
          <w:u w:val="single"/>
        </w:rPr>
        <w:t>do not stand in the relationship of an employer and an employee—for the furnishing of supplies or services for the use of real or personal property, including lease arrangements, which in whole or in part, is necessary to the performance of any one or more contracts.</w:t>
      </w:r>
    </w:p>
    <w:p w14:paraId="0E625886" w14:textId="77777777" w:rsidR="00847F49" w:rsidRPr="00E44E73" w:rsidRDefault="00847F49" w:rsidP="00BC4D57">
      <w:pPr>
        <w:widowControl w:val="0"/>
        <w:autoSpaceDE w:val="0"/>
        <w:autoSpaceDN w:val="0"/>
        <w:adjustRightInd w:val="0"/>
        <w:rPr>
          <w:color w:val="000000"/>
          <w:sz w:val="26"/>
          <w:szCs w:val="26"/>
          <w:u w:val="single"/>
        </w:rPr>
      </w:pPr>
    </w:p>
    <w:p w14:paraId="6FDB6B2B" w14:textId="77777777" w:rsidR="006364B0" w:rsidRDefault="006364B0" w:rsidP="006364B0">
      <w:pPr>
        <w:widowControl w:val="0"/>
        <w:autoSpaceDE w:val="0"/>
        <w:autoSpaceDN w:val="0"/>
        <w:adjustRightInd w:val="0"/>
        <w:rPr>
          <w:color w:val="000000"/>
          <w:sz w:val="26"/>
          <w:szCs w:val="26"/>
          <w:u w:val="single"/>
        </w:rPr>
      </w:pPr>
      <w:r w:rsidRPr="00E44E73">
        <w:rPr>
          <w:i/>
          <w:color w:val="000000"/>
          <w:sz w:val="26"/>
          <w:szCs w:val="26"/>
          <w:u w:val="single"/>
        </w:rPr>
        <w:t>   Substantial objective</w:t>
      </w:r>
      <w:r w:rsidRPr="00E44E73">
        <w:rPr>
          <w:color w:val="000000"/>
          <w:sz w:val="26"/>
          <w:szCs w:val="26"/>
          <w:u w:val="single"/>
        </w:rPr>
        <w:t>—</w:t>
      </w:r>
      <w:r>
        <w:rPr>
          <w:color w:val="000000"/>
          <w:sz w:val="26"/>
          <w:szCs w:val="26"/>
          <w:u w:val="single"/>
        </w:rPr>
        <w:t>An o</w:t>
      </w:r>
      <w:r w:rsidRPr="00E44E73">
        <w:rPr>
          <w:color w:val="000000"/>
          <w:sz w:val="26"/>
          <w:szCs w:val="26"/>
          <w:u w:val="single"/>
        </w:rPr>
        <w:t xml:space="preserve">bjective </w:t>
      </w:r>
      <w:r>
        <w:rPr>
          <w:color w:val="000000"/>
          <w:sz w:val="26"/>
          <w:szCs w:val="26"/>
          <w:u w:val="single"/>
        </w:rPr>
        <w:t xml:space="preserve">that is achievable </w:t>
      </w:r>
      <w:r w:rsidRPr="00E44E73">
        <w:rPr>
          <w:color w:val="000000"/>
          <w:sz w:val="26"/>
          <w:szCs w:val="26"/>
          <w:u w:val="single"/>
        </w:rPr>
        <w:t xml:space="preserve">and </w:t>
      </w:r>
      <w:r>
        <w:rPr>
          <w:color w:val="000000"/>
          <w:sz w:val="26"/>
          <w:szCs w:val="26"/>
          <w:u w:val="single"/>
        </w:rPr>
        <w:t xml:space="preserve">which </w:t>
      </w:r>
      <w:r w:rsidRPr="00E44E73">
        <w:rPr>
          <w:color w:val="000000"/>
          <w:sz w:val="26"/>
          <w:szCs w:val="26"/>
          <w:u w:val="single"/>
        </w:rPr>
        <w:t>demonstrate</w:t>
      </w:r>
      <w:r>
        <w:rPr>
          <w:color w:val="000000"/>
          <w:sz w:val="26"/>
          <w:szCs w:val="26"/>
          <w:u w:val="single"/>
        </w:rPr>
        <w:t>s</w:t>
      </w:r>
      <w:r w:rsidRPr="00E44E73">
        <w:rPr>
          <w:color w:val="000000"/>
          <w:sz w:val="26"/>
          <w:szCs w:val="26"/>
          <w:u w:val="single"/>
        </w:rPr>
        <w:t xml:space="preserve"> a major jurisdictional utility’s commitment to increase </w:t>
      </w:r>
      <w:r>
        <w:rPr>
          <w:color w:val="000000"/>
          <w:sz w:val="26"/>
          <w:szCs w:val="26"/>
          <w:u w:val="single"/>
        </w:rPr>
        <w:t xml:space="preserve">the </w:t>
      </w:r>
      <w:r w:rsidRPr="00E44E73">
        <w:rPr>
          <w:color w:val="000000"/>
          <w:sz w:val="26"/>
          <w:szCs w:val="26"/>
          <w:u w:val="single"/>
        </w:rPr>
        <w:t xml:space="preserve">share of the utility’s purchases </w:t>
      </w:r>
      <w:r>
        <w:rPr>
          <w:color w:val="000000"/>
          <w:sz w:val="26"/>
          <w:szCs w:val="26"/>
          <w:u w:val="single"/>
        </w:rPr>
        <w:t xml:space="preserve">from </w:t>
      </w:r>
      <w:r w:rsidRPr="00E44E73">
        <w:rPr>
          <w:color w:val="000000"/>
          <w:sz w:val="26"/>
          <w:szCs w:val="26"/>
          <w:u w:val="single"/>
        </w:rPr>
        <w:lastRenderedPageBreak/>
        <w:t>and contracts</w:t>
      </w:r>
      <w:r>
        <w:rPr>
          <w:color w:val="000000"/>
          <w:sz w:val="26"/>
          <w:szCs w:val="26"/>
          <w:u w:val="single"/>
        </w:rPr>
        <w:t xml:space="preserve"> from </w:t>
      </w:r>
      <w:r w:rsidRPr="00E44E73">
        <w:rPr>
          <w:color w:val="000000"/>
          <w:sz w:val="26"/>
          <w:szCs w:val="26"/>
          <w:u w:val="single"/>
        </w:rPr>
        <w:t>minority/women/persons with disabilities/LGBTQ/veteran-owned business</w:t>
      </w:r>
      <w:r>
        <w:rPr>
          <w:color w:val="000000"/>
          <w:sz w:val="26"/>
          <w:szCs w:val="26"/>
          <w:u w:val="single"/>
        </w:rPr>
        <w:t>es</w:t>
      </w:r>
      <w:r w:rsidRPr="00E44E73">
        <w:rPr>
          <w:color w:val="000000"/>
          <w:sz w:val="26"/>
          <w:szCs w:val="26"/>
          <w:u w:val="single"/>
        </w:rPr>
        <w:t>.</w:t>
      </w:r>
    </w:p>
    <w:p w14:paraId="365F3A21" w14:textId="77777777" w:rsidR="006364B0" w:rsidRPr="00E44E73" w:rsidRDefault="006364B0" w:rsidP="006364B0">
      <w:pPr>
        <w:widowControl w:val="0"/>
        <w:autoSpaceDE w:val="0"/>
        <w:autoSpaceDN w:val="0"/>
        <w:adjustRightInd w:val="0"/>
        <w:rPr>
          <w:color w:val="000000"/>
          <w:sz w:val="26"/>
          <w:szCs w:val="26"/>
          <w:u w:val="single"/>
        </w:rPr>
      </w:pPr>
    </w:p>
    <w:p w14:paraId="657C913C" w14:textId="354B019A" w:rsidR="00847F49" w:rsidRPr="00E44E73" w:rsidRDefault="00847F49" w:rsidP="009D62F2">
      <w:pPr>
        <w:autoSpaceDE w:val="0"/>
        <w:autoSpaceDN w:val="0"/>
        <w:adjustRightInd w:val="0"/>
        <w:rPr>
          <w:color w:val="000000"/>
          <w:sz w:val="26"/>
          <w:szCs w:val="26"/>
          <w:u w:val="single"/>
        </w:rPr>
      </w:pPr>
      <w:r w:rsidRPr="00E44E73">
        <w:rPr>
          <w:i/>
          <w:color w:val="000000"/>
          <w:sz w:val="26"/>
          <w:szCs w:val="26"/>
          <w:u w:val="single"/>
        </w:rPr>
        <w:t>   </w:t>
      </w:r>
      <w:r w:rsidRPr="005561C3">
        <w:rPr>
          <w:i/>
          <w:color w:val="000000"/>
          <w:sz w:val="26"/>
          <w:szCs w:val="26"/>
          <w:u w:val="single"/>
        </w:rPr>
        <w:t>WBE</w:t>
      </w:r>
      <w:r w:rsidRPr="00E44E73">
        <w:rPr>
          <w:color w:val="000000"/>
          <w:sz w:val="26"/>
          <w:szCs w:val="26"/>
          <w:u w:val="single"/>
        </w:rPr>
        <w:t>–</w:t>
      </w:r>
      <w:r w:rsidRPr="00E44E73">
        <w:rPr>
          <w:i/>
          <w:color w:val="000000"/>
          <w:sz w:val="26"/>
          <w:szCs w:val="26"/>
          <w:u w:val="single"/>
        </w:rPr>
        <w:t>Women-Owned Business Enterprise</w:t>
      </w:r>
      <w:r w:rsidRPr="00E44E73">
        <w:rPr>
          <w:color w:val="000000"/>
          <w:sz w:val="26"/>
          <w:szCs w:val="26"/>
          <w:u w:val="single"/>
        </w:rPr>
        <w:t>—A business enterprise that is at least 51% owned by a woman or women; or a publicly owned business that has at least 51% of its stock owned by one or more women, and whose management and daily business operations are controlled by one or more women.</w:t>
      </w:r>
    </w:p>
    <w:p w14:paraId="62DA64B1" w14:textId="77777777" w:rsidR="00847F49" w:rsidRPr="00C033C1" w:rsidRDefault="00847F49" w:rsidP="00BC4D57">
      <w:pPr>
        <w:widowControl w:val="0"/>
        <w:autoSpaceDE w:val="0"/>
        <w:autoSpaceDN w:val="0"/>
        <w:adjustRightInd w:val="0"/>
        <w:rPr>
          <w:color w:val="000000"/>
          <w:sz w:val="26"/>
          <w:szCs w:val="26"/>
          <w:u w:val="single"/>
        </w:rPr>
      </w:pPr>
    </w:p>
    <w:p w14:paraId="041C108D" w14:textId="2D301944" w:rsidR="00E60F1B" w:rsidRPr="00E44E73" w:rsidRDefault="00E60F1B" w:rsidP="001461FA">
      <w:pPr>
        <w:keepNext/>
        <w:autoSpaceDE w:val="0"/>
        <w:autoSpaceDN w:val="0"/>
        <w:adjustRightInd w:val="0"/>
        <w:rPr>
          <w:b/>
          <w:sz w:val="26"/>
          <w:szCs w:val="26"/>
          <w:u w:val="single"/>
        </w:rPr>
      </w:pPr>
      <w:bookmarkStart w:id="1" w:name="co_anchor_I334F4ED28C8811DEAEC4E00399601"/>
      <w:bookmarkStart w:id="2" w:name="co_pp_f1c50000821b0_12"/>
      <w:bookmarkStart w:id="3" w:name="co_anchor_I334F4ED38C8811DEAEC4E00399601"/>
      <w:bookmarkStart w:id="4" w:name="co_pp_58730000872b1_12"/>
      <w:bookmarkStart w:id="5" w:name="co_anchor_I334F4ED48C8811DEAEC4E00399601"/>
      <w:bookmarkStart w:id="6" w:name="co_pp_d08f0000f5f67_12"/>
      <w:bookmarkStart w:id="7" w:name="co_anchor_I334F4ED58C8811DEAEC4E00399601"/>
      <w:bookmarkStart w:id="8" w:name="co_pp_0bd500007a412_12"/>
      <w:bookmarkStart w:id="9" w:name="co_anchor_I3360DB008C8811DEAEC4E00399601"/>
      <w:bookmarkStart w:id="10" w:name="co_pp_f1c50000821b0_15"/>
      <w:bookmarkStart w:id="11" w:name="co_anchor_I3360DB018C8811DEAEC4E00399601"/>
      <w:bookmarkStart w:id="12" w:name="co_pp_36dc0000f1000_15"/>
      <w:bookmarkStart w:id="13" w:name="co_anchor_I3360DB038C8811DEAEC4E00399601"/>
      <w:bookmarkStart w:id="14" w:name="co_pp_7e110000cf3f1_15"/>
      <w:bookmarkStart w:id="15" w:name="co_anchor_I3360DB058C8811DEAEC4E00399601"/>
      <w:bookmarkStart w:id="16" w:name="co_pp_58730000872b1_15"/>
      <w:bookmarkStart w:id="17" w:name="co_anchor_I336102128C8811DEAEC4E00399601"/>
      <w:bookmarkStart w:id="18" w:name="co_pp_1e9a0000fd6a3_15"/>
      <w:bookmarkStart w:id="19" w:name="co_anchor_I336DAC438C8811DEAEC4E0039960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E44E73">
        <w:rPr>
          <w:b/>
          <w:sz w:val="26"/>
          <w:szCs w:val="26"/>
          <w:u w:val="single"/>
        </w:rPr>
        <w:t xml:space="preserve">§ </w:t>
      </w:r>
      <w:r w:rsidR="00781C3E">
        <w:rPr>
          <w:b/>
          <w:sz w:val="26"/>
          <w:szCs w:val="26"/>
          <w:u w:val="single"/>
        </w:rPr>
        <w:t>51.1</w:t>
      </w:r>
      <w:r w:rsidR="0041205A">
        <w:rPr>
          <w:b/>
          <w:sz w:val="26"/>
          <w:szCs w:val="26"/>
          <w:u w:val="single"/>
        </w:rPr>
        <w:t>5</w:t>
      </w:r>
      <w:r w:rsidRPr="00E44E73">
        <w:rPr>
          <w:b/>
          <w:sz w:val="26"/>
          <w:szCs w:val="26"/>
          <w:u w:val="single"/>
        </w:rPr>
        <w:t xml:space="preserve">. </w:t>
      </w:r>
      <w:r w:rsidR="00441075" w:rsidRPr="00E44E73">
        <w:rPr>
          <w:b/>
          <w:sz w:val="26"/>
          <w:szCs w:val="26"/>
          <w:u w:val="single"/>
        </w:rPr>
        <w:t>Diversity Reporting Requirement</w:t>
      </w:r>
      <w:r w:rsidRPr="00E44E73">
        <w:rPr>
          <w:b/>
          <w:sz w:val="26"/>
          <w:szCs w:val="26"/>
          <w:u w:val="single"/>
        </w:rPr>
        <w:t>.</w:t>
      </w:r>
    </w:p>
    <w:p w14:paraId="43B3A9DE" w14:textId="77777777" w:rsidR="00E60F1B" w:rsidRPr="00C033C1" w:rsidRDefault="00E60F1B" w:rsidP="001461FA">
      <w:pPr>
        <w:keepNext/>
        <w:autoSpaceDE w:val="0"/>
        <w:autoSpaceDN w:val="0"/>
        <w:adjustRightInd w:val="0"/>
        <w:rPr>
          <w:b/>
          <w:color w:val="000000"/>
          <w:sz w:val="26"/>
          <w:szCs w:val="26"/>
          <w:u w:val="single"/>
        </w:rPr>
      </w:pPr>
    </w:p>
    <w:p w14:paraId="5E888FC6" w14:textId="5667B9E9" w:rsidR="00E60F1B" w:rsidRPr="00E44E73" w:rsidRDefault="00E60F1B" w:rsidP="001461FA">
      <w:pPr>
        <w:keepNext/>
        <w:autoSpaceDE w:val="0"/>
        <w:autoSpaceDN w:val="0"/>
        <w:adjustRightInd w:val="0"/>
        <w:rPr>
          <w:color w:val="000000"/>
          <w:sz w:val="26"/>
          <w:szCs w:val="26"/>
          <w:u w:val="single"/>
        </w:rPr>
      </w:pPr>
      <w:r w:rsidRPr="007257E5">
        <w:rPr>
          <w:color w:val="000000"/>
          <w:sz w:val="26"/>
          <w:szCs w:val="26"/>
          <w:u w:val="single"/>
        </w:rPr>
        <w:t xml:space="preserve"> (a) </w:t>
      </w:r>
      <w:r w:rsidR="00BB4301" w:rsidRPr="00446661">
        <w:rPr>
          <w:color w:val="000000"/>
          <w:sz w:val="26"/>
          <w:szCs w:val="26"/>
          <w:u w:val="single"/>
        </w:rPr>
        <w:t>Each m</w:t>
      </w:r>
      <w:r w:rsidRPr="00E44E73">
        <w:rPr>
          <w:color w:val="000000"/>
          <w:sz w:val="26"/>
          <w:szCs w:val="26"/>
          <w:u w:val="single"/>
        </w:rPr>
        <w:t xml:space="preserve">ajor jurisdictional utility </w:t>
      </w:r>
      <w:r w:rsidR="00660377" w:rsidRPr="00E44E73">
        <w:rPr>
          <w:color w:val="000000"/>
          <w:sz w:val="26"/>
          <w:szCs w:val="26"/>
          <w:u w:val="single"/>
        </w:rPr>
        <w:t>shall</w:t>
      </w:r>
      <w:r w:rsidRPr="00E44E73">
        <w:rPr>
          <w:color w:val="000000"/>
          <w:sz w:val="26"/>
          <w:szCs w:val="26"/>
          <w:u w:val="single"/>
        </w:rPr>
        <w:t xml:space="preserve"> file with the Secretary of the Commission by March 1 of each year</w:t>
      </w:r>
      <w:r w:rsidR="007257E5" w:rsidRPr="00E44E73">
        <w:rPr>
          <w:color w:val="000000"/>
          <w:sz w:val="26"/>
          <w:szCs w:val="26"/>
          <w:u w:val="single"/>
        </w:rPr>
        <w:t xml:space="preserve"> </w:t>
      </w:r>
      <w:r w:rsidRPr="00E44E73">
        <w:rPr>
          <w:color w:val="000000"/>
          <w:sz w:val="26"/>
          <w:szCs w:val="26"/>
          <w:u w:val="single"/>
        </w:rPr>
        <w:t xml:space="preserve">an annual report describing </w:t>
      </w:r>
      <w:r w:rsidR="00BB4301" w:rsidRPr="00E44E73">
        <w:rPr>
          <w:color w:val="000000"/>
          <w:sz w:val="26"/>
          <w:szCs w:val="26"/>
          <w:u w:val="single"/>
        </w:rPr>
        <w:t>i</w:t>
      </w:r>
      <w:r w:rsidRPr="00E44E73">
        <w:rPr>
          <w:color w:val="000000"/>
          <w:sz w:val="26"/>
          <w:szCs w:val="26"/>
          <w:u w:val="single"/>
        </w:rPr>
        <w:t>t</w:t>
      </w:r>
      <w:r w:rsidR="00BB4301" w:rsidRPr="00E44E73">
        <w:rPr>
          <w:color w:val="000000"/>
          <w:sz w:val="26"/>
          <w:szCs w:val="26"/>
          <w:u w:val="single"/>
        </w:rPr>
        <w:t>s</w:t>
      </w:r>
      <w:r w:rsidRPr="00E44E73">
        <w:rPr>
          <w:color w:val="000000"/>
          <w:sz w:val="26"/>
          <w:szCs w:val="26"/>
          <w:u w:val="single"/>
        </w:rPr>
        <w:t xml:space="preserve"> diversity program activity for the prior year. </w:t>
      </w:r>
      <w:r w:rsidR="00BB4301" w:rsidRPr="00E44E73">
        <w:rPr>
          <w:color w:val="000000"/>
          <w:sz w:val="26"/>
          <w:szCs w:val="26"/>
          <w:u w:val="single"/>
        </w:rPr>
        <w:t xml:space="preserve"> </w:t>
      </w:r>
      <w:r w:rsidRPr="00E44E73">
        <w:rPr>
          <w:color w:val="000000"/>
          <w:sz w:val="26"/>
          <w:szCs w:val="26"/>
          <w:u w:val="single"/>
        </w:rPr>
        <w:t xml:space="preserve">The annual report </w:t>
      </w:r>
      <w:r w:rsidR="00287880" w:rsidRPr="00E44E73">
        <w:rPr>
          <w:color w:val="000000"/>
          <w:sz w:val="26"/>
          <w:szCs w:val="26"/>
          <w:u w:val="single"/>
        </w:rPr>
        <w:t xml:space="preserve">shall </w:t>
      </w:r>
      <w:r w:rsidRPr="00E44E73">
        <w:rPr>
          <w:color w:val="000000"/>
          <w:sz w:val="26"/>
          <w:szCs w:val="26"/>
          <w:u w:val="single"/>
        </w:rPr>
        <w:t>contain the following elements:</w:t>
      </w:r>
    </w:p>
    <w:p w14:paraId="38008EE0" w14:textId="77777777" w:rsidR="00E60F1B" w:rsidRPr="00C033C1" w:rsidRDefault="00E60F1B" w:rsidP="00E60F1B">
      <w:pPr>
        <w:widowControl w:val="0"/>
        <w:autoSpaceDE w:val="0"/>
        <w:autoSpaceDN w:val="0"/>
        <w:adjustRightInd w:val="0"/>
        <w:rPr>
          <w:color w:val="000000"/>
          <w:sz w:val="26"/>
          <w:szCs w:val="26"/>
          <w:u w:val="single"/>
        </w:rPr>
      </w:pPr>
      <w:bookmarkStart w:id="20" w:name="co_anchor_I337DD8E28C8811DEAEC4E00399601"/>
      <w:bookmarkEnd w:id="20"/>
    </w:p>
    <w:p w14:paraId="0875E917" w14:textId="34D72933" w:rsidR="00E60F1B" w:rsidRPr="00E44E73" w:rsidRDefault="00E60F1B" w:rsidP="00E60F1B">
      <w:pPr>
        <w:widowControl w:val="0"/>
        <w:autoSpaceDE w:val="0"/>
        <w:autoSpaceDN w:val="0"/>
        <w:adjustRightInd w:val="0"/>
        <w:rPr>
          <w:color w:val="000000"/>
          <w:sz w:val="26"/>
          <w:szCs w:val="26"/>
          <w:u w:val="single"/>
        </w:rPr>
      </w:pPr>
      <w:bookmarkStart w:id="21" w:name="co_pp_7b9b000044381_1"/>
      <w:bookmarkEnd w:id="21"/>
      <w:r w:rsidRPr="00C033C1">
        <w:rPr>
          <w:color w:val="000000"/>
          <w:sz w:val="26"/>
          <w:szCs w:val="26"/>
          <w:u w:val="single"/>
        </w:rPr>
        <w:t>   (1)</w:t>
      </w:r>
      <w:r>
        <w:rPr>
          <w:color w:val="000000"/>
          <w:sz w:val="26"/>
          <w:szCs w:val="26"/>
          <w:u w:val="single"/>
        </w:rPr>
        <w:t xml:space="preserve"> A</w:t>
      </w:r>
      <w:r w:rsidRPr="00446661">
        <w:rPr>
          <w:color w:val="000000"/>
          <w:sz w:val="26"/>
          <w:szCs w:val="26"/>
          <w:u w:val="single"/>
        </w:rPr>
        <w:t xml:space="preserve"> copy of </w:t>
      </w:r>
      <w:r w:rsidRPr="00E44E73">
        <w:rPr>
          <w:color w:val="000000"/>
          <w:sz w:val="26"/>
          <w:szCs w:val="26"/>
          <w:u w:val="single"/>
        </w:rPr>
        <w:t>corporate policy committed to improving diversity in the workplace and in the procurement process.</w:t>
      </w:r>
    </w:p>
    <w:p w14:paraId="2E7BD64C" w14:textId="77777777" w:rsidR="00E60F1B" w:rsidRPr="00C033C1" w:rsidRDefault="00E60F1B" w:rsidP="00E60F1B">
      <w:pPr>
        <w:widowControl w:val="0"/>
        <w:autoSpaceDE w:val="0"/>
        <w:autoSpaceDN w:val="0"/>
        <w:adjustRightInd w:val="0"/>
        <w:rPr>
          <w:color w:val="000000"/>
          <w:sz w:val="26"/>
          <w:szCs w:val="26"/>
          <w:u w:val="single"/>
        </w:rPr>
      </w:pPr>
      <w:bookmarkStart w:id="22" w:name="co_anchor_I337DD8E38C8811DEAEC4E00399601"/>
      <w:bookmarkEnd w:id="22"/>
    </w:p>
    <w:p w14:paraId="5FD8EB43" w14:textId="3D545FEC" w:rsidR="00E60F1B" w:rsidRPr="00E44E73" w:rsidRDefault="00E60F1B" w:rsidP="00E60F1B">
      <w:pPr>
        <w:widowControl w:val="0"/>
        <w:autoSpaceDE w:val="0"/>
        <w:autoSpaceDN w:val="0"/>
        <w:adjustRightInd w:val="0"/>
        <w:rPr>
          <w:color w:val="000000"/>
          <w:sz w:val="26"/>
          <w:szCs w:val="26"/>
          <w:u w:val="single"/>
        </w:rPr>
      </w:pPr>
      <w:bookmarkStart w:id="23" w:name="co_pp_d86d0000be040_1"/>
      <w:bookmarkEnd w:id="23"/>
      <w:r w:rsidRPr="00C033C1">
        <w:rPr>
          <w:color w:val="000000"/>
          <w:sz w:val="26"/>
          <w:szCs w:val="26"/>
          <w:u w:val="single"/>
        </w:rPr>
        <w:t xml:space="preserve">   (2) </w:t>
      </w:r>
      <w:r>
        <w:rPr>
          <w:color w:val="000000"/>
          <w:sz w:val="26"/>
          <w:szCs w:val="26"/>
          <w:u w:val="single"/>
        </w:rPr>
        <w:t xml:space="preserve">A description of </w:t>
      </w:r>
      <w:r w:rsidRPr="00446661">
        <w:rPr>
          <w:color w:val="000000"/>
          <w:sz w:val="26"/>
          <w:szCs w:val="26"/>
          <w:u w:val="single"/>
        </w:rPr>
        <w:t>training implemented on diversity initiatives in employment and in the contract of goods and services.</w:t>
      </w:r>
    </w:p>
    <w:p w14:paraId="1FC65863" w14:textId="77777777" w:rsidR="00E60F1B" w:rsidRPr="00C033C1" w:rsidRDefault="00E60F1B" w:rsidP="00E60F1B">
      <w:pPr>
        <w:widowControl w:val="0"/>
        <w:autoSpaceDE w:val="0"/>
        <w:autoSpaceDN w:val="0"/>
        <w:adjustRightInd w:val="0"/>
        <w:rPr>
          <w:color w:val="000000"/>
          <w:sz w:val="26"/>
          <w:szCs w:val="26"/>
          <w:u w:val="single"/>
        </w:rPr>
      </w:pPr>
      <w:bookmarkStart w:id="24" w:name="co_anchor_I337DFFF08C8811DEAEC4E00399601"/>
      <w:bookmarkEnd w:id="24"/>
    </w:p>
    <w:p w14:paraId="173988C9" w14:textId="5764C974" w:rsidR="00E60F1B" w:rsidRPr="00C033C1" w:rsidRDefault="00E60F1B" w:rsidP="00974B7C">
      <w:pPr>
        <w:widowControl w:val="0"/>
        <w:autoSpaceDE w:val="0"/>
        <w:autoSpaceDN w:val="0"/>
        <w:adjustRightInd w:val="0"/>
        <w:rPr>
          <w:color w:val="000000"/>
          <w:sz w:val="26"/>
          <w:szCs w:val="26"/>
          <w:u w:val="single"/>
        </w:rPr>
      </w:pPr>
      <w:bookmarkStart w:id="25" w:name="co_pp_28cc0000ccca6_1"/>
      <w:bookmarkEnd w:id="25"/>
      <w:r w:rsidRPr="00C033C1">
        <w:rPr>
          <w:color w:val="000000"/>
          <w:sz w:val="26"/>
          <w:szCs w:val="26"/>
          <w:u w:val="single"/>
        </w:rPr>
        <w:t>   (3</w:t>
      </w:r>
      <w:r w:rsidR="009969D2" w:rsidRPr="00C033C1">
        <w:rPr>
          <w:color w:val="000000"/>
          <w:sz w:val="26"/>
          <w:szCs w:val="26"/>
          <w:u w:val="single"/>
        </w:rPr>
        <w:t>)</w:t>
      </w:r>
      <w:r w:rsidRPr="00C033C1">
        <w:rPr>
          <w:color w:val="000000"/>
          <w:sz w:val="26"/>
          <w:szCs w:val="26"/>
          <w:u w:val="single"/>
        </w:rPr>
        <w:t xml:space="preserve"> </w:t>
      </w:r>
      <w:r w:rsidRPr="00935507">
        <w:rPr>
          <w:color w:val="000000"/>
          <w:sz w:val="26"/>
          <w:szCs w:val="26"/>
          <w:u w:val="single"/>
        </w:rPr>
        <w:t xml:space="preserve">The </w:t>
      </w:r>
      <w:r w:rsidRPr="00446661">
        <w:rPr>
          <w:color w:val="000000"/>
          <w:sz w:val="26"/>
          <w:szCs w:val="26"/>
          <w:u w:val="single"/>
        </w:rPr>
        <w:t>d</w:t>
      </w:r>
      <w:r w:rsidRPr="00E44E73">
        <w:rPr>
          <w:color w:val="000000"/>
          <w:sz w:val="26"/>
          <w:szCs w:val="26"/>
          <w:u w:val="single"/>
        </w:rPr>
        <w:t xml:space="preserve">emographic composition of the </w:t>
      </w:r>
      <w:r w:rsidR="00F40023">
        <w:rPr>
          <w:color w:val="000000"/>
          <w:sz w:val="26"/>
          <w:szCs w:val="26"/>
          <w:u w:val="single"/>
        </w:rPr>
        <w:t xml:space="preserve">major jurisdictional </w:t>
      </w:r>
      <w:r w:rsidRPr="00E44E73">
        <w:rPr>
          <w:color w:val="000000"/>
          <w:sz w:val="26"/>
          <w:szCs w:val="26"/>
          <w:u w:val="single"/>
        </w:rPr>
        <w:t xml:space="preserve">utility’s workforce, reporting the number of employees by gender, race and ethnicity, persons with disabilities </w:t>
      </w:r>
      <w:r w:rsidR="00D9793C">
        <w:rPr>
          <w:color w:val="000000"/>
          <w:sz w:val="26"/>
          <w:szCs w:val="26"/>
          <w:u w:val="single"/>
        </w:rPr>
        <w:t>and</w:t>
      </w:r>
      <w:r w:rsidRPr="00E44E73">
        <w:rPr>
          <w:color w:val="000000"/>
          <w:sz w:val="26"/>
          <w:szCs w:val="26"/>
          <w:u w:val="single"/>
        </w:rPr>
        <w:t xml:space="preserve"> veterans</w:t>
      </w:r>
      <w:r w:rsidR="00F40023">
        <w:rPr>
          <w:color w:val="000000"/>
          <w:sz w:val="26"/>
          <w:szCs w:val="26"/>
          <w:u w:val="single"/>
        </w:rPr>
        <w:t>,</w:t>
      </w:r>
      <w:r w:rsidRPr="00E44E73">
        <w:rPr>
          <w:color w:val="000000"/>
          <w:sz w:val="26"/>
          <w:szCs w:val="26"/>
          <w:u w:val="single"/>
        </w:rPr>
        <w:t xml:space="preserve"> on a form</w:t>
      </w:r>
      <w:r w:rsidR="00D44E6F">
        <w:rPr>
          <w:color w:val="000000"/>
          <w:sz w:val="26"/>
          <w:szCs w:val="26"/>
          <w:u w:val="single"/>
        </w:rPr>
        <w:t xml:space="preserve">, Demographics of </w:t>
      </w:r>
      <w:r w:rsidR="00237B67">
        <w:rPr>
          <w:color w:val="000000"/>
          <w:sz w:val="26"/>
          <w:szCs w:val="26"/>
          <w:u w:val="single"/>
        </w:rPr>
        <w:t>Utility Workforce,</w:t>
      </w:r>
      <w:r w:rsidRPr="00E44E73">
        <w:rPr>
          <w:color w:val="000000"/>
          <w:sz w:val="26"/>
          <w:szCs w:val="26"/>
          <w:u w:val="single"/>
        </w:rPr>
        <w:t xml:space="preserve"> </w:t>
      </w:r>
      <w:r w:rsidR="00E93700" w:rsidRPr="00E44E73">
        <w:rPr>
          <w:color w:val="000000"/>
          <w:sz w:val="26"/>
          <w:szCs w:val="26"/>
          <w:u w:val="single"/>
        </w:rPr>
        <w:t xml:space="preserve">to be </w:t>
      </w:r>
      <w:r w:rsidRPr="00E44E73">
        <w:rPr>
          <w:color w:val="000000"/>
          <w:sz w:val="26"/>
          <w:szCs w:val="26"/>
          <w:u w:val="single"/>
        </w:rPr>
        <w:t>provided by the Commission.</w:t>
      </w:r>
    </w:p>
    <w:p w14:paraId="1541510D" w14:textId="77777777" w:rsidR="00E60F1B" w:rsidRPr="00C033C1" w:rsidRDefault="00E60F1B" w:rsidP="00E60F1B">
      <w:pPr>
        <w:widowControl w:val="0"/>
        <w:autoSpaceDE w:val="0"/>
        <w:autoSpaceDN w:val="0"/>
        <w:adjustRightInd w:val="0"/>
        <w:rPr>
          <w:color w:val="000000"/>
          <w:sz w:val="26"/>
          <w:szCs w:val="26"/>
          <w:u w:val="single"/>
        </w:rPr>
      </w:pPr>
      <w:bookmarkStart w:id="26" w:name="co_anchor_I337DFFF18C8811DEAEC4E00399601"/>
      <w:bookmarkEnd w:id="26"/>
    </w:p>
    <w:p w14:paraId="05CF24E3" w14:textId="72EDF0B5" w:rsidR="00E60F1B" w:rsidRPr="00C033C1" w:rsidRDefault="00E60F1B" w:rsidP="00E60F1B">
      <w:pPr>
        <w:widowControl w:val="0"/>
        <w:autoSpaceDE w:val="0"/>
        <w:autoSpaceDN w:val="0"/>
        <w:adjustRightInd w:val="0"/>
        <w:rPr>
          <w:color w:val="000000"/>
          <w:sz w:val="26"/>
          <w:szCs w:val="26"/>
          <w:u w:val="single"/>
        </w:rPr>
      </w:pPr>
      <w:bookmarkStart w:id="27" w:name="co_pp_d40e000072291_1"/>
      <w:bookmarkEnd w:id="27"/>
      <w:r w:rsidRPr="00C033C1">
        <w:rPr>
          <w:color w:val="000000"/>
          <w:sz w:val="26"/>
          <w:szCs w:val="26"/>
          <w:u w:val="single"/>
        </w:rPr>
        <w:t xml:space="preserve">   (4) </w:t>
      </w:r>
      <w:r w:rsidRPr="00935507">
        <w:rPr>
          <w:color w:val="000000"/>
          <w:sz w:val="26"/>
          <w:szCs w:val="26"/>
          <w:u w:val="single"/>
        </w:rPr>
        <w:t>A description of diversity recruiting strateg</w:t>
      </w:r>
      <w:r w:rsidRPr="00446661">
        <w:rPr>
          <w:color w:val="000000"/>
          <w:sz w:val="26"/>
          <w:szCs w:val="26"/>
          <w:u w:val="single"/>
        </w:rPr>
        <w:t>ies.</w:t>
      </w:r>
    </w:p>
    <w:p w14:paraId="76C6BEAD" w14:textId="77777777" w:rsidR="00E60F1B" w:rsidRPr="00C033C1" w:rsidRDefault="00E60F1B" w:rsidP="00E60F1B">
      <w:pPr>
        <w:widowControl w:val="0"/>
        <w:autoSpaceDE w:val="0"/>
        <w:autoSpaceDN w:val="0"/>
        <w:adjustRightInd w:val="0"/>
        <w:rPr>
          <w:color w:val="000000"/>
          <w:sz w:val="26"/>
          <w:szCs w:val="26"/>
          <w:u w:val="single"/>
        </w:rPr>
      </w:pPr>
      <w:bookmarkStart w:id="28" w:name="co_anchor_I337DFFF28C8811DEAEC4E00399601"/>
      <w:bookmarkEnd w:id="28"/>
    </w:p>
    <w:p w14:paraId="418DE51D" w14:textId="2D38331C" w:rsidR="00E60F1B" w:rsidRPr="00C033C1" w:rsidRDefault="00E60F1B" w:rsidP="00E60F1B">
      <w:pPr>
        <w:widowControl w:val="0"/>
        <w:autoSpaceDE w:val="0"/>
        <w:autoSpaceDN w:val="0"/>
        <w:adjustRightInd w:val="0"/>
        <w:rPr>
          <w:color w:val="000000"/>
          <w:sz w:val="26"/>
          <w:szCs w:val="26"/>
          <w:u w:val="single"/>
        </w:rPr>
      </w:pPr>
      <w:bookmarkStart w:id="29" w:name="co_pp_488b0000d05e2_1"/>
      <w:bookmarkEnd w:id="29"/>
      <w:r w:rsidRPr="00C033C1">
        <w:rPr>
          <w:color w:val="000000"/>
          <w:sz w:val="26"/>
          <w:szCs w:val="26"/>
          <w:u w:val="single"/>
        </w:rPr>
        <w:t xml:space="preserve">   (5) </w:t>
      </w:r>
      <w:r w:rsidRPr="00935507">
        <w:rPr>
          <w:color w:val="000000"/>
          <w:sz w:val="26"/>
          <w:szCs w:val="26"/>
          <w:u w:val="single"/>
        </w:rPr>
        <w:t>A description of diversity promotion efforts.</w:t>
      </w:r>
    </w:p>
    <w:p w14:paraId="7B9B6385" w14:textId="77777777" w:rsidR="00E60F1B" w:rsidRPr="00C033C1" w:rsidRDefault="00E60F1B" w:rsidP="00E60F1B">
      <w:pPr>
        <w:widowControl w:val="0"/>
        <w:autoSpaceDE w:val="0"/>
        <w:autoSpaceDN w:val="0"/>
        <w:adjustRightInd w:val="0"/>
        <w:rPr>
          <w:color w:val="000000"/>
          <w:sz w:val="26"/>
          <w:szCs w:val="26"/>
          <w:u w:val="single"/>
        </w:rPr>
      </w:pPr>
      <w:bookmarkStart w:id="30" w:name="co_anchor_I337DFFF38C8811DEAEC4E00399601"/>
      <w:bookmarkEnd w:id="30"/>
    </w:p>
    <w:p w14:paraId="1345EB4B" w14:textId="600D8D9D" w:rsidR="00E60F1B" w:rsidRPr="00C033C1" w:rsidRDefault="00E60F1B" w:rsidP="00E60F1B">
      <w:pPr>
        <w:widowControl w:val="0"/>
        <w:autoSpaceDE w:val="0"/>
        <w:autoSpaceDN w:val="0"/>
        <w:adjustRightInd w:val="0"/>
        <w:rPr>
          <w:color w:val="000000"/>
          <w:sz w:val="26"/>
          <w:szCs w:val="26"/>
          <w:u w:val="single"/>
        </w:rPr>
      </w:pPr>
      <w:bookmarkStart w:id="31" w:name="co_pp_1496000051ed7_1"/>
      <w:bookmarkEnd w:id="31"/>
      <w:r w:rsidRPr="00C033C1">
        <w:rPr>
          <w:color w:val="000000"/>
          <w:sz w:val="26"/>
          <w:szCs w:val="26"/>
          <w:u w:val="single"/>
        </w:rPr>
        <w:t xml:space="preserve">   (6) </w:t>
      </w:r>
      <w:r w:rsidRPr="00935507">
        <w:rPr>
          <w:color w:val="000000"/>
          <w:sz w:val="26"/>
          <w:szCs w:val="26"/>
          <w:u w:val="single"/>
        </w:rPr>
        <w:t>A description of diversity retention efforts.</w:t>
      </w:r>
    </w:p>
    <w:p w14:paraId="7C604707" w14:textId="77777777" w:rsidR="00E60F1B" w:rsidRPr="00C033C1" w:rsidRDefault="00E60F1B" w:rsidP="00E60F1B">
      <w:pPr>
        <w:widowControl w:val="0"/>
        <w:autoSpaceDE w:val="0"/>
        <w:autoSpaceDN w:val="0"/>
        <w:adjustRightInd w:val="0"/>
        <w:rPr>
          <w:color w:val="000000"/>
          <w:sz w:val="26"/>
          <w:szCs w:val="26"/>
          <w:u w:val="single"/>
        </w:rPr>
      </w:pPr>
    </w:p>
    <w:p w14:paraId="1491CCE2" w14:textId="02FEB514" w:rsidR="00E60F1B" w:rsidRPr="00446661" w:rsidRDefault="00E60F1B" w:rsidP="00E60F1B">
      <w:pPr>
        <w:widowControl w:val="0"/>
        <w:autoSpaceDE w:val="0"/>
        <w:autoSpaceDN w:val="0"/>
        <w:adjustRightInd w:val="0"/>
        <w:rPr>
          <w:color w:val="000000"/>
          <w:sz w:val="26"/>
          <w:szCs w:val="26"/>
          <w:u w:val="single"/>
        </w:rPr>
      </w:pPr>
      <w:r w:rsidRPr="00C033C1">
        <w:rPr>
          <w:color w:val="000000"/>
          <w:sz w:val="26"/>
          <w:szCs w:val="26"/>
          <w:u w:val="single"/>
        </w:rPr>
        <w:t>   </w:t>
      </w:r>
      <w:r w:rsidRPr="00935507">
        <w:rPr>
          <w:color w:val="000000"/>
          <w:sz w:val="26"/>
          <w:szCs w:val="26"/>
          <w:u w:val="single"/>
        </w:rPr>
        <w:t>(7) A brief description of involvement with organizations promoting diversity.</w:t>
      </w:r>
    </w:p>
    <w:p w14:paraId="386DBEF6" w14:textId="77777777" w:rsidR="00E60F1B" w:rsidRPr="00532A08" w:rsidRDefault="00E60F1B" w:rsidP="00E60F1B">
      <w:pPr>
        <w:widowControl w:val="0"/>
        <w:autoSpaceDE w:val="0"/>
        <w:autoSpaceDN w:val="0"/>
        <w:adjustRightInd w:val="0"/>
        <w:rPr>
          <w:color w:val="000000"/>
          <w:sz w:val="26"/>
          <w:szCs w:val="26"/>
          <w:u w:val="single"/>
        </w:rPr>
      </w:pPr>
    </w:p>
    <w:p w14:paraId="6543BA6F" w14:textId="0075691B" w:rsidR="00E60F1B" w:rsidRPr="00E44E73" w:rsidRDefault="00E60F1B" w:rsidP="00E60F1B">
      <w:pPr>
        <w:widowControl w:val="0"/>
        <w:autoSpaceDE w:val="0"/>
        <w:autoSpaceDN w:val="0"/>
        <w:adjustRightInd w:val="0"/>
        <w:rPr>
          <w:color w:val="000000"/>
          <w:sz w:val="26"/>
          <w:szCs w:val="26"/>
          <w:u w:val="single"/>
        </w:rPr>
      </w:pPr>
      <w:r w:rsidRPr="00532A08">
        <w:rPr>
          <w:color w:val="000000"/>
          <w:sz w:val="26"/>
          <w:szCs w:val="26"/>
          <w:u w:val="single"/>
        </w:rPr>
        <w:t>   </w:t>
      </w:r>
      <w:r>
        <w:rPr>
          <w:color w:val="000000"/>
          <w:sz w:val="26"/>
          <w:szCs w:val="26"/>
          <w:u w:val="single"/>
        </w:rPr>
        <w:t>(8) A brief summary of diverse-owned busines</w:t>
      </w:r>
      <w:r w:rsidRPr="00446661">
        <w:rPr>
          <w:color w:val="000000"/>
          <w:sz w:val="26"/>
          <w:szCs w:val="26"/>
          <w:u w:val="single"/>
        </w:rPr>
        <w:t xml:space="preserve">ses </w:t>
      </w:r>
      <w:r w:rsidR="009E5C7B">
        <w:rPr>
          <w:color w:val="000000"/>
          <w:sz w:val="26"/>
          <w:szCs w:val="26"/>
          <w:u w:val="single"/>
        </w:rPr>
        <w:t xml:space="preserve">that </w:t>
      </w:r>
      <w:r w:rsidRPr="00446661">
        <w:rPr>
          <w:color w:val="000000"/>
          <w:sz w:val="26"/>
          <w:szCs w:val="26"/>
          <w:u w:val="single"/>
        </w:rPr>
        <w:t xml:space="preserve">the </w:t>
      </w:r>
      <w:r w:rsidR="0035626B">
        <w:rPr>
          <w:color w:val="000000"/>
          <w:sz w:val="26"/>
          <w:szCs w:val="26"/>
          <w:u w:val="single"/>
        </w:rPr>
        <w:t>major jurisdictiona</w:t>
      </w:r>
      <w:r w:rsidR="009E5C7B">
        <w:rPr>
          <w:color w:val="000000"/>
          <w:sz w:val="26"/>
          <w:szCs w:val="26"/>
          <w:u w:val="single"/>
        </w:rPr>
        <w:t>l</w:t>
      </w:r>
      <w:r w:rsidR="0035626B">
        <w:rPr>
          <w:color w:val="000000"/>
          <w:sz w:val="26"/>
          <w:szCs w:val="26"/>
          <w:u w:val="single"/>
        </w:rPr>
        <w:t xml:space="preserve"> utility </w:t>
      </w:r>
      <w:r w:rsidRPr="00446661">
        <w:rPr>
          <w:color w:val="000000"/>
          <w:sz w:val="26"/>
          <w:szCs w:val="26"/>
          <w:u w:val="single"/>
        </w:rPr>
        <w:t>contracts with for goods and services.  Include percentage of dollars spent with diverse-owned businesses versus non-diverse businesses.</w:t>
      </w:r>
    </w:p>
    <w:p w14:paraId="725410B5" w14:textId="77777777" w:rsidR="00E60F1B" w:rsidRDefault="00E60F1B" w:rsidP="00E60F1B">
      <w:pPr>
        <w:widowControl w:val="0"/>
        <w:autoSpaceDE w:val="0"/>
        <w:autoSpaceDN w:val="0"/>
        <w:adjustRightInd w:val="0"/>
        <w:rPr>
          <w:color w:val="000000"/>
          <w:sz w:val="26"/>
          <w:szCs w:val="26"/>
          <w:u w:val="single"/>
        </w:rPr>
      </w:pPr>
      <w:bookmarkStart w:id="32" w:name="co_anchor_I337DFFF48C8811DEAEC4E00399601"/>
      <w:bookmarkEnd w:id="32"/>
    </w:p>
    <w:p w14:paraId="09DE5B2C" w14:textId="672924A2" w:rsidR="00EA56DD" w:rsidRDefault="00EA56DD" w:rsidP="00E60F1B">
      <w:pPr>
        <w:widowControl w:val="0"/>
        <w:autoSpaceDE w:val="0"/>
        <w:autoSpaceDN w:val="0"/>
        <w:adjustRightInd w:val="0"/>
        <w:rPr>
          <w:color w:val="000000"/>
          <w:sz w:val="26"/>
          <w:szCs w:val="26"/>
          <w:u w:val="single"/>
        </w:rPr>
      </w:pPr>
      <w:r>
        <w:rPr>
          <w:color w:val="000000"/>
          <w:sz w:val="26"/>
          <w:szCs w:val="26"/>
          <w:u w:val="single"/>
        </w:rPr>
        <w:t xml:space="preserve"> (b) This information and form shall be filed at a major jurisdictional utility’s A-docket.</w:t>
      </w:r>
    </w:p>
    <w:p w14:paraId="1A804421" w14:textId="77777777" w:rsidR="00EA56DD" w:rsidRDefault="00EA56DD" w:rsidP="00E60F1B">
      <w:pPr>
        <w:widowControl w:val="0"/>
        <w:autoSpaceDE w:val="0"/>
        <w:autoSpaceDN w:val="0"/>
        <w:adjustRightInd w:val="0"/>
        <w:rPr>
          <w:color w:val="000000"/>
          <w:sz w:val="26"/>
          <w:szCs w:val="26"/>
          <w:u w:val="single"/>
        </w:rPr>
      </w:pPr>
    </w:p>
    <w:p w14:paraId="1E11EE89" w14:textId="1A6D97C4" w:rsidR="00E60F1B" w:rsidRPr="00520DB4" w:rsidRDefault="00E60F1B" w:rsidP="00E60F1B">
      <w:pPr>
        <w:widowControl w:val="0"/>
        <w:autoSpaceDE w:val="0"/>
        <w:autoSpaceDN w:val="0"/>
        <w:adjustRightInd w:val="0"/>
        <w:rPr>
          <w:color w:val="000000"/>
          <w:sz w:val="26"/>
          <w:szCs w:val="26"/>
          <w:u w:val="single"/>
        </w:rPr>
      </w:pPr>
      <w:bookmarkStart w:id="33" w:name="co_pp_4b24000003ba5_1"/>
      <w:bookmarkEnd w:id="33"/>
      <w:r w:rsidRPr="00A72F2E">
        <w:rPr>
          <w:color w:val="000000"/>
          <w:sz w:val="26"/>
          <w:szCs w:val="26"/>
          <w:u w:val="single"/>
        </w:rPr>
        <w:t xml:space="preserve"> </w:t>
      </w:r>
      <w:r w:rsidR="00584AE6">
        <w:rPr>
          <w:color w:val="000000"/>
          <w:sz w:val="26"/>
          <w:szCs w:val="26"/>
          <w:u w:val="single"/>
        </w:rPr>
        <w:t>(</w:t>
      </w:r>
      <w:r w:rsidR="00EA56DD">
        <w:rPr>
          <w:color w:val="000000"/>
          <w:sz w:val="26"/>
          <w:szCs w:val="26"/>
          <w:u w:val="single"/>
        </w:rPr>
        <w:t>c</w:t>
      </w:r>
      <w:r w:rsidR="00584AE6" w:rsidRPr="00520DB4">
        <w:rPr>
          <w:color w:val="000000"/>
          <w:sz w:val="26"/>
          <w:szCs w:val="26"/>
          <w:u w:val="single"/>
        </w:rPr>
        <w:t xml:space="preserve">) </w:t>
      </w:r>
      <w:r w:rsidR="00671A93" w:rsidRPr="00520DB4">
        <w:rPr>
          <w:color w:val="333333"/>
          <w:sz w:val="26"/>
          <w:szCs w:val="26"/>
          <w:u w:val="single"/>
          <w:shd w:val="clear" w:color="auto" w:fill="FFFFFF"/>
        </w:rPr>
        <w:t>The Commission will use all available remedies to ensure reporting compliance including fines</w:t>
      </w:r>
      <w:r w:rsidR="00B47CE3" w:rsidRPr="00520DB4">
        <w:rPr>
          <w:color w:val="333333"/>
          <w:sz w:val="26"/>
          <w:szCs w:val="26"/>
          <w:u w:val="single"/>
          <w:shd w:val="clear" w:color="auto" w:fill="FFFFFF"/>
        </w:rPr>
        <w:t>.</w:t>
      </w:r>
    </w:p>
    <w:p w14:paraId="0A3DC6F1" w14:textId="3CB4BC0C" w:rsidR="000B11FB" w:rsidRPr="00160E8F" w:rsidRDefault="000B11FB" w:rsidP="00E60F1B">
      <w:pPr>
        <w:pStyle w:val="NoSpacing"/>
        <w:jc w:val="center"/>
        <w:rPr>
          <w:sz w:val="26"/>
          <w:szCs w:val="26"/>
          <w:u w:val="single"/>
        </w:rPr>
      </w:pPr>
    </w:p>
    <w:sectPr w:rsidR="000B11FB" w:rsidRPr="00160E8F" w:rsidSect="00F0501E">
      <w:headerReference w:type="default" r:id="rId21"/>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B64CD" w14:textId="77777777" w:rsidR="009D01EF" w:rsidRDefault="009D01EF">
      <w:r>
        <w:separator/>
      </w:r>
    </w:p>
  </w:endnote>
  <w:endnote w:type="continuationSeparator" w:id="0">
    <w:p w14:paraId="1435BD20" w14:textId="77777777" w:rsidR="009D01EF" w:rsidRDefault="009D01EF">
      <w:r>
        <w:continuationSeparator/>
      </w:r>
    </w:p>
  </w:endnote>
  <w:endnote w:type="continuationNotice" w:id="1">
    <w:p w14:paraId="18C94A8F" w14:textId="77777777" w:rsidR="009D01EF" w:rsidRDefault="009D0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857D8" w14:textId="77777777" w:rsidR="00B6485F" w:rsidRDefault="00B6485F" w:rsidP="00A97C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9ED8C8" w14:textId="77777777" w:rsidR="00B6485F" w:rsidRDefault="00B64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EFAEB" w14:textId="77777777" w:rsidR="00B6485F" w:rsidRPr="000E1912" w:rsidRDefault="00B6485F" w:rsidP="000E1912">
    <w:pPr>
      <w:pStyle w:val="Footer"/>
      <w:jc w:val="center"/>
      <w:rPr>
        <w:sz w:val="22"/>
        <w:szCs w:val="22"/>
      </w:rPr>
    </w:pPr>
    <w:r w:rsidRPr="000E1912">
      <w:rPr>
        <w:sz w:val="22"/>
        <w:szCs w:val="22"/>
      </w:rPr>
      <w:fldChar w:fldCharType="begin"/>
    </w:r>
    <w:r w:rsidRPr="000E1912">
      <w:rPr>
        <w:sz w:val="22"/>
        <w:szCs w:val="22"/>
      </w:rPr>
      <w:instrText xml:space="preserve"> PAGE   \* MERGEFORMAT </w:instrText>
    </w:r>
    <w:r w:rsidRPr="000E1912">
      <w:rPr>
        <w:sz w:val="22"/>
        <w:szCs w:val="22"/>
      </w:rPr>
      <w:fldChar w:fldCharType="separate"/>
    </w:r>
    <w:r w:rsidR="000471F6">
      <w:rPr>
        <w:noProof/>
        <w:sz w:val="22"/>
        <w:szCs w:val="22"/>
      </w:rPr>
      <w:t>3</w:t>
    </w:r>
    <w:r w:rsidRPr="000E1912">
      <w:rPr>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5535814"/>
      <w:docPartObj>
        <w:docPartGallery w:val="Page Numbers (Bottom of Page)"/>
        <w:docPartUnique/>
      </w:docPartObj>
    </w:sdtPr>
    <w:sdtEndPr>
      <w:rPr>
        <w:noProof/>
      </w:rPr>
    </w:sdtEndPr>
    <w:sdtContent>
      <w:p w14:paraId="795E647E" w14:textId="77777777" w:rsidR="00211745" w:rsidRDefault="00211745">
        <w:pPr>
          <w:pStyle w:val="Footer"/>
          <w:jc w:val="center"/>
        </w:pPr>
        <w:r w:rsidRPr="004D6614">
          <w:rPr>
            <w:sz w:val="26"/>
            <w:szCs w:val="26"/>
          </w:rPr>
          <w:fldChar w:fldCharType="begin"/>
        </w:r>
        <w:r w:rsidRPr="004D6614">
          <w:rPr>
            <w:sz w:val="26"/>
            <w:szCs w:val="26"/>
          </w:rPr>
          <w:instrText xml:space="preserve"> PAGE   \* MERGEFORMAT </w:instrText>
        </w:r>
        <w:r w:rsidRPr="004D6614">
          <w:rPr>
            <w:sz w:val="26"/>
            <w:szCs w:val="26"/>
          </w:rPr>
          <w:fldChar w:fldCharType="separate"/>
        </w:r>
        <w:r w:rsidRPr="004D6614">
          <w:rPr>
            <w:noProof/>
            <w:sz w:val="26"/>
            <w:szCs w:val="26"/>
          </w:rPr>
          <w:t>2</w:t>
        </w:r>
        <w:r w:rsidRPr="004D6614">
          <w:rPr>
            <w:noProof/>
            <w:sz w:val="26"/>
            <w:szCs w:val="26"/>
          </w:rPr>
          <w:fldChar w:fldCharType="end"/>
        </w:r>
      </w:p>
    </w:sdtContent>
  </w:sdt>
  <w:p w14:paraId="35421F80" w14:textId="77777777" w:rsidR="00211745" w:rsidRPr="00CB4770" w:rsidRDefault="00211745" w:rsidP="00F050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3763760"/>
      <w:docPartObj>
        <w:docPartGallery w:val="Page Numbers (Bottom of Page)"/>
        <w:docPartUnique/>
      </w:docPartObj>
    </w:sdtPr>
    <w:sdtEndPr>
      <w:rPr>
        <w:noProof/>
      </w:rPr>
    </w:sdtEndPr>
    <w:sdtContent>
      <w:p w14:paraId="57B4CCB5" w14:textId="77777777" w:rsidR="00F0501E" w:rsidRDefault="009E6D4F">
        <w:pPr>
          <w:pStyle w:val="Footer"/>
          <w:jc w:val="center"/>
        </w:pPr>
        <w:r w:rsidRPr="004D6614">
          <w:rPr>
            <w:sz w:val="26"/>
            <w:szCs w:val="26"/>
          </w:rPr>
          <w:fldChar w:fldCharType="begin"/>
        </w:r>
        <w:r w:rsidRPr="004D6614">
          <w:rPr>
            <w:sz w:val="26"/>
            <w:szCs w:val="26"/>
          </w:rPr>
          <w:instrText xml:space="preserve"> PAGE   \* MERGEFORMAT </w:instrText>
        </w:r>
        <w:r w:rsidRPr="004D6614">
          <w:rPr>
            <w:sz w:val="26"/>
            <w:szCs w:val="26"/>
          </w:rPr>
          <w:fldChar w:fldCharType="separate"/>
        </w:r>
        <w:r w:rsidRPr="004D6614">
          <w:rPr>
            <w:noProof/>
            <w:sz w:val="26"/>
            <w:szCs w:val="26"/>
          </w:rPr>
          <w:t>2</w:t>
        </w:r>
        <w:r w:rsidRPr="004D6614">
          <w:rPr>
            <w:noProof/>
            <w:sz w:val="26"/>
            <w:szCs w:val="26"/>
          </w:rPr>
          <w:fldChar w:fldCharType="end"/>
        </w:r>
      </w:p>
    </w:sdtContent>
  </w:sdt>
  <w:p w14:paraId="4E1E0F99" w14:textId="77777777" w:rsidR="00F0501E" w:rsidRPr="00CB4770" w:rsidRDefault="00F0501E" w:rsidP="00F05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DC5E2" w14:textId="77777777" w:rsidR="009D01EF" w:rsidRDefault="009D01EF">
      <w:r>
        <w:separator/>
      </w:r>
    </w:p>
  </w:footnote>
  <w:footnote w:type="continuationSeparator" w:id="0">
    <w:p w14:paraId="7469B1E6" w14:textId="77777777" w:rsidR="009D01EF" w:rsidRDefault="009D01EF">
      <w:r>
        <w:continuationSeparator/>
      </w:r>
    </w:p>
  </w:footnote>
  <w:footnote w:type="continuationNotice" w:id="1">
    <w:p w14:paraId="0608893A" w14:textId="77777777" w:rsidR="009D01EF" w:rsidRDefault="009D01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05E2F" w14:textId="67E4BCB3" w:rsidR="00211745" w:rsidRDefault="002117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2F950" w14:textId="59549D0F" w:rsidR="00F0501E" w:rsidRDefault="00F05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C0A43"/>
    <w:multiLevelType w:val="multilevel"/>
    <w:tmpl w:val="B664BC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CF0349"/>
    <w:multiLevelType w:val="hybridMultilevel"/>
    <w:tmpl w:val="854C3D08"/>
    <w:lvl w:ilvl="0" w:tplc="C1E0259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D66D7"/>
    <w:multiLevelType w:val="hybridMultilevel"/>
    <w:tmpl w:val="D11C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028B5"/>
    <w:multiLevelType w:val="hybridMultilevel"/>
    <w:tmpl w:val="E6422DFA"/>
    <w:lvl w:ilvl="0" w:tplc="E17E5D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53578"/>
    <w:multiLevelType w:val="hybridMultilevel"/>
    <w:tmpl w:val="AFCEDE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111EA"/>
    <w:multiLevelType w:val="hybridMultilevel"/>
    <w:tmpl w:val="291C8662"/>
    <w:lvl w:ilvl="0" w:tplc="04090001">
      <w:start w:val="5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CE4D50"/>
    <w:multiLevelType w:val="hybridMultilevel"/>
    <w:tmpl w:val="65F022F6"/>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D3700"/>
    <w:multiLevelType w:val="hybridMultilevel"/>
    <w:tmpl w:val="24BE0770"/>
    <w:lvl w:ilvl="0" w:tplc="A2A8A57C">
      <w:start w:val="5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3D28F5"/>
    <w:multiLevelType w:val="hybridMultilevel"/>
    <w:tmpl w:val="920E9358"/>
    <w:lvl w:ilvl="0" w:tplc="C9DCA9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973AE7"/>
    <w:multiLevelType w:val="hybridMultilevel"/>
    <w:tmpl w:val="657CDB1C"/>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A927E7"/>
    <w:multiLevelType w:val="hybridMultilevel"/>
    <w:tmpl w:val="8BAE0050"/>
    <w:lvl w:ilvl="0" w:tplc="449801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B17DA4"/>
    <w:multiLevelType w:val="hybridMultilevel"/>
    <w:tmpl w:val="8E5AA458"/>
    <w:lvl w:ilvl="0" w:tplc="37CE54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041A4"/>
    <w:multiLevelType w:val="hybridMultilevel"/>
    <w:tmpl w:val="D02A993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F937A31"/>
    <w:multiLevelType w:val="hybridMultilevel"/>
    <w:tmpl w:val="0EB6D5FA"/>
    <w:lvl w:ilvl="0" w:tplc="8A541D3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D9761C"/>
    <w:multiLevelType w:val="hybridMultilevel"/>
    <w:tmpl w:val="1728A470"/>
    <w:lvl w:ilvl="0" w:tplc="C2A601F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DE20C3"/>
    <w:multiLevelType w:val="hybridMultilevel"/>
    <w:tmpl w:val="2AB26C18"/>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44482C"/>
    <w:multiLevelType w:val="hybridMultilevel"/>
    <w:tmpl w:val="B1F0E0C6"/>
    <w:lvl w:ilvl="0" w:tplc="113EC1E2">
      <w:start w:val="9"/>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6"/>
  </w:num>
  <w:num w:numId="5">
    <w:abstractNumId w:val="9"/>
  </w:num>
  <w:num w:numId="6">
    <w:abstractNumId w:val="7"/>
  </w:num>
  <w:num w:numId="7">
    <w:abstractNumId w:val="4"/>
  </w:num>
  <w:num w:numId="8">
    <w:abstractNumId w:val="3"/>
  </w:num>
  <w:num w:numId="9">
    <w:abstractNumId w:val="1"/>
  </w:num>
  <w:num w:numId="10">
    <w:abstractNumId w:val="14"/>
  </w:num>
  <w:num w:numId="11">
    <w:abstractNumId w:val="10"/>
  </w:num>
  <w:num w:numId="12">
    <w:abstractNumId w:val="8"/>
  </w:num>
  <w:num w:numId="13">
    <w:abstractNumId w:val="11"/>
  </w:num>
  <w:num w:numId="14">
    <w:abstractNumId w:val="2"/>
  </w:num>
  <w:num w:numId="15">
    <w:abstractNumId w:val="13"/>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112"/>
    <w:rsid w:val="00000419"/>
    <w:rsid w:val="00000ACD"/>
    <w:rsid w:val="00001B75"/>
    <w:rsid w:val="00001F13"/>
    <w:rsid w:val="00001F7E"/>
    <w:rsid w:val="00002125"/>
    <w:rsid w:val="00002179"/>
    <w:rsid w:val="000021A5"/>
    <w:rsid w:val="000023FD"/>
    <w:rsid w:val="00002AE2"/>
    <w:rsid w:val="00003965"/>
    <w:rsid w:val="00003990"/>
    <w:rsid w:val="0000411A"/>
    <w:rsid w:val="0000599D"/>
    <w:rsid w:val="00005A74"/>
    <w:rsid w:val="00006199"/>
    <w:rsid w:val="00006417"/>
    <w:rsid w:val="00006502"/>
    <w:rsid w:val="000066C0"/>
    <w:rsid w:val="00006AFE"/>
    <w:rsid w:val="0000701C"/>
    <w:rsid w:val="000070AC"/>
    <w:rsid w:val="000070B5"/>
    <w:rsid w:val="00007855"/>
    <w:rsid w:val="000101D2"/>
    <w:rsid w:val="00010F92"/>
    <w:rsid w:val="00010FB3"/>
    <w:rsid w:val="00011F68"/>
    <w:rsid w:val="000126B8"/>
    <w:rsid w:val="00013452"/>
    <w:rsid w:val="00013515"/>
    <w:rsid w:val="00013699"/>
    <w:rsid w:val="00013B63"/>
    <w:rsid w:val="00013C78"/>
    <w:rsid w:val="00015375"/>
    <w:rsid w:val="00016242"/>
    <w:rsid w:val="00016542"/>
    <w:rsid w:val="00016575"/>
    <w:rsid w:val="00017698"/>
    <w:rsid w:val="00020C6D"/>
    <w:rsid w:val="000211E0"/>
    <w:rsid w:val="0002184E"/>
    <w:rsid w:val="00021997"/>
    <w:rsid w:val="00021B43"/>
    <w:rsid w:val="000236F8"/>
    <w:rsid w:val="00023D28"/>
    <w:rsid w:val="00024077"/>
    <w:rsid w:val="000241B8"/>
    <w:rsid w:val="000243A8"/>
    <w:rsid w:val="00024D1B"/>
    <w:rsid w:val="000256B8"/>
    <w:rsid w:val="00027AE7"/>
    <w:rsid w:val="00030264"/>
    <w:rsid w:val="00030372"/>
    <w:rsid w:val="00030C4C"/>
    <w:rsid w:val="000311E5"/>
    <w:rsid w:val="00031919"/>
    <w:rsid w:val="00031D14"/>
    <w:rsid w:val="00032BC2"/>
    <w:rsid w:val="00033725"/>
    <w:rsid w:val="0003383E"/>
    <w:rsid w:val="00033AD8"/>
    <w:rsid w:val="000346D0"/>
    <w:rsid w:val="000346FA"/>
    <w:rsid w:val="00034C24"/>
    <w:rsid w:val="00035B18"/>
    <w:rsid w:val="00035F25"/>
    <w:rsid w:val="0003633D"/>
    <w:rsid w:val="00036BD0"/>
    <w:rsid w:val="00036E1C"/>
    <w:rsid w:val="00036E58"/>
    <w:rsid w:val="00037817"/>
    <w:rsid w:val="000378FB"/>
    <w:rsid w:val="00037DED"/>
    <w:rsid w:val="00040D59"/>
    <w:rsid w:val="00041881"/>
    <w:rsid w:val="00041A62"/>
    <w:rsid w:val="00041E99"/>
    <w:rsid w:val="0004206C"/>
    <w:rsid w:val="00043424"/>
    <w:rsid w:val="0004373B"/>
    <w:rsid w:val="000446D5"/>
    <w:rsid w:val="00044D63"/>
    <w:rsid w:val="000455D8"/>
    <w:rsid w:val="00045759"/>
    <w:rsid w:val="00045A32"/>
    <w:rsid w:val="00046140"/>
    <w:rsid w:val="000465C9"/>
    <w:rsid w:val="00046EFA"/>
    <w:rsid w:val="000471F6"/>
    <w:rsid w:val="00047880"/>
    <w:rsid w:val="00047D9F"/>
    <w:rsid w:val="00047DF3"/>
    <w:rsid w:val="00050163"/>
    <w:rsid w:val="000502BB"/>
    <w:rsid w:val="00050DDA"/>
    <w:rsid w:val="00050E61"/>
    <w:rsid w:val="000511FD"/>
    <w:rsid w:val="00051E19"/>
    <w:rsid w:val="00052586"/>
    <w:rsid w:val="000526D8"/>
    <w:rsid w:val="00052D8C"/>
    <w:rsid w:val="00052F99"/>
    <w:rsid w:val="000545D5"/>
    <w:rsid w:val="000548E9"/>
    <w:rsid w:val="00055010"/>
    <w:rsid w:val="0005612C"/>
    <w:rsid w:val="00057000"/>
    <w:rsid w:val="000571DE"/>
    <w:rsid w:val="00057AD1"/>
    <w:rsid w:val="000602FA"/>
    <w:rsid w:val="00060A77"/>
    <w:rsid w:val="00060C17"/>
    <w:rsid w:val="00060FE3"/>
    <w:rsid w:val="0006115F"/>
    <w:rsid w:val="00061915"/>
    <w:rsid w:val="00061C4B"/>
    <w:rsid w:val="000620EC"/>
    <w:rsid w:val="00062248"/>
    <w:rsid w:val="00062875"/>
    <w:rsid w:val="00062DF9"/>
    <w:rsid w:val="0006334E"/>
    <w:rsid w:val="0006365B"/>
    <w:rsid w:val="00063BD0"/>
    <w:rsid w:val="000642E1"/>
    <w:rsid w:val="00064F9D"/>
    <w:rsid w:val="0006532C"/>
    <w:rsid w:val="0006539A"/>
    <w:rsid w:val="00065904"/>
    <w:rsid w:val="00065CDF"/>
    <w:rsid w:val="00066405"/>
    <w:rsid w:val="00066841"/>
    <w:rsid w:val="00066FA3"/>
    <w:rsid w:val="00067020"/>
    <w:rsid w:val="00067BD5"/>
    <w:rsid w:val="000708D6"/>
    <w:rsid w:val="00070ED3"/>
    <w:rsid w:val="00070F4B"/>
    <w:rsid w:val="00071577"/>
    <w:rsid w:val="000723AD"/>
    <w:rsid w:val="000724F1"/>
    <w:rsid w:val="00072A61"/>
    <w:rsid w:val="000731F3"/>
    <w:rsid w:val="00073351"/>
    <w:rsid w:val="00073AE8"/>
    <w:rsid w:val="00073B12"/>
    <w:rsid w:val="00073E7F"/>
    <w:rsid w:val="0007520E"/>
    <w:rsid w:val="000755D4"/>
    <w:rsid w:val="00075BBA"/>
    <w:rsid w:val="00075DE6"/>
    <w:rsid w:val="0007647B"/>
    <w:rsid w:val="00076BC0"/>
    <w:rsid w:val="00076E35"/>
    <w:rsid w:val="000774AA"/>
    <w:rsid w:val="0007753D"/>
    <w:rsid w:val="00077611"/>
    <w:rsid w:val="00077FB5"/>
    <w:rsid w:val="00080500"/>
    <w:rsid w:val="00080EFD"/>
    <w:rsid w:val="00081304"/>
    <w:rsid w:val="000818F6"/>
    <w:rsid w:val="000820C3"/>
    <w:rsid w:val="00082103"/>
    <w:rsid w:val="0008214E"/>
    <w:rsid w:val="000822B8"/>
    <w:rsid w:val="00082E86"/>
    <w:rsid w:val="0008354B"/>
    <w:rsid w:val="0008397D"/>
    <w:rsid w:val="000841C0"/>
    <w:rsid w:val="000842B1"/>
    <w:rsid w:val="00084E70"/>
    <w:rsid w:val="000852ED"/>
    <w:rsid w:val="00085A2F"/>
    <w:rsid w:val="00085D23"/>
    <w:rsid w:val="00085FC4"/>
    <w:rsid w:val="00086097"/>
    <w:rsid w:val="00086C8E"/>
    <w:rsid w:val="00086CC8"/>
    <w:rsid w:val="00086DA2"/>
    <w:rsid w:val="00086E77"/>
    <w:rsid w:val="000874D3"/>
    <w:rsid w:val="00087D36"/>
    <w:rsid w:val="000900C9"/>
    <w:rsid w:val="000900CE"/>
    <w:rsid w:val="00090664"/>
    <w:rsid w:val="0009105D"/>
    <w:rsid w:val="0009166D"/>
    <w:rsid w:val="00091801"/>
    <w:rsid w:val="00091BD0"/>
    <w:rsid w:val="00092103"/>
    <w:rsid w:val="00092812"/>
    <w:rsid w:val="000929AB"/>
    <w:rsid w:val="0009353C"/>
    <w:rsid w:val="000949EE"/>
    <w:rsid w:val="00094D59"/>
    <w:rsid w:val="00094F2D"/>
    <w:rsid w:val="00095426"/>
    <w:rsid w:val="000958EE"/>
    <w:rsid w:val="000965F6"/>
    <w:rsid w:val="00096680"/>
    <w:rsid w:val="0009739E"/>
    <w:rsid w:val="00097D5D"/>
    <w:rsid w:val="000A0062"/>
    <w:rsid w:val="000A0318"/>
    <w:rsid w:val="000A0998"/>
    <w:rsid w:val="000A10F7"/>
    <w:rsid w:val="000A1D1C"/>
    <w:rsid w:val="000A2553"/>
    <w:rsid w:val="000A325B"/>
    <w:rsid w:val="000A37EB"/>
    <w:rsid w:val="000A4197"/>
    <w:rsid w:val="000A458B"/>
    <w:rsid w:val="000A4661"/>
    <w:rsid w:val="000A49EF"/>
    <w:rsid w:val="000A4FA7"/>
    <w:rsid w:val="000A5F5D"/>
    <w:rsid w:val="000A6C3E"/>
    <w:rsid w:val="000A714A"/>
    <w:rsid w:val="000A7892"/>
    <w:rsid w:val="000B0EF3"/>
    <w:rsid w:val="000B0F11"/>
    <w:rsid w:val="000B114D"/>
    <w:rsid w:val="000B11FB"/>
    <w:rsid w:val="000B1445"/>
    <w:rsid w:val="000B2720"/>
    <w:rsid w:val="000B29C2"/>
    <w:rsid w:val="000B2C7F"/>
    <w:rsid w:val="000B3F58"/>
    <w:rsid w:val="000B40E7"/>
    <w:rsid w:val="000B4B87"/>
    <w:rsid w:val="000B52DA"/>
    <w:rsid w:val="000B5C54"/>
    <w:rsid w:val="000B5D2D"/>
    <w:rsid w:val="000B6306"/>
    <w:rsid w:val="000B652D"/>
    <w:rsid w:val="000B68FF"/>
    <w:rsid w:val="000B6987"/>
    <w:rsid w:val="000B6A52"/>
    <w:rsid w:val="000B6E35"/>
    <w:rsid w:val="000B7621"/>
    <w:rsid w:val="000B76DE"/>
    <w:rsid w:val="000B7D68"/>
    <w:rsid w:val="000B7E2F"/>
    <w:rsid w:val="000C0163"/>
    <w:rsid w:val="000C09F6"/>
    <w:rsid w:val="000C1511"/>
    <w:rsid w:val="000C1671"/>
    <w:rsid w:val="000C1876"/>
    <w:rsid w:val="000C1C04"/>
    <w:rsid w:val="000C240C"/>
    <w:rsid w:val="000C2BC1"/>
    <w:rsid w:val="000C2E24"/>
    <w:rsid w:val="000C3290"/>
    <w:rsid w:val="000C3837"/>
    <w:rsid w:val="000C41FE"/>
    <w:rsid w:val="000C4A22"/>
    <w:rsid w:val="000C4C29"/>
    <w:rsid w:val="000C4D40"/>
    <w:rsid w:val="000C4E52"/>
    <w:rsid w:val="000C548A"/>
    <w:rsid w:val="000C5816"/>
    <w:rsid w:val="000C5825"/>
    <w:rsid w:val="000C590E"/>
    <w:rsid w:val="000C701D"/>
    <w:rsid w:val="000C7794"/>
    <w:rsid w:val="000C786C"/>
    <w:rsid w:val="000D05A3"/>
    <w:rsid w:val="000D0738"/>
    <w:rsid w:val="000D09EE"/>
    <w:rsid w:val="000D0ACD"/>
    <w:rsid w:val="000D0B1C"/>
    <w:rsid w:val="000D1AB5"/>
    <w:rsid w:val="000D20DF"/>
    <w:rsid w:val="000D2136"/>
    <w:rsid w:val="000D365C"/>
    <w:rsid w:val="000D3BCD"/>
    <w:rsid w:val="000D3FD1"/>
    <w:rsid w:val="000D4728"/>
    <w:rsid w:val="000D4FE5"/>
    <w:rsid w:val="000D64D6"/>
    <w:rsid w:val="000D66EA"/>
    <w:rsid w:val="000D739B"/>
    <w:rsid w:val="000D74A3"/>
    <w:rsid w:val="000D798B"/>
    <w:rsid w:val="000D7BE9"/>
    <w:rsid w:val="000E02CD"/>
    <w:rsid w:val="000E03B5"/>
    <w:rsid w:val="000E0B04"/>
    <w:rsid w:val="000E0BB2"/>
    <w:rsid w:val="000E0C1E"/>
    <w:rsid w:val="000E0D31"/>
    <w:rsid w:val="000E0FE9"/>
    <w:rsid w:val="000E1037"/>
    <w:rsid w:val="000E1540"/>
    <w:rsid w:val="000E16E3"/>
    <w:rsid w:val="000E190A"/>
    <w:rsid w:val="000E1912"/>
    <w:rsid w:val="000E1F18"/>
    <w:rsid w:val="000E1F92"/>
    <w:rsid w:val="000E2A9F"/>
    <w:rsid w:val="000E2EB5"/>
    <w:rsid w:val="000E307E"/>
    <w:rsid w:val="000E3275"/>
    <w:rsid w:val="000E36D0"/>
    <w:rsid w:val="000E3B55"/>
    <w:rsid w:val="000E4293"/>
    <w:rsid w:val="000E4A19"/>
    <w:rsid w:val="000E5125"/>
    <w:rsid w:val="000E5D08"/>
    <w:rsid w:val="000E5E5D"/>
    <w:rsid w:val="000E6262"/>
    <w:rsid w:val="000E6CA5"/>
    <w:rsid w:val="000E71A5"/>
    <w:rsid w:val="000E7256"/>
    <w:rsid w:val="000E7856"/>
    <w:rsid w:val="000F087B"/>
    <w:rsid w:val="000F09D3"/>
    <w:rsid w:val="000F0A5E"/>
    <w:rsid w:val="000F15A2"/>
    <w:rsid w:val="000F164B"/>
    <w:rsid w:val="000F16E7"/>
    <w:rsid w:val="000F18FD"/>
    <w:rsid w:val="000F1E39"/>
    <w:rsid w:val="000F2A72"/>
    <w:rsid w:val="000F2D4D"/>
    <w:rsid w:val="000F30EC"/>
    <w:rsid w:val="000F375C"/>
    <w:rsid w:val="000F3BFC"/>
    <w:rsid w:val="000F3CCB"/>
    <w:rsid w:val="000F40C3"/>
    <w:rsid w:val="000F445A"/>
    <w:rsid w:val="000F48D7"/>
    <w:rsid w:val="000F4996"/>
    <w:rsid w:val="000F5A99"/>
    <w:rsid w:val="000F5AB4"/>
    <w:rsid w:val="000F5CC4"/>
    <w:rsid w:val="000F6589"/>
    <w:rsid w:val="000F69CB"/>
    <w:rsid w:val="000F6ECC"/>
    <w:rsid w:val="000F734C"/>
    <w:rsid w:val="0010034A"/>
    <w:rsid w:val="001004CB"/>
    <w:rsid w:val="001005C5"/>
    <w:rsid w:val="0010070C"/>
    <w:rsid w:val="00100838"/>
    <w:rsid w:val="00100D69"/>
    <w:rsid w:val="00100E4B"/>
    <w:rsid w:val="001014CF"/>
    <w:rsid w:val="00101666"/>
    <w:rsid w:val="001021FD"/>
    <w:rsid w:val="00102404"/>
    <w:rsid w:val="00102B7F"/>
    <w:rsid w:val="00102CEA"/>
    <w:rsid w:val="00102F11"/>
    <w:rsid w:val="00103C03"/>
    <w:rsid w:val="001040DE"/>
    <w:rsid w:val="001052E5"/>
    <w:rsid w:val="00105E56"/>
    <w:rsid w:val="001066F7"/>
    <w:rsid w:val="00106A7C"/>
    <w:rsid w:val="00107001"/>
    <w:rsid w:val="0011020F"/>
    <w:rsid w:val="00110268"/>
    <w:rsid w:val="0011029D"/>
    <w:rsid w:val="0011044B"/>
    <w:rsid w:val="00110659"/>
    <w:rsid w:val="0011072C"/>
    <w:rsid w:val="001107A7"/>
    <w:rsid w:val="00110BB5"/>
    <w:rsid w:val="00110F63"/>
    <w:rsid w:val="0011201D"/>
    <w:rsid w:val="0011201F"/>
    <w:rsid w:val="00114544"/>
    <w:rsid w:val="0011468B"/>
    <w:rsid w:val="00114D16"/>
    <w:rsid w:val="00114E22"/>
    <w:rsid w:val="001152D9"/>
    <w:rsid w:val="00115554"/>
    <w:rsid w:val="00116543"/>
    <w:rsid w:val="00116896"/>
    <w:rsid w:val="001170DC"/>
    <w:rsid w:val="00120BD9"/>
    <w:rsid w:val="001212AB"/>
    <w:rsid w:val="00121634"/>
    <w:rsid w:val="00121843"/>
    <w:rsid w:val="00121E01"/>
    <w:rsid w:val="00121E37"/>
    <w:rsid w:val="001220AB"/>
    <w:rsid w:val="0012275E"/>
    <w:rsid w:val="0012415A"/>
    <w:rsid w:val="00125296"/>
    <w:rsid w:val="00125759"/>
    <w:rsid w:val="00125D50"/>
    <w:rsid w:val="00126F5E"/>
    <w:rsid w:val="00127307"/>
    <w:rsid w:val="00127AA3"/>
    <w:rsid w:val="0013052C"/>
    <w:rsid w:val="00130627"/>
    <w:rsid w:val="00130FCB"/>
    <w:rsid w:val="0013119A"/>
    <w:rsid w:val="00131668"/>
    <w:rsid w:val="00131DE2"/>
    <w:rsid w:val="00132487"/>
    <w:rsid w:val="001324AE"/>
    <w:rsid w:val="00132859"/>
    <w:rsid w:val="00132B19"/>
    <w:rsid w:val="00133253"/>
    <w:rsid w:val="0013349A"/>
    <w:rsid w:val="00133875"/>
    <w:rsid w:val="001338E9"/>
    <w:rsid w:val="0013393A"/>
    <w:rsid w:val="001339F3"/>
    <w:rsid w:val="00133F75"/>
    <w:rsid w:val="001342D8"/>
    <w:rsid w:val="00134324"/>
    <w:rsid w:val="00134FF3"/>
    <w:rsid w:val="00135445"/>
    <w:rsid w:val="00135698"/>
    <w:rsid w:val="00136AC6"/>
    <w:rsid w:val="001371D5"/>
    <w:rsid w:val="00137847"/>
    <w:rsid w:val="00137853"/>
    <w:rsid w:val="00137B63"/>
    <w:rsid w:val="00137D10"/>
    <w:rsid w:val="00137FC1"/>
    <w:rsid w:val="00140273"/>
    <w:rsid w:val="00140480"/>
    <w:rsid w:val="00140A05"/>
    <w:rsid w:val="00140A2A"/>
    <w:rsid w:val="00140A75"/>
    <w:rsid w:val="00140F53"/>
    <w:rsid w:val="001410B5"/>
    <w:rsid w:val="00141C9D"/>
    <w:rsid w:val="0014246B"/>
    <w:rsid w:val="00143926"/>
    <w:rsid w:val="00143D21"/>
    <w:rsid w:val="00143E97"/>
    <w:rsid w:val="00145405"/>
    <w:rsid w:val="001461FA"/>
    <w:rsid w:val="0014657B"/>
    <w:rsid w:val="00146599"/>
    <w:rsid w:val="001465E5"/>
    <w:rsid w:val="00147399"/>
    <w:rsid w:val="0014770F"/>
    <w:rsid w:val="0014795E"/>
    <w:rsid w:val="00147D15"/>
    <w:rsid w:val="00147F68"/>
    <w:rsid w:val="00150131"/>
    <w:rsid w:val="00150478"/>
    <w:rsid w:val="0015128D"/>
    <w:rsid w:val="001516A1"/>
    <w:rsid w:val="001519AA"/>
    <w:rsid w:val="00152000"/>
    <w:rsid w:val="00152023"/>
    <w:rsid w:val="00152337"/>
    <w:rsid w:val="00152774"/>
    <w:rsid w:val="001531E0"/>
    <w:rsid w:val="001539B0"/>
    <w:rsid w:val="001549C8"/>
    <w:rsid w:val="00155596"/>
    <w:rsid w:val="001556B5"/>
    <w:rsid w:val="0015580D"/>
    <w:rsid w:val="001559A1"/>
    <w:rsid w:val="00156EE2"/>
    <w:rsid w:val="00156EFB"/>
    <w:rsid w:val="0015752B"/>
    <w:rsid w:val="001576E1"/>
    <w:rsid w:val="0016052C"/>
    <w:rsid w:val="0016089B"/>
    <w:rsid w:val="00160AB8"/>
    <w:rsid w:val="00160E8F"/>
    <w:rsid w:val="00160FCF"/>
    <w:rsid w:val="0016161C"/>
    <w:rsid w:val="001623C7"/>
    <w:rsid w:val="001629C3"/>
    <w:rsid w:val="00163551"/>
    <w:rsid w:val="00164846"/>
    <w:rsid w:val="00164AF4"/>
    <w:rsid w:val="00164B20"/>
    <w:rsid w:val="00164B7F"/>
    <w:rsid w:val="00164D4B"/>
    <w:rsid w:val="00165062"/>
    <w:rsid w:val="0016559E"/>
    <w:rsid w:val="00166B58"/>
    <w:rsid w:val="00167A65"/>
    <w:rsid w:val="00167B47"/>
    <w:rsid w:val="00167D4F"/>
    <w:rsid w:val="001701D8"/>
    <w:rsid w:val="0017033B"/>
    <w:rsid w:val="00170BCF"/>
    <w:rsid w:val="00170DB3"/>
    <w:rsid w:val="001728CF"/>
    <w:rsid w:val="001728E3"/>
    <w:rsid w:val="0017291A"/>
    <w:rsid w:val="00172C04"/>
    <w:rsid w:val="00172E0D"/>
    <w:rsid w:val="00172FC4"/>
    <w:rsid w:val="00173738"/>
    <w:rsid w:val="00173DDD"/>
    <w:rsid w:val="00174303"/>
    <w:rsid w:val="00174D9D"/>
    <w:rsid w:val="001759BB"/>
    <w:rsid w:val="00176045"/>
    <w:rsid w:val="00176064"/>
    <w:rsid w:val="0017641D"/>
    <w:rsid w:val="00176427"/>
    <w:rsid w:val="001766B0"/>
    <w:rsid w:val="0017734C"/>
    <w:rsid w:val="00177677"/>
    <w:rsid w:val="001778B3"/>
    <w:rsid w:val="00177DD1"/>
    <w:rsid w:val="001802A3"/>
    <w:rsid w:val="00180BF0"/>
    <w:rsid w:val="00181F88"/>
    <w:rsid w:val="0018219E"/>
    <w:rsid w:val="00182456"/>
    <w:rsid w:val="001829E0"/>
    <w:rsid w:val="00182F8A"/>
    <w:rsid w:val="0018374D"/>
    <w:rsid w:val="00183853"/>
    <w:rsid w:val="00184065"/>
    <w:rsid w:val="0018465E"/>
    <w:rsid w:val="0018491C"/>
    <w:rsid w:val="00184C64"/>
    <w:rsid w:val="00185082"/>
    <w:rsid w:val="001859C8"/>
    <w:rsid w:val="00185CED"/>
    <w:rsid w:val="00185DBD"/>
    <w:rsid w:val="0018615D"/>
    <w:rsid w:val="00187387"/>
    <w:rsid w:val="00187827"/>
    <w:rsid w:val="00187B70"/>
    <w:rsid w:val="00187CCF"/>
    <w:rsid w:val="00187DC8"/>
    <w:rsid w:val="00190E08"/>
    <w:rsid w:val="001910A1"/>
    <w:rsid w:val="001911D8"/>
    <w:rsid w:val="00191329"/>
    <w:rsid w:val="0019145C"/>
    <w:rsid w:val="001914F4"/>
    <w:rsid w:val="00191A88"/>
    <w:rsid w:val="00191ED6"/>
    <w:rsid w:val="0019217C"/>
    <w:rsid w:val="0019248E"/>
    <w:rsid w:val="0019293B"/>
    <w:rsid w:val="001930C4"/>
    <w:rsid w:val="001931CC"/>
    <w:rsid w:val="001948BF"/>
    <w:rsid w:val="00194BD9"/>
    <w:rsid w:val="00194F9B"/>
    <w:rsid w:val="00195220"/>
    <w:rsid w:val="001958C2"/>
    <w:rsid w:val="00195C04"/>
    <w:rsid w:val="0019621C"/>
    <w:rsid w:val="00197E46"/>
    <w:rsid w:val="001A0520"/>
    <w:rsid w:val="001A087D"/>
    <w:rsid w:val="001A0A20"/>
    <w:rsid w:val="001A17D6"/>
    <w:rsid w:val="001A1CAD"/>
    <w:rsid w:val="001A2715"/>
    <w:rsid w:val="001A279A"/>
    <w:rsid w:val="001A2946"/>
    <w:rsid w:val="001A41D8"/>
    <w:rsid w:val="001A4C16"/>
    <w:rsid w:val="001A4E79"/>
    <w:rsid w:val="001A53C4"/>
    <w:rsid w:val="001A5985"/>
    <w:rsid w:val="001A5DC8"/>
    <w:rsid w:val="001A6D52"/>
    <w:rsid w:val="001A6F45"/>
    <w:rsid w:val="001A7698"/>
    <w:rsid w:val="001A7EC4"/>
    <w:rsid w:val="001B0823"/>
    <w:rsid w:val="001B176D"/>
    <w:rsid w:val="001B1A46"/>
    <w:rsid w:val="001B243C"/>
    <w:rsid w:val="001B2E8E"/>
    <w:rsid w:val="001B4B65"/>
    <w:rsid w:val="001B4CA2"/>
    <w:rsid w:val="001B4DEB"/>
    <w:rsid w:val="001B581A"/>
    <w:rsid w:val="001B5E45"/>
    <w:rsid w:val="001B68BB"/>
    <w:rsid w:val="001B6B9C"/>
    <w:rsid w:val="001B71EE"/>
    <w:rsid w:val="001B7525"/>
    <w:rsid w:val="001B7CBE"/>
    <w:rsid w:val="001B7D4A"/>
    <w:rsid w:val="001C04CE"/>
    <w:rsid w:val="001C08D7"/>
    <w:rsid w:val="001C0918"/>
    <w:rsid w:val="001C098E"/>
    <w:rsid w:val="001C0BDC"/>
    <w:rsid w:val="001C0F20"/>
    <w:rsid w:val="001C1A71"/>
    <w:rsid w:val="001C23B7"/>
    <w:rsid w:val="001C3830"/>
    <w:rsid w:val="001C4299"/>
    <w:rsid w:val="001C42F0"/>
    <w:rsid w:val="001C45F2"/>
    <w:rsid w:val="001C46D2"/>
    <w:rsid w:val="001C4B47"/>
    <w:rsid w:val="001C5DBE"/>
    <w:rsid w:val="001C6147"/>
    <w:rsid w:val="001C623D"/>
    <w:rsid w:val="001C6668"/>
    <w:rsid w:val="001C6953"/>
    <w:rsid w:val="001C696B"/>
    <w:rsid w:val="001C6C26"/>
    <w:rsid w:val="001C704F"/>
    <w:rsid w:val="001C72A1"/>
    <w:rsid w:val="001C74DB"/>
    <w:rsid w:val="001C77C4"/>
    <w:rsid w:val="001C79F0"/>
    <w:rsid w:val="001D058C"/>
    <w:rsid w:val="001D0DA3"/>
    <w:rsid w:val="001D12B5"/>
    <w:rsid w:val="001D14AE"/>
    <w:rsid w:val="001D16B5"/>
    <w:rsid w:val="001D1BB5"/>
    <w:rsid w:val="001D1CB1"/>
    <w:rsid w:val="001D1DD0"/>
    <w:rsid w:val="001D2381"/>
    <w:rsid w:val="001D3AD1"/>
    <w:rsid w:val="001D424C"/>
    <w:rsid w:val="001D4A61"/>
    <w:rsid w:val="001D4E24"/>
    <w:rsid w:val="001D5762"/>
    <w:rsid w:val="001D5B19"/>
    <w:rsid w:val="001D61DA"/>
    <w:rsid w:val="001D675E"/>
    <w:rsid w:val="001D691B"/>
    <w:rsid w:val="001D6E83"/>
    <w:rsid w:val="001D702D"/>
    <w:rsid w:val="001D7921"/>
    <w:rsid w:val="001E0C2B"/>
    <w:rsid w:val="001E0D01"/>
    <w:rsid w:val="001E1E57"/>
    <w:rsid w:val="001E1F9F"/>
    <w:rsid w:val="001E25AD"/>
    <w:rsid w:val="001E2931"/>
    <w:rsid w:val="001E3310"/>
    <w:rsid w:val="001E344C"/>
    <w:rsid w:val="001E3BC8"/>
    <w:rsid w:val="001E482B"/>
    <w:rsid w:val="001E48FB"/>
    <w:rsid w:val="001E4D23"/>
    <w:rsid w:val="001E4F40"/>
    <w:rsid w:val="001E4F5F"/>
    <w:rsid w:val="001E54F5"/>
    <w:rsid w:val="001E6B5E"/>
    <w:rsid w:val="001E7DC3"/>
    <w:rsid w:val="001E7E02"/>
    <w:rsid w:val="001F0038"/>
    <w:rsid w:val="001F035A"/>
    <w:rsid w:val="001F0B67"/>
    <w:rsid w:val="001F0CC9"/>
    <w:rsid w:val="001F2308"/>
    <w:rsid w:val="001F24BB"/>
    <w:rsid w:val="001F2599"/>
    <w:rsid w:val="001F2632"/>
    <w:rsid w:val="001F29CA"/>
    <w:rsid w:val="001F43B6"/>
    <w:rsid w:val="001F4992"/>
    <w:rsid w:val="001F4C4B"/>
    <w:rsid w:val="001F6158"/>
    <w:rsid w:val="001F6501"/>
    <w:rsid w:val="001F677A"/>
    <w:rsid w:val="001F69A7"/>
    <w:rsid w:val="001F7332"/>
    <w:rsid w:val="001F757D"/>
    <w:rsid w:val="001F7675"/>
    <w:rsid w:val="001F7892"/>
    <w:rsid w:val="001F798E"/>
    <w:rsid w:val="001F7D37"/>
    <w:rsid w:val="00201EB0"/>
    <w:rsid w:val="002022F9"/>
    <w:rsid w:val="00202436"/>
    <w:rsid w:val="00202520"/>
    <w:rsid w:val="0020370F"/>
    <w:rsid w:val="002038BE"/>
    <w:rsid w:val="00203C21"/>
    <w:rsid w:val="00203FF0"/>
    <w:rsid w:val="002040DC"/>
    <w:rsid w:val="002043EE"/>
    <w:rsid w:val="002047DC"/>
    <w:rsid w:val="00204846"/>
    <w:rsid w:val="00205831"/>
    <w:rsid w:val="00206304"/>
    <w:rsid w:val="002109BE"/>
    <w:rsid w:val="00211745"/>
    <w:rsid w:val="0021234F"/>
    <w:rsid w:val="002126C1"/>
    <w:rsid w:val="00212A42"/>
    <w:rsid w:val="0021348D"/>
    <w:rsid w:val="002137CF"/>
    <w:rsid w:val="002138C8"/>
    <w:rsid w:val="0021437B"/>
    <w:rsid w:val="00214963"/>
    <w:rsid w:val="00214BA0"/>
    <w:rsid w:val="00214BB8"/>
    <w:rsid w:val="002158A2"/>
    <w:rsid w:val="0021626B"/>
    <w:rsid w:val="00216500"/>
    <w:rsid w:val="00216C0B"/>
    <w:rsid w:val="00217658"/>
    <w:rsid w:val="00217693"/>
    <w:rsid w:val="00217763"/>
    <w:rsid w:val="00217DAD"/>
    <w:rsid w:val="002205DE"/>
    <w:rsid w:val="002216BE"/>
    <w:rsid w:val="002221C4"/>
    <w:rsid w:val="002227E3"/>
    <w:rsid w:val="00223203"/>
    <w:rsid w:val="00224296"/>
    <w:rsid w:val="00224435"/>
    <w:rsid w:val="00225208"/>
    <w:rsid w:val="0022550E"/>
    <w:rsid w:val="00225999"/>
    <w:rsid w:val="00226418"/>
    <w:rsid w:val="00227086"/>
    <w:rsid w:val="00227146"/>
    <w:rsid w:val="00227200"/>
    <w:rsid w:val="002275DB"/>
    <w:rsid w:val="002303D7"/>
    <w:rsid w:val="0023058D"/>
    <w:rsid w:val="002305F1"/>
    <w:rsid w:val="002314A5"/>
    <w:rsid w:val="00231CE2"/>
    <w:rsid w:val="00231D75"/>
    <w:rsid w:val="00232521"/>
    <w:rsid w:val="00232F38"/>
    <w:rsid w:val="002336E1"/>
    <w:rsid w:val="0023372B"/>
    <w:rsid w:val="0023375A"/>
    <w:rsid w:val="00233BB2"/>
    <w:rsid w:val="00234B8E"/>
    <w:rsid w:val="002350BA"/>
    <w:rsid w:val="002352C2"/>
    <w:rsid w:val="00235909"/>
    <w:rsid w:val="002366EE"/>
    <w:rsid w:val="00236772"/>
    <w:rsid w:val="0023784D"/>
    <w:rsid w:val="00237B67"/>
    <w:rsid w:val="00237E36"/>
    <w:rsid w:val="00237ED5"/>
    <w:rsid w:val="002400C9"/>
    <w:rsid w:val="00240B0D"/>
    <w:rsid w:val="00240E0D"/>
    <w:rsid w:val="0024140B"/>
    <w:rsid w:val="0024165A"/>
    <w:rsid w:val="002423FE"/>
    <w:rsid w:val="002439FE"/>
    <w:rsid w:val="00244292"/>
    <w:rsid w:val="002449E2"/>
    <w:rsid w:val="00244AEE"/>
    <w:rsid w:val="002451DC"/>
    <w:rsid w:val="002458B7"/>
    <w:rsid w:val="002469E4"/>
    <w:rsid w:val="00246FB9"/>
    <w:rsid w:val="00247446"/>
    <w:rsid w:val="00250002"/>
    <w:rsid w:val="0025073F"/>
    <w:rsid w:val="00251445"/>
    <w:rsid w:val="00251A38"/>
    <w:rsid w:val="00251C75"/>
    <w:rsid w:val="002522A9"/>
    <w:rsid w:val="0025320A"/>
    <w:rsid w:val="0025421A"/>
    <w:rsid w:val="00254F28"/>
    <w:rsid w:val="00254F98"/>
    <w:rsid w:val="00255421"/>
    <w:rsid w:val="0025578F"/>
    <w:rsid w:val="002558D7"/>
    <w:rsid w:val="0025598F"/>
    <w:rsid w:val="00255F3C"/>
    <w:rsid w:val="00256169"/>
    <w:rsid w:val="002562FC"/>
    <w:rsid w:val="0025663B"/>
    <w:rsid w:val="00256CDB"/>
    <w:rsid w:val="00256EA9"/>
    <w:rsid w:val="00257B35"/>
    <w:rsid w:val="00257F98"/>
    <w:rsid w:val="00260887"/>
    <w:rsid w:val="00260CA5"/>
    <w:rsid w:val="00262FD4"/>
    <w:rsid w:val="002641D0"/>
    <w:rsid w:val="002642E7"/>
    <w:rsid w:val="002648E2"/>
    <w:rsid w:val="00264A3E"/>
    <w:rsid w:val="00264F5B"/>
    <w:rsid w:val="002654DC"/>
    <w:rsid w:val="002654ED"/>
    <w:rsid w:val="00265752"/>
    <w:rsid w:val="002659BC"/>
    <w:rsid w:val="002663EA"/>
    <w:rsid w:val="00266831"/>
    <w:rsid w:val="0026708B"/>
    <w:rsid w:val="002679C3"/>
    <w:rsid w:val="0027076D"/>
    <w:rsid w:val="00270CB9"/>
    <w:rsid w:val="00271BE9"/>
    <w:rsid w:val="00271C2A"/>
    <w:rsid w:val="00271F2C"/>
    <w:rsid w:val="00272E75"/>
    <w:rsid w:val="00272FC1"/>
    <w:rsid w:val="00273087"/>
    <w:rsid w:val="00273176"/>
    <w:rsid w:val="0027365D"/>
    <w:rsid w:val="002739A4"/>
    <w:rsid w:val="002746A7"/>
    <w:rsid w:val="00275438"/>
    <w:rsid w:val="00275A0C"/>
    <w:rsid w:val="00275EEA"/>
    <w:rsid w:val="0027637F"/>
    <w:rsid w:val="00276CD3"/>
    <w:rsid w:val="0027716C"/>
    <w:rsid w:val="00277270"/>
    <w:rsid w:val="00277836"/>
    <w:rsid w:val="00277C29"/>
    <w:rsid w:val="002807EE"/>
    <w:rsid w:val="00281645"/>
    <w:rsid w:val="00281A92"/>
    <w:rsid w:val="00281CAB"/>
    <w:rsid w:val="00281E7F"/>
    <w:rsid w:val="00282FAA"/>
    <w:rsid w:val="0028312D"/>
    <w:rsid w:val="00283995"/>
    <w:rsid w:val="00283A74"/>
    <w:rsid w:val="00283BA5"/>
    <w:rsid w:val="00283E4B"/>
    <w:rsid w:val="002842B6"/>
    <w:rsid w:val="0028447A"/>
    <w:rsid w:val="002848A0"/>
    <w:rsid w:val="00284931"/>
    <w:rsid w:val="00284BC9"/>
    <w:rsid w:val="00284D14"/>
    <w:rsid w:val="00285016"/>
    <w:rsid w:val="002856D5"/>
    <w:rsid w:val="002868E6"/>
    <w:rsid w:val="00286954"/>
    <w:rsid w:val="00286F1C"/>
    <w:rsid w:val="002873C8"/>
    <w:rsid w:val="0028783D"/>
    <w:rsid w:val="00287880"/>
    <w:rsid w:val="002908DB"/>
    <w:rsid w:val="002909E6"/>
    <w:rsid w:val="00290C7D"/>
    <w:rsid w:val="00290D58"/>
    <w:rsid w:val="00290E8C"/>
    <w:rsid w:val="002912F9"/>
    <w:rsid w:val="002920AE"/>
    <w:rsid w:val="002923EA"/>
    <w:rsid w:val="002938C9"/>
    <w:rsid w:val="002950CA"/>
    <w:rsid w:val="00295A4C"/>
    <w:rsid w:val="00295DB0"/>
    <w:rsid w:val="00296001"/>
    <w:rsid w:val="00296564"/>
    <w:rsid w:val="002966BC"/>
    <w:rsid w:val="00297512"/>
    <w:rsid w:val="00297F23"/>
    <w:rsid w:val="002A0201"/>
    <w:rsid w:val="002A131E"/>
    <w:rsid w:val="002A17A1"/>
    <w:rsid w:val="002A2073"/>
    <w:rsid w:val="002A2178"/>
    <w:rsid w:val="002A27FC"/>
    <w:rsid w:val="002A2A87"/>
    <w:rsid w:val="002A2E31"/>
    <w:rsid w:val="002A3AA8"/>
    <w:rsid w:val="002A3EEB"/>
    <w:rsid w:val="002A438C"/>
    <w:rsid w:val="002A4DDC"/>
    <w:rsid w:val="002A4F0D"/>
    <w:rsid w:val="002A562B"/>
    <w:rsid w:val="002A6545"/>
    <w:rsid w:val="002A6E41"/>
    <w:rsid w:val="002A788C"/>
    <w:rsid w:val="002A7DDB"/>
    <w:rsid w:val="002B0395"/>
    <w:rsid w:val="002B0DA5"/>
    <w:rsid w:val="002B11E2"/>
    <w:rsid w:val="002B12A2"/>
    <w:rsid w:val="002B1547"/>
    <w:rsid w:val="002B15B8"/>
    <w:rsid w:val="002B2608"/>
    <w:rsid w:val="002B2B9A"/>
    <w:rsid w:val="002B32BD"/>
    <w:rsid w:val="002B3343"/>
    <w:rsid w:val="002B364E"/>
    <w:rsid w:val="002B394A"/>
    <w:rsid w:val="002B416C"/>
    <w:rsid w:val="002B4182"/>
    <w:rsid w:val="002B448C"/>
    <w:rsid w:val="002B475A"/>
    <w:rsid w:val="002B5615"/>
    <w:rsid w:val="002B5A12"/>
    <w:rsid w:val="002B5E81"/>
    <w:rsid w:val="002B61DD"/>
    <w:rsid w:val="002B6357"/>
    <w:rsid w:val="002B69D2"/>
    <w:rsid w:val="002C0067"/>
    <w:rsid w:val="002C0263"/>
    <w:rsid w:val="002C073C"/>
    <w:rsid w:val="002C080E"/>
    <w:rsid w:val="002C0B6D"/>
    <w:rsid w:val="002C0E42"/>
    <w:rsid w:val="002C2172"/>
    <w:rsid w:val="002C2BC8"/>
    <w:rsid w:val="002C2C76"/>
    <w:rsid w:val="002C3A6E"/>
    <w:rsid w:val="002C3FBE"/>
    <w:rsid w:val="002C404D"/>
    <w:rsid w:val="002C4BF4"/>
    <w:rsid w:val="002C4C75"/>
    <w:rsid w:val="002C4FE7"/>
    <w:rsid w:val="002C582D"/>
    <w:rsid w:val="002C5FC8"/>
    <w:rsid w:val="002C5FF0"/>
    <w:rsid w:val="002C6092"/>
    <w:rsid w:val="002C635B"/>
    <w:rsid w:val="002C7515"/>
    <w:rsid w:val="002C7CEF"/>
    <w:rsid w:val="002D00A4"/>
    <w:rsid w:val="002D00D0"/>
    <w:rsid w:val="002D041A"/>
    <w:rsid w:val="002D0485"/>
    <w:rsid w:val="002D1306"/>
    <w:rsid w:val="002D14FB"/>
    <w:rsid w:val="002D1659"/>
    <w:rsid w:val="002D1A15"/>
    <w:rsid w:val="002D3524"/>
    <w:rsid w:val="002D38D4"/>
    <w:rsid w:val="002D3B49"/>
    <w:rsid w:val="002D3D1E"/>
    <w:rsid w:val="002D43A4"/>
    <w:rsid w:val="002D4D5E"/>
    <w:rsid w:val="002D52A8"/>
    <w:rsid w:val="002D59DB"/>
    <w:rsid w:val="002D61FD"/>
    <w:rsid w:val="002D6EA4"/>
    <w:rsid w:val="002D71A7"/>
    <w:rsid w:val="002D7C73"/>
    <w:rsid w:val="002D7FBE"/>
    <w:rsid w:val="002E090D"/>
    <w:rsid w:val="002E0AE9"/>
    <w:rsid w:val="002E10D2"/>
    <w:rsid w:val="002E1366"/>
    <w:rsid w:val="002E153C"/>
    <w:rsid w:val="002E1BFB"/>
    <w:rsid w:val="002E1EDC"/>
    <w:rsid w:val="002E1F5B"/>
    <w:rsid w:val="002E2101"/>
    <w:rsid w:val="002E2C04"/>
    <w:rsid w:val="002E30D1"/>
    <w:rsid w:val="002E3228"/>
    <w:rsid w:val="002E4B4B"/>
    <w:rsid w:val="002E4CB3"/>
    <w:rsid w:val="002E5440"/>
    <w:rsid w:val="002E6550"/>
    <w:rsid w:val="002E74DF"/>
    <w:rsid w:val="002E7680"/>
    <w:rsid w:val="002E7989"/>
    <w:rsid w:val="002E7FCC"/>
    <w:rsid w:val="002F0124"/>
    <w:rsid w:val="002F0304"/>
    <w:rsid w:val="002F26A6"/>
    <w:rsid w:val="002F2A41"/>
    <w:rsid w:val="002F33C9"/>
    <w:rsid w:val="002F345F"/>
    <w:rsid w:val="002F348D"/>
    <w:rsid w:val="002F34F1"/>
    <w:rsid w:val="002F355F"/>
    <w:rsid w:val="002F3FEA"/>
    <w:rsid w:val="002F42B7"/>
    <w:rsid w:val="002F485B"/>
    <w:rsid w:val="002F49D0"/>
    <w:rsid w:val="002F4A0F"/>
    <w:rsid w:val="002F4CB8"/>
    <w:rsid w:val="002F4D54"/>
    <w:rsid w:val="002F4E0B"/>
    <w:rsid w:val="002F4E42"/>
    <w:rsid w:val="002F5E6F"/>
    <w:rsid w:val="002F626E"/>
    <w:rsid w:val="002F73DB"/>
    <w:rsid w:val="002F74A9"/>
    <w:rsid w:val="002F7DAE"/>
    <w:rsid w:val="00300D7C"/>
    <w:rsid w:val="00301878"/>
    <w:rsid w:val="003020F2"/>
    <w:rsid w:val="003024AA"/>
    <w:rsid w:val="0030280B"/>
    <w:rsid w:val="00303597"/>
    <w:rsid w:val="00304565"/>
    <w:rsid w:val="00304F32"/>
    <w:rsid w:val="003064F9"/>
    <w:rsid w:val="00306AC6"/>
    <w:rsid w:val="00307406"/>
    <w:rsid w:val="0031005F"/>
    <w:rsid w:val="0031025A"/>
    <w:rsid w:val="0031198E"/>
    <w:rsid w:val="003129A2"/>
    <w:rsid w:val="00313011"/>
    <w:rsid w:val="00313390"/>
    <w:rsid w:val="0031371B"/>
    <w:rsid w:val="00314CCE"/>
    <w:rsid w:val="00314E48"/>
    <w:rsid w:val="00315320"/>
    <w:rsid w:val="00315C77"/>
    <w:rsid w:val="00316186"/>
    <w:rsid w:val="003172B7"/>
    <w:rsid w:val="0031793B"/>
    <w:rsid w:val="00317D1D"/>
    <w:rsid w:val="00317E04"/>
    <w:rsid w:val="00320094"/>
    <w:rsid w:val="003203BF"/>
    <w:rsid w:val="00320544"/>
    <w:rsid w:val="003208D2"/>
    <w:rsid w:val="003209C2"/>
    <w:rsid w:val="003210E4"/>
    <w:rsid w:val="00321744"/>
    <w:rsid w:val="00321873"/>
    <w:rsid w:val="00322172"/>
    <w:rsid w:val="003226FC"/>
    <w:rsid w:val="00322964"/>
    <w:rsid w:val="00322CEE"/>
    <w:rsid w:val="00323184"/>
    <w:rsid w:val="00323195"/>
    <w:rsid w:val="00323D02"/>
    <w:rsid w:val="003250E0"/>
    <w:rsid w:val="00325267"/>
    <w:rsid w:val="00325551"/>
    <w:rsid w:val="00325629"/>
    <w:rsid w:val="00325743"/>
    <w:rsid w:val="00325755"/>
    <w:rsid w:val="00325D55"/>
    <w:rsid w:val="00325DD4"/>
    <w:rsid w:val="003264F7"/>
    <w:rsid w:val="003266C7"/>
    <w:rsid w:val="00326850"/>
    <w:rsid w:val="003269E9"/>
    <w:rsid w:val="00326CE4"/>
    <w:rsid w:val="00327041"/>
    <w:rsid w:val="0032749A"/>
    <w:rsid w:val="00327B79"/>
    <w:rsid w:val="00327D25"/>
    <w:rsid w:val="00330339"/>
    <w:rsid w:val="003306A8"/>
    <w:rsid w:val="00330758"/>
    <w:rsid w:val="00330B9F"/>
    <w:rsid w:val="003311DE"/>
    <w:rsid w:val="00332966"/>
    <w:rsid w:val="003329EC"/>
    <w:rsid w:val="00332D28"/>
    <w:rsid w:val="003335BC"/>
    <w:rsid w:val="0033381B"/>
    <w:rsid w:val="0033399C"/>
    <w:rsid w:val="00333A95"/>
    <w:rsid w:val="0033432F"/>
    <w:rsid w:val="003348AD"/>
    <w:rsid w:val="00334F9E"/>
    <w:rsid w:val="0033541F"/>
    <w:rsid w:val="00335AE3"/>
    <w:rsid w:val="00336672"/>
    <w:rsid w:val="0033676B"/>
    <w:rsid w:val="00336CF4"/>
    <w:rsid w:val="00336D82"/>
    <w:rsid w:val="00337D3E"/>
    <w:rsid w:val="003401CB"/>
    <w:rsid w:val="003403CF"/>
    <w:rsid w:val="003410C5"/>
    <w:rsid w:val="003412CA"/>
    <w:rsid w:val="0034151E"/>
    <w:rsid w:val="00341B51"/>
    <w:rsid w:val="00342245"/>
    <w:rsid w:val="00342582"/>
    <w:rsid w:val="00343B9C"/>
    <w:rsid w:val="0034473B"/>
    <w:rsid w:val="00344F52"/>
    <w:rsid w:val="00345320"/>
    <w:rsid w:val="00345324"/>
    <w:rsid w:val="00346080"/>
    <w:rsid w:val="00346489"/>
    <w:rsid w:val="00346B5D"/>
    <w:rsid w:val="00346BD5"/>
    <w:rsid w:val="00346D23"/>
    <w:rsid w:val="003471D4"/>
    <w:rsid w:val="003471DD"/>
    <w:rsid w:val="00347685"/>
    <w:rsid w:val="00347A3E"/>
    <w:rsid w:val="00347AE7"/>
    <w:rsid w:val="00350815"/>
    <w:rsid w:val="00350C0E"/>
    <w:rsid w:val="003510B3"/>
    <w:rsid w:val="0035136C"/>
    <w:rsid w:val="0035176A"/>
    <w:rsid w:val="00351771"/>
    <w:rsid w:val="00351DEF"/>
    <w:rsid w:val="00351EAC"/>
    <w:rsid w:val="003523E1"/>
    <w:rsid w:val="0035241E"/>
    <w:rsid w:val="00353135"/>
    <w:rsid w:val="00353D2A"/>
    <w:rsid w:val="00353F29"/>
    <w:rsid w:val="00354B02"/>
    <w:rsid w:val="00355388"/>
    <w:rsid w:val="00355A09"/>
    <w:rsid w:val="0035626B"/>
    <w:rsid w:val="00356827"/>
    <w:rsid w:val="00360352"/>
    <w:rsid w:val="0036086D"/>
    <w:rsid w:val="00360B19"/>
    <w:rsid w:val="0036194B"/>
    <w:rsid w:val="00361A01"/>
    <w:rsid w:val="00361DEB"/>
    <w:rsid w:val="00362C73"/>
    <w:rsid w:val="00362D1F"/>
    <w:rsid w:val="0036329B"/>
    <w:rsid w:val="00363EBA"/>
    <w:rsid w:val="00364540"/>
    <w:rsid w:val="003648C8"/>
    <w:rsid w:val="00364A2F"/>
    <w:rsid w:val="00365BB8"/>
    <w:rsid w:val="00365CFE"/>
    <w:rsid w:val="0036612F"/>
    <w:rsid w:val="00366319"/>
    <w:rsid w:val="003669F5"/>
    <w:rsid w:val="0036758A"/>
    <w:rsid w:val="00367B10"/>
    <w:rsid w:val="003708FB"/>
    <w:rsid w:val="00371497"/>
    <w:rsid w:val="003718C3"/>
    <w:rsid w:val="00371D78"/>
    <w:rsid w:val="00371ECC"/>
    <w:rsid w:val="00372F07"/>
    <w:rsid w:val="00373225"/>
    <w:rsid w:val="0037363F"/>
    <w:rsid w:val="003737FE"/>
    <w:rsid w:val="00373866"/>
    <w:rsid w:val="0037389A"/>
    <w:rsid w:val="00373A1B"/>
    <w:rsid w:val="00373B1D"/>
    <w:rsid w:val="0037433D"/>
    <w:rsid w:val="00375D57"/>
    <w:rsid w:val="00375F3A"/>
    <w:rsid w:val="003765C7"/>
    <w:rsid w:val="003765EE"/>
    <w:rsid w:val="00376676"/>
    <w:rsid w:val="00377640"/>
    <w:rsid w:val="003779AF"/>
    <w:rsid w:val="00377D10"/>
    <w:rsid w:val="003806B3"/>
    <w:rsid w:val="003817EE"/>
    <w:rsid w:val="00381FC7"/>
    <w:rsid w:val="00383000"/>
    <w:rsid w:val="00383380"/>
    <w:rsid w:val="0038406A"/>
    <w:rsid w:val="003843B9"/>
    <w:rsid w:val="00384B1A"/>
    <w:rsid w:val="00385036"/>
    <w:rsid w:val="003851CA"/>
    <w:rsid w:val="00385517"/>
    <w:rsid w:val="00385719"/>
    <w:rsid w:val="00385FB0"/>
    <w:rsid w:val="00386DCF"/>
    <w:rsid w:val="003870F7"/>
    <w:rsid w:val="003871A1"/>
    <w:rsid w:val="00387258"/>
    <w:rsid w:val="00390B8B"/>
    <w:rsid w:val="00391A0E"/>
    <w:rsid w:val="00391D4A"/>
    <w:rsid w:val="00392695"/>
    <w:rsid w:val="00392E74"/>
    <w:rsid w:val="00393633"/>
    <w:rsid w:val="003949DE"/>
    <w:rsid w:val="00394CC8"/>
    <w:rsid w:val="00394ED2"/>
    <w:rsid w:val="003953F2"/>
    <w:rsid w:val="00395E30"/>
    <w:rsid w:val="00396217"/>
    <w:rsid w:val="0039674B"/>
    <w:rsid w:val="00396F17"/>
    <w:rsid w:val="00397234"/>
    <w:rsid w:val="003975A0"/>
    <w:rsid w:val="00397DBE"/>
    <w:rsid w:val="003A061B"/>
    <w:rsid w:val="003A07EF"/>
    <w:rsid w:val="003A173F"/>
    <w:rsid w:val="003A21BD"/>
    <w:rsid w:val="003A3597"/>
    <w:rsid w:val="003A3BC2"/>
    <w:rsid w:val="003A3C31"/>
    <w:rsid w:val="003A42FF"/>
    <w:rsid w:val="003A44E8"/>
    <w:rsid w:val="003A53F2"/>
    <w:rsid w:val="003A5DC6"/>
    <w:rsid w:val="003A5FFC"/>
    <w:rsid w:val="003A65B8"/>
    <w:rsid w:val="003A7828"/>
    <w:rsid w:val="003A7F59"/>
    <w:rsid w:val="003B0717"/>
    <w:rsid w:val="003B08C5"/>
    <w:rsid w:val="003B0D9D"/>
    <w:rsid w:val="003B155D"/>
    <w:rsid w:val="003B2C5F"/>
    <w:rsid w:val="003B2F66"/>
    <w:rsid w:val="003B3400"/>
    <w:rsid w:val="003B3521"/>
    <w:rsid w:val="003B355F"/>
    <w:rsid w:val="003B3D29"/>
    <w:rsid w:val="003B3D37"/>
    <w:rsid w:val="003B3DA3"/>
    <w:rsid w:val="003B40A1"/>
    <w:rsid w:val="003B50B3"/>
    <w:rsid w:val="003B527E"/>
    <w:rsid w:val="003B5779"/>
    <w:rsid w:val="003B5975"/>
    <w:rsid w:val="003B5C31"/>
    <w:rsid w:val="003B5D94"/>
    <w:rsid w:val="003B612E"/>
    <w:rsid w:val="003B61D1"/>
    <w:rsid w:val="003B634B"/>
    <w:rsid w:val="003B68AA"/>
    <w:rsid w:val="003B69DA"/>
    <w:rsid w:val="003B7310"/>
    <w:rsid w:val="003B78D4"/>
    <w:rsid w:val="003B7DA6"/>
    <w:rsid w:val="003C0146"/>
    <w:rsid w:val="003C053A"/>
    <w:rsid w:val="003C0C6C"/>
    <w:rsid w:val="003C13BF"/>
    <w:rsid w:val="003C1B1A"/>
    <w:rsid w:val="003C1B88"/>
    <w:rsid w:val="003C1DED"/>
    <w:rsid w:val="003C235F"/>
    <w:rsid w:val="003C2408"/>
    <w:rsid w:val="003C2843"/>
    <w:rsid w:val="003C3155"/>
    <w:rsid w:val="003C396C"/>
    <w:rsid w:val="003C40FE"/>
    <w:rsid w:val="003C4EC9"/>
    <w:rsid w:val="003C5481"/>
    <w:rsid w:val="003C5AB4"/>
    <w:rsid w:val="003C5C07"/>
    <w:rsid w:val="003C5FEB"/>
    <w:rsid w:val="003C7421"/>
    <w:rsid w:val="003C74A2"/>
    <w:rsid w:val="003C7822"/>
    <w:rsid w:val="003C7A7F"/>
    <w:rsid w:val="003D036E"/>
    <w:rsid w:val="003D0D05"/>
    <w:rsid w:val="003D1118"/>
    <w:rsid w:val="003D1728"/>
    <w:rsid w:val="003D19CF"/>
    <w:rsid w:val="003D1F38"/>
    <w:rsid w:val="003D3B0C"/>
    <w:rsid w:val="003D3DBE"/>
    <w:rsid w:val="003D3E62"/>
    <w:rsid w:val="003D459E"/>
    <w:rsid w:val="003D4E12"/>
    <w:rsid w:val="003D58C2"/>
    <w:rsid w:val="003D62EB"/>
    <w:rsid w:val="003D7858"/>
    <w:rsid w:val="003E0942"/>
    <w:rsid w:val="003E0AA3"/>
    <w:rsid w:val="003E1651"/>
    <w:rsid w:val="003E1835"/>
    <w:rsid w:val="003E19FD"/>
    <w:rsid w:val="003E216A"/>
    <w:rsid w:val="003E2851"/>
    <w:rsid w:val="003E313C"/>
    <w:rsid w:val="003E4564"/>
    <w:rsid w:val="003E4F52"/>
    <w:rsid w:val="003E58BA"/>
    <w:rsid w:val="003E58BD"/>
    <w:rsid w:val="003E6061"/>
    <w:rsid w:val="003E6488"/>
    <w:rsid w:val="003E7750"/>
    <w:rsid w:val="003F01FF"/>
    <w:rsid w:val="003F0247"/>
    <w:rsid w:val="003F0B27"/>
    <w:rsid w:val="003F0C87"/>
    <w:rsid w:val="003F1741"/>
    <w:rsid w:val="003F2344"/>
    <w:rsid w:val="003F28A3"/>
    <w:rsid w:val="003F2D0E"/>
    <w:rsid w:val="003F3035"/>
    <w:rsid w:val="003F32D5"/>
    <w:rsid w:val="003F3B3D"/>
    <w:rsid w:val="003F41A5"/>
    <w:rsid w:val="003F4368"/>
    <w:rsid w:val="003F4527"/>
    <w:rsid w:val="003F4DF3"/>
    <w:rsid w:val="003F5020"/>
    <w:rsid w:val="003F5073"/>
    <w:rsid w:val="003F52ED"/>
    <w:rsid w:val="003F60DD"/>
    <w:rsid w:val="003F6279"/>
    <w:rsid w:val="003F67C8"/>
    <w:rsid w:val="00401336"/>
    <w:rsid w:val="00401413"/>
    <w:rsid w:val="00401B0A"/>
    <w:rsid w:val="00401C4C"/>
    <w:rsid w:val="00401C57"/>
    <w:rsid w:val="00402180"/>
    <w:rsid w:val="00402EF9"/>
    <w:rsid w:val="00402EFD"/>
    <w:rsid w:val="004034BF"/>
    <w:rsid w:val="00403637"/>
    <w:rsid w:val="00403A85"/>
    <w:rsid w:val="00403ABD"/>
    <w:rsid w:val="00404331"/>
    <w:rsid w:val="00404332"/>
    <w:rsid w:val="00404847"/>
    <w:rsid w:val="0040582B"/>
    <w:rsid w:val="004058FA"/>
    <w:rsid w:val="00405CC2"/>
    <w:rsid w:val="00405CC3"/>
    <w:rsid w:val="00406577"/>
    <w:rsid w:val="00406921"/>
    <w:rsid w:val="0040712A"/>
    <w:rsid w:val="004071BF"/>
    <w:rsid w:val="004071FD"/>
    <w:rsid w:val="00407BAE"/>
    <w:rsid w:val="00407CB5"/>
    <w:rsid w:val="00407DAF"/>
    <w:rsid w:val="004107EC"/>
    <w:rsid w:val="0041189D"/>
    <w:rsid w:val="00411AEF"/>
    <w:rsid w:val="0041205A"/>
    <w:rsid w:val="004122A2"/>
    <w:rsid w:val="00412B1A"/>
    <w:rsid w:val="00413119"/>
    <w:rsid w:val="004132D8"/>
    <w:rsid w:val="00413820"/>
    <w:rsid w:val="004140E1"/>
    <w:rsid w:val="004144DE"/>
    <w:rsid w:val="00415322"/>
    <w:rsid w:val="00415676"/>
    <w:rsid w:val="00415681"/>
    <w:rsid w:val="00415D20"/>
    <w:rsid w:val="00416112"/>
    <w:rsid w:val="004161B5"/>
    <w:rsid w:val="0041777C"/>
    <w:rsid w:val="00417A98"/>
    <w:rsid w:val="00417BFF"/>
    <w:rsid w:val="00417CA6"/>
    <w:rsid w:val="00417F3D"/>
    <w:rsid w:val="00420CF7"/>
    <w:rsid w:val="004210FA"/>
    <w:rsid w:val="00421159"/>
    <w:rsid w:val="00421BCC"/>
    <w:rsid w:val="00421D0E"/>
    <w:rsid w:val="0042213F"/>
    <w:rsid w:val="0042231A"/>
    <w:rsid w:val="00422460"/>
    <w:rsid w:val="00422692"/>
    <w:rsid w:val="0042376A"/>
    <w:rsid w:val="004237F7"/>
    <w:rsid w:val="00423A9B"/>
    <w:rsid w:val="00423DC3"/>
    <w:rsid w:val="00424EFD"/>
    <w:rsid w:val="0042511E"/>
    <w:rsid w:val="00426B1B"/>
    <w:rsid w:val="00426EFA"/>
    <w:rsid w:val="00427272"/>
    <w:rsid w:val="00427863"/>
    <w:rsid w:val="00427DDE"/>
    <w:rsid w:val="00430570"/>
    <w:rsid w:val="00430C78"/>
    <w:rsid w:val="00431930"/>
    <w:rsid w:val="00431C88"/>
    <w:rsid w:val="004325FD"/>
    <w:rsid w:val="00433135"/>
    <w:rsid w:val="00433353"/>
    <w:rsid w:val="00433E13"/>
    <w:rsid w:val="004343CC"/>
    <w:rsid w:val="00434A30"/>
    <w:rsid w:val="00434AC7"/>
    <w:rsid w:val="00434CE6"/>
    <w:rsid w:val="00435219"/>
    <w:rsid w:val="00436842"/>
    <w:rsid w:val="00437627"/>
    <w:rsid w:val="0043782C"/>
    <w:rsid w:val="00441075"/>
    <w:rsid w:val="0044143E"/>
    <w:rsid w:val="00441CE2"/>
    <w:rsid w:val="0044304B"/>
    <w:rsid w:val="0044361A"/>
    <w:rsid w:val="0044458A"/>
    <w:rsid w:val="0044498D"/>
    <w:rsid w:val="00444D19"/>
    <w:rsid w:val="0044620B"/>
    <w:rsid w:val="00446661"/>
    <w:rsid w:val="00446B9C"/>
    <w:rsid w:val="00446E60"/>
    <w:rsid w:val="0044742D"/>
    <w:rsid w:val="004475CC"/>
    <w:rsid w:val="004477D4"/>
    <w:rsid w:val="00447862"/>
    <w:rsid w:val="004478CA"/>
    <w:rsid w:val="004478E7"/>
    <w:rsid w:val="00447C5C"/>
    <w:rsid w:val="00447D55"/>
    <w:rsid w:val="00447FB9"/>
    <w:rsid w:val="004502E6"/>
    <w:rsid w:val="0045111B"/>
    <w:rsid w:val="00451293"/>
    <w:rsid w:val="00452247"/>
    <w:rsid w:val="0045297E"/>
    <w:rsid w:val="004537D7"/>
    <w:rsid w:val="00455B2A"/>
    <w:rsid w:val="00455F32"/>
    <w:rsid w:val="00456845"/>
    <w:rsid w:val="00456D44"/>
    <w:rsid w:val="00456FF8"/>
    <w:rsid w:val="00457385"/>
    <w:rsid w:val="00457C7A"/>
    <w:rsid w:val="00460F06"/>
    <w:rsid w:val="004611BD"/>
    <w:rsid w:val="00461EB4"/>
    <w:rsid w:val="00462830"/>
    <w:rsid w:val="00462D40"/>
    <w:rsid w:val="004630FA"/>
    <w:rsid w:val="0046321C"/>
    <w:rsid w:val="004639DA"/>
    <w:rsid w:val="0046479C"/>
    <w:rsid w:val="0046579F"/>
    <w:rsid w:val="00466535"/>
    <w:rsid w:val="00466E13"/>
    <w:rsid w:val="004672DA"/>
    <w:rsid w:val="004673DF"/>
    <w:rsid w:val="004674C7"/>
    <w:rsid w:val="00467AC3"/>
    <w:rsid w:val="00470DEE"/>
    <w:rsid w:val="00470F6B"/>
    <w:rsid w:val="00470FEA"/>
    <w:rsid w:val="004723BE"/>
    <w:rsid w:val="0047265B"/>
    <w:rsid w:val="0047266B"/>
    <w:rsid w:val="00472AD0"/>
    <w:rsid w:val="004735E3"/>
    <w:rsid w:val="00473645"/>
    <w:rsid w:val="00474120"/>
    <w:rsid w:val="0047414E"/>
    <w:rsid w:val="00474A06"/>
    <w:rsid w:val="00475331"/>
    <w:rsid w:val="0047539D"/>
    <w:rsid w:val="00475AF2"/>
    <w:rsid w:val="004760A4"/>
    <w:rsid w:val="00476130"/>
    <w:rsid w:val="004767D6"/>
    <w:rsid w:val="0047780F"/>
    <w:rsid w:val="00481472"/>
    <w:rsid w:val="00481544"/>
    <w:rsid w:val="0048159E"/>
    <w:rsid w:val="004815C7"/>
    <w:rsid w:val="0048172E"/>
    <w:rsid w:val="00482201"/>
    <w:rsid w:val="00482A05"/>
    <w:rsid w:val="00483236"/>
    <w:rsid w:val="00483529"/>
    <w:rsid w:val="00483901"/>
    <w:rsid w:val="00483922"/>
    <w:rsid w:val="00483B55"/>
    <w:rsid w:val="004842FB"/>
    <w:rsid w:val="00484A6F"/>
    <w:rsid w:val="00484B7E"/>
    <w:rsid w:val="00484D16"/>
    <w:rsid w:val="00484D1E"/>
    <w:rsid w:val="0048504F"/>
    <w:rsid w:val="004852D1"/>
    <w:rsid w:val="00485332"/>
    <w:rsid w:val="00485E21"/>
    <w:rsid w:val="0048649D"/>
    <w:rsid w:val="0048664B"/>
    <w:rsid w:val="00486FB0"/>
    <w:rsid w:val="0048713D"/>
    <w:rsid w:val="004871A0"/>
    <w:rsid w:val="00487A22"/>
    <w:rsid w:val="00490129"/>
    <w:rsid w:val="00491223"/>
    <w:rsid w:val="004915DE"/>
    <w:rsid w:val="00491631"/>
    <w:rsid w:val="00491F96"/>
    <w:rsid w:val="00492E59"/>
    <w:rsid w:val="00493455"/>
    <w:rsid w:val="004945D6"/>
    <w:rsid w:val="004946C8"/>
    <w:rsid w:val="00494832"/>
    <w:rsid w:val="004950A1"/>
    <w:rsid w:val="0049542A"/>
    <w:rsid w:val="00496298"/>
    <w:rsid w:val="004962D1"/>
    <w:rsid w:val="0049670D"/>
    <w:rsid w:val="00496B37"/>
    <w:rsid w:val="00496C45"/>
    <w:rsid w:val="004979EE"/>
    <w:rsid w:val="00497CC8"/>
    <w:rsid w:val="004A05F4"/>
    <w:rsid w:val="004A06B0"/>
    <w:rsid w:val="004A1FC1"/>
    <w:rsid w:val="004A2620"/>
    <w:rsid w:val="004A2A8F"/>
    <w:rsid w:val="004A2ED9"/>
    <w:rsid w:val="004A3371"/>
    <w:rsid w:val="004A3E83"/>
    <w:rsid w:val="004A49C1"/>
    <w:rsid w:val="004A4C77"/>
    <w:rsid w:val="004A4EBB"/>
    <w:rsid w:val="004A5E74"/>
    <w:rsid w:val="004A61A7"/>
    <w:rsid w:val="004A642D"/>
    <w:rsid w:val="004A6A5F"/>
    <w:rsid w:val="004A718D"/>
    <w:rsid w:val="004A745B"/>
    <w:rsid w:val="004A78CB"/>
    <w:rsid w:val="004B0877"/>
    <w:rsid w:val="004B0F84"/>
    <w:rsid w:val="004B1B27"/>
    <w:rsid w:val="004B218D"/>
    <w:rsid w:val="004B23A8"/>
    <w:rsid w:val="004B24A3"/>
    <w:rsid w:val="004B282F"/>
    <w:rsid w:val="004B2AAD"/>
    <w:rsid w:val="004B2C98"/>
    <w:rsid w:val="004B47A3"/>
    <w:rsid w:val="004B4CCB"/>
    <w:rsid w:val="004B4E3F"/>
    <w:rsid w:val="004B5015"/>
    <w:rsid w:val="004B50D9"/>
    <w:rsid w:val="004B518C"/>
    <w:rsid w:val="004B5657"/>
    <w:rsid w:val="004B5C9D"/>
    <w:rsid w:val="004B63F6"/>
    <w:rsid w:val="004B7026"/>
    <w:rsid w:val="004B71EA"/>
    <w:rsid w:val="004B75CC"/>
    <w:rsid w:val="004B772B"/>
    <w:rsid w:val="004B78A1"/>
    <w:rsid w:val="004B7CA4"/>
    <w:rsid w:val="004C0786"/>
    <w:rsid w:val="004C09AB"/>
    <w:rsid w:val="004C22B9"/>
    <w:rsid w:val="004C2A50"/>
    <w:rsid w:val="004C38A6"/>
    <w:rsid w:val="004C3D5A"/>
    <w:rsid w:val="004C3F38"/>
    <w:rsid w:val="004C434B"/>
    <w:rsid w:val="004C5098"/>
    <w:rsid w:val="004C521D"/>
    <w:rsid w:val="004C55A3"/>
    <w:rsid w:val="004C55DD"/>
    <w:rsid w:val="004C5656"/>
    <w:rsid w:val="004C5856"/>
    <w:rsid w:val="004C59EB"/>
    <w:rsid w:val="004C5B2B"/>
    <w:rsid w:val="004C5DEF"/>
    <w:rsid w:val="004C62AE"/>
    <w:rsid w:val="004C63FC"/>
    <w:rsid w:val="004C675B"/>
    <w:rsid w:val="004C6881"/>
    <w:rsid w:val="004C6AAD"/>
    <w:rsid w:val="004C6F3D"/>
    <w:rsid w:val="004C711D"/>
    <w:rsid w:val="004C74AB"/>
    <w:rsid w:val="004C7532"/>
    <w:rsid w:val="004C7858"/>
    <w:rsid w:val="004D0709"/>
    <w:rsid w:val="004D0C7E"/>
    <w:rsid w:val="004D11B9"/>
    <w:rsid w:val="004D1482"/>
    <w:rsid w:val="004D1FEA"/>
    <w:rsid w:val="004D25C0"/>
    <w:rsid w:val="004D2D06"/>
    <w:rsid w:val="004D2E34"/>
    <w:rsid w:val="004D300A"/>
    <w:rsid w:val="004D354E"/>
    <w:rsid w:val="004D3776"/>
    <w:rsid w:val="004D38B1"/>
    <w:rsid w:val="004D3B44"/>
    <w:rsid w:val="004D3C2C"/>
    <w:rsid w:val="004D4742"/>
    <w:rsid w:val="004D5182"/>
    <w:rsid w:val="004D51D1"/>
    <w:rsid w:val="004D5C59"/>
    <w:rsid w:val="004D72D4"/>
    <w:rsid w:val="004E0B63"/>
    <w:rsid w:val="004E1AA3"/>
    <w:rsid w:val="004E1D6E"/>
    <w:rsid w:val="004E2AEC"/>
    <w:rsid w:val="004E2C57"/>
    <w:rsid w:val="004E301C"/>
    <w:rsid w:val="004E3B9C"/>
    <w:rsid w:val="004E4A4E"/>
    <w:rsid w:val="004E569C"/>
    <w:rsid w:val="004E60F7"/>
    <w:rsid w:val="004E6451"/>
    <w:rsid w:val="004E6525"/>
    <w:rsid w:val="004E65B5"/>
    <w:rsid w:val="004E69F1"/>
    <w:rsid w:val="004E6F8C"/>
    <w:rsid w:val="004E726A"/>
    <w:rsid w:val="004E779F"/>
    <w:rsid w:val="004F0EE8"/>
    <w:rsid w:val="004F1B3B"/>
    <w:rsid w:val="004F1EF6"/>
    <w:rsid w:val="004F2D45"/>
    <w:rsid w:val="004F3382"/>
    <w:rsid w:val="004F3646"/>
    <w:rsid w:val="004F3C18"/>
    <w:rsid w:val="004F48AE"/>
    <w:rsid w:val="004F4CB4"/>
    <w:rsid w:val="004F4F26"/>
    <w:rsid w:val="004F50B8"/>
    <w:rsid w:val="004F5146"/>
    <w:rsid w:val="004F53BF"/>
    <w:rsid w:val="004F5930"/>
    <w:rsid w:val="004F5C17"/>
    <w:rsid w:val="004F5E90"/>
    <w:rsid w:val="004F67B0"/>
    <w:rsid w:val="004F737F"/>
    <w:rsid w:val="004F7CC4"/>
    <w:rsid w:val="005015A7"/>
    <w:rsid w:val="005019A9"/>
    <w:rsid w:val="00501AC6"/>
    <w:rsid w:val="00501B81"/>
    <w:rsid w:val="00501B88"/>
    <w:rsid w:val="00501D31"/>
    <w:rsid w:val="005028B8"/>
    <w:rsid w:val="00502C6B"/>
    <w:rsid w:val="0050342E"/>
    <w:rsid w:val="005037F1"/>
    <w:rsid w:val="00503A65"/>
    <w:rsid w:val="00504259"/>
    <w:rsid w:val="00504A5E"/>
    <w:rsid w:val="00504B61"/>
    <w:rsid w:val="00505274"/>
    <w:rsid w:val="00505733"/>
    <w:rsid w:val="00507346"/>
    <w:rsid w:val="005073CD"/>
    <w:rsid w:val="0050749E"/>
    <w:rsid w:val="00507744"/>
    <w:rsid w:val="0051021A"/>
    <w:rsid w:val="00510A2F"/>
    <w:rsid w:val="0051137A"/>
    <w:rsid w:val="005118B4"/>
    <w:rsid w:val="00511B33"/>
    <w:rsid w:val="005123EF"/>
    <w:rsid w:val="00512645"/>
    <w:rsid w:val="00512717"/>
    <w:rsid w:val="00512A77"/>
    <w:rsid w:val="00512F32"/>
    <w:rsid w:val="00513461"/>
    <w:rsid w:val="005134B6"/>
    <w:rsid w:val="00513B89"/>
    <w:rsid w:val="00513F90"/>
    <w:rsid w:val="00514C3D"/>
    <w:rsid w:val="0051538E"/>
    <w:rsid w:val="00515CAE"/>
    <w:rsid w:val="00515E0C"/>
    <w:rsid w:val="005162FE"/>
    <w:rsid w:val="00516E89"/>
    <w:rsid w:val="00516EBA"/>
    <w:rsid w:val="005178FC"/>
    <w:rsid w:val="00517EC7"/>
    <w:rsid w:val="00520490"/>
    <w:rsid w:val="005208D9"/>
    <w:rsid w:val="00520DB4"/>
    <w:rsid w:val="00521335"/>
    <w:rsid w:val="005213E6"/>
    <w:rsid w:val="00521CF2"/>
    <w:rsid w:val="00522168"/>
    <w:rsid w:val="0052280C"/>
    <w:rsid w:val="00522953"/>
    <w:rsid w:val="005246E8"/>
    <w:rsid w:val="005251A1"/>
    <w:rsid w:val="00525379"/>
    <w:rsid w:val="00525C3F"/>
    <w:rsid w:val="00525F22"/>
    <w:rsid w:val="00525FD9"/>
    <w:rsid w:val="00526C4B"/>
    <w:rsid w:val="00526E07"/>
    <w:rsid w:val="0052704A"/>
    <w:rsid w:val="0052756A"/>
    <w:rsid w:val="00527A3C"/>
    <w:rsid w:val="00527D3A"/>
    <w:rsid w:val="00527ECE"/>
    <w:rsid w:val="005307AE"/>
    <w:rsid w:val="0053088A"/>
    <w:rsid w:val="00530BD6"/>
    <w:rsid w:val="00530EFA"/>
    <w:rsid w:val="00532A08"/>
    <w:rsid w:val="0053379B"/>
    <w:rsid w:val="005339B6"/>
    <w:rsid w:val="00533DB4"/>
    <w:rsid w:val="00533DD3"/>
    <w:rsid w:val="00533E5C"/>
    <w:rsid w:val="0053456D"/>
    <w:rsid w:val="00534687"/>
    <w:rsid w:val="00534E80"/>
    <w:rsid w:val="0053553B"/>
    <w:rsid w:val="005359F2"/>
    <w:rsid w:val="0053611E"/>
    <w:rsid w:val="005364E7"/>
    <w:rsid w:val="00536531"/>
    <w:rsid w:val="005366B3"/>
    <w:rsid w:val="00536C1D"/>
    <w:rsid w:val="00537495"/>
    <w:rsid w:val="00537CCF"/>
    <w:rsid w:val="00540BD3"/>
    <w:rsid w:val="0054180D"/>
    <w:rsid w:val="00541ACF"/>
    <w:rsid w:val="00541F87"/>
    <w:rsid w:val="005422D4"/>
    <w:rsid w:val="00542434"/>
    <w:rsid w:val="0054246F"/>
    <w:rsid w:val="00542BB5"/>
    <w:rsid w:val="00542D4E"/>
    <w:rsid w:val="00543369"/>
    <w:rsid w:val="0054417C"/>
    <w:rsid w:val="00544E0D"/>
    <w:rsid w:val="005464D7"/>
    <w:rsid w:val="005465A8"/>
    <w:rsid w:val="00546D74"/>
    <w:rsid w:val="00547076"/>
    <w:rsid w:val="005479B5"/>
    <w:rsid w:val="005502E6"/>
    <w:rsid w:val="00550FB6"/>
    <w:rsid w:val="00551209"/>
    <w:rsid w:val="00553F3A"/>
    <w:rsid w:val="00553FA1"/>
    <w:rsid w:val="005544B8"/>
    <w:rsid w:val="005561C3"/>
    <w:rsid w:val="005566CE"/>
    <w:rsid w:val="005572AC"/>
    <w:rsid w:val="005576B5"/>
    <w:rsid w:val="00560D3B"/>
    <w:rsid w:val="00560D71"/>
    <w:rsid w:val="005611E9"/>
    <w:rsid w:val="00561E1E"/>
    <w:rsid w:val="005621FB"/>
    <w:rsid w:val="0056264A"/>
    <w:rsid w:val="0056298C"/>
    <w:rsid w:val="00562D7B"/>
    <w:rsid w:val="0056311A"/>
    <w:rsid w:val="00563205"/>
    <w:rsid w:val="00563AE6"/>
    <w:rsid w:val="00563F37"/>
    <w:rsid w:val="00564384"/>
    <w:rsid w:val="00564447"/>
    <w:rsid w:val="00564768"/>
    <w:rsid w:val="0056477D"/>
    <w:rsid w:val="00565125"/>
    <w:rsid w:val="00565316"/>
    <w:rsid w:val="0056566C"/>
    <w:rsid w:val="00565862"/>
    <w:rsid w:val="00565AE6"/>
    <w:rsid w:val="00566112"/>
    <w:rsid w:val="00566332"/>
    <w:rsid w:val="005663C5"/>
    <w:rsid w:val="00566614"/>
    <w:rsid w:val="00566735"/>
    <w:rsid w:val="00566A71"/>
    <w:rsid w:val="00566D44"/>
    <w:rsid w:val="005672B3"/>
    <w:rsid w:val="00570A0C"/>
    <w:rsid w:val="00570E89"/>
    <w:rsid w:val="00570F42"/>
    <w:rsid w:val="0057142F"/>
    <w:rsid w:val="00571F06"/>
    <w:rsid w:val="0057239C"/>
    <w:rsid w:val="00572614"/>
    <w:rsid w:val="00572FDA"/>
    <w:rsid w:val="00573040"/>
    <w:rsid w:val="00573089"/>
    <w:rsid w:val="005733B1"/>
    <w:rsid w:val="005738D6"/>
    <w:rsid w:val="005742A4"/>
    <w:rsid w:val="00575CA8"/>
    <w:rsid w:val="00575CB2"/>
    <w:rsid w:val="00575EA4"/>
    <w:rsid w:val="0057786C"/>
    <w:rsid w:val="00577C27"/>
    <w:rsid w:val="00577DBD"/>
    <w:rsid w:val="005802AD"/>
    <w:rsid w:val="00580678"/>
    <w:rsid w:val="005806C1"/>
    <w:rsid w:val="005808C6"/>
    <w:rsid w:val="00580B7F"/>
    <w:rsid w:val="00580FB0"/>
    <w:rsid w:val="00581AC4"/>
    <w:rsid w:val="00581BFD"/>
    <w:rsid w:val="005826B8"/>
    <w:rsid w:val="00582E13"/>
    <w:rsid w:val="00583622"/>
    <w:rsid w:val="00583D9C"/>
    <w:rsid w:val="00584AE6"/>
    <w:rsid w:val="0058504B"/>
    <w:rsid w:val="00586146"/>
    <w:rsid w:val="00586225"/>
    <w:rsid w:val="00586690"/>
    <w:rsid w:val="00586B5E"/>
    <w:rsid w:val="00587022"/>
    <w:rsid w:val="005874EE"/>
    <w:rsid w:val="00587681"/>
    <w:rsid w:val="00587C9C"/>
    <w:rsid w:val="005902A9"/>
    <w:rsid w:val="00590830"/>
    <w:rsid w:val="00590CF9"/>
    <w:rsid w:val="00590F15"/>
    <w:rsid w:val="00591C87"/>
    <w:rsid w:val="00591EB2"/>
    <w:rsid w:val="00591FF4"/>
    <w:rsid w:val="00592469"/>
    <w:rsid w:val="0059289B"/>
    <w:rsid w:val="00593268"/>
    <w:rsid w:val="005934C3"/>
    <w:rsid w:val="0059374F"/>
    <w:rsid w:val="00593BEE"/>
    <w:rsid w:val="00593D8B"/>
    <w:rsid w:val="005940A1"/>
    <w:rsid w:val="00595F0D"/>
    <w:rsid w:val="00596FE4"/>
    <w:rsid w:val="0059748E"/>
    <w:rsid w:val="005A02C7"/>
    <w:rsid w:val="005A03A7"/>
    <w:rsid w:val="005A0405"/>
    <w:rsid w:val="005A0A81"/>
    <w:rsid w:val="005A157F"/>
    <w:rsid w:val="005A1720"/>
    <w:rsid w:val="005A185C"/>
    <w:rsid w:val="005A2129"/>
    <w:rsid w:val="005A27E5"/>
    <w:rsid w:val="005A2821"/>
    <w:rsid w:val="005A2C7A"/>
    <w:rsid w:val="005A34DA"/>
    <w:rsid w:val="005A3BAE"/>
    <w:rsid w:val="005A3BC7"/>
    <w:rsid w:val="005A3F44"/>
    <w:rsid w:val="005A43F7"/>
    <w:rsid w:val="005A51B6"/>
    <w:rsid w:val="005A53F1"/>
    <w:rsid w:val="005A54A0"/>
    <w:rsid w:val="005A570E"/>
    <w:rsid w:val="005A5BB8"/>
    <w:rsid w:val="005A6079"/>
    <w:rsid w:val="005A6427"/>
    <w:rsid w:val="005A65DE"/>
    <w:rsid w:val="005A6DEC"/>
    <w:rsid w:val="005A7203"/>
    <w:rsid w:val="005A7604"/>
    <w:rsid w:val="005A7914"/>
    <w:rsid w:val="005A796A"/>
    <w:rsid w:val="005B0E33"/>
    <w:rsid w:val="005B13B9"/>
    <w:rsid w:val="005B1690"/>
    <w:rsid w:val="005B1CA2"/>
    <w:rsid w:val="005B2266"/>
    <w:rsid w:val="005B245C"/>
    <w:rsid w:val="005B25B8"/>
    <w:rsid w:val="005B269C"/>
    <w:rsid w:val="005B2AC4"/>
    <w:rsid w:val="005B322F"/>
    <w:rsid w:val="005B38CB"/>
    <w:rsid w:val="005B3BDD"/>
    <w:rsid w:val="005B4D38"/>
    <w:rsid w:val="005B4EF3"/>
    <w:rsid w:val="005B5282"/>
    <w:rsid w:val="005B52DA"/>
    <w:rsid w:val="005B5340"/>
    <w:rsid w:val="005B58F3"/>
    <w:rsid w:val="005B7AB1"/>
    <w:rsid w:val="005C072D"/>
    <w:rsid w:val="005C12C0"/>
    <w:rsid w:val="005C20F1"/>
    <w:rsid w:val="005C21D7"/>
    <w:rsid w:val="005C2567"/>
    <w:rsid w:val="005C2666"/>
    <w:rsid w:val="005C29DF"/>
    <w:rsid w:val="005C2E25"/>
    <w:rsid w:val="005C3136"/>
    <w:rsid w:val="005C3CA0"/>
    <w:rsid w:val="005C4BB9"/>
    <w:rsid w:val="005C557F"/>
    <w:rsid w:val="005C5B1C"/>
    <w:rsid w:val="005C5D48"/>
    <w:rsid w:val="005C5ED5"/>
    <w:rsid w:val="005C67A0"/>
    <w:rsid w:val="005C6929"/>
    <w:rsid w:val="005C6DC2"/>
    <w:rsid w:val="005C7A9B"/>
    <w:rsid w:val="005C7E86"/>
    <w:rsid w:val="005C7FA7"/>
    <w:rsid w:val="005D0472"/>
    <w:rsid w:val="005D07AE"/>
    <w:rsid w:val="005D14FE"/>
    <w:rsid w:val="005D1557"/>
    <w:rsid w:val="005D182F"/>
    <w:rsid w:val="005D1E7D"/>
    <w:rsid w:val="005D1EC3"/>
    <w:rsid w:val="005D1F83"/>
    <w:rsid w:val="005D22BB"/>
    <w:rsid w:val="005D2AB9"/>
    <w:rsid w:val="005D2ABF"/>
    <w:rsid w:val="005D2B0F"/>
    <w:rsid w:val="005D2C12"/>
    <w:rsid w:val="005D31ED"/>
    <w:rsid w:val="005D39C9"/>
    <w:rsid w:val="005D39E6"/>
    <w:rsid w:val="005D43C0"/>
    <w:rsid w:val="005D4690"/>
    <w:rsid w:val="005D48F6"/>
    <w:rsid w:val="005D4963"/>
    <w:rsid w:val="005D53CE"/>
    <w:rsid w:val="005D620A"/>
    <w:rsid w:val="005D64D2"/>
    <w:rsid w:val="005D6B4A"/>
    <w:rsid w:val="005D6BAF"/>
    <w:rsid w:val="005D73A5"/>
    <w:rsid w:val="005D75F6"/>
    <w:rsid w:val="005E0677"/>
    <w:rsid w:val="005E06B8"/>
    <w:rsid w:val="005E19A1"/>
    <w:rsid w:val="005E24E7"/>
    <w:rsid w:val="005E24F9"/>
    <w:rsid w:val="005E2C9F"/>
    <w:rsid w:val="005E2CE2"/>
    <w:rsid w:val="005E37F7"/>
    <w:rsid w:val="005E4108"/>
    <w:rsid w:val="005E45DA"/>
    <w:rsid w:val="005E4677"/>
    <w:rsid w:val="005E47CD"/>
    <w:rsid w:val="005E4903"/>
    <w:rsid w:val="005E4D39"/>
    <w:rsid w:val="005E5145"/>
    <w:rsid w:val="005E5383"/>
    <w:rsid w:val="005E565F"/>
    <w:rsid w:val="005E575B"/>
    <w:rsid w:val="005E5FA3"/>
    <w:rsid w:val="005E615B"/>
    <w:rsid w:val="005E701C"/>
    <w:rsid w:val="005E70BD"/>
    <w:rsid w:val="005E72CE"/>
    <w:rsid w:val="005E7394"/>
    <w:rsid w:val="005E791D"/>
    <w:rsid w:val="005E7ADE"/>
    <w:rsid w:val="005F05C8"/>
    <w:rsid w:val="005F1A5B"/>
    <w:rsid w:val="005F1D00"/>
    <w:rsid w:val="005F1F3D"/>
    <w:rsid w:val="005F1FA4"/>
    <w:rsid w:val="005F215F"/>
    <w:rsid w:val="005F21D7"/>
    <w:rsid w:val="005F2573"/>
    <w:rsid w:val="005F28C4"/>
    <w:rsid w:val="005F2F82"/>
    <w:rsid w:val="005F313D"/>
    <w:rsid w:val="005F354B"/>
    <w:rsid w:val="005F38F3"/>
    <w:rsid w:val="005F3F4A"/>
    <w:rsid w:val="005F4A2F"/>
    <w:rsid w:val="005F5302"/>
    <w:rsid w:val="005F56E3"/>
    <w:rsid w:val="005F5C20"/>
    <w:rsid w:val="005F5E73"/>
    <w:rsid w:val="005F6251"/>
    <w:rsid w:val="005F64B6"/>
    <w:rsid w:val="005F660E"/>
    <w:rsid w:val="005F6625"/>
    <w:rsid w:val="005F7069"/>
    <w:rsid w:val="005F72B3"/>
    <w:rsid w:val="005F7362"/>
    <w:rsid w:val="005F7AFC"/>
    <w:rsid w:val="0060039B"/>
    <w:rsid w:val="0060098B"/>
    <w:rsid w:val="00600BE2"/>
    <w:rsid w:val="00600CD7"/>
    <w:rsid w:val="00601048"/>
    <w:rsid w:val="00601074"/>
    <w:rsid w:val="006023A2"/>
    <w:rsid w:val="00602B7E"/>
    <w:rsid w:val="00603148"/>
    <w:rsid w:val="006031D6"/>
    <w:rsid w:val="006031E6"/>
    <w:rsid w:val="00603907"/>
    <w:rsid w:val="00603F6D"/>
    <w:rsid w:val="00604EC4"/>
    <w:rsid w:val="006058D0"/>
    <w:rsid w:val="0060652D"/>
    <w:rsid w:val="00606584"/>
    <w:rsid w:val="00606753"/>
    <w:rsid w:val="006069FB"/>
    <w:rsid w:val="00606A2F"/>
    <w:rsid w:val="00607BE9"/>
    <w:rsid w:val="00607E81"/>
    <w:rsid w:val="00607E9E"/>
    <w:rsid w:val="00607F83"/>
    <w:rsid w:val="00610328"/>
    <w:rsid w:val="006109F2"/>
    <w:rsid w:val="00610BEA"/>
    <w:rsid w:val="00611041"/>
    <w:rsid w:val="00611644"/>
    <w:rsid w:val="006119FE"/>
    <w:rsid w:val="0061246A"/>
    <w:rsid w:val="00612765"/>
    <w:rsid w:val="00612D4D"/>
    <w:rsid w:val="0061328C"/>
    <w:rsid w:val="00614AD5"/>
    <w:rsid w:val="00615AF7"/>
    <w:rsid w:val="00615B9D"/>
    <w:rsid w:val="00615E03"/>
    <w:rsid w:val="006161D6"/>
    <w:rsid w:val="006169BE"/>
    <w:rsid w:val="00616F59"/>
    <w:rsid w:val="0061704D"/>
    <w:rsid w:val="00617736"/>
    <w:rsid w:val="006208FB"/>
    <w:rsid w:val="0062250B"/>
    <w:rsid w:val="0062252C"/>
    <w:rsid w:val="00622C4C"/>
    <w:rsid w:val="00622F13"/>
    <w:rsid w:val="00622FEE"/>
    <w:rsid w:val="00623026"/>
    <w:rsid w:val="00623A91"/>
    <w:rsid w:val="00623BAF"/>
    <w:rsid w:val="00623FBD"/>
    <w:rsid w:val="006244CF"/>
    <w:rsid w:val="00624A34"/>
    <w:rsid w:val="00626173"/>
    <w:rsid w:val="006264DB"/>
    <w:rsid w:val="00627106"/>
    <w:rsid w:val="006272D6"/>
    <w:rsid w:val="0063039C"/>
    <w:rsid w:val="0063046A"/>
    <w:rsid w:val="0063055A"/>
    <w:rsid w:val="00630B81"/>
    <w:rsid w:val="00631B54"/>
    <w:rsid w:val="00631D0F"/>
    <w:rsid w:val="00631EE9"/>
    <w:rsid w:val="0063320A"/>
    <w:rsid w:val="0063368D"/>
    <w:rsid w:val="00633906"/>
    <w:rsid w:val="00633E31"/>
    <w:rsid w:val="00635DA6"/>
    <w:rsid w:val="006364B0"/>
    <w:rsid w:val="006375F0"/>
    <w:rsid w:val="00637B17"/>
    <w:rsid w:val="00637EAF"/>
    <w:rsid w:val="00637EDD"/>
    <w:rsid w:val="006407D8"/>
    <w:rsid w:val="006414E3"/>
    <w:rsid w:val="006417CB"/>
    <w:rsid w:val="00641BB5"/>
    <w:rsid w:val="00641CFF"/>
    <w:rsid w:val="00641EE0"/>
    <w:rsid w:val="0064269D"/>
    <w:rsid w:val="0064351D"/>
    <w:rsid w:val="00643F5E"/>
    <w:rsid w:val="00644822"/>
    <w:rsid w:val="00644F51"/>
    <w:rsid w:val="0064502B"/>
    <w:rsid w:val="00645107"/>
    <w:rsid w:val="00645B1E"/>
    <w:rsid w:val="00645C6B"/>
    <w:rsid w:val="00645D88"/>
    <w:rsid w:val="00646040"/>
    <w:rsid w:val="0064618B"/>
    <w:rsid w:val="00646A54"/>
    <w:rsid w:val="00646E83"/>
    <w:rsid w:val="00647037"/>
    <w:rsid w:val="006475F5"/>
    <w:rsid w:val="00647699"/>
    <w:rsid w:val="00647734"/>
    <w:rsid w:val="0064790D"/>
    <w:rsid w:val="00647F9F"/>
    <w:rsid w:val="006503B7"/>
    <w:rsid w:val="00650A42"/>
    <w:rsid w:val="00651145"/>
    <w:rsid w:val="006514FC"/>
    <w:rsid w:val="00651937"/>
    <w:rsid w:val="006520A4"/>
    <w:rsid w:val="006521DF"/>
    <w:rsid w:val="006524D7"/>
    <w:rsid w:val="00652CAA"/>
    <w:rsid w:val="00652D2B"/>
    <w:rsid w:val="00652ED4"/>
    <w:rsid w:val="00653129"/>
    <w:rsid w:val="006532FF"/>
    <w:rsid w:val="00653453"/>
    <w:rsid w:val="00653B30"/>
    <w:rsid w:val="00653B56"/>
    <w:rsid w:val="00653C73"/>
    <w:rsid w:val="00654535"/>
    <w:rsid w:val="00654CE2"/>
    <w:rsid w:val="00655A80"/>
    <w:rsid w:val="00656AE4"/>
    <w:rsid w:val="00656BCD"/>
    <w:rsid w:val="00657771"/>
    <w:rsid w:val="0066020D"/>
    <w:rsid w:val="00660377"/>
    <w:rsid w:val="00660639"/>
    <w:rsid w:val="006612B9"/>
    <w:rsid w:val="006614ED"/>
    <w:rsid w:val="00661C2F"/>
    <w:rsid w:val="00661C68"/>
    <w:rsid w:val="006631BD"/>
    <w:rsid w:val="00663232"/>
    <w:rsid w:val="006635C2"/>
    <w:rsid w:val="006638C6"/>
    <w:rsid w:val="00663AA7"/>
    <w:rsid w:val="00663C19"/>
    <w:rsid w:val="00663C92"/>
    <w:rsid w:val="006641FC"/>
    <w:rsid w:val="0066444C"/>
    <w:rsid w:val="006646FB"/>
    <w:rsid w:val="0066486D"/>
    <w:rsid w:val="00665AAD"/>
    <w:rsid w:val="00665B41"/>
    <w:rsid w:val="0066673C"/>
    <w:rsid w:val="00666E37"/>
    <w:rsid w:val="00667DA2"/>
    <w:rsid w:val="00670166"/>
    <w:rsid w:val="00670924"/>
    <w:rsid w:val="00671433"/>
    <w:rsid w:val="00671A93"/>
    <w:rsid w:val="00671D52"/>
    <w:rsid w:val="00671F8E"/>
    <w:rsid w:val="00672168"/>
    <w:rsid w:val="00672D47"/>
    <w:rsid w:val="006732C0"/>
    <w:rsid w:val="006744FC"/>
    <w:rsid w:val="006753CC"/>
    <w:rsid w:val="00675A22"/>
    <w:rsid w:val="00675EE7"/>
    <w:rsid w:val="00675FEE"/>
    <w:rsid w:val="006764CE"/>
    <w:rsid w:val="0067667C"/>
    <w:rsid w:val="00677239"/>
    <w:rsid w:val="006779D2"/>
    <w:rsid w:val="00680481"/>
    <w:rsid w:val="00680731"/>
    <w:rsid w:val="006809C8"/>
    <w:rsid w:val="00680F86"/>
    <w:rsid w:val="0068180B"/>
    <w:rsid w:val="006818E6"/>
    <w:rsid w:val="006819E2"/>
    <w:rsid w:val="0068204C"/>
    <w:rsid w:val="006820CE"/>
    <w:rsid w:val="006820D6"/>
    <w:rsid w:val="0068221B"/>
    <w:rsid w:val="00682730"/>
    <w:rsid w:val="00682772"/>
    <w:rsid w:val="00682D41"/>
    <w:rsid w:val="006831DB"/>
    <w:rsid w:val="006837C3"/>
    <w:rsid w:val="00683813"/>
    <w:rsid w:val="00684734"/>
    <w:rsid w:val="00684A93"/>
    <w:rsid w:val="00684C53"/>
    <w:rsid w:val="006858E5"/>
    <w:rsid w:val="00685A1D"/>
    <w:rsid w:val="00685E7D"/>
    <w:rsid w:val="00686225"/>
    <w:rsid w:val="00686D54"/>
    <w:rsid w:val="00686D9A"/>
    <w:rsid w:val="006870FE"/>
    <w:rsid w:val="00687496"/>
    <w:rsid w:val="006875B5"/>
    <w:rsid w:val="00687D7B"/>
    <w:rsid w:val="00687F45"/>
    <w:rsid w:val="006908F4"/>
    <w:rsid w:val="00691537"/>
    <w:rsid w:val="00691943"/>
    <w:rsid w:val="00691A6D"/>
    <w:rsid w:val="00691DCC"/>
    <w:rsid w:val="00691F67"/>
    <w:rsid w:val="0069207C"/>
    <w:rsid w:val="0069243D"/>
    <w:rsid w:val="0069272D"/>
    <w:rsid w:val="00692C19"/>
    <w:rsid w:val="00693C89"/>
    <w:rsid w:val="00693FD3"/>
    <w:rsid w:val="00694035"/>
    <w:rsid w:val="00694BCF"/>
    <w:rsid w:val="006951ED"/>
    <w:rsid w:val="006953A1"/>
    <w:rsid w:val="006960D4"/>
    <w:rsid w:val="00696119"/>
    <w:rsid w:val="006964AE"/>
    <w:rsid w:val="00696BB2"/>
    <w:rsid w:val="00696DC4"/>
    <w:rsid w:val="006974A2"/>
    <w:rsid w:val="006979CE"/>
    <w:rsid w:val="006A0DE3"/>
    <w:rsid w:val="006A0F1D"/>
    <w:rsid w:val="006A139B"/>
    <w:rsid w:val="006A16FB"/>
    <w:rsid w:val="006A1BAF"/>
    <w:rsid w:val="006A1BD0"/>
    <w:rsid w:val="006A1BEA"/>
    <w:rsid w:val="006A25C6"/>
    <w:rsid w:val="006A2B35"/>
    <w:rsid w:val="006A3245"/>
    <w:rsid w:val="006A3540"/>
    <w:rsid w:val="006A35FC"/>
    <w:rsid w:val="006A409D"/>
    <w:rsid w:val="006A6A81"/>
    <w:rsid w:val="006A77DB"/>
    <w:rsid w:val="006A7E95"/>
    <w:rsid w:val="006B0371"/>
    <w:rsid w:val="006B06D1"/>
    <w:rsid w:val="006B0B06"/>
    <w:rsid w:val="006B0ED5"/>
    <w:rsid w:val="006B132B"/>
    <w:rsid w:val="006B1727"/>
    <w:rsid w:val="006B1E17"/>
    <w:rsid w:val="006B1E2E"/>
    <w:rsid w:val="006B5738"/>
    <w:rsid w:val="006B6C1A"/>
    <w:rsid w:val="006B7028"/>
    <w:rsid w:val="006B717D"/>
    <w:rsid w:val="006B71DF"/>
    <w:rsid w:val="006B7C7A"/>
    <w:rsid w:val="006C06C4"/>
    <w:rsid w:val="006C13F6"/>
    <w:rsid w:val="006C1883"/>
    <w:rsid w:val="006C1E48"/>
    <w:rsid w:val="006C2CFB"/>
    <w:rsid w:val="006C31F0"/>
    <w:rsid w:val="006C32CD"/>
    <w:rsid w:val="006C4774"/>
    <w:rsid w:val="006C4C49"/>
    <w:rsid w:val="006C5182"/>
    <w:rsid w:val="006C5F05"/>
    <w:rsid w:val="006C5F8D"/>
    <w:rsid w:val="006C61F3"/>
    <w:rsid w:val="006C65F6"/>
    <w:rsid w:val="006C6935"/>
    <w:rsid w:val="006C729E"/>
    <w:rsid w:val="006C7570"/>
    <w:rsid w:val="006C762D"/>
    <w:rsid w:val="006D07B0"/>
    <w:rsid w:val="006D11EF"/>
    <w:rsid w:val="006D1350"/>
    <w:rsid w:val="006D1A14"/>
    <w:rsid w:val="006D1CF4"/>
    <w:rsid w:val="006D1F97"/>
    <w:rsid w:val="006D2AE1"/>
    <w:rsid w:val="006D318E"/>
    <w:rsid w:val="006D3937"/>
    <w:rsid w:val="006D4154"/>
    <w:rsid w:val="006D4341"/>
    <w:rsid w:val="006D4591"/>
    <w:rsid w:val="006D47D4"/>
    <w:rsid w:val="006D5C3D"/>
    <w:rsid w:val="006D61E0"/>
    <w:rsid w:val="006D6B57"/>
    <w:rsid w:val="006D725C"/>
    <w:rsid w:val="006D76F0"/>
    <w:rsid w:val="006D7D2F"/>
    <w:rsid w:val="006E070A"/>
    <w:rsid w:val="006E07A4"/>
    <w:rsid w:val="006E0C25"/>
    <w:rsid w:val="006E15FE"/>
    <w:rsid w:val="006E1ADF"/>
    <w:rsid w:val="006E23EB"/>
    <w:rsid w:val="006E2A45"/>
    <w:rsid w:val="006E2AD6"/>
    <w:rsid w:val="006E2BAC"/>
    <w:rsid w:val="006E3B3F"/>
    <w:rsid w:val="006E3E7F"/>
    <w:rsid w:val="006E423B"/>
    <w:rsid w:val="006E509F"/>
    <w:rsid w:val="006E5108"/>
    <w:rsid w:val="006E5479"/>
    <w:rsid w:val="006E5650"/>
    <w:rsid w:val="006E5D98"/>
    <w:rsid w:val="006E63D1"/>
    <w:rsid w:val="006E6C9A"/>
    <w:rsid w:val="006E71D3"/>
    <w:rsid w:val="006F036E"/>
    <w:rsid w:val="006F041B"/>
    <w:rsid w:val="006F0816"/>
    <w:rsid w:val="006F1069"/>
    <w:rsid w:val="006F1545"/>
    <w:rsid w:val="006F1B91"/>
    <w:rsid w:val="006F1C18"/>
    <w:rsid w:val="006F1E0B"/>
    <w:rsid w:val="006F3122"/>
    <w:rsid w:val="006F352B"/>
    <w:rsid w:val="006F41C7"/>
    <w:rsid w:val="006F547C"/>
    <w:rsid w:val="006F66CE"/>
    <w:rsid w:val="006F66E9"/>
    <w:rsid w:val="006F6DA4"/>
    <w:rsid w:val="006F6FC6"/>
    <w:rsid w:val="006F738D"/>
    <w:rsid w:val="006F74F7"/>
    <w:rsid w:val="006F761B"/>
    <w:rsid w:val="006F794A"/>
    <w:rsid w:val="006F7A87"/>
    <w:rsid w:val="007000CD"/>
    <w:rsid w:val="00700C1A"/>
    <w:rsid w:val="00700EDD"/>
    <w:rsid w:val="007011AC"/>
    <w:rsid w:val="00701BA3"/>
    <w:rsid w:val="00701C3F"/>
    <w:rsid w:val="0070285E"/>
    <w:rsid w:val="00702BFB"/>
    <w:rsid w:val="0070385E"/>
    <w:rsid w:val="00703F8F"/>
    <w:rsid w:val="00704897"/>
    <w:rsid w:val="00704903"/>
    <w:rsid w:val="00705777"/>
    <w:rsid w:val="007062DA"/>
    <w:rsid w:val="00706D52"/>
    <w:rsid w:val="00707013"/>
    <w:rsid w:val="00707CFF"/>
    <w:rsid w:val="007106B7"/>
    <w:rsid w:val="00711535"/>
    <w:rsid w:val="0071213B"/>
    <w:rsid w:val="0071320F"/>
    <w:rsid w:val="007135AF"/>
    <w:rsid w:val="00713616"/>
    <w:rsid w:val="00713D0A"/>
    <w:rsid w:val="00713E3B"/>
    <w:rsid w:val="00713E4E"/>
    <w:rsid w:val="0071480A"/>
    <w:rsid w:val="00714BF5"/>
    <w:rsid w:val="0071596B"/>
    <w:rsid w:val="007159A6"/>
    <w:rsid w:val="007161F9"/>
    <w:rsid w:val="00716396"/>
    <w:rsid w:val="00716AC3"/>
    <w:rsid w:val="00717EAF"/>
    <w:rsid w:val="007200C0"/>
    <w:rsid w:val="007201C8"/>
    <w:rsid w:val="00720B2A"/>
    <w:rsid w:val="00720C89"/>
    <w:rsid w:val="00720E29"/>
    <w:rsid w:val="00720F62"/>
    <w:rsid w:val="007211FE"/>
    <w:rsid w:val="00721649"/>
    <w:rsid w:val="0072197B"/>
    <w:rsid w:val="00721AB9"/>
    <w:rsid w:val="0072215A"/>
    <w:rsid w:val="007226D8"/>
    <w:rsid w:val="00722F7C"/>
    <w:rsid w:val="007230BA"/>
    <w:rsid w:val="007232AD"/>
    <w:rsid w:val="0072359C"/>
    <w:rsid w:val="00723DBF"/>
    <w:rsid w:val="0072409A"/>
    <w:rsid w:val="007241F8"/>
    <w:rsid w:val="007246BD"/>
    <w:rsid w:val="007246DA"/>
    <w:rsid w:val="0072496D"/>
    <w:rsid w:val="007249AF"/>
    <w:rsid w:val="00724D87"/>
    <w:rsid w:val="00725726"/>
    <w:rsid w:val="00725759"/>
    <w:rsid w:val="007257E5"/>
    <w:rsid w:val="0072745C"/>
    <w:rsid w:val="00727948"/>
    <w:rsid w:val="00727B51"/>
    <w:rsid w:val="007300FE"/>
    <w:rsid w:val="00730640"/>
    <w:rsid w:val="00731769"/>
    <w:rsid w:val="0073186B"/>
    <w:rsid w:val="0073191C"/>
    <w:rsid w:val="0073207C"/>
    <w:rsid w:val="00732DF4"/>
    <w:rsid w:val="00732EDC"/>
    <w:rsid w:val="00732F53"/>
    <w:rsid w:val="0073320B"/>
    <w:rsid w:val="00733257"/>
    <w:rsid w:val="007334F9"/>
    <w:rsid w:val="00733F80"/>
    <w:rsid w:val="007341F8"/>
    <w:rsid w:val="007342C5"/>
    <w:rsid w:val="00734B7B"/>
    <w:rsid w:val="0073515E"/>
    <w:rsid w:val="00737558"/>
    <w:rsid w:val="00737AD6"/>
    <w:rsid w:val="00740451"/>
    <w:rsid w:val="00740BCF"/>
    <w:rsid w:val="0074125A"/>
    <w:rsid w:val="007418F8"/>
    <w:rsid w:val="00741FCA"/>
    <w:rsid w:val="00742346"/>
    <w:rsid w:val="00742577"/>
    <w:rsid w:val="00742799"/>
    <w:rsid w:val="007427FF"/>
    <w:rsid w:val="00742A0C"/>
    <w:rsid w:val="00743D73"/>
    <w:rsid w:val="007453B9"/>
    <w:rsid w:val="007460E6"/>
    <w:rsid w:val="0074653B"/>
    <w:rsid w:val="00746A41"/>
    <w:rsid w:val="00747344"/>
    <w:rsid w:val="00747C80"/>
    <w:rsid w:val="00750211"/>
    <w:rsid w:val="00751147"/>
    <w:rsid w:val="00751878"/>
    <w:rsid w:val="00752C50"/>
    <w:rsid w:val="00752CE0"/>
    <w:rsid w:val="00752E54"/>
    <w:rsid w:val="00753141"/>
    <w:rsid w:val="00753237"/>
    <w:rsid w:val="00753583"/>
    <w:rsid w:val="00753674"/>
    <w:rsid w:val="007538B3"/>
    <w:rsid w:val="00753C44"/>
    <w:rsid w:val="00753D79"/>
    <w:rsid w:val="00754635"/>
    <w:rsid w:val="0075541B"/>
    <w:rsid w:val="007554B9"/>
    <w:rsid w:val="00755868"/>
    <w:rsid w:val="00755C81"/>
    <w:rsid w:val="00755D6E"/>
    <w:rsid w:val="00755FEE"/>
    <w:rsid w:val="007564A2"/>
    <w:rsid w:val="00756BAC"/>
    <w:rsid w:val="007570EF"/>
    <w:rsid w:val="007575B1"/>
    <w:rsid w:val="0075772A"/>
    <w:rsid w:val="0075776A"/>
    <w:rsid w:val="00757B3B"/>
    <w:rsid w:val="00757D1F"/>
    <w:rsid w:val="00760553"/>
    <w:rsid w:val="00760AE8"/>
    <w:rsid w:val="00761BE3"/>
    <w:rsid w:val="00761F29"/>
    <w:rsid w:val="00761F32"/>
    <w:rsid w:val="0076238B"/>
    <w:rsid w:val="007625E7"/>
    <w:rsid w:val="0076274A"/>
    <w:rsid w:val="007628E9"/>
    <w:rsid w:val="0076388A"/>
    <w:rsid w:val="00763BF1"/>
    <w:rsid w:val="007640D7"/>
    <w:rsid w:val="00764183"/>
    <w:rsid w:val="00764911"/>
    <w:rsid w:val="00764BFC"/>
    <w:rsid w:val="00765779"/>
    <w:rsid w:val="00766068"/>
    <w:rsid w:val="007668F9"/>
    <w:rsid w:val="00766976"/>
    <w:rsid w:val="00766C51"/>
    <w:rsid w:val="00767635"/>
    <w:rsid w:val="00770474"/>
    <w:rsid w:val="00770637"/>
    <w:rsid w:val="007706D3"/>
    <w:rsid w:val="00770917"/>
    <w:rsid w:val="00770CCC"/>
    <w:rsid w:val="00770F8F"/>
    <w:rsid w:val="00772919"/>
    <w:rsid w:val="00772982"/>
    <w:rsid w:val="007729F9"/>
    <w:rsid w:val="00772DD6"/>
    <w:rsid w:val="00773043"/>
    <w:rsid w:val="00774318"/>
    <w:rsid w:val="00774371"/>
    <w:rsid w:val="007743D0"/>
    <w:rsid w:val="00774814"/>
    <w:rsid w:val="0077558F"/>
    <w:rsid w:val="007768AF"/>
    <w:rsid w:val="00776C03"/>
    <w:rsid w:val="00777028"/>
    <w:rsid w:val="007773A2"/>
    <w:rsid w:val="00777449"/>
    <w:rsid w:val="00780923"/>
    <w:rsid w:val="00781259"/>
    <w:rsid w:val="007817C3"/>
    <w:rsid w:val="00781C3E"/>
    <w:rsid w:val="00781E1E"/>
    <w:rsid w:val="00781E55"/>
    <w:rsid w:val="007830FC"/>
    <w:rsid w:val="00783483"/>
    <w:rsid w:val="007835B7"/>
    <w:rsid w:val="00783CD3"/>
    <w:rsid w:val="007843F3"/>
    <w:rsid w:val="00784641"/>
    <w:rsid w:val="00784AB8"/>
    <w:rsid w:val="00784ABD"/>
    <w:rsid w:val="00784D53"/>
    <w:rsid w:val="00785AC2"/>
    <w:rsid w:val="0078617B"/>
    <w:rsid w:val="007866F7"/>
    <w:rsid w:val="00786C05"/>
    <w:rsid w:val="0078708D"/>
    <w:rsid w:val="007876F1"/>
    <w:rsid w:val="0078775E"/>
    <w:rsid w:val="00787BD2"/>
    <w:rsid w:val="00790211"/>
    <w:rsid w:val="00790528"/>
    <w:rsid w:val="007906C3"/>
    <w:rsid w:val="00790C9D"/>
    <w:rsid w:val="007910CF"/>
    <w:rsid w:val="00791CDB"/>
    <w:rsid w:val="007924A7"/>
    <w:rsid w:val="00792AF8"/>
    <w:rsid w:val="0079385E"/>
    <w:rsid w:val="00793F21"/>
    <w:rsid w:val="007956F7"/>
    <w:rsid w:val="00795BD8"/>
    <w:rsid w:val="00796FC1"/>
    <w:rsid w:val="007975B9"/>
    <w:rsid w:val="007976AC"/>
    <w:rsid w:val="007A17A3"/>
    <w:rsid w:val="007A1FA8"/>
    <w:rsid w:val="007A33C2"/>
    <w:rsid w:val="007A37AF"/>
    <w:rsid w:val="007A3B68"/>
    <w:rsid w:val="007A4007"/>
    <w:rsid w:val="007A4144"/>
    <w:rsid w:val="007A46EF"/>
    <w:rsid w:val="007A4968"/>
    <w:rsid w:val="007A4BCE"/>
    <w:rsid w:val="007A4CFC"/>
    <w:rsid w:val="007A54CA"/>
    <w:rsid w:val="007A5746"/>
    <w:rsid w:val="007A5747"/>
    <w:rsid w:val="007A58B3"/>
    <w:rsid w:val="007A6456"/>
    <w:rsid w:val="007A6604"/>
    <w:rsid w:val="007A68F4"/>
    <w:rsid w:val="007A6FB5"/>
    <w:rsid w:val="007A708B"/>
    <w:rsid w:val="007A79F6"/>
    <w:rsid w:val="007B0091"/>
    <w:rsid w:val="007B03D7"/>
    <w:rsid w:val="007B0730"/>
    <w:rsid w:val="007B22CB"/>
    <w:rsid w:val="007B2549"/>
    <w:rsid w:val="007B301A"/>
    <w:rsid w:val="007B332F"/>
    <w:rsid w:val="007B334B"/>
    <w:rsid w:val="007B3D44"/>
    <w:rsid w:val="007B483E"/>
    <w:rsid w:val="007B5B02"/>
    <w:rsid w:val="007B67FE"/>
    <w:rsid w:val="007B6812"/>
    <w:rsid w:val="007B6A27"/>
    <w:rsid w:val="007B6FC6"/>
    <w:rsid w:val="007B77C1"/>
    <w:rsid w:val="007B7C27"/>
    <w:rsid w:val="007C0505"/>
    <w:rsid w:val="007C0703"/>
    <w:rsid w:val="007C0783"/>
    <w:rsid w:val="007C08AB"/>
    <w:rsid w:val="007C0932"/>
    <w:rsid w:val="007C0F47"/>
    <w:rsid w:val="007C0F83"/>
    <w:rsid w:val="007C1121"/>
    <w:rsid w:val="007C16D3"/>
    <w:rsid w:val="007C2E37"/>
    <w:rsid w:val="007C322F"/>
    <w:rsid w:val="007C32D3"/>
    <w:rsid w:val="007C3657"/>
    <w:rsid w:val="007C388F"/>
    <w:rsid w:val="007C39BD"/>
    <w:rsid w:val="007C3DDE"/>
    <w:rsid w:val="007C3DF1"/>
    <w:rsid w:val="007C4078"/>
    <w:rsid w:val="007C41D0"/>
    <w:rsid w:val="007C4245"/>
    <w:rsid w:val="007C47E8"/>
    <w:rsid w:val="007C4AE7"/>
    <w:rsid w:val="007C54EC"/>
    <w:rsid w:val="007C56D2"/>
    <w:rsid w:val="007C6D36"/>
    <w:rsid w:val="007C79DB"/>
    <w:rsid w:val="007C7A41"/>
    <w:rsid w:val="007D0D8D"/>
    <w:rsid w:val="007D0F27"/>
    <w:rsid w:val="007D0FA0"/>
    <w:rsid w:val="007D159E"/>
    <w:rsid w:val="007D1B40"/>
    <w:rsid w:val="007D2041"/>
    <w:rsid w:val="007D21FF"/>
    <w:rsid w:val="007D2DAF"/>
    <w:rsid w:val="007D31B1"/>
    <w:rsid w:val="007D3CCC"/>
    <w:rsid w:val="007D3E55"/>
    <w:rsid w:val="007D3F97"/>
    <w:rsid w:val="007D452F"/>
    <w:rsid w:val="007D4A1F"/>
    <w:rsid w:val="007D4D02"/>
    <w:rsid w:val="007D55F7"/>
    <w:rsid w:val="007D5F92"/>
    <w:rsid w:val="007D70C5"/>
    <w:rsid w:val="007D7AE9"/>
    <w:rsid w:val="007D7CD3"/>
    <w:rsid w:val="007E1866"/>
    <w:rsid w:val="007E199A"/>
    <w:rsid w:val="007E2786"/>
    <w:rsid w:val="007E29B6"/>
    <w:rsid w:val="007E2AC3"/>
    <w:rsid w:val="007E2E41"/>
    <w:rsid w:val="007E476E"/>
    <w:rsid w:val="007E490C"/>
    <w:rsid w:val="007E50BE"/>
    <w:rsid w:val="007E5DE5"/>
    <w:rsid w:val="007E6F9E"/>
    <w:rsid w:val="007F0077"/>
    <w:rsid w:val="007F0233"/>
    <w:rsid w:val="007F0BCA"/>
    <w:rsid w:val="007F0D9A"/>
    <w:rsid w:val="007F0DCE"/>
    <w:rsid w:val="007F0DE4"/>
    <w:rsid w:val="007F1694"/>
    <w:rsid w:val="007F17E4"/>
    <w:rsid w:val="007F1806"/>
    <w:rsid w:val="007F1B15"/>
    <w:rsid w:val="007F1D04"/>
    <w:rsid w:val="007F1FB4"/>
    <w:rsid w:val="007F22F1"/>
    <w:rsid w:val="007F242D"/>
    <w:rsid w:val="007F2B91"/>
    <w:rsid w:val="007F32B0"/>
    <w:rsid w:val="007F491C"/>
    <w:rsid w:val="007F4CB1"/>
    <w:rsid w:val="007F54C7"/>
    <w:rsid w:val="007F5B7C"/>
    <w:rsid w:val="007F6554"/>
    <w:rsid w:val="007F698B"/>
    <w:rsid w:val="007F6AA4"/>
    <w:rsid w:val="007F6BFC"/>
    <w:rsid w:val="007F6C92"/>
    <w:rsid w:val="007F6CF0"/>
    <w:rsid w:val="007F7483"/>
    <w:rsid w:val="007F7569"/>
    <w:rsid w:val="00800231"/>
    <w:rsid w:val="00801124"/>
    <w:rsid w:val="008028B4"/>
    <w:rsid w:val="00802F78"/>
    <w:rsid w:val="00803A47"/>
    <w:rsid w:val="008040D2"/>
    <w:rsid w:val="00804200"/>
    <w:rsid w:val="0080463B"/>
    <w:rsid w:val="008047BE"/>
    <w:rsid w:val="00804822"/>
    <w:rsid w:val="00804C8B"/>
    <w:rsid w:val="00804F0A"/>
    <w:rsid w:val="00805D94"/>
    <w:rsid w:val="00806530"/>
    <w:rsid w:val="00807AA4"/>
    <w:rsid w:val="00807E84"/>
    <w:rsid w:val="00810594"/>
    <w:rsid w:val="00810994"/>
    <w:rsid w:val="00810ECF"/>
    <w:rsid w:val="008128C5"/>
    <w:rsid w:val="008130A2"/>
    <w:rsid w:val="00813BA7"/>
    <w:rsid w:val="00814341"/>
    <w:rsid w:val="008147ED"/>
    <w:rsid w:val="00814955"/>
    <w:rsid w:val="00814C4A"/>
    <w:rsid w:val="00814CA2"/>
    <w:rsid w:val="0081550C"/>
    <w:rsid w:val="00815994"/>
    <w:rsid w:val="00815F9F"/>
    <w:rsid w:val="00816021"/>
    <w:rsid w:val="008169D4"/>
    <w:rsid w:val="00817381"/>
    <w:rsid w:val="00817529"/>
    <w:rsid w:val="00817AC0"/>
    <w:rsid w:val="00820042"/>
    <w:rsid w:val="00820291"/>
    <w:rsid w:val="008203DB"/>
    <w:rsid w:val="00820A1A"/>
    <w:rsid w:val="00820C21"/>
    <w:rsid w:val="00820EFF"/>
    <w:rsid w:val="00820FFD"/>
    <w:rsid w:val="008215DB"/>
    <w:rsid w:val="00821D85"/>
    <w:rsid w:val="00821F96"/>
    <w:rsid w:val="008225D8"/>
    <w:rsid w:val="00822621"/>
    <w:rsid w:val="00822F4C"/>
    <w:rsid w:val="00823170"/>
    <w:rsid w:val="0082356A"/>
    <w:rsid w:val="0082408F"/>
    <w:rsid w:val="00824DBD"/>
    <w:rsid w:val="00825D5F"/>
    <w:rsid w:val="00826798"/>
    <w:rsid w:val="00826A04"/>
    <w:rsid w:val="00826D4E"/>
    <w:rsid w:val="00826F90"/>
    <w:rsid w:val="008271C2"/>
    <w:rsid w:val="00827758"/>
    <w:rsid w:val="00827D4E"/>
    <w:rsid w:val="00827DF4"/>
    <w:rsid w:val="00827EA7"/>
    <w:rsid w:val="00827ED5"/>
    <w:rsid w:val="00827F97"/>
    <w:rsid w:val="008304E6"/>
    <w:rsid w:val="008307CB"/>
    <w:rsid w:val="00830F7A"/>
    <w:rsid w:val="0083119F"/>
    <w:rsid w:val="00831EB2"/>
    <w:rsid w:val="008327F1"/>
    <w:rsid w:val="00833A00"/>
    <w:rsid w:val="00833EB6"/>
    <w:rsid w:val="008347AD"/>
    <w:rsid w:val="0083509F"/>
    <w:rsid w:val="0083598F"/>
    <w:rsid w:val="00836E24"/>
    <w:rsid w:val="0083765A"/>
    <w:rsid w:val="008378C3"/>
    <w:rsid w:val="008379F4"/>
    <w:rsid w:val="00840596"/>
    <w:rsid w:val="0084070C"/>
    <w:rsid w:val="00840D39"/>
    <w:rsid w:val="008411BF"/>
    <w:rsid w:val="00841672"/>
    <w:rsid w:val="0084195A"/>
    <w:rsid w:val="00841DA0"/>
    <w:rsid w:val="00842943"/>
    <w:rsid w:val="00843427"/>
    <w:rsid w:val="00843C2C"/>
    <w:rsid w:val="0084425F"/>
    <w:rsid w:val="008445C4"/>
    <w:rsid w:val="0084476D"/>
    <w:rsid w:val="0084506C"/>
    <w:rsid w:val="00845217"/>
    <w:rsid w:val="00845865"/>
    <w:rsid w:val="00847A5B"/>
    <w:rsid w:val="00847F49"/>
    <w:rsid w:val="00850065"/>
    <w:rsid w:val="00850B72"/>
    <w:rsid w:val="008512AA"/>
    <w:rsid w:val="00851BF6"/>
    <w:rsid w:val="00852C28"/>
    <w:rsid w:val="00853366"/>
    <w:rsid w:val="00853880"/>
    <w:rsid w:val="00853EC1"/>
    <w:rsid w:val="00854295"/>
    <w:rsid w:val="008543D4"/>
    <w:rsid w:val="00854AC4"/>
    <w:rsid w:val="0085532A"/>
    <w:rsid w:val="00855D39"/>
    <w:rsid w:val="008564F2"/>
    <w:rsid w:val="00857630"/>
    <w:rsid w:val="00857C47"/>
    <w:rsid w:val="00857DD9"/>
    <w:rsid w:val="00857F0A"/>
    <w:rsid w:val="008602F5"/>
    <w:rsid w:val="00860315"/>
    <w:rsid w:val="00860338"/>
    <w:rsid w:val="00861388"/>
    <w:rsid w:val="008613B6"/>
    <w:rsid w:val="00862310"/>
    <w:rsid w:val="00862B0A"/>
    <w:rsid w:val="00862B9E"/>
    <w:rsid w:val="00862E45"/>
    <w:rsid w:val="00863C32"/>
    <w:rsid w:val="0086477F"/>
    <w:rsid w:val="00864967"/>
    <w:rsid w:val="00864B4F"/>
    <w:rsid w:val="00864C19"/>
    <w:rsid w:val="00865AAF"/>
    <w:rsid w:val="00865F84"/>
    <w:rsid w:val="008666BD"/>
    <w:rsid w:val="00867283"/>
    <w:rsid w:val="00867520"/>
    <w:rsid w:val="008676C7"/>
    <w:rsid w:val="008676F4"/>
    <w:rsid w:val="0086784F"/>
    <w:rsid w:val="00867A03"/>
    <w:rsid w:val="00867B39"/>
    <w:rsid w:val="00870685"/>
    <w:rsid w:val="008710C1"/>
    <w:rsid w:val="00871769"/>
    <w:rsid w:val="008719CF"/>
    <w:rsid w:val="0087231E"/>
    <w:rsid w:val="00872400"/>
    <w:rsid w:val="008730C6"/>
    <w:rsid w:val="00873366"/>
    <w:rsid w:val="00874044"/>
    <w:rsid w:val="00874D16"/>
    <w:rsid w:val="00875097"/>
    <w:rsid w:val="00875167"/>
    <w:rsid w:val="008754BD"/>
    <w:rsid w:val="00875796"/>
    <w:rsid w:val="008764E8"/>
    <w:rsid w:val="008767FA"/>
    <w:rsid w:val="00876833"/>
    <w:rsid w:val="00877353"/>
    <w:rsid w:val="008778B4"/>
    <w:rsid w:val="0088055E"/>
    <w:rsid w:val="0088067F"/>
    <w:rsid w:val="008812B6"/>
    <w:rsid w:val="008812E7"/>
    <w:rsid w:val="0088163A"/>
    <w:rsid w:val="00881BAD"/>
    <w:rsid w:val="00881C55"/>
    <w:rsid w:val="00882869"/>
    <w:rsid w:val="0088289C"/>
    <w:rsid w:val="008830D0"/>
    <w:rsid w:val="00884738"/>
    <w:rsid w:val="008849AD"/>
    <w:rsid w:val="00884B43"/>
    <w:rsid w:val="00884BC8"/>
    <w:rsid w:val="00884DB7"/>
    <w:rsid w:val="00886087"/>
    <w:rsid w:val="008865C2"/>
    <w:rsid w:val="00886D8D"/>
    <w:rsid w:val="00887162"/>
    <w:rsid w:val="00887273"/>
    <w:rsid w:val="00887D9A"/>
    <w:rsid w:val="00890282"/>
    <w:rsid w:val="00890CDD"/>
    <w:rsid w:val="00891866"/>
    <w:rsid w:val="00891895"/>
    <w:rsid w:val="008919F8"/>
    <w:rsid w:val="0089229A"/>
    <w:rsid w:val="008922DC"/>
    <w:rsid w:val="00893092"/>
    <w:rsid w:val="00893362"/>
    <w:rsid w:val="008938A4"/>
    <w:rsid w:val="00893D72"/>
    <w:rsid w:val="0089416F"/>
    <w:rsid w:val="008942B4"/>
    <w:rsid w:val="00895069"/>
    <w:rsid w:val="0089582A"/>
    <w:rsid w:val="00895961"/>
    <w:rsid w:val="00896D72"/>
    <w:rsid w:val="00897126"/>
    <w:rsid w:val="00897240"/>
    <w:rsid w:val="0089781D"/>
    <w:rsid w:val="00897A68"/>
    <w:rsid w:val="00897E5B"/>
    <w:rsid w:val="008A04FE"/>
    <w:rsid w:val="008A0B60"/>
    <w:rsid w:val="008A0C95"/>
    <w:rsid w:val="008A1033"/>
    <w:rsid w:val="008A14C9"/>
    <w:rsid w:val="008A15F8"/>
    <w:rsid w:val="008A23EA"/>
    <w:rsid w:val="008A245E"/>
    <w:rsid w:val="008A25EA"/>
    <w:rsid w:val="008A3275"/>
    <w:rsid w:val="008A3928"/>
    <w:rsid w:val="008A3938"/>
    <w:rsid w:val="008A41B3"/>
    <w:rsid w:val="008A4B3B"/>
    <w:rsid w:val="008A4C78"/>
    <w:rsid w:val="008A4D09"/>
    <w:rsid w:val="008A4F46"/>
    <w:rsid w:val="008A54E8"/>
    <w:rsid w:val="008A5A1F"/>
    <w:rsid w:val="008A659A"/>
    <w:rsid w:val="008A7149"/>
    <w:rsid w:val="008B14DC"/>
    <w:rsid w:val="008B17D3"/>
    <w:rsid w:val="008B19B8"/>
    <w:rsid w:val="008B2F44"/>
    <w:rsid w:val="008B337E"/>
    <w:rsid w:val="008B3592"/>
    <w:rsid w:val="008B4CC2"/>
    <w:rsid w:val="008B4F32"/>
    <w:rsid w:val="008B6DB0"/>
    <w:rsid w:val="008B79C0"/>
    <w:rsid w:val="008B7CD9"/>
    <w:rsid w:val="008B7F47"/>
    <w:rsid w:val="008C05D2"/>
    <w:rsid w:val="008C1109"/>
    <w:rsid w:val="008C14DC"/>
    <w:rsid w:val="008C1F2F"/>
    <w:rsid w:val="008C237F"/>
    <w:rsid w:val="008C2E52"/>
    <w:rsid w:val="008C3382"/>
    <w:rsid w:val="008C35FC"/>
    <w:rsid w:val="008C4074"/>
    <w:rsid w:val="008C481F"/>
    <w:rsid w:val="008C4AB8"/>
    <w:rsid w:val="008C6120"/>
    <w:rsid w:val="008C6527"/>
    <w:rsid w:val="008C6603"/>
    <w:rsid w:val="008C6A64"/>
    <w:rsid w:val="008C6AB1"/>
    <w:rsid w:val="008C6B08"/>
    <w:rsid w:val="008C7064"/>
    <w:rsid w:val="008C72EB"/>
    <w:rsid w:val="008C757C"/>
    <w:rsid w:val="008C79E5"/>
    <w:rsid w:val="008C7DF5"/>
    <w:rsid w:val="008D07AA"/>
    <w:rsid w:val="008D0868"/>
    <w:rsid w:val="008D1564"/>
    <w:rsid w:val="008D17CD"/>
    <w:rsid w:val="008D22EB"/>
    <w:rsid w:val="008D2355"/>
    <w:rsid w:val="008D245A"/>
    <w:rsid w:val="008D2FEA"/>
    <w:rsid w:val="008D3CCC"/>
    <w:rsid w:val="008D3DF5"/>
    <w:rsid w:val="008D5D8B"/>
    <w:rsid w:val="008D6711"/>
    <w:rsid w:val="008D7397"/>
    <w:rsid w:val="008D74B1"/>
    <w:rsid w:val="008E070C"/>
    <w:rsid w:val="008E104B"/>
    <w:rsid w:val="008E1399"/>
    <w:rsid w:val="008E1652"/>
    <w:rsid w:val="008E2383"/>
    <w:rsid w:val="008E252D"/>
    <w:rsid w:val="008E2878"/>
    <w:rsid w:val="008E28BE"/>
    <w:rsid w:val="008E51A1"/>
    <w:rsid w:val="008E5B87"/>
    <w:rsid w:val="008E6199"/>
    <w:rsid w:val="008E6C81"/>
    <w:rsid w:val="008E729B"/>
    <w:rsid w:val="008E7B06"/>
    <w:rsid w:val="008E7F8C"/>
    <w:rsid w:val="008F0946"/>
    <w:rsid w:val="008F0E13"/>
    <w:rsid w:val="008F1168"/>
    <w:rsid w:val="008F2A2C"/>
    <w:rsid w:val="008F2D8E"/>
    <w:rsid w:val="008F332B"/>
    <w:rsid w:val="008F3C96"/>
    <w:rsid w:val="008F411E"/>
    <w:rsid w:val="008F4229"/>
    <w:rsid w:val="008F4538"/>
    <w:rsid w:val="008F461B"/>
    <w:rsid w:val="008F48B9"/>
    <w:rsid w:val="008F51AE"/>
    <w:rsid w:val="008F58DF"/>
    <w:rsid w:val="008F5BCC"/>
    <w:rsid w:val="008F5D44"/>
    <w:rsid w:val="008F5EAD"/>
    <w:rsid w:val="008F6243"/>
    <w:rsid w:val="008F62DD"/>
    <w:rsid w:val="008F6A7B"/>
    <w:rsid w:val="008F6E9E"/>
    <w:rsid w:val="008F6EB9"/>
    <w:rsid w:val="008F72FB"/>
    <w:rsid w:val="008F7B52"/>
    <w:rsid w:val="008F7C8B"/>
    <w:rsid w:val="00900E67"/>
    <w:rsid w:val="00901534"/>
    <w:rsid w:val="00901624"/>
    <w:rsid w:val="009017DA"/>
    <w:rsid w:val="009019B3"/>
    <w:rsid w:val="00902536"/>
    <w:rsid w:val="0090298B"/>
    <w:rsid w:val="00902DB5"/>
    <w:rsid w:val="00903044"/>
    <w:rsid w:val="009038FD"/>
    <w:rsid w:val="00903964"/>
    <w:rsid w:val="00903C5E"/>
    <w:rsid w:val="0090435A"/>
    <w:rsid w:val="00904A13"/>
    <w:rsid w:val="00905D8C"/>
    <w:rsid w:val="009062F7"/>
    <w:rsid w:val="00906560"/>
    <w:rsid w:val="00906ED8"/>
    <w:rsid w:val="00907370"/>
    <w:rsid w:val="00907402"/>
    <w:rsid w:val="00907566"/>
    <w:rsid w:val="00907F6F"/>
    <w:rsid w:val="009102EB"/>
    <w:rsid w:val="00910496"/>
    <w:rsid w:val="009106C6"/>
    <w:rsid w:val="009110E2"/>
    <w:rsid w:val="00911232"/>
    <w:rsid w:val="00911823"/>
    <w:rsid w:val="009125C8"/>
    <w:rsid w:val="0091264C"/>
    <w:rsid w:val="009144FE"/>
    <w:rsid w:val="009177E3"/>
    <w:rsid w:val="0091797C"/>
    <w:rsid w:val="00920E72"/>
    <w:rsid w:val="00921246"/>
    <w:rsid w:val="00921268"/>
    <w:rsid w:val="00921426"/>
    <w:rsid w:val="00921697"/>
    <w:rsid w:val="00921D6E"/>
    <w:rsid w:val="009222A6"/>
    <w:rsid w:val="0092231C"/>
    <w:rsid w:val="00922711"/>
    <w:rsid w:val="00922953"/>
    <w:rsid w:val="00922BB7"/>
    <w:rsid w:val="00922C50"/>
    <w:rsid w:val="009242EA"/>
    <w:rsid w:val="0092542C"/>
    <w:rsid w:val="00925501"/>
    <w:rsid w:val="00925579"/>
    <w:rsid w:val="00925E41"/>
    <w:rsid w:val="0092655C"/>
    <w:rsid w:val="009266CE"/>
    <w:rsid w:val="00926949"/>
    <w:rsid w:val="009269AB"/>
    <w:rsid w:val="00926F2F"/>
    <w:rsid w:val="009272C4"/>
    <w:rsid w:val="00927406"/>
    <w:rsid w:val="00930124"/>
    <w:rsid w:val="009302F9"/>
    <w:rsid w:val="0093091B"/>
    <w:rsid w:val="00930E35"/>
    <w:rsid w:val="009315FA"/>
    <w:rsid w:val="0093189C"/>
    <w:rsid w:val="00932198"/>
    <w:rsid w:val="0093286F"/>
    <w:rsid w:val="00932A21"/>
    <w:rsid w:val="00932C2E"/>
    <w:rsid w:val="009337BC"/>
    <w:rsid w:val="0093386A"/>
    <w:rsid w:val="00933C1A"/>
    <w:rsid w:val="00934D4E"/>
    <w:rsid w:val="0093538E"/>
    <w:rsid w:val="009353CE"/>
    <w:rsid w:val="00935A94"/>
    <w:rsid w:val="00935D74"/>
    <w:rsid w:val="009368AA"/>
    <w:rsid w:val="00937088"/>
    <w:rsid w:val="00937228"/>
    <w:rsid w:val="00937A03"/>
    <w:rsid w:val="00937BB7"/>
    <w:rsid w:val="00937CA7"/>
    <w:rsid w:val="00940329"/>
    <w:rsid w:val="0094099B"/>
    <w:rsid w:val="009414B8"/>
    <w:rsid w:val="00941878"/>
    <w:rsid w:val="00941934"/>
    <w:rsid w:val="00941E02"/>
    <w:rsid w:val="00941F2A"/>
    <w:rsid w:val="009422B1"/>
    <w:rsid w:val="00942B7F"/>
    <w:rsid w:val="00942FAD"/>
    <w:rsid w:val="009435DE"/>
    <w:rsid w:val="009436AC"/>
    <w:rsid w:val="00943719"/>
    <w:rsid w:val="00946184"/>
    <w:rsid w:val="00946280"/>
    <w:rsid w:val="00946713"/>
    <w:rsid w:val="00946DAE"/>
    <w:rsid w:val="00946E16"/>
    <w:rsid w:val="00946E59"/>
    <w:rsid w:val="009470B0"/>
    <w:rsid w:val="00947347"/>
    <w:rsid w:val="009476E0"/>
    <w:rsid w:val="009501A8"/>
    <w:rsid w:val="009504CD"/>
    <w:rsid w:val="00950742"/>
    <w:rsid w:val="00950953"/>
    <w:rsid w:val="00950DD2"/>
    <w:rsid w:val="009510B8"/>
    <w:rsid w:val="00952340"/>
    <w:rsid w:val="00952E58"/>
    <w:rsid w:val="009530DB"/>
    <w:rsid w:val="00953960"/>
    <w:rsid w:val="00953985"/>
    <w:rsid w:val="009539EF"/>
    <w:rsid w:val="00953A6F"/>
    <w:rsid w:val="009540DD"/>
    <w:rsid w:val="00954327"/>
    <w:rsid w:val="009543DF"/>
    <w:rsid w:val="00954965"/>
    <w:rsid w:val="00954F5E"/>
    <w:rsid w:val="00955176"/>
    <w:rsid w:val="009551AB"/>
    <w:rsid w:val="009551AD"/>
    <w:rsid w:val="00955AC0"/>
    <w:rsid w:val="00955C26"/>
    <w:rsid w:val="00955DBF"/>
    <w:rsid w:val="0095646C"/>
    <w:rsid w:val="00956719"/>
    <w:rsid w:val="00957266"/>
    <w:rsid w:val="00957467"/>
    <w:rsid w:val="00957773"/>
    <w:rsid w:val="00957A1B"/>
    <w:rsid w:val="00957B0C"/>
    <w:rsid w:val="009608D0"/>
    <w:rsid w:val="00960B7F"/>
    <w:rsid w:val="00960E19"/>
    <w:rsid w:val="00961080"/>
    <w:rsid w:val="0096132F"/>
    <w:rsid w:val="00961649"/>
    <w:rsid w:val="009616B0"/>
    <w:rsid w:val="0096177C"/>
    <w:rsid w:val="00961C0B"/>
    <w:rsid w:val="009621C4"/>
    <w:rsid w:val="0096245C"/>
    <w:rsid w:val="009626E3"/>
    <w:rsid w:val="009629BE"/>
    <w:rsid w:val="00962B02"/>
    <w:rsid w:val="00963C0A"/>
    <w:rsid w:val="00963F8F"/>
    <w:rsid w:val="009642D4"/>
    <w:rsid w:val="00964892"/>
    <w:rsid w:val="00965033"/>
    <w:rsid w:val="009651C9"/>
    <w:rsid w:val="009655C3"/>
    <w:rsid w:val="009663B5"/>
    <w:rsid w:val="00966CE2"/>
    <w:rsid w:val="00966D38"/>
    <w:rsid w:val="009673A7"/>
    <w:rsid w:val="009676E9"/>
    <w:rsid w:val="0097052C"/>
    <w:rsid w:val="0097093F"/>
    <w:rsid w:val="009713BC"/>
    <w:rsid w:val="00971FE3"/>
    <w:rsid w:val="009720F7"/>
    <w:rsid w:val="009720FF"/>
    <w:rsid w:val="009721AB"/>
    <w:rsid w:val="009726E8"/>
    <w:rsid w:val="00972FBE"/>
    <w:rsid w:val="009735A2"/>
    <w:rsid w:val="009735DB"/>
    <w:rsid w:val="00974025"/>
    <w:rsid w:val="00974357"/>
    <w:rsid w:val="009743B6"/>
    <w:rsid w:val="00974B7C"/>
    <w:rsid w:val="00974BEC"/>
    <w:rsid w:val="00974CBA"/>
    <w:rsid w:val="00974D68"/>
    <w:rsid w:val="009752EB"/>
    <w:rsid w:val="00975B03"/>
    <w:rsid w:val="009761EF"/>
    <w:rsid w:val="00976A7F"/>
    <w:rsid w:val="00976BBC"/>
    <w:rsid w:val="009773CA"/>
    <w:rsid w:val="0097771B"/>
    <w:rsid w:val="009810C7"/>
    <w:rsid w:val="00981DC6"/>
    <w:rsid w:val="009823AD"/>
    <w:rsid w:val="0098257C"/>
    <w:rsid w:val="009828B8"/>
    <w:rsid w:val="00982B06"/>
    <w:rsid w:val="00983FF5"/>
    <w:rsid w:val="0098417E"/>
    <w:rsid w:val="00984297"/>
    <w:rsid w:val="00984D8D"/>
    <w:rsid w:val="00985181"/>
    <w:rsid w:val="00986E37"/>
    <w:rsid w:val="009877C8"/>
    <w:rsid w:val="00987A40"/>
    <w:rsid w:val="00987E83"/>
    <w:rsid w:val="0099009F"/>
    <w:rsid w:val="0099039A"/>
    <w:rsid w:val="00990533"/>
    <w:rsid w:val="0099099C"/>
    <w:rsid w:val="00990A4C"/>
    <w:rsid w:val="00991324"/>
    <w:rsid w:val="00991B8D"/>
    <w:rsid w:val="00991D63"/>
    <w:rsid w:val="00991DEF"/>
    <w:rsid w:val="00992777"/>
    <w:rsid w:val="00992849"/>
    <w:rsid w:val="009929C1"/>
    <w:rsid w:val="00992FF6"/>
    <w:rsid w:val="009932F1"/>
    <w:rsid w:val="00993759"/>
    <w:rsid w:val="00993D47"/>
    <w:rsid w:val="00993E6A"/>
    <w:rsid w:val="00994301"/>
    <w:rsid w:val="00994A55"/>
    <w:rsid w:val="00994D9A"/>
    <w:rsid w:val="00995295"/>
    <w:rsid w:val="00995A12"/>
    <w:rsid w:val="00995B0B"/>
    <w:rsid w:val="00995CC2"/>
    <w:rsid w:val="009961E7"/>
    <w:rsid w:val="009969D2"/>
    <w:rsid w:val="00997102"/>
    <w:rsid w:val="009974BA"/>
    <w:rsid w:val="00997EEB"/>
    <w:rsid w:val="009A0036"/>
    <w:rsid w:val="009A0639"/>
    <w:rsid w:val="009A0E44"/>
    <w:rsid w:val="009A1074"/>
    <w:rsid w:val="009A128E"/>
    <w:rsid w:val="009A1D34"/>
    <w:rsid w:val="009A1F09"/>
    <w:rsid w:val="009A2D19"/>
    <w:rsid w:val="009A301A"/>
    <w:rsid w:val="009A38ED"/>
    <w:rsid w:val="009A4827"/>
    <w:rsid w:val="009A5B90"/>
    <w:rsid w:val="009A5D3F"/>
    <w:rsid w:val="009A6101"/>
    <w:rsid w:val="009A7115"/>
    <w:rsid w:val="009B0819"/>
    <w:rsid w:val="009B0DED"/>
    <w:rsid w:val="009B1C2E"/>
    <w:rsid w:val="009B2135"/>
    <w:rsid w:val="009B29DE"/>
    <w:rsid w:val="009B33A1"/>
    <w:rsid w:val="009B3417"/>
    <w:rsid w:val="009B37D8"/>
    <w:rsid w:val="009B3B06"/>
    <w:rsid w:val="009B4091"/>
    <w:rsid w:val="009B50D3"/>
    <w:rsid w:val="009B55A3"/>
    <w:rsid w:val="009B6125"/>
    <w:rsid w:val="009B689C"/>
    <w:rsid w:val="009B6F82"/>
    <w:rsid w:val="009B7741"/>
    <w:rsid w:val="009B77B8"/>
    <w:rsid w:val="009B78E3"/>
    <w:rsid w:val="009B7CB3"/>
    <w:rsid w:val="009C00D0"/>
    <w:rsid w:val="009C028E"/>
    <w:rsid w:val="009C08EF"/>
    <w:rsid w:val="009C09BC"/>
    <w:rsid w:val="009C0A87"/>
    <w:rsid w:val="009C10A4"/>
    <w:rsid w:val="009C15F0"/>
    <w:rsid w:val="009C180F"/>
    <w:rsid w:val="009C1DA7"/>
    <w:rsid w:val="009C20FA"/>
    <w:rsid w:val="009C27C2"/>
    <w:rsid w:val="009C31FE"/>
    <w:rsid w:val="009C3513"/>
    <w:rsid w:val="009C3790"/>
    <w:rsid w:val="009C3879"/>
    <w:rsid w:val="009C4087"/>
    <w:rsid w:val="009C41BE"/>
    <w:rsid w:val="009C4838"/>
    <w:rsid w:val="009C579A"/>
    <w:rsid w:val="009C57D8"/>
    <w:rsid w:val="009C5D10"/>
    <w:rsid w:val="009C5F28"/>
    <w:rsid w:val="009C6201"/>
    <w:rsid w:val="009C6BF6"/>
    <w:rsid w:val="009C75EE"/>
    <w:rsid w:val="009C79E3"/>
    <w:rsid w:val="009C7C26"/>
    <w:rsid w:val="009D01EF"/>
    <w:rsid w:val="009D0236"/>
    <w:rsid w:val="009D04BA"/>
    <w:rsid w:val="009D0685"/>
    <w:rsid w:val="009D07DD"/>
    <w:rsid w:val="009D10DD"/>
    <w:rsid w:val="009D178B"/>
    <w:rsid w:val="009D19DC"/>
    <w:rsid w:val="009D1CE1"/>
    <w:rsid w:val="009D1D3C"/>
    <w:rsid w:val="009D2084"/>
    <w:rsid w:val="009D2582"/>
    <w:rsid w:val="009D3402"/>
    <w:rsid w:val="009D390A"/>
    <w:rsid w:val="009D485F"/>
    <w:rsid w:val="009D4976"/>
    <w:rsid w:val="009D4A31"/>
    <w:rsid w:val="009D4BDB"/>
    <w:rsid w:val="009D5688"/>
    <w:rsid w:val="009D5787"/>
    <w:rsid w:val="009D62F2"/>
    <w:rsid w:val="009D761C"/>
    <w:rsid w:val="009D782C"/>
    <w:rsid w:val="009D7841"/>
    <w:rsid w:val="009D7CAB"/>
    <w:rsid w:val="009E0856"/>
    <w:rsid w:val="009E09F7"/>
    <w:rsid w:val="009E0DC2"/>
    <w:rsid w:val="009E1AAE"/>
    <w:rsid w:val="009E1BA4"/>
    <w:rsid w:val="009E1F5A"/>
    <w:rsid w:val="009E2274"/>
    <w:rsid w:val="009E23DE"/>
    <w:rsid w:val="009E2899"/>
    <w:rsid w:val="009E2A9B"/>
    <w:rsid w:val="009E2D23"/>
    <w:rsid w:val="009E34D7"/>
    <w:rsid w:val="009E3EF6"/>
    <w:rsid w:val="009E3F64"/>
    <w:rsid w:val="009E4584"/>
    <w:rsid w:val="009E45FF"/>
    <w:rsid w:val="009E56A7"/>
    <w:rsid w:val="009E5B3F"/>
    <w:rsid w:val="009E5C7B"/>
    <w:rsid w:val="009E69F7"/>
    <w:rsid w:val="009E6ADC"/>
    <w:rsid w:val="009E6D4F"/>
    <w:rsid w:val="009E7539"/>
    <w:rsid w:val="009E7986"/>
    <w:rsid w:val="009E79B6"/>
    <w:rsid w:val="009F018B"/>
    <w:rsid w:val="009F07F2"/>
    <w:rsid w:val="009F094A"/>
    <w:rsid w:val="009F0C48"/>
    <w:rsid w:val="009F10CE"/>
    <w:rsid w:val="009F1B58"/>
    <w:rsid w:val="009F1CA6"/>
    <w:rsid w:val="009F260D"/>
    <w:rsid w:val="009F2A8E"/>
    <w:rsid w:val="009F2D03"/>
    <w:rsid w:val="009F3138"/>
    <w:rsid w:val="009F43E0"/>
    <w:rsid w:val="009F46A6"/>
    <w:rsid w:val="009F519E"/>
    <w:rsid w:val="009F5252"/>
    <w:rsid w:val="009F52E9"/>
    <w:rsid w:val="009F5680"/>
    <w:rsid w:val="009F5C07"/>
    <w:rsid w:val="009F5E4F"/>
    <w:rsid w:val="009F5ED1"/>
    <w:rsid w:val="009F64B7"/>
    <w:rsid w:val="009F6C45"/>
    <w:rsid w:val="009F6C8B"/>
    <w:rsid w:val="009F6F44"/>
    <w:rsid w:val="009F7294"/>
    <w:rsid w:val="009F7AE7"/>
    <w:rsid w:val="00A00202"/>
    <w:rsid w:val="00A004F4"/>
    <w:rsid w:val="00A00817"/>
    <w:rsid w:val="00A018E5"/>
    <w:rsid w:val="00A01AFD"/>
    <w:rsid w:val="00A02943"/>
    <w:rsid w:val="00A033F8"/>
    <w:rsid w:val="00A03973"/>
    <w:rsid w:val="00A03FF5"/>
    <w:rsid w:val="00A0401F"/>
    <w:rsid w:val="00A04FAD"/>
    <w:rsid w:val="00A050AD"/>
    <w:rsid w:val="00A05688"/>
    <w:rsid w:val="00A06CF0"/>
    <w:rsid w:val="00A073F4"/>
    <w:rsid w:val="00A07621"/>
    <w:rsid w:val="00A07AE4"/>
    <w:rsid w:val="00A1037F"/>
    <w:rsid w:val="00A104D9"/>
    <w:rsid w:val="00A10AC9"/>
    <w:rsid w:val="00A117AE"/>
    <w:rsid w:val="00A11FE3"/>
    <w:rsid w:val="00A122E2"/>
    <w:rsid w:val="00A123CB"/>
    <w:rsid w:val="00A12883"/>
    <w:rsid w:val="00A132A7"/>
    <w:rsid w:val="00A13F0B"/>
    <w:rsid w:val="00A14950"/>
    <w:rsid w:val="00A149D2"/>
    <w:rsid w:val="00A14ED6"/>
    <w:rsid w:val="00A14F4B"/>
    <w:rsid w:val="00A15048"/>
    <w:rsid w:val="00A15442"/>
    <w:rsid w:val="00A15853"/>
    <w:rsid w:val="00A15BC0"/>
    <w:rsid w:val="00A15EA2"/>
    <w:rsid w:val="00A1632A"/>
    <w:rsid w:val="00A17B35"/>
    <w:rsid w:val="00A17F3A"/>
    <w:rsid w:val="00A21FF7"/>
    <w:rsid w:val="00A2286C"/>
    <w:rsid w:val="00A22993"/>
    <w:rsid w:val="00A22A02"/>
    <w:rsid w:val="00A23289"/>
    <w:rsid w:val="00A243B4"/>
    <w:rsid w:val="00A249DC"/>
    <w:rsid w:val="00A24AE6"/>
    <w:rsid w:val="00A25425"/>
    <w:rsid w:val="00A25821"/>
    <w:rsid w:val="00A25A06"/>
    <w:rsid w:val="00A25C4F"/>
    <w:rsid w:val="00A25FA2"/>
    <w:rsid w:val="00A261CC"/>
    <w:rsid w:val="00A262E7"/>
    <w:rsid w:val="00A276A5"/>
    <w:rsid w:val="00A304B4"/>
    <w:rsid w:val="00A3084A"/>
    <w:rsid w:val="00A30969"/>
    <w:rsid w:val="00A30D25"/>
    <w:rsid w:val="00A31028"/>
    <w:rsid w:val="00A310A8"/>
    <w:rsid w:val="00A31EC9"/>
    <w:rsid w:val="00A31FC4"/>
    <w:rsid w:val="00A324D9"/>
    <w:rsid w:val="00A3272F"/>
    <w:rsid w:val="00A32F7F"/>
    <w:rsid w:val="00A34010"/>
    <w:rsid w:val="00A349A9"/>
    <w:rsid w:val="00A34AED"/>
    <w:rsid w:val="00A351FE"/>
    <w:rsid w:val="00A36102"/>
    <w:rsid w:val="00A36148"/>
    <w:rsid w:val="00A3622B"/>
    <w:rsid w:val="00A365ED"/>
    <w:rsid w:val="00A3736D"/>
    <w:rsid w:val="00A37978"/>
    <w:rsid w:val="00A37F36"/>
    <w:rsid w:val="00A40070"/>
    <w:rsid w:val="00A414AB"/>
    <w:rsid w:val="00A41DBF"/>
    <w:rsid w:val="00A4243B"/>
    <w:rsid w:val="00A42765"/>
    <w:rsid w:val="00A444C7"/>
    <w:rsid w:val="00A44502"/>
    <w:rsid w:val="00A44B5C"/>
    <w:rsid w:val="00A45286"/>
    <w:rsid w:val="00A45CD1"/>
    <w:rsid w:val="00A45CFD"/>
    <w:rsid w:val="00A46496"/>
    <w:rsid w:val="00A46791"/>
    <w:rsid w:val="00A467F1"/>
    <w:rsid w:val="00A46A9A"/>
    <w:rsid w:val="00A471EC"/>
    <w:rsid w:val="00A47501"/>
    <w:rsid w:val="00A478DC"/>
    <w:rsid w:val="00A47E7E"/>
    <w:rsid w:val="00A50389"/>
    <w:rsid w:val="00A504CF"/>
    <w:rsid w:val="00A50F13"/>
    <w:rsid w:val="00A51242"/>
    <w:rsid w:val="00A51EF4"/>
    <w:rsid w:val="00A529E4"/>
    <w:rsid w:val="00A52AB7"/>
    <w:rsid w:val="00A53283"/>
    <w:rsid w:val="00A53CF4"/>
    <w:rsid w:val="00A54FC4"/>
    <w:rsid w:val="00A5562B"/>
    <w:rsid w:val="00A556D9"/>
    <w:rsid w:val="00A55E81"/>
    <w:rsid w:val="00A56180"/>
    <w:rsid w:val="00A566D4"/>
    <w:rsid w:val="00A56C33"/>
    <w:rsid w:val="00A56C9C"/>
    <w:rsid w:val="00A56D05"/>
    <w:rsid w:val="00A57533"/>
    <w:rsid w:val="00A57599"/>
    <w:rsid w:val="00A57C0C"/>
    <w:rsid w:val="00A60006"/>
    <w:rsid w:val="00A61364"/>
    <w:rsid w:val="00A61721"/>
    <w:rsid w:val="00A62455"/>
    <w:rsid w:val="00A62863"/>
    <w:rsid w:val="00A6378D"/>
    <w:rsid w:val="00A637D1"/>
    <w:rsid w:val="00A641FC"/>
    <w:rsid w:val="00A64258"/>
    <w:rsid w:val="00A646E8"/>
    <w:rsid w:val="00A657FF"/>
    <w:rsid w:val="00A65D67"/>
    <w:rsid w:val="00A65DAC"/>
    <w:rsid w:val="00A66270"/>
    <w:rsid w:val="00A6653C"/>
    <w:rsid w:val="00A66A8F"/>
    <w:rsid w:val="00A66F3A"/>
    <w:rsid w:val="00A67DE2"/>
    <w:rsid w:val="00A70E1A"/>
    <w:rsid w:val="00A70F6D"/>
    <w:rsid w:val="00A7144B"/>
    <w:rsid w:val="00A71534"/>
    <w:rsid w:val="00A71680"/>
    <w:rsid w:val="00A716F4"/>
    <w:rsid w:val="00A71BB5"/>
    <w:rsid w:val="00A721AC"/>
    <w:rsid w:val="00A727C3"/>
    <w:rsid w:val="00A72981"/>
    <w:rsid w:val="00A72B16"/>
    <w:rsid w:val="00A72F2E"/>
    <w:rsid w:val="00A73BF8"/>
    <w:rsid w:val="00A73D4D"/>
    <w:rsid w:val="00A74404"/>
    <w:rsid w:val="00A749CF"/>
    <w:rsid w:val="00A7520B"/>
    <w:rsid w:val="00A75638"/>
    <w:rsid w:val="00A7572C"/>
    <w:rsid w:val="00A75849"/>
    <w:rsid w:val="00A75B3C"/>
    <w:rsid w:val="00A75F7C"/>
    <w:rsid w:val="00A76B4E"/>
    <w:rsid w:val="00A76EC2"/>
    <w:rsid w:val="00A76FF0"/>
    <w:rsid w:val="00A7708E"/>
    <w:rsid w:val="00A770B3"/>
    <w:rsid w:val="00A779E4"/>
    <w:rsid w:val="00A8069F"/>
    <w:rsid w:val="00A807EB"/>
    <w:rsid w:val="00A828D3"/>
    <w:rsid w:val="00A82C06"/>
    <w:rsid w:val="00A82E36"/>
    <w:rsid w:val="00A83048"/>
    <w:rsid w:val="00A83206"/>
    <w:rsid w:val="00A833CF"/>
    <w:rsid w:val="00A83575"/>
    <w:rsid w:val="00A83621"/>
    <w:rsid w:val="00A83C8F"/>
    <w:rsid w:val="00A85285"/>
    <w:rsid w:val="00A85509"/>
    <w:rsid w:val="00A85938"/>
    <w:rsid w:val="00A85E1E"/>
    <w:rsid w:val="00A86075"/>
    <w:rsid w:val="00A8610B"/>
    <w:rsid w:val="00A86942"/>
    <w:rsid w:val="00A86D64"/>
    <w:rsid w:val="00A87F71"/>
    <w:rsid w:val="00A90323"/>
    <w:rsid w:val="00A9050E"/>
    <w:rsid w:val="00A90772"/>
    <w:rsid w:val="00A910EC"/>
    <w:rsid w:val="00A919D4"/>
    <w:rsid w:val="00A92F2A"/>
    <w:rsid w:val="00A93646"/>
    <w:rsid w:val="00A93D0A"/>
    <w:rsid w:val="00A94081"/>
    <w:rsid w:val="00A94845"/>
    <w:rsid w:val="00A94D8C"/>
    <w:rsid w:val="00A94F45"/>
    <w:rsid w:val="00A95828"/>
    <w:rsid w:val="00A96C47"/>
    <w:rsid w:val="00A96CF6"/>
    <w:rsid w:val="00A976C1"/>
    <w:rsid w:val="00A97951"/>
    <w:rsid w:val="00A97C37"/>
    <w:rsid w:val="00AA0509"/>
    <w:rsid w:val="00AA0698"/>
    <w:rsid w:val="00AA0EA8"/>
    <w:rsid w:val="00AA1049"/>
    <w:rsid w:val="00AA10D3"/>
    <w:rsid w:val="00AA241D"/>
    <w:rsid w:val="00AA2946"/>
    <w:rsid w:val="00AA2F83"/>
    <w:rsid w:val="00AA32F0"/>
    <w:rsid w:val="00AA3C00"/>
    <w:rsid w:val="00AA42C2"/>
    <w:rsid w:val="00AA46AA"/>
    <w:rsid w:val="00AA47A8"/>
    <w:rsid w:val="00AA48FB"/>
    <w:rsid w:val="00AA49B5"/>
    <w:rsid w:val="00AA4E68"/>
    <w:rsid w:val="00AA5A67"/>
    <w:rsid w:val="00AA5C9C"/>
    <w:rsid w:val="00AA6272"/>
    <w:rsid w:val="00AA6A1B"/>
    <w:rsid w:val="00AA6F5C"/>
    <w:rsid w:val="00AA7261"/>
    <w:rsid w:val="00AA7529"/>
    <w:rsid w:val="00AB0753"/>
    <w:rsid w:val="00AB0DD3"/>
    <w:rsid w:val="00AB12CC"/>
    <w:rsid w:val="00AB15EC"/>
    <w:rsid w:val="00AB1B1A"/>
    <w:rsid w:val="00AB21C4"/>
    <w:rsid w:val="00AB27EB"/>
    <w:rsid w:val="00AB28C0"/>
    <w:rsid w:val="00AB4346"/>
    <w:rsid w:val="00AB459A"/>
    <w:rsid w:val="00AB4A45"/>
    <w:rsid w:val="00AB4F22"/>
    <w:rsid w:val="00AB54F6"/>
    <w:rsid w:val="00AB5780"/>
    <w:rsid w:val="00AB5AA5"/>
    <w:rsid w:val="00AB6BFE"/>
    <w:rsid w:val="00AC0542"/>
    <w:rsid w:val="00AC06C8"/>
    <w:rsid w:val="00AC07C5"/>
    <w:rsid w:val="00AC1848"/>
    <w:rsid w:val="00AC1D1D"/>
    <w:rsid w:val="00AC1E47"/>
    <w:rsid w:val="00AC237E"/>
    <w:rsid w:val="00AC23EA"/>
    <w:rsid w:val="00AC281A"/>
    <w:rsid w:val="00AC2D36"/>
    <w:rsid w:val="00AC2E5D"/>
    <w:rsid w:val="00AC3E09"/>
    <w:rsid w:val="00AC48B5"/>
    <w:rsid w:val="00AC5181"/>
    <w:rsid w:val="00AC6222"/>
    <w:rsid w:val="00AC6AE5"/>
    <w:rsid w:val="00AC7779"/>
    <w:rsid w:val="00AC7942"/>
    <w:rsid w:val="00AC7C88"/>
    <w:rsid w:val="00AD2C73"/>
    <w:rsid w:val="00AD384D"/>
    <w:rsid w:val="00AD3CA6"/>
    <w:rsid w:val="00AD46DE"/>
    <w:rsid w:val="00AD4A86"/>
    <w:rsid w:val="00AD5F66"/>
    <w:rsid w:val="00AD6634"/>
    <w:rsid w:val="00AD7048"/>
    <w:rsid w:val="00AD77F1"/>
    <w:rsid w:val="00AD7DCD"/>
    <w:rsid w:val="00AE002C"/>
    <w:rsid w:val="00AE027A"/>
    <w:rsid w:val="00AE0370"/>
    <w:rsid w:val="00AE05D4"/>
    <w:rsid w:val="00AE082A"/>
    <w:rsid w:val="00AE1FED"/>
    <w:rsid w:val="00AE2135"/>
    <w:rsid w:val="00AE268E"/>
    <w:rsid w:val="00AE294E"/>
    <w:rsid w:val="00AE2F06"/>
    <w:rsid w:val="00AE31B9"/>
    <w:rsid w:val="00AE3BAB"/>
    <w:rsid w:val="00AE4398"/>
    <w:rsid w:val="00AE4892"/>
    <w:rsid w:val="00AE4E63"/>
    <w:rsid w:val="00AE531C"/>
    <w:rsid w:val="00AE56DC"/>
    <w:rsid w:val="00AE74B0"/>
    <w:rsid w:val="00AE75F2"/>
    <w:rsid w:val="00AE76DF"/>
    <w:rsid w:val="00AE78EE"/>
    <w:rsid w:val="00AF0291"/>
    <w:rsid w:val="00AF05FF"/>
    <w:rsid w:val="00AF0911"/>
    <w:rsid w:val="00AF11A9"/>
    <w:rsid w:val="00AF2729"/>
    <w:rsid w:val="00AF3AB6"/>
    <w:rsid w:val="00AF3E8D"/>
    <w:rsid w:val="00AF4BD7"/>
    <w:rsid w:val="00AF5086"/>
    <w:rsid w:val="00AF538F"/>
    <w:rsid w:val="00AF56EE"/>
    <w:rsid w:val="00AF5873"/>
    <w:rsid w:val="00AF6682"/>
    <w:rsid w:val="00AF74EA"/>
    <w:rsid w:val="00AF7C89"/>
    <w:rsid w:val="00B00A90"/>
    <w:rsid w:val="00B0199B"/>
    <w:rsid w:val="00B020AF"/>
    <w:rsid w:val="00B02121"/>
    <w:rsid w:val="00B02140"/>
    <w:rsid w:val="00B02187"/>
    <w:rsid w:val="00B02259"/>
    <w:rsid w:val="00B0279C"/>
    <w:rsid w:val="00B02B7C"/>
    <w:rsid w:val="00B02F3D"/>
    <w:rsid w:val="00B033E0"/>
    <w:rsid w:val="00B03628"/>
    <w:rsid w:val="00B03A43"/>
    <w:rsid w:val="00B03DB2"/>
    <w:rsid w:val="00B03EC4"/>
    <w:rsid w:val="00B04187"/>
    <w:rsid w:val="00B049AA"/>
    <w:rsid w:val="00B04D63"/>
    <w:rsid w:val="00B04F97"/>
    <w:rsid w:val="00B0527A"/>
    <w:rsid w:val="00B0574B"/>
    <w:rsid w:val="00B057CF"/>
    <w:rsid w:val="00B05A42"/>
    <w:rsid w:val="00B05A61"/>
    <w:rsid w:val="00B05E3A"/>
    <w:rsid w:val="00B061A0"/>
    <w:rsid w:val="00B06329"/>
    <w:rsid w:val="00B06969"/>
    <w:rsid w:val="00B072AE"/>
    <w:rsid w:val="00B075D9"/>
    <w:rsid w:val="00B07DBD"/>
    <w:rsid w:val="00B1014E"/>
    <w:rsid w:val="00B10562"/>
    <w:rsid w:val="00B10648"/>
    <w:rsid w:val="00B10DC7"/>
    <w:rsid w:val="00B12736"/>
    <w:rsid w:val="00B12857"/>
    <w:rsid w:val="00B12EF6"/>
    <w:rsid w:val="00B133D5"/>
    <w:rsid w:val="00B137FD"/>
    <w:rsid w:val="00B13CF4"/>
    <w:rsid w:val="00B142DB"/>
    <w:rsid w:val="00B144D1"/>
    <w:rsid w:val="00B14D44"/>
    <w:rsid w:val="00B15415"/>
    <w:rsid w:val="00B15D34"/>
    <w:rsid w:val="00B160DC"/>
    <w:rsid w:val="00B16CC4"/>
    <w:rsid w:val="00B1771A"/>
    <w:rsid w:val="00B17A57"/>
    <w:rsid w:val="00B17EC4"/>
    <w:rsid w:val="00B20218"/>
    <w:rsid w:val="00B20715"/>
    <w:rsid w:val="00B20817"/>
    <w:rsid w:val="00B20C4C"/>
    <w:rsid w:val="00B20C80"/>
    <w:rsid w:val="00B20E86"/>
    <w:rsid w:val="00B20EDE"/>
    <w:rsid w:val="00B211E5"/>
    <w:rsid w:val="00B211F2"/>
    <w:rsid w:val="00B21CAA"/>
    <w:rsid w:val="00B2254B"/>
    <w:rsid w:val="00B232D6"/>
    <w:rsid w:val="00B240CE"/>
    <w:rsid w:val="00B24931"/>
    <w:rsid w:val="00B24B65"/>
    <w:rsid w:val="00B25687"/>
    <w:rsid w:val="00B25BF5"/>
    <w:rsid w:val="00B2617C"/>
    <w:rsid w:val="00B263B6"/>
    <w:rsid w:val="00B26868"/>
    <w:rsid w:val="00B271C4"/>
    <w:rsid w:val="00B2744E"/>
    <w:rsid w:val="00B30AFA"/>
    <w:rsid w:val="00B31F20"/>
    <w:rsid w:val="00B32F81"/>
    <w:rsid w:val="00B32FA6"/>
    <w:rsid w:val="00B33328"/>
    <w:rsid w:val="00B333D4"/>
    <w:rsid w:val="00B33EE6"/>
    <w:rsid w:val="00B34D8E"/>
    <w:rsid w:val="00B35116"/>
    <w:rsid w:val="00B35582"/>
    <w:rsid w:val="00B358B8"/>
    <w:rsid w:val="00B358D8"/>
    <w:rsid w:val="00B35A4A"/>
    <w:rsid w:val="00B35E21"/>
    <w:rsid w:val="00B366CE"/>
    <w:rsid w:val="00B37061"/>
    <w:rsid w:val="00B371A2"/>
    <w:rsid w:val="00B40081"/>
    <w:rsid w:val="00B40B35"/>
    <w:rsid w:val="00B40E48"/>
    <w:rsid w:val="00B42095"/>
    <w:rsid w:val="00B423DD"/>
    <w:rsid w:val="00B42786"/>
    <w:rsid w:val="00B42E45"/>
    <w:rsid w:val="00B42F09"/>
    <w:rsid w:val="00B43386"/>
    <w:rsid w:val="00B43546"/>
    <w:rsid w:val="00B43C98"/>
    <w:rsid w:val="00B443B3"/>
    <w:rsid w:val="00B4457E"/>
    <w:rsid w:val="00B45168"/>
    <w:rsid w:val="00B45392"/>
    <w:rsid w:val="00B45B5D"/>
    <w:rsid w:val="00B45E22"/>
    <w:rsid w:val="00B4621E"/>
    <w:rsid w:val="00B46349"/>
    <w:rsid w:val="00B469FD"/>
    <w:rsid w:val="00B46BF4"/>
    <w:rsid w:val="00B46DCB"/>
    <w:rsid w:val="00B47441"/>
    <w:rsid w:val="00B478EE"/>
    <w:rsid w:val="00B47CE3"/>
    <w:rsid w:val="00B5033C"/>
    <w:rsid w:val="00B50519"/>
    <w:rsid w:val="00B5232E"/>
    <w:rsid w:val="00B523D9"/>
    <w:rsid w:val="00B52725"/>
    <w:rsid w:val="00B5369E"/>
    <w:rsid w:val="00B53930"/>
    <w:rsid w:val="00B53CF6"/>
    <w:rsid w:val="00B53EDA"/>
    <w:rsid w:val="00B53F78"/>
    <w:rsid w:val="00B543BC"/>
    <w:rsid w:val="00B545F8"/>
    <w:rsid w:val="00B54B52"/>
    <w:rsid w:val="00B54CAE"/>
    <w:rsid w:val="00B55200"/>
    <w:rsid w:val="00B554BD"/>
    <w:rsid w:val="00B55EB0"/>
    <w:rsid w:val="00B56572"/>
    <w:rsid w:val="00B5728E"/>
    <w:rsid w:val="00B57726"/>
    <w:rsid w:val="00B57B33"/>
    <w:rsid w:val="00B57FCF"/>
    <w:rsid w:val="00B600BD"/>
    <w:rsid w:val="00B60381"/>
    <w:rsid w:val="00B605F2"/>
    <w:rsid w:val="00B60665"/>
    <w:rsid w:val="00B60668"/>
    <w:rsid w:val="00B6088A"/>
    <w:rsid w:val="00B61281"/>
    <w:rsid w:val="00B61408"/>
    <w:rsid w:val="00B6152E"/>
    <w:rsid w:val="00B615C8"/>
    <w:rsid w:val="00B624AB"/>
    <w:rsid w:val="00B62525"/>
    <w:rsid w:val="00B633F2"/>
    <w:rsid w:val="00B63647"/>
    <w:rsid w:val="00B6382E"/>
    <w:rsid w:val="00B63FD6"/>
    <w:rsid w:val="00B64484"/>
    <w:rsid w:val="00B6485F"/>
    <w:rsid w:val="00B65517"/>
    <w:rsid w:val="00B657D9"/>
    <w:rsid w:val="00B65C50"/>
    <w:rsid w:val="00B66B7A"/>
    <w:rsid w:val="00B66C34"/>
    <w:rsid w:val="00B66D6D"/>
    <w:rsid w:val="00B66F91"/>
    <w:rsid w:val="00B67263"/>
    <w:rsid w:val="00B67E13"/>
    <w:rsid w:val="00B70F40"/>
    <w:rsid w:val="00B710A1"/>
    <w:rsid w:val="00B71D60"/>
    <w:rsid w:val="00B71D65"/>
    <w:rsid w:val="00B71F65"/>
    <w:rsid w:val="00B73465"/>
    <w:rsid w:val="00B738C1"/>
    <w:rsid w:val="00B73B99"/>
    <w:rsid w:val="00B74AA6"/>
    <w:rsid w:val="00B7558A"/>
    <w:rsid w:val="00B76956"/>
    <w:rsid w:val="00B7727B"/>
    <w:rsid w:val="00B772F2"/>
    <w:rsid w:val="00B7778D"/>
    <w:rsid w:val="00B818E3"/>
    <w:rsid w:val="00B81E38"/>
    <w:rsid w:val="00B81F02"/>
    <w:rsid w:val="00B829D4"/>
    <w:rsid w:val="00B82E4B"/>
    <w:rsid w:val="00B831D4"/>
    <w:rsid w:val="00B83F13"/>
    <w:rsid w:val="00B84193"/>
    <w:rsid w:val="00B842DA"/>
    <w:rsid w:val="00B848ED"/>
    <w:rsid w:val="00B84A26"/>
    <w:rsid w:val="00B84D7B"/>
    <w:rsid w:val="00B856C3"/>
    <w:rsid w:val="00B85C05"/>
    <w:rsid w:val="00B861F4"/>
    <w:rsid w:val="00B86290"/>
    <w:rsid w:val="00B86A38"/>
    <w:rsid w:val="00B86C59"/>
    <w:rsid w:val="00B86D2E"/>
    <w:rsid w:val="00B87636"/>
    <w:rsid w:val="00B8790B"/>
    <w:rsid w:val="00B8798D"/>
    <w:rsid w:val="00B87A2F"/>
    <w:rsid w:val="00B90590"/>
    <w:rsid w:val="00B911B3"/>
    <w:rsid w:val="00B92B98"/>
    <w:rsid w:val="00B92C0D"/>
    <w:rsid w:val="00B92D7F"/>
    <w:rsid w:val="00B93738"/>
    <w:rsid w:val="00B937A5"/>
    <w:rsid w:val="00B93959"/>
    <w:rsid w:val="00B93C8E"/>
    <w:rsid w:val="00B946FB"/>
    <w:rsid w:val="00B946FF"/>
    <w:rsid w:val="00B959E3"/>
    <w:rsid w:val="00B95AF0"/>
    <w:rsid w:val="00B9684B"/>
    <w:rsid w:val="00B970CA"/>
    <w:rsid w:val="00B970D6"/>
    <w:rsid w:val="00B971E5"/>
    <w:rsid w:val="00B97C4F"/>
    <w:rsid w:val="00B97F4A"/>
    <w:rsid w:val="00BA0931"/>
    <w:rsid w:val="00BA1270"/>
    <w:rsid w:val="00BA16A2"/>
    <w:rsid w:val="00BA1A6E"/>
    <w:rsid w:val="00BA23EF"/>
    <w:rsid w:val="00BA297A"/>
    <w:rsid w:val="00BA399F"/>
    <w:rsid w:val="00BA3BA3"/>
    <w:rsid w:val="00BA3E2A"/>
    <w:rsid w:val="00BA3E2D"/>
    <w:rsid w:val="00BA4909"/>
    <w:rsid w:val="00BA4EBE"/>
    <w:rsid w:val="00BA51BC"/>
    <w:rsid w:val="00BA5218"/>
    <w:rsid w:val="00BA68EB"/>
    <w:rsid w:val="00BA6B1B"/>
    <w:rsid w:val="00BA765E"/>
    <w:rsid w:val="00BA777F"/>
    <w:rsid w:val="00BA7DAF"/>
    <w:rsid w:val="00BB018A"/>
    <w:rsid w:val="00BB106B"/>
    <w:rsid w:val="00BB168D"/>
    <w:rsid w:val="00BB1B44"/>
    <w:rsid w:val="00BB2331"/>
    <w:rsid w:val="00BB30AC"/>
    <w:rsid w:val="00BB37C2"/>
    <w:rsid w:val="00BB4301"/>
    <w:rsid w:val="00BB4C0C"/>
    <w:rsid w:val="00BB4C82"/>
    <w:rsid w:val="00BB5675"/>
    <w:rsid w:val="00BB5A55"/>
    <w:rsid w:val="00BB5B3B"/>
    <w:rsid w:val="00BB5CC6"/>
    <w:rsid w:val="00BB6A64"/>
    <w:rsid w:val="00BB6A9D"/>
    <w:rsid w:val="00BB7471"/>
    <w:rsid w:val="00BB7D42"/>
    <w:rsid w:val="00BB7E3C"/>
    <w:rsid w:val="00BC01C4"/>
    <w:rsid w:val="00BC0267"/>
    <w:rsid w:val="00BC06A3"/>
    <w:rsid w:val="00BC0F51"/>
    <w:rsid w:val="00BC1123"/>
    <w:rsid w:val="00BC1975"/>
    <w:rsid w:val="00BC1CBA"/>
    <w:rsid w:val="00BC2E6C"/>
    <w:rsid w:val="00BC3D35"/>
    <w:rsid w:val="00BC411E"/>
    <w:rsid w:val="00BC468E"/>
    <w:rsid w:val="00BC48D4"/>
    <w:rsid w:val="00BC4D57"/>
    <w:rsid w:val="00BC5398"/>
    <w:rsid w:val="00BC6593"/>
    <w:rsid w:val="00BC6693"/>
    <w:rsid w:val="00BC71D8"/>
    <w:rsid w:val="00BC71E8"/>
    <w:rsid w:val="00BC7416"/>
    <w:rsid w:val="00BC781D"/>
    <w:rsid w:val="00BC7F8C"/>
    <w:rsid w:val="00BD02A7"/>
    <w:rsid w:val="00BD0564"/>
    <w:rsid w:val="00BD05B0"/>
    <w:rsid w:val="00BD05F0"/>
    <w:rsid w:val="00BD0C9E"/>
    <w:rsid w:val="00BD1032"/>
    <w:rsid w:val="00BD112C"/>
    <w:rsid w:val="00BD1538"/>
    <w:rsid w:val="00BD1B3D"/>
    <w:rsid w:val="00BD2800"/>
    <w:rsid w:val="00BD2BA9"/>
    <w:rsid w:val="00BD2CDA"/>
    <w:rsid w:val="00BD3F31"/>
    <w:rsid w:val="00BD4036"/>
    <w:rsid w:val="00BD4894"/>
    <w:rsid w:val="00BD66E8"/>
    <w:rsid w:val="00BD67E3"/>
    <w:rsid w:val="00BD6DCB"/>
    <w:rsid w:val="00BD737A"/>
    <w:rsid w:val="00BD76AD"/>
    <w:rsid w:val="00BD7A5E"/>
    <w:rsid w:val="00BD7ADD"/>
    <w:rsid w:val="00BD7BD0"/>
    <w:rsid w:val="00BE01EA"/>
    <w:rsid w:val="00BE02B2"/>
    <w:rsid w:val="00BE115E"/>
    <w:rsid w:val="00BE12FB"/>
    <w:rsid w:val="00BE15CF"/>
    <w:rsid w:val="00BE20A5"/>
    <w:rsid w:val="00BE2700"/>
    <w:rsid w:val="00BE2D9F"/>
    <w:rsid w:val="00BE3075"/>
    <w:rsid w:val="00BE3121"/>
    <w:rsid w:val="00BE31A1"/>
    <w:rsid w:val="00BE403F"/>
    <w:rsid w:val="00BE40F0"/>
    <w:rsid w:val="00BE4196"/>
    <w:rsid w:val="00BE4802"/>
    <w:rsid w:val="00BE52DA"/>
    <w:rsid w:val="00BE5AEB"/>
    <w:rsid w:val="00BE63EE"/>
    <w:rsid w:val="00BE65EB"/>
    <w:rsid w:val="00BE7753"/>
    <w:rsid w:val="00BE7E3E"/>
    <w:rsid w:val="00BF11E5"/>
    <w:rsid w:val="00BF138F"/>
    <w:rsid w:val="00BF16A1"/>
    <w:rsid w:val="00BF2341"/>
    <w:rsid w:val="00BF2AD0"/>
    <w:rsid w:val="00BF2E52"/>
    <w:rsid w:val="00BF46F8"/>
    <w:rsid w:val="00BF4A24"/>
    <w:rsid w:val="00BF4AA5"/>
    <w:rsid w:val="00BF4F8A"/>
    <w:rsid w:val="00BF5475"/>
    <w:rsid w:val="00BF54C4"/>
    <w:rsid w:val="00BF5934"/>
    <w:rsid w:val="00BF6D15"/>
    <w:rsid w:val="00BF7991"/>
    <w:rsid w:val="00BF7F2F"/>
    <w:rsid w:val="00C002C1"/>
    <w:rsid w:val="00C0086D"/>
    <w:rsid w:val="00C00DE9"/>
    <w:rsid w:val="00C01004"/>
    <w:rsid w:val="00C01601"/>
    <w:rsid w:val="00C02D6F"/>
    <w:rsid w:val="00C0328F"/>
    <w:rsid w:val="00C033C1"/>
    <w:rsid w:val="00C03465"/>
    <w:rsid w:val="00C038D8"/>
    <w:rsid w:val="00C03D32"/>
    <w:rsid w:val="00C045FA"/>
    <w:rsid w:val="00C04B3A"/>
    <w:rsid w:val="00C06C4A"/>
    <w:rsid w:val="00C0713D"/>
    <w:rsid w:val="00C07313"/>
    <w:rsid w:val="00C10075"/>
    <w:rsid w:val="00C109E6"/>
    <w:rsid w:val="00C124E4"/>
    <w:rsid w:val="00C12A31"/>
    <w:rsid w:val="00C12F06"/>
    <w:rsid w:val="00C12FF4"/>
    <w:rsid w:val="00C13143"/>
    <w:rsid w:val="00C13434"/>
    <w:rsid w:val="00C13560"/>
    <w:rsid w:val="00C1376C"/>
    <w:rsid w:val="00C13C82"/>
    <w:rsid w:val="00C13E56"/>
    <w:rsid w:val="00C1401C"/>
    <w:rsid w:val="00C14A2C"/>
    <w:rsid w:val="00C15659"/>
    <w:rsid w:val="00C1657A"/>
    <w:rsid w:val="00C16EB5"/>
    <w:rsid w:val="00C17C6D"/>
    <w:rsid w:val="00C20618"/>
    <w:rsid w:val="00C212D5"/>
    <w:rsid w:val="00C2169E"/>
    <w:rsid w:val="00C21D58"/>
    <w:rsid w:val="00C21FA4"/>
    <w:rsid w:val="00C22FF9"/>
    <w:rsid w:val="00C23F17"/>
    <w:rsid w:val="00C24269"/>
    <w:rsid w:val="00C244F6"/>
    <w:rsid w:val="00C25474"/>
    <w:rsid w:val="00C2580E"/>
    <w:rsid w:val="00C25DD2"/>
    <w:rsid w:val="00C262AF"/>
    <w:rsid w:val="00C26735"/>
    <w:rsid w:val="00C27A82"/>
    <w:rsid w:val="00C27DAB"/>
    <w:rsid w:val="00C31D6D"/>
    <w:rsid w:val="00C32040"/>
    <w:rsid w:val="00C32985"/>
    <w:rsid w:val="00C32ED3"/>
    <w:rsid w:val="00C33597"/>
    <w:rsid w:val="00C33748"/>
    <w:rsid w:val="00C3397C"/>
    <w:rsid w:val="00C33BD0"/>
    <w:rsid w:val="00C3472D"/>
    <w:rsid w:val="00C34AAD"/>
    <w:rsid w:val="00C34B98"/>
    <w:rsid w:val="00C34C81"/>
    <w:rsid w:val="00C34D63"/>
    <w:rsid w:val="00C34F26"/>
    <w:rsid w:val="00C35972"/>
    <w:rsid w:val="00C362F9"/>
    <w:rsid w:val="00C3676A"/>
    <w:rsid w:val="00C369EF"/>
    <w:rsid w:val="00C36B22"/>
    <w:rsid w:val="00C3724A"/>
    <w:rsid w:val="00C37AAA"/>
    <w:rsid w:val="00C40631"/>
    <w:rsid w:val="00C41258"/>
    <w:rsid w:val="00C415F4"/>
    <w:rsid w:val="00C4250E"/>
    <w:rsid w:val="00C427E6"/>
    <w:rsid w:val="00C436CB"/>
    <w:rsid w:val="00C43FC3"/>
    <w:rsid w:val="00C449EA"/>
    <w:rsid w:val="00C44D97"/>
    <w:rsid w:val="00C44DA6"/>
    <w:rsid w:val="00C44EBA"/>
    <w:rsid w:val="00C44F55"/>
    <w:rsid w:val="00C45FCE"/>
    <w:rsid w:val="00C46229"/>
    <w:rsid w:val="00C46421"/>
    <w:rsid w:val="00C465E9"/>
    <w:rsid w:val="00C47212"/>
    <w:rsid w:val="00C50456"/>
    <w:rsid w:val="00C50ADE"/>
    <w:rsid w:val="00C50D4C"/>
    <w:rsid w:val="00C513ED"/>
    <w:rsid w:val="00C518A4"/>
    <w:rsid w:val="00C51A43"/>
    <w:rsid w:val="00C523CC"/>
    <w:rsid w:val="00C5258C"/>
    <w:rsid w:val="00C52B5D"/>
    <w:rsid w:val="00C53BAF"/>
    <w:rsid w:val="00C54411"/>
    <w:rsid w:val="00C54C6C"/>
    <w:rsid w:val="00C54F27"/>
    <w:rsid w:val="00C564E0"/>
    <w:rsid w:val="00C57D03"/>
    <w:rsid w:val="00C602F8"/>
    <w:rsid w:val="00C60B3C"/>
    <w:rsid w:val="00C60FA1"/>
    <w:rsid w:val="00C61468"/>
    <w:rsid w:val="00C622CB"/>
    <w:rsid w:val="00C6249A"/>
    <w:rsid w:val="00C62C38"/>
    <w:rsid w:val="00C6314C"/>
    <w:rsid w:val="00C6338F"/>
    <w:rsid w:val="00C636C9"/>
    <w:rsid w:val="00C6379A"/>
    <w:rsid w:val="00C6381C"/>
    <w:rsid w:val="00C6429C"/>
    <w:rsid w:val="00C642F7"/>
    <w:rsid w:val="00C644D5"/>
    <w:rsid w:val="00C648A1"/>
    <w:rsid w:val="00C652E6"/>
    <w:rsid w:val="00C652F4"/>
    <w:rsid w:val="00C65403"/>
    <w:rsid w:val="00C65C8A"/>
    <w:rsid w:val="00C65CD0"/>
    <w:rsid w:val="00C66272"/>
    <w:rsid w:val="00C6781D"/>
    <w:rsid w:val="00C67E02"/>
    <w:rsid w:val="00C701B6"/>
    <w:rsid w:val="00C712AE"/>
    <w:rsid w:val="00C717EB"/>
    <w:rsid w:val="00C71D9F"/>
    <w:rsid w:val="00C71DF6"/>
    <w:rsid w:val="00C721FE"/>
    <w:rsid w:val="00C728A5"/>
    <w:rsid w:val="00C72C45"/>
    <w:rsid w:val="00C7398A"/>
    <w:rsid w:val="00C748B8"/>
    <w:rsid w:val="00C74A2B"/>
    <w:rsid w:val="00C74B18"/>
    <w:rsid w:val="00C753DE"/>
    <w:rsid w:val="00C7647D"/>
    <w:rsid w:val="00C7715B"/>
    <w:rsid w:val="00C80748"/>
    <w:rsid w:val="00C8157F"/>
    <w:rsid w:val="00C817A5"/>
    <w:rsid w:val="00C81870"/>
    <w:rsid w:val="00C81EBE"/>
    <w:rsid w:val="00C82121"/>
    <w:rsid w:val="00C82362"/>
    <w:rsid w:val="00C8284C"/>
    <w:rsid w:val="00C8341C"/>
    <w:rsid w:val="00C83A51"/>
    <w:rsid w:val="00C84340"/>
    <w:rsid w:val="00C84621"/>
    <w:rsid w:val="00C847ED"/>
    <w:rsid w:val="00C8570B"/>
    <w:rsid w:val="00C85B28"/>
    <w:rsid w:val="00C85B9E"/>
    <w:rsid w:val="00C86B96"/>
    <w:rsid w:val="00C87085"/>
    <w:rsid w:val="00C87145"/>
    <w:rsid w:val="00C87867"/>
    <w:rsid w:val="00C87A78"/>
    <w:rsid w:val="00C90068"/>
    <w:rsid w:val="00C90234"/>
    <w:rsid w:val="00C91A25"/>
    <w:rsid w:val="00C92113"/>
    <w:rsid w:val="00C92211"/>
    <w:rsid w:val="00C92AA0"/>
    <w:rsid w:val="00C9337D"/>
    <w:rsid w:val="00C93CBA"/>
    <w:rsid w:val="00C947D2"/>
    <w:rsid w:val="00C9490A"/>
    <w:rsid w:val="00C95A68"/>
    <w:rsid w:val="00C9618D"/>
    <w:rsid w:val="00C96BF9"/>
    <w:rsid w:val="00C97787"/>
    <w:rsid w:val="00C97A83"/>
    <w:rsid w:val="00C97AB1"/>
    <w:rsid w:val="00CA09CF"/>
    <w:rsid w:val="00CA1852"/>
    <w:rsid w:val="00CA2A87"/>
    <w:rsid w:val="00CA2A8D"/>
    <w:rsid w:val="00CA2BF7"/>
    <w:rsid w:val="00CA34E2"/>
    <w:rsid w:val="00CA45F8"/>
    <w:rsid w:val="00CA56DD"/>
    <w:rsid w:val="00CA6039"/>
    <w:rsid w:val="00CA617D"/>
    <w:rsid w:val="00CA6D1E"/>
    <w:rsid w:val="00CA6E33"/>
    <w:rsid w:val="00CA6FE9"/>
    <w:rsid w:val="00CA7A29"/>
    <w:rsid w:val="00CA7C4E"/>
    <w:rsid w:val="00CA7DC4"/>
    <w:rsid w:val="00CB0C49"/>
    <w:rsid w:val="00CB11E7"/>
    <w:rsid w:val="00CB12B4"/>
    <w:rsid w:val="00CB12C8"/>
    <w:rsid w:val="00CB13C0"/>
    <w:rsid w:val="00CB1F80"/>
    <w:rsid w:val="00CB2039"/>
    <w:rsid w:val="00CB28B8"/>
    <w:rsid w:val="00CB2DE5"/>
    <w:rsid w:val="00CB3E38"/>
    <w:rsid w:val="00CB3EA9"/>
    <w:rsid w:val="00CB4E40"/>
    <w:rsid w:val="00CB50BD"/>
    <w:rsid w:val="00CB591C"/>
    <w:rsid w:val="00CB5B46"/>
    <w:rsid w:val="00CB6003"/>
    <w:rsid w:val="00CB6B41"/>
    <w:rsid w:val="00CB7028"/>
    <w:rsid w:val="00CB778E"/>
    <w:rsid w:val="00CB7EF5"/>
    <w:rsid w:val="00CC0386"/>
    <w:rsid w:val="00CC03AD"/>
    <w:rsid w:val="00CC043C"/>
    <w:rsid w:val="00CC238F"/>
    <w:rsid w:val="00CC328C"/>
    <w:rsid w:val="00CC336A"/>
    <w:rsid w:val="00CC3988"/>
    <w:rsid w:val="00CC4111"/>
    <w:rsid w:val="00CC4B95"/>
    <w:rsid w:val="00CC5338"/>
    <w:rsid w:val="00CC5BD8"/>
    <w:rsid w:val="00CC627D"/>
    <w:rsid w:val="00CC6D72"/>
    <w:rsid w:val="00CC7594"/>
    <w:rsid w:val="00CC7BC3"/>
    <w:rsid w:val="00CD0F33"/>
    <w:rsid w:val="00CD11C9"/>
    <w:rsid w:val="00CD12DF"/>
    <w:rsid w:val="00CD183E"/>
    <w:rsid w:val="00CD1B8E"/>
    <w:rsid w:val="00CD2CDA"/>
    <w:rsid w:val="00CD2E02"/>
    <w:rsid w:val="00CD2F6D"/>
    <w:rsid w:val="00CD3B74"/>
    <w:rsid w:val="00CD3EE8"/>
    <w:rsid w:val="00CD48F7"/>
    <w:rsid w:val="00CD5D1F"/>
    <w:rsid w:val="00CD5DAF"/>
    <w:rsid w:val="00CD7318"/>
    <w:rsid w:val="00CD77B4"/>
    <w:rsid w:val="00CD78E4"/>
    <w:rsid w:val="00CD79F0"/>
    <w:rsid w:val="00CE0A9B"/>
    <w:rsid w:val="00CE0CC4"/>
    <w:rsid w:val="00CE100F"/>
    <w:rsid w:val="00CE147D"/>
    <w:rsid w:val="00CE16BA"/>
    <w:rsid w:val="00CE18F4"/>
    <w:rsid w:val="00CE1AEF"/>
    <w:rsid w:val="00CE2560"/>
    <w:rsid w:val="00CE279F"/>
    <w:rsid w:val="00CE2D2F"/>
    <w:rsid w:val="00CE2DC4"/>
    <w:rsid w:val="00CE30EA"/>
    <w:rsid w:val="00CE3993"/>
    <w:rsid w:val="00CE3A4A"/>
    <w:rsid w:val="00CE3AFE"/>
    <w:rsid w:val="00CE4836"/>
    <w:rsid w:val="00CE492F"/>
    <w:rsid w:val="00CE4CE8"/>
    <w:rsid w:val="00CE6BA5"/>
    <w:rsid w:val="00CE7282"/>
    <w:rsid w:val="00CE73B4"/>
    <w:rsid w:val="00CE7507"/>
    <w:rsid w:val="00CE765C"/>
    <w:rsid w:val="00CE7C99"/>
    <w:rsid w:val="00CF063B"/>
    <w:rsid w:val="00CF0A7F"/>
    <w:rsid w:val="00CF0B5A"/>
    <w:rsid w:val="00CF1A91"/>
    <w:rsid w:val="00CF31C6"/>
    <w:rsid w:val="00CF370C"/>
    <w:rsid w:val="00CF39C2"/>
    <w:rsid w:val="00CF3C11"/>
    <w:rsid w:val="00CF3F10"/>
    <w:rsid w:val="00CF55DD"/>
    <w:rsid w:val="00CF5E78"/>
    <w:rsid w:val="00CF68B2"/>
    <w:rsid w:val="00CF68BF"/>
    <w:rsid w:val="00CF73A0"/>
    <w:rsid w:val="00D00CE7"/>
    <w:rsid w:val="00D00DFC"/>
    <w:rsid w:val="00D01370"/>
    <w:rsid w:val="00D017DA"/>
    <w:rsid w:val="00D0242F"/>
    <w:rsid w:val="00D028AE"/>
    <w:rsid w:val="00D02A01"/>
    <w:rsid w:val="00D03FE1"/>
    <w:rsid w:val="00D04118"/>
    <w:rsid w:val="00D05075"/>
    <w:rsid w:val="00D05219"/>
    <w:rsid w:val="00D05229"/>
    <w:rsid w:val="00D05E4D"/>
    <w:rsid w:val="00D05EF3"/>
    <w:rsid w:val="00D06EB3"/>
    <w:rsid w:val="00D06F57"/>
    <w:rsid w:val="00D07120"/>
    <w:rsid w:val="00D0781F"/>
    <w:rsid w:val="00D07CBA"/>
    <w:rsid w:val="00D07E6E"/>
    <w:rsid w:val="00D10244"/>
    <w:rsid w:val="00D105D3"/>
    <w:rsid w:val="00D123B1"/>
    <w:rsid w:val="00D126FF"/>
    <w:rsid w:val="00D128E4"/>
    <w:rsid w:val="00D13041"/>
    <w:rsid w:val="00D1377B"/>
    <w:rsid w:val="00D13A94"/>
    <w:rsid w:val="00D1419C"/>
    <w:rsid w:val="00D14819"/>
    <w:rsid w:val="00D14B7E"/>
    <w:rsid w:val="00D1568B"/>
    <w:rsid w:val="00D15CF5"/>
    <w:rsid w:val="00D15D2E"/>
    <w:rsid w:val="00D16799"/>
    <w:rsid w:val="00D16D58"/>
    <w:rsid w:val="00D16EED"/>
    <w:rsid w:val="00D171FD"/>
    <w:rsid w:val="00D1762B"/>
    <w:rsid w:val="00D179A5"/>
    <w:rsid w:val="00D2027A"/>
    <w:rsid w:val="00D2054D"/>
    <w:rsid w:val="00D20555"/>
    <w:rsid w:val="00D20C78"/>
    <w:rsid w:val="00D2119E"/>
    <w:rsid w:val="00D2122A"/>
    <w:rsid w:val="00D21362"/>
    <w:rsid w:val="00D225C7"/>
    <w:rsid w:val="00D22855"/>
    <w:rsid w:val="00D23884"/>
    <w:rsid w:val="00D23B41"/>
    <w:rsid w:val="00D23D21"/>
    <w:rsid w:val="00D241FB"/>
    <w:rsid w:val="00D24520"/>
    <w:rsid w:val="00D24662"/>
    <w:rsid w:val="00D24B7A"/>
    <w:rsid w:val="00D2644B"/>
    <w:rsid w:val="00D26D3E"/>
    <w:rsid w:val="00D27141"/>
    <w:rsid w:val="00D276CD"/>
    <w:rsid w:val="00D30175"/>
    <w:rsid w:val="00D307D8"/>
    <w:rsid w:val="00D3147D"/>
    <w:rsid w:val="00D31D17"/>
    <w:rsid w:val="00D33090"/>
    <w:rsid w:val="00D330F5"/>
    <w:rsid w:val="00D337BF"/>
    <w:rsid w:val="00D33A44"/>
    <w:rsid w:val="00D33C1A"/>
    <w:rsid w:val="00D34629"/>
    <w:rsid w:val="00D349BD"/>
    <w:rsid w:val="00D3573A"/>
    <w:rsid w:val="00D3638B"/>
    <w:rsid w:val="00D36432"/>
    <w:rsid w:val="00D367CC"/>
    <w:rsid w:val="00D371C7"/>
    <w:rsid w:val="00D3722D"/>
    <w:rsid w:val="00D3731E"/>
    <w:rsid w:val="00D37B1D"/>
    <w:rsid w:val="00D37C64"/>
    <w:rsid w:val="00D4046B"/>
    <w:rsid w:val="00D4190E"/>
    <w:rsid w:val="00D41BFD"/>
    <w:rsid w:val="00D423C0"/>
    <w:rsid w:val="00D42A3C"/>
    <w:rsid w:val="00D43144"/>
    <w:rsid w:val="00D431F5"/>
    <w:rsid w:val="00D4341B"/>
    <w:rsid w:val="00D44797"/>
    <w:rsid w:val="00D44CF1"/>
    <w:rsid w:val="00D44E6F"/>
    <w:rsid w:val="00D44EE7"/>
    <w:rsid w:val="00D45D5F"/>
    <w:rsid w:val="00D45E60"/>
    <w:rsid w:val="00D4658B"/>
    <w:rsid w:val="00D46C21"/>
    <w:rsid w:val="00D4705A"/>
    <w:rsid w:val="00D47477"/>
    <w:rsid w:val="00D47F13"/>
    <w:rsid w:val="00D503AE"/>
    <w:rsid w:val="00D50805"/>
    <w:rsid w:val="00D50E5A"/>
    <w:rsid w:val="00D510C9"/>
    <w:rsid w:val="00D520FA"/>
    <w:rsid w:val="00D52F0B"/>
    <w:rsid w:val="00D52F35"/>
    <w:rsid w:val="00D539A1"/>
    <w:rsid w:val="00D5404C"/>
    <w:rsid w:val="00D54D1B"/>
    <w:rsid w:val="00D55564"/>
    <w:rsid w:val="00D558D2"/>
    <w:rsid w:val="00D559E4"/>
    <w:rsid w:val="00D55F88"/>
    <w:rsid w:val="00D561D7"/>
    <w:rsid w:val="00D56AC8"/>
    <w:rsid w:val="00D570F0"/>
    <w:rsid w:val="00D572D5"/>
    <w:rsid w:val="00D575F3"/>
    <w:rsid w:val="00D57C85"/>
    <w:rsid w:val="00D60E15"/>
    <w:rsid w:val="00D6146E"/>
    <w:rsid w:val="00D61896"/>
    <w:rsid w:val="00D618FB"/>
    <w:rsid w:val="00D61F46"/>
    <w:rsid w:val="00D62177"/>
    <w:rsid w:val="00D621C3"/>
    <w:rsid w:val="00D6302D"/>
    <w:rsid w:val="00D630C4"/>
    <w:rsid w:val="00D633AA"/>
    <w:rsid w:val="00D63722"/>
    <w:rsid w:val="00D64A9A"/>
    <w:rsid w:val="00D64AE5"/>
    <w:rsid w:val="00D65083"/>
    <w:rsid w:val="00D65DD0"/>
    <w:rsid w:val="00D66150"/>
    <w:rsid w:val="00D665E7"/>
    <w:rsid w:val="00D66AD5"/>
    <w:rsid w:val="00D66DF9"/>
    <w:rsid w:val="00D66E7D"/>
    <w:rsid w:val="00D6751A"/>
    <w:rsid w:val="00D676CD"/>
    <w:rsid w:val="00D67B6D"/>
    <w:rsid w:val="00D70227"/>
    <w:rsid w:val="00D703F2"/>
    <w:rsid w:val="00D71245"/>
    <w:rsid w:val="00D71BD5"/>
    <w:rsid w:val="00D721CE"/>
    <w:rsid w:val="00D7277B"/>
    <w:rsid w:val="00D73016"/>
    <w:rsid w:val="00D7343C"/>
    <w:rsid w:val="00D73583"/>
    <w:rsid w:val="00D737D1"/>
    <w:rsid w:val="00D73E05"/>
    <w:rsid w:val="00D74D12"/>
    <w:rsid w:val="00D75215"/>
    <w:rsid w:val="00D752AD"/>
    <w:rsid w:val="00D755EB"/>
    <w:rsid w:val="00D76540"/>
    <w:rsid w:val="00D76A59"/>
    <w:rsid w:val="00D76CB6"/>
    <w:rsid w:val="00D76CF2"/>
    <w:rsid w:val="00D76E1E"/>
    <w:rsid w:val="00D77280"/>
    <w:rsid w:val="00D7751D"/>
    <w:rsid w:val="00D77BEB"/>
    <w:rsid w:val="00D80B97"/>
    <w:rsid w:val="00D815A3"/>
    <w:rsid w:val="00D81E17"/>
    <w:rsid w:val="00D827A8"/>
    <w:rsid w:val="00D829F9"/>
    <w:rsid w:val="00D82F6D"/>
    <w:rsid w:val="00D83341"/>
    <w:rsid w:val="00D83854"/>
    <w:rsid w:val="00D84A27"/>
    <w:rsid w:val="00D85918"/>
    <w:rsid w:val="00D85EC2"/>
    <w:rsid w:val="00D86039"/>
    <w:rsid w:val="00D86313"/>
    <w:rsid w:val="00D864C7"/>
    <w:rsid w:val="00D866D7"/>
    <w:rsid w:val="00D86795"/>
    <w:rsid w:val="00D86DD4"/>
    <w:rsid w:val="00D8733E"/>
    <w:rsid w:val="00D87C4D"/>
    <w:rsid w:val="00D922A0"/>
    <w:rsid w:val="00D92661"/>
    <w:rsid w:val="00D929DA"/>
    <w:rsid w:val="00D9383C"/>
    <w:rsid w:val="00D93B9D"/>
    <w:rsid w:val="00D947DF"/>
    <w:rsid w:val="00D94FE4"/>
    <w:rsid w:val="00D96F39"/>
    <w:rsid w:val="00D97264"/>
    <w:rsid w:val="00D9793C"/>
    <w:rsid w:val="00D97B9E"/>
    <w:rsid w:val="00DA0C70"/>
    <w:rsid w:val="00DA0CB9"/>
    <w:rsid w:val="00DA1727"/>
    <w:rsid w:val="00DA1936"/>
    <w:rsid w:val="00DA1D58"/>
    <w:rsid w:val="00DA2359"/>
    <w:rsid w:val="00DA2CE6"/>
    <w:rsid w:val="00DA2E87"/>
    <w:rsid w:val="00DA31B6"/>
    <w:rsid w:val="00DA3BA7"/>
    <w:rsid w:val="00DA3D64"/>
    <w:rsid w:val="00DA3D75"/>
    <w:rsid w:val="00DA3E68"/>
    <w:rsid w:val="00DA4185"/>
    <w:rsid w:val="00DA45DA"/>
    <w:rsid w:val="00DA47DC"/>
    <w:rsid w:val="00DA4C82"/>
    <w:rsid w:val="00DA4DAA"/>
    <w:rsid w:val="00DA4DBE"/>
    <w:rsid w:val="00DA4E2B"/>
    <w:rsid w:val="00DA56AA"/>
    <w:rsid w:val="00DA5B0C"/>
    <w:rsid w:val="00DA5BBF"/>
    <w:rsid w:val="00DA5D43"/>
    <w:rsid w:val="00DA5EFC"/>
    <w:rsid w:val="00DA68F0"/>
    <w:rsid w:val="00DA6D92"/>
    <w:rsid w:val="00DA770D"/>
    <w:rsid w:val="00DB06B3"/>
    <w:rsid w:val="00DB0C39"/>
    <w:rsid w:val="00DB1085"/>
    <w:rsid w:val="00DB1B22"/>
    <w:rsid w:val="00DB2FD7"/>
    <w:rsid w:val="00DB30BF"/>
    <w:rsid w:val="00DB368A"/>
    <w:rsid w:val="00DB39E2"/>
    <w:rsid w:val="00DB3D6F"/>
    <w:rsid w:val="00DB3EFD"/>
    <w:rsid w:val="00DB4933"/>
    <w:rsid w:val="00DB4A78"/>
    <w:rsid w:val="00DB4A97"/>
    <w:rsid w:val="00DB6550"/>
    <w:rsid w:val="00DB756F"/>
    <w:rsid w:val="00DB7734"/>
    <w:rsid w:val="00DB7C4C"/>
    <w:rsid w:val="00DB7E2F"/>
    <w:rsid w:val="00DC155A"/>
    <w:rsid w:val="00DC20F3"/>
    <w:rsid w:val="00DC2233"/>
    <w:rsid w:val="00DC2256"/>
    <w:rsid w:val="00DC272A"/>
    <w:rsid w:val="00DC2B0C"/>
    <w:rsid w:val="00DC2D23"/>
    <w:rsid w:val="00DC31F2"/>
    <w:rsid w:val="00DC38E2"/>
    <w:rsid w:val="00DC392B"/>
    <w:rsid w:val="00DC4C7A"/>
    <w:rsid w:val="00DC4CAD"/>
    <w:rsid w:val="00DC5611"/>
    <w:rsid w:val="00DC561F"/>
    <w:rsid w:val="00DC59F5"/>
    <w:rsid w:val="00DC6AE6"/>
    <w:rsid w:val="00DC6BD3"/>
    <w:rsid w:val="00DC6F80"/>
    <w:rsid w:val="00DC7772"/>
    <w:rsid w:val="00DC7912"/>
    <w:rsid w:val="00DC7A55"/>
    <w:rsid w:val="00DD0CDE"/>
    <w:rsid w:val="00DD181E"/>
    <w:rsid w:val="00DD2955"/>
    <w:rsid w:val="00DD2E93"/>
    <w:rsid w:val="00DD3C85"/>
    <w:rsid w:val="00DD3E7D"/>
    <w:rsid w:val="00DD3EF3"/>
    <w:rsid w:val="00DD41A9"/>
    <w:rsid w:val="00DD4E3E"/>
    <w:rsid w:val="00DD5097"/>
    <w:rsid w:val="00DD5D1F"/>
    <w:rsid w:val="00DD5DFD"/>
    <w:rsid w:val="00DD63F5"/>
    <w:rsid w:val="00DD6666"/>
    <w:rsid w:val="00DD696B"/>
    <w:rsid w:val="00DD69DE"/>
    <w:rsid w:val="00DD69EC"/>
    <w:rsid w:val="00DD7808"/>
    <w:rsid w:val="00DE0769"/>
    <w:rsid w:val="00DE0D95"/>
    <w:rsid w:val="00DE168D"/>
    <w:rsid w:val="00DE2B5B"/>
    <w:rsid w:val="00DE3542"/>
    <w:rsid w:val="00DE3ADA"/>
    <w:rsid w:val="00DE3DD1"/>
    <w:rsid w:val="00DE4A67"/>
    <w:rsid w:val="00DE5DD7"/>
    <w:rsid w:val="00DE5F00"/>
    <w:rsid w:val="00DE60D4"/>
    <w:rsid w:val="00DF06AC"/>
    <w:rsid w:val="00DF1121"/>
    <w:rsid w:val="00DF154B"/>
    <w:rsid w:val="00DF1A0E"/>
    <w:rsid w:val="00DF46FE"/>
    <w:rsid w:val="00DF4A5B"/>
    <w:rsid w:val="00DF5520"/>
    <w:rsid w:val="00DF5620"/>
    <w:rsid w:val="00DF5AE2"/>
    <w:rsid w:val="00DF60FD"/>
    <w:rsid w:val="00DF613A"/>
    <w:rsid w:val="00DF641A"/>
    <w:rsid w:val="00DF66A6"/>
    <w:rsid w:val="00DF6AA6"/>
    <w:rsid w:val="00DF6FB6"/>
    <w:rsid w:val="00E00653"/>
    <w:rsid w:val="00E013E0"/>
    <w:rsid w:val="00E0150B"/>
    <w:rsid w:val="00E01B9A"/>
    <w:rsid w:val="00E01D8D"/>
    <w:rsid w:val="00E01E46"/>
    <w:rsid w:val="00E02404"/>
    <w:rsid w:val="00E0285D"/>
    <w:rsid w:val="00E02946"/>
    <w:rsid w:val="00E02A24"/>
    <w:rsid w:val="00E0303D"/>
    <w:rsid w:val="00E030EC"/>
    <w:rsid w:val="00E03250"/>
    <w:rsid w:val="00E0360A"/>
    <w:rsid w:val="00E03C73"/>
    <w:rsid w:val="00E0518B"/>
    <w:rsid w:val="00E0542F"/>
    <w:rsid w:val="00E05C9C"/>
    <w:rsid w:val="00E05ED6"/>
    <w:rsid w:val="00E06194"/>
    <w:rsid w:val="00E06374"/>
    <w:rsid w:val="00E06924"/>
    <w:rsid w:val="00E06A02"/>
    <w:rsid w:val="00E06E53"/>
    <w:rsid w:val="00E075C1"/>
    <w:rsid w:val="00E0762A"/>
    <w:rsid w:val="00E076DF"/>
    <w:rsid w:val="00E10349"/>
    <w:rsid w:val="00E10D0E"/>
    <w:rsid w:val="00E1101F"/>
    <w:rsid w:val="00E115A5"/>
    <w:rsid w:val="00E11AE2"/>
    <w:rsid w:val="00E11B32"/>
    <w:rsid w:val="00E11C91"/>
    <w:rsid w:val="00E12A1C"/>
    <w:rsid w:val="00E13089"/>
    <w:rsid w:val="00E139D6"/>
    <w:rsid w:val="00E13D56"/>
    <w:rsid w:val="00E13F22"/>
    <w:rsid w:val="00E14A32"/>
    <w:rsid w:val="00E14AE6"/>
    <w:rsid w:val="00E1545C"/>
    <w:rsid w:val="00E16548"/>
    <w:rsid w:val="00E16905"/>
    <w:rsid w:val="00E201BF"/>
    <w:rsid w:val="00E201EA"/>
    <w:rsid w:val="00E20351"/>
    <w:rsid w:val="00E20831"/>
    <w:rsid w:val="00E20F52"/>
    <w:rsid w:val="00E22F26"/>
    <w:rsid w:val="00E232F6"/>
    <w:rsid w:val="00E23B4D"/>
    <w:rsid w:val="00E23E4E"/>
    <w:rsid w:val="00E24990"/>
    <w:rsid w:val="00E24BCE"/>
    <w:rsid w:val="00E24E7F"/>
    <w:rsid w:val="00E2513D"/>
    <w:rsid w:val="00E25C4D"/>
    <w:rsid w:val="00E25E73"/>
    <w:rsid w:val="00E25FEA"/>
    <w:rsid w:val="00E26A2A"/>
    <w:rsid w:val="00E30083"/>
    <w:rsid w:val="00E30359"/>
    <w:rsid w:val="00E30626"/>
    <w:rsid w:val="00E30DA2"/>
    <w:rsid w:val="00E31D77"/>
    <w:rsid w:val="00E32AEF"/>
    <w:rsid w:val="00E32B20"/>
    <w:rsid w:val="00E32D5C"/>
    <w:rsid w:val="00E32FAF"/>
    <w:rsid w:val="00E33099"/>
    <w:rsid w:val="00E332C3"/>
    <w:rsid w:val="00E334DB"/>
    <w:rsid w:val="00E33E15"/>
    <w:rsid w:val="00E343DC"/>
    <w:rsid w:val="00E347EA"/>
    <w:rsid w:val="00E348ED"/>
    <w:rsid w:val="00E3504D"/>
    <w:rsid w:val="00E353E6"/>
    <w:rsid w:val="00E355A3"/>
    <w:rsid w:val="00E35A40"/>
    <w:rsid w:val="00E35AB8"/>
    <w:rsid w:val="00E35DE5"/>
    <w:rsid w:val="00E361CA"/>
    <w:rsid w:val="00E37904"/>
    <w:rsid w:val="00E37AF1"/>
    <w:rsid w:val="00E40A10"/>
    <w:rsid w:val="00E40A20"/>
    <w:rsid w:val="00E40D27"/>
    <w:rsid w:val="00E41FE7"/>
    <w:rsid w:val="00E42062"/>
    <w:rsid w:val="00E426F8"/>
    <w:rsid w:val="00E42797"/>
    <w:rsid w:val="00E42A05"/>
    <w:rsid w:val="00E42C1A"/>
    <w:rsid w:val="00E436DD"/>
    <w:rsid w:val="00E439DB"/>
    <w:rsid w:val="00E43BFE"/>
    <w:rsid w:val="00E44D9E"/>
    <w:rsid w:val="00E44E73"/>
    <w:rsid w:val="00E4578F"/>
    <w:rsid w:val="00E45B41"/>
    <w:rsid w:val="00E461E2"/>
    <w:rsid w:val="00E46264"/>
    <w:rsid w:val="00E4704E"/>
    <w:rsid w:val="00E47B0E"/>
    <w:rsid w:val="00E47B48"/>
    <w:rsid w:val="00E47D47"/>
    <w:rsid w:val="00E47F4C"/>
    <w:rsid w:val="00E508F3"/>
    <w:rsid w:val="00E50AEF"/>
    <w:rsid w:val="00E50CA2"/>
    <w:rsid w:val="00E50DD3"/>
    <w:rsid w:val="00E51262"/>
    <w:rsid w:val="00E5130B"/>
    <w:rsid w:val="00E51499"/>
    <w:rsid w:val="00E51665"/>
    <w:rsid w:val="00E51F0D"/>
    <w:rsid w:val="00E51F8D"/>
    <w:rsid w:val="00E52551"/>
    <w:rsid w:val="00E52664"/>
    <w:rsid w:val="00E526A7"/>
    <w:rsid w:val="00E52910"/>
    <w:rsid w:val="00E52C80"/>
    <w:rsid w:val="00E52E01"/>
    <w:rsid w:val="00E53489"/>
    <w:rsid w:val="00E5365A"/>
    <w:rsid w:val="00E53844"/>
    <w:rsid w:val="00E541ED"/>
    <w:rsid w:val="00E545F1"/>
    <w:rsid w:val="00E548D8"/>
    <w:rsid w:val="00E54A1E"/>
    <w:rsid w:val="00E55F5C"/>
    <w:rsid w:val="00E56244"/>
    <w:rsid w:val="00E569E3"/>
    <w:rsid w:val="00E56EEB"/>
    <w:rsid w:val="00E5793D"/>
    <w:rsid w:val="00E60556"/>
    <w:rsid w:val="00E60F1B"/>
    <w:rsid w:val="00E61968"/>
    <w:rsid w:val="00E6216E"/>
    <w:rsid w:val="00E621E7"/>
    <w:rsid w:val="00E62491"/>
    <w:rsid w:val="00E6293C"/>
    <w:rsid w:val="00E62E0B"/>
    <w:rsid w:val="00E631BC"/>
    <w:rsid w:val="00E636B7"/>
    <w:rsid w:val="00E636DB"/>
    <w:rsid w:val="00E64000"/>
    <w:rsid w:val="00E646DA"/>
    <w:rsid w:val="00E64DC8"/>
    <w:rsid w:val="00E65041"/>
    <w:rsid w:val="00E653CA"/>
    <w:rsid w:val="00E655F8"/>
    <w:rsid w:val="00E65850"/>
    <w:rsid w:val="00E65ED1"/>
    <w:rsid w:val="00E65F8B"/>
    <w:rsid w:val="00E663A3"/>
    <w:rsid w:val="00E6658D"/>
    <w:rsid w:val="00E668B4"/>
    <w:rsid w:val="00E66E82"/>
    <w:rsid w:val="00E66F6E"/>
    <w:rsid w:val="00E67193"/>
    <w:rsid w:val="00E672D6"/>
    <w:rsid w:val="00E673EE"/>
    <w:rsid w:val="00E70C5E"/>
    <w:rsid w:val="00E70C83"/>
    <w:rsid w:val="00E71089"/>
    <w:rsid w:val="00E71256"/>
    <w:rsid w:val="00E7185C"/>
    <w:rsid w:val="00E71CC5"/>
    <w:rsid w:val="00E724D0"/>
    <w:rsid w:val="00E7261F"/>
    <w:rsid w:val="00E72DF5"/>
    <w:rsid w:val="00E73705"/>
    <w:rsid w:val="00E741CB"/>
    <w:rsid w:val="00E74AA1"/>
    <w:rsid w:val="00E75B23"/>
    <w:rsid w:val="00E76217"/>
    <w:rsid w:val="00E76715"/>
    <w:rsid w:val="00E76B6A"/>
    <w:rsid w:val="00E77AF2"/>
    <w:rsid w:val="00E77C74"/>
    <w:rsid w:val="00E77F69"/>
    <w:rsid w:val="00E80C99"/>
    <w:rsid w:val="00E80E06"/>
    <w:rsid w:val="00E81135"/>
    <w:rsid w:val="00E81CF8"/>
    <w:rsid w:val="00E8294E"/>
    <w:rsid w:val="00E83BE8"/>
    <w:rsid w:val="00E84206"/>
    <w:rsid w:val="00E849E7"/>
    <w:rsid w:val="00E85840"/>
    <w:rsid w:val="00E858F2"/>
    <w:rsid w:val="00E861E1"/>
    <w:rsid w:val="00E86212"/>
    <w:rsid w:val="00E86520"/>
    <w:rsid w:val="00E865DB"/>
    <w:rsid w:val="00E86755"/>
    <w:rsid w:val="00E86830"/>
    <w:rsid w:val="00E86E52"/>
    <w:rsid w:val="00E87055"/>
    <w:rsid w:val="00E87E96"/>
    <w:rsid w:val="00E90020"/>
    <w:rsid w:val="00E9045F"/>
    <w:rsid w:val="00E90569"/>
    <w:rsid w:val="00E9099E"/>
    <w:rsid w:val="00E911E7"/>
    <w:rsid w:val="00E92991"/>
    <w:rsid w:val="00E92AAF"/>
    <w:rsid w:val="00E92FE6"/>
    <w:rsid w:val="00E93700"/>
    <w:rsid w:val="00E94579"/>
    <w:rsid w:val="00E95034"/>
    <w:rsid w:val="00E951F7"/>
    <w:rsid w:val="00E95BD3"/>
    <w:rsid w:val="00E960AD"/>
    <w:rsid w:val="00E96220"/>
    <w:rsid w:val="00E96AAD"/>
    <w:rsid w:val="00E97AC4"/>
    <w:rsid w:val="00E97B22"/>
    <w:rsid w:val="00E97FFC"/>
    <w:rsid w:val="00EA028E"/>
    <w:rsid w:val="00EA05C7"/>
    <w:rsid w:val="00EA0AD5"/>
    <w:rsid w:val="00EA0FCC"/>
    <w:rsid w:val="00EA122D"/>
    <w:rsid w:val="00EA2364"/>
    <w:rsid w:val="00EA24CD"/>
    <w:rsid w:val="00EA2781"/>
    <w:rsid w:val="00EA2EB4"/>
    <w:rsid w:val="00EA3C9B"/>
    <w:rsid w:val="00EA3E39"/>
    <w:rsid w:val="00EA4117"/>
    <w:rsid w:val="00EA41A1"/>
    <w:rsid w:val="00EA4A12"/>
    <w:rsid w:val="00EA55FE"/>
    <w:rsid w:val="00EA56DD"/>
    <w:rsid w:val="00EA605C"/>
    <w:rsid w:val="00EA6139"/>
    <w:rsid w:val="00EA66DA"/>
    <w:rsid w:val="00EA67AF"/>
    <w:rsid w:val="00EA686F"/>
    <w:rsid w:val="00EA6D2A"/>
    <w:rsid w:val="00EA6DB5"/>
    <w:rsid w:val="00EB03D6"/>
    <w:rsid w:val="00EB08C5"/>
    <w:rsid w:val="00EB0A51"/>
    <w:rsid w:val="00EB0B96"/>
    <w:rsid w:val="00EB2C2B"/>
    <w:rsid w:val="00EB373E"/>
    <w:rsid w:val="00EB3C65"/>
    <w:rsid w:val="00EB4445"/>
    <w:rsid w:val="00EB4618"/>
    <w:rsid w:val="00EB5B4F"/>
    <w:rsid w:val="00EB66FD"/>
    <w:rsid w:val="00EB7166"/>
    <w:rsid w:val="00EB73DE"/>
    <w:rsid w:val="00EB7895"/>
    <w:rsid w:val="00EB7B52"/>
    <w:rsid w:val="00EC0D8D"/>
    <w:rsid w:val="00EC12B3"/>
    <w:rsid w:val="00EC26A4"/>
    <w:rsid w:val="00EC2E15"/>
    <w:rsid w:val="00EC2ECC"/>
    <w:rsid w:val="00EC3160"/>
    <w:rsid w:val="00EC369F"/>
    <w:rsid w:val="00EC47CB"/>
    <w:rsid w:val="00EC57EB"/>
    <w:rsid w:val="00EC58F7"/>
    <w:rsid w:val="00EC746B"/>
    <w:rsid w:val="00EC75EC"/>
    <w:rsid w:val="00EC762A"/>
    <w:rsid w:val="00EC7DCE"/>
    <w:rsid w:val="00ED041D"/>
    <w:rsid w:val="00ED086C"/>
    <w:rsid w:val="00ED0D4C"/>
    <w:rsid w:val="00ED0E7F"/>
    <w:rsid w:val="00ED1042"/>
    <w:rsid w:val="00ED11B5"/>
    <w:rsid w:val="00ED1608"/>
    <w:rsid w:val="00ED19F1"/>
    <w:rsid w:val="00ED1D85"/>
    <w:rsid w:val="00ED21D0"/>
    <w:rsid w:val="00ED248B"/>
    <w:rsid w:val="00ED2A86"/>
    <w:rsid w:val="00ED38E5"/>
    <w:rsid w:val="00ED4F31"/>
    <w:rsid w:val="00ED502A"/>
    <w:rsid w:val="00ED5792"/>
    <w:rsid w:val="00ED5D4B"/>
    <w:rsid w:val="00ED63F8"/>
    <w:rsid w:val="00ED7072"/>
    <w:rsid w:val="00ED73DB"/>
    <w:rsid w:val="00ED7BB1"/>
    <w:rsid w:val="00ED7F37"/>
    <w:rsid w:val="00EE0208"/>
    <w:rsid w:val="00EE0D98"/>
    <w:rsid w:val="00EE110E"/>
    <w:rsid w:val="00EE2358"/>
    <w:rsid w:val="00EE2E34"/>
    <w:rsid w:val="00EE3DFB"/>
    <w:rsid w:val="00EE47A1"/>
    <w:rsid w:val="00EE55CF"/>
    <w:rsid w:val="00EE5937"/>
    <w:rsid w:val="00EE5AE9"/>
    <w:rsid w:val="00EE64D7"/>
    <w:rsid w:val="00EE6E45"/>
    <w:rsid w:val="00EE6ECD"/>
    <w:rsid w:val="00EE7F1A"/>
    <w:rsid w:val="00EF010E"/>
    <w:rsid w:val="00EF06CB"/>
    <w:rsid w:val="00EF1DDD"/>
    <w:rsid w:val="00EF296B"/>
    <w:rsid w:val="00EF32C5"/>
    <w:rsid w:val="00EF3E0E"/>
    <w:rsid w:val="00EF45F5"/>
    <w:rsid w:val="00EF4889"/>
    <w:rsid w:val="00EF503A"/>
    <w:rsid w:val="00EF55C1"/>
    <w:rsid w:val="00EF5607"/>
    <w:rsid w:val="00EF60B5"/>
    <w:rsid w:val="00EF63CB"/>
    <w:rsid w:val="00EF6606"/>
    <w:rsid w:val="00EF6821"/>
    <w:rsid w:val="00EF69D9"/>
    <w:rsid w:val="00EF7875"/>
    <w:rsid w:val="00EF7C54"/>
    <w:rsid w:val="00F0016A"/>
    <w:rsid w:val="00F00E0A"/>
    <w:rsid w:val="00F017B2"/>
    <w:rsid w:val="00F01F0D"/>
    <w:rsid w:val="00F020AA"/>
    <w:rsid w:val="00F0219A"/>
    <w:rsid w:val="00F02417"/>
    <w:rsid w:val="00F0248C"/>
    <w:rsid w:val="00F0276F"/>
    <w:rsid w:val="00F03910"/>
    <w:rsid w:val="00F03AB7"/>
    <w:rsid w:val="00F03EEE"/>
    <w:rsid w:val="00F049BE"/>
    <w:rsid w:val="00F0501E"/>
    <w:rsid w:val="00F05020"/>
    <w:rsid w:val="00F054AA"/>
    <w:rsid w:val="00F0598A"/>
    <w:rsid w:val="00F05A62"/>
    <w:rsid w:val="00F06416"/>
    <w:rsid w:val="00F06E1A"/>
    <w:rsid w:val="00F10453"/>
    <w:rsid w:val="00F10719"/>
    <w:rsid w:val="00F11601"/>
    <w:rsid w:val="00F11E04"/>
    <w:rsid w:val="00F12A92"/>
    <w:rsid w:val="00F12C69"/>
    <w:rsid w:val="00F136CA"/>
    <w:rsid w:val="00F13C1B"/>
    <w:rsid w:val="00F13EBA"/>
    <w:rsid w:val="00F149A7"/>
    <w:rsid w:val="00F14C3E"/>
    <w:rsid w:val="00F14C47"/>
    <w:rsid w:val="00F14D6F"/>
    <w:rsid w:val="00F15480"/>
    <w:rsid w:val="00F15C5E"/>
    <w:rsid w:val="00F15C6A"/>
    <w:rsid w:val="00F16061"/>
    <w:rsid w:val="00F162B3"/>
    <w:rsid w:val="00F1717F"/>
    <w:rsid w:val="00F17900"/>
    <w:rsid w:val="00F17A53"/>
    <w:rsid w:val="00F20352"/>
    <w:rsid w:val="00F20794"/>
    <w:rsid w:val="00F207FD"/>
    <w:rsid w:val="00F21B07"/>
    <w:rsid w:val="00F21C6A"/>
    <w:rsid w:val="00F21CB9"/>
    <w:rsid w:val="00F21EAC"/>
    <w:rsid w:val="00F22235"/>
    <w:rsid w:val="00F22903"/>
    <w:rsid w:val="00F22DD1"/>
    <w:rsid w:val="00F2316A"/>
    <w:rsid w:val="00F23234"/>
    <w:rsid w:val="00F243F4"/>
    <w:rsid w:val="00F24704"/>
    <w:rsid w:val="00F24C1C"/>
    <w:rsid w:val="00F24EBC"/>
    <w:rsid w:val="00F25934"/>
    <w:rsid w:val="00F25AD4"/>
    <w:rsid w:val="00F25CB4"/>
    <w:rsid w:val="00F2608C"/>
    <w:rsid w:val="00F266D5"/>
    <w:rsid w:val="00F2720D"/>
    <w:rsid w:val="00F27363"/>
    <w:rsid w:val="00F277FA"/>
    <w:rsid w:val="00F30420"/>
    <w:rsid w:val="00F305D1"/>
    <w:rsid w:val="00F31161"/>
    <w:rsid w:val="00F32055"/>
    <w:rsid w:val="00F3250A"/>
    <w:rsid w:val="00F32955"/>
    <w:rsid w:val="00F32F86"/>
    <w:rsid w:val="00F32FB6"/>
    <w:rsid w:val="00F33102"/>
    <w:rsid w:val="00F33121"/>
    <w:rsid w:val="00F341FA"/>
    <w:rsid w:val="00F34334"/>
    <w:rsid w:val="00F345AD"/>
    <w:rsid w:val="00F34C7D"/>
    <w:rsid w:val="00F34F1D"/>
    <w:rsid w:val="00F35887"/>
    <w:rsid w:val="00F359E2"/>
    <w:rsid w:val="00F36C1E"/>
    <w:rsid w:val="00F379CF"/>
    <w:rsid w:val="00F37E9F"/>
    <w:rsid w:val="00F40023"/>
    <w:rsid w:val="00F410C4"/>
    <w:rsid w:val="00F41BEE"/>
    <w:rsid w:val="00F420CC"/>
    <w:rsid w:val="00F426F0"/>
    <w:rsid w:val="00F4321C"/>
    <w:rsid w:val="00F43311"/>
    <w:rsid w:val="00F43349"/>
    <w:rsid w:val="00F43547"/>
    <w:rsid w:val="00F43764"/>
    <w:rsid w:val="00F43848"/>
    <w:rsid w:val="00F44263"/>
    <w:rsid w:val="00F44A14"/>
    <w:rsid w:val="00F44BEE"/>
    <w:rsid w:val="00F44C35"/>
    <w:rsid w:val="00F44E06"/>
    <w:rsid w:val="00F45B63"/>
    <w:rsid w:val="00F45B98"/>
    <w:rsid w:val="00F479C1"/>
    <w:rsid w:val="00F47B30"/>
    <w:rsid w:val="00F5026F"/>
    <w:rsid w:val="00F502B1"/>
    <w:rsid w:val="00F5071A"/>
    <w:rsid w:val="00F51330"/>
    <w:rsid w:val="00F513D5"/>
    <w:rsid w:val="00F51997"/>
    <w:rsid w:val="00F51E3F"/>
    <w:rsid w:val="00F51F69"/>
    <w:rsid w:val="00F521E8"/>
    <w:rsid w:val="00F525CA"/>
    <w:rsid w:val="00F526E7"/>
    <w:rsid w:val="00F5286D"/>
    <w:rsid w:val="00F52C07"/>
    <w:rsid w:val="00F534ED"/>
    <w:rsid w:val="00F53AE5"/>
    <w:rsid w:val="00F54987"/>
    <w:rsid w:val="00F54B93"/>
    <w:rsid w:val="00F552D4"/>
    <w:rsid w:val="00F55AAE"/>
    <w:rsid w:val="00F55BD5"/>
    <w:rsid w:val="00F572D5"/>
    <w:rsid w:val="00F576D1"/>
    <w:rsid w:val="00F57B25"/>
    <w:rsid w:val="00F601EB"/>
    <w:rsid w:val="00F606D5"/>
    <w:rsid w:val="00F60C39"/>
    <w:rsid w:val="00F61023"/>
    <w:rsid w:val="00F61449"/>
    <w:rsid w:val="00F61497"/>
    <w:rsid w:val="00F615FA"/>
    <w:rsid w:val="00F61E9F"/>
    <w:rsid w:val="00F62284"/>
    <w:rsid w:val="00F622B0"/>
    <w:rsid w:val="00F63B97"/>
    <w:rsid w:val="00F64A4C"/>
    <w:rsid w:val="00F65057"/>
    <w:rsid w:val="00F65174"/>
    <w:rsid w:val="00F65343"/>
    <w:rsid w:val="00F655AF"/>
    <w:rsid w:val="00F65AF2"/>
    <w:rsid w:val="00F65F8E"/>
    <w:rsid w:val="00F65FD3"/>
    <w:rsid w:val="00F666C4"/>
    <w:rsid w:val="00F67A83"/>
    <w:rsid w:val="00F67C8D"/>
    <w:rsid w:val="00F67DE9"/>
    <w:rsid w:val="00F70F29"/>
    <w:rsid w:val="00F71469"/>
    <w:rsid w:val="00F72DD5"/>
    <w:rsid w:val="00F72F80"/>
    <w:rsid w:val="00F74184"/>
    <w:rsid w:val="00F74530"/>
    <w:rsid w:val="00F752BD"/>
    <w:rsid w:val="00F75F16"/>
    <w:rsid w:val="00F7653B"/>
    <w:rsid w:val="00F769E1"/>
    <w:rsid w:val="00F76A76"/>
    <w:rsid w:val="00F76F8F"/>
    <w:rsid w:val="00F772DE"/>
    <w:rsid w:val="00F77529"/>
    <w:rsid w:val="00F77883"/>
    <w:rsid w:val="00F77EFB"/>
    <w:rsid w:val="00F77FF2"/>
    <w:rsid w:val="00F806D8"/>
    <w:rsid w:val="00F809A4"/>
    <w:rsid w:val="00F815E1"/>
    <w:rsid w:val="00F81E74"/>
    <w:rsid w:val="00F843C2"/>
    <w:rsid w:val="00F844AA"/>
    <w:rsid w:val="00F845EE"/>
    <w:rsid w:val="00F8473A"/>
    <w:rsid w:val="00F8476B"/>
    <w:rsid w:val="00F847A8"/>
    <w:rsid w:val="00F85178"/>
    <w:rsid w:val="00F85236"/>
    <w:rsid w:val="00F85AC3"/>
    <w:rsid w:val="00F85E66"/>
    <w:rsid w:val="00F85F13"/>
    <w:rsid w:val="00F860AC"/>
    <w:rsid w:val="00F8669F"/>
    <w:rsid w:val="00F874F6"/>
    <w:rsid w:val="00F8781A"/>
    <w:rsid w:val="00F90136"/>
    <w:rsid w:val="00F90A0C"/>
    <w:rsid w:val="00F90A88"/>
    <w:rsid w:val="00F90ECD"/>
    <w:rsid w:val="00F911A7"/>
    <w:rsid w:val="00F91301"/>
    <w:rsid w:val="00F9221A"/>
    <w:rsid w:val="00F92FC0"/>
    <w:rsid w:val="00F93A58"/>
    <w:rsid w:val="00F94EBD"/>
    <w:rsid w:val="00F9544C"/>
    <w:rsid w:val="00F957CD"/>
    <w:rsid w:val="00F95CDB"/>
    <w:rsid w:val="00F96C42"/>
    <w:rsid w:val="00F96F5A"/>
    <w:rsid w:val="00F975B7"/>
    <w:rsid w:val="00F979D6"/>
    <w:rsid w:val="00F97DBE"/>
    <w:rsid w:val="00FA054B"/>
    <w:rsid w:val="00FA0BA5"/>
    <w:rsid w:val="00FA0EF7"/>
    <w:rsid w:val="00FA109A"/>
    <w:rsid w:val="00FA10AD"/>
    <w:rsid w:val="00FA24E4"/>
    <w:rsid w:val="00FA2618"/>
    <w:rsid w:val="00FA26A9"/>
    <w:rsid w:val="00FA306D"/>
    <w:rsid w:val="00FA38F0"/>
    <w:rsid w:val="00FA39F7"/>
    <w:rsid w:val="00FA3DB3"/>
    <w:rsid w:val="00FA40BF"/>
    <w:rsid w:val="00FA41DB"/>
    <w:rsid w:val="00FA4777"/>
    <w:rsid w:val="00FA4DA2"/>
    <w:rsid w:val="00FA4E20"/>
    <w:rsid w:val="00FA5527"/>
    <w:rsid w:val="00FA5648"/>
    <w:rsid w:val="00FA5E27"/>
    <w:rsid w:val="00FA6101"/>
    <w:rsid w:val="00FA64B9"/>
    <w:rsid w:val="00FA6802"/>
    <w:rsid w:val="00FA6C54"/>
    <w:rsid w:val="00FA7147"/>
    <w:rsid w:val="00FB01B7"/>
    <w:rsid w:val="00FB10F1"/>
    <w:rsid w:val="00FB141B"/>
    <w:rsid w:val="00FB2A81"/>
    <w:rsid w:val="00FB356C"/>
    <w:rsid w:val="00FB36EF"/>
    <w:rsid w:val="00FB386F"/>
    <w:rsid w:val="00FB4004"/>
    <w:rsid w:val="00FB465D"/>
    <w:rsid w:val="00FB5429"/>
    <w:rsid w:val="00FB77DE"/>
    <w:rsid w:val="00FB78FB"/>
    <w:rsid w:val="00FB7C25"/>
    <w:rsid w:val="00FB7D8A"/>
    <w:rsid w:val="00FC01F7"/>
    <w:rsid w:val="00FC121F"/>
    <w:rsid w:val="00FC12BC"/>
    <w:rsid w:val="00FC25B6"/>
    <w:rsid w:val="00FC2B2A"/>
    <w:rsid w:val="00FC2F39"/>
    <w:rsid w:val="00FC2F81"/>
    <w:rsid w:val="00FC33CD"/>
    <w:rsid w:val="00FC4435"/>
    <w:rsid w:val="00FC5272"/>
    <w:rsid w:val="00FC5D67"/>
    <w:rsid w:val="00FC6010"/>
    <w:rsid w:val="00FC66C4"/>
    <w:rsid w:val="00FC67A4"/>
    <w:rsid w:val="00FC6992"/>
    <w:rsid w:val="00FC69B4"/>
    <w:rsid w:val="00FC79AB"/>
    <w:rsid w:val="00FC7C89"/>
    <w:rsid w:val="00FC7E53"/>
    <w:rsid w:val="00FD035E"/>
    <w:rsid w:val="00FD0515"/>
    <w:rsid w:val="00FD0630"/>
    <w:rsid w:val="00FD0947"/>
    <w:rsid w:val="00FD0F9E"/>
    <w:rsid w:val="00FD1153"/>
    <w:rsid w:val="00FD3166"/>
    <w:rsid w:val="00FD3306"/>
    <w:rsid w:val="00FD3AA5"/>
    <w:rsid w:val="00FD7552"/>
    <w:rsid w:val="00FE0DA2"/>
    <w:rsid w:val="00FE0DB3"/>
    <w:rsid w:val="00FE14F0"/>
    <w:rsid w:val="00FE18DD"/>
    <w:rsid w:val="00FE1C13"/>
    <w:rsid w:val="00FE2445"/>
    <w:rsid w:val="00FE2CC6"/>
    <w:rsid w:val="00FE2E84"/>
    <w:rsid w:val="00FE538A"/>
    <w:rsid w:val="00FE55A3"/>
    <w:rsid w:val="00FE5BAE"/>
    <w:rsid w:val="00FE628D"/>
    <w:rsid w:val="00FE6408"/>
    <w:rsid w:val="00FE73F6"/>
    <w:rsid w:val="00FE7E02"/>
    <w:rsid w:val="00FF0AA4"/>
    <w:rsid w:val="00FF1228"/>
    <w:rsid w:val="00FF17D2"/>
    <w:rsid w:val="00FF1C89"/>
    <w:rsid w:val="00FF1E44"/>
    <w:rsid w:val="00FF21BB"/>
    <w:rsid w:val="00FF2533"/>
    <w:rsid w:val="00FF2BD3"/>
    <w:rsid w:val="00FF2FD4"/>
    <w:rsid w:val="00FF3098"/>
    <w:rsid w:val="00FF3A21"/>
    <w:rsid w:val="00FF3C5E"/>
    <w:rsid w:val="00FF441C"/>
    <w:rsid w:val="00FF4B31"/>
    <w:rsid w:val="00FF4E35"/>
    <w:rsid w:val="00FF577C"/>
    <w:rsid w:val="00FF6657"/>
    <w:rsid w:val="00FF6938"/>
    <w:rsid w:val="05F36C15"/>
    <w:rsid w:val="08E07880"/>
    <w:rsid w:val="09F3D9D4"/>
    <w:rsid w:val="12AC3A05"/>
    <w:rsid w:val="1FA330BA"/>
    <w:rsid w:val="27AC655B"/>
    <w:rsid w:val="3180D89F"/>
    <w:rsid w:val="322CAFD6"/>
    <w:rsid w:val="32C2DB42"/>
    <w:rsid w:val="33F796CD"/>
    <w:rsid w:val="368B01D2"/>
    <w:rsid w:val="38617660"/>
    <w:rsid w:val="3F3B30D2"/>
    <w:rsid w:val="4458962A"/>
    <w:rsid w:val="459DF05B"/>
    <w:rsid w:val="471FA443"/>
    <w:rsid w:val="4B3EE26A"/>
    <w:rsid w:val="4E439339"/>
    <w:rsid w:val="5B8344DD"/>
    <w:rsid w:val="5C5C2E74"/>
    <w:rsid w:val="617B0B52"/>
    <w:rsid w:val="68C44278"/>
    <w:rsid w:val="702F664B"/>
    <w:rsid w:val="710402C8"/>
    <w:rsid w:val="7231D0D0"/>
    <w:rsid w:val="73484B9C"/>
    <w:rsid w:val="7394DA91"/>
    <w:rsid w:val="7CBC47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AB162C"/>
  <w15:docId w15:val="{6C9A8EC9-496E-4D7C-B3C0-FA171123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6379A"/>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semiHidden/>
    <w:unhideWhenUsed/>
    <w:qFormat/>
    <w:rsid w:val="00D06F5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073F4"/>
    <w:rPr>
      <w:rFonts w:ascii="Courier" w:hAnsi="Courier"/>
      <w:szCs w:val="20"/>
    </w:rPr>
  </w:style>
  <w:style w:type="paragraph" w:styleId="Footer">
    <w:name w:val="footer"/>
    <w:basedOn w:val="Normal"/>
    <w:link w:val="FooterChar"/>
    <w:uiPriority w:val="99"/>
    <w:rsid w:val="00BD67E3"/>
    <w:pPr>
      <w:tabs>
        <w:tab w:val="center" w:pos="4320"/>
        <w:tab w:val="right" w:pos="8640"/>
      </w:tabs>
    </w:pPr>
  </w:style>
  <w:style w:type="character" w:styleId="PageNumber">
    <w:name w:val="page number"/>
    <w:basedOn w:val="DefaultParagraphFont"/>
    <w:rsid w:val="00BD67E3"/>
  </w:style>
  <w:style w:type="paragraph" w:styleId="FootnoteText">
    <w:name w:val="footnote text"/>
    <w:aliases w:val="Footnote Text Char1,Footnote Text Char Char1,Footnote Text Char1 Char Char,Footnote Text Char Char1 Char Char,Footnote Text Char2 Char Char1 Char Char,Footnote Text Char1 Char Char Char Char Char1,Footnote Text Char"/>
    <w:basedOn w:val="Normal"/>
    <w:rsid w:val="00A76B4E"/>
    <w:rPr>
      <w:sz w:val="20"/>
      <w:szCs w:val="20"/>
    </w:rPr>
  </w:style>
  <w:style w:type="character" w:styleId="FootnoteReference">
    <w:name w:val="footnote reference"/>
    <w:rsid w:val="00A76B4E"/>
    <w:rPr>
      <w:vertAlign w:val="superscript"/>
    </w:rPr>
  </w:style>
  <w:style w:type="paragraph" w:styleId="Header">
    <w:name w:val="header"/>
    <w:basedOn w:val="Normal"/>
    <w:link w:val="HeaderChar"/>
    <w:uiPriority w:val="99"/>
    <w:rsid w:val="0064618B"/>
    <w:pPr>
      <w:tabs>
        <w:tab w:val="center" w:pos="4320"/>
        <w:tab w:val="right" w:pos="8640"/>
      </w:tabs>
    </w:pPr>
  </w:style>
  <w:style w:type="paragraph" w:styleId="BalloonText">
    <w:name w:val="Balloon Text"/>
    <w:basedOn w:val="Normal"/>
    <w:semiHidden/>
    <w:rsid w:val="003F01FF"/>
    <w:rPr>
      <w:rFonts w:ascii="Tahoma" w:hAnsi="Tahoma" w:cs="Tahoma"/>
      <w:sz w:val="16"/>
      <w:szCs w:val="16"/>
    </w:rPr>
  </w:style>
  <w:style w:type="character" w:customStyle="1" w:styleId="term1">
    <w:name w:val="term1"/>
    <w:rsid w:val="00C6379A"/>
    <w:rPr>
      <w:rFonts w:ascii="Verdana" w:hAnsi="Verdana" w:hint="default"/>
      <w:b/>
      <w:bCs/>
      <w:sz w:val="20"/>
      <w:szCs w:val="20"/>
    </w:rPr>
  </w:style>
  <w:style w:type="character" w:styleId="Hyperlink">
    <w:name w:val="Hyperlink"/>
    <w:rsid w:val="0051137A"/>
    <w:rPr>
      <w:color w:val="0000FF"/>
      <w:u w:val="single"/>
    </w:rPr>
  </w:style>
  <w:style w:type="character" w:customStyle="1" w:styleId="documentbody1">
    <w:name w:val="documentbody1"/>
    <w:rsid w:val="006F738D"/>
    <w:rPr>
      <w:rFonts w:ascii="Verdana" w:hAnsi="Verdana" w:hint="default"/>
      <w:sz w:val="19"/>
      <w:szCs w:val="19"/>
    </w:rPr>
  </w:style>
  <w:style w:type="table" w:styleId="TableGrid">
    <w:name w:val="Table Grid"/>
    <w:aliases w:val="none"/>
    <w:basedOn w:val="TableNormal"/>
    <w:rsid w:val="00D64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64AE5"/>
  </w:style>
  <w:style w:type="paragraph" w:styleId="NormalWeb">
    <w:name w:val="Normal (Web)"/>
    <w:basedOn w:val="Normal"/>
    <w:uiPriority w:val="99"/>
    <w:rsid w:val="002B394A"/>
    <w:pPr>
      <w:spacing w:before="100" w:beforeAutospacing="1" w:after="100" w:afterAutospacing="1"/>
    </w:pPr>
  </w:style>
  <w:style w:type="paragraph" w:styleId="ListParagraph">
    <w:name w:val="List Paragraph"/>
    <w:basedOn w:val="Normal"/>
    <w:uiPriority w:val="34"/>
    <w:qFormat/>
    <w:rsid w:val="00590CF9"/>
    <w:pPr>
      <w:ind w:left="720"/>
    </w:pPr>
    <w:rPr>
      <w:rFonts w:ascii="Calibri" w:hAnsi="Calibri"/>
      <w:sz w:val="22"/>
      <w:szCs w:val="22"/>
    </w:rPr>
  </w:style>
  <w:style w:type="character" w:customStyle="1" w:styleId="Heading4Char">
    <w:name w:val="Heading 4 Char"/>
    <w:link w:val="Heading4"/>
    <w:semiHidden/>
    <w:rsid w:val="00D06F57"/>
    <w:rPr>
      <w:rFonts w:ascii="Calibri" w:eastAsia="Times New Roman" w:hAnsi="Calibri" w:cs="Times New Roman"/>
      <w:b/>
      <w:bCs/>
      <w:sz w:val="28"/>
      <w:szCs w:val="28"/>
    </w:rPr>
  </w:style>
  <w:style w:type="character" w:styleId="CommentReference">
    <w:name w:val="annotation reference"/>
    <w:uiPriority w:val="99"/>
    <w:rsid w:val="00172C04"/>
    <w:rPr>
      <w:sz w:val="16"/>
      <w:szCs w:val="16"/>
    </w:rPr>
  </w:style>
  <w:style w:type="paragraph" w:styleId="CommentText">
    <w:name w:val="annotation text"/>
    <w:basedOn w:val="Normal"/>
    <w:link w:val="CommentTextChar"/>
    <w:uiPriority w:val="99"/>
    <w:rsid w:val="00172C04"/>
    <w:rPr>
      <w:sz w:val="20"/>
      <w:szCs w:val="20"/>
    </w:rPr>
  </w:style>
  <w:style w:type="character" w:customStyle="1" w:styleId="CommentTextChar">
    <w:name w:val="Comment Text Char"/>
    <w:basedOn w:val="DefaultParagraphFont"/>
    <w:link w:val="CommentText"/>
    <w:uiPriority w:val="99"/>
    <w:rsid w:val="00172C04"/>
  </w:style>
  <w:style w:type="paragraph" w:styleId="CommentSubject">
    <w:name w:val="annotation subject"/>
    <w:basedOn w:val="CommentText"/>
    <w:next w:val="CommentText"/>
    <w:link w:val="CommentSubjectChar"/>
    <w:rsid w:val="00172C04"/>
    <w:rPr>
      <w:b/>
      <w:bCs/>
    </w:rPr>
  </w:style>
  <w:style w:type="character" w:customStyle="1" w:styleId="CommentSubjectChar">
    <w:name w:val="Comment Subject Char"/>
    <w:link w:val="CommentSubject"/>
    <w:rsid w:val="00172C04"/>
    <w:rPr>
      <w:b/>
      <w:bCs/>
    </w:rPr>
  </w:style>
  <w:style w:type="paragraph" w:styleId="PlainText">
    <w:name w:val="Plain Text"/>
    <w:basedOn w:val="Normal"/>
    <w:link w:val="PlainTextChar"/>
    <w:uiPriority w:val="99"/>
    <w:unhideWhenUsed/>
    <w:rsid w:val="00976BBC"/>
    <w:rPr>
      <w:rFonts w:ascii="Calibri" w:eastAsia="Calibri" w:hAnsi="Calibri"/>
      <w:sz w:val="22"/>
      <w:szCs w:val="21"/>
    </w:rPr>
  </w:style>
  <w:style w:type="character" w:customStyle="1" w:styleId="PlainTextChar">
    <w:name w:val="Plain Text Char"/>
    <w:link w:val="PlainText"/>
    <w:uiPriority w:val="99"/>
    <w:rsid w:val="00976BBC"/>
    <w:rPr>
      <w:rFonts w:ascii="Calibri" w:eastAsia="Calibri" w:hAnsi="Calibri"/>
      <w:sz w:val="22"/>
      <w:szCs w:val="21"/>
    </w:rPr>
  </w:style>
  <w:style w:type="paragraph" w:customStyle="1" w:styleId="Default">
    <w:name w:val="Default"/>
    <w:rsid w:val="004122A2"/>
    <w:pPr>
      <w:autoSpaceDE w:val="0"/>
      <w:autoSpaceDN w:val="0"/>
      <w:adjustRightInd w:val="0"/>
    </w:pPr>
    <w:rPr>
      <w:color w:val="000000"/>
      <w:sz w:val="24"/>
      <w:szCs w:val="24"/>
    </w:rPr>
  </w:style>
  <w:style w:type="character" w:styleId="EndnoteReference">
    <w:name w:val="endnote reference"/>
    <w:rsid w:val="005465A8"/>
    <w:rPr>
      <w:vertAlign w:val="superscript"/>
    </w:rPr>
  </w:style>
  <w:style w:type="character" w:customStyle="1" w:styleId="FooterChar">
    <w:name w:val="Footer Char"/>
    <w:link w:val="Footer"/>
    <w:uiPriority w:val="99"/>
    <w:rsid w:val="00481472"/>
    <w:rPr>
      <w:sz w:val="24"/>
      <w:szCs w:val="24"/>
    </w:rPr>
  </w:style>
  <w:style w:type="paragraph" w:styleId="NoSpacing">
    <w:name w:val="No Spacing"/>
    <w:uiPriority w:val="1"/>
    <w:qFormat/>
    <w:rsid w:val="00B6485F"/>
    <w:rPr>
      <w:sz w:val="24"/>
      <w:szCs w:val="24"/>
    </w:rPr>
  </w:style>
  <w:style w:type="character" w:customStyle="1" w:styleId="HeaderChar">
    <w:name w:val="Header Char"/>
    <w:link w:val="Header"/>
    <w:uiPriority w:val="99"/>
    <w:rsid w:val="00B6485F"/>
    <w:rPr>
      <w:sz w:val="24"/>
      <w:szCs w:val="24"/>
    </w:rPr>
  </w:style>
  <w:style w:type="character" w:styleId="FollowedHyperlink">
    <w:name w:val="FollowedHyperlink"/>
    <w:rsid w:val="00187B70"/>
    <w:rPr>
      <w:color w:val="800080"/>
      <w:u w:val="single"/>
    </w:rPr>
  </w:style>
  <w:style w:type="character" w:styleId="UnresolvedMention">
    <w:name w:val="Unresolved Mention"/>
    <w:basedOn w:val="DefaultParagraphFont"/>
    <w:uiPriority w:val="99"/>
    <w:semiHidden/>
    <w:unhideWhenUsed/>
    <w:rsid w:val="003D3B0C"/>
    <w:rPr>
      <w:color w:val="605E5C"/>
      <w:shd w:val="clear" w:color="auto" w:fill="E1DFDD"/>
    </w:rPr>
  </w:style>
  <w:style w:type="paragraph" w:styleId="Revision">
    <w:name w:val="Revision"/>
    <w:hidden/>
    <w:uiPriority w:val="99"/>
    <w:semiHidden/>
    <w:rsid w:val="005A53F1"/>
    <w:rPr>
      <w:sz w:val="24"/>
      <w:szCs w:val="24"/>
    </w:rPr>
  </w:style>
  <w:style w:type="paragraph" w:customStyle="1" w:styleId="paragraph">
    <w:name w:val="paragraph"/>
    <w:basedOn w:val="Normal"/>
    <w:rsid w:val="004F1EF6"/>
    <w:pPr>
      <w:spacing w:before="100" w:beforeAutospacing="1" w:after="100" w:afterAutospacing="1"/>
    </w:pPr>
  </w:style>
  <w:style w:type="character" w:customStyle="1" w:styleId="normaltextrun">
    <w:name w:val="normaltextrun"/>
    <w:basedOn w:val="DefaultParagraphFont"/>
    <w:rsid w:val="004F1EF6"/>
  </w:style>
  <w:style w:type="character" w:customStyle="1" w:styleId="eop">
    <w:name w:val="eop"/>
    <w:basedOn w:val="DefaultParagraphFont"/>
    <w:rsid w:val="004F1EF6"/>
  </w:style>
  <w:style w:type="paragraph" w:customStyle="1" w:styleId="xmsonormal">
    <w:name w:val="x_msonormal"/>
    <w:basedOn w:val="Normal"/>
    <w:rsid w:val="00B552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32592">
      <w:bodyDiv w:val="1"/>
      <w:marLeft w:val="0"/>
      <w:marRight w:val="0"/>
      <w:marTop w:val="0"/>
      <w:marBottom w:val="0"/>
      <w:divBdr>
        <w:top w:val="none" w:sz="0" w:space="0" w:color="auto"/>
        <w:left w:val="none" w:sz="0" w:space="0" w:color="auto"/>
        <w:bottom w:val="none" w:sz="0" w:space="0" w:color="auto"/>
        <w:right w:val="none" w:sz="0" w:space="0" w:color="auto"/>
      </w:divBdr>
      <w:divsChild>
        <w:div w:id="349337612">
          <w:marLeft w:val="0"/>
          <w:marRight w:val="0"/>
          <w:marTop w:val="0"/>
          <w:marBottom w:val="0"/>
          <w:divBdr>
            <w:top w:val="none" w:sz="0" w:space="0" w:color="auto"/>
            <w:left w:val="none" w:sz="0" w:space="0" w:color="auto"/>
            <w:bottom w:val="none" w:sz="0" w:space="0" w:color="auto"/>
            <w:right w:val="none" w:sz="0" w:space="0" w:color="auto"/>
          </w:divBdr>
          <w:divsChild>
            <w:div w:id="937326564">
              <w:marLeft w:val="0"/>
              <w:marRight w:val="0"/>
              <w:marTop w:val="0"/>
              <w:marBottom w:val="0"/>
              <w:divBdr>
                <w:top w:val="none" w:sz="0" w:space="0" w:color="auto"/>
                <w:left w:val="none" w:sz="0" w:space="0" w:color="auto"/>
                <w:bottom w:val="none" w:sz="0" w:space="0" w:color="auto"/>
                <w:right w:val="none" w:sz="0" w:space="0" w:color="auto"/>
              </w:divBdr>
              <w:divsChild>
                <w:div w:id="660160764">
                  <w:marLeft w:val="0"/>
                  <w:marRight w:val="0"/>
                  <w:marTop w:val="0"/>
                  <w:marBottom w:val="0"/>
                  <w:divBdr>
                    <w:top w:val="none" w:sz="0" w:space="0" w:color="auto"/>
                    <w:left w:val="none" w:sz="0" w:space="0" w:color="auto"/>
                    <w:bottom w:val="none" w:sz="0" w:space="0" w:color="auto"/>
                    <w:right w:val="none" w:sz="0" w:space="0" w:color="auto"/>
                  </w:divBdr>
                  <w:divsChild>
                    <w:div w:id="1111898821">
                      <w:marLeft w:val="0"/>
                      <w:marRight w:val="0"/>
                      <w:marTop w:val="0"/>
                      <w:marBottom w:val="0"/>
                      <w:divBdr>
                        <w:top w:val="none" w:sz="0" w:space="0" w:color="auto"/>
                        <w:left w:val="none" w:sz="0" w:space="0" w:color="auto"/>
                        <w:bottom w:val="none" w:sz="0" w:space="0" w:color="auto"/>
                        <w:right w:val="none" w:sz="0" w:space="0" w:color="auto"/>
                      </w:divBdr>
                      <w:divsChild>
                        <w:div w:id="8778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64171">
                  <w:marLeft w:val="0"/>
                  <w:marRight w:val="0"/>
                  <w:marTop w:val="0"/>
                  <w:marBottom w:val="0"/>
                  <w:divBdr>
                    <w:top w:val="none" w:sz="0" w:space="0" w:color="auto"/>
                    <w:left w:val="none" w:sz="0" w:space="0" w:color="auto"/>
                    <w:bottom w:val="none" w:sz="0" w:space="0" w:color="auto"/>
                    <w:right w:val="none" w:sz="0" w:space="0" w:color="auto"/>
                  </w:divBdr>
                </w:div>
                <w:div w:id="1459646430">
                  <w:marLeft w:val="0"/>
                  <w:marRight w:val="0"/>
                  <w:marTop w:val="0"/>
                  <w:marBottom w:val="0"/>
                  <w:divBdr>
                    <w:top w:val="none" w:sz="0" w:space="0" w:color="auto"/>
                    <w:left w:val="none" w:sz="0" w:space="0" w:color="auto"/>
                    <w:bottom w:val="none" w:sz="0" w:space="0" w:color="auto"/>
                    <w:right w:val="none" w:sz="0" w:space="0" w:color="auto"/>
                  </w:divBdr>
                  <w:divsChild>
                    <w:div w:id="240022825">
                      <w:marLeft w:val="0"/>
                      <w:marRight w:val="0"/>
                      <w:marTop w:val="0"/>
                      <w:marBottom w:val="0"/>
                      <w:divBdr>
                        <w:top w:val="none" w:sz="0" w:space="0" w:color="auto"/>
                        <w:left w:val="none" w:sz="0" w:space="0" w:color="auto"/>
                        <w:bottom w:val="none" w:sz="0" w:space="0" w:color="auto"/>
                        <w:right w:val="none" w:sz="0" w:space="0" w:color="auto"/>
                      </w:divBdr>
                      <w:divsChild>
                        <w:div w:id="14443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4750">
                  <w:marLeft w:val="0"/>
                  <w:marRight w:val="0"/>
                  <w:marTop w:val="0"/>
                  <w:marBottom w:val="0"/>
                  <w:divBdr>
                    <w:top w:val="none" w:sz="0" w:space="0" w:color="auto"/>
                    <w:left w:val="none" w:sz="0" w:space="0" w:color="auto"/>
                    <w:bottom w:val="none" w:sz="0" w:space="0" w:color="auto"/>
                    <w:right w:val="none" w:sz="0" w:space="0" w:color="auto"/>
                  </w:divBdr>
                  <w:divsChild>
                    <w:div w:id="180169386">
                      <w:marLeft w:val="0"/>
                      <w:marRight w:val="0"/>
                      <w:marTop w:val="0"/>
                      <w:marBottom w:val="0"/>
                      <w:divBdr>
                        <w:top w:val="none" w:sz="0" w:space="0" w:color="auto"/>
                        <w:left w:val="none" w:sz="0" w:space="0" w:color="auto"/>
                        <w:bottom w:val="none" w:sz="0" w:space="0" w:color="auto"/>
                        <w:right w:val="none" w:sz="0" w:space="0" w:color="auto"/>
                      </w:divBdr>
                      <w:divsChild>
                        <w:div w:id="18751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2387">
                  <w:marLeft w:val="0"/>
                  <w:marRight w:val="0"/>
                  <w:marTop w:val="0"/>
                  <w:marBottom w:val="0"/>
                  <w:divBdr>
                    <w:top w:val="none" w:sz="0" w:space="0" w:color="auto"/>
                    <w:left w:val="none" w:sz="0" w:space="0" w:color="auto"/>
                    <w:bottom w:val="none" w:sz="0" w:space="0" w:color="auto"/>
                    <w:right w:val="none" w:sz="0" w:space="0" w:color="auto"/>
                  </w:divBdr>
                  <w:divsChild>
                    <w:div w:id="1012026302">
                      <w:marLeft w:val="0"/>
                      <w:marRight w:val="0"/>
                      <w:marTop w:val="0"/>
                      <w:marBottom w:val="0"/>
                      <w:divBdr>
                        <w:top w:val="none" w:sz="0" w:space="0" w:color="auto"/>
                        <w:left w:val="none" w:sz="0" w:space="0" w:color="auto"/>
                        <w:bottom w:val="none" w:sz="0" w:space="0" w:color="auto"/>
                        <w:right w:val="none" w:sz="0" w:space="0" w:color="auto"/>
                      </w:divBdr>
                      <w:divsChild>
                        <w:div w:id="4088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3031">
                  <w:marLeft w:val="0"/>
                  <w:marRight w:val="0"/>
                  <w:marTop w:val="0"/>
                  <w:marBottom w:val="0"/>
                  <w:divBdr>
                    <w:top w:val="none" w:sz="0" w:space="0" w:color="auto"/>
                    <w:left w:val="none" w:sz="0" w:space="0" w:color="auto"/>
                    <w:bottom w:val="none" w:sz="0" w:space="0" w:color="auto"/>
                    <w:right w:val="none" w:sz="0" w:space="0" w:color="auto"/>
                  </w:divBdr>
                  <w:divsChild>
                    <w:div w:id="1412316934">
                      <w:marLeft w:val="0"/>
                      <w:marRight w:val="0"/>
                      <w:marTop w:val="0"/>
                      <w:marBottom w:val="0"/>
                      <w:divBdr>
                        <w:top w:val="none" w:sz="0" w:space="0" w:color="auto"/>
                        <w:left w:val="none" w:sz="0" w:space="0" w:color="auto"/>
                        <w:bottom w:val="none" w:sz="0" w:space="0" w:color="auto"/>
                        <w:right w:val="none" w:sz="0" w:space="0" w:color="auto"/>
                      </w:divBdr>
                      <w:divsChild>
                        <w:div w:id="3428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03062">
      <w:bodyDiv w:val="1"/>
      <w:marLeft w:val="30"/>
      <w:marRight w:val="30"/>
      <w:marTop w:val="30"/>
      <w:marBottom w:val="30"/>
      <w:divBdr>
        <w:top w:val="none" w:sz="0" w:space="0" w:color="auto"/>
        <w:left w:val="none" w:sz="0" w:space="0" w:color="auto"/>
        <w:bottom w:val="none" w:sz="0" w:space="0" w:color="auto"/>
        <w:right w:val="none" w:sz="0" w:space="0" w:color="auto"/>
      </w:divBdr>
      <w:divsChild>
        <w:div w:id="340284776">
          <w:marLeft w:val="0"/>
          <w:marRight w:val="0"/>
          <w:marTop w:val="0"/>
          <w:marBottom w:val="0"/>
          <w:divBdr>
            <w:top w:val="none" w:sz="0" w:space="0" w:color="auto"/>
            <w:left w:val="none" w:sz="0" w:space="0" w:color="auto"/>
            <w:bottom w:val="none" w:sz="0" w:space="0" w:color="auto"/>
            <w:right w:val="none" w:sz="0" w:space="0" w:color="auto"/>
          </w:divBdr>
          <w:divsChild>
            <w:div w:id="1466583786">
              <w:marLeft w:val="45"/>
              <w:marRight w:val="45"/>
              <w:marTop w:val="45"/>
              <w:marBottom w:val="45"/>
              <w:divBdr>
                <w:top w:val="none" w:sz="0" w:space="0" w:color="auto"/>
                <w:left w:val="none" w:sz="0" w:space="0" w:color="auto"/>
                <w:bottom w:val="none" w:sz="0" w:space="0" w:color="auto"/>
                <w:right w:val="none" w:sz="0" w:space="0" w:color="auto"/>
              </w:divBdr>
              <w:divsChild>
                <w:div w:id="51081156">
                  <w:marLeft w:val="720"/>
                  <w:marRight w:val="0"/>
                  <w:marTop w:val="0"/>
                  <w:marBottom w:val="0"/>
                  <w:divBdr>
                    <w:top w:val="none" w:sz="0" w:space="0" w:color="auto"/>
                    <w:left w:val="none" w:sz="0" w:space="0" w:color="auto"/>
                    <w:bottom w:val="none" w:sz="0" w:space="0" w:color="auto"/>
                    <w:right w:val="none" w:sz="0" w:space="0" w:color="auto"/>
                  </w:divBdr>
                </w:div>
                <w:div w:id="889195616">
                  <w:marLeft w:val="360"/>
                  <w:marRight w:val="0"/>
                  <w:marTop w:val="0"/>
                  <w:marBottom w:val="0"/>
                  <w:divBdr>
                    <w:top w:val="none" w:sz="0" w:space="0" w:color="auto"/>
                    <w:left w:val="none" w:sz="0" w:space="0" w:color="auto"/>
                    <w:bottom w:val="none" w:sz="0" w:space="0" w:color="auto"/>
                    <w:right w:val="none" w:sz="0" w:space="0" w:color="auto"/>
                  </w:divBdr>
                </w:div>
                <w:div w:id="1089153232">
                  <w:marLeft w:val="360"/>
                  <w:marRight w:val="0"/>
                  <w:marTop w:val="0"/>
                  <w:marBottom w:val="0"/>
                  <w:divBdr>
                    <w:top w:val="none" w:sz="0" w:space="0" w:color="auto"/>
                    <w:left w:val="none" w:sz="0" w:space="0" w:color="auto"/>
                    <w:bottom w:val="none" w:sz="0" w:space="0" w:color="auto"/>
                    <w:right w:val="none" w:sz="0" w:space="0" w:color="auto"/>
                  </w:divBdr>
                </w:div>
                <w:div w:id="1120220934">
                  <w:marLeft w:val="720"/>
                  <w:marRight w:val="0"/>
                  <w:marTop w:val="0"/>
                  <w:marBottom w:val="0"/>
                  <w:divBdr>
                    <w:top w:val="none" w:sz="0" w:space="0" w:color="auto"/>
                    <w:left w:val="none" w:sz="0" w:space="0" w:color="auto"/>
                    <w:bottom w:val="none" w:sz="0" w:space="0" w:color="auto"/>
                    <w:right w:val="none" w:sz="0" w:space="0" w:color="auto"/>
                  </w:divBdr>
                </w:div>
                <w:div w:id="180114821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3262">
      <w:bodyDiv w:val="1"/>
      <w:marLeft w:val="0"/>
      <w:marRight w:val="0"/>
      <w:marTop w:val="0"/>
      <w:marBottom w:val="0"/>
      <w:divBdr>
        <w:top w:val="none" w:sz="0" w:space="0" w:color="auto"/>
        <w:left w:val="none" w:sz="0" w:space="0" w:color="auto"/>
        <w:bottom w:val="none" w:sz="0" w:space="0" w:color="auto"/>
        <w:right w:val="none" w:sz="0" w:space="0" w:color="auto"/>
      </w:divBdr>
    </w:div>
    <w:div w:id="550069720">
      <w:bodyDiv w:val="1"/>
      <w:marLeft w:val="26"/>
      <w:marRight w:val="26"/>
      <w:marTop w:val="26"/>
      <w:marBottom w:val="26"/>
      <w:divBdr>
        <w:top w:val="none" w:sz="0" w:space="0" w:color="auto"/>
        <w:left w:val="none" w:sz="0" w:space="0" w:color="auto"/>
        <w:bottom w:val="none" w:sz="0" w:space="0" w:color="auto"/>
        <w:right w:val="none" w:sz="0" w:space="0" w:color="auto"/>
      </w:divBdr>
      <w:divsChild>
        <w:div w:id="94986444">
          <w:marLeft w:val="0"/>
          <w:marRight w:val="0"/>
          <w:marTop w:val="0"/>
          <w:marBottom w:val="0"/>
          <w:divBdr>
            <w:top w:val="none" w:sz="0" w:space="0" w:color="auto"/>
            <w:left w:val="none" w:sz="0" w:space="0" w:color="auto"/>
            <w:bottom w:val="none" w:sz="0" w:space="0" w:color="auto"/>
            <w:right w:val="none" w:sz="0" w:space="0" w:color="auto"/>
          </w:divBdr>
          <w:divsChild>
            <w:div w:id="1596086045">
              <w:marLeft w:val="40"/>
              <w:marRight w:val="40"/>
              <w:marTop w:val="40"/>
              <w:marBottom w:val="40"/>
              <w:divBdr>
                <w:top w:val="none" w:sz="0" w:space="0" w:color="auto"/>
                <w:left w:val="none" w:sz="0" w:space="0" w:color="auto"/>
                <w:bottom w:val="none" w:sz="0" w:space="0" w:color="auto"/>
                <w:right w:val="none" w:sz="0" w:space="0" w:color="auto"/>
              </w:divBdr>
              <w:divsChild>
                <w:div w:id="1127547463">
                  <w:marLeft w:val="0"/>
                  <w:marRight w:val="0"/>
                  <w:marTop w:val="0"/>
                  <w:marBottom w:val="0"/>
                  <w:divBdr>
                    <w:top w:val="none" w:sz="0" w:space="0" w:color="auto"/>
                    <w:left w:val="none" w:sz="0" w:space="0" w:color="auto"/>
                    <w:bottom w:val="none" w:sz="0" w:space="0" w:color="auto"/>
                    <w:right w:val="none" w:sz="0" w:space="0" w:color="auto"/>
                  </w:divBdr>
                  <w:divsChild>
                    <w:div w:id="120415992">
                      <w:marLeft w:val="0"/>
                      <w:marRight w:val="0"/>
                      <w:marTop w:val="0"/>
                      <w:marBottom w:val="0"/>
                      <w:divBdr>
                        <w:top w:val="none" w:sz="0" w:space="0" w:color="auto"/>
                        <w:left w:val="none" w:sz="0" w:space="0" w:color="auto"/>
                        <w:bottom w:val="none" w:sz="0" w:space="0" w:color="auto"/>
                        <w:right w:val="none" w:sz="0" w:space="0" w:color="auto"/>
                      </w:divBdr>
                    </w:div>
                    <w:div w:id="529999334">
                      <w:marLeft w:val="0"/>
                      <w:marRight w:val="0"/>
                      <w:marTop w:val="0"/>
                      <w:marBottom w:val="0"/>
                      <w:divBdr>
                        <w:top w:val="none" w:sz="0" w:space="0" w:color="auto"/>
                        <w:left w:val="none" w:sz="0" w:space="0" w:color="auto"/>
                        <w:bottom w:val="none" w:sz="0" w:space="0" w:color="auto"/>
                        <w:right w:val="none" w:sz="0" w:space="0" w:color="auto"/>
                      </w:divBdr>
                    </w:div>
                    <w:div w:id="1389915025">
                      <w:marLeft w:val="0"/>
                      <w:marRight w:val="0"/>
                      <w:marTop w:val="0"/>
                      <w:marBottom w:val="0"/>
                      <w:divBdr>
                        <w:top w:val="none" w:sz="0" w:space="0" w:color="auto"/>
                        <w:left w:val="none" w:sz="0" w:space="0" w:color="auto"/>
                        <w:bottom w:val="none" w:sz="0" w:space="0" w:color="auto"/>
                        <w:right w:val="none" w:sz="0" w:space="0" w:color="auto"/>
                      </w:divBdr>
                    </w:div>
                    <w:div w:id="14351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11281">
      <w:bodyDiv w:val="1"/>
      <w:marLeft w:val="0"/>
      <w:marRight w:val="0"/>
      <w:marTop w:val="0"/>
      <w:marBottom w:val="0"/>
      <w:divBdr>
        <w:top w:val="none" w:sz="0" w:space="0" w:color="auto"/>
        <w:left w:val="none" w:sz="0" w:space="0" w:color="auto"/>
        <w:bottom w:val="none" w:sz="0" w:space="0" w:color="auto"/>
        <w:right w:val="none" w:sz="0" w:space="0" w:color="auto"/>
      </w:divBdr>
    </w:div>
    <w:div w:id="815418790">
      <w:bodyDiv w:val="1"/>
      <w:marLeft w:val="0"/>
      <w:marRight w:val="0"/>
      <w:marTop w:val="0"/>
      <w:marBottom w:val="0"/>
      <w:divBdr>
        <w:top w:val="none" w:sz="0" w:space="0" w:color="auto"/>
        <w:left w:val="none" w:sz="0" w:space="0" w:color="auto"/>
        <w:bottom w:val="none" w:sz="0" w:space="0" w:color="auto"/>
        <w:right w:val="none" w:sz="0" w:space="0" w:color="auto"/>
      </w:divBdr>
      <w:divsChild>
        <w:div w:id="47386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6454286">
      <w:bodyDiv w:val="1"/>
      <w:marLeft w:val="0"/>
      <w:marRight w:val="0"/>
      <w:marTop w:val="0"/>
      <w:marBottom w:val="0"/>
      <w:divBdr>
        <w:top w:val="none" w:sz="0" w:space="0" w:color="auto"/>
        <w:left w:val="none" w:sz="0" w:space="0" w:color="auto"/>
        <w:bottom w:val="none" w:sz="0" w:space="0" w:color="auto"/>
        <w:right w:val="none" w:sz="0" w:space="0" w:color="auto"/>
      </w:divBdr>
    </w:div>
    <w:div w:id="969242609">
      <w:bodyDiv w:val="1"/>
      <w:marLeft w:val="0"/>
      <w:marRight w:val="0"/>
      <w:marTop w:val="0"/>
      <w:marBottom w:val="0"/>
      <w:divBdr>
        <w:top w:val="none" w:sz="0" w:space="0" w:color="auto"/>
        <w:left w:val="none" w:sz="0" w:space="0" w:color="auto"/>
        <w:bottom w:val="none" w:sz="0" w:space="0" w:color="auto"/>
        <w:right w:val="none" w:sz="0" w:space="0" w:color="auto"/>
      </w:divBdr>
      <w:divsChild>
        <w:div w:id="1940022093">
          <w:marLeft w:val="0"/>
          <w:marRight w:val="0"/>
          <w:marTop w:val="0"/>
          <w:marBottom w:val="0"/>
          <w:divBdr>
            <w:top w:val="none" w:sz="0" w:space="0" w:color="auto"/>
            <w:left w:val="none" w:sz="0" w:space="0" w:color="auto"/>
            <w:bottom w:val="none" w:sz="0" w:space="0" w:color="auto"/>
            <w:right w:val="none" w:sz="0" w:space="0" w:color="auto"/>
          </w:divBdr>
          <w:divsChild>
            <w:div w:id="341052550">
              <w:marLeft w:val="0"/>
              <w:marRight w:val="0"/>
              <w:marTop w:val="0"/>
              <w:marBottom w:val="0"/>
              <w:divBdr>
                <w:top w:val="none" w:sz="0" w:space="0" w:color="auto"/>
                <w:left w:val="none" w:sz="0" w:space="0" w:color="auto"/>
                <w:bottom w:val="none" w:sz="0" w:space="0" w:color="auto"/>
                <w:right w:val="none" w:sz="0" w:space="0" w:color="auto"/>
              </w:divBdr>
              <w:divsChild>
                <w:div w:id="253368047">
                  <w:marLeft w:val="0"/>
                  <w:marRight w:val="0"/>
                  <w:marTop w:val="0"/>
                  <w:marBottom w:val="0"/>
                  <w:divBdr>
                    <w:top w:val="none" w:sz="0" w:space="0" w:color="auto"/>
                    <w:left w:val="none" w:sz="0" w:space="0" w:color="auto"/>
                    <w:bottom w:val="none" w:sz="0" w:space="0" w:color="auto"/>
                    <w:right w:val="none" w:sz="0" w:space="0" w:color="auto"/>
                  </w:divBdr>
                  <w:divsChild>
                    <w:div w:id="310208963">
                      <w:marLeft w:val="0"/>
                      <w:marRight w:val="0"/>
                      <w:marTop w:val="0"/>
                      <w:marBottom w:val="0"/>
                      <w:divBdr>
                        <w:top w:val="none" w:sz="0" w:space="0" w:color="auto"/>
                        <w:left w:val="none" w:sz="0" w:space="0" w:color="auto"/>
                        <w:bottom w:val="none" w:sz="0" w:space="0" w:color="auto"/>
                        <w:right w:val="none" w:sz="0" w:space="0" w:color="auto"/>
                      </w:divBdr>
                      <w:divsChild>
                        <w:div w:id="1580169482">
                          <w:marLeft w:val="0"/>
                          <w:marRight w:val="0"/>
                          <w:marTop w:val="0"/>
                          <w:marBottom w:val="0"/>
                          <w:divBdr>
                            <w:top w:val="none" w:sz="0" w:space="0" w:color="auto"/>
                            <w:left w:val="none" w:sz="0" w:space="0" w:color="auto"/>
                            <w:bottom w:val="none" w:sz="0" w:space="0" w:color="auto"/>
                            <w:right w:val="none" w:sz="0" w:space="0" w:color="auto"/>
                          </w:divBdr>
                          <w:divsChild>
                            <w:div w:id="746654336">
                              <w:marLeft w:val="0"/>
                              <w:marRight w:val="0"/>
                              <w:marTop w:val="0"/>
                              <w:marBottom w:val="0"/>
                              <w:divBdr>
                                <w:top w:val="none" w:sz="0" w:space="0" w:color="auto"/>
                                <w:left w:val="none" w:sz="0" w:space="0" w:color="auto"/>
                                <w:bottom w:val="none" w:sz="0" w:space="0" w:color="auto"/>
                                <w:right w:val="none" w:sz="0" w:space="0" w:color="auto"/>
                              </w:divBdr>
                              <w:divsChild>
                                <w:div w:id="11428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85147">
                      <w:marLeft w:val="0"/>
                      <w:marRight w:val="0"/>
                      <w:marTop w:val="0"/>
                      <w:marBottom w:val="0"/>
                      <w:divBdr>
                        <w:top w:val="none" w:sz="0" w:space="0" w:color="auto"/>
                        <w:left w:val="none" w:sz="0" w:space="0" w:color="auto"/>
                        <w:bottom w:val="none" w:sz="0" w:space="0" w:color="auto"/>
                        <w:right w:val="none" w:sz="0" w:space="0" w:color="auto"/>
                      </w:divBdr>
                      <w:divsChild>
                        <w:div w:id="1335835179">
                          <w:marLeft w:val="0"/>
                          <w:marRight w:val="0"/>
                          <w:marTop w:val="0"/>
                          <w:marBottom w:val="0"/>
                          <w:divBdr>
                            <w:top w:val="none" w:sz="0" w:space="0" w:color="auto"/>
                            <w:left w:val="none" w:sz="0" w:space="0" w:color="auto"/>
                            <w:bottom w:val="none" w:sz="0" w:space="0" w:color="auto"/>
                            <w:right w:val="none" w:sz="0" w:space="0" w:color="auto"/>
                          </w:divBdr>
                          <w:divsChild>
                            <w:div w:id="1102798550">
                              <w:marLeft w:val="0"/>
                              <w:marRight w:val="0"/>
                              <w:marTop w:val="0"/>
                              <w:marBottom w:val="0"/>
                              <w:divBdr>
                                <w:top w:val="none" w:sz="0" w:space="0" w:color="auto"/>
                                <w:left w:val="none" w:sz="0" w:space="0" w:color="auto"/>
                                <w:bottom w:val="none" w:sz="0" w:space="0" w:color="auto"/>
                                <w:right w:val="none" w:sz="0" w:space="0" w:color="auto"/>
                              </w:divBdr>
                              <w:divsChild>
                                <w:div w:id="3985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65716">
                      <w:marLeft w:val="0"/>
                      <w:marRight w:val="0"/>
                      <w:marTop w:val="0"/>
                      <w:marBottom w:val="0"/>
                      <w:divBdr>
                        <w:top w:val="none" w:sz="0" w:space="0" w:color="auto"/>
                        <w:left w:val="none" w:sz="0" w:space="0" w:color="auto"/>
                        <w:bottom w:val="none" w:sz="0" w:space="0" w:color="auto"/>
                        <w:right w:val="none" w:sz="0" w:space="0" w:color="auto"/>
                      </w:divBdr>
                      <w:divsChild>
                        <w:div w:id="1525510396">
                          <w:marLeft w:val="0"/>
                          <w:marRight w:val="0"/>
                          <w:marTop w:val="0"/>
                          <w:marBottom w:val="0"/>
                          <w:divBdr>
                            <w:top w:val="none" w:sz="0" w:space="0" w:color="auto"/>
                            <w:left w:val="none" w:sz="0" w:space="0" w:color="auto"/>
                            <w:bottom w:val="none" w:sz="0" w:space="0" w:color="auto"/>
                            <w:right w:val="none" w:sz="0" w:space="0" w:color="auto"/>
                          </w:divBdr>
                          <w:divsChild>
                            <w:div w:id="266547439">
                              <w:marLeft w:val="0"/>
                              <w:marRight w:val="0"/>
                              <w:marTop w:val="0"/>
                              <w:marBottom w:val="0"/>
                              <w:divBdr>
                                <w:top w:val="none" w:sz="0" w:space="0" w:color="auto"/>
                                <w:left w:val="none" w:sz="0" w:space="0" w:color="auto"/>
                                <w:bottom w:val="none" w:sz="0" w:space="0" w:color="auto"/>
                                <w:right w:val="none" w:sz="0" w:space="0" w:color="auto"/>
                              </w:divBdr>
                              <w:divsChild>
                                <w:div w:id="4030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60936">
                      <w:marLeft w:val="0"/>
                      <w:marRight w:val="0"/>
                      <w:marTop w:val="0"/>
                      <w:marBottom w:val="0"/>
                      <w:divBdr>
                        <w:top w:val="none" w:sz="0" w:space="0" w:color="auto"/>
                        <w:left w:val="none" w:sz="0" w:space="0" w:color="auto"/>
                        <w:bottom w:val="none" w:sz="0" w:space="0" w:color="auto"/>
                        <w:right w:val="none" w:sz="0" w:space="0" w:color="auto"/>
                      </w:divBdr>
                      <w:divsChild>
                        <w:div w:id="206770202">
                          <w:marLeft w:val="0"/>
                          <w:marRight w:val="0"/>
                          <w:marTop w:val="0"/>
                          <w:marBottom w:val="0"/>
                          <w:divBdr>
                            <w:top w:val="none" w:sz="0" w:space="0" w:color="auto"/>
                            <w:left w:val="none" w:sz="0" w:space="0" w:color="auto"/>
                            <w:bottom w:val="none" w:sz="0" w:space="0" w:color="auto"/>
                            <w:right w:val="none" w:sz="0" w:space="0" w:color="auto"/>
                          </w:divBdr>
                          <w:divsChild>
                            <w:div w:id="64770090">
                              <w:marLeft w:val="0"/>
                              <w:marRight w:val="0"/>
                              <w:marTop w:val="0"/>
                              <w:marBottom w:val="0"/>
                              <w:divBdr>
                                <w:top w:val="none" w:sz="0" w:space="0" w:color="auto"/>
                                <w:left w:val="none" w:sz="0" w:space="0" w:color="auto"/>
                                <w:bottom w:val="none" w:sz="0" w:space="0" w:color="auto"/>
                                <w:right w:val="none" w:sz="0" w:space="0" w:color="auto"/>
                              </w:divBdr>
                              <w:divsChild>
                                <w:div w:id="17154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18457">
                      <w:marLeft w:val="0"/>
                      <w:marRight w:val="0"/>
                      <w:marTop w:val="0"/>
                      <w:marBottom w:val="0"/>
                      <w:divBdr>
                        <w:top w:val="none" w:sz="0" w:space="0" w:color="auto"/>
                        <w:left w:val="none" w:sz="0" w:space="0" w:color="auto"/>
                        <w:bottom w:val="none" w:sz="0" w:space="0" w:color="auto"/>
                        <w:right w:val="none" w:sz="0" w:space="0" w:color="auto"/>
                      </w:divBdr>
                      <w:divsChild>
                        <w:div w:id="1995061437">
                          <w:marLeft w:val="0"/>
                          <w:marRight w:val="0"/>
                          <w:marTop w:val="0"/>
                          <w:marBottom w:val="0"/>
                          <w:divBdr>
                            <w:top w:val="none" w:sz="0" w:space="0" w:color="auto"/>
                            <w:left w:val="none" w:sz="0" w:space="0" w:color="auto"/>
                            <w:bottom w:val="none" w:sz="0" w:space="0" w:color="auto"/>
                            <w:right w:val="none" w:sz="0" w:space="0" w:color="auto"/>
                          </w:divBdr>
                        </w:div>
                      </w:divsChild>
                    </w:div>
                    <w:div w:id="1376924824">
                      <w:marLeft w:val="0"/>
                      <w:marRight w:val="0"/>
                      <w:marTop w:val="0"/>
                      <w:marBottom w:val="0"/>
                      <w:divBdr>
                        <w:top w:val="none" w:sz="0" w:space="0" w:color="auto"/>
                        <w:left w:val="none" w:sz="0" w:space="0" w:color="auto"/>
                        <w:bottom w:val="none" w:sz="0" w:space="0" w:color="auto"/>
                        <w:right w:val="none" w:sz="0" w:space="0" w:color="auto"/>
                      </w:divBdr>
                      <w:divsChild>
                        <w:div w:id="1672679327">
                          <w:marLeft w:val="0"/>
                          <w:marRight w:val="0"/>
                          <w:marTop w:val="0"/>
                          <w:marBottom w:val="0"/>
                          <w:divBdr>
                            <w:top w:val="none" w:sz="0" w:space="0" w:color="auto"/>
                            <w:left w:val="none" w:sz="0" w:space="0" w:color="auto"/>
                            <w:bottom w:val="none" w:sz="0" w:space="0" w:color="auto"/>
                            <w:right w:val="none" w:sz="0" w:space="0" w:color="auto"/>
                          </w:divBdr>
                          <w:divsChild>
                            <w:div w:id="1647470251">
                              <w:marLeft w:val="0"/>
                              <w:marRight w:val="0"/>
                              <w:marTop w:val="0"/>
                              <w:marBottom w:val="0"/>
                              <w:divBdr>
                                <w:top w:val="none" w:sz="0" w:space="0" w:color="auto"/>
                                <w:left w:val="none" w:sz="0" w:space="0" w:color="auto"/>
                                <w:bottom w:val="none" w:sz="0" w:space="0" w:color="auto"/>
                                <w:right w:val="none" w:sz="0" w:space="0" w:color="auto"/>
                              </w:divBdr>
                              <w:divsChild>
                                <w:div w:id="17464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201713">
                      <w:marLeft w:val="0"/>
                      <w:marRight w:val="0"/>
                      <w:marTop w:val="0"/>
                      <w:marBottom w:val="0"/>
                      <w:divBdr>
                        <w:top w:val="none" w:sz="0" w:space="0" w:color="auto"/>
                        <w:left w:val="none" w:sz="0" w:space="0" w:color="auto"/>
                        <w:bottom w:val="none" w:sz="0" w:space="0" w:color="auto"/>
                        <w:right w:val="none" w:sz="0" w:space="0" w:color="auto"/>
                      </w:divBdr>
                      <w:divsChild>
                        <w:div w:id="1663193440">
                          <w:marLeft w:val="0"/>
                          <w:marRight w:val="0"/>
                          <w:marTop w:val="0"/>
                          <w:marBottom w:val="0"/>
                          <w:divBdr>
                            <w:top w:val="none" w:sz="0" w:space="0" w:color="auto"/>
                            <w:left w:val="none" w:sz="0" w:space="0" w:color="auto"/>
                            <w:bottom w:val="none" w:sz="0" w:space="0" w:color="auto"/>
                            <w:right w:val="none" w:sz="0" w:space="0" w:color="auto"/>
                          </w:divBdr>
                          <w:divsChild>
                            <w:div w:id="857963097">
                              <w:marLeft w:val="0"/>
                              <w:marRight w:val="0"/>
                              <w:marTop w:val="0"/>
                              <w:marBottom w:val="0"/>
                              <w:divBdr>
                                <w:top w:val="none" w:sz="0" w:space="0" w:color="auto"/>
                                <w:left w:val="none" w:sz="0" w:space="0" w:color="auto"/>
                                <w:bottom w:val="none" w:sz="0" w:space="0" w:color="auto"/>
                                <w:right w:val="none" w:sz="0" w:space="0" w:color="auto"/>
                              </w:divBdr>
                              <w:divsChild>
                                <w:div w:id="133530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861498">
                  <w:marLeft w:val="0"/>
                  <w:marRight w:val="0"/>
                  <w:marTop w:val="0"/>
                  <w:marBottom w:val="0"/>
                  <w:divBdr>
                    <w:top w:val="none" w:sz="0" w:space="0" w:color="auto"/>
                    <w:left w:val="none" w:sz="0" w:space="0" w:color="auto"/>
                    <w:bottom w:val="none" w:sz="0" w:space="0" w:color="auto"/>
                    <w:right w:val="none" w:sz="0" w:space="0" w:color="auto"/>
                  </w:divBdr>
                </w:div>
                <w:div w:id="1052844961">
                  <w:marLeft w:val="0"/>
                  <w:marRight w:val="0"/>
                  <w:marTop w:val="0"/>
                  <w:marBottom w:val="0"/>
                  <w:divBdr>
                    <w:top w:val="none" w:sz="0" w:space="0" w:color="auto"/>
                    <w:left w:val="none" w:sz="0" w:space="0" w:color="auto"/>
                    <w:bottom w:val="none" w:sz="0" w:space="0" w:color="auto"/>
                    <w:right w:val="none" w:sz="0" w:space="0" w:color="auto"/>
                  </w:divBdr>
                  <w:divsChild>
                    <w:div w:id="736132837">
                      <w:marLeft w:val="0"/>
                      <w:marRight w:val="0"/>
                      <w:marTop w:val="0"/>
                      <w:marBottom w:val="0"/>
                      <w:divBdr>
                        <w:top w:val="none" w:sz="0" w:space="0" w:color="auto"/>
                        <w:left w:val="none" w:sz="0" w:space="0" w:color="auto"/>
                        <w:bottom w:val="none" w:sz="0" w:space="0" w:color="auto"/>
                        <w:right w:val="none" w:sz="0" w:space="0" w:color="auto"/>
                      </w:divBdr>
                      <w:divsChild>
                        <w:div w:id="8122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5405">
                  <w:marLeft w:val="0"/>
                  <w:marRight w:val="0"/>
                  <w:marTop w:val="0"/>
                  <w:marBottom w:val="0"/>
                  <w:divBdr>
                    <w:top w:val="none" w:sz="0" w:space="0" w:color="auto"/>
                    <w:left w:val="none" w:sz="0" w:space="0" w:color="auto"/>
                    <w:bottom w:val="none" w:sz="0" w:space="0" w:color="auto"/>
                    <w:right w:val="none" w:sz="0" w:space="0" w:color="auto"/>
                  </w:divBdr>
                  <w:divsChild>
                    <w:div w:id="406147503">
                      <w:marLeft w:val="0"/>
                      <w:marRight w:val="0"/>
                      <w:marTop w:val="0"/>
                      <w:marBottom w:val="0"/>
                      <w:divBdr>
                        <w:top w:val="none" w:sz="0" w:space="0" w:color="auto"/>
                        <w:left w:val="none" w:sz="0" w:space="0" w:color="auto"/>
                        <w:bottom w:val="none" w:sz="0" w:space="0" w:color="auto"/>
                        <w:right w:val="none" w:sz="0" w:space="0" w:color="auto"/>
                      </w:divBdr>
                      <w:divsChild>
                        <w:div w:id="145228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57489">
                  <w:marLeft w:val="0"/>
                  <w:marRight w:val="0"/>
                  <w:marTop w:val="0"/>
                  <w:marBottom w:val="0"/>
                  <w:divBdr>
                    <w:top w:val="none" w:sz="0" w:space="0" w:color="auto"/>
                    <w:left w:val="none" w:sz="0" w:space="0" w:color="auto"/>
                    <w:bottom w:val="none" w:sz="0" w:space="0" w:color="auto"/>
                    <w:right w:val="none" w:sz="0" w:space="0" w:color="auto"/>
                  </w:divBdr>
                  <w:divsChild>
                    <w:div w:id="1668943489">
                      <w:marLeft w:val="0"/>
                      <w:marRight w:val="0"/>
                      <w:marTop w:val="0"/>
                      <w:marBottom w:val="0"/>
                      <w:divBdr>
                        <w:top w:val="none" w:sz="0" w:space="0" w:color="auto"/>
                        <w:left w:val="none" w:sz="0" w:space="0" w:color="auto"/>
                        <w:bottom w:val="none" w:sz="0" w:space="0" w:color="auto"/>
                        <w:right w:val="none" w:sz="0" w:space="0" w:color="auto"/>
                      </w:divBdr>
                      <w:divsChild>
                        <w:div w:id="13076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639374">
      <w:bodyDiv w:val="1"/>
      <w:marLeft w:val="0"/>
      <w:marRight w:val="0"/>
      <w:marTop w:val="0"/>
      <w:marBottom w:val="0"/>
      <w:divBdr>
        <w:top w:val="none" w:sz="0" w:space="0" w:color="auto"/>
        <w:left w:val="none" w:sz="0" w:space="0" w:color="auto"/>
        <w:bottom w:val="none" w:sz="0" w:space="0" w:color="auto"/>
        <w:right w:val="none" w:sz="0" w:space="0" w:color="auto"/>
      </w:divBdr>
      <w:divsChild>
        <w:div w:id="1597979841">
          <w:marLeft w:val="0"/>
          <w:marRight w:val="0"/>
          <w:marTop w:val="0"/>
          <w:marBottom w:val="0"/>
          <w:divBdr>
            <w:top w:val="none" w:sz="0" w:space="0" w:color="auto"/>
            <w:left w:val="none" w:sz="0" w:space="0" w:color="auto"/>
            <w:bottom w:val="none" w:sz="0" w:space="0" w:color="auto"/>
            <w:right w:val="none" w:sz="0" w:space="0" w:color="auto"/>
          </w:divBdr>
          <w:divsChild>
            <w:div w:id="2104763233">
              <w:marLeft w:val="0"/>
              <w:marRight w:val="0"/>
              <w:marTop w:val="0"/>
              <w:marBottom w:val="0"/>
              <w:divBdr>
                <w:top w:val="none" w:sz="0" w:space="0" w:color="auto"/>
                <w:left w:val="none" w:sz="0" w:space="0" w:color="auto"/>
                <w:bottom w:val="none" w:sz="0" w:space="0" w:color="auto"/>
                <w:right w:val="none" w:sz="0" w:space="0" w:color="auto"/>
              </w:divBdr>
            </w:div>
          </w:divsChild>
        </w:div>
        <w:div w:id="1632176127">
          <w:marLeft w:val="0"/>
          <w:marRight w:val="0"/>
          <w:marTop w:val="0"/>
          <w:marBottom w:val="0"/>
          <w:divBdr>
            <w:top w:val="none" w:sz="0" w:space="0" w:color="auto"/>
            <w:left w:val="none" w:sz="0" w:space="0" w:color="auto"/>
            <w:bottom w:val="none" w:sz="0" w:space="0" w:color="auto"/>
            <w:right w:val="none" w:sz="0" w:space="0" w:color="auto"/>
          </w:divBdr>
        </w:div>
      </w:divsChild>
    </w:div>
    <w:div w:id="1184630168">
      <w:bodyDiv w:val="1"/>
      <w:marLeft w:val="0"/>
      <w:marRight w:val="0"/>
      <w:marTop w:val="0"/>
      <w:marBottom w:val="0"/>
      <w:divBdr>
        <w:top w:val="none" w:sz="0" w:space="0" w:color="auto"/>
        <w:left w:val="none" w:sz="0" w:space="0" w:color="auto"/>
        <w:bottom w:val="none" w:sz="0" w:space="0" w:color="auto"/>
        <w:right w:val="none" w:sz="0" w:space="0" w:color="auto"/>
      </w:divBdr>
      <w:divsChild>
        <w:div w:id="1394965558">
          <w:marLeft w:val="0"/>
          <w:marRight w:val="0"/>
          <w:marTop w:val="0"/>
          <w:marBottom w:val="0"/>
          <w:divBdr>
            <w:top w:val="none" w:sz="0" w:space="0" w:color="auto"/>
            <w:left w:val="none" w:sz="0" w:space="0" w:color="auto"/>
            <w:bottom w:val="none" w:sz="0" w:space="0" w:color="auto"/>
            <w:right w:val="none" w:sz="0" w:space="0" w:color="auto"/>
          </w:divBdr>
          <w:divsChild>
            <w:div w:id="2054503590">
              <w:marLeft w:val="0"/>
              <w:marRight w:val="0"/>
              <w:marTop w:val="0"/>
              <w:marBottom w:val="0"/>
              <w:divBdr>
                <w:top w:val="none" w:sz="0" w:space="0" w:color="auto"/>
                <w:left w:val="none" w:sz="0" w:space="0" w:color="auto"/>
                <w:bottom w:val="none" w:sz="0" w:space="0" w:color="auto"/>
                <w:right w:val="none" w:sz="0" w:space="0" w:color="auto"/>
              </w:divBdr>
              <w:divsChild>
                <w:div w:id="117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61116">
      <w:bodyDiv w:val="1"/>
      <w:marLeft w:val="0"/>
      <w:marRight w:val="0"/>
      <w:marTop w:val="0"/>
      <w:marBottom w:val="0"/>
      <w:divBdr>
        <w:top w:val="none" w:sz="0" w:space="0" w:color="auto"/>
        <w:left w:val="none" w:sz="0" w:space="0" w:color="auto"/>
        <w:bottom w:val="none" w:sz="0" w:space="0" w:color="auto"/>
        <w:right w:val="none" w:sz="0" w:space="0" w:color="auto"/>
      </w:divBdr>
      <w:divsChild>
        <w:div w:id="674963076">
          <w:marLeft w:val="0"/>
          <w:marRight w:val="0"/>
          <w:marTop w:val="0"/>
          <w:marBottom w:val="0"/>
          <w:divBdr>
            <w:top w:val="none" w:sz="0" w:space="0" w:color="auto"/>
            <w:left w:val="none" w:sz="0" w:space="0" w:color="auto"/>
            <w:bottom w:val="none" w:sz="0" w:space="0" w:color="auto"/>
            <w:right w:val="none" w:sz="0" w:space="0" w:color="auto"/>
          </w:divBdr>
          <w:divsChild>
            <w:div w:id="1850875724">
              <w:marLeft w:val="0"/>
              <w:marRight w:val="0"/>
              <w:marTop w:val="0"/>
              <w:marBottom w:val="0"/>
              <w:divBdr>
                <w:top w:val="none" w:sz="0" w:space="0" w:color="auto"/>
                <w:left w:val="none" w:sz="0" w:space="0" w:color="auto"/>
                <w:bottom w:val="none" w:sz="0" w:space="0" w:color="auto"/>
                <w:right w:val="none" w:sz="0" w:space="0" w:color="auto"/>
              </w:divBdr>
              <w:divsChild>
                <w:div w:id="371855237">
                  <w:marLeft w:val="0"/>
                  <w:marRight w:val="0"/>
                  <w:marTop w:val="0"/>
                  <w:marBottom w:val="0"/>
                  <w:divBdr>
                    <w:top w:val="none" w:sz="0" w:space="0" w:color="auto"/>
                    <w:left w:val="none" w:sz="0" w:space="0" w:color="auto"/>
                    <w:bottom w:val="none" w:sz="0" w:space="0" w:color="auto"/>
                    <w:right w:val="none" w:sz="0" w:space="0" w:color="auto"/>
                  </w:divBdr>
                </w:div>
                <w:div w:id="551965625">
                  <w:marLeft w:val="0"/>
                  <w:marRight w:val="0"/>
                  <w:marTop w:val="0"/>
                  <w:marBottom w:val="0"/>
                  <w:divBdr>
                    <w:top w:val="none" w:sz="0" w:space="0" w:color="auto"/>
                    <w:left w:val="none" w:sz="0" w:space="0" w:color="auto"/>
                    <w:bottom w:val="none" w:sz="0" w:space="0" w:color="auto"/>
                    <w:right w:val="none" w:sz="0" w:space="0" w:color="auto"/>
                  </w:divBdr>
                  <w:divsChild>
                    <w:div w:id="2079553979">
                      <w:marLeft w:val="0"/>
                      <w:marRight w:val="0"/>
                      <w:marTop w:val="0"/>
                      <w:marBottom w:val="0"/>
                      <w:divBdr>
                        <w:top w:val="none" w:sz="0" w:space="0" w:color="auto"/>
                        <w:left w:val="none" w:sz="0" w:space="0" w:color="auto"/>
                        <w:bottom w:val="none" w:sz="0" w:space="0" w:color="auto"/>
                        <w:right w:val="none" w:sz="0" w:space="0" w:color="auto"/>
                      </w:divBdr>
                      <w:divsChild>
                        <w:div w:id="17517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841">
                  <w:marLeft w:val="0"/>
                  <w:marRight w:val="0"/>
                  <w:marTop w:val="0"/>
                  <w:marBottom w:val="0"/>
                  <w:divBdr>
                    <w:top w:val="none" w:sz="0" w:space="0" w:color="auto"/>
                    <w:left w:val="none" w:sz="0" w:space="0" w:color="auto"/>
                    <w:bottom w:val="none" w:sz="0" w:space="0" w:color="auto"/>
                    <w:right w:val="none" w:sz="0" w:space="0" w:color="auto"/>
                  </w:divBdr>
                  <w:divsChild>
                    <w:div w:id="655181707">
                      <w:marLeft w:val="0"/>
                      <w:marRight w:val="0"/>
                      <w:marTop w:val="0"/>
                      <w:marBottom w:val="0"/>
                      <w:divBdr>
                        <w:top w:val="none" w:sz="0" w:space="0" w:color="auto"/>
                        <w:left w:val="none" w:sz="0" w:space="0" w:color="auto"/>
                        <w:bottom w:val="none" w:sz="0" w:space="0" w:color="auto"/>
                        <w:right w:val="none" w:sz="0" w:space="0" w:color="auto"/>
                      </w:divBdr>
                      <w:divsChild>
                        <w:div w:id="15753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6020">
                  <w:marLeft w:val="0"/>
                  <w:marRight w:val="0"/>
                  <w:marTop w:val="0"/>
                  <w:marBottom w:val="0"/>
                  <w:divBdr>
                    <w:top w:val="none" w:sz="0" w:space="0" w:color="auto"/>
                    <w:left w:val="none" w:sz="0" w:space="0" w:color="auto"/>
                    <w:bottom w:val="none" w:sz="0" w:space="0" w:color="auto"/>
                    <w:right w:val="none" w:sz="0" w:space="0" w:color="auto"/>
                  </w:divBdr>
                  <w:divsChild>
                    <w:div w:id="2099671691">
                      <w:marLeft w:val="0"/>
                      <w:marRight w:val="0"/>
                      <w:marTop w:val="0"/>
                      <w:marBottom w:val="0"/>
                      <w:divBdr>
                        <w:top w:val="none" w:sz="0" w:space="0" w:color="auto"/>
                        <w:left w:val="none" w:sz="0" w:space="0" w:color="auto"/>
                        <w:bottom w:val="none" w:sz="0" w:space="0" w:color="auto"/>
                        <w:right w:val="none" w:sz="0" w:space="0" w:color="auto"/>
                      </w:divBdr>
                      <w:divsChild>
                        <w:div w:id="7346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9864">
                  <w:marLeft w:val="0"/>
                  <w:marRight w:val="0"/>
                  <w:marTop w:val="0"/>
                  <w:marBottom w:val="0"/>
                  <w:divBdr>
                    <w:top w:val="none" w:sz="0" w:space="0" w:color="auto"/>
                    <w:left w:val="none" w:sz="0" w:space="0" w:color="auto"/>
                    <w:bottom w:val="none" w:sz="0" w:space="0" w:color="auto"/>
                    <w:right w:val="none" w:sz="0" w:space="0" w:color="auto"/>
                  </w:divBdr>
                  <w:divsChild>
                    <w:div w:id="534581992">
                      <w:marLeft w:val="0"/>
                      <w:marRight w:val="0"/>
                      <w:marTop w:val="0"/>
                      <w:marBottom w:val="0"/>
                      <w:divBdr>
                        <w:top w:val="none" w:sz="0" w:space="0" w:color="auto"/>
                        <w:left w:val="none" w:sz="0" w:space="0" w:color="auto"/>
                        <w:bottom w:val="none" w:sz="0" w:space="0" w:color="auto"/>
                        <w:right w:val="none" w:sz="0" w:space="0" w:color="auto"/>
                      </w:divBdr>
                      <w:divsChild>
                        <w:div w:id="1673216789">
                          <w:marLeft w:val="0"/>
                          <w:marRight w:val="0"/>
                          <w:marTop w:val="0"/>
                          <w:marBottom w:val="0"/>
                          <w:divBdr>
                            <w:top w:val="none" w:sz="0" w:space="0" w:color="auto"/>
                            <w:left w:val="none" w:sz="0" w:space="0" w:color="auto"/>
                            <w:bottom w:val="none" w:sz="0" w:space="0" w:color="auto"/>
                            <w:right w:val="none" w:sz="0" w:space="0" w:color="auto"/>
                          </w:divBdr>
                          <w:divsChild>
                            <w:div w:id="1027020797">
                              <w:marLeft w:val="0"/>
                              <w:marRight w:val="0"/>
                              <w:marTop w:val="0"/>
                              <w:marBottom w:val="0"/>
                              <w:divBdr>
                                <w:top w:val="none" w:sz="0" w:space="0" w:color="auto"/>
                                <w:left w:val="none" w:sz="0" w:space="0" w:color="auto"/>
                                <w:bottom w:val="none" w:sz="0" w:space="0" w:color="auto"/>
                                <w:right w:val="none" w:sz="0" w:space="0" w:color="auto"/>
                              </w:divBdr>
                              <w:divsChild>
                                <w:div w:id="29691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00412">
                      <w:marLeft w:val="0"/>
                      <w:marRight w:val="0"/>
                      <w:marTop w:val="0"/>
                      <w:marBottom w:val="0"/>
                      <w:divBdr>
                        <w:top w:val="none" w:sz="0" w:space="0" w:color="auto"/>
                        <w:left w:val="none" w:sz="0" w:space="0" w:color="auto"/>
                        <w:bottom w:val="none" w:sz="0" w:space="0" w:color="auto"/>
                        <w:right w:val="none" w:sz="0" w:space="0" w:color="auto"/>
                      </w:divBdr>
                      <w:divsChild>
                        <w:div w:id="1995909618">
                          <w:marLeft w:val="0"/>
                          <w:marRight w:val="0"/>
                          <w:marTop w:val="0"/>
                          <w:marBottom w:val="0"/>
                          <w:divBdr>
                            <w:top w:val="none" w:sz="0" w:space="0" w:color="auto"/>
                            <w:left w:val="none" w:sz="0" w:space="0" w:color="auto"/>
                            <w:bottom w:val="none" w:sz="0" w:space="0" w:color="auto"/>
                            <w:right w:val="none" w:sz="0" w:space="0" w:color="auto"/>
                          </w:divBdr>
                          <w:divsChild>
                            <w:div w:id="1594974611">
                              <w:marLeft w:val="0"/>
                              <w:marRight w:val="0"/>
                              <w:marTop w:val="0"/>
                              <w:marBottom w:val="0"/>
                              <w:divBdr>
                                <w:top w:val="none" w:sz="0" w:space="0" w:color="auto"/>
                                <w:left w:val="none" w:sz="0" w:space="0" w:color="auto"/>
                                <w:bottom w:val="none" w:sz="0" w:space="0" w:color="auto"/>
                                <w:right w:val="none" w:sz="0" w:space="0" w:color="auto"/>
                              </w:divBdr>
                              <w:divsChild>
                                <w:div w:id="8962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935152">
                      <w:marLeft w:val="0"/>
                      <w:marRight w:val="0"/>
                      <w:marTop w:val="0"/>
                      <w:marBottom w:val="0"/>
                      <w:divBdr>
                        <w:top w:val="none" w:sz="0" w:space="0" w:color="auto"/>
                        <w:left w:val="none" w:sz="0" w:space="0" w:color="auto"/>
                        <w:bottom w:val="none" w:sz="0" w:space="0" w:color="auto"/>
                        <w:right w:val="none" w:sz="0" w:space="0" w:color="auto"/>
                      </w:divBdr>
                      <w:divsChild>
                        <w:div w:id="657078578">
                          <w:marLeft w:val="0"/>
                          <w:marRight w:val="0"/>
                          <w:marTop w:val="0"/>
                          <w:marBottom w:val="0"/>
                          <w:divBdr>
                            <w:top w:val="none" w:sz="0" w:space="0" w:color="auto"/>
                            <w:left w:val="none" w:sz="0" w:space="0" w:color="auto"/>
                            <w:bottom w:val="none" w:sz="0" w:space="0" w:color="auto"/>
                            <w:right w:val="none" w:sz="0" w:space="0" w:color="auto"/>
                          </w:divBdr>
                          <w:divsChild>
                            <w:div w:id="1192255993">
                              <w:marLeft w:val="0"/>
                              <w:marRight w:val="0"/>
                              <w:marTop w:val="0"/>
                              <w:marBottom w:val="0"/>
                              <w:divBdr>
                                <w:top w:val="none" w:sz="0" w:space="0" w:color="auto"/>
                                <w:left w:val="none" w:sz="0" w:space="0" w:color="auto"/>
                                <w:bottom w:val="none" w:sz="0" w:space="0" w:color="auto"/>
                                <w:right w:val="none" w:sz="0" w:space="0" w:color="auto"/>
                              </w:divBdr>
                              <w:divsChild>
                                <w:div w:id="102428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94106">
                      <w:marLeft w:val="0"/>
                      <w:marRight w:val="0"/>
                      <w:marTop w:val="0"/>
                      <w:marBottom w:val="0"/>
                      <w:divBdr>
                        <w:top w:val="none" w:sz="0" w:space="0" w:color="auto"/>
                        <w:left w:val="none" w:sz="0" w:space="0" w:color="auto"/>
                        <w:bottom w:val="none" w:sz="0" w:space="0" w:color="auto"/>
                        <w:right w:val="none" w:sz="0" w:space="0" w:color="auto"/>
                      </w:divBdr>
                      <w:divsChild>
                        <w:div w:id="450900090">
                          <w:marLeft w:val="0"/>
                          <w:marRight w:val="0"/>
                          <w:marTop w:val="0"/>
                          <w:marBottom w:val="0"/>
                          <w:divBdr>
                            <w:top w:val="none" w:sz="0" w:space="0" w:color="auto"/>
                            <w:left w:val="none" w:sz="0" w:space="0" w:color="auto"/>
                            <w:bottom w:val="none" w:sz="0" w:space="0" w:color="auto"/>
                            <w:right w:val="none" w:sz="0" w:space="0" w:color="auto"/>
                          </w:divBdr>
                          <w:divsChild>
                            <w:div w:id="935796115">
                              <w:marLeft w:val="0"/>
                              <w:marRight w:val="0"/>
                              <w:marTop w:val="0"/>
                              <w:marBottom w:val="0"/>
                              <w:divBdr>
                                <w:top w:val="none" w:sz="0" w:space="0" w:color="auto"/>
                                <w:left w:val="none" w:sz="0" w:space="0" w:color="auto"/>
                                <w:bottom w:val="none" w:sz="0" w:space="0" w:color="auto"/>
                                <w:right w:val="none" w:sz="0" w:space="0" w:color="auto"/>
                              </w:divBdr>
                              <w:divsChild>
                                <w:div w:id="11571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67943">
                      <w:marLeft w:val="0"/>
                      <w:marRight w:val="0"/>
                      <w:marTop w:val="0"/>
                      <w:marBottom w:val="0"/>
                      <w:divBdr>
                        <w:top w:val="none" w:sz="0" w:space="0" w:color="auto"/>
                        <w:left w:val="none" w:sz="0" w:space="0" w:color="auto"/>
                        <w:bottom w:val="none" w:sz="0" w:space="0" w:color="auto"/>
                        <w:right w:val="none" w:sz="0" w:space="0" w:color="auto"/>
                      </w:divBdr>
                      <w:divsChild>
                        <w:div w:id="489060169">
                          <w:marLeft w:val="0"/>
                          <w:marRight w:val="0"/>
                          <w:marTop w:val="0"/>
                          <w:marBottom w:val="0"/>
                          <w:divBdr>
                            <w:top w:val="none" w:sz="0" w:space="0" w:color="auto"/>
                            <w:left w:val="none" w:sz="0" w:space="0" w:color="auto"/>
                            <w:bottom w:val="none" w:sz="0" w:space="0" w:color="auto"/>
                            <w:right w:val="none" w:sz="0" w:space="0" w:color="auto"/>
                          </w:divBdr>
                          <w:divsChild>
                            <w:div w:id="975991523">
                              <w:marLeft w:val="0"/>
                              <w:marRight w:val="0"/>
                              <w:marTop w:val="0"/>
                              <w:marBottom w:val="0"/>
                              <w:divBdr>
                                <w:top w:val="none" w:sz="0" w:space="0" w:color="auto"/>
                                <w:left w:val="none" w:sz="0" w:space="0" w:color="auto"/>
                                <w:bottom w:val="none" w:sz="0" w:space="0" w:color="auto"/>
                                <w:right w:val="none" w:sz="0" w:space="0" w:color="auto"/>
                              </w:divBdr>
                              <w:divsChild>
                                <w:div w:id="126106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825830">
                      <w:marLeft w:val="0"/>
                      <w:marRight w:val="0"/>
                      <w:marTop w:val="0"/>
                      <w:marBottom w:val="0"/>
                      <w:divBdr>
                        <w:top w:val="none" w:sz="0" w:space="0" w:color="auto"/>
                        <w:left w:val="none" w:sz="0" w:space="0" w:color="auto"/>
                        <w:bottom w:val="none" w:sz="0" w:space="0" w:color="auto"/>
                        <w:right w:val="none" w:sz="0" w:space="0" w:color="auto"/>
                      </w:divBdr>
                      <w:divsChild>
                        <w:div w:id="1869834583">
                          <w:marLeft w:val="0"/>
                          <w:marRight w:val="0"/>
                          <w:marTop w:val="0"/>
                          <w:marBottom w:val="0"/>
                          <w:divBdr>
                            <w:top w:val="none" w:sz="0" w:space="0" w:color="auto"/>
                            <w:left w:val="none" w:sz="0" w:space="0" w:color="auto"/>
                            <w:bottom w:val="none" w:sz="0" w:space="0" w:color="auto"/>
                            <w:right w:val="none" w:sz="0" w:space="0" w:color="auto"/>
                          </w:divBdr>
                        </w:div>
                      </w:divsChild>
                    </w:div>
                    <w:div w:id="1640919597">
                      <w:marLeft w:val="0"/>
                      <w:marRight w:val="0"/>
                      <w:marTop w:val="0"/>
                      <w:marBottom w:val="0"/>
                      <w:divBdr>
                        <w:top w:val="none" w:sz="0" w:space="0" w:color="auto"/>
                        <w:left w:val="none" w:sz="0" w:space="0" w:color="auto"/>
                        <w:bottom w:val="none" w:sz="0" w:space="0" w:color="auto"/>
                        <w:right w:val="none" w:sz="0" w:space="0" w:color="auto"/>
                      </w:divBdr>
                      <w:divsChild>
                        <w:div w:id="1493252279">
                          <w:marLeft w:val="0"/>
                          <w:marRight w:val="0"/>
                          <w:marTop w:val="0"/>
                          <w:marBottom w:val="0"/>
                          <w:divBdr>
                            <w:top w:val="none" w:sz="0" w:space="0" w:color="auto"/>
                            <w:left w:val="none" w:sz="0" w:space="0" w:color="auto"/>
                            <w:bottom w:val="none" w:sz="0" w:space="0" w:color="auto"/>
                            <w:right w:val="none" w:sz="0" w:space="0" w:color="auto"/>
                          </w:divBdr>
                          <w:divsChild>
                            <w:div w:id="1217623367">
                              <w:marLeft w:val="0"/>
                              <w:marRight w:val="0"/>
                              <w:marTop w:val="0"/>
                              <w:marBottom w:val="0"/>
                              <w:divBdr>
                                <w:top w:val="none" w:sz="0" w:space="0" w:color="auto"/>
                                <w:left w:val="none" w:sz="0" w:space="0" w:color="auto"/>
                                <w:bottom w:val="none" w:sz="0" w:space="0" w:color="auto"/>
                                <w:right w:val="none" w:sz="0" w:space="0" w:color="auto"/>
                              </w:divBdr>
                              <w:divsChild>
                                <w:div w:id="14532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292878">
      <w:bodyDiv w:val="1"/>
      <w:marLeft w:val="0"/>
      <w:marRight w:val="0"/>
      <w:marTop w:val="0"/>
      <w:marBottom w:val="0"/>
      <w:divBdr>
        <w:top w:val="none" w:sz="0" w:space="0" w:color="auto"/>
        <w:left w:val="none" w:sz="0" w:space="0" w:color="auto"/>
        <w:bottom w:val="none" w:sz="0" w:space="0" w:color="auto"/>
        <w:right w:val="none" w:sz="0" w:space="0" w:color="auto"/>
      </w:divBdr>
      <w:divsChild>
        <w:div w:id="661352668">
          <w:marLeft w:val="0"/>
          <w:marRight w:val="0"/>
          <w:marTop w:val="0"/>
          <w:marBottom w:val="0"/>
          <w:divBdr>
            <w:top w:val="none" w:sz="0" w:space="0" w:color="auto"/>
            <w:left w:val="none" w:sz="0" w:space="0" w:color="auto"/>
            <w:bottom w:val="none" w:sz="0" w:space="0" w:color="auto"/>
            <w:right w:val="none" w:sz="0" w:space="0" w:color="auto"/>
          </w:divBdr>
          <w:divsChild>
            <w:div w:id="1263418360">
              <w:marLeft w:val="0"/>
              <w:marRight w:val="0"/>
              <w:marTop w:val="0"/>
              <w:marBottom w:val="0"/>
              <w:divBdr>
                <w:top w:val="none" w:sz="0" w:space="0" w:color="auto"/>
                <w:left w:val="none" w:sz="0" w:space="0" w:color="auto"/>
                <w:bottom w:val="none" w:sz="0" w:space="0" w:color="auto"/>
                <w:right w:val="none" w:sz="0" w:space="0" w:color="auto"/>
              </w:divBdr>
              <w:divsChild>
                <w:div w:id="2379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09273">
      <w:bodyDiv w:val="1"/>
      <w:marLeft w:val="0"/>
      <w:marRight w:val="0"/>
      <w:marTop w:val="0"/>
      <w:marBottom w:val="0"/>
      <w:divBdr>
        <w:top w:val="none" w:sz="0" w:space="0" w:color="auto"/>
        <w:left w:val="none" w:sz="0" w:space="0" w:color="auto"/>
        <w:bottom w:val="none" w:sz="0" w:space="0" w:color="auto"/>
        <w:right w:val="none" w:sz="0" w:space="0" w:color="auto"/>
      </w:divBdr>
    </w:div>
    <w:div w:id="1425957923">
      <w:bodyDiv w:val="1"/>
      <w:marLeft w:val="0"/>
      <w:marRight w:val="0"/>
      <w:marTop w:val="0"/>
      <w:marBottom w:val="0"/>
      <w:divBdr>
        <w:top w:val="none" w:sz="0" w:space="0" w:color="auto"/>
        <w:left w:val="none" w:sz="0" w:space="0" w:color="auto"/>
        <w:bottom w:val="none" w:sz="0" w:space="0" w:color="auto"/>
        <w:right w:val="none" w:sz="0" w:space="0" w:color="auto"/>
      </w:divBdr>
      <w:divsChild>
        <w:div w:id="1248229970">
          <w:marLeft w:val="0"/>
          <w:marRight w:val="0"/>
          <w:marTop w:val="0"/>
          <w:marBottom w:val="0"/>
          <w:divBdr>
            <w:top w:val="none" w:sz="0" w:space="0" w:color="auto"/>
            <w:left w:val="none" w:sz="0" w:space="0" w:color="auto"/>
            <w:bottom w:val="none" w:sz="0" w:space="0" w:color="auto"/>
            <w:right w:val="none" w:sz="0" w:space="0" w:color="auto"/>
          </w:divBdr>
          <w:divsChild>
            <w:div w:id="173308365">
              <w:marLeft w:val="0"/>
              <w:marRight w:val="0"/>
              <w:marTop w:val="0"/>
              <w:marBottom w:val="0"/>
              <w:divBdr>
                <w:top w:val="none" w:sz="0" w:space="0" w:color="auto"/>
                <w:left w:val="none" w:sz="0" w:space="0" w:color="auto"/>
                <w:bottom w:val="none" w:sz="0" w:space="0" w:color="auto"/>
                <w:right w:val="none" w:sz="0" w:space="0" w:color="auto"/>
              </w:divBdr>
              <w:divsChild>
                <w:div w:id="7130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8512">
      <w:bodyDiv w:val="1"/>
      <w:marLeft w:val="0"/>
      <w:marRight w:val="0"/>
      <w:marTop w:val="0"/>
      <w:marBottom w:val="0"/>
      <w:divBdr>
        <w:top w:val="none" w:sz="0" w:space="0" w:color="auto"/>
        <w:left w:val="none" w:sz="0" w:space="0" w:color="auto"/>
        <w:bottom w:val="none" w:sz="0" w:space="0" w:color="auto"/>
        <w:right w:val="none" w:sz="0" w:space="0" w:color="auto"/>
      </w:divBdr>
    </w:div>
    <w:div w:id="1556742572">
      <w:bodyDiv w:val="1"/>
      <w:marLeft w:val="0"/>
      <w:marRight w:val="0"/>
      <w:marTop w:val="0"/>
      <w:marBottom w:val="0"/>
      <w:divBdr>
        <w:top w:val="none" w:sz="0" w:space="0" w:color="auto"/>
        <w:left w:val="none" w:sz="0" w:space="0" w:color="auto"/>
        <w:bottom w:val="none" w:sz="0" w:space="0" w:color="auto"/>
        <w:right w:val="none" w:sz="0" w:space="0" w:color="auto"/>
      </w:divBdr>
    </w:div>
    <w:div w:id="1592811953">
      <w:bodyDiv w:val="1"/>
      <w:marLeft w:val="0"/>
      <w:marRight w:val="0"/>
      <w:marTop w:val="0"/>
      <w:marBottom w:val="0"/>
      <w:divBdr>
        <w:top w:val="none" w:sz="0" w:space="0" w:color="auto"/>
        <w:left w:val="none" w:sz="0" w:space="0" w:color="auto"/>
        <w:bottom w:val="none" w:sz="0" w:space="0" w:color="auto"/>
        <w:right w:val="none" w:sz="0" w:space="0" w:color="auto"/>
      </w:divBdr>
      <w:divsChild>
        <w:div w:id="1190140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2414380">
      <w:bodyDiv w:val="1"/>
      <w:marLeft w:val="0"/>
      <w:marRight w:val="0"/>
      <w:marTop w:val="0"/>
      <w:marBottom w:val="0"/>
      <w:divBdr>
        <w:top w:val="none" w:sz="0" w:space="0" w:color="auto"/>
        <w:left w:val="none" w:sz="0" w:space="0" w:color="auto"/>
        <w:bottom w:val="none" w:sz="0" w:space="0" w:color="auto"/>
        <w:right w:val="none" w:sz="0" w:space="0" w:color="auto"/>
      </w:divBdr>
      <w:divsChild>
        <w:div w:id="2010477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8426277">
      <w:bodyDiv w:val="1"/>
      <w:marLeft w:val="0"/>
      <w:marRight w:val="0"/>
      <w:marTop w:val="0"/>
      <w:marBottom w:val="0"/>
      <w:divBdr>
        <w:top w:val="none" w:sz="0" w:space="0" w:color="auto"/>
        <w:left w:val="none" w:sz="0" w:space="0" w:color="auto"/>
        <w:bottom w:val="none" w:sz="0" w:space="0" w:color="auto"/>
        <w:right w:val="none" w:sz="0" w:space="0" w:color="auto"/>
      </w:divBdr>
    </w:div>
    <w:div w:id="1832134266">
      <w:bodyDiv w:val="1"/>
      <w:marLeft w:val="0"/>
      <w:marRight w:val="0"/>
      <w:marTop w:val="0"/>
      <w:marBottom w:val="0"/>
      <w:divBdr>
        <w:top w:val="none" w:sz="0" w:space="0" w:color="auto"/>
        <w:left w:val="none" w:sz="0" w:space="0" w:color="auto"/>
        <w:bottom w:val="none" w:sz="0" w:space="0" w:color="auto"/>
        <w:right w:val="none" w:sz="0" w:space="0" w:color="auto"/>
      </w:divBdr>
    </w:div>
    <w:div w:id="1915629909">
      <w:bodyDiv w:val="1"/>
      <w:marLeft w:val="0"/>
      <w:marRight w:val="0"/>
      <w:marTop w:val="0"/>
      <w:marBottom w:val="0"/>
      <w:divBdr>
        <w:top w:val="none" w:sz="0" w:space="0" w:color="auto"/>
        <w:left w:val="none" w:sz="0" w:space="0" w:color="auto"/>
        <w:bottom w:val="none" w:sz="0" w:space="0" w:color="auto"/>
        <w:right w:val="none" w:sz="0" w:space="0" w:color="auto"/>
      </w:divBdr>
    </w:div>
    <w:div w:id="1936939628">
      <w:bodyDiv w:val="1"/>
      <w:marLeft w:val="0"/>
      <w:marRight w:val="0"/>
      <w:marTop w:val="0"/>
      <w:marBottom w:val="0"/>
      <w:divBdr>
        <w:top w:val="none" w:sz="0" w:space="0" w:color="auto"/>
        <w:left w:val="none" w:sz="0" w:space="0" w:color="auto"/>
        <w:bottom w:val="none" w:sz="0" w:space="0" w:color="auto"/>
        <w:right w:val="none" w:sz="0" w:space="0" w:color="auto"/>
      </w:divBdr>
      <w:divsChild>
        <w:div w:id="318972189">
          <w:marLeft w:val="0"/>
          <w:marRight w:val="0"/>
          <w:marTop w:val="0"/>
          <w:marBottom w:val="0"/>
          <w:divBdr>
            <w:top w:val="none" w:sz="0" w:space="0" w:color="auto"/>
            <w:left w:val="none" w:sz="0" w:space="0" w:color="auto"/>
            <w:bottom w:val="none" w:sz="0" w:space="0" w:color="auto"/>
            <w:right w:val="none" w:sz="0" w:space="0" w:color="auto"/>
          </w:divBdr>
          <w:divsChild>
            <w:div w:id="85467506">
              <w:marLeft w:val="0"/>
              <w:marRight w:val="0"/>
              <w:marTop w:val="0"/>
              <w:marBottom w:val="0"/>
              <w:divBdr>
                <w:top w:val="none" w:sz="0" w:space="0" w:color="auto"/>
                <w:left w:val="none" w:sz="0" w:space="0" w:color="auto"/>
                <w:bottom w:val="none" w:sz="0" w:space="0" w:color="auto"/>
                <w:right w:val="none" w:sz="0" w:space="0" w:color="auto"/>
              </w:divBdr>
              <w:divsChild>
                <w:div w:id="5732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8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chiavetta@pa.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puc.pa.gov/filing_resource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utilitycareers.com/1-Press-Releas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daviston@pa.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cardinale@pa.gov"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eaeece6f62ecf244fbe507b8a1c5af39">
  <xsd:schema xmlns:xsd="http://www.w3.org/2001/XMLSchema" xmlns:xs="http://www.w3.org/2001/XMLSchema" xmlns:p="http://schemas.microsoft.com/office/2006/metadata/properties" xmlns:ns3="e29d5ee1-a564-4572-908c-0357b19afe17" xmlns:ns4="c43417d6-f766-4d97-ae2e-b0103a28e04d" targetNamespace="http://schemas.microsoft.com/office/2006/metadata/properties" ma:root="true" ma:fieldsID="2b5e8d1613d6f788375b71b3b8c97f97" ns3:_="" ns4:_="">
    <xsd:import namespace="e29d5ee1-a564-4572-908c-0357b19afe17"/>
    <xsd:import namespace="c43417d6-f766-4d97-ae2e-b0103a28e0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2B2E4B-4FAE-4483-933B-E35700821A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75BE6D-613D-4659-B56C-9F23C80F0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5ee1-a564-4572-908c-0357b19afe17"/>
    <ds:schemaRef ds:uri="c43417d6-f766-4d97-ae2e-b0103a28e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B90201-1BDB-40BF-9EC7-54D1E7F98E54}">
  <ds:schemaRefs>
    <ds:schemaRef ds:uri="http://schemas.openxmlformats.org/officeDocument/2006/bibliography"/>
  </ds:schemaRefs>
</ds:datastoreItem>
</file>

<file path=customXml/itemProps4.xml><?xml version="1.0" encoding="utf-8"?>
<ds:datastoreItem xmlns:ds="http://schemas.openxmlformats.org/officeDocument/2006/customXml" ds:itemID="{7515BD93-C67A-45DC-9672-3C567415C9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3863</Words>
  <Characters>22025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25837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subject/>
  <dc:creator>ROONEY</dc:creator>
  <cp:keywords/>
  <cp:lastModifiedBy>Wagner, Nathan R</cp:lastModifiedBy>
  <cp:revision>2</cp:revision>
  <cp:lastPrinted>2017-11-08T20:23:00Z</cp:lastPrinted>
  <dcterms:created xsi:type="dcterms:W3CDTF">2020-12-17T17:38:00Z</dcterms:created>
  <dcterms:modified xsi:type="dcterms:W3CDTF">2020-12-17T17:38:00Z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