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D850D4" w:rsidRPr="00C0451E" w14:paraId="5C21F74A" w14:textId="77777777">
        <w:tc>
          <w:tcPr>
            <w:tcW w:w="2448" w:type="dxa"/>
          </w:tcPr>
          <w:p w14:paraId="4596CD02" w14:textId="08AD9A79" w:rsidR="00D850D4" w:rsidRPr="00C0451E" w:rsidRDefault="00D850D4" w:rsidP="00092C0A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543A004" w14:textId="77777777" w:rsidR="00D850D4" w:rsidRPr="00C0451E" w:rsidRDefault="00D850D4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4E5E8E92" w14:textId="77777777" w:rsidR="00D850D4" w:rsidRPr="00C0451E" w:rsidRDefault="00D850D4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1C905E11" w14:textId="77777777" w:rsidR="00D850D4" w:rsidRPr="00C0451E" w:rsidRDefault="00D850D4" w:rsidP="00092C0A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</w:t>
            </w:r>
            <w:r w:rsidR="006048E2" w:rsidRPr="00C0451E">
              <w:rPr>
                <w:b/>
                <w:sz w:val="26"/>
                <w:szCs w:val="26"/>
              </w:rPr>
              <w:t>, PA</w:t>
            </w:r>
            <w:r w:rsidRPr="00C0451E">
              <w:rPr>
                <w:b/>
                <w:sz w:val="26"/>
                <w:szCs w:val="26"/>
              </w:rPr>
              <w:t xml:space="preserve">  17105-3265</w:t>
            </w:r>
          </w:p>
        </w:tc>
        <w:tc>
          <w:tcPr>
            <w:tcW w:w="2700" w:type="dxa"/>
          </w:tcPr>
          <w:p w14:paraId="697582A6" w14:textId="77777777" w:rsidR="00D850D4" w:rsidRPr="00C0451E" w:rsidRDefault="00D850D4">
            <w:pPr>
              <w:rPr>
                <w:sz w:val="26"/>
                <w:szCs w:val="26"/>
              </w:rPr>
            </w:pPr>
          </w:p>
        </w:tc>
      </w:tr>
    </w:tbl>
    <w:p w14:paraId="1E18BBAF" w14:textId="77777777" w:rsidR="00D850D4" w:rsidRPr="00C0451E" w:rsidRDefault="00D850D4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D850D4" w:rsidRPr="00C0451E" w14:paraId="26CAD968" w14:textId="77777777">
        <w:tc>
          <w:tcPr>
            <w:tcW w:w="5148" w:type="dxa"/>
          </w:tcPr>
          <w:p w14:paraId="35E4EE55" w14:textId="77777777" w:rsidR="00D850D4" w:rsidRPr="00C0451E" w:rsidRDefault="00D850D4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2A9810D7" w14:textId="226211E8" w:rsidR="00D850D4" w:rsidRPr="00C0451E" w:rsidRDefault="00D850D4" w:rsidP="00C22F90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F80114">
              <w:rPr>
                <w:sz w:val="26"/>
                <w:szCs w:val="26"/>
              </w:rPr>
              <w:t>August 2</w:t>
            </w:r>
            <w:r w:rsidR="00EE4E5C">
              <w:rPr>
                <w:sz w:val="26"/>
                <w:szCs w:val="26"/>
              </w:rPr>
              <w:t>7</w:t>
            </w:r>
            <w:r w:rsidR="00DE5B87">
              <w:rPr>
                <w:sz w:val="26"/>
                <w:szCs w:val="26"/>
              </w:rPr>
              <w:t>,</w:t>
            </w:r>
            <w:r w:rsidR="00F80114">
              <w:rPr>
                <w:sz w:val="26"/>
                <w:szCs w:val="26"/>
              </w:rPr>
              <w:t> </w:t>
            </w:r>
            <w:r w:rsidR="00DE5B87">
              <w:rPr>
                <w:sz w:val="26"/>
                <w:szCs w:val="26"/>
              </w:rPr>
              <w:t>20</w:t>
            </w:r>
            <w:r w:rsidR="00EE4E5C">
              <w:rPr>
                <w:sz w:val="26"/>
                <w:szCs w:val="26"/>
              </w:rPr>
              <w:t>20</w:t>
            </w:r>
          </w:p>
        </w:tc>
      </w:tr>
      <w:tr w:rsidR="00D850D4" w:rsidRPr="00C0451E" w14:paraId="3322FE36" w14:textId="77777777">
        <w:tc>
          <w:tcPr>
            <w:tcW w:w="5148" w:type="dxa"/>
          </w:tcPr>
          <w:p w14:paraId="4F032154" w14:textId="77777777" w:rsidR="00D850D4" w:rsidRPr="00C0451E" w:rsidRDefault="00D850D4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14:paraId="46227659" w14:textId="77777777" w:rsidR="00D850D4" w:rsidRPr="00C0451E" w:rsidRDefault="00D850D4">
            <w:pPr>
              <w:rPr>
                <w:sz w:val="26"/>
                <w:szCs w:val="26"/>
              </w:rPr>
            </w:pPr>
          </w:p>
        </w:tc>
      </w:tr>
    </w:tbl>
    <w:p w14:paraId="607F3B33" w14:textId="77777777" w:rsidR="00D850D4" w:rsidRPr="00C0451E" w:rsidRDefault="00D850D4">
      <w:pPr>
        <w:rPr>
          <w:sz w:val="26"/>
          <w:szCs w:val="26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5958"/>
        <w:gridCol w:w="4482"/>
      </w:tblGrid>
      <w:tr w:rsidR="00E72D6C" w:rsidRPr="00C0451E" w14:paraId="38B42745" w14:textId="77777777" w:rsidTr="008401B1">
        <w:tc>
          <w:tcPr>
            <w:tcW w:w="10440" w:type="dxa"/>
            <w:gridSpan w:val="2"/>
          </w:tcPr>
          <w:p w14:paraId="0C0F0EB7" w14:textId="236140F6" w:rsidR="00E72D6C" w:rsidRPr="00C0451E" w:rsidRDefault="00E72D6C" w:rsidP="00C22F90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Gladys Brown</w:t>
            </w:r>
            <w:r w:rsidR="00C22F90">
              <w:rPr>
                <w:sz w:val="26"/>
                <w:szCs w:val="26"/>
              </w:rPr>
              <w:t xml:space="preserve"> </w:t>
            </w:r>
            <w:proofErr w:type="spellStart"/>
            <w:r w:rsidR="00C22F90" w:rsidRPr="00C22F90">
              <w:rPr>
                <w:sz w:val="26"/>
                <w:szCs w:val="26"/>
              </w:rPr>
              <w:t>Dutrieuille</w:t>
            </w:r>
            <w:proofErr w:type="spellEnd"/>
            <w:r>
              <w:rPr>
                <w:sz w:val="26"/>
                <w:szCs w:val="26"/>
              </w:rPr>
              <w:t>, Chairman</w:t>
            </w:r>
            <w:r w:rsidR="008401B1">
              <w:rPr>
                <w:sz w:val="26"/>
                <w:szCs w:val="26"/>
              </w:rPr>
              <w:t xml:space="preserve">, </w:t>
            </w:r>
            <w:r w:rsidR="008401B1" w:rsidRPr="00EE4E5C">
              <w:rPr>
                <w:sz w:val="26"/>
                <w:szCs w:val="26"/>
              </w:rPr>
              <w:t>Statement</w:t>
            </w:r>
          </w:p>
        </w:tc>
      </w:tr>
      <w:tr w:rsidR="00E72D6C" w:rsidRPr="00C0451E" w14:paraId="040AB8AC" w14:textId="77777777" w:rsidTr="008401B1">
        <w:tc>
          <w:tcPr>
            <w:tcW w:w="10440" w:type="dxa"/>
            <w:gridSpan w:val="2"/>
          </w:tcPr>
          <w:p w14:paraId="72536305" w14:textId="0E3D971E" w:rsidR="00E72D6C" w:rsidRPr="00C0451E" w:rsidRDefault="00E72D6C" w:rsidP="00E72D6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A13935" w:rsidRPr="00A13935">
              <w:rPr>
                <w:sz w:val="26"/>
                <w:szCs w:val="26"/>
              </w:rPr>
              <w:t>David W. Sweet</w:t>
            </w:r>
            <w:r>
              <w:rPr>
                <w:sz w:val="26"/>
                <w:szCs w:val="26"/>
              </w:rPr>
              <w:t xml:space="preserve">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</w:tr>
      <w:tr w:rsidR="00E72D6C" w:rsidRPr="00C0451E" w14:paraId="335ABE0A" w14:textId="77777777" w:rsidTr="008401B1">
        <w:tc>
          <w:tcPr>
            <w:tcW w:w="10440" w:type="dxa"/>
            <w:gridSpan w:val="2"/>
          </w:tcPr>
          <w:p w14:paraId="637FA7F1" w14:textId="77777777" w:rsidR="00E72D6C" w:rsidRPr="00C0451E" w:rsidRDefault="00E72D6C" w:rsidP="00E72D6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</w:tr>
      <w:tr w:rsidR="00162C33" w:rsidRPr="00C0451E" w14:paraId="00D61D33" w14:textId="77777777" w:rsidTr="008401B1">
        <w:tc>
          <w:tcPr>
            <w:tcW w:w="10440" w:type="dxa"/>
            <w:gridSpan w:val="2"/>
          </w:tcPr>
          <w:p w14:paraId="4A92E7DE" w14:textId="5994FE57" w:rsidR="00162C33" w:rsidRDefault="00692539" w:rsidP="00E72D6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162C33">
              <w:rPr>
                <w:sz w:val="26"/>
                <w:szCs w:val="26"/>
              </w:rPr>
              <w:t xml:space="preserve">Ralph V. </w:t>
            </w:r>
            <w:proofErr w:type="spellStart"/>
            <w:r w:rsidR="00162C33">
              <w:rPr>
                <w:sz w:val="26"/>
                <w:szCs w:val="26"/>
              </w:rPr>
              <w:t>Yanora</w:t>
            </w:r>
            <w:proofErr w:type="spellEnd"/>
          </w:p>
        </w:tc>
      </w:tr>
      <w:tr w:rsidR="00350758" w:rsidRPr="00C0451E" w14:paraId="6F3C225F" w14:textId="77777777" w:rsidTr="008401B1">
        <w:tc>
          <w:tcPr>
            <w:tcW w:w="5958" w:type="dxa"/>
          </w:tcPr>
          <w:p w14:paraId="3B395848" w14:textId="77777777" w:rsidR="00350758" w:rsidRDefault="00350758" w:rsidP="00350758">
            <w:pPr>
              <w:ind w:right="342"/>
              <w:rPr>
                <w:sz w:val="26"/>
                <w:szCs w:val="26"/>
              </w:rPr>
            </w:pPr>
          </w:p>
        </w:tc>
        <w:tc>
          <w:tcPr>
            <w:tcW w:w="4482" w:type="dxa"/>
          </w:tcPr>
          <w:p w14:paraId="21FC830C" w14:textId="77777777" w:rsidR="00350758" w:rsidRDefault="00350758" w:rsidP="00350758">
            <w:pPr>
              <w:jc w:val="center"/>
              <w:rPr>
                <w:sz w:val="26"/>
                <w:szCs w:val="26"/>
              </w:rPr>
            </w:pPr>
          </w:p>
        </w:tc>
      </w:tr>
      <w:tr w:rsidR="00350758" w:rsidRPr="00C0451E" w14:paraId="5000EA9B" w14:textId="77777777" w:rsidTr="008401B1">
        <w:tc>
          <w:tcPr>
            <w:tcW w:w="5958" w:type="dxa"/>
          </w:tcPr>
          <w:p w14:paraId="4A7B1D15" w14:textId="255A5906" w:rsidR="002F31C6" w:rsidRDefault="0056719B" w:rsidP="00F80114">
            <w:pPr>
              <w:ind w:right="342"/>
              <w:rPr>
                <w:sz w:val="26"/>
                <w:szCs w:val="26"/>
              </w:rPr>
            </w:pPr>
            <w:r w:rsidRPr="0056719B">
              <w:rPr>
                <w:sz w:val="26"/>
                <w:szCs w:val="26"/>
              </w:rPr>
              <w:t>Rulemaking to Comply with the Competitive Classification of Telecommunication Retail Services Under 66 Pa. C.S § 3016(a); General Review of Regulations 52 Pa. Code, Chapter 53, Chapter 63 and Chapter 64</w:t>
            </w:r>
          </w:p>
        </w:tc>
        <w:tc>
          <w:tcPr>
            <w:tcW w:w="4482" w:type="dxa"/>
          </w:tcPr>
          <w:p w14:paraId="70177C1A" w14:textId="4FFA532D" w:rsidR="00350758" w:rsidRPr="00C0451E" w:rsidRDefault="00DE5B87" w:rsidP="00350758">
            <w:pPr>
              <w:jc w:val="center"/>
              <w:rPr>
                <w:sz w:val="26"/>
                <w:szCs w:val="26"/>
              </w:rPr>
            </w:pPr>
            <w:r w:rsidRPr="00D33616">
              <w:rPr>
                <w:sz w:val="26"/>
                <w:szCs w:val="26"/>
              </w:rPr>
              <w:t>L-201</w:t>
            </w:r>
            <w:r w:rsidR="00F80114">
              <w:rPr>
                <w:sz w:val="26"/>
                <w:szCs w:val="26"/>
              </w:rPr>
              <w:t>8</w:t>
            </w:r>
            <w:r w:rsidRPr="00D33616">
              <w:rPr>
                <w:sz w:val="26"/>
                <w:szCs w:val="26"/>
              </w:rPr>
              <w:t>-</w:t>
            </w:r>
            <w:r w:rsidR="00D33616" w:rsidRPr="00D33616">
              <w:rPr>
                <w:sz w:val="26"/>
                <w:szCs w:val="26"/>
              </w:rPr>
              <w:t>30</w:t>
            </w:r>
            <w:r w:rsidR="00F80114">
              <w:rPr>
                <w:sz w:val="26"/>
                <w:szCs w:val="26"/>
              </w:rPr>
              <w:t>0</w:t>
            </w:r>
            <w:r w:rsidR="00162C33">
              <w:rPr>
                <w:sz w:val="26"/>
                <w:szCs w:val="26"/>
              </w:rPr>
              <w:t>1391</w:t>
            </w:r>
          </w:p>
        </w:tc>
      </w:tr>
    </w:tbl>
    <w:p w14:paraId="63FBD45B" w14:textId="77777777" w:rsidR="00342319" w:rsidRDefault="00342319">
      <w:pPr>
        <w:jc w:val="center"/>
        <w:rPr>
          <w:b/>
          <w:sz w:val="26"/>
          <w:szCs w:val="26"/>
        </w:rPr>
      </w:pPr>
    </w:p>
    <w:p w14:paraId="4F0E9AAC" w14:textId="77777777" w:rsidR="00B270EC" w:rsidRPr="00FB776E" w:rsidRDefault="00B270EC" w:rsidP="00B270EC">
      <w:pPr>
        <w:spacing w:after="240" w:line="360" w:lineRule="auto"/>
        <w:jc w:val="center"/>
        <w:rPr>
          <w:b/>
          <w:bCs/>
          <w:color w:val="000000"/>
          <w:sz w:val="26"/>
          <w:szCs w:val="26"/>
        </w:rPr>
      </w:pPr>
      <w:r w:rsidRPr="00FB776E">
        <w:rPr>
          <w:b/>
          <w:bCs/>
          <w:color w:val="000000"/>
          <w:sz w:val="26"/>
          <w:szCs w:val="26"/>
        </w:rPr>
        <w:t>ERRATA NOTICE</w:t>
      </w:r>
    </w:p>
    <w:p w14:paraId="6D6CB84D" w14:textId="3BFA72F6" w:rsidR="007C2E89" w:rsidRDefault="00B270EC" w:rsidP="00B270EC">
      <w:pPr>
        <w:spacing w:after="240" w:line="360" w:lineRule="auto"/>
        <w:rPr>
          <w:sz w:val="26"/>
          <w:szCs w:val="26"/>
        </w:rPr>
      </w:pPr>
      <w:r w:rsidRPr="00FB776E">
        <w:rPr>
          <w:bCs/>
          <w:color w:val="000000"/>
          <w:sz w:val="26"/>
          <w:szCs w:val="26"/>
        </w:rPr>
        <w:tab/>
      </w:r>
      <w:r w:rsidRPr="0046363F">
        <w:rPr>
          <w:bCs/>
          <w:color w:val="000000"/>
          <w:sz w:val="26"/>
          <w:szCs w:val="26"/>
        </w:rPr>
        <w:t xml:space="preserve">This is to advise all parties of record that the </w:t>
      </w:r>
      <w:r w:rsidR="00CD0EF3">
        <w:rPr>
          <w:bCs/>
          <w:color w:val="000000"/>
          <w:sz w:val="26"/>
          <w:szCs w:val="26"/>
        </w:rPr>
        <w:t xml:space="preserve">Notice of Proposed Rulemaking </w:t>
      </w:r>
      <w:r w:rsidRPr="0046363F">
        <w:rPr>
          <w:bCs/>
          <w:color w:val="000000"/>
          <w:sz w:val="26"/>
          <w:szCs w:val="26"/>
        </w:rPr>
        <w:t>Order</w:t>
      </w:r>
      <w:r w:rsidR="00281C12">
        <w:rPr>
          <w:bCs/>
          <w:color w:val="000000"/>
          <w:sz w:val="26"/>
          <w:szCs w:val="26"/>
        </w:rPr>
        <w:t xml:space="preserve"> </w:t>
      </w:r>
      <w:r w:rsidR="00CD0EF3">
        <w:rPr>
          <w:bCs/>
          <w:color w:val="000000"/>
          <w:sz w:val="26"/>
          <w:szCs w:val="26"/>
        </w:rPr>
        <w:t>(</w:t>
      </w:r>
      <w:r w:rsidR="00EB7BC6">
        <w:rPr>
          <w:bCs/>
          <w:color w:val="000000"/>
          <w:sz w:val="26"/>
          <w:szCs w:val="26"/>
        </w:rPr>
        <w:t>Preamble</w:t>
      </w:r>
      <w:r w:rsidR="004B3CAA">
        <w:rPr>
          <w:bCs/>
          <w:color w:val="000000"/>
          <w:sz w:val="26"/>
          <w:szCs w:val="26"/>
        </w:rPr>
        <w:t xml:space="preserve"> and Annex</w:t>
      </w:r>
      <w:r w:rsidR="00EB7BC6">
        <w:rPr>
          <w:bCs/>
          <w:color w:val="000000"/>
          <w:sz w:val="26"/>
          <w:szCs w:val="26"/>
        </w:rPr>
        <w:t>)</w:t>
      </w:r>
      <w:r w:rsidR="00CD0EF3">
        <w:rPr>
          <w:bCs/>
          <w:color w:val="000000"/>
          <w:sz w:val="26"/>
          <w:szCs w:val="26"/>
        </w:rPr>
        <w:t>,</w:t>
      </w:r>
      <w:r w:rsidR="006E5086">
        <w:rPr>
          <w:bCs/>
          <w:color w:val="000000"/>
          <w:sz w:val="26"/>
          <w:szCs w:val="26"/>
        </w:rPr>
        <w:t xml:space="preserve"> </w:t>
      </w:r>
      <w:r w:rsidR="00281C12">
        <w:rPr>
          <w:bCs/>
          <w:color w:val="000000"/>
          <w:sz w:val="26"/>
          <w:szCs w:val="26"/>
        </w:rPr>
        <w:t xml:space="preserve">adopted </w:t>
      </w:r>
      <w:r w:rsidR="00F7474A">
        <w:rPr>
          <w:bCs/>
          <w:color w:val="000000"/>
          <w:sz w:val="26"/>
          <w:szCs w:val="26"/>
        </w:rPr>
        <w:t>on August 27, 2020, and</w:t>
      </w:r>
      <w:r w:rsidRPr="0046363F">
        <w:rPr>
          <w:bCs/>
          <w:color w:val="000000"/>
          <w:sz w:val="26"/>
          <w:szCs w:val="26"/>
        </w:rPr>
        <w:t xml:space="preserve"> entered on </w:t>
      </w:r>
      <w:r w:rsidR="009D5EE0">
        <w:rPr>
          <w:bCs/>
          <w:color w:val="000000"/>
          <w:sz w:val="26"/>
          <w:szCs w:val="26"/>
        </w:rPr>
        <w:t>September </w:t>
      </w:r>
      <w:r w:rsidR="00EE4E5C">
        <w:rPr>
          <w:bCs/>
          <w:color w:val="000000"/>
          <w:sz w:val="26"/>
          <w:szCs w:val="26"/>
        </w:rPr>
        <w:t>21, 2020</w:t>
      </w:r>
      <w:r w:rsidRPr="0046363F">
        <w:rPr>
          <w:bCs/>
          <w:color w:val="000000"/>
          <w:sz w:val="26"/>
          <w:szCs w:val="26"/>
        </w:rPr>
        <w:t>, in the above-captioned proceeding contain</w:t>
      </w:r>
      <w:r w:rsidR="008D77E8">
        <w:rPr>
          <w:bCs/>
          <w:color w:val="000000"/>
          <w:sz w:val="26"/>
          <w:szCs w:val="26"/>
        </w:rPr>
        <w:t>ed</w:t>
      </w:r>
      <w:r w:rsidR="00EE4E5C">
        <w:rPr>
          <w:bCs/>
          <w:color w:val="000000"/>
          <w:sz w:val="26"/>
          <w:szCs w:val="26"/>
        </w:rPr>
        <w:t xml:space="preserve"> </w:t>
      </w:r>
      <w:r w:rsidR="00605CB5">
        <w:rPr>
          <w:bCs/>
          <w:color w:val="000000"/>
          <w:sz w:val="26"/>
          <w:szCs w:val="26"/>
        </w:rPr>
        <w:t xml:space="preserve">some </w:t>
      </w:r>
      <w:r>
        <w:rPr>
          <w:bCs/>
          <w:color w:val="000000"/>
          <w:sz w:val="26"/>
          <w:szCs w:val="26"/>
        </w:rPr>
        <w:t>error</w:t>
      </w:r>
      <w:r w:rsidR="00EE4E5C">
        <w:rPr>
          <w:bCs/>
          <w:color w:val="000000"/>
          <w:sz w:val="26"/>
          <w:szCs w:val="26"/>
        </w:rPr>
        <w:t>s</w:t>
      </w:r>
      <w:r>
        <w:rPr>
          <w:bCs/>
          <w:color w:val="000000"/>
          <w:sz w:val="26"/>
          <w:szCs w:val="26"/>
        </w:rPr>
        <w:t xml:space="preserve"> </w:t>
      </w:r>
      <w:r w:rsidR="00C80756">
        <w:rPr>
          <w:bCs/>
          <w:color w:val="000000"/>
          <w:sz w:val="26"/>
          <w:szCs w:val="26"/>
        </w:rPr>
        <w:t>with</w:t>
      </w:r>
      <w:r>
        <w:rPr>
          <w:bCs/>
          <w:color w:val="000000"/>
          <w:sz w:val="26"/>
          <w:szCs w:val="26"/>
        </w:rPr>
        <w:t xml:space="preserve">in </w:t>
      </w:r>
      <w:r w:rsidR="00390628">
        <w:rPr>
          <w:bCs/>
          <w:color w:val="000000"/>
          <w:sz w:val="26"/>
          <w:szCs w:val="26"/>
        </w:rPr>
        <w:t xml:space="preserve">the </w:t>
      </w:r>
      <w:r>
        <w:rPr>
          <w:bCs/>
          <w:color w:val="000000"/>
          <w:sz w:val="26"/>
          <w:szCs w:val="26"/>
        </w:rPr>
        <w:t>Annex</w:t>
      </w:r>
      <w:r w:rsidR="00DE0105">
        <w:rPr>
          <w:bCs/>
          <w:color w:val="000000"/>
          <w:sz w:val="26"/>
          <w:szCs w:val="26"/>
        </w:rPr>
        <w:t xml:space="preserve"> attached thereto</w:t>
      </w:r>
      <w:r w:rsidR="0031402B">
        <w:rPr>
          <w:bCs/>
          <w:color w:val="000000"/>
          <w:sz w:val="26"/>
          <w:szCs w:val="26"/>
        </w:rPr>
        <w:t xml:space="preserve">.  </w:t>
      </w:r>
      <w:r w:rsidR="00982B7A">
        <w:rPr>
          <w:bCs/>
          <w:color w:val="000000"/>
          <w:sz w:val="26"/>
          <w:szCs w:val="26"/>
        </w:rPr>
        <w:t xml:space="preserve">A corrected Annex </w:t>
      </w:r>
      <w:r w:rsidR="003C772C">
        <w:rPr>
          <w:bCs/>
          <w:color w:val="000000"/>
          <w:sz w:val="26"/>
          <w:szCs w:val="26"/>
        </w:rPr>
        <w:t xml:space="preserve">with the following revisions </w:t>
      </w:r>
      <w:r w:rsidR="00982B7A">
        <w:rPr>
          <w:bCs/>
          <w:color w:val="000000"/>
          <w:sz w:val="26"/>
          <w:szCs w:val="26"/>
        </w:rPr>
        <w:t xml:space="preserve">is attached </w:t>
      </w:r>
      <w:r w:rsidR="007C2E89">
        <w:rPr>
          <w:bCs/>
          <w:color w:val="000000"/>
          <w:sz w:val="26"/>
          <w:szCs w:val="26"/>
        </w:rPr>
        <w:t xml:space="preserve">to this Errata Notice </w:t>
      </w:r>
      <w:r w:rsidR="00982B7A">
        <w:rPr>
          <w:bCs/>
          <w:color w:val="000000"/>
          <w:sz w:val="26"/>
          <w:szCs w:val="26"/>
        </w:rPr>
        <w:t>for your records, and t</w:t>
      </w:r>
      <w:r w:rsidR="0020429B">
        <w:rPr>
          <w:bCs/>
          <w:color w:val="000000"/>
          <w:sz w:val="26"/>
          <w:szCs w:val="26"/>
        </w:rPr>
        <w:t xml:space="preserve">he </w:t>
      </w:r>
      <w:r w:rsidR="00982B7A">
        <w:rPr>
          <w:bCs/>
          <w:color w:val="000000"/>
          <w:sz w:val="26"/>
          <w:szCs w:val="26"/>
        </w:rPr>
        <w:t xml:space="preserve">Annex attached to the </w:t>
      </w:r>
      <w:r w:rsidR="004B3CAA">
        <w:rPr>
          <w:bCs/>
          <w:color w:val="000000"/>
          <w:sz w:val="26"/>
          <w:szCs w:val="26"/>
        </w:rPr>
        <w:t>Preamble</w:t>
      </w:r>
      <w:r w:rsidR="0079416E">
        <w:rPr>
          <w:bCs/>
          <w:color w:val="000000"/>
          <w:sz w:val="26"/>
          <w:szCs w:val="26"/>
        </w:rPr>
        <w:t xml:space="preserve"> </w:t>
      </w:r>
      <w:r w:rsidR="0020429B" w:rsidRPr="0046363F">
        <w:rPr>
          <w:sz w:val="26"/>
          <w:szCs w:val="26"/>
        </w:rPr>
        <w:t xml:space="preserve">on the </w:t>
      </w:r>
      <w:r w:rsidR="00B961DF">
        <w:rPr>
          <w:sz w:val="26"/>
          <w:szCs w:val="26"/>
        </w:rPr>
        <w:t>Commission’s w</w:t>
      </w:r>
      <w:r w:rsidR="0020429B" w:rsidRPr="0046363F">
        <w:rPr>
          <w:sz w:val="26"/>
          <w:szCs w:val="26"/>
        </w:rPr>
        <w:t xml:space="preserve">ebsite will be corrected as indicated </w:t>
      </w:r>
      <w:r w:rsidR="003D6B68">
        <w:rPr>
          <w:sz w:val="26"/>
          <w:szCs w:val="26"/>
        </w:rPr>
        <w:t>herein</w:t>
      </w:r>
      <w:r w:rsidR="0020429B" w:rsidRPr="0046363F">
        <w:rPr>
          <w:sz w:val="26"/>
          <w:szCs w:val="26"/>
        </w:rPr>
        <w:t>.</w:t>
      </w:r>
      <w:r w:rsidR="003D6B68">
        <w:rPr>
          <w:sz w:val="26"/>
          <w:szCs w:val="26"/>
        </w:rPr>
        <w:t xml:space="preserve"> </w:t>
      </w:r>
      <w:r w:rsidR="00D05E05">
        <w:rPr>
          <w:sz w:val="26"/>
          <w:szCs w:val="26"/>
        </w:rPr>
        <w:t xml:space="preserve"> </w:t>
      </w:r>
      <w:r w:rsidR="001755E3">
        <w:rPr>
          <w:sz w:val="26"/>
          <w:szCs w:val="26"/>
        </w:rPr>
        <w:t>There are no changes to the Preamble.</w:t>
      </w:r>
    </w:p>
    <w:p w14:paraId="7E509CBC" w14:textId="034E40F4" w:rsidR="00B270EC" w:rsidRPr="0046363F" w:rsidRDefault="0031402B" w:rsidP="007C2E89">
      <w:pPr>
        <w:spacing w:after="240" w:line="360" w:lineRule="auto"/>
        <w:ind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By this </w:t>
      </w:r>
      <w:r w:rsidR="007C2E89">
        <w:rPr>
          <w:bCs/>
          <w:color w:val="000000"/>
          <w:sz w:val="26"/>
          <w:szCs w:val="26"/>
        </w:rPr>
        <w:t>E</w:t>
      </w:r>
      <w:r>
        <w:rPr>
          <w:bCs/>
          <w:color w:val="000000"/>
          <w:sz w:val="26"/>
          <w:szCs w:val="26"/>
        </w:rPr>
        <w:t>rrata</w:t>
      </w:r>
      <w:r w:rsidR="007C2E89">
        <w:rPr>
          <w:bCs/>
          <w:color w:val="000000"/>
          <w:sz w:val="26"/>
          <w:szCs w:val="26"/>
        </w:rPr>
        <w:t xml:space="preserve"> Notice</w:t>
      </w:r>
      <w:r>
        <w:rPr>
          <w:bCs/>
          <w:color w:val="000000"/>
          <w:sz w:val="26"/>
          <w:szCs w:val="26"/>
        </w:rPr>
        <w:t xml:space="preserve">, the Commission is making </w:t>
      </w:r>
      <w:r w:rsidR="00D77637">
        <w:rPr>
          <w:bCs/>
          <w:color w:val="000000"/>
          <w:sz w:val="26"/>
          <w:szCs w:val="26"/>
        </w:rPr>
        <w:t xml:space="preserve">the following </w:t>
      </w:r>
      <w:r w:rsidR="00650FF8">
        <w:rPr>
          <w:bCs/>
          <w:color w:val="000000"/>
          <w:sz w:val="26"/>
          <w:szCs w:val="26"/>
        </w:rPr>
        <w:t>corrections to the Annex</w:t>
      </w:r>
      <w:r w:rsidR="00D77637">
        <w:rPr>
          <w:bCs/>
          <w:color w:val="000000"/>
          <w:sz w:val="26"/>
          <w:szCs w:val="26"/>
        </w:rPr>
        <w:t xml:space="preserve"> so that it is consistent with the </w:t>
      </w:r>
      <w:r w:rsidR="007216A5">
        <w:rPr>
          <w:bCs/>
          <w:color w:val="000000"/>
          <w:sz w:val="26"/>
          <w:szCs w:val="26"/>
        </w:rPr>
        <w:t xml:space="preserve">proposed </w:t>
      </w:r>
      <w:r w:rsidR="00D77637">
        <w:rPr>
          <w:bCs/>
          <w:color w:val="000000"/>
          <w:sz w:val="26"/>
          <w:szCs w:val="26"/>
        </w:rPr>
        <w:t>regulatory changes set forth in the Preamble</w:t>
      </w:r>
      <w:r w:rsidR="00EE4E5C">
        <w:rPr>
          <w:bCs/>
          <w:color w:val="000000"/>
          <w:sz w:val="26"/>
          <w:szCs w:val="26"/>
        </w:rPr>
        <w:t>:</w:t>
      </w:r>
    </w:p>
    <w:p w14:paraId="3C691AD2" w14:textId="0B3C864D" w:rsidR="003D1F0A" w:rsidRDefault="00C47A9D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</w:t>
      </w:r>
      <w:r w:rsidR="003D1F0A" w:rsidRPr="003D1F0A">
        <w:rPr>
          <w:bCs/>
          <w:color w:val="000000"/>
          <w:sz w:val="26"/>
          <w:szCs w:val="26"/>
        </w:rPr>
        <w:t xml:space="preserve">Commission </w:t>
      </w:r>
      <w:r>
        <w:rPr>
          <w:bCs/>
          <w:color w:val="000000"/>
          <w:sz w:val="26"/>
          <w:szCs w:val="26"/>
        </w:rPr>
        <w:t xml:space="preserve">replaces </w:t>
      </w:r>
      <w:r w:rsidRPr="003D1F0A">
        <w:rPr>
          <w:bCs/>
          <w:color w:val="000000"/>
          <w:sz w:val="26"/>
          <w:szCs w:val="26"/>
        </w:rPr>
        <w:t>the term “CLEC” with the correct term “competitive telecommunication carriers</w:t>
      </w:r>
      <w:r w:rsidR="00B27504">
        <w:rPr>
          <w:bCs/>
          <w:color w:val="000000"/>
          <w:sz w:val="26"/>
          <w:szCs w:val="26"/>
        </w:rPr>
        <w:t>”</w:t>
      </w:r>
      <w:r>
        <w:rPr>
          <w:bCs/>
          <w:color w:val="000000"/>
          <w:sz w:val="26"/>
          <w:szCs w:val="26"/>
        </w:rPr>
        <w:t xml:space="preserve"> </w:t>
      </w:r>
      <w:r w:rsidR="001755E3">
        <w:rPr>
          <w:bCs/>
          <w:color w:val="000000"/>
          <w:sz w:val="26"/>
          <w:szCs w:val="26"/>
        </w:rPr>
        <w:t>in</w:t>
      </w:r>
      <w:r>
        <w:rPr>
          <w:bCs/>
          <w:color w:val="000000"/>
          <w:sz w:val="26"/>
          <w:szCs w:val="26"/>
        </w:rPr>
        <w:t xml:space="preserve"> the following sections </w:t>
      </w:r>
      <w:r w:rsidR="001755E3">
        <w:rPr>
          <w:bCs/>
          <w:color w:val="000000"/>
          <w:sz w:val="26"/>
          <w:szCs w:val="26"/>
        </w:rPr>
        <w:t>of</w:t>
      </w:r>
      <w:r w:rsidR="00997168">
        <w:rPr>
          <w:bCs/>
          <w:color w:val="000000"/>
          <w:sz w:val="26"/>
          <w:szCs w:val="26"/>
        </w:rPr>
        <w:t xml:space="preserve"> the Annex</w:t>
      </w:r>
      <w:r w:rsidR="003D1F0A" w:rsidRPr="003D1F0A">
        <w:rPr>
          <w:bCs/>
          <w:color w:val="000000"/>
          <w:sz w:val="26"/>
          <w:szCs w:val="26"/>
        </w:rPr>
        <w:t>:</w:t>
      </w:r>
    </w:p>
    <w:p w14:paraId="2E18AA88" w14:textId="684CF993" w:rsidR="00EE4E5C" w:rsidRDefault="00C16F68" w:rsidP="00C9115B">
      <w:pPr>
        <w:pStyle w:val="ListParagraph"/>
        <w:numPr>
          <w:ilvl w:val="0"/>
          <w:numId w:val="4"/>
        </w:numPr>
        <w:ind w:left="2160" w:hanging="720"/>
        <w:rPr>
          <w:bCs/>
          <w:color w:val="000000"/>
          <w:sz w:val="26"/>
          <w:szCs w:val="26"/>
        </w:rPr>
      </w:pPr>
      <w:r w:rsidRPr="0092473B">
        <w:rPr>
          <w:bCs/>
          <w:color w:val="000000"/>
          <w:sz w:val="26"/>
          <w:szCs w:val="26"/>
        </w:rPr>
        <w:lastRenderedPageBreak/>
        <w:t xml:space="preserve">The definitions </w:t>
      </w:r>
      <w:r w:rsidR="00EE4E5C" w:rsidRPr="0092473B">
        <w:rPr>
          <w:bCs/>
          <w:color w:val="000000"/>
          <w:sz w:val="26"/>
          <w:szCs w:val="26"/>
        </w:rPr>
        <w:t>“joint or bundled services packages” and “promotional service offerings”</w:t>
      </w:r>
      <w:r w:rsidR="00724299" w:rsidRPr="0092473B">
        <w:rPr>
          <w:bCs/>
          <w:color w:val="000000"/>
          <w:sz w:val="26"/>
          <w:szCs w:val="26"/>
        </w:rPr>
        <w:t xml:space="preserve"> </w:t>
      </w:r>
      <w:r w:rsidR="0092473B" w:rsidRPr="0092473B">
        <w:rPr>
          <w:bCs/>
          <w:color w:val="000000"/>
          <w:sz w:val="26"/>
          <w:szCs w:val="26"/>
        </w:rPr>
        <w:t>in Section 53.57</w:t>
      </w:r>
      <w:r w:rsidR="0092473B">
        <w:rPr>
          <w:bCs/>
          <w:color w:val="000000"/>
          <w:sz w:val="26"/>
          <w:szCs w:val="26"/>
        </w:rPr>
        <w:t>.</w:t>
      </w:r>
    </w:p>
    <w:p w14:paraId="6C0F7C3A" w14:textId="77777777" w:rsidR="0092473B" w:rsidRPr="0092473B" w:rsidRDefault="0092473B" w:rsidP="00C9115B">
      <w:pPr>
        <w:pStyle w:val="ListParagraph"/>
        <w:ind w:left="2160" w:hanging="720"/>
        <w:rPr>
          <w:bCs/>
          <w:color w:val="000000"/>
          <w:sz w:val="26"/>
          <w:szCs w:val="26"/>
        </w:rPr>
      </w:pPr>
    </w:p>
    <w:p w14:paraId="08FF074A" w14:textId="38848719" w:rsidR="00EE4E5C" w:rsidRDefault="00EE4E5C" w:rsidP="00C9115B">
      <w:pPr>
        <w:pStyle w:val="ListParagraph"/>
        <w:numPr>
          <w:ilvl w:val="0"/>
          <w:numId w:val="3"/>
        </w:numPr>
        <w:ind w:left="2160" w:hanging="720"/>
        <w:rPr>
          <w:bCs/>
          <w:color w:val="000000"/>
          <w:sz w:val="26"/>
          <w:szCs w:val="26"/>
        </w:rPr>
      </w:pPr>
      <w:r w:rsidRPr="00EE4E5C">
        <w:rPr>
          <w:bCs/>
          <w:color w:val="000000"/>
          <w:sz w:val="26"/>
          <w:szCs w:val="26"/>
        </w:rPr>
        <w:t>Section 53.59(a)(2) and (3); 53.59(c) and (c)(4)</w:t>
      </w:r>
      <w:r w:rsidR="0092473B">
        <w:rPr>
          <w:bCs/>
          <w:color w:val="000000"/>
          <w:sz w:val="26"/>
          <w:szCs w:val="26"/>
        </w:rPr>
        <w:t>.</w:t>
      </w:r>
    </w:p>
    <w:p w14:paraId="7998B540" w14:textId="77777777" w:rsidR="00C9115B" w:rsidRPr="00EE4E5C" w:rsidRDefault="00C9115B" w:rsidP="00C9115B">
      <w:pPr>
        <w:pStyle w:val="ListParagraph"/>
        <w:ind w:left="2160"/>
        <w:rPr>
          <w:bCs/>
          <w:color w:val="000000"/>
          <w:sz w:val="26"/>
          <w:szCs w:val="26"/>
        </w:rPr>
      </w:pPr>
    </w:p>
    <w:p w14:paraId="3AC74C98" w14:textId="2D1F7E2A" w:rsidR="00EE4E5C" w:rsidRDefault="00EE4E5C" w:rsidP="00C9115B">
      <w:pPr>
        <w:pStyle w:val="ListParagraph"/>
        <w:numPr>
          <w:ilvl w:val="0"/>
          <w:numId w:val="3"/>
        </w:numPr>
        <w:ind w:left="2160" w:hanging="720"/>
        <w:rPr>
          <w:bCs/>
          <w:color w:val="000000"/>
          <w:sz w:val="26"/>
          <w:szCs w:val="26"/>
        </w:rPr>
      </w:pPr>
      <w:r w:rsidRPr="00EE4E5C">
        <w:rPr>
          <w:bCs/>
          <w:color w:val="000000"/>
          <w:sz w:val="26"/>
          <w:szCs w:val="26"/>
        </w:rPr>
        <w:t>Section</w:t>
      </w:r>
      <w:r w:rsidR="00997168">
        <w:rPr>
          <w:bCs/>
          <w:color w:val="000000"/>
          <w:sz w:val="26"/>
          <w:szCs w:val="26"/>
        </w:rPr>
        <w:t>s</w:t>
      </w:r>
      <w:r w:rsidRPr="00EE4E5C">
        <w:rPr>
          <w:bCs/>
          <w:color w:val="000000"/>
          <w:sz w:val="26"/>
          <w:szCs w:val="26"/>
        </w:rPr>
        <w:t xml:space="preserve"> 53.60(a), (a)(1)</w:t>
      </w:r>
      <w:r w:rsidR="001710B2">
        <w:rPr>
          <w:bCs/>
          <w:color w:val="000000"/>
          <w:sz w:val="26"/>
          <w:szCs w:val="26"/>
        </w:rPr>
        <w:t>,</w:t>
      </w:r>
      <w:r w:rsidRPr="00EE4E5C">
        <w:rPr>
          <w:bCs/>
          <w:color w:val="000000"/>
          <w:sz w:val="26"/>
          <w:szCs w:val="26"/>
        </w:rPr>
        <w:t xml:space="preserve"> and (a)(3)</w:t>
      </w:r>
      <w:r w:rsidR="007E2837">
        <w:rPr>
          <w:bCs/>
          <w:color w:val="000000"/>
          <w:sz w:val="26"/>
          <w:szCs w:val="26"/>
        </w:rPr>
        <w:t xml:space="preserve">.  Also, </w:t>
      </w:r>
      <w:r w:rsidR="008952F0">
        <w:rPr>
          <w:bCs/>
          <w:color w:val="000000"/>
          <w:sz w:val="26"/>
          <w:szCs w:val="26"/>
        </w:rPr>
        <w:t xml:space="preserve">have </w:t>
      </w:r>
      <w:r w:rsidR="007E2837">
        <w:rPr>
          <w:bCs/>
          <w:color w:val="000000"/>
          <w:sz w:val="26"/>
          <w:szCs w:val="26"/>
        </w:rPr>
        <w:t xml:space="preserve">incorporated these sections into the Annex </w:t>
      </w:r>
      <w:r w:rsidR="008952F0" w:rsidRPr="00EE4E5C">
        <w:rPr>
          <w:bCs/>
          <w:color w:val="000000"/>
          <w:sz w:val="26"/>
          <w:szCs w:val="26"/>
        </w:rPr>
        <w:t>for amendment</w:t>
      </w:r>
      <w:r w:rsidR="008952F0">
        <w:rPr>
          <w:bCs/>
          <w:color w:val="000000"/>
          <w:sz w:val="26"/>
          <w:szCs w:val="26"/>
        </w:rPr>
        <w:t xml:space="preserve"> </w:t>
      </w:r>
      <w:r w:rsidR="007E2837">
        <w:rPr>
          <w:bCs/>
          <w:color w:val="000000"/>
          <w:sz w:val="26"/>
          <w:szCs w:val="26"/>
        </w:rPr>
        <w:t xml:space="preserve">because they were </w:t>
      </w:r>
      <w:r w:rsidRPr="00EE4E5C">
        <w:rPr>
          <w:bCs/>
          <w:color w:val="000000"/>
          <w:sz w:val="26"/>
          <w:szCs w:val="26"/>
        </w:rPr>
        <w:t xml:space="preserve">inadvertently omitted from the </w:t>
      </w:r>
      <w:r w:rsidR="008952F0">
        <w:rPr>
          <w:bCs/>
          <w:color w:val="000000"/>
          <w:sz w:val="26"/>
          <w:szCs w:val="26"/>
        </w:rPr>
        <w:t xml:space="preserve">initial </w:t>
      </w:r>
      <w:r w:rsidRPr="00EE4E5C">
        <w:rPr>
          <w:bCs/>
          <w:color w:val="000000"/>
          <w:sz w:val="26"/>
          <w:szCs w:val="26"/>
        </w:rPr>
        <w:t>Annex</w:t>
      </w:r>
      <w:r w:rsidR="001755E3">
        <w:rPr>
          <w:bCs/>
          <w:color w:val="000000"/>
          <w:sz w:val="26"/>
          <w:szCs w:val="26"/>
        </w:rPr>
        <w:t>.</w:t>
      </w:r>
    </w:p>
    <w:p w14:paraId="41FB10A7" w14:textId="77777777" w:rsidR="00EE4E5C" w:rsidRPr="00EE4E5C" w:rsidRDefault="00EE4E5C" w:rsidP="00C9115B">
      <w:pPr>
        <w:pStyle w:val="ListParagraph"/>
        <w:ind w:left="2160" w:hanging="720"/>
        <w:rPr>
          <w:bCs/>
          <w:color w:val="000000"/>
          <w:sz w:val="26"/>
          <w:szCs w:val="26"/>
        </w:rPr>
      </w:pPr>
    </w:p>
    <w:p w14:paraId="5850A7CB" w14:textId="3EAD19D3" w:rsidR="00EE4E5C" w:rsidRDefault="00EE4E5C" w:rsidP="00C9115B">
      <w:pPr>
        <w:pStyle w:val="ListParagraph"/>
        <w:numPr>
          <w:ilvl w:val="0"/>
          <w:numId w:val="3"/>
        </w:numPr>
        <w:ind w:left="2160" w:hanging="720"/>
        <w:rPr>
          <w:bCs/>
          <w:color w:val="000000"/>
          <w:sz w:val="26"/>
          <w:szCs w:val="26"/>
        </w:rPr>
      </w:pPr>
      <w:r w:rsidRPr="00EE4E5C">
        <w:rPr>
          <w:bCs/>
          <w:color w:val="000000"/>
          <w:sz w:val="26"/>
          <w:szCs w:val="26"/>
        </w:rPr>
        <w:t>Sections 63.141, 63.142, 63.143</w:t>
      </w:r>
      <w:r w:rsidR="008952F0">
        <w:rPr>
          <w:bCs/>
          <w:color w:val="000000"/>
          <w:sz w:val="26"/>
          <w:szCs w:val="26"/>
        </w:rPr>
        <w:t xml:space="preserve">. Also, </w:t>
      </w:r>
      <w:r w:rsidRPr="00EE4E5C">
        <w:rPr>
          <w:bCs/>
          <w:color w:val="000000"/>
          <w:sz w:val="26"/>
          <w:szCs w:val="26"/>
        </w:rPr>
        <w:t xml:space="preserve">these sections </w:t>
      </w:r>
      <w:r w:rsidR="008952F0">
        <w:rPr>
          <w:bCs/>
          <w:color w:val="000000"/>
          <w:sz w:val="26"/>
          <w:szCs w:val="26"/>
        </w:rPr>
        <w:t xml:space="preserve">have been incorporated into the Annex </w:t>
      </w:r>
      <w:r w:rsidRPr="00EE4E5C">
        <w:rPr>
          <w:bCs/>
          <w:color w:val="000000"/>
          <w:sz w:val="26"/>
          <w:szCs w:val="26"/>
        </w:rPr>
        <w:t>for amendment</w:t>
      </w:r>
      <w:r w:rsidR="00C8152C">
        <w:rPr>
          <w:bCs/>
          <w:color w:val="000000"/>
          <w:sz w:val="26"/>
          <w:szCs w:val="26"/>
        </w:rPr>
        <w:t xml:space="preserve"> because they too were inadvertently omitted from the initial Annex</w:t>
      </w:r>
      <w:r w:rsidRPr="00EE4E5C">
        <w:rPr>
          <w:bCs/>
          <w:color w:val="000000"/>
          <w:sz w:val="26"/>
          <w:szCs w:val="26"/>
        </w:rPr>
        <w:t>.</w:t>
      </w:r>
    </w:p>
    <w:p w14:paraId="7EFDD992" w14:textId="77777777" w:rsidR="00F26B74" w:rsidRPr="00EE4E5C" w:rsidRDefault="00F26B74" w:rsidP="003F4F7B">
      <w:pPr>
        <w:pStyle w:val="ListParagraph"/>
        <w:spacing w:after="240"/>
        <w:ind w:left="2160" w:hanging="720"/>
        <w:rPr>
          <w:bCs/>
          <w:color w:val="000000"/>
          <w:sz w:val="26"/>
          <w:szCs w:val="26"/>
        </w:rPr>
      </w:pPr>
    </w:p>
    <w:p w14:paraId="4044A6F9" w14:textId="13E5F14D" w:rsidR="002E04CA" w:rsidRDefault="00FE780F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 w:rsidRPr="00FE780F">
        <w:rPr>
          <w:bCs/>
          <w:color w:val="000000"/>
          <w:sz w:val="26"/>
          <w:szCs w:val="26"/>
        </w:rPr>
        <w:t xml:space="preserve">The Commission </w:t>
      </w:r>
      <w:r w:rsidR="00D77637">
        <w:rPr>
          <w:bCs/>
          <w:color w:val="000000"/>
          <w:sz w:val="26"/>
          <w:szCs w:val="26"/>
        </w:rPr>
        <w:t xml:space="preserve">replaces </w:t>
      </w:r>
      <w:r w:rsidR="00D73579">
        <w:rPr>
          <w:bCs/>
          <w:color w:val="000000"/>
          <w:sz w:val="26"/>
          <w:szCs w:val="26"/>
        </w:rPr>
        <w:t>the ter</w:t>
      </w:r>
      <w:r w:rsidR="00814CD4">
        <w:rPr>
          <w:bCs/>
          <w:color w:val="000000"/>
          <w:sz w:val="26"/>
          <w:szCs w:val="26"/>
        </w:rPr>
        <w:t xml:space="preserve">m </w:t>
      </w:r>
      <w:r w:rsidR="00814CD4" w:rsidRPr="00F26B74">
        <w:rPr>
          <w:bCs/>
          <w:color w:val="000000"/>
          <w:sz w:val="26"/>
          <w:szCs w:val="26"/>
        </w:rPr>
        <w:t>“ILEC – Incumbent local exchange carrier”</w:t>
      </w:r>
      <w:r w:rsidR="00814CD4">
        <w:rPr>
          <w:bCs/>
          <w:color w:val="000000"/>
          <w:sz w:val="26"/>
          <w:szCs w:val="26"/>
        </w:rPr>
        <w:t xml:space="preserve"> </w:t>
      </w:r>
      <w:r w:rsidR="00D77637" w:rsidRPr="00814CD4">
        <w:rPr>
          <w:bCs/>
          <w:color w:val="000000"/>
          <w:sz w:val="26"/>
          <w:szCs w:val="26"/>
        </w:rPr>
        <w:t>with the term “local exchange telecommunications company”</w:t>
      </w:r>
      <w:r w:rsidR="00D77637">
        <w:rPr>
          <w:bCs/>
          <w:color w:val="000000"/>
          <w:sz w:val="26"/>
          <w:szCs w:val="26"/>
        </w:rPr>
        <w:t xml:space="preserve"> in t</w:t>
      </w:r>
      <w:r w:rsidRPr="00814CD4">
        <w:rPr>
          <w:bCs/>
          <w:color w:val="000000"/>
          <w:sz w:val="26"/>
          <w:szCs w:val="26"/>
        </w:rPr>
        <w:t xml:space="preserve">he following </w:t>
      </w:r>
      <w:r w:rsidR="00814CD4">
        <w:rPr>
          <w:bCs/>
          <w:color w:val="000000"/>
          <w:sz w:val="26"/>
          <w:szCs w:val="26"/>
        </w:rPr>
        <w:t xml:space="preserve">sections </w:t>
      </w:r>
      <w:r w:rsidR="00D77637">
        <w:rPr>
          <w:bCs/>
          <w:color w:val="000000"/>
          <w:sz w:val="26"/>
          <w:szCs w:val="26"/>
        </w:rPr>
        <w:t>of</w:t>
      </w:r>
      <w:r w:rsidR="00814CD4">
        <w:rPr>
          <w:bCs/>
          <w:color w:val="000000"/>
          <w:sz w:val="26"/>
          <w:szCs w:val="26"/>
        </w:rPr>
        <w:t xml:space="preserve"> </w:t>
      </w:r>
      <w:r w:rsidR="0037136C" w:rsidRPr="00814CD4">
        <w:rPr>
          <w:bCs/>
          <w:color w:val="000000"/>
          <w:sz w:val="26"/>
          <w:szCs w:val="26"/>
        </w:rPr>
        <w:t xml:space="preserve">the </w:t>
      </w:r>
      <w:r w:rsidRPr="00814CD4">
        <w:rPr>
          <w:bCs/>
          <w:color w:val="000000"/>
          <w:sz w:val="26"/>
          <w:szCs w:val="26"/>
        </w:rPr>
        <w:t>Annex</w:t>
      </w:r>
      <w:r w:rsidR="00971D8B" w:rsidRPr="00814CD4">
        <w:rPr>
          <w:bCs/>
          <w:color w:val="000000"/>
          <w:sz w:val="26"/>
          <w:szCs w:val="26"/>
        </w:rPr>
        <w:t>:</w:t>
      </w:r>
    </w:p>
    <w:p w14:paraId="5ADDCC81" w14:textId="77A8B796" w:rsidR="00F26B74" w:rsidRPr="00FE780F" w:rsidRDefault="0037136C" w:rsidP="0075379B">
      <w:pPr>
        <w:pStyle w:val="ListParagraph"/>
        <w:numPr>
          <w:ilvl w:val="0"/>
          <w:numId w:val="8"/>
        </w:numPr>
        <w:ind w:left="216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</w:t>
      </w:r>
      <w:r w:rsidR="00F26B74" w:rsidRPr="00FE780F">
        <w:rPr>
          <w:bCs/>
          <w:color w:val="000000"/>
          <w:sz w:val="26"/>
          <w:szCs w:val="26"/>
        </w:rPr>
        <w:t xml:space="preserve">definitions of “joint or bundled services packages” and “promotional service offerings” </w:t>
      </w:r>
      <w:r w:rsidR="00410386" w:rsidRPr="00FE780F">
        <w:rPr>
          <w:bCs/>
          <w:color w:val="000000"/>
          <w:sz w:val="26"/>
          <w:szCs w:val="26"/>
        </w:rPr>
        <w:t>in Section 53.57 in the Annex</w:t>
      </w:r>
      <w:r w:rsidR="001755E3">
        <w:rPr>
          <w:bCs/>
          <w:color w:val="000000"/>
          <w:sz w:val="26"/>
          <w:szCs w:val="26"/>
        </w:rPr>
        <w:t>.</w:t>
      </w:r>
    </w:p>
    <w:p w14:paraId="0CEBC192" w14:textId="77777777" w:rsidR="00663663" w:rsidRPr="00663663" w:rsidRDefault="00663663" w:rsidP="0075379B">
      <w:pPr>
        <w:pStyle w:val="ListParagraph"/>
        <w:spacing w:after="240"/>
        <w:ind w:left="2160" w:hanging="720"/>
        <w:rPr>
          <w:bCs/>
          <w:color w:val="000000"/>
          <w:sz w:val="26"/>
          <w:szCs w:val="26"/>
        </w:rPr>
      </w:pPr>
    </w:p>
    <w:p w14:paraId="07963499" w14:textId="4AA2CC07" w:rsidR="001755E3" w:rsidRDefault="00F26B74" w:rsidP="0075379B">
      <w:pPr>
        <w:pStyle w:val="ListParagraph"/>
        <w:numPr>
          <w:ilvl w:val="0"/>
          <w:numId w:val="8"/>
        </w:numPr>
        <w:spacing w:after="240"/>
        <w:ind w:left="2160" w:hanging="720"/>
        <w:rPr>
          <w:bCs/>
          <w:color w:val="000000"/>
          <w:sz w:val="26"/>
          <w:szCs w:val="26"/>
        </w:rPr>
      </w:pPr>
      <w:r w:rsidRPr="00F26B74">
        <w:rPr>
          <w:bCs/>
          <w:color w:val="000000"/>
          <w:sz w:val="26"/>
          <w:szCs w:val="26"/>
        </w:rPr>
        <w:t>Section 53.59(a), (a)(1), and (a)(4)</w:t>
      </w:r>
      <w:r w:rsidR="00B27504">
        <w:rPr>
          <w:bCs/>
          <w:color w:val="000000"/>
          <w:sz w:val="26"/>
          <w:szCs w:val="26"/>
        </w:rPr>
        <w:t>.</w:t>
      </w:r>
    </w:p>
    <w:p w14:paraId="02176EB5" w14:textId="77777777" w:rsidR="0075379B" w:rsidRDefault="0075379B" w:rsidP="0075379B">
      <w:pPr>
        <w:pStyle w:val="ListParagraph"/>
        <w:spacing w:after="240"/>
        <w:ind w:left="2160"/>
        <w:rPr>
          <w:bCs/>
          <w:color w:val="000000"/>
          <w:sz w:val="26"/>
          <w:szCs w:val="26"/>
        </w:rPr>
      </w:pPr>
    </w:p>
    <w:p w14:paraId="09FB5EA3" w14:textId="627A1483" w:rsidR="00F26B74" w:rsidRDefault="00B27504" w:rsidP="0075379B">
      <w:pPr>
        <w:pStyle w:val="ListParagraph"/>
        <w:numPr>
          <w:ilvl w:val="0"/>
          <w:numId w:val="8"/>
        </w:numPr>
        <w:spacing w:after="240"/>
        <w:ind w:left="216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Section </w:t>
      </w:r>
      <w:r w:rsidR="00F26B74" w:rsidRPr="00F26B74">
        <w:rPr>
          <w:bCs/>
          <w:color w:val="000000"/>
          <w:sz w:val="26"/>
          <w:szCs w:val="26"/>
        </w:rPr>
        <w:t>53.59(c) and (c)(5)(</w:t>
      </w:r>
      <w:proofErr w:type="spellStart"/>
      <w:r w:rsidR="00F26B74" w:rsidRPr="00F26B74">
        <w:rPr>
          <w:bCs/>
          <w:color w:val="000000"/>
          <w:sz w:val="26"/>
          <w:szCs w:val="26"/>
        </w:rPr>
        <w:t>i</w:t>
      </w:r>
      <w:proofErr w:type="spellEnd"/>
      <w:r w:rsidR="00F26B74" w:rsidRPr="00F26B74">
        <w:rPr>
          <w:bCs/>
          <w:color w:val="000000"/>
          <w:sz w:val="26"/>
          <w:szCs w:val="26"/>
        </w:rPr>
        <w:t>)</w:t>
      </w:r>
      <w:r w:rsidR="001755E3">
        <w:rPr>
          <w:bCs/>
          <w:color w:val="000000"/>
          <w:sz w:val="26"/>
          <w:szCs w:val="26"/>
        </w:rPr>
        <w:t>.</w:t>
      </w:r>
    </w:p>
    <w:p w14:paraId="3687E816" w14:textId="77777777" w:rsidR="0075379B" w:rsidRPr="00F26B74" w:rsidRDefault="0075379B" w:rsidP="0075379B">
      <w:pPr>
        <w:pStyle w:val="ListParagraph"/>
        <w:spacing w:after="240"/>
        <w:ind w:left="2160"/>
        <w:rPr>
          <w:bCs/>
          <w:color w:val="000000"/>
          <w:sz w:val="26"/>
          <w:szCs w:val="26"/>
        </w:rPr>
      </w:pPr>
    </w:p>
    <w:p w14:paraId="0B6A4AAA" w14:textId="0071DBFB" w:rsidR="00F26B74" w:rsidRDefault="00F26B74" w:rsidP="0075379B">
      <w:pPr>
        <w:pStyle w:val="ListParagraph"/>
        <w:numPr>
          <w:ilvl w:val="0"/>
          <w:numId w:val="8"/>
        </w:numPr>
        <w:spacing w:after="240"/>
        <w:ind w:left="2160" w:hanging="720"/>
        <w:rPr>
          <w:bCs/>
          <w:color w:val="000000"/>
          <w:sz w:val="26"/>
          <w:szCs w:val="26"/>
        </w:rPr>
      </w:pPr>
      <w:r w:rsidRPr="00F26B74">
        <w:rPr>
          <w:bCs/>
          <w:color w:val="000000"/>
          <w:sz w:val="26"/>
          <w:szCs w:val="26"/>
        </w:rPr>
        <w:t>Section 53.60(a), (a)(1) and (a)(3) – which we</w:t>
      </w:r>
      <w:r w:rsidR="00663663">
        <w:rPr>
          <w:bCs/>
          <w:color w:val="000000"/>
          <w:sz w:val="26"/>
          <w:szCs w:val="26"/>
        </w:rPr>
        <w:t xml:space="preserve">re not </w:t>
      </w:r>
      <w:r w:rsidRPr="00F26B74">
        <w:rPr>
          <w:bCs/>
          <w:color w:val="000000"/>
          <w:sz w:val="26"/>
          <w:szCs w:val="26"/>
        </w:rPr>
        <w:t xml:space="preserve">included in the </w:t>
      </w:r>
      <w:r w:rsidR="00663663">
        <w:rPr>
          <w:bCs/>
          <w:color w:val="000000"/>
          <w:sz w:val="26"/>
          <w:szCs w:val="26"/>
        </w:rPr>
        <w:t>A</w:t>
      </w:r>
      <w:r w:rsidRPr="00F26B74">
        <w:rPr>
          <w:bCs/>
          <w:color w:val="000000"/>
          <w:sz w:val="26"/>
          <w:szCs w:val="26"/>
        </w:rPr>
        <w:t>nnex for amendment</w:t>
      </w:r>
      <w:r w:rsidR="001755E3">
        <w:rPr>
          <w:bCs/>
          <w:color w:val="000000"/>
          <w:sz w:val="26"/>
          <w:szCs w:val="26"/>
        </w:rPr>
        <w:t>.</w:t>
      </w:r>
    </w:p>
    <w:p w14:paraId="3462BC9C" w14:textId="09F9E3BD" w:rsidR="00663663" w:rsidRPr="00F26B74" w:rsidRDefault="00663663" w:rsidP="0075379B">
      <w:pPr>
        <w:pStyle w:val="ListParagraph"/>
        <w:spacing w:after="240"/>
        <w:ind w:left="2160" w:hanging="720"/>
        <w:rPr>
          <w:bCs/>
          <w:color w:val="000000"/>
          <w:sz w:val="26"/>
          <w:szCs w:val="26"/>
        </w:rPr>
      </w:pPr>
    </w:p>
    <w:p w14:paraId="3738B671" w14:textId="2978407D" w:rsidR="0037136C" w:rsidRDefault="00F26B74" w:rsidP="0075379B">
      <w:pPr>
        <w:pStyle w:val="ListParagraph"/>
        <w:numPr>
          <w:ilvl w:val="0"/>
          <w:numId w:val="8"/>
        </w:numPr>
        <w:spacing w:after="240"/>
        <w:ind w:left="2160" w:hanging="720"/>
        <w:rPr>
          <w:bCs/>
          <w:color w:val="000000"/>
          <w:sz w:val="26"/>
          <w:szCs w:val="26"/>
        </w:rPr>
      </w:pPr>
      <w:r w:rsidRPr="0037136C">
        <w:rPr>
          <w:bCs/>
          <w:color w:val="000000"/>
          <w:sz w:val="26"/>
          <w:szCs w:val="26"/>
        </w:rPr>
        <w:t>Sections 63. 141, 63.142, 63.143</w:t>
      </w:r>
      <w:r w:rsidR="0037136C" w:rsidRPr="0037136C">
        <w:rPr>
          <w:bCs/>
          <w:color w:val="000000"/>
          <w:sz w:val="26"/>
          <w:szCs w:val="26"/>
        </w:rPr>
        <w:t>.  Also, these sections have been incorporated into the Annex for amendment</w:t>
      </w:r>
      <w:r w:rsidR="0037136C">
        <w:rPr>
          <w:bCs/>
          <w:color w:val="000000"/>
          <w:sz w:val="26"/>
          <w:szCs w:val="26"/>
        </w:rPr>
        <w:t>.</w:t>
      </w:r>
    </w:p>
    <w:p w14:paraId="543DCD8D" w14:textId="77777777" w:rsidR="0037136C" w:rsidRPr="0037136C" w:rsidRDefault="0037136C" w:rsidP="0075379B">
      <w:pPr>
        <w:pStyle w:val="ListParagraph"/>
        <w:spacing w:after="240"/>
        <w:ind w:left="1440" w:hanging="720"/>
        <w:rPr>
          <w:bCs/>
          <w:color w:val="000000"/>
          <w:sz w:val="26"/>
          <w:szCs w:val="26"/>
        </w:rPr>
      </w:pPr>
    </w:p>
    <w:p w14:paraId="2D30603F" w14:textId="5E923140" w:rsidR="00EE4E5C" w:rsidRDefault="0037136C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</w:t>
      </w:r>
      <w:r w:rsidR="00BD7364">
        <w:rPr>
          <w:bCs/>
          <w:color w:val="000000"/>
          <w:sz w:val="26"/>
          <w:szCs w:val="26"/>
        </w:rPr>
        <w:t xml:space="preserve">Commission </w:t>
      </w:r>
      <w:r w:rsidR="00384BF5" w:rsidRPr="00EE53AD">
        <w:rPr>
          <w:bCs/>
          <w:color w:val="000000"/>
          <w:sz w:val="26"/>
          <w:szCs w:val="26"/>
        </w:rPr>
        <w:t>incorporates definitions for “nonprotected service” and “protected service”</w:t>
      </w:r>
      <w:r w:rsidR="008D7DA4" w:rsidRPr="00EE53AD">
        <w:rPr>
          <w:bCs/>
          <w:color w:val="000000"/>
          <w:sz w:val="26"/>
          <w:szCs w:val="26"/>
        </w:rPr>
        <w:t xml:space="preserve"> </w:t>
      </w:r>
      <w:r w:rsidR="00384BF5" w:rsidRPr="00EE53AD">
        <w:rPr>
          <w:bCs/>
          <w:color w:val="000000"/>
          <w:sz w:val="26"/>
          <w:szCs w:val="26"/>
        </w:rPr>
        <w:t xml:space="preserve">in the </w:t>
      </w:r>
      <w:r w:rsidR="008D7DA4" w:rsidRPr="00EE53AD">
        <w:rPr>
          <w:bCs/>
          <w:color w:val="000000"/>
          <w:sz w:val="26"/>
          <w:szCs w:val="26"/>
        </w:rPr>
        <w:t>Annex.</w:t>
      </w:r>
    </w:p>
    <w:p w14:paraId="4CA96DAA" w14:textId="77777777" w:rsidR="00EE53AD" w:rsidRDefault="00EE53AD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736A4C33" w14:textId="6E6D0AF3" w:rsidR="00EE53AD" w:rsidRDefault="003D0813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deletes the term </w:t>
      </w:r>
      <w:r w:rsidRPr="00A15B29">
        <w:rPr>
          <w:bCs/>
          <w:color w:val="000000"/>
          <w:sz w:val="26"/>
          <w:szCs w:val="26"/>
        </w:rPr>
        <w:t xml:space="preserve">“alternative service providers” </w:t>
      </w:r>
      <w:r>
        <w:rPr>
          <w:bCs/>
          <w:color w:val="000000"/>
          <w:sz w:val="26"/>
          <w:szCs w:val="26"/>
        </w:rPr>
        <w:t xml:space="preserve">from </w:t>
      </w:r>
      <w:r w:rsidR="00A15B29" w:rsidRPr="00A15B29">
        <w:rPr>
          <w:bCs/>
          <w:color w:val="000000"/>
          <w:sz w:val="26"/>
          <w:szCs w:val="26"/>
        </w:rPr>
        <w:t>Section</w:t>
      </w:r>
      <w:r w:rsidR="00473564">
        <w:rPr>
          <w:bCs/>
          <w:color w:val="000000"/>
          <w:sz w:val="26"/>
          <w:szCs w:val="26"/>
        </w:rPr>
        <w:t> </w:t>
      </w:r>
      <w:r w:rsidR="00A15B29" w:rsidRPr="00A15B29">
        <w:rPr>
          <w:bCs/>
          <w:color w:val="000000"/>
          <w:sz w:val="26"/>
          <w:szCs w:val="26"/>
        </w:rPr>
        <w:t>53.59(g)</w:t>
      </w:r>
      <w:r w:rsidR="00372FA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in </w:t>
      </w:r>
      <w:r w:rsidR="002D3DBF">
        <w:rPr>
          <w:bCs/>
          <w:color w:val="000000"/>
          <w:sz w:val="26"/>
          <w:szCs w:val="26"/>
        </w:rPr>
        <w:t>the Annex</w:t>
      </w:r>
      <w:r w:rsidR="00A15B29" w:rsidRPr="00A15B29">
        <w:rPr>
          <w:bCs/>
          <w:color w:val="000000"/>
          <w:sz w:val="26"/>
          <w:szCs w:val="26"/>
        </w:rPr>
        <w:t>.</w:t>
      </w:r>
    </w:p>
    <w:p w14:paraId="66404B3E" w14:textId="25FB9BE3" w:rsidR="00C77D9C" w:rsidRDefault="00C77D9C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67B59F51" w14:textId="2B10DF5C" w:rsidR="00A546D6" w:rsidRDefault="00D058C1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deletes the term </w:t>
      </w:r>
      <w:r w:rsidRPr="00C77D9C">
        <w:rPr>
          <w:bCs/>
          <w:color w:val="000000"/>
          <w:sz w:val="26"/>
          <w:szCs w:val="26"/>
        </w:rPr>
        <w:t xml:space="preserve">“toll services” </w:t>
      </w:r>
      <w:r>
        <w:rPr>
          <w:bCs/>
          <w:color w:val="000000"/>
          <w:sz w:val="26"/>
          <w:szCs w:val="26"/>
        </w:rPr>
        <w:t xml:space="preserve">from </w:t>
      </w:r>
      <w:r w:rsidRPr="00C77D9C">
        <w:rPr>
          <w:bCs/>
          <w:color w:val="000000"/>
          <w:sz w:val="26"/>
          <w:szCs w:val="26"/>
        </w:rPr>
        <w:t xml:space="preserve">the </w:t>
      </w:r>
      <w:r>
        <w:rPr>
          <w:bCs/>
          <w:color w:val="000000"/>
          <w:sz w:val="26"/>
          <w:szCs w:val="26"/>
        </w:rPr>
        <w:t>title caption of S</w:t>
      </w:r>
      <w:r w:rsidRPr="00C77D9C">
        <w:rPr>
          <w:bCs/>
          <w:color w:val="000000"/>
          <w:sz w:val="26"/>
          <w:szCs w:val="26"/>
        </w:rPr>
        <w:t>ection</w:t>
      </w:r>
      <w:r w:rsidR="00473564">
        <w:rPr>
          <w:bCs/>
          <w:color w:val="000000"/>
          <w:sz w:val="26"/>
          <w:szCs w:val="26"/>
        </w:rPr>
        <w:t> </w:t>
      </w:r>
      <w:r>
        <w:rPr>
          <w:bCs/>
          <w:color w:val="000000"/>
          <w:sz w:val="26"/>
          <w:szCs w:val="26"/>
        </w:rPr>
        <w:t xml:space="preserve">53.60 </w:t>
      </w:r>
      <w:r w:rsidR="00F36FDF">
        <w:rPr>
          <w:bCs/>
          <w:color w:val="000000"/>
          <w:sz w:val="26"/>
          <w:szCs w:val="26"/>
        </w:rPr>
        <w:t>in the Annex.</w:t>
      </w:r>
    </w:p>
    <w:p w14:paraId="45ACC4FD" w14:textId="7DFE52C9" w:rsidR="00796CA6" w:rsidRDefault="00DB3E44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The </w:t>
      </w:r>
      <w:r w:rsidR="00B93ABC">
        <w:rPr>
          <w:bCs/>
          <w:color w:val="000000"/>
          <w:sz w:val="26"/>
          <w:szCs w:val="26"/>
        </w:rPr>
        <w:t xml:space="preserve">Commission amends the </w:t>
      </w:r>
      <w:r>
        <w:rPr>
          <w:bCs/>
          <w:color w:val="000000"/>
          <w:sz w:val="26"/>
          <w:szCs w:val="26"/>
        </w:rPr>
        <w:t xml:space="preserve">definition of </w:t>
      </w:r>
      <w:r w:rsidRPr="00DB3E44">
        <w:rPr>
          <w:bCs/>
          <w:color w:val="000000"/>
          <w:sz w:val="26"/>
          <w:szCs w:val="26"/>
        </w:rPr>
        <w:t xml:space="preserve">“competitive wire center” </w:t>
      </w:r>
      <w:r>
        <w:rPr>
          <w:bCs/>
          <w:color w:val="000000"/>
          <w:sz w:val="26"/>
          <w:szCs w:val="26"/>
        </w:rPr>
        <w:t>in Section</w:t>
      </w:r>
      <w:r w:rsidR="001755E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63.1</w:t>
      </w:r>
      <w:r w:rsidR="001755E3">
        <w:rPr>
          <w:bCs/>
          <w:color w:val="000000"/>
          <w:sz w:val="26"/>
          <w:szCs w:val="26"/>
        </w:rPr>
        <w:t>.</w:t>
      </w:r>
    </w:p>
    <w:p w14:paraId="34E794E4" w14:textId="77777777" w:rsidR="00A559FA" w:rsidRDefault="00A559FA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12F58725" w14:textId="2AE7B8C4" w:rsidR="00F36FDF" w:rsidRDefault="00B93ABC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amends </w:t>
      </w:r>
      <w:r w:rsidR="003B6B5A" w:rsidRPr="007724ED">
        <w:rPr>
          <w:bCs/>
          <w:color w:val="000000"/>
          <w:sz w:val="26"/>
          <w:szCs w:val="26"/>
        </w:rPr>
        <w:t xml:space="preserve">Section 63.15(b) to read as follows: </w:t>
      </w:r>
      <w:r w:rsidR="00066B79">
        <w:rPr>
          <w:bCs/>
          <w:color w:val="000000"/>
          <w:sz w:val="26"/>
          <w:szCs w:val="26"/>
        </w:rPr>
        <w:t xml:space="preserve"> </w:t>
      </w:r>
      <w:r w:rsidR="003B6B5A" w:rsidRPr="007724ED">
        <w:rPr>
          <w:bCs/>
          <w:color w:val="000000"/>
          <w:sz w:val="26"/>
          <w:szCs w:val="26"/>
        </w:rPr>
        <w:t>“Upon receiving a service or billing complaint from a customer of a utility…”</w:t>
      </w:r>
    </w:p>
    <w:p w14:paraId="10832415" w14:textId="77777777" w:rsidR="00C80D2F" w:rsidRDefault="00C80D2F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0BFCC7AA" w14:textId="5E65DD72" w:rsidR="00A20983" w:rsidRDefault="00B93ABC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amends </w:t>
      </w:r>
      <w:r w:rsidR="003B6B5A" w:rsidRPr="007724ED">
        <w:rPr>
          <w:bCs/>
          <w:color w:val="000000"/>
          <w:sz w:val="26"/>
          <w:szCs w:val="26"/>
        </w:rPr>
        <w:t xml:space="preserve">Section 63.15 </w:t>
      </w:r>
      <w:r>
        <w:rPr>
          <w:bCs/>
          <w:color w:val="000000"/>
          <w:sz w:val="26"/>
          <w:szCs w:val="26"/>
        </w:rPr>
        <w:t xml:space="preserve">to correct the </w:t>
      </w:r>
      <w:r w:rsidR="00C80D2F">
        <w:rPr>
          <w:bCs/>
          <w:color w:val="000000"/>
          <w:sz w:val="26"/>
          <w:szCs w:val="26"/>
        </w:rPr>
        <w:t>inadvertent</w:t>
      </w:r>
      <w:r>
        <w:rPr>
          <w:bCs/>
          <w:color w:val="000000"/>
          <w:sz w:val="26"/>
          <w:szCs w:val="26"/>
        </w:rPr>
        <w:t xml:space="preserve"> reference to the second </w:t>
      </w:r>
      <w:r w:rsidR="003B6B5A" w:rsidRPr="007724ED">
        <w:rPr>
          <w:bCs/>
          <w:color w:val="000000"/>
          <w:sz w:val="26"/>
          <w:szCs w:val="26"/>
        </w:rPr>
        <w:t>subsection (b)</w:t>
      </w:r>
      <w:r>
        <w:rPr>
          <w:bCs/>
          <w:color w:val="000000"/>
          <w:sz w:val="26"/>
          <w:szCs w:val="26"/>
        </w:rPr>
        <w:t xml:space="preserve"> so that it now </w:t>
      </w:r>
      <w:r w:rsidR="007724ED">
        <w:rPr>
          <w:bCs/>
          <w:color w:val="000000"/>
          <w:sz w:val="26"/>
          <w:szCs w:val="26"/>
        </w:rPr>
        <w:t>refer</w:t>
      </w:r>
      <w:r>
        <w:rPr>
          <w:bCs/>
          <w:color w:val="000000"/>
          <w:sz w:val="26"/>
          <w:szCs w:val="26"/>
        </w:rPr>
        <w:t xml:space="preserve">s </w:t>
      </w:r>
      <w:r w:rsidR="007724ED">
        <w:rPr>
          <w:bCs/>
          <w:color w:val="000000"/>
          <w:sz w:val="26"/>
          <w:szCs w:val="26"/>
        </w:rPr>
        <w:t xml:space="preserve">to </w:t>
      </w:r>
      <w:r w:rsidR="003B6B5A" w:rsidRPr="007724ED">
        <w:rPr>
          <w:bCs/>
          <w:color w:val="000000"/>
          <w:sz w:val="26"/>
          <w:szCs w:val="26"/>
        </w:rPr>
        <w:t>subsection (c</w:t>
      </w:r>
      <w:r w:rsidR="00A20983">
        <w:rPr>
          <w:bCs/>
          <w:color w:val="000000"/>
          <w:sz w:val="26"/>
          <w:szCs w:val="26"/>
        </w:rPr>
        <w:t>) in the Annex.</w:t>
      </w:r>
    </w:p>
    <w:p w14:paraId="462BA10B" w14:textId="77777777" w:rsidR="00874660" w:rsidRDefault="00874660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1C4CFA9B" w14:textId="239FD551" w:rsidR="00991CFF" w:rsidRDefault="00D13301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T</w:t>
      </w:r>
      <w:r w:rsidR="00874660" w:rsidRPr="00874660">
        <w:rPr>
          <w:bCs/>
          <w:color w:val="000000"/>
          <w:sz w:val="26"/>
          <w:szCs w:val="26"/>
        </w:rPr>
        <w:t xml:space="preserve">he Commission </w:t>
      </w:r>
      <w:r w:rsidR="00010499">
        <w:rPr>
          <w:bCs/>
          <w:color w:val="000000"/>
          <w:sz w:val="26"/>
          <w:szCs w:val="26"/>
        </w:rPr>
        <w:t>propose</w:t>
      </w:r>
      <w:r w:rsidR="00B27504">
        <w:rPr>
          <w:bCs/>
          <w:color w:val="000000"/>
          <w:sz w:val="26"/>
          <w:szCs w:val="26"/>
        </w:rPr>
        <w:t>s</w:t>
      </w:r>
      <w:r w:rsidR="00010499">
        <w:rPr>
          <w:bCs/>
          <w:color w:val="000000"/>
          <w:sz w:val="26"/>
          <w:szCs w:val="26"/>
        </w:rPr>
        <w:t xml:space="preserve"> to </w:t>
      </w:r>
      <w:r w:rsidR="00874660" w:rsidRPr="00874660">
        <w:rPr>
          <w:bCs/>
          <w:color w:val="000000"/>
          <w:sz w:val="26"/>
          <w:szCs w:val="26"/>
        </w:rPr>
        <w:t xml:space="preserve">replace </w:t>
      </w:r>
      <w:r w:rsidR="00010499">
        <w:rPr>
          <w:bCs/>
          <w:color w:val="000000"/>
          <w:sz w:val="26"/>
          <w:szCs w:val="26"/>
        </w:rPr>
        <w:t xml:space="preserve">the term </w:t>
      </w:r>
      <w:r w:rsidR="00874660" w:rsidRPr="00874660">
        <w:rPr>
          <w:bCs/>
          <w:color w:val="000000"/>
          <w:sz w:val="26"/>
          <w:szCs w:val="26"/>
        </w:rPr>
        <w:t>“telephone” with “telecommunication</w:t>
      </w:r>
      <w:r w:rsidR="00E66963">
        <w:rPr>
          <w:bCs/>
          <w:color w:val="000000"/>
          <w:sz w:val="26"/>
          <w:szCs w:val="26"/>
        </w:rPr>
        <w:t>s</w:t>
      </w:r>
      <w:r w:rsidR="00874660" w:rsidRPr="00874660">
        <w:rPr>
          <w:bCs/>
          <w:color w:val="000000"/>
          <w:sz w:val="26"/>
          <w:szCs w:val="26"/>
        </w:rPr>
        <w:t>” where appropriate</w:t>
      </w:r>
      <w:r>
        <w:rPr>
          <w:bCs/>
          <w:color w:val="000000"/>
          <w:sz w:val="26"/>
          <w:szCs w:val="26"/>
        </w:rPr>
        <w:t xml:space="preserve"> throughout Chapter 63</w:t>
      </w:r>
      <w:r w:rsidR="00C80D2F">
        <w:rPr>
          <w:bCs/>
          <w:color w:val="000000"/>
          <w:sz w:val="26"/>
          <w:szCs w:val="26"/>
        </w:rPr>
        <w:t xml:space="preserve"> of the Code</w:t>
      </w:r>
      <w:r w:rsidR="00991CFF">
        <w:rPr>
          <w:bCs/>
          <w:color w:val="000000"/>
          <w:sz w:val="26"/>
          <w:szCs w:val="26"/>
        </w:rPr>
        <w:t xml:space="preserve"> and amends the Annex accordingly.</w:t>
      </w:r>
    </w:p>
    <w:p w14:paraId="017F27CD" w14:textId="77777777" w:rsidR="00991CFF" w:rsidRDefault="00991CFF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46060865" w14:textId="45C7508E" w:rsidR="00E66963" w:rsidRDefault="00991CFF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</w:t>
      </w:r>
      <w:r w:rsidR="001755E3">
        <w:rPr>
          <w:bCs/>
          <w:color w:val="000000"/>
          <w:sz w:val="26"/>
          <w:szCs w:val="26"/>
        </w:rPr>
        <w:t>incorporates</w:t>
      </w:r>
      <w:r>
        <w:rPr>
          <w:bCs/>
          <w:color w:val="000000"/>
          <w:sz w:val="26"/>
          <w:szCs w:val="26"/>
        </w:rPr>
        <w:t xml:space="preserve"> </w:t>
      </w:r>
      <w:r w:rsidR="00295968">
        <w:rPr>
          <w:bCs/>
          <w:color w:val="000000"/>
          <w:sz w:val="26"/>
          <w:szCs w:val="26"/>
        </w:rPr>
        <w:t>S</w:t>
      </w:r>
      <w:r w:rsidR="00874660" w:rsidRPr="00874660">
        <w:rPr>
          <w:bCs/>
          <w:color w:val="000000"/>
          <w:sz w:val="26"/>
          <w:szCs w:val="26"/>
        </w:rPr>
        <w:t>ection 63.31</w:t>
      </w:r>
      <w:r w:rsidR="00295968">
        <w:rPr>
          <w:bCs/>
          <w:color w:val="000000"/>
          <w:sz w:val="26"/>
          <w:szCs w:val="26"/>
        </w:rPr>
        <w:t xml:space="preserve"> </w:t>
      </w:r>
      <w:r w:rsidR="00C62E1D">
        <w:rPr>
          <w:bCs/>
          <w:color w:val="000000"/>
          <w:sz w:val="26"/>
          <w:szCs w:val="26"/>
        </w:rPr>
        <w:t>into the Annex</w:t>
      </w:r>
      <w:r w:rsidR="00A506FC">
        <w:rPr>
          <w:bCs/>
          <w:color w:val="000000"/>
          <w:sz w:val="26"/>
          <w:szCs w:val="26"/>
        </w:rPr>
        <w:t xml:space="preserve"> consistent with the Preamble</w:t>
      </w:r>
      <w:r w:rsidR="001D4C7C">
        <w:rPr>
          <w:bCs/>
          <w:color w:val="000000"/>
          <w:sz w:val="26"/>
          <w:szCs w:val="26"/>
        </w:rPr>
        <w:t>.</w:t>
      </w:r>
    </w:p>
    <w:p w14:paraId="3BA8B2AA" w14:textId="77777777" w:rsidR="006575C5" w:rsidRDefault="006575C5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4361C5AE" w14:textId="4317D784" w:rsidR="003865F7" w:rsidRDefault="00FD564D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T</w:t>
      </w:r>
      <w:r w:rsidRPr="003A1E3D">
        <w:rPr>
          <w:bCs/>
          <w:color w:val="000000"/>
          <w:sz w:val="26"/>
          <w:szCs w:val="26"/>
        </w:rPr>
        <w:t xml:space="preserve">he </w:t>
      </w:r>
      <w:r w:rsidR="00991CFF">
        <w:rPr>
          <w:bCs/>
          <w:color w:val="000000"/>
          <w:sz w:val="26"/>
          <w:szCs w:val="26"/>
        </w:rPr>
        <w:t>Commission</w:t>
      </w:r>
      <w:r w:rsidR="0030403C">
        <w:rPr>
          <w:bCs/>
          <w:color w:val="000000"/>
          <w:sz w:val="26"/>
          <w:szCs w:val="26"/>
        </w:rPr>
        <w:t xml:space="preserve"> corrects the cross-references in </w:t>
      </w:r>
      <w:r w:rsidRPr="003A1E3D">
        <w:rPr>
          <w:bCs/>
          <w:color w:val="000000"/>
          <w:sz w:val="26"/>
          <w:szCs w:val="26"/>
        </w:rPr>
        <w:t>Section 63.54(b)</w:t>
      </w:r>
      <w:r w:rsidR="009142B1">
        <w:rPr>
          <w:bCs/>
          <w:color w:val="000000"/>
          <w:sz w:val="26"/>
          <w:szCs w:val="26"/>
        </w:rPr>
        <w:t>.</w:t>
      </w:r>
    </w:p>
    <w:p w14:paraId="7A5F5996" w14:textId="77777777" w:rsidR="00745A3C" w:rsidRDefault="00745A3C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6FEB0282" w14:textId="66911A18" w:rsidR="009F6730" w:rsidRPr="003F4298" w:rsidRDefault="003865F7" w:rsidP="00692539">
      <w:pPr>
        <w:pStyle w:val="ListParagraph"/>
        <w:numPr>
          <w:ilvl w:val="0"/>
          <w:numId w:val="6"/>
        </w:numPr>
        <w:spacing w:line="360" w:lineRule="auto"/>
        <w:ind w:left="1440" w:hanging="720"/>
        <w:rPr>
          <w:bCs/>
          <w:color w:val="000000"/>
          <w:sz w:val="26"/>
          <w:szCs w:val="26"/>
        </w:rPr>
      </w:pPr>
      <w:r w:rsidRPr="003F4298">
        <w:rPr>
          <w:bCs/>
          <w:color w:val="000000"/>
          <w:sz w:val="26"/>
          <w:szCs w:val="26"/>
        </w:rPr>
        <w:t xml:space="preserve">The Commission </w:t>
      </w:r>
      <w:r w:rsidR="0030403C">
        <w:rPr>
          <w:bCs/>
          <w:color w:val="000000"/>
          <w:sz w:val="26"/>
          <w:szCs w:val="26"/>
        </w:rPr>
        <w:t xml:space="preserve">removes </w:t>
      </w:r>
      <w:r w:rsidRPr="003F4298">
        <w:rPr>
          <w:bCs/>
          <w:color w:val="000000"/>
          <w:sz w:val="26"/>
          <w:szCs w:val="26"/>
        </w:rPr>
        <w:t xml:space="preserve">the </w:t>
      </w:r>
      <w:r w:rsidR="009F6730" w:rsidRPr="003F4298">
        <w:rPr>
          <w:bCs/>
          <w:color w:val="000000"/>
          <w:sz w:val="26"/>
          <w:szCs w:val="26"/>
        </w:rPr>
        <w:t xml:space="preserve">inadvertent bracket </w:t>
      </w:r>
      <w:r w:rsidR="004015D2" w:rsidRPr="003F4298">
        <w:rPr>
          <w:bCs/>
          <w:color w:val="000000"/>
          <w:sz w:val="26"/>
          <w:szCs w:val="26"/>
        </w:rPr>
        <w:t xml:space="preserve">that appeared </w:t>
      </w:r>
      <w:r w:rsidR="009F6730" w:rsidRPr="003F4298">
        <w:rPr>
          <w:bCs/>
          <w:color w:val="000000"/>
          <w:sz w:val="26"/>
          <w:szCs w:val="26"/>
        </w:rPr>
        <w:t xml:space="preserve">in front of </w:t>
      </w:r>
      <w:r w:rsidRPr="003F4298">
        <w:rPr>
          <w:bCs/>
          <w:color w:val="000000"/>
          <w:sz w:val="26"/>
          <w:szCs w:val="26"/>
        </w:rPr>
        <w:t>Section 63.57(a</w:t>
      </w:r>
      <w:r w:rsidR="009F6730" w:rsidRPr="003F4298">
        <w:rPr>
          <w:bCs/>
          <w:color w:val="000000"/>
          <w:sz w:val="26"/>
          <w:szCs w:val="26"/>
        </w:rPr>
        <w:t>).</w:t>
      </w:r>
    </w:p>
    <w:p w14:paraId="5369E2B7" w14:textId="6D36F1E6" w:rsidR="003865F7" w:rsidRPr="003865F7" w:rsidRDefault="003865F7" w:rsidP="00692539">
      <w:pPr>
        <w:pStyle w:val="ListParagraph"/>
        <w:ind w:left="1440" w:hanging="720"/>
        <w:rPr>
          <w:bCs/>
          <w:color w:val="000000"/>
          <w:sz w:val="26"/>
          <w:szCs w:val="26"/>
        </w:rPr>
      </w:pPr>
      <w:r w:rsidRPr="003865F7">
        <w:rPr>
          <w:bCs/>
          <w:color w:val="000000"/>
          <w:sz w:val="26"/>
          <w:szCs w:val="26"/>
        </w:rPr>
        <w:t xml:space="preserve"> </w:t>
      </w:r>
    </w:p>
    <w:p w14:paraId="4035B9F0" w14:textId="15109D47" w:rsidR="006378FB" w:rsidRDefault="0030403C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deletes the phrase </w:t>
      </w:r>
      <w:r w:rsidRPr="00AA3B5A">
        <w:rPr>
          <w:bCs/>
          <w:color w:val="000000"/>
          <w:sz w:val="26"/>
          <w:szCs w:val="26"/>
        </w:rPr>
        <w:t xml:space="preserve">“construction is required” </w:t>
      </w:r>
      <w:r>
        <w:rPr>
          <w:bCs/>
          <w:color w:val="000000"/>
          <w:sz w:val="26"/>
          <w:szCs w:val="26"/>
        </w:rPr>
        <w:t xml:space="preserve">in </w:t>
      </w:r>
      <w:r w:rsidR="00AA3B5A" w:rsidRPr="00AA3B5A">
        <w:rPr>
          <w:bCs/>
          <w:color w:val="000000"/>
          <w:sz w:val="26"/>
          <w:szCs w:val="26"/>
        </w:rPr>
        <w:t>Section</w:t>
      </w:r>
      <w:r w:rsidR="00B27504">
        <w:rPr>
          <w:bCs/>
          <w:color w:val="000000"/>
          <w:sz w:val="26"/>
          <w:szCs w:val="26"/>
        </w:rPr>
        <w:t> </w:t>
      </w:r>
      <w:r w:rsidR="00AA3B5A" w:rsidRPr="00AA3B5A">
        <w:rPr>
          <w:bCs/>
          <w:color w:val="000000"/>
          <w:sz w:val="26"/>
          <w:szCs w:val="26"/>
        </w:rPr>
        <w:t>63.58(a)</w:t>
      </w:r>
      <w:r w:rsidR="006378FB" w:rsidRPr="006378FB">
        <w:rPr>
          <w:bCs/>
          <w:color w:val="000000"/>
          <w:sz w:val="26"/>
          <w:szCs w:val="26"/>
        </w:rPr>
        <w:t>.</w:t>
      </w:r>
    </w:p>
    <w:p w14:paraId="37958E71" w14:textId="77777777" w:rsidR="00B125ED" w:rsidRDefault="00B125ED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62C163B8" w14:textId="166EF366" w:rsidR="00CA26E2" w:rsidRDefault="00A506FC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T</w:t>
      </w:r>
      <w:r w:rsidR="00B7440E">
        <w:rPr>
          <w:bCs/>
          <w:color w:val="000000"/>
          <w:sz w:val="26"/>
          <w:szCs w:val="26"/>
        </w:rPr>
        <w:t xml:space="preserve">he Commission amends </w:t>
      </w:r>
      <w:r w:rsidR="00B7440E" w:rsidRPr="00B125ED">
        <w:rPr>
          <w:bCs/>
          <w:color w:val="000000"/>
          <w:sz w:val="26"/>
          <w:szCs w:val="26"/>
        </w:rPr>
        <w:t>Section 63.64(b)</w:t>
      </w:r>
      <w:r w:rsidR="00B7440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consistent with the Preamble.</w:t>
      </w:r>
    </w:p>
    <w:p w14:paraId="2C53351A" w14:textId="77777777" w:rsidR="00C56259" w:rsidRDefault="00C56259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3FDC582B" w14:textId="2BEA9459" w:rsidR="00B73518" w:rsidRDefault="00B7440E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The Commission deletes t</w:t>
      </w:r>
      <w:r w:rsidRPr="00AC2BD9">
        <w:rPr>
          <w:bCs/>
          <w:color w:val="000000"/>
          <w:sz w:val="26"/>
          <w:szCs w:val="26"/>
        </w:rPr>
        <w:t xml:space="preserve">he </w:t>
      </w:r>
      <w:r>
        <w:rPr>
          <w:bCs/>
          <w:color w:val="000000"/>
          <w:sz w:val="26"/>
          <w:szCs w:val="26"/>
        </w:rPr>
        <w:t xml:space="preserve">definitions of the </w:t>
      </w:r>
      <w:r w:rsidRPr="00AC2BD9">
        <w:rPr>
          <w:bCs/>
          <w:color w:val="000000"/>
          <w:sz w:val="26"/>
          <w:szCs w:val="26"/>
        </w:rPr>
        <w:t>terms “pen register,” “trap and trace device,” and “wiretap</w:t>
      </w:r>
      <w:r>
        <w:rPr>
          <w:bCs/>
          <w:color w:val="000000"/>
          <w:sz w:val="26"/>
          <w:szCs w:val="26"/>
        </w:rPr>
        <w:t>” in the Annex s</w:t>
      </w:r>
      <w:r w:rsidR="00AC2BD9">
        <w:rPr>
          <w:bCs/>
          <w:color w:val="000000"/>
          <w:sz w:val="26"/>
          <w:szCs w:val="26"/>
        </w:rPr>
        <w:t xml:space="preserve">ince </w:t>
      </w:r>
      <w:r>
        <w:rPr>
          <w:bCs/>
          <w:color w:val="000000"/>
          <w:sz w:val="26"/>
          <w:szCs w:val="26"/>
        </w:rPr>
        <w:t xml:space="preserve">those terms had only appeared in </w:t>
      </w:r>
      <w:r w:rsidR="00AC2BD9">
        <w:rPr>
          <w:bCs/>
          <w:color w:val="000000"/>
          <w:sz w:val="26"/>
          <w:szCs w:val="26"/>
        </w:rPr>
        <w:t>S</w:t>
      </w:r>
      <w:r w:rsidR="00AC2BD9" w:rsidRPr="00AC2BD9">
        <w:rPr>
          <w:bCs/>
          <w:color w:val="000000"/>
          <w:sz w:val="26"/>
          <w:szCs w:val="26"/>
        </w:rPr>
        <w:t>ection 63.137</w:t>
      </w:r>
      <w:r w:rsidR="00AC2BD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which </w:t>
      </w:r>
      <w:r w:rsidR="00AC2BD9">
        <w:rPr>
          <w:bCs/>
          <w:color w:val="000000"/>
          <w:sz w:val="26"/>
          <w:szCs w:val="26"/>
        </w:rPr>
        <w:t>has been reserved.</w:t>
      </w:r>
    </w:p>
    <w:p w14:paraId="0177793F" w14:textId="77777777" w:rsidR="001B1284" w:rsidRDefault="001B1284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00FB8031" w14:textId="188AC150" w:rsidR="008F121F" w:rsidRDefault="00A506FC" w:rsidP="001114B2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The Commission adds t</w:t>
      </w:r>
      <w:r w:rsidR="00C40A8F" w:rsidRPr="00C40A8F">
        <w:rPr>
          <w:bCs/>
          <w:color w:val="000000"/>
          <w:sz w:val="26"/>
          <w:szCs w:val="26"/>
        </w:rPr>
        <w:t xml:space="preserve">he phrase “agent or independent contractor” </w:t>
      </w:r>
      <w:r w:rsidR="00C40A8F">
        <w:rPr>
          <w:bCs/>
          <w:color w:val="000000"/>
          <w:sz w:val="26"/>
          <w:szCs w:val="26"/>
        </w:rPr>
        <w:t xml:space="preserve">after </w:t>
      </w:r>
      <w:r w:rsidR="009E1678">
        <w:rPr>
          <w:bCs/>
          <w:color w:val="000000"/>
          <w:sz w:val="26"/>
          <w:szCs w:val="26"/>
        </w:rPr>
        <w:t xml:space="preserve">the term </w:t>
      </w:r>
      <w:r w:rsidR="00C40A8F" w:rsidRPr="00C40A8F">
        <w:rPr>
          <w:bCs/>
          <w:color w:val="000000"/>
          <w:sz w:val="26"/>
          <w:szCs w:val="26"/>
        </w:rPr>
        <w:t xml:space="preserve">“employee” </w:t>
      </w:r>
      <w:r w:rsidR="009E1678">
        <w:rPr>
          <w:bCs/>
          <w:color w:val="000000"/>
          <w:sz w:val="26"/>
          <w:szCs w:val="26"/>
        </w:rPr>
        <w:t xml:space="preserve">in Section 63.134(2) </w:t>
      </w:r>
      <w:r>
        <w:rPr>
          <w:bCs/>
          <w:color w:val="000000"/>
          <w:sz w:val="26"/>
          <w:szCs w:val="26"/>
        </w:rPr>
        <w:t>consistent with the Preamble.</w:t>
      </w:r>
    </w:p>
    <w:p w14:paraId="4C2596FC" w14:textId="77777777" w:rsidR="009C0A50" w:rsidRDefault="009C0A50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6CCC90DC" w14:textId="51E7685B" w:rsidR="008F121F" w:rsidRDefault="009C0A50" w:rsidP="00692539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 w:rsidRPr="009C0A50">
        <w:rPr>
          <w:bCs/>
          <w:color w:val="000000"/>
          <w:sz w:val="26"/>
          <w:szCs w:val="26"/>
        </w:rPr>
        <w:t xml:space="preserve">The </w:t>
      </w:r>
      <w:r w:rsidR="003C772C">
        <w:rPr>
          <w:bCs/>
          <w:color w:val="000000"/>
          <w:sz w:val="26"/>
          <w:szCs w:val="26"/>
        </w:rPr>
        <w:t>Commission</w:t>
      </w:r>
      <w:r w:rsidR="00A506FC">
        <w:rPr>
          <w:bCs/>
          <w:color w:val="000000"/>
          <w:sz w:val="26"/>
          <w:szCs w:val="26"/>
        </w:rPr>
        <w:t xml:space="preserve"> corrects </w:t>
      </w:r>
      <w:r w:rsidR="003C772C">
        <w:rPr>
          <w:bCs/>
          <w:color w:val="000000"/>
          <w:sz w:val="26"/>
          <w:szCs w:val="26"/>
        </w:rPr>
        <w:t xml:space="preserve">the </w:t>
      </w:r>
      <w:r w:rsidRPr="009C0A50">
        <w:rPr>
          <w:bCs/>
          <w:color w:val="000000"/>
          <w:sz w:val="26"/>
          <w:szCs w:val="26"/>
        </w:rPr>
        <w:t xml:space="preserve">cross-reference to the prior version of </w:t>
      </w:r>
      <w:r>
        <w:rPr>
          <w:bCs/>
          <w:color w:val="000000"/>
          <w:sz w:val="26"/>
          <w:szCs w:val="26"/>
        </w:rPr>
        <w:t xml:space="preserve">Chapter 30 of the </w:t>
      </w:r>
      <w:r w:rsidR="00D45F9C">
        <w:rPr>
          <w:bCs/>
          <w:color w:val="000000"/>
          <w:sz w:val="26"/>
          <w:szCs w:val="26"/>
        </w:rPr>
        <w:t xml:space="preserve">Public Utility </w:t>
      </w:r>
      <w:r>
        <w:rPr>
          <w:bCs/>
          <w:color w:val="000000"/>
          <w:sz w:val="26"/>
          <w:szCs w:val="26"/>
        </w:rPr>
        <w:t>Code</w:t>
      </w:r>
      <w:r w:rsidR="005523AE">
        <w:rPr>
          <w:bCs/>
          <w:color w:val="000000"/>
          <w:sz w:val="26"/>
          <w:szCs w:val="26"/>
        </w:rPr>
        <w:t xml:space="preserve"> in the </w:t>
      </w:r>
      <w:r w:rsidRPr="009C0A50">
        <w:rPr>
          <w:bCs/>
          <w:color w:val="000000"/>
          <w:sz w:val="26"/>
          <w:szCs w:val="26"/>
        </w:rPr>
        <w:t xml:space="preserve">definition for “noncompetitive service” in </w:t>
      </w:r>
      <w:r w:rsidR="00A506FC">
        <w:rPr>
          <w:bCs/>
          <w:color w:val="000000"/>
          <w:sz w:val="26"/>
          <w:szCs w:val="26"/>
        </w:rPr>
        <w:t>S</w:t>
      </w:r>
      <w:r w:rsidRPr="009C0A50">
        <w:rPr>
          <w:bCs/>
          <w:color w:val="000000"/>
          <w:sz w:val="26"/>
          <w:szCs w:val="26"/>
        </w:rPr>
        <w:t>ection 63.142</w:t>
      </w:r>
      <w:r w:rsidR="005523AE">
        <w:rPr>
          <w:bCs/>
          <w:color w:val="000000"/>
          <w:sz w:val="26"/>
          <w:szCs w:val="26"/>
        </w:rPr>
        <w:t>.</w:t>
      </w:r>
    </w:p>
    <w:p w14:paraId="74B774FA" w14:textId="77777777" w:rsidR="00960FA8" w:rsidRDefault="00960FA8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1037416C" w14:textId="5012243A" w:rsidR="00DB559D" w:rsidRPr="006E24FC" w:rsidRDefault="003C772C" w:rsidP="001114B2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</w:t>
      </w:r>
      <w:r w:rsidR="006404EA" w:rsidRPr="006E24FC">
        <w:rPr>
          <w:bCs/>
          <w:color w:val="000000"/>
          <w:sz w:val="26"/>
          <w:szCs w:val="26"/>
        </w:rPr>
        <w:t>amend</w:t>
      </w:r>
      <w:r>
        <w:rPr>
          <w:bCs/>
          <w:color w:val="000000"/>
          <w:sz w:val="26"/>
          <w:szCs w:val="26"/>
        </w:rPr>
        <w:t xml:space="preserve">s </w:t>
      </w:r>
      <w:r w:rsidR="00A506FC">
        <w:rPr>
          <w:bCs/>
          <w:color w:val="000000"/>
          <w:sz w:val="26"/>
          <w:szCs w:val="26"/>
        </w:rPr>
        <w:t>Section 64.2 so that all references to “telephone” have been changed to “telecommunications” in the Annex consistent with the Preamble.</w:t>
      </w:r>
    </w:p>
    <w:p w14:paraId="459C6340" w14:textId="1B9878E0" w:rsidR="00DB559D" w:rsidRDefault="00DB559D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4361EF0F" w14:textId="396E7759" w:rsidR="00DB559D" w:rsidRDefault="00DB559D" w:rsidP="001114B2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</w:t>
      </w:r>
      <w:r w:rsidR="003C772C">
        <w:rPr>
          <w:bCs/>
          <w:color w:val="000000"/>
          <w:sz w:val="26"/>
          <w:szCs w:val="26"/>
        </w:rPr>
        <w:t xml:space="preserve">Commission amends the </w:t>
      </w:r>
      <w:r>
        <w:rPr>
          <w:bCs/>
          <w:color w:val="000000"/>
          <w:sz w:val="26"/>
          <w:szCs w:val="26"/>
        </w:rPr>
        <w:t xml:space="preserve">Annex </w:t>
      </w:r>
      <w:r w:rsidR="003C772C">
        <w:rPr>
          <w:bCs/>
          <w:color w:val="000000"/>
          <w:sz w:val="26"/>
          <w:szCs w:val="26"/>
        </w:rPr>
        <w:t xml:space="preserve">so that it is </w:t>
      </w:r>
      <w:r>
        <w:rPr>
          <w:bCs/>
          <w:color w:val="000000"/>
          <w:sz w:val="26"/>
          <w:szCs w:val="26"/>
        </w:rPr>
        <w:t>consistent with p</w:t>
      </w:r>
      <w:r w:rsidRPr="00DB559D">
        <w:rPr>
          <w:bCs/>
          <w:color w:val="000000"/>
          <w:sz w:val="26"/>
          <w:szCs w:val="26"/>
        </w:rPr>
        <w:t>ages 74</w:t>
      </w:r>
      <w:r w:rsidR="00B27504">
        <w:rPr>
          <w:bCs/>
          <w:color w:val="000000"/>
          <w:sz w:val="26"/>
          <w:szCs w:val="26"/>
        </w:rPr>
        <w:noBreakHyphen/>
      </w:r>
      <w:r w:rsidRPr="00DB559D">
        <w:rPr>
          <w:bCs/>
          <w:color w:val="000000"/>
          <w:sz w:val="26"/>
          <w:szCs w:val="26"/>
        </w:rPr>
        <w:t xml:space="preserve">75 of the Preamble </w:t>
      </w:r>
      <w:r>
        <w:rPr>
          <w:bCs/>
          <w:color w:val="000000"/>
          <w:sz w:val="26"/>
          <w:szCs w:val="26"/>
        </w:rPr>
        <w:t xml:space="preserve">where the </w:t>
      </w:r>
      <w:r w:rsidRPr="00DB559D">
        <w:rPr>
          <w:bCs/>
          <w:color w:val="000000"/>
          <w:sz w:val="26"/>
          <w:szCs w:val="26"/>
        </w:rPr>
        <w:t>Commission</w:t>
      </w:r>
      <w:r>
        <w:rPr>
          <w:bCs/>
          <w:color w:val="000000"/>
          <w:sz w:val="26"/>
          <w:szCs w:val="26"/>
        </w:rPr>
        <w:t xml:space="preserve"> had expressed its </w:t>
      </w:r>
      <w:r w:rsidRPr="00DB559D">
        <w:rPr>
          <w:bCs/>
          <w:color w:val="000000"/>
          <w:sz w:val="26"/>
          <w:szCs w:val="26"/>
        </w:rPr>
        <w:t>intention</w:t>
      </w:r>
      <w:r>
        <w:rPr>
          <w:bCs/>
          <w:color w:val="000000"/>
          <w:sz w:val="26"/>
          <w:szCs w:val="26"/>
        </w:rPr>
        <w:t xml:space="preserve"> </w:t>
      </w:r>
      <w:r w:rsidRPr="00DB559D">
        <w:rPr>
          <w:bCs/>
          <w:color w:val="000000"/>
          <w:sz w:val="26"/>
          <w:szCs w:val="26"/>
        </w:rPr>
        <w:t xml:space="preserve">to amend </w:t>
      </w:r>
      <w:r w:rsidR="00A506FC">
        <w:rPr>
          <w:bCs/>
          <w:color w:val="000000"/>
          <w:sz w:val="26"/>
          <w:szCs w:val="26"/>
        </w:rPr>
        <w:t>S</w:t>
      </w:r>
      <w:r w:rsidRPr="00DB559D">
        <w:rPr>
          <w:bCs/>
          <w:color w:val="000000"/>
          <w:sz w:val="26"/>
          <w:szCs w:val="26"/>
        </w:rPr>
        <w:t>ection 64.11 to include where returned check charges are to be located</w:t>
      </w:r>
      <w:r>
        <w:rPr>
          <w:bCs/>
          <w:color w:val="000000"/>
          <w:sz w:val="26"/>
          <w:szCs w:val="26"/>
        </w:rPr>
        <w:t>.</w:t>
      </w:r>
    </w:p>
    <w:p w14:paraId="329E740A" w14:textId="77777777" w:rsidR="00C46D9E" w:rsidRDefault="00C46D9E" w:rsidP="00692539">
      <w:pPr>
        <w:pStyle w:val="ListParagraph"/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</w:p>
    <w:p w14:paraId="1D5854B4" w14:textId="383DBA35" w:rsidR="00CA26E2" w:rsidRPr="005C4759" w:rsidRDefault="003C772C" w:rsidP="0080375A">
      <w:pPr>
        <w:pStyle w:val="ListParagraph"/>
        <w:numPr>
          <w:ilvl w:val="0"/>
          <w:numId w:val="6"/>
        </w:numPr>
        <w:spacing w:after="240" w:line="360" w:lineRule="auto"/>
        <w:ind w:left="1440" w:hanging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The Commission amends </w:t>
      </w:r>
      <w:r w:rsidR="00C46D9E" w:rsidRPr="005C4759">
        <w:rPr>
          <w:bCs/>
          <w:color w:val="000000"/>
          <w:sz w:val="26"/>
          <w:szCs w:val="26"/>
        </w:rPr>
        <w:t xml:space="preserve">Section 64.153(c) </w:t>
      </w:r>
      <w:r w:rsidR="00854EE9" w:rsidRPr="005C4759">
        <w:rPr>
          <w:bCs/>
          <w:color w:val="000000"/>
          <w:sz w:val="26"/>
          <w:szCs w:val="26"/>
        </w:rPr>
        <w:t>to correct the sentence structure.</w:t>
      </w:r>
    </w:p>
    <w:p w14:paraId="16C7577F" w14:textId="208EE20D" w:rsidR="00FF4293" w:rsidRDefault="003C772C" w:rsidP="0080375A">
      <w:pPr>
        <w:keepNext/>
        <w:keepLines/>
        <w:spacing w:after="240" w:line="360" w:lineRule="auto"/>
        <w:ind w:firstLine="72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In sum, t</w:t>
      </w:r>
      <w:r w:rsidR="00441DB1">
        <w:rPr>
          <w:bCs/>
          <w:color w:val="000000"/>
          <w:sz w:val="26"/>
          <w:szCs w:val="26"/>
        </w:rPr>
        <w:t>h</w:t>
      </w:r>
      <w:r w:rsidR="00C80756">
        <w:rPr>
          <w:bCs/>
          <w:color w:val="000000"/>
          <w:sz w:val="26"/>
          <w:szCs w:val="26"/>
        </w:rPr>
        <w:t xml:space="preserve">e revised </w:t>
      </w:r>
      <w:r w:rsidR="00441DB1">
        <w:rPr>
          <w:bCs/>
          <w:color w:val="000000"/>
          <w:sz w:val="26"/>
          <w:szCs w:val="26"/>
        </w:rPr>
        <w:t xml:space="preserve">version </w:t>
      </w:r>
      <w:r w:rsidR="002976FD">
        <w:rPr>
          <w:bCs/>
          <w:color w:val="000000"/>
          <w:sz w:val="26"/>
          <w:szCs w:val="26"/>
        </w:rPr>
        <w:t xml:space="preserve">of the Annex </w:t>
      </w:r>
      <w:r w:rsidR="00C80756">
        <w:rPr>
          <w:bCs/>
          <w:color w:val="000000"/>
          <w:sz w:val="26"/>
          <w:szCs w:val="26"/>
        </w:rPr>
        <w:t xml:space="preserve">with the above-mentioned corrections </w:t>
      </w:r>
      <w:r w:rsidR="00441DB1">
        <w:rPr>
          <w:bCs/>
          <w:color w:val="000000"/>
          <w:sz w:val="26"/>
          <w:szCs w:val="26"/>
        </w:rPr>
        <w:t xml:space="preserve">replaces the initial Annex </w:t>
      </w:r>
      <w:r w:rsidR="000167C9">
        <w:rPr>
          <w:bCs/>
          <w:color w:val="000000"/>
          <w:sz w:val="26"/>
          <w:szCs w:val="26"/>
        </w:rPr>
        <w:t>served</w:t>
      </w:r>
      <w:r w:rsidR="00441DB1">
        <w:rPr>
          <w:bCs/>
          <w:color w:val="000000"/>
          <w:sz w:val="26"/>
          <w:szCs w:val="26"/>
        </w:rPr>
        <w:t xml:space="preserve"> to the parties</w:t>
      </w:r>
      <w:r w:rsidR="009F38F9">
        <w:rPr>
          <w:bCs/>
          <w:color w:val="000000"/>
          <w:sz w:val="26"/>
          <w:szCs w:val="26"/>
        </w:rPr>
        <w:t xml:space="preserve"> on September 21, 20</w:t>
      </w:r>
      <w:r>
        <w:rPr>
          <w:bCs/>
          <w:color w:val="000000"/>
          <w:sz w:val="26"/>
          <w:szCs w:val="26"/>
        </w:rPr>
        <w:t>2</w:t>
      </w:r>
      <w:r w:rsidR="009F38F9">
        <w:rPr>
          <w:bCs/>
          <w:color w:val="000000"/>
          <w:sz w:val="26"/>
          <w:szCs w:val="26"/>
        </w:rPr>
        <w:t>0</w:t>
      </w:r>
      <w:r w:rsidR="00B41D58">
        <w:rPr>
          <w:bCs/>
          <w:color w:val="000000"/>
          <w:sz w:val="26"/>
          <w:szCs w:val="26"/>
        </w:rPr>
        <w:t xml:space="preserve">.  Lastly, </w:t>
      </w:r>
      <w:r>
        <w:rPr>
          <w:bCs/>
          <w:color w:val="000000"/>
          <w:sz w:val="26"/>
          <w:szCs w:val="26"/>
        </w:rPr>
        <w:t xml:space="preserve">an electronic copy of </w:t>
      </w:r>
      <w:r w:rsidR="00B41D58">
        <w:rPr>
          <w:bCs/>
          <w:color w:val="000000"/>
          <w:sz w:val="26"/>
          <w:szCs w:val="26"/>
        </w:rPr>
        <w:t>t</w:t>
      </w:r>
      <w:r w:rsidR="00B270EC" w:rsidRPr="0046363F">
        <w:rPr>
          <w:sz w:val="26"/>
          <w:szCs w:val="26"/>
        </w:rPr>
        <w:t xml:space="preserve">he </w:t>
      </w:r>
      <w:r w:rsidR="00C80756">
        <w:rPr>
          <w:sz w:val="26"/>
          <w:szCs w:val="26"/>
        </w:rPr>
        <w:t xml:space="preserve">revised </w:t>
      </w:r>
      <w:r w:rsidR="005B7304">
        <w:rPr>
          <w:sz w:val="26"/>
          <w:szCs w:val="26"/>
        </w:rPr>
        <w:t>Annex</w:t>
      </w:r>
      <w:r w:rsidR="00B270EC" w:rsidRPr="0046363F">
        <w:rPr>
          <w:sz w:val="26"/>
          <w:szCs w:val="26"/>
        </w:rPr>
        <w:t xml:space="preserve"> </w:t>
      </w:r>
      <w:r w:rsidR="00C80756">
        <w:rPr>
          <w:sz w:val="26"/>
          <w:szCs w:val="26"/>
        </w:rPr>
        <w:t xml:space="preserve">will be placed at the docket </w:t>
      </w:r>
      <w:r w:rsidR="00B270EC" w:rsidRPr="0046363F">
        <w:rPr>
          <w:sz w:val="26"/>
          <w:szCs w:val="26"/>
        </w:rPr>
        <w:t xml:space="preserve">on the </w:t>
      </w:r>
      <w:r w:rsidR="00B961DF">
        <w:rPr>
          <w:sz w:val="26"/>
          <w:szCs w:val="26"/>
        </w:rPr>
        <w:t>Commission’s</w:t>
      </w:r>
      <w:r w:rsidR="00B270EC" w:rsidRPr="0046363F">
        <w:rPr>
          <w:sz w:val="26"/>
          <w:szCs w:val="26"/>
        </w:rPr>
        <w:t xml:space="preserve"> website. </w:t>
      </w:r>
    </w:p>
    <w:p w14:paraId="5D561D31" w14:textId="2482CE36" w:rsidR="00912530" w:rsidRDefault="00C701C2" w:rsidP="0080375A">
      <w:pPr>
        <w:keepNext/>
        <w:keepLines/>
        <w:spacing w:after="240"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B26D4" wp14:editId="3707F080">
            <wp:simplePos x="0" y="0"/>
            <wp:positionH relativeFrom="column">
              <wp:posOffset>3733800</wp:posOffset>
            </wp:positionH>
            <wp:positionV relativeFrom="paragraph">
              <wp:posOffset>133985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530">
        <w:rPr>
          <w:sz w:val="26"/>
          <w:szCs w:val="26"/>
        </w:rPr>
        <w:t>By the Commission,</w:t>
      </w:r>
    </w:p>
    <w:p w14:paraId="1D44502B" w14:textId="77777777" w:rsidR="003C772C" w:rsidRDefault="003C772C" w:rsidP="0080375A">
      <w:pPr>
        <w:keepNext/>
        <w:keepLines/>
        <w:spacing w:after="240" w:line="360" w:lineRule="auto"/>
        <w:ind w:firstLine="5760"/>
        <w:rPr>
          <w:sz w:val="26"/>
          <w:szCs w:val="26"/>
        </w:rPr>
      </w:pPr>
    </w:p>
    <w:p w14:paraId="6FF4F8C7" w14:textId="31164BEE" w:rsidR="00912530" w:rsidRDefault="00912530" w:rsidP="0080375A">
      <w:pPr>
        <w:keepNext/>
        <w:keepLines/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3F6BA93A" w14:textId="5E98FAC0" w:rsidR="00912530" w:rsidRDefault="00912530" w:rsidP="0080375A">
      <w:pPr>
        <w:keepNext/>
        <w:keepLines/>
        <w:ind w:firstLine="5760"/>
        <w:rPr>
          <w:sz w:val="26"/>
          <w:szCs w:val="26"/>
        </w:rPr>
      </w:pPr>
      <w:r>
        <w:rPr>
          <w:sz w:val="26"/>
          <w:szCs w:val="26"/>
        </w:rPr>
        <w:t>Secretary</w:t>
      </w:r>
    </w:p>
    <w:sectPr w:rsidR="00912530" w:rsidSect="007521DB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4AE9" w14:textId="77777777" w:rsidR="00277902" w:rsidRDefault="00277902">
      <w:r>
        <w:separator/>
      </w:r>
    </w:p>
  </w:endnote>
  <w:endnote w:type="continuationSeparator" w:id="0">
    <w:p w14:paraId="7F302EE9" w14:textId="77777777" w:rsidR="00277902" w:rsidRDefault="00277902">
      <w:r>
        <w:continuationSeparator/>
      </w:r>
    </w:p>
  </w:endnote>
  <w:endnote w:type="continuationNotice" w:id="1">
    <w:p w14:paraId="5AFE60DA" w14:textId="77777777" w:rsidR="00277902" w:rsidRDefault="00277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711E" w14:textId="77777777" w:rsidR="00B270EC" w:rsidRDefault="00B27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BEC8B20" w14:textId="77777777" w:rsidR="00BC7425" w:rsidRDefault="00BC7425" w:rsidP="00B270E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5EC9" w14:textId="3562081C" w:rsidR="00B270EC" w:rsidRDefault="00B270EC">
    <w:pPr>
      <w:pStyle w:val="Footer"/>
      <w:jc w:val="center"/>
    </w:pPr>
  </w:p>
  <w:p w14:paraId="45D1156B" w14:textId="77777777" w:rsidR="00B270EC" w:rsidRDefault="00B2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B77A" w14:textId="77777777" w:rsidR="00277902" w:rsidRDefault="00277902">
      <w:r>
        <w:separator/>
      </w:r>
    </w:p>
  </w:footnote>
  <w:footnote w:type="continuationSeparator" w:id="0">
    <w:p w14:paraId="19A424D1" w14:textId="77777777" w:rsidR="00277902" w:rsidRDefault="00277902">
      <w:r>
        <w:continuationSeparator/>
      </w:r>
    </w:p>
  </w:footnote>
  <w:footnote w:type="continuationNotice" w:id="1">
    <w:p w14:paraId="2EDF1B01" w14:textId="77777777" w:rsidR="00277902" w:rsidRDefault="00277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AE9" w14:textId="77777777" w:rsidR="00B41FA9" w:rsidRDefault="00B4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4E0F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AF1FB0"/>
    <w:multiLevelType w:val="hybridMultilevel"/>
    <w:tmpl w:val="C9AE8F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4693C"/>
    <w:multiLevelType w:val="hybridMultilevel"/>
    <w:tmpl w:val="BB624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455B7"/>
    <w:multiLevelType w:val="hybridMultilevel"/>
    <w:tmpl w:val="2F285E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682864"/>
    <w:multiLevelType w:val="hybridMultilevel"/>
    <w:tmpl w:val="5F76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017DE"/>
    <w:multiLevelType w:val="hybridMultilevel"/>
    <w:tmpl w:val="0424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965"/>
    <w:multiLevelType w:val="hybridMultilevel"/>
    <w:tmpl w:val="33A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6BC9"/>
    <w:multiLevelType w:val="hybridMultilevel"/>
    <w:tmpl w:val="8314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887"/>
    <w:multiLevelType w:val="hybridMultilevel"/>
    <w:tmpl w:val="3BF0F0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C67518"/>
    <w:multiLevelType w:val="hybridMultilevel"/>
    <w:tmpl w:val="C5BC36CE"/>
    <w:lvl w:ilvl="0" w:tplc="E286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D4"/>
    <w:rsid w:val="00000FB6"/>
    <w:rsid w:val="0000186B"/>
    <w:rsid w:val="000034E6"/>
    <w:rsid w:val="00004A88"/>
    <w:rsid w:val="00010499"/>
    <w:rsid w:val="000167C9"/>
    <w:rsid w:val="0002588F"/>
    <w:rsid w:val="000349B4"/>
    <w:rsid w:val="00056831"/>
    <w:rsid w:val="00061E62"/>
    <w:rsid w:val="00064500"/>
    <w:rsid w:val="00066B79"/>
    <w:rsid w:val="000675A4"/>
    <w:rsid w:val="00075AC0"/>
    <w:rsid w:val="000811B9"/>
    <w:rsid w:val="00092C0A"/>
    <w:rsid w:val="000A16CF"/>
    <w:rsid w:val="000A6AC7"/>
    <w:rsid w:val="000A704C"/>
    <w:rsid w:val="000B1F45"/>
    <w:rsid w:val="000B32CD"/>
    <w:rsid w:val="000C5FEB"/>
    <w:rsid w:val="000D40F4"/>
    <w:rsid w:val="000D5EAA"/>
    <w:rsid w:val="000E0DDA"/>
    <w:rsid w:val="000E1C34"/>
    <w:rsid w:val="000E3ECD"/>
    <w:rsid w:val="000F1595"/>
    <w:rsid w:val="000F3C92"/>
    <w:rsid w:val="001062AC"/>
    <w:rsid w:val="00107AB8"/>
    <w:rsid w:val="00107E06"/>
    <w:rsid w:val="001114B2"/>
    <w:rsid w:val="001119EF"/>
    <w:rsid w:val="00135D6F"/>
    <w:rsid w:val="00142828"/>
    <w:rsid w:val="0015549B"/>
    <w:rsid w:val="00162C33"/>
    <w:rsid w:val="001710B2"/>
    <w:rsid w:val="00172906"/>
    <w:rsid w:val="001755E3"/>
    <w:rsid w:val="00180607"/>
    <w:rsid w:val="00181403"/>
    <w:rsid w:val="001820F0"/>
    <w:rsid w:val="001825E0"/>
    <w:rsid w:val="0018293A"/>
    <w:rsid w:val="001B1284"/>
    <w:rsid w:val="001B39F1"/>
    <w:rsid w:val="001B6DC1"/>
    <w:rsid w:val="001B71DD"/>
    <w:rsid w:val="001B7588"/>
    <w:rsid w:val="001D4C7C"/>
    <w:rsid w:val="001E3846"/>
    <w:rsid w:val="0020429B"/>
    <w:rsid w:val="00213B72"/>
    <w:rsid w:val="00214C36"/>
    <w:rsid w:val="00216441"/>
    <w:rsid w:val="00217EF7"/>
    <w:rsid w:val="00223465"/>
    <w:rsid w:val="0022503C"/>
    <w:rsid w:val="00236008"/>
    <w:rsid w:val="00250087"/>
    <w:rsid w:val="00250997"/>
    <w:rsid w:val="00250A93"/>
    <w:rsid w:val="00251C6E"/>
    <w:rsid w:val="002539D7"/>
    <w:rsid w:val="002541C4"/>
    <w:rsid w:val="00277902"/>
    <w:rsid w:val="00281C12"/>
    <w:rsid w:val="00290A3D"/>
    <w:rsid w:val="00290B34"/>
    <w:rsid w:val="00295968"/>
    <w:rsid w:val="002976FD"/>
    <w:rsid w:val="002A23AC"/>
    <w:rsid w:val="002B18E0"/>
    <w:rsid w:val="002B49E8"/>
    <w:rsid w:val="002C1445"/>
    <w:rsid w:val="002C30F7"/>
    <w:rsid w:val="002C7630"/>
    <w:rsid w:val="002D2A44"/>
    <w:rsid w:val="002D3DBF"/>
    <w:rsid w:val="002D5786"/>
    <w:rsid w:val="002E04CA"/>
    <w:rsid w:val="002E2B14"/>
    <w:rsid w:val="002F31C6"/>
    <w:rsid w:val="002F7691"/>
    <w:rsid w:val="0030403C"/>
    <w:rsid w:val="00304809"/>
    <w:rsid w:val="003112D8"/>
    <w:rsid w:val="00313847"/>
    <w:rsid w:val="0031402B"/>
    <w:rsid w:val="00342319"/>
    <w:rsid w:val="0034451F"/>
    <w:rsid w:val="00344C9A"/>
    <w:rsid w:val="0035040B"/>
    <w:rsid w:val="00350758"/>
    <w:rsid w:val="00353A13"/>
    <w:rsid w:val="00354F71"/>
    <w:rsid w:val="00367863"/>
    <w:rsid w:val="0037060E"/>
    <w:rsid w:val="0037136C"/>
    <w:rsid w:val="00372FA0"/>
    <w:rsid w:val="0037498A"/>
    <w:rsid w:val="0037524A"/>
    <w:rsid w:val="00384BF5"/>
    <w:rsid w:val="003865F7"/>
    <w:rsid w:val="00390628"/>
    <w:rsid w:val="00394416"/>
    <w:rsid w:val="003A1E3D"/>
    <w:rsid w:val="003A3EFA"/>
    <w:rsid w:val="003A5C9C"/>
    <w:rsid w:val="003B6B5A"/>
    <w:rsid w:val="003C635E"/>
    <w:rsid w:val="003C6F88"/>
    <w:rsid w:val="003C772C"/>
    <w:rsid w:val="003D0813"/>
    <w:rsid w:val="003D1039"/>
    <w:rsid w:val="003D1F0A"/>
    <w:rsid w:val="003D3563"/>
    <w:rsid w:val="003D4475"/>
    <w:rsid w:val="003D5A1D"/>
    <w:rsid w:val="003D6B68"/>
    <w:rsid w:val="003F4298"/>
    <w:rsid w:val="003F4F7B"/>
    <w:rsid w:val="004015D2"/>
    <w:rsid w:val="00410386"/>
    <w:rsid w:val="00413C11"/>
    <w:rsid w:val="00423408"/>
    <w:rsid w:val="004261CD"/>
    <w:rsid w:val="00432646"/>
    <w:rsid w:val="00441D2C"/>
    <w:rsid w:val="00441DB1"/>
    <w:rsid w:val="00444111"/>
    <w:rsid w:val="00451D54"/>
    <w:rsid w:val="00467C65"/>
    <w:rsid w:val="00473564"/>
    <w:rsid w:val="004768B5"/>
    <w:rsid w:val="0049209C"/>
    <w:rsid w:val="004B3B53"/>
    <w:rsid w:val="004B3CAA"/>
    <w:rsid w:val="004B63AA"/>
    <w:rsid w:val="004B697C"/>
    <w:rsid w:val="004E58A5"/>
    <w:rsid w:val="004E677C"/>
    <w:rsid w:val="004F370A"/>
    <w:rsid w:val="00517519"/>
    <w:rsid w:val="00520427"/>
    <w:rsid w:val="00523A8C"/>
    <w:rsid w:val="00524B6D"/>
    <w:rsid w:val="005261EC"/>
    <w:rsid w:val="0052639C"/>
    <w:rsid w:val="00527FD6"/>
    <w:rsid w:val="005332E9"/>
    <w:rsid w:val="00533F47"/>
    <w:rsid w:val="005430BC"/>
    <w:rsid w:val="005473C4"/>
    <w:rsid w:val="005523AE"/>
    <w:rsid w:val="005529E9"/>
    <w:rsid w:val="00565704"/>
    <w:rsid w:val="0056719B"/>
    <w:rsid w:val="00567852"/>
    <w:rsid w:val="00571027"/>
    <w:rsid w:val="00572CCC"/>
    <w:rsid w:val="00575969"/>
    <w:rsid w:val="00581C93"/>
    <w:rsid w:val="00593DBD"/>
    <w:rsid w:val="00597B98"/>
    <w:rsid w:val="005A1CCE"/>
    <w:rsid w:val="005A6FCE"/>
    <w:rsid w:val="005A7356"/>
    <w:rsid w:val="005B0340"/>
    <w:rsid w:val="005B5A85"/>
    <w:rsid w:val="005B7304"/>
    <w:rsid w:val="005C4759"/>
    <w:rsid w:val="005C63D2"/>
    <w:rsid w:val="005C73EE"/>
    <w:rsid w:val="005D03E0"/>
    <w:rsid w:val="005F1C61"/>
    <w:rsid w:val="005F3116"/>
    <w:rsid w:val="005F3889"/>
    <w:rsid w:val="0060061F"/>
    <w:rsid w:val="00600A17"/>
    <w:rsid w:val="006027A7"/>
    <w:rsid w:val="006048E2"/>
    <w:rsid w:val="00605CB5"/>
    <w:rsid w:val="00613CD5"/>
    <w:rsid w:val="00620F75"/>
    <w:rsid w:val="00621EEE"/>
    <w:rsid w:val="00622AFA"/>
    <w:rsid w:val="006378FB"/>
    <w:rsid w:val="006404EA"/>
    <w:rsid w:val="00650FF8"/>
    <w:rsid w:val="006575C5"/>
    <w:rsid w:val="00663663"/>
    <w:rsid w:val="00664271"/>
    <w:rsid w:val="00692539"/>
    <w:rsid w:val="00696AFA"/>
    <w:rsid w:val="00697266"/>
    <w:rsid w:val="00697955"/>
    <w:rsid w:val="006A01F9"/>
    <w:rsid w:val="006A2375"/>
    <w:rsid w:val="006B05BE"/>
    <w:rsid w:val="006B1962"/>
    <w:rsid w:val="006B2984"/>
    <w:rsid w:val="006B77BE"/>
    <w:rsid w:val="006C7372"/>
    <w:rsid w:val="006D0787"/>
    <w:rsid w:val="006D0C12"/>
    <w:rsid w:val="006E0C5C"/>
    <w:rsid w:val="006E24FC"/>
    <w:rsid w:val="006E36D3"/>
    <w:rsid w:val="006E3CCF"/>
    <w:rsid w:val="006E5086"/>
    <w:rsid w:val="006E5824"/>
    <w:rsid w:val="006E76AF"/>
    <w:rsid w:val="006F71C8"/>
    <w:rsid w:val="007216A5"/>
    <w:rsid w:val="00724299"/>
    <w:rsid w:val="00725991"/>
    <w:rsid w:val="00735F15"/>
    <w:rsid w:val="00741BBB"/>
    <w:rsid w:val="00745A3C"/>
    <w:rsid w:val="00746157"/>
    <w:rsid w:val="00747283"/>
    <w:rsid w:val="007521DB"/>
    <w:rsid w:val="0075379B"/>
    <w:rsid w:val="007538B0"/>
    <w:rsid w:val="00753ECA"/>
    <w:rsid w:val="007632B0"/>
    <w:rsid w:val="00765936"/>
    <w:rsid w:val="007724ED"/>
    <w:rsid w:val="00776F80"/>
    <w:rsid w:val="0079416E"/>
    <w:rsid w:val="00796CA6"/>
    <w:rsid w:val="007A03E5"/>
    <w:rsid w:val="007B2569"/>
    <w:rsid w:val="007B744C"/>
    <w:rsid w:val="007C2E89"/>
    <w:rsid w:val="007C7211"/>
    <w:rsid w:val="007D1AB4"/>
    <w:rsid w:val="007D368E"/>
    <w:rsid w:val="007E2837"/>
    <w:rsid w:val="007E6598"/>
    <w:rsid w:val="007F20F0"/>
    <w:rsid w:val="007F37C1"/>
    <w:rsid w:val="00801AAC"/>
    <w:rsid w:val="0080375A"/>
    <w:rsid w:val="00806E34"/>
    <w:rsid w:val="00811641"/>
    <w:rsid w:val="00814CD4"/>
    <w:rsid w:val="00816287"/>
    <w:rsid w:val="00816859"/>
    <w:rsid w:val="00835BE7"/>
    <w:rsid w:val="008401B1"/>
    <w:rsid w:val="00843210"/>
    <w:rsid w:val="00854EE9"/>
    <w:rsid w:val="00855CB3"/>
    <w:rsid w:val="00874660"/>
    <w:rsid w:val="00874A12"/>
    <w:rsid w:val="008844AF"/>
    <w:rsid w:val="008941B4"/>
    <w:rsid w:val="008952F0"/>
    <w:rsid w:val="00897B59"/>
    <w:rsid w:val="008A4C40"/>
    <w:rsid w:val="008A623F"/>
    <w:rsid w:val="008B5653"/>
    <w:rsid w:val="008B6642"/>
    <w:rsid w:val="008C3AE3"/>
    <w:rsid w:val="008C7ABF"/>
    <w:rsid w:val="008D4709"/>
    <w:rsid w:val="008D77E8"/>
    <w:rsid w:val="008D7DA4"/>
    <w:rsid w:val="008F121F"/>
    <w:rsid w:val="008F60FA"/>
    <w:rsid w:val="008F63F0"/>
    <w:rsid w:val="00912530"/>
    <w:rsid w:val="009142B1"/>
    <w:rsid w:val="009205C7"/>
    <w:rsid w:val="00923373"/>
    <w:rsid w:val="0092473B"/>
    <w:rsid w:val="009248F5"/>
    <w:rsid w:val="00927C5E"/>
    <w:rsid w:val="009317F0"/>
    <w:rsid w:val="00937F8D"/>
    <w:rsid w:val="00941451"/>
    <w:rsid w:val="00960FA8"/>
    <w:rsid w:val="009639BB"/>
    <w:rsid w:val="009647E4"/>
    <w:rsid w:val="0097035A"/>
    <w:rsid w:val="009707C9"/>
    <w:rsid w:val="00971D8B"/>
    <w:rsid w:val="00976012"/>
    <w:rsid w:val="00981EE0"/>
    <w:rsid w:val="00982B7A"/>
    <w:rsid w:val="00983AB9"/>
    <w:rsid w:val="00985472"/>
    <w:rsid w:val="00991CFF"/>
    <w:rsid w:val="00992277"/>
    <w:rsid w:val="00992779"/>
    <w:rsid w:val="009965E5"/>
    <w:rsid w:val="00997168"/>
    <w:rsid w:val="009A0888"/>
    <w:rsid w:val="009A6ABC"/>
    <w:rsid w:val="009B7774"/>
    <w:rsid w:val="009C0A50"/>
    <w:rsid w:val="009D2260"/>
    <w:rsid w:val="009D5EE0"/>
    <w:rsid w:val="009D5F04"/>
    <w:rsid w:val="009E1678"/>
    <w:rsid w:val="009E7488"/>
    <w:rsid w:val="009F1AD1"/>
    <w:rsid w:val="009F38F9"/>
    <w:rsid w:val="009F6730"/>
    <w:rsid w:val="00A03390"/>
    <w:rsid w:val="00A12981"/>
    <w:rsid w:val="00A13935"/>
    <w:rsid w:val="00A15B29"/>
    <w:rsid w:val="00A172FF"/>
    <w:rsid w:val="00A20983"/>
    <w:rsid w:val="00A20BE8"/>
    <w:rsid w:val="00A24B63"/>
    <w:rsid w:val="00A318EC"/>
    <w:rsid w:val="00A35CAE"/>
    <w:rsid w:val="00A43AC4"/>
    <w:rsid w:val="00A506FC"/>
    <w:rsid w:val="00A508B3"/>
    <w:rsid w:val="00A546D6"/>
    <w:rsid w:val="00A559FA"/>
    <w:rsid w:val="00A60DB1"/>
    <w:rsid w:val="00A632FD"/>
    <w:rsid w:val="00A81942"/>
    <w:rsid w:val="00A82B74"/>
    <w:rsid w:val="00A82FC9"/>
    <w:rsid w:val="00A9040A"/>
    <w:rsid w:val="00A9456B"/>
    <w:rsid w:val="00AA3B5A"/>
    <w:rsid w:val="00AA76E4"/>
    <w:rsid w:val="00AB2CF1"/>
    <w:rsid w:val="00AB738E"/>
    <w:rsid w:val="00AC2BD9"/>
    <w:rsid w:val="00AC5555"/>
    <w:rsid w:val="00AC6AAA"/>
    <w:rsid w:val="00AD5F40"/>
    <w:rsid w:val="00AE3E24"/>
    <w:rsid w:val="00B10F16"/>
    <w:rsid w:val="00B11079"/>
    <w:rsid w:val="00B11CC6"/>
    <w:rsid w:val="00B125ED"/>
    <w:rsid w:val="00B14B8F"/>
    <w:rsid w:val="00B17349"/>
    <w:rsid w:val="00B249A7"/>
    <w:rsid w:val="00B270EC"/>
    <w:rsid w:val="00B27504"/>
    <w:rsid w:val="00B320AB"/>
    <w:rsid w:val="00B3246D"/>
    <w:rsid w:val="00B360C9"/>
    <w:rsid w:val="00B363B0"/>
    <w:rsid w:val="00B41D58"/>
    <w:rsid w:val="00B41FA9"/>
    <w:rsid w:val="00B450C2"/>
    <w:rsid w:val="00B56ED9"/>
    <w:rsid w:val="00B57B62"/>
    <w:rsid w:val="00B61B17"/>
    <w:rsid w:val="00B73518"/>
    <w:rsid w:val="00B7440E"/>
    <w:rsid w:val="00B8107A"/>
    <w:rsid w:val="00B81381"/>
    <w:rsid w:val="00B815F0"/>
    <w:rsid w:val="00B823EA"/>
    <w:rsid w:val="00B90ECB"/>
    <w:rsid w:val="00B932D8"/>
    <w:rsid w:val="00B93ABC"/>
    <w:rsid w:val="00B961DF"/>
    <w:rsid w:val="00B9643A"/>
    <w:rsid w:val="00BA2B5E"/>
    <w:rsid w:val="00BA2EF4"/>
    <w:rsid w:val="00BA5743"/>
    <w:rsid w:val="00BB02BC"/>
    <w:rsid w:val="00BB570B"/>
    <w:rsid w:val="00BC379B"/>
    <w:rsid w:val="00BC513D"/>
    <w:rsid w:val="00BC7425"/>
    <w:rsid w:val="00BD407E"/>
    <w:rsid w:val="00BD7364"/>
    <w:rsid w:val="00BD7C30"/>
    <w:rsid w:val="00BE2339"/>
    <w:rsid w:val="00BE499A"/>
    <w:rsid w:val="00BE4E43"/>
    <w:rsid w:val="00BE6488"/>
    <w:rsid w:val="00BF34B9"/>
    <w:rsid w:val="00BF5D74"/>
    <w:rsid w:val="00BF6341"/>
    <w:rsid w:val="00BF779B"/>
    <w:rsid w:val="00C00004"/>
    <w:rsid w:val="00C01D96"/>
    <w:rsid w:val="00C0451E"/>
    <w:rsid w:val="00C14B6E"/>
    <w:rsid w:val="00C16F68"/>
    <w:rsid w:val="00C20AEC"/>
    <w:rsid w:val="00C22F90"/>
    <w:rsid w:val="00C23CA3"/>
    <w:rsid w:val="00C27FF8"/>
    <w:rsid w:val="00C34BBA"/>
    <w:rsid w:val="00C36E88"/>
    <w:rsid w:val="00C40A8F"/>
    <w:rsid w:val="00C410FE"/>
    <w:rsid w:val="00C46D9E"/>
    <w:rsid w:val="00C47A9D"/>
    <w:rsid w:val="00C5353F"/>
    <w:rsid w:val="00C5426C"/>
    <w:rsid w:val="00C56259"/>
    <w:rsid w:val="00C57FFD"/>
    <w:rsid w:val="00C62E1D"/>
    <w:rsid w:val="00C659D1"/>
    <w:rsid w:val="00C66A97"/>
    <w:rsid w:val="00C701C2"/>
    <w:rsid w:val="00C72085"/>
    <w:rsid w:val="00C76E0F"/>
    <w:rsid w:val="00C77D9C"/>
    <w:rsid w:val="00C80756"/>
    <w:rsid w:val="00C80D2F"/>
    <w:rsid w:val="00C8152C"/>
    <w:rsid w:val="00C9115B"/>
    <w:rsid w:val="00CA26E2"/>
    <w:rsid w:val="00CB53B4"/>
    <w:rsid w:val="00CC052F"/>
    <w:rsid w:val="00CC739D"/>
    <w:rsid w:val="00CD0EF3"/>
    <w:rsid w:val="00CD6C97"/>
    <w:rsid w:val="00CE6C0E"/>
    <w:rsid w:val="00D0234E"/>
    <w:rsid w:val="00D058C1"/>
    <w:rsid w:val="00D05E05"/>
    <w:rsid w:val="00D13301"/>
    <w:rsid w:val="00D16414"/>
    <w:rsid w:val="00D21813"/>
    <w:rsid w:val="00D218BC"/>
    <w:rsid w:val="00D21FD0"/>
    <w:rsid w:val="00D31CC1"/>
    <w:rsid w:val="00D33616"/>
    <w:rsid w:val="00D40B29"/>
    <w:rsid w:val="00D42BBB"/>
    <w:rsid w:val="00D45F9C"/>
    <w:rsid w:val="00D53CF7"/>
    <w:rsid w:val="00D61F9F"/>
    <w:rsid w:val="00D641A0"/>
    <w:rsid w:val="00D65FBE"/>
    <w:rsid w:val="00D73579"/>
    <w:rsid w:val="00D77637"/>
    <w:rsid w:val="00D83182"/>
    <w:rsid w:val="00D850D4"/>
    <w:rsid w:val="00D97DE6"/>
    <w:rsid w:val="00DA088B"/>
    <w:rsid w:val="00DA4F7F"/>
    <w:rsid w:val="00DA5B65"/>
    <w:rsid w:val="00DA6AB2"/>
    <w:rsid w:val="00DB3E44"/>
    <w:rsid w:val="00DB559D"/>
    <w:rsid w:val="00DB623A"/>
    <w:rsid w:val="00DC43B5"/>
    <w:rsid w:val="00DC7F2D"/>
    <w:rsid w:val="00DD12C7"/>
    <w:rsid w:val="00DE0105"/>
    <w:rsid w:val="00DE1B9D"/>
    <w:rsid w:val="00DE520F"/>
    <w:rsid w:val="00DE5B87"/>
    <w:rsid w:val="00DF0470"/>
    <w:rsid w:val="00E06CD0"/>
    <w:rsid w:val="00E13EA4"/>
    <w:rsid w:val="00E15458"/>
    <w:rsid w:val="00E155B6"/>
    <w:rsid w:val="00E1742B"/>
    <w:rsid w:val="00E20E18"/>
    <w:rsid w:val="00E31460"/>
    <w:rsid w:val="00E348A3"/>
    <w:rsid w:val="00E357B2"/>
    <w:rsid w:val="00E35B85"/>
    <w:rsid w:val="00E35C7A"/>
    <w:rsid w:val="00E36544"/>
    <w:rsid w:val="00E441EC"/>
    <w:rsid w:val="00E443C2"/>
    <w:rsid w:val="00E52E18"/>
    <w:rsid w:val="00E52E25"/>
    <w:rsid w:val="00E61949"/>
    <w:rsid w:val="00E66963"/>
    <w:rsid w:val="00E70287"/>
    <w:rsid w:val="00E72D6C"/>
    <w:rsid w:val="00E756BA"/>
    <w:rsid w:val="00E8273A"/>
    <w:rsid w:val="00E92C03"/>
    <w:rsid w:val="00E96680"/>
    <w:rsid w:val="00EA11CB"/>
    <w:rsid w:val="00EA2705"/>
    <w:rsid w:val="00EA5B39"/>
    <w:rsid w:val="00EA78E6"/>
    <w:rsid w:val="00EB2B60"/>
    <w:rsid w:val="00EB7BC6"/>
    <w:rsid w:val="00ED14B6"/>
    <w:rsid w:val="00ED5BB0"/>
    <w:rsid w:val="00ED7D4C"/>
    <w:rsid w:val="00EE4E5C"/>
    <w:rsid w:val="00EE53AD"/>
    <w:rsid w:val="00F00ABF"/>
    <w:rsid w:val="00F06492"/>
    <w:rsid w:val="00F15A31"/>
    <w:rsid w:val="00F2150A"/>
    <w:rsid w:val="00F26B74"/>
    <w:rsid w:val="00F27679"/>
    <w:rsid w:val="00F34961"/>
    <w:rsid w:val="00F357AE"/>
    <w:rsid w:val="00F36FDF"/>
    <w:rsid w:val="00F37E4E"/>
    <w:rsid w:val="00F41E58"/>
    <w:rsid w:val="00F443A7"/>
    <w:rsid w:val="00F54201"/>
    <w:rsid w:val="00F55B91"/>
    <w:rsid w:val="00F61594"/>
    <w:rsid w:val="00F649E4"/>
    <w:rsid w:val="00F70113"/>
    <w:rsid w:val="00F745BE"/>
    <w:rsid w:val="00F7474A"/>
    <w:rsid w:val="00F80114"/>
    <w:rsid w:val="00F80429"/>
    <w:rsid w:val="00F90DC1"/>
    <w:rsid w:val="00F91611"/>
    <w:rsid w:val="00F91B00"/>
    <w:rsid w:val="00FA29A2"/>
    <w:rsid w:val="00FA40BB"/>
    <w:rsid w:val="00FA5311"/>
    <w:rsid w:val="00FA58EC"/>
    <w:rsid w:val="00FA5B9C"/>
    <w:rsid w:val="00FA788D"/>
    <w:rsid w:val="00FB0BB6"/>
    <w:rsid w:val="00FB441B"/>
    <w:rsid w:val="00FC4B69"/>
    <w:rsid w:val="00FD564D"/>
    <w:rsid w:val="00FE780F"/>
    <w:rsid w:val="00FF429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F0F50"/>
  <w15:chartTrackingRefBased/>
  <w15:docId w15:val="{32E54C00-3D61-46CE-A38C-CFA69A5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C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92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C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9248F5"/>
    <w:rPr>
      <w:sz w:val="20"/>
    </w:rPr>
  </w:style>
  <w:style w:type="character" w:styleId="FootnoteReference">
    <w:name w:val="footnote reference"/>
    <w:semiHidden/>
    <w:rsid w:val="009248F5"/>
    <w:rPr>
      <w:vertAlign w:val="superscript"/>
    </w:rPr>
  </w:style>
  <w:style w:type="paragraph" w:customStyle="1" w:styleId="c1">
    <w:name w:val="c1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3">
    <w:name w:val="p3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DF0470"/>
    <w:pPr>
      <w:widowControl w:val="0"/>
      <w:overflowPunct/>
      <w:ind w:firstLine="742"/>
      <w:textAlignment w:val="auto"/>
    </w:pPr>
    <w:rPr>
      <w:szCs w:val="24"/>
    </w:rPr>
  </w:style>
  <w:style w:type="paragraph" w:customStyle="1" w:styleId="p8">
    <w:name w:val="p8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c9">
    <w:name w:val="c9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c10">
    <w:name w:val="c10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13">
    <w:name w:val="p13"/>
    <w:basedOn w:val="Normal"/>
    <w:rsid w:val="00DF0470"/>
    <w:pPr>
      <w:widowControl w:val="0"/>
      <w:tabs>
        <w:tab w:val="left" w:pos="742"/>
        <w:tab w:val="left" w:pos="1451"/>
      </w:tabs>
      <w:overflowPunct/>
      <w:ind w:left="742" w:firstLine="709"/>
      <w:textAlignment w:val="auto"/>
    </w:pPr>
    <w:rPr>
      <w:szCs w:val="24"/>
    </w:rPr>
  </w:style>
  <w:style w:type="paragraph" w:customStyle="1" w:styleId="p14">
    <w:name w:val="p14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5">
    <w:name w:val="p15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DF0470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DF0470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styleId="BalloonText">
    <w:name w:val="Balloon Text"/>
    <w:basedOn w:val="Normal"/>
    <w:semiHidden/>
    <w:rsid w:val="00214C36"/>
    <w:rPr>
      <w:rFonts w:ascii="Tahoma" w:hAnsi="Tahoma" w:cs="Tahoma"/>
      <w:sz w:val="16"/>
      <w:szCs w:val="16"/>
    </w:rPr>
  </w:style>
  <w:style w:type="paragraph" w:customStyle="1" w:styleId="StyleCentered">
    <w:name w:val="Style Centered"/>
    <w:basedOn w:val="Normal"/>
    <w:rsid w:val="00092C0A"/>
    <w:pPr>
      <w:jc w:val="center"/>
    </w:pPr>
  </w:style>
  <w:style w:type="paragraph" w:styleId="NormalWeb">
    <w:name w:val="Normal (Web)"/>
    <w:basedOn w:val="Normal"/>
    <w:uiPriority w:val="99"/>
    <w:unhideWhenUsed/>
    <w:rsid w:val="0002588F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rsid w:val="00874A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4A12"/>
    <w:rPr>
      <w:color w:val="605E5C"/>
      <w:shd w:val="clear" w:color="auto" w:fill="E1DFDD"/>
    </w:rPr>
  </w:style>
  <w:style w:type="character" w:styleId="CommentReference">
    <w:name w:val="annotation reference"/>
    <w:rsid w:val="00565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7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5704"/>
  </w:style>
  <w:style w:type="paragraph" w:styleId="CommentSubject">
    <w:name w:val="annotation subject"/>
    <w:basedOn w:val="CommentText"/>
    <w:next w:val="CommentText"/>
    <w:link w:val="CommentSubjectChar"/>
    <w:rsid w:val="00565704"/>
    <w:rPr>
      <w:b/>
      <w:bCs/>
    </w:rPr>
  </w:style>
  <w:style w:type="character" w:customStyle="1" w:styleId="CommentSubjectChar">
    <w:name w:val="Comment Subject Char"/>
    <w:link w:val="CommentSubject"/>
    <w:rsid w:val="00565704"/>
    <w:rPr>
      <w:b/>
      <w:bCs/>
    </w:rPr>
  </w:style>
  <w:style w:type="character" w:customStyle="1" w:styleId="FooterChar">
    <w:name w:val="Footer Char"/>
    <w:link w:val="Footer"/>
    <w:uiPriority w:val="99"/>
    <w:rsid w:val="00B270EC"/>
    <w:rPr>
      <w:sz w:val="24"/>
    </w:rPr>
  </w:style>
  <w:style w:type="paragraph" w:styleId="ListParagraph">
    <w:name w:val="List Paragraph"/>
    <w:basedOn w:val="Normal"/>
    <w:uiPriority w:val="34"/>
    <w:qFormat/>
    <w:rsid w:val="00FF4293"/>
    <w:pPr>
      <w:ind w:left="720"/>
      <w:contextualSpacing/>
    </w:pPr>
  </w:style>
  <w:style w:type="paragraph" w:styleId="NoSpacing">
    <w:name w:val="No Spacing"/>
    <w:uiPriority w:val="1"/>
    <w:qFormat/>
    <w:rsid w:val="00FF42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evision">
    <w:name w:val="Revision"/>
    <w:hidden/>
    <w:uiPriority w:val="99"/>
    <w:semiHidden/>
    <w:rsid w:val="00B41F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4" ma:contentTypeDescription="Create a new document." ma:contentTypeScope="" ma:versionID="82ba18aa00d998c42267c85a94a1e944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05bd0e541fa252f363b2cb1cad108eba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6A875-A96E-48C3-92C5-EB9A9FCC2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68E3E-959A-4383-B4F6-D9E0F0FA3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36FD38-ADDD-41D8-B319-018D97674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D350F-D53A-4FD4-83B4-1BA2F8E20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FUS-0435*; P-00981628.O; Citizens Tel. Co. of New York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FUS-0435*; P-00981628.O; Citizens Tel. Co. of New York</dc:title>
  <dc:subject/>
  <dc:creator>Moore, Vikki</dc:creator>
  <cp:keywords/>
  <cp:lastModifiedBy>Wagner, Nathan R</cp:lastModifiedBy>
  <cp:revision>2</cp:revision>
  <cp:lastPrinted>2019-09-13T18:32:00Z</cp:lastPrinted>
  <dcterms:created xsi:type="dcterms:W3CDTF">2021-03-09T17:48:00Z</dcterms:created>
  <dcterms:modified xsi:type="dcterms:W3CDTF">2021-03-09T17:48:00Z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